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0873A0" w14:textId="00D771D4" w:rsidR="00D46D54" w:rsidRPr="001C153C" w:rsidRDefault="00D26D08" w:rsidP="00EA5CE7">
      <w:pPr>
        <w:spacing w:after="0" w:line="240" w:lineRule="auto"/>
        <w:jc w:val="both"/>
        <w:rPr>
          <w:rFonts w:ascii="ITC Avant Garde" w:hAnsi="ITC Avant Garde" w:cs="Arial"/>
          <w:b/>
          <w:sz w:val="20"/>
          <w:szCs w:val="20"/>
        </w:rPr>
      </w:pPr>
      <w:r w:rsidRPr="001C153C">
        <w:rPr>
          <w:rFonts w:ascii="ITC Avant Garde" w:hAnsi="ITC Avant Garde" w:cs="Arial"/>
          <w:b/>
          <w:sz w:val="20"/>
          <w:szCs w:val="20"/>
        </w:rPr>
        <w:t xml:space="preserve">INFORME </w:t>
      </w:r>
      <w:r w:rsidR="00030517" w:rsidRPr="001C153C">
        <w:rPr>
          <w:rFonts w:ascii="ITC Avant Garde" w:hAnsi="ITC Avant Garde" w:cs="Arial"/>
          <w:b/>
          <w:sz w:val="20"/>
          <w:szCs w:val="20"/>
        </w:rPr>
        <w:t>DE CONSIDERACIONES</w:t>
      </w:r>
      <w:r w:rsidRPr="001C153C">
        <w:rPr>
          <w:rFonts w:ascii="ITC Avant Garde" w:hAnsi="ITC Avant Garde" w:cs="Arial"/>
          <w:b/>
          <w:sz w:val="20"/>
          <w:szCs w:val="20"/>
        </w:rPr>
        <w:t xml:space="preserve"> </w:t>
      </w:r>
      <w:r w:rsidR="004239D2" w:rsidRPr="001C153C">
        <w:rPr>
          <w:rFonts w:ascii="ITC Avant Garde" w:hAnsi="ITC Avant Garde" w:cs="Arial"/>
          <w:b/>
          <w:sz w:val="20"/>
          <w:szCs w:val="20"/>
        </w:rPr>
        <w:t>RESPECTO DE</w:t>
      </w:r>
      <w:r w:rsidRPr="001C153C">
        <w:rPr>
          <w:rFonts w:ascii="ITC Avant Garde" w:hAnsi="ITC Avant Garde" w:cs="Arial"/>
          <w:b/>
          <w:sz w:val="20"/>
          <w:szCs w:val="20"/>
        </w:rPr>
        <w:t xml:space="preserve"> LA CONSULTA PÚBLICA</w:t>
      </w:r>
      <w:r w:rsidR="004239D2" w:rsidRPr="001C153C">
        <w:rPr>
          <w:rFonts w:ascii="ITC Avant Garde" w:hAnsi="ITC Avant Garde" w:cs="Arial"/>
          <w:b/>
          <w:sz w:val="20"/>
          <w:szCs w:val="20"/>
        </w:rPr>
        <w:t xml:space="preserve"> DE INTEGRACIÓN</w:t>
      </w:r>
      <w:r w:rsidRPr="001C153C">
        <w:rPr>
          <w:rFonts w:ascii="ITC Avant Garde" w:hAnsi="ITC Avant Garde" w:cs="Arial"/>
          <w:b/>
          <w:sz w:val="20"/>
          <w:szCs w:val="20"/>
        </w:rPr>
        <w:t xml:space="preserve"> </w:t>
      </w:r>
      <w:r w:rsidR="004239D2" w:rsidRPr="001C153C">
        <w:rPr>
          <w:rFonts w:ascii="ITC Avant Garde" w:hAnsi="ITC Avant Garde" w:cs="Arial"/>
          <w:b/>
          <w:sz w:val="20"/>
          <w:szCs w:val="20"/>
        </w:rPr>
        <w:t>D</w:t>
      </w:r>
      <w:r w:rsidRPr="001C153C">
        <w:rPr>
          <w:rFonts w:ascii="ITC Avant Garde" w:hAnsi="ITC Avant Garde" w:cs="Arial"/>
          <w:b/>
          <w:sz w:val="20"/>
          <w:szCs w:val="20"/>
        </w:rPr>
        <w:t xml:space="preserve">EL “PROYECTO DE BASES DE LICITACIÓN PÚBLICA PARA CONCESIONAR EL USO, APROVECHAMIENTO Y EXPLOTACIÓN COMERCIAL DE SEGMENTOS DE ESPECTRO RADIOELÉCTRICO DISPONIBLES EN LAS BANDAS DE FRECUENCIAS 814-824 / 859-869 MHZ, 1755-1760 / 2155-2160 MHZ, 1910-1915 / 1990-1995 MHZ Y 2500-2530 / 2620-2650 MHZ PARA LA PRESTACIÓN DE SERVICIOS DE ACCESO INALÁMBRICO (LICITACIÓN NO. IFT-10)” </w:t>
      </w:r>
    </w:p>
    <w:p w14:paraId="25E4604D" w14:textId="77777777" w:rsidR="00D26D08" w:rsidRPr="001C153C" w:rsidRDefault="00D26D08" w:rsidP="00EA5CE7">
      <w:pPr>
        <w:spacing w:after="0" w:line="240" w:lineRule="auto"/>
        <w:jc w:val="both"/>
        <w:rPr>
          <w:rFonts w:ascii="ITC Avant Garde" w:hAnsi="ITC Avant Garde" w:cs="Arial"/>
          <w:b/>
          <w:sz w:val="20"/>
          <w:szCs w:val="20"/>
        </w:rPr>
      </w:pPr>
    </w:p>
    <w:p w14:paraId="1939542B" w14:textId="7E0059B7" w:rsidR="004239D2" w:rsidRPr="001C153C" w:rsidRDefault="00D26D08" w:rsidP="00EA5CE7">
      <w:pPr>
        <w:spacing w:after="0" w:line="240" w:lineRule="auto"/>
        <w:jc w:val="both"/>
        <w:rPr>
          <w:rFonts w:ascii="ITC Avant Garde" w:hAnsi="ITC Avant Garde" w:cs="Arial"/>
          <w:b/>
          <w:sz w:val="20"/>
          <w:szCs w:val="20"/>
        </w:rPr>
      </w:pPr>
      <w:r w:rsidRPr="001C153C">
        <w:rPr>
          <w:rFonts w:ascii="ITC Avant Garde" w:hAnsi="ITC Avant Garde" w:cs="Arial"/>
          <w:b/>
          <w:sz w:val="20"/>
          <w:szCs w:val="20"/>
        </w:rPr>
        <w:t>Fecha de elaboración</w:t>
      </w:r>
      <w:r w:rsidR="004239D2" w:rsidRPr="001C153C">
        <w:rPr>
          <w:rFonts w:ascii="ITC Avant Garde" w:hAnsi="ITC Avant Garde" w:cs="Arial"/>
          <w:b/>
          <w:sz w:val="20"/>
          <w:szCs w:val="20"/>
        </w:rPr>
        <w:t xml:space="preserve"> del Informe de Consideraciones sobre los comentarios, opiniones y aportaciones recibidos con relación a la presente Consulta Pública:</w:t>
      </w:r>
    </w:p>
    <w:p w14:paraId="454F3DBE" w14:textId="0A14EA9E" w:rsidR="00D26D08" w:rsidRPr="00FF7BCC" w:rsidRDefault="00077B99" w:rsidP="00FF7BCC">
      <w:pPr>
        <w:spacing w:after="0" w:line="240" w:lineRule="auto"/>
        <w:jc w:val="right"/>
        <w:rPr>
          <w:rFonts w:ascii="ITC Avant Garde" w:hAnsi="ITC Avant Garde" w:cs="Arial"/>
          <w:sz w:val="20"/>
          <w:szCs w:val="20"/>
        </w:rPr>
      </w:pPr>
      <w:r w:rsidRPr="00FF7BCC">
        <w:rPr>
          <w:rFonts w:ascii="ITC Avant Garde" w:hAnsi="ITC Avant Garde" w:cs="Arial"/>
          <w:sz w:val="20"/>
          <w:szCs w:val="20"/>
        </w:rPr>
        <w:t>30</w:t>
      </w:r>
      <w:r w:rsidR="00D26D08" w:rsidRPr="00FF7BCC">
        <w:rPr>
          <w:rFonts w:ascii="ITC Avant Garde" w:hAnsi="ITC Avant Garde" w:cs="Arial"/>
          <w:sz w:val="20"/>
          <w:szCs w:val="20"/>
        </w:rPr>
        <w:t xml:space="preserve"> de </w:t>
      </w:r>
      <w:r w:rsidR="005905C7" w:rsidRPr="00FF7BCC">
        <w:rPr>
          <w:rFonts w:ascii="ITC Avant Garde" w:hAnsi="ITC Avant Garde" w:cs="Arial"/>
          <w:sz w:val="20"/>
          <w:szCs w:val="20"/>
        </w:rPr>
        <w:t>octubre</w:t>
      </w:r>
      <w:r w:rsidR="00D26D08" w:rsidRPr="00FF7BCC">
        <w:rPr>
          <w:rFonts w:ascii="ITC Avant Garde" w:hAnsi="ITC Avant Garde" w:cs="Arial"/>
          <w:sz w:val="20"/>
          <w:szCs w:val="20"/>
        </w:rPr>
        <w:t xml:space="preserve"> de 2020</w:t>
      </w:r>
    </w:p>
    <w:p w14:paraId="4B9C7E4D" w14:textId="77777777" w:rsidR="00EA5CE7" w:rsidRPr="001C153C" w:rsidRDefault="00EA5CE7" w:rsidP="00EA5CE7">
      <w:pPr>
        <w:spacing w:after="0" w:line="240" w:lineRule="auto"/>
        <w:jc w:val="both"/>
        <w:rPr>
          <w:rFonts w:ascii="ITC Avant Garde" w:hAnsi="ITC Avant Garde" w:cs="Arial"/>
          <w:sz w:val="20"/>
          <w:szCs w:val="20"/>
        </w:rPr>
      </w:pPr>
    </w:p>
    <w:p w14:paraId="5D04F5B4" w14:textId="3A46B678" w:rsidR="004239D2" w:rsidRDefault="00D26D08" w:rsidP="00EA5CE7">
      <w:pPr>
        <w:pStyle w:val="Prrafodelista"/>
        <w:numPr>
          <w:ilvl w:val="0"/>
          <w:numId w:val="23"/>
        </w:numPr>
        <w:spacing w:after="0" w:line="240" w:lineRule="auto"/>
        <w:ind w:left="426" w:hanging="426"/>
        <w:jc w:val="both"/>
        <w:rPr>
          <w:rFonts w:ascii="ITC Avant Garde" w:hAnsi="ITC Avant Garde" w:cs="Arial"/>
          <w:sz w:val="20"/>
          <w:szCs w:val="20"/>
        </w:rPr>
      </w:pPr>
      <w:r w:rsidRPr="001C153C">
        <w:rPr>
          <w:rFonts w:ascii="ITC Avant Garde" w:hAnsi="ITC Avant Garde" w:cs="Arial"/>
          <w:b/>
          <w:sz w:val="20"/>
          <w:szCs w:val="20"/>
        </w:rPr>
        <w:t>Descripción de la consulta pública:</w:t>
      </w:r>
      <w:r w:rsidRPr="001C153C">
        <w:rPr>
          <w:rFonts w:ascii="ITC Avant Garde" w:hAnsi="ITC Avant Garde" w:cs="Arial"/>
          <w:sz w:val="20"/>
          <w:szCs w:val="20"/>
        </w:rPr>
        <w:t xml:space="preserve"> </w:t>
      </w:r>
    </w:p>
    <w:p w14:paraId="45D2FD9F" w14:textId="77777777" w:rsidR="00EA5CE7" w:rsidRPr="001C153C" w:rsidRDefault="00EA5CE7" w:rsidP="00EA5CE7">
      <w:pPr>
        <w:pStyle w:val="Prrafodelista"/>
        <w:spacing w:after="0" w:line="240" w:lineRule="auto"/>
        <w:ind w:left="426"/>
        <w:jc w:val="both"/>
        <w:rPr>
          <w:rFonts w:ascii="ITC Avant Garde" w:hAnsi="ITC Avant Garde" w:cs="Arial"/>
          <w:sz w:val="20"/>
          <w:szCs w:val="20"/>
        </w:rPr>
      </w:pPr>
    </w:p>
    <w:p w14:paraId="0C007EB7" w14:textId="4BA4A9E0" w:rsidR="00D26D08" w:rsidRDefault="00D26D08" w:rsidP="00EA5CE7">
      <w:pPr>
        <w:spacing w:after="0" w:line="240" w:lineRule="auto"/>
        <w:jc w:val="both"/>
        <w:rPr>
          <w:rFonts w:ascii="ITC Avant Garde" w:hAnsi="ITC Avant Garde" w:cs="Arial"/>
          <w:sz w:val="20"/>
          <w:szCs w:val="20"/>
        </w:rPr>
      </w:pPr>
      <w:r w:rsidRPr="001C153C">
        <w:rPr>
          <w:rFonts w:ascii="ITC Avant Garde" w:hAnsi="ITC Avant Garde" w:cs="Arial"/>
          <w:sz w:val="20"/>
          <w:szCs w:val="20"/>
        </w:rPr>
        <w:t xml:space="preserve">El </w:t>
      </w:r>
      <w:r w:rsidR="004239D2" w:rsidRPr="001C153C">
        <w:rPr>
          <w:rFonts w:ascii="ITC Avant Garde" w:hAnsi="ITC Avant Garde" w:cs="Arial"/>
          <w:sz w:val="20"/>
          <w:szCs w:val="20"/>
        </w:rPr>
        <w:t>Instituto Federal de Telecomunicaciones (Instituto) recibió comentarios, opiniones, aportaciones y otros elementos de análisis por parte de los interesados con relación al contenido del “</w:t>
      </w:r>
      <w:r w:rsidR="004239D2" w:rsidRPr="001C153C">
        <w:rPr>
          <w:rFonts w:ascii="ITC Avant Garde" w:hAnsi="ITC Avant Garde" w:cs="Arial"/>
          <w:b/>
          <w:i/>
          <w:sz w:val="20"/>
          <w:szCs w:val="20"/>
        </w:rPr>
        <w:t>Proyecto de Bases de Licitación Pública para concesionar el uso, aprovechamiento y explotación comercial de segmentos de espectro radioeléctrico disponibles en las Bandas de Frecuencias 814-824 / 859-869 MHz, 1755-1760 / 2155-2160 MHz, 1910-1915 / 1990-1995 MHz y 2500-2530 / 2620-2650 MHz para la prestación de servicios de Acceso Inalámbrico (Licitación No. IFT-10)”</w:t>
      </w:r>
      <w:r w:rsidR="004239D2" w:rsidRPr="001C153C">
        <w:rPr>
          <w:rFonts w:ascii="ITC Avant Garde" w:hAnsi="ITC Avant Garde" w:cs="Arial"/>
          <w:sz w:val="20"/>
          <w:szCs w:val="20"/>
        </w:rPr>
        <w:t xml:space="preserve"> </w:t>
      </w:r>
      <w:r w:rsidR="00E8641C" w:rsidRPr="001C153C">
        <w:rPr>
          <w:rFonts w:ascii="ITC Avant Garde" w:hAnsi="ITC Avant Garde" w:cs="Arial"/>
          <w:sz w:val="20"/>
          <w:szCs w:val="20"/>
        </w:rPr>
        <w:t>materia de la consulta pública. Las participaciones se recibieron durante el período comprendido del</w:t>
      </w:r>
      <w:r w:rsidR="00EA5CE7">
        <w:rPr>
          <w:rFonts w:ascii="ITC Avant Garde" w:hAnsi="ITC Avant Garde" w:cs="Arial"/>
          <w:sz w:val="20"/>
          <w:szCs w:val="20"/>
        </w:rPr>
        <w:t xml:space="preserve"> </w:t>
      </w:r>
      <w:r w:rsidRPr="001C153C">
        <w:rPr>
          <w:rFonts w:ascii="ITC Avant Garde" w:hAnsi="ITC Avant Garde" w:cs="Arial"/>
          <w:sz w:val="20"/>
          <w:szCs w:val="20"/>
        </w:rPr>
        <w:t xml:space="preserve">26 de agosto al </w:t>
      </w:r>
      <w:r w:rsidR="005905C7" w:rsidRPr="001C153C">
        <w:rPr>
          <w:rFonts w:ascii="ITC Avant Garde" w:hAnsi="ITC Avant Garde" w:cs="Arial"/>
          <w:sz w:val="20"/>
          <w:szCs w:val="20"/>
        </w:rPr>
        <w:t>21</w:t>
      </w:r>
      <w:r w:rsidRPr="001C153C">
        <w:rPr>
          <w:rFonts w:ascii="ITC Avant Garde" w:hAnsi="ITC Avant Garde" w:cs="Arial"/>
          <w:sz w:val="20"/>
          <w:szCs w:val="20"/>
        </w:rPr>
        <w:t xml:space="preserve"> de octubre de 20</w:t>
      </w:r>
      <w:r w:rsidR="00C72F0A" w:rsidRPr="001C153C">
        <w:rPr>
          <w:rFonts w:ascii="ITC Avant Garde" w:hAnsi="ITC Avant Garde" w:cs="Arial"/>
          <w:sz w:val="20"/>
          <w:szCs w:val="20"/>
        </w:rPr>
        <w:t>20</w:t>
      </w:r>
      <w:r w:rsidRPr="001C153C">
        <w:rPr>
          <w:rFonts w:ascii="ITC Avant Garde" w:hAnsi="ITC Avant Garde" w:cs="Arial"/>
          <w:color w:val="000000"/>
          <w:sz w:val="20"/>
          <w:szCs w:val="20"/>
          <w:shd w:val="clear" w:color="auto" w:fill="FFFFFF"/>
        </w:rPr>
        <w:t>,</w:t>
      </w:r>
      <w:r w:rsidR="00E8641C" w:rsidRPr="001C153C">
        <w:rPr>
          <w:rFonts w:ascii="ITC Avant Garde" w:hAnsi="ITC Avant Garde" w:cs="Arial"/>
          <w:sz w:val="20"/>
          <w:szCs w:val="20"/>
        </w:rPr>
        <w:t xml:space="preserve"> a través de la dirección de correo electrónico </w:t>
      </w:r>
      <w:hyperlink r:id="rId11" w:history="1">
        <w:r w:rsidR="00E8641C" w:rsidRPr="001C153C">
          <w:rPr>
            <w:rStyle w:val="Hipervnculo"/>
            <w:rFonts w:ascii="ITC Avant Garde" w:hAnsi="ITC Avant Garde" w:cs="Arial"/>
            <w:sz w:val="20"/>
            <w:szCs w:val="20"/>
          </w:rPr>
          <w:t>licitacionift10@ift.org.mx</w:t>
        </w:r>
      </w:hyperlink>
      <w:r w:rsidR="00EA5CE7">
        <w:rPr>
          <w:rFonts w:ascii="ITC Avant Garde" w:hAnsi="ITC Avant Garde" w:cs="Arial"/>
          <w:sz w:val="20"/>
          <w:szCs w:val="20"/>
        </w:rPr>
        <w:t>.</w:t>
      </w:r>
    </w:p>
    <w:p w14:paraId="602F7A67" w14:textId="77777777" w:rsidR="00EA5CE7" w:rsidRPr="001C153C" w:rsidRDefault="00EA5CE7" w:rsidP="00EA5CE7">
      <w:pPr>
        <w:spacing w:after="0" w:line="240" w:lineRule="auto"/>
        <w:jc w:val="both"/>
        <w:rPr>
          <w:rFonts w:ascii="ITC Avant Garde" w:hAnsi="ITC Avant Garde" w:cs="Arial"/>
          <w:sz w:val="20"/>
          <w:szCs w:val="20"/>
        </w:rPr>
      </w:pPr>
    </w:p>
    <w:p w14:paraId="64169D86" w14:textId="77777777" w:rsidR="00E8641C" w:rsidRPr="001C153C" w:rsidRDefault="00D26D08" w:rsidP="00EA5CE7">
      <w:pPr>
        <w:pStyle w:val="Prrafodelista"/>
        <w:numPr>
          <w:ilvl w:val="0"/>
          <w:numId w:val="23"/>
        </w:numPr>
        <w:spacing w:after="0" w:line="240" w:lineRule="auto"/>
        <w:ind w:left="426" w:hanging="426"/>
        <w:jc w:val="both"/>
        <w:rPr>
          <w:rFonts w:ascii="ITC Avant Garde" w:hAnsi="ITC Avant Garde" w:cs="Arial"/>
          <w:sz w:val="20"/>
          <w:szCs w:val="20"/>
        </w:rPr>
      </w:pPr>
      <w:r w:rsidRPr="001C153C">
        <w:rPr>
          <w:rFonts w:ascii="ITC Avant Garde" w:hAnsi="ITC Avant Garde" w:cs="Arial"/>
          <w:b/>
          <w:sz w:val="20"/>
          <w:szCs w:val="20"/>
        </w:rPr>
        <w:t xml:space="preserve">Objetivos de la consulta pública: </w:t>
      </w:r>
    </w:p>
    <w:p w14:paraId="7F2B0282" w14:textId="77777777" w:rsidR="008E5F62" w:rsidRPr="001C153C" w:rsidRDefault="008E5F62" w:rsidP="008E5F62">
      <w:pPr>
        <w:pStyle w:val="Prrafodelista"/>
        <w:spacing w:after="0" w:line="240" w:lineRule="auto"/>
        <w:ind w:left="426"/>
        <w:jc w:val="both"/>
        <w:rPr>
          <w:rFonts w:ascii="ITC Avant Garde" w:hAnsi="ITC Avant Garde" w:cs="Arial"/>
          <w:sz w:val="20"/>
          <w:szCs w:val="20"/>
        </w:rPr>
      </w:pPr>
    </w:p>
    <w:p w14:paraId="73E3422C" w14:textId="70150A6E" w:rsidR="00E8641C" w:rsidRDefault="00E8641C" w:rsidP="00EA5CE7">
      <w:pPr>
        <w:spacing w:after="0" w:line="240" w:lineRule="auto"/>
        <w:jc w:val="both"/>
        <w:rPr>
          <w:rFonts w:ascii="ITC Avant Garde" w:hAnsi="ITC Avant Garde" w:cs="Arial"/>
          <w:color w:val="000000"/>
          <w:sz w:val="20"/>
          <w:szCs w:val="20"/>
        </w:rPr>
      </w:pPr>
      <w:r w:rsidRPr="001C153C">
        <w:rPr>
          <w:rFonts w:ascii="ITC Avant Garde" w:hAnsi="ITC Avant Garde" w:cs="Arial"/>
          <w:sz w:val="20"/>
          <w:szCs w:val="20"/>
        </w:rPr>
        <w:t xml:space="preserve">El </w:t>
      </w:r>
      <w:r w:rsidR="007B75AE" w:rsidRPr="001C153C">
        <w:rPr>
          <w:rFonts w:ascii="ITC Avant Garde" w:hAnsi="ITC Avant Garde" w:cs="Arial"/>
          <w:color w:val="000000"/>
          <w:sz w:val="20"/>
          <w:szCs w:val="20"/>
        </w:rPr>
        <w:t>Instituto</w:t>
      </w:r>
      <w:r w:rsidRPr="001C153C">
        <w:rPr>
          <w:rFonts w:ascii="ITC Avant Garde" w:hAnsi="ITC Avant Garde" w:cs="Arial"/>
          <w:color w:val="000000"/>
          <w:sz w:val="20"/>
          <w:szCs w:val="20"/>
        </w:rPr>
        <w:t>, convencido de la importancia y relevancia de las acciones afirmativas en materia de transparencia y participación ciudadana, así como en la toma de decisiones sobre diversos asuntos de interés general, llevo a cabo un proceso de Consulta Pública en el que recibió las participaciones de</w:t>
      </w:r>
      <w:r w:rsidR="00C60F05">
        <w:rPr>
          <w:rFonts w:ascii="ITC Avant Garde" w:hAnsi="ITC Avant Garde" w:cs="Arial"/>
          <w:color w:val="000000"/>
          <w:sz w:val="20"/>
          <w:szCs w:val="20"/>
        </w:rPr>
        <w:t xml:space="preserve"> 12</w:t>
      </w:r>
      <w:r w:rsidRPr="001C153C">
        <w:rPr>
          <w:rFonts w:ascii="ITC Avant Garde" w:hAnsi="ITC Avant Garde" w:cs="Arial"/>
          <w:color w:val="000000"/>
          <w:sz w:val="20"/>
          <w:szCs w:val="20"/>
        </w:rPr>
        <w:t xml:space="preserve"> interesados en el Proyecto de Bases. Lo anterior, con fundamento en los artículos </w:t>
      </w:r>
      <w:r w:rsidR="008D1350" w:rsidRPr="001C153C">
        <w:rPr>
          <w:rFonts w:ascii="ITC Avant Garde" w:hAnsi="ITC Avant Garde" w:cs="Arial"/>
          <w:sz w:val="20"/>
          <w:szCs w:val="20"/>
        </w:rPr>
        <w:t>1</w:t>
      </w:r>
      <w:r w:rsidR="008D1350" w:rsidRPr="001C153C">
        <w:rPr>
          <w:rFonts w:ascii="ITC Avant Garde" w:hAnsi="ITC Avant Garde" w:cs="Arial"/>
          <w:color w:val="000000"/>
          <w:sz w:val="20"/>
          <w:szCs w:val="20"/>
        </w:rPr>
        <w:t>, 2, 7, 15 fracci</w:t>
      </w:r>
      <w:r w:rsidR="009D7518" w:rsidRPr="001C153C">
        <w:rPr>
          <w:rFonts w:ascii="ITC Avant Garde" w:hAnsi="ITC Avant Garde" w:cs="Arial"/>
          <w:color w:val="000000"/>
          <w:sz w:val="20"/>
          <w:szCs w:val="20"/>
        </w:rPr>
        <w:t xml:space="preserve">ones I y </w:t>
      </w:r>
      <w:r w:rsidR="008D1350" w:rsidRPr="001C153C">
        <w:rPr>
          <w:rFonts w:ascii="ITC Avant Garde" w:hAnsi="ITC Avant Garde" w:cs="Arial"/>
          <w:color w:val="000000"/>
          <w:sz w:val="20"/>
          <w:szCs w:val="20"/>
        </w:rPr>
        <w:t>XL</w:t>
      </w:r>
      <w:r w:rsidRPr="001C153C">
        <w:rPr>
          <w:rFonts w:ascii="ITC Avant Garde" w:hAnsi="ITC Avant Garde" w:cs="Arial"/>
          <w:color w:val="000000"/>
          <w:sz w:val="20"/>
          <w:szCs w:val="20"/>
        </w:rPr>
        <w:t>,</w:t>
      </w:r>
      <w:r w:rsidR="008D1350" w:rsidRPr="001C153C">
        <w:rPr>
          <w:rFonts w:ascii="ITC Avant Garde" w:hAnsi="ITC Avant Garde" w:cs="Arial"/>
          <w:color w:val="000000"/>
          <w:sz w:val="20"/>
          <w:szCs w:val="20"/>
        </w:rPr>
        <w:t xml:space="preserve"> y 51 de la Ley Federal de Telecomunicaciones y Radiodifusión (Ley); </w:t>
      </w:r>
      <w:r w:rsidRPr="001C153C">
        <w:rPr>
          <w:rFonts w:ascii="ITC Avant Garde" w:hAnsi="ITC Avant Garde" w:cs="Arial"/>
          <w:color w:val="000000"/>
          <w:sz w:val="20"/>
          <w:szCs w:val="20"/>
        </w:rPr>
        <w:t xml:space="preserve">1, 4, fracción I, 6, fracciones I y XXXVIII, 27 y 29 fracción II del Estatuto Orgánico del Instituto Federal de Telecomunicaciones; así como en los Lineamientos </w:t>
      </w:r>
      <w:r w:rsidR="008D1350" w:rsidRPr="001C153C">
        <w:rPr>
          <w:rFonts w:ascii="ITC Avant Garde" w:hAnsi="ITC Avant Garde" w:cs="Arial"/>
          <w:color w:val="000000"/>
          <w:sz w:val="20"/>
          <w:szCs w:val="20"/>
        </w:rPr>
        <w:t>Primero, Tercero fracción I,</w:t>
      </w:r>
      <w:r w:rsidR="0006570D" w:rsidRPr="001C153C">
        <w:rPr>
          <w:rFonts w:ascii="ITC Avant Garde" w:hAnsi="ITC Avant Garde" w:cs="Arial"/>
          <w:color w:val="000000"/>
          <w:sz w:val="20"/>
          <w:szCs w:val="20"/>
        </w:rPr>
        <w:t xml:space="preserve"> Cuarto,</w:t>
      </w:r>
      <w:r w:rsidR="008D1350" w:rsidRPr="001C153C">
        <w:rPr>
          <w:rFonts w:ascii="ITC Avant Garde" w:hAnsi="ITC Avant Garde" w:cs="Arial"/>
          <w:color w:val="000000"/>
          <w:sz w:val="20"/>
          <w:szCs w:val="20"/>
        </w:rPr>
        <w:t xml:space="preserve"> </w:t>
      </w:r>
      <w:r w:rsidR="0075474F" w:rsidRPr="001C153C">
        <w:rPr>
          <w:rFonts w:ascii="ITC Avant Garde" w:hAnsi="ITC Avant Garde" w:cs="Arial"/>
          <w:color w:val="000000"/>
          <w:sz w:val="20"/>
          <w:szCs w:val="20"/>
        </w:rPr>
        <w:t>S</w:t>
      </w:r>
      <w:r w:rsidR="008D1350" w:rsidRPr="001C153C">
        <w:rPr>
          <w:rFonts w:ascii="ITC Avant Garde" w:hAnsi="ITC Avant Garde" w:cs="Arial"/>
          <w:color w:val="000000"/>
          <w:sz w:val="20"/>
          <w:szCs w:val="20"/>
        </w:rPr>
        <w:t>éptimo, Octavo, Noveno</w:t>
      </w:r>
      <w:r w:rsidR="0075474F" w:rsidRPr="001C153C">
        <w:rPr>
          <w:rFonts w:ascii="ITC Avant Garde" w:hAnsi="ITC Avant Garde" w:cs="Arial"/>
          <w:color w:val="000000"/>
          <w:sz w:val="20"/>
          <w:szCs w:val="20"/>
        </w:rPr>
        <w:t xml:space="preserve"> y</w:t>
      </w:r>
      <w:r w:rsidR="008D1350" w:rsidRPr="001C153C">
        <w:rPr>
          <w:rFonts w:ascii="ITC Avant Garde" w:hAnsi="ITC Avant Garde" w:cs="Arial"/>
          <w:color w:val="000000"/>
          <w:sz w:val="20"/>
          <w:szCs w:val="20"/>
        </w:rPr>
        <w:t xml:space="preserve"> Décimo de los Lineamientos de Consulta Pública y Análisis de Impacto Regulatorio del Instituto Federal de Telecomunicaciones</w:t>
      </w:r>
      <w:r w:rsidR="006C4A4C" w:rsidRPr="001C153C">
        <w:rPr>
          <w:rFonts w:ascii="ITC Avant Garde" w:hAnsi="ITC Avant Garde" w:cs="Arial"/>
          <w:color w:val="000000"/>
          <w:sz w:val="20"/>
          <w:szCs w:val="20"/>
        </w:rPr>
        <w:t xml:space="preserve"> (Lineamientos de Consulta Pública)</w:t>
      </w:r>
      <w:r w:rsidRPr="001C153C">
        <w:rPr>
          <w:rFonts w:ascii="ITC Avant Garde" w:hAnsi="ITC Avant Garde" w:cs="Arial"/>
          <w:color w:val="000000"/>
          <w:sz w:val="20"/>
          <w:szCs w:val="20"/>
        </w:rPr>
        <w:t>.</w:t>
      </w:r>
    </w:p>
    <w:p w14:paraId="723E13AC" w14:textId="77777777" w:rsidR="00EA5CE7" w:rsidRPr="001C153C" w:rsidRDefault="00EA5CE7" w:rsidP="00EA5CE7">
      <w:pPr>
        <w:spacing w:after="0" w:line="240" w:lineRule="auto"/>
        <w:jc w:val="both"/>
        <w:rPr>
          <w:rFonts w:ascii="ITC Avant Garde" w:hAnsi="ITC Avant Garde" w:cs="Arial"/>
          <w:color w:val="000000"/>
          <w:sz w:val="20"/>
          <w:szCs w:val="20"/>
        </w:rPr>
      </w:pPr>
    </w:p>
    <w:p w14:paraId="517BCB4C" w14:textId="7E538BC5" w:rsidR="00E8641C" w:rsidRDefault="00E8641C" w:rsidP="00EA5CE7">
      <w:pPr>
        <w:spacing w:after="0" w:line="240" w:lineRule="auto"/>
        <w:jc w:val="both"/>
        <w:rPr>
          <w:rFonts w:ascii="ITC Avant Garde" w:hAnsi="ITC Avant Garde" w:cs="Arial"/>
          <w:color w:val="000000"/>
          <w:sz w:val="20"/>
          <w:szCs w:val="20"/>
        </w:rPr>
      </w:pPr>
      <w:r w:rsidRPr="001C153C">
        <w:rPr>
          <w:rFonts w:ascii="ITC Avant Garde" w:hAnsi="ITC Avant Garde" w:cs="Arial"/>
          <w:color w:val="000000"/>
          <w:sz w:val="20"/>
          <w:szCs w:val="20"/>
        </w:rPr>
        <w:t>En ese sentido, la Consulta Pública persiguió los objetivos siguientes:</w:t>
      </w:r>
    </w:p>
    <w:p w14:paraId="662612A1" w14:textId="77777777" w:rsidR="00EA5CE7" w:rsidRPr="001C153C" w:rsidRDefault="00EA5CE7" w:rsidP="00EA5CE7">
      <w:pPr>
        <w:spacing w:after="0" w:line="240" w:lineRule="auto"/>
        <w:jc w:val="both"/>
        <w:rPr>
          <w:rFonts w:ascii="ITC Avant Garde" w:hAnsi="ITC Avant Garde" w:cs="Arial"/>
          <w:color w:val="000000"/>
          <w:sz w:val="20"/>
          <w:szCs w:val="20"/>
        </w:rPr>
      </w:pPr>
    </w:p>
    <w:p w14:paraId="73926690" w14:textId="6DECD7E0" w:rsidR="003F5188" w:rsidRPr="001C153C" w:rsidRDefault="003F5188" w:rsidP="00EA5CE7">
      <w:pPr>
        <w:pStyle w:val="Prrafodelista"/>
        <w:numPr>
          <w:ilvl w:val="0"/>
          <w:numId w:val="24"/>
        </w:numPr>
        <w:spacing w:after="0" w:line="240" w:lineRule="auto"/>
        <w:jc w:val="both"/>
        <w:rPr>
          <w:rFonts w:ascii="ITC Avant Garde" w:hAnsi="ITC Avant Garde" w:cs="Arial"/>
          <w:sz w:val="20"/>
          <w:szCs w:val="20"/>
        </w:rPr>
      </w:pPr>
      <w:r w:rsidRPr="001C153C">
        <w:rPr>
          <w:rFonts w:ascii="ITC Avant Garde" w:hAnsi="ITC Avant Garde" w:cs="Arial"/>
          <w:sz w:val="20"/>
          <w:szCs w:val="20"/>
        </w:rPr>
        <w:t>D</w:t>
      </w:r>
      <w:r w:rsidR="00D26D08" w:rsidRPr="001C153C">
        <w:rPr>
          <w:rFonts w:ascii="ITC Avant Garde" w:hAnsi="ITC Avant Garde" w:cs="Arial"/>
          <w:sz w:val="20"/>
          <w:szCs w:val="20"/>
        </w:rPr>
        <w:t xml:space="preserve">ar a conocer el </w:t>
      </w:r>
      <w:r w:rsidR="00D26D08" w:rsidRPr="001C153C">
        <w:rPr>
          <w:rFonts w:ascii="ITC Avant Garde" w:hAnsi="ITC Avant Garde" w:cs="Arial"/>
          <w:i/>
          <w:sz w:val="20"/>
          <w:szCs w:val="20"/>
        </w:rPr>
        <w:t>“Proyecto de Bases de Licitación Pública para concesionar el uso, aprovechamiento y explotación comercial de segmentos de espectro radioeléctrico disponibles en las Bandas de Frecuencias 814-824 / 859-869 MHz, 1755-1760 / 2155-2160 MHz, 1910-1915 / 1990-1995 MHz y 2500-2530 / 2620-2650 MHz para la prestación de servicios de Acceso Inalámbrico (Licitación No. IFT-10)”</w:t>
      </w:r>
      <w:r w:rsidR="00D26D08" w:rsidRPr="001C153C">
        <w:rPr>
          <w:rFonts w:ascii="ITC Avant Garde" w:hAnsi="ITC Avant Garde" w:cs="Arial"/>
          <w:sz w:val="20"/>
          <w:szCs w:val="20"/>
        </w:rPr>
        <w:t xml:space="preserve">; </w:t>
      </w:r>
    </w:p>
    <w:p w14:paraId="0BD37A28" w14:textId="699DBEDF" w:rsidR="003F5188" w:rsidRPr="001C153C" w:rsidRDefault="003F5188" w:rsidP="00EA5CE7">
      <w:pPr>
        <w:pStyle w:val="Prrafodelista"/>
        <w:numPr>
          <w:ilvl w:val="0"/>
          <w:numId w:val="24"/>
        </w:numPr>
        <w:spacing w:after="0" w:line="240" w:lineRule="auto"/>
        <w:jc w:val="both"/>
        <w:rPr>
          <w:rFonts w:ascii="ITC Avant Garde" w:hAnsi="ITC Avant Garde" w:cs="Arial"/>
          <w:color w:val="000000"/>
          <w:sz w:val="20"/>
          <w:szCs w:val="20"/>
        </w:rPr>
      </w:pPr>
      <w:r w:rsidRPr="001C153C">
        <w:rPr>
          <w:rFonts w:ascii="ITC Avant Garde" w:hAnsi="ITC Avant Garde" w:cs="Arial"/>
          <w:sz w:val="20"/>
          <w:szCs w:val="20"/>
        </w:rPr>
        <w:t>D</w:t>
      </w:r>
      <w:r w:rsidR="00D26D08" w:rsidRPr="001C153C">
        <w:rPr>
          <w:rFonts w:ascii="ITC Avant Garde" w:hAnsi="ITC Avant Garde" w:cs="Arial"/>
          <w:sz w:val="20"/>
          <w:szCs w:val="20"/>
        </w:rPr>
        <w:t>escribir las etapas y actividades en que se desarrollará el procedimiento</w:t>
      </w:r>
      <w:r w:rsidR="001D792A" w:rsidRPr="001C153C">
        <w:rPr>
          <w:rFonts w:ascii="ITC Avant Garde" w:hAnsi="ITC Avant Garde" w:cs="Arial"/>
          <w:sz w:val="20"/>
          <w:szCs w:val="20"/>
        </w:rPr>
        <w:t xml:space="preserve"> de licitación pública</w:t>
      </w:r>
      <w:r w:rsidR="00D26D08" w:rsidRPr="001C153C">
        <w:rPr>
          <w:rFonts w:ascii="ITC Avant Garde" w:hAnsi="ITC Avant Garde" w:cs="Arial"/>
          <w:sz w:val="20"/>
          <w:szCs w:val="20"/>
        </w:rPr>
        <w:t>; y</w:t>
      </w:r>
      <w:r w:rsidRPr="001C153C">
        <w:rPr>
          <w:rFonts w:ascii="ITC Avant Garde" w:hAnsi="ITC Avant Garde" w:cs="Arial"/>
          <w:sz w:val="20"/>
          <w:szCs w:val="20"/>
        </w:rPr>
        <w:t>,</w:t>
      </w:r>
    </w:p>
    <w:p w14:paraId="0EABD34A" w14:textId="77777777" w:rsidR="003F5188" w:rsidRPr="001C153C" w:rsidRDefault="003F5188" w:rsidP="00EA5CE7">
      <w:pPr>
        <w:pStyle w:val="Prrafodelista"/>
        <w:spacing w:after="0" w:line="240" w:lineRule="auto"/>
        <w:ind w:left="1080"/>
        <w:jc w:val="both"/>
        <w:rPr>
          <w:rFonts w:ascii="ITC Avant Garde" w:hAnsi="ITC Avant Garde" w:cs="Arial"/>
          <w:color w:val="000000"/>
          <w:sz w:val="20"/>
          <w:szCs w:val="20"/>
        </w:rPr>
      </w:pPr>
    </w:p>
    <w:p w14:paraId="0A09DA0C" w14:textId="19742232" w:rsidR="00D26D08" w:rsidRPr="001C153C" w:rsidRDefault="003F5188" w:rsidP="00EA5CE7">
      <w:pPr>
        <w:pStyle w:val="Prrafodelista"/>
        <w:numPr>
          <w:ilvl w:val="0"/>
          <w:numId w:val="24"/>
        </w:numPr>
        <w:spacing w:after="0" w:line="240" w:lineRule="auto"/>
        <w:jc w:val="both"/>
        <w:rPr>
          <w:rFonts w:ascii="ITC Avant Garde" w:hAnsi="ITC Avant Garde" w:cs="Arial"/>
          <w:color w:val="000000"/>
          <w:sz w:val="20"/>
          <w:szCs w:val="20"/>
        </w:rPr>
      </w:pPr>
      <w:r w:rsidRPr="001C153C">
        <w:rPr>
          <w:rFonts w:ascii="ITC Avant Garde" w:hAnsi="ITC Avant Garde" w:cs="Arial"/>
          <w:sz w:val="20"/>
          <w:szCs w:val="20"/>
        </w:rPr>
        <w:t>P</w:t>
      </w:r>
      <w:r w:rsidR="00D26D08" w:rsidRPr="001C153C">
        <w:rPr>
          <w:rFonts w:ascii="ITC Avant Garde" w:hAnsi="ITC Avant Garde" w:cs="Arial"/>
          <w:sz w:val="20"/>
          <w:szCs w:val="20"/>
        </w:rPr>
        <w:t xml:space="preserve">recisar los términos y condiciones en que se desarrollará, a través del establecimiento de la vigencia de la concesión, condiciones de operación, limitantes de participación, causales de descalificación, entre otras, con la finalidad de recabar comentarios de los interesados en el proceso, de la industria, de especialistas en la materia, y del público en general, que contribuyan a un mejor diseño y fortalecimiento del </w:t>
      </w:r>
      <w:r w:rsidRPr="001C153C">
        <w:rPr>
          <w:rFonts w:ascii="ITC Avant Garde" w:hAnsi="ITC Avant Garde" w:cs="Arial"/>
          <w:sz w:val="20"/>
          <w:szCs w:val="20"/>
        </w:rPr>
        <w:t>P</w:t>
      </w:r>
      <w:r w:rsidR="00D26D08" w:rsidRPr="001C153C">
        <w:rPr>
          <w:rFonts w:ascii="ITC Avant Garde" w:hAnsi="ITC Avant Garde" w:cs="Arial"/>
          <w:sz w:val="20"/>
          <w:szCs w:val="20"/>
        </w:rPr>
        <w:t>royecto</w:t>
      </w:r>
      <w:r w:rsidRPr="001C153C">
        <w:rPr>
          <w:rFonts w:ascii="ITC Avant Garde" w:hAnsi="ITC Avant Garde" w:cs="Arial"/>
          <w:sz w:val="20"/>
          <w:szCs w:val="20"/>
        </w:rPr>
        <w:t xml:space="preserve"> de Bases</w:t>
      </w:r>
      <w:r w:rsidR="00D26D08" w:rsidRPr="001C153C">
        <w:rPr>
          <w:rFonts w:ascii="ITC Avant Garde" w:hAnsi="ITC Avant Garde" w:cs="Arial"/>
          <w:sz w:val="20"/>
          <w:szCs w:val="20"/>
        </w:rPr>
        <w:t>.</w:t>
      </w:r>
    </w:p>
    <w:p w14:paraId="1AF92713" w14:textId="77777777" w:rsidR="003F5188" w:rsidRPr="001C153C" w:rsidRDefault="003F5188" w:rsidP="00EA5CE7">
      <w:pPr>
        <w:pStyle w:val="Prrafodelista"/>
        <w:spacing w:after="0" w:line="240" w:lineRule="auto"/>
        <w:rPr>
          <w:rFonts w:ascii="ITC Avant Garde" w:hAnsi="ITC Avant Garde" w:cs="Arial"/>
          <w:color w:val="000000"/>
          <w:sz w:val="20"/>
          <w:szCs w:val="20"/>
        </w:rPr>
      </w:pPr>
    </w:p>
    <w:p w14:paraId="75E0A311" w14:textId="77777777" w:rsidR="003F5188" w:rsidRPr="001C153C" w:rsidRDefault="00D26D08" w:rsidP="00EA5CE7">
      <w:pPr>
        <w:pStyle w:val="Prrafodelista"/>
        <w:numPr>
          <w:ilvl w:val="0"/>
          <w:numId w:val="23"/>
        </w:numPr>
        <w:spacing w:after="0" w:line="240" w:lineRule="auto"/>
        <w:ind w:left="426" w:hanging="426"/>
        <w:jc w:val="both"/>
        <w:rPr>
          <w:rFonts w:ascii="ITC Avant Garde" w:hAnsi="ITC Avant Garde" w:cs="Arial"/>
          <w:sz w:val="20"/>
          <w:szCs w:val="20"/>
        </w:rPr>
      </w:pPr>
      <w:r w:rsidRPr="001C153C">
        <w:rPr>
          <w:rFonts w:ascii="ITC Avant Garde" w:hAnsi="ITC Avant Garde" w:cs="Arial"/>
          <w:b/>
          <w:sz w:val="20"/>
          <w:szCs w:val="20"/>
        </w:rPr>
        <w:t>Unidad responsable de la consulta pública:</w:t>
      </w:r>
      <w:r w:rsidRPr="001C153C">
        <w:rPr>
          <w:rFonts w:ascii="ITC Avant Garde" w:hAnsi="ITC Avant Garde" w:cs="Arial"/>
          <w:sz w:val="20"/>
          <w:szCs w:val="20"/>
        </w:rPr>
        <w:t xml:space="preserve"> </w:t>
      </w:r>
    </w:p>
    <w:p w14:paraId="69712419" w14:textId="77777777" w:rsidR="008E5F62" w:rsidRPr="001C153C" w:rsidRDefault="008E5F62" w:rsidP="008E5F62">
      <w:pPr>
        <w:pStyle w:val="Prrafodelista"/>
        <w:spacing w:after="0" w:line="240" w:lineRule="auto"/>
        <w:ind w:left="426"/>
        <w:jc w:val="both"/>
        <w:rPr>
          <w:rFonts w:ascii="ITC Avant Garde" w:hAnsi="ITC Avant Garde" w:cs="Arial"/>
          <w:sz w:val="20"/>
          <w:szCs w:val="20"/>
        </w:rPr>
      </w:pPr>
    </w:p>
    <w:p w14:paraId="36FEAE3D" w14:textId="67526105" w:rsidR="00D26D08" w:rsidRDefault="00D26D08" w:rsidP="00EA5CE7">
      <w:pPr>
        <w:spacing w:after="0" w:line="240" w:lineRule="auto"/>
        <w:jc w:val="both"/>
        <w:rPr>
          <w:rFonts w:ascii="ITC Avant Garde" w:hAnsi="ITC Avant Garde" w:cs="Arial"/>
          <w:sz w:val="20"/>
          <w:szCs w:val="20"/>
        </w:rPr>
      </w:pPr>
      <w:r w:rsidRPr="001C153C">
        <w:rPr>
          <w:rFonts w:ascii="ITC Avant Garde" w:hAnsi="ITC Avant Garde" w:cs="Arial"/>
          <w:sz w:val="20"/>
          <w:szCs w:val="20"/>
        </w:rPr>
        <w:t xml:space="preserve">Unidad de Espectro Radioeléctrico </w:t>
      </w:r>
      <w:r w:rsidR="003F5188" w:rsidRPr="001C153C">
        <w:rPr>
          <w:rFonts w:ascii="ITC Avant Garde" w:hAnsi="ITC Avant Garde" w:cs="Arial"/>
          <w:sz w:val="20"/>
          <w:szCs w:val="20"/>
        </w:rPr>
        <w:t xml:space="preserve">del Instituto </w:t>
      </w:r>
      <w:r w:rsidRPr="001C153C">
        <w:rPr>
          <w:rFonts w:ascii="ITC Avant Garde" w:hAnsi="ITC Avant Garde" w:cs="Arial"/>
          <w:sz w:val="20"/>
          <w:szCs w:val="20"/>
        </w:rPr>
        <w:t>(UER).</w:t>
      </w:r>
    </w:p>
    <w:p w14:paraId="5E60E796" w14:textId="77777777" w:rsidR="00EA5CE7" w:rsidRPr="001C153C" w:rsidRDefault="00EA5CE7" w:rsidP="00EA5CE7">
      <w:pPr>
        <w:spacing w:after="0" w:line="240" w:lineRule="auto"/>
        <w:jc w:val="both"/>
        <w:rPr>
          <w:rFonts w:ascii="ITC Avant Garde" w:hAnsi="ITC Avant Garde" w:cs="Arial"/>
          <w:sz w:val="20"/>
          <w:szCs w:val="20"/>
        </w:rPr>
      </w:pPr>
    </w:p>
    <w:p w14:paraId="5660B757" w14:textId="77777777" w:rsidR="003F5188" w:rsidRPr="001C153C" w:rsidRDefault="00D26D08" w:rsidP="00EA5CE7">
      <w:pPr>
        <w:pStyle w:val="Prrafodelista"/>
        <w:numPr>
          <w:ilvl w:val="0"/>
          <w:numId w:val="23"/>
        </w:numPr>
        <w:spacing w:after="0" w:line="240" w:lineRule="auto"/>
        <w:ind w:left="426" w:hanging="426"/>
        <w:jc w:val="both"/>
        <w:rPr>
          <w:rFonts w:ascii="ITC Avant Garde" w:hAnsi="ITC Avant Garde" w:cs="Arial"/>
          <w:color w:val="000000"/>
          <w:sz w:val="20"/>
          <w:szCs w:val="20"/>
        </w:rPr>
      </w:pPr>
      <w:r w:rsidRPr="001C153C">
        <w:rPr>
          <w:rFonts w:ascii="ITC Avant Garde" w:hAnsi="ITC Avant Garde" w:cs="Arial"/>
          <w:b/>
          <w:sz w:val="20"/>
          <w:szCs w:val="20"/>
        </w:rPr>
        <w:t>Descripción de l</w:t>
      </w:r>
      <w:r w:rsidR="00CE4F46" w:rsidRPr="001C153C">
        <w:rPr>
          <w:rFonts w:ascii="ITC Avant Garde" w:hAnsi="ITC Avant Garde" w:cs="Arial"/>
          <w:b/>
          <w:sz w:val="20"/>
          <w:szCs w:val="20"/>
        </w:rPr>
        <w:t>a</w:t>
      </w:r>
      <w:r w:rsidRPr="001C153C">
        <w:rPr>
          <w:rFonts w:ascii="ITC Avant Garde" w:hAnsi="ITC Avant Garde" w:cs="Arial"/>
          <w:b/>
          <w:sz w:val="20"/>
          <w:szCs w:val="20"/>
        </w:rPr>
        <w:t>s participa</w:t>
      </w:r>
      <w:r w:rsidR="00CE4F46" w:rsidRPr="001C153C">
        <w:rPr>
          <w:rFonts w:ascii="ITC Avant Garde" w:hAnsi="ITC Avant Garde" w:cs="Arial"/>
          <w:b/>
          <w:sz w:val="20"/>
          <w:szCs w:val="20"/>
        </w:rPr>
        <w:t>ciones</w:t>
      </w:r>
      <w:r w:rsidRPr="001C153C">
        <w:rPr>
          <w:rFonts w:ascii="ITC Avant Garde" w:hAnsi="ITC Avant Garde" w:cs="Arial"/>
          <w:b/>
          <w:sz w:val="20"/>
          <w:szCs w:val="20"/>
        </w:rPr>
        <w:t xml:space="preserve"> en la consulta pública: </w:t>
      </w:r>
    </w:p>
    <w:p w14:paraId="70D838C7" w14:textId="77777777" w:rsidR="008E5F62" w:rsidRPr="001C153C" w:rsidRDefault="008E5F62" w:rsidP="008E5F62">
      <w:pPr>
        <w:pStyle w:val="Prrafodelista"/>
        <w:spacing w:after="0" w:line="240" w:lineRule="auto"/>
        <w:ind w:left="426"/>
        <w:jc w:val="both"/>
        <w:rPr>
          <w:rFonts w:ascii="ITC Avant Garde" w:hAnsi="ITC Avant Garde" w:cs="Arial"/>
          <w:color w:val="000000"/>
          <w:sz w:val="20"/>
          <w:szCs w:val="20"/>
        </w:rPr>
      </w:pPr>
    </w:p>
    <w:p w14:paraId="636F369F" w14:textId="3FD4E789" w:rsidR="00D26D08" w:rsidRDefault="00D26D08" w:rsidP="00EA5CE7">
      <w:pPr>
        <w:spacing w:after="0" w:line="240" w:lineRule="auto"/>
        <w:jc w:val="both"/>
        <w:rPr>
          <w:rFonts w:ascii="ITC Avant Garde" w:hAnsi="ITC Avant Garde" w:cs="Arial"/>
          <w:color w:val="000000"/>
          <w:sz w:val="20"/>
          <w:szCs w:val="20"/>
        </w:rPr>
      </w:pPr>
      <w:r w:rsidRPr="001C153C">
        <w:rPr>
          <w:rFonts w:ascii="ITC Avant Garde" w:hAnsi="ITC Avant Garde" w:cs="Arial"/>
          <w:sz w:val="20"/>
          <w:szCs w:val="20"/>
        </w:rPr>
        <w:t>Con relación a las manifestaciones, opiniones, comentarios y propuestas recibidas</w:t>
      </w:r>
      <w:r w:rsidRPr="001C153C">
        <w:rPr>
          <w:rFonts w:ascii="ITC Avant Garde" w:hAnsi="ITC Avant Garde" w:cs="Arial"/>
          <w:color w:val="000000"/>
          <w:sz w:val="20"/>
          <w:szCs w:val="20"/>
        </w:rPr>
        <w:t>, respecto al Anteproyecto materia de la consulta pública de mérito, se informa que el Instituto agrupó los comentarios en temas, por lo que, para efectos de su atención, estos han sido resumidos de manera genérica para su mejor identificación.</w:t>
      </w:r>
    </w:p>
    <w:p w14:paraId="65C33D79" w14:textId="77777777" w:rsidR="00EA5CE7" w:rsidRPr="001C153C" w:rsidRDefault="00EA5CE7" w:rsidP="00EA5CE7">
      <w:pPr>
        <w:spacing w:after="0" w:line="240" w:lineRule="auto"/>
        <w:jc w:val="both"/>
        <w:rPr>
          <w:rFonts w:ascii="ITC Avant Garde" w:hAnsi="ITC Avant Garde" w:cs="Arial"/>
          <w:color w:val="000000"/>
          <w:sz w:val="20"/>
          <w:szCs w:val="20"/>
        </w:rPr>
      </w:pPr>
    </w:p>
    <w:p w14:paraId="253A040E" w14:textId="2D163889" w:rsidR="00E51E3C" w:rsidRDefault="00E51E3C" w:rsidP="00EA5CE7">
      <w:pPr>
        <w:spacing w:after="0" w:line="240" w:lineRule="auto"/>
        <w:jc w:val="both"/>
        <w:rPr>
          <w:rFonts w:ascii="ITC Avant Garde" w:hAnsi="ITC Avant Garde" w:cs="Arial"/>
          <w:color w:val="000000"/>
          <w:sz w:val="20"/>
          <w:szCs w:val="20"/>
        </w:rPr>
      </w:pPr>
      <w:r w:rsidRPr="006C0EE4">
        <w:rPr>
          <w:rFonts w:ascii="ITC Avant Garde" w:hAnsi="ITC Avant Garde" w:cs="Arial"/>
          <w:color w:val="000000"/>
          <w:sz w:val="20"/>
          <w:szCs w:val="20"/>
        </w:rPr>
        <w:t>Durante el período de Consulta Pública</w:t>
      </w:r>
      <w:r w:rsidR="00D26D08" w:rsidRPr="006C0EE4">
        <w:rPr>
          <w:rFonts w:ascii="ITC Avant Garde" w:hAnsi="ITC Avant Garde" w:cs="Arial"/>
          <w:color w:val="000000"/>
          <w:sz w:val="20"/>
          <w:szCs w:val="20"/>
        </w:rPr>
        <w:t xml:space="preserve"> se </w:t>
      </w:r>
      <w:r w:rsidR="00077B99" w:rsidRPr="006C0EE4">
        <w:rPr>
          <w:rFonts w:ascii="ITC Avant Garde" w:hAnsi="ITC Avant Garde" w:cs="Arial"/>
          <w:color w:val="000000"/>
          <w:sz w:val="20"/>
          <w:szCs w:val="20"/>
        </w:rPr>
        <w:t xml:space="preserve">recibieron un total de </w:t>
      </w:r>
      <w:r w:rsidR="00A1128C" w:rsidRPr="006C0EE4">
        <w:rPr>
          <w:rFonts w:ascii="ITC Avant Garde" w:hAnsi="ITC Avant Garde" w:cs="Arial"/>
          <w:color w:val="000000"/>
          <w:sz w:val="20"/>
          <w:szCs w:val="20"/>
        </w:rPr>
        <w:t>12 (</w:t>
      </w:r>
      <w:r w:rsidR="00077B99" w:rsidRPr="006C0EE4">
        <w:rPr>
          <w:rFonts w:ascii="ITC Avant Garde" w:hAnsi="ITC Avant Garde" w:cs="Arial"/>
          <w:color w:val="000000"/>
          <w:sz w:val="20"/>
          <w:szCs w:val="20"/>
        </w:rPr>
        <w:t>doce</w:t>
      </w:r>
      <w:r w:rsidR="00A1128C" w:rsidRPr="006C0EE4">
        <w:rPr>
          <w:rFonts w:ascii="ITC Avant Garde" w:hAnsi="ITC Avant Garde" w:cs="Arial"/>
          <w:color w:val="000000"/>
          <w:sz w:val="20"/>
          <w:szCs w:val="20"/>
        </w:rPr>
        <w:t>)</w:t>
      </w:r>
      <w:r w:rsidR="00077B99" w:rsidRPr="006C0EE4">
        <w:rPr>
          <w:rFonts w:ascii="ITC Avant Garde" w:hAnsi="ITC Avant Garde" w:cs="Arial"/>
          <w:color w:val="000000"/>
          <w:sz w:val="20"/>
          <w:szCs w:val="20"/>
        </w:rPr>
        <w:t xml:space="preserve"> </w:t>
      </w:r>
      <w:r w:rsidR="00D26D08" w:rsidRPr="006C0EE4">
        <w:rPr>
          <w:rFonts w:ascii="ITC Avant Garde" w:hAnsi="ITC Avant Garde" w:cs="Arial"/>
          <w:color w:val="000000"/>
          <w:sz w:val="20"/>
          <w:szCs w:val="20"/>
        </w:rPr>
        <w:t xml:space="preserve">participaciones </w:t>
      </w:r>
      <w:r w:rsidR="00077B99" w:rsidRPr="006C0EE4">
        <w:rPr>
          <w:rFonts w:ascii="ITC Avant Garde" w:hAnsi="ITC Avant Garde" w:cs="Arial"/>
          <w:color w:val="000000"/>
          <w:sz w:val="20"/>
          <w:szCs w:val="20"/>
        </w:rPr>
        <w:t xml:space="preserve">por parte de </w:t>
      </w:r>
      <w:r w:rsidR="00A1128C" w:rsidRPr="006C0EE4">
        <w:rPr>
          <w:rFonts w:ascii="ITC Avant Garde" w:hAnsi="ITC Avant Garde" w:cs="Arial"/>
          <w:color w:val="000000"/>
          <w:sz w:val="20"/>
          <w:szCs w:val="20"/>
        </w:rPr>
        <w:t>9 (</w:t>
      </w:r>
      <w:r w:rsidR="00077B99" w:rsidRPr="006C0EE4">
        <w:rPr>
          <w:rFonts w:ascii="ITC Avant Garde" w:hAnsi="ITC Avant Garde" w:cs="Arial"/>
          <w:color w:val="000000"/>
          <w:sz w:val="20"/>
          <w:szCs w:val="20"/>
        </w:rPr>
        <w:t>nueve</w:t>
      </w:r>
      <w:r w:rsidR="00A1128C" w:rsidRPr="006C0EE4">
        <w:rPr>
          <w:rFonts w:ascii="ITC Avant Garde" w:hAnsi="ITC Avant Garde" w:cs="Arial"/>
          <w:color w:val="000000"/>
          <w:sz w:val="20"/>
          <w:szCs w:val="20"/>
        </w:rPr>
        <w:t>)</w:t>
      </w:r>
      <w:r w:rsidR="00077B99" w:rsidRPr="006C0EE4">
        <w:rPr>
          <w:rFonts w:ascii="ITC Avant Garde" w:hAnsi="ITC Avant Garde" w:cs="Arial"/>
          <w:color w:val="000000"/>
          <w:sz w:val="20"/>
          <w:szCs w:val="20"/>
        </w:rPr>
        <w:t xml:space="preserve"> personas diferentes, </w:t>
      </w:r>
      <w:r w:rsidR="00D26D08" w:rsidRPr="006C0EE4">
        <w:rPr>
          <w:rFonts w:ascii="ITC Avant Garde" w:hAnsi="ITC Avant Garde" w:cs="Arial"/>
          <w:color w:val="000000"/>
          <w:sz w:val="20"/>
          <w:szCs w:val="20"/>
        </w:rPr>
        <w:t xml:space="preserve">de las cuales </w:t>
      </w:r>
      <w:r w:rsidR="006C0EE4" w:rsidRPr="006C0EE4">
        <w:rPr>
          <w:rFonts w:ascii="ITC Avant Garde" w:hAnsi="ITC Avant Garde" w:cs="Arial"/>
          <w:color w:val="000000"/>
          <w:sz w:val="20"/>
          <w:szCs w:val="20"/>
        </w:rPr>
        <w:t xml:space="preserve">5 (cinco) corresponden a personas físicas y </w:t>
      </w:r>
      <w:r w:rsidR="00A1128C" w:rsidRPr="006C0EE4">
        <w:rPr>
          <w:rFonts w:ascii="ITC Avant Garde" w:hAnsi="ITC Avant Garde" w:cs="Arial"/>
          <w:color w:val="000000"/>
          <w:sz w:val="20"/>
          <w:szCs w:val="20"/>
        </w:rPr>
        <w:t>4 (</w:t>
      </w:r>
      <w:r w:rsidR="00AE6C4A" w:rsidRPr="006C0EE4">
        <w:rPr>
          <w:rFonts w:ascii="ITC Avant Garde" w:hAnsi="ITC Avant Garde" w:cs="Arial"/>
          <w:color w:val="000000"/>
          <w:sz w:val="20"/>
          <w:szCs w:val="20"/>
        </w:rPr>
        <w:t>cuatro</w:t>
      </w:r>
      <w:r w:rsidR="00A1128C" w:rsidRPr="006C0EE4">
        <w:rPr>
          <w:rFonts w:ascii="ITC Avant Garde" w:hAnsi="ITC Avant Garde" w:cs="Arial"/>
          <w:color w:val="000000"/>
          <w:sz w:val="20"/>
          <w:szCs w:val="20"/>
        </w:rPr>
        <w:t>)</w:t>
      </w:r>
      <w:r w:rsidR="00D26D08" w:rsidRPr="006C0EE4">
        <w:rPr>
          <w:rFonts w:ascii="ITC Avant Garde" w:hAnsi="ITC Avant Garde" w:cs="Arial"/>
          <w:color w:val="000000"/>
          <w:sz w:val="20"/>
          <w:szCs w:val="20"/>
        </w:rPr>
        <w:t xml:space="preserve"> a personas morales</w:t>
      </w:r>
      <w:r w:rsidRPr="006C0EE4">
        <w:rPr>
          <w:rFonts w:ascii="ITC Avant Garde" w:hAnsi="ITC Avant Garde" w:cs="Arial"/>
          <w:color w:val="000000"/>
          <w:sz w:val="20"/>
          <w:szCs w:val="20"/>
        </w:rPr>
        <w:t>, como se observa en la tabla siguiente:</w:t>
      </w:r>
    </w:p>
    <w:tbl>
      <w:tblPr>
        <w:tblStyle w:val="Tabladecuadrcula4-nfasis3"/>
        <w:tblpPr w:leftFromText="141" w:rightFromText="141" w:vertAnchor="text" w:horzAnchor="margin" w:tblpXSpec="center" w:tblpY="217"/>
        <w:tblW w:w="0" w:type="auto"/>
        <w:tblLayout w:type="fixed"/>
        <w:tblLook w:val="04A0" w:firstRow="1" w:lastRow="0" w:firstColumn="1" w:lastColumn="0" w:noHBand="0" w:noVBand="1"/>
      </w:tblPr>
      <w:tblGrid>
        <w:gridCol w:w="1282"/>
        <w:gridCol w:w="5523"/>
        <w:gridCol w:w="1276"/>
        <w:gridCol w:w="1134"/>
      </w:tblGrid>
      <w:tr w:rsidR="00DE40EF" w:rsidRPr="00325588" w14:paraId="293E3D3B" w14:textId="77777777" w:rsidTr="00EA5CE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82" w:type="dxa"/>
            <w:vAlign w:val="center"/>
            <w:hideMark/>
          </w:tcPr>
          <w:p w14:paraId="2FE84373" w14:textId="77777777" w:rsidR="00DE40EF" w:rsidRPr="00325588" w:rsidRDefault="00DE40EF" w:rsidP="00EA5CE7">
            <w:pPr>
              <w:jc w:val="center"/>
              <w:rPr>
                <w:rFonts w:ascii="ITC Avant Garde" w:eastAsia="Calibri" w:hAnsi="ITC Avant Garde" w:cs="Arial"/>
                <w:sz w:val="16"/>
                <w:szCs w:val="16"/>
              </w:rPr>
            </w:pPr>
            <w:r w:rsidRPr="00325588">
              <w:rPr>
                <w:rFonts w:ascii="ITC Avant Garde" w:eastAsia="Calibri" w:hAnsi="ITC Avant Garde" w:cs="Arial"/>
                <w:sz w:val="16"/>
                <w:szCs w:val="16"/>
              </w:rPr>
              <w:t>Número consecutivo</w:t>
            </w:r>
          </w:p>
        </w:tc>
        <w:tc>
          <w:tcPr>
            <w:tcW w:w="5523" w:type="dxa"/>
            <w:vAlign w:val="center"/>
            <w:hideMark/>
          </w:tcPr>
          <w:p w14:paraId="7C7061C0" w14:textId="0ED59693" w:rsidR="00DE40EF" w:rsidRPr="00325588" w:rsidRDefault="00DE40EF" w:rsidP="00EA5CE7">
            <w:pPr>
              <w:jc w:val="center"/>
              <w:cnfStyle w:val="100000000000" w:firstRow="1" w:lastRow="0" w:firstColumn="0" w:lastColumn="0" w:oddVBand="0" w:evenVBand="0" w:oddHBand="0" w:evenHBand="0" w:firstRowFirstColumn="0" w:firstRowLastColumn="0" w:lastRowFirstColumn="0" w:lastRowLastColumn="0"/>
              <w:rPr>
                <w:rFonts w:ascii="ITC Avant Garde" w:eastAsia="Calibri" w:hAnsi="ITC Avant Garde" w:cs="Arial"/>
                <w:sz w:val="16"/>
                <w:szCs w:val="16"/>
              </w:rPr>
            </w:pPr>
            <w:r w:rsidRPr="00325588">
              <w:rPr>
                <w:rFonts w:ascii="ITC Avant Garde" w:eastAsia="Calibri" w:hAnsi="ITC Avant Garde" w:cs="Arial"/>
                <w:sz w:val="16"/>
                <w:szCs w:val="16"/>
              </w:rPr>
              <w:t>Nombre o denominación de la persona</w:t>
            </w:r>
            <w:r w:rsidR="00EA5CE7">
              <w:rPr>
                <w:rFonts w:ascii="ITC Avant Garde" w:eastAsia="Calibri" w:hAnsi="ITC Avant Garde" w:cs="Arial"/>
                <w:sz w:val="16"/>
                <w:szCs w:val="16"/>
              </w:rPr>
              <w:t xml:space="preserve"> </w:t>
            </w:r>
            <w:r>
              <w:rPr>
                <w:rFonts w:ascii="ITC Avant Garde" w:eastAsia="Calibri" w:hAnsi="ITC Avant Garde" w:cs="Arial"/>
                <w:sz w:val="16"/>
                <w:szCs w:val="16"/>
              </w:rPr>
              <w:t xml:space="preserve">física o </w:t>
            </w:r>
            <w:r w:rsidRPr="00325588">
              <w:rPr>
                <w:rFonts w:ascii="ITC Avant Garde" w:eastAsia="Calibri" w:hAnsi="ITC Avant Garde" w:cs="Arial"/>
                <w:sz w:val="16"/>
                <w:szCs w:val="16"/>
              </w:rPr>
              <w:t>moral</w:t>
            </w:r>
          </w:p>
        </w:tc>
        <w:tc>
          <w:tcPr>
            <w:tcW w:w="1276" w:type="dxa"/>
            <w:vAlign w:val="center"/>
            <w:hideMark/>
          </w:tcPr>
          <w:p w14:paraId="7E62EDD2" w14:textId="77777777" w:rsidR="00DE40EF" w:rsidRPr="00325588" w:rsidRDefault="00DE40EF" w:rsidP="00EA5CE7">
            <w:pPr>
              <w:jc w:val="center"/>
              <w:cnfStyle w:val="100000000000" w:firstRow="1" w:lastRow="0" w:firstColumn="0" w:lastColumn="0" w:oddVBand="0" w:evenVBand="0" w:oddHBand="0" w:evenHBand="0" w:firstRowFirstColumn="0" w:firstRowLastColumn="0" w:lastRowFirstColumn="0" w:lastRowLastColumn="0"/>
              <w:rPr>
                <w:rFonts w:ascii="ITC Avant Garde" w:eastAsia="Calibri" w:hAnsi="ITC Avant Garde" w:cs="Arial"/>
                <w:sz w:val="16"/>
                <w:szCs w:val="16"/>
              </w:rPr>
            </w:pPr>
            <w:r w:rsidRPr="00325588">
              <w:rPr>
                <w:rFonts w:ascii="ITC Avant Garde" w:eastAsia="Calibri" w:hAnsi="ITC Avant Garde" w:cs="Arial"/>
                <w:sz w:val="16"/>
                <w:szCs w:val="16"/>
              </w:rPr>
              <w:t>Fecha de recepción</w:t>
            </w:r>
          </w:p>
        </w:tc>
        <w:tc>
          <w:tcPr>
            <w:tcW w:w="1134" w:type="dxa"/>
            <w:vAlign w:val="center"/>
            <w:hideMark/>
          </w:tcPr>
          <w:p w14:paraId="344A80DC" w14:textId="77777777" w:rsidR="00DE40EF" w:rsidRPr="00325588" w:rsidRDefault="00DE40EF" w:rsidP="00EA5CE7">
            <w:pPr>
              <w:jc w:val="center"/>
              <w:cnfStyle w:val="100000000000" w:firstRow="1" w:lastRow="0" w:firstColumn="0" w:lastColumn="0" w:oddVBand="0" w:evenVBand="0" w:oddHBand="0" w:evenHBand="0" w:firstRowFirstColumn="0" w:firstRowLastColumn="0" w:lastRowFirstColumn="0" w:lastRowLastColumn="0"/>
              <w:rPr>
                <w:rFonts w:ascii="ITC Avant Garde" w:eastAsia="Calibri" w:hAnsi="ITC Avant Garde" w:cs="Arial"/>
                <w:sz w:val="16"/>
                <w:szCs w:val="16"/>
              </w:rPr>
            </w:pPr>
            <w:r w:rsidRPr="00325588">
              <w:rPr>
                <w:rFonts w:ascii="ITC Avant Garde" w:eastAsia="Calibri" w:hAnsi="ITC Avant Garde" w:cs="Arial"/>
                <w:sz w:val="16"/>
                <w:szCs w:val="16"/>
              </w:rPr>
              <w:t>Hora de recepción</w:t>
            </w:r>
          </w:p>
        </w:tc>
      </w:tr>
      <w:tr w:rsidR="00DE40EF" w:rsidRPr="00325588" w14:paraId="682F552B" w14:textId="77777777" w:rsidTr="00EA5CE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82" w:type="dxa"/>
            <w:vAlign w:val="center"/>
            <w:hideMark/>
          </w:tcPr>
          <w:p w14:paraId="53BFDAF2" w14:textId="77777777" w:rsidR="00DE40EF" w:rsidRPr="00325588" w:rsidRDefault="00DE40EF" w:rsidP="00EA5CE7">
            <w:pPr>
              <w:jc w:val="center"/>
              <w:rPr>
                <w:rFonts w:ascii="ITC Avant Garde" w:eastAsia="Calibri" w:hAnsi="ITC Avant Garde" w:cs="Arial"/>
                <w:sz w:val="16"/>
                <w:szCs w:val="16"/>
              </w:rPr>
            </w:pPr>
            <w:r w:rsidRPr="00325588">
              <w:rPr>
                <w:rFonts w:ascii="ITC Avant Garde" w:eastAsia="Calibri" w:hAnsi="ITC Avant Garde" w:cs="Arial"/>
                <w:sz w:val="16"/>
                <w:szCs w:val="16"/>
              </w:rPr>
              <w:t>1</w:t>
            </w:r>
          </w:p>
        </w:tc>
        <w:tc>
          <w:tcPr>
            <w:tcW w:w="5523" w:type="dxa"/>
            <w:vAlign w:val="center"/>
          </w:tcPr>
          <w:p w14:paraId="023F5FF1" w14:textId="5D29894C" w:rsidR="00DE40EF" w:rsidRPr="00325588" w:rsidRDefault="00DE40EF" w:rsidP="00EA5CE7">
            <w:pPr>
              <w:jc w:val="center"/>
              <w:cnfStyle w:val="000000100000" w:firstRow="0" w:lastRow="0" w:firstColumn="0" w:lastColumn="0" w:oddVBand="0" w:evenVBand="0" w:oddHBand="1" w:evenHBand="0" w:firstRowFirstColumn="0" w:firstRowLastColumn="0" w:lastRowFirstColumn="0" w:lastRowLastColumn="0"/>
              <w:rPr>
                <w:rFonts w:ascii="ITC Avant Garde" w:eastAsia="Calibri" w:hAnsi="ITC Avant Garde" w:cs="Arial"/>
                <w:sz w:val="16"/>
                <w:szCs w:val="16"/>
              </w:rPr>
            </w:pPr>
            <w:r>
              <w:rPr>
                <w:rFonts w:ascii="ITC Avant Garde" w:eastAsia="Calibri" w:hAnsi="ITC Avant Garde" w:cs="Arial"/>
                <w:sz w:val="16"/>
                <w:szCs w:val="16"/>
              </w:rPr>
              <w:t>Cámara Nacional de la Industria Electrónica de Telecomunicaciones y tecnologías de la Información</w:t>
            </w:r>
            <w:r w:rsidR="00EA5CE7">
              <w:rPr>
                <w:rFonts w:ascii="ITC Avant Garde" w:eastAsia="Calibri" w:hAnsi="ITC Avant Garde" w:cs="Arial"/>
                <w:sz w:val="16"/>
                <w:szCs w:val="16"/>
              </w:rPr>
              <w:t xml:space="preserve"> </w:t>
            </w:r>
            <w:r>
              <w:rPr>
                <w:rFonts w:ascii="ITC Avant Garde" w:eastAsia="Calibri" w:hAnsi="ITC Avant Garde" w:cs="Arial"/>
                <w:sz w:val="16"/>
                <w:szCs w:val="16"/>
              </w:rPr>
              <w:t>(CANIETI)</w:t>
            </w:r>
          </w:p>
        </w:tc>
        <w:tc>
          <w:tcPr>
            <w:tcW w:w="1276" w:type="dxa"/>
            <w:vAlign w:val="center"/>
          </w:tcPr>
          <w:p w14:paraId="545054DA" w14:textId="77777777" w:rsidR="00DE40EF" w:rsidRPr="00325588" w:rsidRDefault="00DE40EF" w:rsidP="00EA5CE7">
            <w:pPr>
              <w:jc w:val="center"/>
              <w:cnfStyle w:val="000000100000" w:firstRow="0" w:lastRow="0" w:firstColumn="0" w:lastColumn="0" w:oddVBand="0" w:evenVBand="0" w:oddHBand="1" w:evenHBand="0" w:firstRowFirstColumn="0" w:firstRowLastColumn="0" w:lastRowFirstColumn="0" w:lastRowLastColumn="0"/>
              <w:rPr>
                <w:rFonts w:ascii="ITC Avant Garde" w:eastAsia="Calibri" w:hAnsi="ITC Avant Garde" w:cs="Arial"/>
                <w:sz w:val="16"/>
                <w:szCs w:val="16"/>
              </w:rPr>
            </w:pPr>
            <w:r>
              <w:rPr>
                <w:rFonts w:ascii="ITC Avant Garde" w:eastAsia="Calibri" w:hAnsi="ITC Avant Garde" w:cs="Arial"/>
                <w:sz w:val="16"/>
                <w:szCs w:val="16"/>
              </w:rPr>
              <w:t>11/09/20</w:t>
            </w:r>
          </w:p>
        </w:tc>
        <w:tc>
          <w:tcPr>
            <w:tcW w:w="1134" w:type="dxa"/>
            <w:vAlign w:val="center"/>
          </w:tcPr>
          <w:p w14:paraId="28D400CC" w14:textId="77777777" w:rsidR="00DE40EF" w:rsidRPr="00325588" w:rsidRDefault="00DE40EF" w:rsidP="00EA5CE7">
            <w:pPr>
              <w:jc w:val="center"/>
              <w:cnfStyle w:val="000000100000" w:firstRow="0" w:lastRow="0" w:firstColumn="0" w:lastColumn="0" w:oddVBand="0" w:evenVBand="0" w:oddHBand="1" w:evenHBand="0" w:firstRowFirstColumn="0" w:firstRowLastColumn="0" w:lastRowFirstColumn="0" w:lastRowLastColumn="0"/>
              <w:rPr>
                <w:rFonts w:ascii="ITC Avant Garde" w:eastAsia="Calibri" w:hAnsi="ITC Avant Garde" w:cs="Arial"/>
                <w:sz w:val="16"/>
                <w:szCs w:val="16"/>
              </w:rPr>
            </w:pPr>
            <w:r>
              <w:rPr>
                <w:rFonts w:ascii="ITC Avant Garde" w:eastAsia="Calibri" w:hAnsi="ITC Avant Garde" w:cs="Arial"/>
                <w:sz w:val="16"/>
                <w:szCs w:val="16"/>
              </w:rPr>
              <w:t>12:20</w:t>
            </w:r>
          </w:p>
        </w:tc>
      </w:tr>
      <w:tr w:rsidR="00DE40EF" w:rsidRPr="00325588" w14:paraId="2B8D2F2D" w14:textId="77777777" w:rsidTr="00EA5CE7">
        <w:trPr>
          <w:trHeight w:val="454"/>
        </w:trPr>
        <w:tc>
          <w:tcPr>
            <w:cnfStyle w:val="001000000000" w:firstRow="0" w:lastRow="0" w:firstColumn="1" w:lastColumn="0" w:oddVBand="0" w:evenVBand="0" w:oddHBand="0" w:evenHBand="0" w:firstRowFirstColumn="0" w:firstRowLastColumn="0" w:lastRowFirstColumn="0" w:lastRowLastColumn="0"/>
            <w:tcW w:w="1282" w:type="dxa"/>
            <w:vAlign w:val="center"/>
            <w:hideMark/>
          </w:tcPr>
          <w:p w14:paraId="7AE34243" w14:textId="77777777" w:rsidR="00DE40EF" w:rsidRPr="00325588" w:rsidRDefault="00DE40EF" w:rsidP="00EA5CE7">
            <w:pPr>
              <w:jc w:val="center"/>
              <w:rPr>
                <w:rFonts w:ascii="ITC Avant Garde" w:eastAsia="Calibri" w:hAnsi="ITC Avant Garde" w:cs="Arial"/>
                <w:sz w:val="16"/>
                <w:szCs w:val="16"/>
              </w:rPr>
            </w:pPr>
            <w:r w:rsidRPr="00325588">
              <w:rPr>
                <w:rFonts w:ascii="ITC Avant Garde" w:eastAsia="Calibri" w:hAnsi="ITC Avant Garde" w:cs="Arial"/>
                <w:sz w:val="16"/>
                <w:szCs w:val="16"/>
              </w:rPr>
              <w:t>2</w:t>
            </w:r>
          </w:p>
        </w:tc>
        <w:tc>
          <w:tcPr>
            <w:tcW w:w="5523" w:type="dxa"/>
            <w:vAlign w:val="center"/>
          </w:tcPr>
          <w:p w14:paraId="7B71F6E7" w14:textId="03C70C18" w:rsidR="00DE40EF" w:rsidRPr="00325588" w:rsidRDefault="00DE40EF" w:rsidP="00EA5CE7">
            <w:pPr>
              <w:jc w:val="center"/>
              <w:cnfStyle w:val="000000000000" w:firstRow="0" w:lastRow="0" w:firstColumn="0" w:lastColumn="0" w:oddVBand="0" w:evenVBand="0" w:oddHBand="0" w:evenHBand="0" w:firstRowFirstColumn="0" w:firstRowLastColumn="0" w:lastRowFirstColumn="0" w:lastRowLastColumn="0"/>
              <w:rPr>
                <w:rFonts w:ascii="ITC Avant Garde" w:eastAsia="Calibri" w:hAnsi="ITC Avant Garde" w:cs="Arial"/>
                <w:sz w:val="16"/>
                <w:szCs w:val="16"/>
              </w:rPr>
            </w:pPr>
            <w:r>
              <w:rPr>
                <w:rFonts w:ascii="ITC Avant Garde" w:eastAsia="Calibri" w:hAnsi="ITC Avant Garde" w:cs="Arial"/>
                <w:sz w:val="16"/>
                <w:szCs w:val="16"/>
              </w:rPr>
              <w:t xml:space="preserve">Lucas </w:t>
            </w:r>
            <w:r w:rsidR="00456BB5">
              <w:rPr>
                <w:rFonts w:ascii="ITC Avant Garde" w:eastAsia="Calibri" w:hAnsi="ITC Avant Garde" w:cs="Arial"/>
                <w:sz w:val="16"/>
                <w:szCs w:val="16"/>
              </w:rPr>
              <w:t>Gallitto</w:t>
            </w:r>
          </w:p>
        </w:tc>
        <w:tc>
          <w:tcPr>
            <w:tcW w:w="1276" w:type="dxa"/>
            <w:vAlign w:val="center"/>
          </w:tcPr>
          <w:p w14:paraId="5E19F1C7" w14:textId="77777777" w:rsidR="00DE40EF" w:rsidRPr="00325588" w:rsidRDefault="00DE40EF" w:rsidP="00EA5CE7">
            <w:pPr>
              <w:jc w:val="center"/>
              <w:cnfStyle w:val="000000000000" w:firstRow="0" w:lastRow="0" w:firstColumn="0" w:lastColumn="0" w:oddVBand="0" w:evenVBand="0" w:oddHBand="0" w:evenHBand="0" w:firstRowFirstColumn="0" w:firstRowLastColumn="0" w:lastRowFirstColumn="0" w:lastRowLastColumn="0"/>
              <w:rPr>
                <w:rFonts w:ascii="ITC Avant Garde" w:eastAsia="Calibri" w:hAnsi="ITC Avant Garde" w:cs="Arial"/>
                <w:sz w:val="16"/>
                <w:szCs w:val="16"/>
              </w:rPr>
            </w:pPr>
            <w:r>
              <w:rPr>
                <w:rFonts w:ascii="ITC Avant Garde" w:eastAsia="Calibri" w:hAnsi="ITC Avant Garde" w:cs="Arial"/>
                <w:sz w:val="16"/>
                <w:szCs w:val="16"/>
              </w:rPr>
              <w:t>18/09/20</w:t>
            </w:r>
          </w:p>
        </w:tc>
        <w:tc>
          <w:tcPr>
            <w:tcW w:w="1134" w:type="dxa"/>
            <w:vAlign w:val="center"/>
          </w:tcPr>
          <w:p w14:paraId="245D54DC" w14:textId="77777777" w:rsidR="00DE40EF" w:rsidRPr="00325588" w:rsidRDefault="00DE40EF" w:rsidP="00EA5CE7">
            <w:pPr>
              <w:jc w:val="center"/>
              <w:cnfStyle w:val="000000000000" w:firstRow="0" w:lastRow="0" w:firstColumn="0" w:lastColumn="0" w:oddVBand="0" w:evenVBand="0" w:oddHBand="0" w:evenHBand="0" w:firstRowFirstColumn="0" w:firstRowLastColumn="0" w:lastRowFirstColumn="0" w:lastRowLastColumn="0"/>
              <w:rPr>
                <w:rFonts w:ascii="ITC Avant Garde" w:eastAsia="Calibri" w:hAnsi="ITC Avant Garde" w:cs="Arial"/>
                <w:sz w:val="16"/>
                <w:szCs w:val="16"/>
              </w:rPr>
            </w:pPr>
            <w:r>
              <w:rPr>
                <w:rFonts w:ascii="ITC Avant Garde" w:eastAsia="Calibri" w:hAnsi="ITC Avant Garde" w:cs="Arial"/>
                <w:sz w:val="16"/>
                <w:szCs w:val="16"/>
              </w:rPr>
              <w:t>15:44</w:t>
            </w:r>
          </w:p>
        </w:tc>
      </w:tr>
      <w:tr w:rsidR="00DE40EF" w:rsidRPr="00325588" w14:paraId="2200F5B8" w14:textId="77777777" w:rsidTr="00EA5CE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82" w:type="dxa"/>
            <w:vAlign w:val="center"/>
            <w:hideMark/>
          </w:tcPr>
          <w:p w14:paraId="62578E1D" w14:textId="77777777" w:rsidR="00DE40EF" w:rsidRPr="00325588" w:rsidRDefault="00DE40EF" w:rsidP="00EA5CE7">
            <w:pPr>
              <w:jc w:val="center"/>
              <w:rPr>
                <w:rFonts w:ascii="ITC Avant Garde" w:eastAsia="Calibri" w:hAnsi="ITC Avant Garde" w:cs="Arial"/>
                <w:sz w:val="16"/>
                <w:szCs w:val="16"/>
              </w:rPr>
            </w:pPr>
            <w:r w:rsidRPr="00325588">
              <w:rPr>
                <w:rFonts w:ascii="ITC Avant Garde" w:eastAsia="Calibri" w:hAnsi="ITC Avant Garde" w:cs="Arial"/>
                <w:sz w:val="16"/>
                <w:szCs w:val="16"/>
              </w:rPr>
              <w:t>3</w:t>
            </w:r>
          </w:p>
        </w:tc>
        <w:tc>
          <w:tcPr>
            <w:tcW w:w="5523" w:type="dxa"/>
            <w:vAlign w:val="center"/>
          </w:tcPr>
          <w:p w14:paraId="53F3D449" w14:textId="77777777" w:rsidR="00DE40EF" w:rsidRPr="00325588" w:rsidRDefault="00DE40EF" w:rsidP="00EA5CE7">
            <w:pPr>
              <w:jc w:val="center"/>
              <w:cnfStyle w:val="000000100000" w:firstRow="0" w:lastRow="0" w:firstColumn="0" w:lastColumn="0" w:oddVBand="0" w:evenVBand="0" w:oddHBand="1" w:evenHBand="0" w:firstRowFirstColumn="0" w:firstRowLastColumn="0" w:lastRowFirstColumn="0" w:lastRowLastColumn="0"/>
              <w:rPr>
                <w:rFonts w:ascii="ITC Avant Garde" w:eastAsia="Calibri" w:hAnsi="ITC Avant Garde" w:cs="Arial"/>
                <w:sz w:val="16"/>
                <w:szCs w:val="16"/>
              </w:rPr>
            </w:pPr>
            <w:r>
              <w:rPr>
                <w:rFonts w:ascii="ITC Avant Garde" w:eastAsia="Calibri" w:hAnsi="ITC Avant Garde" w:cs="Arial"/>
                <w:sz w:val="16"/>
                <w:szCs w:val="16"/>
              </w:rPr>
              <w:t>Maryleana Méndez</w:t>
            </w:r>
          </w:p>
        </w:tc>
        <w:tc>
          <w:tcPr>
            <w:tcW w:w="1276" w:type="dxa"/>
            <w:vAlign w:val="center"/>
          </w:tcPr>
          <w:p w14:paraId="4C23E7FC" w14:textId="77777777" w:rsidR="00DE40EF" w:rsidRPr="00325588" w:rsidRDefault="00DE40EF" w:rsidP="00EA5CE7">
            <w:pPr>
              <w:jc w:val="center"/>
              <w:cnfStyle w:val="000000100000" w:firstRow="0" w:lastRow="0" w:firstColumn="0" w:lastColumn="0" w:oddVBand="0" w:evenVBand="0" w:oddHBand="1" w:evenHBand="0" w:firstRowFirstColumn="0" w:firstRowLastColumn="0" w:lastRowFirstColumn="0" w:lastRowLastColumn="0"/>
              <w:rPr>
                <w:rFonts w:ascii="ITC Avant Garde" w:eastAsia="Calibri" w:hAnsi="ITC Avant Garde" w:cs="Arial"/>
                <w:sz w:val="16"/>
                <w:szCs w:val="16"/>
              </w:rPr>
            </w:pPr>
            <w:r>
              <w:rPr>
                <w:rFonts w:ascii="ITC Avant Garde" w:eastAsia="Calibri" w:hAnsi="ITC Avant Garde" w:cs="Arial"/>
                <w:sz w:val="16"/>
                <w:szCs w:val="16"/>
              </w:rPr>
              <w:t>21/09/20</w:t>
            </w:r>
          </w:p>
        </w:tc>
        <w:tc>
          <w:tcPr>
            <w:tcW w:w="1134" w:type="dxa"/>
            <w:vAlign w:val="center"/>
          </w:tcPr>
          <w:p w14:paraId="188784DE" w14:textId="77777777" w:rsidR="00DE40EF" w:rsidRPr="00325588" w:rsidRDefault="00DE40EF" w:rsidP="00EA5CE7">
            <w:pPr>
              <w:jc w:val="center"/>
              <w:cnfStyle w:val="000000100000" w:firstRow="0" w:lastRow="0" w:firstColumn="0" w:lastColumn="0" w:oddVBand="0" w:evenVBand="0" w:oddHBand="1" w:evenHBand="0" w:firstRowFirstColumn="0" w:firstRowLastColumn="0" w:lastRowFirstColumn="0" w:lastRowLastColumn="0"/>
              <w:rPr>
                <w:rFonts w:ascii="ITC Avant Garde" w:eastAsia="Calibri" w:hAnsi="ITC Avant Garde" w:cs="Arial"/>
                <w:sz w:val="16"/>
                <w:szCs w:val="16"/>
              </w:rPr>
            </w:pPr>
            <w:r>
              <w:rPr>
                <w:rFonts w:ascii="ITC Avant Garde" w:eastAsia="Calibri" w:hAnsi="ITC Avant Garde" w:cs="Arial"/>
                <w:sz w:val="16"/>
                <w:szCs w:val="16"/>
              </w:rPr>
              <w:t>17:08</w:t>
            </w:r>
          </w:p>
        </w:tc>
      </w:tr>
      <w:tr w:rsidR="00DE40EF" w:rsidRPr="00325588" w14:paraId="567F82BA" w14:textId="77777777" w:rsidTr="00EA5CE7">
        <w:trPr>
          <w:trHeight w:val="454"/>
        </w:trPr>
        <w:tc>
          <w:tcPr>
            <w:cnfStyle w:val="001000000000" w:firstRow="0" w:lastRow="0" w:firstColumn="1" w:lastColumn="0" w:oddVBand="0" w:evenVBand="0" w:oddHBand="0" w:evenHBand="0" w:firstRowFirstColumn="0" w:firstRowLastColumn="0" w:lastRowFirstColumn="0" w:lastRowLastColumn="0"/>
            <w:tcW w:w="1282" w:type="dxa"/>
            <w:vAlign w:val="center"/>
            <w:hideMark/>
          </w:tcPr>
          <w:p w14:paraId="19DF48BF" w14:textId="77777777" w:rsidR="00DE40EF" w:rsidRPr="00325588" w:rsidRDefault="00DE40EF" w:rsidP="00EA5CE7">
            <w:pPr>
              <w:jc w:val="center"/>
              <w:rPr>
                <w:rFonts w:ascii="ITC Avant Garde" w:eastAsia="Calibri" w:hAnsi="ITC Avant Garde" w:cs="Arial"/>
                <w:sz w:val="16"/>
                <w:szCs w:val="16"/>
              </w:rPr>
            </w:pPr>
            <w:r w:rsidRPr="00325588">
              <w:rPr>
                <w:rFonts w:ascii="ITC Avant Garde" w:eastAsia="Calibri" w:hAnsi="ITC Avant Garde" w:cs="Arial"/>
                <w:sz w:val="16"/>
                <w:szCs w:val="16"/>
              </w:rPr>
              <w:t>4</w:t>
            </w:r>
          </w:p>
        </w:tc>
        <w:tc>
          <w:tcPr>
            <w:tcW w:w="5523" w:type="dxa"/>
            <w:vAlign w:val="center"/>
          </w:tcPr>
          <w:p w14:paraId="25F68401" w14:textId="77777777" w:rsidR="00DE40EF" w:rsidRPr="00325588" w:rsidRDefault="00DE40EF" w:rsidP="00EA5CE7">
            <w:pPr>
              <w:jc w:val="center"/>
              <w:cnfStyle w:val="000000000000" w:firstRow="0" w:lastRow="0" w:firstColumn="0" w:lastColumn="0" w:oddVBand="0" w:evenVBand="0" w:oddHBand="0" w:evenHBand="0" w:firstRowFirstColumn="0" w:firstRowLastColumn="0" w:lastRowFirstColumn="0" w:lastRowLastColumn="0"/>
              <w:rPr>
                <w:rFonts w:ascii="ITC Avant Garde" w:eastAsia="Calibri" w:hAnsi="ITC Avant Garde" w:cs="Arial"/>
                <w:sz w:val="16"/>
                <w:szCs w:val="16"/>
              </w:rPr>
            </w:pPr>
            <w:r w:rsidRPr="000174A5">
              <w:rPr>
                <w:rFonts w:ascii="ITC Avant Garde" w:eastAsia="Calibri" w:hAnsi="ITC Avant Garde" w:cs="Arial"/>
                <w:sz w:val="16"/>
                <w:szCs w:val="16"/>
              </w:rPr>
              <w:t>Miguel Tentei Cortés Solórzano</w:t>
            </w:r>
          </w:p>
        </w:tc>
        <w:tc>
          <w:tcPr>
            <w:tcW w:w="1276" w:type="dxa"/>
            <w:vAlign w:val="center"/>
          </w:tcPr>
          <w:p w14:paraId="7D32F22D" w14:textId="77777777" w:rsidR="00DE40EF" w:rsidRPr="00325588" w:rsidRDefault="00DE40EF" w:rsidP="00EA5CE7">
            <w:pPr>
              <w:jc w:val="center"/>
              <w:cnfStyle w:val="000000000000" w:firstRow="0" w:lastRow="0" w:firstColumn="0" w:lastColumn="0" w:oddVBand="0" w:evenVBand="0" w:oddHBand="0" w:evenHBand="0" w:firstRowFirstColumn="0" w:firstRowLastColumn="0" w:lastRowFirstColumn="0" w:lastRowLastColumn="0"/>
              <w:rPr>
                <w:rFonts w:ascii="ITC Avant Garde" w:eastAsia="Calibri" w:hAnsi="ITC Avant Garde" w:cs="Arial"/>
                <w:sz w:val="16"/>
                <w:szCs w:val="16"/>
              </w:rPr>
            </w:pPr>
            <w:r>
              <w:rPr>
                <w:rFonts w:ascii="ITC Avant Garde" w:eastAsia="Calibri" w:hAnsi="ITC Avant Garde" w:cs="Arial"/>
                <w:sz w:val="16"/>
                <w:szCs w:val="16"/>
              </w:rPr>
              <w:t>23/09/20</w:t>
            </w:r>
          </w:p>
        </w:tc>
        <w:tc>
          <w:tcPr>
            <w:tcW w:w="1134" w:type="dxa"/>
            <w:vAlign w:val="center"/>
          </w:tcPr>
          <w:p w14:paraId="2681A40E" w14:textId="77777777" w:rsidR="00DE40EF" w:rsidRPr="00325588" w:rsidRDefault="00DE40EF" w:rsidP="00EA5CE7">
            <w:pPr>
              <w:jc w:val="center"/>
              <w:cnfStyle w:val="000000000000" w:firstRow="0" w:lastRow="0" w:firstColumn="0" w:lastColumn="0" w:oddVBand="0" w:evenVBand="0" w:oddHBand="0" w:evenHBand="0" w:firstRowFirstColumn="0" w:firstRowLastColumn="0" w:lastRowFirstColumn="0" w:lastRowLastColumn="0"/>
              <w:rPr>
                <w:rFonts w:ascii="ITC Avant Garde" w:eastAsia="Calibri" w:hAnsi="ITC Avant Garde" w:cs="Arial"/>
                <w:sz w:val="16"/>
                <w:szCs w:val="16"/>
              </w:rPr>
            </w:pPr>
            <w:r>
              <w:rPr>
                <w:rFonts w:ascii="ITC Avant Garde" w:eastAsia="Calibri" w:hAnsi="ITC Avant Garde" w:cs="Arial"/>
                <w:sz w:val="16"/>
                <w:szCs w:val="16"/>
              </w:rPr>
              <w:t>23:29</w:t>
            </w:r>
          </w:p>
        </w:tc>
      </w:tr>
      <w:tr w:rsidR="00DE40EF" w:rsidRPr="00325588" w14:paraId="127FB18C" w14:textId="77777777" w:rsidTr="00EA5CE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82" w:type="dxa"/>
            <w:vAlign w:val="center"/>
            <w:hideMark/>
          </w:tcPr>
          <w:p w14:paraId="74C70B02" w14:textId="77777777" w:rsidR="00DE40EF" w:rsidRPr="00325588" w:rsidRDefault="00DE40EF" w:rsidP="00EA5CE7">
            <w:pPr>
              <w:jc w:val="center"/>
              <w:rPr>
                <w:rFonts w:ascii="ITC Avant Garde" w:eastAsia="Calibri" w:hAnsi="ITC Avant Garde" w:cs="Arial"/>
                <w:sz w:val="16"/>
                <w:szCs w:val="16"/>
              </w:rPr>
            </w:pPr>
            <w:r w:rsidRPr="00325588">
              <w:rPr>
                <w:rFonts w:ascii="ITC Avant Garde" w:eastAsia="Calibri" w:hAnsi="ITC Avant Garde" w:cs="Arial"/>
                <w:sz w:val="16"/>
                <w:szCs w:val="16"/>
              </w:rPr>
              <w:t>5</w:t>
            </w:r>
          </w:p>
        </w:tc>
        <w:tc>
          <w:tcPr>
            <w:tcW w:w="5523" w:type="dxa"/>
            <w:vAlign w:val="center"/>
          </w:tcPr>
          <w:p w14:paraId="12FE4C15" w14:textId="77777777" w:rsidR="00DE40EF" w:rsidRPr="00325588" w:rsidRDefault="00DE40EF" w:rsidP="00EA5CE7">
            <w:pPr>
              <w:jc w:val="center"/>
              <w:cnfStyle w:val="000000100000" w:firstRow="0" w:lastRow="0" w:firstColumn="0" w:lastColumn="0" w:oddVBand="0" w:evenVBand="0" w:oddHBand="1" w:evenHBand="0" w:firstRowFirstColumn="0" w:firstRowLastColumn="0" w:lastRowFirstColumn="0" w:lastRowLastColumn="0"/>
              <w:rPr>
                <w:rFonts w:ascii="ITC Avant Garde" w:eastAsia="Calibri" w:hAnsi="ITC Avant Garde" w:cs="Arial"/>
                <w:sz w:val="16"/>
                <w:szCs w:val="16"/>
              </w:rPr>
            </w:pPr>
            <w:r>
              <w:rPr>
                <w:rFonts w:ascii="ITC Avant Garde" w:eastAsia="Calibri" w:hAnsi="ITC Avant Garde" w:cs="Arial"/>
                <w:sz w:val="16"/>
                <w:szCs w:val="16"/>
              </w:rPr>
              <w:t>José Otero</w:t>
            </w:r>
          </w:p>
        </w:tc>
        <w:tc>
          <w:tcPr>
            <w:tcW w:w="1276" w:type="dxa"/>
            <w:vAlign w:val="center"/>
          </w:tcPr>
          <w:p w14:paraId="40B97AF3" w14:textId="77777777" w:rsidR="00DE40EF" w:rsidRPr="00325588" w:rsidRDefault="00DE40EF" w:rsidP="00EA5CE7">
            <w:pPr>
              <w:jc w:val="center"/>
              <w:cnfStyle w:val="000000100000" w:firstRow="0" w:lastRow="0" w:firstColumn="0" w:lastColumn="0" w:oddVBand="0" w:evenVBand="0" w:oddHBand="1" w:evenHBand="0" w:firstRowFirstColumn="0" w:firstRowLastColumn="0" w:lastRowFirstColumn="0" w:lastRowLastColumn="0"/>
              <w:rPr>
                <w:rFonts w:ascii="ITC Avant Garde" w:eastAsia="Calibri" w:hAnsi="ITC Avant Garde" w:cs="Arial"/>
                <w:sz w:val="16"/>
                <w:szCs w:val="16"/>
              </w:rPr>
            </w:pPr>
            <w:r>
              <w:rPr>
                <w:rFonts w:ascii="ITC Avant Garde" w:eastAsia="Calibri" w:hAnsi="ITC Avant Garde" w:cs="Arial"/>
                <w:sz w:val="16"/>
                <w:szCs w:val="16"/>
              </w:rPr>
              <w:t>25/09/20</w:t>
            </w:r>
          </w:p>
        </w:tc>
        <w:tc>
          <w:tcPr>
            <w:tcW w:w="1134" w:type="dxa"/>
            <w:vAlign w:val="center"/>
          </w:tcPr>
          <w:p w14:paraId="26AE9465" w14:textId="77777777" w:rsidR="00DE40EF" w:rsidRPr="00325588" w:rsidRDefault="00DE40EF" w:rsidP="00EA5CE7">
            <w:pPr>
              <w:jc w:val="center"/>
              <w:cnfStyle w:val="000000100000" w:firstRow="0" w:lastRow="0" w:firstColumn="0" w:lastColumn="0" w:oddVBand="0" w:evenVBand="0" w:oddHBand="1" w:evenHBand="0" w:firstRowFirstColumn="0" w:firstRowLastColumn="0" w:lastRowFirstColumn="0" w:lastRowLastColumn="0"/>
              <w:rPr>
                <w:rFonts w:ascii="ITC Avant Garde" w:eastAsia="Calibri" w:hAnsi="ITC Avant Garde" w:cs="Arial"/>
                <w:sz w:val="16"/>
                <w:szCs w:val="16"/>
              </w:rPr>
            </w:pPr>
            <w:r>
              <w:rPr>
                <w:rFonts w:ascii="ITC Avant Garde" w:eastAsia="Calibri" w:hAnsi="ITC Avant Garde" w:cs="Arial"/>
                <w:sz w:val="16"/>
                <w:szCs w:val="16"/>
              </w:rPr>
              <w:t>14:36</w:t>
            </w:r>
          </w:p>
        </w:tc>
      </w:tr>
      <w:tr w:rsidR="00DE40EF" w:rsidRPr="00325588" w14:paraId="2390CDB3" w14:textId="77777777" w:rsidTr="00EA5CE7">
        <w:trPr>
          <w:trHeight w:val="454"/>
        </w:trPr>
        <w:tc>
          <w:tcPr>
            <w:cnfStyle w:val="001000000000" w:firstRow="0" w:lastRow="0" w:firstColumn="1" w:lastColumn="0" w:oddVBand="0" w:evenVBand="0" w:oddHBand="0" w:evenHBand="0" w:firstRowFirstColumn="0" w:firstRowLastColumn="0" w:lastRowFirstColumn="0" w:lastRowLastColumn="0"/>
            <w:tcW w:w="1282" w:type="dxa"/>
            <w:vAlign w:val="center"/>
            <w:hideMark/>
          </w:tcPr>
          <w:p w14:paraId="47CB0CF1" w14:textId="77777777" w:rsidR="00DE40EF" w:rsidRPr="00325588" w:rsidRDefault="00DE40EF" w:rsidP="00EA5CE7">
            <w:pPr>
              <w:jc w:val="center"/>
              <w:rPr>
                <w:rFonts w:ascii="ITC Avant Garde" w:eastAsia="Calibri" w:hAnsi="ITC Avant Garde" w:cs="Arial"/>
                <w:sz w:val="16"/>
                <w:szCs w:val="16"/>
              </w:rPr>
            </w:pPr>
            <w:r w:rsidRPr="00325588">
              <w:rPr>
                <w:rFonts w:ascii="ITC Avant Garde" w:eastAsia="Calibri" w:hAnsi="ITC Avant Garde" w:cs="Arial"/>
                <w:sz w:val="16"/>
                <w:szCs w:val="16"/>
              </w:rPr>
              <w:t>6</w:t>
            </w:r>
          </w:p>
        </w:tc>
        <w:tc>
          <w:tcPr>
            <w:tcW w:w="5523" w:type="dxa"/>
            <w:vAlign w:val="center"/>
          </w:tcPr>
          <w:p w14:paraId="53BC6586" w14:textId="77777777" w:rsidR="00DE40EF" w:rsidRPr="00325588" w:rsidRDefault="00DE40EF" w:rsidP="00EA5CE7">
            <w:pPr>
              <w:jc w:val="center"/>
              <w:cnfStyle w:val="000000000000" w:firstRow="0" w:lastRow="0" w:firstColumn="0" w:lastColumn="0" w:oddVBand="0" w:evenVBand="0" w:oddHBand="0" w:evenHBand="0" w:firstRowFirstColumn="0" w:firstRowLastColumn="0" w:lastRowFirstColumn="0" w:lastRowLastColumn="0"/>
              <w:rPr>
                <w:rFonts w:ascii="ITC Avant Garde" w:eastAsia="Calibri" w:hAnsi="ITC Avant Garde" w:cs="Arial"/>
                <w:sz w:val="16"/>
                <w:szCs w:val="16"/>
              </w:rPr>
            </w:pPr>
            <w:r>
              <w:rPr>
                <w:rFonts w:ascii="ITC Avant Garde" w:eastAsia="Calibri" w:hAnsi="ITC Avant Garde" w:cs="Arial"/>
                <w:sz w:val="16"/>
                <w:szCs w:val="16"/>
              </w:rPr>
              <w:t>Isaid Arellano Valencia</w:t>
            </w:r>
          </w:p>
        </w:tc>
        <w:tc>
          <w:tcPr>
            <w:tcW w:w="1276" w:type="dxa"/>
            <w:vAlign w:val="center"/>
          </w:tcPr>
          <w:p w14:paraId="7D8F95B3" w14:textId="77777777" w:rsidR="00DE40EF" w:rsidRPr="00325588" w:rsidRDefault="00DE40EF" w:rsidP="00EA5CE7">
            <w:pPr>
              <w:jc w:val="center"/>
              <w:cnfStyle w:val="000000000000" w:firstRow="0" w:lastRow="0" w:firstColumn="0" w:lastColumn="0" w:oddVBand="0" w:evenVBand="0" w:oddHBand="0" w:evenHBand="0" w:firstRowFirstColumn="0" w:firstRowLastColumn="0" w:lastRowFirstColumn="0" w:lastRowLastColumn="0"/>
              <w:rPr>
                <w:rFonts w:ascii="ITC Avant Garde" w:eastAsia="Calibri" w:hAnsi="ITC Avant Garde" w:cs="Arial"/>
                <w:sz w:val="16"/>
                <w:szCs w:val="16"/>
              </w:rPr>
            </w:pPr>
            <w:r>
              <w:rPr>
                <w:rFonts w:ascii="ITC Avant Garde" w:eastAsia="Calibri" w:hAnsi="ITC Avant Garde" w:cs="Arial"/>
                <w:sz w:val="16"/>
                <w:szCs w:val="16"/>
              </w:rPr>
              <w:t>16/10/20</w:t>
            </w:r>
          </w:p>
        </w:tc>
        <w:tc>
          <w:tcPr>
            <w:tcW w:w="1134" w:type="dxa"/>
            <w:vAlign w:val="center"/>
          </w:tcPr>
          <w:p w14:paraId="086EF3EF" w14:textId="77777777" w:rsidR="00DE40EF" w:rsidRPr="00325588" w:rsidRDefault="00DE40EF" w:rsidP="00EA5CE7">
            <w:pPr>
              <w:jc w:val="center"/>
              <w:cnfStyle w:val="000000000000" w:firstRow="0" w:lastRow="0" w:firstColumn="0" w:lastColumn="0" w:oddVBand="0" w:evenVBand="0" w:oddHBand="0" w:evenHBand="0" w:firstRowFirstColumn="0" w:firstRowLastColumn="0" w:lastRowFirstColumn="0" w:lastRowLastColumn="0"/>
              <w:rPr>
                <w:rFonts w:ascii="ITC Avant Garde" w:eastAsia="Calibri" w:hAnsi="ITC Avant Garde" w:cs="Arial"/>
                <w:sz w:val="16"/>
                <w:szCs w:val="16"/>
              </w:rPr>
            </w:pPr>
            <w:r>
              <w:rPr>
                <w:rFonts w:ascii="ITC Avant Garde" w:eastAsia="Calibri" w:hAnsi="ITC Avant Garde" w:cs="Arial"/>
                <w:sz w:val="16"/>
                <w:szCs w:val="16"/>
              </w:rPr>
              <w:t>22:54</w:t>
            </w:r>
          </w:p>
        </w:tc>
      </w:tr>
      <w:tr w:rsidR="00DE40EF" w:rsidRPr="00325588" w14:paraId="67D3144B" w14:textId="77777777" w:rsidTr="00EA5CE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82" w:type="dxa"/>
            <w:vAlign w:val="center"/>
            <w:hideMark/>
          </w:tcPr>
          <w:p w14:paraId="05301683" w14:textId="77777777" w:rsidR="00DE40EF" w:rsidRPr="00325588" w:rsidRDefault="00DE40EF" w:rsidP="00EA5CE7">
            <w:pPr>
              <w:jc w:val="center"/>
              <w:rPr>
                <w:rFonts w:ascii="ITC Avant Garde" w:eastAsia="Calibri" w:hAnsi="ITC Avant Garde" w:cs="Arial"/>
                <w:sz w:val="16"/>
                <w:szCs w:val="16"/>
              </w:rPr>
            </w:pPr>
            <w:r w:rsidRPr="00325588">
              <w:rPr>
                <w:rFonts w:ascii="ITC Avant Garde" w:eastAsia="Calibri" w:hAnsi="ITC Avant Garde" w:cs="Arial"/>
                <w:sz w:val="16"/>
                <w:szCs w:val="16"/>
              </w:rPr>
              <w:t>7</w:t>
            </w:r>
          </w:p>
        </w:tc>
        <w:tc>
          <w:tcPr>
            <w:tcW w:w="5523" w:type="dxa"/>
            <w:vAlign w:val="center"/>
          </w:tcPr>
          <w:p w14:paraId="20DC41D6" w14:textId="77777777" w:rsidR="00DE40EF" w:rsidRPr="00325588" w:rsidRDefault="00DE40EF" w:rsidP="00EA5CE7">
            <w:pPr>
              <w:jc w:val="center"/>
              <w:cnfStyle w:val="000000100000" w:firstRow="0" w:lastRow="0" w:firstColumn="0" w:lastColumn="0" w:oddVBand="0" w:evenVBand="0" w:oddHBand="1" w:evenHBand="0" w:firstRowFirstColumn="0" w:firstRowLastColumn="0" w:lastRowFirstColumn="0" w:lastRowLastColumn="0"/>
              <w:rPr>
                <w:rFonts w:ascii="ITC Avant Garde" w:eastAsia="Calibri" w:hAnsi="ITC Avant Garde" w:cs="Arial"/>
                <w:sz w:val="16"/>
                <w:szCs w:val="16"/>
              </w:rPr>
            </w:pPr>
            <w:r w:rsidRPr="000174A5">
              <w:rPr>
                <w:rFonts w:ascii="ITC Avant Garde" w:eastAsia="Calibri" w:hAnsi="ITC Avant Garde" w:cs="Arial"/>
                <w:sz w:val="16"/>
                <w:szCs w:val="16"/>
              </w:rPr>
              <w:t>Telecomunicaciones Indígenas Comunitarias, A. C.</w:t>
            </w:r>
          </w:p>
        </w:tc>
        <w:tc>
          <w:tcPr>
            <w:tcW w:w="1276" w:type="dxa"/>
            <w:vAlign w:val="center"/>
          </w:tcPr>
          <w:p w14:paraId="3CD66298" w14:textId="77777777" w:rsidR="00DE40EF" w:rsidRPr="00325588" w:rsidRDefault="00DE40EF" w:rsidP="00EA5CE7">
            <w:pPr>
              <w:jc w:val="center"/>
              <w:cnfStyle w:val="000000100000" w:firstRow="0" w:lastRow="0" w:firstColumn="0" w:lastColumn="0" w:oddVBand="0" w:evenVBand="0" w:oddHBand="1" w:evenHBand="0" w:firstRowFirstColumn="0" w:firstRowLastColumn="0" w:lastRowFirstColumn="0" w:lastRowLastColumn="0"/>
              <w:rPr>
                <w:rFonts w:ascii="ITC Avant Garde" w:eastAsia="Calibri" w:hAnsi="ITC Avant Garde" w:cs="Arial"/>
                <w:sz w:val="16"/>
                <w:szCs w:val="16"/>
              </w:rPr>
            </w:pPr>
            <w:r>
              <w:rPr>
                <w:rFonts w:ascii="ITC Avant Garde" w:eastAsia="Calibri" w:hAnsi="ITC Avant Garde" w:cs="Arial"/>
                <w:sz w:val="16"/>
                <w:szCs w:val="16"/>
              </w:rPr>
              <w:t>20/10/20</w:t>
            </w:r>
          </w:p>
        </w:tc>
        <w:tc>
          <w:tcPr>
            <w:tcW w:w="1134" w:type="dxa"/>
            <w:vAlign w:val="center"/>
          </w:tcPr>
          <w:p w14:paraId="07912F5F" w14:textId="77777777" w:rsidR="00DE40EF" w:rsidRPr="00325588" w:rsidRDefault="00DE40EF" w:rsidP="00EA5CE7">
            <w:pPr>
              <w:jc w:val="center"/>
              <w:cnfStyle w:val="000000100000" w:firstRow="0" w:lastRow="0" w:firstColumn="0" w:lastColumn="0" w:oddVBand="0" w:evenVBand="0" w:oddHBand="1" w:evenHBand="0" w:firstRowFirstColumn="0" w:firstRowLastColumn="0" w:lastRowFirstColumn="0" w:lastRowLastColumn="0"/>
              <w:rPr>
                <w:rFonts w:ascii="ITC Avant Garde" w:eastAsia="Calibri" w:hAnsi="ITC Avant Garde" w:cs="Arial"/>
                <w:sz w:val="16"/>
                <w:szCs w:val="16"/>
              </w:rPr>
            </w:pPr>
            <w:r>
              <w:rPr>
                <w:rFonts w:ascii="ITC Avant Garde" w:eastAsia="Calibri" w:hAnsi="ITC Avant Garde" w:cs="Arial"/>
                <w:sz w:val="16"/>
                <w:szCs w:val="16"/>
              </w:rPr>
              <w:t>17:38</w:t>
            </w:r>
          </w:p>
        </w:tc>
      </w:tr>
      <w:tr w:rsidR="00DE40EF" w:rsidRPr="00325588" w14:paraId="0B23E49E" w14:textId="77777777" w:rsidTr="00EA5CE7">
        <w:trPr>
          <w:trHeight w:val="454"/>
        </w:trPr>
        <w:tc>
          <w:tcPr>
            <w:cnfStyle w:val="001000000000" w:firstRow="0" w:lastRow="0" w:firstColumn="1" w:lastColumn="0" w:oddVBand="0" w:evenVBand="0" w:oddHBand="0" w:evenHBand="0" w:firstRowFirstColumn="0" w:firstRowLastColumn="0" w:lastRowFirstColumn="0" w:lastRowLastColumn="0"/>
            <w:tcW w:w="1282" w:type="dxa"/>
            <w:vAlign w:val="center"/>
          </w:tcPr>
          <w:p w14:paraId="27BE77B6" w14:textId="77777777" w:rsidR="00DE40EF" w:rsidRPr="00325588" w:rsidRDefault="00DE40EF" w:rsidP="00EA5CE7">
            <w:pPr>
              <w:jc w:val="center"/>
              <w:rPr>
                <w:rFonts w:ascii="ITC Avant Garde" w:eastAsia="Calibri" w:hAnsi="ITC Avant Garde" w:cs="Arial"/>
                <w:sz w:val="16"/>
                <w:szCs w:val="16"/>
              </w:rPr>
            </w:pPr>
            <w:r>
              <w:rPr>
                <w:rFonts w:ascii="ITC Avant Garde" w:eastAsia="Calibri" w:hAnsi="ITC Avant Garde" w:cs="Arial"/>
                <w:sz w:val="16"/>
                <w:szCs w:val="16"/>
              </w:rPr>
              <w:t>8</w:t>
            </w:r>
          </w:p>
        </w:tc>
        <w:tc>
          <w:tcPr>
            <w:tcW w:w="5523" w:type="dxa"/>
            <w:vAlign w:val="center"/>
          </w:tcPr>
          <w:p w14:paraId="51033B43" w14:textId="77777777" w:rsidR="00DE40EF" w:rsidRPr="000174A5" w:rsidRDefault="00DE40EF" w:rsidP="00EA5CE7">
            <w:pPr>
              <w:jc w:val="center"/>
              <w:cnfStyle w:val="000000000000" w:firstRow="0" w:lastRow="0" w:firstColumn="0" w:lastColumn="0" w:oddVBand="0" w:evenVBand="0" w:oddHBand="0" w:evenHBand="0" w:firstRowFirstColumn="0" w:firstRowLastColumn="0" w:lastRowFirstColumn="0" w:lastRowLastColumn="0"/>
              <w:rPr>
                <w:rFonts w:ascii="ITC Avant Garde" w:eastAsia="Calibri" w:hAnsi="ITC Avant Garde" w:cs="Arial"/>
                <w:sz w:val="16"/>
                <w:szCs w:val="16"/>
              </w:rPr>
            </w:pPr>
            <w:r w:rsidRPr="000174A5">
              <w:rPr>
                <w:rFonts w:ascii="ITC Avant Garde" w:eastAsia="Calibri" w:hAnsi="ITC Avant Garde" w:cs="Arial"/>
                <w:sz w:val="16"/>
                <w:szCs w:val="16"/>
              </w:rPr>
              <w:t>Telecomunicaciones Indígenas Comunitarias, A. C.</w:t>
            </w:r>
          </w:p>
        </w:tc>
        <w:tc>
          <w:tcPr>
            <w:tcW w:w="1276" w:type="dxa"/>
            <w:vAlign w:val="center"/>
          </w:tcPr>
          <w:p w14:paraId="04055162" w14:textId="77777777" w:rsidR="00DE40EF" w:rsidRPr="00325588" w:rsidRDefault="00DE40EF" w:rsidP="00EA5CE7">
            <w:pPr>
              <w:jc w:val="center"/>
              <w:cnfStyle w:val="000000000000" w:firstRow="0" w:lastRow="0" w:firstColumn="0" w:lastColumn="0" w:oddVBand="0" w:evenVBand="0" w:oddHBand="0" w:evenHBand="0" w:firstRowFirstColumn="0" w:firstRowLastColumn="0" w:lastRowFirstColumn="0" w:lastRowLastColumn="0"/>
              <w:rPr>
                <w:rFonts w:ascii="ITC Avant Garde" w:eastAsia="Calibri" w:hAnsi="ITC Avant Garde" w:cs="Arial"/>
                <w:sz w:val="16"/>
                <w:szCs w:val="16"/>
              </w:rPr>
            </w:pPr>
            <w:r>
              <w:rPr>
                <w:rFonts w:ascii="ITC Avant Garde" w:eastAsia="Calibri" w:hAnsi="ITC Avant Garde" w:cs="Arial"/>
                <w:sz w:val="16"/>
                <w:szCs w:val="16"/>
              </w:rPr>
              <w:t>20/10/20</w:t>
            </w:r>
          </w:p>
        </w:tc>
        <w:tc>
          <w:tcPr>
            <w:tcW w:w="1134" w:type="dxa"/>
            <w:vAlign w:val="center"/>
          </w:tcPr>
          <w:p w14:paraId="5B0FE07C" w14:textId="77777777" w:rsidR="00DE40EF" w:rsidRPr="00325588" w:rsidRDefault="00DE40EF" w:rsidP="00EA5CE7">
            <w:pPr>
              <w:jc w:val="center"/>
              <w:cnfStyle w:val="000000000000" w:firstRow="0" w:lastRow="0" w:firstColumn="0" w:lastColumn="0" w:oddVBand="0" w:evenVBand="0" w:oddHBand="0" w:evenHBand="0" w:firstRowFirstColumn="0" w:firstRowLastColumn="0" w:lastRowFirstColumn="0" w:lastRowLastColumn="0"/>
              <w:rPr>
                <w:rFonts w:ascii="ITC Avant Garde" w:eastAsia="Calibri" w:hAnsi="ITC Avant Garde" w:cs="Arial"/>
                <w:sz w:val="16"/>
                <w:szCs w:val="16"/>
              </w:rPr>
            </w:pPr>
            <w:r>
              <w:rPr>
                <w:rFonts w:ascii="ITC Avant Garde" w:eastAsia="Calibri" w:hAnsi="ITC Avant Garde" w:cs="Arial"/>
                <w:sz w:val="16"/>
                <w:szCs w:val="16"/>
              </w:rPr>
              <w:t>17:50</w:t>
            </w:r>
          </w:p>
        </w:tc>
      </w:tr>
      <w:tr w:rsidR="00DE40EF" w:rsidRPr="00325588" w14:paraId="2CD96611" w14:textId="77777777" w:rsidTr="00EA5CE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82" w:type="dxa"/>
            <w:vAlign w:val="center"/>
            <w:hideMark/>
          </w:tcPr>
          <w:p w14:paraId="7B0646A1" w14:textId="77777777" w:rsidR="00DE40EF" w:rsidRPr="00325588" w:rsidRDefault="00DE40EF" w:rsidP="00EA5CE7">
            <w:pPr>
              <w:jc w:val="center"/>
              <w:rPr>
                <w:rFonts w:ascii="ITC Avant Garde" w:eastAsia="Calibri" w:hAnsi="ITC Avant Garde" w:cs="Arial"/>
                <w:sz w:val="16"/>
                <w:szCs w:val="16"/>
              </w:rPr>
            </w:pPr>
            <w:r>
              <w:rPr>
                <w:rFonts w:ascii="ITC Avant Garde" w:eastAsia="Calibri" w:hAnsi="ITC Avant Garde" w:cs="Arial"/>
                <w:sz w:val="16"/>
                <w:szCs w:val="16"/>
              </w:rPr>
              <w:t>9</w:t>
            </w:r>
          </w:p>
        </w:tc>
        <w:tc>
          <w:tcPr>
            <w:tcW w:w="5523" w:type="dxa"/>
            <w:vAlign w:val="center"/>
          </w:tcPr>
          <w:p w14:paraId="3AD08866" w14:textId="77777777" w:rsidR="00DE40EF" w:rsidRPr="00325588" w:rsidRDefault="00DE40EF" w:rsidP="00EA5CE7">
            <w:pPr>
              <w:jc w:val="center"/>
              <w:cnfStyle w:val="000000100000" w:firstRow="0" w:lastRow="0" w:firstColumn="0" w:lastColumn="0" w:oddVBand="0" w:evenVBand="0" w:oddHBand="1" w:evenHBand="0" w:firstRowFirstColumn="0" w:firstRowLastColumn="0" w:lastRowFirstColumn="0" w:lastRowLastColumn="0"/>
              <w:rPr>
                <w:rFonts w:ascii="ITC Avant Garde" w:eastAsia="Calibri" w:hAnsi="ITC Avant Garde" w:cs="Arial"/>
                <w:sz w:val="16"/>
                <w:szCs w:val="16"/>
              </w:rPr>
            </w:pPr>
            <w:r w:rsidRPr="000174A5">
              <w:rPr>
                <w:rFonts w:ascii="ITC Avant Garde" w:eastAsia="Calibri" w:hAnsi="ITC Avant Garde" w:cs="Arial"/>
                <w:sz w:val="16"/>
                <w:szCs w:val="16"/>
              </w:rPr>
              <w:t>Altán Redes, S.A.P.I. de C.V.</w:t>
            </w:r>
          </w:p>
        </w:tc>
        <w:tc>
          <w:tcPr>
            <w:tcW w:w="1276" w:type="dxa"/>
            <w:vAlign w:val="center"/>
          </w:tcPr>
          <w:p w14:paraId="6D0D78E9" w14:textId="77777777" w:rsidR="00DE40EF" w:rsidRPr="00325588" w:rsidRDefault="00DE40EF" w:rsidP="00EA5CE7">
            <w:pPr>
              <w:jc w:val="center"/>
              <w:cnfStyle w:val="000000100000" w:firstRow="0" w:lastRow="0" w:firstColumn="0" w:lastColumn="0" w:oddVBand="0" w:evenVBand="0" w:oddHBand="1" w:evenHBand="0" w:firstRowFirstColumn="0" w:firstRowLastColumn="0" w:lastRowFirstColumn="0" w:lastRowLastColumn="0"/>
              <w:rPr>
                <w:rFonts w:ascii="ITC Avant Garde" w:eastAsia="Calibri" w:hAnsi="ITC Avant Garde" w:cs="Arial"/>
                <w:sz w:val="16"/>
                <w:szCs w:val="16"/>
              </w:rPr>
            </w:pPr>
            <w:r>
              <w:rPr>
                <w:rFonts w:ascii="ITC Avant Garde" w:eastAsia="Calibri" w:hAnsi="ITC Avant Garde" w:cs="Arial"/>
                <w:sz w:val="16"/>
                <w:szCs w:val="16"/>
              </w:rPr>
              <w:t>21/10/20</w:t>
            </w:r>
          </w:p>
        </w:tc>
        <w:tc>
          <w:tcPr>
            <w:tcW w:w="1134" w:type="dxa"/>
            <w:vAlign w:val="center"/>
          </w:tcPr>
          <w:p w14:paraId="38E463E7" w14:textId="77777777" w:rsidR="00DE40EF" w:rsidRPr="00325588" w:rsidRDefault="00DE40EF" w:rsidP="00EA5CE7">
            <w:pPr>
              <w:jc w:val="center"/>
              <w:cnfStyle w:val="000000100000" w:firstRow="0" w:lastRow="0" w:firstColumn="0" w:lastColumn="0" w:oddVBand="0" w:evenVBand="0" w:oddHBand="1" w:evenHBand="0" w:firstRowFirstColumn="0" w:firstRowLastColumn="0" w:lastRowFirstColumn="0" w:lastRowLastColumn="0"/>
              <w:rPr>
                <w:rFonts w:ascii="ITC Avant Garde" w:eastAsia="Calibri" w:hAnsi="ITC Avant Garde" w:cs="Arial"/>
                <w:sz w:val="16"/>
                <w:szCs w:val="16"/>
              </w:rPr>
            </w:pPr>
            <w:r>
              <w:rPr>
                <w:rFonts w:ascii="ITC Avant Garde" w:eastAsia="Calibri" w:hAnsi="ITC Avant Garde" w:cs="Arial"/>
                <w:sz w:val="16"/>
                <w:szCs w:val="16"/>
              </w:rPr>
              <w:t>15:47</w:t>
            </w:r>
          </w:p>
        </w:tc>
      </w:tr>
      <w:tr w:rsidR="00DE40EF" w:rsidRPr="00325588" w14:paraId="4B83A589" w14:textId="77777777" w:rsidTr="00EA5CE7">
        <w:trPr>
          <w:trHeight w:val="454"/>
        </w:trPr>
        <w:tc>
          <w:tcPr>
            <w:cnfStyle w:val="001000000000" w:firstRow="0" w:lastRow="0" w:firstColumn="1" w:lastColumn="0" w:oddVBand="0" w:evenVBand="0" w:oddHBand="0" w:evenHBand="0" w:firstRowFirstColumn="0" w:firstRowLastColumn="0" w:lastRowFirstColumn="0" w:lastRowLastColumn="0"/>
            <w:tcW w:w="1282" w:type="dxa"/>
            <w:vAlign w:val="center"/>
          </w:tcPr>
          <w:p w14:paraId="2B2D6927" w14:textId="77777777" w:rsidR="00DE40EF" w:rsidRPr="00325588" w:rsidRDefault="00DE40EF" w:rsidP="00EA5CE7">
            <w:pPr>
              <w:jc w:val="center"/>
              <w:rPr>
                <w:rFonts w:ascii="ITC Avant Garde" w:eastAsia="Calibri" w:hAnsi="ITC Avant Garde" w:cs="Arial"/>
                <w:sz w:val="16"/>
                <w:szCs w:val="16"/>
              </w:rPr>
            </w:pPr>
            <w:r>
              <w:rPr>
                <w:rFonts w:ascii="ITC Avant Garde" w:eastAsia="Calibri" w:hAnsi="ITC Avant Garde" w:cs="Arial"/>
                <w:sz w:val="16"/>
                <w:szCs w:val="16"/>
              </w:rPr>
              <w:t>10</w:t>
            </w:r>
          </w:p>
        </w:tc>
        <w:tc>
          <w:tcPr>
            <w:tcW w:w="5523" w:type="dxa"/>
            <w:vAlign w:val="center"/>
          </w:tcPr>
          <w:p w14:paraId="0827C1E2" w14:textId="77777777" w:rsidR="00DE40EF" w:rsidRPr="00325588" w:rsidRDefault="00DE40EF" w:rsidP="00EA5CE7">
            <w:pPr>
              <w:jc w:val="center"/>
              <w:cnfStyle w:val="000000000000" w:firstRow="0" w:lastRow="0" w:firstColumn="0" w:lastColumn="0" w:oddVBand="0" w:evenVBand="0" w:oddHBand="0" w:evenHBand="0" w:firstRowFirstColumn="0" w:firstRowLastColumn="0" w:lastRowFirstColumn="0" w:lastRowLastColumn="0"/>
              <w:rPr>
                <w:rFonts w:ascii="ITC Avant Garde" w:eastAsia="Calibri" w:hAnsi="ITC Avant Garde" w:cs="Arial"/>
                <w:sz w:val="16"/>
                <w:szCs w:val="16"/>
              </w:rPr>
            </w:pPr>
            <w:r w:rsidRPr="000174A5">
              <w:rPr>
                <w:rFonts w:ascii="ITC Avant Garde" w:eastAsia="Calibri" w:hAnsi="ITC Avant Garde" w:cs="Arial"/>
                <w:sz w:val="16"/>
                <w:szCs w:val="16"/>
              </w:rPr>
              <w:t xml:space="preserve">AT&amp;T Comunicaciones Digitales, S. de R.L. de C.V., Grupo AT&amp;T Celular, S. de R.L. de C.V., AT&amp;T Norte, S. de R.L. de C.V., AT&amp;T </w:t>
            </w:r>
            <w:r w:rsidRPr="000174A5">
              <w:rPr>
                <w:rFonts w:ascii="ITC Avant Garde" w:eastAsia="Calibri" w:hAnsi="ITC Avant Garde" w:cs="Arial"/>
                <w:sz w:val="16"/>
                <w:szCs w:val="16"/>
              </w:rPr>
              <w:lastRenderedPageBreak/>
              <w:t>Comercialización Móvil, S. de R.L. de C.V. y AT&amp;T Desarrollo en Comunicaciones de México, S. de R.L. de C.V. (AT&amp;T)</w:t>
            </w:r>
          </w:p>
        </w:tc>
        <w:tc>
          <w:tcPr>
            <w:tcW w:w="1276" w:type="dxa"/>
            <w:vAlign w:val="center"/>
          </w:tcPr>
          <w:p w14:paraId="78459DDD" w14:textId="77777777" w:rsidR="00DE40EF" w:rsidRPr="00325588" w:rsidRDefault="00DE40EF" w:rsidP="00EA5CE7">
            <w:pPr>
              <w:jc w:val="center"/>
              <w:cnfStyle w:val="000000000000" w:firstRow="0" w:lastRow="0" w:firstColumn="0" w:lastColumn="0" w:oddVBand="0" w:evenVBand="0" w:oddHBand="0" w:evenHBand="0" w:firstRowFirstColumn="0" w:firstRowLastColumn="0" w:lastRowFirstColumn="0" w:lastRowLastColumn="0"/>
              <w:rPr>
                <w:rFonts w:ascii="ITC Avant Garde" w:eastAsia="Calibri" w:hAnsi="ITC Avant Garde" w:cs="Arial"/>
                <w:sz w:val="16"/>
                <w:szCs w:val="16"/>
              </w:rPr>
            </w:pPr>
            <w:r>
              <w:rPr>
                <w:rFonts w:ascii="ITC Avant Garde" w:eastAsia="Calibri" w:hAnsi="ITC Avant Garde" w:cs="Arial"/>
                <w:sz w:val="16"/>
                <w:szCs w:val="16"/>
              </w:rPr>
              <w:lastRenderedPageBreak/>
              <w:t>21/10/20</w:t>
            </w:r>
          </w:p>
        </w:tc>
        <w:tc>
          <w:tcPr>
            <w:tcW w:w="1134" w:type="dxa"/>
            <w:vAlign w:val="center"/>
          </w:tcPr>
          <w:p w14:paraId="21C63248" w14:textId="77777777" w:rsidR="00DE40EF" w:rsidRPr="00325588" w:rsidRDefault="00DE40EF" w:rsidP="00EA5CE7">
            <w:pPr>
              <w:jc w:val="center"/>
              <w:cnfStyle w:val="000000000000" w:firstRow="0" w:lastRow="0" w:firstColumn="0" w:lastColumn="0" w:oddVBand="0" w:evenVBand="0" w:oddHBand="0" w:evenHBand="0" w:firstRowFirstColumn="0" w:firstRowLastColumn="0" w:lastRowFirstColumn="0" w:lastRowLastColumn="0"/>
              <w:rPr>
                <w:rFonts w:ascii="ITC Avant Garde" w:eastAsia="Calibri" w:hAnsi="ITC Avant Garde" w:cs="Arial"/>
                <w:sz w:val="16"/>
                <w:szCs w:val="16"/>
              </w:rPr>
            </w:pPr>
            <w:r>
              <w:rPr>
                <w:rFonts w:ascii="ITC Avant Garde" w:eastAsia="Calibri" w:hAnsi="ITC Avant Garde" w:cs="Arial"/>
                <w:sz w:val="16"/>
                <w:szCs w:val="16"/>
              </w:rPr>
              <w:t>17:02</w:t>
            </w:r>
          </w:p>
        </w:tc>
      </w:tr>
      <w:tr w:rsidR="00DE40EF" w:rsidRPr="00325588" w14:paraId="1C45CC9A" w14:textId="77777777" w:rsidTr="00EA5CE7">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82" w:type="dxa"/>
            <w:vAlign w:val="center"/>
          </w:tcPr>
          <w:p w14:paraId="14724726" w14:textId="77777777" w:rsidR="00DE40EF" w:rsidRPr="00325588" w:rsidRDefault="00DE40EF" w:rsidP="00EA5CE7">
            <w:pPr>
              <w:jc w:val="center"/>
              <w:rPr>
                <w:rFonts w:ascii="ITC Avant Garde" w:eastAsia="Calibri" w:hAnsi="ITC Avant Garde" w:cs="Arial"/>
                <w:sz w:val="16"/>
                <w:szCs w:val="16"/>
              </w:rPr>
            </w:pPr>
            <w:r>
              <w:rPr>
                <w:rFonts w:ascii="ITC Avant Garde" w:eastAsia="Calibri" w:hAnsi="ITC Avant Garde" w:cs="Arial"/>
                <w:sz w:val="16"/>
                <w:szCs w:val="16"/>
              </w:rPr>
              <w:t>11</w:t>
            </w:r>
          </w:p>
        </w:tc>
        <w:tc>
          <w:tcPr>
            <w:tcW w:w="5523" w:type="dxa"/>
            <w:vAlign w:val="center"/>
          </w:tcPr>
          <w:p w14:paraId="7F203021" w14:textId="34704977" w:rsidR="00DE40EF" w:rsidRPr="00325588" w:rsidRDefault="00DE40EF" w:rsidP="00EA5CE7">
            <w:pPr>
              <w:jc w:val="center"/>
              <w:cnfStyle w:val="000000100000" w:firstRow="0" w:lastRow="0" w:firstColumn="0" w:lastColumn="0" w:oddVBand="0" w:evenVBand="0" w:oddHBand="1" w:evenHBand="0" w:firstRowFirstColumn="0" w:firstRowLastColumn="0" w:lastRowFirstColumn="0" w:lastRowLastColumn="0"/>
              <w:rPr>
                <w:rFonts w:ascii="ITC Avant Garde" w:eastAsia="Calibri" w:hAnsi="ITC Avant Garde" w:cs="Arial"/>
                <w:sz w:val="16"/>
                <w:szCs w:val="16"/>
              </w:rPr>
            </w:pPr>
            <w:r>
              <w:rPr>
                <w:rFonts w:ascii="ITC Avant Garde" w:eastAsia="Calibri" w:hAnsi="ITC Avant Garde" w:cs="Arial"/>
                <w:sz w:val="16"/>
                <w:szCs w:val="16"/>
              </w:rPr>
              <w:t xml:space="preserve">Lucas </w:t>
            </w:r>
            <w:r w:rsidR="00456BB5">
              <w:rPr>
                <w:rFonts w:ascii="ITC Avant Garde" w:eastAsia="Calibri" w:hAnsi="ITC Avant Garde" w:cs="Arial"/>
                <w:sz w:val="16"/>
                <w:szCs w:val="16"/>
              </w:rPr>
              <w:t>Gallitto</w:t>
            </w:r>
          </w:p>
        </w:tc>
        <w:tc>
          <w:tcPr>
            <w:tcW w:w="1276" w:type="dxa"/>
            <w:vAlign w:val="center"/>
          </w:tcPr>
          <w:p w14:paraId="10E34C17" w14:textId="77777777" w:rsidR="00DE40EF" w:rsidRPr="00325588" w:rsidRDefault="00DE40EF" w:rsidP="00EA5CE7">
            <w:pPr>
              <w:jc w:val="center"/>
              <w:cnfStyle w:val="000000100000" w:firstRow="0" w:lastRow="0" w:firstColumn="0" w:lastColumn="0" w:oddVBand="0" w:evenVBand="0" w:oddHBand="1" w:evenHBand="0" w:firstRowFirstColumn="0" w:firstRowLastColumn="0" w:lastRowFirstColumn="0" w:lastRowLastColumn="0"/>
              <w:rPr>
                <w:rFonts w:ascii="ITC Avant Garde" w:eastAsia="Calibri" w:hAnsi="ITC Avant Garde" w:cs="Arial"/>
                <w:sz w:val="16"/>
                <w:szCs w:val="16"/>
              </w:rPr>
            </w:pPr>
            <w:r>
              <w:rPr>
                <w:rFonts w:ascii="ITC Avant Garde" w:eastAsia="Calibri" w:hAnsi="ITC Avant Garde" w:cs="Arial"/>
                <w:sz w:val="16"/>
                <w:szCs w:val="16"/>
              </w:rPr>
              <w:t>21/10/20</w:t>
            </w:r>
          </w:p>
        </w:tc>
        <w:tc>
          <w:tcPr>
            <w:tcW w:w="1134" w:type="dxa"/>
            <w:vAlign w:val="center"/>
          </w:tcPr>
          <w:p w14:paraId="7AEAC99F" w14:textId="77777777" w:rsidR="00DE40EF" w:rsidRPr="00325588" w:rsidRDefault="00DE40EF" w:rsidP="00EA5CE7">
            <w:pPr>
              <w:jc w:val="center"/>
              <w:cnfStyle w:val="000000100000" w:firstRow="0" w:lastRow="0" w:firstColumn="0" w:lastColumn="0" w:oddVBand="0" w:evenVBand="0" w:oddHBand="1" w:evenHBand="0" w:firstRowFirstColumn="0" w:firstRowLastColumn="0" w:lastRowFirstColumn="0" w:lastRowLastColumn="0"/>
              <w:rPr>
                <w:rFonts w:ascii="ITC Avant Garde" w:eastAsia="Calibri" w:hAnsi="ITC Avant Garde" w:cs="Arial"/>
                <w:sz w:val="16"/>
                <w:szCs w:val="16"/>
              </w:rPr>
            </w:pPr>
            <w:r>
              <w:rPr>
                <w:rFonts w:ascii="ITC Avant Garde" w:eastAsia="Calibri" w:hAnsi="ITC Avant Garde" w:cs="Arial"/>
                <w:sz w:val="16"/>
                <w:szCs w:val="16"/>
              </w:rPr>
              <w:t>17:03</w:t>
            </w:r>
          </w:p>
        </w:tc>
      </w:tr>
      <w:tr w:rsidR="00DE40EF" w:rsidRPr="00325588" w14:paraId="6795C4D9" w14:textId="77777777" w:rsidTr="00EA5CE7">
        <w:trPr>
          <w:trHeight w:val="454"/>
        </w:trPr>
        <w:tc>
          <w:tcPr>
            <w:cnfStyle w:val="001000000000" w:firstRow="0" w:lastRow="0" w:firstColumn="1" w:lastColumn="0" w:oddVBand="0" w:evenVBand="0" w:oddHBand="0" w:evenHBand="0" w:firstRowFirstColumn="0" w:firstRowLastColumn="0" w:lastRowFirstColumn="0" w:lastRowLastColumn="0"/>
            <w:tcW w:w="1282" w:type="dxa"/>
            <w:vAlign w:val="center"/>
          </w:tcPr>
          <w:p w14:paraId="3CC702E4" w14:textId="77777777" w:rsidR="00DE40EF" w:rsidRPr="00325588" w:rsidRDefault="00DE40EF" w:rsidP="00EA5CE7">
            <w:pPr>
              <w:jc w:val="center"/>
              <w:rPr>
                <w:rFonts w:ascii="ITC Avant Garde" w:eastAsia="Calibri" w:hAnsi="ITC Avant Garde" w:cs="Arial"/>
                <w:sz w:val="16"/>
                <w:szCs w:val="16"/>
              </w:rPr>
            </w:pPr>
            <w:r>
              <w:rPr>
                <w:rFonts w:ascii="ITC Avant Garde" w:eastAsia="Calibri" w:hAnsi="ITC Avant Garde" w:cs="Arial"/>
                <w:sz w:val="16"/>
                <w:szCs w:val="16"/>
              </w:rPr>
              <w:t>12</w:t>
            </w:r>
          </w:p>
        </w:tc>
        <w:tc>
          <w:tcPr>
            <w:tcW w:w="5523" w:type="dxa"/>
            <w:vAlign w:val="center"/>
          </w:tcPr>
          <w:p w14:paraId="39C6C197" w14:textId="77777777" w:rsidR="00DE40EF" w:rsidRPr="00325588" w:rsidRDefault="00DE40EF" w:rsidP="00EA5CE7">
            <w:pPr>
              <w:jc w:val="center"/>
              <w:cnfStyle w:val="000000000000" w:firstRow="0" w:lastRow="0" w:firstColumn="0" w:lastColumn="0" w:oddVBand="0" w:evenVBand="0" w:oddHBand="0" w:evenHBand="0" w:firstRowFirstColumn="0" w:firstRowLastColumn="0" w:lastRowFirstColumn="0" w:lastRowLastColumn="0"/>
              <w:rPr>
                <w:rFonts w:ascii="ITC Avant Garde" w:eastAsia="Calibri" w:hAnsi="ITC Avant Garde" w:cs="Arial"/>
                <w:sz w:val="16"/>
                <w:szCs w:val="16"/>
              </w:rPr>
            </w:pPr>
            <w:r>
              <w:rPr>
                <w:rFonts w:ascii="ITC Avant Garde" w:eastAsia="Calibri" w:hAnsi="ITC Avant Garde" w:cs="Arial"/>
                <w:sz w:val="16"/>
                <w:szCs w:val="16"/>
              </w:rPr>
              <w:t xml:space="preserve">Maryleana Méndez </w:t>
            </w:r>
          </w:p>
        </w:tc>
        <w:tc>
          <w:tcPr>
            <w:tcW w:w="1276" w:type="dxa"/>
            <w:vAlign w:val="center"/>
          </w:tcPr>
          <w:p w14:paraId="18FD92C0" w14:textId="77777777" w:rsidR="00DE40EF" w:rsidRPr="00325588" w:rsidRDefault="00DE40EF" w:rsidP="00EA5CE7">
            <w:pPr>
              <w:jc w:val="center"/>
              <w:cnfStyle w:val="000000000000" w:firstRow="0" w:lastRow="0" w:firstColumn="0" w:lastColumn="0" w:oddVBand="0" w:evenVBand="0" w:oddHBand="0" w:evenHBand="0" w:firstRowFirstColumn="0" w:firstRowLastColumn="0" w:lastRowFirstColumn="0" w:lastRowLastColumn="0"/>
              <w:rPr>
                <w:rFonts w:ascii="ITC Avant Garde" w:eastAsia="Calibri" w:hAnsi="ITC Avant Garde" w:cs="Arial"/>
                <w:sz w:val="16"/>
                <w:szCs w:val="16"/>
              </w:rPr>
            </w:pPr>
            <w:r>
              <w:rPr>
                <w:rFonts w:ascii="ITC Avant Garde" w:eastAsia="Calibri" w:hAnsi="ITC Avant Garde" w:cs="Arial"/>
                <w:sz w:val="16"/>
                <w:szCs w:val="16"/>
              </w:rPr>
              <w:t>21/10/20</w:t>
            </w:r>
          </w:p>
        </w:tc>
        <w:tc>
          <w:tcPr>
            <w:tcW w:w="1134" w:type="dxa"/>
            <w:vAlign w:val="center"/>
          </w:tcPr>
          <w:p w14:paraId="52F3A1DF" w14:textId="77777777" w:rsidR="00DE40EF" w:rsidRPr="00325588" w:rsidRDefault="00DE40EF" w:rsidP="00EA5CE7">
            <w:pPr>
              <w:jc w:val="center"/>
              <w:cnfStyle w:val="000000000000" w:firstRow="0" w:lastRow="0" w:firstColumn="0" w:lastColumn="0" w:oddVBand="0" w:evenVBand="0" w:oddHBand="0" w:evenHBand="0" w:firstRowFirstColumn="0" w:firstRowLastColumn="0" w:lastRowFirstColumn="0" w:lastRowLastColumn="0"/>
              <w:rPr>
                <w:rFonts w:ascii="ITC Avant Garde" w:eastAsia="Calibri" w:hAnsi="ITC Avant Garde" w:cs="Arial"/>
                <w:sz w:val="16"/>
                <w:szCs w:val="16"/>
              </w:rPr>
            </w:pPr>
            <w:r>
              <w:rPr>
                <w:rFonts w:ascii="ITC Avant Garde" w:eastAsia="Calibri" w:hAnsi="ITC Avant Garde" w:cs="Arial"/>
                <w:sz w:val="16"/>
                <w:szCs w:val="16"/>
              </w:rPr>
              <w:t>23:59</w:t>
            </w:r>
          </w:p>
        </w:tc>
      </w:tr>
    </w:tbl>
    <w:p w14:paraId="6B05FCA6" w14:textId="1EAD8CBE" w:rsidR="00E51E3C" w:rsidRDefault="00E51E3C" w:rsidP="00EA5CE7">
      <w:pPr>
        <w:spacing w:after="0" w:line="240" w:lineRule="auto"/>
        <w:jc w:val="both"/>
        <w:rPr>
          <w:rFonts w:ascii="ITC Avant Garde" w:hAnsi="ITC Avant Garde" w:cs="Arial"/>
          <w:color w:val="000000"/>
          <w:sz w:val="20"/>
          <w:szCs w:val="20"/>
        </w:rPr>
      </w:pPr>
    </w:p>
    <w:p w14:paraId="08578B9C" w14:textId="3C706150" w:rsidR="00AE6C4A" w:rsidRPr="001C153C" w:rsidRDefault="00AE6C4A" w:rsidP="00EA5CE7">
      <w:pPr>
        <w:spacing w:after="0" w:line="240" w:lineRule="auto"/>
        <w:jc w:val="both"/>
        <w:rPr>
          <w:rFonts w:ascii="ITC Avant Garde" w:hAnsi="ITC Avant Garde" w:cs="Arial"/>
          <w:color w:val="000000"/>
          <w:sz w:val="20"/>
          <w:szCs w:val="20"/>
        </w:rPr>
      </w:pPr>
      <w:r w:rsidRPr="001C153C">
        <w:rPr>
          <w:rFonts w:ascii="ITC Avant Garde" w:hAnsi="ITC Avant Garde" w:cs="Arial"/>
          <w:color w:val="000000"/>
          <w:sz w:val="20"/>
          <w:szCs w:val="20"/>
        </w:rPr>
        <w:t xml:space="preserve">Cabe señalar que, las </w:t>
      </w:r>
      <w:r w:rsidR="009D7518" w:rsidRPr="001C153C">
        <w:rPr>
          <w:rFonts w:ascii="ITC Avant Garde" w:hAnsi="ITC Avant Garde" w:cs="Arial"/>
          <w:color w:val="000000"/>
          <w:sz w:val="20"/>
          <w:szCs w:val="20"/>
        </w:rPr>
        <w:t>3 (</w:t>
      </w:r>
      <w:r w:rsidRPr="001C153C">
        <w:rPr>
          <w:rFonts w:ascii="ITC Avant Garde" w:hAnsi="ITC Avant Garde" w:cs="Arial"/>
          <w:color w:val="000000"/>
          <w:sz w:val="20"/>
          <w:szCs w:val="20"/>
        </w:rPr>
        <w:t>tres</w:t>
      </w:r>
      <w:r w:rsidR="009D7518" w:rsidRPr="001C153C">
        <w:rPr>
          <w:rFonts w:ascii="ITC Avant Garde" w:hAnsi="ITC Avant Garde" w:cs="Arial"/>
          <w:color w:val="000000"/>
          <w:sz w:val="20"/>
          <w:szCs w:val="20"/>
        </w:rPr>
        <w:t>)</w:t>
      </w:r>
      <w:r w:rsidRPr="001C153C">
        <w:rPr>
          <w:rFonts w:ascii="ITC Avant Garde" w:hAnsi="ITC Avant Garde" w:cs="Arial"/>
          <w:color w:val="000000"/>
          <w:sz w:val="20"/>
          <w:szCs w:val="20"/>
        </w:rPr>
        <w:t xml:space="preserve"> primeras participaciones que se recibieron </w:t>
      </w:r>
      <w:r w:rsidR="007B4900" w:rsidRPr="001C153C">
        <w:rPr>
          <w:rFonts w:ascii="ITC Avant Garde" w:hAnsi="ITC Avant Garde" w:cs="Arial"/>
          <w:color w:val="000000"/>
          <w:sz w:val="20"/>
          <w:szCs w:val="20"/>
        </w:rPr>
        <w:t xml:space="preserve">durante la consulta pública </w:t>
      </w:r>
      <w:r w:rsidRPr="001C153C">
        <w:rPr>
          <w:rFonts w:ascii="ITC Avant Garde" w:hAnsi="ITC Avant Garde" w:cs="Arial"/>
          <w:color w:val="000000"/>
          <w:sz w:val="20"/>
          <w:szCs w:val="20"/>
        </w:rPr>
        <w:t xml:space="preserve">fueron para solicitar la ampliación </w:t>
      </w:r>
      <w:r w:rsidR="00CF1A47" w:rsidRPr="001C153C">
        <w:rPr>
          <w:rFonts w:ascii="ITC Avant Garde" w:hAnsi="ITC Avant Garde" w:cs="Arial"/>
          <w:color w:val="000000"/>
          <w:sz w:val="20"/>
          <w:szCs w:val="20"/>
        </w:rPr>
        <w:t>d</w:t>
      </w:r>
      <w:r w:rsidR="00A65AB9" w:rsidRPr="001C153C">
        <w:rPr>
          <w:rFonts w:ascii="ITC Avant Garde" w:hAnsi="ITC Avant Garde" w:cs="Arial"/>
          <w:color w:val="000000"/>
          <w:sz w:val="20"/>
          <w:szCs w:val="20"/>
        </w:rPr>
        <w:t xml:space="preserve">el plazo </w:t>
      </w:r>
      <w:r w:rsidRPr="001C153C">
        <w:rPr>
          <w:rFonts w:ascii="ITC Avant Garde" w:hAnsi="ITC Avant Garde" w:cs="Arial"/>
          <w:color w:val="000000"/>
          <w:sz w:val="20"/>
          <w:szCs w:val="20"/>
        </w:rPr>
        <w:t xml:space="preserve">de la </w:t>
      </w:r>
      <w:r w:rsidR="00CF1A47" w:rsidRPr="001C153C">
        <w:rPr>
          <w:rFonts w:ascii="ITC Avant Garde" w:hAnsi="ITC Avant Garde" w:cs="Arial"/>
          <w:color w:val="000000"/>
          <w:sz w:val="20"/>
          <w:szCs w:val="20"/>
        </w:rPr>
        <w:t>misma</w:t>
      </w:r>
      <w:r w:rsidRPr="001C153C">
        <w:rPr>
          <w:rFonts w:ascii="ITC Avant Garde" w:hAnsi="ITC Avant Garde" w:cs="Arial"/>
          <w:color w:val="000000"/>
          <w:sz w:val="20"/>
          <w:szCs w:val="20"/>
        </w:rPr>
        <w:t>, presentadas por la Cámara Nacional de la Industria Electrónica de Telecomunicaciones y Tecnologías de la información (CANIETI), Lucas Gallit</w:t>
      </w:r>
      <w:r w:rsidR="00456BB5">
        <w:rPr>
          <w:rFonts w:ascii="ITC Avant Garde" w:hAnsi="ITC Avant Garde" w:cs="Arial"/>
          <w:color w:val="000000"/>
          <w:sz w:val="20"/>
          <w:szCs w:val="20"/>
        </w:rPr>
        <w:t>t</w:t>
      </w:r>
      <w:r w:rsidRPr="001C153C">
        <w:rPr>
          <w:rFonts w:ascii="ITC Avant Garde" w:hAnsi="ITC Avant Garde" w:cs="Arial"/>
          <w:color w:val="000000"/>
          <w:sz w:val="20"/>
          <w:szCs w:val="20"/>
        </w:rPr>
        <w:t>o y Maryleana Méndez</w:t>
      </w:r>
      <w:r w:rsidR="007B4900" w:rsidRPr="001C153C">
        <w:rPr>
          <w:rFonts w:ascii="ITC Avant Garde" w:hAnsi="ITC Avant Garde" w:cs="Arial"/>
          <w:color w:val="000000"/>
          <w:sz w:val="20"/>
          <w:szCs w:val="20"/>
        </w:rPr>
        <w:t>.</w:t>
      </w:r>
    </w:p>
    <w:p w14:paraId="0B00CC02" w14:textId="77777777" w:rsidR="00DE40EF" w:rsidRPr="00DE40EF" w:rsidRDefault="00DE40EF" w:rsidP="00EA5CE7">
      <w:pPr>
        <w:spacing w:after="0" w:line="240" w:lineRule="auto"/>
      </w:pPr>
    </w:p>
    <w:p w14:paraId="4A603031" w14:textId="53DB59E7" w:rsidR="00DE40EF" w:rsidRDefault="00DE40EF" w:rsidP="00EA5CE7">
      <w:pPr>
        <w:pStyle w:val="Prrafodelista"/>
        <w:numPr>
          <w:ilvl w:val="0"/>
          <w:numId w:val="23"/>
        </w:numPr>
        <w:spacing w:after="0" w:line="240" w:lineRule="auto"/>
        <w:ind w:left="426" w:hanging="426"/>
        <w:jc w:val="both"/>
        <w:rPr>
          <w:rFonts w:ascii="ITC Avant Garde" w:hAnsi="ITC Avant Garde" w:cs="Arial"/>
          <w:b/>
          <w:color w:val="000000"/>
          <w:sz w:val="20"/>
          <w:szCs w:val="20"/>
        </w:rPr>
      </w:pPr>
      <w:r>
        <w:rPr>
          <w:rFonts w:ascii="ITC Avant Garde" w:hAnsi="ITC Avant Garde" w:cs="Arial"/>
          <w:b/>
          <w:color w:val="000000"/>
          <w:sz w:val="20"/>
          <w:szCs w:val="20"/>
        </w:rPr>
        <w:t>Posicionamiento sobre</w:t>
      </w:r>
      <w:r w:rsidRPr="00EB4F11">
        <w:rPr>
          <w:rFonts w:ascii="ITC Avant Garde" w:hAnsi="ITC Avant Garde" w:cs="Arial"/>
          <w:b/>
          <w:color w:val="000000"/>
          <w:sz w:val="20"/>
          <w:szCs w:val="20"/>
        </w:rPr>
        <w:t xml:space="preserve"> los comentarios </w:t>
      </w:r>
      <w:r>
        <w:rPr>
          <w:rFonts w:ascii="ITC Avant Garde" w:hAnsi="ITC Avant Garde" w:cs="Arial"/>
          <w:b/>
          <w:color w:val="000000"/>
          <w:sz w:val="20"/>
          <w:szCs w:val="20"/>
        </w:rPr>
        <w:t>recibidos</w:t>
      </w:r>
    </w:p>
    <w:p w14:paraId="2114DF6B" w14:textId="77777777" w:rsidR="00CC5BF3" w:rsidRDefault="00CC5BF3" w:rsidP="00CC5BF3">
      <w:pPr>
        <w:pStyle w:val="Prrafodelista"/>
        <w:spacing w:after="0" w:line="240" w:lineRule="auto"/>
        <w:ind w:left="426"/>
        <w:jc w:val="both"/>
        <w:rPr>
          <w:rFonts w:ascii="ITC Avant Garde" w:hAnsi="ITC Avant Garde" w:cs="Arial"/>
          <w:b/>
          <w:color w:val="000000"/>
          <w:sz w:val="20"/>
          <w:szCs w:val="20"/>
        </w:rPr>
      </w:pPr>
    </w:p>
    <w:p w14:paraId="6725AE27" w14:textId="31A92576" w:rsidR="00DE40EF" w:rsidRDefault="00DE40EF" w:rsidP="00EA5CE7">
      <w:pPr>
        <w:spacing w:after="0" w:line="240" w:lineRule="auto"/>
        <w:jc w:val="both"/>
        <w:rPr>
          <w:rFonts w:ascii="ITC Avant Garde" w:eastAsia="Calibri" w:hAnsi="ITC Avant Garde" w:cs="Arial"/>
          <w:sz w:val="20"/>
          <w:lang w:val="es-ES"/>
        </w:rPr>
      </w:pPr>
      <w:r w:rsidRPr="00EB4F11">
        <w:rPr>
          <w:rFonts w:ascii="ITC Avant Garde" w:eastAsia="Calibri" w:hAnsi="ITC Avant Garde" w:cs="Arial"/>
          <w:sz w:val="20"/>
        </w:rPr>
        <w:t xml:space="preserve">El Instituto agradece la participación de todos los interesados en la Consulta Pública al </w:t>
      </w:r>
      <w:r>
        <w:rPr>
          <w:rFonts w:ascii="ITC Avant Garde" w:eastAsia="Calibri" w:hAnsi="ITC Avant Garde" w:cs="Arial"/>
          <w:sz w:val="20"/>
        </w:rPr>
        <w:t>Proyecto de Bases</w:t>
      </w:r>
      <w:r w:rsidRPr="00EB4F11">
        <w:rPr>
          <w:rFonts w:ascii="ITC Avant Garde" w:eastAsia="Calibri" w:hAnsi="ITC Avant Garde" w:cs="Arial"/>
          <w:sz w:val="20"/>
        </w:rPr>
        <w:t>, en la cual, se</w:t>
      </w:r>
      <w:r w:rsidRPr="00EB4F11">
        <w:rPr>
          <w:rFonts w:ascii="ITC Avant Garde" w:eastAsia="Calibri" w:hAnsi="ITC Avant Garde" w:cs="Arial"/>
          <w:sz w:val="20"/>
          <w:lang w:val="es-ES"/>
        </w:rPr>
        <w:t xml:space="preserve"> recibieron </w:t>
      </w:r>
      <w:r w:rsidR="0088046B">
        <w:rPr>
          <w:rFonts w:ascii="ITC Avant Garde" w:eastAsia="Calibri" w:hAnsi="ITC Avant Garde" w:cs="Arial"/>
          <w:sz w:val="20"/>
          <w:lang w:val="es-ES"/>
        </w:rPr>
        <w:t>las</w:t>
      </w:r>
      <w:r w:rsidRPr="00EB4F11">
        <w:rPr>
          <w:rFonts w:ascii="ITC Avant Garde" w:eastAsia="Calibri" w:hAnsi="ITC Avant Garde" w:cs="Arial"/>
          <w:b/>
          <w:sz w:val="20"/>
        </w:rPr>
        <w:t xml:space="preserve"> </w:t>
      </w:r>
      <w:r w:rsidRPr="0088046B">
        <w:rPr>
          <w:rFonts w:ascii="ITC Avant Garde" w:eastAsia="Calibri" w:hAnsi="ITC Avant Garde" w:cs="Arial"/>
          <w:sz w:val="20"/>
          <w:lang w:val="es-ES"/>
        </w:rPr>
        <w:t xml:space="preserve">participaciones </w:t>
      </w:r>
      <w:r w:rsidR="0088046B" w:rsidRPr="0088046B">
        <w:rPr>
          <w:rFonts w:ascii="ITC Avant Garde" w:eastAsia="Calibri" w:hAnsi="ITC Avant Garde" w:cs="Arial"/>
          <w:sz w:val="20"/>
          <w:lang w:val="es-ES"/>
        </w:rPr>
        <w:t>que</w:t>
      </w:r>
      <w:r w:rsidRPr="00EB4F11">
        <w:rPr>
          <w:rFonts w:ascii="ITC Avant Garde" w:eastAsia="Calibri" w:hAnsi="ITC Avant Garde" w:cs="Arial"/>
          <w:sz w:val="20"/>
          <w:lang w:val="es-ES"/>
        </w:rPr>
        <w:t xml:space="preserve"> se detallan en el cuerpo del presente documento. </w:t>
      </w:r>
    </w:p>
    <w:p w14:paraId="378DD082" w14:textId="77777777" w:rsidR="0088046B" w:rsidRPr="00EB4F11" w:rsidRDefault="0088046B" w:rsidP="00EA5CE7">
      <w:pPr>
        <w:spacing w:after="0" w:line="240" w:lineRule="auto"/>
        <w:jc w:val="both"/>
        <w:rPr>
          <w:rFonts w:ascii="ITC Avant Garde" w:eastAsia="Calibri" w:hAnsi="ITC Avant Garde" w:cs="Arial"/>
          <w:sz w:val="20"/>
          <w:lang w:val="es-ES"/>
        </w:rPr>
      </w:pPr>
    </w:p>
    <w:p w14:paraId="3382C036" w14:textId="6199E75D" w:rsidR="00DE40EF" w:rsidRDefault="00DE40EF" w:rsidP="00EA5CE7">
      <w:pPr>
        <w:spacing w:after="0" w:line="240" w:lineRule="auto"/>
        <w:jc w:val="both"/>
        <w:rPr>
          <w:rFonts w:ascii="ITC Avant Garde" w:eastAsia="Calibri" w:hAnsi="ITC Avant Garde" w:cs="Arial"/>
          <w:sz w:val="20"/>
          <w:lang w:val="es-ES"/>
        </w:rPr>
      </w:pPr>
      <w:r w:rsidRPr="00EB4F11">
        <w:rPr>
          <w:rFonts w:ascii="ITC Avant Garde" w:eastAsia="Calibri" w:hAnsi="ITC Avant Garde" w:cs="Arial"/>
          <w:sz w:val="20"/>
          <w:lang w:val="es-ES"/>
        </w:rPr>
        <w:t xml:space="preserve">En su conjunto, las participaciones recibidas permitieron que </w:t>
      </w:r>
      <w:r>
        <w:rPr>
          <w:rFonts w:ascii="ITC Avant Garde" w:eastAsia="Calibri" w:hAnsi="ITC Avant Garde" w:cs="Arial"/>
          <w:sz w:val="20"/>
          <w:lang w:val="es-ES"/>
        </w:rPr>
        <w:t>la UER</w:t>
      </w:r>
      <w:r w:rsidRPr="00EB4F11">
        <w:rPr>
          <w:rFonts w:ascii="ITC Avant Garde" w:eastAsia="Calibri" w:hAnsi="ITC Avant Garde" w:cs="Arial"/>
          <w:sz w:val="20"/>
          <w:lang w:val="es-ES"/>
        </w:rPr>
        <w:t xml:space="preserve"> contara con mayores elementos </w:t>
      </w:r>
      <w:r>
        <w:rPr>
          <w:rFonts w:ascii="ITC Avant Garde" w:eastAsia="Calibri" w:hAnsi="ITC Avant Garde" w:cs="Arial"/>
          <w:sz w:val="20"/>
          <w:lang w:val="es-ES"/>
        </w:rPr>
        <w:t>para</w:t>
      </w:r>
      <w:r w:rsidR="0088046B">
        <w:rPr>
          <w:rFonts w:ascii="ITC Avant Garde" w:eastAsia="Calibri" w:hAnsi="ITC Avant Garde" w:cs="Arial"/>
          <w:sz w:val="20"/>
          <w:lang w:val="es-ES"/>
        </w:rPr>
        <w:t xml:space="preserve"> fortalecer</w:t>
      </w:r>
      <w:r>
        <w:rPr>
          <w:rFonts w:ascii="ITC Avant Garde" w:eastAsia="Calibri" w:hAnsi="ITC Avant Garde" w:cs="Arial"/>
          <w:sz w:val="20"/>
          <w:lang w:val="es-ES"/>
        </w:rPr>
        <w:t xml:space="preserve"> el Proyecto de Bases</w:t>
      </w:r>
      <w:r w:rsidRPr="00EB4F11">
        <w:rPr>
          <w:rFonts w:ascii="ITC Avant Garde" w:eastAsia="Calibri" w:hAnsi="ITC Avant Garde" w:cs="Arial"/>
          <w:sz w:val="20"/>
          <w:lang w:val="es-ES"/>
        </w:rPr>
        <w:t xml:space="preserve"> que nos ocupa.</w:t>
      </w:r>
    </w:p>
    <w:p w14:paraId="3A14AF36" w14:textId="77777777" w:rsidR="00DE40EF" w:rsidRPr="00E51E3C" w:rsidRDefault="00DE40EF" w:rsidP="00EA5CE7">
      <w:pPr>
        <w:spacing w:after="0" w:line="240" w:lineRule="auto"/>
        <w:jc w:val="both"/>
        <w:rPr>
          <w:rFonts w:ascii="ITC Avant Garde" w:eastAsia="Calibri" w:hAnsi="ITC Avant Garde" w:cs="Arial"/>
          <w:sz w:val="20"/>
          <w:lang w:val="es-ES"/>
        </w:rPr>
      </w:pPr>
    </w:p>
    <w:p w14:paraId="51F3B3C4" w14:textId="3F17A191" w:rsidR="00D26D08" w:rsidRPr="001C153C" w:rsidRDefault="00D26D08" w:rsidP="00EA5CE7">
      <w:pPr>
        <w:spacing w:after="0" w:line="240" w:lineRule="auto"/>
        <w:jc w:val="both"/>
        <w:rPr>
          <w:rFonts w:ascii="ITC Avant Garde" w:hAnsi="ITC Avant Garde" w:cs="Arial"/>
          <w:sz w:val="20"/>
          <w:szCs w:val="20"/>
        </w:rPr>
      </w:pPr>
      <w:r w:rsidRPr="001C153C">
        <w:rPr>
          <w:rFonts w:ascii="ITC Avant Garde" w:hAnsi="ITC Avant Garde" w:cs="Arial"/>
          <w:color w:val="000000"/>
          <w:sz w:val="20"/>
          <w:szCs w:val="20"/>
        </w:rPr>
        <w:t>A continuación, se hace una descripción general de los temas que fueron de interés para los participantes y las respectivas respuestas y consideraciones del Instituto</w:t>
      </w:r>
      <w:r w:rsidRPr="0088046B">
        <w:rPr>
          <w:rFonts w:ascii="ITC Avant Garde" w:hAnsi="ITC Avant Garde" w:cs="Arial"/>
          <w:color w:val="000000"/>
          <w:sz w:val="20"/>
          <w:szCs w:val="20"/>
        </w:rPr>
        <w:t>. Se señala que el orden en que son abordados cada uno de los temas</w:t>
      </w:r>
      <w:r w:rsidRPr="001C153C">
        <w:rPr>
          <w:rFonts w:ascii="ITC Avant Garde" w:hAnsi="ITC Avant Garde" w:cs="Arial"/>
          <w:color w:val="000000"/>
          <w:sz w:val="20"/>
          <w:szCs w:val="20"/>
        </w:rPr>
        <w:t xml:space="preserve"> obedece primordialmente a la fecha de presentación de los comentarios, op</w:t>
      </w:r>
      <w:r w:rsidR="00EA5CE7">
        <w:rPr>
          <w:rFonts w:ascii="ITC Avant Garde" w:hAnsi="ITC Avant Garde" w:cs="Arial"/>
          <w:color w:val="000000"/>
          <w:sz w:val="20"/>
          <w:szCs w:val="20"/>
        </w:rPr>
        <w:t>iniones y propuestas. Asimismo,</w:t>
      </w:r>
      <w:r w:rsidRPr="001C153C">
        <w:rPr>
          <w:rFonts w:ascii="ITC Avant Garde" w:hAnsi="ITC Avant Garde" w:cs="Arial"/>
          <w:color w:val="000000"/>
          <w:sz w:val="20"/>
          <w:szCs w:val="20"/>
        </w:rPr>
        <w:t xml:space="preserve"> conforme a lo establecido en el numeral N</w:t>
      </w:r>
      <w:r w:rsidR="006C4A4C" w:rsidRPr="001C153C">
        <w:rPr>
          <w:rFonts w:ascii="ITC Avant Garde" w:hAnsi="ITC Avant Garde" w:cs="Arial"/>
          <w:color w:val="000000"/>
          <w:sz w:val="20"/>
          <w:szCs w:val="20"/>
        </w:rPr>
        <w:t>oveno</w:t>
      </w:r>
      <w:r w:rsidRPr="001C153C">
        <w:rPr>
          <w:rFonts w:ascii="ITC Avant Garde" w:hAnsi="ITC Avant Garde" w:cs="Arial"/>
          <w:color w:val="000000"/>
          <w:sz w:val="20"/>
          <w:szCs w:val="20"/>
        </w:rPr>
        <w:t xml:space="preserve"> de los Lineamientos de Consulta</w:t>
      </w:r>
      <w:r w:rsidR="00284D98" w:rsidRPr="001C153C">
        <w:rPr>
          <w:rFonts w:ascii="ITC Avant Garde" w:hAnsi="ITC Avant Garde" w:cs="Arial"/>
          <w:color w:val="000000"/>
          <w:sz w:val="20"/>
          <w:szCs w:val="20"/>
        </w:rPr>
        <w:t xml:space="preserve"> Pública</w:t>
      </w:r>
      <w:r w:rsidRPr="001C153C">
        <w:rPr>
          <w:rFonts w:ascii="ITC Avant Garde" w:hAnsi="ITC Avant Garde" w:cs="Arial"/>
          <w:color w:val="000000"/>
          <w:sz w:val="20"/>
          <w:szCs w:val="20"/>
        </w:rPr>
        <w:t xml:space="preserve"> se presenta una respuesta o posicionamiento de manera agrupada acerca de la información que los participantes hayan aportado.</w:t>
      </w:r>
    </w:p>
    <w:p w14:paraId="1FB3A4D0" w14:textId="77777777" w:rsidR="00AF5661" w:rsidRDefault="00AF5661" w:rsidP="00EA5CE7">
      <w:pPr>
        <w:spacing w:after="0" w:line="240" w:lineRule="auto"/>
        <w:jc w:val="both"/>
        <w:rPr>
          <w:rFonts w:ascii="ITC Avant Garde" w:hAnsi="ITC Avant Garde" w:cs="Arial"/>
          <w:b/>
          <w:color w:val="000000"/>
          <w:sz w:val="20"/>
          <w:szCs w:val="20"/>
          <w:u w:val="single"/>
        </w:rPr>
      </w:pPr>
    </w:p>
    <w:p w14:paraId="6D19D8D0" w14:textId="71F8EE3E" w:rsidR="00AF5661" w:rsidRDefault="00AF5661" w:rsidP="00EA5CE7">
      <w:pPr>
        <w:spacing w:after="0" w:line="240" w:lineRule="auto"/>
        <w:rPr>
          <w:rFonts w:ascii="ITC Avant Garde" w:hAnsi="ITC Avant Garde" w:cs="Arial"/>
          <w:b/>
          <w:color w:val="000000"/>
          <w:sz w:val="20"/>
          <w:szCs w:val="20"/>
          <w:u w:val="single"/>
        </w:rPr>
        <w:sectPr w:rsidR="00AF5661" w:rsidSect="00DD6C21">
          <w:headerReference w:type="even" r:id="rId12"/>
          <w:headerReference w:type="default" r:id="rId13"/>
          <w:footerReference w:type="default" r:id="rId14"/>
          <w:headerReference w:type="first" r:id="rId15"/>
          <w:pgSz w:w="12240" w:h="15840"/>
          <w:pgMar w:top="3119" w:right="1134" w:bottom="1985" w:left="1134" w:header="709" w:footer="709" w:gutter="0"/>
          <w:cols w:space="708"/>
          <w:docGrid w:linePitch="360"/>
        </w:sectPr>
      </w:pPr>
    </w:p>
    <w:p w14:paraId="68912335" w14:textId="77777777" w:rsidR="00B0400F" w:rsidRPr="000019BD" w:rsidRDefault="00B0400F" w:rsidP="00EA5CE7">
      <w:pPr>
        <w:spacing w:after="0" w:line="240" w:lineRule="auto"/>
        <w:jc w:val="center"/>
        <w:rPr>
          <w:rFonts w:ascii="ITC Avant Garde" w:eastAsia="Avant Garde" w:hAnsi="ITC Avant Garde" w:cs="Arial"/>
          <w:b/>
          <w:color w:val="000000"/>
          <w:sz w:val="24"/>
          <w:szCs w:val="18"/>
          <w:lang w:eastAsia="es-MX"/>
        </w:rPr>
      </w:pPr>
      <w:r w:rsidRPr="000019BD">
        <w:rPr>
          <w:rFonts w:ascii="ITC Avant Garde" w:eastAsia="Calibri" w:hAnsi="ITC Avant Garde" w:cs="Arial"/>
          <w:b/>
          <w:sz w:val="24"/>
        </w:rPr>
        <w:lastRenderedPageBreak/>
        <w:t>Respuesta a los comentarios</w:t>
      </w:r>
      <w:r w:rsidRPr="000019BD">
        <w:rPr>
          <w:rFonts w:ascii="Arial" w:eastAsia="Avant Garde" w:hAnsi="Arial" w:cs="Arial"/>
          <w:b/>
          <w:color w:val="000000"/>
          <w:sz w:val="24"/>
          <w:szCs w:val="18"/>
          <w:lang w:eastAsia="es-MX"/>
        </w:rPr>
        <w:t xml:space="preserve"> </w:t>
      </w:r>
      <w:r w:rsidRPr="000019BD">
        <w:rPr>
          <w:rFonts w:ascii="ITC Avant Garde" w:eastAsia="Avant Garde" w:hAnsi="ITC Avant Garde" w:cs="Arial"/>
          <w:b/>
          <w:color w:val="000000"/>
          <w:sz w:val="24"/>
          <w:szCs w:val="18"/>
          <w:lang w:eastAsia="es-MX"/>
        </w:rPr>
        <w:t>al Anteproyecto de Acuerdo de Modificación a los Lineamientos de Uso Secundario</w:t>
      </w:r>
    </w:p>
    <w:p w14:paraId="230085EB" w14:textId="77777777" w:rsidR="00B0400F" w:rsidRPr="000019BD" w:rsidRDefault="00B0400F" w:rsidP="00EA5CE7">
      <w:pPr>
        <w:spacing w:after="0" w:line="240" w:lineRule="auto"/>
        <w:jc w:val="center"/>
        <w:rPr>
          <w:rFonts w:ascii="ITC Avant Garde" w:eastAsia="Calibri" w:hAnsi="ITC Avant Garde" w:cs="Arial"/>
          <w:b/>
        </w:rPr>
      </w:pPr>
    </w:p>
    <w:tbl>
      <w:tblPr>
        <w:tblStyle w:val="Tablaconcuadrcula2"/>
        <w:tblW w:w="18145" w:type="dxa"/>
        <w:tblInd w:w="-998" w:type="dxa"/>
        <w:tblLook w:val="04A0" w:firstRow="1" w:lastRow="0" w:firstColumn="1" w:lastColumn="0" w:noHBand="0" w:noVBand="1"/>
      </w:tblPr>
      <w:tblGrid>
        <w:gridCol w:w="18145"/>
      </w:tblGrid>
      <w:tr w:rsidR="00B0400F" w:rsidRPr="000019BD" w14:paraId="150D599B" w14:textId="77777777" w:rsidTr="00C354FB">
        <w:trPr>
          <w:trHeight w:val="962"/>
        </w:trPr>
        <w:tc>
          <w:tcPr>
            <w:tcW w:w="18145" w:type="dxa"/>
          </w:tcPr>
          <w:p w14:paraId="661E3DCB" w14:textId="77777777" w:rsidR="00B0400F" w:rsidRPr="000019BD" w:rsidRDefault="00B0400F" w:rsidP="00EA5CE7">
            <w:pPr>
              <w:ind w:right="2"/>
              <w:jc w:val="both"/>
              <w:rPr>
                <w:rFonts w:ascii="Avant Garde" w:eastAsia="Avant Garde" w:hAnsi="Avant Garde" w:cs="Avant Garde"/>
                <w:color w:val="000000"/>
                <w:sz w:val="20"/>
                <w:lang w:eastAsia="es-MX"/>
              </w:rPr>
            </w:pPr>
          </w:p>
          <w:p w14:paraId="31358225" w14:textId="77777777" w:rsidR="00B0400F" w:rsidRPr="00E26F4C" w:rsidRDefault="00B0400F" w:rsidP="00EA5CE7">
            <w:pPr>
              <w:ind w:right="2"/>
              <w:jc w:val="both"/>
              <w:rPr>
                <w:rFonts w:ascii="ITC Avant Garde" w:eastAsia="Calibri" w:hAnsi="ITC Avant Garde" w:cs="Arial"/>
                <w:sz w:val="20"/>
                <w:szCs w:val="18"/>
              </w:rPr>
            </w:pPr>
            <w:r w:rsidRPr="00E26F4C">
              <w:rPr>
                <w:rFonts w:ascii="ITC Avant Garde" w:eastAsia="Calibri" w:hAnsi="ITC Avant Garde" w:cs="Arial"/>
                <w:sz w:val="20"/>
                <w:szCs w:val="18"/>
              </w:rPr>
              <w:t>Los comentarios contenidos en la presente tabla son los extractos relevantes de los proporcionados por los participantes con relación a las preguntas realizadas en la consulta pública. La versión completa de los comentarios de cada participante puede consultarse en la liga siguiente:</w:t>
            </w:r>
          </w:p>
          <w:p w14:paraId="6CCE8068" w14:textId="77777777" w:rsidR="00B0400F" w:rsidRPr="00B0400F" w:rsidRDefault="004C31D5" w:rsidP="00EA5CE7">
            <w:pPr>
              <w:ind w:right="2"/>
              <w:jc w:val="both"/>
              <w:rPr>
                <w:rFonts w:ascii="Avant Garde" w:eastAsia="Avant Garde" w:hAnsi="Avant Garde" w:cs="Avant Garde"/>
                <w:color w:val="000000"/>
                <w:sz w:val="20"/>
                <w:lang w:eastAsia="es-MX"/>
              </w:rPr>
            </w:pPr>
            <w:hyperlink r:id="rId16" w:history="1">
              <w:r w:rsidR="00B0400F" w:rsidRPr="00B0400F">
                <w:rPr>
                  <w:rStyle w:val="Hipervnculo"/>
                  <w:rFonts w:ascii="Avant Garde" w:eastAsia="Avant Garde" w:hAnsi="Avant Garde" w:cs="Avant Garde"/>
                  <w:sz w:val="20"/>
                  <w:lang w:eastAsia="es-MX"/>
                </w:rPr>
                <w:t>http://www.ift.org.mx/industria/consultas-publicas/proyecto-de-bases-de-licitacion-publica-para-concesionar-el-uso-aprovechamiento-y-explotacion</w:t>
              </w:r>
            </w:hyperlink>
          </w:p>
          <w:p w14:paraId="4921141C" w14:textId="77777777" w:rsidR="00B0400F" w:rsidRPr="000019BD" w:rsidRDefault="00B0400F" w:rsidP="00EA5CE7">
            <w:pPr>
              <w:ind w:right="2"/>
              <w:jc w:val="both"/>
              <w:rPr>
                <w:rFonts w:ascii="ITC Avant Garde" w:eastAsia="Avant Garde" w:hAnsi="ITC Avant Garde" w:cs="Avant Garde"/>
                <w:color w:val="000000"/>
                <w:sz w:val="20"/>
                <w:szCs w:val="20"/>
                <w:lang w:eastAsia="es-MX"/>
              </w:rPr>
            </w:pPr>
          </w:p>
        </w:tc>
      </w:tr>
    </w:tbl>
    <w:p w14:paraId="392D9466" w14:textId="77777777" w:rsidR="00AF5661" w:rsidRDefault="00AF5661" w:rsidP="00EA5CE7">
      <w:pPr>
        <w:spacing w:after="0" w:line="240" w:lineRule="auto"/>
        <w:rPr>
          <w:rFonts w:ascii="ITC Avant Garde" w:hAnsi="ITC Avant Garde" w:cs="Arial"/>
          <w:b/>
          <w:color w:val="000000"/>
          <w:sz w:val="20"/>
          <w:szCs w:val="20"/>
          <w:u w:val="single"/>
        </w:rPr>
      </w:pPr>
    </w:p>
    <w:tbl>
      <w:tblPr>
        <w:tblStyle w:val="Tablaconcuadrcula1"/>
        <w:tblW w:w="18145" w:type="dxa"/>
        <w:tblInd w:w="-998" w:type="dxa"/>
        <w:tblCellMar>
          <w:top w:w="85" w:type="dxa"/>
          <w:bottom w:w="85" w:type="dxa"/>
        </w:tblCellMar>
        <w:tblLook w:val="06A0" w:firstRow="1" w:lastRow="0" w:firstColumn="1" w:lastColumn="0" w:noHBand="1" w:noVBand="1"/>
      </w:tblPr>
      <w:tblGrid>
        <w:gridCol w:w="2553"/>
        <w:gridCol w:w="8646"/>
        <w:gridCol w:w="6946"/>
      </w:tblGrid>
      <w:tr w:rsidR="00BC3F15" w:rsidRPr="00BC3F15" w14:paraId="22249E8E" w14:textId="77777777" w:rsidTr="00AC4FB7">
        <w:trPr>
          <w:trHeight w:val="113"/>
        </w:trPr>
        <w:tc>
          <w:tcPr>
            <w:tcW w:w="2553" w:type="dxa"/>
            <w:shd w:val="clear" w:color="auto" w:fill="70AD47"/>
            <w:vAlign w:val="center"/>
          </w:tcPr>
          <w:p w14:paraId="5A0E5F01" w14:textId="77777777" w:rsidR="00BC3F15" w:rsidRPr="00BC3F15" w:rsidRDefault="00BC3F15" w:rsidP="00AC4FB7">
            <w:pPr>
              <w:jc w:val="center"/>
              <w:rPr>
                <w:rFonts w:ascii="ITC Avant Garde" w:eastAsia="Calibri" w:hAnsi="ITC Avant Garde" w:cs="Times New Roman"/>
                <w:b/>
                <w:color w:val="FFFFFF"/>
                <w:sz w:val="20"/>
                <w:szCs w:val="18"/>
              </w:rPr>
            </w:pPr>
            <w:r w:rsidRPr="00BC3F15">
              <w:rPr>
                <w:rFonts w:ascii="ITC Avant Garde" w:eastAsia="Calibri" w:hAnsi="ITC Avant Garde" w:cs="Times New Roman"/>
                <w:b/>
                <w:color w:val="FFFFFF"/>
                <w:sz w:val="20"/>
                <w:szCs w:val="18"/>
              </w:rPr>
              <w:t>Tema</w:t>
            </w:r>
          </w:p>
        </w:tc>
        <w:tc>
          <w:tcPr>
            <w:tcW w:w="8646" w:type="dxa"/>
            <w:shd w:val="clear" w:color="auto" w:fill="70AD47"/>
            <w:vAlign w:val="center"/>
          </w:tcPr>
          <w:p w14:paraId="745F8FA3" w14:textId="77777777" w:rsidR="00BC3F15" w:rsidRPr="00BC3F15" w:rsidRDefault="00BC3F15" w:rsidP="00AC4FB7">
            <w:pPr>
              <w:jc w:val="center"/>
              <w:rPr>
                <w:rFonts w:ascii="ITC Avant Garde" w:eastAsia="Calibri" w:hAnsi="ITC Avant Garde" w:cs="Times New Roman"/>
                <w:b/>
                <w:color w:val="FFFFFF"/>
                <w:sz w:val="20"/>
                <w:szCs w:val="18"/>
              </w:rPr>
            </w:pPr>
            <w:r w:rsidRPr="00BC3F15">
              <w:rPr>
                <w:rFonts w:ascii="ITC Avant Garde" w:eastAsia="Calibri" w:hAnsi="ITC Avant Garde" w:cs="Times New Roman"/>
                <w:b/>
                <w:color w:val="FFFFFF"/>
                <w:sz w:val="20"/>
                <w:szCs w:val="18"/>
              </w:rPr>
              <w:t>Comentario participante</w:t>
            </w:r>
          </w:p>
        </w:tc>
        <w:tc>
          <w:tcPr>
            <w:tcW w:w="6946" w:type="dxa"/>
            <w:shd w:val="clear" w:color="auto" w:fill="70AD47"/>
            <w:vAlign w:val="center"/>
          </w:tcPr>
          <w:p w14:paraId="11165E19" w14:textId="77777777" w:rsidR="00BC3F15" w:rsidRPr="00BC3F15" w:rsidRDefault="00BC3F15" w:rsidP="00AC4FB7">
            <w:pPr>
              <w:jc w:val="center"/>
              <w:rPr>
                <w:rFonts w:ascii="ITC Avant Garde" w:eastAsia="Calibri" w:hAnsi="ITC Avant Garde" w:cs="Times New Roman"/>
                <w:b/>
                <w:color w:val="FFFFFF"/>
                <w:sz w:val="20"/>
                <w:szCs w:val="18"/>
              </w:rPr>
            </w:pPr>
            <w:r w:rsidRPr="00BC3F15">
              <w:rPr>
                <w:rFonts w:ascii="ITC Avant Garde" w:eastAsia="Calibri" w:hAnsi="ITC Avant Garde" w:cs="Times New Roman"/>
                <w:b/>
                <w:color w:val="FFFFFF"/>
                <w:sz w:val="20"/>
                <w:szCs w:val="18"/>
              </w:rPr>
              <w:t xml:space="preserve">Respuesta UER </w:t>
            </w:r>
          </w:p>
        </w:tc>
      </w:tr>
      <w:tr w:rsidR="00BC3F15" w:rsidRPr="00BC3F15" w14:paraId="07EC712B" w14:textId="77777777" w:rsidTr="00AC4FB7">
        <w:trPr>
          <w:trHeight w:val="113"/>
        </w:trPr>
        <w:tc>
          <w:tcPr>
            <w:tcW w:w="2553" w:type="dxa"/>
            <w:shd w:val="clear" w:color="auto" w:fill="F2F2F2"/>
            <w:vAlign w:val="center"/>
          </w:tcPr>
          <w:p w14:paraId="3CE3FF68" w14:textId="4408B090" w:rsidR="00BC3F15" w:rsidRPr="00BC3F15" w:rsidRDefault="00BC3F15" w:rsidP="00BC3F15">
            <w:pPr>
              <w:keepNext/>
              <w:keepLines/>
              <w:jc w:val="both"/>
              <w:outlineLvl w:val="2"/>
              <w:rPr>
                <w:rFonts w:ascii="ITC Avant Garde" w:eastAsia="Calibri" w:hAnsi="ITC Avant Garde" w:cs="Times New Roman"/>
                <w:sz w:val="18"/>
                <w:szCs w:val="18"/>
              </w:rPr>
            </w:pPr>
            <w:r w:rsidRPr="00BC3F15">
              <w:rPr>
                <w:rFonts w:ascii="ITC Avant Garde" w:eastAsia="Times New Roman" w:hAnsi="ITC Avant Garde" w:cs="Arial"/>
                <w:b/>
                <w:sz w:val="18"/>
                <w:szCs w:val="18"/>
              </w:rPr>
              <w:t>Uso de un mecanismo de Ofertas Simultáneas Ascendentes de Múltiples por los 41 Bloques que, de darse el caso, podría estar compuesto por hasta dos (2) Concursos (numeral 6.3.2 de las Bases y su Apéndice B).</w:t>
            </w:r>
          </w:p>
        </w:tc>
        <w:tc>
          <w:tcPr>
            <w:tcW w:w="8646" w:type="dxa"/>
            <w:shd w:val="clear" w:color="auto" w:fill="F2F2F2"/>
            <w:vAlign w:val="center"/>
          </w:tcPr>
          <w:p w14:paraId="11C9FEB1" w14:textId="77777777" w:rsidR="00BC3F15" w:rsidRDefault="00BC3F15" w:rsidP="00AC4FB7">
            <w:pPr>
              <w:jc w:val="both"/>
              <w:rPr>
                <w:rFonts w:ascii="ITC Avant Garde" w:eastAsia="Calibri" w:hAnsi="ITC Avant Garde" w:cs="Arial"/>
                <w:b/>
                <w:sz w:val="18"/>
                <w:szCs w:val="18"/>
              </w:rPr>
            </w:pPr>
            <w:r w:rsidRPr="00BC3F15">
              <w:rPr>
                <w:rFonts w:ascii="ITC Avant Garde" w:eastAsia="Calibri" w:hAnsi="ITC Avant Garde" w:cs="Arial"/>
                <w:b/>
                <w:sz w:val="18"/>
                <w:szCs w:val="18"/>
              </w:rPr>
              <w:t>Miguel Tentei Cortés Solórzano</w:t>
            </w:r>
          </w:p>
          <w:p w14:paraId="482CAB23" w14:textId="77777777" w:rsidR="00AC4FB7" w:rsidRPr="00BC3F15" w:rsidRDefault="00AC4FB7" w:rsidP="00AC4FB7">
            <w:pPr>
              <w:jc w:val="both"/>
              <w:rPr>
                <w:rFonts w:ascii="ITC Avant Garde" w:eastAsia="Calibri" w:hAnsi="ITC Avant Garde" w:cs="Arial"/>
                <w:sz w:val="18"/>
                <w:szCs w:val="18"/>
              </w:rPr>
            </w:pPr>
          </w:p>
          <w:p w14:paraId="0D3C91D6" w14:textId="77777777" w:rsidR="00BC3F15" w:rsidRPr="00BC3F15" w:rsidRDefault="00BC3F15" w:rsidP="00AC4FB7">
            <w:pPr>
              <w:jc w:val="both"/>
              <w:rPr>
                <w:rFonts w:ascii="ITC Avant Garde" w:eastAsia="Calibri" w:hAnsi="ITC Avant Garde" w:cs="Arial"/>
                <w:i/>
                <w:sz w:val="18"/>
                <w:szCs w:val="18"/>
              </w:rPr>
            </w:pPr>
            <w:r w:rsidRPr="00BC3F15">
              <w:rPr>
                <w:rFonts w:ascii="ITC Avant Garde" w:eastAsia="Calibri" w:hAnsi="ITC Avant Garde" w:cs="Arial"/>
                <w:i/>
                <w:sz w:val="18"/>
                <w:szCs w:val="18"/>
              </w:rPr>
              <w:t>“El mecanismo de subasta me parece adecuado, sin embargo, resulta imperativo sean licitados los bloques en único concurso, ya que caso contrario volverá a quedar “pedacería espectral” que repercuta en un nuevo remanente de espectro sin asignar y de cuyo interés para los operadores sería totalmente inviable.”</w:t>
            </w:r>
          </w:p>
          <w:p w14:paraId="67B387CC" w14:textId="48D1DAE0" w:rsidR="00BC3F15" w:rsidRPr="00BC3F15" w:rsidRDefault="00BC3F15" w:rsidP="00E26F4C">
            <w:pPr>
              <w:jc w:val="both"/>
              <w:rPr>
                <w:rFonts w:ascii="ITC Avant Garde" w:eastAsia="Calibri" w:hAnsi="ITC Avant Garde" w:cs="Arial"/>
                <w:i/>
                <w:sz w:val="18"/>
                <w:szCs w:val="18"/>
              </w:rPr>
            </w:pPr>
            <w:r w:rsidRPr="00BC3F15">
              <w:rPr>
                <w:rFonts w:ascii="ITC Avant Garde" w:eastAsia="Calibri" w:hAnsi="ITC Avant Garde" w:cs="Arial"/>
                <w:sz w:val="18"/>
                <w:szCs w:val="18"/>
              </w:rPr>
              <w:t xml:space="preserve">En cuanto al mecanismo y las reglas del Procedimiento de Presentación de Ofertas propuesto (establecidas en el Apéndice B de las Bases) para la asignación de segmentos de espectro radioeléctrico, considera que </w:t>
            </w:r>
            <w:r w:rsidRPr="00BC3F15">
              <w:rPr>
                <w:rFonts w:ascii="ITC Avant Garde" w:eastAsia="Calibri" w:hAnsi="ITC Avant Garde" w:cs="Arial"/>
                <w:i/>
                <w:sz w:val="18"/>
                <w:szCs w:val="18"/>
              </w:rPr>
              <w:t>“Resultan satisfactorias; resaltar la transparencia, fomentar la cobertura y la homologación través de mecanismos de exclusión hacia los agentes preponderantes y poner en el foco el fortalecimiento de los actores existentes antes de promover nuevos que sean irrelevantes para gener</w:t>
            </w:r>
            <w:r w:rsidR="00E26F4C">
              <w:rPr>
                <w:rFonts w:ascii="ITC Avant Garde" w:eastAsia="Calibri" w:hAnsi="ITC Avant Garde" w:cs="Arial"/>
                <w:i/>
                <w:sz w:val="18"/>
                <w:szCs w:val="18"/>
              </w:rPr>
              <w:t>ar una verdadera competencia.”</w:t>
            </w:r>
          </w:p>
        </w:tc>
        <w:tc>
          <w:tcPr>
            <w:tcW w:w="6946" w:type="dxa"/>
            <w:shd w:val="clear" w:color="auto" w:fill="F2F2F2"/>
            <w:vAlign w:val="center"/>
          </w:tcPr>
          <w:p w14:paraId="6D6D7AC4" w14:textId="51570EDA" w:rsidR="00BC3F15" w:rsidRDefault="00BC3F15" w:rsidP="00AC4FB7">
            <w:pPr>
              <w:jc w:val="both"/>
              <w:rPr>
                <w:rFonts w:ascii="ITC Avant Garde" w:eastAsia="Calibri" w:hAnsi="ITC Avant Garde" w:cs="Arial"/>
                <w:sz w:val="18"/>
                <w:szCs w:val="18"/>
              </w:rPr>
            </w:pPr>
            <w:r w:rsidRPr="00BC3F15">
              <w:rPr>
                <w:rFonts w:ascii="ITC Avant Garde" w:eastAsia="Calibri" w:hAnsi="ITC Avant Garde" w:cs="Arial"/>
                <w:sz w:val="18"/>
                <w:szCs w:val="18"/>
              </w:rPr>
              <w:t>Respecto a que todos los bloques sean licitados en un mismo concurso, se hace notar que todos los Bloques de espectro estarán disponibles para su asignación durante el primer Concurso. La configuración del Procedimiento de Presentación de Ofertas en dos concursos tiene entre sus objetivos que, en caso, de quedar espectro disponible en el primer concurso este sea ofrecido en el segundo Concurso, considerando un límite de acumulación menos restrictivo, a fin de favorecer la mayor asignación de espectro y evitar bloques desiertos.</w:t>
            </w:r>
          </w:p>
          <w:p w14:paraId="13E192DF" w14:textId="77777777" w:rsidR="00586BBB" w:rsidRPr="00BC3F15" w:rsidRDefault="00586BBB" w:rsidP="00AC4FB7">
            <w:pPr>
              <w:jc w:val="both"/>
              <w:rPr>
                <w:rFonts w:ascii="ITC Avant Garde" w:eastAsia="Calibri" w:hAnsi="ITC Avant Garde" w:cs="Arial"/>
                <w:sz w:val="18"/>
                <w:szCs w:val="18"/>
              </w:rPr>
            </w:pPr>
          </w:p>
          <w:p w14:paraId="1C0BB35B" w14:textId="139E9702" w:rsidR="00BC3F15" w:rsidRPr="00BC3F15" w:rsidRDefault="00BC3F15" w:rsidP="00586BBB">
            <w:pPr>
              <w:jc w:val="both"/>
              <w:rPr>
                <w:rFonts w:ascii="ITC Avant Garde" w:eastAsia="Calibri" w:hAnsi="ITC Avant Garde" w:cs="Arial"/>
                <w:sz w:val="18"/>
                <w:szCs w:val="18"/>
              </w:rPr>
            </w:pPr>
            <w:r w:rsidRPr="00BC3F15">
              <w:rPr>
                <w:rFonts w:ascii="ITC Avant Garde" w:eastAsia="Calibri" w:hAnsi="ITC Avant Garde" w:cs="Arial"/>
                <w:sz w:val="18"/>
                <w:szCs w:val="18"/>
              </w:rPr>
              <w:t>Por otra parte, el Proyecto de Bases tiene como principal objetivo realizar una licitación pública efectiva, transparente y de libre acceso con reglas equitativas para los interesados y participantes,</w:t>
            </w:r>
            <w:r w:rsidRPr="00BC3F15" w:rsidDel="00586BBB">
              <w:rPr>
                <w:rFonts w:ascii="ITC Avant Garde" w:eastAsia="Calibri" w:hAnsi="ITC Avant Garde" w:cs="Arial"/>
                <w:sz w:val="18"/>
                <w:szCs w:val="18"/>
              </w:rPr>
              <w:t xml:space="preserve"> </w:t>
            </w:r>
            <w:r w:rsidRPr="00BC3F15">
              <w:rPr>
                <w:rFonts w:ascii="ITC Avant Garde" w:eastAsia="Calibri" w:hAnsi="ITC Avant Garde" w:cs="Arial"/>
                <w:sz w:val="18"/>
                <w:szCs w:val="18"/>
              </w:rPr>
              <w:t>promov</w:t>
            </w:r>
            <w:r w:rsidR="00586BBB">
              <w:rPr>
                <w:rFonts w:ascii="ITC Avant Garde" w:eastAsia="Calibri" w:hAnsi="ITC Avant Garde" w:cs="Arial"/>
                <w:sz w:val="18"/>
                <w:szCs w:val="18"/>
              </w:rPr>
              <w:t xml:space="preserve">iendo </w:t>
            </w:r>
            <w:r w:rsidRPr="00BC3F15">
              <w:rPr>
                <w:rFonts w:ascii="ITC Avant Garde" w:eastAsia="Calibri" w:hAnsi="ITC Avant Garde" w:cs="Arial"/>
                <w:sz w:val="18"/>
                <w:szCs w:val="18"/>
              </w:rPr>
              <w:t xml:space="preserve"> </w:t>
            </w:r>
            <w:r w:rsidR="00586BBB">
              <w:rPr>
                <w:rFonts w:ascii="ITC Avant Garde" w:eastAsia="Calibri" w:hAnsi="ITC Avant Garde" w:cs="Arial"/>
                <w:sz w:val="18"/>
                <w:szCs w:val="18"/>
              </w:rPr>
              <w:t>el ingreso de nuevos competidores</w:t>
            </w:r>
            <w:r w:rsidRPr="00BC3F15">
              <w:rPr>
                <w:rFonts w:ascii="ITC Avant Garde" w:eastAsia="Calibri" w:hAnsi="ITC Avant Garde" w:cs="Arial"/>
                <w:sz w:val="18"/>
                <w:szCs w:val="18"/>
              </w:rPr>
              <w:t xml:space="preserve">, </w:t>
            </w:r>
            <w:r w:rsidR="00586BBB">
              <w:rPr>
                <w:rFonts w:ascii="ITC Avant Garde" w:eastAsia="Calibri" w:hAnsi="ITC Avant Garde" w:cs="Arial"/>
                <w:sz w:val="18"/>
                <w:szCs w:val="18"/>
              </w:rPr>
              <w:t xml:space="preserve">en atención el mandato </w:t>
            </w:r>
            <w:r w:rsidRPr="00BC3F15">
              <w:rPr>
                <w:rFonts w:ascii="ITC Avant Garde" w:eastAsia="Calibri" w:hAnsi="ITC Avant Garde" w:cs="Arial"/>
                <w:sz w:val="18"/>
                <w:szCs w:val="18"/>
              </w:rPr>
              <w:t>establec</w:t>
            </w:r>
            <w:r w:rsidR="00586BBB">
              <w:rPr>
                <w:rFonts w:ascii="ITC Avant Garde" w:eastAsia="Calibri" w:hAnsi="ITC Avant Garde" w:cs="Arial"/>
                <w:sz w:val="18"/>
                <w:szCs w:val="18"/>
              </w:rPr>
              <w:t>ido en</w:t>
            </w:r>
            <w:r w:rsidRPr="00BC3F15">
              <w:rPr>
                <w:rFonts w:ascii="ITC Avant Garde" w:eastAsia="Calibri" w:hAnsi="ITC Avant Garde" w:cs="Arial"/>
                <w:sz w:val="18"/>
                <w:szCs w:val="18"/>
              </w:rPr>
              <w:t xml:space="preserve"> la Constitución Política de los Estados Unidos Mexicanos</w:t>
            </w:r>
            <w:r w:rsidR="00586BBB">
              <w:rPr>
                <w:rFonts w:ascii="ITC Avant Garde" w:eastAsia="Calibri" w:hAnsi="ITC Avant Garde" w:cs="Arial"/>
                <w:sz w:val="18"/>
                <w:szCs w:val="18"/>
              </w:rPr>
              <w:t xml:space="preserve"> y </w:t>
            </w:r>
            <w:r w:rsidRPr="00BC3F15">
              <w:rPr>
                <w:rFonts w:ascii="ITC Avant Garde" w:eastAsia="Calibri" w:hAnsi="ITC Avant Garde" w:cs="Arial"/>
                <w:sz w:val="18"/>
                <w:szCs w:val="18"/>
              </w:rPr>
              <w:t xml:space="preserve"> la Ley.</w:t>
            </w:r>
          </w:p>
        </w:tc>
      </w:tr>
      <w:tr w:rsidR="00BC3F15" w:rsidRPr="00BC3F15" w14:paraId="39512318" w14:textId="77777777" w:rsidTr="00AC4FB7">
        <w:trPr>
          <w:trHeight w:val="113"/>
        </w:trPr>
        <w:tc>
          <w:tcPr>
            <w:tcW w:w="2553" w:type="dxa"/>
            <w:vMerge w:val="restart"/>
            <w:vAlign w:val="center"/>
          </w:tcPr>
          <w:p w14:paraId="14BE4090" w14:textId="77777777" w:rsidR="00BC3F15" w:rsidRPr="00BC3F15" w:rsidRDefault="00BC3F15" w:rsidP="00AC4FB7">
            <w:pPr>
              <w:jc w:val="center"/>
              <w:rPr>
                <w:rFonts w:ascii="ITC Avant Garde" w:eastAsia="Calibri" w:hAnsi="ITC Avant Garde" w:cs="Times New Roman"/>
                <w:sz w:val="18"/>
                <w:szCs w:val="18"/>
              </w:rPr>
            </w:pPr>
            <w:r w:rsidRPr="00BC3F15">
              <w:rPr>
                <w:rFonts w:ascii="ITC Avant Garde" w:eastAsia="Calibri" w:hAnsi="ITC Avant Garde" w:cs="Arial"/>
                <w:b/>
                <w:sz w:val="18"/>
                <w:szCs w:val="18"/>
              </w:rPr>
              <w:t>Límites de Acumulación de Espectro (numeral 8.2 de las Bases).</w:t>
            </w:r>
          </w:p>
        </w:tc>
        <w:tc>
          <w:tcPr>
            <w:tcW w:w="8646" w:type="dxa"/>
            <w:vAlign w:val="center"/>
          </w:tcPr>
          <w:p w14:paraId="61BF81CB" w14:textId="77777777" w:rsidR="00BC3F15" w:rsidRDefault="00BC3F15" w:rsidP="00AC4FB7">
            <w:pPr>
              <w:jc w:val="both"/>
              <w:rPr>
                <w:rFonts w:ascii="ITC Avant Garde" w:eastAsia="Calibri" w:hAnsi="ITC Avant Garde" w:cs="Arial"/>
                <w:b/>
                <w:sz w:val="18"/>
                <w:szCs w:val="18"/>
              </w:rPr>
            </w:pPr>
            <w:r w:rsidRPr="00BC3F15">
              <w:rPr>
                <w:rFonts w:ascii="ITC Avant Garde" w:eastAsia="Calibri" w:hAnsi="ITC Avant Garde" w:cs="Arial"/>
                <w:b/>
                <w:sz w:val="18"/>
                <w:szCs w:val="18"/>
              </w:rPr>
              <w:t>Miguel Tentei Cortés Solórzano</w:t>
            </w:r>
          </w:p>
          <w:p w14:paraId="18C6316B" w14:textId="77777777" w:rsidR="00AC4FB7" w:rsidRPr="00BC3F15" w:rsidRDefault="00AC4FB7" w:rsidP="00AC4FB7">
            <w:pPr>
              <w:jc w:val="both"/>
              <w:rPr>
                <w:rFonts w:ascii="ITC Avant Garde" w:eastAsia="Calibri" w:hAnsi="ITC Avant Garde" w:cs="Arial"/>
                <w:b/>
                <w:sz w:val="18"/>
                <w:szCs w:val="18"/>
              </w:rPr>
            </w:pPr>
          </w:p>
          <w:p w14:paraId="0AE32C67" w14:textId="77777777" w:rsidR="00BC3F15" w:rsidRPr="00BC3F15" w:rsidRDefault="00BC3F15" w:rsidP="00AC4FB7">
            <w:pPr>
              <w:jc w:val="both"/>
              <w:rPr>
                <w:rFonts w:ascii="ITC Avant Garde" w:eastAsia="Calibri" w:hAnsi="ITC Avant Garde" w:cs="Arial"/>
                <w:i/>
                <w:sz w:val="18"/>
                <w:szCs w:val="18"/>
              </w:rPr>
            </w:pPr>
            <w:r w:rsidRPr="00BC3F15">
              <w:rPr>
                <w:rFonts w:ascii="ITC Avant Garde" w:eastAsia="Calibri" w:hAnsi="ITC Avant Garde" w:cs="Arial"/>
                <w:i/>
                <w:sz w:val="18"/>
                <w:szCs w:val="18"/>
              </w:rPr>
              <w:t>“</w:t>
            </w:r>
            <w:r w:rsidRPr="00783821">
              <w:rPr>
                <w:rFonts w:ascii="ITC Avant Garde" w:eastAsia="Calibri" w:hAnsi="ITC Avant Garde" w:cs="Arial"/>
                <w:i/>
                <w:sz w:val="18"/>
                <w:szCs w:val="18"/>
              </w:rPr>
              <w:t>Per se no debe asignarse candados adicionales a la acumulación espectro, ya que las bandas a ofertar están principalmente diseñadas para tecnologías LTE y enfocadas en capacidad, sin embargo, el fortalecimiento del agente económico preponderante obliga a hacer una cláusula de excepción a América Móvil suscitada por los movimientos laterales que esta ha hecho en el mercado secundario y que este instituto no debió de permitir en primera instancia, movimientos que cabe señalar fueron muy poco transparentes, anticompetitivos y provocaron devoluciones de espectro al estado”.</w:t>
            </w:r>
          </w:p>
        </w:tc>
        <w:tc>
          <w:tcPr>
            <w:tcW w:w="6946" w:type="dxa"/>
            <w:vAlign w:val="center"/>
          </w:tcPr>
          <w:p w14:paraId="75BDFFAA" w14:textId="77777777" w:rsidR="00BC3F15" w:rsidRDefault="00BC3F15" w:rsidP="00BC3F15">
            <w:pPr>
              <w:jc w:val="both"/>
              <w:rPr>
                <w:rFonts w:ascii="ITC Avant Garde" w:eastAsia="Calibri" w:hAnsi="ITC Avant Garde" w:cs="Arial"/>
                <w:sz w:val="18"/>
                <w:szCs w:val="18"/>
              </w:rPr>
            </w:pPr>
            <w:r w:rsidRPr="00BC3F15">
              <w:rPr>
                <w:rFonts w:ascii="ITC Avant Garde" w:eastAsia="Calibri" w:hAnsi="ITC Avant Garde" w:cs="Arial"/>
                <w:sz w:val="18"/>
                <w:szCs w:val="18"/>
              </w:rPr>
              <w:t>El Instituto podrá restringir la participación de un Interesado o, en su caso, Participante cuando, de acuerdo al marco jurídico y a las determinaciones jurídico-económicas aplicables, su participación pueda significar un efecto adverso a la competencia y libre concurrencia o generar concentraciones de espectro radioeléctrico contrarias al interés público.</w:t>
            </w:r>
          </w:p>
          <w:p w14:paraId="671BF680" w14:textId="77777777" w:rsidR="00716674" w:rsidRDefault="00716674" w:rsidP="00BC3F15">
            <w:pPr>
              <w:jc w:val="both"/>
              <w:rPr>
                <w:rFonts w:ascii="ITC Avant Garde" w:eastAsia="Calibri" w:hAnsi="ITC Avant Garde" w:cs="Arial"/>
                <w:sz w:val="18"/>
                <w:szCs w:val="18"/>
              </w:rPr>
            </w:pPr>
          </w:p>
          <w:p w14:paraId="3CA5A253" w14:textId="117C007E" w:rsidR="00BC3F15" w:rsidRPr="00BC3F15" w:rsidRDefault="00716674" w:rsidP="00BC3F15">
            <w:pPr>
              <w:jc w:val="both"/>
              <w:rPr>
                <w:rFonts w:ascii="ITC Avant Garde" w:eastAsia="Calibri" w:hAnsi="ITC Avant Garde" w:cs="Arial"/>
                <w:i/>
                <w:sz w:val="18"/>
                <w:szCs w:val="18"/>
              </w:rPr>
            </w:pPr>
            <w:r>
              <w:rPr>
                <w:rFonts w:ascii="ITC Avant Garde" w:eastAsia="Calibri" w:hAnsi="ITC Avant Garde" w:cs="Arial"/>
                <w:sz w:val="18"/>
                <w:szCs w:val="18"/>
              </w:rPr>
              <w:t xml:space="preserve">El numeral 8. </w:t>
            </w:r>
            <w:r w:rsidRPr="00716674">
              <w:rPr>
                <w:rFonts w:ascii="ITC Avant Garde" w:eastAsia="Calibri" w:hAnsi="ITC Avant Garde" w:cs="Arial"/>
                <w:i/>
                <w:sz w:val="18"/>
                <w:szCs w:val="18"/>
              </w:rPr>
              <w:t>Limitantes de Participación en la Licitación</w:t>
            </w:r>
            <w:r>
              <w:rPr>
                <w:rFonts w:ascii="ITC Avant Garde" w:eastAsia="Calibri" w:hAnsi="ITC Avant Garde" w:cs="Arial"/>
                <w:sz w:val="18"/>
                <w:szCs w:val="18"/>
              </w:rPr>
              <w:t xml:space="preserve"> del </w:t>
            </w:r>
            <w:r w:rsidR="0060005B">
              <w:rPr>
                <w:rFonts w:ascii="ITC Avant Garde" w:eastAsia="Calibri" w:hAnsi="ITC Avant Garde" w:cs="Arial"/>
                <w:sz w:val="18"/>
                <w:szCs w:val="18"/>
              </w:rPr>
              <w:t>Proyecto de Bases</w:t>
            </w:r>
            <w:r>
              <w:rPr>
                <w:rFonts w:ascii="ITC Avant Garde" w:eastAsia="Calibri" w:hAnsi="ITC Avant Garde" w:cs="Arial"/>
                <w:sz w:val="18"/>
                <w:szCs w:val="18"/>
              </w:rPr>
              <w:t xml:space="preserve"> señala las reglas generales bajo las cuales se </w:t>
            </w:r>
            <w:r w:rsidRPr="00716674">
              <w:rPr>
                <w:rFonts w:ascii="ITC Avant Garde" w:eastAsia="Calibri" w:hAnsi="ITC Avant Garde" w:cs="Arial"/>
                <w:sz w:val="18"/>
                <w:szCs w:val="18"/>
              </w:rPr>
              <w:t>podrá restringir la participación, de acuerdo al marco jurídico</w:t>
            </w:r>
            <w:r>
              <w:rPr>
                <w:rFonts w:ascii="ITC Avant Garde" w:eastAsia="Calibri" w:hAnsi="ITC Avant Garde" w:cs="Arial"/>
                <w:sz w:val="18"/>
                <w:szCs w:val="18"/>
              </w:rPr>
              <w:t>.</w:t>
            </w:r>
          </w:p>
        </w:tc>
      </w:tr>
      <w:tr w:rsidR="00BC3F15" w:rsidRPr="00BC3F15" w14:paraId="7A33C41C" w14:textId="77777777" w:rsidTr="005A10E6">
        <w:trPr>
          <w:trHeight w:val="1181"/>
        </w:trPr>
        <w:tc>
          <w:tcPr>
            <w:tcW w:w="2553" w:type="dxa"/>
            <w:vMerge/>
            <w:vAlign w:val="center"/>
          </w:tcPr>
          <w:p w14:paraId="78BC1A7E" w14:textId="77777777" w:rsidR="00BC3F15" w:rsidRPr="00BC3F15" w:rsidRDefault="00BC3F15" w:rsidP="00AC4FB7">
            <w:pPr>
              <w:jc w:val="center"/>
              <w:rPr>
                <w:rFonts w:ascii="ITC Avant Garde" w:eastAsia="Calibri" w:hAnsi="ITC Avant Garde" w:cs="Times New Roman"/>
                <w:sz w:val="18"/>
                <w:szCs w:val="18"/>
              </w:rPr>
            </w:pPr>
          </w:p>
        </w:tc>
        <w:tc>
          <w:tcPr>
            <w:tcW w:w="8646" w:type="dxa"/>
            <w:vAlign w:val="center"/>
          </w:tcPr>
          <w:p w14:paraId="63515E9D" w14:textId="77777777" w:rsidR="00BC3F15" w:rsidRDefault="00BC3F15" w:rsidP="00AC4FB7">
            <w:pPr>
              <w:jc w:val="both"/>
              <w:rPr>
                <w:rFonts w:ascii="ITC Avant Garde" w:eastAsia="Calibri" w:hAnsi="ITC Avant Garde" w:cs="Arial"/>
                <w:b/>
                <w:sz w:val="18"/>
                <w:szCs w:val="18"/>
              </w:rPr>
            </w:pPr>
            <w:r w:rsidRPr="00BC3F15">
              <w:rPr>
                <w:rFonts w:ascii="ITC Avant Garde" w:eastAsia="Calibri" w:hAnsi="ITC Avant Garde" w:cs="Arial"/>
                <w:b/>
                <w:sz w:val="18"/>
                <w:szCs w:val="18"/>
              </w:rPr>
              <w:t>Altán Redes</w:t>
            </w:r>
          </w:p>
          <w:p w14:paraId="55DA25E6" w14:textId="77777777" w:rsidR="00AC4FB7" w:rsidRPr="00BC3F15" w:rsidRDefault="00AC4FB7" w:rsidP="00AC4FB7">
            <w:pPr>
              <w:jc w:val="both"/>
              <w:rPr>
                <w:rFonts w:ascii="ITC Avant Garde" w:eastAsia="Calibri" w:hAnsi="ITC Avant Garde" w:cs="Arial"/>
                <w:b/>
                <w:sz w:val="18"/>
                <w:szCs w:val="18"/>
              </w:rPr>
            </w:pPr>
          </w:p>
          <w:p w14:paraId="43A79D34" w14:textId="31055554" w:rsidR="00BC3F15" w:rsidRDefault="00BC3F15" w:rsidP="00AC4FB7">
            <w:pPr>
              <w:jc w:val="both"/>
              <w:rPr>
                <w:rFonts w:ascii="ITC Avant Garde" w:eastAsia="Calibri" w:hAnsi="ITC Avant Garde" w:cs="Arial"/>
                <w:i/>
                <w:sz w:val="18"/>
                <w:szCs w:val="18"/>
              </w:rPr>
            </w:pPr>
            <w:r w:rsidRPr="00BC3F15">
              <w:rPr>
                <w:rFonts w:ascii="ITC Avant Garde" w:eastAsia="Calibri" w:hAnsi="ITC Avant Garde" w:cs="Arial"/>
                <w:i/>
                <w:sz w:val="18"/>
                <w:szCs w:val="18"/>
              </w:rPr>
              <w:t xml:space="preserve">“En el análisis de concentración de espectro, se reitera que es necesario excluir de la base de cálculo del índice de concentración el espectro que esté siendo utilizado de forma compartida. A efectos de concentración de la tenencia del espectro, el espectro operado por RCM no puede incluirse como si fuera un concesionario en competencia con los concesionarios integrados, sino que debe excluirse de la base de cálculo de los análisis. Resulta poco acertado el análisis sobre </w:t>
            </w:r>
            <w:r w:rsidRPr="00BC3F15">
              <w:rPr>
                <w:rFonts w:ascii="ITC Avant Garde" w:eastAsia="Calibri" w:hAnsi="ITC Avant Garde" w:cs="Arial"/>
                <w:i/>
                <w:sz w:val="18"/>
                <w:szCs w:val="18"/>
              </w:rPr>
              <w:lastRenderedPageBreak/>
              <w:t>el Limite de Acumulación de Espectro establecido en el Proyecto de las Bases de Licitación, en particular por las siguientes razones:</w:t>
            </w:r>
          </w:p>
          <w:p w14:paraId="34A74CB6" w14:textId="77777777" w:rsidR="00676ACE" w:rsidRPr="00BC3F15" w:rsidRDefault="00676ACE" w:rsidP="00AC4FB7">
            <w:pPr>
              <w:jc w:val="both"/>
              <w:rPr>
                <w:rFonts w:ascii="ITC Avant Garde" w:eastAsia="Calibri" w:hAnsi="ITC Avant Garde" w:cs="Arial"/>
                <w:i/>
                <w:sz w:val="18"/>
                <w:szCs w:val="18"/>
              </w:rPr>
            </w:pPr>
          </w:p>
          <w:p w14:paraId="1046AA83" w14:textId="77777777" w:rsidR="00BC3F15" w:rsidRPr="00BC3F15" w:rsidRDefault="00BC3F15" w:rsidP="00AC4FB7">
            <w:pPr>
              <w:ind w:left="708"/>
              <w:jc w:val="both"/>
              <w:rPr>
                <w:rFonts w:ascii="ITC Avant Garde" w:eastAsia="Calibri" w:hAnsi="ITC Avant Garde" w:cs="Arial"/>
                <w:i/>
                <w:sz w:val="18"/>
                <w:szCs w:val="18"/>
              </w:rPr>
            </w:pPr>
            <w:r w:rsidRPr="00BC3F15">
              <w:rPr>
                <w:rFonts w:ascii="ITC Avant Garde" w:eastAsia="Calibri" w:hAnsi="ITC Avant Garde" w:cs="Arial"/>
                <w:i/>
                <w:sz w:val="18"/>
                <w:szCs w:val="18"/>
              </w:rPr>
              <w:t>• Se toma en consideración para determinar el porcentaje de acumulación de espectro el correspondiente a los 70 MHz de la banda de 600 MHz, cuando dicho espectro aún no ha sido licitado y asignado a ningún concesionario.</w:t>
            </w:r>
          </w:p>
          <w:p w14:paraId="0208162C" w14:textId="77777777" w:rsidR="00BC3F15" w:rsidRPr="00BC3F15" w:rsidRDefault="00BC3F15" w:rsidP="00AC4FB7">
            <w:pPr>
              <w:ind w:left="708"/>
              <w:jc w:val="both"/>
              <w:rPr>
                <w:rFonts w:ascii="ITC Avant Garde" w:eastAsia="Calibri" w:hAnsi="ITC Avant Garde" w:cs="Arial"/>
                <w:i/>
                <w:sz w:val="18"/>
                <w:szCs w:val="18"/>
              </w:rPr>
            </w:pPr>
            <w:r w:rsidRPr="00BC3F15">
              <w:rPr>
                <w:rFonts w:ascii="ITC Avant Garde" w:eastAsia="Calibri" w:hAnsi="ITC Avant Garde" w:cs="Arial"/>
                <w:i/>
                <w:sz w:val="18"/>
                <w:szCs w:val="18"/>
              </w:rPr>
              <w:t>• No se toma en consideración el reciente acuerdo celebrado entre Telefónica y AT&amp;T, por virtud del cual Telefónica pretende regresar paulatinamente parte o la totalidad del espectro que hoy día tiene asignado.</w:t>
            </w:r>
          </w:p>
          <w:p w14:paraId="0B473A67" w14:textId="77777777" w:rsidR="00BC3F15" w:rsidRPr="00BC3F15" w:rsidRDefault="00BC3F15" w:rsidP="00AC4FB7">
            <w:pPr>
              <w:ind w:left="708"/>
              <w:jc w:val="both"/>
              <w:rPr>
                <w:rFonts w:ascii="ITC Avant Garde" w:eastAsia="Calibri" w:hAnsi="ITC Avant Garde" w:cs="Arial"/>
                <w:i/>
                <w:sz w:val="18"/>
                <w:szCs w:val="18"/>
              </w:rPr>
            </w:pPr>
            <w:r w:rsidRPr="00BC3F15">
              <w:rPr>
                <w:rFonts w:ascii="ITC Avant Garde" w:eastAsia="Calibri" w:hAnsi="ITC Avant Garde" w:cs="Arial"/>
                <w:i/>
                <w:sz w:val="18"/>
                <w:szCs w:val="18"/>
              </w:rPr>
              <w:t>• Se toma en consideración en dicho análisis la banda de 700 MHz, cuando este debería de ser excluido por las razones expuestas en este apartado”.</w:t>
            </w:r>
          </w:p>
        </w:tc>
        <w:tc>
          <w:tcPr>
            <w:tcW w:w="6946" w:type="dxa"/>
            <w:shd w:val="clear" w:color="auto" w:fill="auto"/>
            <w:vAlign w:val="center"/>
          </w:tcPr>
          <w:p w14:paraId="46983F89" w14:textId="7711601C" w:rsidR="00BC3F15" w:rsidRDefault="00BC3F15" w:rsidP="00AC4FB7">
            <w:pPr>
              <w:jc w:val="both"/>
              <w:rPr>
                <w:rFonts w:ascii="ITC Avant Garde" w:eastAsia="Calibri" w:hAnsi="ITC Avant Garde" w:cs="Arial"/>
                <w:sz w:val="18"/>
                <w:szCs w:val="18"/>
              </w:rPr>
            </w:pPr>
            <w:r w:rsidRPr="0041424D">
              <w:rPr>
                <w:rFonts w:ascii="ITC Avant Garde" w:eastAsia="Calibri" w:hAnsi="ITC Avant Garde" w:cs="Arial"/>
                <w:sz w:val="18"/>
                <w:szCs w:val="18"/>
              </w:rPr>
              <w:lastRenderedPageBreak/>
              <w:t xml:space="preserve">Respecto a la información contenida en la Tabla 9 del </w:t>
            </w:r>
            <w:r w:rsidR="0060005B">
              <w:rPr>
                <w:rFonts w:ascii="ITC Avant Garde" w:eastAsia="Calibri" w:hAnsi="ITC Avant Garde" w:cs="Arial"/>
                <w:sz w:val="18"/>
                <w:szCs w:val="18"/>
              </w:rPr>
              <w:t>Proyecto de Bases</w:t>
            </w:r>
            <w:r w:rsidRPr="0041424D">
              <w:rPr>
                <w:rFonts w:ascii="ITC Avant Garde" w:eastAsia="Calibri" w:hAnsi="ITC Avant Garde" w:cs="Arial"/>
                <w:sz w:val="18"/>
                <w:szCs w:val="18"/>
              </w:rPr>
              <w:t xml:space="preserve"> de la Licitación objeto de la consulta pública, se incluye la </w:t>
            </w:r>
            <w:r w:rsidRPr="0041424D">
              <w:rPr>
                <w:rFonts w:ascii="ITC Avant Garde" w:eastAsia="Calibri" w:hAnsi="ITC Avant Garde" w:cs="Arial"/>
                <w:b/>
                <w:sz w:val="18"/>
                <w:szCs w:val="18"/>
              </w:rPr>
              <w:t>información que ejemplifica la tenencia espectral en Bandas de Frecuencias para la prestación del servicio de Acceso Inalámbrico</w:t>
            </w:r>
            <w:r w:rsidR="00C354DE">
              <w:rPr>
                <w:rFonts w:ascii="ITC Avant Garde" w:eastAsia="Calibri" w:hAnsi="ITC Avant Garde" w:cs="Arial"/>
                <w:b/>
                <w:sz w:val="18"/>
                <w:szCs w:val="18"/>
              </w:rPr>
              <w:t xml:space="preserve"> móvil</w:t>
            </w:r>
            <w:r w:rsidRPr="0041424D">
              <w:rPr>
                <w:rFonts w:ascii="ITC Avant Garde" w:eastAsia="Calibri" w:hAnsi="ITC Avant Garde" w:cs="Arial"/>
                <w:sz w:val="18"/>
                <w:szCs w:val="18"/>
              </w:rPr>
              <w:t xml:space="preserve"> y que será actualizada, en su caso, a la fecha de la aprobación de estas Bases. En este sentido, se incluye cantidad de espectro concesionado </w:t>
            </w:r>
            <w:r w:rsidR="00C9470E" w:rsidRPr="0041424D">
              <w:rPr>
                <w:rFonts w:ascii="ITC Avant Garde" w:eastAsia="Calibri" w:hAnsi="ITC Avant Garde" w:cs="Arial"/>
                <w:sz w:val="18"/>
                <w:szCs w:val="18"/>
              </w:rPr>
              <w:t>o</w:t>
            </w:r>
            <w:r w:rsidRPr="0041424D">
              <w:rPr>
                <w:rFonts w:ascii="ITC Avant Garde" w:eastAsia="Calibri" w:hAnsi="ITC Avant Garde" w:cs="Arial"/>
                <w:sz w:val="18"/>
                <w:szCs w:val="18"/>
              </w:rPr>
              <w:t xml:space="preserve"> disponible</w:t>
            </w:r>
            <w:r w:rsidR="00C9470E" w:rsidRPr="0041424D">
              <w:rPr>
                <w:rFonts w:ascii="ITC Avant Garde" w:eastAsia="Calibri" w:hAnsi="ITC Avant Garde" w:cs="Arial"/>
                <w:sz w:val="18"/>
                <w:szCs w:val="18"/>
              </w:rPr>
              <w:t>,</w:t>
            </w:r>
            <w:r w:rsidRPr="0041424D">
              <w:rPr>
                <w:rFonts w:ascii="ITC Avant Garde" w:eastAsia="Calibri" w:hAnsi="ITC Avant Garde" w:cs="Arial"/>
                <w:sz w:val="18"/>
                <w:szCs w:val="18"/>
              </w:rPr>
              <w:t xml:space="preserve"> </w:t>
            </w:r>
            <w:r w:rsidRPr="0041424D">
              <w:rPr>
                <w:rFonts w:ascii="ITC Avant Garde" w:eastAsia="Calibri" w:hAnsi="ITC Avant Garde" w:cs="Arial"/>
                <w:sz w:val="18"/>
                <w:szCs w:val="18"/>
                <w:lang w:eastAsia="es-MX"/>
              </w:rPr>
              <w:t>calculados a nivel nacional</w:t>
            </w:r>
            <w:r w:rsidRPr="0041424D">
              <w:rPr>
                <w:rFonts w:ascii="ITC Avant Garde" w:eastAsia="Calibri" w:hAnsi="ITC Avant Garde" w:cs="Arial"/>
                <w:sz w:val="18"/>
                <w:szCs w:val="18"/>
              </w:rPr>
              <w:t xml:space="preserve">, que será utilizada para el cálculo de la acumulación de espectro </w:t>
            </w:r>
            <w:r w:rsidRPr="0041424D">
              <w:rPr>
                <w:rFonts w:ascii="ITC Avant Garde" w:eastAsia="Calibri" w:hAnsi="ITC Avant Garde" w:cs="Arial"/>
                <w:sz w:val="18"/>
                <w:szCs w:val="18"/>
              </w:rPr>
              <w:lastRenderedPageBreak/>
              <w:t>tenga la</w:t>
            </w:r>
            <w:r w:rsidRPr="0041424D">
              <w:rPr>
                <w:rFonts w:ascii="ITC Avant Garde" w:eastAsia="Calibri" w:hAnsi="ITC Avant Garde" w:cs="Arial"/>
                <w:sz w:val="18"/>
                <w:szCs w:val="18"/>
                <w:lang w:eastAsia="es-MX"/>
              </w:rPr>
              <w:t xml:space="preserve"> </w:t>
            </w:r>
            <w:r w:rsidRPr="0041424D">
              <w:rPr>
                <w:rFonts w:ascii="ITC Avant Garde" w:eastAsia="Calibri" w:hAnsi="ITC Avant Garde" w:cs="Arial"/>
                <w:sz w:val="18"/>
                <w:szCs w:val="18"/>
              </w:rPr>
              <w:t>atribución para prestar el servicio de Acceso Inalámbrico, independientemente de</w:t>
            </w:r>
            <w:r w:rsidR="00C9470E" w:rsidRPr="0041424D">
              <w:rPr>
                <w:rFonts w:ascii="ITC Avant Garde" w:eastAsia="Calibri" w:hAnsi="ITC Avant Garde" w:cs="Arial"/>
                <w:sz w:val="18"/>
                <w:szCs w:val="18"/>
              </w:rPr>
              <w:t xml:space="preserve"> </w:t>
            </w:r>
            <w:r w:rsidRPr="0041424D">
              <w:rPr>
                <w:rFonts w:ascii="ITC Avant Garde" w:eastAsia="Calibri" w:hAnsi="ITC Avant Garde" w:cs="Arial"/>
                <w:sz w:val="18"/>
                <w:szCs w:val="18"/>
              </w:rPr>
              <w:t>l</w:t>
            </w:r>
            <w:r w:rsidR="00C9470E" w:rsidRPr="0041424D">
              <w:rPr>
                <w:rFonts w:ascii="ITC Avant Garde" w:eastAsia="Calibri" w:hAnsi="ITC Avant Garde" w:cs="Arial"/>
                <w:sz w:val="18"/>
                <w:szCs w:val="18"/>
              </w:rPr>
              <w:t>a naturaleza del</w:t>
            </w:r>
            <w:r w:rsidRPr="0041424D">
              <w:rPr>
                <w:rFonts w:ascii="ITC Avant Garde" w:eastAsia="Calibri" w:hAnsi="ITC Avant Garde" w:cs="Arial"/>
                <w:sz w:val="18"/>
                <w:szCs w:val="18"/>
              </w:rPr>
              <w:t xml:space="preserve"> concesionario </w:t>
            </w:r>
            <w:r w:rsidR="00C9470E" w:rsidRPr="0041424D">
              <w:rPr>
                <w:rFonts w:ascii="ITC Avant Garde" w:eastAsia="Calibri" w:hAnsi="ITC Avant Garde" w:cs="Arial"/>
                <w:sz w:val="18"/>
                <w:szCs w:val="18"/>
              </w:rPr>
              <w:t>que posea un título habilitante en determinada</w:t>
            </w:r>
            <w:r w:rsidRPr="0041424D">
              <w:rPr>
                <w:rFonts w:ascii="ITC Avant Garde" w:eastAsia="Calibri" w:hAnsi="ITC Avant Garde" w:cs="Arial"/>
                <w:sz w:val="18"/>
                <w:szCs w:val="18"/>
              </w:rPr>
              <w:t xml:space="preserve"> banda.</w:t>
            </w:r>
          </w:p>
          <w:p w14:paraId="50FBF4A0" w14:textId="0F092EF4" w:rsidR="00021816" w:rsidRDefault="00021816" w:rsidP="00AC4FB7">
            <w:pPr>
              <w:jc w:val="both"/>
              <w:rPr>
                <w:rFonts w:ascii="ITC Avant Garde" w:eastAsia="Calibri" w:hAnsi="ITC Avant Garde" w:cs="Arial"/>
                <w:sz w:val="18"/>
                <w:szCs w:val="18"/>
              </w:rPr>
            </w:pPr>
          </w:p>
          <w:p w14:paraId="7E743927" w14:textId="4CD6AE9A" w:rsidR="00021816" w:rsidRDefault="0098676F" w:rsidP="00021816">
            <w:pPr>
              <w:jc w:val="both"/>
              <w:rPr>
                <w:rFonts w:ascii="ITC Avant Garde" w:eastAsia="Calibri" w:hAnsi="ITC Avant Garde" w:cs="Arial"/>
                <w:sz w:val="18"/>
                <w:szCs w:val="18"/>
              </w:rPr>
            </w:pPr>
            <w:r>
              <w:rPr>
                <w:rFonts w:ascii="ITC Avant Garde" w:eastAsia="Calibri" w:hAnsi="ITC Avant Garde" w:cs="Arial"/>
                <w:sz w:val="18"/>
                <w:szCs w:val="18"/>
              </w:rPr>
              <w:t>Con</w:t>
            </w:r>
            <w:r w:rsidR="00021816" w:rsidRPr="00021816">
              <w:rPr>
                <w:rFonts w:ascii="ITC Avant Garde" w:eastAsia="Calibri" w:hAnsi="ITC Avant Garde" w:cs="Arial"/>
                <w:sz w:val="18"/>
                <w:szCs w:val="18"/>
              </w:rPr>
              <w:t xml:space="preserve"> </w:t>
            </w:r>
            <w:r>
              <w:rPr>
                <w:rFonts w:ascii="ITC Avant Garde" w:eastAsia="Calibri" w:hAnsi="ITC Avant Garde" w:cs="Arial"/>
                <w:sz w:val="18"/>
                <w:szCs w:val="18"/>
              </w:rPr>
              <w:t>relación a</w:t>
            </w:r>
            <w:r w:rsidR="00021816" w:rsidRPr="00021816">
              <w:rPr>
                <w:rFonts w:ascii="ITC Avant Garde" w:eastAsia="Calibri" w:hAnsi="ITC Avant Garde" w:cs="Arial"/>
                <w:sz w:val="18"/>
                <w:szCs w:val="18"/>
              </w:rPr>
              <w:t xml:space="preserve">l espectro disponible, </w:t>
            </w:r>
            <w:r>
              <w:rPr>
                <w:rFonts w:ascii="ITC Avant Garde" w:eastAsia="Calibri" w:hAnsi="ITC Avant Garde" w:cs="Arial"/>
                <w:sz w:val="18"/>
                <w:szCs w:val="18"/>
              </w:rPr>
              <w:t xml:space="preserve">en las Bases </w:t>
            </w:r>
            <w:r w:rsidR="00021816" w:rsidRPr="00021816">
              <w:rPr>
                <w:rFonts w:ascii="ITC Avant Garde" w:eastAsia="Calibri" w:hAnsi="ITC Avant Garde" w:cs="Arial"/>
                <w:sz w:val="18"/>
                <w:szCs w:val="18"/>
              </w:rPr>
              <w:t>se consideran las bandas de</w:t>
            </w:r>
            <w:r>
              <w:rPr>
                <w:rFonts w:ascii="ITC Avant Garde" w:eastAsia="Calibri" w:hAnsi="ITC Avant Garde" w:cs="Arial"/>
                <w:sz w:val="18"/>
                <w:szCs w:val="18"/>
              </w:rPr>
              <w:t xml:space="preserve"> frecuencias del</w:t>
            </w:r>
            <w:r w:rsidR="00021816" w:rsidRPr="00021816">
              <w:rPr>
                <w:rFonts w:ascii="ITC Avant Garde" w:eastAsia="Calibri" w:hAnsi="ITC Avant Garde" w:cs="Arial"/>
                <w:sz w:val="18"/>
                <w:szCs w:val="18"/>
              </w:rPr>
              <w:t xml:space="preserve"> espectro radioeléctrico que podrían ser utilizadas para los usos relevantes por los competidores actuales o entrantes en un horizonte de tiemp</w:t>
            </w:r>
            <w:r w:rsidR="00F9209E">
              <w:rPr>
                <w:rFonts w:ascii="ITC Avant Garde" w:eastAsia="Calibri" w:hAnsi="ITC Avant Garde" w:cs="Arial"/>
                <w:sz w:val="18"/>
                <w:szCs w:val="18"/>
              </w:rPr>
              <w:t>o razonable. El horizonte o perí</w:t>
            </w:r>
            <w:r w:rsidR="00021816" w:rsidRPr="00021816">
              <w:rPr>
                <w:rFonts w:ascii="ITC Avant Garde" w:eastAsia="Calibri" w:hAnsi="ITC Avant Garde" w:cs="Arial"/>
                <w:sz w:val="18"/>
                <w:szCs w:val="18"/>
              </w:rPr>
              <w:t>odo de tiempo razonable se determina caso por caso, con el objeto de identificar y evaluar la totalidad de los efectos de las licitaciones en los mercados involucrados</w:t>
            </w:r>
            <w:r w:rsidR="00E85FC5">
              <w:rPr>
                <w:rFonts w:ascii="ITC Avant Garde" w:eastAsia="Calibri" w:hAnsi="ITC Avant Garde" w:cs="Arial"/>
                <w:sz w:val="18"/>
                <w:szCs w:val="18"/>
              </w:rPr>
              <w:t>.</w:t>
            </w:r>
          </w:p>
          <w:p w14:paraId="71659DBB" w14:textId="77777777" w:rsidR="00F9209E" w:rsidRPr="00021816" w:rsidRDefault="00F9209E" w:rsidP="00021816">
            <w:pPr>
              <w:jc w:val="both"/>
              <w:rPr>
                <w:rFonts w:ascii="ITC Avant Garde" w:eastAsia="Calibri" w:hAnsi="ITC Avant Garde" w:cs="Arial"/>
                <w:sz w:val="18"/>
                <w:szCs w:val="18"/>
              </w:rPr>
            </w:pPr>
          </w:p>
          <w:p w14:paraId="3BDE87AC" w14:textId="0F092055" w:rsidR="00C9470E" w:rsidRPr="0041424D" w:rsidRDefault="00021816" w:rsidP="00676ACE">
            <w:pPr>
              <w:jc w:val="both"/>
              <w:rPr>
                <w:rFonts w:ascii="ITC Avant Garde" w:eastAsia="Calibri" w:hAnsi="ITC Avant Garde" w:cs="Arial"/>
                <w:sz w:val="18"/>
                <w:szCs w:val="18"/>
              </w:rPr>
            </w:pPr>
            <w:r w:rsidRPr="00021816">
              <w:rPr>
                <w:rFonts w:ascii="ITC Avant Garde" w:eastAsia="Calibri" w:hAnsi="ITC Avant Garde" w:cs="Arial"/>
                <w:sz w:val="18"/>
                <w:szCs w:val="18"/>
              </w:rPr>
              <w:t xml:space="preserve">De acuerdo con precedentes decisorios del Instituto, </w:t>
            </w:r>
            <w:r w:rsidR="0098676F">
              <w:rPr>
                <w:rFonts w:ascii="ITC Avant Garde" w:eastAsia="Calibri" w:hAnsi="ITC Avant Garde" w:cs="Arial"/>
                <w:sz w:val="18"/>
                <w:szCs w:val="18"/>
              </w:rPr>
              <w:t xml:space="preserve">se ha determinado como </w:t>
            </w:r>
            <w:r w:rsidRPr="00021816">
              <w:rPr>
                <w:rFonts w:ascii="ITC Avant Garde" w:eastAsia="Calibri" w:hAnsi="ITC Avant Garde" w:cs="Arial"/>
                <w:sz w:val="18"/>
                <w:szCs w:val="18"/>
              </w:rPr>
              <w:t>horizonte de tiempo razonable dos años. Esto es, no sólo se considera todo el espectro existente, sino aquel que</w:t>
            </w:r>
            <w:r w:rsidR="0098676F">
              <w:rPr>
                <w:rFonts w:ascii="ITC Avant Garde" w:eastAsia="Calibri" w:hAnsi="ITC Avant Garde" w:cs="Arial"/>
                <w:sz w:val="18"/>
                <w:szCs w:val="18"/>
              </w:rPr>
              <w:t>,</w:t>
            </w:r>
            <w:r w:rsidRPr="00021816">
              <w:rPr>
                <w:rFonts w:ascii="ITC Avant Garde" w:eastAsia="Calibri" w:hAnsi="ITC Avant Garde" w:cs="Arial"/>
                <w:sz w:val="18"/>
                <w:szCs w:val="18"/>
              </w:rPr>
              <w:t xml:space="preserve"> en un plazo de dos años a partir del asunto analizado</w:t>
            </w:r>
            <w:r w:rsidR="0098676F">
              <w:rPr>
                <w:rFonts w:ascii="ITC Avant Garde" w:eastAsia="Calibri" w:hAnsi="ITC Avant Garde" w:cs="Arial"/>
                <w:sz w:val="18"/>
                <w:szCs w:val="18"/>
              </w:rPr>
              <w:t>,</w:t>
            </w:r>
            <w:r w:rsidRPr="00021816">
              <w:rPr>
                <w:rFonts w:ascii="ITC Avant Garde" w:eastAsia="Calibri" w:hAnsi="ITC Avant Garde" w:cs="Arial"/>
                <w:sz w:val="18"/>
                <w:szCs w:val="18"/>
              </w:rPr>
              <w:t xml:space="preserve"> previsiblemente</w:t>
            </w:r>
            <w:r w:rsidR="0098676F">
              <w:rPr>
                <w:rFonts w:ascii="ITC Avant Garde" w:eastAsia="Calibri" w:hAnsi="ITC Avant Garde" w:cs="Arial"/>
                <w:sz w:val="18"/>
                <w:szCs w:val="18"/>
              </w:rPr>
              <w:t>,</w:t>
            </w:r>
            <w:r w:rsidRPr="00021816">
              <w:rPr>
                <w:rFonts w:ascii="ITC Avant Garde" w:eastAsia="Calibri" w:hAnsi="ITC Avant Garde" w:cs="Arial"/>
                <w:sz w:val="18"/>
                <w:szCs w:val="18"/>
              </w:rPr>
              <w:t xml:space="preserve"> </w:t>
            </w:r>
            <w:r w:rsidR="005A10E6">
              <w:rPr>
                <w:rFonts w:ascii="ITC Avant Garde" w:eastAsia="Calibri" w:hAnsi="ITC Avant Garde" w:cs="Arial"/>
                <w:sz w:val="18"/>
                <w:szCs w:val="18"/>
              </w:rPr>
              <w:t>podrá ser</w:t>
            </w:r>
            <w:r w:rsidRPr="00021816">
              <w:rPr>
                <w:rFonts w:ascii="ITC Avant Garde" w:eastAsia="Calibri" w:hAnsi="ITC Avant Garde" w:cs="Arial"/>
                <w:sz w:val="18"/>
                <w:szCs w:val="18"/>
              </w:rPr>
              <w:t xml:space="preserve"> puesto a disposición </w:t>
            </w:r>
            <w:r w:rsidR="00C354DE">
              <w:rPr>
                <w:rFonts w:ascii="ITC Avant Garde" w:eastAsia="Calibri" w:hAnsi="ITC Avant Garde" w:cs="Arial"/>
                <w:sz w:val="18"/>
                <w:szCs w:val="18"/>
              </w:rPr>
              <w:t>del mercado</w:t>
            </w:r>
            <w:r w:rsidRPr="00021816">
              <w:rPr>
                <w:rFonts w:ascii="ITC Avant Garde" w:eastAsia="Calibri" w:hAnsi="ITC Avant Garde" w:cs="Arial"/>
                <w:sz w:val="18"/>
                <w:szCs w:val="18"/>
              </w:rPr>
              <w:t xml:space="preserve"> (</w:t>
            </w:r>
            <w:r w:rsidR="00C354DE">
              <w:rPr>
                <w:rFonts w:ascii="ITC Avant Garde" w:eastAsia="Calibri" w:hAnsi="ITC Avant Garde" w:cs="Arial"/>
                <w:sz w:val="18"/>
                <w:szCs w:val="18"/>
              </w:rPr>
              <w:t>esto es licitado en el caso de espectro para uso comercial</w:t>
            </w:r>
            <w:r w:rsidRPr="00021816">
              <w:rPr>
                <w:rFonts w:ascii="ITC Avant Garde" w:eastAsia="Calibri" w:hAnsi="ITC Avant Garde" w:cs="Arial"/>
                <w:sz w:val="18"/>
                <w:szCs w:val="18"/>
              </w:rPr>
              <w:t>), para lo cual se ha incluido el determinado en los Programas Anuales de Uso y Aprovechamiento de Bandas de Frecuencias (PABF) publicados por el Instituto. Así,</w:t>
            </w:r>
            <w:r>
              <w:rPr>
                <w:rFonts w:ascii="ITC Avant Garde" w:eastAsia="Calibri" w:hAnsi="ITC Avant Garde" w:cs="Arial"/>
                <w:sz w:val="18"/>
                <w:szCs w:val="18"/>
              </w:rPr>
              <w:t xml:space="preserve"> c</w:t>
            </w:r>
            <w:r w:rsidR="00BC3F15" w:rsidRPr="0041424D">
              <w:rPr>
                <w:rFonts w:ascii="ITC Avant Garde" w:eastAsia="Calibri" w:hAnsi="ITC Avant Garde" w:cs="Arial"/>
                <w:sz w:val="18"/>
                <w:szCs w:val="18"/>
              </w:rPr>
              <w:t xml:space="preserve">omo se indica en el </w:t>
            </w:r>
            <w:r w:rsidR="0060005B">
              <w:rPr>
                <w:rFonts w:ascii="ITC Avant Garde" w:eastAsia="Calibri" w:hAnsi="ITC Avant Garde" w:cs="Arial"/>
                <w:sz w:val="18"/>
                <w:szCs w:val="18"/>
              </w:rPr>
              <w:t>Proyecto de Bases</w:t>
            </w:r>
            <w:r w:rsidR="00BC3F15" w:rsidRPr="0041424D">
              <w:rPr>
                <w:rFonts w:ascii="ITC Avant Garde" w:eastAsia="Calibri" w:hAnsi="ITC Avant Garde" w:cs="Arial"/>
                <w:sz w:val="18"/>
                <w:szCs w:val="18"/>
              </w:rPr>
              <w:t xml:space="preserve">, el espectro disponible es aquel que está contemplado en los Programas Anuales de Bandas de Frecuencias (PABF), ya que se considera disponible para el mercado en un </w:t>
            </w:r>
            <w:r w:rsidR="00E85FC5">
              <w:rPr>
                <w:rFonts w:ascii="ITC Avant Garde" w:eastAsia="Calibri" w:hAnsi="ITC Avant Garde" w:cs="Arial"/>
                <w:sz w:val="18"/>
                <w:szCs w:val="18"/>
              </w:rPr>
              <w:t>corto o mediano plazo</w:t>
            </w:r>
            <w:r w:rsidR="00BC3F15" w:rsidRPr="0041424D">
              <w:rPr>
                <w:rFonts w:ascii="ITC Avant Garde" w:eastAsia="Calibri" w:hAnsi="ITC Avant Garde" w:cs="Arial"/>
                <w:sz w:val="18"/>
                <w:szCs w:val="18"/>
              </w:rPr>
              <w:t xml:space="preserve">. </w:t>
            </w:r>
          </w:p>
          <w:p w14:paraId="7E4D711D" w14:textId="77777777" w:rsidR="00C9470E" w:rsidRPr="0041424D" w:rsidRDefault="00C9470E" w:rsidP="00676ACE">
            <w:pPr>
              <w:jc w:val="both"/>
              <w:rPr>
                <w:rFonts w:ascii="ITC Avant Garde" w:eastAsia="Calibri" w:hAnsi="ITC Avant Garde" w:cs="Arial"/>
                <w:sz w:val="18"/>
                <w:szCs w:val="18"/>
              </w:rPr>
            </w:pPr>
          </w:p>
          <w:p w14:paraId="1EE169E9" w14:textId="710ABD27" w:rsidR="00021816" w:rsidRDefault="00C9470E" w:rsidP="00021816">
            <w:pPr>
              <w:jc w:val="both"/>
              <w:rPr>
                <w:rFonts w:ascii="ITC Avant Garde" w:eastAsia="Calibri" w:hAnsi="ITC Avant Garde" w:cs="Arial"/>
                <w:sz w:val="18"/>
                <w:szCs w:val="18"/>
              </w:rPr>
            </w:pPr>
            <w:r w:rsidRPr="0041424D">
              <w:rPr>
                <w:rFonts w:ascii="ITC Avant Garde" w:eastAsia="Calibri" w:hAnsi="ITC Avant Garde" w:cs="Arial"/>
                <w:sz w:val="18"/>
                <w:szCs w:val="18"/>
              </w:rPr>
              <w:t xml:space="preserve">En </w:t>
            </w:r>
            <w:r w:rsidR="008D3E38" w:rsidRPr="0041424D">
              <w:rPr>
                <w:rFonts w:ascii="ITC Avant Garde" w:eastAsia="Calibri" w:hAnsi="ITC Avant Garde" w:cs="Arial"/>
                <w:sz w:val="18"/>
                <w:szCs w:val="18"/>
              </w:rPr>
              <w:t xml:space="preserve">el cálculo el espectro </w:t>
            </w:r>
            <w:r w:rsidR="0041424D" w:rsidRPr="0041424D">
              <w:rPr>
                <w:rFonts w:ascii="ITC Avant Garde" w:eastAsia="Calibri" w:hAnsi="ITC Avant Garde" w:cs="Arial"/>
                <w:sz w:val="18"/>
                <w:szCs w:val="18"/>
              </w:rPr>
              <w:t xml:space="preserve">IMT para servicios móviles del </w:t>
            </w:r>
            <w:r w:rsidR="0060005B">
              <w:rPr>
                <w:rFonts w:ascii="ITC Avant Garde" w:eastAsia="Calibri" w:hAnsi="ITC Avant Garde" w:cs="Arial"/>
                <w:sz w:val="18"/>
                <w:szCs w:val="18"/>
              </w:rPr>
              <w:t>Proyecto de Bases</w:t>
            </w:r>
            <w:r w:rsidR="0041424D">
              <w:rPr>
                <w:rFonts w:ascii="ITC Avant Garde" w:eastAsia="Calibri" w:hAnsi="ITC Avant Garde" w:cs="Arial"/>
                <w:sz w:val="18"/>
                <w:szCs w:val="18"/>
              </w:rPr>
              <w:t xml:space="preserve"> sí</w:t>
            </w:r>
            <w:r w:rsidR="008D3E38" w:rsidRPr="0041424D">
              <w:rPr>
                <w:rFonts w:ascii="ITC Avant Garde" w:eastAsia="Calibri" w:hAnsi="ITC Avant Garde" w:cs="Arial"/>
                <w:sz w:val="18"/>
                <w:szCs w:val="18"/>
              </w:rPr>
              <w:t xml:space="preserve"> se considera la </w:t>
            </w:r>
            <w:r w:rsidRPr="0041424D">
              <w:rPr>
                <w:rFonts w:ascii="ITC Avant Garde" w:eastAsia="Calibri" w:hAnsi="ITC Avant Garde" w:cs="Arial"/>
                <w:sz w:val="18"/>
                <w:szCs w:val="18"/>
              </w:rPr>
              <w:t xml:space="preserve">renuncia </w:t>
            </w:r>
            <w:r w:rsidR="008D3E38" w:rsidRPr="0041424D">
              <w:rPr>
                <w:rFonts w:ascii="ITC Avant Garde" w:eastAsia="Calibri" w:hAnsi="ITC Avant Garde" w:cs="Arial"/>
                <w:sz w:val="18"/>
                <w:szCs w:val="18"/>
              </w:rPr>
              <w:t xml:space="preserve">de espectro presentada </w:t>
            </w:r>
            <w:r w:rsidR="0041424D" w:rsidRPr="0041424D">
              <w:rPr>
                <w:rFonts w:ascii="ITC Avant Garde" w:eastAsia="Calibri" w:hAnsi="ITC Avant Garde" w:cs="Arial"/>
                <w:sz w:val="18"/>
                <w:szCs w:val="18"/>
              </w:rPr>
              <w:t xml:space="preserve">ante el Instituto </w:t>
            </w:r>
            <w:r w:rsidR="008D3E38" w:rsidRPr="0041424D">
              <w:rPr>
                <w:rFonts w:ascii="ITC Avant Garde" w:eastAsia="Calibri" w:hAnsi="ITC Avant Garde" w:cs="Arial"/>
                <w:sz w:val="18"/>
                <w:szCs w:val="18"/>
              </w:rPr>
              <w:t xml:space="preserve">por la empresa comercialmente </w:t>
            </w:r>
            <w:r w:rsidR="00530352" w:rsidRPr="0041424D">
              <w:rPr>
                <w:rFonts w:ascii="ITC Avant Garde" w:eastAsia="Calibri" w:hAnsi="ITC Avant Garde" w:cs="Arial"/>
                <w:sz w:val="18"/>
                <w:szCs w:val="18"/>
              </w:rPr>
              <w:t xml:space="preserve">conocida </w:t>
            </w:r>
            <w:r w:rsidR="008D3E38" w:rsidRPr="0041424D">
              <w:rPr>
                <w:rFonts w:ascii="ITC Avant Garde" w:eastAsia="Calibri" w:hAnsi="ITC Avant Garde" w:cs="Arial"/>
                <w:sz w:val="18"/>
                <w:szCs w:val="18"/>
              </w:rPr>
              <w:t>como Telefónica</w:t>
            </w:r>
            <w:r w:rsidR="00C2493C">
              <w:rPr>
                <w:rFonts w:ascii="ITC Avant Garde" w:eastAsia="Calibri" w:hAnsi="ITC Avant Garde" w:cs="Arial"/>
                <w:sz w:val="18"/>
                <w:szCs w:val="18"/>
              </w:rPr>
              <w:t xml:space="preserve">, como se puede ver en la </w:t>
            </w:r>
            <w:r w:rsidR="00C2493C" w:rsidRPr="00C2493C">
              <w:rPr>
                <w:rFonts w:ascii="ITC Avant Garde" w:eastAsia="Calibri" w:hAnsi="ITC Avant Garde" w:cs="Arial"/>
                <w:i/>
                <w:sz w:val="18"/>
                <w:szCs w:val="18"/>
              </w:rPr>
              <w:t>Nota 2</w:t>
            </w:r>
            <w:r w:rsidR="00C2493C">
              <w:rPr>
                <w:rFonts w:ascii="ITC Avant Garde" w:eastAsia="Calibri" w:hAnsi="ITC Avant Garde" w:cs="Arial"/>
                <w:sz w:val="18"/>
                <w:szCs w:val="18"/>
              </w:rPr>
              <w:t xml:space="preserve"> de su Tabla 9</w:t>
            </w:r>
            <w:r w:rsidR="00530352" w:rsidRPr="0041424D">
              <w:rPr>
                <w:rFonts w:ascii="ITC Avant Garde" w:eastAsia="Calibri" w:hAnsi="ITC Avant Garde" w:cs="Arial"/>
                <w:sz w:val="18"/>
                <w:szCs w:val="18"/>
              </w:rPr>
              <w:t>.</w:t>
            </w:r>
            <w:r w:rsidR="00021816">
              <w:rPr>
                <w:rFonts w:ascii="ITC Avant Garde" w:eastAsia="Calibri" w:hAnsi="ITC Avant Garde" w:cs="Arial"/>
                <w:sz w:val="18"/>
                <w:szCs w:val="18"/>
              </w:rPr>
              <w:t xml:space="preserve"> Sin embargo, bajo las consideraciones previas, sólo se considera</w:t>
            </w:r>
            <w:r w:rsidR="00C354DE">
              <w:rPr>
                <w:rFonts w:ascii="ITC Avant Garde" w:eastAsia="Calibri" w:hAnsi="ITC Avant Garde" w:cs="Arial"/>
                <w:sz w:val="18"/>
                <w:szCs w:val="18"/>
              </w:rPr>
              <w:t xml:space="preserve"> como disponible</w:t>
            </w:r>
            <w:r w:rsidR="00021816">
              <w:rPr>
                <w:rFonts w:ascii="ITC Avant Garde" w:eastAsia="Calibri" w:hAnsi="ITC Avant Garde" w:cs="Arial"/>
                <w:sz w:val="18"/>
                <w:szCs w:val="18"/>
              </w:rPr>
              <w:t xml:space="preserve"> el </w:t>
            </w:r>
            <w:r w:rsidR="00C354DE">
              <w:rPr>
                <w:rFonts w:ascii="ITC Avant Garde" w:eastAsia="Calibri" w:hAnsi="ITC Avant Garde" w:cs="Arial"/>
                <w:sz w:val="18"/>
                <w:szCs w:val="18"/>
              </w:rPr>
              <w:t>incluido</w:t>
            </w:r>
            <w:r w:rsidR="00021816" w:rsidRPr="002F633E">
              <w:rPr>
                <w:rFonts w:ascii="ITC Avant Garde" w:eastAsia="Calibri" w:hAnsi="ITC Avant Garde" w:cs="Arial"/>
                <w:sz w:val="18"/>
                <w:szCs w:val="18"/>
              </w:rPr>
              <w:t xml:space="preserve"> en los PABF publicados por el Instituto</w:t>
            </w:r>
            <w:r w:rsidR="00021816">
              <w:rPr>
                <w:rFonts w:ascii="ITC Avant Garde" w:eastAsia="Calibri" w:hAnsi="ITC Avant Garde" w:cs="Arial"/>
                <w:sz w:val="18"/>
                <w:szCs w:val="18"/>
              </w:rPr>
              <w:t>.</w:t>
            </w:r>
          </w:p>
          <w:p w14:paraId="48A8C60B" w14:textId="77777777" w:rsidR="00021816" w:rsidRDefault="00021816" w:rsidP="00021816">
            <w:pPr>
              <w:jc w:val="both"/>
              <w:rPr>
                <w:rFonts w:ascii="ITC Avant Garde" w:eastAsia="Calibri" w:hAnsi="ITC Avant Garde" w:cs="Arial"/>
                <w:sz w:val="18"/>
                <w:szCs w:val="18"/>
              </w:rPr>
            </w:pPr>
            <w:r>
              <w:rPr>
                <w:rFonts w:ascii="ITC Avant Garde" w:eastAsia="Calibri" w:hAnsi="ITC Avant Garde" w:cs="Arial"/>
                <w:sz w:val="18"/>
                <w:szCs w:val="18"/>
              </w:rPr>
              <w:t xml:space="preserve">Asimismo, el acuerdo al que llegaron AT&amp;T y Telefónica no implica la acumulación de espectro radioeléctrico, únicamente implica el arrendamiento para la prestación de servicios de telecomunicaciones móviles, por lo que, para no contarse doble, no se puede tomar en cuenta para las participaciones de acumulación de espectro. </w:t>
            </w:r>
          </w:p>
          <w:p w14:paraId="17FA51FE" w14:textId="2CE6E961" w:rsidR="00C9470E" w:rsidRDefault="00C9470E" w:rsidP="008D3E38">
            <w:pPr>
              <w:jc w:val="both"/>
              <w:rPr>
                <w:rFonts w:ascii="ITC Avant Garde" w:eastAsia="Calibri" w:hAnsi="ITC Avant Garde" w:cs="Arial"/>
                <w:sz w:val="18"/>
                <w:szCs w:val="18"/>
              </w:rPr>
            </w:pPr>
          </w:p>
          <w:p w14:paraId="1CA5AF43" w14:textId="77777777" w:rsidR="00021816" w:rsidRPr="0041424D" w:rsidRDefault="00021816" w:rsidP="00021816">
            <w:pPr>
              <w:jc w:val="both"/>
              <w:rPr>
                <w:rFonts w:ascii="ITC Avant Garde" w:eastAsia="Calibri" w:hAnsi="ITC Avant Garde" w:cs="Arial"/>
                <w:sz w:val="18"/>
                <w:szCs w:val="18"/>
              </w:rPr>
            </w:pPr>
            <w:r>
              <w:rPr>
                <w:rFonts w:ascii="ITC Avant Garde" w:eastAsia="Calibri" w:hAnsi="ITC Avant Garde" w:cs="Arial"/>
                <w:sz w:val="18"/>
                <w:szCs w:val="18"/>
              </w:rPr>
              <w:t>Por otro lado, es importante considerar el espectro radioeléctrico de la banda de 700 MHz en las participaciones de acumulación de espectro radioeléctrico, debido que ese espectro podrá utilizarse por operadores actuales o nuevos, mayoristas o minoristas, en el mercado de telecomunicaciones móviles para prestar estos servicios, los cuales son los servicios directamente relacionados con la Licitación No. IFT-10.</w:t>
            </w:r>
          </w:p>
          <w:p w14:paraId="40BEFE6F" w14:textId="63D3DAB8" w:rsidR="00530352" w:rsidRPr="0041424D" w:rsidRDefault="00530352" w:rsidP="00530352">
            <w:pPr>
              <w:jc w:val="both"/>
              <w:rPr>
                <w:rFonts w:ascii="ITC Avant Garde" w:eastAsia="Calibri" w:hAnsi="ITC Avant Garde" w:cs="Arial"/>
                <w:sz w:val="18"/>
                <w:szCs w:val="18"/>
              </w:rPr>
            </w:pPr>
          </w:p>
        </w:tc>
      </w:tr>
      <w:tr w:rsidR="00BC3F15" w:rsidRPr="00BC3F15" w14:paraId="35F80ABE" w14:textId="77777777" w:rsidTr="00AC4FB7">
        <w:trPr>
          <w:trHeight w:val="113"/>
        </w:trPr>
        <w:tc>
          <w:tcPr>
            <w:tcW w:w="2553" w:type="dxa"/>
            <w:vMerge/>
            <w:vAlign w:val="center"/>
          </w:tcPr>
          <w:p w14:paraId="2EF75392" w14:textId="77777777" w:rsidR="00BC3F15" w:rsidRPr="00BC3F15" w:rsidRDefault="00BC3F15" w:rsidP="00AC4FB7">
            <w:pPr>
              <w:jc w:val="center"/>
              <w:rPr>
                <w:rFonts w:ascii="ITC Avant Garde" w:eastAsia="Calibri" w:hAnsi="ITC Avant Garde" w:cs="Times New Roman"/>
                <w:sz w:val="18"/>
                <w:szCs w:val="18"/>
              </w:rPr>
            </w:pPr>
          </w:p>
        </w:tc>
        <w:tc>
          <w:tcPr>
            <w:tcW w:w="8646" w:type="dxa"/>
            <w:vAlign w:val="center"/>
          </w:tcPr>
          <w:p w14:paraId="614DC302" w14:textId="77777777" w:rsidR="00BC3F15" w:rsidRDefault="00BC3F15" w:rsidP="00AC4FB7">
            <w:pPr>
              <w:jc w:val="both"/>
              <w:rPr>
                <w:rFonts w:ascii="ITC Avant Garde" w:eastAsia="Calibri" w:hAnsi="ITC Avant Garde" w:cs="Arial"/>
                <w:b/>
                <w:sz w:val="18"/>
                <w:szCs w:val="18"/>
              </w:rPr>
            </w:pPr>
            <w:r w:rsidRPr="00BC3F15">
              <w:rPr>
                <w:rFonts w:ascii="ITC Avant Garde" w:eastAsia="Calibri" w:hAnsi="ITC Avant Garde" w:cs="Arial"/>
                <w:b/>
                <w:sz w:val="18"/>
                <w:szCs w:val="18"/>
              </w:rPr>
              <w:t>AT&amp;T</w:t>
            </w:r>
          </w:p>
          <w:p w14:paraId="104972F5" w14:textId="77777777" w:rsidR="00AC4FB7" w:rsidRPr="00BC3F15" w:rsidRDefault="00AC4FB7" w:rsidP="00AC4FB7">
            <w:pPr>
              <w:jc w:val="both"/>
              <w:rPr>
                <w:rFonts w:ascii="ITC Avant Garde" w:eastAsia="Calibri" w:hAnsi="ITC Avant Garde" w:cs="Arial"/>
                <w:b/>
                <w:sz w:val="18"/>
                <w:szCs w:val="18"/>
              </w:rPr>
            </w:pPr>
          </w:p>
          <w:p w14:paraId="7F3EFBB0" w14:textId="77777777" w:rsidR="00BC3F15" w:rsidRPr="00BC3F15" w:rsidRDefault="00BC3F15" w:rsidP="00AC4FB7">
            <w:pPr>
              <w:jc w:val="both"/>
              <w:rPr>
                <w:rFonts w:ascii="ITC Avant Garde" w:eastAsia="Calibri" w:hAnsi="ITC Avant Garde" w:cs="Arial"/>
                <w:b/>
                <w:sz w:val="18"/>
                <w:szCs w:val="18"/>
              </w:rPr>
            </w:pPr>
            <w:r w:rsidRPr="00BC3F15">
              <w:rPr>
                <w:rFonts w:ascii="ITC Avant Garde" w:eastAsia="Calibri" w:hAnsi="ITC Avant Garde" w:cs="Arial"/>
                <w:b/>
                <w:i/>
                <w:sz w:val="18"/>
                <w:szCs w:val="18"/>
              </w:rPr>
              <w:t>“</w:t>
            </w:r>
            <w:r w:rsidRPr="00BC3F15">
              <w:rPr>
                <w:rFonts w:ascii="ITC Avant Garde" w:eastAsia="Calibri" w:hAnsi="ITC Avant Garde" w:cs="Arial"/>
                <w:i/>
                <w:sz w:val="18"/>
                <w:szCs w:val="18"/>
                <w:lang w:eastAsia="es-MX"/>
              </w:rPr>
              <w:t>A efecto de que sea efectivo, el IFT debería considerar los máximos en cualquier localidad, no el promedio nacional, pues ello genera distorsiones. Para que un límite de acumulación funcione, es decir cumpla con su objetivo, debería impedir que algún participante pueda acumular todo el espectro, y en el caso de los umbrales propuestos por el IFT, el límite propuesto para el primer concurso ligeramente aplica; en tanto que el propuesto para el segundo concurso, ya no impide que algún Participante adquiera todo el espectro incluido en esta licitación. Por tanto, es menester que el IFT prevenga y corrija esta situación. AT&amp;T considera que la forma más adecuada de evaluar desde una perspectiva de competencia efectiva la tenencia de espectro es mediante un proceso de filtrado (“screen” en inglés) acompañado de un análisis, caso por caso, para evaluar los impactos en la competencia y tomar acciones sólo cuando se justifique con los hechos.</w:t>
            </w:r>
            <w:r w:rsidRPr="00BC3F15">
              <w:rPr>
                <w:rFonts w:ascii="ITC Avant Garde" w:eastAsia="Calibri" w:hAnsi="ITC Avant Garde" w:cs="Arial"/>
                <w:i/>
                <w:sz w:val="18"/>
                <w:szCs w:val="18"/>
              </w:rPr>
              <w:t xml:space="preserve"> </w:t>
            </w:r>
            <w:r w:rsidRPr="00BC3F15">
              <w:rPr>
                <w:rFonts w:ascii="ITC Avant Garde" w:eastAsia="Calibri" w:hAnsi="ITC Avant Garde" w:cs="Arial"/>
                <w:i/>
                <w:sz w:val="18"/>
                <w:szCs w:val="18"/>
                <w:lang w:eastAsia="es-MX"/>
              </w:rPr>
              <w:t>Dado que el IFT propone usar un límite de acumulación de espectro para la Licitación No. IFT-10, y que uno de los potenciales interesados y participantes será el Agente Económico Preponderante (“AEP”) en el sector de telecomunicaciones, el diseño de cualquier límite de acumulación de espectro, debería tomar en consideración esta característica particular de nuestro mercado y asegurar que dicho agente no acapare todo el espectro que se está poniendo a disposición del mercado en esta licitación</w:t>
            </w:r>
            <w:r w:rsidRPr="00BC3F15">
              <w:rPr>
                <w:rFonts w:ascii="ITC Avant Garde" w:eastAsia="Calibri" w:hAnsi="ITC Avant Garde" w:cs="Arial"/>
                <w:sz w:val="18"/>
                <w:szCs w:val="18"/>
                <w:lang w:eastAsia="es-MX"/>
              </w:rPr>
              <w:t>”.</w:t>
            </w:r>
          </w:p>
        </w:tc>
        <w:tc>
          <w:tcPr>
            <w:tcW w:w="6946" w:type="dxa"/>
            <w:vAlign w:val="center"/>
          </w:tcPr>
          <w:p w14:paraId="69298A5B" w14:textId="77777777" w:rsidR="00021816" w:rsidRDefault="00021816" w:rsidP="00021816">
            <w:pPr>
              <w:jc w:val="both"/>
              <w:rPr>
                <w:rFonts w:ascii="ITC Avant Garde" w:eastAsia="Calibri" w:hAnsi="ITC Avant Garde" w:cs="Arial"/>
                <w:sz w:val="18"/>
                <w:szCs w:val="18"/>
              </w:rPr>
            </w:pPr>
            <w:r w:rsidRPr="00EE0DD9">
              <w:rPr>
                <w:rFonts w:ascii="ITC Avant Garde" w:eastAsia="Calibri" w:hAnsi="ITC Avant Garde" w:cs="Arial"/>
                <w:sz w:val="18"/>
                <w:szCs w:val="18"/>
              </w:rPr>
              <w:t>En relación con considerar los máximos por localidad y no a nivel nacional, se identifica que, en la actualidad, los principales operadores de telecomunicaciones móviles en México, cuentan con títulos de concesión que les permiten el uso y aprovechamiento del espectro radioeléctrico a nivel nacional. Asimismo, en diferentes ocasiones, el Instituto ha determinado que la dimensión geográfica del mercado de telefonía móvil es nacional,</w:t>
            </w:r>
            <w:r>
              <w:rPr>
                <w:rStyle w:val="Refdenotaalpie"/>
                <w:rFonts w:ascii="ITC Avant Garde" w:eastAsia="Calibri" w:hAnsi="ITC Avant Garde" w:cs="Arial"/>
                <w:sz w:val="18"/>
                <w:szCs w:val="18"/>
              </w:rPr>
              <w:footnoteReference w:id="2"/>
            </w:r>
            <w:r w:rsidRPr="00EE0DD9">
              <w:rPr>
                <w:rFonts w:ascii="ITC Avant Garde" w:eastAsia="Calibri" w:hAnsi="ITC Avant Garde" w:cs="Arial"/>
                <w:sz w:val="18"/>
                <w:szCs w:val="18"/>
              </w:rPr>
              <w:t xml:space="preserve"> por lo que, considerando las características del mercado, se estima que la imposición de límites de acumulación a nivel nacional, cumple con el objetivo de evitar fenómenos de concentración contrarios al interés público, que pudiera derivar en problemas a la competencia en el mercado de telecomunicaciones móviles. </w:t>
            </w:r>
          </w:p>
          <w:p w14:paraId="79ADB18D" w14:textId="77777777" w:rsidR="00021816" w:rsidRPr="00EE0DD9" w:rsidRDefault="00021816" w:rsidP="00021816">
            <w:pPr>
              <w:jc w:val="both"/>
              <w:rPr>
                <w:rFonts w:ascii="ITC Avant Garde" w:eastAsia="Calibri" w:hAnsi="ITC Avant Garde" w:cs="Arial"/>
                <w:sz w:val="18"/>
                <w:szCs w:val="18"/>
              </w:rPr>
            </w:pPr>
          </w:p>
          <w:p w14:paraId="20D6A097" w14:textId="7565766D" w:rsidR="00021816" w:rsidRPr="00021816" w:rsidRDefault="00021816" w:rsidP="00AC4FB7">
            <w:pPr>
              <w:jc w:val="both"/>
              <w:rPr>
                <w:rFonts w:ascii="ITC Avant Garde" w:eastAsia="Calibri" w:hAnsi="ITC Avant Garde" w:cs="Arial"/>
                <w:sz w:val="18"/>
                <w:szCs w:val="18"/>
              </w:rPr>
            </w:pPr>
            <w:r w:rsidRPr="00EE0DD9">
              <w:rPr>
                <w:rFonts w:ascii="ITC Avant Garde" w:eastAsia="Calibri" w:hAnsi="ITC Avant Garde" w:cs="Arial"/>
                <w:sz w:val="18"/>
                <w:szCs w:val="18"/>
              </w:rPr>
              <w:t xml:space="preserve">En este sentido, imponer límites de acumulación a nivel local, solo se justificaría bajo la lógica de que los </w:t>
            </w:r>
            <w:r>
              <w:rPr>
                <w:rFonts w:ascii="ITC Avant Garde" w:eastAsia="Calibri" w:hAnsi="ITC Avant Garde" w:cs="Arial"/>
                <w:sz w:val="18"/>
                <w:szCs w:val="18"/>
              </w:rPr>
              <w:t xml:space="preserve">procesos de licitación se llevaran a cabo a nivel </w:t>
            </w:r>
            <w:r w:rsidRPr="00EE0DD9">
              <w:rPr>
                <w:rFonts w:ascii="ITC Avant Garde" w:eastAsia="Calibri" w:hAnsi="ITC Avant Garde" w:cs="Arial"/>
                <w:sz w:val="18"/>
                <w:szCs w:val="18"/>
              </w:rPr>
              <w:t xml:space="preserve">local, lo cual no </w:t>
            </w:r>
            <w:r>
              <w:rPr>
                <w:rFonts w:ascii="ITC Avant Garde" w:eastAsia="Calibri" w:hAnsi="ITC Avant Garde" w:cs="Arial"/>
                <w:sz w:val="18"/>
                <w:szCs w:val="18"/>
              </w:rPr>
              <w:t>es el caso</w:t>
            </w:r>
            <w:r w:rsidRPr="00EE0DD9">
              <w:rPr>
                <w:rFonts w:ascii="ITC Avant Garde" w:eastAsia="Calibri" w:hAnsi="ITC Avant Garde" w:cs="Arial"/>
                <w:sz w:val="18"/>
                <w:szCs w:val="18"/>
              </w:rPr>
              <w:t>. Por lo que, las distorsiones al mercado</w:t>
            </w:r>
            <w:bookmarkStart w:id="0" w:name="_GoBack"/>
            <w:bookmarkEnd w:id="0"/>
            <w:r w:rsidRPr="00EE0DD9">
              <w:rPr>
                <w:rFonts w:ascii="ITC Avant Garde" w:eastAsia="Calibri" w:hAnsi="ITC Avant Garde" w:cs="Arial"/>
                <w:sz w:val="18"/>
                <w:szCs w:val="18"/>
              </w:rPr>
              <w:t xml:space="preserve"> podrían generarse de establecer límites de acumulación a nivel local, siendo que es un mercado con dimensión geográfica nacional. </w:t>
            </w:r>
          </w:p>
          <w:p w14:paraId="56D205B1" w14:textId="77777777" w:rsidR="00021816" w:rsidRDefault="00021816" w:rsidP="00AC4FB7">
            <w:pPr>
              <w:jc w:val="both"/>
              <w:rPr>
                <w:rFonts w:ascii="ITC Avant Garde" w:eastAsia="Calibri" w:hAnsi="ITC Avant Garde" w:cs="Arial"/>
                <w:sz w:val="18"/>
                <w:szCs w:val="18"/>
                <w:highlight w:val="cyan"/>
              </w:rPr>
            </w:pPr>
          </w:p>
          <w:p w14:paraId="7ECC5987" w14:textId="700404B0" w:rsidR="00BC3F15" w:rsidRPr="000B0954" w:rsidRDefault="00BC3F15" w:rsidP="00AC4FB7">
            <w:pPr>
              <w:jc w:val="both"/>
              <w:rPr>
                <w:rFonts w:ascii="ITC Avant Garde" w:eastAsia="Calibri" w:hAnsi="ITC Avant Garde" w:cs="Arial"/>
                <w:sz w:val="18"/>
                <w:szCs w:val="18"/>
              </w:rPr>
            </w:pPr>
            <w:r w:rsidRPr="000B0954">
              <w:rPr>
                <w:rFonts w:ascii="ITC Avant Garde" w:eastAsia="Calibri" w:hAnsi="ITC Avant Garde" w:cs="Arial"/>
                <w:sz w:val="18"/>
                <w:szCs w:val="18"/>
              </w:rPr>
              <w:t xml:space="preserve">Respecto a los límites de acumulación diferenciados en cada Concurso, </w:t>
            </w:r>
            <w:r w:rsidR="00A45C1E">
              <w:rPr>
                <w:rFonts w:ascii="ITC Avant Garde" w:eastAsia="Calibri" w:hAnsi="ITC Avant Garde" w:cs="Arial"/>
                <w:sz w:val="18"/>
                <w:szCs w:val="18"/>
              </w:rPr>
              <w:t xml:space="preserve">en </w:t>
            </w:r>
            <w:r w:rsidRPr="000B0954">
              <w:rPr>
                <w:rFonts w:ascii="ITC Avant Garde" w:eastAsia="Calibri" w:hAnsi="ITC Avant Garde" w:cs="Arial"/>
                <w:sz w:val="18"/>
                <w:szCs w:val="18"/>
              </w:rPr>
              <w:t xml:space="preserve">el </w:t>
            </w:r>
            <w:r w:rsidR="0060005B">
              <w:rPr>
                <w:rFonts w:ascii="ITC Avant Garde" w:eastAsia="Calibri" w:hAnsi="ITC Avant Garde" w:cs="Arial"/>
                <w:sz w:val="18"/>
                <w:szCs w:val="18"/>
              </w:rPr>
              <w:t>Proyecto de Bases</w:t>
            </w:r>
            <w:r w:rsidRPr="000B0954">
              <w:rPr>
                <w:rFonts w:ascii="ITC Avant Garde" w:eastAsia="Calibri" w:hAnsi="ITC Avant Garde" w:cs="Arial"/>
                <w:sz w:val="18"/>
                <w:szCs w:val="18"/>
              </w:rPr>
              <w:t xml:space="preserve">, de acuerdo al marco jurídico y a las determinaciones jurídico-económicas aplicables </w:t>
            </w:r>
            <w:r w:rsidR="00A45C1E">
              <w:rPr>
                <w:rFonts w:ascii="ITC Avant Garde" w:eastAsia="Calibri" w:hAnsi="ITC Avant Garde" w:cs="Arial"/>
                <w:sz w:val="18"/>
                <w:szCs w:val="18"/>
              </w:rPr>
              <w:t xml:space="preserve">se </w:t>
            </w:r>
            <w:r w:rsidRPr="000B0954">
              <w:rPr>
                <w:rFonts w:ascii="ITC Avant Garde" w:eastAsia="Calibri" w:hAnsi="ITC Avant Garde" w:cs="Arial"/>
                <w:sz w:val="18"/>
                <w:szCs w:val="18"/>
              </w:rPr>
              <w:t>ha propuesto un límite de acumulación de espectro para el primer Concurso, considerando favorecer la libre competencia y libre concurrencia. Por su parte, la previsión de tener un segundo Concurso con un límite de acumulación de espectro menos restrictivo prevé favorecer la asignación de espectro en los casos en que el primer Concurso deje bloques residuales no asignados, lo que favorece el uso eficiente del espectro y el bienestar social. En este sentido, establecer un límite de acumulación de espectro diferente para cada Concurso pretende equilibrar los objetivos de incentivar la participación de nuevos competidores y de aquellos operadores con una tenencia espectral baja, así como lograr la mayor asignación de espectro buscando el mayor beneficio social del u</w:t>
            </w:r>
            <w:r w:rsidR="000B5263" w:rsidRPr="000B0954">
              <w:rPr>
                <w:rFonts w:ascii="ITC Avant Garde" w:eastAsia="Calibri" w:hAnsi="ITC Avant Garde" w:cs="Arial"/>
                <w:sz w:val="18"/>
                <w:szCs w:val="18"/>
              </w:rPr>
              <w:t>so del espectro radioeléctrico.</w:t>
            </w:r>
          </w:p>
          <w:p w14:paraId="191BF6B1" w14:textId="380F335C" w:rsidR="00021816" w:rsidRDefault="00021816" w:rsidP="00AC4FB7">
            <w:pPr>
              <w:jc w:val="both"/>
              <w:rPr>
                <w:rFonts w:ascii="ITC Avant Garde" w:eastAsia="Calibri" w:hAnsi="ITC Avant Garde" w:cs="Arial"/>
                <w:sz w:val="18"/>
                <w:szCs w:val="18"/>
                <w:highlight w:val="cyan"/>
              </w:rPr>
            </w:pPr>
          </w:p>
          <w:p w14:paraId="0093823D" w14:textId="33D3AC71" w:rsidR="00BC3F15" w:rsidRPr="00A45C1E" w:rsidRDefault="00A45C1E" w:rsidP="00A45C1E">
            <w:pPr>
              <w:spacing w:before="120" w:after="120" w:line="276" w:lineRule="auto"/>
              <w:jc w:val="both"/>
              <w:rPr>
                <w:rFonts w:ascii="ITC Avant Garde" w:hAnsi="ITC Avant Garde" w:cs="Arial"/>
                <w:sz w:val="18"/>
              </w:rPr>
            </w:pPr>
            <w:r>
              <w:rPr>
                <w:rFonts w:ascii="ITC Avant Garde" w:hAnsi="ITC Avant Garde" w:cs="Arial"/>
                <w:sz w:val="18"/>
              </w:rPr>
              <w:t>Adicionalmente</w:t>
            </w:r>
            <w:r w:rsidR="00AD536A">
              <w:rPr>
                <w:rFonts w:ascii="ITC Avant Garde" w:hAnsi="ITC Avant Garde" w:cs="Arial"/>
                <w:sz w:val="18"/>
              </w:rPr>
              <w:t>, s</w:t>
            </w:r>
            <w:r w:rsidR="00021816" w:rsidRPr="00EE0DD9">
              <w:rPr>
                <w:rFonts w:ascii="ITC Avant Garde" w:hAnsi="ITC Avant Garde" w:cs="Arial"/>
                <w:sz w:val="18"/>
              </w:rPr>
              <w:t xml:space="preserve">e considera que </w:t>
            </w:r>
            <w:r w:rsidR="00AD536A">
              <w:rPr>
                <w:rFonts w:ascii="ITC Avant Garde" w:hAnsi="ITC Avant Garde" w:cs="Arial"/>
                <w:sz w:val="18"/>
              </w:rPr>
              <w:t>el</w:t>
            </w:r>
            <w:r w:rsidR="00021816" w:rsidRPr="00EE0DD9">
              <w:rPr>
                <w:rFonts w:ascii="ITC Avant Garde" w:hAnsi="ITC Avant Garde" w:cs="Arial"/>
                <w:sz w:val="18"/>
              </w:rPr>
              <w:t xml:space="preserve"> </w:t>
            </w:r>
            <w:r w:rsidR="00326F8A" w:rsidRPr="00EE0DD9">
              <w:rPr>
                <w:rFonts w:ascii="ITC Avant Garde" w:hAnsi="ITC Avant Garde" w:cs="Arial"/>
                <w:sz w:val="18"/>
              </w:rPr>
              <w:t xml:space="preserve">límite </w:t>
            </w:r>
            <w:r w:rsidR="00326F8A">
              <w:rPr>
                <w:rFonts w:ascii="ITC Avant Garde" w:hAnsi="ITC Avant Garde" w:cs="Arial"/>
                <w:sz w:val="18"/>
              </w:rPr>
              <w:t>de</w:t>
            </w:r>
            <w:r w:rsidR="00AD536A">
              <w:rPr>
                <w:rFonts w:ascii="ITC Avant Garde" w:hAnsi="ITC Avant Garde" w:cs="Arial"/>
                <w:sz w:val="18"/>
              </w:rPr>
              <w:t xml:space="preserve"> acumulación de espectro propuesto </w:t>
            </w:r>
            <w:r w:rsidR="00021816" w:rsidRPr="00EE0DD9">
              <w:rPr>
                <w:rFonts w:ascii="ITC Avant Garde" w:hAnsi="ITC Avant Garde" w:cs="Arial"/>
                <w:sz w:val="18"/>
              </w:rPr>
              <w:t xml:space="preserve">incentiva la participación de nuevos competidores, disminuyendo las posibles barreras a la entrada y no impone restricciones innecesarias a la expansión o al proceso de competencia y libre concurrencia en los servicios </w:t>
            </w:r>
            <w:r w:rsidR="00021816" w:rsidRPr="00EE0DD9">
              <w:rPr>
                <w:rFonts w:ascii="ITC Avant Garde" w:hAnsi="ITC Avant Garde" w:cs="Arial"/>
                <w:sz w:val="18"/>
              </w:rPr>
              <w:lastRenderedPageBreak/>
              <w:t xml:space="preserve">de </w:t>
            </w:r>
            <w:r w:rsidR="00AD536A">
              <w:rPr>
                <w:rFonts w:ascii="ITC Avant Garde" w:hAnsi="ITC Avant Garde" w:cs="Arial"/>
                <w:sz w:val="18"/>
              </w:rPr>
              <w:t>a</w:t>
            </w:r>
            <w:r w:rsidR="00021816" w:rsidRPr="00EE0DD9">
              <w:rPr>
                <w:rFonts w:ascii="ITC Avant Garde" w:hAnsi="ITC Avant Garde" w:cs="Arial"/>
                <w:sz w:val="18"/>
              </w:rPr>
              <w:t xml:space="preserve">cceso </w:t>
            </w:r>
            <w:r w:rsidR="00AD536A">
              <w:rPr>
                <w:rFonts w:ascii="ITC Avant Garde" w:hAnsi="ITC Avant Garde" w:cs="Arial"/>
                <w:sz w:val="18"/>
              </w:rPr>
              <w:t>i</w:t>
            </w:r>
            <w:r w:rsidR="00021816" w:rsidRPr="00EE0DD9">
              <w:rPr>
                <w:rFonts w:ascii="ITC Avant Garde" w:hAnsi="ITC Avant Garde" w:cs="Arial"/>
                <w:sz w:val="18"/>
              </w:rPr>
              <w:t>nalámbrico. Lo anterior, en virtud de que los operadores con mayor tenencia espectral, pueden participar desde el inicio de la Licitación sujetos a</w:t>
            </w:r>
            <w:r w:rsidR="00AD536A">
              <w:rPr>
                <w:rFonts w:ascii="ITC Avant Garde" w:hAnsi="ITC Avant Garde" w:cs="Arial"/>
                <w:sz w:val="18"/>
              </w:rPr>
              <w:t>l límite de a</w:t>
            </w:r>
            <w:r w:rsidR="00021816" w:rsidRPr="00EE0DD9">
              <w:rPr>
                <w:rFonts w:ascii="ITC Avant Garde" w:hAnsi="ITC Avant Garde" w:cs="Arial"/>
                <w:sz w:val="18"/>
              </w:rPr>
              <w:t xml:space="preserve">cumulación </w:t>
            </w:r>
            <w:r w:rsidR="00AD536A">
              <w:rPr>
                <w:rFonts w:ascii="ITC Avant Garde" w:hAnsi="ITC Avant Garde" w:cs="Arial"/>
                <w:sz w:val="18"/>
              </w:rPr>
              <w:t>propuesto</w:t>
            </w:r>
            <w:r w:rsidR="00021816" w:rsidRPr="00EE0DD9">
              <w:rPr>
                <w:rFonts w:ascii="ITC Avant Garde" w:hAnsi="ITC Avant Garde" w:cs="Arial"/>
                <w:sz w:val="18"/>
              </w:rPr>
              <w:t xml:space="preserve"> en cada Concurso de la </w:t>
            </w:r>
            <w:r w:rsidR="00AD536A">
              <w:rPr>
                <w:rFonts w:ascii="ITC Avant Garde" w:hAnsi="ITC Avant Garde" w:cs="Arial"/>
                <w:sz w:val="18"/>
              </w:rPr>
              <w:t>l</w:t>
            </w:r>
            <w:r w:rsidR="00021816" w:rsidRPr="00EE0DD9">
              <w:rPr>
                <w:rFonts w:ascii="ITC Avant Garde" w:hAnsi="ITC Avant Garde" w:cs="Arial"/>
                <w:sz w:val="18"/>
              </w:rPr>
              <w:t>icitación, y aquéllos con menor tenencia espectral o incluso nuevos competidores pudieran participar con grandes posibilidades de obtener espectro.</w:t>
            </w:r>
          </w:p>
        </w:tc>
      </w:tr>
      <w:tr w:rsidR="00BC3F15" w:rsidRPr="00BC3F15" w14:paraId="0CB6C48A" w14:textId="77777777" w:rsidTr="00AC4FB7">
        <w:trPr>
          <w:trHeight w:val="113"/>
        </w:trPr>
        <w:tc>
          <w:tcPr>
            <w:tcW w:w="2553" w:type="dxa"/>
            <w:vMerge w:val="restart"/>
            <w:shd w:val="clear" w:color="auto" w:fill="F2F2F2"/>
            <w:vAlign w:val="center"/>
          </w:tcPr>
          <w:p w14:paraId="07C0F7CA" w14:textId="77777777" w:rsidR="00BC3F15" w:rsidRPr="00BC3F15" w:rsidRDefault="00BC3F15" w:rsidP="00AC4FB7">
            <w:pPr>
              <w:jc w:val="both"/>
              <w:rPr>
                <w:rFonts w:ascii="ITC Avant Garde" w:eastAsia="Calibri" w:hAnsi="ITC Avant Garde" w:cs="Times New Roman"/>
                <w:sz w:val="18"/>
                <w:szCs w:val="18"/>
              </w:rPr>
            </w:pPr>
            <w:r w:rsidRPr="00BC3F15">
              <w:rPr>
                <w:rFonts w:ascii="ITC Avant Garde" w:eastAsia="Calibri" w:hAnsi="ITC Avant Garde" w:cs="Times New Roman"/>
                <w:b/>
                <w:sz w:val="18"/>
                <w:szCs w:val="18"/>
              </w:rPr>
              <w:lastRenderedPageBreak/>
              <w:t>Configuración de los bloques objeto de la licitación.</w:t>
            </w:r>
          </w:p>
        </w:tc>
        <w:tc>
          <w:tcPr>
            <w:tcW w:w="8646" w:type="dxa"/>
            <w:shd w:val="clear" w:color="auto" w:fill="F2F2F2"/>
            <w:vAlign w:val="center"/>
          </w:tcPr>
          <w:p w14:paraId="10EEBA61" w14:textId="77777777" w:rsidR="00BC3F15" w:rsidRDefault="00BC3F15" w:rsidP="00AC4FB7">
            <w:pPr>
              <w:jc w:val="both"/>
              <w:rPr>
                <w:rFonts w:ascii="ITC Avant Garde" w:eastAsia="Calibri" w:hAnsi="ITC Avant Garde" w:cs="Times New Roman"/>
                <w:b/>
                <w:sz w:val="18"/>
                <w:szCs w:val="18"/>
              </w:rPr>
            </w:pPr>
            <w:r w:rsidRPr="00BC3F15">
              <w:rPr>
                <w:rFonts w:ascii="ITC Avant Garde" w:eastAsia="Calibri" w:hAnsi="ITC Avant Garde" w:cs="Times New Roman"/>
                <w:b/>
                <w:sz w:val="18"/>
                <w:szCs w:val="18"/>
              </w:rPr>
              <w:t>Miguel Tentei Cortés Solórzano</w:t>
            </w:r>
          </w:p>
          <w:p w14:paraId="38195FDB" w14:textId="77777777" w:rsidR="00AC4FB7" w:rsidRPr="00BC3F15" w:rsidRDefault="00AC4FB7" w:rsidP="00AC4FB7">
            <w:pPr>
              <w:jc w:val="both"/>
              <w:rPr>
                <w:rFonts w:ascii="ITC Avant Garde" w:eastAsia="Calibri" w:hAnsi="ITC Avant Garde" w:cs="Times New Roman"/>
                <w:sz w:val="18"/>
                <w:szCs w:val="18"/>
              </w:rPr>
            </w:pPr>
          </w:p>
          <w:p w14:paraId="549DE089" w14:textId="30C75CA9" w:rsidR="00BC3F15" w:rsidRPr="00BC3F15" w:rsidRDefault="00BC3F15" w:rsidP="00BC3F15">
            <w:pPr>
              <w:jc w:val="both"/>
              <w:rPr>
                <w:rFonts w:ascii="ITC Avant Garde" w:eastAsia="Calibri" w:hAnsi="ITC Avant Garde" w:cs="Times New Roman"/>
                <w:i/>
                <w:sz w:val="18"/>
                <w:szCs w:val="18"/>
              </w:rPr>
            </w:pPr>
            <w:r w:rsidRPr="00BC3F15">
              <w:rPr>
                <w:rFonts w:ascii="ITC Avant Garde" w:eastAsia="Calibri" w:hAnsi="ITC Avant Garde" w:cs="Times New Roman"/>
                <w:i/>
                <w:sz w:val="18"/>
                <w:szCs w:val="18"/>
              </w:rPr>
              <w:t>“Se debe de priorizar los bloques contiguos, reorganizar; armonizar el espectro existente. Se debe de privilegiar la homologación nacional y no clusterizar los bloques para estandarizar la experiencia, simplificar el despliegue técnico y fomentar la inversión de proveedores”</w:t>
            </w:r>
          </w:p>
        </w:tc>
        <w:tc>
          <w:tcPr>
            <w:tcW w:w="6946" w:type="dxa"/>
            <w:vMerge w:val="restart"/>
            <w:shd w:val="clear" w:color="auto" w:fill="F2F2F2"/>
            <w:vAlign w:val="center"/>
          </w:tcPr>
          <w:p w14:paraId="1F932861" w14:textId="2B39F927" w:rsidR="00EE0897" w:rsidRDefault="00B04E09" w:rsidP="006364C6">
            <w:pPr>
              <w:jc w:val="both"/>
              <w:rPr>
                <w:rFonts w:ascii="ITC Avant Garde" w:hAnsi="ITC Avant Garde" w:cs="Arial"/>
                <w:sz w:val="18"/>
              </w:rPr>
            </w:pPr>
            <w:r w:rsidRPr="00B04E09">
              <w:rPr>
                <w:rFonts w:ascii="ITC Avant Garde" w:hAnsi="ITC Avant Garde" w:cs="Arial"/>
                <w:sz w:val="18"/>
              </w:rPr>
              <w:t xml:space="preserve">Los segmentación y regionalización de los bloques objeto del </w:t>
            </w:r>
            <w:r w:rsidR="0060005B">
              <w:rPr>
                <w:rFonts w:ascii="ITC Avant Garde" w:hAnsi="ITC Avant Garde" w:cs="Arial"/>
                <w:sz w:val="18"/>
              </w:rPr>
              <w:t>Proyecto de Bases</w:t>
            </w:r>
            <w:r w:rsidRPr="00B04E09">
              <w:rPr>
                <w:rFonts w:ascii="ITC Avant Garde" w:hAnsi="ITC Avant Garde" w:cs="Arial"/>
                <w:sz w:val="18"/>
              </w:rPr>
              <w:t xml:space="preserve"> de licitación se proponen considerando que son segmentos de espectro radioeléctrico para el servicio de acceso inalámbrico móvil que fueron devueltos o no asignados previamente, </w:t>
            </w:r>
            <w:r w:rsidR="00EE0897">
              <w:rPr>
                <w:rFonts w:ascii="ITC Avant Garde" w:hAnsi="ITC Avant Garde" w:cs="Arial"/>
                <w:sz w:val="18"/>
              </w:rPr>
              <w:t>por lo que</w:t>
            </w:r>
            <w:r w:rsidRPr="00B04E09">
              <w:rPr>
                <w:rFonts w:ascii="ITC Avant Garde" w:hAnsi="ITC Avant Garde" w:cs="Arial"/>
                <w:sz w:val="18"/>
              </w:rPr>
              <w:t>, con el e</w:t>
            </w:r>
            <w:r w:rsidR="00EE0897">
              <w:rPr>
                <w:rFonts w:ascii="ITC Avant Garde" w:hAnsi="ITC Avant Garde" w:cs="Arial"/>
                <w:sz w:val="18"/>
              </w:rPr>
              <w:t>spectro disponible para licitar</w:t>
            </w:r>
            <w:r w:rsidRPr="00B04E09">
              <w:rPr>
                <w:rFonts w:ascii="ITC Avant Garde" w:hAnsi="ITC Avant Garde" w:cs="Arial"/>
                <w:sz w:val="18"/>
              </w:rPr>
              <w:t xml:space="preserve"> no es posible conformar bloques </w:t>
            </w:r>
            <w:r w:rsidR="00EE0897">
              <w:rPr>
                <w:rFonts w:ascii="ITC Avant Garde" w:hAnsi="ITC Avant Garde" w:cs="Arial"/>
                <w:sz w:val="18"/>
              </w:rPr>
              <w:t xml:space="preserve">más </w:t>
            </w:r>
            <w:r w:rsidRPr="00B04E09">
              <w:rPr>
                <w:rFonts w:ascii="ITC Avant Garde" w:hAnsi="ITC Avant Garde" w:cs="Arial"/>
                <w:sz w:val="18"/>
              </w:rPr>
              <w:t>amplios de espectro contiguo. En el mismo sentido, las coberturas propuestas consideran aquellas áreas geográficas en las cuales se tiene la disponibil</w:t>
            </w:r>
            <w:r w:rsidR="00EE0897">
              <w:rPr>
                <w:rFonts w:ascii="ITC Avant Garde" w:hAnsi="ITC Avant Garde" w:cs="Arial"/>
                <w:sz w:val="18"/>
              </w:rPr>
              <w:t>idad del espectro para asignar</w:t>
            </w:r>
            <w:r w:rsidRPr="00B04E09">
              <w:rPr>
                <w:rFonts w:ascii="ITC Avant Garde" w:hAnsi="ITC Avant Garde" w:cs="Arial"/>
                <w:sz w:val="18"/>
              </w:rPr>
              <w:t xml:space="preserve">. </w:t>
            </w:r>
          </w:p>
          <w:p w14:paraId="67079CF7" w14:textId="77777777" w:rsidR="00EE0897" w:rsidRDefault="00EE0897" w:rsidP="006364C6">
            <w:pPr>
              <w:jc w:val="both"/>
              <w:rPr>
                <w:rFonts w:ascii="ITC Avant Garde" w:hAnsi="ITC Avant Garde" w:cs="Arial"/>
                <w:sz w:val="18"/>
              </w:rPr>
            </w:pPr>
          </w:p>
          <w:p w14:paraId="47BBDA69" w14:textId="1D6FDA2C" w:rsidR="00BC3F15" w:rsidRPr="00D65650" w:rsidRDefault="00B04E09" w:rsidP="00AC4FB7">
            <w:pPr>
              <w:jc w:val="both"/>
              <w:rPr>
                <w:rFonts w:ascii="ITC Avant Garde" w:hAnsi="ITC Avant Garde" w:cs="Arial"/>
                <w:sz w:val="18"/>
              </w:rPr>
            </w:pPr>
            <w:r w:rsidRPr="00B04E09">
              <w:rPr>
                <w:rFonts w:ascii="ITC Avant Garde" w:hAnsi="ITC Avant Garde" w:cs="Arial"/>
                <w:sz w:val="18"/>
              </w:rPr>
              <w:t>Así mismo, se consideraron las condiciones de asignación del espectro asignado contiguo, así como la división regional en ABS del espectro disponible en la banda de 800 MHz, a fin de atraer el interés de operadores potenciales de diferentes escalas, teniendo en cuenta que el formato del procedimiento de presentación de ofertas permite presentar ofertas por uno o más bloques, a fin de lograr el agrupamiento de concesiones que mejor se adapte a los intereses de cada participante, lo cual brinda la flexibilidad necesaria tanto a potenciales nuevos entrantes como a concesionarios ya establecidos.</w:t>
            </w:r>
          </w:p>
        </w:tc>
      </w:tr>
      <w:tr w:rsidR="00BC3F15" w:rsidRPr="00BC3F15" w14:paraId="445823AE" w14:textId="77777777" w:rsidTr="00AC4FB7">
        <w:trPr>
          <w:trHeight w:val="113"/>
        </w:trPr>
        <w:tc>
          <w:tcPr>
            <w:tcW w:w="2553" w:type="dxa"/>
            <w:vMerge/>
            <w:shd w:val="clear" w:color="auto" w:fill="F2F2F2"/>
            <w:vAlign w:val="center"/>
          </w:tcPr>
          <w:p w14:paraId="5A9EA62B" w14:textId="77777777" w:rsidR="00BC3F15" w:rsidRPr="00BC3F15" w:rsidRDefault="00BC3F15" w:rsidP="00AC4FB7">
            <w:pPr>
              <w:jc w:val="both"/>
              <w:rPr>
                <w:rFonts w:ascii="ITC Avant Garde" w:eastAsia="Calibri" w:hAnsi="ITC Avant Garde" w:cs="Times New Roman"/>
                <w:sz w:val="18"/>
                <w:szCs w:val="18"/>
              </w:rPr>
            </w:pPr>
          </w:p>
        </w:tc>
        <w:tc>
          <w:tcPr>
            <w:tcW w:w="8646" w:type="dxa"/>
            <w:shd w:val="clear" w:color="auto" w:fill="F2F2F2"/>
            <w:vAlign w:val="center"/>
          </w:tcPr>
          <w:p w14:paraId="135996C4" w14:textId="77FAE99B" w:rsidR="00BC3F15" w:rsidRDefault="00BC3F15" w:rsidP="00AC4FB7">
            <w:pPr>
              <w:jc w:val="both"/>
              <w:rPr>
                <w:rFonts w:ascii="ITC Avant Garde" w:eastAsia="Calibri" w:hAnsi="ITC Avant Garde" w:cs="Times New Roman"/>
                <w:sz w:val="18"/>
                <w:szCs w:val="18"/>
              </w:rPr>
            </w:pPr>
            <w:r w:rsidRPr="00BC3F15">
              <w:rPr>
                <w:rFonts w:ascii="ITC Avant Garde" w:eastAsia="Calibri" w:hAnsi="ITC Avant Garde" w:cs="Times New Roman"/>
                <w:b/>
                <w:sz w:val="18"/>
                <w:szCs w:val="18"/>
              </w:rPr>
              <w:t>José Otero</w:t>
            </w:r>
          </w:p>
          <w:p w14:paraId="6FE0C4FC" w14:textId="77777777" w:rsidR="00AC4FB7" w:rsidRPr="00BC3F15" w:rsidRDefault="00AC4FB7" w:rsidP="00AC4FB7">
            <w:pPr>
              <w:jc w:val="both"/>
              <w:rPr>
                <w:rFonts w:ascii="ITC Avant Garde" w:eastAsia="Calibri" w:hAnsi="ITC Avant Garde" w:cs="Times New Roman"/>
                <w:sz w:val="18"/>
                <w:szCs w:val="18"/>
              </w:rPr>
            </w:pPr>
          </w:p>
          <w:p w14:paraId="6EF99A31" w14:textId="77777777" w:rsidR="00BC3F15" w:rsidRPr="00BC3F15" w:rsidRDefault="00BC3F15" w:rsidP="00AC4FB7">
            <w:pPr>
              <w:jc w:val="both"/>
              <w:rPr>
                <w:rFonts w:ascii="ITC Avant Garde" w:eastAsia="Calibri" w:hAnsi="ITC Avant Garde" w:cs="Times New Roman"/>
                <w:i/>
                <w:sz w:val="18"/>
                <w:szCs w:val="18"/>
              </w:rPr>
            </w:pPr>
            <w:r w:rsidRPr="00BC3F15">
              <w:rPr>
                <w:rFonts w:ascii="ITC Avant Garde" w:eastAsia="Calibri" w:hAnsi="ITC Avant Garde" w:cs="Times New Roman"/>
                <w:i/>
                <w:sz w:val="18"/>
                <w:szCs w:val="18"/>
              </w:rPr>
              <w:t>“El espectro disponible en México debe ser ofrecido preferentemente en bloques amplios, con divisiones territoriales razonables y en porciones del espectro para las que existan dispositivos compatibles”</w:t>
            </w:r>
          </w:p>
        </w:tc>
        <w:tc>
          <w:tcPr>
            <w:tcW w:w="6946" w:type="dxa"/>
            <w:vMerge/>
            <w:shd w:val="clear" w:color="auto" w:fill="F2F2F2"/>
            <w:vAlign w:val="center"/>
          </w:tcPr>
          <w:p w14:paraId="789D4475" w14:textId="77777777" w:rsidR="00BC3F15" w:rsidRPr="00BC3F15" w:rsidRDefault="00BC3F15" w:rsidP="00AC4FB7">
            <w:pPr>
              <w:jc w:val="both"/>
              <w:rPr>
                <w:rFonts w:ascii="ITC Avant Garde" w:eastAsia="Calibri" w:hAnsi="ITC Avant Garde" w:cs="Times New Roman"/>
                <w:sz w:val="18"/>
                <w:szCs w:val="18"/>
              </w:rPr>
            </w:pPr>
          </w:p>
        </w:tc>
      </w:tr>
      <w:tr w:rsidR="00BC3F15" w:rsidRPr="00BC3F15" w14:paraId="648A86B5" w14:textId="77777777" w:rsidTr="00AC4FB7">
        <w:trPr>
          <w:trHeight w:val="113"/>
        </w:trPr>
        <w:tc>
          <w:tcPr>
            <w:tcW w:w="2553" w:type="dxa"/>
            <w:vMerge/>
            <w:shd w:val="clear" w:color="auto" w:fill="F2F2F2"/>
            <w:vAlign w:val="center"/>
          </w:tcPr>
          <w:p w14:paraId="045DA8B3" w14:textId="77777777" w:rsidR="00BC3F15" w:rsidRPr="00BC3F15" w:rsidRDefault="00BC3F15" w:rsidP="00AC4FB7">
            <w:pPr>
              <w:jc w:val="both"/>
              <w:rPr>
                <w:rFonts w:ascii="ITC Avant Garde" w:eastAsia="Calibri" w:hAnsi="ITC Avant Garde" w:cs="Times New Roman"/>
                <w:sz w:val="18"/>
                <w:szCs w:val="18"/>
              </w:rPr>
            </w:pPr>
          </w:p>
        </w:tc>
        <w:tc>
          <w:tcPr>
            <w:tcW w:w="8646" w:type="dxa"/>
            <w:shd w:val="clear" w:color="auto" w:fill="F2F2F2"/>
            <w:vAlign w:val="center"/>
          </w:tcPr>
          <w:p w14:paraId="181D9061" w14:textId="77777777" w:rsidR="00BC3F15" w:rsidRDefault="00BC3F15" w:rsidP="00AC4FB7">
            <w:pPr>
              <w:jc w:val="both"/>
              <w:rPr>
                <w:rFonts w:ascii="ITC Avant Garde" w:eastAsia="Calibri" w:hAnsi="ITC Avant Garde" w:cs="Times New Roman"/>
                <w:b/>
                <w:sz w:val="18"/>
                <w:szCs w:val="18"/>
              </w:rPr>
            </w:pPr>
            <w:r w:rsidRPr="00BC3F15">
              <w:rPr>
                <w:rFonts w:ascii="ITC Avant Garde" w:eastAsia="Calibri" w:hAnsi="ITC Avant Garde" w:cs="Times New Roman"/>
                <w:b/>
                <w:sz w:val="18"/>
                <w:szCs w:val="18"/>
              </w:rPr>
              <w:t>Jose Otero</w:t>
            </w:r>
          </w:p>
          <w:p w14:paraId="4B1D3089" w14:textId="77777777" w:rsidR="00AC4FB7" w:rsidRPr="00BC3F15" w:rsidRDefault="00AC4FB7" w:rsidP="00AC4FB7">
            <w:pPr>
              <w:jc w:val="both"/>
              <w:rPr>
                <w:rFonts w:ascii="ITC Avant Garde" w:eastAsia="Calibri" w:hAnsi="ITC Avant Garde" w:cs="Times New Roman"/>
                <w:b/>
                <w:sz w:val="18"/>
                <w:szCs w:val="18"/>
              </w:rPr>
            </w:pPr>
          </w:p>
          <w:p w14:paraId="335E046D" w14:textId="376449ED" w:rsidR="00BC3F15" w:rsidRPr="00BC3F15" w:rsidRDefault="00BC3F15" w:rsidP="00BC3F15">
            <w:pPr>
              <w:jc w:val="both"/>
              <w:rPr>
                <w:rFonts w:ascii="ITC Avant Garde" w:eastAsia="Calibri" w:hAnsi="ITC Avant Garde" w:cs="Times New Roman"/>
                <w:sz w:val="18"/>
                <w:szCs w:val="18"/>
              </w:rPr>
            </w:pPr>
            <w:r w:rsidRPr="00BC3F15">
              <w:rPr>
                <w:rFonts w:ascii="ITC Avant Garde" w:eastAsia="Calibri" w:hAnsi="ITC Avant Garde" w:cs="Times New Roman"/>
                <w:sz w:val="18"/>
                <w:szCs w:val="18"/>
              </w:rPr>
              <w:t>“Se recomienda que se incluya en la Licitación IFT-10 la máxima cantidad de espectro disponible, considerando los bloques devueltos a finales de diciembre de 2019 en bloques de las bandas de 2,5 GHz y 1,9 GHz. Para la banda de 800 MHz, se sugiere considerar al menos una etapa del concurso en la que se ofrezcan bloques de configuración regional más amplia en la forma de regiones celulares si todas sus áreas básicas de servicio (ABS) están disponibles para permitir una oferta de bloques de 800 MHz menos fragmentada y si existen manifestaciones de potenciales interesados a favor de esta fase.</w:t>
            </w:r>
          </w:p>
        </w:tc>
        <w:tc>
          <w:tcPr>
            <w:tcW w:w="6946" w:type="dxa"/>
            <w:shd w:val="clear" w:color="auto" w:fill="F2F2F2"/>
            <w:vAlign w:val="center"/>
          </w:tcPr>
          <w:p w14:paraId="41FD6CEB" w14:textId="4060D1E8" w:rsidR="00BC3F15" w:rsidRDefault="00BC3F15" w:rsidP="00BC3F15">
            <w:pPr>
              <w:jc w:val="both"/>
              <w:rPr>
                <w:rFonts w:ascii="ITC Avant Garde" w:eastAsia="Calibri" w:hAnsi="ITC Avant Garde" w:cs="Times New Roman"/>
                <w:sz w:val="18"/>
                <w:szCs w:val="18"/>
              </w:rPr>
            </w:pPr>
            <w:r w:rsidRPr="00BC3F15">
              <w:rPr>
                <w:rFonts w:ascii="ITC Avant Garde" w:eastAsia="Calibri" w:hAnsi="ITC Avant Garde" w:cs="Times New Roman"/>
                <w:sz w:val="18"/>
                <w:szCs w:val="18"/>
              </w:rPr>
              <w:t>Respecto a la recomendación de incluir todo el espectro disponible, considerando los bloques de las bandas de 1.9 MHz y 2.5 GHz devueltos en 2019, se informa, que en la licitación se incluyó el espectro disponible contemplado en los Programas Anuales de Bandas de Frecuencias (PABF).</w:t>
            </w:r>
          </w:p>
          <w:p w14:paraId="34BA905C" w14:textId="0D1AE549" w:rsidR="00BC3F15" w:rsidRDefault="00BC3F15" w:rsidP="00BC3F15">
            <w:pPr>
              <w:jc w:val="both"/>
              <w:rPr>
                <w:rFonts w:ascii="ITC Avant Garde" w:eastAsia="Calibri" w:hAnsi="ITC Avant Garde" w:cs="Times New Roman"/>
                <w:sz w:val="18"/>
                <w:szCs w:val="18"/>
              </w:rPr>
            </w:pPr>
          </w:p>
          <w:p w14:paraId="0F6C4306" w14:textId="62E284F4" w:rsidR="002326F5" w:rsidRDefault="006A1340" w:rsidP="00BC3F15">
            <w:pPr>
              <w:jc w:val="both"/>
              <w:rPr>
                <w:rFonts w:ascii="ITC Avant Garde" w:eastAsia="Calibri" w:hAnsi="ITC Avant Garde" w:cs="Times New Roman"/>
                <w:sz w:val="18"/>
                <w:szCs w:val="18"/>
              </w:rPr>
            </w:pPr>
            <w:r>
              <w:rPr>
                <w:rFonts w:ascii="ITC Avant Garde" w:eastAsia="Calibri" w:hAnsi="ITC Avant Garde" w:cs="Times New Roman"/>
                <w:sz w:val="18"/>
                <w:szCs w:val="18"/>
              </w:rPr>
              <w:t>En su caso, deberá considerarse la presentación de una solicitud de inclusión al PABF para su análisis por este Instituto. Las solicitudes de inclusión pueden presentarse en el siguiente enlace:</w:t>
            </w:r>
            <w:r w:rsidR="002326F5">
              <w:rPr>
                <w:rFonts w:ascii="ITC Avant Garde" w:eastAsia="Calibri" w:hAnsi="ITC Avant Garde" w:cs="Times New Roman"/>
                <w:sz w:val="18"/>
                <w:szCs w:val="18"/>
              </w:rPr>
              <w:t xml:space="preserve"> </w:t>
            </w:r>
            <w:hyperlink r:id="rId17" w:history="1">
              <w:r w:rsidR="002326F5" w:rsidRPr="00642204">
                <w:rPr>
                  <w:rStyle w:val="Hipervnculo"/>
                  <w:rFonts w:ascii="ITC Avant Garde" w:eastAsia="Calibri" w:hAnsi="ITC Avant Garde" w:cs="Times New Roman"/>
                  <w:sz w:val="18"/>
                  <w:szCs w:val="18"/>
                </w:rPr>
                <w:t>http://www.ift.org.mx/pabf</w:t>
              </w:r>
            </w:hyperlink>
          </w:p>
          <w:p w14:paraId="43F891E3" w14:textId="77777777" w:rsidR="006A1340" w:rsidRDefault="006A1340" w:rsidP="00BC3F15">
            <w:pPr>
              <w:jc w:val="both"/>
              <w:rPr>
                <w:rFonts w:ascii="ITC Avant Garde" w:eastAsia="Calibri" w:hAnsi="ITC Avant Garde" w:cs="Times New Roman"/>
                <w:sz w:val="18"/>
                <w:szCs w:val="18"/>
              </w:rPr>
            </w:pPr>
          </w:p>
          <w:p w14:paraId="140A2718" w14:textId="2EA61684" w:rsidR="00BC3F15" w:rsidRPr="00BC3F15" w:rsidRDefault="00BC3F15" w:rsidP="00BC3F15">
            <w:pPr>
              <w:jc w:val="both"/>
              <w:rPr>
                <w:rFonts w:ascii="ITC Avant Garde" w:eastAsia="Calibri" w:hAnsi="ITC Avant Garde" w:cs="Times New Roman"/>
                <w:sz w:val="18"/>
                <w:szCs w:val="18"/>
              </w:rPr>
            </w:pPr>
            <w:r w:rsidRPr="00BC3F15">
              <w:rPr>
                <w:rFonts w:ascii="ITC Avant Garde" w:eastAsia="Calibri" w:hAnsi="ITC Avant Garde" w:cs="Times New Roman"/>
                <w:sz w:val="18"/>
                <w:szCs w:val="18"/>
              </w:rPr>
              <w:t xml:space="preserve">En relación con la sugerencia de considerar configuraciones más amplias en la forma de regiones celulares para la banda de 800 MHz, se comenta que el mecanismo de asignación simultáneo ascendente de múltiples rondas permite a cualquier participante agregar los bloques de su interés a su mejor conveniencia logrando coberturas regionales que pudieron coincidir o no con las regiones celulares actualmente definidas. Asimismo, la regionalización propuesta por ABS también permite a participantes con preferencia por </w:t>
            </w:r>
            <w:r w:rsidRPr="00BC3F15">
              <w:rPr>
                <w:rFonts w:ascii="ITC Avant Garde" w:eastAsia="Calibri" w:hAnsi="ITC Avant Garde" w:cs="Times New Roman"/>
                <w:sz w:val="18"/>
                <w:szCs w:val="18"/>
              </w:rPr>
              <w:lastRenderedPageBreak/>
              <w:t>cobertura menores a una región celular presentar posturas por bloques que se adapten a una preferencia de cobertura menor.</w:t>
            </w:r>
          </w:p>
        </w:tc>
      </w:tr>
      <w:tr w:rsidR="00BC3F15" w:rsidRPr="00BC3F15" w14:paraId="3AB6B2C1" w14:textId="77777777" w:rsidTr="00AC4FB7">
        <w:trPr>
          <w:trHeight w:val="113"/>
        </w:trPr>
        <w:tc>
          <w:tcPr>
            <w:tcW w:w="2553" w:type="dxa"/>
            <w:vMerge w:val="restart"/>
            <w:vAlign w:val="center"/>
          </w:tcPr>
          <w:p w14:paraId="315EA712" w14:textId="77777777" w:rsidR="00BC3F15" w:rsidRPr="00BC3F15" w:rsidRDefault="00BC3F15" w:rsidP="00AC4FB7">
            <w:pPr>
              <w:jc w:val="both"/>
              <w:rPr>
                <w:rFonts w:ascii="ITC Avant Garde" w:eastAsia="Calibri" w:hAnsi="ITC Avant Garde" w:cs="Times New Roman"/>
                <w:sz w:val="18"/>
                <w:szCs w:val="18"/>
              </w:rPr>
            </w:pPr>
            <w:r w:rsidRPr="00BC3F15">
              <w:rPr>
                <w:rFonts w:ascii="ITC Avant Garde" w:eastAsia="Calibri" w:hAnsi="ITC Avant Garde" w:cs="Arial"/>
                <w:b/>
                <w:sz w:val="18"/>
                <w:szCs w:val="18"/>
              </w:rPr>
              <w:lastRenderedPageBreak/>
              <w:t>Reglas o cualquier elemento del Procedimiento de Presentación de Ofertas</w:t>
            </w:r>
          </w:p>
        </w:tc>
        <w:tc>
          <w:tcPr>
            <w:tcW w:w="8646" w:type="dxa"/>
            <w:vAlign w:val="center"/>
          </w:tcPr>
          <w:p w14:paraId="173C24CC" w14:textId="77777777" w:rsidR="00BC3F15" w:rsidRPr="00BC3F15" w:rsidRDefault="00BC3F15" w:rsidP="00AC4FB7">
            <w:pPr>
              <w:jc w:val="both"/>
              <w:rPr>
                <w:rFonts w:ascii="ITC Avant Garde" w:eastAsia="Calibri" w:hAnsi="ITC Avant Garde" w:cs="Times New Roman"/>
                <w:b/>
                <w:sz w:val="18"/>
                <w:szCs w:val="18"/>
              </w:rPr>
            </w:pPr>
            <w:r w:rsidRPr="00BC3F15">
              <w:rPr>
                <w:rFonts w:ascii="ITC Avant Garde" w:eastAsia="Calibri" w:hAnsi="ITC Avant Garde" w:cs="Times New Roman"/>
                <w:b/>
                <w:sz w:val="18"/>
                <w:szCs w:val="18"/>
              </w:rPr>
              <w:t>Altán Redes</w:t>
            </w:r>
          </w:p>
          <w:p w14:paraId="795C75FB" w14:textId="77777777" w:rsidR="00BC3F15" w:rsidRPr="00BC3F15" w:rsidRDefault="00BC3F15" w:rsidP="00AC4FB7">
            <w:pPr>
              <w:jc w:val="both"/>
              <w:rPr>
                <w:rFonts w:ascii="ITC Avant Garde" w:eastAsia="Calibri" w:hAnsi="ITC Avant Garde" w:cs="Times New Roman"/>
                <w:b/>
                <w:sz w:val="18"/>
                <w:szCs w:val="18"/>
              </w:rPr>
            </w:pPr>
          </w:p>
          <w:p w14:paraId="6B271026" w14:textId="77777777" w:rsidR="00BC3F15" w:rsidRPr="00BC3F15" w:rsidRDefault="00BC3F15" w:rsidP="00AC4FB7">
            <w:pPr>
              <w:jc w:val="both"/>
              <w:rPr>
                <w:rFonts w:ascii="ITC Avant Garde" w:eastAsia="Calibri" w:hAnsi="ITC Avant Garde" w:cs="Times New Roman"/>
                <w:i/>
                <w:sz w:val="18"/>
                <w:szCs w:val="18"/>
              </w:rPr>
            </w:pPr>
            <w:r w:rsidRPr="00BC3F15">
              <w:rPr>
                <w:rFonts w:ascii="ITC Avant Garde" w:eastAsia="Calibri" w:hAnsi="ITC Avant Garde" w:cs="Times New Roman"/>
                <w:i/>
                <w:sz w:val="18"/>
                <w:szCs w:val="18"/>
              </w:rPr>
              <w:t>“La competencia por acceso a espectro debe establecerse siempre de manera separada entre concesionarios para uso integrado y concesionarios para uso compartido mayorista. Esta necesidad surge no sólo de la diferenciación de valor capturable del espectro por ambos tipos de concesionarios (y que se traduce en la necesidad de precios diferenciados según descrito anteriormente), sino también del papel diferente que juegan en el mercado.</w:t>
            </w:r>
          </w:p>
          <w:p w14:paraId="54A36648" w14:textId="77777777" w:rsidR="00BC3F15" w:rsidRPr="00BC3F15" w:rsidRDefault="00BC3F15" w:rsidP="00AC4FB7">
            <w:pPr>
              <w:jc w:val="both"/>
              <w:rPr>
                <w:rFonts w:ascii="ITC Avant Garde" w:eastAsia="Calibri" w:hAnsi="ITC Avant Garde" w:cs="Times New Roman"/>
                <w:i/>
                <w:sz w:val="18"/>
                <w:szCs w:val="18"/>
              </w:rPr>
            </w:pPr>
          </w:p>
          <w:p w14:paraId="1B97C854" w14:textId="77777777" w:rsidR="00BC3F15" w:rsidRPr="00BC3F15" w:rsidRDefault="00BC3F15" w:rsidP="00AC4FB7">
            <w:pPr>
              <w:jc w:val="both"/>
              <w:rPr>
                <w:rFonts w:ascii="ITC Avant Garde" w:eastAsia="Calibri" w:hAnsi="ITC Avant Garde" w:cs="Times New Roman"/>
                <w:i/>
                <w:sz w:val="18"/>
                <w:szCs w:val="18"/>
              </w:rPr>
            </w:pPr>
            <w:r w:rsidRPr="00BC3F15">
              <w:rPr>
                <w:rFonts w:ascii="ITC Avant Garde" w:eastAsia="Calibri" w:hAnsi="ITC Avant Garde" w:cs="Times New Roman"/>
                <w:i/>
                <w:sz w:val="18"/>
                <w:szCs w:val="18"/>
              </w:rPr>
              <w:t xml:space="preserve">Como lo señala el Dictamen del Senado, el espectro asignado a los concesionarios con carácter de RCM “estará disponible, en forma de capacidad, para los operadores actuales y para nuevos operadores virtuales y comercializadores”. Por tanto, no es posible en un mismo proceso hacer competir a un proveedor con sus propios o potenciales clientes por el mismo recurso. </w:t>
            </w:r>
          </w:p>
          <w:p w14:paraId="28ECEEC5" w14:textId="77777777" w:rsidR="00BC3F15" w:rsidRPr="00BC3F15" w:rsidRDefault="00BC3F15" w:rsidP="00AC4FB7">
            <w:pPr>
              <w:jc w:val="both"/>
              <w:rPr>
                <w:rFonts w:ascii="ITC Avant Garde" w:eastAsia="Calibri" w:hAnsi="ITC Avant Garde" w:cs="Times New Roman"/>
                <w:sz w:val="18"/>
                <w:szCs w:val="18"/>
              </w:rPr>
            </w:pPr>
          </w:p>
          <w:p w14:paraId="2490D482" w14:textId="32F7ABA3" w:rsidR="00BC3F15" w:rsidRDefault="00BC3F15" w:rsidP="00AC4FB7">
            <w:pPr>
              <w:jc w:val="both"/>
              <w:rPr>
                <w:rFonts w:ascii="ITC Avant Garde" w:eastAsia="Calibri" w:hAnsi="ITC Avant Garde" w:cs="Times New Roman"/>
                <w:sz w:val="18"/>
                <w:szCs w:val="18"/>
              </w:rPr>
            </w:pPr>
            <w:r w:rsidRPr="00BC3F15">
              <w:rPr>
                <w:rFonts w:ascii="ITC Avant Garde" w:eastAsia="Calibri" w:hAnsi="ITC Avant Garde" w:cs="Times New Roman"/>
                <w:sz w:val="18"/>
                <w:szCs w:val="18"/>
              </w:rPr>
              <w:t>Es importante señalar que el Proyecto de las Bases de Licitación no reconoce la diferencia sustancial que supone la existencia de la RCM en la gestión de espectro como los pagos necesarios, el análisis de la concentración del espectro o la competencia por acceso a espectro. Es necesario que cualquier proyecto futuro de licitación o de gestión del espectro incorpore estas diferencias.</w:t>
            </w:r>
          </w:p>
          <w:p w14:paraId="62805245" w14:textId="77777777" w:rsidR="002326F5" w:rsidRPr="00BC3F15" w:rsidRDefault="002326F5" w:rsidP="00AC4FB7">
            <w:pPr>
              <w:jc w:val="both"/>
              <w:rPr>
                <w:rFonts w:ascii="ITC Avant Garde" w:eastAsia="Calibri" w:hAnsi="ITC Avant Garde" w:cs="Times New Roman"/>
                <w:sz w:val="18"/>
                <w:szCs w:val="18"/>
              </w:rPr>
            </w:pPr>
          </w:p>
          <w:p w14:paraId="0E64ECD8" w14:textId="41FB9DB4" w:rsidR="00BC3F15" w:rsidRPr="00BC3F15" w:rsidRDefault="00BC3F15" w:rsidP="00BC3F15">
            <w:pPr>
              <w:jc w:val="both"/>
              <w:rPr>
                <w:rFonts w:ascii="ITC Avant Garde" w:eastAsia="Calibri" w:hAnsi="ITC Avant Garde" w:cs="Times New Roman"/>
                <w:sz w:val="18"/>
                <w:szCs w:val="18"/>
              </w:rPr>
            </w:pPr>
            <w:r w:rsidRPr="00BC3F15">
              <w:rPr>
                <w:rFonts w:ascii="ITC Avant Garde" w:eastAsia="Calibri" w:hAnsi="ITC Avant Garde" w:cs="Times New Roman"/>
                <w:sz w:val="18"/>
                <w:szCs w:val="18"/>
              </w:rPr>
              <w:t>Por lo que considera “</w:t>
            </w:r>
            <w:r w:rsidRPr="00BC3F15">
              <w:rPr>
                <w:rFonts w:ascii="ITC Avant Garde" w:eastAsia="Calibri" w:hAnsi="ITC Avant Garde" w:cs="Times New Roman"/>
                <w:i/>
                <w:sz w:val="18"/>
                <w:szCs w:val="18"/>
              </w:rPr>
              <w:t>Que los procesos competitivos de acceso al espectro sean siempre separados entre concesionarios integrados y concesionarios con carácter de RCM.”</w:t>
            </w:r>
          </w:p>
        </w:tc>
        <w:tc>
          <w:tcPr>
            <w:tcW w:w="6946" w:type="dxa"/>
            <w:vAlign w:val="center"/>
          </w:tcPr>
          <w:p w14:paraId="4F158B5F" w14:textId="338CD43F" w:rsidR="00BC3F15" w:rsidRDefault="005B67E0" w:rsidP="00AC4FB7">
            <w:pPr>
              <w:jc w:val="both"/>
              <w:rPr>
                <w:rFonts w:ascii="ITC Avant Garde" w:eastAsia="Calibri" w:hAnsi="ITC Avant Garde" w:cs="Times New Roman"/>
                <w:sz w:val="18"/>
                <w:szCs w:val="18"/>
              </w:rPr>
            </w:pPr>
            <w:r>
              <w:rPr>
                <w:rFonts w:ascii="ITC Avant Garde" w:eastAsia="Calibri" w:hAnsi="ITC Avant Garde" w:cs="Times New Roman"/>
                <w:sz w:val="18"/>
                <w:szCs w:val="18"/>
              </w:rPr>
              <w:t>E</w:t>
            </w:r>
            <w:r w:rsidR="00BC3F15" w:rsidRPr="00BC3F15">
              <w:rPr>
                <w:rFonts w:ascii="ITC Avant Garde" w:eastAsia="Calibri" w:hAnsi="ITC Avant Garde" w:cs="Times New Roman"/>
                <w:sz w:val="18"/>
                <w:szCs w:val="18"/>
              </w:rPr>
              <w:t>l objetivo de la licitación es ofrecer y lograr la asignación del espectro disponible que se describe en su objeto, mediante un proceso de licitación públic</w:t>
            </w:r>
            <w:r w:rsidR="00ED1675">
              <w:rPr>
                <w:rFonts w:ascii="ITC Avant Garde" w:eastAsia="Calibri" w:hAnsi="ITC Avant Garde" w:cs="Times New Roman"/>
                <w:sz w:val="18"/>
                <w:szCs w:val="18"/>
              </w:rPr>
              <w:t>o</w:t>
            </w:r>
            <w:r w:rsidR="00BC3F15" w:rsidRPr="00BC3F15">
              <w:rPr>
                <w:rFonts w:ascii="ITC Avant Garde" w:eastAsia="Calibri" w:hAnsi="ITC Avant Garde" w:cs="Times New Roman"/>
                <w:sz w:val="18"/>
                <w:szCs w:val="18"/>
              </w:rPr>
              <w:t>, transparente y abiert</w:t>
            </w:r>
            <w:r w:rsidR="00ED1675">
              <w:rPr>
                <w:rFonts w:ascii="ITC Avant Garde" w:eastAsia="Calibri" w:hAnsi="ITC Avant Garde" w:cs="Times New Roman"/>
                <w:sz w:val="18"/>
                <w:szCs w:val="18"/>
              </w:rPr>
              <w:t>o</w:t>
            </w:r>
            <w:r w:rsidR="00BC3F15" w:rsidRPr="00BC3F15">
              <w:rPr>
                <w:rFonts w:ascii="ITC Avant Garde" w:eastAsia="Calibri" w:hAnsi="ITC Avant Garde" w:cs="Times New Roman"/>
                <w:sz w:val="18"/>
                <w:szCs w:val="18"/>
              </w:rPr>
              <w:t>, cuyas reglas pretenden lograr la máxima participación de cualquier interesado, promoviendo y favoreciendo la participación de nuevos entrantes potenciales, así como de concesionarios con bajo nivel de tenencia de espectro para la prestación del servicio de acceso inalámbrico en México mediante los incentivos correspondientes. Lo anterior, sin descuidar la importancia de contar con los elementos necesarios para alcanzar una asignación eficiente del espectro, otorgando certidumbre y equidad a todos sus interesados y participantes.</w:t>
            </w:r>
          </w:p>
          <w:p w14:paraId="5894E387" w14:textId="7AAD2C55" w:rsidR="00596813" w:rsidRDefault="00596813" w:rsidP="00AC4FB7">
            <w:pPr>
              <w:jc w:val="both"/>
              <w:rPr>
                <w:rFonts w:ascii="ITC Avant Garde" w:eastAsia="Calibri" w:hAnsi="ITC Avant Garde" w:cs="Times New Roman"/>
                <w:sz w:val="18"/>
                <w:szCs w:val="18"/>
              </w:rPr>
            </w:pPr>
          </w:p>
          <w:p w14:paraId="0533C81D" w14:textId="0C966FFD" w:rsidR="005B67E0" w:rsidRDefault="005B67E0" w:rsidP="005B67E0">
            <w:pPr>
              <w:jc w:val="both"/>
              <w:rPr>
                <w:rFonts w:ascii="ITC Avant Garde" w:eastAsia="Calibri" w:hAnsi="ITC Avant Garde" w:cs="Times New Roman"/>
                <w:sz w:val="18"/>
                <w:szCs w:val="18"/>
              </w:rPr>
            </w:pPr>
            <w:r>
              <w:rPr>
                <w:rFonts w:ascii="ITC Avant Garde" w:eastAsia="Calibri" w:hAnsi="ITC Avant Garde" w:cs="Times New Roman"/>
                <w:sz w:val="18"/>
                <w:szCs w:val="18"/>
              </w:rPr>
              <w:t xml:space="preserve">En este sentido, el </w:t>
            </w:r>
            <w:r w:rsidR="0060005B">
              <w:rPr>
                <w:rFonts w:ascii="ITC Avant Garde" w:eastAsia="Calibri" w:hAnsi="ITC Avant Garde" w:cs="Times New Roman"/>
                <w:sz w:val="18"/>
                <w:szCs w:val="18"/>
              </w:rPr>
              <w:t>Proyecto de Bases</w:t>
            </w:r>
            <w:r>
              <w:rPr>
                <w:rFonts w:ascii="ITC Avant Garde" w:eastAsia="Calibri" w:hAnsi="ITC Avant Garde" w:cs="Times New Roman"/>
                <w:sz w:val="18"/>
                <w:szCs w:val="18"/>
              </w:rPr>
              <w:t xml:space="preserve"> prevé consideraciones particulares que buscan por un lado </w:t>
            </w:r>
            <w:r w:rsidRPr="00BC3F15">
              <w:rPr>
                <w:rFonts w:ascii="ITC Avant Garde" w:eastAsia="Calibri" w:hAnsi="ITC Avant Garde" w:cs="Times New Roman"/>
                <w:sz w:val="18"/>
                <w:szCs w:val="18"/>
              </w:rPr>
              <w:t>restringir la participación de un Interesado o, en su caso, Participante cuando, de acuerdo al marco jurídico y a las determinaciones jurídico-económicas aplicables, su participación pueda significar un efecto adverso a la competencia y libre concurrencia o generar concentraciones de espectro radioeléctrico contrarias al interés público</w:t>
            </w:r>
            <w:r>
              <w:rPr>
                <w:rFonts w:ascii="ITC Avant Garde" w:eastAsia="Calibri" w:hAnsi="ITC Avant Garde" w:cs="Times New Roman"/>
                <w:sz w:val="18"/>
                <w:szCs w:val="18"/>
              </w:rPr>
              <w:t xml:space="preserve">; y por otra parte brindar incentivos en relación a nuevos participantes en el mercado o para concesionarios que tengan menos de un 15% </w:t>
            </w:r>
            <w:r w:rsidRPr="00596813">
              <w:rPr>
                <w:rFonts w:ascii="ITC Avant Garde" w:eastAsia="Calibri" w:hAnsi="ITC Avant Garde" w:cs="Times New Roman"/>
                <w:sz w:val="18"/>
                <w:szCs w:val="18"/>
              </w:rPr>
              <w:t>del espectro radioeléctrico asignado y disponible, conforme a la Tabla 9 del numeral 8 de las Bases</w:t>
            </w:r>
            <w:r>
              <w:rPr>
                <w:rFonts w:ascii="ITC Avant Garde" w:eastAsia="Calibri" w:hAnsi="ITC Avant Garde" w:cs="Times New Roman"/>
                <w:sz w:val="18"/>
                <w:szCs w:val="18"/>
              </w:rPr>
              <w:t>.</w:t>
            </w:r>
          </w:p>
          <w:p w14:paraId="608AA440" w14:textId="77777777" w:rsidR="005B67E0" w:rsidRDefault="005B67E0" w:rsidP="00AC4FB7">
            <w:pPr>
              <w:jc w:val="both"/>
              <w:rPr>
                <w:rFonts w:ascii="ITC Avant Garde" w:eastAsia="Calibri" w:hAnsi="ITC Avant Garde" w:cs="Times New Roman"/>
                <w:sz w:val="18"/>
                <w:szCs w:val="18"/>
              </w:rPr>
            </w:pPr>
          </w:p>
          <w:p w14:paraId="54345537" w14:textId="6B19DF05" w:rsidR="008167C2" w:rsidRDefault="005B67E0" w:rsidP="008167C2">
            <w:pPr>
              <w:jc w:val="both"/>
              <w:rPr>
                <w:rFonts w:ascii="ITC Avant Garde" w:eastAsia="Calibri" w:hAnsi="ITC Avant Garde" w:cs="Times New Roman"/>
                <w:sz w:val="18"/>
                <w:szCs w:val="18"/>
              </w:rPr>
            </w:pPr>
            <w:r>
              <w:rPr>
                <w:rFonts w:ascii="ITC Avant Garde" w:eastAsia="Calibri" w:hAnsi="ITC Avant Garde" w:cs="Times New Roman"/>
                <w:sz w:val="18"/>
                <w:szCs w:val="18"/>
              </w:rPr>
              <w:t>Así</w:t>
            </w:r>
            <w:r w:rsidR="00596813">
              <w:rPr>
                <w:rFonts w:ascii="ITC Avant Garde" w:eastAsia="Calibri" w:hAnsi="ITC Avant Garde" w:cs="Times New Roman"/>
                <w:sz w:val="18"/>
                <w:szCs w:val="18"/>
              </w:rPr>
              <w:t xml:space="preserve">, las consideraciones previstas en el </w:t>
            </w:r>
            <w:r w:rsidR="0060005B">
              <w:rPr>
                <w:rFonts w:ascii="ITC Avant Garde" w:eastAsia="Calibri" w:hAnsi="ITC Avant Garde" w:cs="Times New Roman"/>
                <w:sz w:val="18"/>
                <w:szCs w:val="18"/>
              </w:rPr>
              <w:t>Proyecto de Bases</w:t>
            </w:r>
            <w:r w:rsidR="00596813">
              <w:rPr>
                <w:rFonts w:ascii="ITC Avant Garde" w:eastAsia="Calibri" w:hAnsi="ITC Avant Garde" w:cs="Times New Roman"/>
                <w:sz w:val="18"/>
                <w:szCs w:val="18"/>
              </w:rPr>
              <w:t xml:space="preserve"> se estiman suficientes para </w:t>
            </w:r>
            <w:r w:rsidR="008167C2">
              <w:rPr>
                <w:rFonts w:ascii="ITC Avant Garde" w:eastAsia="Calibri" w:hAnsi="ITC Avant Garde" w:cs="Times New Roman"/>
                <w:sz w:val="18"/>
                <w:szCs w:val="18"/>
              </w:rPr>
              <w:t>los objetivos buscados, por lo que no se considera que el Instituto daba ajustar las bases</w:t>
            </w:r>
            <w:r w:rsidR="002B3072">
              <w:rPr>
                <w:rFonts w:ascii="ITC Avant Garde" w:eastAsia="Calibri" w:hAnsi="ITC Avant Garde" w:cs="Times New Roman"/>
                <w:sz w:val="18"/>
                <w:szCs w:val="18"/>
              </w:rPr>
              <w:t>.</w:t>
            </w:r>
          </w:p>
          <w:p w14:paraId="32A6B37C" w14:textId="77777777" w:rsidR="008167C2" w:rsidRDefault="008167C2" w:rsidP="008167C2">
            <w:pPr>
              <w:jc w:val="both"/>
              <w:rPr>
                <w:rFonts w:ascii="ITC Avant Garde" w:eastAsia="Calibri" w:hAnsi="ITC Avant Garde" w:cs="Times New Roman"/>
                <w:sz w:val="18"/>
                <w:szCs w:val="18"/>
              </w:rPr>
            </w:pPr>
          </w:p>
          <w:p w14:paraId="45FDF542" w14:textId="2D04C13E" w:rsidR="00596813" w:rsidRPr="00BC3F15" w:rsidRDefault="008167C2" w:rsidP="005B67E0">
            <w:pPr>
              <w:jc w:val="both"/>
              <w:rPr>
                <w:rFonts w:ascii="ITC Avant Garde" w:eastAsia="Calibri" w:hAnsi="ITC Avant Garde" w:cs="Times New Roman"/>
                <w:sz w:val="18"/>
                <w:szCs w:val="18"/>
              </w:rPr>
            </w:pPr>
            <w:r>
              <w:rPr>
                <w:rFonts w:ascii="ITC Avant Garde" w:eastAsia="Calibri" w:hAnsi="ITC Avant Garde" w:cs="Times New Roman"/>
                <w:sz w:val="18"/>
                <w:szCs w:val="18"/>
              </w:rPr>
              <w:t xml:space="preserve">Ahora bien, el Instituto, en lo que le corresponde, ha dado cabal cumplimiento a lo establecido en el </w:t>
            </w:r>
            <w:r w:rsidRPr="00BC3F15">
              <w:rPr>
                <w:rFonts w:ascii="ITC Avant Garde" w:eastAsia="Calibri" w:hAnsi="ITC Avant Garde" w:cs="Times New Roman"/>
                <w:sz w:val="18"/>
                <w:szCs w:val="18"/>
              </w:rPr>
              <w:t>Decreto por el que se reforman y adicionan diversas disposiciones de los artículos 6o., 7o., 27, 28, 73, 78, 94 y 105 de la Constitución Política de los Estados Unidos Mexicanos, en materia de Telecomunicaciones</w:t>
            </w:r>
            <w:r>
              <w:rPr>
                <w:rFonts w:ascii="ITC Avant Garde" w:eastAsia="Calibri" w:hAnsi="ITC Avant Garde" w:cs="Times New Roman"/>
                <w:sz w:val="18"/>
                <w:szCs w:val="18"/>
              </w:rPr>
              <w:t>, publicado en el DOF el 11 junio de 2013</w:t>
            </w:r>
            <w:r w:rsidRPr="00BC3F15">
              <w:rPr>
                <w:rFonts w:ascii="ITC Avant Garde" w:eastAsia="Calibri" w:hAnsi="ITC Avant Garde" w:cs="Times New Roman"/>
                <w:sz w:val="18"/>
                <w:szCs w:val="18"/>
              </w:rPr>
              <w:t xml:space="preserve">, </w:t>
            </w:r>
            <w:r>
              <w:rPr>
                <w:rFonts w:ascii="ITC Avant Garde" w:eastAsia="Calibri" w:hAnsi="ITC Avant Garde" w:cs="Times New Roman"/>
                <w:sz w:val="18"/>
                <w:szCs w:val="18"/>
              </w:rPr>
              <w:t xml:space="preserve">el cual </w:t>
            </w:r>
            <w:r w:rsidRPr="00BC3F15">
              <w:rPr>
                <w:rFonts w:ascii="ITC Avant Garde" w:eastAsia="Calibri" w:hAnsi="ITC Avant Garde" w:cs="Times New Roman"/>
                <w:sz w:val="18"/>
                <w:szCs w:val="18"/>
              </w:rPr>
              <w:t>establece en su artículo Transitorio Décimo sexto fracciones II y IV, respectivamente, que el Estado garantizará la instalación de una red pública compartida de telecomunicaciones, la cual contemplará el aprovechamiento de al menos 90 MHz del espectro liberado por la transición a la Televisión Di</w:t>
            </w:r>
            <w:r>
              <w:rPr>
                <w:rFonts w:ascii="ITC Avant Garde" w:eastAsia="Calibri" w:hAnsi="ITC Avant Garde" w:cs="Times New Roman"/>
                <w:sz w:val="18"/>
                <w:szCs w:val="18"/>
              </w:rPr>
              <w:t>gital Terrestre (banda 700 MHz), sin que se considere deban incorporarse</w:t>
            </w:r>
            <w:r w:rsidR="005B67E0">
              <w:rPr>
                <w:rFonts w:ascii="ITC Avant Garde" w:eastAsia="Calibri" w:hAnsi="ITC Avant Garde" w:cs="Times New Roman"/>
                <w:sz w:val="18"/>
                <w:szCs w:val="18"/>
              </w:rPr>
              <w:t xml:space="preserve"> previsiones adicionales en razón de las manifestaciones realizadas en su escrito de participación.</w:t>
            </w:r>
          </w:p>
        </w:tc>
      </w:tr>
      <w:tr w:rsidR="00BC3F15" w:rsidRPr="00BC3F15" w14:paraId="17840BAE" w14:textId="77777777" w:rsidTr="00AC4FB7">
        <w:trPr>
          <w:trHeight w:val="113"/>
        </w:trPr>
        <w:tc>
          <w:tcPr>
            <w:tcW w:w="2553" w:type="dxa"/>
            <w:vMerge/>
            <w:vAlign w:val="center"/>
          </w:tcPr>
          <w:p w14:paraId="0DF45E6C" w14:textId="77777777" w:rsidR="00BC3F15" w:rsidRPr="00BC3F15" w:rsidRDefault="00BC3F15" w:rsidP="00AC4FB7">
            <w:pPr>
              <w:jc w:val="both"/>
              <w:rPr>
                <w:rFonts w:ascii="ITC Avant Garde" w:eastAsia="Calibri" w:hAnsi="ITC Avant Garde" w:cs="Times New Roman"/>
                <w:sz w:val="18"/>
                <w:szCs w:val="18"/>
              </w:rPr>
            </w:pPr>
          </w:p>
        </w:tc>
        <w:tc>
          <w:tcPr>
            <w:tcW w:w="8646" w:type="dxa"/>
            <w:vAlign w:val="center"/>
          </w:tcPr>
          <w:p w14:paraId="72D71392" w14:textId="77777777" w:rsidR="00BC3F15" w:rsidRPr="00BC3F15" w:rsidRDefault="00BC3F15" w:rsidP="00AC4FB7">
            <w:pPr>
              <w:jc w:val="both"/>
              <w:rPr>
                <w:rFonts w:ascii="ITC Avant Garde" w:eastAsia="Calibri" w:hAnsi="ITC Avant Garde" w:cs="Times New Roman"/>
                <w:sz w:val="18"/>
                <w:szCs w:val="18"/>
              </w:rPr>
            </w:pPr>
            <w:r w:rsidRPr="00BC3F15">
              <w:rPr>
                <w:rFonts w:ascii="ITC Avant Garde" w:eastAsia="Calibri" w:hAnsi="ITC Avant Garde" w:cs="Times New Roman"/>
                <w:b/>
                <w:sz w:val="18"/>
                <w:szCs w:val="18"/>
              </w:rPr>
              <w:t>AT&amp;T</w:t>
            </w:r>
            <w:r w:rsidRPr="00BC3F15">
              <w:rPr>
                <w:rFonts w:ascii="ITC Avant Garde" w:eastAsia="Calibri" w:hAnsi="ITC Avant Garde" w:cs="Times New Roman"/>
                <w:sz w:val="18"/>
                <w:szCs w:val="18"/>
              </w:rPr>
              <w:t xml:space="preserve"> </w:t>
            </w:r>
          </w:p>
          <w:p w14:paraId="4016CD09" w14:textId="77777777" w:rsidR="00BC3F15" w:rsidRPr="00BC3F15" w:rsidRDefault="00BC3F15" w:rsidP="00AC4FB7">
            <w:pPr>
              <w:jc w:val="both"/>
              <w:rPr>
                <w:rFonts w:ascii="ITC Avant Garde" w:eastAsia="Calibri" w:hAnsi="ITC Avant Garde" w:cs="Times New Roman"/>
                <w:sz w:val="18"/>
                <w:szCs w:val="18"/>
              </w:rPr>
            </w:pPr>
          </w:p>
          <w:p w14:paraId="45C4BBFE" w14:textId="77777777" w:rsidR="00BC3F15" w:rsidRPr="00BC3F15" w:rsidRDefault="00BC3F15" w:rsidP="00AC4FB7">
            <w:pPr>
              <w:jc w:val="both"/>
              <w:rPr>
                <w:rFonts w:ascii="ITC Avant Garde" w:eastAsia="Calibri" w:hAnsi="ITC Avant Garde" w:cs="Times New Roman"/>
                <w:sz w:val="18"/>
                <w:szCs w:val="18"/>
              </w:rPr>
            </w:pPr>
            <w:r w:rsidRPr="00BC3F15">
              <w:rPr>
                <w:rFonts w:ascii="ITC Avant Garde" w:eastAsia="Calibri" w:hAnsi="ITC Avant Garde" w:cs="Times New Roman"/>
                <w:i/>
                <w:sz w:val="18"/>
                <w:szCs w:val="18"/>
              </w:rPr>
              <w:lastRenderedPageBreak/>
              <w:t>“El IFT debe considerar que en esta Licitación No. IFT-10 en particular hay un número menor de licencias disponibles y, basado en la experiencia reciente, posiblemente un número reducido de Interesados/Participantes. Como resultado, un mecanismo de tres etapas puede no ser el adecuado. Específicamente el costo de utilizar incrementos a la OVMA que son muy altos en una subasta ascendente pueden generar ineficiencias en el resultado. El IFT debería considerar reducir los incrementos a la OVMA de 15-10-5 a 10-7.5-5 entre cada una de las etapas. Alternativamente, y en el extremo que sólo haya dos Participantes en la licitación, el IFT puede empezar la subasta directamente en la segunda etapa o notificar que la Fase dos empezará tempranamente”</w:t>
            </w:r>
          </w:p>
        </w:tc>
        <w:tc>
          <w:tcPr>
            <w:tcW w:w="6946" w:type="dxa"/>
            <w:vAlign w:val="center"/>
          </w:tcPr>
          <w:p w14:paraId="276CE46E" w14:textId="4AEE407F" w:rsidR="00BC3F15" w:rsidRPr="00BC3F15" w:rsidRDefault="00BC3F15" w:rsidP="0093651A">
            <w:pPr>
              <w:jc w:val="both"/>
              <w:rPr>
                <w:rFonts w:ascii="ITC Avant Garde" w:eastAsia="Calibri" w:hAnsi="ITC Avant Garde" w:cs="Times New Roman"/>
                <w:sz w:val="18"/>
                <w:szCs w:val="18"/>
              </w:rPr>
            </w:pPr>
            <w:r w:rsidRPr="00BC3F15">
              <w:rPr>
                <w:rFonts w:ascii="ITC Avant Garde" w:eastAsia="Calibri" w:hAnsi="ITC Avant Garde" w:cs="Times New Roman"/>
                <w:sz w:val="18"/>
                <w:szCs w:val="18"/>
              </w:rPr>
              <w:lastRenderedPageBreak/>
              <w:t xml:space="preserve">Se coincide con la opinión del participante en el sentido de que los incrementos a la OVMA deberán ser reconsiderados con base en la </w:t>
            </w:r>
            <w:r w:rsidRPr="00BC3F15">
              <w:rPr>
                <w:rFonts w:ascii="ITC Avant Garde" w:eastAsia="Calibri" w:hAnsi="ITC Avant Garde" w:cs="Times New Roman"/>
                <w:sz w:val="18"/>
                <w:szCs w:val="18"/>
              </w:rPr>
              <w:lastRenderedPageBreak/>
              <w:t xml:space="preserve">participación esperada y el tamaño de los incrementos en las ofertas con respecto al valor inicial de cada bloque. En este sentido, se </w:t>
            </w:r>
            <w:r w:rsidR="00BB4DC7">
              <w:rPr>
                <w:rFonts w:ascii="ITC Avant Garde" w:eastAsia="Calibri" w:hAnsi="ITC Avant Garde" w:cs="Times New Roman"/>
                <w:sz w:val="18"/>
                <w:szCs w:val="18"/>
              </w:rPr>
              <w:t>disminuirán</w:t>
            </w:r>
            <w:r w:rsidRPr="00BC3F15">
              <w:rPr>
                <w:rFonts w:ascii="ITC Avant Garde" w:eastAsia="Calibri" w:hAnsi="ITC Avant Garde" w:cs="Times New Roman"/>
                <w:sz w:val="18"/>
                <w:szCs w:val="18"/>
              </w:rPr>
              <w:t xml:space="preserve"> los incrementos en las OVMA en cada una de las etapas, </w:t>
            </w:r>
            <w:r w:rsidR="00B174C2">
              <w:rPr>
                <w:rFonts w:ascii="ITC Avant Garde" w:eastAsia="Calibri" w:hAnsi="ITC Avant Garde" w:cs="Times New Roman"/>
                <w:sz w:val="18"/>
                <w:szCs w:val="18"/>
              </w:rPr>
              <w:t xml:space="preserve">con base en </w:t>
            </w:r>
            <w:r w:rsidRPr="00BC3F15">
              <w:rPr>
                <w:rFonts w:ascii="ITC Avant Garde" w:eastAsia="Calibri" w:hAnsi="ITC Avant Garde" w:cs="Times New Roman"/>
                <w:sz w:val="18"/>
                <w:szCs w:val="18"/>
              </w:rPr>
              <w:t xml:space="preserve">la propuesta específica aportada. Respecto al comentario sobre el número de etapas considerado, se considera que el esquema de tres etapas actualmente considerado </w:t>
            </w:r>
            <w:r w:rsidR="0093651A">
              <w:rPr>
                <w:rFonts w:ascii="ITC Avant Garde" w:eastAsia="Calibri" w:hAnsi="ITC Avant Garde" w:cs="Times New Roman"/>
                <w:sz w:val="18"/>
                <w:szCs w:val="18"/>
              </w:rPr>
              <w:t>es adecuado</w:t>
            </w:r>
            <w:r w:rsidRPr="00BC3F15">
              <w:rPr>
                <w:rFonts w:ascii="ITC Avant Garde" w:eastAsia="Calibri" w:hAnsi="ITC Avant Garde" w:cs="Times New Roman"/>
                <w:sz w:val="18"/>
                <w:szCs w:val="18"/>
              </w:rPr>
              <w:t>, ya que de acuerdo a las reglas del procedimiento de presentación de ofertas no es obligatorio pasar por las tres etapas, y contar con el esquema completa permitiría también administrar situaciones en que uno o varios bloques tuvieran una intensa actividad.</w:t>
            </w:r>
          </w:p>
        </w:tc>
      </w:tr>
      <w:tr w:rsidR="00BC3F15" w:rsidRPr="00BC3F15" w14:paraId="772A2379" w14:textId="77777777" w:rsidTr="00AC4FB7">
        <w:trPr>
          <w:trHeight w:val="113"/>
        </w:trPr>
        <w:tc>
          <w:tcPr>
            <w:tcW w:w="2553" w:type="dxa"/>
            <w:vMerge/>
            <w:vAlign w:val="center"/>
          </w:tcPr>
          <w:p w14:paraId="3FC0E322" w14:textId="77777777" w:rsidR="00BC3F15" w:rsidRPr="00BC3F15" w:rsidRDefault="00BC3F15" w:rsidP="00AC4FB7">
            <w:pPr>
              <w:jc w:val="both"/>
              <w:rPr>
                <w:rFonts w:ascii="ITC Avant Garde" w:eastAsia="Calibri" w:hAnsi="ITC Avant Garde" w:cs="Times New Roman"/>
                <w:sz w:val="18"/>
                <w:szCs w:val="18"/>
              </w:rPr>
            </w:pPr>
          </w:p>
        </w:tc>
        <w:tc>
          <w:tcPr>
            <w:tcW w:w="8646" w:type="dxa"/>
            <w:vAlign w:val="center"/>
          </w:tcPr>
          <w:p w14:paraId="65D66FC8" w14:textId="62E59ED0" w:rsidR="00BC3F15" w:rsidRDefault="00BC3F15" w:rsidP="00AC4FB7">
            <w:pPr>
              <w:jc w:val="both"/>
              <w:rPr>
                <w:rFonts w:ascii="ITC Avant Garde" w:eastAsia="Calibri" w:hAnsi="ITC Avant Garde" w:cs="Times New Roman"/>
                <w:sz w:val="18"/>
                <w:szCs w:val="18"/>
              </w:rPr>
            </w:pPr>
            <w:r w:rsidRPr="00BC3F15">
              <w:rPr>
                <w:rFonts w:ascii="ITC Avant Garde" w:eastAsia="Calibri" w:hAnsi="ITC Avant Garde" w:cs="Times New Roman"/>
                <w:b/>
                <w:sz w:val="18"/>
                <w:szCs w:val="18"/>
              </w:rPr>
              <w:t>AT&amp;T</w:t>
            </w:r>
          </w:p>
          <w:p w14:paraId="1E0A8DB9" w14:textId="77777777" w:rsidR="00AC4FB7" w:rsidRPr="00BC3F15" w:rsidRDefault="00AC4FB7" w:rsidP="00AC4FB7">
            <w:pPr>
              <w:jc w:val="both"/>
              <w:rPr>
                <w:rFonts w:ascii="ITC Avant Garde" w:eastAsia="Calibri" w:hAnsi="ITC Avant Garde" w:cs="Times New Roman"/>
                <w:sz w:val="18"/>
                <w:szCs w:val="18"/>
              </w:rPr>
            </w:pPr>
          </w:p>
          <w:p w14:paraId="6E8B4317" w14:textId="77777777" w:rsidR="00BC3F15" w:rsidRPr="00BC3F15" w:rsidRDefault="00BC3F15" w:rsidP="00AC4FB7">
            <w:pPr>
              <w:jc w:val="both"/>
              <w:rPr>
                <w:rFonts w:ascii="ITC Avant Garde" w:eastAsia="Calibri" w:hAnsi="ITC Avant Garde" w:cs="Times New Roman"/>
                <w:sz w:val="18"/>
                <w:szCs w:val="18"/>
              </w:rPr>
            </w:pPr>
            <w:r w:rsidRPr="00BC3F15">
              <w:rPr>
                <w:rFonts w:ascii="ITC Avant Garde" w:eastAsia="Calibri" w:hAnsi="ITC Avant Garde" w:cs="Times New Roman"/>
                <w:sz w:val="18"/>
                <w:szCs w:val="18"/>
              </w:rPr>
              <w:t>“No es claro por qué el Instituto propone que cada Bloque tenga un valor en “Unidades”, siendo que lo más sencillo, lo que el IFT ya ha implementado previamente y tiene menor probabilidad de generar confusión, es que tenga un valor monetario”.</w:t>
            </w:r>
          </w:p>
        </w:tc>
        <w:tc>
          <w:tcPr>
            <w:tcW w:w="6946" w:type="dxa"/>
            <w:vAlign w:val="center"/>
          </w:tcPr>
          <w:p w14:paraId="6F99B7B9" w14:textId="4567F727" w:rsidR="00BC3F15" w:rsidRPr="00BC3F15" w:rsidRDefault="00BC3F15" w:rsidP="00AC4FB7">
            <w:pPr>
              <w:jc w:val="both"/>
              <w:rPr>
                <w:rFonts w:ascii="ITC Avant Garde" w:eastAsia="Calibri" w:hAnsi="ITC Avant Garde" w:cs="Times New Roman"/>
                <w:sz w:val="18"/>
                <w:szCs w:val="18"/>
              </w:rPr>
            </w:pPr>
            <w:r w:rsidRPr="00BC3F15">
              <w:rPr>
                <w:rFonts w:ascii="ITC Avant Garde" w:eastAsia="Calibri" w:hAnsi="ITC Avant Garde" w:cs="Times New Roman"/>
                <w:sz w:val="18"/>
                <w:szCs w:val="18"/>
              </w:rPr>
              <w:t xml:space="preserve">En el caso particular de esta licitación se considera que la conversión a unidades es sencilla y difícilmente podría generar error, ya que el factor de escalamiento (N) establecido entre unidades y cifras monetarias es de 1,000,000 </w:t>
            </w:r>
            <w:r w:rsidR="00B82921">
              <w:rPr>
                <w:rFonts w:ascii="ITC Avant Garde" w:eastAsia="Calibri" w:hAnsi="ITC Avant Garde" w:cs="Times New Roman"/>
                <w:sz w:val="18"/>
                <w:szCs w:val="18"/>
              </w:rPr>
              <w:t>(un millón)</w:t>
            </w:r>
            <w:r w:rsidRPr="00BC3F15">
              <w:rPr>
                <w:rFonts w:ascii="ITC Avant Garde" w:eastAsia="Calibri" w:hAnsi="ITC Avant Garde" w:cs="Times New Roman"/>
                <w:sz w:val="18"/>
                <w:szCs w:val="18"/>
              </w:rPr>
              <w:t xml:space="preserve"> por lo tanto, las unidades corresponden a su denominación en millones de pesos. Por otra parte, se hace de conocimiento de los interesados que el sistema que se utilizará para la presentación de ofertas vía Internet en todo momento presentará la información de cada postura en unidades y cifras monetarias, a fin de garantizar la claridad de las posturas para cada participante.</w:t>
            </w:r>
          </w:p>
        </w:tc>
      </w:tr>
      <w:tr w:rsidR="00BC3F15" w:rsidRPr="00BC3F15" w14:paraId="3909CBA4" w14:textId="77777777" w:rsidTr="006A7CC1">
        <w:trPr>
          <w:trHeight w:val="113"/>
        </w:trPr>
        <w:tc>
          <w:tcPr>
            <w:tcW w:w="2553" w:type="dxa"/>
            <w:shd w:val="clear" w:color="auto" w:fill="F2F2F2"/>
            <w:vAlign w:val="center"/>
          </w:tcPr>
          <w:p w14:paraId="269FCF1F" w14:textId="77777777" w:rsidR="00BC3F15" w:rsidRPr="00BC3F15" w:rsidRDefault="00BC3F15" w:rsidP="00AC4FB7">
            <w:pPr>
              <w:jc w:val="both"/>
              <w:rPr>
                <w:rFonts w:ascii="ITC Avant Garde" w:eastAsia="Calibri" w:hAnsi="ITC Avant Garde" w:cs="Times New Roman"/>
                <w:sz w:val="18"/>
                <w:szCs w:val="18"/>
              </w:rPr>
            </w:pPr>
            <w:r w:rsidRPr="00BC3F15">
              <w:rPr>
                <w:rFonts w:ascii="ITC Avant Garde" w:eastAsia="Calibri" w:hAnsi="ITC Avant Garde" w:cs="Arial"/>
                <w:b/>
                <w:sz w:val="18"/>
                <w:szCs w:val="18"/>
              </w:rPr>
              <w:t>Incentivos de Participación (numeral 10).</w:t>
            </w:r>
          </w:p>
        </w:tc>
        <w:tc>
          <w:tcPr>
            <w:tcW w:w="8646" w:type="dxa"/>
            <w:shd w:val="clear" w:color="auto" w:fill="F2F2F2"/>
            <w:vAlign w:val="center"/>
          </w:tcPr>
          <w:p w14:paraId="5BD99CF8" w14:textId="47B924B6" w:rsidR="00BC3F15" w:rsidRDefault="00AC4FB7" w:rsidP="00AC4FB7">
            <w:pPr>
              <w:jc w:val="both"/>
              <w:rPr>
                <w:rFonts w:ascii="ITC Avant Garde" w:eastAsia="Calibri" w:hAnsi="ITC Avant Garde" w:cs="Arial"/>
                <w:b/>
                <w:sz w:val="18"/>
                <w:szCs w:val="18"/>
              </w:rPr>
            </w:pPr>
            <w:r>
              <w:rPr>
                <w:rFonts w:ascii="ITC Avant Garde" w:eastAsia="Calibri" w:hAnsi="ITC Avant Garde" w:cs="Arial"/>
                <w:b/>
                <w:sz w:val="18"/>
                <w:szCs w:val="18"/>
              </w:rPr>
              <w:t>AT&amp;T</w:t>
            </w:r>
          </w:p>
          <w:p w14:paraId="24C224D3" w14:textId="77777777" w:rsidR="00AC4FB7" w:rsidRPr="00BC3F15" w:rsidRDefault="00AC4FB7" w:rsidP="00AC4FB7">
            <w:pPr>
              <w:jc w:val="both"/>
              <w:rPr>
                <w:rFonts w:ascii="ITC Avant Garde" w:eastAsia="Calibri" w:hAnsi="ITC Avant Garde" w:cs="Arial"/>
                <w:sz w:val="18"/>
                <w:szCs w:val="18"/>
              </w:rPr>
            </w:pPr>
          </w:p>
          <w:p w14:paraId="4667C596" w14:textId="77777777" w:rsidR="00BC3F15" w:rsidRPr="00BC3F15" w:rsidRDefault="00BC3F15" w:rsidP="00AC4FB7">
            <w:pPr>
              <w:jc w:val="both"/>
              <w:rPr>
                <w:rFonts w:ascii="ITC Avant Garde" w:eastAsia="Calibri" w:hAnsi="ITC Avant Garde" w:cs="Arial"/>
                <w:b/>
                <w:sz w:val="18"/>
                <w:szCs w:val="18"/>
              </w:rPr>
            </w:pPr>
            <w:r w:rsidRPr="00BC3F15">
              <w:rPr>
                <w:rFonts w:ascii="ITC Avant Garde" w:eastAsia="Calibri" w:hAnsi="ITC Avant Garde" w:cs="Arial"/>
                <w:sz w:val="18"/>
                <w:szCs w:val="18"/>
              </w:rPr>
              <w:t>“Si la idea del Instituto es otorgar incentivos a efecto de intentar nivelar las grandes diferencias de escala y poderío económico de algunos operadores, dicho incentivo debería ser extensivo a todos los operadores no preponderantes. En la práctica, son los operadores no preponderantes lo que han traído competencia al mercado mexicano”.</w:t>
            </w:r>
          </w:p>
        </w:tc>
        <w:tc>
          <w:tcPr>
            <w:tcW w:w="6946" w:type="dxa"/>
            <w:shd w:val="clear" w:color="auto" w:fill="auto"/>
            <w:vAlign w:val="center"/>
          </w:tcPr>
          <w:p w14:paraId="1613F020" w14:textId="6128310F" w:rsidR="00BC3F15" w:rsidRPr="006A7CC1" w:rsidRDefault="00BC3F15" w:rsidP="00AC4FB7">
            <w:pPr>
              <w:jc w:val="both"/>
              <w:rPr>
                <w:rFonts w:ascii="ITC Avant Garde" w:eastAsia="Calibri" w:hAnsi="ITC Avant Garde" w:cs="Times New Roman"/>
                <w:sz w:val="18"/>
                <w:szCs w:val="18"/>
              </w:rPr>
            </w:pPr>
            <w:r w:rsidRPr="006A7CC1">
              <w:rPr>
                <w:rFonts w:ascii="ITC Avant Garde" w:eastAsia="Calibri" w:hAnsi="ITC Avant Garde" w:cs="Times New Roman"/>
                <w:sz w:val="18"/>
                <w:szCs w:val="18"/>
              </w:rPr>
              <w:t xml:space="preserve">El artículo 28, décimo octavo párrafo, de la Constitución Política de los Estados Unidos Mexicanos establece que las concesiones del espectro radioeléctrico serán otorgadas mediante licitación pública, en las cuales, en ningún caso el factor determinante para definir al ganador será meramente económico. Ahora, </w:t>
            </w:r>
            <w:r w:rsidR="006A7CC1" w:rsidRPr="006A7CC1">
              <w:rPr>
                <w:rFonts w:ascii="ITC Avant Garde" w:eastAsia="Calibri" w:hAnsi="ITC Avant Garde" w:cs="Times New Roman"/>
                <w:sz w:val="18"/>
                <w:szCs w:val="18"/>
              </w:rPr>
              <w:t xml:space="preserve">el proyecto de </w:t>
            </w:r>
            <w:r w:rsidR="00B82921" w:rsidRPr="006A7CC1">
              <w:rPr>
                <w:rFonts w:ascii="ITC Avant Garde" w:eastAsia="Calibri" w:hAnsi="ITC Avant Garde" w:cs="Times New Roman"/>
                <w:sz w:val="18"/>
                <w:szCs w:val="18"/>
              </w:rPr>
              <w:t>l</w:t>
            </w:r>
            <w:r w:rsidRPr="006A7CC1">
              <w:rPr>
                <w:rFonts w:ascii="ITC Avant Garde" w:eastAsia="Calibri" w:hAnsi="ITC Avant Garde" w:cs="Times New Roman"/>
                <w:sz w:val="18"/>
                <w:szCs w:val="18"/>
              </w:rPr>
              <w:t xml:space="preserve">icitación incorpora incentivos a la participación para los participantes que tengan el carácter </w:t>
            </w:r>
            <w:r w:rsidR="006A7CC1" w:rsidRPr="006A7CC1">
              <w:rPr>
                <w:rFonts w:ascii="ITC Avant Garde" w:eastAsia="Calibri" w:hAnsi="ITC Avant Garde" w:cs="Times New Roman"/>
                <w:sz w:val="18"/>
                <w:szCs w:val="18"/>
              </w:rPr>
              <w:t xml:space="preserve">de nuevo competidor, conforme al </w:t>
            </w:r>
            <w:r w:rsidR="0060005B">
              <w:rPr>
                <w:rFonts w:ascii="ITC Avant Garde" w:eastAsia="Calibri" w:hAnsi="ITC Avant Garde" w:cs="Times New Roman"/>
                <w:sz w:val="18"/>
                <w:szCs w:val="18"/>
              </w:rPr>
              <w:t>Proyecto de Bases</w:t>
            </w:r>
            <w:r w:rsidR="006A7CC1" w:rsidRPr="006A7CC1">
              <w:rPr>
                <w:rFonts w:ascii="ITC Avant Garde" w:eastAsia="Calibri" w:hAnsi="ITC Avant Garde" w:cs="Times New Roman"/>
                <w:sz w:val="18"/>
                <w:szCs w:val="18"/>
              </w:rPr>
              <w:t xml:space="preserve"> </w:t>
            </w:r>
            <w:r w:rsidRPr="006A7CC1">
              <w:rPr>
                <w:rFonts w:ascii="ITC Avant Garde" w:eastAsia="Calibri" w:hAnsi="ITC Avant Garde" w:cs="Times New Roman"/>
                <w:sz w:val="18"/>
                <w:szCs w:val="18"/>
              </w:rPr>
              <w:t xml:space="preserve">o cuya tenencia espectral para servicios de acceso inalámbrico no sea mayor al 15% (quince por ciento) del espectro radioeléctrico asignado y disponible, con el fin promover la participación de interesados que pudieran convertirse en nuevos competidores a fin de favorecer la competencia y concurrencia en el proceso. Los incentivos </w:t>
            </w:r>
            <w:r w:rsidR="006A7CC1" w:rsidRPr="006A7CC1">
              <w:rPr>
                <w:rFonts w:ascii="ITC Avant Garde" w:eastAsia="Calibri" w:hAnsi="ITC Avant Garde" w:cs="Times New Roman"/>
                <w:sz w:val="18"/>
                <w:szCs w:val="18"/>
              </w:rPr>
              <w:t xml:space="preserve">considerados en el </w:t>
            </w:r>
            <w:r w:rsidR="0060005B">
              <w:rPr>
                <w:rFonts w:ascii="ITC Avant Garde" w:eastAsia="Calibri" w:hAnsi="ITC Avant Garde" w:cs="Times New Roman"/>
                <w:sz w:val="18"/>
                <w:szCs w:val="18"/>
              </w:rPr>
              <w:t>Proyecto de Bases</w:t>
            </w:r>
            <w:r w:rsidR="006A7CC1" w:rsidRPr="006A7CC1">
              <w:rPr>
                <w:rFonts w:ascii="ITC Avant Garde" w:eastAsia="Calibri" w:hAnsi="ITC Avant Garde" w:cs="Times New Roman"/>
                <w:sz w:val="18"/>
                <w:szCs w:val="18"/>
              </w:rPr>
              <w:t xml:space="preserve"> de </w:t>
            </w:r>
            <w:r w:rsidRPr="006A7CC1">
              <w:rPr>
                <w:rFonts w:ascii="ITC Avant Garde" w:eastAsia="Calibri" w:hAnsi="ITC Avant Garde" w:cs="Times New Roman"/>
                <w:sz w:val="18"/>
                <w:szCs w:val="18"/>
              </w:rPr>
              <w:t>la Licitación son los siguientes:</w:t>
            </w:r>
          </w:p>
          <w:p w14:paraId="15EFACEE" w14:textId="77777777" w:rsidR="00BC3F15" w:rsidRPr="006A7CC1" w:rsidRDefault="00BC3F15" w:rsidP="00AC4FB7">
            <w:pPr>
              <w:jc w:val="both"/>
              <w:rPr>
                <w:rFonts w:ascii="ITC Avant Garde" w:eastAsia="Calibri" w:hAnsi="ITC Avant Garde" w:cs="Times New Roman"/>
                <w:sz w:val="18"/>
                <w:szCs w:val="18"/>
              </w:rPr>
            </w:pPr>
          </w:p>
          <w:p w14:paraId="26C9EDDF" w14:textId="77777777" w:rsidR="00BC3F15" w:rsidRPr="006A7CC1" w:rsidRDefault="00BC3F15" w:rsidP="00AC4FB7">
            <w:pPr>
              <w:numPr>
                <w:ilvl w:val="0"/>
                <w:numId w:val="25"/>
              </w:numPr>
              <w:jc w:val="both"/>
              <w:rPr>
                <w:rFonts w:ascii="ITC Avant Garde" w:eastAsia="Calibri" w:hAnsi="ITC Avant Garde" w:cs="Times New Roman"/>
                <w:sz w:val="18"/>
                <w:szCs w:val="18"/>
              </w:rPr>
            </w:pPr>
            <w:r w:rsidRPr="006A7CC1">
              <w:rPr>
                <w:rFonts w:ascii="ITC Avant Garde" w:eastAsia="Calibri" w:hAnsi="ITC Avant Garde" w:cs="Times New Roman"/>
                <w:sz w:val="18"/>
                <w:szCs w:val="18"/>
              </w:rPr>
              <w:t xml:space="preserve">Un incentivo de 30% (treinta por ciento) aplicable en caso de cumplir con el criterio para obtener el carácter de nuevo competidor y se plasmará en el Dictamen de Competencia Económica y, en su caso, en la Constancia de Participación a los Participantes evaluados bajo la dimensión de GIE y considerando las personas con las que el GIE tiene vínculos de tipo comercial, organizativo, económico y jurídico que no ostenten, directa o indirectamente, concesiones de espectro radioeléctrico en las bandas incluidas en la Tabla 9 del numeral 8 de las Bases. </w:t>
            </w:r>
          </w:p>
          <w:p w14:paraId="2BB73B76" w14:textId="77777777" w:rsidR="00BC3F15" w:rsidRPr="006A7CC1" w:rsidRDefault="00BC3F15" w:rsidP="00AC4FB7">
            <w:pPr>
              <w:jc w:val="both"/>
              <w:rPr>
                <w:rFonts w:ascii="ITC Avant Garde" w:eastAsia="Calibri" w:hAnsi="ITC Avant Garde" w:cs="Times New Roman"/>
                <w:sz w:val="18"/>
                <w:szCs w:val="18"/>
              </w:rPr>
            </w:pPr>
          </w:p>
          <w:p w14:paraId="2F70E13B" w14:textId="2AB4C24E" w:rsidR="00BC3F15" w:rsidRPr="006A7CC1" w:rsidRDefault="00BC3F15" w:rsidP="00AC4FB7">
            <w:pPr>
              <w:numPr>
                <w:ilvl w:val="0"/>
                <w:numId w:val="25"/>
              </w:numPr>
              <w:jc w:val="both"/>
              <w:rPr>
                <w:rFonts w:ascii="ITC Avant Garde" w:eastAsia="Calibri" w:hAnsi="ITC Avant Garde" w:cs="Times New Roman"/>
                <w:sz w:val="18"/>
                <w:szCs w:val="18"/>
              </w:rPr>
            </w:pPr>
            <w:r w:rsidRPr="006A7CC1">
              <w:rPr>
                <w:rFonts w:ascii="ITC Avant Garde" w:eastAsia="Calibri" w:hAnsi="ITC Avant Garde" w:cs="Times New Roman"/>
                <w:sz w:val="18"/>
                <w:szCs w:val="18"/>
              </w:rPr>
              <w:t>Un incentivo de 20% (veinte por ciento) aplicable a los Participantes evaluados que bajo la dimensión de GIE y considerando las personas con las que el GIE tiene vínculos de tipo comercial, organizativo, económico y jurídico que ostenten concesiones de espectro radioeléctrico asignado, pero que no sea mayor al 15% (quince por ciento) del espectro radioeléctrico asignado y disponible, conforme a</w:t>
            </w:r>
            <w:r w:rsidR="006A7CC1">
              <w:rPr>
                <w:rFonts w:ascii="ITC Avant Garde" w:eastAsia="Calibri" w:hAnsi="ITC Avant Garde" w:cs="Times New Roman"/>
                <w:sz w:val="18"/>
                <w:szCs w:val="18"/>
              </w:rPr>
              <w:t xml:space="preserve"> la Tabla 9 del numeral 8 del </w:t>
            </w:r>
            <w:r w:rsidR="0060005B">
              <w:rPr>
                <w:rFonts w:ascii="ITC Avant Garde" w:eastAsia="Calibri" w:hAnsi="ITC Avant Garde" w:cs="Times New Roman"/>
                <w:sz w:val="18"/>
                <w:szCs w:val="18"/>
              </w:rPr>
              <w:t>Proyecto de Bases</w:t>
            </w:r>
            <w:r w:rsidR="006A7CC1">
              <w:rPr>
                <w:rFonts w:ascii="ITC Avant Garde" w:eastAsia="Calibri" w:hAnsi="ITC Avant Garde" w:cs="Times New Roman"/>
                <w:sz w:val="18"/>
                <w:szCs w:val="18"/>
              </w:rPr>
              <w:t>, mismo que se plasmaría</w:t>
            </w:r>
            <w:r w:rsidRPr="006A7CC1">
              <w:rPr>
                <w:rFonts w:ascii="ITC Avant Garde" w:eastAsia="Calibri" w:hAnsi="ITC Avant Garde" w:cs="Times New Roman"/>
                <w:sz w:val="18"/>
                <w:szCs w:val="18"/>
              </w:rPr>
              <w:t xml:space="preserve"> en el Dictamen de Competencia Económica y, en su caso, en la Constancia de Participación.</w:t>
            </w:r>
          </w:p>
          <w:p w14:paraId="187D533A" w14:textId="77777777" w:rsidR="00BC3F15" w:rsidRPr="006A7CC1" w:rsidRDefault="00BC3F15" w:rsidP="00AC4FB7">
            <w:pPr>
              <w:jc w:val="both"/>
              <w:rPr>
                <w:rFonts w:ascii="ITC Avant Garde" w:eastAsia="Calibri" w:hAnsi="ITC Avant Garde" w:cs="Times New Roman"/>
                <w:sz w:val="18"/>
                <w:szCs w:val="18"/>
              </w:rPr>
            </w:pPr>
          </w:p>
          <w:p w14:paraId="4DA87D4E" w14:textId="77777777" w:rsidR="00BC3F15" w:rsidRPr="006A7CC1" w:rsidRDefault="00BC3F15" w:rsidP="00AC4FB7">
            <w:pPr>
              <w:jc w:val="both"/>
              <w:rPr>
                <w:rFonts w:ascii="ITC Avant Garde" w:eastAsia="Calibri" w:hAnsi="ITC Avant Garde" w:cs="Times New Roman"/>
                <w:sz w:val="18"/>
                <w:szCs w:val="18"/>
              </w:rPr>
            </w:pPr>
          </w:p>
          <w:p w14:paraId="53DBF9C5" w14:textId="440B7300" w:rsidR="00BC3F15" w:rsidRPr="006A7CC1" w:rsidRDefault="00BC3F15" w:rsidP="006A7CC1">
            <w:pPr>
              <w:jc w:val="both"/>
              <w:rPr>
                <w:rFonts w:ascii="ITC Avant Garde" w:eastAsia="Calibri" w:hAnsi="ITC Avant Garde" w:cs="Times New Roman"/>
                <w:sz w:val="18"/>
                <w:szCs w:val="18"/>
              </w:rPr>
            </w:pPr>
            <w:r w:rsidRPr="006A7CC1">
              <w:rPr>
                <w:rFonts w:ascii="ITC Avant Garde" w:eastAsia="Calibri" w:hAnsi="ITC Avant Garde" w:cs="Times New Roman"/>
                <w:sz w:val="18"/>
                <w:szCs w:val="18"/>
              </w:rPr>
              <w:t xml:space="preserve">Asimismo, el </w:t>
            </w:r>
            <w:r w:rsidR="0060005B">
              <w:rPr>
                <w:rFonts w:ascii="ITC Avant Garde" w:eastAsia="Calibri" w:hAnsi="ITC Avant Garde" w:cs="Times New Roman"/>
                <w:sz w:val="18"/>
                <w:szCs w:val="18"/>
              </w:rPr>
              <w:t>Proyecto de Bases</w:t>
            </w:r>
            <w:r w:rsidRPr="006A7CC1">
              <w:rPr>
                <w:rFonts w:ascii="ITC Avant Garde" w:eastAsia="Calibri" w:hAnsi="ITC Avant Garde" w:cs="Times New Roman"/>
                <w:sz w:val="18"/>
                <w:szCs w:val="18"/>
              </w:rPr>
              <w:t xml:space="preserve"> contiene límites</w:t>
            </w:r>
            <w:r w:rsidR="006A7CC1">
              <w:rPr>
                <w:rFonts w:ascii="ITC Avant Garde" w:eastAsia="Calibri" w:hAnsi="ITC Avant Garde" w:cs="Times New Roman"/>
                <w:sz w:val="18"/>
                <w:szCs w:val="18"/>
              </w:rPr>
              <w:t xml:space="preserve"> a la acumulación de espectro radioeléctrico</w:t>
            </w:r>
            <w:r w:rsidRPr="006A7CC1">
              <w:rPr>
                <w:rFonts w:ascii="ITC Avant Garde" w:eastAsia="Calibri" w:hAnsi="ITC Avant Garde" w:cs="Times New Roman"/>
                <w:sz w:val="18"/>
                <w:szCs w:val="18"/>
              </w:rPr>
              <w:t xml:space="preserve"> con la finalidad de prevenir concentraciones de espectro radioeléctrico contrarias al interés pú</w:t>
            </w:r>
            <w:r w:rsidR="006A7CC1">
              <w:rPr>
                <w:rFonts w:ascii="ITC Avant Garde" w:eastAsia="Calibri" w:hAnsi="ITC Avant Garde" w:cs="Times New Roman"/>
                <w:sz w:val="18"/>
                <w:szCs w:val="18"/>
              </w:rPr>
              <w:t>blico.</w:t>
            </w:r>
          </w:p>
        </w:tc>
      </w:tr>
      <w:tr w:rsidR="00BC3F15" w:rsidRPr="00BC3F15" w14:paraId="5585C0ED" w14:textId="77777777" w:rsidTr="003C14A2">
        <w:trPr>
          <w:trHeight w:val="113"/>
        </w:trPr>
        <w:tc>
          <w:tcPr>
            <w:tcW w:w="2553" w:type="dxa"/>
            <w:vMerge w:val="restart"/>
            <w:vAlign w:val="center"/>
          </w:tcPr>
          <w:p w14:paraId="47D61A96" w14:textId="77777777" w:rsidR="00BC3F15" w:rsidRPr="00BC3F15" w:rsidRDefault="00BC3F15" w:rsidP="00AC4FB7">
            <w:pPr>
              <w:jc w:val="both"/>
              <w:rPr>
                <w:rFonts w:ascii="ITC Avant Garde" w:eastAsia="Calibri" w:hAnsi="ITC Avant Garde" w:cs="Times New Roman"/>
                <w:b/>
                <w:sz w:val="18"/>
                <w:szCs w:val="18"/>
                <w:u w:val="single"/>
              </w:rPr>
            </w:pPr>
            <w:r w:rsidRPr="00BC3F15">
              <w:rPr>
                <w:rFonts w:ascii="ITC Avant Garde" w:eastAsia="Calibri" w:hAnsi="ITC Avant Garde" w:cs="Times New Roman"/>
                <w:b/>
                <w:sz w:val="18"/>
                <w:szCs w:val="18"/>
              </w:rPr>
              <w:lastRenderedPageBreak/>
              <w:t>Obligaciones de Cobertura (numeral 4).</w:t>
            </w:r>
          </w:p>
          <w:p w14:paraId="7BC6B552" w14:textId="77777777" w:rsidR="00BC3F15" w:rsidRPr="00BC3F15" w:rsidRDefault="00BC3F15" w:rsidP="00AC4FB7">
            <w:pPr>
              <w:jc w:val="both"/>
              <w:rPr>
                <w:rFonts w:ascii="ITC Avant Garde" w:eastAsia="Calibri" w:hAnsi="ITC Avant Garde" w:cs="Times New Roman"/>
                <w:sz w:val="18"/>
                <w:szCs w:val="18"/>
              </w:rPr>
            </w:pPr>
          </w:p>
        </w:tc>
        <w:tc>
          <w:tcPr>
            <w:tcW w:w="8646" w:type="dxa"/>
            <w:vAlign w:val="center"/>
          </w:tcPr>
          <w:p w14:paraId="1126F9E9" w14:textId="77777777" w:rsidR="00BC3F15" w:rsidRPr="00BC3F15" w:rsidRDefault="00BC3F15" w:rsidP="00AC4FB7">
            <w:pPr>
              <w:jc w:val="both"/>
              <w:rPr>
                <w:rFonts w:ascii="ITC Avant Garde" w:eastAsia="Calibri" w:hAnsi="ITC Avant Garde" w:cs="Times New Roman"/>
                <w:b/>
                <w:sz w:val="18"/>
                <w:szCs w:val="18"/>
              </w:rPr>
            </w:pPr>
            <w:r w:rsidRPr="00BC3F15">
              <w:rPr>
                <w:rFonts w:ascii="ITC Avant Garde" w:eastAsia="Calibri" w:hAnsi="ITC Avant Garde" w:cs="Times New Roman"/>
                <w:b/>
                <w:sz w:val="18"/>
                <w:szCs w:val="18"/>
              </w:rPr>
              <w:t>Miguel Tentei Cortés Solórzano</w:t>
            </w:r>
          </w:p>
          <w:p w14:paraId="1F4E2182" w14:textId="77777777" w:rsidR="00BC3F15" w:rsidRPr="00BC3F15" w:rsidRDefault="00BC3F15" w:rsidP="00AC4FB7">
            <w:pPr>
              <w:jc w:val="both"/>
              <w:rPr>
                <w:rFonts w:ascii="ITC Avant Garde" w:eastAsia="Calibri" w:hAnsi="ITC Avant Garde" w:cs="Times New Roman"/>
                <w:i/>
                <w:sz w:val="18"/>
                <w:szCs w:val="18"/>
              </w:rPr>
            </w:pPr>
          </w:p>
          <w:p w14:paraId="222FDE39" w14:textId="42FEBCC7" w:rsidR="00BC3F15" w:rsidRPr="00BC3F15" w:rsidRDefault="00BC3F15" w:rsidP="00BC3F15">
            <w:pPr>
              <w:jc w:val="both"/>
              <w:rPr>
                <w:rFonts w:ascii="ITC Avant Garde" w:eastAsia="Calibri" w:hAnsi="ITC Avant Garde" w:cs="Times New Roman"/>
                <w:sz w:val="18"/>
                <w:szCs w:val="18"/>
              </w:rPr>
            </w:pPr>
            <w:r w:rsidRPr="00BC3F15">
              <w:rPr>
                <w:rFonts w:ascii="ITC Avant Garde" w:eastAsia="Calibri" w:hAnsi="ITC Avant Garde" w:cs="Times New Roman"/>
                <w:i/>
                <w:sz w:val="18"/>
                <w:szCs w:val="18"/>
              </w:rPr>
              <w:t>“Las obligaciones de cobertura son coherentes a los incentivos propuestos, sin embargo, resulta poco ambicioso. Las obligaciones de cobertura garantizada (En especial para la banda de 800 MHz y AWS) deberían de ser del 96% de la población.”</w:t>
            </w:r>
          </w:p>
        </w:tc>
        <w:tc>
          <w:tcPr>
            <w:tcW w:w="6946" w:type="dxa"/>
            <w:vMerge w:val="restart"/>
            <w:shd w:val="clear" w:color="auto" w:fill="auto"/>
            <w:vAlign w:val="center"/>
          </w:tcPr>
          <w:p w14:paraId="216CFA24" w14:textId="1C1A545A" w:rsidR="00BC3F15" w:rsidRPr="003C14A2" w:rsidRDefault="00BC3F15" w:rsidP="00AC4FB7">
            <w:pPr>
              <w:jc w:val="both"/>
              <w:rPr>
                <w:rFonts w:ascii="ITC Avant Garde" w:eastAsia="Calibri" w:hAnsi="ITC Avant Garde" w:cs="Times New Roman"/>
                <w:sz w:val="18"/>
                <w:szCs w:val="18"/>
              </w:rPr>
            </w:pPr>
            <w:r w:rsidRPr="003C14A2">
              <w:rPr>
                <w:rFonts w:ascii="ITC Avant Garde" w:eastAsia="Calibri" w:hAnsi="ITC Avant Garde" w:cs="Times New Roman"/>
                <w:sz w:val="18"/>
                <w:szCs w:val="18"/>
              </w:rPr>
              <w:t>El artículo 78, fracción I, inciso b) de la Ley F</w:t>
            </w:r>
            <w:r w:rsidR="00E65968" w:rsidRPr="003C14A2">
              <w:rPr>
                <w:rFonts w:ascii="ITC Avant Garde" w:eastAsia="Calibri" w:hAnsi="ITC Avant Garde" w:cs="Times New Roman"/>
                <w:sz w:val="18"/>
                <w:szCs w:val="18"/>
              </w:rPr>
              <w:t>ederal de Telecomunicaciones y R</w:t>
            </w:r>
            <w:r w:rsidRPr="003C14A2">
              <w:rPr>
                <w:rFonts w:ascii="ITC Avant Garde" w:eastAsia="Calibri" w:hAnsi="ITC Avant Garde" w:cs="Times New Roman"/>
                <w:sz w:val="18"/>
                <w:szCs w:val="18"/>
              </w:rPr>
              <w:t xml:space="preserve">adiodifusión prevé que, para el otorgamiento de concesiones en materia de telecomunicaciones, el Instituto podrá tener en cuenta la cobertura, calidad e innovación. Así, para el ejercicio de sus atribuciones corresponde al instituto establecer a los concesionarios las obligaciones de cobertura geográfica, de acuerdo con el artículo 15, fracción XLIII de la Ley. Las obligaciones de cobertura previstas en el </w:t>
            </w:r>
            <w:r w:rsidR="0060005B" w:rsidRPr="003C14A2">
              <w:rPr>
                <w:rFonts w:ascii="ITC Avant Garde" w:eastAsia="Calibri" w:hAnsi="ITC Avant Garde" w:cs="Times New Roman"/>
                <w:sz w:val="18"/>
                <w:szCs w:val="18"/>
              </w:rPr>
              <w:t>Proyecto de Bases</w:t>
            </w:r>
            <w:r w:rsidRPr="003C14A2">
              <w:rPr>
                <w:rFonts w:ascii="ITC Avant Garde" w:eastAsia="Calibri" w:hAnsi="ITC Avant Garde" w:cs="Times New Roman"/>
                <w:sz w:val="18"/>
                <w:szCs w:val="18"/>
              </w:rPr>
              <w:t xml:space="preserve"> de licitación permiten aprovechar el proceso de asignación de espectro para incentivar y lograr objetivos de alcanzar mayor cobertura y conectividad social para colaborar con la reducción de la brecha digital entre los mexicanos, así como contar con mayores elementos de asignación del espectro para lograr mejor bienestar, equilibrando los elementos económicos y sociales, esto es, promover el incremento en la cobertura de las redes y la penetración de los servicios de telecomunicaciones, bajo condiciones de disponibilidad, asequibilidad y accesibilidad.</w:t>
            </w:r>
          </w:p>
          <w:p w14:paraId="55B3FF92" w14:textId="29E27AE5" w:rsidR="00554D26" w:rsidRPr="003C14A2" w:rsidRDefault="00554D26" w:rsidP="00AC4FB7">
            <w:pPr>
              <w:jc w:val="both"/>
              <w:rPr>
                <w:rFonts w:ascii="ITC Avant Garde" w:eastAsia="Calibri" w:hAnsi="ITC Avant Garde" w:cs="Times New Roman"/>
                <w:sz w:val="18"/>
                <w:szCs w:val="18"/>
              </w:rPr>
            </w:pPr>
          </w:p>
          <w:p w14:paraId="59B2CA16" w14:textId="35E1D57F" w:rsidR="00554D26" w:rsidRPr="003C14A2" w:rsidRDefault="00554D26" w:rsidP="00554D26">
            <w:pPr>
              <w:jc w:val="both"/>
              <w:rPr>
                <w:rFonts w:ascii="ITC Avant Garde" w:eastAsia="Calibri" w:hAnsi="ITC Avant Garde" w:cs="Times New Roman"/>
                <w:sz w:val="18"/>
                <w:szCs w:val="18"/>
              </w:rPr>
            </w:pPr>
            <w:r w:rsidRPr="003C14A2">
              <w:rPr>
                <w:rFonts w:ascii="ITC Avant Garde" w:eastAsia="Calibri" w:hAnsi="ITC Avant Garde" w:cs="Times New Roman"/>
                <w:sz w:val="18"/>
                <w:szCs w:val="18"/>
              </w:rPr>
              <w:t>Con base en los comentarios de referencia y los análisis realizados, se establecerán propuestas adicionales de obligaciones de cobertura en los bloques de las bandas AWS y PCS.</w:t>
            </w:r>
          </w:p>
          <w:p w14:paraId="03B6D794" w14:textId="77777777" w:rsidR="00554D26" w:rsidRPr="003C14A2" w:rsidRDefault="00554D26" w:rsidP="00554D26">
            <w:pPr>
              <w:jc w:val="both"/>
              <w:rPr>
                <w:rFonts w:ascii="ITC Avant Garde" w:eastAsia="Calibri" w:hAnsi="ITC Avant Garde" w:cs="Times New Roman"/>
                <w:sz w:val="18"/>
                <w:szCs w:val="18"/>
              </w:rPr>
            </w:pPr>
          </w:p>
          <w:p w14:paraId="70917370" w14:textId="6E34F4F1" w:rsidR="00554D26" w:rsidRPr="003C14A2" w:rsidRDefault="00554D26" w:rsidP="00554D26">
            <w:pPr>
              <w:jc w:val="both"/>
              <w:rPr>
                <w:rFonts w:ascii="ITC Avant Garde" w:eastAsia="Calibri" w:hAnsi="ITC Avant Garde" w:cs="Times New Roman"/>
                <w:sz w:val="18"/>
                <w:szCs w:val="18"/>
              </w:rPr>
            </w:pPr>
            <w:r w:rsidRPr="003C14A2">
              <w:rPr>
                <w:rFonts w:ascii="ITC Avant Garde" w:eastAsia="Calibri" w:hAnsi="ITC Avant Garde" w:cs="Times New Roman"/>
                <w:sz w:val="18"/>
                <w:szCs w:val="18"/>
              </w:rPr>
              <w:t>Respecto a otorgar plazos mayores a 2 años para el cumplimiento de las obligaciones de cobertura asociadas a los bloques de 800 MHz</w:t>
            </w:r>
            <w:r w:rsidR="00A045BB" w:rsidRPr="003C14A2">
              <w:rPr>
                <w:rFonts w:ascii="ITC Avant Garde" w:eastAsia="Calibri" w:hAnsi="ITC Avant Garde" w:cs="Times New Roman"/>
                <w:sz w:val="18"/>
                <w:szCs w:val="18"/>
              </w:rPr>
              <w:t xml:space="preserve">, se comenta que el artículo 110 de la Ley Federal de Telecomunicaciones y Radiodifusión establece que la autorización de la cesión de concesiones podrá solicitarse siempre y cuando haya transcurrido un plazo de tres años contados a partir del otorgamiento de la concesión. Derivado de lo anterior, el plazo </w:t>
            </w:r>
            <w:r w:rsidR="00A045BB" w:rsidRPr="003C14A2">
              <w:rPr>
                <w:rFonts w:ascii="ITC Avant Garde" w:eastAsia="Calibri" w:hAnsi="ITC Avant Garde" w:cs="Times New Roman"/>
                <w:sz w:val="18"/>
                <w:szCs w:val="18"/>
              </w:rPr>
              <w:lastRenderedPageBreak/>
              <w:t>establecido para el cumplimiento de las obligaciones de cobertura, considera 2 años, que podrán ser prorrogados de acuerdo con</w:t>
            </w:r>
            <w:r w:rsidR="00E406A8" w:rsidRPr="003C14A2">
              <w:rPr>
                <w:rFonts w:ascii="ITC Avant Garde" w:eastAsia="Calibri" w:hAnsi="ITC Avant Garde" w:cs="Times New Roman"/>
                <w:sz w:val="18"/>
                <w:szCs w:val="18"/>
              </w:rPr>
              <w:t xml:space="preserve"> el artículo 31 de</w:t>
            </w:r>
            <w:r w:rsidR="00A045BB" w:rsidRPr="003C14A2">
              <w:rPr>
                <w:rFonts w:ascii="ITC Avant Garde" w:eastAsia="Calibri" w:hAnsi="ITC Avant Garde" w:cs="Times New Roman"/>
                <w:sz w:val="18"/>
                <w:szCs w:val="18"/>
              </w:rPr>
              <w:t xml:space="preserve"> la Ley Federal de Procedimiento Administrativo. Cabe destacar que imponer un periodo máximo previene que algún participante de la licitación quisiera adquirir espectro con fines especulativos, para ceder el espectro asignado en la licitación.</w:t>
            </w:r>
          </w:p>
          <w:p w14:paraId="49D38CFF" w14:textId="295EBBB1" w:rsidR="00554D26" w:rsidRPr="003C14A2" w:rsidRDefault="00554D26" w:rsidP="00554D26">
            <w:pPr>
              <w:jc w:val="both"/>
              <w:rPr>
                <w:rFonts w:ascii="ITC Avant Garde" w:eastAsia="Calibri" w:hAnsi="ITC Avant Garde" w:cs="Times New Roman"/>
                <w:sz w:val="18"/>
                <w:szCs w:val="18"/>
              </w:rPr>
            </w:pPr>
          </w:p>
          <w:p w14:paraId="3253415B" w14:textId="583ECFDF" w:rsidR="00554D26" w:rsidRPr="003C14A2" w:rsidRDefault="00554D26" w:rsidP="00554D26">
            <w:pPr>
              <w:jc w:val="both"/>
              <w:rPr>
                <w:rFonts w:ascii="ITC Avant Garde" w:eastAsia="Calibri" w:hAnsi="ITC Avant Garde" w:cs="Times New Roman"/>
                <w:sz w:val="18"/>
                <w:szCs w:val="18"/>
              </w:rPr>
            </w:pPr>
            <w:r w:rsidRPr="003C14A2">
              <w:rPr>
                <w:rFonts w:ascii="ITC Avant Garde" w:eastAsia="Calibri" w:hAnsi="ITC Avant Garde" w:cs="Times New Roman"/>
                <w:sz w:val="18"/>
                <w:szCs w:val="18"/>
              </w:rPr>
              <w:t xml:space="preserve">Cabe señalar, que </w:t>
            </w:r>
            <w:r w:rsidR="00D57DFA" w:rsidRPr="003C14A2">
              <w:rPr>
                <w:rFonts w:ascii="ITC Avant Garde" w:eastAsia="Calibri" w:hAnsi="ITC Avant Garde" w:cs="Times New Roman"/>
                <w:sz w:val="18"/>
                <w:szCs w:val="18"/>
              </w:rPr>
              <w:t>los bloques objeto</w:t>
            </w:r>
            <w:r w:rsidRPr="003C14A2">
              <w:rPr>
                <w:rFonts w:ascii="ITC Avant Garde" w:eastAsia="Calibri" w:hAnsi="ITC Avant Garde" w:cs="Times New Roman"/>
                <w:sz w:val="18"/>
                <w:szCs w:val="18"/>
              </w:rPr>
              <w:t xml:space="preserve"> de</w:t>
            </w:r>
            <w:r w:rsidR="00D57DFA" w:rsidRPr="003C14A2">
              <w:rPr>
                <w:rFonts w:ascii="ITC Avant Garde" w:eastAsia="Calibri" w:hAnsi="ITC Avant Garde" w:cs="Times New Roman"/>
                <w:sz w:val="18"/>
                <w:szCs w:val="18"/>
              </w:rPr>
              <w:t>l proyecto de la</w:t>
            </w:r>
            <w:r w:rsidRPr="003C14A2">
              <w:rPr>
                <w:rFonts w:ascii="ITC Avant Garde" w:eastAsia="Calibri" w:hAnsi="ITC Avant Garde" w:cs="Times New Roman"/>
                <w:sz w:val="18"/>
                <w:szCs w:val="18"/>
              </w:rPr>
              <w:t xml:space="preserve"> Licitación No. IFT-10 podrán ser utilizadas para el servicio de acceso inalámbrico garantizando la neutralidad tecnológica del uso de las bandas de frecuencias correspondientes. En este sentido,</w:t>
            </w:r>
            <w:r w:rsidR="00D57DFA" w:rsidRPr="003C14A2">
              <w:rPr>
                <w:rFonts w:ascii="ITC Avant Garde" w:eastAsia="Calibri" w:hAnsi="ITC Avant Garde" w:cs="Times New Roman"/>
                <w:sz w:val="18"/>
                <w:szCs w:val="18"/>
              </w:rPr>
              <w:t xml:space="preserve"> únicamente</w:t>
            </w:r>
            <w:r w:rsidRPr="003C14A2">
              <w:rPr>
                <w:rFonts w:ascii="ITC Avant Garde" w:eastAsia="Calibri" w:hAnsi="ITC Avant Garde" w:cs="Times New Roman"/>
                <w:sz w:val="18"/>
                <w:szCs w:val="18"/>
              </w:rPr>
              <w:t xml:space="preserve"> las obligaciones de cobertura se refieren a que de manera mínima se deberá utilizar la tecnología que actualmente se utilizar para el uso y explotación de la</w:t>
            </w:r>
            <w:r w:rsidR="00A045BB" w:rsidRPr="003C14A2">
              <w:rPr>
                <w:rFonts w:ascii="ITC Avant Garde" w:eastAsia="Calibri" w:hAnsi="ITC Avant Garde" w:cs="Times New Roman"/>
                <w:sz w:val="18"/>
                <w:szCs w:val="18"/>
              </w:rPr>
              <w:t>s</w:t>
            </w:r>
            <w:r w:rsidRPr="003C14A2">
              <w:rPr>
                <w:rFonts w:ascii="ITC Avant Garde" w:eastAsia="Calibri" w:hAnsi="ITC Avant Garde" w:cs="Times New Roman"/>
                <w:sz w:val="18"/>
                <w:szCs w:val="18"/>
              </w:rPr>
              <w:t xml:space="preserve"> banda</w:t>
            </w:r>
            <w:r w:rsidR="00A045BB" w:rsidRPr="003C14A2">
              <w:rPr>
                <w:rFonts w:ascii="ITC Avant Garde" w:eastAsia="Calibri" w:hAnsi="ITC Avant Garde" w:cs="Times New Roman"/>
                <w:sz w:val="18"/>
                <w:szCs w:val="18"/>
              </w:rPr>
              <w:t>s objeto de la Licitación (4G)</w:t>
            </w:r>
            <w:r w:rsidRPr="003C14A2">
              <w:rPr>
                <w:rFonts w:ascii="ITC Avant Garde" w:eastAsia="Calibri" w:hAnsi="ITC Avant Garde" w:cs="Times New Roman"/>
                <w:sz w:val="18"/>
                <w:szCs w:val="18"/>
              </w:rPr>
              <w:t>, lo cual no pretende en ningún caso limitar a cualquier tecnología superior con que se cuente.</w:t>
            </w:r>
          </w:p>
          <w:p w14:paraId="6CC4EADA" w14:textId="77777777" w:rsidR="00BC3F15" w:rsidRPr="003C14A2" w:rsidRDefault="00BC3F15" w:rsidP="00AC4FB7">
            <w:pPr>
              <w:jc w:val="both"/>
              <w:rPr>
                <w:rFonts w:ascii="ITC Avant Garde" w:eastAsia="Calibri" w:hAnsi="ITC Avant Garde" w:cs="Times New Roman"/>
                <w:sz w:val="18"/>
                <w:szCs w:val="18"/>
              </w:rPr>
            </w:pPr>
          </w:p>
          <w:p w14:paraId="1CA73415" w14:textId="1C4998B1" w:rsidR="00BC3F15" w:rsidRPr="003C14A2" w:rsidRDefault="00BC3F15" w:rsidP="00BC3F15">
            <w:pPr>
              <w:jc w:val="both"/>
              <w:rPr>
                <w:rFonts w:ascii="ITC Avant Garde" w:eastAsia="Calibri" w:hAnsi="ITC Avant Garde" w:cs="Times New Roman"/>
                <w:sz w:val="18"/>
                <w:szCs w:val="18"/>
              </w:rPr>
            </w:pPr>
          </w:p>
        </w:tc>
      </w:tr>
      <w:tr w:rsidR="00BC3F15" w:rsidRPr="00BC3F15" w14:paraId="10C52F3B" w14:textId="77777777" w:rsidTr="003C14A2">
        <w:trPr>
          <w:trHeight w:val="113"/>
        </w:trPr>
        <w:tc>
          <w:tcPr>
            <w:tcW w:w="2553" w:type="dxa"/>
            <w:vMerge/>
            <w:vAlign w:val="center"/>
          </w:tcPr>
          <w:p w14:paraId="07471FE3" w14:textId="77777777" w:rsidR="00BC3F15" w:rsidRPr="00BC3F15" w:rsidRDefault="00BC3F15" w:rsidP="00AC4FB7">
            <w:pPr>
              <w:jc w:val="both"/>
              <w:rPr>
                <w:rFonts w:ascii="ITC Avant Garde" w:eastAsia="Calibri" w:hAnsi="ITC Avant Garde" w:cs="Times New Roman"/>
                <w:sz w:val="18"/>
                <w:szCs w:val="18"/>
              </w:rPr>
            </w:pPr>
          </w:p>
        </w:tc>
        <w:tc>
          <w:tcPr>
            <w:tcW w:w="8646" w:type="dxa"/>
            <w:vAlign w:val="center"/>
          </w:tcPr>
          <w:p w14:paraId="4E9F0E7F" w14:textId="2DD09AEA" w:rsidR="00BC3F15" w:rsidRDefault="00BC3F15" w:rsidP="00AC4FB7">
            <w:pPr>
              <w:jc w:val="both"/>
              <w:rPr>
                <w:rFonts w:ascii="ITC Avant Garde" w:eastAsia="Calibri" w:hAnsi="ITC Avant Garde" w:cs="Times New Roman"/>
                <w:sz w:val="18"/>
                <w:szCs w:val="18"/>
              </w:rPr>
            </w:pPr>
            <w:r w:rsidRPr="00BC3F15">
              <w:rPr>
                <w:rFonts w:ascii="ITC Avant Garde" w:eastAsia="Calibri" w:hAnsi="ITC Avant Garde" w:cs="Times New Roman"/>
                <w:b/>
                <w:sz w:val="18"/>
                <w:szCs w:val="18"/>
              </w:rPr>
              <w:t>José Otero</w:t>
            </w:r>
          </w:p>
          <w:p w14:paraId="36D3C000" w14:textId="77777777" w:rsidR="00AC4FB7" w:rsidRPr="00BC3F15" w:rsidRDefault="00AC4FB7" w:rsidP="00AC4FB7">
            <w:pPr>
              <w:jc w:val="both"/>
              <w:rPr>
                <w:rFonts w:ascii="ITC Avant Garde" w:eastAsia="Calibri" w:hAnsi="ITC Avant Garde" w:cs="Times New Roman"/>
                <w:sz w:val="18"/>
                <w:szCs w:val="18"/>
              </w:rPr>
            </w:pPr>
          </w:p>
          <w:p w14:paraId="46FBFF78" w14:textId="77777777" w:rsidR="00BC3F15" w:rsidRPr="00BC3F15" w:rsidRDefault="00BC3F15" w:rsidP="00AC4FB7">
            <w:pPr>
              <w:jc w:val="both"/>
              <w:rPr>
                <w:rFonts w:ascii="ITC Avant Garde" w:eastAsia="Calibri" w:hAnsi="ITC Avant Garde" w:cs="Times New Roman"/>
                <w:sz w:val="18"/>
                <w:szCs w:val="18"/>
              </w:rPr>
            </w:pPr>
            <w:r w:rsidRPr="00BC3F15">
              <w:rPr>
                <w:rFonts w:ascii="ITC Avant Garde" w:eastAsia="Calibri" w:hAnsi="ITC Avant Garde" w:cs="Times New Roman"/>
                <w:sz w:val="18"/>
                <w:szCs w:val="18"/>
              </w:rPr>
              <w:t>“…</w:t>
            </w:r>
            <w:r w:rsidRPr="00BC3F15">
              <w:rPr>
                <w:rFonts w:ascii="ITC Avant Garde" w:eastAsia="Calibri" w:hAnsi="ITC Avant Garde" w:cs="Times New Roman"/>
                <w:i/>
                <w:sz w:val="18"/>
                <w:szCs w:val="18"/>
              </w:rPr>
              <w:t>las obligaciones de cobertura asociadas a los bloques de 800 MHz contemplen plazos mayores a 2 años para su cumplimiento, especialmente si se empleará la banda de 800 MHz. Aumentar estos plazos es importante tomando en cuenta que, además de la disponibilidad de equipos, los concesionarios pueden ver demoras en las autorizaciones de los gobiernos locales para nueva infraestructura de red</w:t>
            </w:r>
            <w:r w:rsidRPr="00BC3F15">
              <w:rPr>
                <w:rFonts w:ascii="ITC Avant Garde" w:eastAsia="Calibri" w:hAnsi="ITC Avant Garde" w:cs="Times New Roman"/>
                <w:sz w:val="18"/>
                <w:szCs w:val="18"/>
              </w:rPr>
              <w:t xml:space="preserve">. </w:t>
            </w:r>
            <w:r w:rsidRPr="00BC3F15">
              <w:rPr>
                <w:rFonts w:ascii="ITC Avant Garde" w:eastAsia="Calibri" w:hAnsi="ITC Avant Garde" w:cs="Times New Roman"/>
                <w:i/>
                <w:sz w:val="18"/>
                <w:szCs w:val="18"/>
              </w:rPr>
              <w:t>Para los casos en los que se considera la reorganización de usuarios de otros servicios que ocupen los bloques de la licitación, se recomienda establecer plazos más firmes para llevar a cabo esos reacomodos con el propósito de dar certeza jurídica a los ganadores del espectro de la Licitación IFT-10. La ocupación del espectro por usuarios de servicios distintos puede generar dificultades para dar cumplimiento a las obligaciones de cobertura</w:t>
            </w:r>
            <w:r w:rsidRPr="00BC3F15">
              <w:rPr>
                <w:rFonts w:ascii="ITC Avant Garde" w:eastAsia="Calibri" w:hAnsi="ITC Avant Garde" w:cs="Times New Roman"/>
                <w:sz w:val="18"/>
                <w:szCs w:val="18"/>
              </w:rPr>
              <w:t xml:space="preserve">. Asimismo, recomienda </w:t>
            </w:r>
            <w:r w:rsidRPr="00BC3F15">
              <w:rPr>
                <w:rFonts w:ascii="ITC Avant Garde" w:eastAsia="Calibri" w:hAnsi="ITC Avant Garde" w:cs="Times New Roman"/>
                <w:i/>
                <w:sz w:val="18"/>
                <w:szCs w:val="18"/>
              </w:rPr>
              <w:t>eliminar de las bases de concurso requisitos que exijan utilizar tecnologías de alguna generación móvil en particular como requisito mínimo. El espectro de servicios móviles debe ser asignado bajo criterios tecnológicamente “agnósticos” para permitir un desarrollo de los servicios acorde a las condiciones de cada mercado</w:t>
            </w:r>
            <w:r w:rsidRPr="00BC3F15">
              <w:rPr>
                <w:rFonts w:ascii="ITC Avant Garde" w:eastAsia="Calibri" w:hAnsi="ITC Avant Garde" w:cs="Times New Roman"/>
                <w:sz w:val="18"/>
                <w:szCs w:val="18"/>
              </w:rPr>
              <w:t>.”</w:t>
            </w:r>
          </w:p>
        </w:tc>
        <w:tc>
          <w:tcPr>
            <w:tcW w:w="6946" w:type="dxa"/>
            <w:vMerge/>
            <w:shd w:val="clear" w:color="auto" w:fill="auto"/>
            <w:vAlign w:val="center"/>
          </w:tcPr>
          <w:p w14:paraId="4C84768F" w14:textId="77777777" w:rsidR="00BC3F15" w:rsidRPr="003C14A2" w:rsidRDefault="00BC3F15" w:rsidP="00AC4FB7">
            <w:pPr>
              <w:jc w:val="both"/>
              <w:rPr>
                <w:rFonts w:ascii="ITC Avant Garde" w:eastAsia="Calibri" w:hAnsi="ITC Avant Garde" w:cs="Times New Roman"/>
                <w:sz w:val="18"/>
                <w:szCs w:val="18"/>
              </w:rPr>
            </w:pPr>
          </w:p>
        </w:tc>
      </w:tr>
      <w:tr w:rsidR="00BC3F15" w:rsidRPr="00BC3F15" w14:paraId="2B34FD4C" w14:textId="77777777" w:rsidTr="003C14A2">
        <w:trPr>
          <w:trHeight w:val="113"/>
        </w:trPr>
        <w:tc>
          <w:tcPr>
            <w:tcW w:w="2553" w:type="dxa"/>
            <w:shd w:val="clear" w:color="auto" w:fill="F2F2F2"/>
            <w:vAlign w:val="center"/>
          </w:tcPr>
          <w:p w14:paraId="77B1B7C2" w14:textId="77777777" w:rsidR="00BC3F15" w:rsidRPr="00BC3F15" w:rsidRDefault="00BC3F15" w:rsidP="00AC4FB7">
            <w:pPr>
              <w:jc w:val="both"/>
              <w:rPr>
                <w:rFonts w:ascii="ITC Avant Garde" w:eastAsia="Calibri" w:hAnsi="ITC Avant Garde" w:cs="Times New Roman"/>
                <w:sz w:val="18"/>
                <w:szCs w:val="18"/>
              </w:rPr>
            </w:pPr>
            <w:r w:rsidRPr="00BC3F15">
              <w:rPr>
                <w:rFonts w:ascii="ITC Avant Garde" w:eastAsia="Calibri" w:hAnsi="ITC Avant Garde" w:cs="Times New Roman"/>
                <w:b/>
                <w:sz w:val="18"/>
                <w:szCs w:val="18"/>
              </w:rPr>
              <w:t>Otorgamiento y entrega de títulos de concesión.</w:t>
            </w:r>
          </w:p>
        </w:tc>
        <w:tc>
          <w:tcPr>
            <w:tcW w:w="8646" w:type="dxa"/>
            <w:shd w:val="clear" w:color="auto" w:fill="F2F2F2"/>
            <w:vAlign w:val="center"/>
          </w:tcPr>
          <w:p w14:paraId="77E378B2" w14:textId="77777777" w:rsidR="00BC3F15" w:rsidRDefault="00BC3F15" w:rsidP="00AC4FB7">
            <w:pPr>
              <w:jc w:val="both"/>
              <w:rPr>
                <w:rFonts w:ascii="ITC Avant Garde" w:eastAsia="Calibri" w:hAnsi="ITC Avant Garde" w:cs="Times New Roman"/>
                <w:sz w:val="18"/>
                <w:szCs w:val="18"/>
              </w:rPr>
            </w:pPr>
            <w:r w:rsidRPr="00BC3F15">
              <w:rPr>
                <w:rFonts w:ascii="ITC Avant Garde" w:eastAsia="Calibri" w:hAnsi="ITC Avant Garde" w:cs="Times New Roman"/>
                <w:b/>
                <w:sz w:val="18"/>
                <w:szCs w:val="18"/>
              </w:rPr>
              <w:t>Telecomunicaciones Indígenas Comunitarias, A. C.</w:t>
            </w:r>
            <w:r w:rsidRPr="00BC3F15">
              <w:rPr>
                <w:rFonts w:ascii="ITC Avant Garde" w:eastAsia="Calibri" w:hAnsi="ITC Avant Garde" w:cs="Times New Roman"/>
                <w:sz w:val="18"/>
                <w:szCs w:val="18"/>
              </w:rPr>
              <w:t xml:space="preserve"> </w:t>
            </w:r>
          </w:p>
          <w:p w14:paraId="2881CF49" w14:textId="77777777" w:rsidR="00AC4FB7" w:rsidRPr="00BC3F15" w:rsidRDefault="00AC4FB7" w:rsidP="00AC4FB7">
            <w:pPr>
              <w:jc w:val="both"/>
              <w:rPr>
                <w:rFonts w:ascii="ITC Avant Garde" w:eastAsia="Calibri" w:hAnsi="ITC Avant Garde" w:cs="Times New Roman"/>
                <w:sz w:val="18"/>
                <w:szCs w:val="18"/>
              </w:rPr>
            </w:pPr>
          </w:p>
          <w:p w14:paraId="6C9A422B" w14:textId="77777777" w:rsidR="00BC3F15" w:rsidRPr="00BC3F15" w:rsidRDefault="00BC3F15" w:rsidP="00AC4FB7">
            <w:pPr>
              <w:jc w:val="both"/>
              <w:rPr>
                <w:rFonts w:ascii="ITC Avant Garde" w:eastAsia="Calibri" w:hAnsi="ITC Avant Garde" w:cs="Times New Roman"/>
                <w:i/>
                <w:sz w:val="18"/>
                <w:szCs w:val="18"/>
              </w:rPr>
            </w:pPr>
            <w:r w:rsidRPr="00BC3F15">
              <w:rPr>
                <w:rFonts w:ascii="ITC Avant Garde" w:eastAsia="Calibri" w:hAnsi="ITC Avant Garde" w:cs="Times New Roman"/>
                <w:i/>
                <w:sz w:val="18"/>
                <w:szCs w:val="18"/>
              </w:rPr>
              <w:t>“Se propone que el Instituto señale los mecanismos para autorizar la reserva que por ley se establece en los títulos de concesión para el otorgamiento de espectro en uso secundario, siguiendo las tendencias regulatorias en el impulso a la cobertura social que han marcado otros reguladores como OFCOM.</w:t>
            </w:r>
          </w:p>
          <w:p w14:paraId="74E94F0C" w14:textId="77777777" w:rsidR="00BC3F15" w:rsidRPr="00BC3F15" w:rsidRDefault="00BC3F15" w:rsidP="00AC4FB7">
            <w:pPr>
              <w:jc w:val="both"/>
              <w:rPr>
                <w:rFonts w:ascii="ITC Avant Garde" w:eastAsia="Calibri" w:hAnsi="ITC Avant Garde" w:cs="Times New Roman"/>
                <w:i/>
                <w:sz w:val="18"/>
                <w:szCs w:val="18"/>
              </w:rPr>
            </w:pPr>
          </w:p>
          <w:p w14:paraId="358A8110" w14:textId="77777777" w:rsidR="00BC3F15" w:rsidRPr="00BC3F15" w:rsidRDefault="00BC3F15" w:rsidP="00AC4FB7">
            <w:pPr>
              <w:jc w:val="both"/>
              <w:rPr>
                <w:rFonts w:ascii="ITC Avant Garde" w:eastAsia="Calibri" w:hAnsi="ITC Avant Garde" w:cs="Times New Roman"/>
                <w:i/>
                <w:sz w:val="18"/>
                <w:szCs w:val="18"/>
              </w:rPr>
            </w:pPr>
            <w:r w:rsidRPr="00BC3F15">
              <w:rPr>
                <w:rFonts w:ascii="ITC Avant Garde" w:eastAsia="Calibri" w:hAnsi="ITC Avant Garde" w:cs="Times New Roman"/>
                <w:i/>
                <w:sz w:val="18"/>
                <w:szCs w:val="18"/>
              </w:rPr>
              <w:t xml:space="preserve">La inserción sugerida podría versar como a continuación: </w:t>
            </w:r>
          </w:p>
          <w:p w14:paraId="1D86067A" w14:textId="77777777" w:rsidR="00BC3F15" w:rsidRPr="00BC3F15" w:rsidRDefault="00BC3F15" w:rsidP="00AC4FB7">
            <w:pPr>
              <w:jc w:val="both"/>
              <w:rPr>
                <w:rFonts w:ascii="ITC Avant Garde" w:eastAsia="Calibri" w:hAnsi="ITC Avant Garde" w:cs="Times New Roman"/>
                <w:i/>
                <w:sz w:val="18"/>
                <w:szCs w:val="18"/>
              </w:rPr>
            </w:pPr>
          </w:p>
          <w:p w14:paraId="39B32A9F" w14:textId="32D94F7D" w:rsidR="00BC3F15" w:rsidRDefault="00BC3F15" w:rsidP="00AC4FB7">
            <w:pPr>
              <w:jc w:val="both"/>
              <w:rPr>
                <w:rFonts w:ascii="ITC Avant Garde" w:eastAsia="Calibri" w:hAnsi="ITC Avant Garde" w:cs="Times New Roman"/>
                <w:i/>
                <w:sz w:val="18"/>
                <w:szCs w:val="18"/>
              </w:rPr>
            </w:pPr>
            <w:r w:rsidRPr="00BC3F15">
              <w:rPr>
                <w:rFonts w:ascii="ITC Avant Garde" w:eastAsia="Calibri" w:hAnsi="ITC Avant Garde" w:cs="Times New Roman"/>
                <w:i/>
                <w:sz w:val="18"/>
                <w:szCs w:val="18"/>
              </w:rPr>
              <w:t>De conformidad con lo establecido en el Programa de Cobertura Social de Telecomunicaciones publicado por la Secretaría de Comunicaciones y Transportes, el Instituto podrá, a solicitud de parte, otorgar a concesionarios de uso social comunitarios o indígenas, porciones de los segmentos materia de licitación por localidad, cuando dichas localidades no se encuentren dentro del plan de cobertura del concesionario para el año en que se solicite por el tercero, y se trate localidades que se encuentren en el Programa de Cobertura Social o sean susceptibles de incorporarse.</w:t>
            </w:r>
          </w:p>
          <w:p w14:paraId="55CB2CD3" w14:textId="77777777" w:rsidR="00E26F4C" w:rsidRPr="00BC3F15" w:rsidRDefault="00E26F4C" w:rsidP="00AC4FB7">
            <w:pPr>
              <w:jc w:val="both"/>
              <w:rPr>
                <w:rFonts w:ascii="ITC Avant Garde" w:eastAsia="Calibri" w:hAnsi="ITC Avant Garde" w:cs="Times New Roman"/>
                <w:i/>
                <w:sz w:val="18"/>
                <w:szCs w:val="18"/>
              </w:rPr>
            </w:pPr>
          </w:p>
          <w:p w14:paraId="2976E75C" w14:textId="77777777" w:rsidR="00BC3F15" w:rsidRPr="00BC3F15" w:rsidRDefault="00BC3F15" w:rsidP="00AC4FB7">
            <w:pPr>
              <w:jc w:val="both"/>
              <w:rPr>
                <w:rFonts w:ascii="ITC Avant Garde" w:eastAsia="Calibri" w:hAnsi="ITC Avant Garde" w:cs="Times New Roman"/>
                <w:i/>
                <w:sz w:val="18"/>
                <w:szCs w:val="18"/>
              </w:rPr>
            </w:pPr>
            <w:r w:rsidRPr="00BC3F15">
              <w:rPr>
                <w:rFonts w:ascii="ITC Avant Garde" w:eastAsia="Calibri" w:hAnsi="ITC Avant Garde" w:cs="Times New Roman"/>
                <w:i/>
                <w:sz w:val="18"/>
                <w:szCs w:val="18"/>
              </w:rPr>
              <w:t>En los casos de asignación en uso compartido, el Instituto tomará todas las medidas técnicas necesarias para evitar interferencia perjudicial y garantizar la calidad del servicio.”</w:t>
            </w:r>
          </w:p>
        </w:tc>
        <w:tc>
          <w:tcPr>
            <w:tcW w:w="6946" w:type="dxa"/>
            <w:shd w:val="clear" w:color="auto" w:fill="auto"/>
            <w:vAlign w:val="center"/>
          </w:tcPr>
          <w:p w14:paraId="33650AF8" w14:textId="04E4BF74" w:rsidR="00D11040" w:rsidRPr="003C14A2" w:rsidRDefault="00BC3F15" w:rsidP="00AC4FB7">
            <w:pPr>
              <w:jc w:val="both"/>
              <w:rPr>
                <w:rFonts w:ascii="ITC Avant Garde" w:eastAsia="Calibri" w:hAnsi="ITC Avant Garde" w:cs="Times New Roman"/>
                <w:sz w:val="18"/>
                <w:szCs w:val="18"/>
              </w:rPr>
            </w:pPr>
            <w:r w:rsidRPr="003C14A2">
              <w:rPr>
                <w:rFonts w:ascii="ITC Avant Garde" w:eastAsia="Calibri" w:hAnsi="ITC Avant Garde" w:cs="Times New Roman"/>
                <w:sz w:val="18"/>
                <w:szCs w:val="18"/>
              </w:rPr>
              <w:t xml:space="preserve">El artículo 79, fracción IV de la Ley establece que las bases de licitación pública incluirán las bandas de frecuencias objeto de concesión; su modalidad de uso y zonas geográficas en que podrán ser utilizadas; y la potencia en el caso de radiodifusión. En su caso, la posibilidad de que el Instituto autorice el uso secundario de la banda de frecuencia en cuestión en términos de la Ley. </w:t>
            </w:r>
          </w:p>
          <w:p w14:paraId="26BD24C2" w14:textId="77777777" w:rsidR="00D11040" w:rsidRPr="003C14A2" w:rsidRDefault="00D11040" w:rsidP="00AC4FB7">
            <w:pPr>
              <w:jc w:val="both"/>
              <w:rPr>
                <w:rFonts w:ascii="ITC Avant Garde" w:eastAsia="Calibri" w:hAnsi="ITC Avant Garde" w:cs="Times New Roman"/>
                <w:sz w:val="18"/>
                <w:szCs w:val="18"/>
              </w:rPr>
            </w:pPr>
          </w:p>
          <w:p w14:paraId="519686D8" w14:textId="47E26F40" w:rsidR="00BC3F15" w:rsidRPr="003C14A2" w:rsidRDefault="00D11040" w:rsidP="00AC4FB7">
            <w:pPr>
              <w:jc w:val="both"/>
              <w:rPr>
                <w:rFonts w:ascii="ITC Avant Garde" w:eastAsia="Calibri" w:hAnsi="ITC Avant Garde" w:cs="Times New Roman"/>
                <w:sz w:val="18"/>
                <w:szCs w:val="18"/>
              </w:rPr>
            </w:pPr>
            <w:r w:rsidRPr="003C14A2">
              <w:rPr>
                <w:rFonts w:ascii="ITC Avant Garde" w:eastAsia="Calibri" w:hAnsi="ITC Avant Garde" w:cs="Times New Roman"/>
                <w:sz w:val="18"/>
                <w:szCs w:val="18"/>
              </w:rPr>
              <w:t>As</w:t>
            </w:r>
            <w:r w:rsidR="0002713F" w:rsidRPr="003C14A2">
              <w:rPr>
                <w:rFonts w:ascii="ITC Avant Garde" w:eastAsia="Calibri" w:hAnsi="ITC Avant Garde" w:cs="Times New Roman"/>
                <w:sz w:val="18"/>
                <w:szCs w:val="18"/>
              </w:rPr>
              <w:t>imism</w:t>
            </w:r>
            <w:r w:rsidRPr="003C14A2">
              <w:rPr>
                <w:rFonts w:ascii="ITC Avant Garde" w:eastAsia="Calibri" w:hAnsi="ITC Avant Garde" w:cs="Times New Roman"/>
                <w:sz w:val="18"/>
                <w:szCs w:val="18"/>
              </w:rPr>
              <w:t>o</w:t>
            </w:r>
            <w:r w:rsidR="00BC3F15" w:rsidRPr="003C14A2">
              <w:rPr>
                <w:rFonts w:ascii="ITC Avant Garde" w:eastAsia="Calibri" w:hAnsi="ITC Avant Garde" w:cs="Times New Roman"/>
                <w:sz w:val="18"/>
                <w:szCs w:val="18"/>
              </w:rPr>
              <w:t xml:space="preserve">, los proyectos de título de concesión previstos para </w:t>
            </w:r>
            <w:r w:rsidR="00CF62B7" w:rsidRPr="003C14A2">
              <w:rPr>
                <w:rFonts w:ascii="ITC Avant Garde" w:eastAsia="Calibri" w:hAnsi="ITC Avant Garde" w:cs="Times New Roman"/>
                <w:sz w:val="18"/>
                <w:szCs w:val="18"/>
              </w:rPr>
              <w:t xml:space="preserve">el </w:t>
            </w:r>
            <w:r w:rsidR="0060005B" w:rsidRPr="003C14A2">
              <w:rPr>
                <w:rFonts w:ascii="ITC Avant Garde" w:eastAsia="Calibri" w:hAnsi="ITC Avant Garde" w:cs="Times New Roman"/>
                <w:sz w:val="18"/>
                <w:szCs w:val="18"/>
              </w:rPr>
              <w:t>Proyecto de Bases</w:t>
            </w:r>
            <w:r w:rsidR="00CF62B7" w:rsidRPr="003C14A2">
              <w:rPr>
                <w:rFonts w:ascii="ITC Avant Garde" w:eastAsia="Calibri" w:hAnsi="ITC Avant Garde" w:cs="Times New Roman"/>
                <w:sz w:val="18"/>
                <w:szCs w:val="18"/>
              </w:rPr>
              <w:t xml:space="preserve"> de </w:t>
            </w:r>
            <w:r w:rsidR="00BC3F15" w:rsidRPr="003C14A2">
              <w:rPr>
                <w:rFonts w:ascii="ITC Avant Garde" w:eastAsia="Calibri" w:hAnsi="ITC Avant Garde" w:cs="Times New Roman"/>
                <w:sz w:val="18"/>
                <w:szCs w:val="18"/>
              </w:rPr>
              <w:t>la licitación contienen la disposición siguiente:</w:t>
            </w:r>
          </w:p>
          <w:p w14:paraId="16BFDED1" w14:textId="77777777" w:rsidR="00BC3F15" w:rsidRPr="003C14A2" w:rsidRDefault="00BC3F15" w:rsidP="00AC4FB7">
            <w:pPr>
              <w:jc w:val="both"/>
              <w:rPr>
                <w:rFonts w:ascii="ITC Avant Garde" w:eastAsia="Calibri" w:hAnsi="ITC Avant Garde" w:cs="Times New Roman"/>
                <w:b/>
                <w:i/>
                <w:sz w:val="18"/>
                <w:szCs w:val="18"/>
              </w:rPr>
            </w:pPr>
          </w:p>
          <w:p w14:paraId="59D3C34D" w14:textId="77777777" w:rsidR="00BC3F15" w:rsidRPr="003C14A2" w:rsidRDefault="00BC3F15" w:rsidP="00AC4FB7">
            <w:pPr>
              <w:jc w:val="both"/>
              <w:rPr>
                <w:rFonts w:ascii="ITC Avant Garde" w:eastAsia="Calibri" w:hAnsi="ITC Avant Garde" w:cs="Times New Roman"/>
                <w:i/>
                <w:sz w:val="18"/>
                <w:szCs w:val="18"/>
              </w:rPr>
            </w:pPr>
            <w:r w:rsidRPr="003C14A2">
              <w:rPr>
                <w:rFonts w:ascii="ITC Avant Garde" w:eastAsia="Calibri" w:hAnsi="ITC Avant Garde" w:cs="Times New Roman"/>
                <w:b/>
                <w:i/>
                <w:sz w:val="18"/>
                <w:szCs w:val="18"/>
              </w:rPr>
              <w:t xml:space="preserve">Servicios a título secundario. </w:t>
            </w:r>
            <w:r w:rsidRPr="003C14A2">
              <w:rPr>
                <w:rFonts w:ascii="ITC Avant Garde" w:eastAsia="Calibri" w:hAnsi="ITC Avant Garde" w:cs="Times New Roman"/>
                <w:i/>
                <w:sz w:val="18"/>
                <w:szCs w:val="18"/>
              </w:rPr>
              <w:t>El Instituto se reserva el derecho de otorgar otras concesiones para el uso, aprovechamiento y explotación de las bandas de frecuencias objeto de la presente Concesión de Espectro Radioeléctrico, o porciones de las mismas, a título secundario. En tal caso, el uso de las bandas materia de esta Concesión de Espectro Radioeléctrico, contará con protección contra interferencias perjudiciales.</w:t>
            </w:r>
          </w:p>
          <w:p w14:paraId="2BF856D6" w14:textId="77777777" w:rsidR="00BC3F15" w:rsidRPr="003C14A2" w:rsidRDefault="00BC3F15" w:rsidP="00AC4FB7">
            <w:pPr>
              <w:jc w:val="both"/>
              <w:rPr>
                <w:rFonts w:ascii="ITC Avant Garde" w:eastAsia="Calibri" w:hAnsi="ITC Avant Garde" w:cs="Times New Roman"/>
                <w:b/>
                <w:sz w:val="18"/>
                <w:szCs w:val="18"/>
              </w:rPr>
            </w:pPr>
            <w:r w:rsidRPr="003C14A2">
              <w:rPr>
                <w:rFonts w:ascii="ITC Avant Garde" w:eastAsia="Calibri" w:hAnsi="ITC Avant Garde" w:cs="Times New Roman"/>
                <w:b/>
                <w:sz w:val="18"/>
                <w:szCs w:val="18"/>
              </w:rPr>
              <w:t xml:space="preserve"> </w:t>
            </w:r>
          </w:p>
          <w:p w14:paraId="71281EDD" w14:textId="77777777" w:rsidR="0002713F" w:rsidRPr="003C14A2" w:rsidRDefault="00BC3F15" w:rsidP="0051216B">
            <w:pPr>
              <w:jc w:val="both"/>
              <w:rPr>
                <w:rFonts w:ascii="ITC Avant Garde" w:eastAsia="Calibri" w:hAnsi="ITC Avant Garde" w:cs="Times New Roman"/>
                <w:sz w:val="18"/>
                <w:szCs w:val="18"/>
              </w:rPr>
            </w:pPr>
            <w:r w:rsidRPr="003C14A2">
              <w:rPr>
                <w:rFonts w:ascii="ITC Avant Garde" w:eastAsia="Calibri" w:hAnsi="ITC Avant Garde" w:cs="Times New Roman"/>
                <w:sz w:val="18"/>
                <w:szCs w:val="18"/>
              </w:rPr>
              <w:t>No obstante, se debe considerar que los segmentos de espectro radioeléctrico objeto de esta licitación fueron contemplados para uso comercial en los Programas Anuales de Bandas de Frecuencias (PABF) 2019 y 2020 y sus modificaciones.</w:t>
            </w:r>
          </w:p>
        </w:tc>
      </w:tr>
      <w:tr w:rsidR="00BC3F15" w:rsidRPr="00BC3F15" w14:paraId="2B7A79B4" w14:textId="77777777" w:rsidTr="00AC4FB7">
        <w:trPr>
          <w:trHeight w:val="113"/>
        </w:trPr>
        <w:tc>
          <w:tcPr>
            <w:tcW w:w="2553" w:type="dxa"/>
            <w:vAlign w:val="center"/>
          </w:tcPr>
          <w:p w14:paraId="2AE60D93" w14:textId="77777777" w:rsidR="00BC3F15" w:rsidRPr="00BC3F15" w:rsidRDefault="00BC3F15" w:rsidP="00AC4FB7">
            <w:pPr>
              <w:jc w:val="both"/>
              <w:rPr>
                <w:rFonts w:ascii="ITC Avant Garde" w:eastAsia="Calibri" w:hAnsi="ITC Avant Garde" w:cs="Arial"/>
                <w:sz w:val="18"/>
                <w:szCs w:val="18"/>
              </w:rPr>
            </w:pPr>
            <w:r w:rsidRPr="00BC3F15">
              <w:rPr>
                <w:rFonts w:ascii="ITC Avant Garde" w:eastAsia="Calibri" w:hAnsi="ITC Avant Garde" w:cs="Arial"/>
                <w:b/>
                <w:sz w:val="18"/>
                <w:szCs w:val="18"/>
              </w:rPr>
              <w:t>Valores Mínimos de Referencia.</w:t>
            </w:r>
          </w:p>
        </w:tc>
        <w:tc>
          <w:tcPr>
            <w:tcW w:w="8646" w:type="dxa"/>
            <w:vAlign w:val="center"/>
          </w:tcPr>
          <w:p w14:paraId="56A38662" w14:textId="5896F6FE" w:rsidR="00BC3F15" w:rsidRDefault="00AC4FB7" w:rsidP="00AC4FB7">
            <w:pPr>
              <w:jc w:val="both"/>
              <w:rPr>
                <w:rFonts w:ascii="ITC Avant Garde" w:eastAsia="Calibri" w:hAnsi="ITC Avant Garde" w:cs="Arial"/>
                <w:b/>
                <w:sz w:val="18"/>
                <w:szCs w:val="18"/>
              </w:rPr>
            </w:pPr>
            <w:r>
              <w:rPr>
                <w:rFonts w:ascii="ITC Avant Garde" w:eastAsia="Calibri" w:hAnsi="ITC Avant Garde" w:cs="Arial"/>
                <w:b/>
                <w:sz w:val="18"/>
                <w:szCs w:val="18"/>
              </w:rPr>
              <w:t>AT&amp;T</w:t>
            </w:r>
          </w:p>
          <w:p w14:paraId="328E6197" w14:textId="77777777" w:rsidR="00AC4FB7" w:rsidRPr="00BC3F15" w:rsidRDefault="00AC4FB7" w:rsidP="00AC4FB7">
            <w:pPr>
              <w:jc w:val="both"/>
              <w:rPr>
                <w:rFonts w:ascii="ITC Avant Garde" w:eastAsia="Calibri" w:hAnsi="ITC Avant Garde" w:cs="Arial"/>
                <w:sz w:val="18"/>
                <w:szCs w:val="18"/>
              </w:rPr>
            </w:pPr>
          </w:p>
          <w:p w14:paraId="5A675077" w14:textId="77777777" w:rsidR="00BC3F15" w:rsidRPr="00BC3F15" w:rsidRDefault="00BC3F15" w:rsidP="00AC4FB7">
            <w:pPr>
              <w:jc w:val="both"/>
              <w:rPr>
                <w:rFonts w:ascii="ITC Avant Garde" w:eastAsia="Calibri" w:hAnsi="ITC Avant Garde" w:cs="Arial"/>
                <w:i/>
                <w:sz w:val="18"/>
                <w:szCs w:val="18"/>
              </w:rPr>
            </w:pPr>
            <w:r w:rsidRPr="00BC3F15">
              <w:rPr>
                <w:rFonts w:ascii="ITC Avant Garde" w:eastAsia="Calibri" w:hAnsi="ITC Avant Garde" w:cs="Arial"/>
                <w:sz w:val="18"/>
                <w:szCs w:val="18"/>
              </w:rPr>
              <w:lastRenderedPageBreak/>
              <w:t>“</w:t>
            </w:r>
            <w:r w:rsidRPr="00BC3F15">
              <w:rPr>
                <w:rFonts w:ascii="ITC Avant Garde" w:eastAsia="Calibri" w:hAnsi="ITC Avant Garde" w:cs="Arial"/>
                <w:i/>
                <w:sz w:val="18"/>
                <w:szCs w:val="18"/>
              </w:rPr>
              <w:t xml:space="preserve">Se solicita a este Instituto ponderar para efectos del cálculo de los Valores Mínimos de Referencia de las contraprestaciones a pagar dentro de la licitación, los derechos que los concesionarios deberán pagar anualmente por el uso del mismo. El Instituto acierta al reconocer el papel fundamental que tiene la disponibilidad técnica de espectro radioeléctrico como factor para el desarrollo de los sectores de Telecomunicaciones y Radiodifusión. Sin embargo, esta disponibilidad técnica no es una condición suficiente para mejorar la velocidad, capacidad y cobertura de las redes inalámbricas ni para promover la adopción y despliegue de nuevas tecnologías, toda vez que es también necesario que el espectro radioeléctrico tenga un costo razonable que haga posible la instalación y operación de redes inalámbricas y el consumo de servicios inalámbricos por parte de los usuarios finales. </w:t>
            </w:r>
          </w:p>
          <w:p w14:paraId="4886D087" w14:textId="77777777" w:rsidR="00BC3F15" w:rsidRPr="00BC3F15" w:rsidRDefault="00BC3F15" w:rsidP="00AC4FB7">
            <w:pPr>
              <w:jc w:val="both"/>
              <w:rPr>
                <w:rFonts w:ascii="ITC Avant Garde" w:eastAsia="Calibri" w:hAnsi="ITC Avant Garde" w:cs="Arial"/>
                <w:i/>
                <w:sz w:val="18"/>
                <w:szCs w:val="18"/>
              </w:rPr>
            </w:pPr>
            <w:r w:rsidRPr="00BC3F15">
              <w:rPr>
                <w:rFonts w:ascii="ITC Avant Garde" w:eastAsia="Calibri" w:hAnsi="ITC Avant Garde" w:cs="Arial"/>
                <w:i/>
                <w:sz w:val="18"/>
                <w:szCs w:val="18"/>
              </w:rPr>
              <w:t xml:space="preserve">Precios de reserva. Considerando los resultados del estudio de benchmarking contratado por el Instituto (Estudio), 2 es posible que el IFT esté considerando fijar un Valor Mínimo de Referencia (VMR) para el espectro por encima de 1 GHz (PCS, AWS y 2.5 GHz), igual o menor que el VMR utilizado en licitaciones previas (actualizado por inflación).3 Lo anterior debido a que, el Estudio, concluye que, el costo total actual de estas bandas en México es mayor que las referencias internacionales. </w:t>
            </w:r>
          </w:p>
          <w:p w14:paraId="76FAA913" w14:textId="77777777" w:rsidR="00BC3F15" w:rsidRPr="00BC3F15" w:rsidRDefault="00BC3F15" w:rsidP="00AC4FB7">
            <w:pPr>
              <w:jc w:val="both"/>
              <w:rPr>
                <w:rFonts w:ascii="ITC Avant Garde" w:eastAsia="Calibri" w:hAnsi="ITC Avant Garde" w:cs="Arial"/>
                <w:i/>
                <w:sz w:val="18"/>
                <w:szCs w:val="18"/>
              </w:rPr>
            </w:pPr>
            <w:r w:rsidRPr="00BC3F15">
              <w:rPr>
                <w:rFonts w:ascii="ITC Avant Garde" w:eastAsia="Calibri" w:hAnsi="ITC Avant Garde" w:cs="Arial"/>
                <w:i/>
                <w:sz w:val="18"/>
                <w:szCs w:val="18"/>
              </w:rPr>
              <w:t xml:space="preserve">Sin embargo, en el caso del espectro a licitar de la banda 800MHz que se ubica en la banda 26 (de LTE), es posible que el IFT esté considerando utilizar un VMR mayor que el histórico de la banda PCS y AWS, pues el Estudio indica que el costo total del espectro en la banda 800MHz en México es inferior que las referencias internacionales. Por otra parte, el Estudio no proporciona referencias internacionales para la banda 26 (de LTE), sino de la banda 204 que tiene características técnicas y económicas que conllevan un valor del espectro sobreestimando del valor del espectro en la banda 26. </w:t>
            </w:r>
          </w:p>
          <w:p w14:paraId="09353C89" w14:textId="77777777" w:rsidR="00BC3F15" w:rsidRPr="00BC3F15" w:rsidRDefault="00BC3F15" w:rsidP="00AC4FB7">
            <w:pPr>
              <w:jc w:val="both"/>
              <w:rPr>
                <w:rFonts w:ascii="ITC Avant Garde" w:eastAsia="Calibri" w:hAnsi="ITC Avant Garde" w:cs="Arial"/>
                <w:i/>
                <w:sz w:val="18"/>
                <w:szCs w:val="18"/>
              </w:rPr>
            </w:pPr>
            <w:r w:rsidRPr="00BC3F15">
              <w:rPr>
                <w:rFonts w:ascii="ITC Avant Garde" w:eastAsia="Calibri" w:hAnsi="ITC Avant Garde" w:cs="Arial"/>
                <w:i/>
                <w:sz w:val="18"/>
                <w:szCs w:val="18"/>
              </w:rPr>
              <w:t xml:space="preserve">AT&amp;T sostiene que establecer un VMR para el espectro de la banda 26 por encima del que se utilice para las bandas AWS y PCS sería incongruente con los elementos establecidos en el artículo 100 de la Ley Federal de Telecomunicaciones y Radiodifusión (“LFTR”) para determinar las contraprestaciones de las concesiones de espectro radioeléctrico y, constituiría una restricción a la competencia en contra de los operadores móviles más pequeños, contraria a los objetivos de la LFTR y la Ley Federal de Competencia Económica (“LFCE”). </w:t>
            </w:r>
          </w:p>
          <w:p w14:paraId="5A600658" w14:textId="77777777" w:rsidR="00BC3F15" w:rsidRPr="00BC3F15" w:rsidRDefault="00BC3F15" w:rsidP="00AC4FB7">
            <w:pPr>
              <w:jc w:val="both"/>
              <w:rPr>
                <w:rFonts w:ascii="ITC Avant Garde" w:eastAsia="Calibri" w:hAnsi="ITC Avant Garde" w:cs="Arial"/>
                <w:i/>
                <w:sz w:val="18"/>
                <w:szCs w:val="18"/>
              </w:rPr>
            </w:pPr>
            <w:r w:rsidRPr="00BC3F15">
              <w:rPr>
                <w:rFonts w:ascii="ITC Avant Garde" w:eastAsia="Calibri" w:hAnsi="ITC Avant Garde" w:cs="Arial"/>
                <w:i/>
                <w:sz w:val="18"/>
                <w:szCs w:val="18"/>
              </w:rPr>
              <w:t xml:space="preserve">Para las referencias internacionales, se utiliza la mediana de costo total del espectro ajustado por PIB per cápita y paridad de poder adquisitivo actualizada con el Índice Nacional de Precios al Consumidor (“INPC”) a febrero de 2020. Para el costo en México se utilizan los VMRs históricos actualizados con el INPC a febrero de 2020 y los montos de los derechos vigentes para ese año.7 En ambos casos se calcula el valor presente de los flujos derivados del pago inicial más los pagos anuales de derechos fijados en la Ley Federal de Derechos, considerando una concesión de 20 años y un costo de capital de 10% anual. </w:t>
            </w:r>
          </w:p>
          <w:p w14:paraId="30E04F1D" w14:textId="77777777" w:rsidR="00BC3F15" w:rsidRPr="00BC3F15" w:rsidRDefault="00BC3F15" w:rsidP="00AC4FB7">
            <w:pPr>
              <w:jc w:val="both"/>
              <w:rPr>
                <w:rFonts w:ascii="ITC Avant Garde" w:eastAsia="Calibri" w:hAnsi="ITC Avant Garde" w:cs="Arial"/>
                <w:i/>
                <w:sz w:val="18"/>
                <w:szCs w:val="18"/>
              </w:rPr>
            </w:pPr>
            <w:r w:rsidRPr="00BC3F15">
              <w:rPr>
                <w:rFonts w:ascii="ITC Avant Garde" w:eastAsia="Calibri" w:hAnsi="ITC Avant Garde" w:cs="Arial"/>
                <w:i/>
                <w:sz w:val="18"/>
                <w:szCs w:val="18"/>
              </w:rPr>
              <w:t xml:space="preserve">Conforme a esta información, el costo del espectro en México es superior al internacional para las bandas AWS-1, PCS, y 2.5GHz, pero sucede lo contrario en el caso de las Bandas 26 y 5 en las 800MHz y 850MHz respectivamente. Es posible que el IFT está considerando utilizar las referencias internacionales de la banda 20 como aproximación del valor de mercado del espectro a licitar de la banda 26. Sin embargo, esta comparación sobreestimaría el valor de mercado del espectro en la banda 26, porque estas bandas presentan características técnicas y económicas distintas que incrementan el valor relativo de la banda 20 respecto a la banda 26. Así las cosas, es claro </w:t>
            </w:r>
            <w:r w:rsidRPr="00BC3F15">
              <w:rPr>
                <w:rFonts w:ascii="ITC Avant Garde" w:eastAsia="Calibri" w:hAnsi="ITC Avant Garde" w:cs="Arial"/>
                <w:i/>
                <w:sz w:val="18"/>
                <w:szCs w:val="18"/>
              </w:rPr>
              <w:lastRenderedPageBreak/>
              <w:t xml:space="preserve">que, para determinar las contraprestaciones de las concesiones del espectro radioeléctrico, el IFT debe asegurarse que estas deben ser consistentes con el establecimiento de condiciones de competencia efectiva, la eliminación de restricciones a la competencia y el desarrollo eficiente del sector de las telecomunicaciones. </w:t>
            </w:r>
          </w:p>
          <w:p w14:paraId="2847C9A7" w14:textId="77777777" w:rsidR="00BC3F15" w:rsidRPr="00BC3F15" w:rsidRDefault="00BC3F15" w:rsidP="00AC4FB7">
            <w:pPr>
              <w:jc w:val="both"/>
              <w:rPr>
                <w:rFonts w:ascii="ITC Avant Garde" w:eastAsia="Calibri" w:hAnsi="ITC Avant Garde" w:cs="Arial"/>
                <w:i/>
                <w:sz w:val="18"/>
                <w:szCs w:val="18"/>
              </w:rPr>
            </w:pPr>
            <w:r w:rsidRPr="00BC3F15">
              <w:rPr>
                <w:rFonts w:ascii="ITC Avant Garde" w:eastAsia="Calibri" w:hAnsi="ITC Avant Garde" w:cs="Arial"/>
                <w:i/>
                <w:sz w:val="18"/>
                <w:szCs w:val="18"/>
              </w:rPr>
              <w:t xml:space="preserve">Sin embargo, como se demuestra a continuación, fijar una contraprestación para el espectro a licitar de la banda 800MHz con base en las referencias internacionales de la banda 20, en lugar de utilizar el VMR utilizado en la Licitación IFT-3, incrementará de manera desproporcionada el costo de la mezcla de espectro de los operadores relativamente más pequeños y aumentará su sobrecosto respecto a referencias internacionales. Este tipo de ajuste sería claramente contrario al objetivo de establecer condiciones de competencia efectiva y de promover el desarrollo eficiente de las telecomunicaciones móviles en México. “ </w:t>
            </w:r>
          </w:p>
        </w:tc>
        <w:tc>
          <w:tcPr>
            <w:tcW w:w="6946" w:type="dxa"/>
            <w:vAlign w:val="center"/>
          </w:tcPr>
          <w:p w14:paraId="650FD565" w14:textId="3E3E15A2" w:rsidR="00BC3F15" w:rsidRPr="00BC3F15" w:rsidRDefault="00BC3F15" w:rsidP="00AC4FB7">
            <w:pPr>
              <w:jc w:val="both"/>
              <w:rPr>
                <w:rFonts w:ascii="ITC Avant Garde" w:eastAsia="Calibri" w:hAnsi="ITC Avant Garde" w:cs="Times New Roman"/>
                <w:sz w:val="18"/>
                <w:szCs w:val="18"/>
              </w:rPr>
            </w:pPr>
            <w:r w:rsidRPr="00BC3F15">
              <w:rPr>
                <w:rFonts w:ascii="ITC Avant Garde" w:eastAsia="Calibri" w:hAnsi="ITC Avant Garde" w:cs="Times New Roman"/>
                <w:sz w:val="18"/>
                <w:szCs w:val="18"/>
              </w:rPr>
              <w:lastRenderedPageBreak/>
              <w:t xml:space="preserve">Los valores mínimos de referencia no son objeto de la consulta pública, el artículo 3, fracción LXX de la Ley Federal de Telecomunicaciones y Radiodifusión los define como la cantidad expresada en dinero, misma que </w:t>
            </w:r>
            <w:r w:rsidRPr="00BC3F15">
              <w:rPr>
                <w:rFonts w:ascii="ITC Avant Garde" w:eastAsia="Calibri" w:hAnsi="ITC Avant Garde" w:cs="Times New Roman"/>
                <w:sz w:val="18"/>
                <w:szCs w:val="18"/>
              </w:rPr>
              <w:lastRenderedPageBreak/>
              <w:t xml:space="preserve">será considerada como el valor mínimo que se deberá pagar como contraprestación por la adjudicación de la concesión. En este sentido, este Instituto a través de la Unidad de Espectro Radioeléctrico elaborará la propuesta correspondiente con base en lo establecido en la propia Ley, los análisis técnicos económicos para la adecuada determinación de un valor inicial, las condiciones actuales de la banda y de asignación consideradas en el </w:t>
            </w:r>
            <w:r w:rsidR="0060005B">
              <w:rPr>
                <w:rFonts w:ascii="ITC Avant Garde" w:eastAsia="Calibri" w:hAnsi="ITC Avant Garde" w:cs="Times New Roman"/>
                <w:sz w:val="18"/>
                <w:szCs w:val="18"/>
              </w:rPr>
              <w:t>Proyecto de Bases</w:t>
            </w:r>
            <w:r w:rsidRPr="00BC3F15">
              <w:rPr>
                <w:rFonts w:ascii="ITC Avant Garde" w:eastAsia="Calibri" w:hAnsi="ITC Avant Garde" w:cs="Times New Roman"/>
                <w:sz w:val="18"/>
                <w:szCs w:val="18"/>
              </w:rPr>
              <w:t>, las referencias aplicables, así como la opinión que, en su caso, emita la autoridad hacendaria de acuerdo al artículo 99 de la Ley.</w:t>
            </w:r>
          </w:p>
        </w:tc>
      </w:tr>
      <w:tr w:rsidR="00BC3F15" w:rsidRPr="00BC3F15" w14:paraId="23B5E93B" w14:textId="77777777" w:rsidTr="00AC4FB7">
        <w:trPr>
          <w:trHeight w:val="113"/>
        </w:trPr>
        <w:tc>
          <w:tcPr>
            <w:tcW w:w="2553" w:type="dxa"/>
            <w:vMerge w:val="restart"/>
            <w:shd w:val="clear" w:color="auto" w:fill="F2F2F2"/>
            <w:vAlign w:val="center"/>
          </w:tcPr>
          <w:p w14:paraId="149BCB74" w14:textId="77777777" w:rsidR="00BC3F15" w:rsidRPr="00BC3F15" w:rsidRDefault="00BC3F15" w:rsidP="00AC4FB7">
            <w:pPr>
              <w:jc w:val="center"/>
              <w:rPr>
                <w:rFonts w:ascii="ITC Avant Garde" w:eastAsia="Calibri" w:hAnsi="ITC Avant Garde" w:cs="Times New Roman"/>
                <w:sz w:val="18"/>
                <w:szCs w:val="18"/>
              </w:rPr>
            </w:pPr>
            <w:r w:rsidRPr="00BC3F15">
              <w:rPr>
                <w:rFonts w:ascii="ITC Avant Garde" w:eastAsia="Calibri" w:hAnsi="ITC Avant Garde" w:cs="Times New Roman"/>
                <w:b/>
                <w:sz w:val="18"/>
                <w:szCs w:val="18"/>
              </w:rPr>
              <w:lastRenderedPageBreak/>
              <w:t>Derechos</w:t>
            </w:r>
          </w:p>
        </w:tc>
        <w:tc>
          <w:tcPr>
            <w:tcW w:w="8646" w:type="dxa"/>
            <w:shd w:val="clear" w:color="auto" w:fill="F2F2F2"/>
            <w:vAlign w:val="center"/>
          </w:tcPr>
          <w:p w14:paraId="37D8EB8C" w14:textId="77777777" w:rsidR="00BC3F15" w:rsidRPr="00BC3F15" w:rsidRDefault="00BC3F15" w:rsidP="00AC4FB7">
            <w:pPr>
              <w:jc w:val="both"/>
              <w:rPr>
                <w:rFonts w:ascii="ITC Avant Garde" w:eastAsia="Calibri" w:hAnsi="ITC Avant Garde" w:cs="Times New Roman"/>
                <w:sz w:val="18"/>
                <w:szCs w:val="18"/>
              </w:rPr>
            </w:pPr>
            <w:r w:rsidRPr="00BC3F15">
              <w:rPr>
                <w:rFonts w:ascii="ITC Avant Garde" w:eastAsia="Calibri" w:hAnsi="ITC Avant Garde" w:cs="Times New Roman"/>
                <w:b/>
                <w:sz w:val="18"/>
                <w:szCs w:val="18"/>
              </w:rPr>
              <w:t xml:space="preserve">Lucas Gallitto </w:t>
            </w:r>
          </w:p>
          <w:p w14:paraId="17D11B80" w14:textId="77777777" w:rsidR="00BC3F15" w:rsidRPr="00BC3F15" w:rsidRDefault="00BC3F15" w:rsidP="00AC4FB7">
            <w:pPr>
              <w:jc w:val="both"/>
              <w:rPr>
                <w:rFonts w:ascii="ITC Avant Garde" w:eastAsia="Calibri" w:hAnsi="ITC Avant Garde" w:cs="Times New Roman"/>
                <w:sz w:val="18"/>
                <w:szCs w:val="18"/>
              </w:rPr>
            </w:pPr>
          </w:p>
          <w:p w14:paraId="4C18B579" w14:textId="77777777" w:rsidR="00BC3F15" w:rsidRPr="00BC3F15" w:rsidRDefault="00BC3F15" w:rsidP="00AC4FB7">
            <w:pPr>
              <w:jc w:val="both"/>
              <w:rPr>
                <w:rFonts w:ascii="ITC Avant Garde" w:eastAsia="Calibri" w:hAnsi="ITC Avant Garde" w:cs="Times New Roman"/>
                <w:i/>
                <w:sz w:val="18"/>
                <w:szCs w:val="18"/>
              </w:rPr>
            </w:pPr>
            <w:r w:rsidRPr="00BC3F15">
              <w:rPr>
                <w:rFonts w:ascii="ITC Avant Garde" w:eastAsia="Calibri" w:hAnsi="ITC Avant Garde" w:cs="Times New Roman"/>
                <w:i/>
                <w:sz w:val="18"/>
                <w:szCs w:val="18"/>
              </w:rPr>
              <w:t xml:space="preserve">“El precio del espectro en México continúa siendo el más caro de América Latina, y uno de los más caros del mundo, representando cerca del 12% de los ingresos de la industria. Esto es casi el doble de lo que representa en Estados Unidos de Norteamérica y el doble de lo que representa en Alemania, aun cuando en ambos casos se tiene más espectro disponibilizado. Más del 80% del costo total es explicado por los cánones establecidos en la Ley Federal de Derechos. </w:t>
            </w:r>
          </w:p>
          <w:p w14:paraId="6AF6B0BB" w14:textId="77777777" w:rsidR="00BC3F15" w:rsidRPr="00BC3F15" w:rsidRDefault="00BC3F15" w:rsidP="00AC4FB7">
            <w:pPr>
              <w:jc w:val="both"/>
              <w:rPr>
                <w:rFonts w:ascii="ITC Avant Garde" w:eastAsia="Calibri" w:hAnsi="ITC Avant Garde" w:cs="Times New Roman"/>
                <w:i/>
                <w:sz w:val="18"/>
                <w:szCs w:val="18"/>
              </w:rPr>
            </w:pPr>
          </w:p>
          <w:p w14:paraId="14E6E49B" w14:textId="77777777" w:rsidR="00BC3F15" w:rsidRPr="00BC3F15" w:rsidRDefault="00BC3F15" w:rsidP="00AC4FB7">
            <w:pPr>
              <w:jc w:val="both"/>
              <w:rPr>
                <w:rFonts w:ascii="ITC Avant Garde" w:eastAsia="Calibri" w:hAnsi="ITC Avant Garde" w:cs="Times New Roman"/>
                <w:i/>
                <w:sz w:val="18"/>
                <w:szCs w:val="18"/>
              </w:rPr>
            </w:pPr>
            <w:r w:rsidRPr="00BC3F15">
              <w:rPr>
                <w:rFonts w:ascii="ITC Avant Garde" w:eastAsia="Calibri" w:hAnsi="ITC Avant Garde" w:cs="Times New Roman"/>
                <w:i/>
                <w:sz w:val="18"/>
                <w:szCs w:val="18"/>
              </w:rPr>
              <w:t>Este tipo de medidas impactan a los consumidores en su conjunto; y especialmente a aquellos que carecen del servicio se les afecta aún más, pues la brecha digital se verá ampliada como resultado de la probable disminución de las inversiones ante precios altos del espectro hasta el límite de cumplir mínimamente con los compromisos señalados en el presente proyecto de bases.</w:t>
            </w:r>
          </w:p>
          <w:p w14:paraId="78DCCCB9" w14:textId="77777777" w:rsidR="00BC3F15" w:rsidRPr="00BC3F15" w:rsidRDefault="00BC3F15" w:rsidP="00AC4FB7">
            <w:pPr>
              <w:jc w:val="both"/>
              <w:rPr>
                <w:rFonts w:ascii="ITC Avant Garde" w:eastAsia="Calibri" w:hAnsi="ITC Avant Garde" w:cs="Times New Roman"/>
                <w:i/>
                <w:sz w:val="18"/>
                <w:szCs w:val="18"/>
              </w:rPr>
            </w:pPr>
            <w:r w:rsidRPr="00BC3F15">
              <w:rPr>
                <w:rFonts w:ascii="ITC Avant Garde" w:eastAsia="Calibri" w:hAnsi="ITC Avant Garde" w:cs="Times New Roman"/>
                <w:i/>
                <w:sz w:val="18"/>
                <w:szCs w:val="18"/>
              </w:rPr>
              <w:t xml:space="preserve"> Adicionalmente se propone que se instrumenten mecanismos alternativos al pago de derechos, como el despliegue de proyectos de infraestructura que importen y sean tomados en cuenta como un porcentaje que pudiera alcanzar hasta el 80% de dicho pago. </w:t>
            </w:r>
          </w:p>
          <w:p w14:paraId="49A6BACF" w14:textId="77777777" w:rsidR="00BC3F15" w:rsidRPr="00BC3F15" w:rsidRDefault="00BC3F15" w:rsidP="00AC4FB7">
            <w:pPr>
              <w:jc w:val="both"/>
              <w:rPr>
                <w:rFonts w:ascii="ITC Avant Garde" w:eastAsia="Calibri" w:hAnsi="ITC Avant Garde" w:cs="Times New Roman"/>
                <w:i/>
                <w:sz w:val="18"/>
                <w:szCs w:val="18"/>
              </w:rPr>
            </w:pPr>
          </w:p>
          <w:p w14:paraId="1C597CBB" w14:textId="77777777" w:rsidR="00BC3F15" w:rsidRPr="00BC3F15" w:rsidRDefault="00BC3F15" w:rsidP="00AC4FB7">
            <w:pPr>
              <w:jc w:val="both"/>
              <w:rPr>
                <w:rFonts w:ascii="ITC Avant Garde" w:eastAsia="Calibri" w:hAnsi="ITC Avant Garde" w:cs="Times New Roman"/>
                <w:i/>
                <w:sz w:val="18"/>
                <w:szCs w:val="18"/>
              </w:rPr>
            </w:pPr>
            <w:r w:rsidRPr="00BC3F15">
              <w:rPr>
                <w:rFonts w:ascii="ITC Avant Garde" w:eastAsia="Calibri" w:hAnsi="ITC Avant Garde" w:cs="Times New Roman"/>
                <w:i/>
                <w:sz w:val="18"/>
                <w:szCs w:val="18"/>
              </w:rPr>
              <w:t>El hecho de que la legislación tributaria mexicana actualice anualmente los montos de pago por Kilohertz (KHz) a razón del incremento inflacionario y que, particularmente para el ejercicio 2021, se proponga un aumento del 52% para la banda de 850 MHz representa un tremendo impacto negativo para los consumidores en la calidad de los servicios. A pesar de tratarse del mismo tipo de bandas (bandas de cobertura = debajo de 1 GHz) no hay una correlación ni proporción entre los derechos por el uso de esta banda y la de 700 MHz, ya que esta representa el 10% del precio de la primera. La importancia de estas bandas radica en que pueden cubrir áreas grandes y remotas, como zonas rurales. De acuerdo con la UIT4, un incremento del 10% en la penetración de banda ancha móvil resultaría en un aumento adicional promedio del PIB de 1,7% en economías de bajos ingresos.</w:t>
            </w:r>
          </w:p>
          <w:p w14:paraId="3012CA22" w14:textId="77777777" w:rsidR="00BC3F15" w:rsidRPr="00BC3F15" w:rsidRDefault="00BC3F15" w:rsidP="00AC4FB7">
            <w:pPr>
              <w:jc w:val="both"/>
              <w:rPr>
                <w:rFonts w:ascii="ITC Avant Garde" w:eastAsia="Calibri" w:hAnsi="ITC Avant Garde" w:cs="Times New Roman"/>
                <w:i/>
                <w:sz w:val="18"/>
                <w:szCs w:val="18"/>
              </w:rPr>
            </w:pPr>
            <w:r w:rsidRPr="00BC3F15">
              <w:rPr>
                <w:rFonts w:ascii="ITC Avant Garde" w:eastAsia="Calibri" w:hAnsi="ITC Avant Garde" w:cs="Times New Roman"/>
                <w:i/>
                <w:sz w:val="18"/>
                <w:szCs w:val="18"/>
              </w:rPr>
              <w:t xml:space="preserve"> La necesidad de una revisión integral de los derechos de uso de espectro ha sido incluso señalada por la Organización para la Cooperación y el Desarrollo Económicos (OECD) en su análisis del sector 5: “Es conveniente reconsiderar el diseño del pago de derechos por el uso del espectro radioeléctrico en México, así como considerar la reducción de los derechos anuales del espectro (…)”</w:t>
            </w:r>
          </w:p>
          <w:p w14:paraId="5BE136AB" w14:textId="77777777" w:rsidR="00BC3F15" w:rsidRPr="00BC3F15" w:rsidRDefault="00BC3F15" w:rsidP="00AC4FB7">
            <w:pPr>
              <w:jc w:val="both"/>
              <w:rPr>
                <w:rFonts w:ascii="ITC Avant Garde" w:eastAsia="Calibri" w:hAnsi="ITC Avant Garde" w:cs="Times New Roman"/>
                <w:i/>
                <w:sz w:val="18"/>
                <w:szCs w:val="18"/>
              </w:rPr>
            </w:pPr>
            <w:r w:rsidRPr="00BC3F15">
              <w:rPr>
                <w:rFonts w:ascii="ITC Avant Garde" w:eastAsia="Calibri" w:hAnsi="ITC Avant Garde" w:cs="Times New Roman"/>
                <w:i/>
                <w:sz w:val="18"/>
                <w:szCs w:val="18"/>
              </w:rPr>
              <w:lastRenderedPageBreak/>
              <w:t xml:space="preserve"> </w:t>
            </w:r>
          </w:p>
          <w:p w14:paraId="69FB206D" w14:textId="77777777" w:rsidR="00BC3F15" w:rsidRPr="00BC3F15" w:rsidRDefault="00BC3F15" w:rsidP="00AC4FB7">
            <w:pPr>
              <w:jc w:val="both"/>
              <w:rPr>
                <w:rFonts w:ascii="ITC Avant Garde" w:eastAsia="Calibri" w:hAnsi="ITC Avant Garde" w:cs="Times New Roman"/>
                <w:i/>
                <w:sz w:val="18"/>
                <w:szCs w:val="18"/>
              </w:rPr>
            </w:pPr>
            <w:r w:rsidRPr="00BC3F15">
              <w:rPr>
                <w:rFonts w:ascii="ITC Avant Garde" w:eastAsia="Calibri" w:hAnsi="ITC Avant Garde" w:cs="Times New Roman"/>
                <w:i/>
                <w:sz w:val="18"/>
                <w:szCs w:val="18"/>
              </w:rPr>
              <w:t xml:space="preserve">Una reducción de derechos anuales aumenta la capacidad de la industria de hacer inversión en redes. Estas inversiones se traducen en mayor cobertura y mejor calidad en los servicios de telecomunicaciones provistos a los consumidores, lo que incentiva la demanda, generando ingresos fiscales directos (a través del IEPS, IVA) e indirectos a través del impuesto sobre la renta (ISR), y el consecuente crecimiento económico. </w:t>
            </w:r>
          </w:p>
          <w:p w14:paraId="6217DB6C" w14:textId="77777777" w:rsidR="00BC3F15" w:rsidRPr="00BC3F15" w:rsidRDefault="00BC3F15" w:rsidP="00AC4FB7">
            <w:pPr>
              <w:jc w:val="both"/>
              <w:rPr>
                <w:rFonts w:ascii="ITC Avant Garde" w:eastAsia="Calibri" w:hAnsi="ITC Avant Garde" w:cs="Times New Roman"/>
                <w:i/>
                <w:sz w:val="18"/>
                <w:szCs w:val="18"/>
              </w:rPr>
            </w:pPr>
            <w:r w:rsidRPr="00BC3F15">
              <w:rPr>
                <w:rFonts w:ascii="ITC Avant Garde" w:eastAsia="Calibri" w:hAnsi="ITC Avant Garde" w:cs="Times New Roman"/>
                <w:i/>
                <w:sz w:val="18"/>
                <w:szCs w:val="18"/>
              </w:rPr>
              <w:t xml:space="preserve"> Países de la región que no tienen una visión recaudatoria sobre el espectro, como Chile, han logrado un 30% más de penetración de usuarios móviles que México, además de una adopción acelerada de nuevas tecnologías, con los beneficios que ello trae a la sociedad y a la economía.”</w:t>
            </w:r>
          </w:p>
        </w:tc>
        <w:tc>
          <w:tcPr>
            <w:tcW w:w="6946" w:type="dxa"/>
            <w:vMerge w:val="restart"/>
            <w:shd w:val="clear" w:color="auto" w:fill="F2F2F2"/>
            <w:vAlign w:val="center"/>
          </w:tcPr>
          <w:p w14:paraId="6FDF486A" w14:textId="77777777" w:rsidR="00BC3F15" w:rsidRDefault="00BC3F15" w:rsidP="00BC3F15">
            <w:pPr>
              <w:jc w:val="both"/>
              <w:rPr>
                <w:rFonts w:ascii="ITC Avant Garde" w:eastAsia="Calibri" w:hAnsi="ITC Avant Garde" w:cs="Times New Roman"/>
                <w:sz w:val="18"/>
                <w:szCs w:val="18"/>
              </w:rPr>
            </w:pPr>
            <w:r w:rsidRPr="00BC3F15">
              <w:rPr>
                <w:rFonts w:ascii="ITC Avant Garde" w:eastAsia="Calibri" w:hAnsi="ITC Avant Garde" w:cs="Times New Roman"/>
                <w:sz w:val="18"/>
                <w:szCs w:val="18"/>
              </w:rPr>
              <w:lastRenderedPageBreak/>
              <w:t xml:space="preserve">Se toma conocimiento de los comentarios e información aportada, al respecto, se comenta que, como es de conocimiento público, el Instituto Federal de Telecomunicaciones encomendó, en 2018, un Estudio sobre la valuación y determinación de los derechos para bandas IMT en México, mismo que parte de un análisis comparado de un comparativo internacional de referencias de mercado incluyendo los valores ofrecidos en licitación y los pagos anuales que, en su caso, establece cada país, mismos que fueron homologados para su adecuada comparación y realización de cálculos, incluyendo ajustes por ingreso per cápita y poder adquisitivo de las monedas. Con base en dicho estudio, en junio de 2020 se presentó una propuesta integral debidamente fundamentada y motivada de modificaciones al esquema de derechos de bandas IMT. Posteriormente, el Instituto hizo público el documento </w:t>
            </w:r>
            <w:r w:rsidRPr="00BC3F15">
              <w:rPr>
                <w:rFonts w:ascii="ITC Avant Garde" w:eastAsia="Calibri" w:hAnsi="ITC Avant Garde" w:cs="Times New Roman"/>
                <w:i/>
                <w:sz w:val="18"/>
                <w:szCs w:val="18"/>
              </w:rPr>
              <w:t>Efectos y Alternativas de la Iniciativa de Reforma a la Ley Federal de Derechos para 2021 en Materia de Espectro Radioeléctrico</w:t>
            </w:r>
            <w:r w:rsidRPr="00BC3F15">
              <w:rPr>
                <w:rFonts w:ascii="ITC Avant Garde" w:eastAsia="Calibri" w:hAnsi="ITC Avant Garde" w:cs="Times New Roman"/>
                <w:sz w:val="18"/>
                <w:szCs w:val="18"/>
              </w:rPr>
              <w:t>, mediante el que aporta su análisis y recomendaciones en relación con los derechos por uso del espectro de bandas de frecuencias del espectro asignadas y por asignarse.</w:t>
            </w:r>
          </w:p>
          <w:p w14:paraId="19413032" w14:textId="77777777" w:rsidR="008974F3" w:rsidRDefault="008974F3" w:rsidP="00BC3F15">
            <w:pPr>
              <w:jc w:val="both"/>
              <w:rPr>
                <w:rFonts w:ascii="ITC Avant Garde" w:eastAsia="Calibri" w:hAnsi="ITC Avant Garde" w:cs="Times New Roman"/>
                <w:sz w:val="18"/>
                <w:szCs w:val="18"/>
              </w:rPr>
            </w:pPr>
          </w:p>
          <w:p w14:paraId="268EE123" w14:textId="77777777" w:rsidR="008974F3" w:rsidRDefault="008974F3" w:rsidP="00BC3F15">
            <w:pPr>
              <w:jc w:val="both"/>
              <w:rPr>
                <w:rFonts w:ascii="ITC Avant Garde" w:eastAsia="Calibri" w:hAnsi="ITC Avant Garde" w:cs="Times New Roman"/>
                <w:sz w:val="18"/>
                <w:szCs w:val="18"/>
              </w:rPr>
            </w:pPr>
            <w:r>
              <w:rPr>
                <w:rFonts w:ascii="ITC Avant Garde" w:eastAsia="Calibri" w:hAnsi="ITC Avant Garde" w:cs="Times New Roman"/>
                <w:sz w:val="18"/>
                <w:szCs w:val="18"/>
              </w:rPr>
              <w:t>El Estudio referido puede ser consultado en el siguiente vinculo de la página de Internet del Instituto</w:t>
            </w:r>
          </w:p>
          <w:p w14:paraId="0CA3528E" w14:textId="77777777" w:rsidR="008974F3" w:rsidRDefault="008974F3" w:rsidP="00BC3F15">
            <w:pPr>
              <w:jc w:val="both"/>
              <w:rPr>
                <w:rFonts w:ascii="ITC Avant Garde" w:eastAsia="Calibri" w:hAnsi="ITC Avant Garde" w:cs="Times New Roman"/>
                <w:sz w:val="18"/>
                <w:szCs w:val="18"/>
              </w:rPr>
            </w:pPr>
          </w:p>
          <w:p w14:paraId="025F78DE" w14:textId="6A304136" w:rsidR="008974F3" w:rsidRDefault="004C31D5" w:rsidP="00BC3F15">
            <w:pPr>
              <w:jc w:val="both"/>
              <w:rPr>
                <w:rFonts w:ascii="ITC Avant Garde" w:eastAsia="Calibri" w:hAnsi="ITC Avant Garde" w:cs="Times New Roman"/>
                <w:sz w:val="18"/>
                <w:szCs w:val="18"/>
              </w:rPr>
            </w:pPr>
            <w:hyperlink r:id="rId18" w:history="1">
              <w:r w:rsidR="008974F3" w:rsidRPr="005700EC">
                <w:rPr>
                  <w:rStyle w:val="Hipervnculo"/>
                  <w:rFonts w:ascii="ITC Avant Garde" w:eastAsia="Calibri" w:hAnsi="ITC Avant Garde" w:cs="Times New Roman"/>
                  <w:sz w:val="18"/>
                  <w:szCs w:val="18"/>
                </w:rPr>
                <w:t>http://www.ift.org.mx/sites/default/files/contenidogeneral/espectro-radioelectrico/07-informeaethaparaift-preciosespectroimt20dic2018v21pdftestado.pdf</w:t>
              </w:r>
            </w:hyperlink>
            <w:r w:rsidR="008974F3">
              <w:rPr>
                <w:rFonts w:ascii="ITC Avant Garde" w:eastAsia="Calibri" w:hAnsi="ITC Avant Garde" w:cs="Times New Roman"/>
                <w:sz w:val="18"/>
                <w:szCs w:val="18"/>
              </w:rPr>
              <w:t>.</w:t>
            </w:r>
          </w:p>
          <w:p w14:paraId="4F3E4A51" w14:textId="6E27A7DB" w:rsidR="00BC3F15" w:rsidRPr="00BC3F15" w:rsidRDefault="00BC3F15" w:rsidP="00BC3F15">
            <w:pPr>
              <w:jc w:val="both"/>
              <w:rPr>
                <w:rFonts w:ascii="ITC Avant Garde" w:eastAsia="Calibri" w:hAnsi="ITC Avant Garde" w:cs="Times New Roman"/>
                <w:sz w:val="18"/>
                <w:szCs w:val="18"/>
              </w:rPr>
            </w:pPr>
          </w:p>
        </w:tc>
      </w:tr>
      <w:tr w:rsidR="00BC3F15" w:rsidRPr="00BC3F15" w14:paraId="09AC2587" w14:textId="77777777" w:rsidTr="00AC4FB7">
        <w:trPr>
          <w:trHeight w:val="113"/>
        </w:trPr>
        <w:tc>
          <w:tcPr>
            <w:tcW w:w="2553" w:type="dxa"/>
            <w:vMerge/>
            <w:shd w:val="clear" w:color="auto" w:fill="F2F2F2"/>
            <w:vAlign w:val="center"/>
          </w:tcPr>
          <w:p w14:paraId="14C1542D" w14:textId="77777777" w:rsidR="00BC3F15" w:rsidRPr="00BC3F15" w:rsidRDefault="00BC3F15" w:rsidP="00AC4FB7">
            <w:pPr>
              <w:jc w:val="both"/>
              <w:rPr>
                <w:rFonts w:ascii="ITC Avant Garde" w:eastAsia="Calibri" w:hAnsi="ITC Avant Garde" w:cs="Times New Roman"/>
                <w:sz w:val="18"/>
                <w:szCs w:val="18"/>
              </w:rPr>
            </w:pPr>
          </w:p>
        </w:tc>
        <w:tc>
          <w:tcPr>
            <w:tcW w:w="8646" w:type="dxa"/>
            <w:shd w:val="clear" w:color="auto" w:fill="F2F2F2"/>
            <w:vAlign w:val="center"/>
          </w:tcPr>
          <w:p w14:paraId="57C710B9" w14:textId="77777777" w:rsidR="00BC3F15" w:rsidRPr="00BC3F15" w:rsidRDefault="00BC3F15" w:rsidP="00AC4FB7">
            <w:pPr>
              <w:jc w:val="both"/>
              <w:rPr>
                <w:rFonts w:ascii="ITC Avant Garde" w:eastAsia="Calibri" w:hAnsi="ITC Avant Garde" w:cs="Times New Roman"/>
                <w:sz w:val="18"/>
                <w:szCs w:val="18"/>
              </w:rPr>
            </w:pPr>
            <w:r w:rsidRPr="00BC3F15">
              <w:rPr>
                <w:rFonts w:ascii="ITC Avant Garde" w:eastAsia="Calibri" w:hAnsi="ITC Avant Garde" w:cs="Times New Roman"/>
                <w:b/>
                <w:sz w:val="18"/>
                <w:szCs w:val="18"/>
              </w:rPr>
              <w:t xml:space="preserve">Maryleana Méndez </w:t>
            </w:r>
          </w:p>
          <w:p w14:paraId="0AD962E6" w14:textId="77777777" w:rsidR="00BC3F15" w:rsidRPr="00BC3F15" w:rsidRDefault="00BC3F15" w:rsidP="00AC4FB7">
            <w:pPr>
              <w:jc w:val="both"/>
              <w:rPr>
                <w:rFonts w:ascii="ITC Avant Garde" w:eastAsia="Calibri" w:hAnsi="ITC Avant Garde" w:cs="Times New Roman"/>
                <w:sz w:val="18"/>
                <w:szCs w:val="18"/>
              </w:rPr>
            </w:pPr>
          </w:p>
          <w:p w14:paraId="50B3D54A" w14:textId="77777777" w:rsidR="00BC3F15" w:rsidRPr="00BC3F15" w:rsidRDefault="00BC3F15" w:rsidP="00AC4FB7">
            <w:pPr>
              <w:jc w:val="both"/>
              <w:rPr>
                <w:rFonts w:ascii="ITC Avant Garde" w:eastAsia="Calibri" w:hAnsi="ITC Avant Garde" w:cs="Times New Roman"/>
                <w:i/>
                <w:sz w:val="18"/>
                <w:szCs w:val="18"/>
              </w:rPr>
            </w:pPr>
            <w:r w:rsidRPr="00BC3F15">
              <w:rPr>
                <w:rFonts w:ascii="ITC Avant Garde" w:eastAsia="Calibri" w:hAnsi="ITC Avant Garde" w:cs="Times New Roman"/>
                <w:i/>
                <w:sz w:val="18"/>
                <w:szCs w:val="18"/>
              </w:rPr>
              <w:t xml:space="preserve">“Diversos estudios y la opinión de múltiples especialistas coinciden en que los costos del espectro en México son sumamente elevados en comparación con los estándares internacionales. El esquema de pago de derechos utilizado en el país es anómalo y su aplicación carece de justificación en la actualidad, considerando la importancia que los servicios de telecomunicaciones han adquirido y el papel imprescindible que tendrán en los próximos años para el desarrollo económico y social de nuestros países. </w:t>
            </w:r>
          </w:p>
          <w:p w14:paraId="1E0A5984" w14:textId="77777777" w:rsidR="00BC3F15" w:rsidRPr="00BC3F15" w:rsidRDefault="00BC3F15" w:rsidP="00AC4FB7">
            <w:pPr>
              <w:jc w:val="both"/>
              <w:rPr>
                <w:rFonts w:ascii="ITC Avant Garde" w:eastAsia="Calibri" w:hAnsi="ITC Avant Garde" w:cs="Times New Roman"/>
                <w:i/>
                <w:sz w:val="18"/>
                <w:szCs w:val="18"/>
              </w:rPr>
            </w:pPr>
          </w:p>
          <w:p w14:paraId="0E18EA6F" w14:textId="77777777" w:rsidR="00BC3F15" w:rsidRPr="00BC3F15" w:rsidRDefault="00BC3F15" w:rsidP="00AC4FB7">
            <w:pPr>
              <w:jc w:val="both"/>
              <w:rPr>
                <w:rFonts w:ascii="ITC Avant Garde" w:eastAsia="Calibri" w:hAnsi="ITC Avant Garde" w:cs="Times New Roman"/>
                <w:i/>
                <w:sz w:val="18"/>
                <w:szCs w:val="18"/>
              </w:rPr>
            </w:pPr>
            <w:r w:rsidRPr="00BC3F15">
              <w:rPr>
                <w:rFonts w:ascii="ITC Avant Garde" w:eastAsia="Calibri" w:hAnsi="ITC Avant Garde" w:cs="Times New Roman"/>
                <w:i/>
                <w:sz w:val="18"/>
                <w:szCs w:val="18"/>
              </w:rPr>
              <w:t xml:space="preserve">Tomando en cuenta aspectos como los anteriores, la OCDE señaló en su Estudio de la OCDE sobre telecomunicaciones y radiodifusión en México 2017 la conveniencia de “reconsiderar el diseño del pago de derechos por el uso del espectro radioeléctrico en México, así como considerar la reducción de los derechos anuales del espectro para futuras licitaciones”. </w:t>
            </w:r>
          </w:p>
          <w:p w14:paraId="6CE650C1" w14:textId="77777777" w:rsidR="00BC3F15" w:rsidRPr="00BC3F15" w:rsidRDefault="00BC3F15" w:rsidP="00AC4FB7">
            <w:pPr>
              <w:jc w:val="both"/>
              <w:rPr>
                <w:rFonts w:ascii="ITC Avant Garde" w:eastAsia="Calibri" w:hAnsi="ITC Avant Garde" w:cs="Times New Roman"/>
                <w:i/>
                <w:sz w:val="18"/>
                <w:szCs w:val="18"/>
              </w:rPr>
            </w:pPr>
          </w:p>
          <w:p w14:paraId="5AB4F14D" w14:textId="77777777" w:rsidR="00BC3F15" w:rsidRPr="00BC3F15" w:rsidRDefault="00BC3F15" w:rsidP="00AC4FB7">
            <w:pPr>
              <w:jc w:val="both"/>
              <w:rPr>
                <w:rFonts w:ascii="ITC Avant Garde" w:eastAsia="Calibri" w:hAnsi="ITC Avant Garde" w:cs="Times New Roman"/>
                <w:i/>
                <w:sz w:val="18"/>
                <w:szCs w:val="18"/>
              </w:rPr>
            </w:pPr>
            <w:r w:rsidRPr="00BC3F15">
              <w:rPr>
                <w:rFonts w:ascii="ITC Avant Garde" w:eastAsia="Calibri" w:hAnsi="ITC Avant Garde" w:cs="Times New Roman"/>
                <w:i/>
                <w:sz w:val="18"/>
                <w:szCs w:val="18"/>
              </w:rPr>
              <w:t xml:space="preserve">Como señala GSMA el precio del espectro radioeléctrico en México es de los más caros a nivel internacional y el más caro en América Latina, ya que representa alrededor del 12% de los ingresos anuales de la industria. De conformidad con sus cálculos, más del 80% del costo total de este recurso proviene de lo que debe pagarse por derechos anuales establecidos en la Ley Federal de Derechos. Según estimaciones de la industria de telecomunicaciones, con base en información del INEGI y reportes financieros de las empresas, en los últimos 4 años, la recaudación por derechos de espectro creció 13% sobre base anual en términos reales, considerablemente por encima de la inflación (4.8%) y del comportamiento de los ingresos de los operadores móviles (-3%). Estos datos expresan cómo el esquema de pago de derechos vigente en México establece cargas desproporcionadas que resultan incongruentes con las metas establecidas para el sector. </w:t>
            </w:r>
          </w:p>
          <w:p w14:paraId="6A99F41B" w14:textId="77777777" w:rsidR="00BC3F15" w:rsidRPr="00BC3F15" w:rsidRDefault="00BC3F15" w:rsidP="00AC4FB7">
            <w:pPr>
              <w:jc w:val="both"/>
              <w:rPr>
                <w:rFonts w:ascii="ITC Avant Garde" w:eastAsia="Calibri" w:hAnsi="ITC Avant Garde" w:cs="Times New Roman"/>
                <w:i/>
                <w:sz w:val="18"/>
                <w:szCs w:val="18"/>
              </w:rPr>
            </w:pPr>
          </w:p>
          <w:p w14:paraId="2F36A78C" w14:textId="77777777" w:rsidR="00BC3F15" w:rsidRDefault="00BC3F15" w:rsidP="00AC4FB7">
            <w:pPr>
              <w:jc w:val="both"/>
              <w:rPr>
                <w:rFonts w:ascii="ITC Avant Garde" w:eastAsia="Calibri" w:hAnsi="ITC Avant Garde" w:cs="Times New Roman"/>
                <w:i/>
                <w:sz w:val="18"/>
                <w:szCs w:val="18"/>
              </w:rPr>
            </w:pPr>
            <w:r w:rsidRPr="00BC3F15">
              <w:rPr>
                <w:rFonts w:ascii="ITC Avant Garde" w:eastAsia="Calibri" w:hAnsi="ITC Avant Garde" w:cs="Times New Roman"/>
                <w:i/>
                <w:sz w:val="18"/>
                <w:szCs w:val="18"/>
              </w:rPr>
              <w:t xml:space="preserve">Los altos costos del espectro en México tienen consecuencias económicas y sociales importantes para el país, derivadas del costo de oportunidad que implica no potenciar la realización de inversiones para el desarrollo digital y no aprovechar de forma óptima sus beneficios. Un estudio reciente de GSMA calcula que si México hubiese tenido derechos anuales de espectro en un valor promedio similar al regional, habría podido conectar a más de 10 millones de mexicanos a 3G y 5.5 millones a 4G al día de hoy. A su vez, ese mismo ajuste del costo del espectro podría haber mejorado la calidad de servicio que disfrutan actualmente los usuarios mexicanos en un </w:t>
            </w:r>
            <w:r w:rsidRPr="00BC3F15">
              <w:rPr>
                <w:rFonts w:ascii="ITC Avant Garde" w:eastAsia="Calibri" w:hAnsi="ITC Avant Garde" w:cs="Times New Roman"/>
                <w:i/>
                <w:sz w:val="18"/>
                <w:szCs w:val="18"/>
              </w:rPr>
              <w:lastRenderedPageBreak/>
              <w:t>66% (es decir: aumento de la velocidad promedio de descarga, par</w:t>
            </w:r>
            <w:r>
              <w:rPr>
                <w:rFonts w:ascii="ITC Avant Garde" w:eastAsia="Calibri" w:hAnsi="ITC Avant Garde" w:cs="Times New Roman"/>
                <w:i/>
                <w:sz w:val="18"/>
                <w:szCs w:val="18"/>
              </w:rPr>
              <w:t>a llegar a los 7Mbps promedio).</w:t>
            </w:r>
          </w:p>
          <w:p w14:paraId="5EC66360" w14:textId="77777777" w:rsidR="00BC3F15" w:rsidRPr="00BC3F15" w:rsidRDefault="00BC3F15" w:rsidP="00AC4FB7">
            <w:pPr>
              <w:jc w:val="both"/>
              <w:rPr>
                <w:rFonts w:ascii="ITC Avant Garde" w:eastAsia="Calibri" w:hAnsi="ITC Avant Garde" w:cs="Times New Roman"/>
                <w:i/>
                <w:sz w:val="18"/>
                <w:szCs w:val="18"/>
              </w:rPr>
            </w:pPr>
          </w:p>
          <w:p w14:paraId="7BDF3895" w14:textId="77777777" w:rsidR="00BC3F15" w:rsidRPr="00BC3F15" w:rsidRDefault="00BC3F15" w:rsidP="00AC4FB7">
            <w:pPr>
              <w:jc w:val="both"/>
              <w:rPr>
                <w:rFonts w:ascii="ITC Avant Garde" w:eastAsia="Calibri" w:hAnsi="ITC Avant Garde" w:cs="Times New Roman"/>
                <w:sz w:val="18"/>
                <w:szCs w:val="18"/>
              </w:rPr>
            </w:pPr>
            <w:r w:rsidRPr="00BC3F15">
              <w:rPr>
                <w:rFonts w:ascii="ITC Avant Garde" w:eastAsia="Calibri" w:hAnsi="ITC Avant Garde" w:cs="Times New Roman"/>
                <w:i/>
                <w:sz w:val="18"/>
                <w:szCs w:val="18"/>
              </w:rPr>
              <w:t xml:space="preserve">En este sentido, la implementación de instrumentos alternativos al pago de derechos, como el despliegue de proyectos de infraestructura que permitan ser tomados a cuenta como un porcentaje de estas contribuciones, hasta por un porcentaje del 80 por ciento del pago, de conformidad con lo propuesto por la industria en ocasiones anteriores, resultaría en beneficio de los objetivos de conectividad y de la población, principalmente en las zonas no conectadas.” </w:t>
            </w:r>
          </w:p>
        </w:tc>
        <w:tc>
          <w:tcPr>
            <w:tcW w:w="6946" w:type="dxa"/>
            <w:vMerge/>
            <w:vAlign w:val="center"/>
          </w:tcPr>
          <w:p w14:paraId="3D8A9CBF" w14:textId="77777777" w:rsidR="00BC3F15" w:rsidRPr="00BC3F15" w:rsidRDefault="00BC3F15" w:rsidP="00AC4FB7">
            <w:pPr>
              <w:jc w:val="both"/>
              <w:rPr>
                <w:rFonts w:ascii="ITC Avant Garde" w:eastAsia="Calibri" w:hAnsi="ITC Avant Garde" w:cs="Times New Roman"/>
                <w:sz w:val="18"/>
                <w:szCs w:val="18"/>
              </w:rPr>
            </w:pPr>
          </w:p>
        </w:tc>
      </w:tr>
      <w:tr w:rsidR="00BC3F15" w:rsidRPr="00BC3F15" w14:paraId="1A355453" w14:textId="77777777" w:rsidTr="00AC4FB7">
        <w:trPr>
          <w:trHeight w:val="113"/>
        </w:trPr>
        <w:tc>
          <w:tcPr>
            <w:tcW w:w="2553" w:type="dxa"/>
            <w:vMerge w:val="restart"/>
            <w:vAlign w:val="center"/>
          </w:tcPr>
          <w:p w14:paraId="2C28733A" w14:textId="19932B14" w:rsidR="00BC3F15" w:rsidRPr="00BC3F15" w:rsidRDefault="00586BBB" w:rsidP="00AC4FB7">
            <w:pPr>
              <w:jc w:val="center"/>
              <w:rPr>
                <w:rFonts w:ascii="ITC Avant Garde" w:eastAsia="Calibri" w:hAnsi="ITC Avant Garde" w:cs="Times New Roman"/>
                <w:b/>
                <w:sz w:val="18"/>
                <w:szCs w:val="18"/>
              </w:rPr>
            </w:pPr>
            <w:r>
              <w:rPr>
                <w:rFonts w:ascii="ITC Avant Garde" w:eastAsia="Calibri" w:hAnsi="ITC Avant Garde" w:cs="Times New Roman"/>
                <w:b/>
                <w:sz w:val="18"/>
                <w:szCs w:val="18"/>
              </w:rPr>
              <w:t>O</w:t>
            </w:r>
            <w:r w:rsidRPr="00BC3F15">
              <w:rPr>
                <w:rFonts w:ascii="ITC Avant Garde" w:eastAsia="Calibri" w:hAnsi="ITC Avant Garde" w:cs="Times New Roman"/>
                <w:b/>
                <w:sz w:val="18"/>
                <w:szCs w:val="18"/>
              </w:rPr>
              <w:t>tros comentarios, opiniones y aportaciones</w:t>
            </w:r>
          </w:p>
          <w:p w14:paraId="26D940FA" w14:textId="77777777" w:rsidR="00BC3F15" w:rsidRPr="00BC3F15" w:rsidRDefault="00BC3F15" w:rsidP="00AC4FB7">
            <w:pPr>
              <w:jc w:val="center"/>
              <w:rPr>
                <w:rFonts w:ascii="ITC Avant Garde" w:eastAsia="Calibri" w:hAnsi="ITC Avant Garde" w:cs="Times New Roman"/>
                <w:sz w:val="18"/>
                <w:szCs w:val="18"/>
              </w:rPr>
            </w:pPr>
          </w:p>
        </w:tc>
        <w:tc>
          <w:tcPr>
            <w:tcW w:w="8646" w:type="dxa"/>
            <w:vAlign w:val="center"/>
          </w:tcPr>
          <w:p w14:paraId="779E868A" w14:textId="77777777" w:rsidR="00BC3F15" w:rsidRPr="00BC3F15" w:rsidRDefault="00BC3F15" w:rsidP="00AC4FB7">
            <w:pPr>
              <w:jc w:val="both"/>
              <w:rPr>
                <w:rFonts w:ascii="ITC Avant Garde" w:eastAsia="Calibri" w:hAnsi="ITC Avant Garde" w:cs="Times New Roman"/>
                <w:b/>
                <w:sz w:val="18"/>
                <w:szCs w:val="18"/>
              </w:rPr>
            </w:pPr>
            <w:r w:rsidRPr="00BC3F15">
              <w:rPr>
                <w:rFonts w:ascii="ITC Avant Garde" w:eastAsia="Calibri" w:hAnsi="ITC Avant Garde" w:cs="Times New Roman"/>
                <w:b/>
                <w:sz w:val="18"/>
                <w:szCs w:val="18"/>
              </w:rPr>
              <w:t>Miguel Tentei Cortés Solórzano</w:t>
            </w:r>
          </w:p>
          <w:p w14:paraId="179C6687" w14:textId="77777777" w:rsidR="00BC3F15" w:rsidRPr="00BC3F15" w:rsidRDefault="00BC3F15" w:rsidP="00AC4FB7">
            <w:pPr>
              <w:jc w:val="both"/>
              <w:rPr>
                <w:rFonts w:ascii="ITC Avant Garde" w:eastAsia="Calibri" w:hAnsi="ITC Avant Garde" w:cs="Times New Roman"/>
                <w:b/>
                <w:sz w:val="18"/>
                <w:szCs w:val="18"/>
              </w:rPr>
            </w:pPr>
          </w:p>
          <w:p w14:paraId="66160F66" w14:textId="77777777" w:rsidR="00BC3F15" w:rsidRPr="00BC3F15" w:rsidRDefault="00BC3F15" w:rsidP="00AC4FB7">
            <w:pPr>
              <w:numPr>
                <w:ilvl w:val="0"/>
                <w:numId w:val="20"/>
              </w:numPr>
              <w:jc w:val="both"/>
              <w:rPr>
                <w:rFonts w:ascii="ITC Avant Garde" w:eastAsia="Calibri" w:hAnsi="ITC Avant Garde" w:cs="Times New Roman"/>
                <w:sz w:val="18"/>
                <w:szCs w:val="18"/>
              </w:rPr>
            </w:pPr>
            <w:r w:rsidRPr="00BC3F15">
              <w:rPr>
                <w:rFonts w:ascii="ITC Avant Garde" w:eastAsia="Calibri" w:hAnsi="ITC Avant Garde" w:cs="Times New Roman"/>
                <w:sz w:val="18"/>
                <w:szCs w:val="18"/>
              </w:rPr>
              <w:t>Se deben de dar los incentivos fiscales necesarios promotores de cobertura;</w:t>
            </w:r>
          </w:p>
          <w:p w14:paraId="7759AB65" w14:textId="77777777" w:rsidR="00BC3F15" w:rsidRPr="00BC3F15" w:rsidRDefault="00BC3F15" w:rsidP="00AC4FB7">
            <w:pPr>
              <w:numPr>
                <w:ilvl w:val="0"/>
                <w:numId w:val="20"/>
              </w:numPr>
              <w:jc w:val="both"/>
              <w:rPr>
                <w:rFonts w:ascii="ITC Avant Garde" w:eastAsia="Calibri" w:hAnsi="ITC Avant Garde" w:cs="Times New Roman"/>
                <w:sz w:val="18"/>
                <w:szCs w:val="18"/>
              </w:rPr>
            </w:pPr>
            <w:r w:rsidRPr="00BC3F15">
              <w:rPr>
                <w:rFonts w:ascii="ITC Avant Garde" w:eastAsia="Calibri" w:hAnsi="ITC Avant Garde" w:cs="Times New Roman"/>
                <w:sz w:val="18"/>
                <w:szCs w:val="18"/>
              </w:rPr>
              <w:t>Se debe de descartar el incremento de recaudación en la tenencia espectral;</w:t>
            </w:r>
          </w:p>
          <w:p w14:paraId="46113EBF" w14:textId="77777777" w:rsidR="00BC3F15" w:rsidRPr="00BC3F15" w:rsidRDefault="00BC3F15" w:rsidP="00AC4FB7">
            <w:pPr>
              <w:numPr>
                <w:ilvl w:val="0"/>
                <w:numId w:val="20"/>
              </w:numPr>
              <w:jc w:val="both"/>
              <w:rPr>
                <w:rFonts w:ascii="ITC Avant Garde" w:eastAsia="Calibri" w:hAnsi="ITC Avant Garde" w:cs="Times New Roman"/>
                <w:sz w:val="18"/>
                <w:szCs w:val="18"/>
              </w:rPr>
            </w:pPr>
            <w:r w:rsidRPr="00BC3F15">
              <w:rPr>
                <w:rFonts w:ascii="ITC Avant Garde" w:eastAsia="Calibri" w:hAnsi="ITC Avant Garde" w:cs="Times New Roman"/>
                <w:sz w:val="18"/>
                <w:szCs w:val="18"/>
              </w:rPr>
              <w:t>Se debe de dar certeza jurídica y un plan de continuidad transexenal 2020-2030;</w:t>
            </w:r>
          </w:p>
          <w:p w14:paraId="1EA1055F" w14:textId="77777777" w:rsidR="00BC3F15" w:rsidRPr="00BC3F15" w:rsidRDefault="00BC3F15" w:rsidP="00AC4FB7">
            <w:pPr>
              <w:numPr>
                <w:ilvl w:val="0"/>
                <w:numId w:val="20"/>
              </w:numPr>
              <w:jc w:val="both"/>
              <w:rPr>
                <w:rFonts w:ascii="ITC Avant Garde" w:eastAsia="Calibri" w:hAnsi="ITC Avant Garde" w:cs="Times New Roman"/>
                <w:sz w:val="18"/>
                <w:szCs w:val="18"/>
              </w:rPr>
            </w:pPr>
            <w:r w:rsidRPr="00BC3F15">
              <w:rPr>
                <w:rFonts w:ascii="ITC Avant Garde" w:eastAsia="Calibri" w:hAnsi="ITC Avant Garde" w:cs="Times New Roman"/>
                <w:sz w:val="18"/>
                <w:szCs w:val="18"/>
              </w:rPr>
              <w:t>Se debe de excluir al agente preponderante e impedir nuevos movimientos en el mercado secundario y,</w:t>
            </w:r>
          </w:p>
          <w:p w14:paraId="1F7EAE73" w14:textId="6A02DC40" w:rsidR="00BC3F15" w:rsidRPr="00BC3F15" w:rsidRDefault="00BC3F15" w:rsidP="00BC3F15">
            <w:pPr>
              <w:numPr>
                <w:ilvl w:val="0"/>
                <w:numId w:val="20"/>
              </w:numPr>
              <w:jc w:val="both"/>
              <w:rPr>
                <w:rFonts w:ascii="ITC Avant Garde" w:eastAsia="Calibri" w:hAnsi="ITC Avant Garde" w:cs="Times New Roman"/>
                <w:sz w:val="18"/>
                <w:szCs w:val="18"/>
              </w:rPr>
            </w:pPr>
            <w:r w:rsidRPr="00BC3F15">
              <w:rPr>
                <w:rFonts w:ascii="ITC Avant Garde" w:eastAsia="Calibri" w:hAnsi="ITC Avant Garde" w:cs="Times New Roman"/>
                <w:sz w:val="18"/>
                <w:szCs w:val="18"/>
              </w:rPr>
              <w:t>Se debe de hacer un único concurso y privilegiar la estandarización y continuidad.</w:t>
            </w:r>
          </w:p>
        </w:tc>
        <w:tc>
          <w:tcPr>
            <w:tcW w:w="6946" w:type="dxa"/>
            <w:vMerge w:val="restart"/>
            <w:vAlign w:val="center"/>
          </w:tcPr>
          <w:p w14:paraId="7C39FF4E" w14:textId="7C7C4C2F" w:rsidR="00BC3F15" w:rsidRDefault="00BC3F15" w:rsidP="00AC4FB7">
            <w:pPr>
              <w:jc w:val="both"/>
              <w:rPr>
                <w:rFonts w:ascii="ITC Avant Garde" w:eastAsia="Calibri" w:hAnsi="ITC Avant Garde" w:cs="Times New Roman"/>
                <w:sz w:val="18"/>
                <w:szCs w:val="18"/>
              </w:rPr>
            </w:pPr>
            <w:r w:rsidRPr="00BC3F15">
              <w:rPr>
                <w:rFonts w:ascii="ITC Avant Garde" w:eastAsia="Calibri" w:hAnsi="ITC Avant Garde" w:cs="Times New Roman"/>
                <w:sz w:val="18"/>
                <w:szCs w:val="18"/>
              </w:rPr>
              <w:t xml:space="preserve">Se agradece la participación en la consulta pública </w:t>
            </w:r>
            <w:r w:rsidRPr="00BC3F15" w:rsidDel="007F03F6">
              <w:rPr>
                <w:rFonts w:ascii="ITC Avant Garde" w:eastAsia="Calibri" w:hAnsi="ITC Avant Garde" w:cs="Times New Roman"/>
                <w:sz w:val="18"/>
                <w:szCs w:val="18"/>
              </w:rPr>
              <w:t xml:space="preserve">que </w:t>
            </w:r>
            <w:r w:rsidRPr="00BC3F15">
              <w:rPr>
                <w:rFonts w:ascii="ITC Avant Garde" w:eastAsia="Calibri" w:hAnsi="ITC Avant Garde" w:cs="Times New Roman"/>
                <w:sz w:val="18"/>
                <w:szCs w:val="18"/>
              </w:rPr>
              <w:t>permite al Instituto generar un espacio abierto e incluyente, con la intención de involucrar al público y fomentar en la sociedad el conocimiento del Proyecto que nos ocupa, a fin de lograr una participación activa en dicho procedimiento; y, permitir la interacción con los posibles interesados de manera abierta e incluyente, así como conocer su opinión sobre el Proyecto, a fin de obtener información y elementos que lo fortalezcan.</w:t>
            </w:r>
          </w:p>
          <w:p w14:paraId="478392AC" w14:textId="77777777" w:rsidR="00C31FAE" w:rsidRPr="00BC3F15" w:rsidRDefault="00C31FAE" w:rsidP="00AC4FB7">
            <w:pPr>
              <w:jc w:val="both"/>
              <w:rPr>
                <w:rFonts w:ascii="ITC Avant Garde" w:eastAsia="Calibri" w:hAnsi="ITC Avant Garde" w:cs="Times New Roman"/>
                <w:sz w:val="18"/>
                <w:szCs w:val="18"/>
              </w:rPr>
            </w:pPr>
          </w:p>
          <w:p w14:paraId="58044407" w14:textId="0ADD40C7" w:rsidR="00BC3F15" w:rsidRDefault="00BC3F15" w:rsidP="00AC4FB7">
            <w:pPr>
              <w:jc w:val="both"/>
              <w:rPr>
                <w:rFonts w:ascii="ITC Avant Garde" w:eastAsia="Calibri" w:hAnsi="ITC Avant Garde" w:cs="Times New Roman"/>
                <w:sz w:val="18"/>
                <w:szCs w:val="18"/>
              </w:rPr>
            </w:pPr>
            <w:r w:rsidRPr="00BC3F15">
              <w:rPr>
                <w:rFonts w:ascii="ITC Avant Garde" w:eastAsia="Calibri" w:hAnsi="ITC Avant Garde" w:cs="Times New Roman"/>
                <w:sz w:val="18"/>
                <w:szCs w:val="18"/>
              </w:rPr>
              <w:t xml:space="preserve">En relación con los comentarios de esta sección se manifiesta que, el </w:t>
            </w:r>
            <w:r w:rsidR="0060005B">
              <w:rPr>
                <w:rFonts w:ascii="ITC Avant Garde" w:eastAsia="Calibri" w:hAnsi="ITC Avant Garde" w:cs="Times New Roman"/>
                <w:sz w:val="18"/>
                <w:szCs w:val="18"/>
              </w:rPr>
              <w:t>Proyecto de Bases</w:t>
            </w:r>
            <w:r w:rsidRPr="00BC3F15">
              <w:rPr>
                <w:rFonts w:ascii="ITC Avant Garde" w:eastAsia="Calibri" w:hAnsi="ITC Avant Garde" w:cs="Times New Roman"/>
                <w:sz w:val="18"/>
                <w:szCs w:val="18"/>
              </w:rPr>
              <w:t xml:space="preserve"> de la licitación pública para concesionar el uso, aprovechamiento y explotación comercial de segmentos de espectro radioeléctrico disponibles en las Bandas de Frecuencias 814-824 / 859-869 MHz, 1755-1760 / 2155-2160 MHz, 1910-1915 / 1990-1995 MHz y 2500-2530 / 2620-2650 MHz para la prestación de servicios de Acceso Inalámbrico (Licitación No. IFT-10) incluye obligaciones de cobertura establecidas en su numeral 4 a cargo los participantes que resulten ganadores para llevar servicios móviles a localidades que actualmente se encuentran desatendida; contiene límites de acumulación de espectro, en su numeral 8, mediante los cuales se podrá restringir la participación de un Interesado o, en su caso, Participante cuando, de acuerdo al marco jurídico y a las determinaciones jurídico-económicas aplicables, su participación pueda significar un efecto adverso a la competencia y libre concurrencia o generar concentraciones de espectro radioeléctrico contrarias al interés público; en su numeral 15 prevé que la vigencia de la concesiones que se otorguen, en su caso, como resultado de esta licitación serán de 20 años, periodo máximo establecido en la Ley a fin de dar certeza jurídica y certeza a los participantes que obtengan uno o más títulos de concesión.</w:t>
            </w:r>
          </w:p>
          <w:p w14:paraId="2C96C6B2" w14:textId="45AE4B31" w:rsidR="001B1F60" w:rsidRDefault="001B1F60" w:rsidP="00AC4FB7">
            <w:pPr>
              <w:jc w:val="both"/>
              <w:rPr>
                <w:rFonts w:ascii="ITC Avant Garde" w:eastAsia="Calibri" w:hAnsi="ITC Avant Garde" w:cs="Times New Roman"/>
                <w:sz w:val="18"/>
                <w:szCs w:val="18"/>
              </w:rPr>
            </w:pPr>
          </w:p>
          <w:p w14:paraId="36B2A193" w14:textId="1C5B6E80" w:rsidR="00BC3F15" w:rsidRDefault="001B1F60" w:rsidP="00AC4FB7">
            <w:pPr>
              <w:jc w:val="both"/>
              <w:rPr>
                <w:rFonts w:ascii="ITC Avant Garde" w:eastAsia="Calibri" w:hAnsi="ITC Avant Garde" w:cs="Times New Roman"/>
                <w:sz w:val="18"/>
                <w:szCs w:val="18"/>
              </w:rPr>
            </w:pPr>
            <w:r>
              <w:rPr>
                <w:rFonts w:ascii="ITC Avant Garde" w:eastAsia="Calibri" w:hAnsi="ITC Avant Garde" w:cs="Times New Roman"/>
                <w:sz w:val="18"/>
                <w:szCs w:val="18"/>
              </w:rPr>
              <w:t xml:space="preserve">Adicionalmente, respecto a la propuesta de que se deben dar los incentivos fiscales para promover la cobertura, se informa que este Instituto en junio de 2020 propuso a la autoridad hacendaria un esquema de acreditación de nuevas inversiones para el despliegue de infraestructura y cobertura en localidades que actualmente no cuentan con servicios de Internet móvil </w:t>
            </w:r>
            <w:r>
              <w:rPr>
                <w:rFonts w:ascii="ITC Avant Garde" w:eastAsia="Calibri" w:hAnsi="ITC Avant Garde" w:cs="Times New Roman"/>
                <w:sz w:val="18"/>
                <w:szCs w:val="18"/>
              </w:rPr>
              <w:lastRenderedPageBreak/>
              <w:t>contra el pago de cuotas de derechos</w:t>
            </w:r>
            <w:r w:rsidR="00CF62B7">
              <w:rPr>
                <w:rFonts w:ascii="ITC Avant Garde" w:eastAsia="Calibri" w:hAnsi="ITC Avant Garde" w:cs="Times New Roman"/>
                <w:sz w:val="18"/>
                <w:szCs w:val="18"/>
              </w:rPr>
              <w:t>. Lo anterior, conforme a las atribuciones de las autoridades correspondientes.</w:t>
            </w:r>
          </w:p>
          <w:p w14:paraId="7AAADC9E" w14:textId="77777777" w:rsidR="00CF62B7" w:rsidRPr="00BC3F15" w:rsidRDefault="00CF62B7" w:rsidP="00AC4FB7">
            <w:pPr>
              <w:jc w:val="both"/>
              <w:rPr>
                <w:rFonts w:ascii="ITC Avant Garde" w:eastAsia="Calibri" w:hAnsi="ITC Avant Garde" w:cs="Times New Roman"/>
                <w:sz w:val="18"/>
                <w:szCs w:val="18"/>
              </w:rPr>
            </w:pPr>
          </w:p>
          <w:p w14:paraId="7DED66DB" w14:textId="7B47AD21" w:rsidR="00BC3F15" w:rsidRPr="00BC3F15" w:rsidRDefault="00BC3F15" w:rsidP="00AC4FB7">
            <w:pPr>
              <w:jc w:val="both"/>
              <w:rPr>
                <w:rFonts w:ascii="ITC Avant Garde" w:eastAsia="Calibri" w:hAnsi="ITC Avant Garde" w:cs="Times New Roman"/>
                <w:sz w:val="18"/>
                <w:szCs w:val="18"/>
              </w:rPr>
            </w:pPr>
            <w:r w:rsidRPr="00BC3F15">
              <w:rPr>
                <w:rFonts w:ascii="ITC Avant Garde" w:eastAsia="Calibri" w:hAnsi="ITC Avant Garde" w:cs="Times New Roman"/>
                <w:sz w:val="18"/>
                <w:szCs w:val="18"/>
              </w:rPr>
              <w:t xml:space="preserve">Asimismo, se informa que el procedimiento de presentación de ofertas, cuya mecánica se detalla en el Apéndice B del </w:t>
            </w:r>
            <w:r w:rsidR="0060005B">
              <w:rPr>
                <w:rFonts w:ascii="ITC Avant Garde" w:eastAsia="Calibri" w:hAnsi="ITC Avant Garde" w:cs="Times New Roman"/>
                <w:sz w:val="18"/>
                <w:szCs w:val="18"/>
              </w:rPr>
              <w:t>Proyecto de Bases</w:t>
            </w:r>
            <w:r w:rsidRPr="00BC3F15">
              <w:rPr>
                <w:rFonts w:ascii="ITC Avant Garde" w:eastAsia="Calibri" w:hAnsi="ITC Avant Garde" w:cs="Times New Roman"/>
                <w:sz w:val="18"/>
                <w:szCs w:val="18"/>
              </w:rPr>
              <w:t>, fue diseñado con el fin de lograr una asignación eficiente mediante las posturas que de manera libre ofrezca cada participante de acuerdo a su valuación, por lo que su objetivo principal no es el recaudatorio, lo que queda claramente establecido en la fórmula de valuación que considera incentivos de participación para nuevos competidores y concesionarios con bajo nivel de tenencia espectral, así como con el establecimiento de límites de acumulación de espectro.</w:t>
            </w:r>
          </w:p>
          <w:p w14:paraId="178FD353" w14:textId="77777777" w:rsidR="00BC3F15" w:rsidRPr="00BC3F15" w:rsidRDefault="00BC3F15" w:rsidP="00AC4FB7">
            <w:pPr>
              <w:jc w:val="both"/>
              <w:rPr>
                <w:rFonts w:ascii="ITC Avant Garde" w:eastAsia="Calibri" w:hAnsi="ITC Avant Garde" w:cs="Times New Roman"/>
                <w:sz w:val="18"/>
                <w:szCs w:val="18"/>
              </w:rPr>
            </w:pPr>
          </w:p>
          <w:p w14:paraId="18B21AD9" w14:textId="01A6F6F5" w:rsidR="00BC3F15" w:rsidRPr="00BC3F15" w:rsidRDefault="00BC3F15" w:rsidP="00BC3F15">
            <w:pPr>
              <w:jc w:val="both"/>
              <w:rPr>
                <w:rFonts w:ascii="ITC Avant Garde" w:eastAsia="Calibri" w:hAnsi="ITC Avant Garde" w:cs="Times New Roman"/>
                <w:sz w:val="18"/>
                <w:szCs w:val="18"/>
              </w:rPr>
            </w:pPr>
            <w:r w:rsidRPr="00BC3F15">
              <w:rPr>
                <w:rFonts w:ascii="ITC Avant Garde" w:eastAsia="Calibri" w:hAnsi="ITC Avant Garde" w:cs="Times New Roman"/>
                <w:sz w:val="18"/>
                <w:szCs w:val="18"/>
              </w:rPr>
              <w:t xml:space="preserve">Respecto a la posibilidad de participación, se comenta, en primer término, que las licitaciones </w:t>
            </w:r>
            <w:r w:rsidR="00614EC3">
              <w:rPr>
                <w:rFonts w:ascii="ITC Avant Garde" w:eastAsia="Calibri" w:hAnsi="ITC Avant Garde" w:cs="Times New Roman"/>
                <w:sz w:val="18"/>
                <w:szCs w:val="18"/>
              </w:rPr>
              <w:t>de espectro son procesos públicos y abierto</w:t>
            </w:r>
            <w:r w:rsidRPr="00BC3F15">
              <w:rPr>
                <w:rFonts w:ascii="ITC Avant Garde" w:eastAsia="Calibri" w:hAnsi="ITC Avant Garde" w:cs="Times New Roman"/>
                <w:sz w:val="18"/>
                <w:szCs w:val="18"/>
              </w:rPr>
              <w:t xml:space="preserve">s, en que puede participar cualquier interesado que cumpla con los requisitos que establecen las disposiciones legales y las propias bases de la licitación, acreditando sus capacidades técnicas, jurídicas y económicas, conforme lo establece la Ley Federal de Telecomunicaciones y Radiodifusión, en caso de que se tenga interés en una concesión para uso comercial. </w:t>
            </w:r>
          </w:p>
          <w:p w14:paraId="03BCC570" w14:textId="77777777" w:rsidR="00BC3F15" w:rsidRPr="00BC3F15" w:rsidRDefault="00BC3F15" w:rsidP="00BC3F15">
            <w:pPr>
              <w:jc w:val="both"/>
              <w:rPr>
                <w:rFonts w:ascii="ITC Avant Garde" w:eastAsia="Calibri" w:hAnsi="ITC Avant Garde" w:cs="Times New Roman"/>
                <w:sz w:val="18"/>
                <w:szCs w:val="18"/>
              </w:rPr>
            </w:pPr>
          </w:p>
          <w:p w14:paraId="7ECEBB26" w14:textId="643B1FB8" w:rsidR="00BC3F15" w:rsidRDefault="00BC3F15" w:rsidP="00BC3F15">
            <w:pPr>
              <w:jc w:val="both"/>
              <w:rPr>
                <w:rFonts w:ascii="ITC Avant Garde" w:eastAsia="Calibri" w:hAnsi="ITC Avant Garde" w:cs="Times New Roman"/>
                <w:sz w:val="18"/>
                <w:szCs w:val="18"/>
              </w:rPr>
            </w:pPr>
            <w:r w:rsidRPr="00BC3F15">
              <w:rPr>
                <w:rFonts w:ascii="ITC Avant Garde" w:eastAsia="Calibri" w:hAnsi="ITC Avant Garde" w:cs="Times New Roman"/>
                <w:sz w:val="18"/>
                <w:szCs w:val="18"/>
              </w:rPr>
              <w:t xml:space="preserve">No obstante, también existe la posibilidad de obtener concesiones de espectro para uso social, cuya asignación es directa, </w:t>
            </w:r>
            <w:r w:rsidR="00614EC3">
              <w:rPr>
                <w:rFonts w:ascii="ITC Avant Garde" w:eastAsia="Calibri" w:hAnsi="ITC Avant Garde" w:cs="Times New Roman"/>
                <w:sz w:val="18"/>
                <w:szCs w:val="18"/>
              </w:rPr>
              <w:t xml:space="preserve">conforme a lo establecido en la Ley Federal de </w:t>
            </w:r>
            <w:r w:rsidR="009B4393">
              <w:rPr>
                <w:rFonts w:ascii="ITC Avant Garde" w:eastAsia="Calibri" w:hAnsi="ITC Avant Garde" w:cs="Times New Roman"/>
                <w:sz w:val="18"/>
                <w:szCs w:val="18"/>
              </w:rPr>
              <w:t>Telecomunicaciones y</w:t>
            </w:r>
            <w:r w:rsidR="00614EC3">
              <w:rPr>
                <w:rFonts w:ascii="ITC Avant Garde" w:eastAsia="Calibri" w:hAnsi="ITC Avant Garde" w:cs="Times New Roman"/>
                <w:sz w:val="18"/>
                <w:szCs w:val="18"/>
              </w:rPr>
              <w:t xml:space="preserve"> Radiodifusión.</w:t>
            </w:r>
          </w:p>
          <w:p w14:paraId="3E6EC3D5" w14:textId="77777777" w:rsidR="00C31FAE" w:rsidRDefault="00C31FAE" w:rsidP="00BC3F15">
            <w:pPr>
              <w:jc w:val="both"/>
              <w:rPr>
                <w:rFonts w:ascii="ITC Avant Garde" w:eastAsia="Calibri" w:hAnsi="ITC Avant Garde" w:cs="Times New Roman"/>
                <w:sz w:val="18"/>
                <w:szCs w:val="18"/>
              </w:rPr>
            </w:pPr>
          </w:p>
          <w:p w14:paraId="7BEEFB8D" w14:textId="1F11CBD1" w:rsidR="00C31FAE" w:rsidRPr="00BC3F15" w:rsidRDefault="00C31FAE" w:rsidP="00C31FAE">
            <w:pPr>
              <w:jc w:val="both"/>
              <w:rPr>
                <w:rFonts w:ascii="ITC Avant Garde" w:eastAsia="Calibri" w:hAnsi="ITC Avant Garde" w:cs="Times New Roman"/>
                <w:sz w:val="18"/>
                <w:szCs w:val="18"/>
              </w:rPr>
            </w:pPr>
          </w:p>
        </w:tc>
      </w:tr>
      <w:tr w:rsidR="00BC3F15" w:rsidRPr="00BC3F15" w14:paraId="28A8E637" w14:textId="77777777" w:rsidTr="00AC4FB7">
        <w:trPr>
          <w:trHeight w:val="113"/>
        </w:trPr>
        <w:tc>
          <w:tcPr>
            <w:tcW w:w="2553" w:type="dxa"/>
            <w:vMerge/>
            <w:vAlign w:val="center"/>
          </w:tcPr>
          <w:p w14:paraId="0AF0B09F" w14:textId="77777777" w:rsidR="00BC3F15" w:rsidRPr="00BC3F15" w:rsidRDefault="00BC3F15" w:rsidP="00AC4FB7">
            <w:pPr>
              <w:jc w:val="both"/>
              <w:rPr>
                <w:rFonts w:ascii="ITC Avant Garde" w:eastAsia="Calibri" w:hAnsi="ITC Avant Garde" w:cs="Times New Roman"/>
                <w:sz w:val="18"/>
                <w:szCs w:val="18"/>
              </w:rPr>
            </w:pPr>
          </w:p>
        </w:tc>
        <w:tc>
          <w:tcPr>
            <w:tcW w:w="8646" w:type="dxa"/>
            <w:vAlign w:val="center"/>
          </w:tcPr>
          <w:p w14:paraId="4EB48DA4" w14:textId="77777777" w:rsidR="00BC3F15" w:rsidRPr="00BC3F15" w:rsidRDefault="00BC3F15" w:rsidP="00AC4FB7">
            <w:pPr>
              <w:jc w:val="both"/>
              <w:rPr>
                <w:rFonts w:ascii="ITC Avant Garde" w:eastAsia="Calibri" w:hAnsi="ITC Avant Garde" w:cs="Times New Roman"/>
                <w:b/>
                <w:sz w:val="18"/>
                <w:szCs w:val="18"/>
              </w:rPr>
            </w:pPr>
            <w:r w:rsidRPr="00BC3F15">
              <w:rPr>
                <w:rFonts w:ascii="ITC Avant Garde" w:eastAsia="Calibri" w:hAnsi="ITC Avant Garde" w:cs="Times New Roman"/>
                <w:b/>
                <w:sz w:val="18"/>
                <w:szCs w:val="18"/>
              </w:rPr>
              <w:t>José Otero</w:t>
            </w:r>
          </w:p>
          <w:p w14:paraId="7FAAAA29" w14:textId="77777777" w:rsidR="00BC3F15" w:rsidRPr="00BC3F15" w:rsidRDefault="00BC3F15" w:rsidP="00AC4FB7">
            <w:pPr>
              <w:jc w:val="both"/>
              <w:rPr>
                <w:rFonts w:ascii="ITC Avant Garde" w:eastAsia="Calibri" w:hAnsi="ITC Avant Garde" w:cs="Times New Roman"/>
                <w:sz w:val="18"/>
                <w:szCs w:val="18"/>
              </w:rPr>
            </w:pPr>
          </w:p>
          <w:p w14:paraId="514EE213" w14:textId="77777777" w:rsidR="00BC3F15" w:rsidRPr="00BC3F15" w:rsidRDefault="00BC3F15" w:rsidP="00AC4FB7">
            <w:pPr>
              <w:jc w:val="both"/>
              <w:rPr>
                <w:rFonts w:ascii="ITC Avant Garde" w:eastAsia="Calibri" w:hAnsi="ITC Avant Garde" w:cs="Times New Roman"/>
                <w:sz w:val="18"/>
                <w:szCs w:val="18"/>
              </w:rPr>
            </w:pPr>
            <w:r w:rsidRPr="00BC3F15">
              <w:rPr>
                <w:rFonts w:ascii="ITC Avant Garde" w:eastAsia="Calibri" w:hAnsi="ITC Avant Garde" w:cs="Times New Roman"/>
                <w:sz w:val="18"/>
                <w:szCs w:val="18"/>
              </w:rPr>
              <w:t xml:space="preserve">5G Américas es una asociación de la industria de telecomunicaciones que aboga por la promoción y desarrollo del ecosistema de tecnologías inalámbricas de banda ancha en las Américas. Para lograrlo tenemos como compromiso de trabajar con organismos gubernamentales, órganos regulatorios, órganos normalizadores y otras organizaciones mundiales de tecnologías inalámbricas de toda la región para promover e impartir conocimientos para la implantación exitosa de tecnologías inalámbricas de banda ancha, incluida la asignación del espectro adecuado y el desarrollo de políticas regulatorias coherentes, justas y efectivas. </w:t>
            </w:r>
          </w:p>
          <w:p w14:paraId="5A43E46B" w14:textId="77777777" w:rsidR="00BC3F15" w:rsidRPr="00BC3F15" w:rsidRDefault="00BC3F15" w:rsidP="00AC4FB7">
            <w:pPr>
              <w:jc w:val="both"/>
              <w:rPr>
                <w:rFonts w:ascii="ITC Avant Garde" w:eastAsia="Calibri" w:hAnsi="ITC Avant Garde" w:cs="Times New Roman"/>
                <w:sz w:val="18"/>
                <w:szCs w:val="18"/>
              </w:rPr>
            </w:pPr>
          </w:p>
          <w:p w14:paraId="799EBDD3" w14:textId="77777777" w:rsidR="00BC3F15" w:rsidRPr="00BC3F15" w:rsidRDefault="00BC3F15" w:rsidP="00AC4FB7">
            <w:pPr>
              <w:jc w:val="both"/>
              <w:rPr>
                <w:rFonts w:ascii="ITC Avant Garde" w:eastAsia="Calibri" w:hAnsi="ITC Avant Garde" w:cs="Times New Roman"/>
                <w:sz w:val="18"/>
                <w:szCs w:val="18"/>
              </w:rPr>
            </w:pPr>
            <w:r w:rsidRPr="00BC3F15">
              <w:rPr>
                <w:rFonts w:ascii="ITC Avant Garde" w:eastAsia="Calibri" w:hAnsi="ITC Avant Garde" w:cs="Times New Roman"/>
                <w:sz w:val="18"/>
                <w:szCs w:val="18"/>
              </w:rPr>
              <w:t xml:space="preserve">Nuestra asociación apoya las iniciativas regulatorias destinadas a promover el despliegue y desarrollo de servicios móviles avanzados en México y el resto de las Américas. Nuestros comentarios para esta consulta están fundamentados en las siguientes publicaciones de 5G Americas: </w:t>
            </w:r>
          </w:p>
          <w:p w14:paraId="59E54980" w14:textId="77777777" w:rsidR="00BC3F15" w:rsidRPr="00BC3F15" w:rsidRDefault="00BC3F15" w:rsidP="00AC4FB7">
            <w:pPr>
              <w:jc w:val="both"/>
              <w:rPr>
                <w:rFonts w:ascii="ITC Avant Garde" w:eastAsia="Calibri" w:hAnsi="ITC Avant Garde" w:cs="Times New Roman"/>
                <w:sz w:val="18"/>
                <w:szCs w:val="18"/>
              </w:rPr>
            </w:pPr>
            <w:r w:rsidRPr="00BC3F15">
              <w:rPr>
                <w:rFonts w:ascii="ITC Avant Garde" w:eastAsia="Calibri" w:hAnsi="ITC Avant Garde" w:cs="Times New Roman"/>
                <w:sz w:val="18"/>
                <w:szCs w:val="18"/>
              </w:rPr>
              <w:t>• “Análisis de las recomendaciones de espectro de la UIT en américa Latina 2020”. Junio de 2020.</w:t>
            </w:r>
          </w:p>
          <w:p w14:paraId="4C41AB76" w14:textId="77777777" w:rsidR="00BC3F15" w:rsidRPr="00BC3F15" w:rsidRDefault="00BC3F15" w:rsidP="00AC4FB7">
            <w:pPr>
              <w:jc w:val="both"/>
              <w:rPr>
                <w:rFonts w:ascii="ITC Avant Garde" w:eastAsia="Calibri" w:hAnsi="ITC Avant Garde" w:cs="Times New Roman"/>
                <w:sz w:val="18"/>
                <w:szCs w:val="18"/>
              </w:rPr>
            </w:pPr>
            <w:r w:rsidRPr="00BC3F15">
              <w:rPr>
                <w:rFonts w:ascii="ITC Avant Garde" w:eastAsia="Calibri" w:hAnsi="ITC Avant Garde" w:cs="Times New Roman"/>
                <w:sz w:val="18"/>
                <w:szCs w:val="18"/>
              </w:rPr>
              <w:t>• “Estatus de las bandas de espectro radioeléctrico de 600 MHz &amp; 700 MHz en América Latina”. Junio de 2020.</w:t>
            </w:r>
          </w:p>
          <w:p w14:paraId="0E5BA04B" w14:textId="77777777" w:rsidR="00BC3F15" w:rsidRPr="00BC3F15" w:rsidRDefault="00BC3F15" w:rsidP="00AC4FB7">
            <w:pPr>
              <w:jc w:val="both"/>
              <w:rPr>
                <w:rFonts w:ascii="ITC Avant Garde" w:eastAsia="Calibri" w:hAnsi="ITC Avant Garde" w:cs="Times New Roman"/>
                <w:sz w:val="18"/>
                <w:szCs w:val="18"/>
              </w:rPr>
            </w:pPr>
            <w:r w:rsidRPr="00BC3F15">
              <w:rPr>
                <w:rFonts w:ascii="ITC Avant Garde" w:eastAsia="Calibri" w:hAnsi="ITC Avant Garde" w:cs="Times New Roman"/>
                <w:sz w:val="18"/>
                <w:szCs w:val="18"/>
              </w:rPr>
              <w:t>• “Global 5G: Implications of a Transformational Technology”. Septiembre de 2019.</w:t>
            </w:r>
          </w:p>
          <w:p w14:paraId="6C21093A" w14:textId="77777777" w:rsidR="00BC3F15" w:rsidRPr="00BC3F15" w:rsidRDefault="00BC3F15" w:rsidP="00AC4FB7">
            <w:pPr>
              <w:jc w:val="both"/>
              <w:rPr>
                <w:rFonts w:ascii="ITC Avant Garde" w:eastAsia="Calibri" w:hAnsi="ITC Avant Garde" w:cs="Times New Roman"/>
                <w:sz w:val="18"/>
                <w:szCs w:val="18"/>
                <w:u w:val="single"/>
              </w:rPr>
            </w:pPr>
            <w:r w:rsidRPr="00BC3F15">
              <w:rPr>
                <w:rFonts w:ascii="ITC Avant Garde" w:eastAsia="Calibri" w:hAnsi="ITC Avant Garde" w:cs="Times New Roman"/>
                <w:sz w:val="18"/>
                <w:szCs w:val="18"/>
              </w:rPr>
              <w:t xml:space="preserve">• “Estado de las Bandas de Espectro Radioeléctrico en América Latina: 600 MHz, 700 MHz, 2300 MHz, 2500 MHz y 3500 MHz”. Julio de 2019.Los reportes de 5G Americas están disponibles para su consulta en los sitios www.brechacero.com y </w:t>
            </w:r>
            <w:hyperlink r:id="rId19" w:history="1">
              <w:r w:rsidRPr="00BC3F15">
                <w:rPr>
                  <w:rFonts w:ascii="ITC Avant Garde" w:eastAsia="Calibri" w:hAnsi="ITC Avant Garde" w:cs="Times New Roman"/>
                  <w:color w:val="0563C1"/>
                  <w:sz w:val="18"/>
                  <w:szCs w:val="18"/>
                  <w:u w:val="single"/>
                </w:rPr>
                <w:t>www.5gamericas.org</w:t>
              </w:r>
            </w:hyperlink>
          </w:p>
        </w:tc>
        <w:tc>
          <w:tcPr>
            <w:tcW w:w="6946" w:type="dxa"/>
            <w:vMerge/>
            <w:vAlign w:val="center"/>
          </w:tcPr>
          <w:p w14:paraId="4A6BE7D0" w14:textId="77777777" w:rsidR="00BC3F15" w:rsidRPr="00BC3F15" w:rsidRDefault="00BC3F15" w:rsidP="00AC4FB7">
            <w:pPr>
              <w:jc w:val="both"/>
              <w:rPr>
                <w:rFonts w:ascii="ITC Avant Garde" w:eastAsia="Calibri" w:hAnsi="ITC Avant Garde" w:cs="Times New Roman"/>
                <w:sz w:val="18"/>
                <w:szCs w:val="18"/>
              </w:rPr>
            </w:pPr>
          </w:p>
        </w:tc>
      </w:tr>
      <w:tr w:rsidR="00BC3F15" w:rsidRPr="00BC3F15" w14:paraId="1AEA8199" w14:textId="77777777" w:rsidTr="00AC4FB7">
        <w:trPr>
          <w:trHeight w:val="113"/>
        </w:trPr>
        <w:tc>
          <w:tcPr>
            <w:tcW w:w="2553" w:type="dxa"/>
            <w:vMerge/>
            <w:vAlign w:val="center"/>
          </w:tcPr>
          <w:p w14:paraId="729482AD" w14:textId="77777777" w:rsidR="00BC3F15" w:rsidRPr="00BC3F15" w:rsidRDefault="00BC3F15" w:rsidP="00AC4FB7">
            <w:pPr>
              <w:jc w:val="both"/>
              <w:rPr>
                <w:rFonts w:ascii="ITC Avant Garde" w:eastAsia="Calibri" w:hAnsi="ITC Avant Garde" w:cs="Times New Roman"/>
                <w:sz w:val="18"/>
                <w:szCs w:val="18"/>
              </w:rPr>
            </w:pPr>
          </w:p>
        </w:tc>
        <w:tc>
          <w:tcPr>
            <w:tcW w:w="8646" w:type="dxa"/>
            <w:vAlign w:val="center"/>
          </w:tcPr>
          <w:p w14:paraId="4666179D" w14:textId="77777777" w:rsidR="00BC3F15" w:rsidRPr="00BC3F15" w:rsidRDefault="00BC3F15" w:rsidP="00AC4FB7">
            <w:pPr>
              <w:jc w:val="both"/>
              <w:rPr>
                <w:rFonts w:ascii="ITC Avant Garde" w:eastAsia="Calibri" w:hAnsi="ITC Avant Garde" w:cs="Times New Roman"/>
                <w:b/>
                <w:sz w:val="18"/>
                <w:szCs w:val="18"/>
              </w:rPr>
            </w:pPr>
            <w:r w:rsidRPr="00BC3F15">
              <w:rPr>
                <w:rFonts w:ascii="ITC Avant Garde" w:eastAsia="Calibri" w:hAnsi="ITC Avant Garde" w:cs="Times New Roman"/>
                <w:b/>
                <w:sz w:val="18"/>
                <w:szCs w:val="18"/>
              </w:rPr>
              <w:t>Isaid Arellano Valencia</w:t>
            </w:r>
          </w:p>
          <w:p w14:paraId="55A4CA1C" w14:textId="77777777" w:rsidR="00BC3F15" w:rsidRPr="00BC3F15" w:rsidRDefault="00BC3F15" w:rsidP="00AC4FB7">
            <w:pPr>
              <w:jc w:val="both"/>
              <w:rPr>
                <w:rFonts w:ascii="ITC Avant Garde" w:eastAsia="Calibri" w:hAnsi="ITC Avant Garde" w:cs="Times New Roman"/>
                <w:sz w:val="18"/>
                <w:szCs w:val="18"/>
              </w:rPr>
            </w:pPr>
          </w:p>
          <w:p w14:paraId="2DEA797A" w14:textId="77777777" w:rsidR="00BC3F15" w:rsidRPr="00BC3F15" w:rsidRDefault="00BC3F15" w:rsidP="00AC4FB7">
            <w:pPr>
              <w:jc w:val="both"/>
              <w:rPr>
                <w:rFonts w:ascii="ITC Avant Garde" w:eastAsia="Calibri" w:hAnsi="ITC Avant Garde" w:cs="Times New Roman"/>
                <w:sz w:val="18"/>
                <w:szCs w:val="18"/>
              </w:rPr>
            </w:pPr>
            <w:r w:rsidRPr="00BC3F15">
              <w:rPr>
                <w:rFonts w:ascii="ITC Avant Garde" w:eastAsia="Calibri" w:hAnsi="ITC Avant Garde" w:cs="Times New Roman"/>
                <w:sz w:val="18"/>
                <w:szCs w:val="18"/>
              </w:rPr>
              <w:lastRenderedPageBreak/>
              <w:t>Es que, a las zonas rurales, como la mía Ciudad Serdán en el Estado de Puebla, nos den la oportunidad de participar. JUSTIFICACIÓN: Estas zonas son las más olvidadas y hay jóvenes que tenemos visión y ganas por salir adelante.</w:t>
            </w:r>
          </w:p>
          <w:p w14:paraId="174306FA" w14:textId="77777777" w:rsidR="00BC3F15" w:rsidRPr="00BC3F15" w:rsidRDefault="00BC3F15" w:rsidP="00AC4FB7">
            <w:pPr>
              <w:jc w:val="both"/>
              <w:rPr>
                <w:rFonts w:ascii="ITC Avant Garde" w:eastAsia="Calibri" w:hAnsi="ITC Avant Garde" w:cs="Times New Roman"/>
                <w:sz w:val="18"/>
                <w:szCs w:val="18"/>
              </w:rPr>
            </w:pPr>
          </w:p>
          <w:p w14:paraId="016F6D81" w14:textId="7205692C" w:rsidR="00BC3F15" w:rsidRPr="00BC3F15" w:rsidRDefault="00BC3F15" w:rsidP="00AC4FB7">
            <w:pPr>
              <w:jc w:val="both"/>
              <w:rPr>
                <w:rFonts w:ascii="ITC Avant Garde" w:eastAsia="Calibri" w:hAnsi="ITC Avant Garde" w:cs="Times New Roman"/>
                <w:sz w:val="18"/>
                <w:szCs w:val="18"/>
              </w:rPr>
            </w:pPr>
            <w:r w:rsidRPr="00BC3F15">
              <w:rPr>
                <w:rFonts w:ascii="ITC Avant Garde" w:eastAsia="Calibri" w:hAnsi="ITC Avant Garde" w:cs="Times New Roman"/>
                <w:sz w:val="18"/>
                <w:szCs w:val="18"/>
              </w:rPr>
              <w:t xml:space="preserve">Lo veo muy bien es la primera ocasión que el Gobierno Federal realiza </w:t>
            </w:r>
            <w:r w:rsidR="009D54C5" w:rsidRPr="00BC3F15">
              <w:rPr>
                <w:rFonts w:ascii="ITC Avant Garde" w:eastAsia="Calibri" w:hAnsi="ITC Avant Garde" w:cs="Times New Roman"/>
                <w:sz w:val="18"/>
                <w:szCs w:val="18"/>
              </w:rPr>
              <w:t>este</w:t>
            </w:r>
            <w:r w:rsidRPr="00BC3F15">
              <w:rPr>
                <w:rFonts w:ascii="ITC Avant Garde" w:eastAsia="Calibri" w:hAnsi="ITC Avant Garde" w:cs="Times New Roman"/>
                <w:sz w:val="18"/>
                <w:szCs w:val="18"/>
              </w:rPr>
              <w:t xml:space="preserve"> tipo de consultas, ya que cualquier ciudadano específicamente de zonas rurales podemos participar. </w:t>
            </w:r>
            <w:r w:rsidRPr="00BC3F15">
              <w:rPr>
                <w:rFonts w:ascii="ITC Avant Garde" w:eastAsia="Calibri" w:hAnsi="ITC Avant Garde" w:cs="Times New Roman"/>
                <w:i/>
                <w:sz w:val="18"/>
                <w:szCs w:val="18"/>
              </w:rPr>
              <w:t>(Sic.)</w:t>
            </w:r>
          </w:p>
          <w:p w14:paraId="2AC8A8AF" w14:textId="77777777" w:rsidR="00BC3F15" w:rsidRPr="00BC3F15" w:rsidRDefault="00BC3F15" w:rsidP="00AC4FB7">
            <w:pPr>
              <w:jc w:val="both"/>
              <w:rPr>
                <w:rFonts w:ascii="ITC Avant Garde" w:eastAsia="Calibri" w:hAnsi="ITC Avant Garde" w:cs="Times New Roman"/>
                <w:sz w:val="18"/>
                <w:szCs w:val="18"/>
              </w:rPr>
            </w:pPr>
          </w:p>
          <w:p w14:paraId="6EFC0B9A" w14:textId="77777777" w:rsidR="00BC3F15" w:rsidRPr="00BC3F15" w:rsidRDefault="00BC3F15" w:rsidP="00AC4FB7">
            <w:pPr>
              <w:jc w:val="both"/>
              <w:rPr>
                <w:rFonts w:ascii="ITC Avant Garde" w:eastAsia="Calibri" w:hAnsi="ITC Avant Garde" w:cs="Times New Roman"/>
                <w:sz w:val="18"/>
                <w:szCs w:val="18"/>
              </w:rPr>
            </w:pPr>
            <w:r w:rsidRPr="00BC3F15">
              <w:rPr>
                <w:rFonts w:ascii="ITC Avant Garde" w:eastAsia="Calibri" w:hAnsi="ITC Avant Garde" w:cs="Times New Roman"/>
                <w:sz w:val="18"/>
                <w:szCs w:val="18"/>
              </w:rPr>
              <w:t xml:space="preserve">Es que, a las zonas rurales, como la mía Ciudad Serdán en el Estado de Puebla, nos den la oportunidad de participar. JUSTIFICACIÓN: Estas zonas son las más olvidadas y hay jóvenes que tenemos visión y ganas por salir adelante. </w:t>
            </w:r>
            <w:r w:rsidRPr="00BC3F15">
              <w:rPr>
                <w:rFonts w:ascii="ITC Avant Garde" w:eastAsia="Calibri" w:hAnsi="ITC Avant Garde" w:cs="Times New Roman"/>
                <w:i/>
                <w:sz w:val="18"/>
                <w:szCs w:val="18"/>
              </w:rPr>
              <w:t>(Sic.)</w:t>
            </w:r>
          </w:p>
          <w:p w14:paraId="565609F8" w14:textId="77777777" w:rsidR="00BC3F15" w:rsidRPr="00BC3F15" w:rsidRDefault="00BC3F15" w:rsidP="00AC4FB7">
            <w:pPr>
              <w:jc w:val="both"/>
              <w:rPr>
                <w:rFonts w:ascii="ITC Avant Garde" w:eastAsia="Calibri" w:hAnsi="ITC Avant Garde" w:cs="Times New Roman"/>
                <w:sz w:val="18"/>
                <w:szCs w:val="18"/>
              </w:rPr>
            </w:pPr>
          </w:p>
          <w:p w14:paraId="3DC94A6F" w14:textId="77777777" w:rsidR="00BC3F15" w:rsidRPr="00BC3F15" w:rsidRDefault="00BC3F15" w:rsidP="00AC4FB7">
            <w:pPr>
              <w:jc w:val="both"/>
              <w:rPr>
                <w:rFonts w:ascii="ITC Avant Garde" w:eastAsia="Calibri" w:hAnsi="ITC Avant Garde" w:cs="Times New Roman"/>
                <w:sz w:val="18"/>
                <w:szCs w:val="18"/>
              </w:rPr>
            </w:pPr>
            <w:r w:rsidRPr="00BC3F15">
              <w:rPr>
                <w:rFonts w:ascii="ITC Avant Garde" w:eastAsia="Calibri" w:hAnsi="ITC Avant Garde" w:cs="Times New Roman"/>
                <w:sz w:val="18"/>
                <w:szCs w:val="18"/>
              </w:rPr>
              <w:t xml:space="preserve">Que nos den la oportunidad a las zonas que siempre queremos participar, ya que la dependencia argumenta que no existe espectro aéreo. </w:t>
            </w:r>
            <w:r w:rsidRPr="00BC3F15">
              <w:rPr>
                <w:rFonts w:ascii="ITC Avant Garde" w:eastAsia="Calibri" w:hAnsi="ITC Avant Garde" w:cs="Times New Roman"/>
                <w:i/>
                <w:sz w:val="18"/>
                <w:szCs w:val="18"/>
              </w:rPr>
              <w:t>(Sic.)</w:t>
            </w:r>
          </w:p>
          <w:p w14:paraId="6E3947E8" w14:textId="77777777" w:rsidR="00BC3F15" w:rsidRPr="00BC3F15" w:rsidRDefault="00BC3F15" w:rsidP="00AC4FB7">
            <w:pPr>
              <w:jc w:val="both"/>
              <w:rPr>
                <w:rFonts w:ascii="ITC Avant Garde" w:eastAsia="Calibri" w:hAnsi="ITC Avant Garde" w:cs="Times New Roman"/>
                <w:sz w:val="18"/>
                <w:szCs w:val="18"/>
              </w:rPr>
            </w:pPr>
          </w:p>
          <w:p w14:paraId="26888957" w14:textId="77777777" w:rsidR="00BC3F15" w:rsidRPr="00BC3F15" w:rsidRDefault="00BC3F15" w:rsidP="00AC4FB7">
            <w:pPr>
              <w:jc w:val="both"/>
              <w:rPr>
                <w:rFonts w:ascii="ITC Avant Garde" w:eastAsia="Calibri" w:hAnsi="ITC Avant Garde" w:cs="Times New Roman"/>
                <w:sz w:val="18"/>
                <w:szCs w:val="18"/>
              </w:rPr>
            </w:pPr>
            <w:r w:rsidRPr="00BC3F15">
              <w:rPr>
                <w:rFonts w:ascii="ITC Avant Garde" w:eastAsia="Calibri" w:hAnsi="ITC Avant Garde" w:cs="Times New Roman"/>
                <w:sz w:val="18"/>
                <w:szCs w:val="18"/>
              </w:rPr>
              <w:t>Me parece bien que se haga una consulta para que cualquier ciudadano pueda participar.</w:t>
            </w:r>
          </w:p>
          <w:p w14:paraId="5F09A466" w14:textId="1B640232" w:rsidR="00BC3F15" w:rsidRPr="00BC3F15" w:rsidRDefault="00BC3F15" w:rsidP="00AC4FB7">
            <w:pPr>
              <w:jc w:val="both"/>
              <w:rPr>
                <w:rFonts w:ascii="ITC Avant Garde" w:eastAsia="Calibri" w:hAnsi="ITC Avant Garde" w:cs="Times New Roman"/>
                <w:sz w:val="18"/>
                <w:szCs w:val="18"/>
              </w:rPr>
            </w:pPr>
            <w:r w:rsidRPr="00BC3F15">
              <w:rPr>
                <w:rFonts w:ascii="ITC Avant Garde" w:eastAsia="Calibri" w:hAnsi="ITC Avant Garde" w:cs="Times New Roman"/>
                <w:sz w:val="18"/>
                <w:szCs w:val="18"/>
              </w:rPr>
              <w:t xml:space="preserve">Que permitan que más ciudadanos verse beneficiados con estas </w:t>
            </w:r>
            <w:r w:rsidR="009D54C5" w:rsidRPr="00BC3F15">
              <w:rPr>
                <w:rFonts w:ascii="ITC Avant Garde" w:eastAsia="Calibri" w:hAnsi="ITC Avant Garde" w:cs="Times New Roman"/>
                <w:sz w:val="18"/>
                <w:szCs w:val="18"/>
              </w:rPr>
              <w:t>concesiones</w:t>
            </w:r>
            <w:r w:rsidRPr="00BC3F15">
              <w:rPr>
                <w:rFonts w:ascii="ITC Avant Garde" w:eastAsia="Calibri" w:hAnsi="ITC Avant Garde" w:cs="Times New Roman"/>
                <w:sz w:val="18"/>
                <w:szCs w:val="18"/>
              </w:rPr>
              <w:t xml:space="preserve"> o permisos.</w:t>
            </w:r>
            <w:r w:rsidRPr="00BC3F15">
              <w:rPr>
                <w:rFonts w:ascii="ITC Avant Garde" w:eastAsia="Calibri" w:hAnsi="ITC Avant Garde" w:cs="Times New Roman"/>
                <w:i/>
                <w:sz w:val="18"/>
                <w:szCs w:val="18"/>
              </w:rPr>
              <w:t xml:space="preserve"> (Sic.)</w:t>
            </w:r>
          </w:p>
          <w:p w14:paraId="0FF4B613" w14:textId="77777777" w:rsidR="00BC3F15" w:rsidRPr="00BC3F15" w:rsidRDefault="00BC3F15" w:rsidP="00AC4FB7">
            <w:pPr>
              <w:jc w:val="both"/>
              <w:rPr>
                <w:rFonts w:ascii="ITC Avant Garde" w:eastAsia="Calibri" w:hAnsi="ITC Avant Garde" w:cs="Times New Roman"/>
                <w:sz w:val="18"/>
                <w:szCs w:val="18"/>
              </w:rPr>
            </w:pPr>
          </w:p>
          <w:p w14:paraId="39F9A249" w14:textId="77777777" w:rsidR="00BC3F15" w:rsidRPr="00BC3F15" w:rsidRDefault="00BC3F15" w:rsidP="00AC4FB7">
            <w:pPr>
              <w:jc w:val="both"/>
              <w:rPr>
                <w:rFonts w:ascii="ITC Avant Garde" w:eastAsia="Calibri" w:hAnsi="ITC Avant Garde" w:cs="Times New Roman"/>
                <w:sz w:val="18"/>
                <w:szCs w:val="18"/>
              </w:rPr>
            </w:pPr>
            <w:r w:rsidRPr="00BC3F15">
              <w:rPr>
                <w:rFonts w:ascii="ITC Avant Garde" w:eastAsia="Calibri" w:hAnsi="ITC Avant Garde" w:cs="Times New Roman"/>
                <w:sz w:val="18"/>
                <w:szCs w:val="18"/>
              </w:rPr>
              <w:t>Que nos permitan participar y que nos den oportunidad por favor.</w:t>
            </w:r>
          </w:p>
          <w:p w14:paraId="38D3AAE1" w14:textId="7FDE861F" w:rsidR="00BC3F15" w:rsidRPr="00BC3F15" w:rsidRDefault="00BC3F15" w:rsidP="00AC4FB7">
            <w:pPr>
              <w:jc w:val="both"/>
              <w:rPr>
                <w:rFonts w:ascii="ITC Avant Garde" w:eastAsia="Calibri" w:hAnsi="ITC Avant Garde" w:cs="Times New Roman"/>
                <w:sz w:val="18"/>
                <w:szCs w:val="18"/>
              </w:rPr>
            </w:pPr>
            <w:r w:rsidRPr="00BC3F15">
              <w:rPr>
                <w:rFonts w:ascii="ITC Avant Garde" w:eastAsia="Calibri" w:hAnsi="ITC Avant Garde" w:cs="Times New Roman"/>
                <w:sz w:val="18"/>
                <w:szCs w:val="18"/>
              </w:rPr>
              <w:t>Denme la oportunidad de participar.</w:t>
            </w:r>
          </w:p>
        </w:tc>
        <w:tc>
          <w:tcPr>
            <w:tcW w:w="6946" w:type="dxa"/>
            <w:vMerge/>
            <w:vAlign w:val="center"/>
          </w:tcPr>
          <w:p w14:paraId="2B4F43D8" w14:textId="77777777" w:rsidR="00BC3F15" w:rsidRPr="00BC3F15" w:rsidRDefault="00BC3F15" w:rsidP="00AC4FB7">
            <w:pPr>
              <w:jc w:val="both"/>
              <w:rPr>
                <w:rFonts w:ascii="ITC Avant Garde" w:eastAsia="Calibri" w:hAnsi="ITC Avant Garde" w:cs="Times New Roman"/>
                <w:sz w:val="18"/>
                <w:szCs w:val="18"/>
              </w:rPr>
            </w:pPr>
          </w:p>
        </w:tc>
      </w:tr>
    </w:tbl>
    <w:p w14:paraId="08EDE507" w14:textId="77777777" w:rsidR="00460C0E" w:rsidRPr="001C153C" w:rsidRDefault="00460C0E" w:rsidP="00EA5CE7">
      <w:pPr>
        <w:spacing w:after="0" w:line="240" w:lineRule="auto"/>
        <w:jc w:val="both"/>
        <w:rPr>
          <w:rFonts w:ascii="ITC Avant Garde" w:hAnsi="ITC Avant Garde" w:cs="Arial"/>
          <w:b/>
          <w:sz w:val="20"/>
          <w:szCs w:val="20"/>
        </w:rPr>
      </w:pPr>
    </w:p>
    <w:sectPr w:rsidR="00460C0E" w:rsidRPr="001C153C" w:rsidSect="00925CCA">
      <w:headerReference w:type="default" r:id="rId20"/>
      <w:pgSz w:w="20160" w:h="12240" w:orient="landscape" w:code="5"/>
      <w:pgMar w:top="1134" w:right="3119" w:bottom="1134"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787E3B" w14:textId="77777777" w:rsidR="005579D9" w:rsidRDefault="005579D9" w:rsidP="00406DF7">
      <w:pPr>
        <w:spacing w:after="0" w:line="240" w:lineRule="auto"/>
      </w:pPr>
      <w:r>
        <w:separator/>
      </w:r>
    </w:p>
  </w:endnote>
  <w:endnote w:type="continuationSeparator" w:id="0">
    <w:p w14:paraId="53D48D26" w14:textId="77777777" w:rsidR="005579D9" w:rsidRDefault="005579D9" w:rsidP="00406DF7">
      <w:pPr>
        <w:spacing w:after="0" w:line="240" w:lineRule="auto"/>
      </w:pPr>
      <w:r>
        <w:continuationSeparator/>
      </w:r>
    </w:p>
  </w:endnote>
  <w:endnote w:type="continuationNotice" w:id="1">
    <w:p w14:paraId="231538E4" w14:textId="77777777" w:rsidR="005579D9" w:rsidRDefault="005579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ITC Avant Garde">
    <w:altName w:val="Avant Garde"/>
    <w:panose1 w:val="020B0402020203020304"/>
    <w:charset w:val="00"/>
    <w:family w:val="swiss"/>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vant Garde">
    <w:altName w:val="Century Gothic"/>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ITC Avant Garde" w:hAnsi="ITC Avant Garde"/>
      </w:rPr>
      <w:id w:val="-911163014"/>
      <w:docPartObj>
        <w:docPartGallery w:val="Page Numbers (Bottom of Page)"/>
        <w:docPartUnique/>
      </w:docPartObj>
    </w:sdtPr>
    <w:sdtEndPr>
      <w:rPr>
        <w:rFonts w:cs="Arial"/>
        <w:sz w:val="18"/>
        <w:szCs w:val="18"/>
      </w:rPr>
    </w:sdtEndPr>
    <w:sdtContent>
      <w:p w14:paraId="29C7E6B8" w14:textId="058EF550" w:rsidR="005579D9" w:rsidRPr="00EA5CE7" w:rsidRDefault="005579D9">
        <w:pPr>
          <w:pStyle w:val="Piedepgina"/>
          <w:jc w:val="right"/>
          <w:rPr>
            <w:rFonts w:ascii="ITC Avant Garde" w:hAnsi="ITC Avant Garde" w:cs="Arial"/>
            <w:sz w:val="18"/>
            <w:szCs w:val="18"/>
          </w:rPr>
        </w:pPr>
        <w:r w:rsidRPr="00EA5CE7">
          <w:rPr>
            <w:rFonts w:ascii="ITC Avant Garde" w:hAnsi="ITC Avant Garde" w:cs="Arial"/>
            <w:sz w:val="18"/>
            <w:szCs w:val="18"/>
          </w:rPr>
          <w:fldChar w:fldCharType="begin"/>
        </w:r>
        <w:r w:rsidRPr="00EA5CE7">
          <w:rPr>
            <w:rFonts w:ascii="ITC Avant Garde" w:hAnsi="ITC Avant Garde" w:cs="Arial"/>
            <w:sz w:val="18"/>
            <w:szCs w:val="18"/>
          </w:rPr>
          <w:instrText>PAGE   \* MERGEFORMAT</w:instrText>
        </w:r>
        <w:r w:rsidRPr="00EA5CE7">
          <w:rPr>
            <w:rFonts w:ascii="ITC Avant Garde" w:hAnsi="ITC Avant Garde" w:cs="Arial"/>
            <w:sz w:val="18"/>
            <w:szCs w:val="18"/>
          </w:rPr>
          <w:fldChar w:fldCharType="separate"/>
        </w:r>
        <w:r w:rsidR="004C31D5" w:rsidRPr="004C31D5">
          <w:rPr>
            <w:rFonts w:ascii="ITC Avant Garde" w:hAnsi="ITC Avant Garde" w:cs="Arial"/>
            <w:noProof/>
            <w:sz w:val="18"/>
            <w:szCs w:val="18"/>
            <w:lang w:val="es-ES"/>
          </w:rPr>
          <w:t>1</w:t>
        </w:r>
        <w:r w:rsidRPr="00EA5CE7">
          <w:rPr>
            <w:rFonts w:ascii="ITC Avant Garde" w:hAnsi="ITC Avant Garde" w:cs="Arial"/>
            <w:sz w:val="18"/>
            <w:szCs w:val="18"/>
          </w:rPr>
          <w:fldChar w:fldCharType="end"/>
        </w:r>
      </w:p>
    </w:sdtContent>
  </w:sdt>
  <w:p w14:paraId="667B0B14" w14:textId="77777777" w:rsidR="005579D9" w:rsidRPr="00EA5CE7" w:rsidRDefault="005579D9">
    <w:pPr>
      <w:pStyle w:val="Piedepgina"/>
      <w:rPr>
        <w:rFonts w:ascii="ITC Avant Garde" w:hAnsi="ITC Avant Gard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326E9C" w14:textId="77777777" w:rsidR="005579D9" w:rsidRDefault="005579D9" w:rsidP="00406DF7">
      <w:pPr>
        <w:spacing w:after="0" w:line="240" w:lineRule="auto"/>
      </w:pPr>
      <w:r>
        <w:separator/>
      </w:r>
    </w:p>
  </w:footnote>
  <w:footnote w:type="continuationSeparator" w:id="0">
    <w:p w14:paraId="6C639264" w14:textId="77777777" w:rsidR="005579D9" w:rsidRDefault="005579D9" w:rsidP="00406DF7">
      <w:pPr>
        <w:spacing w:after="0" w:line="240" w:lineRule="auto"/>
      </w:pPr>
      <w:r>
        <w:continuationSeparator/>
      </w:r>
    </w:p>
  </w:footnote>
  <w:footnote w:type="continuationNotice" w:id="1">
    <w:p w14:paraId="241EDE70" w14:textId="77777777" w:rsidR="005579D9" w:rsidRDefault="005579D9">
      <w:pPr>
        <w:spacing w:after="0" w:line="240" w:lineRule="auto"/>
      </w:pPr>
    </w:p>
  </w:footnote>
  <w:footnote w:id="2">
    <w:p w14:paraId="5B8D1C4F" w14:textId="77777777" w:rsidR="00021816" w:rsidRPr="003C14A2" w:rsidRDefault="00021816" w:rsidP="00021816">
      <w:pPr>
        <w:pStyle w:val="Textonotapie"/>
        <w:rPr>
          <w:rFonts w:ascii="ITC Avant Garde" w:hAnsi="ITC Avant Garde"/>
          <w:sz w:val="16"/>
        </w:rPr>
      </w:pPr>
      <w:r w:rsidRPr="003C14A2">
        <w:rPr>
          <w:rStyle w:val="Refdenotaalpie"/>
          <w:rFonts w:ascii="ITC Avant Garde" w:hAnsi="ITC Avant Garde"/>
          <w:sz w:val="16"/>
        </w:rPr>
        <w:footnoteRef/>
      </w:r>
      <w:r w:rsidRPr="003C14A2">
        <w:rPr>
          <w:rFonts w:ascii="ITC Avant Garde" w:hAnsi="ITC Avant Garde"/>
          <w:sz w:val="16"/>
        </w:rPr>
        <w:t xml:space="preserve"> Véase: </w:t>
      </w:r>
    </w:p>
    <w:p w14:paraId="4F83E874" w14:textId="77777777" w:rsidR="00021816" w:rsidRPr="003C14A2" w:rsidRDefault="00021816" w:rsidP="00021816">
      <w:pPr>
        <w:pStyle w:val="Textonotapie"/>
        <w:numPr>
          <w:ilvl w:val="0"/>
          <w:numId w:val="27"/>
        </w:numPr>
        <w:rPr>
          <w:rFonts w:ascii="ITC Avant Garde" w:hAnsi="ITC Avant Garde"/>
          <w:sz w:val="16"/>
        </w:rPr>
      </w:pPr>
      <w:hyperlink r:id="rId1" w:history="1">
        <w:r w:rsidRPr="003C14A2">
          <w:rPr>
            <w:rStyle w:val="Hipervnculo"/>
            <w:rFonts w:ascii="ITC Avant Garde" w:hAnsi="ITC Avant Garde"/>
            <w:sz w:val="16"/>
          </w:rPr>
          <w:t>http://apps.ift.org.mx/publicdata/VP_P_IFT_EXT_290415_86_Acc.pdf</w:t>
        </w:r>
      </w:hyperlink>
      <w:r w:rsidRPr="003C14A2">
        <w:rPr>
          <w:rFonts w:ascii="ITC Avant Garde" w:hAnsi="ITC Avant Garde"/>
          <w:sz w:val="16"/>
        </w:rPr>
        <w:t>;</w:t>
      </w:r>
    </w:p>
    <w:p w14:paraId="1279773F" w14:textId="77777777" w:rsidR="00021816" w:rsidRPr="003C14A2" w:rsidRDefault="00021816" w:rsidP="00021816">
      <w:pPr>
        <w:pStyle w:val="Textonotapie"/>
        <w:numPr>
          <w:ilvl w:val="0"/>
          <w:numId w:val="27"/>
        </w:numPr>
        <w:rPr>
          <w:rFonts w:ascii="ITC Avant Garde" w:hAnsi="ITC Avant Garde"/>
          <w:sz w:val="16"/>
        </w:rPr>
      </w:pPr>
      <w:hyperlink r:id="rId2" w:history="1">
        <w:r w:rsidRPr="003C14A2">
          <w:rPr>
            <w:rStyle w:val="Hipervnculo"/>
            <w:rFonts w:ascii="ITC Avant Garde" w:hAnsi="ITC Avant Garde"/>
            <w:sz w:val="16"/>
          </w:rPr>
          <w:t>http://apps.ift.org.mx/publicdata/Version_Publica_UCE_270417_221.pdf</w:t>
        </w:r>
      </w:hyperlink>
      <w:r w:rsidRPr="003C14A2">
        <w:rPr>
          <w:rFonts w:ascii="ITC Avant Garde" w:hAnsi="ITC Avant Garde"/>
          <w:sz w:val="16"/>
        </w:rPr>
        <w:t xml:space="preserve">, y </w:t>
      </w:r>
    </w:p>
    <w:p w14:paraId="58E05BD7" w14:textId="77777777" w:rsidR="00021816" w:rsidRPr="003C14A2" w:rsidRDefault="00021816" w:rsidP="00021816">
      <w:pPr>
        <w:pStyle w:val="Textonotapie"/>
        <w:numPr>
          <w:ilvl w:val="0"/>
          <w:numId w:val="27"/>
        </w:numPr>
        <w:rPr>
          <w:rFonts w:ascii="ITC Avant Garde" w:hAnsi="ITC Avant Garde"/>
          <w:sz w:val="16"/>
          <w:lang w:val="es-MX"/>
        </w:rPr>
      </w:pPr>
      <w:hyperlink r:id="rId3" w:history="1">
        <w:r w:rsidRPr="003C14A2">
          <w:rPr>
            <w:rStyle w:val="Hipervnculo"/>
            <w:rFonts w:ascii="ITC Avant Garde" w:hAnsi="ITC Avant Garde"/>
            <w:sz w:val="16"/>
          </w:rPr>
          <w:t>http://apps.ift.org.mx/publicdata/VP_170620_177_Acc.pdf</w:t>
        </w:r>
      </w:hyperlink>
      <w:r w:rsidRPr="003C14A2">
        <w:rPr>
          <w:rFonts w:ascii="ITC Avant Garde" w:hAnsi="ITC Avant Garde"/>
          <w:sz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C4885" w14:textId="77777777" w:rsidR="005579D9" w:rsidRDefault="004C31D5">
    <w:pPr>
      <w:pStyle w:val="Encabezado"/>
    </w:pPr>
    <w:r>
      <w:rPr>
        <w:noProof/>
        <w:lang w:eastAsia="es-MX"/>
      </w:rPr>
      <w:pict w14:anchorId="5454F8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2623469" o:spid="_x0000_s2092" type="#_x0000_t75" style="position:absolute;margin-left:0;margin-top:0;width:612pt;height:11in;z-index:-251658239;mso-position-horizontal:center;mso-position-horizontal-relative:margin;mso-position-vertical:center;mso-position-vertical-relative:margin" o:allowincell="f">
          <v:imagedata r:id="rId1" o:title="Hoja mem 2020_bost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52CA3" w14:textId="77777777" w:rsidR="005579D9" w:rsidRDefault="004C31D5">
    <w:pPr>
      <w:pStyle w:val="Encabezado"/>
    </w:pPr>
    <w:r>
      <w:rPr>
        <w:noProof/>
        <w:lang w:eastAsia="es-MX"/>
      </w:rPr>
      <w:pict w14:anchorId="5ADA4C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2623470" o:spid="_x0000_s2093" type="#_x0000_t75" style="position:absolute;margin-left:-56.7pt;margin-top:-155.85pt;width:612pt;height:11in;z-index:-251658238;mso-position-horizontal-relative:margin;mso-position-vertical-relative:margin" o:allowincell="f">
          <v:imagedata r:id="rId1" o:title="Hoja mem 2020_bostó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AE0322" w14:textId="77777777" w:rsidR="005579D9" w:rsidRDefault="004C31D5">
    <w:pPr>
      <w:pStyle w:val="Encabezado"/>
    </w:pPr>
    <w:r>
      <w:rPr>
        <w:noProof/>
        <w:lang w:eastAsia="es-MX"/>
      </w:rPr>
      <w:pict w14:anchorId="03AB59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92623468" o:spid="_x0000_s2091" type="#_x0000_t75" style="position:absolute;margin-left:0;margin-top:0;width:612pt;height:11in;z-index:-251658240;mso-position-horizontal:center;mso-position-horizontal-relative:margin;mso-position-vertical:center;mso-position-vertical-relative:margin" o:allowincell="f">
          <v:imagedata r:id="rId1" o:title="Hoja mem 2020_bostón"/>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605DD" w14:textId="0BFB971B" w:rsidR="005579D9" w:rsidRDefault="005579D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45CE4"/>
    <w:multiLevelType w:val="hybridMultilevel"/>
    <w:tmpl w:val="6EF62C6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331AE6"/>
    <w:multiLevelType w:val="hybridMultilevel"/>
    <w:tmpl w:val="FC40BA74"/>
    <w:lvl w:ilvl="0" w:tplc="8F28940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F059C5"/>
    <w:multiLevelType w:val="hybridMultilevel"/>
    <w:tmpl w:val="117894FC"/>
    <w:lvl w:ilvl="0" w:tplc="3060231A">
      <w:start w:val="1"/>
      <w:numFmt w:val="bullet"/>
      <w:pStyle w:val="Listaconvietas"/>
      <w:lvlText w:val=""/>
      <w:lvlJc w:val="left"/>
      <w:pPr>
        <w:ind w:left="720" w:hanging="360"/>
      </w:pPr>
      <w:rPr>
        <w:rFonts w:ascii="Symbol" w:hAnsi="Symbol" w:hint="default"/>
        <w:color w:val="C0504D" w:themeColor="accent2"/>
        <w:u w:color="4F81BD"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944B63"/>
    <w:multiLevelType w:val="hybridMultilevel"/>
    <w:tmpl w:val="AD60B288"/>
    <w:lvl w:ilvl="0" w:tplc="080A0019">
      <w:start w:val="1"/>
      <w:numFmt w:val="lowerLetter"/>
      <w:lvlText w:val="%1."/>
      <w:lvlJc w:val="left"/>
      <w:pPr>
        <w:ind w:left="1074" w:hanging="360"/>
      </w:pPr>
    </w:lvl>
    <w:lvl w:ilvl="1" w:tplc="080A0019" w:tentative="1">
      <w:start w:val="1"/>
      <w:numFmt w:val="lowerLetter"/>
      <w:lvlText w:val="%2."/>
      <w:lvlJc w:val="left"/>
      <w:pPr>
        <w:ind w:left="1794" w:hanging="360"/>
      </w:pPr>
    </w:lvl>
    <w:lvl w:ilvl="2" w:tplc="080A001B" w:tentative="1">
      <w:start w:val="1"/>
      <w:numFmt w:val="lowerRoman"/>
      <w:lvlText w:val="%3."/>
      <w:lvlJc w:val="right"/>
      <w:pPr>
        <w:ind w:left="2514" w:hanging="180"/>
      </w:pPr>
    </w:lvl>
    <w:lvl w:ilvl="3" w:tplc="080A000F" w:tentative="1">
      <w:start w:val="1"/>
      <w:numFmt w:val="decimal"/>
      <w:lvlText w:val="%4."/>
      <w:lvlJc w:val="left"/>
      <w:pPr>
        <w:ind w:left="3234" w:hanging="360"/>
      </w:pPr>
    </w:lvl>
    <w:lvl w:ilvl="4" w:tplc="080A0019" w:tentative="1">
      <w:start w:val="1"/>
      <w:numFmt w:val="lowerLetter"/>
      <w:lvlText w:val="%5."/>
      <w:lvlJc w:val="left"/>
      <w:pPr>
        <w:ind w:left="3954" w:hanging="360"/>
      </w:pPr>
    </w:lvl>
    <w:lvl w:ilvl="5" w:tplc="080A001B" w:tentative="1">
      <w:start w:val="1"/>
      <w:numFmt w:val="lowerRoman"/>
      <w:lvlText w:val="%6."/>
      <w:lvlJc w:val="right"/>
      <w:pPr>
        <w:ind w:left="4674" w:hanging="180"/>
      </w:pPr>
    </w:lvl>
    <w:lvl w:ilvl="6" w:tplc="080A000F" w:tentative="1">
      <w:start w:val="1"/>
      <w:numFmt w:val="decimal"/>
      <w:lvlText w:val="%7."/>
      <w:lvlJc w:val="left"/>
      <w:pPr>
        <w:ind w:left="5394" w:hanging="360"/>
      </w:pPr>
    </w:lvl>
    <w:lvl w:ilvl="7" w:tplc="080A0019" w:tentative="1">
      <w:start w:val="1"/>
      <w:numFmt w:val="lowerLetter"/>
      <w:lvlText w:val="%8."/>
      <w:lvlJc w:val="left"/>
      <w:pPr>
        <w:ind w:left="6114" w:hanging="360"/>
      </w:pPr>
    </w:lvl>
    <w:lvl w:ilvl="8" w:tplc="080A001B" w:tentative="1">
      <w:start w:val="1"/>
      <w:numFmt w:val="lowerRoman"/>
      <w:lvlText w:val="%9."/>
      <w:lvlJc w:val="right"/>
      <w:pPr>
        <w:ind w:left="6834" w:hanging="180"/>
      </w:pPr>
    </w:lvl>
  </w:abstractNum>
  <w:abstractNum w:abstractNumId="4" w15:restartNumberingAfterBreak="0">
    <w:nsid w:val="06DC67E1"/>
    <w:multiLevelType w:val="hybridMultilevel"/>
    <w:tmpl w:val="F46EB9BA"/>
    <w:lvl w:ilvl="0" w:tplc="080A0017">
      <w:start w:val="1"/>
      <w:numFmt w:val="lowerLetter"/>
      <w:lvlText w:val="%1)"/>
      <w:lvlJc w:val="left"/>
      <w:pPr>
        <w:ind w:left="-336" w:hanging="360"/>
      </w:pPr>
    </w:lvl>
    <w:lvl w:ilvl="1" w:tplc="080A0013">
      <w:start w:val="1"/>
      <w:numFmt w:val="upperRoman"/>
      <w:lvlText w:val="%2."/>
      <w:lvlJc w:val="right"/>
      <w:pPr>
        <w:ind w:left="384" w:hanging="360"/>
      </w:pPr>
    </w:lvl>
    <w:lvl w:ilvl="2" w:tplc="080A001B">
      <w:start w:val="1"/>
      <w:numFmt w:val="lowerRoman"/>
      <w:lvlText w:val="%3."/>
      <w:lvlJc w:val="right"/>
      <w:pPr>
        <w:ind w:left="1104" w:hanging="180"/>
      </w:pPr>
    </w:lvl>
    <w:lvl w:ilvl="3" w:tplc="080A000F">
      <w:start w:val="1"/>
      <w:numFmt w:val="decimal"/>
      <w:lvlText w:val="%4."/>
      <w:lvlJc w:val="left"/>
      <w:pPr>
        <w:ind w:left="1824" w:hanging="360"/>
      </w:pPr>
    </w:lvl>
    <w:lvl w:ilvl="4" w:tplc="080A0019">
      <w:start w:val="1"/>
      <w:numFmt w:val="lowerLetter"/>
      <w:lvlText w:val="%5."/>
      <w:lvlJc w:val="left"/>
      <w:pPr>
        <w:ind w:left="2544" w:hanging="360"/>
      </w:pPr>
    </w:lvl>
    <w:lvl w:ilvl="5" w:tplc="080A001B">
      <w:start w:val="1"/>
      <w:numFmt w:val="lowerRoman"/>
      <w:lvlText w:val="%6."/>
      <w:lvlJc w:val="right"/>
      <w:pPr>
        <w:ind w:left="3264" w:hanging="180"/>
      </w:pPr>
    </w:lvl>
    <w:lvl w:ilvl="6" w:tplc="080A000F">
      <w:start w:val="1"/>
      <w:numFmt w:val="decimal"/>
      <w:lvlText w:val="%7."/>
      <w:lvlJc w:val="left"/>
      <w:pPr>
        <w:ind w:left="3984" w:hanging="360"/>
      </w:pPr>
    </w:lvl>
    <w:lvl w:ilvl="7" w:tplc="080A0019">
      <w:start w:val="1"/>
      <w:numFmt w:val="lowerLetter"/>
      <w:lvlText w:val="%8."/>
      <w:lvlJc w:val="left"/>
      <w:pPr>
        <w:ind w:left="4704" w:hanging="360"/>
      </w:pPr>
    </w:lvl>
    <w:lvl w:ilvl="8" w:tplc="080A001B">
      <w:start w:val="1"/>
      <w:numFmt w:val="lowerRoman"/>
      <w:lvlText w:val="%9."/>
      <w:lvlJc w:val="right"/>
      <w:pPr>
        <w:ind w:left="5424" w:hanging="180"/>
      </w:pPr>
    </w:lvl>
  </w:abstractNum>
  <w:abstractNum w:abstractNumId="5" w15:restartNumberingAfterBreak="0">
    <w:nsid w:val="073D6136"/>
    <w:multiLevelType w:val="multilevel"/>
    <w:tmpl w:val="FA3C8DDE"/>
    <w:lvl w:ilvl="0">
      <w:start w:val="8"/>
      <w:numFmt w:val="decimal"/>
      <w:lvlText w:val="%1."/>
      <w:lvlJc w:val="left"/>
      <w:pPr>
        <w:ind w:left="928"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8334B47"/>
    <w:multiLevelType w:val="hybridMultilevel"/>
    <w:tmpl w:val="6B064700"/>
    <w:lvl w:ilvl="0" w:tplc="3C9475D4">
      <w:start w:val="1"/>
      <w:numFmt w:val="upperRoman"/>
      <w:lvlText w:val="%1."/>
      <w:lvlJc w:val="left"/>
      <w:pPr>
        <w:ind w:left="1428" w:hanging="360"/>
      </w:pPr>
      <w:rPr>
        <w:rFonts w:hint="default"/>
        <w:b/>
        <w:i w:val="0"/>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7" w15:restartNumberingAfterBreak="0">
    <w:nsid w:val="1A1E2BD2"/>
    <w:multiLevelType w:val="hybridMultilevel"/>
    <w:tmpl w:val="FC54CD46"/>
    <w:lvl w:ilvl="0" w:tplc="E4F2C1A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9C4B65"/>
    <w:multiLevelType w:val="hybridMultilevel"/>
    <w:tmpl w:val="46F46370"/>
    <w:lvl w:ilvl="0" w:tplc="FD7891A8">
      <w:start w:val="1"/>
      <w:numFmt w:val="upperRoman"/>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61F2E31"/>
    <w:multiLevelType w:val="hybridMultilevel"/>
    <w:tmpl w:val="0510994A"/>
    <w:lvl w:ilvl="0" w:tplc="62640990">
      <w:start w:val="2"/>
      <w:numFmt w:val="upperRoman"/>
      <w:lvlText w:val="%1."/>
      <w:lvlJc w:val="left"/>
      <w:pPr>
        <w:ind w:left="1068" w:hanging="360"/>
      </w:pPr>
      <w:rPr>
        <w:rFonts w:hint="default"/>
        <w:b/>
        <w:i w:val="0"/>
      </w:rPr>
    </w:lvl>
    <w:lvl w:ilvl="1" w:tplc="45CAE9A2">
      <w:start w:val="1"/>
      <w:numFmt w:val="lowerLetter"/>
      <w:lvlText w:val="%2."/>
      <w:lvlJc w:val="left"/>
      <w:pPr>
        <w:ind w:left="1788" w:hanging="360"/>
      </w:pPr>
      <w:rPr>
        <w:rFonts w:hint="default"/>
        <w:b/>
      </w:r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15:restartNumberingAfterBreak="0">
    <w:nsid w:val="2BFC1B73"/>
    <w:multiLevelType w:val="hybridMultilevel"/>
    <w:tmpl w:val="98E61A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4D877FF"/>
    <w:multiLevelType w:val="hybridMultilevel"/>
    <w:tmpl w:val="633EA9D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4AB708CB"/>
    <w:multiLevelType w:val="hybridMultilevel"/>
    <w:tmpl w:val="D7708BC4"/>
    <w:lvl w:ilvl="0" w:tplc="4FDC18DA">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47E1CCB"/>
    <w:multiLevelType w:val="hybridMultilevel"/>
    <w:tmpl w:val="369A0468"/>
    <w:lvl w:ilvl="0" w:tplc="7A74282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74A6DD0"/>
    <w:multiLevelType w:val="hybridMultilevel"/>
    <w:tmpl w:val="012075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B5B010D"/>
    <w:multiLevelType w:val="hybridMultilevel"/>
    <w:tmpl w:val="0EC29958"/>
    <w:lvl w:ilvl="0" w:tplc="5C12B522">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C697285"/>
    <w:multiLevelType w:val="hybridMultilevel"/>
    <w:tmpl w:val="C29C87D8"/>
    <w:lvl w:ilvl="0" w:tplc="080A000F">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F895F7A"/>
    <w:multiLevelType w:val="hybridMultilevel"/>
    <w:tmpl w:val="C29C87D8"/>
    <w:lvl w:ilvl="0" w:tplc="080A000F">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0F157A9"/>
    <w:multiLevelType w:val="hybridMultilevel"/>
    <w:tmpl w:val="51021DB6"/>
    <w:lvl w:ilvl="0" w:tplc="9CD880FE">
      <w:start w:val="10"/>
      <w:numFmt w:val="bullet"/>
      <w:lvlText w:val="-"/>
      <w:lvlJc w:val="left"/>
      <w:pPr>
        <w:ind w:left="720" w:hanging="360"/>
      </w:pPr>
      <w:rPr>
        <w:rFonts w:ascii="ITC Avant Garde" w:eastAsia="Calibri" w:hAnsi="ITC Avant Gard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5F35FE6"/>
    <w:multiLevelType w:val="hybridMultilevel"/>
    <w:tmpl w:val="74F8E3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997103E"/>
    <w:multiLevelType w:val="hybridMultilevel"/>
    <w:tmpl w:val="2AB85C46"/>
    <w:lvl w:ilvl="0" w:tplc="080A0001">
      <w:start w:val="1"/>
      <w:numFmt w:val="bullet"/>
      <w:lvlText w:val=""/>
      <w:lvlJc w:val="left"/>
      <w:pPr>
        <w:ind w:left="720" w:hanging="360"/>
      </w:pPr>
      <w:rPr>
        <w:rFonts w:ascii="Symbol" w:hAnsi="Symbol" w:hint="default"/>
      </w:rPr>
    </w:lvl>
    <w:lvl w:ilvl="1" w:tplc="68CE0B38">
      <w:numFmt w:val="bullet"/>
      <w:lvlText w:val="•"/>
      <w:lvlJc w:val="left"/>
      <w:pPr>
        <w:ind w:left="1440" w:hanging="360"/>
      </w:pPr>
      <w:rPr>
        <w:rFonts w:ascii="ITC Avant Garde" w:eastAsia="MS Mincho" w:hAnsi="ITC Avant Garde"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A337508"/>
    <w:multiLevelType w:val="hybridMultilevel"/>
    <w:tmpl w:val="0428C2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C2E5FD8"/>
    <w:multiLevelType w:val="hybridMultilevel"/>
    <w:tmpl w:val="3362B5FC"/>
    <w:lvl w:ilvl="0" w:tplc="080A000F">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0A66572"/>
    <w:multiLevelType w:val="hybridMultilevel"/>
    <w:tmpl w:val="DFC65488"/>
    <w:lvl w:ilvl="0" w:tplc="3CF28C7E">
      <w:start w:val="1"/>
      <w:numFmt w:val="decimal"/>
      <w:lvlText w:val="8.%1"/>
      <w:lvlJc w:val="left"/>
      <w:pPr>
        <w:ind w:left="1287"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671139A"/>
    <w:multiLevelType w:val="hybridMultilevel"/>
    <w:tmpl w:val="E0720FCC"/>
    <w:lvl w:ilvl="0" w:tplc="8C169DA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E903036"/>
    <w:multiLevelType w:val="hybridMultilevel"/>
    <w:tmpl w:val="8BC446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E931FE3"/>
    <w:multiLevelType w:val="hybridMultilevel"/>
    <w:tmpl w:val="DDC8BB96"/>
    <w:lvl w:ilvl="0" w:tplc="6F9AD11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20"/>
  </w:num>
  <w:num w:numId="3">
    <w:abstractNumId w:val="16"/>
  </w:num>
  <w:num w:numId="4">
    <w:abstractNumId w:val="12"/>
  </w:num>
  <w:num w:numId="5">
    <w:abstractNumId w:val="19"/>
  </w:num>
  <w:num w:numId="6">
    <w:abstractNumId w:val="24"/>
  </w:num>
  <w:num w:numId="7">
    <w:abstractNumId w:val="13"/>
  </w:num>
  <w:num w:numId="8">
    <w:abstractNumId w:val="18"/>
  </w:num>
  <w:num w:numId="9">
    <w:abstractNumId w:val="15"/>
  </w:num>
  <w:num w:numId="10">
    <w:abstractNumId w:val="25"/>
  </w:num>
  <w:num w:numId="11">
    <w:abstractNumId w:val="6"/>
  </w:num>
  <w:num w:numId="12">
    <w:abstractNumId w:val="9"/>
  </w:num>
  <w:num w:numId="13">
    <w:abstractNumId w:val="22"/>
  </w:num>
  <w:num w:numId="14">
    <w:abstractNumId w:val="21"/>
  </w:num>
  <w:num w:numId="15">
    <w:abstractNumId w:val="0"/>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8"/>
  </w:num>
  <w:num w:numId="20">
    <w:abstractNumId w:val="17"/>
  </w:num>
  <w:num w:numId="21">
    <w:abstractNumId w:val="23"/>
  </w:num>
  <w:num w:numId="22">
    <w:abstractNumId w:val="5"/>
  </w:num>
  <w:num w:numId="23">
    <w:abstractNumId w:val="7"/>
  </w:num>
  <w:num w:numId="24">
    <w:abstractNumId w:val="1"/>
  </w:num>
  <w:num w:numId="25">
    <w:abstractNumId w:val="3"/>
  </w:num>
  <w:num w:numId="26">
    <w:abstractNumId w:val="26"/>
  </w:num>
  <w:num w:numId="27">
    <w:abstractNumId w:val="14"/>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doNotDisplayPageBoundaries/>
  <w:defaultTabStop w:val="708"/>
  <w:hyphenationZone w:val="425"/>
  <w:characterSpacingControl w:val="doNotCompress"/>
  <w:hdrShapeDefaults>
    <o:shapedefaults v:ext="edit" spidmax="2094"/>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6DF7"/>
    <w:rsid w:val="000019BD"/>
    <w:rsid w:val="00004A15"/>
    <w:rsid w:val="0000608D"/>
    <w:rsid w:val="00007AB5"/>
    <w:rsid w:val="0001336E"/>
    <w:rsid w:val="00014ECF"/>
    <w:rsid w:val="0001709F"/>
    <w:rsid w:val="000174A5"/>
    <w:rsid w:val="00020D81"/>
    <w:rsid w:val="00021816"/>
    <w:rsid w:val="000218ED"/>
    <w:rsid w:val="0002713F"/>
    <w:rsid w:val="00030517"/>
    <w:rsid w:val="00032F6E"/>
    <w:rsid w:val="0004030D"/>
    <w:rsid w:val="00052E6D"/>
    <w:rsid w:val="000564D7"/>
    <w:rsid w:val="0006570D"/>
    <w:rsid w:val="00077B99"/>
    <w:rsid w:val="00083808"/>
    <w:rsid w:val="00084D0C"/>
    <w:rsid w:val="0009401C"/>
    <w:rsid w:val="0009534C"/>
    <w:rsid w:val="000B0611"/>
    <w:rsid w:val="000B0954"/>
    <w:rsid w:val="000B1B52"/>
    <w:rsid w:val="000B5263"/>
    <w:rsid w:val="000C0F54"/>
    <w:rsid w:val="000C518B"/>
    <w:rsid w:val="000D2F08"/>
    <w:rsid w:val="000D448D"/>
    <w:rsid w:val="000E087D"/>
    <w:rsid w:val="000E34AF"/>
    <w:rsid w:val="000F2279"/>
    <w:rsid w:val="000F41EB"/>
    <w:rsid w:val="00106820"/>
    <w:rsid w:val="00111389"/>
    <w:rsid w:val="00111945"/>
    <w:rsid w:val="001219E9"/>
    <w:rsid w:val="001221C6"/>
    <w:rsid w:val="00127040"/>
    <w:rsid w:val="001328B0"/>
    <w:rsid w:val="00153F24"/>
    <w:rsid w:val="00155393"/>
    <w:rsid w:val="00167683"/>
    <w:rsid w:val="00167CC8"/>
    <w:rsid w:val="00170EC5"/>
    <w:rsid w:val="001748D1"/>
    <w:rsid w:val="001856C3"/>
    <w:rsid w:val="001974E5"/>
    <w:rsid w:val="00197D24"/>
    <w:rsid w:val="001A0628"/>
    <w:rsid w:val="001A4263"/>
    <w:rsid w:val="001B1F60"/>
    <w:rsid w:val="001B4E53"/>
    <w:rsid w:val="001B54C5"/>
    <w:rsid w:val="001C153C"/>
    <w:rsid w:val="001C1C34"/>
    <w:rsid w:val="001C761E"/>
    <w:rsid w:val="001C7AA4"/>
    <w:rsid w:val="001D37EE"/>
    <w:rsid w:val="001D792A"/>
    <w:rsid w:val="001E6B0D"/>
    <w:rsid w:val="001F068D"/>
    <w:rsid w:val="001F3714"/>
    <w:rsid w:val="0021427F"/>
    <w:rsid w:val="0021634E"/>
    <w:rsid w:val="00216795"/>
    <w:rsid w:val="00226016"/>
    <w:rsid w:val="002326F5"/>
    <w:rsid w:val="00241BA2"/>
    <w:rsid w:val="00247547"/>
    <w:rsid w:val="00253C92"/>
    <w:rsid w:val="002543FB"/>
    <w:rsid w:val="00255979"/>
    <w:rsid w:val="00261604"/>
    <w:rsid w:val="00281652"/>
    <w:rsid w:val="00284448"/>
    <w:rsid w:val="00284C08"/>
    <w:rsid w:val="00284D98"/>
    <w:rsid w:val="002862F7"/>
    <w:rsid w:val="0029045E"/>
    <w:rsid w:val="0029143A"/>
    <w:rsid w:val="00292676"/>
    <w:rsid w:val="00293043"/>
    <w:rsid w:val="00294ABD"/>
    <w:rsid w:val="00295973"/>
    <w:rsid w:val="00297FC3"/>
    <w:rsid w:val="002A214F"/>
    <w:rsid w:val="002B1319"/>
    <w:rsid w:val="002B296F"/>
    <w:rsid w:val="002B3072"/>
    <w:rsid w:val="002B3A74"/>
    <w:rsid w:val="002C0D0E"/>
    <w:rsid w:val="002C4C32"/>
    <w:rsid w:val="002D4086"/>
    <w:rsid w:val="002D4AD0"/>
    <w:rsid w:val="002E6ED4"/>
    <w:rsid w:val="002F75FF"/>
    <w:rsid w:val="00300507"/>
    <w:rsid w:val="00300C94"/>
    <w:rsid w:val="00301DE5"/>
    <w:rsid w:val="0031188E"/>
    <w:rsid w:val="00321793"/>
    <w:rsid w:val="00326F8A"/>
    <w:rsid w:val="003323B1"/>
    <w:rsid w:val="003332E1"/>
    <w:rsid w:val="00344E36"/>
    <w:rsid w:val="003462E5"/>
    <w:rsid w:val="00354A58"/>
    <w:rsid w:val="00354EDA"/>
    <w:rsid w:val="00356CAB"/>
    <w:rsid w:val="00361834"/>
    <w:rsid w:val="00362E07"/>
    <w:rsid w:val="003736D6"/>
    <w:rsid w:val="003933AB"/>
    <w:rsid w:val="00397ADF"/>
    <w:rsid w:val="003A15EA"/>
    <w:rsid w:val="003A5527"/>
    <w:rsid w:val="003A714A"/>
    <w:rsid w:val="003C14A2"/>
    <w:rsid w:val="003C3528"/>
    <w:rsid w:val="003C3692"/>
    <w:rsid w:val="003C3A27"/>
    <w:rsid w:val="003E32D0"/>
    <w:rsid w:val="003E5E37"/>
    <w:rsid w:val="003E7D2D"/>
    <w:rsid w:val="003F0409"/>
    <w:rsid w:val="003F5188"/>
    <w:rsid w:val="003F6D67"/>
    <w:rsid w:val="00405222"/>
    <w:rsid w:val="00405B90"/>
    <w:rsid w:val="00406DF7"/>
    <w:rsid w:val="0040768F"/>
    <w:rsid w:val="00412FA4"/>
    <w:rsid w:val="0041424D"/>
    <w:rsid w:val="00416007"/>
    <w:rsid w:val="004169AA"/>
    <w:rsid w:val="00422D41"/>
    <w:rsid w:val="004239D2"/>
    <w:rsid w:val="004262E6"/>
    <w:rsid w:val="00426FBB"/>
    <w:rsid w:val="00434074"/>
    <w:rsid w:val="00440CB8"/>
    <w:rsid w:val="00442377"/>
    <w:rsid w:val="00454DA0"/>
    <w:rsid w:val="00456BB5"/>
    <w:rsid w:val="00460C0E"/>
    <w:rsid w:val="00475335"/>
    <w:rsid w:val="0048546B"/>
    <w:rsid w:val="004B2BDD"/>
    <w:rsid w:val="004B4833"/>
    <w:rsid w:val="004C31D5"/>
    <w:rsid w:val="004C4784"/>
    <w:rsid w:val="004E4584"/>
    <w:rsid w:val="004E5586"/>
    <w:rsid w:val="004F3571"/>
    <w:rsid w:val="004F508E"/>
    <w:rsid w:val="00500879"/>
    <w:rsid w:val="0051216B"/>
    <w:rsid w:val="00530352"/>
    <w:rsid w:val="00533088"/>
    <w:rsid w:val="0053354E"/>
    <w:rsid w:val="00546FE6"/>
    <w:rsid w:val="00547CC7"/>
    <w:rsid w:val="0055446C"/>
    <w:rsid w:val="00554D26"/>
    <w:rsid w:val="005579D9"/>
    <w:rsid w:val="00561455"/>
    <w:rsid w:val="0056535C"/>
    <w:rsid w:val="005655AB"/>
    <w:rsid w:val="005662BA"/>
    <w:rsid w:val="0057048D"/>
    <w:rsid w:val="0057323A"/>
    <w:rsid w:val="00575917"/>
    <w:rsid w:val="00577600"/>
    <w:rsid w:val="005802BD"/>
    <w:rsid w:val="00581409"/>
    <w:rsid w:val="00586BBB"/>
    <w:rsid w:val="005905C7"/>
    <w:rsid w:val="00596813"/>
    <w:rsid w:val="0059773C"/>
    <w:rsid w:val="005A10E6"/>
    <w:rsid w:val="005A43A3"/>
    <w:rsid w:val="005A64F8"/>
    <w:rsid w:val="005B1841"/>
    <w:rsid w:val="005B67E0"/>
    <w:rsid w:val="005B79A2"/>
    <w:rsid w:val="005C187C"/>
    <w:rsid w:val="005C2076"/>
    <w:rsid w:val="005C258E"/>
    <w:rsid w:val="005D5D12"/>
    <w:rsid w:val="005E0C91"/>
    <w:rsid w:val="005E0F3B"/>
    <w:rsid w:val="005E18BF"/>
    <w:rsid w:val="005E30E1"/>
    <w:rsid w:val="005E778F"/>
    <w:rsid w:val="0060005B"/>
    <w:rsid w:val="00601CB9"/>
    <w:rsid w:val="00603508"/>
    <w:rsid w:val="00611F7D"/>
    <w:rsid w:val="00614EC3"/>
    <w:rsid w:val="00621616"/>
    <w:rsid w:val="00631A52"/>
    <w:rsid w:val="00634655"/>
    <w:rsid w:val="006351C5"/>
    <w:rsid w:val="00635FF7"/>
    <w:rsid w:val="006364C6"/>
    <w:rsid w:val="00640B21"/>
    <w:rsid w:val="00642271"/>
    <w:rsid w:val="006474C4"/>
    <w:rsid w:val="00667F9F"/>
    <w:rsid w:val="0067101E"/>
    <w:rsid w:val="00676ACE"/>
    <w:rsid w:val="00680726"/>
    <w:rsid w:val="00682F11"/>
    <w:rsid w:val="006837A0"/>
    <w:rsid w:val="00697439"/>
    <w:rsid w:val="006A1340"/>
    <w:rsid w:val="006A7CC1"/>
    <w:rsid w:val="006B4E10"/>
    <w:rsid w:val="006C0EE4"/>
    <w:rsid w:val="006C1811"/>
    <w:rsid w:val="006C4A4C"/>
    <w:rsid w:val="006C7E52"/>
    <w:rsid w:val="006D0D62"/>
    <w:rsid w:val="006D407B"/>
    <w:rsid w:val="006F4017"/>
    <w:rsid w:val="006F42CA"/>
    <w:rsid w:val="006F5176"/>
    <w:rsid w:val="00700839"/>
    <w:rsid w:val="007034FA"/>
    <w:rsid w:val="00716674"/>
    <w:rsid w:val="00720293"/>
    <w:rsid w:val="007267FC"/>
    <w:rsid w:val="0073695B"/>
    <w:rsid w:val="00737753"/>
    <w:rsid w:val="00740A27"/>
    <w:rsid w:val="0075474F"/>
    <w:rsid w:val="00755265"/>
    <w:rsid w:val="00771B0F"/>
    <w:rsid w:val="007764BE"/>
    <w:rsid w:val="00781A28"/>
    <w:rsid w:val="00783821"/>
    <w:rsid w:val="00787969"/>
    <w:rsid w:val="00790314"/>
    <w:rsid w:val="007963D2"/>
    <w:rsid w:val="007965F0"/>
    <w:rsid w:val="007971B1"/>
    <w:rsid w:val="007A1C03"/>
    <w:rsid w:val="007A1C3E"/>
    <w:rsid w:val="007B4900"/>
    <w:rsid w:val="007B75AE"/>
    <w:rsid w:val="007C4E52"/>
    <w:rsid w:val="007C64D2"/>
    <w:rsid w:val="007D09D4"/>
    <w:rsid w:val="007D665F"/>
    <w:rsid w:val="007E2632"/>
    <w:rsid w:val="007E26F4"/>
    <w:rsid w:val="007E3305"/>
    <w:rsid w:val="007E4E83"/>
    <w:rsid w:val="007E66E8"/>
    <w:rsid w:val="007F03F6"/>
    <w:rsid w:val="00806FE0"/>
    <w:rsid w:val="008167C2"/>
    <w:rsid w:val="00824F20"/>
    <w:rsid w:val="00847A5E"/>
    <w:rsid w:val="00847DB3"/>
    <w:rsid w:val="00862F1B"/>
    <w:rsid w:val="008638C8"/>
    <w:rsid w:val="0088046B"/>
    <w:rsid w:val="008825BA"/>
    <w:rsid w:val="008974F3"/>
    <w:rsid w:val="008B5D70"/>
    <w:rsid w:val="008C2A8F"/>
    <w:rsid w:val="008C6F8E"/>
    <w:rsid w:val="008D1350"/>
    <w:rsid w:val="008D3E38"/>
    <w:rsid w:val="008D3EAF"/>
    <w:rsid w:val="008D6F1B"/>
    <w:rsid w:val="008E1488"/>
    <w:rsid w:val="008E3629"/>
    <w:rsid w:val="008E5F62"/>
    <w:rsid w:val="008F1339"/>
    <w:rsid w:val="008F2A11"/>
    <w:rsid w:val="008F30CF"/>
    <w:rsid w:val="00904EFF"/>
    <w:rsid w:val="009064FF"/>
    <w:rsid w:val="0091038A"/>
    <w:rsid w:val="009128DE"/>
    <w:rsid w:val="00914ABC"/>
    <w:rsid w:val="00915FD5"/>
    <w:rsid w:val="00925CCA"/>
    <w:rsid w:val="0093651A"/>
    <w:rsid w:val="00940D8A"/>
    <w:rsid w:val="00942958"/>
    <w:rsid w:val="00953F13"/>
    <w:rsid w:val="00966900"/>
    <w:rsid w:val="00981881"/>
    <w:rsid w:val="0098571B"/>
    <w:rsid w:val="0098676F"/>
    <w:rsid w:val="00987BB5"/>
    <w:rsid w:val="0099147A"/>
    <w:rsid w:val="009A4EB7"/>
    <w:rsid w:val="009B0D48"/>
    <w:rsid w:val="009B4393"/>
    <w:rsid w:val="009C4543"/>
    <w:rsid w:val="009C4C25"/>
    <w:rsid w:val="009D0852"/>
    <w:rsid w:val="009D3723"/>
    <w:rsid w:val="009D3F27"/>
    <w:rsid w:val="009D54C5"/>
    <w:rsid w:val="009D7518"/>
    <w:rsid w:val="009E50AB"/>
    <w:rsid w:val="009F238B"/>
    <w:rsid w:val="009F5A56"/>
    <w:rsid w:val="00A02D10"/>
    <w:rsid w:val="00A03CE0"/>
    <w:rsid w:val="00A03E55"/>
    <w:rsid w:val="00A045BB"/>
    <w:rsid w:val="00A06CA2"/>
    <w:rsid w:val="00A1053F"/>
    <w:rsid w:val="00A1128C"/>
    <w:rsid w:val="00A14A77"/>
    <w:rsid w:val="00A15388"/>
    <w:rsid w:val="00A1575E"/>
    <w:rsid w:val="00A15933"/>
    <w:rsid w:val="00A174A1"/>
    <w:rsid w:val="00A21CBA"/>
    <w:rsid w:val="00A301FD"/>
    <w:rsid w:val="00A40074"/>
    <w:rsid w:val="00A40384"/>
    <w:rsid w:val="00A42A55"/>
    <w:rsid w:val="00A42D47"/>
    <w:rsid w:val="00A43685"/>
    <w:rsid w:val="00A45C1E"/>
    <w:rsid w:val="00A52606"/>
    <w:rsid w:val="00A64CB2"/>
    <w:rsid w:val="00A65AB9"/>
    <w:rsid w:val="00A71F7F"/>
    <w:rsid w:val="00A72149"/>
    <w:rsid w:val="00A81277"/>
    <w:rsid w:val="00A97157"/>
    <w:rsid w:val="00AA07FF"/>
    <w:rsid w:val="00AA3480"/>
    <w:rsid w:val="00AA53D5"/>
    <w:rsid w:val="00AB29B8"/>
    <w:rsid w:val="00AC1392"/>
    <w:rsid w:val="00AC2CA3"/>
    <w:rsid w:val="00AC4FB7"/>
    <w:rsid w:val="00AD536A"/>
    <w:rsid w:val="00AD5E2E"/>
    <w:rsid w:val="00AE2D8D"/>
    <w:rsid w:val="00AE66D4"/>
    <w:rsid w:val="00AE6C4A"/>
    <w:rsid w:val="00AF137D"/>
    <w:rsid w:val="00AF5661"/>
    <w:rsid w:val="00B00C51"/>
    <w:rsid w:val="00B0400F"/>
    <w:rsid w:val="00B04E09"/>
    <w:rsid w:val="00B13742"/>
    <w:rsid w:val="00B174C2"/>
    <w:rsid w:val="00B26026"/>
    <w:rsid w:val="00B27027"/>
    <w:rsid w:val="00B370E9"/>
    <w:rsid w:val="00B46E8E"/>
    <w:rsid w:val="00B6063E"/>
    <w:rsid w:val="00B638FC"/>
    <w:rsid w:val="00B67615"/>
    <w:rsid w:val="00B73776"/>
    <w:rsid w:val="00B73B64"/>
    <w:rsid w:val="00B77705"/>
    <w:rsid w:val="00B82921"/>
    <w:rsid w:val="00B87415"/>
    <w:rsid w:val="00B9348E"/>
    <w:rsid w:val="00BA123F"/>
    <w:rsid w:val="00BA417F"/>
    <w:rsid w:val="00BB22C6"/>
    <w:rsid w:val="00BB3707"/>
    <w:rsid w:val="00BB4DC7"/>
    <w:rsid w:val="00BB5134"/>
    <w:rsid w:val="00BB56A1"/>
    <w:rsid w:val="00BC3F15"/>
    <w:rsid w:val="00BC57BD"/>
    <w:rsid w:val="00BD351D"/>
    <w:rsid w:val="00BE19DA"/>
    <w:rsid w:val="00BE1B33"/>
    <w:rsid w:val="00BE4005"/>
    <w:rsid w:val="00BF0705"/>
    <w:rsid w:val="00BF237F"/>
    <w:rsid w:val="00BF4FA9"/>
    <w:rsid w:val="00BF63DD"/>
    <w:rsid w:val="00C0015F"/>
    <w:rsid w:val="00C03652"/>
    <w:rsid w:val="00C044A0"/>
    <w:rsid w:val="00C1312D"/>
    <w:rsid w:val="00C2493C"/>
    <w:rsid w:val="00C25C5D"/>
    <w:rsid w:val="00C31FAE"/>
    <w:rsid w:val="00C31FFA"/>
    <w:rsid w:val="00C354DE"/>
    <w:rsid w:val="00C354FB"/>
    <w:rsid w:val="00C41D56"/>
    <w:rsid w:val="00C42C02"/>
    <w:rsid w:val="00C45880"/>
    <w:rsid w:val="00C510B4"/>
    <w:rsid w:val="00C55D2C"/>
    <w:rsid w:val="00C60F05"/>
    <w:rsid w:val="00C67AD2"/>
    <w:rsid w:val="00C67DDD"/>
    <w:rsid w:val="00C72F0A"/>
    <w:rsid w:val="00C74663"/>
    <w:rsid w:val="00C86E83"/>
    <w:rsid w:val="00C938A1"/>
    <w:rsid w:val="00C9470E"/>
    <w:rsid w:val="00CA12F8"/>
    <w:rsid w:val="00CB255E"/>
    <w:rsid w:val="00CB3086"/>
    <w:rsid w:val="00CB5588"/>
    <w:rsid w:val="00CC0FBE"/>
    <w:rsid w:val="00CC18FC"/>
    <w:rsid w:val="00CC3CE0"/>
    <w:rsid w:val="00CC5BF3"/>
    <w:rsid w:val="00CD6950"/>
    <w:rsid w:val="00CD6CC9"/>
    <w:rsid w:val="00CE07CD"/>
    <w:rsid w:val="00CE4F46"/>
    <w:rsid w:val="00CE5862"/>
    <w:rsid w:val="00CF0F34"/>
    <w:rsid w:val="00CF1A47"/>
    <w:rsid w:val="00CF375D"/>
    <w:rsid w:val="00CF62B7"/>
    <w:rsid w:val="00D0365E"/>
    <w:rsid w:val="00D04A2E"/>
    <w:rsid w:val="00D05DB2"/>
    <w:rsid w:val="00D11040"/>
    <w:rsid w:val="00D169B4"/>
    <w:rsid w:val="00D21A08"/>
    <w:rsid w:val="00D2243E"/>
    <w:rsid w:val="00D26D08"/>
    <w:rsid w:val="00D3073F"/>
    <w:rsid w:val="00D32192"/>
    <w:rsid w:val="00D45F1E"/>
    <w:rsid w:val="00D46D54"/>
    <w:rsid w:val="00D53B0D"/>
    <w:rsid w:val="00D57DFA"/>
    <w:rsid w:val="00D61462"/>
    <w:rsid w:val="00D65650"/>
    <w:rsid w:val="00D65804"/>
    <w:rsid w:val="00D67D1C"/>
    <w:rsid w:val="00D712C0"/>
    <w:rsid w:val="00D730E6"/>
    <w:rsid w:val="00D7311F"/>
    <w:rsid w:val="00D85999"/>
    <w:rsid w:val="00D87686"/>
    <w:rsid w:val="00D96102"/>
    <w:rsid w:val="00D9759D"/>
    <w:rsid w:val="00DA396C"/>
    <w:rsid w:val="00DA776A"/>
    <w:rsid w:val="00DB3CDA"/>
    <w:rsid w:val="00DB6694"/>
    <w:rsid w:val="00DC183F"/>
    <w:rsid w:val="00DC7B44"/>
    <w:rsid w:val="00DD6C21"/>
    <w:rsid w:val="00DD704F"/>
    <w:rsid w:val="00DE09C3"/>
    <w:rsid w:val="00DE40EF"/>
    <w:rsid w:val="00DF3B65"/>
    <w:rsid w:val="00E02CC7"/>
    <w:rsid w:val="00E0609F"/>
    <w:rsid w:val="00E14B8B"/>
    <w:rsid w:val="00E16803"/>
    <w:rsid w:val="00E26F4C"/>
    <w:rsid w:val="00E406A8"/>
    <w:rsid w:val="00E42341"/>
    <w:rsid w:val="00E43401"/>
    <w:rsid w:val="00E435E4"/>
    <w:rsid w:val="00E51E3C"/>
    <w:rsid w:val="00E65968"/>
    <w:rsid w:val="00E65AC3"/>
    <w:rsid w:val="00E66ACE"/>
    <w:rsid w:val="00E85FC5"/>
    <w:rsid w:val="00E8641C"/>
    <w:rsid w:val="00E94FDC"/>
    <w:rsid w:val="00EA0C7A"/>
    <w:rsid w:val="00EA21B3"/>
    <w:rsid w:val="00EA324B"/>
    <w:rsid w:val="00EA5CE7"/>
    <w:rsid w:val="00EB1484"/>
    <w:rsid w:val="00EB1A87"/>
    <w:rsid w:val="00EB2250"/>
    <w:rsid w:val="00EB4F11"/>
    <w:rsid w:val="00EC6CCC"/>
    <w:rsid w:val="00ED1675"/>
    <w:rsid w:val="00EE0897"/>
    <w:rsid w:val="00EE7C64"/>
    <w:rsid w:val="00EF1554"/>
    <w:rsid w:val="00EF39CF"/>
    <w:rsid w:val="00EF54C1"/>
    <w:rsid w:val="00EF75F7"/>
    <w:rsid w:val="00F10A82"/>
    <w:rsid w:val="00F1724C"/>
    <w:rsid w:val="00F554D2"/>
    <w:rsid w:val="00F66B72"/>
    <w:rsid w:val="00F66C2F"/>
    <w:rsid w:val="00F740CA"/>
    <w:rsid w:val="00F8799A"/>
    <w:rsid w:val="00F911C9"/>
    <w:rsid w:val="00F9209E"/>
    <w:rsid w:val="00FA0EBF"/>
    <w:rsid w:val="00FA563F"/>
    <w:rsid w:val="00FA7C88"/>
    <w:rsid w:val="00FB3ACF"/>
    <w:rsid w:val="00FB655D"/>
    <w:rsid w:val="00FC0889"/>
    <w:rsid w:val="00FC7858"/>
    <w:rsid w:val="00FE1F06"/>
    <w:rsid w:val="00FE208D"/>
    <w:rsid w:val="00FE278A"/>
    <w:rsid w:val="00FE4C36"/>
    <w:rsid w:val="00FF279A"/>
    <w:rsid w:val="00FF2D4F"/>
    <w:rsid w:val="00FF31F2"/>
    <w:rsid w:val="00FF6716"/>
    <w:rsid w:val="00FF7B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94"/>
    <o:shapelayout v:ext="edit">
      <o:idmap v:ext="edit" data="1"/>
    </o:shapelayout>
  </w:shapeDefaults>
  <w:decimalSymbol w:val="."/>
  <w:listSeparator w:val=","/>
  <w14:docId w14:val="209D1558"/>
  <w15:docId w15:val="{F3A09F68-B314-426D-A493-B1CC724A6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4"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5B184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26D08"/>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D26D08"/>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6DF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06DF7"/>
  </w:style>
  <w:style w:type="paragraph" w:styleId="Piedepgina">
    <w:name w:val="footer"/>
    <w:basedOn w:val="Normal"/>
    <w:link w:val="PiedepginaCar"/>
    <w:uiPriority w:val="99"/>
    <w:unhideWhenUsed/>
    <w:rsid w:val="00406DF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06DF7"/>
  </w:style>
  <w:style w:type="character" w:styleId="Refdecomentario">
    <w:name w:val="annotation reference"/>
    <w:basedOn w:val="Fuentedeprrafopredeter"/>
    <w:uiPriority w:val="99"/>
    <w:unhideWhenUsed/>
    <w:rsid w:val="00B77705"/>
    <w:rPr>
      <w:sz w:val="16"/>
      <w:szCs w:val="16"/>
    </w:rPr>
  </w:style>
  <w:style w:type="paragraph" w:styleId="Textocomentario">
    <w:name w:val="annotation text"/>
    <w:basedOn w:val="Normal"/>
    <w:link w:val="TextocomentarioCar"/>
    <w:uiPriority w:val="4"/>
    <w:unhideWhenUsed/>
    <w:rsid w:val="00B77705"/>
    <w:pPr>
      <w:spacing w:line="240" w:lineRule="auto"/>
    </w:pPr>
    <w:rPr>
      <w:sz w:val="20"/>
      <w:szCs w:val="20"/>
    </w:rPr>
  </w:style>
  <w:style w:type="character" w:customStyle="1" w:styleId="TextocomentarioCar">
    <w:name w:val="Texto comentario Car"/>
    <w:basedOn w:val="Fuentedeprrafopredeter"/>
    <w:link w:val="Textocomentario"/>
    <w:uiPriority w:val="4"/>
    <w:rsid w:val="00B77705"/>
    <w:rPr>
      <w:sz w:val="20"/>
      <w:szCs w:val="20"/>
    </w:rPr>
  </w:style>
  <w:style w:type="paragraph" w:styleId="Asuntodelcomentario">
    <w:name w:val="annotation subject"/>
    <w:basedOn w:val="Textocomentario"/>
    <w:next w:val="Textocomentario"/>
    <w:link w:val="AsuntodelcomentarioCar"/>
    <w:uiPriority w:val="99"/>
    <w:semiHidden/>
    <w:unhideWhenUsed/>
    <w:rsid w:val="00B77705"/>
    <w:rPr>
      <w:b/>
      <w:bCs/>
    </w:rPr>
  </w:style>
  <w:style w:type="character" w:customStyle="1" w:styleId="AsuntodelcomentarioCar">
    <w:name w:val="Asunto del comentario Car"/>
    <w:basedOn w:val="TextocomentarioCar"/>
    <w:link w:val="Asuntodelcomentario"/>
    <w:uiPriority w:val="99"/>
    <w:semiHidden/>
    <w:rsid w:val="00B77705"/>
    <w:rPr>
      <w:b/>
      <w:bCs/>
      <w:sz w:val="20"/>
      <w:szCs w:val="20"/>
    </w:rPr>
  </w:style>
  <w:style w:type="paragraph" w:styleId="Textodeglobo">
    <w:name w:val="Balloon Text"/>
    <w:basedOn w:val="Normal"/>
    <w:link w:val="TextodegloboCar"/>
    <w:uiPriority w:val="99"/>
    <w:semiHidden/>
    <w:unhideWhenUsed/>
    <w:rsid w:val="00B7770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77705"/>
    <w:rPr>
      <w:rFonts w:ascii="Segoe UI" w:hAnsi="Segoe UI" w:cs="Segoe UI"/>
      <w:sz w:val="18"/>
      <w:szCs w:val="18"/>
    </w:rPr>
  </w:style>
  <w:style w:type="paragraph" w:styleId="Prrafodelista">
    <w:name w:val="List Paragraph"/>
    <w:aliases w:val="Listas,lp1,4 Viñ 1nivel,Numeración 1,Cuadrícula media 1 - Énfasis 21,Bullet List,FooterText,numbered,List Paragraph1,Paragraphe de liste1,Bulletr List Paragraph,列出段落,列出段落1,CNBV Parrafo1,List Paragraph-Thesis,Dot pt,Indicator Text"/>
    <w:basedOn w:val="Normal"/>
    <w:link w:val="PrrafodelistaCar"/>
    <w:uiPriority w:val="34"/>
    <w:qFormat/>
    <w:rsid w:val="00153F24"/>
    <w:pPr>
      <w:spacing w:after="160" w:line="259" w:lineRule="auto"/>
      <w:ind w:left="720"/>
      <w:contextualSpacing/>
    </w:pPr>
  </w:style>
  <w:style w:type="paragraph" w:styleId="Sinespaciado">
    <w:name w:val="No Spacing"/>
    <w:uiPriority w:val="1"/>
    <w:qFormat/>
    <w:rsid w:val="00153F24"/>
    <w:pPr>
      <w:spacing w:after="0" w:line="240" w:lineRule="auto"/>
    </w:pPr>
  </w:style>
  <w:style w:type="character" w:customStyle="1" w:styleId="PrrafodelistaCar">
    <w:name w:val="Párrafo de lista Car"/>
    <w:aliases w:val="Listas Car,lp1 Car,4 Viñ 1nivel Car,Numeración 1 Car,Cuadrícula media 1 - Énfasis 21 Car,Bullet List Car,FooterText Car,numbered Car,List Paragraph1 Car,Paragraphe de liste1 Car,Bulletr List Paragraph Car,列出段落 Car,列出段落1 Car"/>
    <w:link w:val="Prrafodelista"/>
    <w:uiPriority w:val="34"/>
    <w:qFormat/>
    <w:locked/>
    <w:rsid w:val="00153F24"/>
  </w:style>
  <w:style w:type="paragraph" w:customStyle="1" w:styleId="estilo30">
    <w:name w:val="estilo30"/>
    <w:basedOn w:val="Normal"/>
    <w:rsid w:val="005B184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tulo1Car">
    <w:name w:val="Título 1 Car"/>
    <w:basedOn w:val="Fuentedeprrafopredeter"/>
    <w:link w:val="Ttulo1"/>
    <w:uiPriority w:val="9"/>
    <w:rsid w:val="005B1841"/>
    <w:rPr>
      <w:rFonts w:asciiTheme="majorHAnsi" w:eastAsiaTheme="majorEastAsia" w:hAnsiTheme="majorHAnsi" w:cstheme="majorBidi"/>
      <w:color w:val="365F91" w:themeColor="accent1" w:themeShade="BF"/>
      <w:sz w:val="32"/>
      <w:szCs w:val="32"/>
    </w:rPr>
  </w:style>
  <w:style w:type="paragraph" w:styleId="TtuloTDC">
    <w:name w:val="TOC Heading"/>
    <w:basedOn w:val="Ttulo1"/>
    <w:next w:val="Normal"/>
    <w:uiPriority w:val="39"/>
    <w:unhideWhenUsed/>
    <w:qFormat/>
    <w:rsid w:val="005B1841"/>
    <w:pPr>
      <w:keepNext w:val="0"/>
      <w:keepLines w:val="0"/>
      <w:spacing w:before="0" w:line="259" w:lineRule="auto"/>
      <w:ind w:left="432" w:hanging="432"/>
      <w:contextualSpacing/>
      <w:jc w:val="both"/>
      <w:outlineLvl w:val="9"/>
    </w:pPr>
    <w:rPr>
      <w:rFonts w:ascii="ITC Avant Garde" w:eastAsia="MS Mincho" w:hAnsi="ITC Avant Garde" w:cs="Arial"/>
      <w:b/>
      <w:color w:val="auto"/>
      <w:sz w:val="24"/>
      <w:szCs w:val="22"/>
      <w:lang w:val="es-ES_tradnl" w:eastAsia="es-MX"/>
    </w:rPr>
  </w:style>
  <w:style w:type="paragraph" w:customStyle="1" w:styleId="Text">
    <w:name w:val="Text"/>
    <w:basedOn w:val="Normal"/>
    <w:rsid w:val="005B1841"/>
    <w:pPr>
      <w:spacing w:after="240" w:line="240" w:lineRule="auto"/>
    </w:pPr>
    <w:rPr>
      <w:rFonts w:ascii="Arial" w:eastAsia="Calibri" w:hAnsi="Arial" w:cs="Arial"/>
      <w:b/>
      <w:sz w:val="24"/>
      <w:szCs w:val="20"/>
      <w:lang w:val="es-ES_tradnl"/>
    </w:rPr>
  </w:style>
  <w:style w:type="character" w:customStyle="1" w:styleId="Ttulo2Car">
    <w:name w:val="Título 2 Car"/>
    <w:basedOn w:val="Fuentedeprrafopredeter"/>
    <w:link w:val="Ttulo2"/>
    <w:uiPriority w:val="9"/>
    <w:rsid w:val="00D26D08"/>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D26D08"/>
    <w:rPr>
      <w:rFonts w:asciiTheme="majorHAnsi" w:eastAsiaTheme="majorEastAsia" w:hAnsiTheme="majorHAnsi" w:cstheme="majorBidi"/>
      <w:color w:val="243F60" w:themeColor="accent1" w:themeShade="7F"/>
      <w:sz w:val="24"/>
      <w:szCs w:val="24"/>
    </w:rPr>
  </w:style>
  <w:style w:type="paragraph" w:customStyle="1" w:styleId="Default">
    <w:name w:val="Default"/>
    <w:rsid w:val="00D26D08"/>
    <w:pPr>
      <w:autoSpaceDE w:val="0"/>
      <w:autoSpaceDN w:val="0"/>
      <w:adjustRightInd w:val="0"/>
      <w:spacing w:after="0" w:line="240" w:lineRule="auto"/>
    </w:pPr>
    <w:rPr>
      <w:rFonts w:ascii="Arial" w:hAnsi="Arial" w:cs="Arial"/>
      <w:color w:val="000000"/>
      <w:sz w:val="24"/>
      <w:szCs w:val="24"/>
    </w:rPr>
  </w:style>
  <w:style w:type="paragraph" w:styleId="Textonotapie">
    <w:name w:val="footnote text"/>
    <w:aliases w:val=" Char,Char,ALTS FOOTNOTE,Footnote Text Char1,Footnote Text Char Char1,Footnote Text Char4 Char Char,Footnote Text Char1 Char1 Char1 Char,Footnote Text Char Char1 Char1 Char Char,Footnote Text Char1 Char1 Char1 Char Char Char1,DNV-,DNV,fn"/>
    <w:basedOn w:val="Normal"/>
    <w:link w:val="TextonotapieCar"/>
    <w:uiPriority w:val="99"/>
    <w:unhideWhenUsed/>
    <w:qFormat/>
    <w:rsid w:val="00D26D08"/>
    <w:pPr>
      <w:spacing w:after="0" w:line="240" w:lineRule="auto"/>
    </w:pPr>
    <w:rPr>
      <w:sz w:val="20"/>
      <w:szCs w:val="20"/>
      <w:lang w:val="es-EC"/>
    </w:rPr>
  </w:style>
  <w:style w:type="character" w:customStyle="1" w:styleId="TextonotapieCar">
    <w:name w:val="Texto nota pie Car"/>
    <w:aliases w:val=" Char Car,Char Car,ALTS FOOTNOTE Car,Footnote Text Char1 Car,Footnote Text Char Char1 Car,Footnote Text Char4 Char Char Car,Footnote Text Char1 Char1 Char1 Char Car,Footnote Text Char Char1 Char1 Char Char Car,DNV- Car,DNV Car,fn Car"/>
    <w:basedOn w:val="Fuentedeprrafopredeter"/>
    <w:link w:val="Textonotapie"/>
    <w:uiPriority w:val="99"/>
    <w:rsid w:val="00D26D08"/>
    <w:rPr>
      <w:sz w:val="20"/>
      <w:szCs w:val="20"/>
      <w:lang w:val="es-EC"/>
    </w:rPr>
  </w:style>
  <w:style w:type="character" w:styleId="Refdenotaalpie">
    <w:name w:val="footnote reference"/>
    <w:aliases w:val="Footnote symbol,Appel note de bas de p,Footnote Reference/,Style 12,(NECG) Footnote Reference,Style 124,o,fr,Style 13,FR,Style 17,Style 3,Appel note de bas de p + 11 pt,Italic,Footnote,Appel note de bas de p1,Appel note de bas de p2"/>
    <w:basedOn w:val="Fuentedeprrafopredeter"/>
    <w:uiPriority w:val="99"/>
    <w:unhideWhenUsed/>
    <w:qFormat/>
    <w:rsid w:val="00D26D08"/>
    <w:rPr>
      <w:vertAlign w:val="superscript"/>
    </w:rPr>
  </w:style>
  <w:style w:type="table" w:customStyle="1" w:styleId="Tabladelista6concolores1">
    <w:name w:val="Tabla de lista 6 con colores1"/>
    <w:basedOn w:val="Tablanormal"/>
    <w:uiPriority w:val="51"/>
    <w:rsid w:val="00D26D0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apple-converted-space">
    <w:name w:val="apple-converted-space"/>
    <w:basedOn w:val="Fuentedeprrafopredeter"/>
    <w:rsid w:val="00D26D08"/>
  </w:style>
  <w:style w:type="character" w:styleId="Hipervnculo">
    <w:name w:val="Hyperlink"/>
    <w:basedOn w:val="Fuentedeprrafopredeter"/>
    <w:uiPriority w:val="99"/>
    <w:unhideWhenUsed/>
    <w:rsid w:val="00D26D08"/>
    <w:rPr>
      <w:color w:val="0000FF"/>
      <w:u w:val="single"/>
    </w:rPr>
  </w:style>
  <w:style w:type="table" w:styleId="Tablaconcuadrcula">
    <w:name w:val="Table Grid"/>
    <w:basedOn w:val="Tablanormal"/>
    <w:uiPriority w:val="39"/>
    <w:rsid w:val="00D26D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26D0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Revisin">
    <w:name w:val="Revision"/>
    <w:hidden/>
    <w:uiPriority w:val="99"/>
    <w:semiHidden/>
    <w:rsid w:val="00D26D08"/>
    <w:pPr>
      <w:spacing w:after="0" w:line="240" w:lineRule="auto"/>
    </w:pPr>
  </w:style>
  <w:style w:type="table" w:customStyle="1" w:styleId="Tabladelista6concolores11">
    <w:name w:val="Tabla de lista 6 con colores11"/>
    <w:basedOn w:val="Tablanormal"/>
    <w:uiPriority w:val="51"/>
    <w:rsid w:val="00D26D0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tulo">
    <w:name w:val="Title"/>
    <w:basedOn w:val="Normal"/>
    <w:next w:val="Normal"/>
    <w:link w:val="TtuloCar"/>
    <w:uiPriority w:val="10"/>
    <w:qFormat/>
    <w:rsid w:val="00D26D0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26D08"/>
    <w:rPr>
      <w:rFonts w:asciiTheme="majorHAnsi" w:eastAsiaTheme="majorEastAsia" w:hAnsiTheme="majorHAnsi" w:cstheme="majorBidi"/>
      <w:spacing w:val="-10"/>
      <w:kern w:val="28"/>
      <w:sz w:val="56"/>
      <w:szCs w:val="56"/>
    </w:rPr>
  </w:style>
  <w:style w:type="paragraph" w:customStyle="1" w:styleId="IFTnormal">
    <w:name w:val="IFT normal"/>
    <w:basedOn w:val="Normal"/>
    <w:link w:val="IFTnormalCar"/>
    <w:qFormat/>
    <w:rsid w:val="00D26D08"/>
    <w:pPr>
      <w:jc w:val="both"/>
    </w:pPr>
    <w:rPr>
      <w:rFonts w:ascii="ITC Avant Garde" w:eastAsia="Calibri" w:hAnsi="ITC Avant Garde" w:cs="Arial"/>
      <w:color w:val="000000"/>
      <w:lang w:val="es-ES_tradnl" w:eastAsia="es-ES"/>
    </w:rPr>
  </w:style>
  <w:style w:type="character" w:customStyle="1" w:styleId="IFTnormalCar">
    <w:name w:val="IFT normal Car"/>
    <w:basedOn w:val="Fuentedeprrafopredeter"/>
    <w:link w:val="IFTnormal"/>
    <w:qFormat/>
    <w:rsid w:val="00D26D08"/>
    <w:rPr>
      <w:rFonts w:ascii="ITC Avant Garde" w:eastAsia="Calibri" w:hAnsi="ITC Avant Garde" w:cs="Arial"/>
      <w:color w:val="000000"/>
      <w:lang w:val="es-ES_tradnl" w:eastAsia="es-ES"/>
    </w:rPr>
  </w:style>
  <w:style w:type="paragraph" w:customStyle="1" w:styleId="Citaift">
    <w:name w:val="Cita ift"/>
    <w:basedOn w:val="Normal"/>
    <w:link w:val="CitaiftCar"/>
    <w:qFormat/>
    <w:rsid w:val="00D26D08"/>
    <w:pPr>
      <w:adjustRightInd w:val="0"/>
      <w:ind w:left="851" w:right="760"/>
      <w:jc w:val="both"/>
    </w:pPr>
    <w:rPr>
      <w:rFonts w:ascii="ITC Avant Garde" w:eastAsia="Times New Roman" w:hAnsi="ITC Avant Garde" w:cs="Arial"/>
      <w:i/>
      <w:color w:val="000000"/>
      <w:sz w:val="18"/>
      <w:szCs w:val="18"/>
      <w:lang w:eastAsia="es-ES"/>
    </w:rPr>
  </w:style>
  <w:style w:type="character" w:customStyle="1" w:styleId="CitaiftCar">
    <w:name w:val="Cita ift Car"/>
    <w:link w:val="Citaift"/>
    <w:rsid w:val="00D26D08"/>
    <w:rPr>
      <w:rFonts w:ascii="ITC Avant Garde" w:eastAsia="Times New Roman" w:hAnsi="ITC Avant Garde" w:cs="Arial"/>
      <w:i/>
      <w:color w:val="000000"/>
      <w:sz w:val="18"/>
      <w:szCs w:val="18"/>
      <w:lang w:eastAsia="es-ES"/>
    </w:rPr>
  </w:style>
  <w:style w:type="character" w:styleId="nfasis">
    <w:name w:val="Emphasis"/>
    <w:basedOn w:val="Fuentedeprrafopredeter"/>
    <w:qFormat/>
    <w:rsid w:val="00D26D08"/>
    <w:rPr>
      <w:i/>
      <w:iCs/>
    </w:rPr>
  </w:style>
  <w:style w:type="character" w:styleId="Hipervnculovisitado">
    <w:name w:val="FollowedHyperlink"/>
    <w:basedOn w:val="Fuentedeprrafopredeter"/>
    <w:uiPriority w:val="99"/>
    <w:semiHidden/>
    <w:unhideWhenUsed/>
    <w:rsid w:val="00077B99"/>
    <w:rPr>
      <w:color w:val="800080" w:themeColor="followedHyperlink"/>
      <w:u w:val="single"/>
    </w:rPr>
  </w:style>
  <w:style w:type="paragraph" w:styleId="Textoindependiente">
    <w:name w:val="Body Text"/>
    <w:basedOn w:val="Normal"/>
    <w:link w:val="TextoindependienteCar"/>
    <w:uiPriority w:val="1"/>
    <w:qFormat/>
    <w:rsid w:val="00C67AD2"/>
    <w:pPr>
      <w:widowControl w:val="0"/>
      <w:spacing w:after="0" w:line="240" w:lineRule="auto"/>
      <w:ind w:left="118"/>
    </w:pPr>
    <w:rPr>
      <w:rFonts w:ascii="ITC Avant Garde" w:eastAsia="ITC Avant Garde" w:hAnsi="ITC Avant Garde"/>
    </w:rPr>
  </w:style>
  <w:style w:type="character" w:customStyle="1" w:styleId="TextoindependienteCar">
    <w:name w:val="Texto independiente Car"/>
    <w:basedOn w:val="Fuentedeprrafopredeter"/>
    <w:link w:val="Textoindependiente"/>
    <w:uiPriority w:val="1"/>
    <w:rsid w:val="00C67AD2"/>
    <w:rPr>
      <w:rFonts w:ascii="ITC Avant Garde" w:eastAsia="ITC Avant Garde" w:hAnsi="ITC Avant Garde"/>
    </w:rPr>
  </w:style>
  <w:style w:type="table" w:styleId="Tabladecuadrcula4-nfasis3">
    <w:name w:val="Grid Table 4 Accent 3"/>
    <w:basedOn w:val="Tablanormal"/>
    <w:uiPriority w:val="49"/>
    <w:rsid w:val="00E51E3C"/>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concuadrcula1">
    <w:name w:val="Tabla con cuadrícula1"/>
    <w:basedOn w:val="Tablanormal"/>
    <w:next w:val="Tablaconcuadrcula"/>
    <w:uiPriority w:val="39"/>
    <w:rsid w:val="00AF56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0019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uiPriority w:val="99"/>
    <w:qFormat/>
    <w:rsid w:val="00021816"/>
    <w:pPr>
      <w:numPr>
        <w:numId w:val="28"/>
      </w:numPr>
    </w:pPr>
    <w:rPr>
      <w:color w:val="595959" w:themeColor="text1" w:themeTint="A6"/>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898186">
      <w:bodyDiv w:val="1"/>
      <w:marLeft w:val="0"/>
      <w:marRight w:val="0"/>
      <w:marTop w:val="0"/>
      <w:marBottom w:val="0"/>
      <w:divBdr>
        <w:top w:val="none" w:sz="0" w:space="0" w:color="auto"/>
        <w:left w:val="none" w:sz="0" w:space="0" w:color="auto"/>
        <w:bottom w:val="none" w:sz="0" w:space="0" w:color="auto"/>
        <w:right w:val="none" w:sz="0" w:space="0" w:color="auto"/>
      </w:divBdr>
    </w:div>
    <w:div w:id="594870947">
      <w:bodyDiv w:val="1"/>
      <w:marLeft w:val="0"/>
      <w:marRight w:val="0"/>
      <w:marTop w:val="0"/>
      <w:marBottom w:val="0"/>
      <w:divBdr>
        <w:top w:val="none" w:sz="0" w:space="0" w:color="auto"/>
        <w:left w:val="none" w:sz="0" w:space="0" w:color="auto"/>
        <w:bottom w:val="none" w:sz="0" w:space="0" w:color="auto"/>
        <w:right w:val="none" w:sz="0" w:space="0" w:color="auto"/>
      </w:divBdr>
    </w:div>
    <w:div w:id="1353148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www.ift.org.mx/sites/default/files/contenidogeneral/espectro-radioelectrico/07-informeaethaparaift-preciosespectroimt20dic2018v21pdftestado.pdf"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ift.org.mx/pabf" TargetMode="External"/><Relationship Id="rId2" Type="http://schemas.openxmlformats.org/officeDocument/2006/relationships/customXml" Target="../customXml/item2.xml"/><Relationship Id="rId16" Type="http://schemas.openxmlformats.org/officeDocument/2006/relationships/hyperlink" Target="http://www.ift.org.mx/industria/consultas-publicas/proyecto-de-bases-de-licitacion-publica-para-concesionar-el-uso-aprovechamiento-y-explotacion"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icitacionift10@ift.org.mx"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yperlink" Target="http://www.5gamericas.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apps.ift.org.mx/publicdata/VP_170620_177_Acc.pdf" TargetMode="External"/><Relationship Id="rId2" Type="http://schemas.openxmlformats.org/officeDocument/2006/relationships/hyperlink" Target="http://apps.ift.org.mx/publicdata/Version_Publica_UCE_270417_221.pdf" TargetMode="External"/><Relationship Id="rId1" Type="http://schemas.openxmlformats.org/officeDocument/2006/relationships/hyperlink" Target="http://apps.ift.org.mx/publicdata/VP_P_IFT_EXT_290415_86_Acc.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9D3A0EBD84B4846B5A92EC311AE7BE6" ma:contentTypeVersion="0" ma:contentTypeDescription="Crear nuevo documento." ma:contentTypeScope="" ma:versionID="44f48c01e0757405315d91470c592f4b">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633658-573F-4432-878E-26EB513FC3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C357001-ACF2-47A8-AE78-22C4C324BE46}">
  <ds:schemaRefs>
    <ds:schemaRef ds:uri="http://schemas.microsoft.com/sharepoint/v3/contenttype/forms"/>
  </ds:schemaRefs>
</ds:datastoreItem>
</file>

<file path=customXml/itemProps3.xml><?xml version="1.0" encoding="utf-8"?>
<ds:datastoreItem xmlns:ds="http://schemas.openxmlformats.org/officeDocument/2006/customXml" ds:itemID="{356A77CE-D9DB-4222-A8A5-C42A71120583}">
  <ds:schemaRefs>
    <ds:schemaRef ds:uri="http://purl.org/dc/terms/"/>
    <ds:schemaRef ds:uri="http://schemas.microsoft.com/office/2006/metadata/properties"/>
    <ds:schemaRef ds:uri="http://www.w3.org/XML/1998/namespace"/>
    <ds:schemaRef ds:uri="http://purl.org/dc/dcmitype/"/>
    <ds:schemaRef ds:uri="http://purl.org/dc/elements/1.1/"/>
    <ds:schemaRef ds:uri="http://schemas.openxmlformats.org/package/2006/metadata/core-properties"/>
    <ds:schemaRef ds:uri="http://schemas.microsoft.com/office/2006/documentManagement/types"/>
    <ds:schemaRef ds:uri="http://schemas.microsoft.com/office/infopath/2007/PartnerControls"/>
  </ds:schemaRefs>
</ds:datastoreItem>
</file>

<file path=customXml/itemProps4.xml><?xml version="1.0" encoding="utf-8"?>
<ds:datastoreItem xmlns:ds="http://schemas.openxmlformats.org/officeDocument/2006/customXml" ds:itemID="{B247DF6D-42FA-48BA-8468-11AADD6FD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8877</Words>
  <Characters>48829</Characters>
  <Application>Microsoft Office Word</Application>
  <DocSecurity>0</DocSecurity>
  <Lines>406</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Vicente Alejandro Patiño Ascencio</dc:creator>
  <cp:lastModifiedBy>Carlos Juan de Dios Sanchez Breton</cp:lastModifiedBy>
  <cp:revision>2</cp:revision>
  <dcterms:created xsi:type="dcterms:W3CDTF">2021-01-12T23:56:00Z</dcterms:created>
  <dcterms:modified xsi:type="dcterms:W3CDTF">2021-01-12T23:56:00Z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0x01010019D3A0EBD84B4846B5A92EC311AE7BE6</vt:lpwstr>
  </property>
</Properties>
</file>