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543F5" w14:textId="77777777" w:rsidR="00FB70C1" w:rsidRPr="009041D4" w:rsidRDefault="00FB70C1" w:rsidP="00FB70C1">
      <w:pPr>
        <w:spacing w:after="0"/>
        <w:jc w:val="both"/>
        <w:rPr>
          <w:rFonts w:ascii="Arial" w:eastAsia="Times New Roman" w:hAnsi="Arial" w:cs="Arial"/>
          <w:b/>
          <w:lang w:eastAsia="es-MX"/>
        </w:rPr>
      </w:pPr>
      <w:r w:rsidRPr="009041D4">
        <w:rPr>
          <w:rFonts w:ascii="Arial" w:eastAsia="Times New Roman" w:hAnsi="Arial" w:cs="Arial"/>
          <w:b/>
          <w:lang w:eastAsia="es-MX"/>
        </w:rPr>
        <w:t>ANTEPROYECTO DE LAS CONDICIONES TÉCNICAS MÍNIMAS PARA LA INTERCONEXIÓN ENTRE CONCESIONARIOS QUE OPEREN REDES PÚBLICAS DE TELECOMUNICACIONES Y LAS TARIFAS</w:t>
      </w:r>
      <w:r w:rsidR="00B51BDC" w:rsidRPr="009041D4">
        <w:rPr>
          <w:rFonts w:ascii="Arial" w:eastAsia="Times New Roman" w:hAnsi="Arial" w:cs="Arial"/>
          <w:b/>
          <w:lang w:eastAsia="es-MX"/>
        </w:rPr>
        <w:t xml:space="preserve"> DE INTERCONEXIÓN</w:t>
      </w:r>
      <w:r w:rsidRPr="009041D4">
        <w:rPr>
          <w:rFonts w:ascii="Arial" w:eastAsia="Times New Roman" w:hAnsi="Arial" w:cs="Arial"/>
          <w:b/>
          <w:lang w:eastAsia="es-MX"/>
        </w:rPr>
        <w:t xml:space="preserve"> QUE RESULTEN DE LAS METODOLOGÍAS PARA EL CÁLCULO DE COSTOS QUE ESTARÁN VIGENTES DEL 1 DE ENERO AL 31 DE DICIEMBRE DE 2021.</w:t>
      </w:r>
    </w:p>
    <w:p w14:paraId="0C5CE260" w14:textId="77777777" w:rsidR="00FB70C1" w:rsidRPr="009041D4" w:rsidRDefault="00FB70C1" w:rsidP="00FB70C1">
      <w:pPr>
        <w:spacing w:after="0"/>
        <w:ind w:right="49"/>
        <w:jc w:val="both"/>
        <w:rPr>
          <w:rFonts w:ascii="Arial" w:hAnsi="Arial" w:cs="Arial"/>
          <w:b/>
        </w:rPr>
      </w:pPr>
    </w:p>
    <w:p w14:paraId="62654494" w14:textId="77777777" w:rsidR="00FB70C1" w:rsidRPr="009041D4" w:rsidRDefault="00FB70C1" w:rsidP="00FB70C1">
      <w:pPr>
        <w:spacing w:after="0"/>
        <w:ind w:right="49"/>
        <w:jc w:val="both"/>
        <w:rPr>
          <w:rFonts w:ascii="Arial" w:hAnsi="Arial" w:cs="Arial"/>
          <w:b/>
        </w:rPr>
      </w:pPr>
    </w:p>
    <w:p w14:paraId="6204DB73" w14:textId="77777777" w:rsidR="00FB70C1" w:rsidRPr="009041D4" w:rsidRDefault="00FB70C1" w:rsidP="00FB70C1">
      <w:pPr>
        <w:pStyle w:val="ANOTACION"/>
        <w:spacing w:before="0" w:after="0" w:line="276" w:lineRule="auto"/>
        <w:ind w:right="49"/>
        <w:rPr>
          <w:rFonts w:ascii="Arial" w:hAnsi="Arial" w:cs="Arial"/>
          <w:sz w:val="22"/>
          <w:szCs w:val="22"/>
        </w:rPr>
      </w:pPr>
      <w:r w:rsidRPr="009041D4">
        <w:rPr>
          <w:rFonts w:ascii="Arial" w:hAnsi="Arial" w:cs="Arial"/>
          <w:sz w:val="22"/>
          <w:szCs w:val="22"/>
        </w:rPr>
        <w:t>CAPÍTULO I</w:t>
      </w:r>
    </w:p>
    <w:p w14:paraId="6F63A404" w14:textId="77777777" w:rsidR="00FB70C1" w:rsidRPr="009041D4" w:rsidRDefault="00FB70C1" w:rsidP="00FB70C1">
      <w:pPr>
        <w:pStyle w:val="Texto"/>
        <w:spacing w:after="0" w:line="276" w:lineRule="auto"/>
        <w:ind w:right="49" w:firstLine="0"/>
        <w:jc w:val="center"/>
        <w:rPr>
          <w:b/>
          <w:sz w:val="22"/>
          <w:szCs w:val="22"/>
        </w:rPr>
      </w:pPr>
      <w:r w:rsidRPr="009041D4">
        <w:rPr>
          <w:b/>
          <w:sz w:val="22"/>
          <w:szCs w:val="22"/>
        </w:rPr>
        <w:t>Disposiciones Generales</w:t>
      </w:r>
    </w:p>
    <w:p w14:paraId="5C98141A" w14:textId="77777777" w:rsidR="00FB70C1" w:rsidRPr="009041D4" w:rsidRDefault="00FB70C1" w:rsidP="00FB70C1">
      <w:pPr>
        <w:pStyle w:val="Texto"/>
        <w:spacing w:after="0" w:line="276" w:lineRule="auto"/>
        <w:ind w:right="49" w:firstLine="0"/>
        <w:jc w:val="center"/>
        <w:rPr>
          <w:b/>
          <w:sz w:val="22"/>
          <w:szCs w:val="22"/>
        </w:rPr>
      </w:pPr>
    </w:p>
    <w:p w14:paraId="514823F4" w14:textId="77777777" w:rsidR="00FB70C1" w:rsidRPr="009041D4" w:rsidRDefault="00FB70C1" w:rsidP="00FB70C1">
      <w:pPr>
        <w:spacing w:after="0"/>
        <w:ind w:right="49"/>
        <w:jc w:val="both"/>
        <w:rPr>
          <w:rFonts w:ascii="Arial" w:hAnsi="Arial" w:cs="Arial"/>
        </w:rPr>
      </w:pPr>
      <w:r w:rsidRPr="009041D4">
        <w:rPr>
          <w:rFonts w:ascii="Arial" w:hAnsi="Arial" w:cs="Arial"/>
          <w:b/>
        </w:rPr>
        <w:t xml:space="preserve">PRIMERA.- </w:t>
      </w:r>
      <w:r w:rsidRPr="009041D4">
        <w:rPr>
          <w:rFonts w:ascii="Arial" w:hAnsi="Arial" w:cs="Arial"/>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w:t>
      </w:r>
      <w:r w:rsidR="006329CD" w:rsidRPr="009041D4">
        <w:rPr>
          <w:rFonts w:ascii="Arial" w:hAnsi="Arial" w:cs="Arial"/>
        </w:rPr>
        <w:t>1</w:t>
      </w:r>
      <w:r w:rsidRPr="009041D4">
        <w:rPr>
          <w:rFonts w:ascii="Arial" w:hAnsi="Arial" w:cs="Arial"/>
        </w:rPr>
        <w:t xml:space="preserve">. </w:t>
      </w:r>
    </w:p>
    <w:p w14:paraId="579820CE" w14:textId="77777777" w:rsidR="00FB70C1" w:rsidRPr="009041D4" w:rsidRDefault="00FB70C1" w:rsidP="00FB70C1">
      <w:pPr>
        <w:spacing w:after="0"/>
        <w:ind w:right="49"/>
        <w:jc w:val="both"/>
        <w:rPr>
          <w:rFonts w:ascii="Arial" w:hAnsi="Arial" w:cs="Arial"/>
          <w:b/>
        </w:rPr>
      </w:pPr>
    </w:p>
    <w:p w14:paraId="022F5E86" w14:textId="77777777" w:rsidR="00FB70C1" w:rsidRPr="009041D4" w:rsidRDefault="00FB70C1" w:rsidP="00FB70C1">
      <w:pPr>
        <w:pStyle w:val="ANOTACION"/>
        <w:spacing w:before="0" w:after="0" w:line="276" w:lineRule="auto"/>
        <w:ind w:right="49"/>
        <w:rPr>
          <w:rFonts w:ascii="Arial" w:hAnsi="Arial" w:cs="Arial"/>
          <w:sz w:val="22"/>
          <w:szCs w:val="22"/>
        </w:rPr>
      </w:pPr>
      <w:r w:rsidRPr="009041D4">
        <w:rPr>
          <w:rFonts w:ascii="Arial" w:hAnsi="Arial" w:cs="Arial"/>
          <w:sz w:val="22"/>
          <w:szCs w:val="22"/>
        </w:rPr>
        <w:t>CAPITULO II</w:t>
      </w:r>
    </w:p>
    <w:p w14:paraId="6E49EC6E" w14:textId="77777777" w:rsidR="00FB70C1" w:rsidRPr="009041D4" w:rsidRDefault="00FB70C1" w:rsidP="00FB70C1">
      <w:pPr>
        <w:spacing w:after="0"/>
        <w:ind w:right="51"/>
        <w:jc w:val="center"/>
        <w:rPr>
          <w:rFonts w:ascii="Arial" w:hAnsi="Arial" w:cs="Arial"/>
          <w:b/>
        </w:rPr>
      </w:pPr>
      <w:r w:rsidRPr="009041D4">
        <w:rPr>
          <w:rFonts w:ascii="Arial" w:hAnsi="Arial" w:cs="Arial"/>
          <w:b/>
        </w:rPr>
        <w:t>Definiciones</w:t>
      </w:r>
    </w:p>
    <w:p w14:paraId="2500292F" w14:textId="77777777" w:rsidR="00FB70C1" w:rsidRPr="009041D4" w:rsidRDefault="00FB70C1" w:rsidP="00FB70C1">
      <w:pPr>
        <w:spacing w:after="0"/>
        <w:ind w:right="51"/>
        <w:jc w:val="center"/>
        <w:rPr>
          <w:rFonts w:ascii="Arial" w:hAnsi="Arial" w:cs="Arial"/>
        </w:rPr>
      </w:pPr>
    </w:p>
    <w:p w14:paraId="1238A5CD" w14:textId="77777777" w:rsidR="00FB70C1" w:rsidRPr="009041D4" w:rsidRDefault="00FB70C1" w:rsidP="00FB70C1">
      <w:pPr>
        <w:spacing w:after="0"/>
        <w:ind w:right="51"/>
        <w:jc w:val="both"/>
        <w:rPr>
          <w:rFonts w:ascii="Arial" w:hAnsi="Arial" w:cs="Arial"/>
        </w:rPr>
      </w:pPr>
      <w:r w:rsidRPr="009041D4">
        <w:rPr>
          <w:rFonts w:ascii="Arial" w:hAnsi="Arial" w:cs="Arial"/>
          <w:b/>
        </w:rPr>
        <w:t xml:space="preserve">SEGUNDA. - </w:t>
      </w:r>
      <w:r w:rsidRPr="009041D4">
        <w:rPr>
          <w:rFonts w:ascii="Arial" w:hAnsi="Arial" w:cs="Arial"/>
        </w:rPr>
        <w:t>Para efectos del presente Acuerdo, los siguientes términos tendrán el significado que a continuación se indica:</w:t>
      </w:r>
    </w:p>
    <w:p w14:paraId="223D6604" w14:textId="77777777" w:rsidR="00FB70C1" w:rsidRPr="009041D4" w:rsidRDefault="00FB70C1" w:rsidP="00FB70C1">
      <w:pPr>
        <w:spacing w:after="0"/>
        <w:ind w:right="51"/>
        <w:jc w:val="both"/>
        <w:rPr>
          <w:rFonts w:ascii="Arial" w:hAnsi="Arial" w:cs="Arial"/>
        </w:rPr>
      </w:pPr>
    </w:p>
    <w:tbl>
      <w:tblPr>
        <w:tblStyle w:val="Tablaconcuadrcula"/>
        <w:tblW w:w="0" w:type="auto"/>
        <w:tblLook w:val="04A0" w:firstRow="1" w:lastRow="0" w:firstColumn="1" w:lastColumn="0" w:noHBand="0" w:noVBand="1"/>
      </w:tblPr>
      <w:tblGrid>
        <w:gridCol w:w="2830"/>
        <w:gridCol w:w="5998"/>
      </w:tblGrid>
      <w:tr w:rsidR="00FB70C1" w:rsidRPr="009041D4" w14:paraId="0158CCE3" w14:textId="77777777" w:rsidTr="006329CD">
        <w:trPr>
          <w:trHeight w:val="642"/>
        </w:trPr>
        <w:tc>
          <w:tcPr>
            <w:tcW w:w="2830" w:type="dxa"/>
          </w:tcPr>
          <w:p w14:paraId="287F784D" w14:textId="77777777" w:rsidR="00FB70C1" w:rsidRPr="009041D4" w:rsidRDefault="00FB70C1" w:rsidP="006329CD">
            <w:pPr>
              <w:spacing w:after="0"/>
              <w:ind w:right="49"/>
              <w:rPr>
                <w:rFonts w:ascii="Arial" w:hAnsi="Arial" w:cs="Arial"/>
              </w:rPr>
            </w:pPr>
            <w:r w:rsidRPr="009041D4">
              <w:rPr>
                <w:rFonts w:ascii="Arial" w:hAnsi="Arial" w:cs="Arial"/>
              </w:rPr>
              <w:t>Agente Económico Preponderante:</w:t>
            </w:r>
          </w:p>
        </w:tc>
        <w:tc>
          <w:tcPr>
            <w:tcW w:w="5998" w:type="dxa"/>
          </w:tcPr>
          <w:p w14:paraId="3D36FB70" w14:textId="77777777" w:rsidR="00FB70C1" w:rsidRPr="009041D4" w:rsidRDefault="00FB70C1" w:rsidP="006329CD">
            <w:pPr>
              <w:autoSpaceDE w:val="0"/>
              <w:autoSpaceDN w:val="0"/>
              <w:adjustRightInd w:val="0"/>
              <w:spacing w:after="0"/>
              <w:ind w:right="49"/>
              <w:jc w:val="both"/>
              <w:rPr>
                <w:rFonts w:ascii="Arial" w:hAnsi="Arial" w:cs="Arial"/>
                <w:color w:val="000000"/>
              </w:rPr>
            </w:pPr>
            <w:r w:rsidRPr="009041D4">
              <w:rPr>
                <w:rFonts w:ascii="Arial" w:hAnsi="Arial" w:cs="Arial"/>
                <w:color w:val="000000"/>
              </w:rPr>
              <w:t xml:space="preserve">Aquel que fue declarado mediante Acuerdo P/IFT/EXT/060314/76. </w:t>
            </w:r>
          </w:p>
        </w:tc>
      </w:tr>
      <w:tr w:rsidR="00FB70C1" w:rsidRPr="009041D4" w14:paraId="7A646A20" w14:textId="77777777" w:rsidTr="006329CD">
        <w:tc>
          <w:tcPr>
            <w:tcW w:w="2830" w:type="dxa"/>
          </w:tcPr>
          <w:p w14:paraId="46B8C1BC" w14:textId="77777777" w:rsidR="00FB70C1" w:rsidRPr="009041D4" w:rsidRDefault="00FB70C1" w:rsidP="006329CD">
            <w:pPr>
              <w:spacing w:after="0"/>
              <w:ind w:right="49"/>
              <w:rPr>
                <w:rFonts w:ascii="Arial" w:hAnsi="Arial" w:cs="Arial"/>
              </w:rPr>
            </w:pPr>
            <w:r w:rsidRPr="009041D4">
              <w:rPr>
                <w:rFonts w:ascii="Arial" w:hAnsi="Arial" w:cs="Arial"/>
              </w:rPr>
              <w:t>Conducción de tráfico:</w:t>
            </w:r>
          </w:p>
        </w:tc>
        <w:tc>
          <w:tcPr>
            <w:tcW w:w="5998" w:type="dxa"/>
          </w:tcPr>
          <w:p w14:paraId="38ED15A7" w14:textId="77777777" w:rsidR="00FB70C1" w:rsidRPr="009041D4" w:rsidRDefault="00FB70C1" w:rsidP="006329CD">
            <w:pPr>
              <w:autoSpaceDE w:val="0"/>
              <w:autoSpaceDN w:val="0"/>
              <w:adjustRightInd w:val="0"/>
              <w:spacing w:after="0"/>
              <w:ind w:right="49"/>
              <w:jc w:val="both"/>
              <w:rPr>
                <w:rFonts w:ascii="Arial" w:hAnsi="Arial" w:cs="Arial"/>
                <w:color w:val="000000"/>
              </w:rPr>
            </w:pPr>
            <w:r w:rsidRPr="009041D4">
              <w:rPr>
                <w:rFonts w:ascii="Arial" w:hAnsi="Arial" w:cs="Arial"/>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FB70C1" w:rsidRPr="009041D4" w14:paraId="107B53B2" w14:textId="77777777" w:rsidTr="006329CD">
        <w:tc>
          <w:tcPr>
            <w:tcW w:w="2830" w:type="dxa"/>
          </w:tcPr>
          <w:p w14:paraId="7948523F" w14:textId="77777777" w:rsidR="00FB70C1" w:rsidRPr="009041D4" w:rsidRDefault="00FB70C1" w:rsidP="006329CD">
            <w:pPr>
              <w:spacing w:after="0"/>
              <w:ind w:right="49"/>
              <w:rPr>
                <w:rFonts w:ascii="Arial" w:hAnsi="Arial" w:cs="Arial"/>
              </w:rPr>
            </w:pPr>
            <w:r w:rsidRPr="009041D4">
              <w:rPr>
                <w:rFonts w:ascii="Arial" w:hAnsi="Arial" w:cs="Arial"/>
              </w:rPr>
              <w:t>Compartición de Infraestructura para interconexión:</w:t>
            </w:r>
          </w:p>
        </w:tc>
        <w:tc>
          <w:tcPr>
            <w:tcW w:w="5998" w:type="dxa"/>
          </w:tcPr>
          <w:p w14:paraId="66882834" w14:textId="77777777" w:rsidR="00FB70C1" w:rsidRPr="009041D4" w:rsidRDefault="00FB70C1" w:rsidP="006329CD">
            <w:pPr>
              <w:autoSpaceDE w:val="0"/>
              <w:autoSpaceDN w:val="0"/>
              <w:adjustRightInd w:val="0"/>
              <w:spacing w:after="0"/>
              <w:ind w:right="49"/>
              <w:jc w:val="both"/>
              <w:rPr>
                <w:rFonts w:ascii="Arial" w:hAnsi="Arial" w:cs="Arial"/>
                <w:color w:val="000000"/>
              </w:rPr>
            </w:pPr>
            <w:r w:rsidRPr="009041D4">
              <w:rPr>
                <w:rFonts w:ascii="Arial" w:hAnsi="Arial" w:cs="Arial"/>
                <w:color w:val="000000"/>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FB70C1" w:rsidRPr="009041D4" w14:paraId="38AB1CB1" w14:textId="77777777" w:rsidTr="006329CD">
        <w:tc>
          <w:tcPr>
            <w:tcW w:w="2830" w:type="dxa"/>
          </w:tcPr>
          <w:p w14:paraId="6646905B" w14:textId="77777777" w:rsidR="00FB70C1" w:rsidRPr="009041D4" w:rsidRDefault="00FB70C1" w:rsidP="006329CD">
            <w:pPr>
              <w:spacing w:after="0"/>
              <w:ind w:right="49"/>
              <w:rPr>
                <w:rFonts w:ascii="Arial" w:hAnsi="Arial" w:cs="Arial"/>
              </w:rPr>
            </w:pPr>
            <w:r w:rsidRPr="009041D4">
              <w:rPr>
                <w:rFonts w:ascii="Arial" w:hAnsi="Arial" w:cs="Arial"/>
              </w:rPr>
              <w:t>Concesionario Solicitado:</w:t>
            </w:r>
          </w:p>
        </w:tc>
        <w:tc>
          <w:tcPr>
            <w:tcW w:w="5998" w:type="dxa"/>
          </w:tcPr>
          <w:p w14:paraId="3C1CD1D8" w14:textId="77777777" w:rsidR="00FB70C1" w:rsidRPr="009041D4" w:rsidRDefault="00FB70C1" w:rsidP="006329CD">
            <w:pPr>
              <w:spacing w:after="0"/>
              <w:ind w:right="49"/>
              <w:jc w:val="both"/>
              <w:rPr>
                <w:rFonts w:ascii="Arial" w:hAnsi="Arial" w:cs="Arial"/>
              </w:rPr>
            </w:pPr>
            <w:r w:rsidRPr="009041D4">
              <w:rPr>
                <w:rFonts w:ascii="Arial" w:hAnsi="Arial" w:cs="Arial"/>
                <w:color w:val="1A1A1A"/>
              </w:rPr>
              <w:t>Concesionario al cual se le solicitan los Servicios de Interconexión.</w:t>
            </w:r>
          </w:p>
        </w:tc>
      </w:tr>
      <w:tr w:rsidR="00FB70C1" w:rsidRPr="009041D4" w14:paraId="1F7FA6D4" w14:textId="77777777" w:rsidTr="006329CD">
        <w:tc>
          <w:tcPr>
            <w:tcW w:w="2830" w:type="dxa"/>
          </w:tcPr>
          <w:p w14:paraId="1778883F" w14:textId="77777777" w:rsidR="00FB70C1" w:rsidRPr="009041D4" w:rsidRDefault="00FB70C1" w:rsidP="006329CD">
            <w:pPr>
              <w:spacing w:after="0"/>
              <w:ind w:right="49"/>
              <w:rPr>
                <w:rFonts w:ascii="Arial" w:hAnsi="Arial" w:cs="Arial"/>
              </w:rPr>
            </w:pPr>
            <w:r w:rsidRPr="009041D4">
              <w:rPr>
                <w:rFonts w:ascii="Arial" w:hAnsi="Arial" w:cs="Arial"/>
              </w:rPr>
              <w:t>Concesionario Solicitante:</w:t>
            </w:r>
          </w:p>
        </w:tc>
        <w:tc>
          <w:tcPr>
            <w:tcW w:w="5998" w:type="dxa"/>
          </w:tcPr>
          <w:p w14:paraId="060F997B" w14:textId="77777777" w:rsidR="00FB70C1" w:rsidRPr="009041D4" w:rsidRDefault="00FB70C1" w:rsidP="006329CD">
            <w:pPr>
              <w:spacing w:after="0"/>
              <w:ind w:right="49"/>
              <w:jc w:val="both"/>
              <w:rPr>
                <w:rFonts w:ascii="Arial" w:hAnsi="Arial" w:cs="Arial"/>
              </w:rPr>
            </w:pPr>
            <w:r w:rsidRPr="009041D4">
              <w:rPr>
                <w:rFonts w:ascii="Arial" w:hAnsi="Arial" w:cs="Arial"/>
                <w:color w:val="1A1A1A"/>
              </w:rPr>
              <w:t>Concesionario que solicita los Servicios de Interconexión.</w:t>
            </w:r>
          </w:p>
        </w:tc>
      </w:tr>
      <w:tr w:rsidR="00FB70C1" w:rsidRPr="009041D4" w14:paraId="4E928B46" w14:textId="77777777" w:rsidTr="006329CD">
        <w:tc>
          <w:tcPr>
            <w:tcW w:w="2830" w:type="dxa"/>
          </w:tcPr>
          <w:p w14:paraId="7F2FCDC2" w14:textId="77777777" w:rsidR="00FB70C1" w:rsidRPr="009041D4" w:rsidRDefault="00FB70C1" w:rsidP="006329CD">
            <w:pPr>
              <w:spacing w:after="0"/>
              <w:ind w:right="49"/>
              <w:rPr>
                <w:rFonts w:ascii="Arial" w:hAnsi="Arial" w:cs="Arial"/>
              </w:rPr>
            </w:pPr>
            <w:r w:rsidRPr="009041D4">
              <w:rPr>
                <w:rFonts w:ascii="Arial" w:hAnsi="Arial" w:cs="Arial"/>
              </w:rPr>
              <w:t>Coubicación:</w:t>
            </w:r>
          </w:p>
        </w:tc>
        <w:tc>
          <w:tcPr>
            <w:tcW w:w="5998" w:type="dxa"/>
          </w:tcPr>
          <w:p w14:paraId="67F574E6" w14:textId="77777777" w:rsidR="00FB70C1" w:rsidRPr="009041D4" w:rsidRDefault="00FB70C1" w:rsidP="006329CD">
            <w:pPr>
              <w:pStyle w:val="Default"/>
              <w:spacing w:line="276" w:lineRule="auto"/>
              <w:ind w:right="49"/>
              <w:jc w:val="both"/>
              <w:rPr>
                <w:rFonts w:ascii="Arial" w:hAnsi="Arial" w:cs="Arial"/>
                <w:color w:val="1A1A1A"/>
                <w:sz w:val="20"/>
                <w:szCs w:val="20"/>
              </w:rPr>
            </w:pPr>
            <w:r w:rsidRPr="009041D4">
              <w:rPr>
                <w:rFonts w:ascii="Arial" w:hAnsi="Arial" w:cs="Arial"/>
                <w:color w:val="1A1A1A"/>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w:t>
            </w:r>
            <w:r w:rsidRPr="009041D4">
              <w:rPr>
                <w:rFonts w:ascii="Arial" w:hAnsi="Arial" w:cs="Arial"/>
                <w:color w:val="1A1A1A"/>
                <w:sz w:val="20"/>
                <w:szCs w:val="20"/>
              </w:rPr>
              <w:lastRenderedPageBreak/>
              <w:t xml:space="preserve">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FB70C1" w:rsidRPr="009041D4" w14:paraId="0C0AE9C9" w14:textId="77777777" w:rsidTr="006329CD">
        <w:tc>
          <w:tcPr>
            <w:tcW w:w="2830" w:type="dxa"/>
          </w:tcPr>
          <w:p w14:paraId="66F5CF99" w14:textId="77777777" w:rsidR="00FB70C1" w:rsidRPr="009041D4" w:rsidRDefault="00FB70C1" w:rsidP="006329CD">
            <w:pPr>
              <w:spacing w:after="0"/>
              <w:ind w:right="49"/>
              <w:rPr>
                <w:rFonts w:ascii="Arial" w:hAnsi="Arial" w:cs="Arial"/>
              </w:rPr>
            </w:pPr>
            <w:r w:rsidRPr="009041D4">
              <w:rPr>
                <w:rFonts w:ascii="Arial" w:hAnsi="Arial" w:cs="Arial"/>
              </w:rPr>
              <w:lastRenderedPageBreak/>
              <w:t>Enlaces de Transmisión:</w:t>
            </w:r>
          </w:p>
        </w:tc>
        <w:tc>
          <w:tcPr>
            <w:tcW w:w="5998" w:type="dxa"/>
          </w:tcPr>
          <w:p w14:paraId="7F2A123F"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color w:val="1A1A1A"/>
                <w:sz w:val="20"/>
                <w:szCs w:val="20"/>
              </w:rPr>
              <w:t>Servicio de Interconexión o capacidad que consiste en el establecimiento de enlaces de transmisión físicos o virtuales de cualquier tecnología, a través de los cuales se conduce Tráfico.</w:t>
            </w:r>
          </w:p>
        </w:tc>
      </w:tr>
      <w:tr w:rsidR="00FB70C1" w:rsidRPr="009041D4" w14:paraId="34A6BC36" w14:textId="77777777" w:rsidTr="006329CD">
        <w:tc>
          <w:tcPr>
            <w:tcW w:w="2830" w:type="dxa"/>
          </w:tcPr>
          <w:p w14:paraId="19B770E7" w14:textId="77777777" w:rsidR="00FB70C1" w:rsidRPr="009041D4" w:rsidRDefault="00FB70C1" w:rsidP="006329CD">
            <w:pPr>
              <w:spacing w:after="0"/>
              <w:ind w:right="49"/>
              <w:rPr>
                <w:rFonts w:ascii="Arial" w:hAnsi="Arial" w:cs="Arial"/>
              </w:rPr>
            </w:pPr>
            <w:r w:rsidRPr="009041D4">
              <w:rPr>
                <w:rFonts w:ascii="Arial" w:hAnsi="Arial" w:cs="Arial"/>
              </w:rPr>
              <w:t>Facturación y Cobranza:</w:t>
            </w:r>
          </w:p>
        </w:tc>
        <w:tc>
          <w:tcPr>
            <w:tcW w:w="5998" w:type="dxa"/>
          </w:tcPr>
          <w:p w14:paraId="2D732031" w14:textId="77777777" w:rsidR="00FB70C1" w:rsidRPr="009041D4" w:rsidRDefault="00FB70C1" w:rsidP="006329CD">
            <w:pPr>
              <w:spacing w:after="0"/>
              <w:ind w:right="49"/>
              <w:jc w:val="both"/>
              <w:rPr>
                <w:rFonts w:ascii="Arial" w:hAnsi="Arial" w:cs="Arial"/>
              </w:rPr>
            </w:pPr>
            <w:r w:rsidRPr="009041D4">
              <w:rPr>
                <w:rFonts w:ascii="Arial" w:hAnsi="Arial" w:cs="Arial"/>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FB70C1" w:rsidRPr="009041D4" w14:paraId="7C21D9E2" w14:textId="77777777" w:rsidTr="006329CD">
        <w:tc>
          <w:tcPr>
            <w:tcW w:w="2830" w:type="dxa"/>
          </w:tcPr>
          <w:p w14:paraId="7B8F373C" w14:textId="77777777" w:rsidR="00FB70C1" w:rsidRPr="009041D4" w:rsidRDefault="00FB70C1" w:rsidP="006329CD">
            <w:pPr>
              <w:spacing w:after="0"/>
              <w:ind w:right="49"/>
              <w:rPr>
                <w:rFonts w:ascii="Arial" w:hAnsi="Arial" w:cs="Arial"/>
              </w:rPr>
            </w:pPr>
            <w:r w:rsidRPr="009041D4">
              <w:rPr>
                <w:rFonts w:ascii="Arial" w:hAnsi="Arial" w:cs="Arial"/>
              </w:rPr>
              <w:t>Interconexión:</w:t>
            </w:r>
          </w:p>
        </w:tc>
        <w:tc>
          <w:tcPr>
            <w:tcW w:w="5998" w:type="dxa"/>
          </w:tcPr>
          <w:p w14:paraId="4046EDE9" w14:textId="77777777" w:rsidR="00FB70C1" w:rsidRPr="009041D4" w:rsidRDefault="00FB70C1" w:rsidP="006329CD">
            <w:pPr>
              <w:spacing w:after="0"/>
              <w:ind w:right="49"/>
              <w:jc w:val="both"/>
              <w:rPr>
                <w:rFonts w:ascii="Arial" w:hAnsi="Arial" w:cs="Arial"/>
              </w:rPr>
            </w:pPr>
            <w:r w:rsidRPr="009041D4">
              <w:rPr>
                <w:rFonts w:ascii="Arial" w:hAnsi="Arial" w:cs="Arial"/>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FB70C1" w:rsidRPr="009041D4" w14:paraId="76CA2507" w14:textId="77777777" w:rsidTr="006329CD">
        <w:tc>
          <w:tcPr>
            <w:tcW w:w="2830" w:type="dxa"/>
          </w:tcPr>
          <w:p w14:paraId="39B0B5ED" w14:textId="77777777" w:rsidR="00FB70C1" w:rsidRPr="009041D4" w:rsidRDefault="00FB70C1" w:rsidP="006329CD">
            <w:pPr>
              <w:spacing w:after="0"/>
              <w:ind w:right="49"/>
              <w:rPr>
                <w:rFonts w:ascii="Arial" w:hAnsi="Arial" w:cs="Arial"/>
              </w:rPr>
            </w:pPr>
            <w:r w:rsidRPr="009041D4">
              <w:rPr>
                <w:rFonts w:ascii="Arial" w:hAnsi="Arial" w:cs="Arial"/>
              </w:rPr>
              <w:t>Interconexión Cruzada:</w:t>
            </w:r>
          </w:p>
        </w:tc>
        <w:tc>
          <w:tcPr>
            <w:tcW w:w="5998" w:type="dxa"/>
          </w:tcPr>
          <w:p w14:paraId="4B4024A2" w14:textId="77777777" w:rsidR="00FB70C1" w:rsidRPr="009041D4" w:rsidRDefault="00FB70C1" w:rsidP="006329CD">
            <w:pPr>
              <w:spacing w:after="0"/>
              <w:ind w:right="49"/>
              <w:jc w:val="both"/>
              <w:rPr>
                <w:rFonts w:ascii="Arial" w:hAnsi="Arial" w:cs="Arial"/>
              </w:rPr>
            </w:pPr>
            <w:r w:rsidRPr="009041D4">
              <w:rPr>
                <w:rFonts w:ascii="Arial" w:hAnsi="Arial" w:cs="Arial"/>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FB70C1" w:rsidRPr="009041D4" w14:paraId="29E2F08D" w14:textId="77777777" w:rsidTr="006329CD">
        <w:tc>
          <w:tcPr>
            <w:tcW w:w="2830" w:type="dxa"/>
          </w:tcPr>
          <w:p w14:paraId="43FB7700" w14:textId="77777777" w:rsidR="00FB70C1" w:rsidRPr="009041D4" w:rsidRDefault="00FB70C1" w:rsidP="006329CD">
            <w:pPr>
              <w:spacing w:after="0"/>
              <w:ind w:right="49"/>
              <w:rPr>
                <w:rFonts w:ascii="Arial" w:hAnsi="Arial" w:cs="Arial"/>
              </w:rPr>
            </w:pPr>
            <w:r w:rsidRPr="009041D4">
              <w:rPr>
                <w:rFonts w:ascii="Arial" w:hAnsi="Arial" w:cs="Arial"/>
              </w:rPr>
              <w:t>Puertos de Acceso:</w:t>
            </w:r>
          </w:p>
        </w:tc>
        <w:tc>
          <w:tcPr>
            <w:tcW w:w="5998" w:type="dxa"/>
          </w:tcPr>
          <w:p w14:paraId="211125C6"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Punto de acceso en los equipos de conmutación de una Red Pública de Telecomunicaciones.</w:t>
            </w:r>
          </w:p>
        </w:tc>
      </w:tr>
      <w:tr w:rsidR="00FB70C1" w:rsidRPr="009041D4" w14:paraId="0706F4A0" w14:textId="77777777" w:rsidTr="006329CD">
        <w:tc>
          <w:tcPr>
            <w:tcW w:w="2830" w:type="dxa"/>
          </w:tcPr>
          <w:p w14:paraId="02331FFA" w14:textId="77777777" w:rsidR="00FB70C1" w:rsidRPr="009041D4" w:rsidRDefault="00FB70C1" w:rsidP="006329CD">
            <w:pPr>
              <w:spacing w:after="0"/>
              <w:ind w:right="49"/>
              <w:rPr>
                <w:rFonts w:ascii="Arial" w:hAnsi="Arial" w:cs="Arial"/>
              </w:rPr>
            </w:pPr>
            <w:r w:rsidRPr="009041D4">
              <w:rPr>
                <w:rFonts w:ascii="Arial" w:hAnsi="Arial" w:cs="Arial"/>
              </w:rPr>
              <w:t>Servicios de Señalización:</w:t>
            </w:r>
          </w:p>
        </w:tc>
        <w:tc>
          <w:tcPr>
            <w:tcW w:w="5998" w:type="dxa"/>
          </w:tcPr>
          <w:p w14:paraId="7E5E699F"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FB70C1" w:rsidRPr="009041D4" w14:paraId="328CE119" w14:textId="77777777" w:rsidTr="006329CD">
        <w:tc>
          <w:tcPr>
            <w:tcW w:w="2830" w:type="dxa"/>
          </w:tcPr>
          <w:p w14:paraId="30E34BE8" w14:textId="77777777" w:rsidR="00FB70C1" w:rsidRPr="009041D4" w:rsidRDefault="00FB70C1" w:rsidP="006329CD">
            <w:pPr>
              <w:spacing w:after="0"/>
              <w:ind w:right="49"/>
              <w:rPr>
                <w:rFonts w:ascii="Arial" w:hAnsi="Arial" w:cs="Arial"/>
              </w:rPr>
            </w:pPr>
            <w:r w:rsidRPr="009041D4">
              <w:rPr>
                <w:rFonts w:ascii="Arial" w:hAnsi="Arial" w:cs="Arial"/>
              </w:rPr>
              <w:t>Servicio de Tránsito:</w:t>
            </w:r>
          </w:p>
        </w:tc>
        <w:tc>
          <w:tcPr>
            <w:tcW w:w="5998" w:type="dxa"/>
          </w:tcPr>
          <w:p w14:paraId="1AE3DC73"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FB70C1" w:rsidRPr="009041D4" w14:paraId="220BBBB0" w14:textId="77777777" w:rsidTr="006329CD">
        <w:tc>
          <w:tcPr>
            <w:tcW w:w="2830" w:type="dxa"/>
          </w:tcPr>
          <w:p w14:paraId="61A45432" w14:textId="77777777" w:rsidR="00FB70C1" w:rsidRPr="009041D4" w:rsidRDefault="00FB70C1" w:rsidP="006329CD">
            <w:pPr>
              <w:spacing w:after="0"/>
              <w:ind w:right="49"/>
              <w:rPr>
                <w:rFonts w:ascii="Arial" w:hAnsi="Arial" w:cs="Arial"/>
              </w:rPr>
            </w:pPr>
            <w:r w:rsidRPr="009041D4">
              <w:rPr>
                <w:rFonts w:ascii="Arial" w:hAnsi="Arial" w:cs="Arial"/>
              </w:rPr>
              <w:t>Servicios Auxiliares y Conexos:</w:t>
            </w:r>
          </w:p>
        </w:tc>
        <w:tc>
          <w:tcPr>
            <w:tcW w:w="5998" w:type="dxa"/>
          </w:tcPr>
          <w:p w14:paraId="783EF361"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w:t>
            </w:r>
            <w:r w:rsidRPr="009041D4">
              <w:rPr>
                <w:rFonts w:ascii="Arial" w:hAnsi="Arial" w:cs="Arial"/>
                <w:sz w:val="20"/>
                <w:szCs w:val="20"/>
              </w:rPr>
              <w:lastRenderedPageBreak/>
              <w:t xml:space="preserve">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FB70C1" w:rsidRPr="009041D4" w14:paraId="218B1CBB" w14:textId="77777777" w:rsidTr="006329CD">
        <w:tc>
          <w:tcPr>
            <w:tcW w:w="2830" w:type="dxa"/>
          </w:tcPr>
          <w:p w14:paraId="372C14B2" w14:textId="77777777" w:rsidR="00FB70C1" w:rsidRPr="009041D4" w:rsidRDefault="00FB70C1" w:rsidP="006329CD">
            <w:pPr>
              <w:spacing w:after="0"/>
              <w:ind w:right="49"/>
              <w:rPr>
                <w:rFonts w:ascii="Arial" w:hAnsi="Arial" w:cs="Arial"/>
              </w:rPr>
            </w:pPr>
            <w:r w:rsidRPr="009041D4">
              <w:rPr>
                <w:rFonts w:ascii="Arial" w:hAnsi="Arial" w:cs="Arial"/>
              </w:rPr>
              <w:lastRenderedPageBreak/>
              <w:t>Servicios de Interconexión:</w:t>
            </w:r>
          </w:p>
        </w:tc>
        <w:tc>
          <w:tcPr>
            <w:tcW w:w="5998" w:type="dxa"/>
          </w:tcPr>
          <w:p w14:paraId="3122CEA0" w14:textId="77777777" w:rsidR="00FB70C1" w:rsidRPr="009041D4" w:rsidRDefault="00FB70C1" w:rsidP="006329CD">
            <w:pPr>
              <w:spacing w:after="0"/>
              <w:ind w:right="49"/>
              <w:jc w:val="both"/>
              <w:rPr>
                <w:rFonts w:ascii="Arial" w:hAnsi="Arial" w:cs="Arial"/>
              </w:rPr>
            </w:pPr>
            <w:r w:rsidRPr="009041D4">
              <w:rPr>
                <w:rFonts w:ascii="Arial" w:hAnsi="Arial" w:cs="Arial"/>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1F5DA16D" w14:textId="77777777" w:rsidR="00FB70C1" w:rsidRPr="009041D4" w:rsidRDefault="00FB70C1" w:rsidP="006329CD">
            <w:pPr>
              <w:spacing w:after="0"/>
              <w:ind w:right="49"/>
              <w:jc w:val="both"/>
              <w:rPr>
                <w:rFonts w:ascii="Arial" w:hAnsi="Arial" w:cs="Arial"/>
              </w:rPr>
            </w:pPr>
          </w:p>
          <w:p w14:paraId="66068925" w14:textId="77777777" w:rsidR="00FB70C1" w:rsidRPr="009041D4" w:rsidRDefault="00FB70C1" w:rsidP="006329CD">
            <w:pPr>
              <w:spacing w:after="0"/>
              <w:ind w:right="49"/>
              <w:jc w:val="both"/>
              <w:rPr>
                <w:rFonts w:ascii="Arial" w:hAnsi="Arial" w:cs="Arial"/>
              </w:rPr>
            </w:pPr>
            <w:r w:rsidRPr="009041D4">
              <w:rPr>
                <w:rFonts w:ascii="Arial" w:hAnsi="Arial" w:cs="Arial"/>
              </w:rPr>
              <w:t>Los servicios de interconexión que deben ser proporcionados por los Concesionarios son los siguientes:</w:t>
            </w:r>
          </w:p>
          <w:p w14:paraId="23C83346" w14:textId="77777777" w:rsidR="00FB70C1" w:rsidRPr="009041D4" w:rsidRDefault="00FB70C1" w:rsidP="006329CD">
            <w:pPr>
              <w:spacing w:after="0"/>
              <w:ind w:right="49"/>
              <w:jc w:val="both"/>
              <w:rPr>
                <w:rFonts w:ascii="Arial" w:hAnsi="Arial" w:cs="Arial"/>
              </w:rPr>
            </w:pPr>
          </w:p>
          <w:p w14:paraId="5263CE4F"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Conducción de tráfico, que incluye su originación y terminación, así como llamadas y servicios de mensajes cortos.</w:t>
            </w:r>
          </w:p>
          <w:p w14:paraId="59EE8A49"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Enlaces de transmisión;</w:t>
            </w:r>
          </w:p>
          <w:p w14:paraId="2F3BE757"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Puertos de acceso;</w:t>
            </w:r>
          </w:p>
          <w:p w14:paraId="2826BFC3"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Señalización;</w:t>
            </w:r>
          </w:p>
          <w:p w14:paraId="7197566E"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Tránsito;</w:t>
            </w:r>
          </w:p>
          <w:p w14:paraId="55DBBBD0"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Coubicación;</w:t>
            </w:r>
          </w:p>
          <w:p w14:paraId="69C0EC28"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Compartición de infraestructura;</w:t>
            </w:r>
          </w:p>
          <w:p w14:paraId="2930B351"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Auxiliares conexos, y</w:t>
            </w:r>
          </w:p>
          <w:p w14:paraId="4C5BFCC6" w14:textId="77777777" w:rsidR="00FB70C1" w:rsidRPr="009041D4" w:rsidRDefault="00FB70C1" w:rsidP="00FB70C1">
            <w:pPr>
              <w:pStyle w:val="Prrafodelista"/>
              <w:numPr>
                <w:ilvl w:val="0"/>
                <w:numId w:val="3"/>
              </w:numPr>
              <w:spacing w:line="276" w:lineRule="auto"/>
              <w:ind w:right="49"/>
              <w:contextualSpacing/>
              <w:jc w:val="left"/>
              <w:rPr>
                <w:rFonts w:cs="Arial"/>
              </w:rPr>
            </w:pPr>
            <w:r w:rsidRPr="009041D4">
              <w:rPr>
                <w:rFonts w:cs="Arial"/>
              </w:rPr>
              <w:t>Facturación y Cobranza;</w:t>
            </w:r>
          </w:p>
          <w:p w14:paraId="7FFD034E" w14:textId="77777777" w:rsidR="00FB70C1" w:rsidRPr="009041D4" w:rsidRDefault="00FB70C1" w:rsidP="006329CD">
            <w:pPr>
              <w:spacing w:after="0"/>
              <w:ind w:right="49"/>
              <w:jc w:val="both"/>
              <w:rPr>
                <w:rFonts w:ascii="Arial" w:hAnsi="Arial" w:cs="Arial"/>
              </w:rPr>
            </w:pPr>
          </w:p>
          <w:p w14:paraId="2874BD33" w14:textId="77777777" w:rsidR="00FB70C1" w:rsidRPr="009041D4" w:rsidRDefault="00FB70C1" w:rsidP="006329CD">
            <w:pPr>
              <w:pStyle w:val="Default"/>
              <w:spacing w:line="276" w:lineRule="auto"/>
              <w:ind w:right="49"/>
              <w:jc w:val="both"/>
              <w:rPr>
                <w:rFonts w:ascii="Arial" w:hAnsi="Arial" w:cs="Arial"/>
                <w:sz w:val="20"/>
                <w:szCs w:val="20"/>
              </w:rPr>
            </w:pPr>
            <w:r w:rsidRPr="009041D4">
              <w:rPr>
                <w:rFonts w:ascii="Arial" w:hAnsi="Arial" w:cs="Arial"/>
                <w:sz w:val="20"/>
                <w:szCs w:val="20"/>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70D9E52F" w14:textId="77777777" w:rsidR="00FB70C1" w:rsidRPr="009041D4" w:rsidRDefault="00FB70C1" w:rsidP="00FB70C1">
      <w:pPr>
        <w:spacing w:after="0"/>
        <w:ind w:right="49"/>
        <w:jc w:val="both"/>
        <w:rPr>
          <w:rFonts w:ascii="Arial" w:hAnsi="Arial" w:cs="Arial"/>
        </w:rPr>
      </w:pPr>
    </w:p>
    <w:p w14:paraId="723A1F34" w14:textId="77777777" w:rsidR="00FB70C1" w:rsidRPr="009041D4" w:rsidRDefault="00FB70C1" w:rsidP="00FB70C1">
      <w:pPr>
        <w:spacing w:after="0"/>
        <w:ind w:right="49"/>
        <w:jc w:val="both"/>
        <w:rPr>
          <w:rFonts w:ascii="Arial" w:hAnsi="Arial" w:cs="Arial"/>
          <w:snapToGrid w:val="0"/>
          <w:color w:val="000000"/>
        </w:rPr>
      </w:pPr>
      <w:r w:rsidRPr="009041D4">
        <w:rPr>
          <w:rFonts w:ascii="Arial" w:hAnsi="Arial" w:cs="Arial"/>
          <w:snapToGrid w:val="0"/>
          <w:color w:val="000000"/>
        </w:rPr>
        <w:t xml:space="preserve">Aquellos términos no definidos en el presente Acuerdo, tendrán el significado que les corresponda conforme a la </w:t>
      </w:r>
      <w:r w:rsidRPr="009041D4">
        <w:rPr>
          <w:rFonts w:ascii="Arial" w:hAnsi="Arial" w:cs="Arial"/>
        </w:rPr>
        <w:t>LFTR</w:t>
      </w:r>
      <w:r w:rsidRPr="009041D4">
        <w:rPr>
          <w:rFonts w:ascii="Arial" w:hAnsi="Arial" w:cs="Arial"/>
          <w:snapToGrid w:val="0"/>
          <w:color w:val="000000"/>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3ACBF3B8" w14:textId="77777777" w:rsidR="00FB70C1" w:rsidRPr="009041D4" w:rsidRDefault="00FB70C1" w:rsidP="00FB70C1">
      <w:pPr>
        <w:spacing w:after="0"/>
        <w:ind w:right="49"/>
        <w:jc w:val="both"/>
        <w:rPr>
          <w:rFonts w:ascii="Arial" w:hAnsi="Arial" w:cs="Arial"/>
          <w:snapToGrid w:val="0"/>
          <w:color w:val="000000"/>
        </w:rPr>
      </w:pPr>
    </w:p>
    <w:p w14:paraId="3D51ADFD" w14:textId="77777777" w:rsidR="00FB70C1" w:rsidRPr="009041D4" w:rsidRDefault="00FB70C1" w:rsidP="00FB70C1">
      <w:pPr>
        <w:pStyle w:val="ANOTACION"/>
        <w:spacing w:before="0" w:after="0" w:line="276" w:lineRule="auto"/>
        <w:ind w:right="49"/>
        <w:rPr>
          <w:rFonts w:ascii="Arial" w:hAnsi="Arial" w:cs="Arial"/>
        </w:rPr>
      </w:pPr>
      <w:r w:rsidRPr="009041D4">
        <w:rPr>
          <w:rFonts w:ascii="Arial" w:hAnsi="Arial" w:cs="Arial"/>
          <w:sz w:val="22"/>
          <w:szCs w:val="22"/>
        </w:rPr>
        <w:t>CAPITULO III</w:t>
      </w:r>
    </w:p>
    <w:p w14:paraId="018C9C14" w14:textId="77777777" w:rsidR="00FB70C1" w:rsidRPr="009041D4" w:rsidRDefault="00FB70C1" w:rsidP="00FB70C1">
      <w:pPr>
        <w:spacing w:after="0"/>
        <w:ind w:right="51"/>
        <w:jc w:val="center"/>
        <w:rPr>
          <w:rFonts w:ascii="Arial" w:hAnsi="Arial" w:cs="Arial"/>
        </w:rPr>
      </w:pPr>
      <w:r w:rsidRPr="009041D4">
        <w:rPr>
          <w:rFonts w:ascii="Arial" w:hAnsi="Arial" w:cs="Arial"/>
          <w:b/>
        </w:rPr>
        <w:t>Condiciones Técnicas Mínimas</w:t>
      </w:r>
    </w:p>
    <w:p w14:paraId="0A4C6497" w14:textId="77777777" w:rsidR="00FB70C1" w:rsidRPr="009041D4" w:rsidRDefault="00FB70C1" w:rsidP="00FB70C1">
      <w:pPr>
        <w:spacing w:after="0"/>
        <w:ind w:right="49"/>
        <w:jc w:val="both"/>
        <w:rPr>
          <w:rFonts w:ascii="Arial" w:hAnsi="Arial" w:cs="Arial"/>
          <w:b/>
        </w:rPr>
      </w:pPr>
    </w:p>
    <w:p w14:paraId="2FBBA69C" w14:textId="77777777" w:rsidR="00FB70C1" w:rsidRPr="009041D4" w:rsidRDefault="00FB70C1" w:rsidP="00FB70C1">
      <w:pPr>
        <w:spacing w:after="0"/>
        <w:ind w:right="51"/>
        <w:jc w:val="both"/>
        <w:rPr>
          <w:rFonts w:ascii="Arial" w:hAnsi="Arial" w:cs="Arial"/>
        </w:rPr>
      </w:pPr>
      <w:r w:rsidRPr="009041D4">
        <w:rPr>
          <w:rFonts w:ascii="Arial" w:hAnsi="Arial" w:cs="Arial"/>
          <w:b/>
        </w:rPr>
        <w:lastRenderedPageBreak/>
        <w:t xml:space="preserve">TERCERA. - </w:t>
      </w:r>
      <w:r w:rsidRPr="009041D4">
        <w:rPr>
          <w:rFonts w:ascii="Arial" w:hAnsi="Arial" w:cs="Arial"/>
        </w:rPr>
        <w:t>La interconexión entre las redes públicas de telecomunicaciones deberá llevarse a cabo en los puntos de interconexión que cada concesionario haya designado, los cuales deberán establecerse mediante el protocolo de internet (IP).</w:t>
      </w:r>
    </w:p>
    <w:p w14:paraId="4CF38507" w14:textId="77777777" w:rsidR="00FB70C1" w:rsidRPr="009041D4" w:rsidRDefault="00FB70C1" w:rsidP="00FB70C1">
      <w:pPr>
        <w:spacing w:after="0"/>
        <w:ind w:right="51"/>
        <w:jc w:val="both"/>
        <w:rPr>
          <w:rFonts w:ascii="Arial" w:hAnsi="Arial" w:cs="Arial"/>
        </w:rPr>
      </w:pPr>
    </w:p>
    <w:p w14:paraId="35433147" w14:textId="77777777" w:rsidR="00FB70C1" w:rsidRPr="009041D4" w:rsidRDefault="00FB70C1" w:rsidP="00FB70C1">
      <w:pPr>
        <w:spacing w:after="0"/>
        <w:ind w:right="51"/>
        <w:jc w:val="both"/>
        <w:rPr>
          <w:rFonts w:ascii="Arial" w:hAnsi="Arial" w:cs="Arial"/>
        </w:rPr>
      </w:pPr>
      <w:r w:rsidRPr="009041D4">
        <w:rPr>
          <w:rFonts w:ascii="Arial" w:hAnsi="Arial" w:cs="Arial"/>
        </w:rPr>
        <w:t>El Concesionario Solicitado deberá proporcionar un listado de los puntos de interconexión que tenga disponibles al Concesionario Solicitante para realizar el intercambio de tráfico, dicho listado deberá contener la siguiente información:</w:t>
      </w:r>
    </w:p>
    <w:p w14:paraId="6DC636C6" w14:textId="77777777" w:rsidR="00FB70C1" w:rsidRPr="009041D4" w:rsidRDefault="00FB70C1" w:rsidP="00FB70C1">
      <w:pPr>
        <w:spacing w:after="0"/>
        <w:ind w:right="51"/>
        <w:jc w:val="both"/>
        <w:rPr>
          <w:rFonts w:ascii="Arial" w:hAnsi="Arial" w:cs="Arial"/>
        </w:rPr>
      </w:pPr>
    </w:p>
    <w:p w14:paraId="68303CCB" w14:textId="77777777" w:rsidR="00FB70C1" w:rsidRPr="009041D4" w:rsidRDefault="00FB70C1" w:rsidP="00FB70C1">
      <w:pPr>
        <w:pStyle w:val="Prrafodelista"/>
        <w:numPr>
          <w:ilvl w:val="0"/>
          <w:numId w:val="4"/>
        </w:numPr>
        <w:spacing w:line="276" w:lineRule="auto"/>
        <w:ind w:right="51"/>
        <w:contextualSpacing/>
        <w:rPr>
          <w:rFonts w:cs="Arial"/>
        </w:rPr>
      </w:pPr>
      <w:r w:rsidRPr="009041D4">
        <w:rPr>
          <w:rFonts w:cs="Arial"/>
        </w:rPr>
        <w:t>Nombre e identificación de los puntos de interconexión.</w:t>
      </w:r>
    </w:p>
    <w:p w14:paraId="1D99231F" w14:textId="77777777" w:rsidR="00FB70C1" w:rsidRPr="009041D4" w:rsidRDefault="00FB70C1" w:rsidP="00FB70C1">
      <w:pPr>
        <w:pStyle w:val="Prrafodelista"/>
        <w:numPr>
          <w:ilvl w:val="0"/>
          <w:numId w:val="4"/>
        </w:numPr>
        <w:spacing w:line="276" w:lineRule="auto"/>
        <w:ind w:right="51"/>
        <w:contextualSpacing/>
        <w:rPr>
          <w:rFonts w:cs="Arial"/>
        </w:rPr>
      </w:pPr>
      <w:r w:rsidRPr="009041D4">
        <w:rPr>
          <w:rFonts w:cs="Arial"/>
        </w:rPr>
        <w:t>Dirección y coordenadas geográficas de los puntos de interconexión.</w:t>
      </w:r>
    </w:p>
    <w:p w14:paraId="16E51AE8" w14:textId="77777777" w:rsidR="00FB70C1" w:rsidRPr="009041D4" w:rsidRDefault="00FB70C1" w:rsidP="00FB70C1">
      <w:pPr>
        <w:pStyle w:val="Prrafodelista"/>
        <w:numPr>
          <w:ilvl w:val="0"/>
          <w:numId w:val="4"/>
        </w:numPr>
        <w:spacing w:line="276" w:lineRule="auto"/>
        <w:ind w:right="51"/>
        <w:contextualSpacing/>
        <w:rPr>
          <w:rFonts w:cs="Arial"/>
        </w:rPr>
      </w:pPr>
      <w:r w:rsidRPr="009041D4">
        <w:rPr>
          <w:rFonts w:cs="Arial"/>
        </w:rPr>
        <w:t>Direcciones IP de los Controladores de Frontera de Sesión (SBC del inglés Session Border Controller) y/o de los gateways que permitan la interconexión.</w:t>
      </w:r>
    </w:p>
    <w:p w14:paraId="6E45E40F" w14:textId="77777777" w:rsidR="00FB70C1" w:rsidRPr="009041D4" w:rsidRDefault="00FB70C1" w:rsidP="00FB70C1">
      <w:pPr>
        <w:pStyle w:val="Prrafodelista"/>
        <w:spacing w:line="276" w:lineRule="auto"/>
        <w:ind w:right="51"/>
        <w:rPr>
          <w:rFonts w:cs="Arial"/>
        </w:rPr>
      </w:pPr>
    </w:p>
    <w:p w14:paraId="0A4B12FB" w14:textId="77777777" w:rsidR="00FB70C1" w:rsidRPr="009041D4" w:rsidRDefault="00FB70C1" w:rsidP="00FB70C1">
      <w:pPr>
        <w:spacing w:after="0"/>
        <w:ind w:right="51"/>
        <w:jc w:val="both"/>
        <w:rPr>
          <w:rFonts w:ascii="Arial" w:hAnsi="Arial" w:cs="Arial"/>
        </w:rPr>
      </w:pPr>
      <w:r w:rsidRPr="009041D4">
        <w:rPr>
          <w:rFonts w:ascii="Arial" w:hAnsi="Arial" w:cs="Arial"/>
        </w:rPr>
        <w:t>Los concesionarios de redes públicas de telecomunicaciones podrán continuar intercambiando tráfico en los puntos de interconexión con tecnología TDM (Multiplexación por División de Tiempo) hasta el 31 de enero de 2022 en los puntos de interconexión que tengan convenidos.</w:t>
      </w:r>
    </w:p>
    <w:p w14:paraId="7D23E0A6" w14:textId="77777777" w:rsidR="00FB70C1" w:rsidRPr="009041D4" w:rsidRDefault="00FB70C1" w:rsidP="00FB70C1">
      <w:pPr>
        <w:spacing w:after="0"/>
        <w:ind w:right="49"/>
        <w:jc w:val="both"/>
        <w:rPr>
          <w:rFonts w:ascii="Arial" w:hAnsi="Arial" w:cs="Arial"/>
        </w:rPr>
      </w:pPr>
    </w:p>
    <w:p w14:paraId="646E4CB8"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Los concesionarios deberán contar con redundancia entre sitios o entre puntos de interconexión para garantizar la continuidad en la prestación del servicio. </w:t>
      </w:r>
    </w:p>
    <w:p w14:paraId="768217F7" w14:textId="77777777" w:rsidR="00FB70C1" w:rsidRPr="009041D4" w:rsidRDefault="00FB70C1" w:rsidP="00FB70C1">
      <w:pPr>
        <w:spacing w:after="0"/>
        <w:ind w:right="49"/>
        <w:jc w:val="both"/>
        <w:rPr>
          <w:rFonts w:ascii="Arial" w:hAnsi="Arial" w:cs="Arial"/>
        </w:rPr>
      </w:pPr>
    </w:p>
    <w:p w14:paraId="77DE58DC"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cuando así convenga a sus necesidades de tráfico, podrán establecer redundancia física con conexión a dos puntos de interconexión en la misma ciudad con diversidad de trayectoria.</w:t>
      </w:r>
    </w:p>
    <w:p w14:paraId="2803F320" w14:textId="77777777" w:rsidR="00FB70C1" w:rsidRPr="009041D4" w:rsidRDefault="00FB70C1" w:rsidP="00FB70C1">
      <w:pPr>
        <w:spacing w:after="0"/>
        <w:ind w:right="49"/>
        <w:jc w:val="both"/>
        <w:rPr>
          <w:rFonts w:ascii="Arial" w:hAnsi="Arial" w:cs="Arial"/>
        </w:rPr>
      </w:pPr>
    </w:p>
    <w:p w14:paraId="3A92C833" w14:textId="77777777" w:rsidR="00FB70C1" w:rsidRPr="009041D4" w:rsidRDefault="00FB70C1" w:rsidP="00FB70C1">
      <w:pPr>
        <w:spacing w:after="0"/>
        <w:ind w:right="49"/>
        <w:jc w:val="both"/>
        <w:rPr>
          <w:rFonts w:ascii="Arial" w:hAnsi="Arial" w:cs="Arial"/>
        </w:rPr>
      </w:pPr>
      <w:r w:rsidRPr="009041D4">
        <w:rPr>
          <w:rFonts w:ascii="Arial" w:hAnsi="Arial" w:cs="Arial"/>
          <w:b/>
        </w:rPr>
        <w:t xml:space="preserve">CUARTA. - </w:t>
      </w:r>
      <w:r w:rsidRPr="009041D4">
        <w:rPr>
          <w:rFonts w:ascii="Arial" w:hAnsi="Arial" w:cs="Arial"/>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2C17217F" w14:textId="77777777" w:rsidR="00FB70C1" w:rsidRPr="009041D4" w:rsidRDefault="00FB70C1" w:rsidP="00FB70C1">
      <w:pPr>
        <w:spacing w:after="0"/>
        <w:jc w:val="both"/>
        <w:rPr>
          <w:rFonts w:ascii="Arial" w:hAnsi="Arial" w:cs="Arial"/>
        </w:rPr>
      </w:pPr>
    </w:p>
    <w:p w14:paraId="0E6CDE3B" w14:textId="77777777" w:rsidR="00FB70C1" w:rsidRPr="009041D4" w:rsidRDefault="00FB70C1" w:rsidP="00FB70C1">
      <w:pPr>
        <w:spacing w:after="0"/>
        <w:jc w:val="both"/>
        <w:rPr>
          <w:rFonts w:ascii="Arial" w:hAnsi="Arial" w:cs="Arial"/>
        </w:rPr>
      </w:pPr>
      <w:r w:rsidRPr="009041D4">
        <w:rPr>
          <w:rFonts w:ascii="Arial" w:hAnsi="Arial" w:cs="Arial"/>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01962FCA" w14:textId="77777777" w:rsidR="00FB70C1" w:rsidRPr="009041D4" w:rsidRDefault="00FB70C1" w:rsidP="00FB70C1">
      <w:pPr>
        <w:spacing w:after="0"/>
        <w:ind w:right="49"/>
        <w:jc w:val="both"/>
        <w:rPr>
          <w:rFonts w:ascii="Arial" w:hAnsi="Arial" w:cs="Arial"/>
        </w:rPr>
      </w:pPr>
    </w:p>
    <w:p w14:paraId="79B40E41" w14:textId="77777777" w:rsidR="00FB70C1" w:rsidRPr="009041D4" w:rsidRDefault="00FB70C1" w:rsidP="00FB70C1">
      <w:pPr>
        <w:spacing w:after="0"/>
        <w:ind w:right="49"/>
        <w:jc w:val="both"/>
        <w:rPr>
          <w:rFonts w:ascii="Arial" w:hAnsi="Arial" w:cs="Arial"/>
        </w:rPr>
      </w:pPr>
      <w:r w:rsidRPr="009041D4">
        <w:rPr>
          <w:rFonts w:ascii="Arial" w:hAnsi="Arial" w:cs="Arial"/>
          <w:b/>
        </w:rPr>
        <w:t xml:space="preserve">QUINTA. - </w:t>
      </w:r>
      <w:r w:rsidRPr="009041D4">
        <w:rPr>
          <w:rFonts w:ascii="Arial" w:hAnsi="Arial" w:cs="Arial"/>
        </w:rPr>
        <w:t>Los enlaces de transmisión para realizar la interconexión deberán tener las siguientes características:</w:t>
      </w:r>
    </w:p>
    <w:p w14:paraId="0B93C476" w14:textId="77777777" w:rsidR="00FB70C1" w:rsidRPr="009041D4" w:rsidRDefault="00FB70C1" w:rsidP="00FB70C1">
      <w:pPr>
        <w:spacing w:after="0"/>
        <w:ind w:right="49"/>
        <w:jc w:val="both"/>
        <w:rPr>
          <w:rFonts w:ascii="Arial" w:hAnsi="Arial" w:cs="Arial"/>
        </w:rPr>
      </w:pPr>
    </w:p>
    <w:p w14:paraId="3EE490A6" w14:textId="77777777" w:rsidR="00FB70C1" w:rsidRPr="009041D4" w:rsidRDefault="00FB70C1" w:rsidP="00FB70C1">
      <w:pPr>
        <w:pStyle w:val="Prrafodelista"/>
        <w:numPr>
          <w:ilvl w:val="0"/>
          <w:numId w:val="4"/>
        </w:numPr>
        <w:spacing w:line="276" w:lineRule="auto"/>
        <w:ind w:right="49"/>
        <w:contextualSpacing/>
        <w:rPr>
          <w:rFonts w:cs="Arial"/>
        </w:rPr>
      </w:pPr>
      <w:r w:rsidRPr="009041D4">
        <w:rPr>
          <w:rFonts w:cs="Arial"/>
        </w:rPr>
        <w:t>Tecnología Ethernet de 1 Gbps.</w:t>
      </w:r>
    </w:p>
    <w:p w14:paraId="618E0978" w14:textId="6E78474D" w:rsidR="00FB70C1" w:rsidRPr="009041D4" w:rsidRDefault="00FB70C1" w:rsidP="00FB70C1">
      <w:pPr>
        <w:pStyle w:val="Prrafodelista"/>
        <w:numPr>
          <w:ilvl w:val="0"/>
          <w:numId w:val="4"/>
        </w:numPr>
        <w:spacing w:line="276" w:lineRule="auto"/>
        <w:ind w:right="49"/>
        <w:contextualSpacing/>
        <w:rPr>
          <w:rFonts w:cs="Arial"/>
        </w:rPr>
      </w:pPr>
      <w:r w:rsidRPr="009041D4">
        <w:rPr>
          <w:rFonts w:cs="Arial"/>
        </w:rPr>
        <w:lastRenderedPageBreak/>
        <w:t>Fibra óptica monomodo con conector LC de acuerdo al estándar 1000 BASE–LX especificado en IEEE 802.3</w:t>
      </w:r>
      <w:r w:rsidR="008422EF">
        <w:rPr>
          <w:rFonts w:cs="Arial"/>
        </w:rPr>
        <w:t>-</w:t>
      </w:r>
      <w:r w:rsidR="006A10FD" w:rsidRPr="009041D4">
        <w:rPr>
          <w:rFonts w:cs="Arial"/>
        </w:rPr>
        <w:t>201</w:t>
      </w:r>
      <w:r w:rsidR="006A10FD">
        <w:rPr>
          <w:rFonts w:cs="Arial"/>
        </w:rPr>
        <w:t>8</w:t>
      </w:r>
      <w:r w:rsidR="002359B6">
        <w:rPr>
          <w:rStyle w:val="Refdenotaalpie"/>
          <w:rFonts w:cs="Arial"/>
        </w:rPr>
        <w:footnoteReference w:id="2"/>
      </w:r>
      <w:r w:rsidRPr="009041D4">
        <w:rPr>
          <w:rFonts w:cs="Arial"/>
        </w:rPr>
        <w:t>.</w:t>
      </w:r>
    </w:p>
    <w:p w14:paraId="210E2048" w14:textId="77777777" w:rsidR="00FB70C1" w:rsidRPr="009041D4" w:rsidRDefault="00FB70C1" w:rsidP="00FB70C1">
      <w:pPr>
        <w:pStyle w:val="Prrafodelista"/>
        <w:numPr>
          <w:ilvl w:val="0"/>
          <w:numId w:val="4"/>
        </w:numPr>
        <w:spacing w:line="276" w:lineRule="auto"/>
        <w:ind w:right="49"/>
        <w:contextualSpacing/>
        <w:rPr>
          <w:rFonts w:cs="Arial"/>
        </w:rPr>
      </w:pPr>
      <w:r w:rsidRPr="009041D4">
        <w:rPr>
          <w:rFonts w:cs="Arial"/>
        </w:rPr>
        <w:t>Tamaño de trama de 1 536 bytes, la utilización de Jumbo Frames será de común acuerdo entre las partes.</w:t>
      </w:r>
    </w:p>
    <w:p w14:paraId="35F91BE9" w14:textId="77777777" w:rsidR="00FB70C1" w:rsidRPr="009041D4" w:rsidRDefault="00FB70C1" w:rsidP="00FB70C1">
      <w:pPr>
        <w:tabs>
          <w:tab w:val="left" w:pos="-142"/>
        </w:tabs>
        <w:spacing w:after="0"/>
        <w:ind w:right="49"/>
        <w:jc w:val="both"/>
        <w:rPr>
          <w:rFonts w:ascii="Arial" w:hAnsi="Arial" w:cs="Arial"/>
        </w:rPr>
      </w:pPr>
    </w:p>
    <w:p w14:paraId="30B08480" w14:textId="77777777" w:rsidR="00FB70C1" w:rsidRPr="009041D4" w:rsidRDefault="00FB70C1" w:rsidP="00FB70C1">
      <w:pPr>
        <w:tabs>
          <w:tab w:val="left" w:pos="-142"/>
        </w:tabs>
        <w:spacing w:after="0"/>
        <w:ind w:right="49"/>
        <w:jc w:val="both"/>
        <w:rPr>
          <w:rFonts w:ascii="Arial" w:hAnsi="Arial" w:cs="Arial"/>
        </w:rPr>
      </w:pPr>
      <w:r w:rsidRPr="009041D4">
        <w:rPr>
          <w:rFonts w:ascii="Arial" w:hAnsi="Arial"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7ED7E795" w14:textId="77777777" w:rsidR="00FB70C1" w:rsidRPr="009041D4" w:rsidRDefault="00FB70C1" w:rsidP="00FB70C1">
      <w:pPr>
        <w:tabs>
          <w:tab w:val="left" w:pos="-142"/>
        </w:tabs>
        <w:spacing w:after="0"/>
        <w:ind w:right="49"/>
        <w:jc w:val="both"/>
        <w:rPr>
          <w:rFonts w:ascii="Arial" w:hAnsi="Arial" w:cs="Arial"/>
        </w:rPr>
      </w:pPr>
    </w:p>
    <w:p w14:paraId="3BDC2B1A" w14:textId="77777777" w:rsidR="00FB70C1" w:rsidRPr="009041D4" w:rsidRDefault="00FB70C1" w:rsidP="00FB70C1">
      <w:pPr>
        <w:spacing w:after="0"/>
        <w:ind w:right="49"/>
        <w:jc w:val="both"/>
        <w:rPr>
          <w:rFonts w:ascii="Arial" w:hAnsi="Arial" w:cs="Arial"/>
        </w:rPr>
      </w:pPr>
      <w:r w:rsidRPr="009041D4">
        <w:rPr>
          <w:rFonts w:ascii="Arial" w:hAnsi="Arial" w:cs="Arial"/>
        </w:rPr>
        <w:object w:dxaOrig="13546" w:dyaOrig="3390" w14:anchorId="11206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75pt;height:107.7pt" o:ole="">
            <v:imagedata r:id="rId11" o:title=""/>
          </v:shape>
          <o:OLEObject Type="Embed" ProgID="Visio.Drawing.15" ShapeID="_x0000_i1025" DrawAspect="Content" ObjectID="_1660649267" r:id="rId12"/>
        </w:object>
      </w:r>
    </w:p>
    <w:p w14:paraId="086E548C" w14:textId="61FC8697" w:rsidR="00FB70C1" w:rsidRPr="009041D4" w:rsidRDefault="00FB70C1" w:rsidP="00FB70C1">
      <w:pPr>
        <w:pStyle w:val="Prrafodelista"/>
        <w:autoSpaceDE w:val="0"/>
        <w:autoSpaceDN w:val="0"/>
        <w:adjustRightInd w:val="0"/>
        <w:spacing w:line="276" w:lineRule="auto"/>
        <w:ind w:left="0" w:right="49"/>
        <w:jc w:val="center"/>
        <w:rPr>
          <w:rFonts w:cs="Arial"/>
          <w:sz w:val="18"/>
        </w:rPr>
      </w:pPr>
      <w:r w:rsidRPr="009041D4">
        <w:rPr>
          <w:rFonts w:cs="Arial"/>
          <w:sz w:val="18"/>
        </w:rPr>
        <w:t>Figura 1</w:t>
      </w:r>
      <w:r w:rsidR="001F3325" w:rsidRPr="009041D4">
        <w:rPr>
          <w:rFonts w:cs="Arial"/>
          <w:sz w:val="18"/>
        </w:rPr>
        <w:t>.</w:t>
      </w:r>
      <w:r w:rsidRPr="009041D4">
        <w:rPr>
          <w:rFonts w:cs="Arial"/>
          <w:sz w:val="18"/>
        </w:rPr>
        <w:t xml:space="preserve"> Topología de interconexión SBC-SBC</w:t>
      </w:r>
    </w:p>
    <w:p w14:paraId="0BAE3902" w14:textId="77777777" w:rsidR="00FB70C1" w:rsidRPr="009041D4" w:rsidRDefault="00FB70C1" w:rsidP="00FB70C1">
      <w:pPr>
        <w:spacing w:after="0"/>
        <w:ind w:right="49"/>
        <w:jc w:val="both"/>
        <w:rPr>
          <w:rFonts w:ascii="Arial" w:hAnsi="Arial" w:cs="Arial"/>
        </w:rPr>
      </w:pPr>
    </w:p>
    <w:p w14:paraId="35CDB368" w14:textId="205F4987" w:rsidR="00637781" w:rsidRPr="009041D4" w:rsidRDefault="001B025A" w:rsidP="00637781">
      <w:pPr>
        <w:spacing w:after="0"/>
        <w:ind w:right="49"/>
        <w:jc w:val="both"/>
        <w:rPr>
          <w:rFonts w:ascii="Arial" w:hAnsi="Arial" w:cs="Arial"/>
        </w:rPr>
      </w:pPr>
      <w:r w:rsidRPr="009041D4">
        <w:rPr>
          <w:rFonts w:ascii="Arial" w:hAnsi="Arial" w:cs="Arial"/>
        </w:rPr>
        <w:t>Los SBC deberán contar con la capacidad de procesamiento de tráfico necesaria para soportar la totalidad de tráfico de interconexión que reciban</w:t>
      </w:r>
      <w:r w:rsidR="00637781" w:rsidRPr="009041D4">
        <w:rPr>
          <w:rFonts w:ascii="Arial" w:hAnsi="Arial" w:cs="Arial"/>
        </w:rPr>
        <w:t xml:space="preserve">. </w:t>
      </w:r>
    </w:p>
    <w:p w14:paraId="2F6860AB" w14:textId="77777777" w:rsidR="00637781" w:rsidRPr="009041D4" w:rsidRDefault="00637781" w:rsidP="00FB70C1">
      <w:pPr>
        <w:spacing w:after="0"/>
        <w:ind w:right="49"/>
        <w:jc w:val="both"/>
        <w:rPr>
          <w:rFonts w:ascii="Arial" w:hAnsi="Arial" w:cs="Arial"/>
        </w:rPr>
      </w:pPr>
    </w:p>
    <w:p w14:paraId="52514953" w14:textId="77777777" w:rsidR="00FB70C1" w:rsidRPr="009041D4" w:rsidRDefault="00FB70C1" w:rsidP="00FB70C1">
      <w:pPr>
        <w:spacing w:after="0"/>
        <w:ind w:right="49"/>
        <w:jc w:val="both"/>
        <w:rPr>
          <w:rFonts w:ascii="Arial" w:hAnsi="Arial" w:cs="Arial"/>
        </w:rPr>
      </w:pPr>
      <w:r w:rsidRPr="009041D4">
        <w:rPr>
          <w:rFonts w:ascii="Arial" w:hAnsi="Arial" w:cs="Arial"/>
        </w:rPr>
        <w:t>Tratándose del servicio de mensajes cortos, la interconexión se llevará a cabo de manera directa, mediante el establecimiento de enlaces dedicados entre los concesionarios que intercambian tráfico.</w:t>
      </w:r>
    </w:p>
    <w:p w14:paraId="1376E0C1" w14:textId="77777777" w:rsidR="00FB70C1" w:rsidRPr="009041D4" w:rsidRDefault="00FB70C1" w:rsidP="00FB70C1">
      <w:pPr>
        <w:spacing w:after="0"/>
        <w:ind w:right="49"/>
        <w:jc w:val="both"/>
        <w:rPr>
          <w:rFonts w:ascii="Arial" w:hAnsi="Arial" w:cs="Arial"/>
          <w:sz w:val="18"/>
        </w:rPr>
      </w:pPr>
    </w:p>
    <w:p w14:paraId="5298F94B"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podrán establecer otros esquemas de interconexión siempre que ello les permita llevar a cabo una efectiva y eficaz interconexión e interoperabilidad de sus redes públicas de telecomunicaciones.</w:t>
      </w:r>
    </w:p>
    <w:p w14:paraId="51A0A064" w14:textId="77777777" w:rsidR="00FB70C1" w:rsidRPr="009041D4" w:rsidRDefault="00FB70C1" w:rsidP="00FB70C1">
      <w:pPr>
        <w:spacing w:after="0"/>
        <w:ind w:right="49"/>
        <w:jc w:val="both"/>
        <w:rPr>
          <w:rFonts w:ascii="Arial" w:hAnsi="Arial" w:cs="Arial"/>
        </w:rPr>
      </w:pPr>
    </w:p>
    <w:p w14:paraId="1A35F69F" w14:textId="77777777" w:rsidR="00FB70C1" w:rsidRPr="009041D4" w:rsidRDefault="00FB70C1" w:rsidP="00FB70C1">
      <w:pPr>
        <w:spacing w:after="0"/>
        <w:ind w:right="51"/>
        <w:jc w:val="both"/>
        <w:rPr>
          <w:rFonts w:ascii="Arial" w:hAnsi="Arial" w:cs="Arial"/>
        </w:rPr>
      </w:pPr>
      <w:r w:rsidRPr="009041D4">
        <w:rPr>
          <w:rFonts w:ascii="Arial" w:hAnsi="Arial" w:cs="Arial"/>
        </w:rPr>
        <w:t>Los concesionarios de redes públicas de telecomunicaciones podrán continuar intercambiando tráfico mediante tecnología TDM, para lo cual los enlaces serán los que las partes tengan instalados con sus respectivas características.</w:t>
      </w:r>
    </w:p>
    <w:p w14:paraId="2342E085" w14:textId="77777777" w:rsidR="00FB70C1" w:rsidRPr="009041D4" w:rsidRDefault="00FB70C1" w:rsidP="00FB70C1">
      <w:pPr>
        <w:spacing w:after="0"/>
        <w:ind w:right="49"/>
        <w:jc w:val="both"/>
        <w:rPr>
          <w:rFonts w:ascii="Arial" w:hAnsi="Arial" w:cs="Arial"/>
        </w:rPr>
      </w:pPr>
    </w:p>
    <w:p w14:paraId="57AC0EFA" w14:textId="77777777" w:rsidR="00FB70C1" w:rsidRPr="009041D4" w:rsidRDefault="00FB70C1" w:rsidP="00FB70C1">
      <w:pPr>
        <w:spacing w:after="0"/>
        <w:ind w:right="49"/>
        <w:jc w:val="both"/>
        <w:rPr>
          <w:rFonts w:ascii="Arial" w:hAnsi="Arial" w:cs="Arial"/>
        </w:rPr>
      </w:pPr>
      <w:r w:rsidRPr="009041D4">
        <w:rPr>
          <w:rFonts w:ascii="Arial" w:hAnsi="Arial"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7EC783A7" w14:textId="77777777" w:rsidR="00FB70C1" w:rsidRPr="009041D4" w:rsidRDefault="00FB70C1" w:rsidP="00FB70C1">
      <w:pPr>
        <w:spacing w:after="0"/>
        <w:ind w:right="49"/>
        <w:jc w:val="both"/>
        <w:rPr>
          <w:rFonts w:ascii="Arial" w:hAnsi="Arial" w:cs="Arial"/>
        </w:rPr>
      </w:pPr>
    </w:p>
    <w:p w14:paraId="4712A104" w14:textId="77777777" w:rsidR="00FB70C1" w:rsidRPr="009041D4" w:rsidRDefault="00FB70C1" w:rsidP="00FB70C1">
      <w:pPr>
        <w:spacing w:after="0"/>
        <w:ind w:right="49"/>
        <w:jc w:val="both"/>
        <w:rPr>
          <w:rFonts w:ascii="Arial" w:hAnsi="Arial" w:cs="Arial"/>
        </w:rPr>
      </w:pPr>
      <w:r w:rsidRPr="009041D4">
        <w:rPr>
          <w:rFonts w:ascii="Arial" w:hAnsi="Arial" w:cs="Arial"/>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30B80054" w14:textId="77777777" w:rsidR="00FB70C1" w:rsidRPr="009041D4" w:rsidRDefault="00FB70C1" w:rsidP="00FB70C1">
      <w:pPr>
        <w:spacing w:after="0"/>
        <w:ind w:right="49"/>
        <w:jc w:val="both"/>
        <w:rPr>
          <w:rFonts w:ascii="Arial" w:hAnsi="Arial" w:cs="Arial"/>
        </w:rPr>
      </w:pPr>
    </w:p>
    <w:p w14:paraId="1DF1633F"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interconectados deberán tener redundancia en los enlaces de transmisión que favorezca la continuidad en la prestación del servicio.</w:t>
      </w:r>
    </w:p>
    <w:p w14:paraId="50791B5D" w14:textId="77777777" w:rsidR="00FB70C1" w:rsidRPr="009041D4" w:rsidRDefault="00FB70C1" w:rsidP="00FB70C1">
      <w:pPr>
        <w:spacing w:after="0"/>
        <w:ind w:right="49"/>
        <w:jc w:val="both"/>
        <w:rPr>
          <w:rFonts w:ascii="Arial" w:hAnsi="Arial" w:cs="Arial"/>
        </w:rPr>
      </w:pPr>
    </w:p>
    <w:p w14:paraId="511B9075" w14:textId="77777777" w:rsidR="00FB70C1" w:rsidRPr="009041D4" w:rsidRDefault="00FB70C1" w:rsidP="00FB70C1">
      <w:pPr>
        <w:spacing w:after="0"/>
        <w:ind w:right="49"/>
        <w:jc w:val="both"/>
        <w:rPr>
          <w:rFonts w:ascii="Arial" w:hAnsi="Arial" w:cs="Arial"/>
        </w:rPr>
      </w:pPr>
      <w:r w:rsidRPr="009041D4">
        <w:rPr>
          <w:rFonts w:ascii="Arial" w:hAnsi="Arial" w:cs="Arial"/>
          <w:b/>
        </w:rPr>
        <w:t xml:space="preserve">SEXTA. - </w:t>
      </w:r>
      <w:r w:rsidRPr="009041D4">
        <w:rPr>
          <w:rFonts w:ascii="Arial" w:hAnsi="Arial" w:cs="Arial"/>
        </w:rPr>
        <w:t xml:space="preserve">Los puertos de acceso que proporcione el Concesionario Solicitado serán de capacidades acordes a la capacidad del enlace de transmisión de interconexión. </w:t>
      </w:r>
    </w:p>
    <w:p w14:paraId="2981B1E5" w14:textId="77777777" w:rsidR="00FB70C1" w:rsidRPr="009041D4" w:rsidRDefault="00FB70C1" w:rsidP="00FB70C1">
      <w:pPr>
        <w:spacing w:after="0"/>
        <w:ind w:right="49"/>
        <w:jc w:val="both"/>
        <w:rPr>
          <w:rFonts w:ascii="Arial" w:hAnsi="Arial" w:cs="Arial"/>
        </w:rPr>
      </w:pPr>
    </w:p>
    <w:p w14:paraId="6F926C6A" w14:textId="77777777" w:rsidR="00FB70C1" w:rsidRPr="009041D4" w:rsidRDefault="00FB70C1" w:rsidP="00FB70C1">
      <w:pPr>
        <w:spacing w:after="0"/>
        <w:ind w:right="49"/>
        <w:jc w:val="both"/>
        <w:rPr>
          <w:rFonts w:ascii="Arial" w:hAnsi="Arial" w:cs="Arial"/>
        </w:rPr>
      </w:pPr>
      <w:r w:rsidRPr="009041D4">
        <w:rPr>
          <w:rFonts w:ascii="Arial" w:hAnsi="Arial" w:cs="Arial"/>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14:paraId="5F56109F" w14:textId="77777777" w:rsidR="00FB70C1" w:rsidRPr="009041D4" w:rsidRDefault="00FB70C1" w:rsidP="00FB70C1">
      <w:pPr>
        <w:spacing w:after="0"/>
        <w:ind w:right="49"/>
        <w:jc w:val="both"/>
        <w:rPr>
          <w:rFonts w:ascii="Arial" w:hAnsi="Arial" w:cs="Arial"/>
        </w:rPr>
      </w:pPr>
    </w:p>
    <w:p w14:paraId="03C8962E"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interconectados deberán tener redundancia en los puertos de acceso que favorezca la continuidad en la prestación del servicio.</w:t>
      </w:r>
    </w:p>
    <w:p w14:paraId="41362433" w14:textId="77777777" w:rsidR="00FB70C1" w:rsidRPr="009041D4" w:rsidRDefault="00FB70C1" w:rsidP="00FB70C1">
      <w:pPr>
        <w:spacing w:after="0"/>
        <w:ind w:right="49"/>
        <w:jc w:val="both"/>
        <w:rPr>
          <w:rFonts w:ascii="Arial" w:hAnsi="Arial" w:cs="Arial"/>
          <w:b/>
        </w:rPr>
      </w:pPr>
    </w:p>
    <w:p w14:paraId="551788ED" w14:textId="77777777" w:rsidR="00FB70C1" w:rsidRPr="009041D4" w:rsidRDefault="00FB70C1" w:rsidP="00FB70C1">
      <w:pPr>
        <w:spacing w:after="0"/>
        <w:ind w:right="49"/>
        <w:jc w:val="both"/>
        <w:rPr>
          <w:rFonts w:ascii="Arial" w:hAnsi="Arial" w:cs="Arial"/>
        </w:rPr>
      </w:pPr>
      <w:r w:rsidRPr="009041D4">
        <w:rPr>
          <w:rFonts w:ascii="Arial" w:hAnsi="Arial" w:cs="Arial"/>
        </w:rPr>
        <w:t>Los puertos de acceso de acuerdo a la tecnología utilizada deberán cumplir las siguientes características:</w:t>
      </w:r>
    </w:p>
    <w:p w14:paraId="02ECC21F" w14:textId="77777777" w:rsidR="00FB70C1" w:rsidRPr="009041D4" w:rsidRDefault="00FB70C1" w:rsidP="00FB70C1">
      <w:pPr>
        <w:spacing w:after="0"/>
        <w:ind w:right="49"/>
        <w:jc w:val="both"/>
        <w:rPr>
          <w:rFonts w:ascii="Arial" w:hAnsi="Arial" w:cs="Arial"/>
        </w:rPr>
      </w:pPr>
    </w:p>
    <w:p w14:paraId="4FDFC074" w14:textId="77777777" w:rsidR="00FB70C1" w:rsidRPr="009041D4" w:rsidRDefault="00FB70C1" w:rsidP="00FB70C1">
      <w:pPr>
        <w:tabs>
          <w:tab w:val="left" w:pos="0"/>
        </w:tabs>
        <w:spacing w:after="0"/>
        <w:ind w:right="49"/>
        <w:jc w:val="both"/>
        <w:rPr>
          <w:rFonts w:ascii="Arial" w:hAnsi="Arial" w:cs="Arial"/>
          <w:b/>
        </w:rPr>
      </w:pPr>
      <w:r w:rsidRPr="009041D4">
        <w:rPr>
          <w:rFonts w:ascii="Arial" w:hAnsi="Arial" w:cs="Arial"/>
          <w:b/>
        </w:rPr>
        <w:t>Interconexión IP.</w:t>
      </w:r>
    </w:p>
    <w:p w14:paraId="55E70DE4" w14:textId="77777777" w:rsidR="00FB70C1" w:rsidRPr="009041D4" w:rsidRDefault="00FB70C1" w:rsidP="00FB70C1">
      <w:pPr>
        <w:tabs>
          <w:tab w:val="left" w:pos="0"/>
        </w:tabs>
        <w:spacing w:after="0"/>
        <w:ind w:right="49"/>
        <w:jc w:val="both"/>
        <w:rPr>
          <w:rFonts w:ascii="Arial" w:hAnsi="Arial" w:cs="Arial"/>
        </w:rPr>
      </w:pPr>
    </w:p>
    <w:p w14:paraId="1C0CB5F4" w14:textId="77777777" w:rsidR="00FB70C1" w:rsidRPr="009041D4" w:rsidRDefault="00FB70C1" w:rsidP="00FB70C1">
      <w:pPr>
        <w:tabs>
          <w:tab w:val="left" w:pos="0"/>
        </w:tabs>
        <w:spacing w:after="0"/>
        <w:ind w:right="49"/>
        <w:jc w:val="both"/>
        <w:rPr>
          <w:rFonts w:ascii="Arial" w:hAnsi="Arial" w:cs="Arial"/>
        </w:rPr>
      </w:pPr>
      <w:r w:rsidRPr="009041D4">
        <w:rPr>
          <w:rFonts w:ascii="Arial" w:hAnsi="Arial" w:cs="Arial"/>
        </w:rPr>
        <w:t>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las velocidades señaladas en la Condición Quinta.</w:t>
      </w:r>
    </w:p>
    <w:p w14:paraId="2EAD081D" w14:textId="77777777" w:rsidR="00FB70C1" w:rsidRPr="009041D4" w:rsidRDefault="00FB70C1" w:rsidP="00FB70C1">
      <w:pPr>
        <w:tabs>
          <w:tab w:val="left" w:pos="0"/>
        </w:tabs>
        <w:spacing w:after="0"/>
        <w:ind w:right="49"/>
        <w:jc w:val="both"/>
        <w:rPr>
          <w:rFonts w:ascii="Arial" w:hAnsi="Arial" w:cs="Arial"/>
        </w:rPr>
      </w:pPr>
    </w:p>
    <w:p w14:paraId="3F1D1C66" w14:textId="77777777" w:rsidR="00FB70C1" w:rsidRPr="009041D4" w:rsidRDefault="00FB70C1" w:rsidP="00FB70C1">
      <w:pPr>
        <w:tabs>
          <w:tab w:val="left" w:pos="0"/>
        </w:tabs>
        <w:spacing w:after="0"/>
        <w:ind w:right="49"/>
        <w:jc w:val="both"/>
        <w:rPr>
          <w:rFonts w:ascii="Arial" w:hAnsi="Arial" w:cs="Arial"/>
          <w:b/>
        </w:rPr>
      </w:pPr>
      <w:r w:rsidRPr="009041D4">
        <w:rPr>
          <w:rFonts w:ascii="Arial" w:hAnsi="Arial" w:cs="Arial"/>
          <w:b/>
        </w:rPr>
        <w:t>Interconexión TDM.</w:t>
      </w:r>
    </w:p>
    <w:p w14:paraId="5AD7430E" w14:textId="77777777" w:rsidR="00FB70C1" w:rsidRPr="009041D4" w:rsidRDefault="00FB70C1" w:rsidP="00FB70C1">
      <w:pPr>
        <w:tabs>
          <w:tab w:val="left" w:pos="0"/>
        </w:tabs>
        <w:spacing w:after="0"/>
        <w:ind w:right="49"/>
        <w:jc w:val="both"/>
        <w:rPr>
          <w:rFonts w:ascii="Arial" w:hAnsi="Arial" w:cs="Arial"/>
        </w:rPr>
      </w:pPr>
    </w:p>
    <w:p w14:paraId="0F344D4D" w14:textId="0EC2CA49" w:rsidR="00FB70C1" w:rsidRPr="009041D4" w:rsidRDefault="00FB70C1" w:rsidP="00FB70C1">
      <w:pPr>
        <w:tabs>
          <w:tab w:val="left" w:pos="0"/>
        </w:tabs>
        <w:spacing w:after="0"/>
        <w:ind w:right="49"/>
        <w:jc w:val="both"/>
        <w:rPr>
          <w:rFonts w:ascii="Arial" w:hAnsi="Arial" w:cs="Arial"/>
        </w:rPr>
      </w:pPr>
      <w:r w:rsidRPr="009041D4">
        <w:rPr>
          <w:rFonts w:ascii="Arial" w:hAnsi="Arial" w:cs="Arial"/>
        </w:rPr>
        <w:t>Los enlaces de transmisión entre redes y los puertos de</w:t>
      </w:r>
      <w:r w:rsidRPr="009041D4">
        <w:rPr>
          <w:rFonts w:ascii="Arial" w:hAnsi="Arial" w:cs="Arial"/>
          <w:b/>
        </w:rPr>
        <w:t xml:space="preserve"> </w:t>
      </w:r>
      <w:r w:rsidRPr="009041D4">
        <w:rPr>
          <w:rFonts w:ascii="Arial" w:hAnsi="Arial" w:cs="Arial"/>
        </w:rPr>
        <w:t>acceso asociados son los que los concesionarios tengan instalados, los cuales deben corresponder a enlaces digitales que utilizan el formato TDM con capacidad de nivel E1, E3 (de acuerdo con la Disposición Técnica IFT-005-2016</w:t>
      </w:r>
      <w:r w:rsidR="009F1BD7">
        <w:rPr>
          <w:rStyle w:val="Refdenotaalpie"/>
          <w:rFonts w:ascii="Arial" w:hAnsi="Arial" w:cs="Arial"/>
        </w:rPr>
        <w:footnoteReference w:id="3"/>
      </w:r>
      <w:r w:rsidRPr="009041D4">
        <w:rPr>
          <w:rFonts w:ascii="Arial" w:hAnsi="Arial" w:cs="Arial"/>
        </w:rPr>
        <w:t>) o STM1 (de acuerdo a las Recomendaciones de la Unión Internacional de Telecomunicaciones ITU G.780</w:t>
      </w:r>
      <w:r w:rsidR="00F058E6">
        <w:rPr>
          <w:rStyle w:val="Refdenotaalpie"/>
          <w:rFonts w:ascii="Arial" w:hAnsi="Arial" w:cs="Arial"/>
        </w:rPr>
        <w:footnoteReference w:id="4"/>
      </w:r>
      <w:r w:rsidRPr="009041D4">
        <w:rPr>
          <w:rFonts w:ascii="Arial" w:hAnsi="Arial" w:cs="Arial"/>
        </w:rPr>
        <w:t>, G.803</w:t>
      </w:r>
      <w:r w:rsidR="00F058E6">
        <w:rPr>
          <w:rStyle w:val="Refdenotaalpie"/>
          <w:rFonts w:ascii="Arial" w:hAnsi="Arial" w:cs="Arial"/>
        </w:rPr>
        <w:footnoteReference w:id="5"/>
      </w:r>
      <w:r w:rsidRPr="009041D4">
        <w:rPr>
          <w:rFonts w:ascii="Arial" w:hAnsi="Arial" w:cs="Arial"/>
        </w:rPr>
        <w:t xml:space="preserve"> y G.810</w:t>
      </w:r>
      <w:r w:rsidR="00F058E6">
        <w:rPr>
          <w:rStyle w:val="Refdenotaalpie"/>
          <w:rFonts w:ascii="Arial" w:hAnsi="Arial" w:cs="Arial"/>
        </w:rPr>
        <w:footnoteReference w:id="6"/>
      </w:r>
      <w:r w:rsidRPr="009041D4">
        <w:rPr>
          <w:rFonts w:ascii="Arial" w:hAnsi="Arial" w:cs="Arial"/>
        </w:rPr>
        <w:t>).</w:t>
      </w:r>
    </w:p>
    <w:p w14:paraId="648634F3" w14:textId="77777777" w:rsidR="00FB70C1" w:rsidRPr="009041D4" w:rsidRDefault="00FB70C1" w:rsidP="00FB70C1">
      <w:pPr>
        <w:tabs>
          <w:tab w:val="left" w:pos="0"/>
        </w:tabs>
        <w:spacing w:after="0"/>
        <w:ind w:left="708" w:right="49"/>
        <w:jc w:val="both"/>
        <w:rPr>
          <w:rFonts w:ascii="Arial" w:hAnsi="Arial" w:cs="Arial"/>
        </w:rPr>
      </w:pPr>
    </w:p>
    <w:p w14:paraId="0BAA2E0A" w14:textId="77777777" w:rsidR="00FB70C1" w:rsidRPr="009041D4" w:rsidRDefault="00FB70C1" w:rsidP="00FB70C1">
      <w:pPr>
        <w:spacing w:after="0"/>
        <w:ind w:right="49"/>
        <w:jc w:val="both"/>
        <w:rPr>
          <w:rFonts w:ascii="Arial" w:hAnsi="Arial" w:cs="Arial"/>
        </w:rPr>
      </w:pPr>
      <w:r w:rsidRPr="009041D4">
        <w:rPr>
          <w:rFonts w:ascii="Arial" w:hAnsi="Arial" w:cs="Arial"/>
          <w:b/>
        </w:rPr>
        <w:t>SÉPTIMA. -</w:t>
      </w:r>
      <w:r w:rsidRPr="009041D4">
        <w:rPr>
          <w:rFonts w:ascii="Arial" w:hAnsi="Arial" w:cs="Arial"/>
        </w:rPr>
        <w:t xml:space="preserve"> La interconexión de redes públicas de telecomunicaciones se sujetará a la utilización de los siguientes protocolos de señalización.</w:t>
      </w:r>
    </w:p>
    <w:p w14:paraId="1AB4EE5B" w14:textId="77777777" w:rsidR="00FB70C1" w:rsidRPr="009041D4" w:rsidRDefault="00FB70C1" w:rsidP="00FB70C1">
      <w:pPr>
        <w:spacing w:after="0"/>
        <w:ind w:right="49"/>
        <w:jc w:val="both"/>
        <w:rPr>
          <w:rFonts w:ascii="Arial" w:hAnsi="Arial" w:cs="Arial"/>
        </w:rPr>
      </w:pPr>
    </w:p>
    <w:p w14:paraId="2A28DFCB" w14:textId="77777777" w:rsidR="00FB70C1" w:rsidRPr="009041D4" w:rsidRDefault="00FB70C1" w:rsidP="00FB70C1">
      <w:pPr>
        <w:spacing w:after="0"/>
        <w:ind w:right="49"/>
        <w:jc w:val="both"/>
        <w:rPr>
          <w:rFonts w:ascii="Arial" w:hAnsi="Arial" w:cs="Arial"/>
          <w:b/>
        </w:rPr>
      </w:pPr>
      <w:r w:rsidRPr="009041D4">
        <w:rPr>
          <w:rFonts w:ascii="Arial" w:hAnsi="Arial" w:cs="Arial"/>
          <w:b/>
        </w:rPr>
        <w:t>Interconexión IP</w:t>
      </w:r>
    </w:p>
    <w:p w14:paraId="7D1E3434" w14:textId="77777777" w:rsidR="00FB70C1" w:rsidRPr="009041D4" w:rsidRDefault="00FB70C1" w:rsidP="00FB70C1">
      <w:pPr>
        <w:spacing w:after="0"/>
        <w:ind w:right="49"/>
        <w:jc w:val="both"/>
        <w:rPr>
          <w:rFonts w:ascii="Arial" w:hAnsi="Arial" w:cs="Arial"/>
        </w:rPr>
      </w:pPr>
    </w:p>
    <w:p w14:paraId="0AC59758" w14:textId="1575A70A" w:rsidR="00FB70C1" w:rsidRPr="009041D4" w:rsidRDefault="00FB70C1" w:rsidP="00FB70C1">
      <w:pPr>
        <w:spacing w:after="0"/>
        <w:ind w:right="51"/>
        <w:jc w:val="both"/>
        <w:rPr>
          <w:rFonts w:ascii="Arial" w:hAnsi="Arial" w:cs="Arial"/>
        </w:rPr>
      </w:pPr>
      <w:r w:rsidRPr="009041D4">
        <w:rPr>
          <w:rFonts w:ascii="Arial" w:hAnsi="Arial" w:cs="Arial"/>
        </w:rPr>
        <w:lastRenderedPageBreak/>
        <w:t>El protocolo de señalización SIP-IP será obligatorio para la interconexión directa entre concesionarios y de acuerdo a la Recomendación IETF RFC 3261</w:t>
      </w:r>
      <w:r w:rsidR="00A23CEE">
        <w:rPr>
          <w:rStyle w:val="Refdenotaalpie"/>
          <w:rFonts w:ascii="Arial" w:hAnsi="Arial" w:cs="Arial"/>
        </w:rPr>
        <w:footnoteReference w:id="7"/>
      </w:r>
      <w:r w:rsidRPr="009041D4">
        <w:rPr>
          <w:rFonts w:ascii="Arial" w:hAnsi="Arial" w:cs="Arial"/>
        </w:rPr>
        <w:t xml:space="preserve"> y recomendaciones complementarias. </w:t>
      </w:r>
      <w:bookmarkStart w:id="0" w:name="_GoBack"/>
      <w:bookmarkEnd w:id="0"/>
    </w:p>
    <w:p w14:paraId="594BC689" w14:textId="77777777" w:rsidR="00FB70C1" w:rsidRPr="009041D4" w:rsidRDefault="00FB70C1" w:rsidP="00FB70C1">
      <w:pPr>
        <w:spacing w:after="0"/>
        <w:ind w:right="51"/>
        <w:jc w:val="both"/>
        <w:rPr>
          <w:rFonts w:ascii="Arial" w:hAnsi="Arial" w:cs="Arial"/>
        </w:rPr>
      </w:pPr>
    </w:p>
    <w:p w14:paraId="4B0C5F1E" w14:textId="77777777" w:rsidR="00FB70C1" w:rsidRPr="009041D4" w:rsidRDefault="00FB70C1" w:rsidP="00FB70C1">
      <w:pPr>
        <w:pStyle w:val="Prrafodelista"/>
        <w:numPr>
          <w:ilvl w:val="0"/>
          <w:numId w:val="9"/>
        </w:numPr>
        <w:spacing w:line="276" w:lineRule="auto"/>
        <w:ind w:left="709" w:right="49" w:hanging="720"/>
        <w:contextualSpacing/>
        <w:rPr>
          <w:rFonts w:cs="Arial"/>
          <w:b/>
        </w:rPr>
      </w:pPr>
      <w:r w:rsidRPr="009041D4">
        <w:rPr>
          <w:rFonts w:cs="Arial"/>
          <w:b/>
        </w:rPr>
        <w:t>Interconexión plano de control</w:t>
      </w:r>
    </w:p>
    <w:p w14:paraId="34A9EA93" w14:textId="77777777" w:rsidR="00FB70C1" w:rsidRPr="009041D4" w:rsidRDefault="00FB70C1" w:rsidP="00FB70C1">
      <w:pPr>
        <w:pStyle w:val="Prrafodelista"/>
        <w:spacing w:line="276" w:lineRule="auto"/>
        <w:ind w:left="0" w:right="49"/>
        <w:rPr>
          <w:rFonts w:cs="Arial"/>
          <w:b/>
          <w:sz w:val="24"/>
        </w:rPr>
      </w:pPr>
    </w:p>
    <w:p w14:paraId="7598D9B9"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rPr>
        <w:t>Métodos y Encabezados de Campo SIP</w:t>
      </w:r>
    </w:p>
    <w:p w14:paraId="03E583A0" w14:textId="77777777" w:rsidR="00FB70C1" w:rsidRPr="009041D4" w:rsidRDefault="00FB70C1" w:rsidP="00FB70C1">
      <w:pPr>
        <w:pStyle w:val="Prrafodelista"/>
        <w:spacing w:line="276" w:lineRule="auto"/>
        <w:ind w:left="709" w:right="49"/>
        <w:rPr>
          <w:rFonts w:cs="Arial"/>
          <w:b/>
          <w:sz w:val="24"/>
        </w:rPr>
      </w:pPr>
    </w:p>
    <w:p w14:paraId="16F73684" w14:textId="77777777" w:rsidR="00FB70C1" w:rsidRPr="009041D4" w:rsidRDefault="00FB70C1" w:rsidP="00FB70C1">
      <w:pPr>
        <w:pStyle w:val="Prrafodelista"/>
        <w:numPr>
          <w:ilvl w:val="2"/>
          <w:numId w:val="9"/>
        </w:numPr>
        <w:spacing w:line="276" w:lineRule="auto"/>
        <w:ind w:left="709" w:right="49" w:hanging="709"/>
        <w:contextualSpacing/>
        <w:rPr>
          <w:rFonts w:cs="Arial"/>
          <w:b/>
          <w:sz w:val="24"/>
        </w:rPr>
      </w:pPr>
      <w:r w:rsidRPr="009041D4">
        <w:rPr>
          <w:rFonts w:cs="Arial"/>
          <w:b/>
        </w:rPr>
        <w:t>Métodos SIP aplicables para sesiones de VoIP</w:t>
      </w:r>
    </w:p>
    <w:p w14:paraId="24F331EF" w14:textId="77777777" w:rsidR="00FB70C1" w:rsidRPr="009041D4" w:rsidRDefault="00FB70C1" w:rsidP="00FB70C1">
      <w:pPr>
        <w:spacing w:after="0"/>
        <w:ind w:right="49"/>
        <w:rPr>
          <w:rFonts w:ascii="Arial" w:hAnsi="Arial" w:cs="Arial"/>
        </w:rPr>
      </w:pPr>
    </w:p>
    <w:p w14:paraId="20CF5858" w14:textId="77777777" w:rsidR="00FB70C1" w:rsidRPr="009041D4" w:rsidRDefault="00FB70C1" w:rsidP="00FB70C1">
      <w:pPr>
        <w:spacing w:after="0"/>
        <w:ind w:right="49"/>
        <w:rPr>
          <w:rFonts w:ascii="Arial" w:hAnsi="Arial" w:cs="Arial"/>
        </w:rPr>
      </w:pPr>
      <w:r w:rsidRPr="009041D4">
        <w:rPr>
          <w:rFonts w:ascii="Arial" w:hAnsi="Arial" w:cs="Arial"/>
        </w:rPr>
        <w:t>Para el modelo de interconexión VoIP se considerarán los siguientes métodos.</w:t>
      </w:r>
    </w:p>
    <w:p w14:paraId="4D7CFC7D" w14:textId="77777777" w:rsidR="00FB70C1" w:rsidRPr="009041D4" w:rsidRDefault="00FB70C1" w:rsidP="00FB70C1">
      <w:pPr>
        <w:spacing w:after="0"/>
        <w:ind w:right="49"/>
        <w:rPr>
          <w:rFonts w:ascii="Arial" w:hAnsi="Arial" w:cs="Arial"/>
          <w:b/>
        </w:rPr>
      </w:pPr>
    </w:p>
    <w:tbl>
      <w:tblPr>
        <w:tblW w:w="5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431"/>
        <w:gridCol w:w="945"/>
        <w:gridCol w:w="2709"/>
      </w:tblGrid>
      <w:tr w:rsidR="00FB70C1" w:rsidRPr="009041D4" w14:paraId="1CC01749" w14:textId="77777777" w:rsidTr="006329CD">
        <w:trPr>
          <w:trHeight w:val="449"/>
          <w:jc w:val="center"/>
        </w:trPr>
        <w:tc>
          <w:tcPr>
            <w:tcW w:w="549" w:type="dxa"/>
            <w:shd w:val="clear" w:color="auto" w:fill="DEEAF6"/>
          </w:tcPr>
          <w:p w14:paraId="4EEF1D0D" w14:textId="77777777" w:rsidR="00FB70C1" w:rsidRPr="009041D4" w:rsidRDefault="00FB70C1" w:rsidP="006329CD">
            <w:pPr>
              <w:pStyle w:val="TAH"/>
              <w:spacing w:line="276" w:lineRule="auto"/>
              <w:ind w:right="49"/>
              <w:rPr>
                <w:rFonts w:cs="Arial"/>
                <w:b w:val="0"/>
                <w:sz w:val="20"/>
              </w:rPr>
            </w:pPr>
            <w:r w:rsidRPr="009041D4">
              <w:rPr>
                <w:rFonts w:cs="Arial"/>
                <w:b w:val="0"/>
                <w:sz w:val="20"/>
              </w:rPr>
              <w:t>#</w:t>
            </w:r>
          </w:p>
        </w:tc>
        <w:tc>
          <w:tcPr>
            <w:tcW w:w="1431" w:type="dxa"/>
            <w:shd w:val="clear" w:color="auto" w:fill="DEEAF6"/>
          </w:tcPr>
          <w:p w14:paraId="463A6D2A" w14:textId="77777777" w:rsidR="00FB70C1" w:rsidRPr="009041D4" w:rsidRDefault="00FB70C1" w:rsidP="006329CD">
            <w:pPr>
              <w:pStyle w:val="TAH"/>
              <w:spacing w:line="276" w:lineRule="auto"/>
              <w:ind w:right="49"/>
              <w:rPr>
                <w:rFonts w:cs="Arial"/>
                <w:b w:val="0"/>
                <w:sz w:val="20"/>
              </w:rPr>
            </w:pPr>
            <w:r w:rsidRPr="009041D4">
              <w:rPr>
                <w:rFonts w:cs="Arial"/>
                <w:b w:val="0"/>
                <w:sz w:val="20"/>
              </w:rPr>
              <w:t>Mensaje SIP</w:t>
            </w:r>
          </w:p>
        </w:tc>
        <w:tc>
          <w:tcPr>
            <w:tcW w:w="945" w:type="dxa"/>
            <w:shd w:val="clear" w:color="auto" w:fill="DEEAF6"/>
          </w:tcPr>
          <w:p w14:paraId="4A7ABE3F" w14:textId="77777777" w:rsidR="00FB70C1" w:rsidRPr="009041D4" w:rsidRDefault="00FB70C1" w:rsidP="006329CD">
            <w:pPr>
              <w:pStyle w:val="TAH"/>
              <w:spacing w:line="276" w:lineRule="auto"/>
              <w:ind w:right="49"/>
              <w:rPr>
                <w:rFonts w:cs="Arial"/>
                <w:b w:val="0"/>
                <w:sz w:val="20"/>
              </w:rPr>
            </w:pPr>
            <w:r w:rsidRPr="009041D4">
              <w:rPr>
                <w:rFonts w:cs="Arial"/>
                <w:b w:val="0"/>
                <w:sz w:val="20"/>
              </w:rPr>
              <w:t>Estado</w:t>
            </w:r>
          </w:p>
        </w:tc>
        <w:tc>
          <w:tcPr>
            <w:tcW w:w="2709" w:type="dxa"/>
            <w:shd w:val="clear" w:color="auto" w:fill="DEEAF6"/>
          </w:tcPr>
          <w:p w14:paraId="61E1567E" w14:textId="77777777" w:rsidR="00FB70C1" w:rsidRPr="009041D4" w:rsidRDefault="00FB70C1" w:rsidP="006329CD">
            <w:pPr>
              <w:pStyle w:val="TAH"/>
              <w:spacing w:line="276" w:lineRule="auto"/>
              <w:ind w:right="49"/>
              <w:rPr>
                <w:rFonts w:cs="Arial"/>
                <w:b w:val="0"/>
                <w:sz w:val="20"/>
              </w:rPr>
            </w:pPr>
            <w:r w:rsidRPr="009041D4">
              <w:rPr>
                <w:rFonts w:cs="Arial"/>
                <w:b w:val="0"/>
                <w:sz w:val="20"/>
              </w:rPr>
              <w:t>Referencia</w:t>
            </w:r>
          </w:p>
        </w:tc>
      </w:tr>
      <w:tr w:rsidR="00FB70C1" w:rsidRPr="009041D4" w14:paraId="7A4AD64D" w14:textId="77777777" w:rsidTr="006329CD">
        <w:trPr>
          <w:trHeight w:val="247"/>
          <w:jc w:val="center"/>
        </w:trPr>
        <w:tc>
          <w:tcPr>
            <w:tcW w:w="549" w:type="dxa"/>
          </w:tcPr>
          <w:p w14:paraId="104A1A7F" w14:textId="77777777" w:rsidR="00FB70C1" w:rsidRPr="009041D4" w:rsidRDefault="00FB70C1" w:rsidP="006329CD">
            <w:pPr>
              <w:pStyle w:val="TAH"/>
              <w:spacing w:line="276" w:lineRule="auto"/>
              <w:ind w:right="49"/>
              <w:rPr>
                <w:rFonts w:cs="Arial"/>
                <w:b w:val="0"/>
                <w:sz w:val="20"/>
              </w:rPr>
            </w:pPr>
            <w:r w:rsidRPr="009041D4">
              <w:rPr>
                <w:rFonts w:cs="Arial"/>
                <w:b w:val="0"/>
                <w:sz w:val="20"/>
              </w:rPr>
              <w:t>1</w:t>
            </w:r>
          </w:p>
        </w:tc>
        <w:tc>
          <w:tcPr>
            <w:tcW w:w="1431" w:type="dxa"/>
          </w:tcPr>
          <w:p w14:paraId="05E73EDA" w14:textId="77777777" w:rsidR="00FB70C1" w:rsidRPr="009041D4" w:rsidRDefault="00FB70C1" w:rsidP="006329CD">
            <w:pPr>
              <w:pStyle w:val="TAH"/>
              <w:spacing w:line="276" w:lineRule="auto"/>
              <w:ind w:right="49"/>
              <w:rPr>
                <w:rFonts w:cs="Arial"/>
                <w:b w:val="0"/>
                <w:sz w:val="20"/>
              </w:rPr>
            </w:pPr>
            <w:r w:rsidRPr="009041D4">
              <w:rPr>
                <w:rFonts w:cs="Arial"/>
                <w:b w:val="0"/>
                <w:sz w:val="20"/>
              </w:rPr>
              <w:t>ACK</w:t>
            </w:r>
          </w:p>
        </w:tc>
        <w:tc>
          <w:tcPr>
            <w:tcW w:w="945" w:type="dxa"/>
          </w:tcPr>
          <w:p w14:paraId="1362D3F7"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516A68FF"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r w:rsidR="00FB70C1" w:rsidRPr="009041D4" w14:paraId="7842B1F0" w14:textId="77777777" w:rsidTr="006329CD">
        <w:trPr>
          <w:trHeight w:val="251"/>
          <w:jc w:val="center"/>
        </w:trPr>
        <w:tc>
          <w:tcPr>
            <w:tcW w:w="549" w:type="dxa"/>
          </w:tcPr>
          <w:p w14:paraId="240C35BF" w14:textId="77777777" w:rsidR="00FB70C1" w:rsidRPr="009041D4" w:rsidRDefault="00FB70C1" w:rsidP="006329CD">
            <w:pPr>
              <w:pStyle w:val="TAH"/>
              <w:spacing w:line="276" w:lineRule="auto"/>
              <w:ind w:right="49"/>
              <w:rPr>
                <w:rFonts w:cs="Arial"/>
                <w:b w:val="0"/>
                <w:sz w:val="20"/>
              </w:rPr>
            </w:pPr>
            <w:r w:rsidRPr="009041D4">
              <w:rPr>
                <w:rFonts w:cs="Arial"/>
                <w:b w:val="0"/>
                <w:sz w:val="20"/>
              </w:rPr>
              <w:t>2</w:t>
            </w:r>
          </w:p>
        </w:tc>
        <w:tc>
          <w:tcPr>
            <w:tcW w:w="1431" w:type="dxa"/>
          </w:tcPr>
          <w:p w14:paraId="037697EA" w14:textId="77777777" w:rsidR="00FB70C1" w:rsidRPr="009041D4" w:rsidRDefault="00FB70C1" w:rsidP="006329CD">
            <w:pPr>
              <w:pStyle w:val="TAH"/>
              <w:spacing w:line="276" w:lineRule="auto"/>
              <w:ind w:right="49"/>
              <w:rPr>
                <w:rFonts w:cs="Arial"/>
                <w:b w:val="0"/>
                <w:sz w:val="20"/>
              </w:rPr>
            </w:pPr>
            <w:r w:rsidRPr="009041D4">
              <w:rPr>
                <w:rFonts w:cs="Arial"/>
                <w:b w:val="0"/>
                <w:sz w:val="20"/>
              </w:rPr>
              <w:t>BYE</w:t>
            </w:r>
          </w:p>
        </w:tc>
        <w:tc>
          <w:tcPr>
            <w:tcW w:w="945" w:type="dxa"/>
          </w:tcPr>
          <w:p w14:paraId="77AE8FF8"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7ED6247C"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r w:rsidR="00FB70C1" w:rsidRPr="009041D4" w14:paraId="4926DDB7" w14:textId="77777777" w:rsidTr="006329CD">
        <w:trPr>
          <w:trHeight w:val="255"/>
          <w:jc w:val="center"/>
        </w:trPr>
        <w:tc>
          <w:tcPr>
            <w:tcW w:w="549" w:type="dxa"/>
          </w:tcPr>
          <w:p w14:paraId="31B13EFF" w14:textId="77777777" w:rsidR="00FB70C1" w:rsidRPr="009041D4" w:rsidRDefault="00FB70C1" w:rsidP="006329CD">
            <w:pPr>
              <w:pStyle w:val="TAH"/>
              <w:spacing w:line="276" w:lineRule="auto"/>
              <w:ind w:right="49"/>
              <w:rPr>
                <w:rFonts w:cs="Arial"/>
                <w:b w:val="0"/>
                <w:sz w:val="20"/>
              </w:rPr>
            </w:pPr>
            <w:r w:rsidRPr="009041D4">
              <w:rPr>
                <w:rFonts w:cs="Arial"/>
                <w:b w:val="0"/>
                <w:sz w:val="20"/>
              </w:rPr>
              <w:t>3</w:t>
            </w:r>
          </w:p>
        </w:tc>
        <w:tc>
          <w:tcPr>
            <w:tcW w:w="1431" w:type="dxa"/>
          </w:tcPr>
          <w:p w14:paraId="77CA8B62" w14:textId="77777777" w:rsidR="00FB70C1" w:rsidRPr="009041D4" w:rsidRDefault="00FB70C1" w:rsidP="006329CD">
            <w:pPr>
              <w:pStyle w:val="TAH"/>
              <w:spacing w:line="276" w:lineRule="auto"/>
              <w:ind w:right="49"/>
              <w:rPr>
                <w:rFonts w:cs="Arial"/>
                <w:b w:val="0"/>
                <w:sz w:val="20"/>
              </w:rPr>
            </w:pPr>
            <w:r w:rsidRPr="009041D4">
              <w:rPr>
                <w:rFonts w:cs="Arial"/>
                <w:b w:val="0"/>
                <w:sz w:val="20"/>
              </w:rPr>
              <w:t>CANCEL</w:t>
            </w:r>
          </w:p>
        </w:tc>
        <w:tc>
          <w:tcPr>
            <w:tcW w:w="945" w:type="dxa"/>
          </w:tcPr>
          <w:p w14:paraId="30522B22"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5B4D8CFE"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r w:rsidR="00FB70C1" w:rsidRPr="009041D4" w14:paraId="2A4BDD41" w14:textId="77777777" w:rsidTr="006329CD">
        <w:trPr>
          <w:trHeight w:val="259"/>
          <w:jc w:val="center"/>
        </w:trPr>
        <w:tc>
          <w:tcPr>
            <w:tcW w:w="549" w:type="dxa"/>
          </w:tcPr>
          <w:p w14:paraId="73148F77" w14:textId="77777777" w:rsidR="00FB70C1" w:rsidRPr="009041D4" w:rsidRDefault="00FB70C1" w:rsidP="006329CD">
            <w:pPr>
              <w:pStyle w:val="TAH"/>
              <w:spacing w:line="276" w:lineRule="auto"/>
              <w:ind w:right="49"/>
              <w:rPr>
                <w:rFonts w:cs="Arial"/>
                <w:b w:val="0"/>
                <w:sz w:val="20"/>
              </w:rPr>
            </w:pPr>
            <w:r w:rsidRPr="009041D4">
              <w:rPr>
                <w:rFonts w:cs="Arial"/>
                <w:b w:val="0"/>
                <w:sz w:val="20"/>
              </w:rPr>
              <w:t>4</w:t>
            </w:r>
          </w:p>
        </w:tc>
        <w:tc>
          <w:tcPr>
            <w:tcW w:w="1431" w:type="dxa"/>
          </w:tcPr>
          <w:p w14:paraId="76D0CE33" w14:textId="77777777" w:rsidR="00FB70C1" w:rsidRPr="009041D4" w:rsidRDefault="00FB70C1" w:rsidP="006329CD">
            <w:pPr>
              <w:pStyle w:val="TAH"/>
              <w:spacing w:line="276" w:lineRule="auto"/>
              <w:ind w:right="49"/>
              <w:rPr>
                <w:rFonts w:cs="Arial"/>
                <w:b w:val="0"/>
                <w:sz w:val="20"/>
              </w:rPr>
            </w:pPr>
            <w:r w:rsidRPr="009041D4">
              <w:rPr>
                <w:rFonts w:cs="Arial"/>
                <w:b w:val="0"/>
                <w:sz w:val="20"/>
              </w:rPr>
              <w:t>INVITE</w:t>
            </w:r>
          </w:p>
        </w:tc>
        <w:tc>
          <w:tcPr>
            <w:tcW w:w="945" w:type="dxa"/>
          </w:tcPr>
          <w:p w14:paraId="4383720A"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24BAB8AF"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r w:rsidR="00FB70C1" w:rsidRPr="009041D4" w14:paraId="3F1358D2" w14:textId="77777777" w:rsidTr="006329CD">
        <w:trPr>
          <w:trHeight w:val="252"/>
          <w:jc w:val="center"/>
        </w:trPr>
        <w:tc>
          <w:tcPr>
            <w:tcW w:w="549" w:type="dxa"/>
          </w:tcPr>
          <w:p w14:paraId="3B73CB9F" w14:textId="77777777" w:rsidR="00FB70C1" w:rsidRPr="009041D4" w:rsidRDefault="00FB70C1" w:rsidP="006329CD">
            <w:pPr>
              <w:pStyle w:val="TAH"/>
              <w:spacing w:line="276" w:lineRule="auto"/>
              <w:ind w:right="49"/>
              <w:rPr>
                <w:rFonts w:cs="Arial"/>
                <w:b w:val="0"/>
                <w:sz w:val="20"/>
              </w:rPr>
            </w:pPr>
            <w:r w:rsidRPr="009041D4">
              <w:rPr>
                <w:rFonts w:cs="Arial"/>
                <w:b w:val="0"/>
                <w:sz w:val="20"/>
              </w:rPr>
              <w:t>5</w:t>
            </w:r>
          </w:p>
        </w:tc>
        <w:tc>
          <w:tcPr>
            <w:tcW w:w="1431" w:type="dxa"/>
          </w:tcPr>
          <w:p w14:paraId="645777C3" w14:textId="77777777" w:rsidR="00FB70C1" w:rsidRPr="009041D4" w:rsidRDefault="00FB70C1" w:rsidP="006329CD">
            <w:pPr>
              <w:pStyle w:val="TAH"/>
              <w:spacing w:line="276" w:lineRule="auto"/>
              <w:ind w:right="49"/>
              <w:rPr>
                <w:rFonts w:cs="Arial"/>
                <w:b w:val="0"/>
                <w:sz w:val="20"/>
              </w:rPr>
            </w:pPr>
            <w:r w:rsidRPr="009041D4">
              <w:rPr>
                <w:rFonts w:cs="Arial"/>
                <w:b w:val="0"/>
                <w:sz w:val="20"/>
              </w:rPr>
              <w:t>UPDATE</w:t>
            </w:r>
          </w:p>
        </w:tc>
        <w:tc>
          <w:tcPr>
            <w:tcW w:w="945" w:type="dxa"/>
          </w:tcPr>
          <w:p w14:paraId="0A9A6E5A"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6188257F" w14:textId="074ADD7D" w:rsidR="00FB70C1" w:rsidRPr="009041D4" w:rsidRDefault="00FB70C1" w:rsidP="006329CD">
            <w:pPr>
              <w:pStyle w:val="TAH"/>
              <w:spacing w:line="276" w:lineRule="auto"/>
              <w:ind w:right="49"/>
              <w:rPr>
                <w:rFonts w:cs="Arial"/>
                <w:b w:val="0"/>
                <w:sz w:val="20"/>
              </w:rPr>
            </w:pPr>
            <w:r w:rsidRPr="009041D4">
              <w:rPr>
                <w:rFonts w:cs="Arial"/>
                <w:b w:val="0"/>
                <w:sz w:val="20"/>
              </w:rPr>
              <w:t>De acuerdo a RFC 3311</w:t>
            </w:r>
            <w:r w:rsidR="00BE04B0">
              <w:rPr>
                <w:rStyle w:val="Refdenotaalpie"/>
                <w:rFonts w:cs="Arial"/>
                <w:b w:val="0"/>
                <w:sz w:val="20"/>
              </w:rPr>
              <w:footnoteReference w:id="8"/>
            </w:r>
          </w:p>
        </w:tc>
      </w:tr>
      <w:tr w:rsidR="00FB70C1" w:rsidRPr="009041D4" w14:paraId="6243C127" w14:textId="77777777" w:rsidTr="006329CD">
        <w:trPr>
          <w:trHeight w:val="256"/>
          <w:jc w:val="center"/>
        </w:trPr>
        <w:tc>
          <w:tcPr>
            <w:tcW w:w="549" w:type="dxa"/>
          </w:tcPr>
          <w:p w14:paraId="64434867" w14:textId="77777777" w:rsidR="00FB70C1" w:rsidRPr="009041D4" w:rsidRDefault="00FB70C1" w:rsidP="006329CD">
            <w:pPr>
              <w:pStyle w:val="TAH"/>
              <w:spacing w:line="276" w:lineRule="auto"/>
              <w:ind w:right="49"/>
              <w:rPr>
                <w:rFonts w:cs="Arial"/>
                <w:b w:val="0"/>
                <w:sz w:val="20"/>
              </w:rPr>
            </w:pPr>
            <w:r w:rsidRPr="009041D4">
              <w:rPr>
                <w:rFonts w:cs="Arial"/>
                <w:b w:val="0"/>
                <w:sz w:val="20"/>
              </w:rPr>
              <w:t>6</w:t>
            </w:r>
          </w:p>
        </w:tc>
        <w:tc>
          <w:tcPr>
            <w:tcW w:w="1431" w:type="dxa"/>
          </w:tcPr>
          <w:p w14:paraId="043D88A3" w14:textId="77777777" w:rsidR="00FB70C1" w:rsidRPr="009041D4" w:rsidRDefault="00FB70C1" w:rsidP="006329CD">
            <w:pPr>
              <w:pStyle w:val="TAH"/>
              <w:spacing w:line="276" w:lineRule="auto"/>
              <w:ind w:right="49"/>
              <w:rPr>
                <w:rFonts w:cs="Arial"/>
                <w:b w:val="0"/>
                <w:sz w:val="20"/>
              </w:rPr>
            </w:pPr>
            <w:r w:rsidRPr="009041D4">
              <w:rPr>
                <w:rFonts w:cs="Arial"/>
                <w:b w:val="0"/>
                <w:sz w:val="20"/>
              </w:rPr>
              <w:t>PRACK</w:t>
            </w:r>
          </w:p>
        </w:tc>
        <w:tc>
          <w:tcPr>
            <w:tcW w:w="945" w:type="dxa"/>
          </w:tcPr>
          <w:p w14:paraId="47AF9A4C"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36BF4195" w14:textId="589CA226" w:rsidR="00FB70C1" w:rsidRPr="009041D4" w:rsidRDefault="00FB70C1" w:rsidP="006329CD">
            <w:pPr>
              <w:pStyle w:val="TAH"/>
              <w:spacing w:line="276" w:lineRule="auto"/>
              <w:ind w:right="49"/>
              <w:rPr>
                <w:rFonts w:cs="Arial"/>
                <w:b w:val="0"/>
                <w:sz w:val="20"/>
              </w:rPr>
            </w:pPr>
            <w:r w:rsidRPr="009041D4">
              <w:rPr>
                <w:rFonts w:cs="Arial"/>
                <w:b w:val="0"/>
                <w:sz w:val="20"/>
              </w:rPr>
              <w:t>De acuerdo a RFC 3262</w:t>
            </w:r>
            <w:r w:rsidR="00BE04B0">
              <w:rPr>
                <w:rStyle w:val="Refdenotaalpie"/>
                <w:rFonts w:cs="Arial"/>
                <w:b w:val="0"/>
                <w:sz w:val="20"/>
              </w:rPr>
              <w:footnoteReference w:id="9"/>
            </w:r>
          </w:p>
        </w:tc>
      </w:tr>
      <w:tr w:rsidR="00FB70C1" w:rsidRPr="009041D4" w14:paraId="7F68BFDA" w14:textId="77777777" w:rsidTr="006329CD">
        <w:trPr>
          <w:trHeight w:val="226"/>
          <w:jc w:val="center"/>
        </w:trPr>
        <w:tc>
          <w:tcPr>
            <w:tcW w:w="549" w:type="dxa"/>
          </w:tcPr>
          <w:p w14:paraId="5C55CEB5" w14:textId="77777777" w:rsidR="00FB70C1" w:rsidRPr="009041D4" w:rsidRDefault="00FB70C1" w:rsidP="006329CD">
            <w:pPr>
              <w:pStyle w:val="TAH"/>
              <w:spacing w:line="276" w:lineRule="auto"/>
              <w:ind w:right="49"/>
              <w:rPr>
                <w:rFonts w:cs="Arial"/>
                <w:b w:val="0"/>
                <w:sz w:val="20"/>
              </w:rPr>
            </w:pPr>
            <w:r w:rsidRPr="009041D4">
              <w:rPr>
                <w:rFonts w:cs="Arial"/>
                <w:b w:val="0"/>
                <w:sz w:val="20"/>
              </w:rPr>
              <w:t>7</w:t>
            </w:r>
          </w:p>
        </w:tc>
        <w:tc>
          <w:tcPr>
            <w:tcW w:w="1431" w:type="dxa"/>
          </w:tcPr>
          <w:p w14:paraId="62E7D1EA" w14:textId="77777777" w:rsidR="00FB70C1" w:rsidRPr="009041D4" w:rsidRDefault="00FB70C1" w:rsidP="006329CD">
            <w:pPr>
              <w:pStyle w:val="TAH"/>
              <w:spacing w:line="276" w:lineRule="auto"/>
              <w:ind w:right="49"/>
              <w:rPr>
                <w:rFonts w:cs="Arial"/>
                <w:b w:val="0"/>
                <w:sz w:val="20"/>
              </w:rPr>
            </w:pPr>
            <w:r w:rsidRPr="009041D4">
              <w:rPr>
                <w:rFonts w:cs="Arial"/>
                <w:b w:val="0"/>
                <w:sz w:val="20"/>
              </w:rPr>
              <w:t>OPTIONS*</w:t>
            </w:r>
          </w:p>
        </w:tc>
        <w:tc>
          <w:tcPr>
            <w:tcW w:w="945" w:type="dxa"/>
          </w:tcPr>
          <w:p w14:paraId="726CE7E1" w14:textId="77777777" w:rsidR="00FB70C1" w:rsidRPr="009041D4" w:rsidRDefault="00FB70C1" w:rsidP="006329CD">
            <w:pPr>
              <w:pStyle w:val="TAH"/>
              <w:spacing w:line="276" w:lineRule="auto"/>
              <w:ind w:right="49"/>
              <w:rPr>
                <w:rFonts w:cs="Arial"/>
                <w:b w:val="0"/>
                <w:sz w:val="20"/>
              </w:rPr>
            </w:pPr>
            <w:r w:rsidRPr="009041D4">
              <w:rPr>
                <w:rFonts w:cs="Arial"/>
                <w:b w:val="0"/>
                <w:sz w:val="20"/>
              </w:rPr>
              <w:t>M</w:t>
            </w:r>
          </w:p>
        </w:tc>
        <w:tc>
          <w:tcPr>
            <w:tcW w:w="2709" w:type="dxa"/>
          </w:tcPr>
          <w:p w14:paraId="570895D4" w14:textId="77777777" w:rsidR="00FB70C1" w:rsidRPr="009041D4" w:rsidRDefault="00FB70C1" w:rsidP="006329CD">
            <w:pPr>
              <w:pStyle w:val="TAH"/>
              <w:spacing w:line="276" w:lineRule="auto"/>
              <w:ind w:right="49"/>
              <w:rPr>
                <w:rFonts w:cs="Arial"/>
                <w:b w:val="0"/>
                <w:sz w:val="20"/>
              </w:rPr>
            </w:pPr>
            <w:r w:rsidRPr="009041D4">
              <w:rPr>
                <w:rFonts w:cs="Arial"/>
                <w:b w:val="0"/>
                <w:sz w:val="20"/>
              </w:rPr>
              <w:t>De acuerdo a RFC 3261</w:t>
            </w:r>
          </w:p>
        </w:tc>
      </w:tr>
    </w:tbl>
    <w:p w14:paraId="7095063A" w14:textId="77777777" w:rsidR="00FB70C1" w:rsidRPr="009041D4" w:rsidRDefault="00FB70C1" w:rsidP="001F2E88">
      <w:pPr>
        <w:spacing w:after="0"/>
        <w:ind w:right="49"/>
        <w:jc w:val="center"/>
        <w:rPr>
          <w:rFonts w:ascii="Arial" w:hAnsi="Arial" w:cs="Arial"/>
          <w:sz w:val="18"/>
          <w:szCs w:val="18"/>
        </w:rPr>
      </w:pPr>
      <w:r w:rsidRPr="009041D4">
        <w:rPr>
          <w:rFonts w:ascii="Arial" w:hAnsi="Arial" w:cs="Arial"/>
          <w:sz w:val="18"/>
          <w:szCs w:val="18"/>
        </w:rPr>
        <w:t>*con Max-Forwards = 0, para verificar que el objetivo es alcanzable</w:t>
      </w:r>
    </w:p>
    <w:p w14:paraId="201CDEFA"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1. Métodos aplicables para una sesión VoIP</w:t>
      </w:r>
    </w:p>
    <w:p w14:paraId="0EA2D2B2" w14:textId="77777777" w:rsidR="00FB70C1" w:rsidRPr="009041D4" w:rsidRDefault="00FB70C1" w:rsidP="00FB70C1">
      <w:pPr>
        <w:spacing w:after="0"/>
        <w:ind w:right="49"/>
        <w:jc w:val="both"/>
        <w:rPr>
          <w:rFonts w:ascii="Arial" w:hAnsi="Arial" w:cs="Arial"/>
        </w:rPr>
      </w:pPr>
    </w:p>
    <w:p w14:paraId="1779C125" w14:textId="77777777" w:rsidR="00FB70C1" w:rsidRPr="009041D4" w:rsidRDefault="00FB70C1" w:rsidP="00FB70C1">
      <w:pPr>
        <w:spacing w:after="0"/>
        <w:ind w:right="49"/>
        <w:jc w:val="both"/>
        <w:rPr>
          <w:rFonts w:ascii="Arial" w:hAnsi="Arial" w:cs="Arial"/>
        </w:rPr>
      </w:pPr>
      <w:r w:rsidRPr="009041D4">
        <w:rPr>
          <w:rFonts w:ascii="Arial" w:hAnsi="Arial" w:cs="Arial"/>
        </w:rPr>
        <w:t>El método OPTIONS será utilizado como método de “keep alive” de la siguiente forma:</w:t>
      </w:r>
    </w:p>
    <w:p w14:paraId="34F3710C" w14:textId="77777777" w:rsidR="00FB70C1" w:rsidRPr="009041D4" w:rsidRDefault="00FB70C1" w:rsidP="00FB70C1">
      <w:pPr>
        <w:spacing w:after="0"/>
        <w:ind w:right="49"/>
        <w:jc w:val="both"/>
        <w:rPr>
          <w:rFonts w:ascii="Arial" w:hAnsi="Arial" w:cs="Arial"/>
        </w:rPr>
      </w:pPr>
    </w:p>
    <w:p w14:paraId="7A44B392" w14:textId="77777777" w:rsidR="00FB70C1" w:rsidRPr="009041D4" w:rsidRDefault="00FB70C1" w:rsidP="00FB70C1">
      <w:pPr>
        <w:spacing w:after="0"/>
        <w:ind w:right="49"/>
        <w:jc w:val="both"/>
        <w:rPr>
          <w:rFonts w:ascii="Arial" w:hAnsi="Arial" w:cs="Arial"/>
        </w:rPr>
      </w:pPr>
      <w:r w:rsidRPr="009041D4">
        <w:rPr>
          <w:rFonts w:ascii="Arial" w:hAnsi="Arial" w:cs="Arial"/>
        </w:rPr>
        <w:t>El nodo A envía de manera periódica el método Options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38A9DC8E" w14:textId="77777777" w:rsidR="00FB70C1" w:rsidRPr="009041D4" w:rsidRDefault="00FB70C1" w:rsidP="00FB70C1">
      <w:pPr>
        <w:spacing w:after="0"/>
        <w:ind w:right="49"/>
        <w:jc w:val="both"/>
        <w:rPr>
          <w:rFonts w:ascii="Arial" w:hAnsi="Arial" w:cs="Arial"/>
          <w:b/>
        </w:rPr>
      </w:pPr>
    </w:p>
    <w:p w14:paraId="677EF871" w14:textId="77777777" w:rsidR="00FB70C1" w:rsidRPr="009041D4" w:rsidRDefault="00FB70C1" w:rsidP="00FB70C1">
      <w:pPr>
        <w:spacing w:after="0"/>
        <w:ind w:right="49"/>
        <w:jc w:val="both"/>
        <w:rPr>
          <w:rFonts w:ascii="Arial" w:hAnsi="Arial" w:cs="Arial"/>
        </w:rPr>
      </w:pPr>
      <w:r w:rsidRPr="009041D4">
        <w:rPr>
          <w:rFonts w:ascii="Arial" w:hAnsi="Arial" w:cs="Arial"/>
        </w:rPr>
        <w:t>Se cumplirá con los campos de encabezado aplicables para los métodos definidos en la Tabla 1, de acuerdo a la recomendación correspondiente.</w:t>
      </w:r>
    </w:p>
    <w:p w14:paraId="0D0E047C" w14:textId="77777777" w:rsidR="00FB70C1" w:rsidRPr="009041D4" w:rsidRDefault="00FB70C1" w:rsidP="00FB70C1">
      <w:pPr>
        <w:spacing w:after="0"/>
        <w:ind w:right="49"/>
        <w:jc w:val="both"/>
        <w:rPr>
          <w:rFonts w:ascii="Arial" w:hAnsi="Arial" w:cs="Arial"/>
        </w:rPr>
      </w:pPr>
    </w:p>
    <w:p w14:paraId="6DCEBF11"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Relaciones confiables</w:t>
      </w:r>
    </w:p>
    <w:p w14:paraId="2F84EDF5" w14:textId="77777777" w:rsidR="00FB70C1" w:rsidRPr="009041D4" w:rsidRDefault="00FB70C1" w:rsidP="00FB70C1">
      <w:pPr>
        <w:spacing w:after="0"/>
        <w:ind w:right="49"/>
        <w:rPr>
          <w:rFonts w:ascii="Arial" w:hAnsi="Arial" w:cs="Arial"/>
          <w:b/>
        </w:rPr>
      </w:pPr>
    </w:p>
    <w:p w14:paraId="19A9905F" w14:textId="77777777" w:rsidR="00FB70C1" w:rsidRPr="009041D4" w:rsidRDefault="00FB70C1" w:rsidP="00FB70C1">
      <w:pPr>
        <w:spacing w:after="0"/>
        <w:ind w:right="49"/>
        <w:jc w:val="both"/>
        <w:rPr>
          <w:rFonts w:ascii="Arial" w:hAnsi="Arial" w:cs="Arial"/>
        </w:rPr>
      </w:pPr>
      <w:r w:rsidRPr="009041D4">
        <w:rPr>
          <w:rFonts w:ascii="Arial" w:hAnsi="Arial" w:cs="Arial"/>
        </w:rPr>
        <w:t>A los elementos que conforman una red que tiene un acuerdo de interconexión se les llama dominio confiable.</w:t>
      </w:r>
    </w:p>
    <w:p w14:paraId="1914411D" w14:textId="77777777" w:rsidR="00FB70C1" w:rsidRPr="009041D4" w:rsidRDefault="00FB70C1" w:rsidP="00FB70C1">
      <w:pPr>
        <w:spacing w:after="0"/>
        <w:ind w:right="49"/>
        <w:jc w:val="both"/>
        <w:rPr>
          <w:rFonts w:ascii="Arial" w:hAnsi="Arial" w:cs="Arial"/>
        </w:rPr>
      </w:pPr>
    </w:p>
    <w:p w14:paraId="3912BCA5" w14:textId="77777777" w:rsidR="00FB70C1" w:rsidRPr="009041D4" w:rsidRDefault="00FB70C1" w:rsidP="00FB70C1">
      <w:pPr>
        <w:spacing w:after="0"/>
        <w:ind w:right="49"/>
        <w:jc w:val="both"/>
        <w:rPr>
          <w:rFonts w:ascii="Arial" w:hAnsi="Arial" w:cs="Arial"/>
        </w:rPr>
      </w:pPr>
      <w:r w:rsidRPr="009041D4">
        <w:rPr>
          <w:rFonts w:ascii="Arial" w:hAnsi="Arial" w:cs="Arial"/>
        </w:rPr>
        <w:t>Los dominios confiables en este caso determinan el cumplimiento de las configuraciones y especificaciones en este documento.</w:t>
      </w:r>
    </w:p>
    <w:p w14:paraId="1EDBC7E1" w14:textId="77777777" w:rsidR="00FB70C1" w:rsidRPr="009041D4" w:rsidRDefault="00FB70C1" w:rsidP="00FB70C1">
      <w:pPr>
        <w:spacing w:after="0"/>
        <w:ind w:right="49"/>
        <w:jc w:val="both"/>
        <w:rPr>
          <w:rFonts w:ascii="Arial" w:hAnsi="Arial" w:cs="Arial"/>
          <w:b/>
        </w:rPr>
      </w:pPr>
    </w:p>
    <w:p w14:paraId="708FD695"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lastRenderedPageBreak/>
        <w:t>Peticiones</w:t>
      </w:r>
    </w:p>
    <w:p w14:paraId="5927F5C8" w14:textId="77777777" w:rsidR="00FB70C1" w:rsidRPr="009041D4" w:rsidRDefault="00FB70C1" w:rsidP="00FB70C1">
      <w:pPr>
        <w:spacing w:after="0"/>
        <w:ind w:right="49"/>
        <w:rPr>
          <w:rFonts w:ascii="Arial" w:hAnsi="Arial" w:cs="Arial"/>
        </w:rPr>
      </w:pPr>
    </w:p>
    <w:p w14:paraId="6D0CE9F9" w14:textId="77777777" w:rsidR="00FB70C1" w:rsidRPr="009041D4" w:rsidRDefault="00FB70C1" w:rsidP="00FB70C1">
      <w:pPr>
        <w:spacing w:after="0"/>
        <w:ind w:right="49"/>
        <w:jc w:val="both"/>
        <w:rPr>
          <w:rFonts w:ascii="Arial" w:hAnsi="Arial" w:cs="Arial"/>
        </w:rPr>
      </w:pPr>
      <w:r w:rsidRPr="009041D4">
        <w:rPr>
          <w:rFonts w:ascii="Arial" w:hAnsi="Arial"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2378DA03" w14:textId="77777777" w:rsidR="00FB70C1" w:rsidRPr="009041D4" w:rsidRDefault="00FB70C1" w:rsidP="00FB70C1">
      <w:pPr>
        <w:pStyle w:val="Prrafodelista"/>
        <w:spacing w:line="276" w:lineRule="auto"/>
        <w:ind w:left="-142" w:right="49"/>
        <w:rPr>
          <w:rFonts w:cs="Arial"/>
        </w:rPr>
      </w:pPr>
      <w:r w:rsidRPr="009041D4">
        <w:rPr>
          <w:rFonts w:cs="Arial"/>
          <w:noProof/>
          <w:lang w:eastAsia="es-MX"/>
        </w:rPr>
        <mc:AlternateContent>
          <mc:Choice Requires="wpg">
            <w:drawing>
              <wp:anchor distT="0" distB="0" distL="114300" distR="114300" simplePos="0" relativeHeight="251658240" behindDoc="0" locked="0" layoutInCell="1" allowOverlap="1" wp14:anchorId="242B0B78" wp14:editId="2263C227">
                <wp:simplePos x="0" y="0"/>
                <wp:positionH relativeFrom="margin">
                  <wp:align>center</wp:align>
                </wp:positionH>
                <wp:positionV relativeFrom="paragraph">
                  <wp:posOffset>125095</wp:posOffset>
                </wp:positionV>
                <wp:extent cx="4029075" cy="266700"/>
                <wp:effectExtent l="14605" t="12700" r="13970" b="6350"/>
                <wp:wrapNone/>
                <wp:docPr id="25"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30"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46638EC9" w14:textId="77777777" w:rsidR="006D15C5" w:rsidRPr="00876265" w:rsidRDefault="006D15C5" w:rsidP="00FB70C1">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31"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0FD9C843" w14:textId="77777777" w:rsidR="006D15C5" w:rsidRPr="00876265" w:rsidRDefault="006D15C5" w:rsidP="00FB70C1">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32" name="Rectángulo redondeado 32"/>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4636C82F" w14:textId="77777777" w:rsidR="006D15C5" w:rsidRPr="00876265" w:rsidRDefault="006D15C5" w:rsidP="00FB70C1">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B0B78" id="Grupo 8" o:spid="_x0000_s1026" style="position:absolute;left:0;text-align:left;margin-left:0;margin-top:9.85pt;width:317.25pt;height:21pt;z-index:251658240;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">
                <v:roundrect id="Rectángulo redondeado 9" o:spid="_x0000_s1027" style="position:absolute;width:15508;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" strokeweight="1pt">
                  <v:stroke joinstyle="miter"/>
                  <v:textbox>
                    <w:txbxContent>
                      <w:p w14:paraId="46638EC9" w14:textId="77777777" w:rsidR="006D15C5" w:rsidRPr="00876265" w:rsidRDefault="006D15C5" w:rsidP="00FB70C1">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" strokeweight="1pt">
                  <v:stroke joinstyle="miter"/>
                  <v:textbox>
                    <w:txbxContent>
                      <w:p w14:paraId="0FD9C843" w14:textId="77777777" w:rsidR="006D15C5" w:rsidRPr="00876265" w:rsidRDefault="006D15C5" w:rsidP="00FB70C1">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32" o:spid="_x0000_s1029" style="position:absolute;left:29337;width:10953;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" strokeweight="1pt">
                  <v:stroke joinstyle="miter"/>
                  <v:textbox>
                    <w:txbxContent>
                      <w:p w14:paraId="4636C82F" w14:textId="77777777" w:rsidR="006D15C5" w:rsidRPr="00876265" w:rsidRDefault="006D15C5" w:rsidP="00FB70C1">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14:paraId="6E5075EF" w14:textId="77777777" w:rsidR="00FB70C1" w:rsidRPr="009041D4" w:rsidRDefault="00FB70C1" w:rsidP="00FB70C1">
      <w:pPr>
        <w:pStyle w:val="Prrafodelista"/>
        <w:spacing w:line="276" w:lineRule="auto"/>
        <w:ind w:left="-142" w:right="49"/>
        <w:rPr>
          <w:rFonts w:cs="Arial"/>
        </w:rPr>
      </w:pPr>
    </w:p>
    <w:p w14:paraId="1FC951A7" w14:textId="77777777" w:rsidR="00FB70C1" w:rsidRPr="009041D4" w:rsidRDefault="00FB70C1" w:rsidP="00FB70C1">
      <w:pPr>
        <w:spacing w:after="0"/>
        <w:ind w:right="49"/>
        <w:rPr>
          <w:rFonts w:ascii="Arial" w:hAnsi="Arial" w:cs="Arial"/>
        </w:rPr>
      </w:pPr>
      <w:r w:rsidRPr="009041D4">
        <w:rPr>
          <w:rFonts w:ascii="Arial" w:hAnsi="Arial" w:cs="Arial"/>
        </w:rPr>
        <w:t>Ejemplo:</w:t>
      </w:r>
    </w:p>
    <w:p w14:paraId="094E4904" w14:textId="77777777" w:rsidR="00FB70C1" w:rsidRPr="009041D4" w:rsidRDefault="00FB70C1" w:rsidP="00FB70C1">
      <w:pPr>
        <w:spacing w:after="0"/>
        <w:ind w:right="49"/>
        <w:rPr>
          <w:rFonts w:ascii="Arial" w:hAnsi="Arial" w:cs="Arial"/>
        </w:rPr>
      </w:pPr>
      <w:r w:rsidRPr="009041D4">
        <w:rPr>
          <w:rFonts w:ascii="Arial" w:hAnsi="Arial" w:cs="Arial"/>
        </w:rPr>
        <w:t xml:space="preserve">INVITE </w:t>
      </w:r>
      <w:hyperlink r:id="rId13" w:history="1">
        <w:r w:rsidRPr="009041D4">
          <w:rPr>
            <w:rStyle w:val="Hipervnculo"/>
            <w:rFonts w:ascii="Arial" w:hAnsi="Arial" w:cs="Arial"/>
          </w:rPr>
          <w:t>sip:&lt;5512345678@operador.mx</w:t>
        </w:r>
      </w:hyperlink>
      <w:r w:rsidRPr="009041D4">
        <w:rPr>
          <w:rFonts w:ascii="Arial" w:hAnsi="Arial" w:cs="Arial"/>
        </w:rPr>
        <w:t xml:space="preserve"> o dirección ip&gt;;user=phone SIP/2.0</w:t>
      </w:r>
    </w:p>
    <w:p w14:paraId="1B53CDA9" w14:textId="77777777" w:rsidR="00FB70C1" w:rsidRPr="009041D4" w:rsidRDefault="00FB70C1" w:rsidP="00FB70C1">
      <w:pPr>
        <w:spacing w:after="0"/>
        <w:ind w:right="49"/>
        <w:rPr>
          <w:rFonts w:ascii="Arial" w:hAnsi="Arial" w:cs="Arial"/>
          <w:b/>
        </w:rPr>
      </w:pPr>
    </w:p>
    <w:p w14:paraId="79059080"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Campos de encabezado método INVITE</w:t>
      </w:r>
    </w:p>
    <w:p w14:paraId="658582F9" w14:textId="77777777" w:rsidR="00FB70C1" w:rsidRPr="009041D4" w:rsidRDefault="00FB70C1" w:rsidP="00FB70C1">
      <w:pPr>
        <w:tabs>
          <w:tab w:val="left" w:pos="1365"/>
        </w:tabs>
        <w:spacing w:after="0"/>
        <w:ind w:right="49"/>
        <w:rPr>
          <w:rFonts w:ascii="Arial" w:hAnsi="Arial" w:cs="Arial"/>
        </w:rPr>
      </w:pPr>
      <w:r w:rsidRPr="009041D4">
        <w:rPr>
          <w:rFonts w:ascii="Arial" w:hAnsi="Arial" w:cs="Arial"/>
        </w:rPr>
        <w:tab/>
      </w:r>
    </w:p>
    <w:p w14:paraId="4DFE69B1" w14:textId="77777777" w:rsidR="00FB70C1" w:rsidRPr="009041D4" w:rsidRDefault="00FB70C1" w:rsidP="00FB70C1">
      <w:pPr>
        <w:spacing w:after="0"/>
        <w:ind w:right="49"/>
        <w:jc w:val="both"/>
        <w:rPr>
          <w:rFonts w:ascii="Arial" w:hAnsi="Arial" w:cs="Arial"/>
        </w:rPr>
      </w:pPr>
      <w:r w:rsidRPr="009041D4">
        <w:rPr>
          <w:rFonts w:ascii="Arial" w:hAnsi="Arial" w:cs="Arial"/>
        </w:rPr>
        <w:t>Los campos de encabezado que conformarán la petición INVITE inicial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2943"/>
        <w:gridCol w:w="1507"/>
      </w:tblGrid>
      <w:tr w:rsidR="00FB70C1" w:rsidRPr="009041D4" w14:paraId="541B5750" w14:textId="77777777" w:rsidTr="006329CD">
        <w:trPr>
          <w:jc w:val="center"/>
        </w:trPr>
        <w:tc>
          <w:tcPr>
            <w:tcW w:w="509" w:type="dxa"/>
            <w:shd w:val="clear" w:color="auto" w:fill="BDD6EE"/>
          </w:tcPr>
          <w:p w14:paraId="34297FF9" w14:textId="77777777" w:rsidR="00FB70C1" w:rsidRPr="009041D4" w:rsidRDefault="00FB70C1" w:rsidP="006329CD">
            <w:pPr>
              <w:spacing w:after="0"/>
              <w:ind w:right="49"/>
              <w:jc w:val="center"/>
              <w:rPr>
                <w:rFonts w:ascii="Arial" w:hAnsi="Arial" w:cs="Arial"/>
                <w:bCs/>
                <w:color w:val="000000"/>
                <w:lang w:eastAsia="es-MX"/>
              </w:rPr>
            </w:pPr>
            <w:r w:rsidRPr="009041D4">
              <w:rPr>
                <w:rFonts w:ascii="Arial" w:hAnsi="Arial" w:cs="Arial"/>
                <w:bCs/>
                <w:color w:val="000000"/>
                <w:lang w:eastAsia="es-MX"/>
              </w:rPr>
              <w:t>#</w:t>
            </w:r>
          </w:p>
        </w:tc>
        <w:tc>
          <w:tcPr>
            <w:tcW w:w="2943" w:type="dxa"/>
            <w:shd w:val="clear" w:color="auto" w:fill="BDD6EE"/>
          </w:tcPr>
          <w:p w14:paraId="371F30AD" w14:textId="77777777" w:rsidR="00FB70C1" w:rsidRPr="009041D4" w:rsidRDefault="00FB70C1" w:rsidP="006329CD">
            <w:pPr>
              <w:spacing w:after="0"/>
              <w:ind w:right="49"/>
              <w:jc w:val="center"/>
              <w:rPr>
                <w:rFonts w:ascii="Arial" w:hAnsi="Arial" w:cs="Arial"/>
                <w:bCs/>
                <w:color w:val="000000"/>
                <w:lang w:eastAsia="es-MX"/>
              </w:rPr>
            </w:pPr>
            <w:r w:rsidRPr="009041D4">
              <w:rPr>
                <w:rFonts w:ascii="Arial" w:hAnsi="Arial" w:cs="Arial"/>
                <w:bCs/>
                <w:color w:val="000000"/>
                <w:lang w:eastAsia="es-MX"/>
              </w:rPr>
              <w:t>Campo de encabezado</w:t>
            </w:r>
          </w:p>
        </w:tc>
        <w:tc>
          <w:tcPr>
            <w:tcW w:w="1507" w:type="dxa"/>
            <w:shd w:val="clear" w:color="auto" w:fill="BDD6EE"/>
          </w:tcPr>
          <w:p w14:paraId="429B1FAF" w14:textId="77777777" w:rsidR="00FB70C1" w:rsidRPr="009041D4" w:rsidRDefault="00FB70C1" w:rsidP="006329CD">
            <w:pPr>
              <w:spacing w:after="0"/>
              <w:ind w:right="49"/>
              <w:jc w:val="center"/>
              <w:rPr>
                <w:rFonts w:ascii="Arial" w:hAnsi="Arial" w:cs="Arial"/>
                <w:bCs/>
                <w:color w:val="000000"/>
                <w:lang w:eastAsia="es-MX"/>
              </w:rPr>
            </w:pPr>
            <w:r w:rsidRPr="009041D4">
              <w:rPr>
                <w:rFonts w:ascii="Arial" w:hAnsi="Arial" w:cs="Arial"/>
                <w:bCs/>
                <w:color w:val="000000"/>
                <w:lang w:eastAsia="es-MX"/>
              </w:rPr>
              <w:t>Referencia</w:t>
            </w:r>
          </w:p>
        </w:tc>
      </w:tr>
      <w:tr w:rsidR="00FB70C1" w:rsidRPr="009041D4" w14:paraId="0C3499AB" w14:textId="77777777" w:rsidTr="006329CD">
        <w:trPr>
          <w:jc w:val="center"/>
        </w:trPr>
        <w:tc>
          <w:tcPr>
            <w:tcW w:w="509" w:type="dxa"/>
          </w:tcPr>
          <w:p w14:paraId="37F170A1" w14:textId="77777777" w:rsidR="00FB70C1" w:rsidRPr="009041D4" w:rsidRDefault="00FB70C1" w:rsidP="006329CD">
            <w:pPr>
              <w:spacing w:after="0"/>
              <w:ind w:right="49"/>
              <w:jc w:val="center"/>
              <w:rPr>
                <w:rFonts w:ascii="Arial" w:hAnsi="Arial" w:cs="Arial"/>
              </w:rPr>
            </w:pPr>
            <w:r w:rsidRPr="009041D4">
              <w:rPr>
                <w:rFonts w:ascii="Arial" w:hAnsi="Arial" w:cs="Arial"/>
              </w:rPr>
              <w:t>1</w:t>
            </w:r>
          </w:p>
        </w:tc>
        <w:tc>
          <w:tcPr>
            <w:tcW w:w="2943" w:type="dxa"/>
          </w:tcPr>
          <w:p w14:paraId="447A9ECA" w14:textId="77777777" w:rsidR="00FB70C1" w:rsidRPr="009041D4" w:rsidRDefault="00FB70C1" w:rsidP="006329CD">
            <w:pPr>
              <w:spacing w:after="0"/>
              <w:ind w:right="49"/>
              <w:rPr>
                <w:rFonts w:ascii="Arial" w:hAnsi="Arial" w:cs="Arial"/>
              </w:rPr>
            </w:pPr>
            <w:r w:rsidRPr="009041D4">
              <w:rPr>
                <w:rFonts w:ascii="Arial" w:hAnsi="Arial" w:cs="Arial"/>
              </w:rPr>
              <w:t>Via</w:t>
            </w:r>
          </w:p>
        </w:tc>
        <w:tc>
          <w:tcPr>
            <w:tcW w:w="1507" w:type="dxa"/>
          </w:tcPr>
          <w:p w14:paraId="2F2A7E1B"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695A52A9" w14:textId="77777777" w:rsidTr="006329CD">
        <w:trPr>
          <w:jc w:val="center"/>
        </w:trPr>
        <w:tc>
          <w:tcPr>
            <w:tcW w:w="509" w:type="dxa"/>
          </w:tcPr>
          <w:p w14:paraId="58F7F003" w14:textId="77777777" w:rsidR="00FB70C1" w:rsidRPr="009041D4" w:rsidRDefault="00FB70C1" w:rsidP="006329CD">
            <w:pPr>
              <w:spacing w:after="0"/>
              <w:ind w:right="49"/>
              <w:jc w:val="center"/>
              <w:rPr>
                <w:rFonts w:ascii="Arial" w:hAnsi="Arial" w:cs="Arial"/>
              </w:rPr>
            </w:pPr>
            <w:r w:rsidRPr="009041D4">
              <w:rPr>
                <w:rFonts w:ascii="Arial" w:hAnsi="Arial" w:cs="Arial"/>
              </w:rPr>
              <w:t>2</w:t>
            </w:r>
          </w:p>
        </w:tc>
        <w:tc>
          <w:tcPr>
            <w:tcW w:w="2943" w:type="dxa"/>
          </w:tcPr>
          <w:p w14:paraId="3ABF9A74" w14:textId="77777777" w:rsidR="00FB70C1" w:rsidRPr="009041D4" w:rsidRDefault="00FB70C1" w:rsidP="006329CD">
            <w:pPr>
              <w:spacing w:after="0"/>
              <w:ind w:right="49"/>
              <w:rPr>
                <w:rFonts w:ascii="Arial" w:hAnsi="Arial" w:cs="Arial"/>
              </w:rPr>
            </w:pPr>
            <w:r w:rsidRPr="009041D4">
              <w:rPr>
                <w:rFonts w:ascii="Arial" w:hAnsi="Arial" w:cs="Arial"/>
              </w:rPr>
              <w:t>Supported</w:t>
            </w:r>
          </w:p>
        </w:tc>
        <w:tc>
          <w:tcPr>
            <w:tcW w:w="1507" w:type="dxa"/>
          </w:tcPr>
          <w:p w14:paraId="6395152D"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7B9D5857" w14:textId="77777777" w:rsidTr="006329CD">
        <w:trPr>
          <w:jc w:val="center"/>
        </w:trPr>
        <w:tc>
          <w:tcPr>
            <w:tcW w:w="509" w:type="dxa"/>
          </w:tcPr>
          <w:p w14:paraId="49220C23" w14:textId="77777777" w:rsidR="00FB70C1" w:rsidRPr="009041D4" w:rsidRDefault="00FB70C1" w:rsidP="006329CD">
            <w:pPr>
              <w:spacing w:after="0"/>
              <w:ind w:right="49"/>
              <w:jc w:val="center"/>
              <w:rPr>
                <w:rFonts w:ascii="Arial" w:hAnsi="Arial" w:cs="Arial"/>
              </w:rPr>
            </w:pPr>
            <w:r w:rsidRPr="009041D4">
              <w:rPr>
                <w:rFonts w:ascii="Arial" w:hAnsi="Arial" w:cs="Arial"/>
              </w:rPr>
              <w:t>3</w:t>
            </w:r>
          </w:p>
        </w:tc>
        <w:tc>
          <w:tcPr>
            <w:tcW w:w="2943" w:type="dxa"/>
          </w:tcPr>
          <w:p w14:paraId="3A388663" w14:textId="77777777" w:rsidR="00FB70C1" w:rsidRPr="009041D4" w:rsidRDefault="00FB70C1" w:rsidP="006329CD">
            <w:pPr>
              <w:spacing w:after="0"/>
              <w:ind w:right="49"/>
              <w:rPr>
                <w:rFonts w:ascii="Arial" w:hAnsi="Arial" w:cs="Arial"/>
              </w:rPr>
            </w:pPr>
            <w:r w:rsidRPr="009041D4">
              <w:rPr>
                <w:rFonts w:ascii="Arial" w:hAnsi="Arial" w:cs="Arial"/>
              </w:rPr>
              <w:t>Session-Expires</w:t>
            </w:r>
          </w:p>
        </w:tc>
        <w:tc>
          <w:tcPr>
            <w:tcW w:w="1507" w:type="dxa"/>
          </w:tcPr>
          <w:p w14:paraId="25885E7B" w14:textId="2E4D3477" w:rsidR="00FB70C1" w:rsidRPr="009041D4" w:rsidRDefault="00FB70C1" w:rsidP="006329CD">
            <w:pPr>
              <w:spacing w:after="0"/>
              <w:ind w:right="49"/>
              <w:jc w:val="center"/>
              <w:rPr>
                <w:rFonts w:ascii="Arial" w:hAnsi="Arial" w:cs="Arial"/>
              </w:rPr>
            </w:pPr>
            <w:r w:rsidRPr="009041D4">
              <w:rPr>
                <w:rFonts w:ascii="Arial" w:hAnsi="Arial" w:cs="Arial"/>
              </w:rPr>
              <w:t>RFC 4028</w:t>
            </w:r>
            <w:r w:rsidR="00BE04B0">
              <w:rPr>
                <w:rStyle w:val="Refdenotaalpie"/>
                <w:rFonts w:ascii="Arial" w:hAnsi="Arial" w:cs="Arial"/>
              </w:rPr>
              <w:footnoteReference w:id="10"/>
            </w:r>
          </w:p>
        </w:tc>
      </w:tr>
      <w:tr w:rsidR="00FB70C1" w:rsidRPr="009041D4" w14:paraId="39A742A8" w14:textId="77777777" w:rsidTr="006329CD">
        <w:trPr>
          <w:jc w:val="center"/>
        </w:trPr>
        <w:tc>
          <w:tcPr>
            <w:tcW w:w="509" w:type="dxa"/>
          </w:tcPr>
          <w:p w14:paraId="5E5302A1" w14:textId="77777777" w:rsidR="00FB70C1" w:rsidRPr="009041D4" w:rsidRDefault="00FB70C1" w:rsidP="006329CD">
            <w:pPr>
              <w:spacing w:after="0"/>
              <w:ind w:right="49"/>
              <w:jc w:val="center"/>
              <w:rPr>
                <w:rFonts w:ascii="Arial" w:hAnsi="Arial" w:cs="Arial"/>
              </w:rPr>
            </w:pPr>
            <w:r w:rsidRPr="009041D4">
              <w:rPr>
                <w:rFonts w:ascii="Arial" w:hAnsi="Arial" w:cs="Arial"/>
              </w:rPr>
              <w:t>4</w:t>
            </w:r>
          </w:p>
        </w:tc>
        <w:tc>
          <w:tcPr>
            <w:tcW w:w="2943" w:type="dxa"/>
          </w:tcPr>
          <w:p w14:paraId="3198D299" w14:textId="77777777" w:rsidR="00FB70C1" w:rsidRPr="009041D4" w:rsidRDefault="00FB70C1" w:rsidP="006329CD">
            <w:pPr>
              <w:spacing w:after="0"/>
              <w:ind w:right="49"/>
              <w:rPr>
                <w:rFonts w:ascii="Arial" w:hAnsi="Arial" w:cs="Arial"/>
              </w:rPr>
            </w:pPr>
            <w:r w:rsidRPr="009041D4">
              <w:rPr>
                <w:rFonts w:ascii="Arial" w:hAnsi="Arial" w:cs="Arial"/>
              </w:rPr>
              <w:t>Min-SE</w:t>
            </w:r>
          </w:p>
        </w:tc>
        <w:tc>
          <w:tcPr>
            <w:tcW w:w="1507" w:type="dxa"/>
          </w:tcPr>
          <w:p w14:paraId="4ED417F0" w14:textId="77777777" w:rsidR="00FB70C1" w:rsidRPr="009041D4" w:rsidRDefault="00FB70C1" w:rsidP="006329CD">
            <w:pPr>
              <w:spacing w:after="0"/>
              <w:ind w:right="49"/>
              <w:jc w:val="center"/>
              <w:rPr>
                <w:rFonts w:ascii="Arial" w:hAnsi="Arial" w:cs="Arial"/>
              </w:rPr>
            </w:pPr>
            <w:r w:rsidRPr="009041D4">
              <w:rPr>
                <w:rFonts w:ascii="Arial" w:hAnsi="Arial" w:cs="Arial"/>
              </w:rPr>
              <w:t>RFC 4028</w:t>
            </w:r>
          </w:p>
        </w:tc>
      </w:tr>
      <w:tr w:rsidR="00FB70C1" w:rsidRPr="009041D4" w14:paraId="72A422D9" w14:textId="77777777" w:rsidTr="006329CD">
        <w:trPr>
          <w:jc w:val="center"/>
        </w:trPr>
        <w:tc>
          <w:tcPr>
            <w:tcW w:w="509" w:type="dxa"/>
          </w:tcPr>
          <w:p w14:paraId="60B4F328" w14:textId="77777777" w:rsidR="00FB70C1" w:rsidRPr="009041D4" w:rsidRDefault="00FB70C1" w:rsidP="006329CD">
            <w:pPr>
              <w:spacing w:after="0"/>
              <w:ind w:right="49"/>
              <w:jc w:val="center"/>
              <w:rPr>
                <w:rFonts w:ascii="Arial" w:hAnsi="Arial" w:cs="Arial"/>
              </w:rPr>
            </w:pPr>
            <w:r w:rsidRPr="009041D4">
              <w:rPr>
                <w:rFonts w:ascii="Arial" w:hAnsi="Arial" w:cs="Arial"/>
              </w:rPr>
              <w:t>5</w:t>
            </w:r>
          </w:p>
        </w:tc>
        <w:tc>
          <w:tcPr>
            <w:tcW w:w="2943" w:type="dxa"/>
          </w:tcPr>
          <w:p w14:paraId="18E1345A" w14:textId="77777777" w:rsidR="00FB70C1" w:rsidRPr="009041D4" w:rsidRDefault="00FB70C1" w:rsidP="006329CD">
            <w:pPr>
              <w:spacing w:after="0"/>
              <w:ind w:right="49"/>
              <w:rPr>
                <w:rFonts w:ascii="Arial" w:hAnsi="Arial" w:cs="Arial"/>
              </w:rPr>
            </w:pPr>
            <w:r w:rsidRPr="009041D4">
              <w:rPr>
                <w:rFonts w:ascii="Arial" w:hAnsi="Arial" w:cs="Arial"/>
              </w:rPr>
              <w:t>Max-Forwards</w:t>
            </w:r>
          </w:p>
        </w:tc>
        <w:tc>
          <w:tcPr>
            <w:tcW w:w="1507" w:type="dxa"/>
          </w:tcPr>
          <w:p w14:paraId="12A22CFA"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225973C6" w14:textId="77777777" w:rsidTr="006329CD">
        <w:trPr>
          <w:jc w:val="center"/>
        </w:trPr>
        <w:tc>
          <w:tcPr>
            <w:tcW w:w="509" w:type="dxa"/>
          </w:tcPr>
          <w:p w14:paraId="1DD9C93C" w14:textId="77777777" w:rsidR="00FB70C1" w:rsidRPr="009041D4" w:rsidRDefault="00FB70C1" w:rsidP="006329CD">
            <w:pPr>
              <w:spacing w:after="0"/>
              <w:ind w:right="49"/>
              <w:jc w:val="center"/>
              <w:rPr>
                <w:rFonts w:ascii="Arial" w:hAnsi="Arial" w:cs="Arial"/>
              </w:rPr>
            </w:pPr>
            <w:r w:rsidRPr="009041D4">
              <w:rPr>
                <w:rFonts w:ascii="Arial" w:hAnsi="Arial" w:cs="Arial"/>
              </w:rPr>
              <w:t>6</w:t>
            </w:r>
          </w:p>
        </w:tc>
        <w:tc>
          <w:tcPr>
            <w:tcW w:w="2943" w:type="dxa"/>
          </w:tcPr>
          <w:p w14:paraId="4709B393" w14:textId="77777777" w:rsidR="00FB70C1" w:rsidRPr="009041D4" w:rsidRDefault="00FB70C1" w:rsidP="006329CD">
            <w:pPr>
              <w:spacing w:after="0"/>
              <w:ind w:right="49"/>
              <w:rPr>
                <w:rFonts w:ascii="Arial" w:hAnsi="Arial" w:cs="Arial"/>
              </w:rPr>
            </w:pPr>
            <w:r w:rsidRPr="009041D4">
              <w:rPr>
                <w:rFonts w:ascii="Arial" w:hAnsi="Arial" w:cs="Arial"/>
              </w:rPr>
              <w:t>To</w:t>
            </w:r>
          </w:p>
        </w:tc>
        <w:tc>
          <w:tcPr>
            <w:tcW w:w="1507" w:type="dxa"/>
          </w:tcPr>
          <w:p w14:paraId="5A3AF1C2"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2B51AF86" w14:textId="77777777" w:rsidTr="006329CD">
        <w:trPr>
          <w:jc w:val="center"/>
        </w:trPr>
        <w:tc>
          <w:tcPr>
            <w:tcW w:w="509" w:type="dxa"/>
          </w:tcPr>
          <w:p w14:paraId="5CBB33AB" w14:textId="77777777" w:rsidR="00FB70C1" w:rsidRPr="009041D4" w:rsidRDefault="00FB70C1" w:rsidP="006329CD">
            <w:pPr>
              <w:spacing w:after="0"/>
              <w:ind w:right="49"/>
              <w:jc w:val="center"/>
              <w:rPr>
                <w:rFonts w:ascii="Arial" w:hAnsi="Arial" w:cs="Arial"/>
              </w:rPr>
            </w:pPr>
            <w:r w:rsidRPr="009041D4">
              <w:rPr>
                <w:rFonts w:ascii="Arial" w:hAnsi="Arial" w:cs="Arial"/>
              </w:rPr>
              <w:t>7</w:t>
            </w:r>
          </w:p>
        </w:tc>
        <w:tc>
          <w:tcPr>
            <w:tcW w:w="2943" w:type="dxa"/>
          </w:tcPr>
          <w:p w14:paraId="14B9FE91" w14:textId="77777777" w:rsidR="00FB70C1" w:rsidRPr="009041D4" w:rsidRDefault="00FB70C1" w:rsidP="006329CD">
            <w:pPr>
              <w:spacing w:after="0"/>
              <w:ind w:right="49"/>
              <w:rPr>
                <w:rFonts w:ascii="Arial" w:hAnsi="Arial" w:cs="Arial"/>
              </w:rPr>
            </w:pPr>
            <w:r w:rsidRPr="009041D4">
              <w:rPr>
                <w:rFonts w:ascii="Arial" w:hAnsi="Arial" w:cs="Arial"/>
              </w:rPr>
              <w:t>From</w:t>
            </w:r>
          </w:p>
        </w:tc>
        <w:tc>
          <w:tcPr>
            <w:tcW w:w="1507" w:type="dxa"/>
          </w:tcPr>
          <w:p w14:paraId="3E67B32E"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77FDDB32" w14:textId="77777777" w:rsidTr="006329CD">
        <w:trPr>
          <w:jc w:val="center"/>
        </w:trPr>
        <w:tc>
          <w:tcPr>
            <w:tcW w:w="509" w:type="dxa"/>
          </w:tcPr>
          <w:p w14:paraId="77C769EA" w14:textId="77777777" w:rsidR="00FB70C1" w:rsidRPr="009041D4" w:rsidRDefault="00FB70C1" w:rsidP="006329CD">
            <w:pPr>
              <w:spacing w:after="0"/>
              <w:ind w:right="49"/>
              <w:jc w:val="center"/>
              <w:rPr>
                <w:rFonts w:ascii="Arial" w:hAnsi="Arial" w:cs="Arial"/>
              </w:rPr>
            </w:pPr>
            <w:r w:rsidRPr="009041D4">
              <w:rPr>
                <w:rFonts w:ascii="Arial" w:hAnsi="Arial" w:cs="Arial"/>
              </w:rPr>
              <w:t>8</w:t>
            </w:r>
          </w:p>
        </w:tc>
        <w:tc>
          <w:tcPr>
            <w:tcW w:w="2943" w:type="dxa"/>
          </w:tcPr>
          <w:p w14:paraId="383725BA" w14:textId="77777777" w:rsidR="00FB70C1" w:rsidRPr="009041D4" w:rsidRDefault="00FB70C1" w:rsidP="006329CD">
            <w:pPr>
              <w:spacing w:after="0"/>
              <w:ind w:right="49"/>
              <w:rPr>
                <w:rFonts w:ascii="Arial" w:hAnsi="Arial" w:cs="Arial"/>
              </w:rPr>
            </w:pPr>
            <w:r w:rsidRPr="009041D4">
              <w:rPr>
                <w:rFonts w:ascii="Arial" w:hAnsi="Arial" w:cs="Arial"/>
              </w:rPr>
              <w:t>Call-ID</w:t>
            </w:r>
          </w:p>
        </w:tc>
        <w:tc>
          <w:tcPr>
            <w:tcW w:w="1507" w:type="dxa"/>
          </w:tcPr>
          <w:p w14:paraId="36AF23D1"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2828BE56" w14:textId="77777777" w:rsidTr="006329CD">
        <w:trPr>
          <w:jc w:val="center"/>
        </w:trPr>
        <w:tc>
          <w:tcPr>
            <w:tcW w:w="509" w:type="dxa"/>
          </w:tcPr>
          <w:p w14:paraId="60CEF7EF" w14:textId="77777777" w:rsidR="00FB70C1" w:rsidRPr="009041D4" w:rsidRDefault="00FB70C1" w:rsidP="006329CD">
            <w:pPr>
              <w:spacing w:after="0"/>
              <w:ind w:right="49"/>
              <w:jc w:val="center"/>
              <w:rPr>
                <w:rFonts w:ascii="Arial" w:hAnsi="Arial" w:cs="Arial"/>
              </w:rPr>
            </w:pPr>
            <w:r w:rsidRPr="009041D4">
              <w:rPr>
                <w:rFonts w:ascii="Arial" w:hAnsi="Arial" w:cs="Arial"/>
              </w:rPr>
              <w:t>9</w:t>
            </w:r>
          </w:p>
        </w:tc>
        <w:tc>
          <w:tcPr>
            <w:tcW w:w="2943" w:type="dxa"/>
          </w:tcPr>
          <w:p w14:paraId="7F0A85E1" w14:textId="77777777" w:rsidR="00FB70C1" w:rsidRPr="009041D4" w:rsidRDefault="00FB70C1" w:rsidP="006329CD">
            <w:pPr>
              <w:spacing w:after="0"/>
              <w:ind w:right="49"/>
              <w:rPr>
                <w:rFonts w:ascii="Arial" w:hAnsi="Arial" w:cs="Arial"/>
              </w:rPr>
            </w:pPr>
            <w:r w:rsidRPr="009041D4">
              <w:rPr>
                <w:rFonts w:ascii="Arial" w:hAnsi="Arial" w:cs="Arial"/>
              </w:rPr>
              <w:t>CSeq</w:t>
            </w:r>
          </w:p>
        </w:tc>
        <w:tc>
          <w:tcPr>
            <w:tcW w:w="1507" w:type="dxa"/>
          </w:tcPr>
          <w:p w14:paraId="51BF04D2"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0C9DD844" w14:textId="77777777" w:rsidTr="006329CD">
        <w:trPr>
          <w:jc w:val="center"/>
        </w:trPr>
        <w:tc>
          <w:tcPr>
            <w:tcW w:w="509" w:type="dxa"/>
          </w:tcPr>
          <w:p w14:paraId="3E1ABF1C" w14:textId="77777777" w:rsidR="00FB70C1" w:rsidRPr="009041D4" w:rsidRDefault="00FB70C1" w:rsidP="006329CD">
            <w:pPr>
              <w:spacing w:after="0"/>
              <w:ind w:right="49"/>
              <w:jc w:val="center"/>
              <w:rPr>
                <w:rFonts w:ascii="Arial" w:hAnsi="Arial" w:cs="Arial"/>
              </w:rPr>
            </w:pPr>
            <w:r w:rsidRPr="009041D4">
              <w:rPr>
                <w:rFonts w:ascii="Arial" w:hAnsi="Arial" w:cs="Arial"/>
              </w:rPr>
              <w:t>10</w:t>
            </w:r>
          </w:p>
        </w:tc>
        <w:tc>
          <w:tcPr>
            <w:tcW w:w="2943" w:type="dxa"/>
          </w:tcPr>
          <w:p w14:paraId="23227528" w14:textId="77777777" w:rsidR="00FB70C1" w:rsidRPr="009041D4" w:rsidRDefault="00FB70C1" w:rsidP="006329CD">
            <w:pPr>
              <w:spacing w:after="0"/>
              <w:ind w:right="49"/>
              <w:rPr>
                <w:rFonts w:ascii="Arial" w:hAnsi="Arial" w:cs="Arial"/>
              </w:rPr>
            </w:pPr>
            <w:r w:rsidRPr="009041D4">
              <w:rPr>
                <w:rFonts w:ascii="Arial" w:hAnsi="Arial" w:cs="Arial"/>
              </w:rPr>
              <w:t>Contact</w:t>
            </w:r>
          </w:p>
        </w:tc>
        <w:tc>
          <w:tcPr>
            <w:tcW w:w="1507" w:type="dxa"/>
          </w:tcPr>
          <w:p w14:paraId="7BF54D27"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14E32C7C" w14:textId="77777777" w:rsidTr="006329CD">
        <w:trPr>
          <w:jc w:val="center"/>
        </w:trPr>
        <w:tc>
          <w:tcPr>
            <w:tcW w:w="509" w:type="dxa"/>
          </w:tcPr>
          <w:p w14:paraId="1E7E6F5D" w14:textId="77777777" w:rsidR="00FB70C1" w:rsidRPr="009041D4" w:rsidRDefault="00FB70C1" w:rsidP="006329CD">
            <w:pPr>
              <w:spacing w:after="0"/>
              <w:ind w:right="49"/>
              <w:jc w:val="center"/>
              <w:rPr>
                <w:rFonts w:ascii="Arial" w:hAnsi="Arial" w:cs="Arial"/>
              </w:rPr>
            </w:pPr>
            <w:r w:rsidRPr="009041D4">
              <w:rPr>
                <w:rFonts w:ascii="Arial" w:hAnsi="Arial" w:cs="Arial"/>
              </w:rPr>
              <w:t>11</w:t>
            </w:r>
          </w:p>
        </w:tc>
        <w:tc>
          <w:tcPr>
            <w:tcW w:w="2943" w:type="dxa"/>
          </w:tcPr>
          <w:p w14:paraId="73830146" w14:textId="77777777" w:rsidR="00FB70C1" w:rsidRPr="009041D4" w:rsidRDefault="00FB70C1" w:rsidP="006329CD">
            <w:pPr>
              <w:spacing w:after="0"/>
              <w:ind w:right="49"/>
              <w:rPr>
                <w:rFonts w:ascii="Arial" w:hAnsi="Arial" w:cs="Arial"/>
              </w:rPr>
            </w:pPr>
            <w:r w:rsidRPr="009041D4">
              <w:rPr>
                <w:rFonts w:ascii="Arial" w:hAnsi="Arial" w:cs="Arial"/>
              </w:rPr>
              <w:t>Content-Type</w:t>
            </w:r>
          </w:p>
        </w:tc>
        <w:tc>
          <w:tcPr>
            <w:tcW w:w="1507" w:type="dxa"/>
          </w:tcPr>
          <w:p w14:paraId="03D4C701"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640DB2DC" w14:textId="77777777" w:rsidTr="006329CD">
        <w:trPr>
          <w:jc w:val="center"/>
        </w:trPr>
        <w:tc>
          <w:tcPr>
            <w:tcW w:w="509" w:type="dxa"/>
          </w:tcPr>
          <w:p w14:paraId="6A2E5095" w14:textId="77777777" w:rsidR="00FB70C1" w:rsidRPr="009041D4" w:rsidRDefault="00FB70C1" w:rsidP="006329CD">
            <w:pPr>
              <w:spacing w:after="0"/>
              <w:ind w:right="49"/>
              <w:jc w:val="center"/>
              <w:rPr>
                <w:rFonts w:ascii="Arial" w:hAnsi="Arial" w:cs="Arial"/>
              </w:rPr>
            </w:pPr>
            <w:r w:rsidRPr="009041D4">
              <w:rPr>
                <w:rFonts w:ascii="Arial" w:hAnsi="Arial" w:cs="Arial"/>
              </w:rPr>
              <w:t>12</w:t>
            </w:r>
          </w:p>
        </w:tc>
        <w:tc>
          <w:tcPr>
            <w:tcW w:w="2943" w:type="dxa"/>
          </w:tcPr>
          <w:p w14:paraId="0DD66589" w14:textId="77777777" w:rsidR="00FB70C1" w:rsidRPr="009041D4" w:rsidRDefault="00FB70C1" w:rsidP="006329CD">
            <w:pPr>
              <w:spacing w:after="0"/>
              <w:ind w:right="49"/>
              <w:rPr>
                <w:rFonts w:ascii="Arial" w:hAnsi="Arial" w:cs="Arial"/>
              </w:rPr>
            </w:pPr>
            <w:r w:rsidRPr="009041D4">
              <w:rPr>
                <w:rFonts w:ascii="Arial" w:hAnsi="Arial" w:cs="Arial"/>
              </w:rPr>
              <w:t>Content-Length</w:t>
            </w:r>
          </w:p>
        </w:tc>
        <w:tc>
          <w:tcPr>
            <w:tcW w:w="1507" w:type="dxa"/>
          </w:tcPr>
          <w:p w14:paraId="7501E07B"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r w:rsidR="00FB70C1" w:rsidRPr="009041D4" w14:paraId="48093738" w14:textId="77777777" w:rsidTr="006329CD">
        <w:trPr>
          <w:jc w:val="center"/>
        </w:trPr>
        <w:tc>
          <w:tcPr>
            <w:tcW w:w="509" w:type="dxa"/>
          </w:tcPr>
          <w:p w14:paraId="7C939C93" w14:textId="77777777" w:rsidR="00FB70C1" w:rsidRPr="009041D4" w:rsidRDefault="00FB70C1" w:rsidP="006329CD">
            <w:pPr>
              <w:spacing w:after="0"/>
              <w:ind w:right="49"/>
              <w:jc w:val="center"/>
              <w:rPr>
                <w:rFonts w:ascii="Arial" w:hAnsi="Arial" w:cs="Arial"/>
              </w:rPr>
            </w:pPr>
            <w:r w:rsidRPr="009041D4">
              <w:rPr>
                <w:rFonts w:ascii="Arial" w:hAnsi="Arial" w:cs="Arial"/>
              </w:rPr>
              <w:t>13</w:t>
            </w:r>
          </w:p>
        </w:tc>
        <w:tc>
          <w:tcPr>
            <w:tcW w:w="2943" w:type="dxa"/>
          </w:tcPr>
          <w:p w14:paraId="45EAC0DE" w14:textId="77777777" w:rsidR="00FB70C1" w:rsidRPr="009041D4" w:rsidRDefault="00FB70C1" w:rsidP="006329CD">
            <w:pPr>
              <w:spacing w:after="0"/>
              <w:ind w:right="49"/>
              <w:rPr>
                <w:rFonts w:ascii="Arial" w:hAnsi="Arial" w:cs="Arial"/>
              </w:rPr>
            </w:pPr>
            <w:r w:rsidRPr="009041D4">
              <w:rPr>
                <w:rFonts w:ascii="Arial" w:hAnsi="Arial" w:cs="Arial"/>
              </w:rPr>
              <w:t>Allow</w:t>
            </w:r>
          </w:p>
        </w:tc>
        <w:tc>
          <w:tcPr>
            <w:tcW w:w="1507" w:type="dxa"/>
          </w:tcPr>
          <w:p w14:paraId="59F5DC17" w14:textId="77777777" w:rsidR="00FB70C1" w:rsidRPr="009041D4" w:rsidRDefault="00FB70C1" w:rsidP="006329CD">
            <w:pPr>
              <w:spacing w:after="0"/>
              <w:ind w:right="49"/>
              <w:jc w:val="center"/>
              <w:rPr>
                <w:rFonts w:ascii="Arial" w:hAnsi="Arial" w:cs="Arial"/>
              </w:rPr>
            </w:pPr>
            <w:r w:rsidRPr="009041D4">
              <w:rPr>
                <w:rFonts w:ascii="Arial" w:hAnsi="Arial" w:cs="Arial"/>
              </w:rPr>
              <w:t>RFC 3261</w:t>
            </w:r>
          </w:p>
        </w:tc>
      </w:tr>
    </w:tbl>
    <w:p w14:paraId="24984985"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2. Campos de encabezado método INVITE.</w:t>
      </w:r>
    </w:p>
    <w:p w14:paraId="0149358F" w14:textId="77777777" w:rsidR="00FB70C1" w:rsidRPr="009041D4" w:rsidRDefault="00FB70C1" w:rsidP="00FB70C1">
      <w:pPr>
        <w:spacing w:after="0"/>
        <w:ind w:right="49"/>
        <w:jc w:val="both"/>
        <w:rPr>
          <w:rFonts w:ascii="Arial" w:hAnsi="Arial" w:cs="Arial"/>
        </w:rPr>
      </w:pPr>
    </w:p>
    <w:p w14:paraId="709851F0" w14:textId="2EB9F7BE" w:rsidR="00FB70C1" w:rsidRPr="009041D4" w:rsidRDefault="00FB70C1" w:rsidP="00FB70C1">
      <w:pPr>
        <w:spacing w:after="0"/>
        <w:ind w:right="49"/>
        <w:jc w:val="both"/>
        <w:rPr>
          <w:rFonts w:ascii="Arial" w:hAnsi="Arial" w:cs="Arial"/>
        </w:rPr>
      </w:pPr>
      <w:r w:rsidRPr="009041D4">
        <w:rPr>
          <w:rFonts w:ascii="Arial" w:hAnsi="Arial" w:cs="Arial"/>
        </w:rPr>
        <w:t>La contestación a la petición INVITE será la respuesta SIP 100 “Intentando”, siempre que dicha petición progrese con éxito.</w:t>
      </w:r>
    </w:p>
    <w:p w14:paraId="1E8C5DBA" w14:textId="77777777" w:rsidR="00FB70C1" w:rsidRPr="009041D4" w:rsidRDefault="00FB70C1" w:rsidP="00FB70C1">
      <w:pPr>
        <w:spacing w:after="0"/>
        <w:ind w:right="49"/>
        <w:rPr>
          <w:rFonts w:ascii="Arial" w:hAnsi="Arial" w:cs="Arial"/>
        </w:rPr>
      </w:pPr>
    </w:p>
    <w:p w14:paraId="09F4590D"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Encabezados adicionales SIP aplicables para sesiones de VoIP</w:t>
      </w:r>
    </w:p>
    <w:p w14:paraId="7E090F33" w14:textId="77777777" w:rsidR="00FB70C1" w:rsidRPr="009041D4" w:rsidRDefault="00FB70C1" w:rsidP="00FB70C1">
      <w:pPr>
        <w:spacing w:after="0"/>
        <w:ind w:right="49"/>
        <w:rPr>
          <w:rFonts w:ascii="Arial" w:hAnsi="Arial" w:cs="Arial"/>
        </w:rPr>
      </w:pPr>
    </w:p>
    <w:p w14:paraId="3C9922AB" w14:textId="77777777" w:rsidR="00FB70C1" w:rsidRPr="009041D4" w:rsidRDefault="00FB70C1" w:rsidP="00FB70C1">
      <w:pPr>
        <w:spacing w:after="0"/>
        <w:ind w:right="49"/>
        <w:rPr>
          <w:rFonts w:ascii="Arial" w:hAnsi="Arial" w:cs="Arial"/>
        </w:rPr>
      </w:pPr>
      <w:r w:rsidRPr="009041D4">
        <w:rPr>
          <w:rFonts w:ascii="Arial" w:hAnsi="Arial" w:cs="Arial"/>
        </w:rPr>
        <w:t xml:space="preserve">Adicionalmente, se considerarán los siguientes encabezados: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3260"/>
        <w:gridCol w:w="992"/>
        <w:gridCol w:w="2977"/>
      </w:tblGrid>
      <w:tr w:rsidR="00FB70C1" w:rsidRPr="009041D4" w14:paraId="519140D6" w14:textId="77777777" w:rsidTr="006329CD">
        <w:trPr>
          <w:jc w:val="center"/>
        </w:trPr>
        <w:tc>
          <w:tcPr>
            <w:tcW w:w="279" w:type="dxa"/>
            <w:shd w:val="clear" w:color="auto" w:fill="BDD6EE"/>
          </w:tcPr>
          <w:p w14:paraId="59D3DFCC"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w:t>
            </w:r>
          </w:p>
        </w:tc>
        <w:tc>
          <w:tcPr>
            <w:tcW w:w="3260" w:type="dxa"/>
            <w:shd w:val="clear" w:color="auto" w:fill="BDD6EE"/>
          </w:tcPr>
          <w:p w14:paraId="303D819B"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Encabezado</w:t>
            </w:r>
          </w:p>
        </w:tc>
        <w:tc>
          <w:tcPr>
            <w:tcW w:w="992" w:type="dxa"/>
            <w:shd w:val="clear" w:color="auto" w:fill="BDD6EE"/>
          </w:tcPr>
          <w:p w14:paraId="42A1F1BF" w14:textId="77777777" w:rsidR="00FB70C1" w:rsidRPr="009041D4" w:rsidRDefault="00FB70C1" w:rsidP="006329CD">
            <w:pPr>
              <w:spacing w:after="0"/>
              <w:ind w:right="49"/>
              <w:rPr>
                <w:rFonts w:ascii="Arial" w:hAnsi="Arial" w:cs="Arial"/>
                <w:color w:val="000000"/>
                <w:lang w:eastAsia="es-MX"/>
              </w:rPr>
            </w:pPr>
            <w:r w:rsidRPr="009041D4">
              <w:rPr>
                <w:rFonts w:ascii="Arial" w:hAnsi="Arial" w:cs="Arial"/>
                <w:color w:val="000000"/>
                <w:lang w:eastAsia="es-MX"/>
              </w:rPr>
              <w:t>Estado</w:t>
            </w:r>
          </w:p>
        </w:tc>
        <w:tc>
          <w:tcPr>
            <w:tcW w:w="2977" w:type="dxa"/>
            <w:shd w:val="clear" w:color="auto" w:fill="BDD6EE"/>
          </w:tcPr>
          <w:p w14:paraId="59C40F71"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Referencia</w:t>
            </w:r>
          </w:p>
        </w:tc>
      </w:tr>
      <w:tr w:rsidR="00FB70C1" w:rsidRPr="009041D4" w14:paraId="4C2116E8" w14:textId="77777777" w:rsidTr="006329CD">
        <w:trPr>
          <w:jc w:val="center"/>
        </w:trPr>
        <w:tc>
          <w:tcPr>
            <w:tcW w:w="279" w:type="dxa"/>
          </w:tcPr>
          <w:p w14:paraId="4C7122F7"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1</w:t>
            </w:r>
          </w:p>
        </w:tc>
        <w:tc>
          <w:tcPr>
            <w:tcW w:w="3260" w:type="dxa"/>
            <w:vAlign w:val="center"/>
          </w:tcPr>
          <w:p w14:paraId="2B5733AD"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Privacy</w:t>
            </w:r>
          </w:p>
        </w:tc>
        <w:tc>
          <w:tcPr>
            <w:tcW w:w="992" w:type="dxa"/>
          </w:tcPr>
          <w:p w14:paraId="4B66346F"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M</w:t>
            </w:r>
          </w:p>
        </w:tc>
        <w:tc>
          <w:tcPr>
            <w:tcW w:w="2977" w:type="dxa"/>
          </w:tcPr>
          <w:p w14:paraId="2AF67632" w14:textId="28E9847D"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De acuerdo a RFC 3323</w:t>
            </w:r>
            <w:r w:rsidR="00BE04B0">
              <w:rPr>
                <w:rStyle w:val="Refdenotaalpie"/>
                <w:rFonts w:ascii="Arial" w:hAnsi="Arial" w:cs="Arial"/>
                <w:color w:val="000000"/>
                <w:lang w:eastAsia="es-MX"/>
              </w:rPr>
              <w:footnoteReference w:id="11"/>
            </w:r>
          </w:p>
        </w:tc>
      </w:tr>
      <w:tr w:rsidR="00FB70C1" w:rsidRPr="009041D4" w14:paraId="53AB39C2" w14:textId="77777777" w:rsidTr="006329CD">
        <w:trPr>
          <w:jc w:val="center"/>
        </w:trPr>
        <w:tc>
          <w:tcPr>
            <w:tcW w:w="279" w:type="dxa"/>
          </w:tcPr>
          <w:p w14:paraId="2C78ABB5"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2</w:t>
            </w:r>
          </w:p>
        </w:tc>
        <w:tc>
          <w:tcPr>
            <w:tcW w:w="3260" w:type="dxa"/>
            <w:vAlign w:val="center"/>
          </w:tcPr>
          <w:p w14:paraId="2C600809"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Reason (en una respuesta)</w:t>
            </w:r>
          </w:p>
        </w:tc>
        <w:tc>
          <w:tcPr>
            <w:tcW w:w="992" w:type="dxa"/>
          </w:tcPr>
          <w:p w14:paraId="7B210D78"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M</w:t>
            </w:r>
          </w:p>
        </w:tc>
        <w:tc>
          <w:tcPr>
            <w:tcW w:w="2977" w:type="dxa"/>
          </w:tcPr>
          <w:p w14:paraId="3E0EAA62" w14:textId="28941D3E"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De acuerdo a RFC 3326</w:t>
            </w:r>
            <w:r w:rsidR="00BE04B0">
              <w:rPr>
                <w:rStyle w:val="Refdenotaalpie"/>
                <w:rFonts w:ascii="Arial" w:hAnsi="Arial" w:cs="Arial"/>
                <w:color w:val="000000"/>
                <w:lang w:eastAsia="es-MX"/>
              </w:rPr>
              <w:footnoteReference w:id="12"/>
            </w:r>
          </w:p>
        </w:tc>
      </w:tr>
      <w:tr w:rsidR="00FB70C1" w:rsidRPr="009041D4" w14:paraId="46268497" w14:textId="77777777" w:rsidTr="006329CD">
        <w:trPr>
          <w:jc w:val="center"/>
        </w:trPr>
        <w:tc>
          <w:tcPr>
            <w:tcW w:w="279" w:type="dxa"/>
          </w:tcPr>
          <w:p w14:paraId="6AD39E3E"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lastRenderedPageBreak/>
              <w:t>3</w:t>
            </w:r>
          </w:p>
        </w:tc>
        <w:tc>
          <w:tcPr>
            <w:tcW w:w="3260" w:type="dxa"/>
            <w:vAlign w:val="center"/>
          </w:tcPr>
          <w:p w14:paraId="536A9766"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P-Asserted-Identity</w:t>
            </w:r>
          </w:p>
        </w:tc>
        <w:tc>
          <w:tcPr>
            <w:tcW w:w="992" w:type="dxa"/>
          </w:tcPr>
          <w:p w14:paraId="3B3F0D08"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M</w:t>
            </w:r>
          </w:p>
        </w:tc>
        <w:tc>
          <w:tcPr>
            <w:tcW w:w="2977" w:type="dxa"/>
          </w:tcPr>
          <w:p w14:paraId="7CE3B1BC" w14:textId="387FBEF8"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De acuerdo al RFC 3325</w:t>
            </w:r>
            <w:r w:rsidR="00BE04B0">
              <w:rPr>
                <w:rStyle w:val="Refdenotaalpie"/>
                <w:rFonts w:ascii="Arial" w:hAnsi="Arial" w:cs="Arial"/>
                <w:color w:val="000000"/>
                <w:lang w:eastAsia="es-MX"/>
              </w:rPr>
              <w:footnoteReference w:id="13"/>
            </w:r>
          </w:p>
        </w:tc>
      </w:tr>
      <w:tr w:rsidR="00FB70C1" w:rsidRPr="009041D4" w14:paraId="06F3F608" w14:textId="77777777" w:rsidTr="006329CD">
        <w:trPr>
          <w:jc w:val="center"/>
        </w:trPr>
        <w:tc>
          <w:tcPr>
            <w:tcW w:w="279" w:type="dxa"/>
          </w:tcPr>
          <w:p w14:paraId="4EB9621B"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4</w:t>
            </w:r>
          </w:p>
        </w:tc>
        <w:tc>
          <w:tcPr>
            <w:tcW w:w="3260" w:type="dxa"/>
            <w:vAlign w:val="center"/>
          </w:tcPr>
          <w:p w14:paraId="38F58A10"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P-Early-Media</w:t>
            </w:r>
          </w:p>
        </w:tc>
        <w:tc>
          <w:tcPr>
            <w:tcW w:w="992" w:type="dxa"/>
          </w:tcPr>
          <w:p w14:paraId="3EBE6300" w14:textId="77777777"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O</w:t>
            </w:r>
          </w:p>
        </w:tc>
        <w:tc>
          <w:tcPr>
            <w:tcW w:w="2977" w:type="dxa"/>
          </w:tcPr>
          <w:p w14:paraId="28E8D304" w14:textId="618969A2" w:rsidR="00FB70C1" w:rsidRPr="009041D4" w:rsidRDefault="00FB70C1" w:rsidP="006329CD">
            <w:pPr>
              <w:spacing w:after="0"/>
              <w:ind w:right="49"/>
              <w:jc w:val="center"/>
              <w:rPr>
                <w:rFonts w:ascii="Arial" w:hAnsi="Arial" w:cs="Arial"/>
                <w:color w:val="000000"/>
                <w:lang w:eastAsia="es-MX"/>
              </w:rPr>
            </w:pPr>
            <w:r w:rsidRPr="009041D4">
              <w:rPr>
                <w:rFonts w:ascii="Arial" w:hAnsi="Arial" w:cs="Arial"/>
                <w:color w:val="000000"/>
                <w:lang w:eastAsia="es-MX"/>
              </w:rPr>
              <w:t>De acuerdo al RFC 5009</w:t>
            </w:r>
            <w:r w:rsidR="00BE04B0">
              <w:rPr>
                <w:rStyle w:val="Refdenotaalpie"/>
                <w:rFonts w:ascii="Arial" w:hAnsi="Arial" w:cs="Arial"/>
                <w:color w:val="000000"/>
                <w:lang w:eastAsia="es-MX"/>
              </w:rPr>
              <w:footnoteReference w:id="14"/>
            </w:r>
          </w:p>
        </w:tc>
      </w:tr>
    </w:tbl>
    <w:p w14:paraId="58323F83"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3. Encabezados adicionales SIP para VoIP.</w:t>
      </w:r>
    </w:p>
    <w:p w14:paraId="1ABB5DAF" w14:textId="77777777" w:rsidR="00FB70C1" w:rsidRPr="009041D4" w:rsidRDefault="00FB70C1" w:rsidP="00FB70C1">
      <w:pPr>
        <w:spacing w:after="0"/>
        <w:ind w:right="49"/>
        <w:rPr>
          <w:rFonts w:ascii="Arial" w:hAnsi="Arial" w:cs="Arial"/>
        </w:rPr>
      </w:pPr>
    </w:p>
    <w:p w14:paraId="2105B4EE"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Protocolo de Descripción de Sesión</w:t>
      </w:r>
    </w:p>
    <w:p w14:paraId="72FAC455" w14:textId="77777777" w:rsidR="00FB70C1" w:rsidRPr="009041D4" w:rsidRDefault="00FB70C1" w:rsidP="00FB70C1">
      <w:pPr>
        <w:autoSpaceDE w:val="0"/>
        <w:autoSpaceDN w:val="0"/>
        <w:adjustRightInd w:val="0"/>
        <w:spacing w:after="0"/>
        <w:ind w:right="51"/>
        <w:jc w:val="both"/>
        <w:rPr>
          <w:rFonts w:ascii="Arial" w:hAnsi="Arial" w:cs="Arial"/>
        </w:rPr>
      </w:pPr>
    </w:p>
    <w:p w14:paraId="194AE1B9" w14:textId="17D81AED" w:rsidR="00FB70C1" w:rsidRPr="009041D4" w:rsidRDefault="00FB70C1" w:rsidP="00FB70C1">
      <w:pPr>
        <w:autoSpaceDE w:val="0"/>
        <w:autoSpaceDN w:val="0"/>
        <w:adjustRightInd w:val="0"/>
        <w:spacing w:after="0"/>
        <w:ind w:right="51"/>
        <w:jc w:val="both"/>
        <w:rPr>
          <w:rFonts w:ascii="Arial" w:hAnsi="Arial" w:cs="Arial"/>
        </w:rPr>
      </w:pPr>
      <w:r w:rsidRPr="009041D4">
        <w:rPr>
          <w:rFonts w:ascii="Arial" w:hAnsi="Arial" w:cs="Arial"/>
        </w:rPr>
        <w:t>La solicitud INVITE incluirá en el cuerpo, una descripción de la sesión en formato Protocolo de Descripción de Sesión (“SDP”, por sus siglas en inglés) de acuerdo a la Recomendación IETF RFC 4566</w:t>
      </w:r>
      <w:r w:rsidR="00BE04B0">
        <w:rPr>
          <w:rStyle w:val="Refdenotaalpie"/>
          <w:rFonts w:ascii="Arial" w:hAnsi="Arial" w:cs="Arial"/>
        </w:rPr>
        <w:footnoteReference w:id="15"/>
      </w:r>
      <w:r w:rsidRPr="009041D4">
        <w:rPr>
          <w:rFonts w:ascii="Arial" w:hAnsi="Arial" w:cs="Arial"/>
        </w:rPr>
        <w:t>, en la cual se señalan las características del medio.</w:t>
      </w:r>
    </w:p>
    <w:p w14:paraId="68C23EF6" w14:textId="77777777" w:rsidR="00FB70C1" w:rsidRPr="009041D4" w:rsidRDefault="00FB70C1" w:rsidP="00FB70C1">
      <w:pPr>
        <w:pStyle w:val="Prrafodelista"/>
        <w:autoSpaceDE w:val="0"/>
        <w:autoSpaceDN w:val="0"/>
        <w:adjustRightInd w:val="0"/>
        <w:spacing w:line="276" w:lineRule="auto"/>
        <w:ind w:right="51"/>
        <w:rPr>
          <w:rFonts w:cs="Arial"/>
        </w:rPr>
      </w:pPr>
    </w:p>
    <w:p w14:paraId="7EF64B84" w14:textId="77777777" w:rsidR="00FB70C1" w:rsidRPr="009041D4" w:rsidRDefault="00FB70C1" w:rsidP="00FB70C1">
      <w:pPr>
        <w:autoSpaceDE w:val="0"/>
        <w:autoSpaceDN w:val="0"/>
        <w:adjustRightInd w:val="0"/>
        <w:spacing w:after="0"/>
        <w:ind w:right="51"/>
        <w:jc w:val="both"/>
        <w:rPr>
          <w:rFonts w:ascii="Arial" w:hAnsi="Arial" w:cs="Arial"/>
        </w:rPr>
      </w:pPr>
      <w:r w:rsidRPr="009041D4">
        <w:rPr>
          <w:rFonts w:ascii="Arial" w:hAnsi="Arial" w:cs="Arial"/>
        </w:rPr>
        <w:t>El mensaje SDP se compondrá de los siguientes campos y se respetará el orden especificado.</w:t>
      </w:r>
    </w:p>
    <w:p w14:paraId="49BBF339" w14:textId="77777777" w:rsidR="00FB70C1" w:rsidRPr="009041D4" w:rsidRDefault="00FB70C1" w:rsidP="00FB70C1">
      <w:pPr>
        <w:autoSpaceDE w:val="0"/>
        <w:autoSpaceDN w:val="0"/>
        <w:adjustRightInd w:val="0"/>
        <w:spacing w:after="0"/>
        <w:ind w:right="51"/>
        <w:jc w:val="both"/>
        <w:rPr>
          <w:rFonts w:ascii="Arial" w:hAnsi="Arial" w:cs="Arial"/>
        </w:rPr>
      </w:pPr>
    </w:p>
    <w:tbl>
      <w:tblPr>
        <w:tblW w:w="7792" w:type="dxa"/>
        <w:jc w:val="center"/>
        <w:tblCellMar>
          <w:left w:w="70" w:type="dxa"/>
          <w:right w:w="70" w:type="dxa"/>
        </w:tblCellMar>
        <w:tblLook w:val="00A0" w:firstRow="1" w:lastRow="0" w:firstColumn="1" w:lastColumn="0" w:noHBand="0" w:noVBand="0"/>
      </w:tblPr>
      <w:tblGrid>
        <w:gridCol w:w="644"/>
        <w:gridCol w:w="5730"/>
        <w:gridCol w:w="1418"/>
      </w:tblGrid>
      <w:tr w:rsidR="00FB70C1" w:rsidRPr="009041D4" w14:paraId="52E3C667" w14:textId="77777777" w:rsidTr="006329CD">
        <w:trPr>
          <w:trHeight w:val="300"/>
          <w:jc w:val="center"/>
        </w:trPr>
        <w:tc>
          <w:tcPr>
            <w:tcW w:w="644" w:type="dxa"/>
            <w:tcBorders>
              <w:top w:val="single" w:sz="4" w:space="0" w:color="auto"/>
              <w:left w:val="single" w:sz="4" w:space="0" w:color="auto"/>
              <w:bottom w:val="single" w:sz="4" w:space="0" w:color="auto"/>
              <w:right w:val="single" w:sz="4" w:space="0" w:color="auto"/>
            </w:tcBorders>
            <w:shd w:val="clear" w:color="auto" w:fill="BDD6EE"/>
            <w:vAlign w:val="center"/>
          </w:tcPr>
          <w:p w14:paraId="4A6EBDAE" w14:textId="77777777" w:rsidR="00FB70C1" w:rsidRPr="009041D4" w:rsidRDefault="00FB70C1" w:rsidP="006329CD">
            <w:pPr>
              <w:pStyle w:val="TAH"/>
              <w:spacing w:line="276" w:lineRule="auto"/>
              <w:ind w:right="49"/>
              <w:rPr>
                <w:rFonts w:cs="Arial"/>
                <w:b w:val="0"/>
                <w:sz w:val="20"/>
              </w:rPr>
            </w:pPr>
            <w:r w:rsidRPr="009041D4">
              <w:rPr>
                <w:rFonts w:cs="Arial"/>
                <w:b w:val="0"/>
                <w:sz w:val="20"/>
              </w:rPr>
              <w:t>Tipo</w:t>
            </w:r>
          </w:p>
        </w:tc>
        <w:tc>
          <w:tcPr>
            <w:tcW w:w="5730" w:type="dxa"/>
            <w:tcBorders>
              <w:top w:val="single" w:sz="4" w:space="0" w:color="auto"/>
              <w:left w:val="nil"/>
              <w:bottom w:val="single" w:sz="4" w:space="0" w:color="auto"/>
              <w:right w:val="single" w:sz="4" w:space="0" w:color="auto"/>
            </w:tcBorders>
            <w:shd w:val="clear" w:color="auto" w:fill="BDD6EE"/>
            <w:vAlign w:val="center"/>
          </w:tcPr>
          <w:p w14:paraId="156F8C3D" w14:textId="77777777" w:rsidR="00FB70C1" w:rsidRPr="009041D4" w:rsidRDefault="00FB70C1" w:rsidP="006329CD">
            <w:pPr>
              <w:pStyle w:val="TAH"/>
              <w:spacing w:line="276" w:lineRule="auto"/>
              <w:ind w:right="49"/>
              <w:rPr>
                <w:rFonts w:cs="Arial"/>
                <w:b w:val="0"/>
                <w:sz w:val="20"/>
              </w:rPr>
            </w:pPr>
            <w:r w:rsidRPr="009041D4">
              <w:rPr>
                <w:rFonts w:cs="Arial"/>
                <w:b w:val="0"/>
                <w:sz w:val="20"/>
              </w:rPr>
              <w:t>Descripción</w:t>
            </w:r>
          </w:p>
        </w:tc>
        <w:tc>
          <w:tcPr>
            <w:tcW w:w="1418" w:type="dxa"/>
            <w:tcBorders>
              <w:top w:val="single" w:sz="4" w:space="0" w:color="auto"/>
              <w:left w:val="nil"/>
              <w:bottom w:val="single" w:sz="4" w:space="0" w:color="auto"/>
              <w:right w:val="single" w:sz="4" w:space="0" w:color="auto"/>
            </w:tcBorders>
            <w:shd w:val="clear" w:color="auto" w:fill="BDD6EE"/>
            <w:vAlign w:val="center"/>
          </w:tcPr>
          <w:p w14:paraId="7363B355" w14:textId="77777777" w:rsidR="00FB70C1" w:rsidRPr="009041D4" w:rsidRDefault="00FB70C1" w:rsidP="006329CD">
            <w:pPr>
              <w:pStyle w:val="TAH"/>
              <w:spacing w:line="276" w:lineRule="auto"/>
              <w:ind w:right="49"/>
              <w:rPr>
                <w:rFonts w:cs="Arial"/>
                <w:b w:val="0"/>
                <w:sz w:val="20"/>
              </w:rPr>
            </w:pPr>
            <w:r w:rsidRPr="009041D4">
              <w:rPr>
                <w:rFonts w:cs="Arial"/>
                <w:b w:val="0"/>
                <w:sz w:val="20"/>
              </w:rPr>
              <w:t>Estado</w:t>
            </w:r>
          </w:p>
        </w:tc>
      </w:tr>
      <w:tr w:rsidR="00FB70C1" w:rsidRPr="009041D4" w14:paraId="495E8BB0"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073F4772"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v</w:t>
            </w:r>
          </w:p>
        </w:tc>
        <w:tc>
          <w:tcPr>
            <w:tcW w:w="5730" w:type="dxa"/>
            <w:tcBorders>
              <w:top w:val="nil"/>
              <w:left w:val="nil"/>
              <w:bottom w:val="single" w:sz="8" w:space="0" w:color="auto"/>
              <w:right w:val="single" w:sz="8" w:space="0" w:color="auto"/>
            </w:tcBorders>
            <w:vAlign w:val="center"/>
          </w:tcPr>
          <w:p w14:paraId="21A494B7"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Versión del protocolo</w:t>
            </w:r>
          </w:p>
        </w:tc>
        <w:tc>
          <w:tcPr>
            <w:tcW w:w="1418" w:type="dxa"/>
            <w:tcBorders>
              <w:top w:val="nil"/>
              <w:left w:val="nil"/>
              <w:bottom w:val="single" w:sz="8" w:space="0" w:color="auto"/>
              <w:right w:val="single" w:sz="8" w:space="0" w:color="auto"/>
            </w:tcBorders>
            <w:vAlign w:val="center"/>
          </w:tcPr>
          <w:p w14:paraId="41EA0214"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7C66FB35"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4B21B149"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o</w:t>
            </w:r>
          </w:p>
        </w:tc>
        <w:tc>
          <w:tcPr>
            <w:tcW w:w="5730" w:type="dxa"/>
            <w:tcBorders>
              <w:top w:val="nil"/>
              <w:left w:val="nil"/>
              <w:bottom w:val="single" w:sz="8" w:space="0" w:color="auto"/>
              <w:right w:val="single" w:sz="8" w:space="0" w:color="auto"/>
            </w:tcBorders>
            <w:vAlign w:val="center"/>
          </w:tcPr>
          <w:p w14:paraId="669B08E5"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Identificador de la sesión</w:t>
            </w:r>
          </w:p>
        </w:tc>
        <w:tc>
          <w:tcPr>
            <w:tcW w:w="1418" w:type="dxa"/>
            <w:tcBorders>
              <w:top w:val="nil"/>
              <w:left w:val="nil"/>
              <w:bottom w:val="single" w:sz="8" w:space="0" w:color="auto"/>
              <w:right w:val="single" w:sz="8" w:space="0" w:color="auto"/>
            </w:tcBorders>
            <w:vAlign w:val="center"/>
          </w:tcPr>
          <w:p w14:paraId="64B12F0D"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4A609C4F"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15C01944"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s</w:t>
            </w:r>
          </w:p>
        </w:tc>
        <w:tc>
          <w:tcPr>
            <w:tcW w:w="5730" w:type="dxa"/>
            <w:tcBorders>
              <w:top w:val="nil"/>
              <w:left w:val="nil"/>
              <w:bottom w:val="single" w:sz="8" w:space="0" w:color="auto"/>
              <w:right w:val="single" w:sz="8" w:space="0" w:color="auto"/>
            </w:tcBorders>
            <w:vAlign w:val="center"/>
          </w:tcPr>
          <w:p w14:paraId="059606AB"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Nombre de la sesión</w:t>
            </w:r>
          </w:p>
        </w:tc>
        <w:tc>
          <w:tcPr>
            <w:tcW w:w="1418" w:type="dxa"/>
            <w:tcBorders>
              <w:top w:val="nil"/>
              <w:left w:val="nil"/>
              <w:bottom w:val="single" w:sz="8" w:space="0" w:color="auto"/>
              <w:right w:val="single" w:sz="8" w:space="0" w:color="auto"/>
            </w:tcBorders>
            <w:vAlign w:val="center"/>
          </w:tcPr>
          <w:p w14:paraId="678A941A"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O</w:t>
            </w:r>
          </w:p>
        </w:tc>
      </w:tr>
      <w:tr w:rsidR="00FB70C1" w:rsidRPr="009041D4" w14:paraId="396DB969"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77596DFE"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i</w:t>
            </w:r>
          </w:p>
        </w:tc>
        <w:tc>
          <w:tcPr>
            <w:tcW w:w="5730" w:type="dxa"/>
            <w:tcBorders>
              <w:top w:val="nil"/>
              <w:left w:val="nil"/>
              <w:bottom w:val="single" w:sz="8" w:space="0" w:color="auto"/>
              <w:right w:val="single" w:sz="8" w:space="0" w:color="auto"/>
            </w:tcBorders>
            <w:vAlign w:val="center"/>
          </w:tcPr>
          <w:p w14:paraId="3CDDADAC"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 xml:space="preserve">Información de la sesión </w:t>
            </w:r>
          </w:p>
        </w:tc>
        <w:tc>
          <w:tcPr>
            <w:tcW w:w="1418" w:type="dxa"/>
            <w:tcBorders>
              <w:top w:val="nil"/>
              <w:left w:val="nil"/>
              <w:bottom w:val="single" w:sz="8" w:space="0" w:color="auto"/>
              <w:right w:val="single" w:sz="8" w:space="0" w:color="auto"/>
            </w:tcBorders>
            <w:vAlign w:val="center"/>
          </w:tcPr>
          <w:p w14:paraId="1F5C77D4"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O</w:t>
            </w:r>
          </w:p>
        </w:tc>
      </w:tr>
      <w:tr w:rsidR="00FB70C1" w:rsidRPr="009041D4" w14:paraId="307E00B8"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416ED03B"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w:t>
            </w:r>
          </w:p>
        </w:tc>
        <w:tc>
          <w:tcPr>
            <w:tcW w:w="5730" w:type="dxa"/>
            <w:tcBorders>
              <w:top w:val="nil"/>
              <w:left w:val="nil"/>
              <w:bottom w:val="single" w:sz="8" w:space="0" w:color="auto"/>
              <w:right w:val="single" w:sz="8" w:space="0" w:color="auto"/>
            </w:tcBorders>
            <w:vAlign w:val="center"/>
          </w:tcPr>
          <w:p w14:paraId="53372E2A"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Información de conexión – no se requiere si está incluida en todos los medios</w:t>
            </w:r>
          </w:p>
        </w:tc>
        <w:tc>
          <w:tcPr>
            <w:tcW w:w="1418" w:type="dxa"/>
            <w:tcBorders>
              <w:top w:val="nil"/>
              <w:left w:val="nil"/>
              <w:bottom w:val="single" w:sz="8" w:space="0" w:color="auto"/>
              <w:right w:val="single" w:sz="8" w:space="0" w:color="auto"/>
            </w:tcBorders>
            <w:vAlign w:val="center"/>
          </w:tcPr>
          <w:p w14:paraId="06F2ED15"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48F3E0B2" w14:textId="77777777" w:rsidTr="006329CD">
        <w:trPr>
          <w:trHeight w:val="409"/>
          <w:jc w:val="center"/>
        </w:trPr>
        <w:tc>
          <w:tcPr>
            <w:tcW w:w="644" w:type="dxa"/>
            <w:tcBorders>
              <w:top w:val="nil"/>
              <w:left w:val="single" w:sz="8" w:space="0" w:color="auto"/>
              <w:bottom w:val="single" w:sz="8" w:space="0" w:color="auto"/>
              <w:right w:val="single" w:sz="8" w:space="0" w:color="auto"/>
            </w:tcBorders>
            <w:vAlign w:val="center"/>
          </w:tcPr>
          <w:p w14:paraId="6CEE4E42"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0D3D3BC1"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Cero o más líneas de atributos de sesión</w:t>
            </w:r>
          </w:p>
        </w:tc>
        <w:tc>
          <w:tcPr>
            <w:tcW w:w="1418" w:type="dxa"/>
            <w:tcBorders>
              <w:top w:val="nil"/>
              <w:left w:val="nil"/>
              <w:bottom w:val="single" w:sz="8" w:space="0" w:color="auto"/>
              <w:right w:val="single" w:sz="8" w:space="0" w:color="auto"/>
            </w:tcBorders>
            <w:vAlign w:val="center"/>
          </w:tcPr>
          <w:p w14:paraId="012A25AC"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18C22341" w14:textId="77777777" w:rsidTr="006329CD">
        <w:trPr>
          <w:trHeight w:val="315"/>
          <w:jc w:val="center"/>
        </w:trPr>
        <w:tc>
          <w:tcPr>
            <w:tcW w:w="644" w:type="dxa"/>
            <w:tcBorders>
              <w:top w:val="nil"/>
              <w:left w:val="single" w:sz="8" w:space="0" w:color="auto"/>
              <w:bottom w:val="single" w:sz="8" w:space="0" w:color="auto"/>
              <w:right w:val="single" w:sz="8" w:space="0" w:color="auto"/>
            </w:tcBorders>
            <w:vAlign w:val="center"/>
          </w:tcPr>
          <w:p w14:paraId="4EFFE2C2"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t</w:t>
            </w:r>
          </w:p>
        </w:tc>
        <w:tc>
          <w:tcPr>
            <w:tcW w:w="5730" w:type="dxa"/>
            <w:tcBorders>
              <w:top w:val="nil"/>
              <w:left w:val="nil"/>
              <w:bottom w:val="single" w:sz="8" w:space="0" w:color="auto"/>
              <w:right w:val="single" w:sz="8" w:space="0" w:color="auto"/>
            </w:tcBorders>
            <w:vAlign w:val="center"/>
          </w:tcPr>
          <w:p w14:paraId="49AB0677"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Tiempo que la sesión se encuentra activa</w:t>
            </w:r>
          </w:p>
        </w:tc>
        <w:tc>
          <w:tcPr>
            <w:tcW w:w="1418" w:type="dxa"/>
            <w:tcBorders>
              <w:top w:val="nil"/>
              <w:left w:val="nil"/>
              <w:bottom w:val="single" w:sz="8" w:space="0" w:color="auto"/>
              <w:right w:val="single" w:sz="8" w:space="0" w:color="auto"/>
            </w:tcBorders>
            <w:vAlign w:val="center"/>
          </w:tcPr>
          <w:p w14:paraId="4123E2D7"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1CE9D656" w14:textId="77777777" w:rsidTr="006329CD">
        <w:trPr>
          <w:trHeight w:val="322"/>
          <w:jc w:val="center"/>
        </w:trPr>
        <w:tc>
          <w:tcPr>
            <w:tcW w:w="644" w:type="dxa"/>
            <w:tcBorders>
              <w:top w:val="nil"/>
              <w:left w:val="single" w:sz="8" w:space="0" w:color="auto"/>
              <w:bottom w:val="single" w:sz="8" w:space="0" w:color="auto"/>
              <w:right w:val="single" w:sz="8" w:space="0" w:color="auto"/>
            </w:tcBorders>
            <w:vAlign w:val="center"/>
          </w:tcPr>
          <w:p w14:paraId="6ACF4396"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c>
          <w:tcPr>
            <w:tcW w:w="5730" w:type="dxa"/>
            <w:tcBorders>
              <w:top w:val="nil"/>
              <w:left w:val="nil"/>
              <w:bottom w:val="single" w:sz="8" w:space="0" w:color="auto"/>
              <w:right w:val="single" w:sz="8" w:space="0" w:color="auto"/>
            </w:tcBorders>
            <w:vAlign w:val="center"/>
          </w:tcPr>
          <w:p w14:paraId="2C60BC91"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Información del protocolo de transporte (media)</w:t>
            </w:r>
          </w:p>
        </w:tc>
        <w:tc>
          <w:tcPr>
            <w:tcW w:w="1418" w:type="dxa"/>
            <w:tcBorders>
              <w:top w:val="nil"/>
              <w:left w:val="nil"/>
              <w:bottom w:val="single" w:sz="8" w:space="0" w:color="auto"/>
              <w:right w:val="single" w:sz="8" w:space="0" w:color="auto"/>
            </w:tcBorders>
            <w:vAlign w:val="center"/>
          </w:tcPr>
          <w:p w14:paraId="162ECFE2"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r w:rsidR="00FB70C1" w:rsidRPr="009041D4" w14:paraId="28ACB9FB" w14:textId="77777777" w:rsidTr="006329CD">
        <w:trPr>
          <w:trHeight w:val="243"/>
          <w:jc w:val="center"/>
        </w:trPr>
        <w:tc>
          <w:tcPr>
            <w:tcW w:w="644" w:type="dxa"/>
            <w:tcBorders>
              <w:top w:val="nil"/>
              <w:left w:val="single" w:sz="8" w:space="0" w:color="auto"/>
              <w:bottom w:val="single" w:sz="8" w:space="0" w:color="auto"/>
              <w:right w:val="single" w:sz="8" w:space="0" w:color="auto"/>
            </w:tcBorders>
            <w:vAlign w:val="center"/>
          </w:tcPr>
          <w:p w14:paraId="51D074C9"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451D312A"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Cero o más líneas de atributos de los medios</w:t>
            </w:r>
          </w:p>
        </w:tc>
        <w:tc>
          <w:tcPr>
            <w:tcW w:w="1418" w:type="dxa"/>
            <w:tcBorders>
              <w:top w:val="nil"/>
              <w:left w:val="nil"/>
              <w:bottom w:val="single" w:sz="8" w:space="0" w:color="auto"/>
              <w:right w:val="single" w:sz="8" w:space="0" w:color="auto"/>
            </w:tcBorders>
            <w:vAlign w:val="center"/>
          </w:tcPr>
          <w:p w14:paraId="0BF3F28D"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r>
    </w:tbl>
    <w:p w14:paraId="056792DA"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4. Campos SDP.</w:t>
      </w:r>
    </w:p>
    <w:p w14:paraId="71795F4D" w14:textId="77777777" w:rsidR="00FB70C1" w:rsidRPr="009041D4" w:rsidRDefault="00FB70C1" w:rsidP="00FB70C1">
      <w:pPr>
        <w:spacing w:after="0"/>
        <w:ind w:right="49"/>
        <w:rPr>
          <w:rFonts w:ascii="Arial" w:hAnsi="Arial" w:cs="Arial"/>
          <w:sz w:val="18"/>
          <w:szCs w:val="18"/>
        </w:rPr>
      </w:pPr>
    </w:p>
    <w:p w14:paraId="584A1052" w14:textId="77777777" w:rsidR="00FB70C1" w:rsidRPr="009041D4" w:rsidRDefault="00FB70C1" w:rsidP="00FB70C1">
      <w:pPr>
        <w:spacing w:after="0"/>
        <w:ind w:right="49"/>
        <w:jc w:val="both"/>
        <w:rPr>
          <w:rFonts w:ascii="Arial" w:hAnsi="Arial" w:cs="Arial"/>
          <w:sz w:val="18"/>
          <w:szCs w:val="18"/>
        </w:rPr>
      </w:pPr>
      <w:r w:rsidRPr="009041D4">
        <w:rPr>
          <w:rFonts w:ascii="Arial" w:hAnsi="Arial" w:cs="Arial"/>
          <w:sz w:val="18"/>
          <w:szCs w:val="18"/>
        </w:rPr>
        <w:t>Nota: Cada sesión debe contener un campo “c” en la descripción de sesión o en la descripción del medio si está presente en ambos la descripción del medio sobreescribe la descripción de sesión.</w:t>
      </w:r>
    </w:p>
    <w:p w14:paraId="2C6103AA" w14:textId="77777777" w:rsidR="00FB70C1" w:rsidRPr="009041D4" w:rsidRDefault="00FB70C1" w:rsidP="00FB70C1">
      <w:pPr>
        <w:spacing w:after="0"/>
        <w:ind w:right="49"/>
        <w:rPr>
          <w:rFonts w:ascii="Arial" w:hAnsi="Arial" w:cs="Arial"/>
        </w:rPr>
      </w:pPr>
    </w:p>
    <w:p w14:paraId="20D65D7D"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 xml:space="preserve">Notación </w:t>
      </w:r>
    </w:p>
    <w:p w14:paraId="5ACD37E2" w14:textId="77777777" w:rsidR="00FB70C1" w:rsidRPr="009041D4" w:rsidRDefault="00FB70C1" w:rsidP="00FB70C1">
      <w:pPr>
        <w:spacing w:after="0"/>
        <w:ind w:right="49"/>
        <w:rPr>
          <w:rFonts w:ascii="Arial" w:hAnsi="Arial" w:cs="Arial"/>
        </w:rPr>
      </w:pPr>
    </w:p>
    <w:p w14:paraId="0DE5D124" w14:textId="77777777" w:rsidR="00FB70C1" w:rsidRPr="009041D4" w:rsidRDefault="00FB70C1" w:rsidP="00FB70C1">
      <w:pPr>
        <w:spacing w:after="0"/>
        <w:ind w:right="49"/>
        <w:rPr>
          <w:rFonts w:ascii="Arial" w:hAnsi="Arial" w:cs="Arial"/>
        </w:rPr>
      </w:pPr>
      <w:r w:rsidRPr="009041D4">
        <w:rPr>
          <w:rFonts w:ascii="Arial" w:hAnsi="Arial" w:cs="Arial"/>
        </w:rPr>
        <w:t>En las tablas 1 y 3 el código de estado “M” y “O” significan lo siguiente:</w:t>
      </w:r>
    </w:p>
    <w:p w14:paraId="4495051B" w14:textId="77777777" w:rsidR="00FB70C1" w:rsidRPr="009041D4" w:rsidRDefault="00FB70C1" w:rsidP="00FB70C1">
      <w:pPr>
        <w:spacing w:after="0"/>
        <w:ind w:right="49"/>
        <w:rPr>
          <w:rFonts w:ascii="Arial" w:hAnsi="Arial" w:cs="Arial"/>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441"/>
        <w:gridCol w:w="3073"/>
        <w:gridCol w:w="3321"/>
      </w:tblGrid>
      <w:tr w:rsidR="00FB70C1" w:rsidRPr="009041D4" w14:paraId="6D84D006" w14:textId="77777777" w:rsidTr="006329CD">
        <w:tc>
          <w:tcPr>
            <w:tcW w:w="1106" w:type="dxa"/>
            <w:shd w:val="clear" w:color="auto" w:fill="BDD6EE"/>
          </w:tcPr>
          <w:p w14:paraId="23F1AB09" w14:textId="77777777" w:rsidR="00FB70C1" w:rsidRPr="009041D4" w:rsidRDefault="00FB70C1" w:rsidP="006329CD">
            <w:pPr>
              <w:pStyle w:val="TAH"/>
              <w:spacing w:line="276" w:lineRule="auto"/>
              <w:ind w:right="49"/>
              <w:rPr>
                <w:rFonts w:cs="Arial"/>
                <w:b w:val="0"/>
                <w:sz w:val="20"/>
              </w:rPr>
            </w:pPr>
            <w:r w:rsidRPr="009041D4">
              <w:rPr>
                <w:rFonts w:cs="Arial"/>
                <w:b w:val="0"/>
                <w:sz w:val="20"/>
              </w:rPr>
              <w:t>Código</w:t>
            </w:r>
          </w:p>
        </w:tc>
        <w:tc>
          <w:tcPr>
            <w:tcW w:w="1441" w:type="dxa"/>
            <w:shd w:val="clear" w:color="auto" w:fill="BDD6EE"/>
          </w:tcPr>
          <w:p w14:paraId="093B4407" w14:textId="77777777" w:rsidR="00FB70C1" w:rsidRPr="009041D4" w:rsidRDefault="00FB70C1" w:rsidP="006329CD">
            <w:pPr>
              <w:pStyle w:val="TAH"/>
              <w:spacing w:line="276" w:lineRule="auto"/>
              <w:ind w:right="49"/>
              <w:rPr>
                <w:rFonts w:cs="Arial"/>
                <w:b w:val="0"/>
                <w:sz w:val="20"/>
              </w:rPr>
            </w:pPr>
          </w:p>
        </w:tc>
        <w:tc>
          <w:tcPr>
            <w:tcW w:w="3073" w:type="dxa"/>
            <w:shd w:val="clear" w:color="auto" w:fill="BDD6EE"/>
          </w:tcPr>
          <w:p w14:paraId="41AD6628" w14:textId="77777777" w:rsidR="00FB70C1" w:rsidRPr="009041D4" w:rsidRDefault="00FB70C1" w:rsidP="006329CD">
            <w:pPr>
              <w:pStyle w:val="TAH"/>
              <w:spacing w:line="276" w:lineRule="auto"/>
              <w:ind w:right="49"/>
              <w:rPr>
                <w:rFonts w:cs="Arial"/>
                <w:b w:val="0"/>
                <w:sz w:val="20"/>
              </w:rPr>
            </w:pPr>
            <w:r w:rsidRPr="009041D4">
              <w:rPr>
                <w:rFonts w:cs="Arial"/>
                <w:b w:val="0"/>
                <w:sz w:val="20"/>
              </w:rPr>
              <w:t xml:space="preserve">Tratamiento en el envío </w:t>
            </w:r>
          </w:p>
        </w:tc>
        <w:tc>
          <w:tcPr>
            <w:tcW w:w="3321" w:type="dxa"/>
            <w:shd w:val="clear" w:color="auto" w:fill="BDD6EE"/>
          </w:tcPr>
          <w:p w14:paraId="3434ED6A" w14:textId="77777777" w:rsidR="00FB70C1" w:rsidRPr="009041D4" w:rsidRDefault="00FB70C1" w:rsidP="006329CD">
            <w:pPr>
              <w:pStyle w:val="TAH"/>
              <w:spacing w:line="276" w:lineRule="auto"/>
              <w:ind w:right="49"/>
              <w:rPr>
                <w:rFonts w:cs="Arial"/>
                <w:b w:val="0"/>
                <w:sz w:val="20"/>
              </w:rPr>
            </w:pPr>
            <w:r w:rsidRPr="009041D4">
              <w:rPr>
                <w:rFonts w:cs="Arial"/>
                <w:b w:val="0"/>
                <w:sz w:val="20"/>
              </w:rPr>
              <w:t xml:space="preserve"> Tratamiento en la recepción</w:t>
            </w:r>
          </w:p>
        </w:tc>
      </w:tr>
      <w:tr w:rsidR="00FB70C1" w:rsidRPr="009041D4" w14:paraId="7240BA56" w14:textId="77777777" w:rsidTr="006329CD">
        <w:tc>
          <w:tcPr>
            <w:tcW w:w="1106" w:type="dxa"/>
            <w:vAlign w:val="center"/>
          </w:tcPr>
          <w:p w14:paraId="1B2D7230"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M</w:t>
            </w:r>
          </w:p>
        </w:tc>
        <w:tc>
          <w:tcPr>
            <w:tcW w:w="1441" w:type="dxa"/>
            <w:vAlign w:val="center"/>
          </w:tcPr>
          <w:p w14:paraId="39826697"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Obligatorio</w:t>
            </w:r>
          </w:p>
        </w:tc>
        <w:tc>
          <w:tcPr>
            <w:tcW w:w="3073" w:type="dxa"/>
          </w:tcPr>
          <w:p w14:paraId="5AA68FD0" w14:textId="77777777" w:rsidR="00FB70C1" w:rsidRPr="009041D4" w:rsidRDefault="00FB70C1" w:rsidP="006329CD">
            <w:pPr>
              <w:spacing w:after="0"/>
              <w:ind w:right="49"/>
              <w:rPr>
                <w:rFonts w:ascii="Arial" w:hAnsi="Arial" w:cs="Arial"/>
                <w:color w:val="000000"/>
                <w:sz w:val="20"/>
                <w:szCs w:val="20"/>
                <w:lang w:eastAsia="es-MX"/>
              </w:rPr>
            </w:pPr>
          </w:p>
          <w:p w14:paraId="42E7FA0D" w14:textId="77777777" w:rsidR="00FB70C1" w:rsidRPr="009041D4" w:rsidRDefault="00FB70C1" w:rsidP="006329CD">
            <w:pPr>
              <w:spacing w:after="0"/>
              <w:ind w:right="49"/>
              <w:jc w:val="both"/>
              <w:rPr>
                <w:rFonts w:ascii="Arial" w:hAnsi="Arial" w:cs="Arial"/>
                <w:color w:val="000000"/>
                <w:sz w:val="20"/>
                <w:szCs w:val="20"/>
                <w:lang w:eastAsia="es-MX"/>
              </w:rPr>
            </w:pPr>
            <w:r w:rsidRPr="009041D4">
              <w:rPr>
                <w:rFonts w:ascii="Arial" w:hAnsi="Arial" w:cs="Arial"/>
                <w:color w:val="000000"/>
                <w:sz w:val="20"/>
                <w:szCs w:val="20"/>
                <w:lang w:eastAsia="es-MX"/>
              </w:rPr>
              <w:t>Significa que el encabezado de campo debe estar presente en la petición cuando se requiera.</w:t>
            </w:r>
          </w:p>
        </w:tc>
        <w:tc>
          <w:tcPr>
            <w:tcW w:w="3321" w:type="dxa"/>
          </w:tcPr>
          <w:p w14:paraId="5870963E" w14:textId="77777777" w:rsidR="00FB70C1" w:rsidRPr="009041D4" w:rsidRDefault="00FB70C1" w:rsidP="006329CD">
            <w:pPr>
              <w:spacing w:after="0"/>
              <w:ind w:right="49"/>
              <w:jc w:val="both"/>
              <w:rPr>
                <w:rFonts w:ascii="Arial" w:hAnsi="Arial" w:cs="Arial"/>
                <w:color w:val="000000"/>
                <w:sz w:val="20"/>
                <w:szCs w:val="20"/>
                <w:lang w:eastAsia="es-MX"/>
              </w:rPr>
            </w:pPr>
            <w:r w:rsidRPr="009041D4">
              <w:rPr>
                <w:rFonts w:ascii="Arial" w:hAnsi="Arial" w:cs="Arial"/>
                <w:snapToGrid w:val="0"/>
                <w:sz w:val="20"/>
                <w:szCs w:val="20"/>
              </w:rPr>
              <w:t>Significa que el mensaje debe estar presente en la respuesta, y que el campo de encabezado debe ser comprendido por la red que responde.</w:t>
            </w:r>
          </w:p>
        </w:tc>
      </w:tr>
      <w:tr w:rsidR="00FB70C1" w:rsidRPr="009041D4" w14:paraId="3591537E" w14:textId="77777777" w:rsidTr="006329CD">
        <w:trPr>
          <w:trHeight w:val="1359"/>
        </w:trPr>
        <w:tc>
          <w:tcPr>
            <w:tcW w:w="1106" w:type="dxa"/>
            <w:vAlign w:val="center"/>
          </w:tcPr>
          <w:p w14:paraId="38397213"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lastRenderedPageBreak/>
              <w:t>O</w:t>
            </w:r>
          </w:p>
        </w:tc>
        <w:tc>
          <w:tcPr>
            <w:tcW w:w="1441" w:type="dxa"/>
            <w:vAlign w:val="center"/>
          </w:tcPr>
          <w:p w14:paraId="0EDA0E0F" w14:textId="77777777" w:rsidR="00FB70C1" w:rsidRPr="009041D4" w:rsidRDefault="00FB70C1" w:rsidP="006329CD">
            <w:pPr>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 xml:space="preserve">Opcional </w:t>
            </w:r>
          </w:p>
        </w:tc>
        <w:tc>
          <w:tcPr>
            <w:tcW w:w="3073" w:type="dxa"/>
          </w:tcPr>
          <w:p w14:paraId="5E5A100B" w14:textId="77777777" w:rsidR="00FB70C1" w:rsidRPr="009041D4" w:rsidRDefault="00FB70C1" w:rsidP="006329CD">
            <w:pPr>
              <w:spacing w:after="0"/>
              <w:ind w:right="49"/>
              <w:jc w:val="both"/>
              <w:rPr>
                <w:rFonts w:ascii="Arial" w:hAnsi="Arial" w:cs="Arial"/>
                <w:snapToGrid w:val="0"/>
                <w:sz w:val="20"/>
                <w:szCs w:val="20"/>
              </w:rPr>
            </w:pPr>
            <w:r w:rsidRPr="009041D4">
              <w:rPr>
                <w:rFonts w:ascii="Arial" w:hAnsi="Arial" w:cs="Arial"/>
                <w:snapToGrid w:val="0"/>
                <w:sz w:val="20"/>
                <w:szCs w:val="20"/>
              </w:rPr>
              <w:t>Significa que el uso del encabezado de campo en la petición se realizará de común acuerdo entre los concesionarios.</w:t>
            </w:r>
          </w:p>
        </w:tc>
        <w:tc>
          <w:tcPr>
            <w:tcW w:w="3321" w:type="dxa"/>
          </w:tcPr>
          <w:p w14:paraId="4026517C" w14:textId="77777777" w:rsidR="00FB70C1" w:rsidRPr="009041D4" w:rsidRDefault="00FB70C1" w:rsidP="006329CD">
            <w:pPr>
              <w:spacing w:after="0"/>
              <w:ind w:right="49"/>
              <w:jc w:val="both"/>
              <w:rPr>
                <w:rFonts w:ascii="Arial" w:hAnsi="Arial" w:cs="Arial"/>
                <w:snapToGrid w:val="0"/>
                <w:sz w:val="20"/>
                <w:szCs w:val="20"/>
              </w:rPr>
            </w:pPr>
            <w:r w:rsidRPr="009041D4">
              <w:rPr>
                <w:rFonts w:ascii="Arial" w:hAnsi="Arial" w:cs="Arial"/>
                <w:snapToGrid w:val="0"/>
                <w:sz w:val="20"/>
                <w:szCs w:val="20"/>
              </w:rPr>
              <w:t>Significa que el tratamiento de la recepción se realizará de común acuerdo entre los concesionarios.</w:t>
            </w:r>
          </w:p>
          <w:p w14:paraId="1910D392" w14:textId="77777777" w:rsidR="00FB70C1" w:rsidRPr="009041D4" w:rsidRDefault="00FB70C1" w:rsidP="006329CD">
            <w:pPr>
              <w:spacing w:after="0"/>
              <w:ind w:right="49"/>
              <w:jc w:val="both"/>
              <w:rPr>
                <w:rFonts w:ascii="Arial" w:hAnsi="Arial" w:cs="Arial"/>
                <w:snapToGrid w:val="0"/>
                <w:sz w:val="20"/>
                <w:szCs w:val="20"/>
              </w:rPr>
            </w:pPr>
          </w:p>
        </w:tc>
      </w:tr>
    </w:tbl>
    <w:p w14:paraId="233CDF3E"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5. Códigos de Estado.</w:t>
      </w:r>
    </w:p>
    <w:p w14:paraId="714D1886" w14:textId="77777777" w:rsidR="00FB70C1" w:rsidRPr="009041D4" w:rsidRDefault="00FB70C1" w:rsidP="00FB70C1">
      <w:pPr>
        <w:spacing w:after="0"/>
        <w:ind w:right="49"/>
        <w:rPr>
          <w:rFonts w:ascii="Arial" w:hAnsi="Arial" w:cs="Arial"/>
          <w:sz w:val="18"/>
          <w:szCs w:val="18"/>
        </w:rPr>
      </w:pPr>
    </w:p>
    <w:p w14:paraId="35B2C611"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Descripción del medio de transporte</w:t>
      </w:r>
    </w:p>
    <w:p w14:paraId="2665378B" w14:textId="77777777" w:rsidR="00FB70C1" w:rsidRPr="009041D4" w:rsidRDefault="00FB70C1" w:rsidP="00FB70C1">
      <w:pPr>
        <w:spacing w:after="0"/>
        <w:ind w:right="49"/>
        <w:rPr>
          <w:rFonts w:ascii="Arial" w:hAnsi="Arial" w:cs="Arial"/>
          <w:b/>
        </w:rPr>
      </w:pPr>
    </w:p>
    <w:p w14:paraId="1410A046"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Una descripción de sesión puede contener un número de descripciones de medios. </w:t>
      </w:r>
    </w:p>
    <w:p w14:paraId="5CE14990" w14:textId="77777777" w:rsidR="00FB70C1" w:rsidRPr="009041D4" w:rsidRDefault="00FB70C1" w:rsidP="00FB70C1">
      <w:pPr>
        <w:spacing w:after="0"/>
        <w:ind w:right="49"/>
        <w:jc w:val="both"/>
        <w:rPr>
          <w:rFonts w:ascii="Arial" w:hAnsi="Arial" w:cs="Arial"/>
        </w:rPr>
      </w:pPr>
    </w:p>
    <w:p w14:paraId="49CFF2A0" w14:textId="77777777" w:rsidR="00FB70C1" w:rsidRPr="009041D4" w:rsidRDefault="00FB70C1" w:rsidP="00FB70C1">
      <w:pPr>
        <w:spacing w:after="0"/>
        <w:ind w:right="49"/>
        <w:jc w:val="both"/>
        <w:rPr>
          <w:rFonts w:ascii="Arial" w:hAnsi="Arial" w:cs="Arial"/>
        </w:rPr>
      </w:pPr>
      <w:r w:rsidRPr="009041D4">
        <w:rPr>
          <w:rFonts w:ascii="Arial" w:hAnsi="Arial" w:cs="Arial"/>
        </w:rPr>
        <w:t>Cada campo de medios está conformado por los siguientes subcampos:</w:t>
      </w:r>
    </w:p>
    <w:p w14:paraId="499BD1BF" w14:textId="77777777" w:rsidR="00FB70C1" w:rsidRPr="009041D4" w:rsidRDefault="00FB70C1" w:rsidP="00FB70C1">
      <w:pPr>
        <w:spacing w:after="0"/>
        <w:ind w:right="49"/>
        <w:jc w:val="both"/>
        <w:rPr>
          <w:rFonts w:ascii="Arial" w:hAnsi="Arial" w:cs="Arial"/>
        </w:rPr>
      </w:pPr>
      <w:r w:rsidRPr="009041D4">
        <w:rPr>
          <w:rFonts w:ascii="Arial" w:hAnsi="Arial" w:cs="Arial"/>
        </w:rPr>
        <w:t>m=&lt;medio&gt; &lt;puerto&gt; &lt;transporte&gt; &lt;lista fmt&gt;</w:t>
      </w:r>
    </w:p>
    <w:p w14:paraId="79CA5C42"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En el subcampo &lt;medio&gt; el cual corresponde al tipo de medio, se deberá enviar “audio” </w:t>
      </w:r>
    </w:p>
    <w:p w14:paraId="634241F1" w14:textId="77777777" w:rsidR="00FB70C1" w:rsidRPr="009041D4" w:rsidRDefault="00FB70C1" w:rsidP="00FB70C1">
      <w:pPr>
        <w:spacing w:after="0"/>
        <w:ind w:right="49"/>
        <w:jc w:val="both"/>
        <w:rPr>
          <w:rFonts w:ascii="Arial" w:hAnsi="Arial" w:cs="Arial"/>
        </w:rPr>
      </w:pPr>
    </w:p>
    <w:p w14:paraId="7FE89F07" w14:textId="77777777" w:rsidR="00FB70C1" w:rsidRPr="009041D4" w:rsidRDefault="00FB70C1" w:rsidP="00FB70C1">
      <w:pPr>
        <w:spacing w:after="0"/>
        <w:ind w:right="49"/>
        <w:jc w:val="both"/>
        <w:rPr>
          <w:rFonts w:ascii="Arial" w:hAnsi="Arial" w:cs="Arial"/>
        </w:rPr>
      </w:pPr>
      <w:r w:rsidRPr="009041D4">
        <w:rPr>
          <w:rFonts w:ascii="Arial" w:hAnsi="Arial"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1A29BFA3" w14:textId="77777777" w:rsidR="00FB70C1" w:rsidRPr="009041D4" w:rsidRDefault="00FB70C1" w:rsidP="00FB70C1">
      <w:pPr>
        <w:spacing w:after="0"/>
        <w:ind w:right="49"/>
        <w:jc w:val="both"/>
        <w:rPr>
          <w:rFonts w:ascii="Arial" w:hAnsi="Arial" w:cs="Arial"/>
        </w:rPr>
      </w:pPr>
    </w:p>
    <w:p w14:paraId="4EA99FDD" w14:textId="77777777" w:rsidR="00FB70C1" w:rsidRPr="009041D4" w:rsidRDefault="00FB70C1" w:rsidP="00FB70C1">
      <w:pPr>
        <w:spacing w:after="0"/>
        <w:ind w:right="49"/>
        <w:jc w:val="both"/>
        <w:rPr>
          <w:rFonts w:ascii="Arial" w:hAnsi="Arial" w:cs="Arial"/>
        </w:rPr>
      </w:pPr>
      <w:r w:rsidRPr="009041D4">
        <w:rPr>
          <w:rFonts w:ascii="Arial" w:hAnsi="Arial" w:cs="Arial"/>
        </w:rPr>
        <w:t>En el subcampo &lt;transporte&gt; el cual corresponde al protocolo de transporte se deberá especificar RTP/AVP.</w:t>
      </w:r>
    </w:p>
    <w:p w14:paraId="5C66BE58" w14:textId="77777777" w:rsidR="00FB70C1" w:rsidRPr="009041D4" w:rsidRDefault="00FB70C1" w:rsidP="00FB70C1">
      <w:pPr>
        <w:spacing w:after="0"/>
        <w:ind w:right="49"/>
        <w:jc w:val="both"/>
        <w:rPr>
          <w:rFonts w:ascii="Arial" w:hAnsi="Arial" w:cs="Arial"/>
        </w:rPr>
      </w:pPr>
    </w:p>
    <w:p w14:paraId="6CA126BC" w14:textId="77777777" w:rsidR="00FB70C1" w:rsidRPr="009041D4" w:rsidRDefault="00FB70C1" w:rsidP="00FB70C1">
      <w:pPr>
        <w:spacing w:after="0"/>
        <w:ind w:right="49"/>
        <w:jc w:val="both"/>
        <w:rPr>
          <w:rFonts w:ascii="Arial" w:hAnsi="Arial" w:cs="Arial"/>
        </w:rPr>
      </w:pPr>
      <w:r w:rsidRPr="009041D4">
        <w:rPr>
          <w:rFonts w:ascii="Arial" w:hAnsi="Arial" w:cs="Arial"/>
        </w:rPr>
        <w:t>En el subcampo &lt;lista fmt&gt; el cual corresponde al tipo de carga útil del medio correspondiente a los códecs que se podrán utilizar. El primero de éstos es el formato de mayor preferencia en la sesión.</w:t>
      </w:r>
    </w:p>
    <w:p w14:paraId="7D57E24B" w14:textId="77777777" w:rsidR="00FB70C1" w:rsidRPr="009041D4" w:rsidRDefault="00FB70C1" w:rsidP="00FB70C1">
      <w:pPr>
        <w:spacing w:after="0"/>
        <w:ind w:right="49"/>
        <w:jc w:val="both"/>
        <w:rPr>
          <w:rFonts w:ascii="Arial" w:hAnsi="Arial" w:cs="Arial"/>
        </w:rPr>
      </w:pPr>
    </w:p>
    <w:p w14:paraId="2F915BF2" w14:textId="55C85A1B" w:rsidR="00FB70C1" w:rsidRPr="009041D4" w:rsidRDefault="00FB70C1" w:rsidP="00FB70C1">
      <w:pPr>
        <w:spacing w:after="0"/>
        <w:ind w:right="49"/>
        <w:jc w:val="both"/>
        <w:rPr>
          <w:rFonts w:ascii="Arial" w:hAnsi="Arial" w:cs="Arial"/>
        </w:rPr>
      </w:pPr>
      <w:r w:rsidRPr="009041D4">
        <w:rPr>
          <w:rFonts w:ascii="Arial" w:hAnsi="Arial" w:cs="Arial"/>
        </w:rPr>
        <w:t>Se definirán los atributos rtpmap para cada formato de medio especificado de acuerdo a la Recomendación RFC 3551</w:t>
      </w:r>
      <w:r w:rsidR="00BE04B0">
        <w:rPr>
          <w:rStyle w:val="Refdenotaalpie"/>
          <w:rFonts w:ascii="Arial" w:hAnsi="Arial" w:cs="Arial"/>
        </w:rPr>
        <w:footnoteReference w:id="16"/>
      </w:r>
      <w:r w:rsidRPr="009041D4">
        <w:rPr>
          <w:rFonts w:ascii="Arial" w:hAnsi="Arial" w:cs="Arial"/>
        </w:rPr>
        <w:t xml:space="preserve"> por ejemplo:</w:t>
      </w:r>
    </w:p>
    <w:p w14:paraId="768120C3" w14:textId="77777777" w:rsidR="00FB70C1" w:rsidRPr="009041D4" w:rsidRDefault="00FB70C1" w:rsidP="00FB70C1">
      <w:pPr>
        <w:spacing w:after="0"/>
        <w:ind w:right="49"/>
        <w:jc w:val="both"/>
        <w:rPr>
          <w:rFonts w:ascii="Arial" w:hAnsi="Arial" w:cs="Arial"/>
        </w:rPr>
      </w:pPr>
      <w:r w:rsidRPr="009041D4">
        <w:rPr>
          <w:rFonts w:ascii="Arial" w:hAnsi="Arial" w:cs="Arial"/>
        </w:rPr>
        <w:t>a=rtpmap:18 G729/8000</w:t>
      </w:r>
    </w:p>
    <w:p w14:paraId="52D2CE7A" w14:textId="77777777" w:rsidR="00FB70C1" w:rsidRPr="009041D4" w:rsidRDefault="00FB70C1" w:rsidP="00FB70C1">
      <w:pPr>
        <w:spacing w:after="0"/>
        <w:ind w:right="49"/>
        <w:jc w:val="both"/>
        <w:rPr>
          <w:rFonts w:ascii="Arial" w:hAnsi="Arial" w:cs="Arial"/>
        </w:rPr>
      </w:pPr>
    </w:p>
    <w:p w14:paraId="7C47FF0D" w14:textId="77777777" w:rsidR="00FB70C1" w:rsidRPr="009041D4" w:rsidRDefault="00FB70C1" w:rsidP="00FB70C1">
      <w:pPr>
        <w:spacing w:after="0"/>
        <w:ind w:right="49"/>
        <w:jc w:val="both"/>
        <w:rPr>
          <w:rFonts w:ascii="Arial" w:hAnsi="Arial" w:cs="Arial"/>
        </w:rPr>
      </w:pPr>
      <w:r w:rsidRPr="009041D4">
        <w:rPr>
          <w:rFonts w:ascii="Arial" w:hAnsi="Arial" w:cs="Arial"/>
        </w:rPr>
        <w:t>Para el caso de métodos, encabezados o atributos que no aparecen en este documento, el Concesionario receptor de la señalización es libre de procesarlos o ignorarlos.</w:t>
      </w:r>
    </w:p>
    <w:p w14:paraId="711082AA" w14:textId="77777777" w:rsidR="00FB70C1" w:rsidRPr="009041D4" w:rsidRDefault="00FB70C1" w:rsidP="00FB70C1">
      <w:pPr>
        <w:pStyle w:val="NormalWeb"/>
        <w:spacing w:before="0" w:beforeAutospacing="0" w:after="0" w:afterAutospacing="0" w:line="276" w:lineRule="auto"/>
        <w:ind w:right="49"/>
        <w:rPr>
          <w:rFonts w:ascii="Arial" w:hAnsi="Arial" w:cs="Arial"/>
          <w:b/>
        </w:rPr>
      </w:pPr>
    </w:p>
    <w:p w14:paraId="2171B829"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Número de saltos entre las redes</w:t>
      </w:r>
    </w:p>
    <w:p w14:paraId="22B2AEE0" w14:textId="77777777" w:rsidR="00FB70C1" w:rsidRPr="009041D4" w:rsidRDefault="00FB70C1" w:rsidP="00FB70C1">
      <w:pPr>
        <w:pStyle w:val="NormalWeb"/>
        <w:spacing w:before="0" w:beforeAutospacing="0" w:after="0" w:afterAutospacing="0" w:line="276" w:lineRule="auto"/>
        <w:ind w:right="49"/>
        <w:rPr>
          <w:rFonts w:ascii="Arial" w:hAnsi="Arial" w:cs="Arial"/>
          <w:b/>
        </w:rPr>
      </w:pPr>
    </w:p>
    <w:p w14:paraId="3BEB80C5" w14:textId="77777777" w:rsidR="00FB70C1" w:rsidRPr="009041D4" w:rsidRDefault="00FB70C1" w:rsidP="00FB70C1">
      <w:pPr>
        <w:spacing w:after="0"/>
        <w:ind w:right="49"/>
        <w:jc w:val="both"/>
        <w:rPr>
          <w:rFonts w:ascii="Arial" w:hAnsi="Arial" w:cs="Arial"/>
        </w:rPr>
      </w:pPr>
      <w:r w:rsidRPr="009041D4">
        <w:rPr>
          <w:rFonts w:ascii="Arial" w:hAnsi="Arial"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54B7E4A6" w14:textId="77777777" w:rsidR="00FB70C1" w:rsidRPr="009041D4" w:rsidRDefault="00FB70C1" w:rsidP="00FB70C1">
      <w:pPr>
        <w:spacing w:after="0"/>
        <w:ind w:right="49"/>
        <w:rPr>
          <w:rFonts w:ascii="Arial" w:hAnsi="Arial" w:cs="Arial"/>
        </w:rPr>
      </w:pPr>
    </w:p>
    <w:p w14:paraId="2DCBA167"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Actualización de sesión</w:t>
      </w:r>
    </w:p>
    <w:p w14:paraId="77FBB1E0" w14:textId="77777777" w:rsidR="00FB70C1" w:rsidRPr="009041D4" w:rsidRDefault="00FB70C1" w:rsidP="00FB70C1">
      <w:pPr>
        <w:pStyle w:val="NormalWeb"/>
        <w:spacing w:before="0" w:beforeAutospacing="0" w:after="0" w:afterAutospacing="0" w:line="276" w:lineRule="auto"/>
        <w:ind w:left="540" w:right="49"/>
        <w:rPr>
          <w:rFonts w:ascii="Arial" w:hAnsi="Arial" w:cs="Arial"/>
          <w:b/>
        </w:rPr>
      </w:pPr>
    </w:p>
    <w:p w14:paraId="0DE3C6D4" w14:textId="77777777" w:rsidR="00FB70C1" w:rsidRPr="009041D4" w:rsidRDefault="00FB70C1" w:rsidP="00FB70C1">
      <w:pPr>
        <w:spacing w:after="0"/>
        <w:ind w:right="49"/>
        <w:jc w:val="both"/>
        <w:rPr>
          <w:rFonts w:ascii="Arial" w:hAnsi="Arial" w:cs="Arial"/>
        </w:rPr>
      </w:pPr>
      <w:r w:rsidRPr="009041D4">
        <w:rPr>
          <w:rFonts w:ascii="Arial" w:hAnsi="Arial" w:cs="Arial"/>
        </w:rPr>
        <w:lastRenderedPageBreak/>
        <w:t>Los temporizadores de actualización de sesión deberán ser manejados conforme a la recomendación RFC 4028.</w:t>
      </w:r>
    </w:p>
    <w:p w14:paraId="764F6E95" w14:textId="77777777" w:rsidR="00FB70C1" w:rsidRPr="009041D4" w:rsidRDefault="00FB70C1" w:rsidP="00FB70C1">
      <w:pPr>
        <w:spacing w:after="0"/>
        <w:ind w:right="49"/>
        <w:jc w:val="both"/>
        <w:rPr>
          <w:rFonts w:ascii="Arial" w:hAnsi="Arial" w:cs="Arial"/>
        </w:rPr>
      </w:pPr>
    </w:p>
    <w:p w14:paraId="6052337A" w14:textId="77777777" w:rsidR="00FB70C1" w:rsidRPr="009041D4" w:rsidRDefault="00FB70C1" w:rsidP="00FB70C1">
      <w:pPr>
        <w:spacing w:after="0"/>
        <w:ind w:right="49"/>
        <w:jc w:val="both"/>
        <w:rPr>
          <w:rFonts w:ascii="Arial" w:hAnsi="Arial" w:cs="Arial"/>
        </w:rPr>
      </w:pPr>
      <w:r w:rsidRPr="009041D4">
        <w:rPr>
          <w:rFonts w:ascii="Arial" w:hAnsi="Arial" w:cs="Arial"/>
        </w:rPr>
        <w:t>La petición INVITE inicial debe contener los siguientes campos de encabezado: Supported:timer, Session Expires, Refresher:uac, Min-SE.</w:t>
      </w:r>
    </w:p>
    <w:p w14:paraId="4C8DB825" w14:textId="77777777" w:rsidR="00FB70C1" w:rsidRPr="009041D4" w:rsidRDefault="00FB70C1" w:rsidP="00FB70C1">
      <w:pPr>
        <w:spacing w:after="0"/>
        <w:ind w:right="49"/>
        <w:jc w:val="both"/>
        <w:rPr>
          <w:rFonts w:ascii="Arial" w:hAnsi="Arial" w:cs="Arial"/>
        </w:rPr>
      </w:pPr>
    </w:p>
    <w:p w14:paraId="73DE41B3" w14:textId="77777777" w:rsidR="00FB70C1" w:rsidRPr="009041D4" w:rsidRDefault="00FB70C1" w:rsidP="00FB70C1">
      <w:pPr>
        <w:spacing w:after="0"/>
        <w:ind w:right="49"/>
        <w:jc w:val="both"/>
        <w:rPr>
          <w:rFonts w:ascii="Arial" w:hAnsi="Arial" w:cs="Arial"/>
        </w:rPr>
      </w:pPr>
      <w:r w:rsidRPr="009041D4">
        <w:rPr>
          <w:rFonts w:ascii="Arial" w:hAnsi="Arial"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308B5D33"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 </w:t>
      </w:r>
    </w:p>
    <w:p w14:paraId="6D833A07" w14:textId="77777777" w:rsidR="00FB70C1" w:rsidRPr="009041D4" w:rsidRDefault="00FB70C1" w:rsidP="00FB70C1">
      <w:pPr>
        <w:spacing w:after="0"/>
        <w:ind w:right="49"/>
        <w:jc w:val="both"/>
        <w:rPr>
          <w:rFonts w:ascii="Arial" w:hAnsi="Arial" w:cs="Arial"/>
        </w:rPr>
      </w:pPr>
      <w:r w:rsidRPr="009041D4">
        <w:rPr>
          <w:rFonts w:ascii="Arial" w:hAnsi="Arial" w:cs="Arial"/>
        </w:rPr>
        <w:t>Por omisión se considerarán los siguientes valores: Supported:timer, Session Expires:1800, Refresher:uac, Min-SE:600</w:t>
      </w:r>
    </w:p>
    <w:p w14:paraId="5E5609D7" w14:textId="77777777" w:rsidR="00FB70C1" w:rsidRPr="009041D4" w:rsidRDefault="00FB70C1" w:rsidP="00FB70C1">
      <w:pPr>
        <w:spacing w:after="0"/>
        <w:ind w:right="49"/>
        <w:jc w:val="both"/>
        <w:rPr>
          <w:rFonts w:ascii="Arial" w:hAnsi="Arial" w:cs="Arial"/>
        </w:rPr>
      </w:pPr>
    </w:p>
    <w:p w14:paraId="25C45B24" w14:textId="77777777" w:rsidR="00FB70C1" w:rsidRPr="009041D4" w:rsidRDefault="00FB70C1" w:rsidP="00FB70C1">
      <w:pPr>
        <w:spacing w:after="0"/>
        <w:ind w:right="49"/>
        <w:jc w:val="both"/>
        <w:rPr>
          <w:rFonts w:ascii="Arial" w:hAnsi="Arial" w:cs="Arial"/>
        </w:rPr>
      </w:pPr>
      <w:r w:rsidRPr="009041D4">
        <w:rPr>
          <w:rFonts w:ascii="Arial" w:hAnsi="Arial" w:cs="Arial"/>
        </w:rPr>
        <w:t>La actualización de la sesión SIP se realizará a través de un UPDATE, el tiempo de envío del método UPDATE será a la mitad del tiempo definido en el campo de encabezado Session-Expires.</w:t>
      </w:r>
    </w:p>
    <w:p w14:paraId="78E94C57" w14:textId="77777777" w:rsidR="00FB70C1" w:rsidRPr="009041D4" w:rsidRDefault="00FB70C1" w:rsidP="00FB70C1">
      <w:pPr>
        <w:spacing w:after="0"/>
        <w:ind w:right="49"/>
        <w:rPr>
          <w:rFonts w:ascii="Arial" w:hAnsi="Arial" w:cs="Arial"/>
        </w:rPr>
      </w:pPr>
    </w:p>
    <w:p w14:paraId="2922A4C3" w14:textId="77777777" w:rsidR="00FB70C1" w:rsidRPr="009041D4" w:rsidRDefault="00FB70C1" w:rsidP="00FB70C1">
      <w:pPr>
        <w:pStyle w:val="Prrafodelista"/>
        <w:numPr>
          <w:ilvl w:val="1"/>
          <w:numId w:val="9"/>
        </w:numPr>
        <w:spacing w:line="276" w:lineRule="auto"/>
        <w:ind w:left="709" w:right="49" w:hanging="709"/>
        <w:contextualSpacing/>
        <w:rPr>
          <w:rFonts w:cs="Arial"/>
        </w:rPr>
      </w:pPr>
      <w:r w:rsidRPr="009041D4">
        <w:rPr>
          <w:rFonts w:cs="Arial"/>
          <w:b/>
        </w:rPr>
        <w:t xml:space="preserve">Modelo de Oferta/Contestación </w:t>
      </w:r>
    </w:p>
    <w:p w14:paraId="311789C2" w14:textId="77777777" w:rsidR="00FB70C1" w:rsidRPr="009041D4" w:rsidRDefault="00FB70C1" w:rsidP="00FB70C1">
      <w:pPr>
        <w:pStyle w:val="Prrafodelista"/>
        <w:spacing w:line="276" w:lineRule="auto"/>
        <w:ind w:left="709" w:right="51"/>
        <w:rPr>
          <w:rFonts w:cs="Arial"/>
        </w:rPr>
      </w:pPr>
    </w:p>
    <w:p w14:paraId="6F0CA4CD" w14:textId="01B7FBEC" w:rsidR="00FB70C1" w:rsidRPr="009041D4" w:rsidRDefault="00FB70C1" w:rsidP="00FB70C1">
      <w:pPr>
        <w:spacing w:after="0"/>
        <w:ind w:right="51"/>
        <w:jc w:val="both"/>
        <w:rPr>
          <w:rFonts w:ascii="Arial" w:hAnsi="Arial" w:cs="Arial"/>
        </w:rPr>
      </w:pPr>
      <w:r w:rsidRPr="009041D4">
        <w:rPr>
          <w:rFonts w:ascii="Arial" w:hAnsi="Arial" w:cs="Arial"/>
        </w:rPr>
        <w:t>Para el establecimiento de una llamada se enviará en la petición INVITE inicial la oferta SDP con las características del medio y conexión, de acuerdo a la Recomendación RFC 3264</w:t>
      </w:r>
      <w:r w:rsidR="00905F34">
        <w:rPr>
          <w:rStyle w:val="Refdenotaalpie"/>
          <w:rFonts w:ascii="Arial" w:hAnsi="Arial" w:cs="Arial"/>
        </w:rPr>
        <w:footnoteReference w:id="17"/>
      </w:r>
      <w:r w:rsidRPr="009041D4">
        <w:rPr>
          <w:rFonts w:ascii="Arial" w:hAnsi="Arial" w:cs="Arial"/>
        </w:rPr>
        <w:t>. La contestación de la oferta debe ser dada en la respuesta provisional SIP 18x ó 200 OK.</w:t>
      </w:r>
    </w:p>
    <w:p w14:paraId="531B37B2" w14:textId="77777777" w:rsidR="00FB70C1" w:rsidRPr="009041D4" w:rsidRDefault="00FB70C1" w:rsidP="00FB70C1">
      <w:pPr>
        <w:spacing w:after="0"/>
        <w:ind w:right="49"/>
        <w:rPr>
          <w:rFonts w:ascii="Arial" w:hAnsi="Arial" w:cs="Arial"/>
        </w:rPr>
      </w:pPr>
    </w:p>
    <w:p w14:paraId="56347ECE" w14:textId="77777777" w:rsidR="00FB70C1" w:rsidRPr="009041D4" w:rsidRDefault="00FB70C1" w:rsidP="00FB70C1">
      <w:pPr>
        <w:spacing w:after="0"/>
        <w:ind w:right="49"/>
        <w:jc w:val="both"/>
        <w:rPr>
          <w:rFonts w:ascii="Arial" w:hAnsi="Arial" w:cs="Arial"/>
        </w:rPr>
      </w:pPr>
      <w:r w:rsidRPr="009041D4">
        <w:rPr>
          <w:rFonts w:ascii="Arial" w:hAnsi="Arial" w:cs="Arial"/>
        </w:rPr>
        <w:t>El tipo de mensaje “application/sdp” debe ser soportado por los métodos INVITE, PRACK y UPDATE y las respuestas a estos métodos.</w:t>
      </w:r>
    </w:p>
    <w:p w14:paraId="36F18831" w14:textId="77777777" w:rsidR="00FB70C1" w:rsidRPr="009041D4" w:rsidRDefault="00FB70C1" w:rsidP="00FB70C1">
      <w:pPr>
        <w:spacing w:after="0"/>
        <w:ind w:right="49"/>
        <w:rPr>
          <w:rFonts w:ascii="Arial" w:hAnsi="Arial" w:cs="Arial"/>
        </w:rPr>
      </w:pPr>
    </w:p>
    <w:p w14:paraId="6B029418"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Notificación del proceso de la llamada</w:t>
      </w:r>
    </w:p>
    <w:p w14:paraId="5CF843D2" w14:textId="77777777" w:rsidR="00FB70C1" w:rsidRPr="009041D4" w:rsidRDefault="00FB70C1" w:rsidP="00FB70C1">
      <w:pPr>
        <w:autoSpaceDE w:val="0"/>
        <w:autoSpaceDN w:val="0"/>
        <w:adjustRightInd w:val="0"/>
        <w:spacing w:after="0"/>
        <w:ind w:right="49"/>
        <w:rPr>
          <w:rFonts w:ascii="Arial" w:hAnsi="Arial" w:cs="Arial"/>
        </w:rPr>
      </w:pPr>
    </w:p>
    <w:p w14:paraId="3B4EA6BB" w14:textId="77777777" w:rsidR="00FB70C1" w:rsidRPr="009041D4" w:rsidRDefault="00FB70C1" w:rsidP="00FB70C1">
      <w:pPr>
        <w:autoSpaceDE w:val="0"/>
        <w:autoSpaceDN w:val="0"/>
        <w:adjustRightInd w:val="0"/>
        <w:spacing w:after="0"/>
        <w:ind w:right="49"/>
        <w:jc w:val="both"/>
        <w:rPr>
          <w:rFonts w:ascii="Arial" w:hAnsi="Arial" w:cs="Arial"/>
        </w:rPr>
      </w:pPr>
      <w:r w:rsidRPr="009041D4">
        <w:rPr>
          <w:rFonts w:ascii="Arial" w:hAnsi="Arial" w:cs="Arial"/>
        </w:rPr>
        <w:t>Se entenderá como “early media” o medio temprano al tono de timbrado, anuncios y en general, a cualquier medio que es intercambiado antes de que una sesión sea aceptada por el usuario que se llama.</w:t>
      </w:r>
    </w:p>
    <w:p w14:paraId="535F2CCC" w14:textId="77777777" w:rsidR="00FB70C1" w:rsidRPr="009041D4" w:rsidRDefault="00FB70C1" w:rsidP="00FB70C1">
      <w:pPr>
        <w:spacing w:after="0"/>
        <w:ind w:right="49"/>
        <w:rPr>
          <w:rFonts w:ascii="Arial" w:hAnsi="Arial" w:cs="Arial"/>
        </w:rPr>
      </w:pPr>
    </w:p>
    <w:p w14:paraId="05467849"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Manejo de respuesta 180</w:t>
      </w:r>
    </w:p>
    <w:p w14:paraId="7B814AC1" w14:textId="77777777" w:rsidR="00FB70C1" w:rsidRPr="009041D4" w:rsidRDefault="00FB70C1" w:rsidP="00FB70C1">
      <w:pPr>
        <w:spacing w:after="0"/>
        <w:ind w:right="49"/>
        <w:rPr>
          <w:rFonts w:ascii="Arial" w:hAnsi="Arial" w:cs="Arial"/>
        </w:rPr>
      </w:pPr>
    </w:p>
    <w:p w14:paraId="2A1DBDD5" w14:textId="1E133F12" w:rsidR="00FB70C1" w:rsidRPr="009041D4" w:rsidRDefault="00FB70C1" w:rsidP="00FB70C1">
      <w:pPr>
        <w:spacing w:after="0"/>
        <w:ind w:right="49"/>
        <w:jc w:val="both"/>
        <w:rPr>
          <w:rFonts w:ascii="Arial" w:hAnsi="Arial" w:cs="Arial"/>
        </w:rPr>
      </w:pPr>
      <w:r w:rsidRPr="009041D4">
        <w:rPr>
          <w:rFonts w:ascii="Arial" w:hAnsi="Arial" w:cs="Arial"/>
        </w:rPr>
        <w:t>La respuesta 180 debe cumplir con las reglas para la reproducción de tono de llamada de acuerdo a la Recomendación RFC 3960</w:t>
      </w:r>
      <w:r w:rsidR="00905F34">
        <w:rPr>
          <w:rStyle w:val="Refdenotaalpie"/>
          <w:rFonts w:ascii="Arial" w:hAnsi="Arial" w:cs="Arial"/>
        </w:rPr>
        <w:footnoteReference w:id="18"/>
      </w:r>
      <w:r w:rsidRPr="009041D4">
        <w:rPr>
          <w:rFonts w:ascii="Arial" w:hAnsi="Arial" w:cs="Arial"/>
        </w:rPr>
        <w:t>. Si se recibe la respuesta 180 sin medio temprano entonces se deberá proveer un “Ring back tone” sin exceder de 90 s.</w:t>
      </w:r>
    </w:p>
    <w:p w14:paraId="520867A0" w14:textId="77777777" w:rsidR="00FB70C1" w:rsidRPr="009041D4" w:rsidRDefault="00FB70C1" w:rsidP="00FB70C1">
      <w:pPr>
        <w:spacing w:after="0"/>
        <w:ind w:right="49"/>
        <w:rPr>
          <w:rFonts w:ascii="Arial" w:hAnsi="Arial" w:cs="Arial"/>
        </w:rPr>
      </w:pPr>
    </w:p>
    <w:p w14:paraId="277C3766"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Envío de anuncios sobre el RTP</w:t>
      </w:r>
    </w:p>
    <w:p w14:paraId="63660876" w14:textId="77777777" w:rsidR="00FB70C1" w:rsidRPr="009041D4" w:rsidRDefault="00FB70C1" w:rsidP="00FB70C1">
      <w:pPr>
        <w:spacing w:after="0"/>
        <w:ind w:right="49"/>
        <w:rPr>
          <w:rFonts w:ascii="Arial" w:hAnsi="Arial" w:cs="Arial"/>
          <w:b/>
        </w:rPr>
      </w:pPr>
    </w:p>
    <w:p w14:paraId="5C5F90D9" w14:textId="77777777" w:rsidR="00FB70C1" w:rsidRPr="009041D4" w:rsidRDefault="00FB70C1" w:rsidP="00FB70C1">
      <w:pPr>
        <w:spacing w:after="0"/>
        <w:ind w:right="49"/>
        <w:jc w:val="both"/>
        <w:rPr>
          <w:rFonts w:ascii="Arial" w:hAnsi="Arial" w:cs="Arial"/>
        </w:rPr>
      </w:pPr>
      <w:r w:rsidRPr="009041D4">
        <w:rPr>
          <w:rFonts w:ascii="Arial" w:hAnsi="Arial" w:cs="Arial"/>
        </w:rPr>
        <w:lastRenderedPageBreak/>
        <w:t xml:space="preserve">Debe estar permitido el envío de información dentro de banda sobre el RTP unidireccional que se establece con la respuesta 183 con SDP, de tal forma que se abra el canal de audio sin exceder de 90 s. </w:t>
      </w:r>
    </w:p>
    <w:p w14:paraId="5944C9F2" w14:textId="77777777" w:rsidR="00FB70C1" w:rsidRPr="009041D4" w:rsidRDefault="00FB70C1" w:rsidP="00FB70C1">
      <w:pPr>
        <w:spacing w:after="0"/>
        <w:ind w:right="49"/>
        <w:rPr>
          <w:rFonts w:ascii="Arial" w:hAnsi="Arial" w:cs="Arial"/>
        </w:rPr>
      </w:pPr>
    </w:p>
    <w:p w14:paraId="3F041F15"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Transmisión de Fax y DTMF</w:t>
      </w:r>
    </w:p>
    <w:p w14:paraId="1C293E20" w14:textId="77777777" w:rsidR="00FB70C1" w:rsidRPr="009041D4" w:rsidRDefault="00FB70C1" w:rsidP="00FB70C1">
      <w:pPr>
        <w:spacing w:after="0"/>
        <w:ind w:right="49"/>
        <w:jc w:val="both"/>
        <w:rPr>
          <w:rFonts w:ascii="Arial" w:hAnsi="Arial" w:cs="Arial"/>
          <w:b/>
        </w:rPr>
      </w:pPr>
    </w:p>
    <w:p w14:paraId="75410EC3" w14:textId="6DC22C9A" w:rsidR="00FB70C1" w:rsidRPr="009041D4" w:rsidRDefault="00FB70C1" w:rsidP="00FB70C1">
      <w:pPr>
        <w:spacing w:after="0"/>
        <w:ind w:right="49"/>
        <w:jc w:val="both"/>
        <w:rPr>
          <w:rFonts w:ascii="Arial" w:hAnsi="Arial" w:cs="Arial"/>
        </w:rPr>
      </w:pPr>
      <w:r w:rsidRPr="009041D4">
        <w:rPr>
          <w:rFonts w:ascii="Arial" w:hAnsi="Arial" w:cs="Arial"/>
        </w:rPr>
        <w:t>Con respecto a la marcación por tonos o sistema multifrecuencial (Dual Tone Multi Frequency, DTMF) se utilizarán las Recomendaciones RFC 4734</w:t>
      </w:r>
      <w:r w:rsidR="00905F34">
        <w:rPr>
          <w:rStyle w:val="Refdenotaalpie"/>
          <w:rFonts w:ascii="Arial" w:hAnsi="Arial" w:cs="Arial"/>
        </w:rPr>
        <w:footnoteReference w:id="19"/>
      </w:r>
      <w:r w:rsidRPr="009041D4">
        <w:rPr>
          <w:rFonts w:ascii="Arial" w:hAnsi="Arial" w:cs="Arial"/>
        </w:rPr>
        <w:t xml:space="preserve"> y RFC 4733</w:t>
      </w:r>
      <w:r w:rsidR="00905F34">
        <w:rPr>
          <w:rStyle w:val="Refdenotaalpie"/>
          <w:rFonts w:ascii="Arial" w:hAnsi="Arial" w:cs="Arial"/>
        </w:rPr>
        <w:footnoteReference w:id="20"/>
      </w:r>
      <w:r w:rsidRPr="009041D4">
        <w:rPr>
          <w:rFonts w:ascii="Arial" w:hAnsi="Arial" w:cs="Arial"/>
        </w:rPr>
        <w:t xml:space="preserve"> en lo relacionado a los eventos 0-9, *, #, A, B, C, D.</w:t>
      </w:r>
    </w:p>
    <w:p w14:paraId="5BE0576F" w14:textId="77777777" w:rsidR="00FB70C1" w:rsidRPr="009041D4" w:rsidRDefault="00FB70C1" w:rsidP="00FB70C1">
      <w:pPr>
        <w:spacing w:after="0"/>
        <w:ind w:right="49"/>
        <w:jc w:val="both"/>
        <w:rPr>
          <w:rFonts w:ascii="Arial" w:hAnsi="Arial" w:cs="Arial"/>
        </w:rPr>
      </w:pPr>
    </w:p>
    <w:p w14:paraId="48871C42" w14:textId="77777777" w:rsidR="00FB70C1" w:rsidRPr="009041D4" w:rsidRDefault="00FB70C1" w:rsidP="00FB70C1">
      <w:pPr>
        <w:spacing w:after="0"/>
        <w:ind w:right="49"/>
        <w:jc w:val="both"/>
        <w:rPr>
          <w:rFonts w:ascii="Arial" w:hAnsi="Arial" w:cs="Arial"/>
        </w:rPr>
      </w:pPr>
      <w:r w:rsidRPr="009041D4">
        <w:rPr>
          <w:rFonts w:ascii="Arial" w:hAnsi="Arial"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0253EF24" w14:textId="77777777" w:rsidR="00FB70C1" w:rsidRPr="009041D4" w:rsidRDefault="00FB70C1" w:rsidP="00FB70C1">
      <w:pPr>
        <w:spacing w:after="0"/>
        <w:ind w:right="49"/>
        <w:jc w:val="both"/>
        <w:rPr>
          <w:rFonts w:ascii="Arial" w:hAnsi="Arial" w:cs="Arial"/>
        </w:rPr>
      </w:pPr>
    </w:p>
    <w:p w14:paraId="6909DF6A" w14:textId="77777777" w:rsidR="00FB70C1" w:rsidRPr="009041D4" w:rsidRDefault="00FB70C1" w:rsidP="00FB70C1">
      <w:pPr>
        <w:spacing w:after="0"/>
        <w:ind w:right="49"/>
        <w:jc w:val="both"/>
        <w:rPr>
          <w:rFonts w:ascii="Arial" w:hAnsi="Arial" w:cs="Arial"/>
        </w:rPr>
      </w:pPr>
      <w:r w:rsidRPr="009041D4">
        <w:rPr>
          <w:rFonts w:ascii="Arial" w:hAnsi="Arial" w:cs="Arial"/>
        </w:rPr>
        <w:t>Para las sesiones de MoIP se debe negociar el medio en el modo de datos en banda vocal (VBD) de acuerdo a lo siguiente:</w:t>
      </w:r>
    </w:p>
    <w:p w14:paraId="3ACCCD36" w14:textId="77777777" w:rsidR="00FB70C1" w:rsidRPr="009041D4" w:rsidRDefault="00FB70C1" w:rsidP="00FB70C1">
      <w:pPr>
        <w:spacing w:after="0"/>
        <w:ind w:right="49"/>
        <w:jc w:val="both"/>
        <w:rPr>
          <w:rFonts w:ascii="Arial" w:hAnsi="Arial" w:cs="Arial"/>
        </w:rPr>
      </w:pPr>
    </w:p>
    <w:p w14:paraId="5DE96A14" w14:textId="77777777" w:rsidR="00FB70C1" w:rsidRPr="009041D4" w:rsidRDefault="00FB70C1" w:rsidP="00FB70C1">
      <w:pPr>
        <w:spacing w:after="0"/>
        <w:ind w:right="49"/>
        <w:jc w:val="both"/>
        <w:rPr>
          <w:rFonts w:ascii="Arial" w:hAnsi="Arial" w:cs="Arial"/>
        </w:rPr>
      </w:pPr>
      <w:r w:rsidRPr="009041D4">
        <w:rPr>
          <w:rFonts w:ascii="Arial" w:hAnsi="Arial" w:cs="Arial"/>
        </w:rPr>
        <w:t>m=audio1024-65535 RTP/AVP 8 0</w:t>
      </w:r>
    </w:p>
    <w:p w14:paraId="5E977CD2" w14:textId="77777777" w:rsidR="00FB70C1" w:rsidRPr="009041D4" w:rsidRDefault="00FB70C1" w:rsidP="00FB70C1">
      <w:pPr>
        <w:spacing w:after="0"/>
        <w:ind w:right="49"/>
        <w:jc w:val="both"/>
        <w:rPr>
          <w:rFonts w:ascii="Arial" w:hAnsi="Arial" w:cs="Arial"/>
        </w:rPr>
      </w:pPr>
    </w:p>
    <w:p w14:paraId="749C7248" w14:textId="77777777" w:rsidR="00FB70C1" w:rsidRPr="009041D4" w:rsidRDefault="00FB70C1" w:rsidP="00FB70C1">
      <w:pPr>
        <w:spacing w:after="0"/>
        <w:ind w:right="49"/>
        <w:jc w:val="both"/>
        <w:rPr>
          <w:rFonts w:ascii="Arial" w:hAnsi="Arial" w:cs="Arial"/>
        </w:rPr>
      </w:pPr>
      <w:r w:rsidRPr="009041D4">
        <w:rPr>
          <w:rFonts w:ascii="Arial" w:hAnsi="Arial" w:cs="Arial"/>
        </w:rPr>
        <w:t>Una vez establecida la sesión MoIP se podrá negociar el medio para FoIP (T.38) conforme al anexo F de la recomendación T.38 de la UIT-T con las siguientes características:</w:t>
      </w:r>
    </w:p>
    <w:p w14:paraId="30D926DF" w14:textId="77777777" w:rsidR="00FB70C1" w:rsidRPr="009041D4" w:rsidRDefault="00FB70C1" w:rsidP="00FB70C1">
      <w:pPr>
        <w:spacing w:after="0"/>
        <w:ind w:right="49"/>
        <w:jc w:val="both"/>
        <w:rPr>
          <w:rFonts w:ascii="Arial" w:hAnsi="Arial" w:cs="Arial"/>
        </w:rPr>
      </w:pPr>
    </w:p>
    <w:p w14:paraId="15B51673" w14:textId="77777777" w:rsidR="00FB70C1" w:rsidRPr="009041D4" w:rsidRDefault="00FB70C1" w:rsidP="00FB70C1">
      <w:pPr>
        <w:spacing w:after="0"/>
        <w:ind w:right="49"/>
        <w:jc w:val="both"/>
        <w:rPr>
          <w:rFonts w:ascii="Arial" w:hAnsi="Arial" w:cs="Arial"/>
        </w:rPr>
      </w:pPr>
      <w:r w:rsidRPr="009041D4">
        <w:rPr>
          <w:rFonts w:ascii="Arial" w:hAnsi="Arial" w:cs="Arial"/>
        </w:rPr>
        <w:t>m=image1024-65535 udptl t38</w:t>
      </w:r>
    </w:p>
    <w:p w14:paraId="5F2B00A8" w14:textId="77777777" w:rsidR="00FB70C1" w:rsidRPr="009041D4" w:rsidRDefault="00FB70C1" w:rsidP="00FB70C1">
      <w:pPr>
        <w:spacing w:after="0"/>
        <w:ind w:right="49"/>
        <w:jc w:val="both"/>
        <w:rPr>
          <w:rFonts w:ascii="Arial" w:hAnsi="Arial" w:cs="Arial"/>
        </w:rPr>
      </w:pPr>
    </w:p>
    <w:p w14:paraId="0FC526CB" w14:textId="77777777" w:rsidR="00FB70C1" w:rsidRPr="009041D4" w:rsidRDefault="00FB70C1" w:rsidP="00FB70C1">
      <w:pPr>
        <w:pStyle w:val="Prrafodelista"/>
        <w:numPr>
          <w:ilvl w:val="1"/>
          <w:numId w:val="9"/>
        </w:numPr>
        <w:spacing w:line="276" w:lineRule="auto"/>
        <w:ind w:left="709" w:right="49" w:hanging="709"/>
        <w:contextualSpacing/>
        <w:rPr>
          <w:rFonts w:cs="Arial"/>
          <w:b/>
        </w:rPr>
      </w:pPr>
      <w:r w:rsidRPr="009041D4">
        <w:rPr>
          <w:rFonts w:cs="Arial"/>
          <w:b/>
        </w:rPr>
        <w:t>Temporizadores de SIP</w:t>
      </w:r>
      <w:r w:rsidRPr="009041D4">
        <w:rPr>
          <w:rFonts w:cs="Arial"/>
          <w:b/>
        </w:rPr>
        <w:tab/>
      </w:r>
      <w:r w:rsidRPr="009041D4">
        <w:rPr>
          <w:rFonts w:cs="Arial"/>
          <w:b/>
        </w:rPr>
        <w:tab/>
      </w:r>
      <w:r w:rsidRPr="009041D4">
        <w:rPr>
          <w:rFonts w:cs="Arial"/>
          <w:b/>
        </w:rPr>
        <w:tab/>
      </w:r>
      <w:r w:rsidRPr="009041D4">
        <w:rPr>
          <w:rFonts w:cs="Arial"/>
          <w:b/>
        </w:rPr>
        <w:tab/>
      </w:r>
      <w:r w:rsidRPr="009041D4">
        <w:rPr>
          <w:rFonts w:cs="Arial"/>
          <w:b/>
        </w:rPr>
        <w:tab/>
      </w:r>
      <w:r w:rsidRPr="009041D4">
        <w:rPr>
          <w:rFonts w:cs="Arial"/>
          <w:b/>
        </w:rPr>
        <w:tab/>
      </w:r>
    </w:p>
    <w:p w14:paraId="196DF398" w14:textId="77777777" w:rsidR="00FB70C1" w:rsidRPr="009041D4" w:rsidRDefault="00FB70C1" w:rsidP="00FB70C1">
      <w:pPr>
        <w:pStyle w:val="NormalWeb"/>
        <w:spacing w:before="0" w:beforeAutospacing="0" w:after="0" w:afterAutospacing="0" w:line="276" w:lineRule="auto"/>
        <w:ind w:left="540" w:right="49"/>
        <w:rPr>
          <w:rFonts w:ascii="Arial" w:hAnsi="Arial" w:cs="Arial"/>
          <w:b/>
        </w:rPr>
      </w:pPr>
    </w:p>
    <w:p w14:paraId="2A26CA63" w14:textId="77777777" w:rsidR="00FB70C1" w:rsidRPr="009041D4" w:rsidRDefault="00FB70C1" w:rsidP="00FB70C1">
      <w:pPr>
        <w:autoSpaceDE w:val="0"/>
        <w:autoSpaceDN w:val="0"/>
        <w:adjustRightInd w:val="0"/>
        <w:spacing w:after="0"/>
        <w:ind w:right="49"/>
        <w:rPr>
          <w:rFonts w:ascii="Arial" w:hAnsi="Arial" w:cs="Arial"/>
        </w:rPr>
      </w:pPr>
      <w:r w:rsidRPr="009041D4">
        <w:rPr>
          <w:rFonts w:ascii="Arial" w:hAnsi="Arial" w:cs="Arial"/>
        </w:rPr>
        <w:t xml:space="preserve">El concesionario al recibir el mensaje INVITE debe cumplir con la Recomendación IETF RFC 3261 sobre temporizadores. </w:t>
      </w:r>
      <w:r w:rsidRPr="009041D4">
        <w:rPr>
          <w:rFonts w:ascii="Arial" w:hAnsi="Arial" w:cs="Arial"/>
        </w:rPr>
        <w:tab/>
        <w:t xml:space="preserve"> </w:t>
      </w:r>
    </w:p>
    <w:p w14:paraId="2D2F0C56" w14:textId="77777777" w:rsidR="00FB70C1" w:rsidRPr="009041D4" w:rsidRDefault="00FB70C1" w:rsidP="00FB70C1">
      <w:pPr>
        <w:spacing w:after="0"/>
        <w:ind w:right="49"/>
        <w:rPr>
          <w:rFonts w:ascii="Arial" w:hAnsi="Arial" w:cs="Arial"/>
          <w:sz w:val="18"/>
          <w:szCs w:val="18"/>
        </w:rPr>
      </w:pPr>
    </w:p>
    <w:tbl>
      <w:tblPr>
        <w:tblW w:w="80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08"/>
        <w:gridCol w:w="4111"/>
        <w:gridCol w:w="2571"/>
      </w:tblGrid>
      <w:tr w:rsidR="00FB70C1" w:rsidRPr="009041D4" w14:paraId="00CE5B8F" w14:textId="77777777" w:rsidTr="006329CD">
        <w:trPr>
          <w:cantSplit/>
          <w:trHeight w:val="284"/>
          <w:jc w:val="center"/>
        </w:trPr>
        <w:tc>
          <w:tcPr>
            <w:tcW w:w="1408" w:type="dxa"/>
            <w:tcBorders>
              <w:top w:val="single" w:sz="8" w:space="0" w:color="000000"/>
            </w:tcBorders>
            <w:shd w:val="clear" w:color="auto" w:fill="BDD6EE"/>
            <w:tcMar>
              <w:top w:w="14" w:type="dxa"/>
              <w:left w:w="14" w:type="dxa"/>
              <w:bottom w:w="0" w:type="dxa"/>
              <w:right w:w="14" w:type="dxa"/>
            </w:tcMar>
          </w:tcPr>
          <w:p w14:paraId="00F906F4" w14:textId="77777777" w:rsidR="00FB70C1" w:rsidRPr="009041D4" w:rsidRDefault="00FB70C1" w:rsidP="006329CD">
            <w:pPr>
              <w:pStyle w:val="TAH"/>
              <w:spacing w:line="276" w:lineRule="auto"/>
              <w:ind w:right="49"/>
              <w:rPr>
                <w:rFonts w:cs="Arial"/>
                <w:b w:val="0"/>
                <w:sz w:val="20"/>
              </w:rPr>
            </w:pPr>
            <w:r w:rsidRPr="009041D4">
              <w:rPr>
                <w:rFonts w:cs="Arial"/>
                <w:b w:val="0"/>
                <w:sz w:val="20"/>
              </w:rPr>
              <w:lastRenderedPageBreak/>
              <w:t xml:space="preserve">Temporizador </w:t>
            </w:r>
          </w:p>
        </w:tc>
        <w:tc>
          <w:tcPr>
            <w:tcW w:w="4111" w:type="dxa"/>
            <w:tcBorders>
              <w:top w:val="single" w:sz="8" w:space="0" w:color="000000"/>
            </w:tcBorders>
            <w:shd w:val="clear" w:color="auto" w:fill="BDD6EE"/>
          </w:tcPr>
          <w:p w14:paraId="6C8C6B98" w14:textId="77777777" w:rsidR="00FB70C1" w:rsidRPr="009041D4" w:rsidRDefault="00FB70C1" w:rsidP="006329CD">
            <w:pPr>
              <w:pStyle w:val="TAH"/>
              <w:spacing w:line="276" w:lineRule="auto"/>
              <w:ind w:right="49"/>
              <w:rPr>
                <w:rFonts w:cs="Arial"/>
                <w:b w:val="0"/>
                <w:sz w:val="20"/>
              </w:rPr>
            </w:pPr>
            <w:r w:rsidRPr="009041D4">
              <w:rPr>
                <w:rFonts w:cs="Arial"/>
                <w:b w:val="0"/>
                <w:sz w:val="20"/>
              </w:rPr>
              <w:t>Significado</w:t>
            </w:r>
          </w:p>
        </w:tc>
        <w:tc>
          <w:tcPr>
            <w:tcW w:w="2571" w:type="dxa"/>
            <w:tcBorders>
              <w:top w:val="single" w:sz="8" w:space="0" w:color="000000"/>
            </w:tcBorders>
            <w:shd w:val="clear" w:color="auto" w:fill="BDD6EE"/>
          </w:tcPr>
          <w:p w14:paraId="6208A5D2" w14:textId="77777777" w:rsidR="00FB70C1" w:rsidRPr="009041D4" w:rsidRDefault="00FB70C1" w:rsidP="006329CD">
            <w:pPr>
              <w:pStyle w:val="TAH"/>
              <w:spacing w:line="276" w:lineRule="auto"/>
              <w:ind w:right="49"/>
              <w:rPr>
                <w:rFonts w:cs="Arial"/>
                <w:b w:val="0"/>
                <w:sz w:val="20"/>
              </w:rPr>
            </w:pPr>
            <w:r w:rsidRPr="009041D4">
              <w:rPr>
                <w:rFonts w:cs="Arial"/>
                <w:b w:val="0"/>
                <w:sz w:val="20"/>
              </w:rPr>
              <w:t>Valores recomendados</w:t>
            </w:r>
          </w:p>
        </w:tc>
      </w:tr>
      <w:tr w:rsidR="00FB70C1" w:rsidRPr="009041D4" w14:paraId="44E6E20B" w14:textId="77777777" w:rsidTr="006329CD">
        <w:trPr>
          <w:jc w:val="center"/>
        </w:trPr>
        <w:tc>
          <w:tcPr>
            <w:tcW w:w="1408" w:type="dxa"/>
            <w:tcMar>
              <w:top w:w="14" w:type="dxa"/>
              <w:left w:w="14" w:type="dxa"/>
              <w:bottom w:w="0" w:type="dxa"/>
              <w:right w:w="14" w:type="dxa"/>
            </w:tcMar>
          </w:tcPr>
          <w:p w14:paraId="079B3081"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T1</w:t>
            </w:r>
          </w:p>
        </w:tc>
        <w:tc>
          <w:tcPr>
            <w:tcW w:w="4111" w:type="dxa"/>
          </w:tcPr>
          <w:p w14:paraId="67A07724" w14:textId="77777777" w:rsidR="00FB70C1" w:rsidRPr="009041D4" w:rsidRDefault="00FB70C1" w:rsidP="006329CD">
            <w:pPr>
              <w:pStyle w:val="TAL"/>
              <w:spacing w:line="276" w:lineRule="auto"/>
              <w:ind w:right="49"/>
              <w:rPr>
                <w:rFonts w:cs="Arial"/>
                <w:sz w:val="20"/>
                <w:lang w:eastAsia="en-US"/>
              </w:rPr>
            </w:pPr>
            <w:r w:rsidRPr="009041D4">
              <w:rPr>
                <w:rFonts w:cs="Arial"/>
                <w:sz w:val="20"/>
                <w:lang w:eastAsia="en-US"/>
              </w:rPr>
              <w:t>Estimación del RTT</w:t>
            </w:r>
          </w:p>
        </w:tc>
        <w:tc>
          <w:tcPr>
            <w:tcW w:w="2571" w:type="dxa"/>
          </w:tcPr>
          <w:p w14:paraId="120780DA"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500ms (valor por omisión)</w:t>
            </w:r>
          </w:p>
        </w:tc>
      </w:tr>
      <w:tr w:rsidR="00FB70C1" w:rsidRPr="009041D4" w14:paraId="3A2D28BA" w14:textId="77777777" w:rsidTr="006329CD">
        <w:trPr>
          <w:jc w:val="center"/>
        </w:trPr>
        <w:tc>
          <w:tcPr>
            <w:tcW w:w="1408" w:type="dxa"/>
            <w:tcMar>
              <w:top w:w="14" w:type="dxa"/>
              <w:left w:w="14" w:type="dxa"/>
              <w:bottom w:w="0" w:type="dxa"/>
              <w:right w:w="14" w:type="dxa"/>
            </w:tcMar>
          </w:tcPr>
          <w:p w14:paraId="687A9856"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T2</w:t>
            </w:r>
          </w:p>
        </w:tc>
        <w:tc>
          <w:tcPr>
            <w:tcW w:w="4111" w:type="dxa"/>
          </w:tcPr>
          <w:p w14:paraId="4232FB00"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Intervalo de retransmisión máximo para peticiones no INVITE y respuestas INVITE</w:t>
            </w:r>
          </w:p>
        </w:tc>
        <w:tc>
          <w:tcPr>
            <w:tcW w:w="2571" w:type="dxa"/>
          </w:tcPr>
          <w:p w14:paraId="38D40E16"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4s</w:t>
            </w:r>
          </w:p>
        </w:tc>
      </w:tr>
      <w:tr w:rsidR="00FB70C1" w:rsidRPr="009041D4" w14:paraId="1544133E" w14:textId="77777777" w:rsidTr="006329CD">
        <w:trPr>
          <w:jc w:val="center"/>
        </w:trPr>
        <w:tc>
          <w:tcPr>
            <w:tcW w:w="1408" w:type="dxa"/>
            <w:tcMar>
              <w:top w:w="14" w:type="dxa"/>
              <w:left w:w="14" w:type="dxa"/>
              <w:bottom w:w="0" w:type="dxa"/>
              <w:right w:w="14" w:type="dxa"/>
            </w:tcMar>
          </w:tcPr>
          <w:p w14:paraId="71802D07"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T4</w:t>
            </w:r>
          </w:p>
        </w:tc>
        <w:tc>
          <w:tcPr>
            <w:tcW w:w="4111" w:type="dxa"/>
          </w:tcPr>
          <w:p w14:paraId="5D4C4DFE"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Duración máxima que un mensaje permanecerá en la red</w:t>
            </w:r>
          </w:p>
        </w:tc>
        <w:tc>
          <w:tcPr>
            <w:tcW w:w="2571" w:type="dxa"/>
          </w:tcPr>
          <w:p w14:paraId="5358EB34"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5s</w:t>
            </w:r>
          </w:p>
        </w:tc>
      </w:tr>
      <w:tr w:rsidR="00FB70C1" w:rsidRPr="009041D4" w14:paraId="1349BCC0" w14:textId="77777777" w:rsidTr="006329CD">
        <w:trPr>
          <w:jc w:val="center"/>
        </w:trPr>
        <w:tc>
          <w:tcPr>
            <w:tcW w:w="1408" w:type="dxa"/>
            <w:tcMar>
              <w:top w:w="14" w:type="dxa"/>
              <w:left w:w="14" w:type="dxa"/>
              <w:bottom w:w="0" w:type="dxa"/>
              <w:right w:w="14" w:type="dxa"/>
            </w:tcMar>
          </w:tcPr>
          <w:p w14:paraId="6FA2F3D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A</w:t>
            </w:r>
          </w:p>
        </w:tc>
        <w:tc>
          <w:tcPr>
            <w:tcW w:w="4111" w:type="dxa"/>
          </w:tcPr>
          <w:p w14:paraId="59712910"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Intervalo de retransmisión de la petición solamente para UDP</w:t>
            </w:r>
          </w:p>
        </w:tc>
        <w:tc>
          <w:tcPr>
            <w:tcW w:w="2571" w:type="dxa"/>
          </w:tcPr>
          <w:p w14:paraId="65414039"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inicialmente T1</w:t>
            </w:r>
          </w:p>
        </w:tc>
      </w:tr>
      <w:tr w:rsidR="00FB70C1" w:rsidRPr="009041D4" w14:paraId="5517B541" w14:textId="77777777" w:rsidTr="006329CD">
        <w:trPr>
          <w:jc w:val="center"/>
        </w:trPr>
        <w:tc>
          <w:tcPr>
            <w:tcW w:w="1408" w:type="dxa"/>
            <w:tcMar>
              <w:top w:w="14" w:type="dxa"/>
              <w:left w:w="14" w:type="dxa"/>
              <w:bottom w:w="0" w:type="dxa"/>
              <w:right w:w="14" w:type="dxa"/>
            </w:tcMar>
          </w:tcPr>
          <w:p w14:paraId="0EDAD6C3"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B</w:t>
            </w:r>
          </w:p>
        </w:tc>
        <w:tc>
          <w:tcPr>
            <w:tcW w:w="4111" w:type="dxa"/>
          </w:tcPr>
          <w:p w14:paraId="7C6DB57A"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Vencimiento del temporizador de la transacción INVITE</w:t>
            </w:r>
          </w:p>
        </w:tc>
        <w:tc>
          <w:tcPr>
            <w:tcW w:w="2571" w:type="dxa"/>
          </w:tcPr>
          <w:p w14:paraId="17D803D5"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64*T1</w:t>
            </w:r>
          </w:p>
        </w:tc>
      </w:tr>
      <w:tr w:rsidR="00FB70C1" w:rsidRPr="009041D4" w14:paraId="1EB4288B" w14:textId="77777777" w:rsidTr="006329CD">
        <w:trPr>
          <w:jc w:val="center"/>
        </w:trPr>
        <w:tc>
          <w:tcPr>
            <w:tcW w:w="1408" w:type="dxa"/>
            <w:tcMar>
              <w:top w:w="14" w:type="dxa"/>
              <w:left w:w="14" w:type="dxa"/>
              <w:bottom w:w="0" w:type="dxa"/>
              <w:right w:w="14" w:type="dxa"/>
            </w:tcMar>
          </w:tcPr>
          <w:p w14:paraId="0991654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C</w:t>
            </w:r>
          </w:p>
        </w:tc>
        <w:tc>
          <w:tcPr>
            <w:tcW w:w="4111" w:type="dxa"/>
          </w:tcPr>
          <w:p w14:paraId="29E6B5B3"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Vencimiento de la transacción INVITE en el proxy</w:t>
            </w:r>
          </w:p>
        </w:tc>
        <w:tc>
          <w:tcPr>
            <w:tcW w:w="2571" w:type="dxa"/>
          </w:tcPr>
          <w:p w14:paraId="12D55F42"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&gt; 3min</w:t>
            </w:r>
          </w:p>
        </w:tc>
      </w:tr>
      <w:tr w:rsidR="00FB70C1" w:rsidRPr="009041D4" w14:paraId="6EA0C83C" w14:textId="77777777" w:rsidTr="006329CD">
        <w:trPr>
          <w:cantSplit/>
          <w:jc w:val="center"/>
        </w:trPr>
        <w:tc>
          <w:tcPr>
            <w:tcW w:w="1408" w:type="dxa"/>
            <w:vMerge w:val="restart"/>
            <w:tcMar>
              <w:top w:w="14" w:type="dxa"/>
              <w:left w:w="14" w:type="dxa"/>
              <w:bottom w:w="0" w:type="dxa"/>
              <w:right w:w="14" w:type="dxa"/>
            </w:tcMar>
          </w:tcPr>
          <w:p w14:paraId="00840D81"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D</w:t>
            </w:r>
          </w:p>
        </w:tc>
        <w:tc>
          <w:tcPr>
            <w:tcW w:w="4111" w:type="dxa"/>
            <w:vMerge w:val="restart"/>
          </w:tcPr>
          <w:p w14:paraId="6506B965"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retransmisiones de respuestas</w:t>
            </w:r>
          </w:p>
        </w:tc>
        <w:tc>
          <w:tcPr>
            <w:tcW w:w="2571" w:type="dxa"/>
          </w:tcPr>
          <w:p w14:paraId="4E0345FD"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&gt; 32s para UDP</w:t>
            </w:r>
          </w:p>
        </w:tc>
      </w:tr>
      <w:tr w:rsidR="00FB70C1" w:rsidRPr="009041D4" w14:paraId="3A952ADE" w14:textId="77777777" w:rsidTr="006329CD">
        <w:trPr>
          <w:cantSplit/>
          <w:jc w:val="center"/>
        </w:trPr>
        <w:tc>
          <w:tcPr>
            <w:tcW w:w="1408" w:type="dxa"/>
            <w:vMerge/>
            <w:vAlign w:val="center"/>
          </w:tcPr>
          <w:p w14:paraId="292E9105" w14:textId="77777777" w:rsidR="00FB70C1" w:rsidRPr="009041D4" w:rsidRDefault="00FB70C1" w:rsidP="006329CD">
            <w:pPr>
              <w:pStyle w:val="TAL"/>
              <w:spacing w:line="276" w:lineRule="auto"/>
              <w:ind w:right="49"/>
              <w:rPr>
                <w:rFonts w:eastAsia="Arial Unicode MS" w:cs="Arial"/>
                <w:sz w:val="20"/>
                <w:lang w:eastAsia="en-US"/>
              </w:rPr>
            </w:pPr>
          </w:p>
        </w:tc>
        <w:tc>
          <w:tcPr>
            <w:tcW w:w="4111" w:type="dxa"/>
            <w:vMerge/>
            <w:vAlign w:val="center"/>
          </w:tcPr>
          <w:p w14:paraId="7A7E43F4" w14:textId="77777777" w:rsidR="00FB70C1" w:rsidRPr="009041D4" w:rsidRDefault="00FB70C1" w:rsidP="006329CD">
            <w:pPr>
              <w:pStyle w:val="TAL"/>
              <w:spacing w:line="276" w:lineRule="auto"/>
              <w:ind w:right="49"/>
              <w:rPr>
                <w:rFonts w:cs="Arial"/>
                <w:sz w:val="20"/>
                <w:lang w:eastAsia="en-US"/>
              </w:rPr>
            </w:pPr>
          </w:p>
        </w:tc>
        <w:tc>
          <w:tcPr>
            <w:tcW w:w="2571" w:type="dxa"/>
          </w:tcPr>
          <w:p w14:paraId="5901F15C" w14:textId="77777777" w:rsidR="00FB70C1" w:rsidRPr="009041D4" w:rsidRDefault="00FB70C1" w:rsidP="006329CD">
            <w:pPr>
              <w:pStyle w:val="TAL"/>
              <w:spacing w:line="276" w:lineRule="auto"/>
              <w:ind w:right="49"/>
              <w:jc w:val="center"/>
              <w:rPr>
                <w:rFonts w:eastAsia="Arial Unicode MS" w:cs="Arial"/>
                <w:sz w:val="20"/>
                <w:lang w:eastAsia="en-US"/>
              </w:rPr>
            </w:pPr>
            <w:r w:rsidRPr="009041D4">
              <w:rPr>
                <w:rFonts w:cs="Arial"/>
                <w:sz w:val="20"/>
                <w:lang w:eastAsia="en-US"/>
              </w:rPr>
              <w:t>0s para TCP/SCTP</w:t>
            </w:r>
          </w:p>
        </w:tc>
      </w:tr>
      <w:tr w:rsidR="00FB70C1" w:rsidRPr="009041D4" w14:paraId="0F2F17D5" w14:textId="77777777" w:rsidTr="006329CD">
        <w:trPr>
          <w:jc w:val="center"/>
        </w:trPr>
        <w:tc>
          <w:tcPr>
            <w:tcW w:w="1408" w:type="dxa"/>
            <w:tcMar>
              <w:top w:w="14" w:type="dxa"/>
              <w:left w:w="14" w:type="dxa"/>
              <w:bottom w:w="0" w:type="dxa"/>
              <w:right w:w="14" w:type="dxa"/>
            </w:tcMar>
          </w:tcPr>
          <w:p w14:paraId="079A5554"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E</w:t>
            </w:r>
          </w:p>
        </w:tc>
        <w:tc>
          <w:tcPr>
            <w:tcW w:w="4111" w:type="dxa"/>
          </w:tcPr>
          <w:p w14:paraId="46C8205A"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Intervalo de retransmisión de peticiones distintas al INVITE, solamente para UDP</w:t>
            </w:r>
          </w:p>
        </w:tc>
        <w:tc>
          <w:tcPr>
            <w:tcW w:w="2571" w:type="dxa"/>
          </w:tcPr>
          <w:p w14:paraId="068DF650"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inicialmente T1</w:t>
            </w:r>
          </w:p>
        </w:tc>
      </w:tr>
      <w:tr w:rsidR="00FB70C1" w:rsidRPr="009041D4" w14:paraId="30C1051E" w14:textId="77777777" w:rsidTr="006329CD">
        <w:trPr>
          <w:jc w:val="center"/>
        </w:trPr>
        <w:tc>
          <w:tcPr>
            <w:tcW w:w="1408" w:type="dxa"/>
            <w:tcMar>
              <w:top w:w="14" w:type="dxa"/>
              <w:left w:w="14" w:type="dxa"/>
              <w:bottom w:w="0" w:type="dxa"/>
              <w:right w:w="14" w:type="dxa"/>
            </w:tcMar>
          </w:tcPr>
          <w:p w14:paraId="1CB205C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F</w:t>
            </w:r>
          </w:p>
        </w:tc>
        <w:tc>
          <w:tcPr>
            <w:tcW w:w="4111" w:type="dxa"/>
          </w:tcPr>
          <w:p w14:paraId="749423AA"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Vencimiento del temporizador de transacción diferente del INVITE</w:t>
            </w:r>
          </w:p>
        </w:tc>
        <w:tc>
          <w:tcPr>
            <w:tcW w:w="2571" w:type="dxa"/>
          </w:tcPr>
          <w:p w14:paraId="72292D70"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64*T1</w:t>
            </w:r>
          </w:p>
        </w:tc>
      </w:tr>
      <w:tr w:rsidR="00FB70C1" w:rsidRPr="009041D4" w14:paraId="4332B817" w14:textId="77777777" w:rsidTr="006329CD">
        <w:trPr>
          <w:jc w:val="center"/>
        </w:trPr>
        <w:tc>
          <w:tcPr>
            <w:tcW w:w="1408" w:type="dxa"/>
            <w:tcMar>
              <w:top w:w="14" w:type="dxa"/>
              <w:left w:w="14" w:type="dxa"/>
              <w:bottom w:w="0" w:type="dxa"/>
              <w:right w:w="14" w:type="dxa"/>
            </w:tcMar>
          </w:tcPr>
          <w:p w14:paraId="77EE2B3C"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G</w:t>
            </w:r>
          </w:p>
        </w:tc>
        <w:tc>
          <w:tcPr>
            <w:tcW w:w="4111" w:type="dxa"/>
          </w:tcPr>
          <w:p w14:paraId="06FD86C0"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Intervalo de retransmisión de la respuesta al INVITE</w:t>
            </w:r>
          </w:p>
        </w:tc>
        <w:tc>
          <w:tcPr>
            <w:tcW w:w="2571" w:type="dxa"/>
          </w:tcPr>
          <w:p w14:paraId="4727213B"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inicialmente T1</w:t>
            </w:r>
          </w:p>
        </w:tc>
      </w:tr>
      <w:tr w:rsidR="00FB70C1" w:rsidRPr="009041D4" w14:paraId="40E0F52F" w14:textId="77777777" w:rsidTr="006329CD">
        <w:trPr>
          <w:jc w:val="center"/>
        </w:trPr>
        <w:tc>
          <w:tcPr>
            <w:tcW w:w="1408" w:type="dxa"/>
            <w:tcMar>
              <w:top w:w="14" w:type="dxa"/>
              <w:left w:w="14" w:type="dxa"/>
              <w:bottom w:w="0" w:type="dxa"/>
              <w:right w:w="14" w:type="dxa"/>
            </w:tcMar>
          </w:tcPr>
          <w:p w14:paraId="0BCD142A"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H</w:t>
            </w:r>
          </w:p>
        </w:tc>
        <w:tc>
          <w:tcPr>
            <w:tcW w:w="4111" w:type="dxa"/>
          </w:tcPr>
          <w:p w14:paraId="558B3F83"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recibir un ACK</w:t>
            </w:r>
          </w:p>
        </w:tc>
        <w:tc>
          <w:tcPr>
            <w:tcW w:w="2571" w:type="dxa"/>
          </w:tcPr>
          <w:p w14:paraId="5A105D87"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64*T1</w:t>
            </w:r>
          </w:p>
        </w:tc>
      </w:tr>
      <w:tr w:rsidR="00FB70C1" w:rsidRPr="009041D4" w14:paraId="7BD505F6" w14:textId="77777777" w:rsidTr="006329CD">
        <w:trPr>
          <w:cantSplit/>
          <w:jc w:val="center"/>
        </w:trPr>
        <w:tc>
          <w:tcPr>
            <w:tcW w:w="1408" w:type="dxa"/>
            <w:vMerge w:val="restart"/>
            <w:tcMar>
              <w:top w:w="14" w:type="dxa"/>
              <w:left w:w="14" w:type="dxa"/>
              <w:bottom w:w="0" w:type="dxa"/>
              <w:right w:w="14" w:type="dxa"/>
            </w:tcMar>
          </w:tcPr>
          <w:p w14:paraId="112AF08E"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I</w:t>
            </w:r>
          </w:p>
        </w:tc>
        <w:tc>
          <w:tcPr>
            <w:tcW w:w="4111" w:type="dxa"/>
            <w:vMerge w:val="restart"/>
          </w:tcPr>
          <w:p w14:paraId="375B4151"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retransmitir el ACK</w:t>
            </w:r>
          </w:p>
        </w:tc>
        <w:tc>
          <w:tcPr>
            <w:tcW w:w="2571" w:type="dxa"/>
          </w:tcPr>
          <w:p w14:paraId="42E59013"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T4 para UDP</w:t>
            </w:r>
          </w:p>
        </w:tc>
      </w:tr>
      <w:tr w:rsidR="00FB70C1" w:rsidRPr="009041D4" w14:paraId="7F609492" w14:textId="77777777" w:rsidTr="006329CD">
        <w:trPr>
          <w:cantSplit/>
          <w:jc w:val="center"/>
        </w:trPr>
        <w:tc>
          <w:tcPr>
            <w:tcW w:w="1408" w:type="dxa"/>
            <w:vMerge/>
            <w:vAlign w:val="center"/>
          </w:tcPr>
          <w:p w14:paraId="36529F23" w14:textId="77777777" w:rsidR="00FB70C1" w:rsidRPr="009041D4" w:rsidRDefault="00FB70C1" w:rsidP="006329CD">
            <w:pPr>
              <w:pStyle w:val="TAL"/>
              <w:spacing w:line="276" w:lineRule="auto"/>
              <w:ind w:right="49"/>
              <w:rPr>
                <w:rFonts w:eastAsia="Arial Unicode MS" w:cs="Arial"/>
                <w:sz w:val="20"/>
                <w:lang w:eastAsia="en-US"/>
              </w:rPr>
            </w:pPr>
          </w:p>
        </w:tc>
        <w:tc>
          <w:tcPr>
            <w:tcW w:w="4111" w:type="dxa"/>
            <w:vMerge/>
            <w:vAlign w:val="center"/>
          </w:tcPr>
          <w:p w14:paraId="1AAFC36E" w14:textId="77777777" w:rsidR="00FB70C1" w:rsidRPr="009041D4" w:rsidRDefault="00FB70C1" w:rsidP="006329CD">
            <w:pPr>
              <w:pStyle w:val="TAL"/>
              <w:spacing w:line="276" w:lineRule="auto"/>
              <w:ind w:right="49"/>
              <w:rPr>
                <w:rFonts w:cs="Arial"/>
                <w:sz w:val="20"/>
                <w:lang w:eastAsia="en-US"/>
              </w:rPr>
            </w:pPr>
          </w:p>
        </w:tc>
        <w:tc>
          <w:tcPr>
            <w:tcW w:w="2571" w:type="dxa"/>
          </w:tcPr>
          <w:p w14:paraId="63E911E6" w14:textId="77777777" w:rsidR="00FB70C1" w:rsidRPr="009041D4" w:rsidRDefault="00FB70C1" w:rsidP="006329CD">
            <w:pPr>
              <w:pStyle w:val="TAL"/>
              <w:spacing w:line="276" w:lineRule="auto"/>
              <w:ind w:right="49"/>
              <w:jc w:val="center"/>
              <w:rPr>
                <w:rFonts w:eastAsia="Arial Unicode MS" w:cs="Arial"/>
                <w:sz w:val="20"/>
                <w:lang w:eastAsia="en-US"/>
              </w:rPr>
            </w:pPr>
            <w:r w:rsidRPr="009041D4">
              <w:rPr>
                <w:rFonts w:cs="Arial"/>
                <w:sz w:val="20"/>
                <w:lang w:eastAsia="en-US"/>
              </w:rPr>
              <w:t>0s para TCP/SCTP</w:t>
            </w:r>
          </w:p>
        </w:tc>
      </w:tr>
      <w:tr w:rsidR="00FB70C1" w:rsidRPr="009041D4" w14:paraId="6E9BFB28" w14:textId="77777777" w:rsidTr="006329CD">
        <w:trPr>
          <w:cantSplit/>
          <w:jc w:val="center"/>
        </w:trPr>
        <w:tc>
          <w:tcPr>
            <w:tcW w:w="1408" w:type="dxa"/>
            <w:vMerge w:val="restart"/>
            <w:tcMar>
              <w:top w:w="14" w:type="dxa"/>
              <w:left w:w="14" w:type="dxa"/>
              <w:bottom w:w="0" w:type="dxa"/>
              <w:right w:w="14" w:type="dxa"/>
            </w:tcMar>
          </w:tcPr>
          <w:p w14:paraId="3730941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J</w:t>
            </w:r>
          </w:p>
        </w:tc>
        <w:tc>
          <w:tcPr>
            <w:tcW w:w="4111" w:type="dxa"/>
            <w:vMerge w:val="restart"/>
          </w:tcPr>
          <w:p w14:paraId="5DADCAF6"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peticiones distintas al INVITE</w:t>
            </w:r>
          </w:p>
        </w:tc>
        <w:tc>
          <w:tcPr>
            <w:tcW w:w="2571" w:type="dxa"/>
          </w:tcPr>
          <w:p w14:paraId="6F501755"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64*T1 para UDP</w:t>
            </w:r>
          </w:p>
        </w:tc>
      </w:tr>
      <w:tr w:rsidR="00FB70C1" w:rsidRPr="009041D4" w14:paraId="33A54860" w14:textId="77777777" w:rsidTr="006329CD">
        <w:trPr>
          <w:cantSplit/>
          <w:jc w:val="center"/>
        </w:trPr>
        <w:tc>
          <w:tcPr>
            <w:tcW w:w="1408" w:type="dxa"/>
            <w:vMerge/>
            <w:vAlign w:val="center"/>
          </w:tcPr>
          <w:p w14:paraId="70FF214B" w14:textId="77777777" w:rsidR="00FB70C1" w:rsidRPr="009041D4" w:rsidRDefault="00FB70C1" w:rsidP="006329CD">
            <w:pPr>
              <w:pStyle w:val="TAL"/>
              <w:spacing w:line="276" w:lineRule="auto"/>
              <w:ind w:right="49"/>
              <w:rPr>
                <w:rFonts w:eastAsia="Arial Unicode MS" w:cs="Arial"/>
                <w:sz w:val="20"/>
                <w:lang w:eastAsia="en-US"/>
              </w:rPr>
            </w:pPr>
          </w:p>
        </w:tc>
        <w:tc>
          <w:tcPr>
            <w:tcW w:w="4111" w:type="dxa"/>
            <w:vMerge/>
            <w:vAlign w:val="center"/>
          </w:tcPr>
          <w:p w14:paraId="06AD2C84" w14:textId="77777777" w:rsidR="00FB70C1" w:rsidRPr="009041D4" w:rsidRDefault="00FB70C1" w:rsidP="006329CD">
            <w:pPr>
              <w:pStyle w:val="TAL"/>
              <w:spacing w:line="276" w:lineRule="auto"/>
              <w:ind w:right="49"/>
              <w:rPr>
                <w:rFonts w:cs="Arial"/>
                <w:sz w:val="20"/>
                <w:lang w:eastAsia="en-US"/>
              </w:rPr>
            </w:pPr>
          </w:p>
        </w:tc>
        <w:tc>
          <w:tcPr>
            <w:tcW w:w="2571" w:type="dxa"/>
          </w:tcPr>
          <w:p w14:paraId="3C917794" w14:textId="77777777" w:rsidR="00FB70C1" w:rsidRPr="009041D4" w:rsidRDefault="00FB70C1" w:rsidP="006329CD">
            <w:pPr>
              <w:pStyle w:val="TAL"/>
              <w:spacing w:line="276" w:lineRule="auto"/>
              <w:ind w:right="49"/>
              <w:jc w:val="center"/>
              <w:rPr>
                <w:rFonts w:eastAsia="Arial Unicode MS" w:cs="Arial"/>
                <w:sz w:val="20"/>
                <w:lang w:eastAsia="en-US"/>
              </w:rPr>
            </w:pPr>
            <w:r w:rsidRPr="009041D4">
              <w:rPr>
                <w:rFonts w:cs="Arial"/>
                <w:sz w:val="20"/>
                <w:lang w:eastAsia="en-US"/>
              </w:rPr>
              <w:t>0s para TCP/SCTP</w:t>
            </w:r>
          </w:p>
        </w:tc>
      </w:tr>
      <w:tr w:rsidR="00FB70C1" w:rsidRPr="009041D4" w14:paraId="6F4CD3A7" w14:textId="77777777" w:rsidTr="006329CD">
        <w:trPr>
          <w:cantSplit/>
          <w:jc w:val="center"/>
        </w:trPr>
        <w:tc>
          <w:tcPr>
            <w:tcW w:w="1408" w:type="dxa"/>
            <w:vMerge w:val="restart"/>
            <w:tcMar>
              <w:top w:w="14" w:type="dxa"/>
              <w:left w:w="14" w:type="dxa"/>
              <w:bottom w:w="0" w:type="dxa"/>
              <w:right w:w="14" w:type="dxa"/>
            </w:tcMar>
          </w:tcPr>
          <w:p w14:paraId="66D65C05" w14:textId="77777777" w:rsidR="00FB70C1" w:rsidRPr="009041D4" w:rsidRDefault="00FB70C1" w:rsidP="006329CD">
            <w:pPr>
              <w:pStyle w:val="TAL"/>
              <w:spacing w:line="276" w:lineRule="auto"/>
              <w:ind w:right="49"/>
              <w:rPr>
                <w:rFonts w:eastAsia="Arial Unicode MS" w:cs="Arial"/>
                <w:sz w:val="20"/>
                <w:lang w:eastAsia="en-US"/>
              </w:rPr>
            </w:pPr>
            <w:r w:rsidRPr="009041D4">
              <w:rPr>
                <w:rFonts w:cs="Arial"/>
                <w:sz w:val="20"/>
                <w:lang w:eastAsia="en-US"/>
              </w:rPr>
              <w:t>Timer K</w:t>
            </w:r>
          </w:p>
        </w:tc>
        <w:tc>
          <w:tcPr>
            <w:tcW w:w="4111" w:type="dxa"/>
            <w:vMerge w:val="restart"/>
          </w:tcPr>
          <w:p w14:paraId="48952127" w14:textId="77777777" w:rsidR="00FB70C1" w:rsidRPr="009041D4" w:rsidRDefault="00FB70C1" w:rsidP="006329CD">
            <w:pPr>
              <w:pStyle w:val="TAL"/>
              <w:spacing w:line="276" w:lineRule="auto"/>
              <w:ind w:right="49"/>
              <w:rPr>
                <w:rFonts w:cs="Arial"/>
                <w:sz w:val="20"/>
                <w:lang w:val="es-ES" w:eastAsia="en-US"/>
              </w:rPr>
            </w:pPr>
            <w:r w:rsidRPr="009041D4">
              <w:rPr>
                <w:rFonts w:cs="Arial"/>
                <w:sz w:val="20"/>
                <w:lang w:val="es-ES" w:eastAsia="en-US"/>
              </w:rPr>
              <w:t>Tiempo de espera para retransmisiones de respuestas</w:t>
            </w:r>
          </w:p>
        </w:tc>
        <w:tc>
          <w:tcPr>
            <w:tcW w:w="2571" w:type="dxa"/>
          </w:tcPr>
          <w:p w14:paraId="1C25C03E" w14:textId="77777777" w:rsidR="00FB70C1" w:rsidRPr="009041D4" w:rsidRDefault="00FB70C1" w:rsidP="006329CD">
            <w:pPr>
              <w:pStyle w:val="TAL"/>
              <w:spacing w:line="276" w:lineRule="auto"/>
              <w:ind w:right="49"/>
              <w:jc w:val="center"/>
              <w:rPr>
                <w:rFonts w:cs="Arial"/>
                <w:sz w:val="20"/>
                <w:lang w:eastAsia="en-US"/>
              </w:rPr>
            </w:pPr>
            <w:r w:rsidRPr="009041D4">
              <w:rPr>
                <w:rFonts w:cs="Arial"/>
                <w:sz w:val="20"/>
                <w:lang w:eastAsia="en-US"/>
              </w:rPr>
              <w:t>T4 para UDP</w:t>
            </w:r>
          </w:p>
        </w:tc>
      </w:tr>
      <w:tr w:rsidR="00FB70C1" w:rsidRPr="009041D4" w14:paraId="0849D81A" w14:textId="77777777" w:rsidTr="006329CD">
        <w:trPr>
          <w:cantSplit/>
          <w:jc w:val="center"/>
        </w:trPr>
        <w:tc>
          <w:tcPr>
            <w:tcW w:w="1408" w:type="dxa"/>
            <w:vMerge/>
            <w:tcBorders>
              <w:bottom w:val="single" w:sz="8" w:space="0" w:color="000000"/>
            </w:tcBorders>
            <w:vAlign w:val="center"/>
          </w:tcPr>
          <w:p w14:paraId="7160924B" w14:textId="77777777" w:rsidR="00FB70C1" w:rsidRPr="009041D4" w:rsidRDefault="00FB70C1" w:rsidP="006329CD">
            <w:pPr>
              <w:pStyle w:val="TAL"/>
              <w:spacing w:line="276" w:lineRule="auto"/>
              <w:ind w:right="49"/>
              <w:rPr>
                <w:rFonts w:eastAsia="Arial Unicode MS" w:cs="Arial"/>
                <w:sz w:val="20"/>
                <w:lang w:eastAsia="en-US"/>
              </w:rPr>
            </w:pPr>
          </w:p>
        </w:tc>
        <w:tc>
          <w:tcPr>
            <w:tcW w:w="4111" w:type="dxa"/>
            <w:vMerge/>
            <w:tcBorders>
              <w:bottom w:val="single" w:sz="8" w:space="0" w:color="000000"/>
            </w:tcBorders>
            <w:vAlign w:val="center"/>
          </w:tcPr>
          <w:p w14:paraId="20D9455A" w14:textId="77777777" w:rsidR="00FB70C1" w:rsidRPr="009041D4" w:rsidRDefault="00FB70C1" w:rsidP="006329CD">
            <w:pPr>
              <w:pStyle w:val="TAL"/>
              <w:spacing w:line="276" w:lineRule="auto"/>
              <w:ind w:right="49"/>
              <w:rPr>
                <w:rFonts w:cs="Arial"/>
                <w:sz w:val="20"/>
                <w:lang w:eastAsia="en-US"/>
              </w:rPr>
            </w:pPr>
          </w:p>
        </w:tc>
        <w:tc>
          <w:tcPr>
            <w:tcW w:w="2571" w:type="dxa"/>
            <w:tcBorders>
              <w:bottom w:val="single" w:sz="8" w:space="0" w:color="000000"/>
            </w:tcBorders>
          </w:tcPr>
          <w:p w14:paraId="4A465C25" w14:textId="77777777" w:rsidR="00FB70C1" w:rsidRPr="009041D4" w:rsidRDefault="00FB70C1" w:rsidP="006329CD">
            <w:pPr>
              <w:pStyle w:val="TAL"/>
              <w:spacing w:line="276" w:lineRule="auto"/>
              <w:ind w:right="49"/>
              <w:jc w:val="center"/>
              <w:rPr>
                <w:rFonts w:eastAsia="Arial Unicode MS" w:cs="Arial"/>
                <w:sz w:val="20"/>
                <w:lang w:eastAsia="en-US"/>
              </w:rPr>
            </w:pPr>
            <w:r w:rsidRPr="009041D4">
              <w:rPr>
                <w:rFonts w:cs="Arial"/>
                <w:sz w:val="20"/>
                <w:lang w:eastAsia="en-US"/>
              </w:rPr>
              <w:t>0s para TCP/SCTP</w:t>
            </w:r>
          </w:p>
        </w:tc>
      </w:tr>
    </w:tbl>
    <w:p w14:paraId="13F41D10"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6. Temporizadores SIP.</w:t>
      </w:r>
    </w:p>
    <w:p w14:paraId="170BAA75" w14:textId="77777777" w:rsidR="00FB70C1" w:rsidRPr="009041D4" w:rsidRDefault="00FB70C1" w:rsidP="00FB70C1">
      <w:pPr>
        <w:spacing w:after="0"/>
        <w:ind w:right="49"/>
        <w:rPr>
          <w:rFonts w:ascii="Arial" w:hAnsi="Arial" w:cs="Arial"/>
        </w:rPr>
      </w:pPr>
    </w:p>
    <w:p w14:paraId="35971476" w14:textId="77777777" w:rsidR="00FB70C1" w:rsidRPr="009041D4" w:rsidRDefault="00FB70C1" w:rsidP="00FB70C1">
      <w:pPr>
        <w:pStyle w:val="Prrafodelista"/>
        <w:numPr>
          <w:ilvl w:val="0"/>
          <w:numId w:val="9"/>
        </w:numPr>
        <w:spacing w:line="276" w:lineRule="auto"/>
        <w:ind w:left="709" w:right="49" w:hanging="720"/>
        <w:contextualSpacing/>
        <w:rPr>
          <w:rFonts w:cs="Arial"/>
          <w:b/>
          <w:sz w:val="24"/>
        </w:rPr>
      </w:pPr>
      <w:r w:rsidRPr="009041D4">
        <w:rPr>
          <w:rFonts w:cs="Arial"/>
          <w:b/>
          <w:sz w:val="24"/>
        </w:rPr>
        <w:t>Interconexión Plano Usuario</w:t>
      </w:r>
    </w:p>
    <w:p w14:paraId="7FF8B10E" w14:textId="77777777" w:rsidR="00FB70C1" w:rsidRPr="009041D4" w:rsidRDefault="00FB70C1" w:rsidP="00FB70C1">
      <w:pPr>
        <w:pStyle w:val="Prrafodelista"/>
        <w:spacing w:line="276" w:lineRule="auto"/>
        <w:ind w:left="709" w:right="49"/>
        <w:rPr>
          <w:rFonts w:cs="Arial"/>
          <w:b/>
          <w:sz w:val="24"/>
        </w:rPr>
      </w:pPr>
    </w:p>
    <w:p w14:paraId="02AD5D27"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rPr>
        <w:t>Transporte de voz</w:t>
      </w:r>
      <w:r w:rsidRPr="009041D4">
        <w:rPr>
          <w:rFonts w:cs="Arial"/>
          <w:b/>
        </w:rPr>
        <w:tab/>
      </w:r>
      <w:r w:rsidRPr="009041D4">
        <w:rPr>
          <w:rFonts w:cs="Arial"/>
          <w:b/>
        </w:rPr>
        <w:tab/>
      </w:r>
      <w:r w:rsidRPr="009041D4">
        <w:rPr>
          <w:rFonts w:cs="Arial"/>
          <w:b/>
        </w:rPr>
        <w:tab/>
      </w:r>
      <w:r w:rsidRPr="009041D4">
        <w:rPr>
          <w:rFonts w:cs="Arial"/>
          <w:b/>
        </w:rPr>
        <w:tab/>
      </w:r>
      <w:r w:rsidRPr="009041D4">
        <w:rPr>
          <w:rFonts w:cs="Arial"/>
          <w:b/>
        </w:rPr>
        <w:tab/>
      </w:r>
      <w:r w:rsidRPr="009041D4">
        <w:rPr>
          <w:rFonts w:cs="Arial"/>
          <w:b/>
        </w:rPr>
        <w:tab/>
      </w:r>
    </w:p>
    <w:p w14:paraId="4FDB4668" w14:textId="77777777" w:rsidR="00FB70C1" w:rsidRPr="009041D4" w:rsidRDefault="00FB70C1" w:rsidP="00FB70C1">
      <w:pPr>
        <w:spacing w:after="0"/>
        <w:ind w:right="49"/>
        <w:rPr>
          <w:rFonts w:ascii="Arial" w:hAnsi="Arial" w:cs="Arial"/>
        </w:rPr>
      </w:pPr>
    </w:p>
    <w:p w14:paraId="2A28E830"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7E605333" w14:textId="77777777" w:rsidR="00FB70C1" w:rsidRPr="009041D4" w:rsidRDefault="00FB70C1" w:rsidP="00FB70C1">
      <w:pPr>
        <w:spacing w:after="0"/>
        <w:ind w:right="49"/>
        <w:jc w:val="both"/>
        <w:rPr>
          <w:rFonts w:ascii="Arial" w:hAnsi="Arial" w:cs="Arial"/>
        </w:rPr>
      </w:pPr>
    </w:p>
    <w:p w14:paraId="5064BC98" w14:textId="7D714F47" w:rsidR="00FB70C1" w:rsidRPr="009041D4" w:rsidRDefault="00FB70C1" w:rsidP="00FB70C1">
      <w:pPr>
        <w:spacing w:after="0"/>
        <w:ind w:right="49"/>
        <w:jc w:val="both"/>
        <w:rPr>
          <w:rFonts w:ascii="Arial" w:hAnsi="Arial" w:cs="Arial"/>
        </w:rPr>
      </w:pPr>
      <w:r w:rsidRPr="009041D4">
        <w:rPr>
          <w:rFonts w:ascii="Arial" w:hAnsi="Arial" w:cs="Arial"/>
        </w:rPr>
        <w:t>El protocolo UDP (User Datagram Protocol) se utilizará de acuerdo a la Recomendación IETF RFC 768</w:t>
      </w:r>
      <w:r w:rsidR="00905F34">
        <w:rPr>
          <w:rStyle w:val="Refdenotaalpie"/>
          <w:rFonts w:ascii="Arial" w:hAnsi="Arial" w:cs="Arial"/>
        </w:rPr>
        <w:footnoteReference w:id="21"/>
      </w:r>
      <w:r w:rsidRPr="009041D4">
        <w:rPr>
          <w:rFonts w:ascii="Arial" w:hAnsi="Arial" w:cs="Arial"/>
        </w:rPr>
        <w:t>. Para la transmisión de información en tiempo real (audio) se usará el protocolo de sesión RTP (Protocolo de Transporte de Tiempo real) de acuerdo a las recomendaciones IETF RFC 3550</w:t>
      </w:r>
      <w:r w:rsidR="00905F34">
        <w:rPr>
          <w:rStyle w:val="Refdenotaalpie"/>
          <w:rFonts w:ascii="Arial" w:hAnsi="Arial" w:cs="Arial"/>
        </w:rPr>
        <w:footnoteReference w:id="22"/>
      </w:r>
      <w:r w:rsidRPr="009041D4">
        <w:rPr>
          <w:rFonts w:ascii="Arial" w:hAnsi="Arial" w:cs="Arial"/>
        </w:rPr>
        <w:t xml:space="preserve"> y 3551.</w:t>
      </w:r>
    </w:p>
    <w:p w14:paraId="43A3F0CE" w14:textId="77777777" w:rsidR="00FB70C1" w:rsidRPr="009041D4" w:rsidRDefault="00FB70C1" w:rsidP="00FB70C1">
      <w:pPr>
        <w:spacing w:after="0"/>
        <w:ind w:right="49"/>
        <w:rPr>
          <w:rFonts w:ascii="Arial" w:hAnsi="Arial" w:cs="Arial"/>
        </w:rPr>
      </w:pPr>
    </w:p>
    <w:p w14:paraId="0359E3A9"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rPr>
        <w:t>Control de la Transmisión</w:t>
      </w:r>
    </w:p>
    <w:p w14:paraId="2A7F6F30" w14:textId="77777777" w:rsidR="00FB70C1" w:rsidRPr="009041D4" w:rsidRDefault="00FB70C1" w:rsidP="00FB70C1">
      <w:pPr>
        <w:spacing w:after="0"/>
        <w:ind w:right="49"/>
        <w:rPr>
          <w:rFonts w:ascii="Arial" w:hAnsi="Arial" w:cs="Arial"/>
        </w:rPr>
      </w:pPr>
    </w:p>
    <w:p w14:paraId="75D93F07"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podrán utilizar el protocolo RTCP (Protocolo de control de transporte en tiempo real) conforme a la recomendación IETF RFC 3550 para fines de verificar las condiciones de la transmisión.</w:t>
      </w:r>
    </w:p>
    <w:p w14:paraId="2A53F165" w14:textId="77777777" w:rsidR="00FB70C1" w:rsidRPr="009041D4" w:rsidRDefault="00FB70C1" w:rsidP="00FB70C1">
      <w:pPr>
        <w:spacing w:after="0"/>
        <w:ind w:right="49"/>
        <w:rPr>
          <w:rFonts w:ascii="Arial" w:hAnsi="Arial" w:cs="Arial"/>
          <w:b/>
        </w:rPr>
      </w:pPr>
    </w:p>
    <w:p w14:paraId="71608149"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rPr>
        <w:t xml:space="preserve">Códec de voz </w:t>
      </w:r>
    </w:p>
    <w:p w14:paraId="1E4CC64E" w14:textId="77777777" w:rsidR="00FB70C1" w:rsidRPr="009041D4" w:rsidRDefault="00FB70C1" w:rsidP="00FB70C1">
      <w:pPr>
        <w:spacing w:after="0"/>
        <w:ind w:right="49"/>
        <w:rPr>
          <w:rFonts w:ascii="Arial" w:hAnsi="Arial" w:cs="Arial"/>
        </w:rPr>
      </w:pPr>
    </w:p>
    <w:p w14:paraId="026070B0" w14:textId="77777777" w:rsidR="00FB70C1" w:rsidRPr="009041D4" w:rsidRDefault="00FB70C1" w:rsidP="00FB70C1">
      <w:pPr>
        <w:spacing w:after="0"/>
        <w:ind w:right="49"/>
        <w:jc w:val="both"/>
        <w:rPr>
          <w:rFonts w:ascii="Arial" w:hAnsi="Arial" w:cs="Arial"/>
        </w:rPr>
      </w:pPr>
      <w:r w:rsidRPr="009041D4">
        <w:rPr>
          <w:rFonts w:ascii="Arial" w:hAnsi="Arial" w:cs="Arial"/>
        </w:rPr>
        <w:t>Dentro de la negociación inicial SDP, se deben enviar los perfiles de codificación y compresión de voz:</w:t>
      </w:r>
    </w:p>
    <w:p w14:paraId="48CFB4F4" w14:textId="77777777" w:rsidR="00FB70C1" w:rsidRPr="009041D4" w:rsidRDefault="00FB70C1" w:rsidP="00FB70C1">
      <w:pPr>
        <w:spacing w:after="0"/>
        <w:ind w:right="49"/>
        <w:jc w:val="both"/>
        <w:rPr>
          <w:rFonts w:ascii="Arial" w:hAnsi="Arial" w:cs="Arial"/>
        </w:rPr>
      </w:pPr>
    </w:p>
    <w:p w14:paraId="635DC424" w14:textId="77777777" w:rsidR="00FB70C1" w:rsidRPr="009041D4" w:rsidRDefault="00FB70C1" w:rsidP="00FB70C1">
      <w:pPr>
        <w:pStyle w:val="Prrafodelista"/>
        <w:numPr>
          <w:ilvl w:val="0"/>
          <w:numId w:val="2"/>
        </w:numPr>
        <w:spacing w:line="276" w:lineRule="auto"/>
        <w:ind w:left="720" w:right="49"/>
        <w:contextualSpacing/>
        <w:rPr>
          <w:rFonts w:cs="Arial"/>
        </w:rPr>
      </w:pPr>
      <w:r w:rsidRPr="009041D4">
        <w:rPr>
          <w:rFonts w:cs="Arial"/>
        </w:rPr>
        <w:t xml:space="preserve">G.729   </w:t>
      </w:r>
      <w:r w:rsidRPr="009041D4">
        <w:rPr>
          <w:rFonts w:cs="Arial"/>
        </w:rPr>
        <w:tab/>
        <w:t>Payload Type: 18</w:t>
      </w:r>
    </w:p>
    <w:p w14:paraId="1F3A7F35" w14:textId="77777777" w:rsidR="00FB70C1" w:rsidRPr="009041D4" w:rsidRDefault="00FB70C1" w:rsidP="00FB70C1">
      <w:pPr>
        <w:pStyle w:val="Prrafodelista"/>
        <w:numPr>
          <w:ilvl w:val="0"/>
          <w:numId w:val="2"/>
        </w:numPr>
        <w:spacing w:line="276" w:lineRule="auto"/>
        <w:ind w:left="720" w:right="49"/>
        <w:contextualSpacing/>
        <w:rPr>
          <w:rFonts w:cs="Arial"/>
          <w:lang w:val="en-US"/>
        </w:rPr>
      </w:pPr>
      <w:r w:rsidRPr="009041D4">
        <w:rPr>
          <w:rFonts w:cs="Arial"/>
          <w:lang w:val="en-US"/>
        </w:rPr>
        <w:t>G.729b</w:t>
      </w:r>
      <w:r w:rsidRPr="009041D4">
        <w:rPr>
          <w:rFonts w:cs="Arial"/>
          <w:lang w:val="en-US"/>
        </w:rPr>
        <w:tab/>
        <w:t>Payload Type: 18</w:t>
      </w:r>
    </w:p>
    <w:p w14:paraId="222EDDD6" w14:textId="77777777" w:rsidR="00FB70C1" w:rsidRPr="009041D4" w:rsidRDefault="00FB70C1" w:rsidP="00FB70C1">
      <w:pPr>
        <w:pStyle w:val="Prrafodelista"/>
        <w:numPr>
          <w:ilvl w:val="0"/>
          <w:numId w:val="2"/>
        </w:numPr>
        <w:spacing w:line="276" w:lineRule="auto"/>
        <w:ind w:left="720" w:right="49"/>
        <w:contextualSpacing/>
        <w:rPr>
          <w:rFonts w:cs="Arial"/>
          <w:lang w:val="en-US"/>
        </w:rPr>
      </w:pPr>
      <w:r w:rsidRPr="009041D4">
        <w:rPr>
          <w:rFonts w:cs="Arial"/>
          <w:lang w:val="en-US"/>
        </w:rPr>
        <w:t xml:space="preserve">G.711 Ley A </w:t>
      </w:r>
      <w:r w:rsidRPr="009041D4">
        <w:rPr>
          <w:rFonts w:cs="Arial"/>
          <w:lang w:val="en-US"/>
        </w:rPr>
        <w:tab/>
        <w:t>Payload Type: 8</w:t>
      </w:r>
    </w:p>
    <w:p w14:paraId="7B011C73" w14:textId="77777777" w:rsidR="00FB70C1" w:rsidRPr="009041D4" w:rsidRDefault="00FB70C1" w:rsidP="00FB70C1">
      <w:pPr>
        <w:pStyle w:val="Prrafodelista"/>
        <w:numPr>
          <w:ilvl w:val="0"/>
          <w:numId w:val="2"/>
        </w:numPr>
        <w:spacing w:line="276" w:lineRule="auto"/>
        <w:ind w:left="720" w:right="49"/>
        <w:contextualSpacing/>
        <w:rPr>
          <w:rFonts w:cs="Arial"/>
        </w:rPr>
      </w:pPr>
      <w:r w:rsidRPr="009041D4">
        <w:rPr>
          <w:rFonts w:cs="Arial"/>
        </w:rPr>
        <w:t>AMR-NB</w:t>
      </w:r>
      <w:r w:rsidRPr="009041D4">
        <w:rPr>
          <w:rFonts w:cs="Arial"/>
        </w:rPr>
        <w:tab/>
        <w:t>Payload Type: 96-127</w:t>
      </w:r>
    </w:p>
    <w:p w14:paraId="74AD7371" w14:textId="77777777" w:rsidR="00FB70C1" w:rsidRPr="009041D4" w:rsidRDefault="00FB70C1" w:rsidP="00FB70C1">
      <w:pPr>
        <w:pStyle w:val="Prrafodelista"/>
        <w:numPr>
          <w:ilvl w:val="0"/>
          <w:numId w:val="2"/>
        </w:numPr>
        <w:spacing w:line="276" w:lineRule="auto"/>
        <w:ind w:left="720" w:right="49"/>
        <w:contextualSpacing/>
        <w:rPr>
          <w:rFonts w:cs="Arial"/>
        </w:rPr>
      </w:pPr>
      <w:r w:rsidRPr="009041D4">
        <w:rPr>
          <w:rFonts w:cs="Arial"/>
        </w:rPr>
        <w:t>AMR-WB</w:t>
      </w:r>
      <w:r w:rsidRPr="009041D4">
        <w:rPr>
          <w:rFonts w:cs="Arial"/>
        </w:rPr>
        <w:tab/>
        <w:t>Payload Type: 98</w:t>
      </w:r>
    </w:p>
    <w:p w14:paraId="3D32A612" w14:textId="77777777" w:rsidR="00FB70C1" w:rsidRPr="009041D4" w:rsidRDefault="00FB70C1" w:rsidP="00FB70C1">
      <w:pPr>
        <w:pStyle w:val="Prrafodelista"/>
        <w:spacing w:line="276" w:lineRule="auto"/>
        <w:ind w:right="51"/>
        <w:rPr>
          <w:rFonts w:cs="Arial"/>
        </w:rPr>
      </w:pPr>
      <w:r w:rsidRPr="009041D4">
        <w:rPr>
          <w:rFonts w:cs="Arial"/>
        </w:rPr>
        <w:tab/>
      </w:r>
      <w:r w:rsidRPr="009041D4">
        <w:rPr>
          <w:rFonts w:cs="Arial"/>
        </w:rPr>
        <w:tab/>
      </w:r>
    </w:p>
    <w:p w14:paraId="5B19C94B" w14:textId="77777777" w:rsidR="00FB70C1" w:rsidRPr="009041D4" w:rsidRDefault="00FB70C1" w:rsidP="00FB70C1">
      <w:pPr>
        <w:spacing w:after="0"/>
        <w:ind w:right="51"/>
        <w:jc w:val="both"/>
        <w:rPr>
          <w:rFonts w:ascii="Arial" w:hAnsi="Arial" w:cs="Arial"/>
        </w:rPr>
      </w:pPr>
      <w:r w:rsidRPr="009041D4">
        <w:rPr>
          <w:rFonts w:ascii="Arial" w:hAnsi="Arial" w:cs="Arial"/>
        </w:rPr>
        <w:t>En el modelo de oferta/contestación la red origen propondrá la preferencia en el orden de uso de los códecs y la red destino determinará el códec a utilizar.</w:t>
      </w:r>
    </w:p>
    <w:p w14:paraId="074C2A66" w14:textId="77777777" w:rsidR="00FB70C1" w:rsidRPr="009041D4" w:rsidRDefault="00FB70C1" w:rsidP="00FB70C1">
      <w:pPr>
        <w:spacing w:after="0"/>
        <w:ind w:right="51"/>
        <w:jc w:val="both"/>
        <w:rPr>
          <w:rFonts w:ascii="Arial" w:hAnsi="Arial" w:cs="Arial"/>
        </w:rPr>
      </w:pPr>
    </w:p>
    <w:p w14:paraId="100350F7" w14:textId="77777777" w:rsidR="00FB70C1" w:rsidRPr="009041D4" w:rsidRDefault="00FB70C1" w:rsidP="00FB70C1">
      <w:pPr>
        <w:spacing w:after="0"/>
        <w:ind w:right="51"/>
        <w:jc w:val="both"/>
        <w:rPr>
          <w:rFonts w:ascii="Arial" w:hAnsi="Arial" w:cs="Arial"/>
        </w:rPr>
      </w:pPr>
      <w:r w:rsidRPr="009041D4">
        <w:rPr>
          <w:rFonts w:ascii="Arial" w:hAnsi="Arial" w:cs="Arial"/>
        </w:rPr>
        <w:t>Si la red origen y destino utilizan señalización IP, la red de tránsito no realizará ningún proceso de transcodificación permitiendo fluir los paquetes de voz, tal como las redes extremas lo hayan negociado, por lo que no se modificarán los descriptores de sesión del protocolo SDP.</w:t>
      </w:r>
    </w:p>
    <w:p w14:paraId="6A45D943" w14:textId="77777777" w:rsidR="00FB70C1" w:rsidRPr="009041D4" w:rsidRDefault="00FB70C1" w:rsidP="00FB70C1">
      <w:pPr>
        <w:spacing w:after="0"/>
        <w:ind w:right="51"/>
        <w:jc w:val="both"/>
        <w:rPr>
          <w:rFonts w:ascii="Arial" w:hAnsi="Arial" w:cs="Arial"/>
        </w:rPr>
      </w:pPr>
    </w:p>
    <w:p w14:paraId="14ACCEC3" w14:textId="77777777" w:rsidR="00FB70C1" w:rsidRPr="009041D4" w:rsidRDefault="00FB70C1" w:rsidP="00FB70C1">
      <w:pPr>
        <w:spacing w:after="0"/>
        <w:ind w:right="51"/>
        <w:jc w:val="both"/>
        <w:rPr>
          <w:rFonts w:ascii="Arial" w:hAnsi="Arial" w:cs="Arial"/>
        </w:rPr>
      </w:pPr>
      <w:r w:rsidRPr="009041D4">
        <w:rPr>
          <w:rFonts w:ascii="Arial" w:hAnsi="Arial" w:cs="Arial"/>
        </w:rPr>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14:paraId="4484C623" w14:textId="77777777" w:rsidR="00FB70C1" w:rsidRPr="009041D4" w:rsidRDefault="00FB70C1" w:rsidP="00FB70C1">
      <w:pPr>
        <w:spacing w:after="0"/>
        <w:ind w:right="51"/>
        <w:jc w:val="both"/>
        <w:rPr>
          <w:rFonts w:ascii="Arial" w:hAnsi="Arial" w:cs="Arial"/>
        </w:rPr>
      </w:pPr>
    </w:p>
    <w:p w14:paraId="34B20881"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sz w:val="24"/>
        </w:rPr>
        <w:t>Numeración e identificación</w:t>
      </w:r>
    </w:p>
    <w:p w14:paraId="2CFD03E6" w14:textId="77777777" w:rsidR="00FB70C1" w:rsidRPr="009041D4" w:rsidRDefault="00FB70C1" w:rsidP="00FB70C1">
      <w:pPr>
        <w:pStyle w:val="Prrafodelista"/>
        <w:spacing w:line="276" w:lineRule="auto"/>
        <w:ind w:left="0" w:right="49"/>
        <w:rPr>
          <w:rFonts w:cs="Arial"/>
          <w:b/>
          <w:sz w:val="24"/>
        </w:rPr>
      </w:pPr>
    </w:p>
    <w:p w14:paraId="018B4987" w14:textId="77777777" w:rsidR="00FB70C1" w:rsidRPr="009041D4" w:rsidRDefault="00FB70C1" w:rsidP="00FB70C1">
      <w:pPr>
        <w:pStyle w:val="Prrafodelista"/>
        <w:numPr>
          <w:ilvl w:val="2"/>
          <w:numId w:val="9"/>
        </w:numPr>
        <w:spacing w:line="276" w:lineRule="auto"/>
        <w:ind w:left="709" w:right="49" w:hanging="709"/>
        <w:contextualSpacing/>
        <w:rPr>
          <w:rFonts w:cs="Arial"/>
          <w:b/>
          <w:sz w:val="24"/>
        </w:rPr>
      </w:pPr>
      <w:r w:rsidRPr="009041D4">
        <w:rPr>
          <w:rFonts w:cs="Arial"/>
          <w:b/>
        </w:rPr>
        <w:t>Formato de Numeración E.164</w:t>
      </w:r>
    </w:p>
    <w:p w14:paraId="579071A5" w14:textId="77777777" w:rsidR="00FB70C1" w:rsidRPr="009041D4" w:rsidRDefault="00FB70C1" w:rsidP="00FB70C1">
      <w:pPr>
        <w:pStyle w:val="Prrafodelista"/>
        <w:spacing w:line="276" w:lineRule="auto"/>
        <w:ind w:right="51"/>
        <w:rPr>
          <w:rFonts w:cs="Arial"/>
          <w:b/>
          <w:sz w:val="24"/>
        </w:rPr>
      </w:pPr>
    </w:p>
    <w:p w14:paraId="5B64AA39" w14:textId="035CCC58" w:rsidR="00FB70C1" w:rsidRPr="009041D4" w:rsidRDefault="00FB70C1" w:rsidP="00FB70C1">
      <w:pPr>
        <w:spacing w:after="0"/>
        <w:ind w:right="51"/>
        <w:jc w:val="both"/>
        <w:rPr>
          <w:rFonts w:ascii="Arial" w:hAnsi="Arial" w:cs="Arial"/>
        </w:rPr>
      </w:pPr>
      <w:r w:rsidRPr="009041D4">
        <w:rPr>
          <w:rFonts w:ascii="Arial" w:hAnsi="Arial" w:cs="Arial"/>
        </w:rPr>
        <w:t>Se utilizará el formato de numeración conforme al estándar E.164</w:t>
      </w:r>
      <w:r w:rsidR="00905F34">
        <w:rPr>
          <w:rStyle w:val="Refdenotaalpie"/>
          <w:rFonts w:ascii="Arial" w:hAnsi="Arial" w:cs="Arial"/>
        </w:rPr>
        <w:footnoteReference w:id="23"/>
      </w:r>
      <w:r w:rsidRPr="009041D4">
        <w:rPr>
          <w:rFonts w:ascii="Arial" w:hAnsi="Arial" w:cs="Arial"/>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3FE3257F" w14:textId="77777777" w:rsidR="00FB70C1" w:rsidRPr="009041D4" w:rsidRDefault="00FB70C1" w:rsidP="00FB70C1">
      <w:pPr>
        <w:spacing w:after="0"/>
        <w:ind w:right="51"/>
        <w:rPr>
          <w:rFonts w:ascii="Arial" w:hAnsi="Arial" w:cs="Arial"/>
        </w:rPr>
      </w:pPr>
    </w:p>
    <w:p w14:paraId="08225C58" w14:textId="77777777" w:rsidR="00FB70C1" w:rsidRPr="009041D4" w:rsidRDefault="00FB70C1" w:rsidP="00FB70C1">
      <w:pPr>
        <w:spacing w:after="0"/>
        <w:ind w:right="51"/>
        <w:rPr>
          <w:rFonts w:ascii="Arial" w:hAnsi="Arial" w:cs="Arial"/>
        </w:rPr>
      </w:pPr>
      <w:r w:rsidRPr="009041D4">
        <w:rPr>
          <w:rFonts w:ascii="Arial" w:hAnsi="Arial" w:cs="Arial"/>
        </w:rPr>
        <w:t>En donde:</w:t>
      </w:r>
    </w:p>
    <w:p w14:paraId="293D6254" w14:textId="77777777" w:rsidR="00FB70C1" w:rsidRPr="009041D4" w:rsidRDefault="00FB70C1" w:rsidP="00FB70C1">
      <w:pPr>
        <w:spacing w:after="0"/>
        <w:ind w:right="49" w:firstLine="708"/>
        <w:jc w:val="both"/>
        <w:rPr>
          <w:rFonts w:ascii="Arial" w:hAnsi="Arial" w:cs="Arial"/>
        </w:rPr>
      </w:pPr>
      <w:r w:rsidRPr="009041D4">
        <w:rPr>
          <w:rFonts w:ascii="Arial" w:hAnsi="Arial" w:cs="Arial"/>
        </w:rPr>
        <w:t>NN (Número Nacional) = es el número de directorio a 10 dígitos</w:t>
      </w:r>
    </w:p>
    <w:p w14:paraId="32F1F97F" w14:textId="77777777" w:rsidR="00FB70C1" w:rsidRPr="009041D4" w:rsidRDefault="00FB70C1" w:rsidP="00FB70C1">
      <w:pPr>
        <w:spacing w:after="0"/>
        <w:ind w:right="49"/>
        <w:jc w:val="both"/>
        <w:rPr>
          <w:rFonts w:ascii="Arial" w:hAnsi="Arial" w:cs="Arial"/>
        </w:rPr>
      </w:pPr>
    </w:p>
    <w:p w14:paraId="07FD53D5" w14:textId="77777777" w:rsidR="00FB70C1" w:rsidRPr="009041D4" w:rsidRDefault="00FB70C1" w:rsidP="00FB70C1">
      <w:pPr>
        <w:spacing w:after="0"/>
        <w:ind w:right="51"/>
        <w:jc w:val="both"/>
        <w:rPr>
          <w:rFonts w:ascii="Arial" w:hAnsi="Arial" w:cs="Arial"/>
        </w:rPr>
      </w:pPr>
      <w:r w:rsidRPr="009041D4">
        <w:rPr>
          <w:rFonts w:ascii="Arial" w:hAnsi="Arial" w:cs="Arial"/>
        </w:rPr>
        <w:lastRenderedPageBreak/>
        <w:t>El formato de numeración que se utilizará para el caso de códigos especiales, será el establecido en el Plan Técnico Fundamental de Numeración, así como aquellas disposiciones que lo modifiquen o lo sustituyan.</w:t>
      </w:r>
    </w:p>
    <w:p w14:paraId="1C85CBED" w14:textId="77777777" w:rsidR="00FB70C1" w:rsidRPr="009041D4" w:rsidRDefault="00FB70C1" w:rsidP="00FB70C1">
      <w:pPr>
        <w:tabs>
          <w:tab w:val="left" w:pos="1002"/>
        </w:tabs>
        <w:spacing w:after="0"/>
        <w:ind w:right="49"/>
        <w:jc w:val="both"/>
        <w:rPr>
          <w:rFonts w:ascii="Arial" w:hAnsi="Arial" w:cs="Arial"/>
        </w:rPr>
      </w:pPr>
      <w:r w:rsidRPr="009041D4">
        <w:rPr>
          <w:rFonts w:ascii="Arial" w:hAnsi="Arial" w:cs="Arial"/>
        </w:rPr>
        <w:tab/>
      </w:r>
    </w:p>
    <w:p w14:paraId="53ED09C1"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URI</w:t>
      </w:r>
    </w:p>
    <w:p w14:paraId="479C15F7" w14:textId="77777777" w:rsidR="00FB70C1" w:rsidRPr="009041D4" w:rsidRDefault="00FB70C1" w:rsidP="00FB70C1">
      <w:pPr>
        <w:spacing w:after="0"/>
        <w:ind w:right="49"/>
        <w:rPr>
          <w:rFonts w:ascii="Arial" w:hAnsi="Arial" w:cs="Arial"/>
        </w:rPr>
      </w:pPr>
    </w:p>
    <w:p w14:paraId="4A03914D" w14:textId="362377B1" w:rsidR="00FB70C1" w:rsidRPr="009041D4" w:rsidRDefault="00FB70C1" w:rsidP="00FB70C1">
      <w:pPr>
        <w:spacing w:after="0"/>
        <w:ind w:right="49"/>
        <w:jc w:val="both"/>
        <w:rPr>
          <w:rFonts w:ascii="Arial" w:hAnsi="Arial" w:cs="Arial"/>
        </w:rPr>
      </w:pPr>
      <w:r w:rsidRPr="009041D4">
        <w:rPr>
          <w:rFonts w:ascii="Arial" w:hAnsi="Arial" w:cs="Arial"/>
        </w:rPr>
        <w:t>Para la interconexión de voz IP, el formato de URI habrá de adaptarse al formato TEL URI de acuerdo a lo establecido dentro de la Recomendación IETF RFC 3966</w:t>
      </w:r>
      <w:r w:rsidR="00905F34">
        <w:rPr>
          <w:rStyle w:val="Refdenotaalpie"/>
          <w:rFonts w:ascii="Arial" w:hAnsi="Arial" w:cs="Arial"/>
        </w:rPr>
        <w:footnoteReference w:id="24"/>
      </w:r>
      <w:r w:rsidRPr="009041D4">
        <w:rPr>
          <w:rFonts w:ascii="Arial" w:hAnsi="Arial" w:cs="Arial"/>
        </w:rPr>
        <w:t xml:space="preserve"> y se conformará de la siguiente forma:</w:t>
      </w:r>
    </w:p>
    <w:p w14:paraId="05EA1862" w14:textId="77777777" w:rsidR="00FB70C1" w:rsidRPr="009041D4" w:rsidRDefault="00FB70C1" w:rsidP="00FB70C1">
      <w:pPr>
        <w:spacing w:after="0"/>
        <w:ind w:right="49"/>
        <w:jc w:val="both"/>
        <w:rPr>
          <w:rFonts w:ascii="Arial" w:hAnsi="Arial" w:cs="Arial"/>
        </w:rPr>
      </w:pPr>
    </w:p>
    <w:p w14:paraId="00B6202D" w14:textId="5C264A7C" w:rsidR="00FB70C1" w:rsidRPr="009041D4" w:rsidRDefault="00FB70C1" w:rsidP="00D4037E">
      <w:pPr>
        <w:spacing w:after="0"/>
        <w:ind w:left="708" w:right="49"/>
        <w:jc w:val="both"/>
        <w:rPr>
          <w:rFonts w:ascii="Arial" w:hAnsi="Arial" w:cs="Arial"/>
          <w:b/>
        </w:rPr>
      </w:pPr>
      <w:r w:rsidRPr="009041D4">
        <w:rPr>
          <w:rFonts w:ascii="Arial" w:hAnsi="Arial" w:cs="Arial"/>
          <w:b/>
        </w:rPr>
        <w:t>&lt;sip:Número @ hostportion&gt;; user=phone</w:t>
      </w:r>
    </w:p>
    <w:p w14:paraId="65FD1724" w14:textId="77777777" w:rsidR="00FB70C1" w:rsidRPr="009041D4" w:rsidRDefault="00FB70C1" w:rsidP="00FB70C1">
      <w:pPr>
        <w:spacing w:after="0"/>
        <w:ind w:left="708" w:right="49"/>
        <w:jc w:val="both"/>
        <w:rPr>
          <w:rFonts w:ascii="Arial" w:hAnsi="Arial" w:cs="Arial"/>
          <w:b/>
        </w:rPr>
      </w:pPr>
    </w:p>
    <w:p w14:paraId="396DB425" w14:textId="77777777" w:rsidR="00FB70C1" w:rsidRPr="009041D4" w:rsidRDefault="00FB70C1" w:rsidP="00FB70C1">
      <w:pPr>
        <w:spacing w:after="0"/>
        <w:ind w:right="49"/>
        <w:jc w:val="both"/>
        <w:rPr>
          <w:rFonts w:ascii="Arial" w:hAnsi="Arial" w:cs="Arial"/>
        </w:rPr>
      </w:pPr>
      <w:r w:rsidRPr="009041D4">
        <w:rPr>
          <w:rFonts w:ascii="Arial" w:hAnsi="Arial" w:cs="Arial"/>
        </w:rPr>
        <w:t>En donde:</w:t>
      </w:r>
    </w:p>
    <w:p w14:paraId="40A4BC3E" w14:textId="77777777" w:rsidR="00FB70C1" w:rsidRPr="009041D4" w:rsidRDefault="00FB70C1" w:rsidP="00FB70C1">
      <w:pPr>
        <w:spacing w:after="0"/>
        <w:ind w:right="49"/>
        <w:jc w:val="both"/>
        <w:rPr>
          <w:rFonts w:ascii="Arial" w:hAnsi="Arial" w:cs="Arial"/>
        </w:rPr>
      </w:pPr>
    </w:p>
    <w:p w14:paraId="0AD67756" w14:textId="77777777" w:rsidR="00FB70C1" w:rsidRPr="009041D4" w:rsidRDefault="00FB70C1" w:rsidP="00FB70C1">
      <w:pPr>
        <w:spacing w:after="0"/>
        <w:ind w:right="49"/>
        <w:jc w:val="both"/>
        <w:rPr>
          <w:rFonts w:ascii="Arial" w:hAnsi="Arial" w:cs="Arial"/>
        </w:rPr>
      </w:pPr>
      <w:r w:rsidRPr="009041D4">
        <w:rPr>
          <w:rFonts w:ascii="Arial" w:hAnsi="Arial" w:cs="Arial"/>
        </w:rPr>
        <w:t>Número representa la tel URI compuesta por el número de directorio E.164, en formato nacional</w:t>
      </w:r>
    </w:p>
    <w:p w14:paraId="60ACC56E" w14:textId="77777777" w:rsidR="00FB70C1" w:rsidRPr="009041D4" w:rsidRDefault="00FB70C1" w:rsidP="00FB70C1">
      <w:pPr>
        <w:spacing w:after="0"/>
        <w:ind w:right="49"/>
        <w:jc w:val="both"/>
        <w:rPr>
          <w:rFonts w:ascii="Arial" w:hAnsi="Arial" w:cs="Arial"/>
        </w:rPr>
      </w:pPr>
    </w:p>
    <w:p w14:paraId="5F1EE6B9" w14:textId="77777777" w:rsidR="00FB70C1" w:rsidRPr="009041D4" w:rsidRDefault="00FB70C1" w:rsidP="00FB70C1">
      <w:pPr>
        <w:spacing w:after="0"/>
        <w:ind w:right="49"/>
        <w:jc w:val="both"/>
        <w:rPr>
          <w:rFonts w:ascii="Arial" w:hAnsi="Arial" w:cs="Arial"/>
        </w:rPr>
      </w:pPr>
      <w:r w:rsidRPr="009041D4">
        <w:rPr>
          <w:rFonts w:ascii="Arial" w:hAnsi="Arial" w:cs="Arial"/>
        </w:rPr>
        <w:t>hostportion es el identificador asociado al dominio o dirección IP en el que se encuentra el recurso identificado por la tel URI</w:t>
      </w:r>
    </w:p>
    <w:p w14:paraId="3F863846" w14:textId="77777777" w:rsidR="00FB70C1" w:rsidRPr="009041D4" w:rsidRDefault="00FB70C1" w:rsidP="00FB70C1">
      <w:pPr>
        <w:spacing w:after="0"/>
        <w:ind w:right="49"/>
        <w:jc w:val="both"/>
        <w:rPr>
          <w:rFonts w:ascii="Arial" w:hAnsi="Arial" w:cs="Arial"/>
        </w:rPr>
      </w:pPr>
    </w:p>
    <w:p w14:paraId="1B29B2F1" w14:textId="77777777" w:rsidR="00FB70C1" w:rsidRPr="009041D4" w:rsidRDefault="00FB70C1" w:rsidP="00FB70C1">
      <w:pPr>
        <w:spacing w:after="0"/>
        <w:ind w:right="49"/>
        <w:jc w:val="both"/>
        <w:rPr>
          <w:rFonts w:ascii="Arial" w:hAnsi="Arial" w:cs="Arial"/>
        </w:rPr>
      </w:pPr>
      <w:r w:rsidRPr="009041D4">
        <w:rPr>
          <w:rFonts w:ascii="Arial" w:hAnsi="Arial" w:cs="Arial"/>
        </w:rPr>
        <w:t>user= phone es el parámetro de la URI que indica el tipo de recurso que se está identificando (en este caso un teléfono)</w:t>
      </w:r>
    </w:p>
    <w:p w14:paraId="29C29567" w14:textId="77777777" w:rsidR="00FB70C1" w:rsidRPr="009041D4" w:rsidRDefault="00FB70C1" w:rsidP="00FB70C1">
      <w:pPr>
        <w:pStyle w:val="Ejemplo"/>
        <w:spacing w:before="0" w:after="0"/>
        <w:ind w:right="49"/>
        <w:jc w:val="both"/>
        <w:rPr>
          <w:rFonts w:ascii="Arial" w:hAnsi="Arial"/>
          <w:bCs/>
        </w:rPr>
      </w:pPr>
    </w:p>
    <w:p w14:paraId="28EA5FB2" w14:textId="77777777" w:rsidR="00FB70C1" w:rsidRPr="009041D4" w:rsidRDefault="00FB70C1" w:rsidP="00FB70C1">
      <w:pPr>
        <w:pStyle w:val="Ejemplo"/>
        <w:spacing w:before="0" w:after="0"/>
        <w:ind w:right="49"/>
        <w:jc w:val="both"/>
        <w:rPr>
          <w:rFonts w:ascii="Arial" w:hAnsi="Arial"/>
          <w:bCs/>
        </w:rPr>
      </w:pPr>
      <w:r w:rsidRPr="009041D4">
        <w:rPr>
          <w:rFonts w:ascii="Arial" w:hAnsi="Arial"/>
          <w:bCs/>
        </w:rPr>
        <w:t>Ejemplo:</w:t>
      </w:r>
      <w:r w:rsidRPr="009041D4">
        <w:rPr>
          <w:rFonts w:ascii="Arial" w:hAnsi="Arial"/>
        </w:rPr>
        <w:t xml:space="preserve"> &lt;</w:t>
      </w:r>
      <w:r w:rsidRPr="009041D4">
        <w:rPr>
          <w:rFonts w:ascii="Arial" w:hAnsi="Arial"/>
          <w:bCs/>
        </w:rPr>
        <w:t xml:space="preserve">sip: </w:t>
      </w:r>
      <w:hyperlink r:id="rId14" w:history="1">
        <w:r w:rsidRPr="009041D4">
          <w:rPr>
            <w:rStyle w:val="Hipervnculo"/>
            <w:rFonts w:ascii="Arial" w:hAnsi="Arial"/>
          </w:rPr>
          <w:t>5550154000@operador.mx</w:t>
        </w:r>
      </w:hyperlink>
      <w:r w:rsidRPr="009041D4">
        <w:rPr>
          <w:rFonts w:ascii="Arial" w:hAnsi="Arial"/>
          <w:bCs/>
        </w:rPr>
        <w:t xml:space="preserve"> </w:t>
      </w:r>
      <w:r w:rsidRPr="009041D4">
        <w:rPr>
          <w:rStyle w:val="Hipervnculo"/>
          <w:rFonts w:ascii="Arial" w:hAnsi="Arial"/>
        </w:rPr>
        <w:t>o dirección IP&gt;;</w:t>
      </w:r>
      <w:r w:rsidRPr="009041D4">
        <w:rPr>
          <w:rFonts w:ascii="Arial" w:hAnsi="Arial"/>
          <w:bCs/>
        </w:rPr>
        <w:t>user=phone</w:t>
      </w:r>
    </w:p>
    <w:p w14:paraId="4265E9E2" w14:textId="77777777" w:rsidR="00FB70C1" w:rsidRPr="009041D4" w:rsidRDefault="00FB70C1" w:rsidP="00FB70C1">
      <w:pPr>
        <w:pStyle w:val="Ejemplo"/>
        <w:spacing w:before="0" w:after="0"/>
        <w:ind w:right="49"/>
        <w:jc w:val="both"/>
        <w:rPr>
          <w:rFonts w:ascii="Arial" w:hAnsi="Arial"/>
          <w:bCs/>
        </w:rPr>
      </w:pPr>
    </w:p>
    <w:p w14:paraId="5ACA621C"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Identificación del número llamante</w:t>
      </w:r>
    </w:p>
    <w:p w14:paraId="2122B24D" w14:textId="77777777" w:rsidR="00FB70C1" w:rsidRPr="009041D4" w:rsidRDefault="00FB70C1" w:rsidP="00FB70C1">
      <w:pPr>
        <w:autoSpaceDE w:val="0"/>
        <w:autoSpaceDN w:val="0"/>
        <w:adjustRightInd w:val="0"/>
        <w:spacing w:after="0"/>
        <w:ind w:right="49"/>
        <w:rPr>
          <w:rFonts w:ascii="Arial" w:hAnsi="Arial" w:cs="Arial"/>
        </w:rPr>
      </w:pPr>
    </w:p>
    <w:p w14:paraId="4B1EFD8D" w14:textId="77777777" w:rsidR="00FB70C1" w:rsidRPr="009041D4" w:rsidRDefault="00FB70C1" w:rsidP="00FB70C1">
      <w:pPr>
        <w:autoSpaceDE w:val="0"/>
        <w:autoSpaceDN w:val="0"/>
        <w:adjustRightInd w:val="0"/>
        <w:spacing w:after="0"/>
        <w:ind w:right="49"/>
        <w:jc w:val="both"/>
        <w:rPr>
          <w:rFonts w:ascii="Arial" w:hAnsi="Arial" w:cs="Arial"/>
        </w:rPr>
      </w:pPr>
      <w:r w:rsidRPr="009041D4">
        <w:rPr>
          <w:rFonts w:ascii="Arial" w:hAnsi="Arial" w:cs="Arial"/>
        </w:rPr>
        <w:t>El número llamante (número A) consistente en la SIP URI del originador de la petición, se enviará en los campos de encabezado From y P-Asserted-Identity del método INVITE con formato de NN.</w:t>
      </w:r>
    </w:p>
    <w:p w14:paraId="7EF1F24B" w14:textId="77777777" w:rsidR="00FB70C1" w:rsidRPr="009041D4" w:rsidRDefault="00FB70C1" w:rsidP="00FB70C1">
      <w:pPr>
        <w:autoSpaceDE w:val="0"/>
        <w:autoSpaceDN w:val="0"/>
        <w:adjustRightInd w:val="0"/>
        <w:spacing w:after="0"/>
        <w:ind w:right="49"/>
        <w:jc w:val="both"/>
        <w:rPr>
          <w:rFonts w:ascii="Arial" w:hAnsi="Arial" w:cs="Arial"/>
          <w:b/>
        </w:rPr>
      </w:pPr>
    </w:p>
    <w:p w14:paraId="22E932EA" w14:textId="77777777" w:rsidR="00FB70C1" w:rsidRPr="009041D4" w:rsidRDefault="00FB70C1" w:rsidP="00FB70C1">
      <w:pPr>
        <w:autoSpaceDE w:val="0"/>
        <w:autoSpaceDN w:val="0"/>
        <w:adjustRightInd w:val="0"/>
        <w:spacing w:after="0"/>
        <w:ind w:right="49"/>
        <w:jc w:val="both"/>
        <w:rPr>
          <w:rFonts w:ascii="Arial" w:hAnsi="Arial" w:cs="Arial"/>
        </w:rPr>
      </w:pPr>
      <w:r w:rsidRPr="009041D4">
        <w:rPr>
          <w:rFonts w:ascii="Arial" w:hAnsi="Arial" w:cs="Arial"/>
        </w:rPr>
        <w:t xml:space="preserve">Ejemplo: From:&lt;sip: </w:t>
      </w:r>
      <w:hyperlink r:id="rId15" w:history="1">
        <w:r w:rsidRPr="009041D4">
          <w:rPr>
            <w:rStyle w:val="Hipervnculo"/>
            <w:rFonts w:ascii="Arial" w:hAnsi="Arial" w:cs="Arial"/>
          </w:rPr>
          <w:t>5550154000@operador.mx o dirección IP&gt;;user=phone</w:t>
        </w:r>
      </w:hyperlink>
    </w:p>
    <w:p w14:paraId="675304A9" w14:textId="77777777" w:rsidR="00FB70C1" w:rsidRPr="009041D4" w:rsidRDefault="00FB70C1" w:rsidP="00FB70C1">
      <w:pPr>
        <w:autoSpaceDE w:val="0"/>
        <w:autoSpaceDN w:val="0"/>
        <w:adjustRightInd w:val="0"/>
        <w:spacing w:after="0"/>
        <w:ind w:right="49" w:firstLine="708"/>
        <w:jc w:val="both"/>
        <w:rPr>
          <w:rFonts w:ascii="Arial" w:hAnsi="Arial" w:cs="Arial"/>
        </w:rPr>
      </w:pPr>
    </w:p>
    <w:p w14:paraId="76E6B66F"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Si se recibe una petición INVITE con From igual a </w:t>
      </w:r>
      <w:hyperlink r:id="rId16" w:history="1">
        <w:r w:rsidRPr="009041D4">
          <w:rPr>
            <w:rStyle w:val="Hipervnculo"/>
            <w:rFonts w:ascii="Arial" w:hAnsi="Arial" w:cs="Arial"/>
          </w:rPr>
          <w:t>unknown@unknown.invalid</w:t>
        </w:r>
      </w:hyperlink>
      <w:r w:rsidRPr="009041D4">
        <w:rPr>
          <w:rFonts w:ascii="Arial" w:hAnsi="Arial" w:cs="Arial"/>
        </w:rPr>
        <w:t xml:space="preserve"> o </w:t>
      </w:r>
      <w:hyperlink r:id="rId17" w:history="1">
        <w:r w:rsidRPr="009041D4">
          <w:rPr>
            <w:rStyle w:val="Hipervnculo"/>
            <w:rFonts w:ascii="Arial" w:hAnsi="Arial" w:cs="Arial"/>
          </w:rPr>
          <w:t>unavailable@unavailable.invalid</w:t>
        </w:r>
      </w:hyperlink>
      <w:r w:rsidRPr="009041D4">
        <w:rPr>
          <w:rFonts w:ascii="Arial" w:hAnsi="Arial"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0BF1C7DF" w14:textId="77777777" w:rsidR="00FB70C1" w:rsidRPr="009041D4" w:rsidRDefault="00FB70C1" w:rsidP="00FB70C1">
      <w:pPr>
        <w:spacing w:after="0"/>
        <w:ind w:right="49"/>
        <w:jc w:val="both"/>
        <w:rPr>
          <w:rFonts w:ascii="Arial" w:hAnsi="Arial" w:cs="Arial"/>
        </w:rPr>
      </w:pPr>
    </w:p>
    <w:p w14:paraId="6D678C58" w14:textId="4DEE2911" w:rsidR="000E5F78" w:rsidRPr="009041D4" w:rsidRDefault="00FB70C1" w:rsidP="00FB70C1">
      <w:pPr>
        <w:spacing w:after="0"/>
        <w:ind w:right="49"/>
        <w:jc w:val="both"/>
        <w:rPr>
          <w:rFonts w:ascii="Arial" w:hAnsi="Arial" w:cs="Arial"/>
        </w:rPr>
      </w:pPr>
      <w:r w:rsidRPr="009041D4">
        <w:rPr>
          <w:rFonts w:ascii="Arial" w:hAnsi="Arial" w:cs="Arial"/>
        </w:rPr>
        <w:t>En todos los casos deberá enviarse en el encabezado From la categoría de usuario y el encabezado de campo privacidad, cuando se requiera.</w:t>
      </w:r>
      <w:r w:rsidR="000E5F78" w:rsidRPr="009041D4">
        <w:rPr>
          <w:rFonts w:ascii="Arial" w:hAnsi="Arial" w:cs="Arial"/>
        </w:rPr>
        <w:t xml:space="preserve"> En ningún caso el </w:t>
      </w:r>
      <w:r w:rsidR="00A77E7B" w:rsidRPr="009041D4">
        <w:rPr>
          <w:rFonts w:ascii="Arial" w:hAnsi="Arial" w:cs="Arial"/>
        </w:rPr>
        <w:t xml:space="preserve">encabezado de </w:t>
      </w:r>
      <w:r w:rsidR="000E5F78" w:rsidRPr="009041D4">
        <w:rPr>
          <w:rFonts w:ascii="Arial" w:hAnsi="Arial" w:cs="Arial"/>
        </w:rPr>
        <w:t>campo privacidad podrá ser utilizado para ocultar el envío del número de A.</w:t>
      </w:r>
    </w:p>
    <w:p w14:paraId="3078CB07" w14:textId="77777777" w:rsidR="00FB70C1" w:rsidRPr="009041D4" w:rsidRDefault="00FB70C1" w:rsidP="00FB70C1">
      <w:pPr>
        <w:spacing w:after="0"/>
        <w:ind w:right="49"/>
        <w:jc w:val="both"/>
        <w:rPr>
          <w:rFonts w:ascii="Arial" w:hAnsi="Arial" w:cs="Arial"/>
        </w:rPr>
      </w:pPr>
    </w:p>
    <w:p w14:paraId="25119400" w14:textId="77777777" w:rsidR="00FB70C1" w:rsidRPr="009041D4" w:rsidRDefault="00FB70C1" w:rsidP="00FB70C1">
      <w:pPr>
        <w:spacing w:after="0"/>
        <w:ind w:right="49"/>
        <w:jc w:val="both"/>
        <w:rPr>
          <w:rFonts w:ascii="Arial" w:hAnsi="Arial" w:cs="Arial"/>
        </w:rPr>
      </w:pPr>
      <w:r w:rsidRPr="009041D4">
        <w:rPr>
          <w:rFonts w:ascii="Arial" w:hAnsi="Arial" w:cs="Arial"/>
        </w:rPr>
        <w:lastRenderedPageBreak/>
        <w:t>Para todos los escenarios de tráfico nacional el envío de número de A se apegará a lo establecido en el Plan Técnico Fundamental de Señalización así como aquellas disposiciones que lo modifiquen o substituyan.</w:t>
      </w:r>
    </w:p>
    <w:p w14:paraId="2E679047" w14:textId="77777777" w:rsidR="00FB70C1" w:rsidRPr="009041D4" w:rsidRDefault="00FB70C1" w:rsidP="00FB70C1">
      <w:pPr>
        <w:spacing w:after="0"/>
        <w:ind w:right="49"/>
        <w:rPr>
          <w:rFonts w:ascii="Arial" w:hAnsi="Arial" w:cs="Arial"/>
        </w:rPr>
      </w:pPr>
    </w:p>
    <w:p w14:paraId="5616CA2F" w14:textId="77777777" w:rsidR="00FB70C1" w:rsidRPr="009041D4" w:rsidRDefault="00FB70C1" w:rsidP="00FB70C1">
      <w:pPr>
        <w:pStyle w:val="Prrafodelista"/>
        <w:numPr>
          <w:ilvl w:val="2"/>
          <w:numId w:val="9"/>
        </w:numPr>
        <w:spacing w:line="276" w:lineRule="auto"/>
        <w:ind w:left="709" w:right="49" w:hanging="709"/>
        <w:contextualSpacing/>
        <w:rPr>
          <w:rFonts w:cs="Arial"/>
          <w:b/>
        </w:rPr>
      </w:pPr>
      <w:r w:rsidRPr="009041D4">
        <w:rPr>
          <w:rFonts w:cs="Arial"/>
          <w:b/>
        </w:rPr>
        <w:t>Códigos de Identificación de Operadores</w:t>
      </w:r>
    </w:p>
    <w:p w14:paraId="43575779" w14:textId="77777777" w:rsidR="00FB70C1" w:rsidRPr="009041D4" w:rsidRDefault="00FB70C1" w:rsidP="00FB70C1">
      <w:pPr>
        <w:spacing w:after="0"/>
        <w:ind w:right="49"/>
        <w:rPr>
          <w:rFonts w:ascii="Arial" w:hAnsi="Arial" w:cs="Arial"/>
        </w:rPr>
      </w:pPr>
    </w:p>
    <w:p w14:paraId="08C3941A" w14:textId="6A86B726" w:rsidR="00FB70C1" w:rsidRPr="009041D4" w:rsidRDefault="00FB70C1" w:rsidP="00FB70C1">
      <w:pPr>
        <w:spacing w:after="0"/>
        <w:ind w:right="49"/>
        <w:jc w:val="both"/>
        <w:rPr>
          <w:rFonts w:ascii="Arial" w:hAnsi="Arial" w:cs="Arial"/>
        </w:rPr>
      </w:pPr>
      <w:r w:rsidRPr="009041D4">
        <w:rPr>
          <w:rFonts w:ascii="Arial" w:hAnsi="Arial" w:cs="Arial"/>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00905F34">
        <w:rPr>
          <w:rStyle w:val="Refdenotaalpie"/>
          <w:rFonts w:ascii="Arial" w:hAnsi="Arial" w:cs="Arial"/>
        </w:rPr>
        <w:footnoteReference w:id="25"/>
      </w:r>
      <w:r w:rsidRPr="009041D4">
        <w:rPr>
          <w:rFonts w:ascii="Arial" w:hAnsi="Arial" w:cs="Arial"/>
        </w:rPr>
        <w:t xml:space="preserve"> así como al Plan Técnico Fundamental de Numeración, al Plan Técnico Fundamental de Señalización así como aquellas disposiciones que los modifiquen o sustituyan.</w:t>
      </w:r>
    </w:p>
    <w:p w14:paraId="52156670" w14:textId="77777777" w:rsidR="00FB70C1" w:rsidRPr="009041D4" w:rsidRDefault="00FB70C1" w:rsidP="00FB70C1">
      <w:pPr>
        <w:spacing w:after="0"/>
        <w:ind w:right="49"/>
        <w:jc w:val="both"/>
        <w:rPr>
          <w:rFonts w:ascii="Arial" w:hAnsi="Arial" w:cs="Arial"/>
        </w:rPr>
      </w:pPr>
    </w:p>
    <w:p w14:paraId="1A07AAFC" w14:textId="77777777" w:rsidR="00FB70C1" w:rsidRPr="009041D4" w:rsidRDefault="00FB70C1" w:rsidP="00FB70C1">
      <w:pPr>
        <w:spacing w:after="0"/>
        <w:ind w:right="49"/>
        <w:jc w:val="both"/>
        <w:rPr>
          <w:rFonts w:ascii="Arial" w:hAnsi="Arial" w:cs="Arial"/>
        </w:rPr>
      </w:pPr>
      <w:r w:rsidRPr="009041D4">
        <w:rPr>
          <w:rFonts w:ascii="Arial" w:hAnsi="Arial" w:cs="Arial"/>
        </w:rPr>
        <w:t>El número de B así como los códigos de identificación de operadores se enviarán en los campos de encabezado Request URI del método INVITE.</w:t>
      </w:r>
    </w:p>
    <w:p w14:paraId="33374649" w14:textId="77777777" w:rsidR="00FB70C1" w:rsidRPr="009041D4" w:rsidRDefault="00FB70C1" w:rsidP="00FB70C1">
      <w:pPr>
        <w:spacing w:after="0"/>
        <w:ind w:right="49"/>
        <w:rPr>
          <w:rFonts w:ascii="Arial" w:hAnsi="Arial" w:cs="Arial"/>
        </w:rPr>
      </w:pPr>
    </w:p>
    <w:p w14:paraId="6A9035F5" w14:textId="77777777" w:rsidR="00FB70C1" w:rsidRPr="009041D4" w:rsidRDefault="00FB70C1" w:rsidP="00FB70C1">
      <w:pPr>
        <w:spacing w:after="0"/>
        <w:ind w:right="49"/>
        <w:rPr>
          <w:rFonts w:ascii="Arial" w:hAnsi="Arial" w:cs="Arial"/>
        </w:rPr>
      </w:pPr>
      <w:r w:rsidRPr="009041D4">
        <w:rPr>
          <w:rFonts w:ascii="Arial" w:hAnsi="Arial" w:cs="Arial"/>
        </w:rPr>
        <w:t xml:space="preserve">Ejemplo: &lt;sip: IDD + IDO </w:t>
      </w:r>
      <w:hyperlink r:id="rId18" w:history="1">
        <w:r w:rsidRPr="009041D4">
          <w:rPr>
            <w:rStyle w:val="Hipervnculo"/>
            <w:rFonts w:ascii="Arial" w:hAnsi="Arial" w:cs="Arial"/>
          </w:rPr>
          <w:t>+NN@operador.mx</w:t>
        </w:r>
      </w:hyperlink>
      <w:r w:rsidRPr="009041D4">
        <w:rPr>
          <w:rFonts w:ascii="Arial" w:hAnsi="Arial" w:cs="Arial"/>
        </w:rPr>
        <w:t xml:space="preserve"> o dirección IP&gt;;user=phone</w:t>
      </w:r>
    </w:p>
    <w:p w14:paraId="3972F73C" w14:textId="77777777" w:rsidR="00FB70C1" w:rsidRPr="009041D4" w:rsidRDefault="00FB70C1" w:rsidP="00FB70C1">
      <w:pPr>
        <w:spacing w:after="0"/>
        <w:ind w:right="49" w:firstLine="708"/>
        <w:rPr>
          <w:rFonts w:ascii="Arial" w:hAnsi="Arial" w:cs="Arial"/>
        </w:rPr>
      </w:pPr>
      <w:r w:rsidRPr="009041D4">
        <w:rPr>
          <w:rFonts w:ascii="Arial" w:hAnsi="Arial" w:cs="Arial"/>
        </w:rPr>
        <w:t xml:space="preserve">     </w:t>
      </w:r>
    </w:p>
    <w:p w14:paraId="0A837C9C"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sz w:val="24"/>
        </w:rPr>
        <w:t>Versión IP</w:t>
      </w:r>
    </w:p>
    <w:p w14:paraId="71502EE8" w14:textId="77777777" w:rsidR="00FB70C1" w:rsidRPr="009041D4" w:rsidRDefault="00FB70C1" w:rsidP="00FB70C1">
      <w:pPr>
        <w:spacing w:after="0"/>
        <w:ind w:right="49"/>
        <w:rPr>
          <w:rFonts w:ascii="Arial" w:hAnsi="Arial" w:cs="Arial"/>
        </w:rPr>
      </w:pPr>
    </w:p>
    <w:p w14:paraId="2C246A00"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Se deberá utilizar el esquema de direccionamiento IPv6, se podrá utilizar direccionamiento IPv4 de común acuerdo entre las partes. </w:t>
      </w:r>
    </w:p>
    <w:p w14:paraId="0C035540" w14:textId="77777777" w:rsidR="00FB70C1" w:rsidRPr="009041D4" w:rsidRDefault="00FB70C1" w:rsidP="00FB70C1">
      <w:pPr>
        <w:spacing w:after="0"/>
        <w:ind w:right="49"/>
        <w:jc w:val="both"/>
        <w:rPr>
          <w:rFonts w:ascii="Arial" w:hAnsi="Arial" w:cs="Arial"/>
        </w:rPr>
      </w:pPr>
    </w:p>
    <w:p w14:paraId="76EA2428"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rPr>
        <w:t>Flujos de Señalización</w:t>
      </w:r>
    </w:p>
    <w:p w14:paraId="0F79FD4F" w14:textId="77777777" w:rsidR="00FB70C1" w:rsidRPr="009041D4" w:rsidRDefault="00FB70C1" w:rsidP="00FB70C1">
      <w:pPr>
        <w:spacing w:after="0"/>
        <w:ind w:right="49"/>
        <w:rPr>
          <w:rFonts w:ascii="Arial" w:hAnsi="Arial" w:cs="Arial"/>
          <w:b/>
        </w:rPr>
      </w:pPr>
      <w:r w:rsidRPr="009041D4">
        <w:rPr>
          <w:rFonts w:ascii="Arial" w:hAnsi="Arial" w:cs="Arial"/>
          <w:b/>
          <w:noProof/>
          <w:lang w:eastAsia="es-MX"/>
        </w:rPr>
        <w:lastRenderedPageBreak/>
        <w:drawing>
          <wp:inline distT="0" distB="0" distL="0" distR="0" wp14:anchorId="681C178D" wp14:editId="18C05DB5">
            <wp:extent cx="5940425" cy="5026513"/>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55F76D08"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1. Establecimiento de una llamada básica.</w:t>
      </w:r>
    </w:p>
    <w:p w14:paraId="101EA1A1" w14:textId="77777777" w:rsidR="00FB70C1" w:rsidRPr="009041D4" w:rsidRDefault="00FB70C1" w:rsidP="00FB70C1">
      <w:pPr>
        <w:spacing w:after="0"/>
        <w:ind w:right="49"/>
        <w:jc w:val="center"/>
        <w:rPr>
          <w:rFonts w:ascii="Arial" w:hAnsi="Arial" w:cs="Arial"/>
          <w:sz w:val="18"/>
          <w:szCs w:val="18"/>
        </w:rPr>
      </w:pPr>
    </w:p>
    <w:p w14:paraId="022B492D" w14:textId="77777777" w:rsidR="00FB70C1" w:rsidRPr="009041D4" w:rsidRDefault="00FB70C1" w:rsidP="00FB70C1">
      <w:pPr>
        <w:spacing w:after="0"/>
        <w:ind w:right="49"/>
        <w:jc w:val="center"/>
        <w:rPr>
          <w:rFonts w:ascii="Arial" w:hAnsi="Arial" w:cs="Arial"/>
          <w:sz w:val="18"/>
          <w:szCs w:val="18"/>
        </w:rPr>
      </w:pPr>
    </w:p>
    <w:p w14:paraId="51A2F2DA"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noProof/>
          <w:sz w:val="18"/>
          <w:szCs w:val="18"/>
          <w:lang w:eastAsia="es-MX"/>
        </w:rPr>
        <w:lastRenderedPageBreak/>
        <w:drawing>
          <wp:inline distT="0" distB="0" distL="0" distR="0" wp14:anchorId="26D7A84C" wp14:editId="3A602049">
            <wp:extent cx="5939790" cy="5534025"/>
            <wp:effectExtent l="0" t="0" r="381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734B752E"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2. Establecimiento de una llamada básica con medio temprano.</w:t>
      </w:r>
    </w:p>
    <w:p w14:paraId="30DB4A57" w14:textId="77777777" w:rsidR="00FB70C1" w:rsidRPr="009041D4" w:rsidRDefault="00FB70C1" w:rsidP="00FB70C1">
      <w:pPr>
        <w:spacing w:after="0"/>
        <w:ind w:right="49"/>
        <w:rPr>
          <w:rFonts w:ascii="Arial" w:hAnsi="Arial" w:cs="Arial"/>
        </w:rPr>
      </w:pPr>
    </w:p>
    <w:p w14:paraId="67BFC358" w14:textId="77777777" w:rsidR="00FB70C1" w:rsidRPr="009041D4" w:rsidRDefault="00FB70C1" w:rsidP="00FB70C1">
      <w:pPr>
        <w:spacing w:after="0"/>
        <w:ind w:right="49"/>
        <w:rPr>
          <w:rFonts w:ascii="Arial" w:hAnsi="Arial" w:cs="Arial"/>
          <w:sz w:val="18"/>
          <w:szCs w:val="18"/>
        </w:rPr>
      </w:pPr>
      <w:r w:rsidRPr="009041D4">
        <w:rPr>
          <w:rFonts w:ascii="Arial" w:hAnsi="Arial" w:cs="Arial"/>
          <w:noProof/>
          <w:sz w:val="18"/>
          <w:szCs w:val="18"/>
          <w:lang w:eastAsia="es-MX"/>
        </w:rPr>
        <w:lastRenderedPageBreak/>
        <w:drawing>
          <wp:inline distT="0" distB="0" distL="0" distR="0" wp14:anchorId="14C35E99" wp14:editId="2610D166">
            <wp:extent cx="5939790" cy="5534025"/>
            <wp:effectExtent l="0" t="0" r="381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42B5FBB5"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3. Actualización de sesión.</w:t>
      </w:r>
    </w:p>
    <w:p w14:paraId="5A862871" w14:textId="77777777" w:rsidR="00FB70C1" w:rsidRPr="009041D4" w:rsidRDefault="00FB70C1" w:rsidP="00FB70C1">
      <w:pPr>
        <w:spacing w:after="0"/>
        <w:ind w:right="49"/>
        <w:rPr>
          <w:rFonts w:ascii="Arial" w:hAnsi="Arial" w:cs="Arial"/>
        </w:rPr>
      </w:pPr>
    </w:p>
    <w:p w14:paraId="67CA6126" w14:textId="77777777" w:rsidR="00FB70C1" w:rsidRPr="009041D4" w:rsidRDefault="00FB70C1" w:rsidP="00FB70C1">
      <w:pPr>
        <w:spacing w:after="0"/>
        <w:ind w:right="49"/>
        <w:rPr>
          <w:rFonts w:ascii="Arial" w:hAnsi="Arial" w:cs="Arial"/>
          <w:sz w:val="18"/>
          <w:szCs w:val="18"/>
        </w:rPr>
      </w:pPr>
      <w:r w:rsidRPr="009041D4">
        <w:rPr>
          <w:rFonts w:ascii="Arial" w:hAnsi="Arial" w:cs="Arial"/>
          <w:noProof/>
          <w:sz w:val="18"/>
          <w:szCs w:val="18"/>
          <w:lang w:eastAsia="es-MX"/>
        </w:rPr>
        <w:lastRenderedPageBreak/>
        <w:drawing>
          <wp:inline distT="0" distB="0" distL="0" distR="0" wp14:anchorId="6E3E0A46" wp14:editId="5D1CFF90">
            <wp:extent cx="5939790" cy="539877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59FDD06F"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4. Actualización del medio.</w:t>
      </w:r>
    </w:p>
    <w:p w14:paraId="79322629" w14:textId="77777777" w:rsidR="00FB70C1" w:rsidRPr="009041D4" w:rsidRDefault="00FB70C1" w:rsidP="00FB70C1">
      <w:pPr>
        <w:spacing w:after="0"/>
        <w:ind w:right="49"/>
        <w:rPr>
          <w:rFonts w:ascii="Arial" w:hAnsi="Arial" w:cs="Arial"/>
        </w:rPr>
      </w:pPr>
    </w:p>
    <w:p w14:paraId="13EEEC0E" w14:textId="77777777" w:rsidR="00FB70C1" w:rsidRPr="009041D4" w:rsidRDefault="00FB70C1" w:rsidP="00FB70C1">
      <w:pPr>
        <w:spacing w:after="0"/>
        <w:ind w:right="49"/>
        <w:rPr>
          <w:rFonts w:ascii="Arial" w:hAnsi="Arial" w:cs="Arial"/>
        </w:rPr>
      </w:pPr>
    </w:p>
    <w:p w14:paraId="4FE2A3FC" w14:textId="77777777" w:rsidR="00FB70C1" w:rsidRPr="009041D4" w:rsidRDefault="00FB70C1" w:rsidP="00FB70C1">
      <w:pPr>
        <w:spacing w:after="0"/>
        <w:ind w:right="49"/>
        <w:rPr>
          <w:rFonts w:ascii="Arial" w:hAnsi="Arial" w:cs="Arial"/>
        </w:rPr>
      </w:pPr>
    </w:p>
    <w:p w14:paraId="44B9DEA7" w14:textId="77777777" w:rsidR="00FB70C1" w:rsidRPr="009041D4" w:rsidRDefault="00FB70C1" w:rsidP="00FB70C1">
      <w:pPr>
        <w:spacing w:after="0"/>
        <w:ind w:right="49"/>
        <w:rPr>
          <w:rFonts w:ascii="Arial" w:hAnsi="Arial" w:cs="Arial"/>
        </w:rPr>
      </w:pPr>
    </w:p>
    <w:p w14:paraId="299F79EC" w14:textId="77777777" w:rsidR="00FB70C1" w:rsidRPr="009041D4" w:rsidRDefault="00FB70C1" w:rsidP="00FB70C1">
      <w:pPr>
        <w:spacing w:after="0"/>
        <w:ind w:right="49"/>
        <w:rPr>
          <w:rFonts w:ascii="Arial" w:hAnsi="Arial" w:cs="Arial"/>
        </w:rPr>
      </w:pPr>
    </w:p>
    <w:p w14:paraId="661510A0" w14:textId="77777777" w:rsidR="00FB70C1" w:rsidRPr="009041D4" w:rsidRDefault="00FB70C1" w:rsidP="00FB70C1">
      <w:pPr>
        <w:spacing w:after="0"/>
        <w:ind w:right="49"/>
        <w:rPr>
          <w:rFonts w:ascii="Arial" w:hAnsi="Arial" w:cs="Arial"/>
        </w:rPr>
      </w:pPr>
    </w:p>
    <w:p w14:paraId="512BA550" w14:textId="77777777" w:rsidR="00FB70C1" w:rsidRPr="009041D4" w:rsidRDefault="00FB70C1" w:rsidP="00FB70C1">
      <w:pPr>
        <w:spacing w:after="0"/>
        <w:ind w:right="49"/>
        <w:rPr>
          <w:rFonts w:ascii="Arial" w:hAnsi="Arial" w:cs="Arial"/>
          <w:sz w:val="18"/>
          <w:szCs w:val="18"/>
        </w:rPr>
      </w:pPr>
      <w:r w:rsidRPr="009041D4">
        <w:rPr>
          <w:rFonts w:ascii="Arial" w:hAnsi="Arial" w:cs="Arial"/>
          <w:noProof/>
          <w:sz w:val="18"/>
          <w:szCs w:val="18"/>
          <w:lang w:eastAsia="es-MX"/>
        </w:rPr>
        <w:lastRenderedPageBreak/>
        <w:drawing>
          <wp:inline distT="0" distB="0" distL="0" distR="0" wp14:anchorId="3C8512F3" wp14:editId="5834D3BC">
            <wp:extent cx="5939790" cy="5327650"/>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1271CA14" w14:textId="77777777"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Diagrama 5. Establecimiento de una llamada de tránsito.</w:t>
      </w:r>
    </w:p>
    <w:p w14:paraId="326216D7" w14:textId="77777777" w:rsidR="00FB70C1" w:rsidRPr="009041D4" w:rsidRDefault="00FB70C1" w:rsidP="00FB70C1">
      <w:pPr>
        <w:spacing w:after="0"/>
        <w:ind w:right="49"/>
        <w:rPr>
          <w:rFonts w:ascii="Arial" w:hAnsi="Arial" w:cs="Arial"/>
        </w:rPr>
      </w:pPr>
    </w:p>
    <w:p w14:paraId="78130B12"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sz w:val="24"/>
        </w:rPr>
        <w:t>Liberación de las peticiones</w:t>
      </w:r>
    </w:p>
    <w:p w14:paraId="0D9CB0FF" w14:textId="77777777" w:rsidR="00FB70C1" w:rsidRPr="009041D4" w:rsidRDefault="00FB70C1" w:rsidP="00FB70C1">
      <w:pPr>
        <w:spacing w:after="0"/>
        <w:ind w:right="49"/>
        <w:rPr>
          <w:rFonts w:ascii="Arial" w:hAnsi="Arial" w:cs="Arial"/>
        </w:rPr>
      </w:pPr>
    </w:p>
    <w:p w14:paraId="4F3ED910" w14:textId="77777777" w:rsidR="00FB70C1" w:rsidRPr="009041D4" w:rsidRDefault="00FB70C1" w:rsidP="00FB70C1">
      <w:pPr>
        <w:spacing w:after="0"/>
        <w:ind w:right="49"/>
        <w:rPr>
          <w:rFonts w:ascii="Arial" w:hAnsi="Arial" w:cs="Arial"/>
        </w:rPr>
      </w:pPr>
      <w:r w:rsidRPr="009041D4">
        <w:rPr>
          <w:rFonts w:ascii="Arial" w:hAnsi="Arial" w:cs="Arial"/>
        </w:rPr>
        <w:t>Se realizará la liberación de la sesión en los siguientes casos:</w:t>
      </w:r>
    </w:p>
    <w:p w14:paraId="391A1E05" w14:textId="77777777" w:rsidR="00FB70C1" w:rsidRPr="009041D4" w:rsidRDefault="00FB70C1" w:rsidP="00FB70C1">
      <w:pPr>
        <w:spacing w:after="0"/>
        <w:ind w:right="49"/>
        <w:rPr>
          <w:rFonts w:ascii="Arial" w:hAnsi="Arial" w:cs="Arial"/>
        </w:rPr>
      </w:pPr>
    </w:p>
    <w:p w14:paraId="39FE6C2D" w14:textId="77777777" w:rsidR="00FB70C1" w:rsidRPr="009041D4" w:rsidRDefault="00FB70C1" w:rsidP="00FB70C1">
      <w:pPr>
        <w:pStyle w:val="Prrafodelista"/>
        <w:numPr>
          <w:ilvl w:val="0"/>
          <w:numId w:val="8"/>
        </w:numPr>
        <w:spacing w:line="276" w:lineRule="auto"/>
        <w:ind w:right="49"/>
        <w:contextualSpacing/>
        <w:rPr>
          <w:rFonts w:cs="Arial"/>
        </w:rPr>
      </w:pPr>
      <w:r w:rsidRPr="009041D4">
        <w:rPr>
          <w:rFonts w:cs="Arial"/>
        </w:rPr>
        <w:t>Cancelación de la petición con el método CANCEL. Valor de causa 31 (Normal. Sin especificar)</w:t>
      </w:r>
    </w:p>
    <w:p w14:paraId="7088C353" w14:textId="77777777" w:rsidR="00FB70C1" w:rsidRPr="009041D4" w:rsidRDefault="00FB70C1" w:rsidP="00FB70C1">
      <w:pPr>
        <w:pStyle w:val="Prrafodelista"/>
        <w:numPr>
          <w:ilvl w:val="0"/>
          <w:numId w:val="8"/>
        </w:numPr>
        <w:spacing w:line="276" w:lineRule="auto"/>
        <w:ind w:right="49"/>
        <w:contextualSpacing/>
        <w:rPr>
          <w:rFonts w:cs="Arial"/>
        </w:rPr>
      </w:pPr>
      <w:r w:rsidRPr="009041D4">
        <w:rPr>
          <w:rFonts w:cs="Arial"/>
        </w:rPr>
        <w:t>Terminación de la petición con el método BYE. Valor de causa 16 (liberación normal de la llamada)</w:t>
      </w:r>
    </w:p>
    <w:p w14:paraId="49BA4435" w14:textId="77777777" w:rsidR="00FB70C1" w:rsidRPr="009041D4" w:rsidRDefault="00FB70C1" w:rsidP="00FB70C1">
      <w:pPr>
        <w:pStyle w:val="Prrafodelista"/>
        <w:numPr>
          <w:ilvl w:val="0"/>
          <w:numId w:val="8"/>
        </w:numPr>
        <w:spacing w:line="276" w:lineRule="auto"/>
        <w:ind w:right="49"/>
        <w:contextualSpacing/>
        <w:rPr>
          <w:rFonts w:cs="Arial"/>
        </w:rPr>
      </w:pPr>
      <w:r w:rsidRPr="009041D4">
        <w:rPr>
          <w:rFonts w:cs="Arial"/>
        </w:rPr>
        <w:t>Recepción de algún código de estado 4xx, 5xx, o 6xx.</w:t>
      </w:r>
    </w:p>
    <w:p w14:paraId="09D7853E" w14:textId="77777777" w:rsidR="00FB70C1" w:rsidRPr="009041D4" w:rsidRDefault="00FB70C1" w:rsidP="00FB70C1">
      <w:pPr>
        <w:spacing w:after="0"/>
        <w:ind w:right="49"/>
        <w:jc w:val="cente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
        <w:gridCol w:w="7779"/>
      </w:tblGrid>
      <w:tr w:rsidR="00FB70C1" w:rsidRPr="009041D4" w14:paraId="51E727B2" w14:textId="77777777" w:rsidTr="006329CD">
        <w:trPr>
          <w:trHeight w:val="318"/>
          <w:tblHeader/>
          <w:jc w:val="center"/>
        </w:trPr>
        <w:tc>
          <w:tcPr>
            <w:tcW w:w="594" w:type="pct"/>
            <w:shd w:val="clear" w:color="auto" w:fill="BDD6EE"/>
            <w:vAlign w:val="center"/>
          </w:tcPr>
          <w:p w14:paraId="2C1F42CA"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lastRenderedPageBreak/>
              <w:t>Código</w:t>
            </w:r>
          </w:p>
        </w:tc>
        <w:tc>
          <w:tcPr>
            <w:tcW w:w="4406" w:type="pct"/>
            <w:shd w:val="clear" w:color="auto" w:fill="BDD6EE"/>
            <w:vAlign w:val="center"/>
          </w:tcPr>
          <w:p w14:paraId="4651F9C0"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Descripción</w:t>
            </w:r>
          </w:p>
        </w:tc>
      </w:tr>
      <w:tr w:rsidR="00FB70C1" w:rsidRPr="009041D4" w14:paraId="4D3F7E41" w14:textId="77777777" w:rsidTr="006329CD">
        <w:trPr>
          <w:jc w:val="center"/>
        </w:trPr>
        <w:tc>
          <w:tcPr>
            <w:tcW w:w="594" w:type="pct"/>
            <w:vAlign w:val="center"/>
          </w:tcPr>
          <w:p w14:paraId="2BEAB58D"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1xx</w:t>
            </w:r>
          </w:p>
        </w:tc>
        <w:tc>
          <w:tcPr>
            <w:tcW w:w="4406" w:type="pct"/>
          </w:tcPr>
          <w:p w14:paraId="6643AC8D"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Temporales; petición recibida, se procesa la petición</w:t>
            </w:r>
            <w:r w:rsidRPr="009041D4">
              <w:rPr>
                <w:rStyle w:val="Refdenotaalpie"/>
                <w:rFonts w:ascii="Arial" w:hAnsi="Arial" w:cs="Arial"/>
                <w:color w:val="000000"/>
                <w:sz w:val="20"/>
                <w:szCs w:val="20"/>
                <w:lang w:eastAsia="es-MX"/>
              </w:rPr>
              <w:footnoteReference w:id="26"/>
            </w:r>
          </w:p>
        </w:tc>
      </w:tr>
      <w:tr w:rsidR="00FB70C1" w:rsidRPr="009041D4" w14:paraId="0C3D2262" w14:textId="77777777" w:rsidTr="006329CD">
        <w:trPr>
          <w:jc w:val="center"/>
        </w:trPr>
        <w:tc>
          <w:tcPr>
            <w:tcW w:w="594" w:type="pct"/>
            <w:vAlign w:val="center"/>
          </w:tcPr>
          <w:p w14:paraId="17DB6612"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2xx</w:t>
            </w:r>
          </w:p>
        </w:tc>
        <w:tc>
          <w:tcPr>
            <w:tcW w:w="4406" w:type="pct"/>
          </w:tcPr>
          <w:p w14:paraId="56E78DF0"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Exitoso; la acción fue recibida, entendida, y aceptada con éxito</w:t>
            </w:r>
          </w:p>
        </w:tc>
      </w:tr>
      <w:tr w:rsidR="00FB70C1" w:rsidRPr="009041D4" w14:paraId="0ADAB7A4" w14:textId="77777777" w:rsidTr="006329CD">
        <w:trPr>
          <w:jc w:val="center"/>
        </w:trPr>
        <w:tc>
          <w:tcPr>
            <w:tcW w:w="594" w:type="pct"/>
            <w:vAlign w:val="center"/>
          </w:tcPr>
          <w:p w14:paraId="205CB630"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3xx</w:t>
            </w:r>
          </w:p>
        </w:tc>
        <w:tc>
          <w:tcPr>
            <w:tcW w:w="4406" w:type="pct"/>
          </w:tcPr>
          <w:p w14:paraId="1FC605D6"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Redirección; se requieren acciones adicionales para terminar la petición</w:t>
            </w:r>
          </w:p>
        </w:tc>
      </w:tr>
      <w:tr w:rsidR="00FB70C1" w:rsidRPr="009041D4" w14:paraId="00E9A522" w14:textId="77777777" w:rsidTr="006329CD">
        <w:trPr>
          <w:jc w:val="center"/>
        </w:trPr>
        <w:tc>
          <w:tcPr>
            <w:tcW w:w="594" w:type="pct"/>
            <w:vAlign w:val="center"/>
          </w:tcPr>
          <w:p w14:paraId="03C3BA57"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4xx</w:t>
            </w:r>
          </w:p>
        </w:tc>
        <w:tc>
          <w:tcPr>
            <w:tcW w:w="4406" w:type="pct"/>
          </w:tcPr>
          <w:p w14:paraId="06D05215"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Error de cliente; la petición contiene sintaxis errónea o no se puede llevar a cabo en ese servidor</w:t>
            </w:r>
          </w:p>
        </w:tc>
      </w:tr>
      <w:tr w:rsidR="00FB70C1" w:rsidRPr="009041D4" w14:paraId="6E78041A" w14:textId="77777777" w:rsidTr="006329CD">
        <w:trPr>
          <w:jc w:val="center"/>
        </w:trPr>
        <w:tc>
          <w:tcPr>
            <w:tcW w:w="594" w:type="pct"/>
            <w:vAlign w:val="center"/>
          </w:tcPr>
          <w:p w14:paraId="1E70B0FE"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5xx</w:t>
            </w:r>
          </w:p>
        </w:tc>
        <w:tc>
          <w:tcPr>
            <w:tcW w:w="4406" w:type="pct"/>
          </w:tcPr>
          <w:p w14:paraId="6442B71F"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Error de servidor; el servidor no pudo llevar a cabo una petición al parecer válida</w:t>
            </w:r>
          </w:p>
        </w:tc>
      </w:tr>
      <w:tr w:rsidR="00FB70C1" w:rsidRPr="009041D4" w14:paraId="44CC35DD" w14:textId="77777777" w:rsidTr="006329CD">
        <w:trPr>
          <w:jc w:val="center"/>
        </w:trPr>
        <w:tc>
          <w:tcPr>
            <w:tcW w:w="594" w:type="pct"/>
            <w:vAlign w:val="center"/>
          </w:tcPr>
          <w:p w14:paraId="0D4247E5"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6xx</w:t>
            </w:r>
          </w:p>
        </w:tc>
        <w:tc>
          <w:tcPr>
            <w:tcW w:w="4406" w:type="pct"/>
          </w:tcPr>
          <w:p w14:paraId="42CCC5C7"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Falla global; la petición no se puede satisfacer en ningún servidor</w:t>
            </w:r>
          </w:p>
        </w:tc>
      </w:tr>
    </w:tbl>
    <w:p w14:paraId="2102872D" w14:textId="419C6C66" w:rsidR="00FB70C1" w:rsidRPr="009041D4" w:rsidRDefault="00FB70C1" w:rsidP="001F3325">
      <w:pPr>
        <w:spacing w:after="0"/>
        <w:ind w:right="49"/>
        <w:jc w:val="center"/>
        <w:rPr>
          <w:rFonts w:ascii="Arial" w:hAnsi="Arial" w:cs="Arial"/>
          <w:i/>
          <w:sz w:val="18"/>
          <w:szCs w:val="18"/>
          <w:lang w:val="es-ES" w:eastAsia="es-ES"/>
        </w:rPr>
      </w:pPr>
      <w:r w:rsidRPr="009041D4">
        <w:rPr>
          <w:rFonts w:ascii="Arial" w:hAnsi="Arial" w:cs="Arial"/>
          <w:sz w:val="18"/>
          <w:szCs w:val="18"/>
        </w:rPr>
        <w:t>Tabla 7</w:t>
      </w:r>
      <w:r w:rsidR="001C7668" w:rsidRPr="009041D4">
        <w:rPr>
          <w:rFonts w:ascii="Arial" w:hAnsi="Arial" w:cs="Arial"/>
          <w:sz w:val="18"/>
          <w:szCs w:val="18"/>
        </w:rPr>
        <w:t>.</w:t>
      </w:r>
      <w:r w:rsidRPr="009041D4">
        <w:rPr>
          <w:rFonts w:ascii="Arial" w:hAnsi="Arial" w:cs="Arial"/>
          <w:sz w:val="18"/>
          <w:szCs w:val="18"/>
        </w:rPr>
        <w:t xml:space="preserve"> Códigos generales de respuesta SIP.</w:t>
      </w:r>
    </w:p>
    <w:p w14:paraId="79089998" w14:textId="77777777" w:rsidR="00FB70C1" w:rsidRPr="009041D4" w:rsidRDefault="00FB70C1" w:rsidP="001F2E88">
      <w:pPr>
        <w:spacing w:after="0"/>
        <w:ind w:right="49"/>
        <w:jc w:val="center"/>
        <w:rPr>
          <w:rFonts w:ascii="Arial" w:hAnsi="Arial" w:cs="Arial"/>
        </w:rPr>
      </w:pPr>
    </w:p>
    <w:p w14:paraId="59F94AA9" w14:textId="64E234D6" w:rsidR="00FB70C1" w:rsidRPr="009041D4" w:rsidRDefault="00FB70C1" w:rsidP="00FB70C1">
      <w:pPr>
        <w:spacing w:after="0"/>
        <w:ind w:right="49"/>
        <w:jc w:val="both"/>
        <w:rPr>
          <w:rFonts w:ascii="Arial" w:hAnsi="Arial" w:cs="Arial"/>
        </w:rPr>
      </w:pPr>
      <w:r w:rsidRPr="009041D4">
        <w:rPr>
          <w:rFonts w:ascii="Arial" w:hAnsi="Arial" w:cs="Arial"/>
        </w:rPr>
        <w:t>Los servicios de transferencia de llamadas y redireccionamiento de llamadas se prestarán de acuerdo a la Recomendación RFC 5359</w:t>
      </w:r>
      <w:r w:rsidR="00905F34">
        <w:rPr>
          <w:rStyle w:val="Refdenotaalpie"/>
          <w:rFonts w:ascii="Arial" w:hAnsi="Arial" w:cs="Arial"/>
        </w:rPr>
        <w:footnoteReference w:id="27"/>
      </w:r>
      <w:r w:rsidRPr="009041D4">
        <w:rPr>
          <w:rFonts w:ascii="Arial" w:hAnsi="Arial" w:cs="Arial"/>
        </w:rPr>
        <w:t xml:space="preserve">. </w:t>
      </w:r>
    </w:p>
    <w:p w14:paraId="4BB22BB5" w14:textId="77777777" w:rsidR="00FB70C1" w:rsidRPr="009041D4" w:rsidRDefault="00FB70C1" w:rsidP="00FB70C1">
      <w:pPr>
        <w:spacing w:after="0"/>
        <w:ind w:right="49"/>
        <w:rPr>
          <w:rFonts w:ascii="Arial" w:hAnsi="Arial" w:cs="Arial"/>
        </w:rPr>
      </w:pPr>
    </w:p>
    <w:p w14:paraId="0D439154" w14:textId="77777777" w:rsidR="00FB70C1" w:rsidRPr="009041D4" w:rsidRDefault="00FB70C1" w:rsidP="00FB70C1">
      <w:pPr>
        <w:spacing w:after="0"/>
        <w:ind w:right="49"/>
        <w:jc w:val="both"/>
        <w:rPr>
          <w:rFonts w:ascii="Arial" w:hAnsi="Arial" w:cs="Arial"/>
        </w:rPr>
      </w:pPr>
      <w:r w:rsidRPr="009041D4">
        <w:rPr>
          <w:rFonts w:ascii="Arial" w:hAnsi="Arial" w:cs="Arial"/>
        </w:rPr>
        <w:t>El encabezado REASON debe estar presente en cualquier CANCEL o BYE, de acuerdo a lo siguiente:</w:t>
      </w:r>
    </w:p>
    <w:p w14:paraId="742AFD6F" w14:textId="77777777" w:rsidR="00FB70C1" w:rsidRPr="009041D4" w:rsidRDefault="00FB70C1" w:rsidP="00FB70C1">
      <w:pPr>
        <w:spacing w:after="0"/>
        <w:ind w:right="49"/>
        <w:rPr>
          <w:rFonts w:ascii="Arial" w:hAnsi="Arial" w:cs="Arial"/>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2076"/>
        <w:gridCol w:w="3735"/>
      </w:tblGrid>
      <w:tr w:rsidR="00FB70C1" w:rsidRPr="009041D4" w14:paraId="29907FCD" w14:textId="77777777" w:rsidTr="006329CD">
        <w:trPr>
          <w:trHeight w:val="318"/>
          <w:tblHeader/>
          <w:jc w:val="center"/>
        </w:trPr>
        <w:tc>
          <w:tcPr>
            <w:tcW w:w="1638" w:type="pct"/>
            <w:shd w:val="clear" w:color="auto" w:fill="BDD6EE"/>
            <w:vAlign w:val="center"/>
          </w:tcPr>
          <w:p w14:paraId="304974D3"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Componente del campo de encabezado</w:t>
            </w:r>
          </w:p>
        </w:tc>
        <w:tc>
          <w:tcPr>
            <w:tcW w:w="1201" w:type="pct"/>
            <w:shd w:val="clear" w:color="auto" w:fill="BDD6EE"/>
            <w:vAlign w:val="center"/>
          </w:tcPr>
          <w:p w14:paraId="0D1392E7"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Valor</w:t>
            </w:r>
          </w:p>
        </w:tc>
        <w:tc>
          <w:tcPr>
            <w:tcW w:w="2161" w:type="pct"/>
            <w:shd w:val="clear" w:color="auto" w:fill="BDD6EE"/>
          </w:tcPr>
          <w:p w14:paraId="42F77000"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Descripción de la causa de liberación</w:t>
            </w:r>
          </w:p>
        </w:tc>
      </w:tr>
      <w:tr w:rsidR="00FB70C1" w:rsidRPr="009041D4" w14:paraId="0CF99CEF" w14:textId="77777777" w:rsidTr="006329CD">
        <w:trPr>
          <w:jc w:val="center"/>
        </w:trPr>
        <w:tc>
          <w:tcPr>
            <w:tcW w:w="1638" w:type="pct"/>
            <w:vAlign w:val="center"/>
          </w:tcPr>
          <w:p w14:paraId="2783A01C"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Protocolo</w:t>
            </w:r>
          </w:p>
        </w:tc>
        <w:tc>
          <w:tcPr>
            <w:tcW w:w="1201" w:type="pct"/>
          </w:tcPr>
          <w:p w14:paraId="7FA21454"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SIP</w:t>
            </w:r>
          </w:p>
        </w:tc>
        <w:tc>
          <w:tcPr>
            <w:tcW w:w="2161" w:type="pct"/>
          </w:tcPr>
          <w:p w14:paraId="07F2E9A2"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Parámetros indicadores de la causa</w:t>
            </w:r>
          </w:p>
        </w:tc>
      </w:tr>
      <w:tr w:rsidR="00FB70C1" w:rsidRPr="009041D4" w14:paraId="479F4278" w14:textId="77777777" w:rsidTr="006329CD">
        <w:trPr>
          <w:jc w:val="center"/>
        </w:trPr>
        <w:tc>
          <w:tcPr>
            <w:tcW w:w="1638" w:type="pct"/>
            <w:vAlign w:val="center"/>
          </w:tcPr>
          <w:p w14:paraId="5F062F53"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Causa del protocolo</w:t>
            </w:r>
          </w:p>
        </w:tc>
        <w:tc>
          <w:tcPr>
            <w:tcW w:w="1201" w:type="pct"/>
          </w:tcPr>
          <w:p w14:paraId="0B526D54"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Cause=XX</w:t>
            </w:r>
          </w:p>
        </w:tc>
        <w:tc>
          <w:tcPr>
            <w:tcW w:w="2161" w:type="pct"/>
          </w:tcPr>
          <w:p w14:paraId="7438F1C0"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Valor de causa definido de forma numérica</w:t>
            </w:r>
          </w:p>
        </w:tc>
      </w:tr>
      <w:tr w:rsidR="00FB70C1" w:rsidRPr="009041D4" w14:paraId="3D5A6EED" w14:textId="77777777" w:rsidTr="006329CD">
        <w:trPr>
          <w:jc w:val="center"/>
        </w:trPr>
        <w:tc>
          <w:tcPr>
            <w:tcW w:w="1638" w:type="pct"/>
            <w:vAlign w:val="center"/>
          </w:tcPr>
          <w:p w14:paraId="43C5C8D7"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Descripción de la causa de liberación</w:t>
            </w:r>
          </w:p>
        </w:tc>
        <w:tc>
          <w:tcPr>
            <w:tcW w:w="1201" w:type="pct"/>
          </w:tcPr>
          <w:p w14:paraId="15B6B261"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Text=xxxxxxxxxxxxx</w:t>
            </w:r>
          </w:p>
        </w:tc>
        <w:tc>
          <w:tcPr>
            <w:tcW w:w="2161" w:type="pct"/>
          </w:tcPr>
          <w:p w14:paraId="1CE5F7A6"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Valor alfanumérico</w:t>
            </w:r>
          </w:p>
        </w:tc>
      </w:tr>
    </w:tbl>
    <w:p w14:paraId="515E48D9" w14:textId="28F7645D" w:rsidR="00FB70C1" w:rsidRPr="009041D4" w:rsidRDefault="00FB70C1" w:rsidP="00FB70C1">
      <w:pPr>
        <w:spacing w:after="0"/>
        <w:ind w:right="49"/>
        <w:jc w:val="center"/>
        <w:rPr>
          <w:rFonts w:ascii="Arial" w:hAnsi="Arial" w:cs="Arial"/>
          <w:sz w:val="18"/>
          <w:szCs w:val="18"/>
        </w:rPr>
      </w:pPr>
      <w:r w:rsidRPr="009041D4">
        <w:rPr>
          <w:rFonts w:ascii="Arial" w:hAnsi="Arial" w:cs="Arial"/>
          <w:sz w:val="18"/>
          <w:szCs w:val="18"/>
        </w:rPr>
        <w:t>Tabla 8</w:t>
      </w:r>
      <w:r w:rsidR="001C7668" w:rsidRPr="009041D4">
        <w:rPr>
          <w:rFonts w:ascii="Arial" w:hAnsi="Arial" w:cs="Arial"/>
          <w:sz w:val="18"/>
          <w:szCs w:val="18"/>
        </w:rPr>
        <w:t>.</w:t>
      </w:r>
      <w:r w:rsidRPr="009041D4">
        <w:rPr>
          <w:rFonts w:ascii="Arial" w:hAnsi="Arial" w:cs="Arial"/>
          <w:sz w:val="18"/>
          <w:szCs w:val="18"/>
        </w:rPr>
        <w:t xml:space="preserve"> Códigos generales de respuesta SIP.</w:t>
      </w:r>
    </w:p>
    <w:p w14:paraId="291D8300" w14:textId="77777777" w:rsidR="00FB70C1" w:rsidRPr="009041D4" w:rsidRDefault="00FB70C1" w:rsidP="00FB70C1">
      <w:pPr>
        <w:spacing w:after="0"/>
        <w:ind w:right="49"/>
        <w:rPr>
          <w:rFonts w:ascii="Arial" w:hAnsi="Arial" w:cs="Arial"/>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4252"/>
        <w:gridCol w:w="3402"/>
      </w:tblGrid>
      <w:tr w:rsidR="00FB70C1" w:rsidRPr="009041D4" w14:paraId="19553C0B" w14:textId="77777777" w:rsidTr="006329CD">
        <w:trPr>
          <w:trHeight w:val="318"/>
          <w:tblHeader/>
          <w:jc w:val="center"/>
        </w:trPr>
        <w:tc>
          <w:tcPr>
            <w:tcW w:w="498" w:type="pct"/>
            <w:shd w:val="clear" w:color="auto" w:fill="BDD6EE"/>
          </w:tcPr>
          <w:p w14:paraId="6C376C7E"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No.</w:t>
            </w:r>
          </w:p>
        </w:tc>
        <w:tc>
          <w:tcPr>
            <w:tcW w:w="2501" w:type="pct"/>
            <w:shd w:val="clear" w:color="auto" w:fill="BDD6EE"/>
            <w:vAlign w:val="center"/>
          </w:tcPr>
          <w:p w14:paraId="254A0148"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Motivo de rechazo</w:t>
            </w:r>
          </w:p>
        </w:tc>
        <w:tc>
          <w:tcPr>
            <w:tcW w:w="2001" w:type="pct"/>
            <w:shd w:val="clear" w:color="auto" w:fill="BDD6EE"/>
            <w:vAlign w:val="center"/>
          </w:tcPr>
          <w:p w14:paraId="231FE307"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Mensaje SIP</w:t>
            </w:r>
          </w:p>
        </w:tc>
      </w:tr>
      <w:tr w:rsidR="00FB70C1" w:rsidRPr="009041D4" w14:paraId="2F419A81" w14:textId="77777777" w:rsidTr="006329CD">
        <w:trPr>
          <w:jc w:val="center"/>
        </w:trPr>
        <w:tc>
          <w:tcPr>
            <w:tcW w:w="498" w:type="pct"/>
          </w:tcPr>
          <w:p w14:paraId="75ED23D2"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1</w:t>
            </w:r>
          </w:p>
        </w:tc>
        <w:tc>
          <w:tcPr>
            <w:tcW w:w="2501" w:type="pct"/>
            <w:vAlign w:val="center"/>
          </w:tcPr>
          <w:p w14:paraId="2584277A"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Formato de número inválido o sintaxis incorrecta de la petición.</w:t>
            </w:r>
          </w:p>
        </w:tc>
        <w:tc>
          <w:tcPr>
            <w:tcW w:w="2001" w:type="pct"/>
          </w:tcPr>
          <w:p w14:paraId="59EB3448"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400 Petición incorrecta</w:t>
            </w:r>
          </w:p>
        </w:tc>
      </w:tr>
      <w:tr w:rsidR="00FB70C1" w:rsidRPr="009041D4" w14:paraId="5F1BD206" w14:textId="77777777" w:rsidTr="006329CD">
        <w:trPr>
          <w:jc w:val="center"/>
        </w:trPr>
        <w:tc>
          <w:tcPr>
            <w:tcW w:w="498" w:type="pct"/>
          </w:tcPr>
          <w:p w14:paraId="02D1135E"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2</w:t>
            </w:r>
          </w:p>
        </w:tc>
        <w:tc>
          <w:tcPr>
            <w:tcW w:w="2501" w:type="pct"/>
            <w:vAlign w:val="center"/>
          </w:tcPr>
          <w:p w14:paraId="29E0C216"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Número cambió</w:t>
            </w:r>
          </w:p>
        </w:tc>
        <w:tc>
          <w:tcPr>
            <w:tcW w:w="2001" w:type="pct"/>
          </w:tcPr>
          <w:p w14:paraId="2E827DAB"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410 Se fue</w:t>
            </w:r>
          </w:p>
        </w:tc>
      </w:tr>
      <w:tr w:rsidR="00FB70C1" w:rsidRPr="009041D4" w14:paraId="0E2B7225" w14:textId="77777777" w:rsidTr="006329CD">
        <w:trPr>
          <w:jc w:val="center"/>
        </w:trPr>
        <w:tc>
          <w:tcPr>
            <w:tcW w:w="498" w:type="pct"/>
          </w:tcPr>
          <w:p w14:paraId="49552644"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3</w:t>
            </w:r>
          </w:p>
        </w:tc>
        <w:tc>
          <w:tcPr>
            <w:tcW w:w="2501" w:type="pct"/>
            <w:vAlign w:val="center"/>
          </w:tcPr>
          <w:p w14:paraId="62A9E2BB"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Número destino incompleto</w:t>
            </w:r>
          </w:p>
        </w:tc>
        <w:tc>
          <w:tcPr>
            <w:tcW w:w="2001" w:type="pct"/>
          </w:tcPr>
          <w:p w14:paraId="2A6C0C95"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484 Dirección incompleta</w:t>
            </w:r>
          </w:p>
        </w:tc>
      </w:tr>
      <w:tr w:rsidR="00FB70C1" w:rsidRPr="009041D4" w14:paraId="759732D3" w14:textId="77777777" w:rsidTr="006329CD">
        <w:trPr>
          <w:jc w:val="center"/>
        </w:trPr>
        <w:tc>
          <w:tcPr>
            <w:tcW w:w="498" w:type="pct"/>
          </w:tcPr>
          <w:p w14:paraId="33C6A9E4"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4</w:t>
            </w:r>
          </w:p>
        </w:tc>
        <w:tc>
          <w:tcPr>
            <w:tcW w:w="2501" w:type="pct"/>
            <w:vAlign w:val="center"/>
          </w:tcPr>
          <w:p w14:paraId="67706F5C"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Destino descolgado</w:t>
            </w:r>
          </w:p>
        </w:tc>
        <w:tc>
          <w:tcPr>
            <w:tcW w:w="2001" w:type="pct"/>
          </w:tcPr>
          <w:p w14:paraId="5F6D0CF6"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502 Compuerta incorrecta</w:t>
            </w:r>
          </w:p>
        </w:tc>
      </w:tr>
      <w:tr w:rsidR="00FB70C1" w:rsidRPr="009041D4" w14:paraId="4FA855AF" w14:textId="77777777" w:rsidTr="006329CD">
        <w:trPr>
          <w:jc w:val="center"/>
        </w:trPr>
        <w:tc>
          <w:tcPr>
            <w:tcW w:w="498" w:type="pct"/>
          </w:tcPr>
          <w:p w14:paraId="4485B35A" w14:textId="77777777" w:rsidR="00FB70C1" w:rsidRPr="009041D4" w:rsidRDefault="00FB70C1" w:rsidP="006329CD">
            <w:pPr>
              <w:keepNext/>
              <w:spacing w:after="0"/>
              <w:ind w:right="49"/>
              <w:jc w:val="center"/>
              <w:rPr>
                <w:rFonts w:ascii="Arial" w:hAnsi="Arial" w:cs="Arial"/>
                <w:color w:val="000000"/>
                <w:sz w:val="20"/>
                <w:szCs w:val="20"/>
                <w:lang w:eastAsia="es-MX"/>
              </w:rPr>
            </w:pPr>
            <w:r w:rsidRPr="009041D4">
              <w:rPr>
                <w:rFonts w:ascii="Arial" w:hAnsi="Arial" w:cs="Arial"/>
                <w:color w:val="000000"/>
                <w:sz w:val="20"/>
                <w:szCs w:val="20"/>
                <w:lang w:eastAsia="es-MX"/>
              </w:rPr>
              <w:t>5</w:t>
            </w:r>
          </w:p>
        </w:tc>
        <w:tc>
          <w:tcPr>
            <w:tcW w:w="2501" w:type="pct"/>
            <w:vAlign w:val="center"/>
          </w:tcPr>
          <w:p w14:paraId="583E5059"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Marcar a un número que no existe en la red destino</w:t>
            </w:r>
          </w:p>
        </w:tc>
        <w:tc>
          <w:tcPr>
            <w:tcW w:w="2001" w:type="pct"/>
          </w:tcPr>
          <w:p w14:paraId="699D3933" w14:textId="77777777" w:rsidR="00FB70C1" w:rsidRPr="009041D4" w:rsidRDefault="00FB70C1" w:rsidP="006329CD">
            <w:pPr>
              <w:keepNext/>
              <w:spacing w:after="0"/>
              <w:ind w:right="49"/>
              <w:rPr>
                <w:rFonts w:ascii="Arial" w:hAnsi="Arial" w:cs="Arial"/>
                <w:color w:val="000000"/>
                <w:sz w:val="20"/>
                <w:szCs w:val="20"/>
                <w:lang w:eastAsia="es-MX"/>
              </w:rPr>
            </w:pPr>
            <w:r w:rsidRPr="009041D4">
              <w:rPr>
                <w:rFonts w:ascii="Arial" w:hAnsi="Arial" w:cs="Arial"/>
                <w:color w:val="000000"/>
                <w:sz w:val="20"/>
                <w:szCs w:val="20"/>
                <w:lang w:eastAsia="es-MX"/>
              </w:rPr>
              <w:t>604 No existe en ninguna parte</w:t>
            </w:r>
          </w:p>
        </w:tc>
      </w:tr>
    </w:tbl>
    <w:p w14:paraId="07EBF398" w14:textId="35D21F6C" w:rsidR="00FB70C1" w:rsidRPr="009041D4" w:rsidRDefault="00FB70C1" w:rsidP="00FB70C1">
      <w:pPr>
        <w:spacing w:after="0"/>
        <w:ind w:right="49"/>
        <w:jc w:val="center"/>
        <w:rPr>
          <w:rFonts w:ascii="Arial" w:hAnsi="Arial" w:cs="Arial"/>
          <w:sz w:val="18"/>
          <w:szCs w:val="18"/>
          <w:lang w:val="es-ES"/>
        </w:rPr>
      </w:pPr>
      <w:r w:rsidRPr="009041D4">
        <w:rPr>
          <w:rFonts w:ascii="Arial" w:hAnsi="Arial" w:cs="Arial"/>
          <w:sz w:val="18"/>
          <w:szCs w:val="18"/>
        </w:rPr>
        <w:t>Tabla 9</w:t>
      </w:r>
      <w:r w:rsidR="001C7668" w:rsidRPr="009041D4">
        <w:rPr>
          <w:rFonts w:ascii="Arial" w:hAnsi="Arial" w:cs="Arial"/>
          <w:sz w:val="18"/>
          <w:szCs w:val="18"/>
        </w:rPr>
        <w:t>.</w:t>
      </w:r>
      <w:r w:rsidRPr="009041D4">
        <w:rPr>
          <w:rFonts w:ascii="Arial" w:hAnsi="Arial" w:cs="Arial"/>
          <w:sz w:val="18"/>
          <w:szCs w:val="18"/>
        </w:rPr>
        <w:t xml:space="preserve"> Códigos de respuesta SIP</w:t>
      </w:r>
      <w:r w:rsidRPr="009041D4">
        <w:rPr>
          <w:rStyle w:val="Refdenotaalpie"/>
          <w:rFonts w:ascii="Arial" w:hAnsi="Arial" w:cs="Arial"/>
          <w:sz w:val="18"/>
          <w:szCs w:val="18"/>
        </w:rPr>
        <w:footnoteReference w:id="28"/>
      </w:r>
      <w:r w:rsidRPr="009041D4">
        <w:rPr>
          <w:rFonts w:ascii="Arial" w:hAnsi="Arial" w:cs="Arial"/>
          <w:sz w:val="18"/>
          <w:szCs w:val="18"/>
        </w:rPr>
        <w:t>.</w:t>
      </w:r>
    </w:p>
    <w:p w14:paraId="01ECB99B" w14:textId="77777777" w:rsidR="00FB70C1" w:rsidRPr="009041D4" w:rsidRDefault="00FB70C1" w:rsidP="00FB70C1">
      <w:pPr>
        <w:spacing w:after="0"/>
        <w:ind w:right="49"/>
        <w:rPr>
          <w:rFonts w:ascii="Arial" w:hAnsi="Arial" w:cs="Arial"/>
        </w:rPr>
      </w:pPr>
    </w:p>
    <w:p w14:paraId="7199294D"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sz w:val="24"/>
        </w:rPr>
        <w:t>Calidad de servicio</w:t>
      </w:r>
    </w:p>
    <w:p w14:paraId="1BD25F72" w14:textId="77777777" w:rsidR="00FB70C1" w:rsidRPr="009041D4" w:rsidRDefault="00FB70C1" w:rsidP="00FB70C1">
      <w:pPr>
        <w:spacing w:after="0"/>
        <w:ind w:right="49"/>
        <w:rPr>
          <w:rFonts w:ascii="Arial" w:hAnsi="Arial" w:cs="Arial"/>
        </w:rPr>
      </w:pPr>
    </w:p>
    <w:p w14:paraId="70A4552E" w14:textId="77777777" w:rsidR="00FB70C1" w:rsidRPr="009041D4" w:rsidRDefault="00FB70C1" w:rsidP="00FB70C1">
      <w:pPr>
        <w:spacing w:after="0"/>
        <w:ind w:right="49"/>
        <w:jc w:val="both"/>
        <w:rPr>
          <w:rFonts w:ascii="Arial" w:hAnsi="Arial" w:cs="Arial"/>
          <w:b/>
        </w:rPr>
      </w:pPr>
      <w:r w:rsidRPr="009041D4">
        <w:rPr>
          <w:rFonts w:ascii="Arial" w:hAnsi="Arial" w:cs="Arial"/>
        </w:rPr>
        <w:t xml:space="preserve">Los Concesionarios deberán asegurar que la calidad del servicio de interconexión IP sea al menos equivalente a la calidad del servicio de interconexión TDM. </w:t>
      </w:r>
    </w:p>
    <w:p w14:paraId="6B64AB76" w14:textId="77777777" w:rsidR="00FB70C1" w:rsidRPr="009041D4" w:rsidRDefault="00FB70C1" w:rsidP="00FB70C1">
      <w:pPr>
        <w:spacing w:after="0"/>
        <w:ind w:right="49"/>
        <w:jc w:val="both"/>
        <w:rPr>
          <w:rFonts w:ascii="Arial" w:hAnsi="Arial" w:cs="Arial"/>
          <w:b/>
        </w:rPr>
      </w:pPr>
    </w:p>
    <w:p w14:paraId="1012C17C" w14:textId="728B32AD" w:rsidR="00FB70C1" w:rsidRPr="009041D4" w:rsidRDefault="00FB70C1" w:rsidP="00FB70C1">
      <w:pPr>
        <w:spacing w:after="0"/>
        <w:ind w:right="49"/>
        <w:jc w:val="both"/>
        <w:rPr>
          <w:rFonts w:ascii="Arial" w:hAnsi="Arial" w:cs="Arial"/>
        </w:rPr>
      </w:pPr>
      <w:r w:rsidRPr="009041D4">
        <w:rPr>
          <w:rFonts w:ascii="Arial" w:hAnsi="Arial" w:cs="Arial"/>
        </w:rPr>
        <w:lastRenderedPageBreak/>
        <w:t>Los Concesionarios habrán de respetar las Recomendaciones ITU Y 1540</w:t>
      </w:r>
      <w:r w:rsidR="00320AB5">
        <w:rPr>
          <w:rStyle w:val="Refdenotaalpie"/>
          <w:rFonts w:ascii="Arial" w:hAnsi="Arial" w:cs="Arial"/>
        </w:rPr>
        <w:footnoteReference w:id="29"/>
      </w:r>
      <w:r w:rsidRPr="009041D4">
        <w:rPr>
          <w:rFonts w:ascii="Arial" w:hAnsi="Arial" w:cs="Arial"/>
        </w:rPr>
        <w:t xml:space="preserve"> e ITU Y 1541</w:t>
      </w:r>
      <w:r w:rsidR="00320AB5">
        <w:rPr>
          <w:rStyle w:val="Refdenotaalpie"/>
          <w:rFonts w:ascii="Arial" w:hAnsi="Arial" w:cs="Arial"/>
        </w:rPr>
        <w:footnoteReference w:id="30"/>
      </w:r>
      <w:r w:rsidRPr="009041D4">
        <w:rPr>
          <w:rFonts w:ascii="Arial" w:hAnsi="Arial" w:cs="Arial"/>
        </w:rPr>
        <w:t>, debiéndose alcanzar niveles de calidad correspondientes a la clase de servicio 0 para el tráfico de voz y a la clase de servicio 2 para el tráfico de señalización.</w:t>
      </w:r>
    </w:p>
    <w:p w14:paraId="3A957003" w14:textId="77777777" w:rsidR="00FB70C1" w:rsidRPr="009041D4" w:rsidRDefault="00FB70C1" w:rsidP="00FB70C1">
      <w:pPr>
        <w:spacing w:after="0"/>
        <w:ind w:right="51"/>
        <w:jc w:val="both"/>
        <w:rPr>
          <w:rFonts w:ascii="Arial" w:hAnsi="Arial" w:cs="Arial"/>
        </w:rPr>
      </w:pPr>
    </w:p>
    <w:p w14:paraId="11F70540" w14:textId="1D32E248" w:rsidR="00FB70C1" w:rsidRPr="009041D4" w:rsidRDefault="00FB70C1" w:rsidP="00FB70C1">
      <w:pPr>
        <w:spacing w:after="0"/>
        <w:ind w:right="51"/>
        <w:jc w:val="both"/>
        <w:rPr>
          <w:rFonts w:ascii="Arial" w:hAnsi="Arial" w:cs="Arial"/>
        </w:rPr>
      </w:pPr>
      <w:r w:rsidRPr="009041D4">
        <w:rPr>
          <w:rFonts w:ascii="Arial" w:hAnsi="Arial" w:cs="Arial"/>
        </w:rPr>
        <w:t>Los concesionarios podrán identificar el tráfico de acuerdo a la arquitectura de Diferenciación de Servicio (DiffServ) y de acuerdo a la Recomendación RFC 4594</w:t>
      </w:r>
      <w:r w:rsidR="004522AC">
        <w:rPr>
          <w:rStyle w:val="Refdenotaalpie"/>
          <w:rFonts w:ascii="Arial" w:hAnsi="Arial" w:cs="Arial"/>
        </w:rPr>
        <w:footnoteReference w:id="31"/>
      </w:r>
      <w:r w:rsidRPr="009041D4">
        <w:rPr>
          <w:rFonts w:ascii="Arial" w:hAnsi="Arial" w:cs="Arial"/>
        </w:rPr>
        <w:t xml:space="preserve"> con el fin de facilitar la gestión de la calidad de servicio de los tráficos de voz y señalización IP. </w:t>
      </w:r>
    </w:p>
    <w:p w14:paraId="4C9119C7" w14:textId="77777777" w:rsidR="00FB70C1" w:rsidRPr="009041D4" w:rsidRDefault="00FB70C1" w:rsidP="00FB70C1">
      <w:pPr>
        <w:spacing w:after="0"/>
        <w:ind w:right="51"/>
        <w:jc w:val="both"/>
        <w:rPr>
          <w:rFonts w:ascii="Arial" w:hAnsi="Arial" w:cs="Arial"/>
          <w:lang w:val="es-ES" w:eastAsia="es-ES"/>
        </w:rPr>
      </w:pPr>
    </w:p>
    <w:p w14:paraId="7596C39A" w14:textId="77777777" w:rsidR="00FB70C1" w:rsidRPr="009041D4" w:rsidRDefault="00FB70C1" w:rsidP="00FB70C1">
      <w:pPr>
        <w:spacing w:after="0"/>
        <w:ind w:right="51"/>
        <w:jc w:val="both"/>
        <w:rPr>
          <w:rFonts w:ascii="Arial" w:hAnsi="Arial" w:cs="Arial"/>
          <w:lang w:val="es-ES" w:eastAsia="es-ES"/>
        </w:rPr>
      </w:pPr>
      <w:r w:rsidRPr="009041D4">
        <w:rPr>
          <w:rFonts w:ascii="Arial" w:hAnsi="Arial" w:cs="Arial"/>
          <w:lang w:val="es-ES" w:eastAsia="es-ES"/>
        </w:rPr>
        <w:t>Lo anterior con independencia de las disposiciones administrativas que para regular la calidad en la prestación del servicio de interconexión emita el Instituto.</w:t>
      </w:r>
    </w:p>
    <w:p w14:paraId="33DAE2C2" w14:textId="77777777" w:rsidR="00FB70C1" w:rsidRPr="009041D4" w:rsidRDefault="00FB70C1" w:rsidP="00FB70C1">
      <w:pPr>
        <w:spacing w:after="0"/>
        <w:ind w:right="51"/>
        <w:jc w:val="both"/>
        <w:rPr>
          <w:rFonts w:ascii="Arial" w:hAnsi="Arial" w:cs="Arial"/>
        </w:rPr>
      </w:pPr>
    </w:p>
    <w:p w14:paraId="6F39F109" w14:textId="77777777" w:rsidR="00FB70C1" w:rsidRPr="009041D4" w:rsidRDefault="00FB70C1" w:rsidP="00FB70C1">
      <w:pPr>
        <w:pStyle w:val="Prrafodelista"/>
        <w:numPr>
          <w:ilvl w:val="1"/>
          <w:numId w:val="9"/>
        </w:numPr>
        <w:spacing w:line="276" w:lineRule="auto"/>
        <w:ind w:right="49" w:hanging="720"/>
        <w:contextualSpacing/>
        <w:rPr>
          <w:rFonts w:cs="Arial"/>
          <w:b/>
          <w:sz w:val="24"/>
        </w:rPr>
      </w:pPr>
      <w:r w:rsidRPr="009041D4">
        <w:rPr>
          <w:rFonts w:cs="Arial"/>
          <w:b/>
          <w:sz w:val="24"/>
        </w:rPr>
        <w:t>Seguridad</w:t>
      </w:r>
    </w:p>
    <w:p w14:paraId="1CE0C7D4" w14:textId="77777777" w:rsidR="00FB70C1" w:rsidRPr="009041D4" w:rsidRDefault="00FB70C1" w:rsidP="00FB70C1">
      <w:pPr>
        <w:spacing w:after="0"/>
        <w:ind w:right="49"/>
        <w:rPr>
          <w:rFonts w:ascii="Arial" w:hAnsi="Arial" w:cs="Arial"/>
        </w:rPr>
      </w:pPr>
    </w:p>
    <w:p w14:paraId="765ED6AC" w14:textId="77777777" w:rsidR="00FB70C1" w:rsidRPr="009041D4" w:rsidRDefault="00FB70C1" w:rsidP="00FB70C1">
      <w:pPr>
        <w:spacing w:after="0"/>
        <w:ind w:right="49"/>
        <w:jc w:val="both"/>
        <w:rPr>
          <w:rFonts w:ascii="Arial" w:hAnsi="Arial" w:cs="Arial"/>
          <w:b/>
        </w:rPr>
      </w:pPr>
      <w:r w:rsidRPr="009041D4">
        <w:rPr>
          <w:rFonts w:ascii="Arial" w:hAnsi="Arial" w:cs="Arial"/>
        </w:rPr>
        <w:t xml:space="preserve">La conexión física entre concesionarios corresponderá a un modelo punto a punto. </w:t>
      </w:r>
    </w:p>
    <w:p w14:paraId="2F5E6957" w14:textId="77777777" w:rsidR="00FB70C1" w:rsidRPr="009041D4" w:rsidRDefault="00FB70C1" w:rsidP="00FB70C1">
      <w:pPr>
        <w:spacing w:after="0"/>
        <w:ind w:right="49"/>
        <w:jc w:val="both"/>
        <w:rPr>
          <w:rFonts w:ascii="Arial" w:hAnsi="Arial" w:cs="Arial"/>
          <w:b/>
        </w:rPr>
      </w:pPr>
      <w:r w:rsidRPr="009041D4">
        <w:rPr>
          <w:rFonts w:ascii="Arial" w:hAnsi="Arial" w:cs="Arial"/>
        </w:rPr>
        <w:t xml:space="preserve"> </w:t>
      </w:r>
    </w:p>
    <w:p w14:paraId="53FBF4F6"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Los concesionarios podrán acordar otros esquemas de conectividad, en cuyo caso determinarán los mecanismos que garanticen la seguridad de la comunicación. </w:t>
      </w:r>
    </w:p>
    <w:p w14:paraId="03F170B7" w14:textId="77777777" w:rsidR="00FB70C1" w:rsidRPr="009041D4" w:rsidRDefault="00FB70C1" w:rsidP="00FB70C1">
      <w:pPr>
        <w:spacing w:after="0"/>
        <w:ind w:right="49"/>
        <w:jc w:val="both"/>
        <w:rPr>
          <w:rFonts w:ascii="Arial" w:hAnsi="Arial" w:cs="Arial"/>
        </w:rPr>
      </w:pPr>
    </w:p>
    <w:p w14:paraId="607DCCCF" w14:textId="77777777" w:rsidR="00FB70C1" w:rsidRPr="009041D4" w:rsidRDefault="00FB70C1" w:rsidP="00FB70C1">
      <w:pPr>
        <w:pStyle w:val="Prrafodelista"/>
        <w:numPr>
          <w:ilvl w:val="1"/>
          <w:numId w:val="9"/>
        </w:numPr>
        <w:spacing w:line="276" w:lineRule="auto"/>
        <w:ind w:right="49" w:hanging="720"/>
        <w:contextualSpacing/>
        <w:rPr>
          <w:rFonts w:cs="Arial"/>
          <w:b/>
        </w:rPr>
      </w:pPr>
      <w:r w:rsidRPr="009041D4">
        <w:rPr>
          <w:rFonts w:cs="Arial"/>
          <w:b/>
        </w:rPr>
        <w:t>Tasación y Facturación</w:t>
      </w:r>
    </w:p>
    <w:p w14:paraId="5527011B" w14:textId="77777777" w:rsidR="00FB70C1" w:rsidRPr="009041D4" w:rsidRDefault="00FB70C1" w:rsidP="00FB70C1">
      <w:pPr>
        <w:spacing w:after="0"/>
        <w:ind w:right="49"/>
        <w:rPr>
          <w:rFonts w:ascii="Arial" w:hAnsi="Arial" w:cs="Arial"/>
          <w:b/>
        </w:rPr>
      </w:pPr>
    </w:p>
    <w:p w14:paraId="546255D4" w14:textId="77777777" w:rsidR="00FB70C1" w:rsidRPr="009041D4" w:rsidRDefault="00FB70C1" w:rsidP="00FB70C1">
      <w:pPr>
        <w:spacing w:after="0"/>
        <w:ind w:right="49"/>
        <w:jc w:val="both"/>
        <w:rPr>
          <w:rFonts w:ascii="Arial" w:hAnsi="Arial" w:cs="Arial"/>
        </w:rPr>
      </w:pPr>
      <w:r w:rsidRPr="009041D4">
        <w:rPr>
          <w:rFonts w:ascii="Arial" w:hAnsi="Arial" w:cs="Arial"/>
        </w:rPr>
        <w:t>El inicio de tasación de la llamada comenzará cuando se reciba el código de respuesta 200 OK del método INVITE, el final de la misma será con el código de respuesta BYE.</w:t>
      </w:r>
    </w:p>
    <w:p w14:paraId="5B838ADE"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 </w:t>
      </w:r>
    </w:p>
    <w:p w14:paraId="60735338" w14:textId="77777777" w:rsidR="00FB70C1" w:rsidRPr="009041D4" w:rsidRDefault="00FB70C1" w:rsidP="00FB70C1">
      <w:pPr>
        <w:spacing w:after="0"/>
        <w:ind w:right="49"/>
        <w:jc w:val="both"/>
        <w:rPr>
          <w:rFonts w:ascii="Arial" w:hAnsi="Arial" w:cs="Arial"/>
        </w:rPr>
      </w:pPr>
      <w:r w:rsidRPr="009041D4">
        <w:rPr>
          <w:rFonts w:ascii="Arial" w:hAnsi="Arial" w:cs="Arial"/>
        </w:rPr>
        <w:t xml:space="preserve">Para la facturación y en caso de discrepancia entre el encabezado From y el P-Asserted-Identity se tomará como válido el contenido del encabezado P-Asserted-Identity. </w:t>
      </w:r>
    </w:p>
    <w:p w14:paraId="434C6CC0" w14:textId="77777777" w:rsidR="00FB70C1" w:rsidRPr="009041D4" w:rsidRDefault="00FB70C1" w:rsidP="00FB70C1">
      <w:pPr>
        <w:spacing w:after="0"/>
        <w:ind w:right="49"/>
        <w:jc w:val="both"/>
        <w:rPr>
          <w:rFonts w:ascii="Arial" w:hAnsi="Arial" w:cs="Arial"/>
          <w:b/>
        </w:rPr>
      </w:pPr>
    </w:p>
    <w:p w14:paraId="65F4E0AF" w14:textId="77777777" w:rsidR="00FB70C1" w:rsidRPr="009041D4" w:rsidRDefault="00FB70C1" w:rsidP="00FB70C1">
      <w:pPr>
        <w:spacing w:after="0"/>
        <w:ind w:right="49"/>
        <w:jc w:val="both"/>
        <w:rPr>
          <w:rFonts w:ascii="Arial" w:hAnsi="Arial" w:cs="Arial"/>
          <w:b/>
        </w:rPr>
      </w:pPr>
      <w:r w:rsidRPr="009041D4">
        <w:rPr>
          <w:rFonts w:ascii="Arial" w:hAnsi="Arial" w:cs="Arial"/>
          <w:b/>
        </w:rPr>
        <w:t>Interconexión TDM</w:t>
      </w:r>
    </w:p>
    <w:p w14:paraId="7E5C78BB" w14:textId="77777777" w:rsidR="00FB70C1" w:rsidRPr="009041D4" w:rsidRDefault="00FB70C1" w:rsidP="00FB70C1">
      <w:pPr>
        <w:spacing w:after="0"/>
        <w:ind w:right="49"/>
        <w:jc w:val="both"/>
        <w:rPr>
          <w:rFonts w:ascii="Arial" w:hAnsi="Arial" w:cs="Arial"/>
          <w:b/>
        </w:rPr>
      </w:pPr>
    </w:p>
    <w:p w14:paraId="3C909200" w14:textId="77777777" w:rsidR="00FB70C1" w:rsidRPr="009041D4" w:rsidRDefault="00FB70C1" w:rsidP="00FB70C1">
      <w:pPr>
        <w:spacing w:after="0"/>
        <w:ind w:right="49"/>
        <w:jc w:val="both"/>
        <w:rPr>
          <w:rFonts w:ascii="Arial" w:hAnsi="Arial" w:cs="Arial"/>
        </w:rPr>
      </w:pPr>
      <w:r w:rsidRPr="009041D4">
        <w:rPr>
          <w:rFonts w:ascii="Arial" w:hAnsi="Arial" w:cs="Arial"/>
        </w:rPr>
        <w:t>Los concesionarios de redes públicas de telecomunicaciones podrán continuar intercambiando tráfico mediante tecnología TDM, utilizando el sistema de señalización por canal común número 7 (SS7), y la Disposición Técnica IFT-009-2015 “Telecomunicaciones-Interfaz-Parte de usuario de servicios integrados del sistema de señalización por canal común”.</w:t>
      </w:r>
    </w:p>
    <w:p w14:paraId="113DCB6A" w14:textId="77777777" w:rsidR="00FB70C1" w:rsidRPr="009041D4" w:rsidRDefault="00FB70C1" w:rsidP="00FB70C1">
      <w:pPr>
        <w:spacing w:after="0"/>
        <w:ind w:right="49"/>
        <w:jc w:val="both"/>
        <w:rPr>
          <w:rFonts w:ascii="Arial" w:hAnsi="Arial" w:cs="Arial"/>
        </w:rPr>
      </w:pPr>
    </w:p>
    <w:p w14:paraId="0AB16AF1" w14:textId="36AD146A" w:rsidR="00FB70C1" w:rsidRPr="009041D4" w:rsidRDefault="00FB70C1" w:rsidP="00FB70C1">
      <w:pPr>
        <w:spacing w:after="0"/>
        <w:ind w:right="49"/>
        <w:jc w:val="both"/>
        <w:rPr>
          <w:rFonts w:ascii="Arial" w:hAnsi="Arial" w:cs="Arial"/>
        </w:rPr>
      </w:pPr>
      <w:r w:rsidRPr="009041D4">
        <w:rPr>
          <w:rFonts w:ascii="Arial" w:hAnsi="Arial" w:cs="Arial"/>
        </w:rPr>
        <w:t>Las diferentes redes se interconectan en forma plesiócrona alimentadas por relojes de Estrato 1, de acuerdo a la Recomendación G.811 UIT</w:t>
      </w:r>
      <w:r w:rsidR="004522AC">
        <w:rPr>
          <w:rStyle w:val="Refdenotaalpie"/>
          <w:rFonts w:ascii="Arial" w:hAnsi="Arial" w:cs="Arial"/>
        </w:rPr>
        <w:footnoteReference w:id="32"/>
      </w:r>
      <w:r w:rsidRPr="009041D4">
        <w:rPr>
          <w:rFonts w:ascii="Arial" w:hAnsi="Arial" w:cs="Arial"/>
        </w:rPr>
        <w:t>.</w:t>
      </w:r>
    </w:p>
    <w:p w14:paraId="53605353" w14:textId="77777777" w:rsidR="00FB70C1" w:rsidRPr="009041D4" w:rsidRDefault="00FB70C1" w:rsidP="00FB70C1">
      <w:pPr>
        <w:spacing w:after="0"/>
        <w:ind w:right="49"/>
        <w:jc w:val="both"/>
        <w:rPr>
          <w:rFonts w:ascii="Arial" w:hAnsi="Arial" w:cs="Arial"/>
        </w:rPr>
      </w:pPr>
    </w:p>
    <w:p w14:paraId="316984B3" w14:textId="3CB42732" w:rsidR="00FB70C1" w:rsidRPr="009041D4" w:rsidRDefault="00FB70C1" w:rsidP="00FB70C1">
      <w:pPr>
        <w:spacing w:after="0"/>
        <w:ind w:right="49"/>
        <w:jc w:val="both"/>
        <w:rPr>
          <w:rFonts w:ascii="Arial" w:hAnsi="Arial" w:cs="Arial"/>
        </w:rPr>
      </w:pPr>
      <w:r w:rsidRPr="009041D4">
        <w:rPr>
          <w:rFonts w:ascii="Arial" w:hAnsi="Arial" w:cs="Arial"/>
        </w:rPr>
        <w:lastRenderedPageBreak/>
        <w:t>La sincronía para la interconexión entre las redes deberá estar implementada de acuerdo a la disposición técnica IFT-005-2016 y las Recomendaciones G.703</w:t>
      </w:r>
      <w:r w:rsidR="004522AC">
        <w:rPr>
          <w:rStyle w:val="Refdenotaalpie"/>
          <w:rFonts w:ascii="Arial" w:hAnsi="Arial" w:cs="Arial"/>
        </w:rPr>
        <w:footnoteReference w:id="33"/>
      </w:r>
      <w:r w:rsidRPr="009041D4">
        <w:rPr>
          <w:rFonts w:ascii="Arial" w:hAnsi="Arial" w:cs="Arial"/>
        </w:rPr>
        <w:t>, G.822</w:t>
      </w:r>
      <w:r w:rsidR="004522AC">
        <w:rPr>
          <w:rStyle w:val="Refdenotaalpie"/>
          <w:rFonts w:ascii="Arial" w:hAnsi="Arial" w:cs="Arial"/>
        </w:rPr>
        <w:footnoteReference w:id="34"/>
      </w:r>
      <w:r w:rsidRPr="009041D4">
        <w:rPr>
          <w:rFonts w:ascii="Arial" w:hAnsi="Arial" w:cs="Arial"/>
        </w:rPr>
        <w:t xml:space="preserve"> y G.823</w:t>
      </w:r>
      <w:r w:rsidR="004522AC">
        <w:rPr>
          <w:rStyle w:val="Refdenotaalpie"/>
          <w:rFonts w:ascii="Arial" w:hAnsi="Arial" w:cs="Arial"/>
        </w:rPr>
        <w:footnoteReference w:id="35"/>
      </w:r>
      <w:r w:rsidRPr="009041D4">
        <w:rPr>
          <w:rFonts w:ascii="Arial" w:hAnsi="Arial" w:cs="Arial"/>
        </w:rPr>
        <w:t xml:space="preserve"> en los puntos de interconexión y con la Recomendación G.812</w:t>
      </w:r>
      <w:r w:rsidR="004522AC">
        <w:rPr>
          <w:rStyle w:val="Refdenotaalpie"/>
          <w:rFonts w:ascii="Arial" w:hAnsi="Arial" w:cs="Arial"/>
        </w:rPr>
        <w:footnoteReference w:id="36"/>
      </w:r>
      <w:r w:rsidRPr="009041D4">
        <w:rPr>
          <w:rFonts w:ascii="Arial" w:hAnsi="Arial" w:cs="Arial"/>
        </w:rPr>
        <w:t xml:space="preserve"> para los relojes de las centrales de interconexión en caso de pérdida en referencia al Estrato 1.</w:t>
      </w:r>
    </w:p>
    <w:p w14:paraId="38148FEF" w14:textId="77777777" w:rsidR="00FB70C1" w:rsidRPr="009041D4" w:rsidRDefault="00FB70C1" w:rsidP="00FB70C1">
      <w:pPr>
        <w:spacing w:after="0"/>
        <w:ind w:right="49"/>
        <w:jc w:val="both"/>
        <w:rPr>
          <w:rFonts w:ascii="Arial" w:hAnsi="Arial" w:cs="Arial"/>
        </w:rPr>
      </w:pPr>
    </w:p>
    <w:p w14:paraId="07E2938D" w14:textId="77777777" w:rsidR="00FB70C1" w:rsidRPr="009041D4" w:rsidRDefault="00FB70C1" w:rsidP="00FB70C1">
      <w:pPr>
        <w:pStyle w:val="Prrafodelista"/>
        <w:numPr>
          <w:ilvl w:val="0"/>
          <w:numId w:val="1"/>
        </w:numPr>
        <w:tabs>
          <w:tab w:val="left" w:pos="284"/>
          <w:tab w:val="left" w:pos="567"/>
        </w:tabs>
        <w:spacing w:line="276" w:lineRule="auto"/>
        <w:ind w:left="709" w:right="49" w:hanging="709"/>
        <w:contextualSpacing/>
        <w:rPr>
          <w:rFonts w:cs="Arial"/>
          <w:b/>
        </w:rPr>
      </w:pPr>
      <w:r w:rsidRPr="009041D4">
        <w:rPr>
          <w:rFonts w:cs="Arial"/>
          <w:b/>
        </w:rPr>
        <w:t>Identificación del número llamante</w:t>
      </w:r>
    </w:p>
    <w:p w14:paraId="1A4345E4" w14:textId="77777777" w:rsidR="00FB70C1" w:rsidRPr="009041D4" w:rsidRDefault="00FB70C1" w:rsidP="00FB70C1">
      <w:pPr>
        <w:spacing w:after="0"/>
        <w:ind w:right="49"/>
        <w:jc w:val="both"/>
        <w:rPr>
          <w:rFonts w:ascii="Arial" w:hAnsi="Arial" w:cs="Arial"/>
        </w:rPr>
      </w:pPr>
    </w:p>
    <w:p w14:paraId="21DD021D" w14:textId="77777777" w:rsidR="00FB70C1" w:rsidRPr="009041D4" w:rsidRDefault="00FB70C1" w:rsidP="00FB70C1">
      <w:pPr>
        <w:spacing w:after="0"/>
        <w:ind w:right="49"/>
        <w:jc w:val="both"/>
        <w:rPr>
          <w:rFonts w:ascii="Arial" w:hAnsi="Arial" w:cs="Arial"/>
        </w:rPr>
      </w:pPr>
      <w:r w:rsidRPr="009041D4">
        <w:rPr>
          <w:rFonts w:ascii="Arial" w:hAnsi="Arial" w:cs="Arial"/>
        </w:rPr>
        <w:t>En los casos en que el origen de la llamada sea nacional se debe incluir el número origen de la llamada en formato NN dentro del mensaje inicial de direccionamiento (IAM por sus siglas en idioma inglés). En los casos en que la llamada sea de origen internacional será facultativo mas no obligatorio el envío del número de origen.</w:t>
      </w:r>
    </w:p>
    <w:p w14:paraId="36A6D48C" w14:textId="77777777" w:rsidR="00FB70C1" w:rsidRPr="009041D4" w:rsidRDefault="00FB70C1" w:rsidP="00FB70C1">
      <w:pPr>
        <w:spacing w:after="0"/>
        <w:ind w:right="51"/>
        <w:jc w:val="both"/>
        <w:rPr>
          <w:rFonts w:ascii="Arial" w:hAnsi="Arial" w:cs="Arial"/>
        </w:rPr>
      </w:pPr>
    </w:p>
    <w:p w14:paraId="3934D9AC" w14:textId="77777777" w:rsidR="00FB70C1" w:rsidRPr="009041D4" w:rsidRDefault="00FB70C1" w:rsidP="00FB70C1">
      <w:pPr>
        <w:spacing w:after="0"/>
        <w:ind w:right="51"/>
        <w:jc w:val="both"/>
        <w:rPr>
          <w:rFonts w:ascii="Arial" w:hAnsi="Arial" w:cs="Arial"/>
        </w:rPr>
      </w:pPr>
      <w:r w:rsidRPr="009041D4">
        <w:rPr>
          <w:rFonts w:ascii="Arial" w:hAnsi="Arial" w:cs="Arial"/>
        </w:rPr>
        <w:t>Por lo que hace al intercambio de dígitos para la señalización IP o TDM que considera el envío del identificador de red origen y de red destino se apegará a lo establecido en el Plan Técnico Fundamental de Numeración, el Plan Técnico Fundamental de Señalización y sus respectivas modificaciones.</w:t>
      </w:r>
    </w:p>
    <w:p w14:paraId="3B8F7B05" w14:textId="77777777" w:rsidR="00FB70C1" w:rsidRPr="009041D4" w:rsidRDefault="00FB70C1" w:rsidP="00FB70C1">
      <w:pPr>
        <w:spacing w:after="0"/>
        <w:ind w:right="51"/>
        <w:jc w:val="both"/>
        <w:rPr>
          <w:rFonts w:ascii="Arial" w:hAnsi="Arial" w:cs="Arial"/>
        </w:rPr>
      </w:pPr>
    </w:p>
    <w:p w14:paraId="0A6F3900" w14:textId="77777777" w:rsidR="00FB70C1" w:rsidRPr="009041D4" w:rsidRDefault="00FB70C1" w:rsidP="00FB70C1">
      <w:pPr>
        <w:spacing w:after="0"/>
        <w:ind w:right="51"/>
        <w:jc w:val="both"/>
        <w:rPr>
          <w:rFonts w:ascii="Arial" w:hAnsi="Arial" w:cs="Arial"/>
        </w:rPr>
      </w:pPr>
      <w:r w:rsidRPr="009041D4">
        <w:rPr>
          <w:rFonts w:ascii="Arial" w:hAnsi="Arial" w:cs="Arial"/>
          <w:b/>
        </w:rPr>
        <w:t xml:space="preserve">OCTAVA. - </w:t>
      </w:r>
      <w:r w:rsidRPr="009041D4">
        <w:rPr>
          <w:rFonts w:ascii="Arial" w:hAnsi="Arial"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67EA61BB" w14:textId="77777777" w:rsidR="00FB70C1" w:rsidRPr="009041D4" w:rsidRDefault="00FB70C1" w:rsidP="00FB70C1">
      <w:pPr>
        <w:spacing w:after="0"/>
        <w:ind w:right="51"/>
        <w:jc w:val="both"/>
        <w:rPr>
          <w:rFonts w:ascii="Arial" w:hAnsi="Arial" w:cs="Arial"/>
        </w:rPr>
      </w:pPr>
    </w:p>
    <w:p w14:paraId="25B42DA2" w14:textId="77777777" w:rsidR="00FB70C1" w:rsidRPr="009041D4" w:rsidRDefault="00FB70C1" w:rsidP="00FB70C1">
      <w:pPr>
        <w:spacing w:after="0"/>
        <w:ind w:right="51"/>
        <w:jc w:val="both"/>
        <w:rPr>
          <w:rFonts w:ascii="Arial" w:hAnsi="Arial" w:cs="Arial"/>
        </w:rPr>
      </w:pPr>
      <w:r w:rsidRPr="009041D4">
        <w:rPr>
          <w:rFonts w:ascii="Arial" w:hAnsi="Arial" w:cs="Arial"/>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0C476C82" w14:textId="77777777" w:rsidR="00FB70C1" w:rsidRPr="009041D4" w:rsidRDefault="00FB70C1" w:rsidP="00FB70C1">
      <w:pPr>
        <w:spacing w:after="0"/>
        <w:ind w:right="51"/>
        <w:jc w:val="both"/>
        <w:rPr>
          <w:rFonts w:ascii="Arial" w:hAnsi="Arial" w:cs="Arial"/>
        </w:rPr>
      </w:pPr>
    </w:p>
    <w:p w14:paraId="2B1A63BC" w14:textId="77777777" w:rsidR="00FB70C1" w:rsidRPr="009041D4" w:rsidRDefault="00FB70C1" w:rsidP="00FB70C1">
      <w:pPr>
        <w:spacing w:after="0"/>
        <w:ind w:right="51"/>
        <w:jc w:val="both"/>
        <w:rPr>
          <w:rFonts w:ascii="Arial" w:hAnsi="Arial" w:cs="Arial"/>
        </w:rPr>
      </w:pPr>
      <w:r w:rsidRPr="009041D4">
        <w:rPr>
          <w:rFonts w:ascii="Arial" w:hAnsi="Arial" w:cs="Arial"/>
          <w:b/>
        </w:rPr>
        <w:t>NOVENA. -</w:t>
      </w:r>
      <w:r w:rsidRPr="009041D4">
        <w:rPr>
          <w:rFonts w:ascii="Arial" w:hAnsi="Arial" w:cs="Arial"/>
        </w:rPr>
        <w:t xml:space="preserve"> Las condiciones técnicas para la coubicación serán las siguientes:</w:t>
      </w:r>
    </w:p>
    <w:p w14:paraId="2E70F917" w14:textId="77777777" w:rsidR="00FB70C1" w:rsidRPr="009041D4" w:rsidRDefault="00FB70C1" w:rsidP="00FB70C1">
      <w:pPr>
        <w:spacing w:after="0"/>
        <w:ind w:right="51"/>
        <w:jc w:val="both"/>
        <w:rPr>
          <w:rFonts w:ascii="Arial" w:hAnsi="Arial" w:cs="Arial"/>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FB70C1" w:rsidRPr="009041D4" w14:paraId="19E59A56" w14:textId="77777777" w:rsidTr="006329CD">
        <w:trPr>
          <w:trHeight w:val="748"/>
          <w:jc w:val="center"/>
        </w:trPr>
        <w:tc>
          <w:tcPr>
            <w:tcW w:w="3111" w:type="dxa"/>
            <w:tcBorders>
              <w:top w:val="single" w:sz="6" w:space="0" w:color="auto"/>
              <w:bottom w:val="nil"/>
            </w:tcBorders>
          </w:tcPr>
          <w:p w14:paraId="3F10C05F" w14:textId="77777777" w:rsidR="00FB70C1" w:rsidRPr="009041D4" w:rsidRDefault="00FB70C1" w:rsidP="00FB70C1">
            <w:pPr>
              <w:numPr>
                <w:ilvl w:val="0"/>
                <w:numId w:val="5"/>
              </w:numPr>
              <w:spacing w:after="0"/>
              <w:ind w:right="49"/>
              <w:rPr>
                <w:rFonts w:ascii="Arial" w:hAnsi="Arial" w:cs="Arial"/>
                <w:sz w:val="20"/>
                <w:szCs w:val="20"/>
              </w:rPr>
            </w:pPr>
            <w:r w:rsidRPr="009041D4">
              <w:rPr>
                <w:rFonts w:ascii="Arial" w:hAnsi="Arial" w:cs="Arial"/>
                <w:sz w:val="20"/>
                <w:szCs w:val="20"/>
              </w:rPr>
              <w:t>Espacio:</w:t>
            </w:r>
          </w:p>
        </w:tc>
        <w:tc>
          <w:tcPr>
            <w:tcW w:w="5386" w:type="dxa"/>
            <w:tcBorders>
              <w:top w:val="single" w:sz="6" w:space="0" w:color="auto"/>
              <w:bottom w:val="nil"/>
            </w:tcBorders>
          </w:tcPr>
          <w:p w14:paraId="00B0CE43" w14:textId="77777777" w:rsidR="00FB70C1" w:rsidRPr="009041D4" w:rsidRDefault="00FB70C1" w:rsidP="006329CD">
            <w:pPr>
              <w:pStyle w:val="Ttulo3"/>
              <w:spacing w:line="276" w:lineRule="auto"/>
              <w:ind w:right="49"/>
              <w:rPr>
                <w:sz w:val="20"/>
              </w:rPr>
            </w:pPr>
            <w:r w:rsidRPr="009041D4">
              <w:rPr>
                <w:sz w:val="20"/>
              </w:rPr>
              <w:t>Con delimitación física</w:t>
            </w:r>
          </w:p>
        </w:tc>
      </w:tr>
      <w:tr w:rsidR="00FB70C1" w:rsidRPr="009041D4" w14:paraId="2D0976FB" w14:textId="77777777" w:rsidTr="006329CD">
        <w:trPr>
          <w:trHeight w:val="3381"/>
          <w:jc w:val="center"/>
        </w:trPr>
        <w:tc>
          <w:tcPr>
            <w:tcW w:w="3111" w:type="dxa"/>
            <w:tcBorders>
              <w:top w:val="single" w:sz="6" w:space="0" w:color="auto"/>
              <w:bottom w:val="nil"/>
            </w:tcBorders>
          </w:tcPr>
          <w:p w14:paraId="185E9F5A" w14:textId="77777777" w:rsidR="00FB70C1" w:rsidRPr="009041D4" w:rsidRDefault="00FB70C1" w:rsidP="00FB70C1">
            <w:pPr>
              <w:numPr>
                <w:ilvl w:val="0"/>
                <w:numId w:val="5"/>
              </w:numPr>
              <w:spacing w:after="0"/>
              <w:ind w:right="49"/>
              <w:rPr>
                <w:rFonts w:ascii="Arial" w:hAnsi="Arial" w:cs="Arial"/>
                <w:sz w:val="20"/>
                <w:szCs w:val="20"/>
              </w:rPr>
            </w:pPr>
            <w:r w:rsidRPr="009041D4">
              <w:rPr>
                <w:rFonts w:ascii="Arial" w:hAnsi="Arial" w:cs="Arial"/>
                <w:sz w:val="20"/>
                <w:szCs w:val="20"/>
              </w:rPr>
              <w:lastRenderedPageBreak/>
              <w:t>Tipos de coubicación:</w:t>
            </w:r>
          </w:p>
        </w:tc>
        <w:tc>
          <w:tcPr>
            <w:tcW w:w="5386" w:type="dxa"/>
            <w:tcBorders>
              <w:top w:val="single" w:sz="6" w:space="0" w:color="auto"/>
              <w:bottom w:val="nil"/>
            </w:tcBorders>
          </w:tcPr>
          <w:p w14:paraId="0113F0F7" w14:textId="77777777" w:rsidR="00FB70C1" w:rsidRPr="009041D4" w:rsidRDefault="00FB70C1" w:rsidP="006329CD">
            <w:pPr>
              <w:spacing w:after="0"/>
              <w:ind w:right="49"/>
              <w:jc w:val="both"/>
              <w:rPr>
                <w:rFonts w:ascii="Arial" w:hAnsi="Arial" w:cs="Arial"/>
                <w:sz w:val="20"/>
                <w:szCs w:val="20"/>
              </w:rPr>
            </w:pPr>
            <w:r w:rsidRPr="009041D4">
              <w:rPr>
                <w:rFonts w:ascii="Arial" w:hAnsi="Arial" w:cs="Arial"/>
                <w:sz w:val="20"/>
                <w:szCs w:val="20"/>
              </w:rPr>
              <w:t>Tipo 1 (Local): Área de 9 m</w:t>
            </w:r>
            <w:r w:rsidRPr="009041D4">
              <w:rPr>
                <w:rFonts w:ascii="Arial" w:hAnsi="Arial" w:cs="Arial"/>
                <w:sz w:val="20"/>
                <w:szCs w:val="20"/>
                <w:vertAlign w:val="superscript"/>
              </w:rPr>
              <w:t>2</w:t>
            </w:r>
            <w:r w:rsidRPr="009041D4">
              <w:rPr>
                <w:rFonts w:ascii="Arial" w:hAnsi="Arial" w:cs="Arial"/>
                <w:sz w:val="20"/>
                <w:szCs w:val="20"/>
              </w:rPr>
              <w:t xml:space="preserve"> (3x3) con delimitación de tabla roca pudiendo utilizar las paredes existentes.</w:t>
            </w:r>
          </w:p>
          <w:p w14:paraId="750FE478" w14:textId="77777777" w:rsidR="00FB70C1" w:rsidRPr="009041D4" w:rsidRDefault="00FB70C1" w:rsidP="006329CD">
            <w:pPr>
              <w:spacing w:after="0"/>
              <w:ind w:right="49"/>
              <w:jc w:val="both"/>
              <w:rPr>
                <w:rFonts w:ascii="Arial" w:hAnsi="Arial" w:cs="Arial"/>
                <w:sz w:val="20"/>
                <w:szCs w:val="20"/>
              </w:rPr>
            </w:pPr>
            <w:r w:rsidRPr="009041D4">
              <w:rPr>
                <w:rFonts w:ascii="Arial" w:hAnsi="Arial" w:cs="Arial"/>
                <w:sz w:val="20"/>
                <w:szCs w:val="20"/>
              </w:rPr>
              <w:t>Tipo 2 (Local): Área de 4 m</w:t>
            </w:r>
            <w:r w:rsidRPr="009041D4">
              <w:rPr>
                <w:rFonts w:ascii="Arial" w:hAnsi="Arial" w:cs="Arial"/>
                <w:sz w:val="20"/>
                <w:szCs w:val="20"/>
                <w:vertAlign w:val="superscript"/>
                <w:lang w:val="es-ES_tradnl"/>
              </w:rPr>
              <w:t>2</w:t>
            </w:r>
            <w:r w:rsidRPr="009041D4">
              <w:rPr>
                <w:rFonts w:ascii="Arial" w:hAnsi="Arial" w:cs="Arial"/>
                <w:sz w:val="20"/>
                <w:szCs w:val="20"/>
              </w:rPr>
              <w:t xml:space="preserve"> (2x2) con delimitación de tabla roca pudiendo utilizar las paredes existentes.</w:t>
            </w:r>
          </w:p>
          <w:p w14:paraId="7DBCC2A5" w14:textId="77777777" w:rsidR="00FB70C1" w:rsidRPr="009041D4" w:rsidRDefault="00FB70C1" w:rsidP="006329CD">
            <w:pPr>
              <w:spacing w:after="0"/>
              <w:ind w:right="51"/>
              <w:jc w:val="both"/>
              <w:rPr>
                <w:rFonts w:ascii="Arial" w:hAnsi="Arial" w:cs="Arial"/>
                <w:sz w:val="20"/>
                <w:szCs w:val="20"/>
              </w:rPr>
            </w:pPr>
            <w:r w:rsidRPr="009041D4">
              <w:rPr>
                <w:rFonts w:ascii="Arial" w:hAnsi="Arial" w:cs="Arial"/>
                <w:sz w:val="20"/>
                <w:szCs w:val="20"/>
              </w:rPr>
              <w:t>Tipo 3 (gabinete): Las dimensiones del gabinete serán las que el Concesionario Solicitado proporcione.</w:t>
            </w:r>
          </w:p>
          <w:p w14:paraId="4D84290E" w14:textId="77777777" w:rsidR="00FB70C1" w:rsidRPr="009041D4" w:rsidRDefault="00FB70C1" w:rsidP="006329CD">
            <w:pPr>
              <w:spacing w:after="0"/>
              <w:ind w:right="51"/>
              <w:jc w:val="both"/>
              <w:rPr>
                <w:rFonts w:ascii="Arial" w:hAnsi="Arial" w:cs="Arial"/>
                <w:sz w:val="20"/>
                <w:szCs w:val="20"/>
              </w:rPr>
            </w:pPr>
          </w:p>
          <w:p w14:paraId="6227D454" w14:textId="77777777" w:rsidR="00FB70C1" w:rsidRPr="009041D4" w:rsidRDefault="00FB70C1" w:rsidP="006329CD">
            <w:pPr>
              <w:spacing w:after="0"/>
              <w:ind w:right="51"/>
              <w:jc w:val="both"/>
              <w:rPr>
                <w:rFonts w:ascii="Arial" w:hAnsi="Arial" w:cs="Arial"/>
                <w:sz w:val="20"/>
                <w:szCs w:val="20"/>
              </w:rPr>
            </w:pPr>
            <w:r w:rsidRPr="009041D4">
              <w:rPr>
                <w:rFonts w:ascii="Arial" w:hAnsi="Arial" w:cs="Arial"/>
                <w:sz w:val="20"/>
                <w:szCs w:val="20"/>
              </w:rPr>
              <w:t>El tipo de coubicación será a elección del Concesionario Solicitado siempre y cuando las dimensiones permitan la colocación del equipo del Concesionario Solicitante.</w:t>
            </w:r>
          </w:p>
        </w:tc>
      </w:tr>
      <w:tr w:rsidR="00FB70C1" w:rsidRPr="009041D4" w14:paraId="38B3907A" w14:textId="77777777" w:rsidTr="006329CD">
        <w:trPr>
          <w:trHeight w:val="688"/>
          <w:jc w:val="center"/>
        </w:trPr>
        <w:tc>
          <w:tcPr>
            <w:tcW w:w="3111" w:type="dxa"/>
            <w:tcBorders>
              <w:top w:val="single" w:sz="6" w:space="0" w:color="auto"/>
              <w:bottom w:val="single" w:sz="4" w:space="0" w:color="auto"/>
            </w:tcBorders>
          </w:tcPr>
          <w:p w14:paraId="5F263434"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Acceso:</w:t>
            </w:r>
          </w:p>
        </w:tc>
        <w:tc>
          <w:tcPr>
            <w:tcW w:w="5386" w:type="dxa"/>
            <w:tcBorders>
              <w:top w:val="single" w:sz="6" w:space="0" w:color="auto"/>
              <w:bottom w:val="single" w:sz="4" w:space="0" w:color="auto"/>
            </w:tcBorders>
          </w:tcPr>
          <w:p w14:paraId="57AD917F" w14:textId="77777777" w:rsidR="00FB70C1" w:rsidRPr="009041D4" w:rsidRDefault="00FB70C1" w:rsidP="006329CD">
            <w:pPr>
              <w:spacing w:after="0"/>
              <w:ind w:right="49"/>
              <w:jc w:val="both"/>
              <w:rPr>
                <w:rFonts w:ascii="Arial" w:hAnsi="Arial" w:cs="Arial"/>
                <w:sz w:val="20"/>
                <w:szCs w:val="20"/>
                <w:u w:val="single"/>
                <w:lang w:val="es-ES_tradnl"/>
              </w:rPr>
            </w:pPr>
            <w:r w:rsidRPr="009041D4">
              <w:rPr>
                <w:rFonts w:ascii="Arial" w:hAnsi="Arial" w:cs="Arial"/>
                <w:sz w:val="20"/>
                <w:szCs w:val="20"/>
                <w:lang w:val="es-ES_tradnl"/>
              </w:rPr>
              <w:t>7X24 horas todos los días del año atendiendo los procedimientos que para ello establezcan los concesionarios.</w:t>
            </w:r>
            <w:r w:rsidRPr="009041D4">
              <w:rPr>
                <w:rFonts w:ascii="Arial" w:hAnsi="Arial" w:cs="Arial"/>
                <w:sz w:val="20"/>
                <w:szCs w:val="20"/>
                <w:u w:val="single"/>
                <w:lang w:val="es-ES_tradnl"/>
              </w:rPr>
              <w:t xml:space="preserve"> </w:t>
            </w:r>
          </w:p>
        </w:tc>
      </w:tr>
      <w:tr w:rsidR="00FB70C1" w:rsidRPr="009041D4" w14:paraId="0B669A8B" w14:textId="77777777" w:rsidTr="006329CD">
        <w:trPr>
          <w:trHeight w:val="875"/>
          <w:jc w:val="center"/>
        </w:trPr>
        <w:tc>
          <w:tcPr>
            <w:tcW w:w="3111" w:type="dxa"/>
            <w:tcBorders>
              <w:top w:val="single" w:sz="4" w:space="0" w:color="auto"/>
              <w:left w:val="single" w:sz="4" w:space="0" w:color="auto"/>
              <w:bottom w:val="single" w:sz="4" w:space="0" w:color="auto"/>
            </w:tcBorders>
          </w:tcPr>
          <w:p w14:paraId="5BBA5BE7"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1764A6FB"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 xml:space="preserve">2 contactos dobles polarizados de 127 V </w:t>
            </w:r>
            <w:r w:rsidRPr="009041D4">
              <w:rPr>
                <w:rFonts w:ascii="Arial" w:hAnsi="Arial" w:cs="Arial"/>
                <w:sz w:val="20"/>
                <w:szCs w:val="20"/>
                <w:u w:val="single"/>
                <w:lang w:val="es-ES_tradnl"/>
              </w:rPr>
              <w:t>+</w:t>
            </w:r>
            <w:r w:rsidRPr="009041D4">
              <w:rPr>
                <w:rFonts w:ascii="Arial" w:hAnsi="Arial" w:cs="Arial"/>
                <w:sz w:val="20"/>
                <w:szCs w:val="20"/>
                <w:lang w:val="es-ES_tradnl"/>
              </w:rPr>
              <w:t xml:space="preserve"> 10%, los cuales soportan un máximo de 180 VA con energía no regulada y sin respaldo.</w:t>
            </w:r>
          </w:p>
        </w:tc>
      </w:tr>
      <w:tr w:rsidR="00FB70C1" w:rsidRPr="009041D4" w14:paraId="370821E6" w14:textId="77777777" w:rsidTr="006329CD">
        <w:trPr>
          <w:trHeight w:val="313"/>
          <w:jc w:val="center"/>
        </w:trPr>
        <w:tc>
          <w:tcPr>
            <w:tcW w:w="3111" w:type="dxa"/>
            <w:tcBorders>
              <w:top w:val="single" w:sz="4" w:space="0" w:color="auto"/>
              <w:bottom w:val="nil"/>
            </w:tcBorders>
          </w:tcPr>
          <w:p w14:paraId="7A43722D"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Corriente Directa:</w:t>
            </w:r>
          </w:p>
        </w:tc>
        <w:tc>
          <w:tcPr>
            <w:tcW w:w="5386" w:type="dxa"/>
            <w:tcBorders>
              <w:top w:val="single" w:sz="4" w:space="0" w:color="auto"/>
              <w:bottom w:val="nil"/>
            </w:tcBorders>
          </w:tcPr>
          <w:p w14:paraId="08802495" w14:textId="77777777" w:rsidR="00FB70C1" w:rsidRPr="009041D4" w:rsidRDefault="00FB70C1" w:rsidP="006329CD">
            <w:pPr>
              <w:spacing w:after="0"/>
              <w:ind w:right="49"/>
              <w:rPr>
                <w:rFonts w:ascii="Arial" w:hAnsi="Arial" w:cs="Arial"/>
                <w:sz w:val="20"/>
                <w:szCs w:val="20"/>
                <w:lang w:val="es-ES_tradnl"/>
              </w:rPr>
            </w:pPr>
            <w:r w:rsidRPr="009041D4">
              <w:rPr>
                <w:rFonts w:ascii="Arial" w:hAnsi="Arial" w:cs="Arial"/>
                <w:sz w:val="20"/>
                <w:szCs w:val="20"/>
                <w:lang w:val="es-ES_tradnl"/>
              </w:rPr>
              <w:t xml:space="preserve"> - 48 VCD, +20%, -15%, 4 horas mínimo de respaldo.</w:t>
            </w:r>
          </w:p>
        </w:tc>
      </w:tr>
      <w:tr w:rsidR="00FB70C1" w:rsidRPr="009041D4" w14:paraId="58B22EA9" w14:textId="77777777" w:rsidTr="006329CD">
        <w:trPr>
          <w:trHeight w:val="362"/>
          <w:jc w:val="center"/>
        </w:trPr>
        <w:tc>
          <w:tcPr>
            <w:tcW w:w="3111" w:type="dxa"/>
            <w:tcBorders>
              <w:top w:val="single" w:sz="6" w:space="0" w:color="auto"/>
              <w:bottom w:val="single" w:sz="4" w:space="0" w:color="auto"/>
            </w:tcBorders>
          </w:tcPr>
          <w:p w14:paraId="4E09501E"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Planta de Emergencia:</w:t>
            </w:r>
          </w:p>
        </w:tc>
        <w:tc>
          <w:tcPr>
            <w:tcW w:w="5386" w:type="dxa"/>
            <w:tcBorders>
              <w:top w:val="single" w:sz="6" w:space="0" w:color="auto"/>
              <w:bottom w:val="single" w:sz="4" w:space="0" w:color="auto"/>
            </w:tcBorders>
          </w:tcPr>
          <w:p w14:paraId="56536763" w14:textId="77777777" w:rsidR="00FB70C1" w:rsidRPr="009041D4" w:rsidRDefault="00FB70C1" w:rsidP="006329CD">
            <w:pPr>
              <w:spacing w:after="0"/>
              <w:ind w:right="49"/>
              <w:rPr>
                <w:rFonts w:ascii="Arial" w:hAnsi="Arial" w:cs="Arial"/>
                <w:sz w:val="20"/>
                <w:szCs w:val="20"/>
                <w:lang w:val="es-ES_tradnl"/>
              </w:rPr>
            </w:pPr>
            <w:r w:rsidRPr="009041D4">
              <w:rPr>
                <w:rFonts w:ascii="Arial" w:hAnsi="Arial" w:cs="Arial"/>
                <w:sz w:val="20"/>
                <w:szCs w:val="20"/>
                <w:lang w:val="es-ES_tradnl"/>
              </w:rPr>
              <w:t>Como respaldo de la instalación.</w:t>
            </w:r>
          </w:p>
        </w:tc>
      </w:tr>
      <w:tr w:rsidR="00FB70C1" w:rsidRPr="009041D4" w14:paraId="6061B75B" w14:textId="77777777" w:rsidTr="006329CD">
        <w:trPr>
          <w:trHeight w:val="854"/>
          <w:jc w:val="center"/>
        </w:trPr>
        <w:tc>
          <w:tcPr>
            <w:tcW w:w="3111" w:type="dxa"/>
            <w:tcBorders>
              <w:top w:val="single" w:sz="4" w:space="0" w:color="auto"/>
              <w:left w:val="single" w:sz="4" w:space="0" w:color="auto"/>
              <w:bottom w:val="single" w:sz="4" w:space="0" w:color="auto"/>
              <w:right w:val="nil"/>
            </w:tcBorders>
          </w:tcPr>
          <w:p w14:paraId="46B4E03D"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240B4BA5"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Firme de concreto 400 Kg/m</w:t>
            </w:r>
            <w:r w:rsidRPr="009041D4">
              <w:rPr>
                <w:rFonts w:ascii="Arial" w:hAnsi="Arial" w:cs="Arial"/>
                <w:sz w:val="20"/>
                <w:szCs w:val="20"/>
                <w:vertAlign w:val="superscript"/>
                <w:lang w:val="es-ES_tradnl"/>
              </w:rPr>
              <w:t>2</w:t>
            </w:r>
            <w:r w:rsidRPr="009041D4">
              <w:rPr>
                <w:rFonts w:ascii="Arial" w:hAnsi="Arial" w:cs="Arial"/>
                <w:sz w:val="20"/>
                <w:szCs w:val="20"/>
                <w:lang w:val="es-ES_tradnl"/>
              </w:rPr>
              <w:t>, sin ondulaciones, máximo 3 mm de desnivel, cubierto con loseta vinílica.</w:t>
            </w:r>
          </w:p>
        </w:tc>
      </w:tr>
      <w:tr w:rsidR="00FB70C1" w:rsidRPr="009041D4" w14:paraId="087FEF4C" w14:textId="77777777" w:rsidTr="006329CD">
        <w:trPr>
          <w:trHeight w:val="555"/>
          <w:jc w:val="center"/>
        </w:trPr>
        <w:tc>
          <w:tcPr>
            <w:tcW w:w="3111" w:type="dxa"/>
            <w:tcBorders>
              <w:top w:val="single" w:sz="4" w:space="0" w:color="auto"/>
              <w:bottom w:val="single" w:sz="6" w:space="0" w:color="auto"/>
            </w:tcBorders>
          </w:tcPr>
          <w:p w14:paraId="1FC403AA"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Altura libre:</w:t>
            </w:r>
          </w:p>
        </w:tc>
        <w:tc>
          <w:tcPr>
            <w:tcW w:w="5386" w:type="dxa"/>
            <w:tcBorders>
              <w:top w:val="single" w:sz="4" w:space="0" w:color="auto"/>
              <w:bottom w:val="single" w:sz="6" w:space="0" w:color="auto"/>
            </w:tcBorders>
          </w:tcPr>
          <w:p w14:paraId="3DCD4FEC"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3.0 m para instalación de equipo. Los ductos y escalerillas estarán dentro de esta altura (2.40 m)</w:t>
            </w:r>
          </w:p>
        </w:tc>
      </w:tr>
      <w:tr w:rsidR="00FB70C1" w:rsidRPr="009041D4" w14:paraId="7AE0653E" w14:textId="77777777" w:rsidTr="006329CD">
        <w:trPr>
          <w:trHeight w:val="827"/>
          <w:jc w:val="center"/>
        </w:trPr>
        <w:tc>
          <w:tcPr>
            <w:tcW w:w="3111" w:type="dxa"/>
            <w:tcBorders>
              <w:top w:val="single" w:sz="6" w:space="0" w:color="auto"/>
              <w:bottom w:val="single" w:sz="4" w:space="0" w:color="auto"/>
            </w:tcBorders>
          </w:tcPr>
          <w:p w14:paraId="2F0BF2EE"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Sistema de tierras:</w:t>
            </w:r>
          </w:p>
        </w:tc>
        <w:tc>
          <w:tcPr>
            <w:tcW w:w="5386" w:type="dxa"/>
            <w:tcBorders>
              <w:top w:val="single" w:sz="6" w:space="0" w:color="auto"/>
              <w:bottom w:val="single" w:sz="4" w:space="0" w:color="auto"/>
            </w:tcBorders>
          </w:tcPr>
          <w:p w14:paraId="78735067"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Conductor principal de puesta a tierra calibre 1/0 AWG con derivación a cada local con cable calibre 6 AWG con un valor máximo de 5 ohms.</w:t>
            </w:r>
          </w:p>
        </w:tc>
      </w:tr>
      <w:tr w:rsidR="00FB70C1" w:rsidRPr="009041D4" w14:paraId="29ABF418" w14:textId="77777777" w:rsidTr="006329CD">
        <w:trPr>
          <w:trHeight w:val="560"/>
          <w:jc w:val="center"/>
        </w:trPr>
        <w:tc>
          <w:tcPr>
            <w:tcW w:w="3111" w:type="dxa"/>
            <w:tcBorders>
              <w:top w:val="single" w:sz="4" w:space="0" w:color="auto"/>
              <w:bottom w:val="single" w:sz="4" w:space="0" w:color="auto"/>
            </w:tcBorders>
          </w:tcPr>
          <w:p w14:paraId="0D98F609"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Temperatura:</w:t>
            </w:r>
          </w:p>
        </w:tc>
        <w:tc>
          <w:tcPr>
            <w:tcW w:w="5386" w:type="dxa"/>
            <w:tcBorders>
              <w:top w:val="single" w:sz="4" w:space="0" w:color="auto"/>
              <w:bottom w:val="single" w:sz="4" w:space="0" w:color="auto"/>
            </w:tcBorders>
          </w:tcPr>
          <w:p w14:paraId="40236A25"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Entre 10 y 25 °C y una humedad relativa entre 40% a 60%.</w:t>
            </w:r>
          </w:p>
        </w:tc>
      </w:tr>
      <w:tr w:rsidR="00FB70C1" w:rsidRPr="009041D4" w14:paraId="278A92AE" w14:textId="77777777" w:rsidTr="006329CD">
        <w:trPr>
          <w:trHeight w:val="838"/>
          <w:jc w:val="center"/>
        </w:trPr>
        <w:tc>
          <w:tcPr>
            <w:tcW w:w="3111" w:type="dxa"/>
            <w:tcBorders>
              <w:top w:val="single" w:sz="4" w:space="0" w:color="auto"/>
              <w:bottom w:val="single" w:sz="6" w:space="0" w:color="auto"/>
            </w:tcBorders>
          </w:tcPr>
          <w:p w14:paraId="44C010B7" w14:textId="77777777" w:rsidR="00FB70C1" w:rsidRPr="009041D4" w:rsidRDefault="00FB70C1" w:rsidP="00FB70C1">
            <w:pPr>
              <w:numPr>
                <w:ilvl w:val="0"/>
                <w:numId w:val="5"/>
              </w:numPr>
              <w:spacing w:after="0"/>
              <w:ind w:right="49"/>
              <w:rPr>
                <w:rFonts w:ascii="Arial" w:hAnsi="Arial" w:cs="Arial"/>
                <w:sz w:val="20"/>
                <w:szCs w:val="20"/>
                <w:lang w:val="es-ES_tradnl"/>
              </w:rPr>
            </w:pPr>
            <w:r w:rsidRPr="009041D4">
              <w:rPr>
                <w:rFonts w:ascii="Arial" w:hAnsi="Arial" w:cs="Arial"/>
                <w:sz w:val="20"/>
                <w:szCs w:val="20"/>
                <w:lang w:val="es-ES_tradnl"/>
              </w:rPr>
              <w:t>Iluminación:</w:t>
            </w:r>
          </w:p>
        </w:tc>
        <w:tc>
          <w:tcPr>
            <w:tcW w:w="5386" w:type="dxa"/>
            <w:tcBorders>
              <w:top w:val="single" w:sz="4" w:space="0" w:color="auto"/>
              <w:bottom w:val="single" w:sz="6" w:space="0" w:color="auto"/>
            </w:tcBorders>
          </w:tcPr>
          <w:p w14:paraId="174E07B6"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Iluminación general de sala de 300 luxes medidos en forma vertical bajo la lámpara en la parte anterior y posterior del equipo instalado.</w:t>
            </w:r>
          </w:p>
        </w:tc>
      </w:tr>
      <w:tr w:rsidR="00FB70C1" w:rsidRPr="009041D4" w14:paraId="28CB78B1" w14:textId="77777777" w:rsidTr="006329CD">
        <w:trPr>
          <w:trHeight w:val="1115"/>
          <w:jc w:val="center"/>
        </w:trPr>
        <w:tc>
          <w:tcPr>
            <w:tcW w:w="3111" w:type="dxa"/>
            <w:tcBorders>
              <w:top w:val="single" w:sz="6" w:space="0" w:color="auto"/>
              <w:bottom w:val="nil"/>
            </w:tcBorders>
          </w:tcPr>
          <w:p w14:paraId="0A29F495" w14:textId="77777777" w:rsidR="00FB70C1" w:rsidRPr="009041D4" w:rsidRDefault="00FB70C1" w:rsidP="00FB70C1">
            <w:pPr>
              <w:keepNext/>
              <w:keepLines/>
              <w:numPr>
                <w:ilvl w:val="0"/>
                <w:numId w:val="6"/>
              </w:numPr>
              <w:spacing w:after="0"/>
              <w:ind w:right="49"/>
              <w:rPr>
                <w:rFonts w:ascii="Arial" w:hAnsi="Arial" w:cs="Arial"/>
                <w:sz w:val="20"/>
                <w:szCs w:val="20"/>
                <w:lang w:val="es-ES_tradnl"/>
              </w:rPr>
            </w:pPr>
            <w:r w:rsidRPr="009041D4">
              <w:rPr>
                <w:rFonts w:ascii="Arial" w:hAnsi="Arial" w:cs="Arial"/>
                <w:sz w:val="20"/>
                <w:szCs w:val="20"/>
                <w:lang w:val="es-ES_tradnl"/>
              </w:rPr>
              <w:t>Herraje y/o ductería:</w:t>
            </w:r>
          </w:p>
        </w:tc>
        <w:tc>
          <w:tcPr>
            <w:tcW w:w="5386" w:type="dxa"/>
            <w:tcBorders>
              <w:top w:val="single" w:sz="6" w:space="0" w:color="auto"/>
              <w:bottom w:val="nil"/>
            </w:tcBorders>
          </w:tcPr>
          <w:p w14:paraId="0698A3AB" w14:textId="77777777" w:rsidR="00FB70C1" w:rsidRPr="009041D4" w:rsidRDefault="00FB70C1" w:rsidP="006329CD">
            <w:pPr>
              <w:keepNext/>
              <w:keepLines/>
              <w:spacing w:after="0"/>
              <w:ind w:right="49"/>
              <w:jc w:val="both"/>
              <w:rPr>
                <w:rFonts w:ascii="Arial" w:hAnsi="Arial" w:cs="Arial"/>
                <w:sz w:val="20"/>
                <w:szCs w:val="20"/>
                <w:lang w:val="es-ES_tradnl"/>
              </w:rPr>
            </w:pPr>
            <w:r w:rsidRPr="009041D4">
              <w:rPr>
                <w:rFonts w:ascii="Arial" w:hAnsi="Arial" w:cs="Arial"/>
                <w:sz w:val="20"/>
                <w:szCs w:val="20"/>
                <w:lang w:val="es-ES_tradnl"/>
              </w:rPr>
              <w:t>Provisto por el propietario del edificio, para conectar el punto de llegada al edificio con las áreas asignadas y con otras coubicaciones en caso de requerirse.</w:t>
            </w:r>
          </w:p>
        </w:tc>
      </w:tr>
      <w:tr w:rsidR="00FB70C1" w:rsidRPr="009041D4" w14:paraId="7A4A9820" w14:textId="77777777" w:rsidTr="006329CD">
        <w:trPr>
          <w:trHeight w:val="564"/>
          <w:jc w:val="center"/>
        </w:trPr>
        <w:tc>
          <w:tcPr>
            <w:tcW w:w="3111" w:type="dxa"/>
            <w:tcBorders>
              <w:top w:val="single" w:sz="6" w:space="0" w:color="auto"/>
              <w:bottom w:val="nil"/>
            </w:tcBorders>
          </w:tcPr>
          <w:p w14:paraId="20E1E02A" w14:textId="77777777" w:rsidR="00FB70C1" w:rsidRPr="009041D4" w:rsidRDefault="00FB70C1" w:rsidP="00FB70C1">
            <w:pPr>
              <w:numPr>
                <w:ilvl w:val="0"/>
                <w:numId w:val="7"/>
              </w:numPr>
              <w:spacing w:after="0"/>
              <w:ind w:right="49"/>
              <w:rPr>
                <w:rFonts w:ascii="Arial" w:hAnsi="Arial" w:cs="Arial"/>
                <w:sz w:val="20"/>
                <w:szCs w:val="20"/>
                <w:lang w:val="es-ES_tradnl"/>
              </w:rPr>
            </w:pPr>
            <w:r w:rsidRPr="009041D4">
              <w:rPr>
                <w:rFonts w:ascii="Arial" w:hAnsi="Arial" w:cs="Arial"/>
                <w:sz w:val="20"/>
                <w:szCs w:val="20"/>
                <w:lang w:val="es-ES_tradnl"/>
              </w:rPr>
              <w:t xml:space="preserve"> Acceso por mantenimiento:</w:t>
            </w:r>
          </w:p>
        </w:tc>
        <w:tc>
          <w:tcPr>
            <w:tcW w:w="5386" w:type="dxa"/>
            <w:tcBorders>
              <w:top w:val="single" w:sz="6" w:space="0" w:color="auto"/>
              <w:bottom w:val="nil"/>
            </w:tcBorders>
          </w:tcPr>
          <w:p w14:paraId="14617823"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Avisar previamente al centro de control de la Red.</w:t>
            </w:r>
          </w:p>
        </w:tc>
      </w:tr>
      <w:tr w:rsidR="00FB70C1" w:rsidRPr="009041D4" w14:paraId="0D6D7C46" w14:textId="77777777" w:rsidTr="006329CD">
        <w:trPr>
          <w:trHeight w:val="348"/>
          <w:jc w:val="center"/>
        </w:trPr>
        <w:tc>
          <w:tcPr>
            <w:tcW w:w="3111" w:type="dxa"/>
            <w:tcBorders>
              <w:top w:val="single" w:sz="6" w:space="0" w:color="auto"/>
              <w:bottom w:val="single" w:sz="6" w:space="0" w:color="auto"/>
            </w:tcBorders>
          </w:tcPr>
          <w:p w14:paraId="1ABAF36C" w14:textId="77777777" w:rsidR="00FB70C1" w:rsidRPr="009041D4" w:rsidRDefault="00FB70C1" w:rsidP="00FB70C1">
            <w:pPr>
              <w:numPr>
                <w:ilvl w:val="0"/>
                <w:numId w:val="7"/>
              </w:numPr>
              <w:spacing w:after="0"/>
              <w:ind w:right="49"/>
              <w:rPr>
                <w:rFonts w:ascii="Arial" w:hAnsi="Arial" w:cs="Arial"/>
                <w:sz w:val="20"/>
                <w:szCs w:val="20"/>
                <w:lang w:val="es-ES_tradnl"/>
              </w:rPr>
            </w:pPr>
            <w:r w:rsidRPr="009041D4">
              <w:rPr>
                <w:rFonts w:ascii="Arial" w:hAnsi="Arial" w:cs="Arial"/>
                <w:sz w:val="20"/>
                <w:szCs w:val="20"/>
                <w:lang w:val="es-ES_tradnl"/>
              </w:rPr>
              <w:t>Fijación del Equipo:</w:t>
            </w:r>
          </w:p>
        </w:tc>
        <w:tc>
          <w:tcPr>
            <w:tcW w:w="5386" w:type="dxa"/>
            <w:tcBorders>
              <w:top w:val="single" w:sz="6" w:space="0" w:color="auto"/>
              <w:bottom w:val="single" w:sz="6" w:space="0" w:color="auto"/>
            </w:tcBorders>
          </w:tcPr>
          <w:p w14:paraId="11192A03" w14:textId="77777777" w:rsidR="00FB70C1" w:rsidRPr="009041D4" w:rsidRDefault="00FB70C1" w:rsidP="006329CD">
            <w:pPr>
              <w:spacing w:after="0"/>
              <w:ind w:right="49"/>
              <w:rPr>
                <w:rFonts w:ascii="Arial" w:hAnsi="Arial" w:cs="Arial"/>
                <w:sz w:val="20"/>
                <w:szCs w:val="20"/>
                <w:lang w:val="es-ES_tradnl"/>
              </w:rPr>
            </w:pPr>
            <w:r w:rsidRPr="009041D4">
              <w:rPr>
                <w:rFonts w:ascii="Arial" w:hAnsi="Arial" w:cs="Arial"/>
                <w:sz w:val="20"/>
                <w:szCs w:val="20"/>
                <w:lang w:val="es-ES_tradnl"/>
              </w:rPr>
              <w:t xml:space="preserve">Anclaje a piso y/o techo de común acuerdo. </w:t>
            </w:r>
          </w:p>
        </w:tc>
      </w:tr>
      <w:tr w:rsidR="00FB70C1" w:rsidRPr="009041D4" w14:paraId="71EAF3C2" w14:textId="77777777" w:rsidTr="006329CD">
        <w:trPr>
          <w:trHeight w:val="835"/>
          <w:jc w:val="center"/>
        </w:trPr>
        <w:tc>
          <w:tcPr>
            <w:tcW w:w="3111" w:type="dxa"/>
            <w:tcBorders>
              <w:top w:val="nil"/>
              <w:bottom w:val="single" w:sz="6" w:space="0" w:color="auto"/>
            </w:tcBorders>
          </w:tcPr>
          <w:p w14:paraId="3C455256" w14:textId="77777777" w:rsidR="00FB70C1" w:rsidRPr="009041D4" w:rsidRDefault="00FB70C1" w:rsidP="00FB70C1">
            <w:pPr>
              <w:numPr>
                <w:ilvl w:val="0"/>
                <w:numId w:val="7"/>
              </w:numPr>
              <w:spacing w:after="0"/>
              <w:ind w:right="49"/>
              <w:rPr>
                <w:rFonts w:ascii="Arial" w:hAnsi="Arial" w:cs="Arial"/>
                <w:sz w:val="20"/>
                <w:szCs w:val="20"/>
                <w:lang w:val="es-ES_tradnl"/>
              </w:rPr>
            </w:pPr>
            <w:r w:rsidRPr="009041D4">
              <w:rPr>
                <w:rFonts w:ascii="Arial" w:hAnsi="Arial" w:cs="Arial"/>
                <w:sz w:val="20"/>
                <w:szCs w:val="20"/>
                <w:lang w:val="es-ES_tradnl"/>
              </w:rPr>
              <w:t>Identificación de Alimentación:</w:t>
            </w:r>
          </w:p>
        </w:tc>
        <w:tc>
          <w:tcPr>
            <w:tcW w:w="5386" w:type="dxa"/>
            <w:tcBorders>
              <w:top w:val="nil"/>
              <w:bottom w:val="single" w:sz="6" w:space="0" w:color="auto"/>
            </w:tcBorders>
          </w:tcPr>
          <w:p w14:paraId="4A747CF7" w14:textId="77777777" w:rsidR="00FB70C1" w:rsidRPr="009041D4" w:rsidRDefault="00FB70C1" w:rsidP="006329CD">
            <w:pPr>
              <w:spacing w:after="0"/>
              <w:ind w:right="49"/>
              <w:jc w:val="both"/>
              <w:rPr>
                <w:rFonts w:ascii="Arial" w:hAnsi="Arial" w:cs="Arial"/>
                <w:sz w:val="20"/>
                <w:szCs w:val="20"/>
                <w:lang w:val="es-ES_tradnl"/>
              </w:rPr>
            </w:pPr>
            <w:r w:rsidRPr="009041D4">
              <w:rPr>
                <w:rFonts w:ascii="Arial" w:hAnsi="Arial" w:cs="Arial"/>
                <w:sz w:val="20"/>
                <w:szCs w:val="20"/>
                <w:lang w:val="es-ES_tradnl"/>
              </w:rPr>
              <w:t>Identificación de los interruptores termomagnéticos asignados a los Concesionarios en el tablero general de CA.</w:t>
            </w:r>
          </w:p>
        </w:tc>
      </w:tr>
    </w:tbl>
    <w:p w14:paraId="5D96461F" w14:textId="77777777" w:rsidR="00FB70C1" w:rsidRPr="009041D4" w:rsidRDefault="00FB70C1" w:rsidP="00FB70C1">
      <w:pPr>
        <w:spacing w:after="0"/>
        <w:ind w:right="49"/>
        <w:jc w:val="both"/>
        <w:rPr>
          <w:rFonts w:ascii="Arial" w:hAnsi="Arial" w:cs="Arial"/>
        </w:rPr>
      </w:pPr>
    </w:p>
    <w:p w14:paraId="690CFBC9" w14:textId="77777777" w:rsidR="00FB70C1" w:rsidRPr="009041D4" w:rsidRDefault="00FB70C1" w:rsidP="00FB70C1">
      <w:pPr>
        <w:spacing w:after="0"/>
        <w:ind w:right="49"/>
        <w:jc w:val="both"/>
        <w:rPr>
          <w:rFonts w:ascii="Arial" w:hAnsi="Arial" w:cs="Arial"/>
        </w:rPr>
      </w:pPr>
      <w:r w:rsidRPr="009041D4">
        <w:rPr>
          <w:rFonts w:ascii="Arial" w:hAnsi="Arial" w:cs="Arial"/>
        </w:rPr>
        <w:lastRenderedPageBreak/>
        <w:t>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coubicados los concesionarios interesados.</w:t>
      </w:r>
    </w:p>
    <w:p w14:paraId="322436C5" w14:textId="77777777" w:rsidR="00FB70C1" w:rsidRPr="009041D4" w:rsidRDefault="00FB70C1" w:rsidP="00FB70C1">
      <w:pPr>
        <w:spacing w:after="0"/>
        <w:ind w:right="49"/>
        <w:jc w:val="both"/>
        <w:rPr>
          <w:rFonts w:ascii="Arial" w:hAnsi="Arial" w:cs="Arial"/>
        </w:rPr>
      </w:pPr>
    </w:p>
    <w:p w14:paraId="3255FADC" w14:textId="77777777" w:rsidR="00FB70C1" w:rsidRPr="009041D4" w:rsidRDefault="00FB70C1" w:rsidP="00FB70C1">
      <w:pPr>
        <w:spacing w:after="0"/>
        <w:ind w:right="49"/>
        <w:jc w:val="both"/>
        <w:rPr>
          <w:rFonts w:ascii="Arial" w:hAnsi="Arial" w:cs="Arial"/>
          <w:color w:val="1A1A1A"/>
        </w:rPr>
      </w:pPr>
      <w:r w:rsidRPr="009041D4">
        <w:rPr>
          <w:rFonts w:ascii="Arial" w:hAnsi="Arial" w:cs="Arial"/>
        </w:rPr>
        <w:t xml:space="preserve">En términos de la regulación de preponderancia, en caso de que el </w:t>
      </w:r>
      <w:r w:rsidRPr="009041D4">
        <w:rPr>
          <w:rFonts w:ascii="Arial" w:hAnsi="Arial" w:cs="Arial"/>
          <w:color w:val="1A1A1A"/>
        </w:rPr>
        <w:t xml:space="preserve">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punto con la red del Concesionario Solicitante que así se lo requiera, </w:t>
      </w:r>
      <w:r w:rsidRPr="009041D4">
        <w:rPr>
          <w:rFonts w:ascii="Arial" w:hAnsi="Arial" w:cs="Arial"/>
        </w:rPr>
        <w:t xml:space="preserve"> </w:t>
      </w:r>
      <w:r w:rsidRPr="009041D4">
        <w:rPr>
          <w:rFonts w:ascii="Arial" w:hAnsi="Arial" w:cs="Arial"/>
          <w:color w:val="1A1A1A"/>
        </w:rPr>
        <w:t>siempre y cuando los Puntos de Interconexión IP definidos para ambos integrantes coincidan en el mismo domicilio (inmueble).</w:t>
      </w:r>
    </w:p>
    <w:p w14:paraId="278594DA" w14:textId="77777777" w:rsidR="00FB70C1" w:rsidRPr="009041D4" w:rsidRDefault="00FB70C1" w:rsidP="00FB70C1">
      <w:pPr>
        <w:spacing w:after="0"/>
        <w:ind w:right="49"/>
        <w:jc w:val="both"/>
        <w:rPr>
          <w:rFonts w:ascii="Arial" w:hAnsi="Arial" w:cs="Arial"/>
        </w:rPr>
      </w:pPr>
    </w:p>
    <w:p w14:paraId="4AAC3B3F" w14:textId="71C25E91" w:rsidR="00FB70C1" w:rsidRDefault="00FB70C1" w:rsidP="00FB70C1">
      <w:pPr>
        <w:spacing w:after="0"/>
        <w:ind w:right="51"/>
        <w:jc w:val="both"/>
        <w:rPr>
          <w:rFonts w:ascii="Arial" w:hAnsi="Arial" w:cs="Arial"/>
        </w:rPr>
      </w:pPr>
      <w:r w:rsidRPr="009041D4">
        <w:rPr>
          <w:rFonts w:ascii="Arial" w:hAnsi="Arial" w:cs="Arial"/>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48B2D796" w14:textId="77777777" w:rsidR="009E4A73" w:rsidRPr="009041D4" w:rsidRDefault="009E4A73" w:rsidP="00FB70C1">
      <w:pPr>
        <w:spacing w:after="0"/>
        <w:ind w:right="51"/>
        <w:jc w:val="both"/>
        <w:rPr>
          <w:rFonts w:ascii="Arial" w:hAnsi="Arial" w:cs="Arial"/>
        </w:rPr>
      </w:pPr>
    </w:p>
    <w:p w14:paraId="4C6E73A6" w14:textId="77777777" w:rsidR="007727B0" w:rsidRPr="009041D4" w:rsidRDefault="007727B0" w:rsidP="007727B0">
      <w:pPr>
        <w:pStyle w:val="ANOTACION"/>
        <w:spacing w:before="0" w:after="0" w:line="276" w:lineRule="auto"/>
        <w:ind w:right="49"/>
        <w:rPr>
          <w:rFonts w:ascii="Arial" w:hAnsi="Arial" w:cs="Arial"/>
        </w:rPr>
      </w:pPr>
      <w:r w:rsidRPr="009041D4">
        <w:rPr>
          <w:rFonts w:ascii="Arial" w:hAnsi="Arial" w:cs="Arial"/>
          <w:sz w:val="22"/>
          <w:szCs w:val="22"/>
        </w:rPr>
        <w:t>CAPITULO IV</w:t>
      </w:r>
    </w:p>
    <w:p w14:paraId="445787F6" w14:textId="77777777" w:rsidR="007727B0" w:rsidRPr="009041D4" w:rsidRDefault="007727B0" w:rsidP="007727B0">
      <w:pPr>
        <w:spacing w:after="0"/>
        <w:ind w:right="51"/>
        <w:jc w:val="center"/>
        <w:rPr>
          <w:rFonts w:ascii="Arial" w:hAnsi="Arial" w:cs="Arial"/>
        </w:rPr>
      </w:pPr>
      <w:r w:rsidRPr="009041D4">
        <w:rPr>
          <w:rFonts w:ascii="Arial" w:hAnsi="Arial" w:cs="Arial"/>
          <w:b/>
        </w:rPr>
        <w:t>Tarifas de los Servicios Conmutados de Interconexión</w:t>
      </w:r>
    </w:p>
    <w:p w14:paraId="6D07CE58" w14:textId="77777777" w:rsidR="007727B0" w:rsidRPr="009041D4" w:rsidRDefault="007727B0" w:rsidP="007727B0">
      <w:pPr>
        <w:pStyle w:val="Prrafodelista"/>
        <w:spacing w:line="276" w:lineRule="auto"/>
        <w:ind w:left="0"/>
        <w:rPr>
          <w:rFonts w:cs="Arial"/>
          <w:b/>
          <w:lang w:val="es-ES"/>
        </w:rPr>
      </w:pPr>
    </w:p>
    <w:p w14:paraId="5F83E7F9" w14:textId="77777777" w:rsidR="007727B0" w:rsidRPr="009041D4" w:rsidRDefault="007727B0" w:rsidP="007727B0">
      <w:pPr>
        <w:pStyle w:val="Prrafodelista"/>
        <w:spacing w:line="276" w:lineRule="auto"/>
        <w:ind w:left="0"/>
        <w:rPr>
          <w:rFonts w:cs="Arial"/>
          <w:spacing w:val="-4"/>
          <w:lang w:val="es-ES"/>
        </w:rPr>
      </w:pPr>
      <w:r w:rsidRPr="009041D4">
        <w:rPr>
          <w:rFonts w:cs="Arial"/>
          <w:b/>
          <w:lang w:val="es-ES"/>
        </w:rPr>
        <w:t xml:space="preserve">Décima. - </w:t>
      </w:r>
      <w:r w:rsidRPr="009041D4">
        <w:rPr>
          <w:rFonts w:cs="Arial"/>
          <w:lang w:val="es-ES"/>
        </w:rPr>
        <w:t>De conformidad con lo señalado en los Lineamientos Tercero y Cuarto de la Metodología de Costos</w:t>
      </w:r>
      <w:r w:rsidRPr="009041D4">
        <w:rPr>
          <w:rFonts w:cs="Arial"/>
          <w:b/>
          <w:lang w:val="es-ES"/>
        </w:rPr>
        <w:t xml:space="preserve"> </w:t>
      </w:r>
      <w:r w:rsidRPr="009041D4">
        <w:rPr>
          <w:rFonts w:cs="Arial"/>
          <w:lang w:val="es-ES"/>
        </w:rPr>
        <w:t xml:space="preserve">para los servicios de conducción de tráfico, así como de tránsito se empleará el enfoque de Costos Incrementales de Largo Plazo Puros (CILP) para la determinación de tarifas, es así que el modelo de costos fijo (en lo sucesivo, el “Modelo Fijo”) y el modelo de costos móvil (en lo sucesivo, el “Modelo Móvil”), se construirán con base en este principio. </w:t>
      </w:r>
    </w:p>
    <w:p w14:paraId="52799AE2" w14:textId="40415616" w:rsidR="007727B0" w:rsidRPr="009041D4" w:rsidRDefault="007727B0" w:rsidP="007727B0">
      <w:pPr>
        <w:spacing w:after="0"/>
        <w:rPr>
          <w:rFonts w:ascii="Arial" w:hAnsi="Arial" w:cs="Arial"/>
          <w:sz w:val="16"/>
          <w:szCs w:val="16"/>
          <w:lang w:val="es-ES"/>
        </w:rPr>
      </w:pPr>
    </w:p>
    <w:p w14:paraId="1E37A7D8"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1.1</w:t>
      </w:r>
      <w:r w:rsidRPr="009041D4">
        <w:rPr>
          <w:rFonts w:ascii="Arial" w:eastAsia="Times New Roman" w:hAnsi="Arial" w:cs="Arial"/>
          <w:sz w:val="16"/>
          <w:szCs w:val="24"/>
          <w:lang w:val="es-ES" w:eastAsia="es-ES"/>
        </w:rPr>
        <w:t xml:space="preserve"> </w:t>
      </w:r>
      <w:r w:rsidRPr="009041D4">
        <w:rPr>
          <w:rFonts w:ascii="Arial" w:eastAsia="Times New Roman" w:hAnsi="Arial" w:cs="Arial"/>
          <w:b/>
          <w:szCs w:val="24"/>
          <w:lang w:eastAsia="es-ES"/>
        </w:rPr>
        <w:t>Aspectos del concesionario.</w:t>
      </w:r>
    </w:p>
    <w:p w14:paraId="582ED7D8" w14:textId="77777777" w:rsidR="007727B0" w:rsidRPr="009041D4" w:rsidRDefault="007727B0" w:rsidP="007727B0">
      <w:pPr>
        <w:spacing w:after="0"/>
        <w:jc w:val="both"/>
        <w:rPr>
          <w:rFonts w:ascii="Arial" w:eastAsia="Times New Roman" w:hAnsi="Arial" w:cs="Arial"/>
          <w:sz w:val="16"/>
          <w:szCs w:val="24"/>
          <w:lang w:eastAsia="es-ES"/>
        </w:rPr>
      </w:pPr>
    </w:p>
    <w:p w14:paraId="181B5329"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Tipo de concesionario.</w:t>
      </w:r>
    </w:p>
    <w:p w14:paraId="6B520FA1" w14:textId="77777777" w:rsidR="007727B0" w:rsidRPr="009041D4" w:rsidRDefault="007727B0" w:rsidP="007727B0">
      <w:pPr>
        <w:spacing w:after="0"/>
        <w:jc w:val="both"/>
        <w:rPr>
          <w:rFonts w:ascii="Arial" w:eastAsia="Times New Roman" w:hAnsi="Arial" w:cs="Arial"/>
          <w:sz w:val="16"/>
          <w:szCs w:val="24"/>
          <w:lang w:eastAsia="es-ES"/>
        </w:rPr>
      </w:pPr>
    </w:p>
    <w:p w14:paraId="462E751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Para el diseño de la red a modelarse es necesario definir el tipo de concesionario que se trata de representar, siendo éste uno de los principales aspectos conceptuales que determinará la estructura y los parámetros del modelo. </w:t>
      </w:r>
    </w:p>
    <w:p w14:paraId="7F4FF3CF" w14:textId="77777777" w:rsidR="007727B0" w:rsidRPr="009041D4" w:rsidRDefault="007727B0" w:rsidP="007727B0">
      <w:pPr>
        <w:tabs>
          <w:tab w:val="left" w:pos="1515"/>
        </w:tabs>
        <w:spacing w:after="0"/>
        <w:jc w:val="both"/>
        <w:rPr>
          <w:rFonts w:ascii="Arial" w:eastAsia="Times New Roman" w:hAnsi="Arial" w:cs="Arial"/>
          <w:sz w:val="16"/>
          <w:szCs w:val="24"/>
          <w:lang w:val="es-ES" w:eastAsia="es-ES"/>
        </w:rPr>
      </w:pPr>
      <w:r w:rsidRPr="009041D4">
        <w:rPr>
          <w:rFonts w:ascii="Arial" w:eastAsia="Times New Roman" w:hAnsi="Arial" w:cs="Arial"/>
          <w:sz w:val="16"/>
          <w:szCs w:val="24"/>
          <w:lang w:val="es-ES" w:eastAsia="es-ES"/>
        </w:rPr>
        <w:tab/>
      </w:r>
    </w:p>
    <w:p w14:paraId="39494C5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Existen en el ámbito internacional las siguientes opciones para definir el tipo de concesionario:</w:t>
      </w:r>
    </w:p>
    <w:p w14:paraId="4C01FD5E" w14:textId="77777777" w:rsidR="007727B0" w:rsidRPr="009041D4" w:rsidRDefault="007727B0" w:rsidP="007727B0">
      <w:pPr>
        <w:spacing w:after="0"/>
        <w:ind w:left="426"/>
        <w:jc w:val="both"/>
        <w:rPr>
          <w:rFonts w:ascii="Arial" w:eastAsia="Times New Roman" w:hAnsi="Arial" w:cs="Arial"/>
          <w:szCs w:val="24"/>
          <w:lang w:eastAsia="es-ES"/>
        </w:rPr>
      </w:pPr>
    </w:p>
    <w:p w14:paraId="0361EA9A" w14:textId="77777777" w:rsidR="007727B0" w:rsidRPr="009041D4" w:rsidRDefault="007727B0" w:rsidP="007727B0">
      <w:pPr>
        <w:numPr>
          <w:ilvl w:val="0"/>
          <w:numId w:val="13"/>
        </w:numPr>
        <w:tabs>
          <w:tab w:val="num" w:pos="709"/>
        </w:tabs>
        <w:spacing w:after="0"/>
        <w:ind w:left="709"/>
        <w:jc w:val="both"/>
        <w:rPr>
          <w:rFonts w:ascii="Arial" w:hAnsi="Arial" w:cs="Arial"/>
          <w:spacing w:val="-4"/>
          <w:lang w:val="es-ES"/>
        </w:rPr>
      </w:pPr>
      <w:r w:rsidRPr="009041D4">
        <w:rPr>
          <w:rFonts w:ascii="Arial" w:hAnsi="Arial" w:cs="Arial"/>
          <w:b/>
          <w:spacing w:val="-4"/>
          <w:lang w:val="es-ES"/>
        </w:rPr>
        <w:t xml:space="preserve">Concesionarios existentes – </w:t>
      </w:r>
      <w:r w:rsidRPr="009041D4">
        <w:rPr>
          <w:rFonts w:ascii="Arial" w:hAnsi="Arial" w:cs="Arial"/>
          <w:spacing w:val="-4"/>
          <w:lang w:val="es-ES"/>
        </w:rPr>
        <w:t>se calculan los costos de todos los concesionarios que prestan servicios en el mercado.</w:t>
      </w:r>
    </w:p>
    <w:p w14:paraId="5E71B530" w14:textId="77777777" w:rsidR="007727B0" w:rsidRPr="009041D4" w:rsidRDefault="007727B0" w:rsidP="007727B0">
      <w:pPr>
        <w:numPr>
          <w:ilvl w:val="0"/>
          <w:numId w:val="13"/>
        </w:numPr>
        <w:tabs>
          <w:tab w:val="num" w:pos="709"/>
        </w:tabs>
        <w:spacing w:after="0"/>
        <w:ind w:left="709"/>
        <w:jc w:val="both"/>
        <w:rPr>
          <w:rFonts w:ascii="Arial" w:hAnsi="Arial" w:cs="Arial"/>
          <w:lang w:val="es-ES"/>
        </w:rPr>
      </w:pPr>
      <w:r w:rsidRPr="009041D4">
        <w:rPr>
          <w:rFonts w:ascii="Arial" w:hAnsi="Arial" w:cs="Arial"/>
          <w:b/>
          <w:lang w:val="es-ES"/>
        </w:rPr>
        <w:lastRenderedPageBreak/>
        <w:t xml:space="preserve">Concesionario promedio – </w:t>
      </w:r>
      <w:r w:rsidRPr="009041D4">
        <w:rPr>
          <w:rFonts w:ascii="Arial" w:hAnsi="Arial" w:cs="Arial"/>
          <w:lang w:val="es-ES"/>
        </w:rPr>
        <w:t>se promedian los costos de todos los concesionarios que prestan servicios para cada uno de los mercados (fijo y móvil) para definir un operador ‘típico’.</w:t>
      </w:r>
    </w:p>
    <w:p w14:paraId="4B40E8D3" w14:textId="3A132476" w:rsidR="007727B0" w:rsidRPr="009041D4" w:rsidRDefault="007727B0" w:rsidP="007727B0">
      <w:pPr>
        <w:numPr>
          <w:ilvl w:val="0"/>
          <w:numId w:val="13"/>
        </w:numPr>
        <w:tabs>
          <w:tab w:val="num" w:pos="709"/>
        </w:tabs>
        <w:spacing w:after="0"/>
        <w:ind w:left="709"/>
        <w:jc w:val="both"/>
        <w:rPr>
          <w:rFonts w:ascii="Arial" w:hAnsi="Arial" w:cs="Arial"/>
          <w:b/>
          <w:bCs/>
          <w:lang w:val="es-ES"/>
        </w:rPr>
      </w:pPr>
      <w:r w:rsidRPr="009041D4">
        <w:rPr>
          <w:rFonts w:ascii="Arial" w:hAnsi="Arial" w:cs="Arial"/>
          <w:b/>
          <w:lang w:val="es-ES"/>
        </w:rPr>
        <w:t xml:space="preserve">Concesionario hipotético– </w:t>
      </w:r>
      <w:r w:rsidRPr="009041D4">
        <w:rPr>
          <w:rFonts w:ascii="Arial" w:hAnsi="Arial" w:cs="Arial"/>
          <w:lang w:val="es-ES"/>
        </w:rPr>
        <w:t xml:space="preserve">se define un concesionario con características similares a, o derivadas de, los concesionarios existentes en el </w:t>
      </w:r>
      <w:r w:rsidR="00525D50" w:rsidRPr="009041D4">
        <w:rPr>
          <w:rFonts w:ascii="Arial" w:hAnsi="Arial" w:cs="Arial"/>
          <w:lang w:val="es-ES"/>
        </w:rPr>
        <w:t>mercado,</w:t>
      </w:r>
      <w:r w:rsidRPr="009041D4">
        <w:rPr>
          <w:rFonts w:ascii="Arial" w:hAnsi="Arial" w:cs="Arial"/>
          <w:lang w:val="es-ES"/>
        </w:rPr>
        <w:t xml:space="preserve">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1430C032" w14:textId="77777777" w:rsidR="007727B0" w:rsidRPr="009041D4" w:rsidRDefault="007727B0" w:rsidP="007727B0">
      <w:pPr>
        <w:numPr>
          <w:ilvl w:val="0"/>
          <w:numId w:val="15"/>
        </w:numPr>
        <w:tabs>
          <w:tab w:val="num" w:pos="709"/>
        </w:tabs>
        <w:spacing w:after="0"/>
        <w:ind w:left="709" w:hanging="283"/>
        <w:jc w:val="both"/>
        <w:rPr>
          <w:rFonts w:ascii="Arial" w:hAnsi="Arial" w:cs="Arial"/>
          <w:b/>
          <w:bCs/>
          <w:sz w:val="20"/>
          <w:szCs w:val="20"/>
          <w:lang w:val="es-ES" w:eastAsia="es-ES"/>
        </w:rPr>
      </w:pPr>
      <w:r w:rsidRPr="009041D4">
        <w:rPr>
          <w:rFonts w:ascii="Arial" w:hAnsi="Arial" w:cs="Arial"/>
          <w:b/>
          <w:lang w:val="es-ES"/>
        </w:rPr>
        <w:t>Nuevo entrante hipotético –</w:t>
      </w:r>
      <w:r w:rsidRPr="009041D4">
        <w:rPr>
          <w:rFonts w:ascii="Arial" w:hAnsi="Arial" w:cs="Arial"/>
          <w:b/>
          <w:bCs/>
          <w:sz w:val="20"/>
          <w:szCs w:val="20"/>
          <w:lang w:val="es-ES" w:eastAsia="es-ES"/>
        </w:rPr>
        <w:t xml:space="preserve"> </w:t>
      </w:r>
      <w:r w:rsidRPr="009041D4">
        <w:rPr>
          <w:rFonts w:ascii="Arial" w:hAnsi="Arial" w:cs="Arial"/>
          <w:lang w:val="es-ES"/>
        </w:rPr>
        <w:t>se define un nuevo concesionario que entra al mercado en el año 2017, con una arquitectura de red moderna y que alcanza la participación de mercado eficiente del operador representativo.</w:t>
      </w:r>
    </w:p>
    <w:p w14:paraId="2D49F3F7" w14:textId="77777777" w:rsidR="007727B0" w:rsidRPr="009041D4" w:rsidRDefault="007727B0" w:rsidP="007727B0">
      <w:pPr>
        <w:spacing w:after="0"/>
        <w:ind w:left="993"/>
        <w:jc w:val="both"/>
        <w:rPr>
          <w:rFonts w:ascii="Arial" w:eastAsia="Times New Roman" w:hAnsi="Arial" w:cs="Arial"/>
          <w:sz w:val="16"/>
          <w:szCs w:val="24"/>
          <w:lang w:eastAsia="es-ES"/>
        </w:rPr>
      </w:pPr>
    </w:p>
    <w:p w14:paraId="09210E3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Cabe mencionar que construir modelos de costos tomando en consideración a un operador existente no es acorde a las mejores prácticas internacionales debido a lo siguiente:</w:t>
      </w:r>
    </w:p>
    <w:p w14:paraId="542C2D40" w14:textId="77777777" w:rsidR="007727B0" w:rsidRPr="009041D4" w:rsidRDefault="007727B0" w:rsidP="007727B0">
      <w:pPr>
        <w:spacing w:after="0"/>
        <w:jc w:val="both"/>
        <w:rPr>
          <w:rFonts w:ascii="Arial" w:eastAsia="Times New Roman" w:hAnsi="Arial" w:cs="Arial"/>
          <w:szCs w:val="24"/>
          <w:lang w:eastAsia="es-ES"/>
        </w:rPr>
      </w:pPr>
    </w:p>
    <w:p w14:paraId="3DD0CA17"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Reduce la transparencia en costos y precios, debido a que la información necesaria para construir el modelo provendría de la red del operador modelado situación en la cual existen asimetrías de información entre la empresa regulada y el regulador.</w:t>
      </w:r>
    </w:p>
    <w:p w14:paraId="0DE5A608"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Incrementa la complejidad de asegurar que se apliquen principios consistentes si el método se aplicara a modelos individuales para cada operador fijo y móvil.</w:t>
      </w:r>
    </w:p>
    <w:p w14:paraId="3E1F33EF"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Aumenta la dificultad para asegurar cumplir con el principio de eficiencia, debido a que reflejaría las ineficiencias históricas asociadas a la red modelada.</w:t>
      </w:r>
    </w:p>
    <w:p w14:paraId="4E18260C" w14:textId="77777777" w:rsidR="007727B0" w:rsidRPr="009041D4" w:rsidRDefault="007727B0" w:rsidP="007727B0">
      <w:pPr>
        <w:spacing w:after="0"/>
        <w:jc w:val="both"/>
        <w:rPr>
          <w:rFonts w:ascii="Arial" w:eastAsia="Times New Roman" w:hAnsi="Arial" w:cs="Arial"/>
          <w:szCs w:val="24"/>
          <w:lang w:eastAsia="es-ES"/>
        </w:rPr>
      </w:pPr>
    </w:p>
    <w:p w14:paraId="0F788C7A"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1EB1F04D"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 </w:t>
      </w:r>
    </w:p>
    <w:p w14:paraId="2B5C747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Por lo tanto, sólo se consideran tres opciones reales para el tipo de operador sobre el que se basarán los modelos. Las características de estas opciones se encuentran detalladas a continuación.</w:t>
      </w:r>
    </w:p>
    <w:p w14:paraId="14EDDA4C" w14:textId="77777777" w:rsidR="007727B0" w:rsidRPr="009041D4" w:rsidRDefault="007727B0" w:rsidP="007727B0">
      <w:pPr>
        <w:spacing w:after="0"/>
        <w:jc w:val="both"/>
        <w:rPr>
          <w:rFonts w:ascii="Arial" w:eastAsia="Times New Roman" w:hAnsi="Arial" w:cs="Arial"/>
          <w:szCs w:val="24"/>
          <w:lang w:eastAsia="es-ES"/>
        </w:rPr>
      </w:pPr>
    </w:p>
    <w:tbl>
      <w:tblPr>
        <w:tblW w:w="9157" w:type="dxa"/>
        <w:jc w:val="center"/>
        <w:tblBorders>
          <w:top w:val="single" w:sz="18" w:space="0" w:color="auto"/>
          <w:bottom w:val="single" w:sz="18" w:space="0" w:color="auto"/>
        </w:tblBorders>
        <w:tblLook w:val="0420" w:firstRow="1" w:lastRow="0" w:firstColumn="0" w:lastColumn="0" w:noHBand="0" w:noVBand="1"/>
      </w:tblPr>
      <w:tblGrid>
        <w:gridCol w:w="1559"/>
        <w:gridCol w:w="2693"/>
        <w:gridCol w:w="2608"/>
        <w:gridCol w:w="2297"/>
      </w:tblGrid>
      <w:tr w:rsidR="007727B0" w:rsidRPr="009041D4" w14:paraId="3324B6FF" w14:textId="77777777" w:rsidTr="007727B0">
        <w:trPr>
          <w:tblHeader/>
          <w:jc w:val="center"/>
        </w:trPr>
        <w:tc>
          <w:tcPr>
            <w:tcW w:w="1559" w:type="dxa"/>
            <w:tcBorders>
              <w:top w:val="single" w:sz="18" w:space="0" w:color="221F72"/>
              <w:left w:val="nil"/>
              <w:bottom w:val="single" w:sz="18" w:space="0" w:color="221F72"/>
              <w:right w:val="nil"/>
            </w:tcBorders>
            <w:shd w:val="solid" w:color="221F72" w:fill="221F72"/>
          </w:tcPr>
          <w:p w14:paraId="03DC44E5" w14:textId="77777777" w:rsidR="007727B0" w:rsidRPr="009041D4" w:rsidRDefault="007727B0" w:rsidP="007727B0">
            <w:pPr>
              <w:keepNext/>
              <w:spacing w:after="0"/>
              <w:ind w:right="113"/>
              <w:jc w:val="both"/>
              <w:rPr>
                <w:rFonts w:ascii="Arial" w:hAnsi="Arial" w:cs="Arial"/>
                <w:bCs/>
                <w:sz w:val="16"/>
                <w:szCs w:val="16"/>
                <w:lang w:val="es-ES"/>
              </w:rPr>
            </w:pPr>
            <w:r w:rsidRPr="009041D4">
              <w:rPr>
                <w:rFonts w:ascii="Arial" w:hAnsi="Arial" w:cs="Arial"/>
                <w:b/>
                <w:bCs/>
                <w:sz w:val="16"/>
                <w:szCs w:val="16"/>
                <w:lang w:val="es-ES"/>
              </w:rPr>
              <w:t xml:space="preserve">Característica </w:t>
            </w:r>
          </w:p>
        </w:tc>
        <w:tc>
          <w:tcPr>
            <w:tcW w:w="2693" w:type="dxa"/>
            <w:tcBorders>
              <w:top w:val="single" w:sz="18" w:space="0" w:color="221F72"/>
              <w:left w:val="nil"/>
              <w:bottom w:val="single" w:sz="18" w:space="0" w:color="221F72"/>
              <w:right w:val="nil"/>
            </w:tcBorders>
            <w:shd w:val="solid" w:color="221F72" w:fill="221F72"/>
          </w:tcPr>
          <w:p w14:paraId="344BA9E8" w14:textId="77777777" w:rsidR="007727B0" w:rsidRPr="009041D4" w:rsidRDefault="007727B0" w:rsidP="007727B0">
            <w:pPr>
              <w:keepNext/>
              <w:spacing w:after="0"/>
              <w:ind w:right="113"/>
              <w:jc w:val="both"/>
              <w:rPr>
                <w:rFonts w:ascii="Arial" w:hAnsi="Arial" w:cs="Arial"/>
                <w:bCs/>
                <w:sz w:val="16"/>
                <w:szCs w:val="16"/>
                <w:lang w:val="es-ES"/>
              </w:rPr>
            </w:pPr>
            <w:r w:rsidRPr="009041D4">
              <w:rPr>
                <w:rFonts w:ascii="Arial" w:hAnsi="Arial" w:cs="Arial"/>
                <w:b/>
                <w:sz w:val="16"/>
                <w:szCs w:val="16"/>
                <w:lang w:val="es-ES"/>
              </w:rPr>
              <w:t xml:space="preserve">Opción 1 : Operador promedio </w:t>
            </w:r>
          </w:p>
        </w:tc>
        <w:tc>
          <w:tcPr>
            <w:tcW w:w="2608" w:type="dxa"/>
            <w:tcBorders>
              <w:top w:val="single" w:sz="18" w:space="0" w:color="221F72"/>
              <w:left w:val="nil"/>
              <w:bottom w:val="single" w:sz="18" w:space="0" w:color="221F72"/>
              <w:right w:val="nil"/>
            </w:tcBorders>
            <w:shd w:val="solid" w:color="221F72" w:fill="221F72"/>
          </w:tcPr>
          <w:p w14:paraId="55C20345" w14:textId="77777777" w:rsidR="007727B0" w:rsidRPr="009041D4" w:rsidRDefault="007727B0" w:rsidP="007727B0">
            <w:pPr>
              <w:keepNext/>
              <w:spacing w:after="0"/>
              <w:ind w:right="113"/>
              <w:jc w:val="both"/>
              <w:rPr>
                <w:rFonts w:ascii="Arial" w:hAnsi="Arial" w:cs="Arial"/>
                <w:bCs/>
                <w:sz w:val="16"/>
                <w:szCs w:val="16"/>
                <w:lang w:val="es-ES"/>
              </w:rPr>
            </w:pPr>
            <w:r w:rsidRPr="009041D4">
              <w:rPr>
                <w:rFonts w:ascii="Arial" w:hAnsi="Arial" w:cs="Arial"/>
                <w:b/>
                <w:sz w:val="16"/>
                <w:szCs w:val="16"/>
                <w:lang w:val="es-ES"/>
              </w:rPr>
              <w:t xml:space="preserve">Opción 2: Operador hipotético existente </w:t>
            </w:r>
          </w:p>
        </w:tc>
        <w:tc>
          <w:tcPr>
            <w:tcW w:w="2297" w:type="dxa"/>
            <w:tcBorders>
              <w:top w:val="single" w:sz="18" w:space="0" w:color="221F72"/>
              <w:left w:val="nil"/>
              <w:bottom w:val="single" w:sz="18" w:space="0" w:color="221F72"/>
              <w:right w:val="nil"/>
            </w:tcBorders>
            <w:shd w:val="solid" w:color="221F72" w:fill="221F72"/>
          </w:tcPr>
          <w:p w14:paraId="0F044DAE" w14:textId="77777777" w:rsidR="007727B0" w:rsidRPr="009041D4" w:rsidRDefault="007727B0" w:rsidP="007727B0">
            <w:pPr>
              <w:keepNext/>
              <w:spacing w:after="0"/>
              <w:ind w:right="113"/>
              <w:jc w:val="both"/>
              <w:rPr>
                <w:rFonts w:ascii="Arial" w:hAnsi="Arial" w:cs="Arial"/>
                <w:bCs/>
                <w:sz w:val="16"/>
                <w:szCs w:val="16"/>
                <w:lang w:val="es-ES"/>
              </w:rPr>
            </w:pPr>
            <w:r w:rsidRPr="009041D4">
              <w:rPr>
                <w:rFonts w:ascii="Arial" w:hAnsi="Arial" w:cs="Arial"/>
                <w:b/>
                <w:sz w:val="16"/>
                <w:szCs w:val="16"/>
                <w:lang w:val="es-ES"/>
              </w:rPr>
              <w:t xml:space="preserve">Opción 3: Nuevo entrante hipotético </w:t>
            </w:r>
          </w:p>
        </w:tc>
      </w:tr>
      <w:tr w:rsidR="007727B0" w:rsidRPr="009041D4" w14:paraId="5E7059CB" w14:textId="77777777" w:rsidTr="007727B0">
        <w:trPr>
          <w:jc w:val="center"/>
        </w:trPr>
        <w:tc>
          <w:tcPr>
            <w:tcW w:w="1559" w:type="dxa"/>
            <w:tcBorders>
              <w:top w:val="single" w:sz="18" w:space="0" w:color="221F72"/>
            </w:tcBorders>
            <w:shd w:val="clear" w:color="auto" w:fill="D8D8D8"/>
          </w:tcPr>
          <w:p w14:paraId="228D239D"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Fecha de lanzamiento</w:t>
            </w:r>
          </w:p>
        </w:tc>
        <w:tc>
          <w:tcPr>
            <w:tcW w:w="2693" w:type="dxa"/>
            <w:tcBorders>
              <w:top w:val="single" w:sz="18" w:space="0" w:color="221F72"/>
            </w:tcBorders>
            <w:shd w:val="clear" w:color="auto" w:fill="D8D8D8"/>
          </w:tcPr>
          <w:p w14:paraId="1B9C02BF"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Diferente para todos los operadores, por lo tanto utilizar un promedio no es representativo.</w:t>
            </w:r>
          </w:p>
        </w:tc>
        <w:tc>
          <w:tcPr>
            <w:tcW w:w="2608" w:type="dxa"/>
            <w:tcBorders>
              <w:top w:val="single" w:sz="18" w:space="0" w:color="221F72"/>
            </w:tcBorders>
            <w:shd w:val="clear" w:color="auto" w:fill="D8D8D8"/>
          </w:tcPr>
          <w:p w14:paraId="4B222284"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Puede ser establecida de forma consistente para los modelos fijo y móvil tomando en consideración hitos clave en el despliegue de las redes reales.</w:t>
            </w:r>
          </w:p>
        </w:tc>
        <w:tc>
          <w:tcPr>
            <w:tcW w:w="2297" w:type="dxa"/>
            <w:tcBorders>
              <w:top w:val="single" w:sz="18" w:space="0" w:color="221F72"/>
            </w:tcBorders>
            <w:shd w:val="clear" w:color="auto" w:fill="D8D8D8"/>
          </w:tcPr>
          <w:p w14:paraId="77930694" w14:textId="590C51B1"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Por definición, utilizar 201</w:t>
            </w:r>
            <w:r w:rsidR="00576EF7" w:rsidRPr="009041D4">
              <w:rPr>
                <w:rFonts w:ascii="Arial" w:hAnsi="Arial" w:cs="Arial"/>
                <w:sz w:val="16"/>
                <w:szCs w:val="16"/>
                <w:lang w:val="es-ES"/>
              </w:rPr>
              <w:t>9</w:t>
            </w:r>
            <w:r w:rsidRPr="009041D4">
              <w:rPr>
                <w:rFonts w:ascii="Arial" w:hAnsi="Arial" w:cs="Arial"/>
                <w:sz w:val="16"/>
                <w:szCs w:val="16"/>
                <w:lang w:val="es-ES"/>
              </w:rPr>
              <w:t xml:space="preserve"> sería consistente para operadores fijos y móviles.</w:t>
            </w:r>
          </w:p>
        </w:tc>
      </w:tr>
      <w:tr w:rsidR="007727B0" w:rsidRPr="009041D4" w14:paraId="2327540D" w14:textId="77777777" w:rsidTr="007727B0">
        <w:trPr>
          <w:jc w:val="center"/>
        </w:trPr>
        <w:tc>
          <w:tcPr>
            <w:tcW w:w="1559" w:type="dxa"/>
            <w:tcBorders>
              <w:bottom w:val="nil"/>
            </w:tcBorders>
            <w:shd w:val="clear" w:color="auto" w:fill="auto"/>
          </w:tcPr>
          <w:p w14:paraId="1731AEAB"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Tecnología</w:t>
            </w:r>
          </w:p>
        </w:tc>
        <w:tc>
          <w:tcPr>
            <w:tcW w:w="2693" w:type="dxa"/>
            <w:tcBorders>
              <w:bottom w:val="nil"/>
            </w:tcBorders>
            <w:shd w:val="clear" w:color="auto" w:fill="auto"/>
          </w:tcPr>
          <w:p w14:paraId="68069B81" w14:textId="4474549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 xml:space="preserve">Grandes diferencias en tecnología para el operador histórico, alternativos y los operadores de cable por lo que </w:t>
            </w:r>
            <w:r w:rsidRPr="009041D4">
              <w:rPr>
                <w:rFonts w:ascii="Arial" w:hAnsi="Arial" w:cs="Arial"/>
                <w:sz w:val="16"/>
                <w:szCs w:val="16"/>
                <w:lang w:val="es-ES"/>
              </w:rPr>
              <w:lastRenderedPageBreak/>
              <w:t xml:space="preserve">un promedio no sería representativo. </w:t>
            </w:r>
          </w:p>
        </w:tc>
        <w:tc>
          <w:tcPr>
            <w:tcW w:w="2608" w:type="dxa"/>
            <w:tcBorders>
              <w:bottom w:val="nil"/>
            </w:tcBorders>
            <w:shd w:val="clear" w:color="auto" w:fill="auto"/>
          </w:tcPr>
          <w:p w14:paraId="60888558"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lastRenderedPageBreak/>
              <w:t xml:space="preserve">La tecnología utilizada por un operador hipotético puede definirse de forma específica, tomando en consideración </w:t>
            </w:r>
            <w:r w:rsidRPr="009041D4">
              <w:rPr>
                <w:rFonts w:ascii="Arial" w:hAnsi="Arial" w:cs="Arial"/>
                <w:sz w:val="16"/>
                <w:szCs w:val="16"/>
                <w:lang w:val="es-ES"/>
              </w:rPr>
              <w:lastRenderedPageBreak/>
              <w:t>componentes relevantes de las redes existentes.</w:t>
            </w:r>
          </w:p>
        </w:tc>
        <w:tc>
          <w:tcPr>
            <w:tcW w:w="2297" w:type="dxa"/>
            <w:tcBorders>
              <w:bottom w:val="nil"/>
            </w:tcBorders>
            <w:shd w:val="clear" w:color="auto" w:fill="auto"/>
          </w:tcPr>
          <w:p w14:paraId="707066D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lastRenderedPageBreak/>
              <w:t>Por definición, un nuevo entrante utilizaría la tecnología moderna existente.</w:t>
            </w:r>
          </w:p>
        </w:tc>
      </w:tr>
      <w:tr w:rsidR="007727B0" w:rsidRPr="009041D4" w14:paraId="00CFA692" w14:textId="77777777" w:rsidTr="007727B0">
        <w:trPr>
          <w:jc w:val="center"/>
        </w:trPr>
        <w:tc>
          <w:tcPr>
            <w:tcW w:w="1559" w:type="dxa"/>
            <w:tcBorders>
              <w:top w:val="nil"/>
            </w:tcBorders>
            <w:shd w:val="clear" w:color="auto" w:fill="D8D8D8"/>
          </w:tcPr>
          <w:p w14:paraId="36D044E0"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 xml:space="preserve">Evolución y migración a tecnología moderna </w:t>
            </w:r>
          </w:p>
        </w:tc>
        <w:tc>
          <w:tcPr>
            <w:tcW w:w="2693" w:type="dxa"/>
            <w:tcBorders>
              <w:top w:val="nil"/>
              <w:bottom w:val="nil"/>
            </w:tcBorders>
            <w:shd w:val="clear" w:color="auto" w:fill="D8D8D8"/>
          </w:tcPr>
          <w:p w14:paraId="6EEF0A28" w14:textId="0583F133" w:rsidR="007727B0" w:rsidRPr="009041D4" w:rsidRDefault="007727B0" w:rsidP="007727B0">
            <w:pPr>
              <w:spacing w:after="0"/>
              <w:ind w:right="113"/>
              <w:jc w:val="both"/>
              <w:rPr>
                <w:rFonts w:ascii="Arial" w:hAnsi="Arial" w:cs="Arial"/>
                <w:color w:val="000000"/>
                <w:sz w:val="16"/>
                <w:szCs w:val="16"/>
              </w:rPr>
            </w:pPr>
            <w:r w:rsidRPr="009041D4">
              <w:rPr>
                <w:rFonts w:ascii="Arial" w:hAnsi="Arial" w:cs="Arial"/>
                <w:color w:val="000000"/>
                <w:sz w:val="16"/>
                <w:szCs w:val="16"/>
                <w:lang w:val="es-ES"/>
              </w:rPr>
              <w:t>Los principales operadores fijos han evolucionado en formas distintas por lo que es complicado definir una evolución promedio</w:t>
            </w:r>
            <w:r w:rsidR="00576EF7" w:rsidRPr="009041D4">
              <w:rPr>
                <w:rFonts w:ascii="Arial" w:hAnsi="Arial" w:cs="Arial"/>
                <w:color w:val="000000"/>
                <w:sz w:val="16"/>
                <w:szCs w:val="16"/>
                <w:lang w:val="es-ES"/>
              </w:rPr>
              <w:t xml:space="preserve">; </w:t>
            </w:r>
            <w:r w:rsidR="00576EF7" w:rsidRPr="009041D4">
              <w:rPr>
                <w:rFonts w:ascii="Arial" w:hAnsi="Arial" w:cs="Arial"/>
                <w:color w:val="000000"/>
                <w:sz w:val="16"/>
                <w:szCs w:val="16"/>
              </w:rPr>
              <w:t>los operadores móviles evolucionan de distinto modo</w:t>
            </w:r>
            <w:r w:rsidRPr="009041D4">
              <w:rPr>
                <w:rFonts w:ascii="Arial" w:hAnsi="Arial" w:cs="Arial"/>
              </w:rPr>
              <w:t xml:space="preserve"> </w:t>
            </w:r>
            <w:r w:rsidRPr="009041D4">
              <w:rPr>
                <w:rFonts w:ascii="Arial" w:hAnsi="Arial" w:cs="Arial"/>
                <w:sz w:val="16"/>
                <w:szCs w:val="16"/>
                <w:lang w:val="es-ES"/>
              </w:rPr>
              <w:t>.</w:t>
            </w:r>
          </w:p>
        </w:tc>
        <w:tc>
          <w:tcPr>
            <w:tcW w:w="2608" w:type="dxa"/>
            <w:tcBorders>
              <w:top w:val="nil"/>
            </w:tcBorders>
            <w:shd w:val="clear" w:color="auto" w:fill="D8D8D8"/>
          </w:tcPr>
          <w:p w14:paraId="636596F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2297" w:type="dxa"/>
            <w:tcBorders>
              <w:top w:val="nil"/>
              <w:bottom w:val="nil"/>
            </w:tcBorders>
            <w:shd w:val="clear" w:color="auto" w:fill="D8D8D8"/>
          </w:tcPr>
          <w:p w14:paraId="4B5E6EDB"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7727B0" w:rsidRPr="009041D4" w14:paraId="1D149A41" w14:textId="77777777" w:rsidTr="007727B0">
        <w:trPr>
          <w:jc w:val="center"/>
        </w:trPr>
        <w:tc>
          <w:tcPr>
            <w:tcW w:w="1559" w:type="dxa"/>
            <w:tcBorders>
              <w:top w:val="nil"/>
              <w:bottom w:val="nil"/>
            </w:tcBorders>
            <w:shd w:val="clear" w:color="auto" w:fill="auto"/>
          </w:tcPr>
          <w:p w14:paraId="3935EEC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Eficiencia</w:t>
            </w:r>
          </w:p>
        </w:tc>
        <w:tc>
          <w:tcPr>
            <w:tcW w:w="2693" w:type="dxa"/>
            <w:tcBorders>
              <w:top w:val="nil"/>
              <w:bottom w:val="nil"/>
            </w:tcBorders>
            <w:shd w:val="clear" w:color="auto" w:fill="auto"/>
          </w:tcPr>
          <w:p w14:paraId="65171E6A"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Se podrían incluir costos ineficientes con un promedio.</w:t>
            </w:r>
          </w:p>
        </w:tc>
        <w:tc>
          <w:tcPr>
            <w:tcW w:w="2608" w:type="dxa"/>
            <w:tcBorders>
              <w:top w:val="nil"/>
              <w:bottom w:val="nil"/>
            </w:tcBorders>
            <w:shd w:val="clear" w:color="auto" w:fill="auto"/>
          </w:tcPr>
          <w:p w14:paraId="42F6BC0C"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Los aspectos de eficiencia pueden ser definidos.</w:t>
            </w:r>
          </w:p>
        </w:tc>
        <w:tc>
          <w:tcPr>
            <w:tcW w:w="2297" w:type="dxa"/>
            <w:tcBorders>
              <w:top w:val="nil"/>
              <w:bottom w:val="nil"/>
            </w:tcBorders>
            <w:shd w:val="clear" w:color="auto" w:fill="auto"/>
          </w:tcPr>
          <w:p w14:paraId="0E98F5A6"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Las opciones eficientes se pueden seleccionar para el modelo.</w:t>
            </w:r>
          </w:p>
        </w:tc>
      </w:tr>
      <w:tr w:rsidR="007727B0" w:rsidRPr="009041D4" w14:paraId="6A026959" w14:textId="77777777" w:rsidTr="007727B0">
        <w:trPr>
          <w:jc w:val="center"/>
        </w:trPr>
        <w:tc>
          <w:tcPr>
            <w:tcW w:w="1559" w:type="dxa"/>
            <w:tcBorders>
              <w:top w:val="nil"/>
              <w:bottom w:val="nil"/>
            </w:tcBorders>
            <w:shd w:val="clear" w:color="auto" w:fill="D8D8D8"/>
          </w:tcPr>
          <w:p w14:paraId="3A6E64E3"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Transparencia con respecto al uso de un modelo ascendente (</w:t>
            </w:r>
            <w:r w:rsidRPr="009041D4">
              <w:rPr>
                <w:rFonts w:ascii="Arial" w:hAnsi="Arial" w:cs="Arial"/>
                <w:i/>
                <w:sz w:val="16"/>
                <w:szCs w:val="16"/>
                <w:lang w:val="es-ES"/>
              </w:rPr>
              <w:t>bottom up</w:t>
            </w:r>
            <w:r w:rsidRPr="009041D4">
              <w:rPr>
                <w:rFonts w:ascii="Arial" w:hAnsi="Arial" w:cs="Arial"/>
                <w:sz w:val="16"/>
                <w:szCs w:val="16"/>
                <w:lang w:val="es-ES"/>
              </w:rPr>
              <w:t>)</w:t>
            </w:r>
          </w:p>
        </w:tc>
        <w:tc>
          <w:tcPr>
            <w:tcW w:w="2693" w:type="dxa"/>
            <w:tcBorders>
              <w:top w:val="nil"/>
              <w:bottom w:val="nil"/>
            </w:tcBorders>
            <w:shd w:val="clear" w:color="auto" w:fill="D8D8D8"/>
          </w:tcPr>
          <w:p w14:paraId="382137ED"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Puede ser difícil en el caso de las redes fijas ya que el operador promedio sería muy abstracto en comparación con los operadores existentes.</w:t>
            </w:r>
          </w:p>
          <w:p w14:paraId="6D6B424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El operador promedio móvil tendría más semejanzas con los operadores existentes.</w:t>
            </w:r>
          </w:p>
        </w:tc>
        <w:tc>
          <w:tcPr>
            <w:tcW w:w="2608" w:type="dxa"/>
            <w:tcBorders>
              <w:top w:val="nil"/>
              <w:bottom w:val="nil"/>
            </w:tcBorders>
            <w:shd w:val="clear" w:color="auto" w:fill="D8D8D8"/>
          </w:tcPr>
          <w:p w14:paraId="46DBA7EA"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 xml:space="preserve">La transparencia aumenta cuando el diseño del operador fijo es único y explícito y no el promedio de operaciones diversas. </w:t>
            </w:r>
          </w:p>
          <w:p w14:paraId="73C5A654"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Debido a las semejanzas entre los operadores móviles, este enfoque sería transparente y un buen reflejo de la realidad.</w:t>
            </w:r>
          </w:p>
        </w:tc>
        <w:tc>
          <w:tcPr>
            <w:tcW w:w="2297" w:type="dxa"/>
            <w:tcBorders>
              <w:top w:val="nil"/>
              <w:bottom w:val="nil"/>
            </w:tcBorders>
            <w:shd w:val="clear" w:color="auto" w:fill="D8D8D8"/>
          </w:tcPr>
          <w:p w14:paraId="008ADB0E"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En principio, un nuevo entrante hipotético tendría un diseño transparente, sin embargo esto implica que se necesiten más datos de los operadores reales para los parámetros hipotéticos.</w:t>
            </w:r>
          </w:p>
        </w:tc>
      </w:tr>
      <w:tr w:rsidR="007727B0" w:rsidRPr="009041D4" w14:paraId="675152E8" w14:textId="77777777" w:rsidTr="007727B0">
        <w:trPr>
          <w:jc w:val="center"/>
        </w:trPr>
        <w:tc>
          <w:tcPr>
            <w:tcW w:w="1559" w:type="dxa"/>
            <w:tcBorders>
              <w:top w:val="nil"/>
              <w:bottom w:val="nil"/>
            </w:tcBorders>
            <w:shd w:val="clear" w:color="auto" w:fill="FFFFFF"/>
          </w:tcPr>
          <w:p w14:paraId="79905D30"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Reconciliación práctica con contabilidad descendente (</w:t>
            </w:r>
            <w:r w:rsidRPr="009041D4">
              <w:rPr>
                <w:rFonts w:ascii="Arial" w:hAnsi="Arial" w:cs="Arial"/>
                <w:i/>
                <w:sz w:val="16"/>
                <w:szCs w:val="16"/>
                <w:lang w:val="es-ES"/>
              </w:rPr>
              <w:t>top-down)</w:t>
            </w:r>
          </w:p>
        </w:tc>
        <w:tc>
          <w:tcPr>
            <w:tcW w:w="2693" w:type="dxa"/>
            <w:tcBorders>
              <w:top w:val="nil"/>
              <w:bottom w:val="nil"/>
            </w:tcBorders>
            <w:shd w:val="clear" w:color="auto" w:fill="FFFFFF"/>
          </w:tcPr>
          <w:p w14:paraId="3253E849"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No es posible comparar directamente los costos de un operador promedio con los costos reales de los operadores. Sólo es posible realizar comparaciones indirectas (p.ej. total de gastos y asignaciones sobre costos).</w:t>
            </w:r>
          </w:p>
        </w:tc>
        <w:tc>
          <w:tcPr>
            <w:tcW w:w="2608" w:type="dxa"/>
            <w:tcBorders>
              <w:top w:val="nil"/>
              <w:bottom w:val="nil"/>
            </w:tcBorders>
            <w:shd w:val="clear" w:color="auto" w:fill="FFFFFF"/>
          </w:tcPr>
          <w:p w14:paraId="5802F715"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Borders>
              <w:top w:val="nil"/>
              <w:bottom w:val="nil"/>
            </w:tcBorders>
            <w:shd w:val="clear" w:color="auto" w:fill="FFFFFF"/>
          </w:tcPr>
          <w:p w14:paraId="04CDD42C" w14:textId="77777777" w:rsidR="007727B0" w:rsidRPr="009041D4" w:rsidRDefault="007727B0" w:rsidP="007727B0">
            <w:pPr>
              <w:spacing w:after="0"/>
              <w:ind w:right="113"/>
              <w:jc w:val="both"/>
              <w:rPr>
                <w:rFonts w:ascii="Arial" w:hAnsi="Arial" w:cs="Arial"/>
                <w:sz w:val="16"/>
                <w:szCs w:val="16"/>
                <w:lang w:val="es-ES"/>
              </w:rPr>
            </w:pPr>
            <w:r w:rsidRPr="009041D4">
              <w:rPr>
                <w:rFonts w:ascii="Arial" w:hAnsi="Arial" w:cs="Arial"/>
                <w:sz w:val="16"/>
                <w:szCs w:val="16"/>
                <w:lang w:val="es-ES"/>
              </w:rPr>
              <w:t>No es posible comparar directamente o indirectamente los costos de un nuevo entrante con los costos reales de los operadores sin realizar ajustes adicionales ya que no existen estados de resultados futuros.</w:t>
            </w:r>
          </w:p>
        </w:tc>
      </w:tr>
    </w:tbl>
    <w:p w14:paraId="35E66D97" w14:textId="31C8F736" w:rsidR="007727B0" w:rsidRPr="009041D4" w:rsidRDefault="007727B0" w:rsidP="007727B0">
      <w:pPr>
        <w:spacing w:after="0"/>
        <w:ind w:left="426"/>
        <w:jc w:val="center"/>
        <w:rPr>
          <w:rFonts w:ascii="Arial" w:eastAsia="Times New Roman" w:hAnsi="Arial" w:cs="Arial"/>
          <w:sz w:val="18"/>
          <w:szCs w:val="18"/>
          <w:lang w:val="es-ES" w:eastAsia="es-ES"/>
        </w:rPr>
      </w:pPr>
      <w:r w:rsidRPr="009041D4">
        <w:rPr>
          <w:rFonts w:ascii="Arial" w:eastAsia="Times New Roman" w:hAnsi="Arial" w:cs="Arial"/>
          <w:sz w:val="18"/>
          <w:szCs w:val="18"/>
          <w:lang w:val="es-ES" w:eastAsia="es-ES"/>
        </w:rPr>
        <w:t>Tabla 1</w:t>
      </w:r>
      <w:r w:rsidR="00FA093E" w:rsidRPr="009041D4">
        <w:rPr>
          <w:rFonts w:ascii="Arial" w:eastAsia="Times New Roman" w:hAnsi="Arial" w:cs="Arial"/>
          <w:sz w:val="18"/>
          <w:szCs w:val="18"/>
          <w:lang w:val="es-ES" w:eastAsia="es-ES"/>
        </w:rPr>
        <w:t>0</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Opciones del operador a modelar.</w:t>
      </w:r>
    </w:p>
    <w:p w14:paraId="6407157E" w14:textId="77777777" w:rsidR="007727B0" w:rsidRPr="009041D4" w:rsidRDefault="007727B0" w:rsidP="007727B0">
      <w:pPr>
        <w:spacing w:after="0"/>
        <w:jc w:val="both"/>
        <w:rPr>
          <w:rFonts w:ascii="Arial" w:eastAsia="Times New Roman" w:hAnsi="Arial" w:cs="Arial"/>
          <w:szCs w:val="24"/>
          <w:lang w:eastAsia="es-ES"/>
        </w:rPr>
      </w:pPr>
    </w:p>
    <w:p w14:paraId="7ED0623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1B555B03" w14:textId="77777777" w:rsidR="007727B0" w:rsidRPr="009041D4" w:rsidRDefault="007727B0" w:rsidP="007727B0">
      <w:pPr>
        <w:spacing w:after="0"/>
        <w:jc w:val="both"/>
        <w:rPr>
          <w:rFonts w:ascii="Arial" w:eastAsia="Times New Roman" w:hAnsi="Arial" w:cs="Arial"/>
          <w:szCs w:val="24"/>
          <w:lang w:eastAsia="es-ES"/>
        </w:rPr>
      </w:pPr>
    </w:p>
    <w:p w14:paraId="34913305"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9041D4">
        <w:rPr>
          <w:rFonts w:ascii="Arial" w:hAnsi="Arial" w:cs="Arial"/>
        </w:rPr>
        <w:t>concesionarios</w:t>
      </w:r>
      <w:r w:rsidRPr="009041D4">
        <w:rPr>
          <w:rFonts w:ascii="Arial" w:eastAsia="Times New Roman" w:hAnsi="Arial" w:cs="Arial"/>
          <w:szCs w:val="24"/>
          <w:lang w:eastAsia="es-ES"/>
        </w:rPr>
        <w:t>.</w:t>
      </w:r>
    </w:p>
    <w:p w14:paraId="415F11BF" w14:textId="77777777" w:rsidR="007727B0" w:rsidRPr="009041D4" w:rsidRDefault="007727B0" w:rsidP="007727B0">
      <w:pPr>
        <w:spacing w:after="0"/>
        <w:jc w:val="both"/>
        <w:rPr>
          <w:rFonts w:ascii="Arial" w:eastAsia="Times New Roman" w:hAnsi="Arial" w:cs="Arial"/>
          <w:szCs w:val="24"/>
          <w:lang w:eastAsia="es-ES"/>
        </w:rPr>
      </w:pPr>
    </w:p>
    <w:p w14:paraId="7738987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 importante señalar que la calibración</w:t>
      </w:r>
      <w:r w:rsidRPr="009041D4">
        <w:rPr>
          <w:rFonts w:ascii="Arial" w:hAnsi="Arial" w:cs="Arial"/>
          <w:vertAlign w:val="superscript"/>
        </w:rPr>
        <w:footnoteReference w:id="37"/>
      </w:r>
      <w:r w:rsidRPr="009041D4">
        <w:rPr>
          <w:rFonts w:ascii="Arial" w:eastAsia="Times New Roman" w:hAnsi="Arial" w:cs="Arial"/>
          <w:szCs w:val="24"/>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w:t>
      </w:r>
      <w:r w:rsidRPr="009041D4">
        <w:rPr>
          <w:rFonts w:ascii="Arial" w:eastAsia="Times New Roman" w:hAnsi="Arial" w:cs="Arial"/>
          <w:szCs w:val="24"/>
          <w:lang w:eastAsia="es-ES"/>
        </w:rPr>
        <w:lastRenderedPageBreak/>
        <w:t xml:space="preserve">la infraestructura instalada. Esta información es reportada por los concesionarios en cumplimiento de las obligaciones establecidas en sus Títulos de Concesión o en distintas disposiciones normativas. </w:t>
      </w:r>
    </w:p>
    <w:p w14:paraId="513CE88A" w14:textId="77777777" w:rsidR="007727B0" w:rsidRPr="009041D4" w:rsidRDefault="007727B0" w:rsidP="007727B0">
      <w:pPr>
        <w:spacing w:after="0"/>
        <w:jc w:val="both"/>
        <w:rPr>
          <w:rFonts w:ascii="Arial" w:eastAsia="Times New Roman" w:hAnsi="Arial" w:cs="Arial"/>
          <w:szCs w:val="24"/>
          <w:lang w:eastAsia="es-ES"/>
        </w:rPr>
      </w:pPr>
    </w:p>
    <w:p w14:paraId="28B1C6A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471FE52A" w14:textId="77777777" w:rsidR="007727B0" w:rsidRPr="009041D4" w:rsidRDefault="007727B0" w:rsidP="007727B0">
      <w:pPr>
        <w:spacing w:after="0"/>
        <w:jc w:val="both"/>
        <w:rPr>
          <w:rFonts w:ascii="Arial" w:eastAsia="Times New Roman" w:hAnsi="Arial" w:cs="Arial"/>
          <w:szCs w:val="24"/>
          <w:lang w:eastAsia="es-ES"/>
        </w:rPr>
      </w:pPr>
    </w:p>
    <w:p w14:paraId="2DA761F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De lo antes expuesto, los operadores modelados para el Modelo Móvil y el Modelo Fijo serán:</w:t>
      </w:r>
    </w:p>
    <w:p w14:paraId="0964FA53" w14:textId="77777777" w:rsidR="007727B0" w:rsidRPr="009041D4" w:rsidRDefault="007727B0" w:rsidP="007727B0">
      <w:pPr>
        <w:spacing w:after="0"/>
        <w:ind w:left="426"/>
        <w:jc w:val="both"/>
        <w:rPr>
          <w:rFonts w:ascii="Arial" w:eastAsia="Times New Roman" w:hAnsi="Arial" w:cs="Arial"/>
          <w:szCs w:val="24"/>
          <w:lang w:eastAsia="es-ES"/>
        </w:rPr>
      </w:pPr>
    </w:p>
    <w:p w14:paraId="01E3F63B"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Un operador móvil representativo del AEP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2019. En particular, la red 3G tiene capacidad HSPA e incluye versiones modernas de los conmutadores para transportar un mayor volumen de tráfico de voz, datos móviles y el tráfico de banda ancha móvil y la red 4G cuenta con la capacidad añadida por el uso de Entrada Múltiple Salida Múltiple (MIMO) 2x2. Las tecnologías 2G y 3G operarán en el largo plazo y no se contempla el apagado de la red 2G durante el periodo modelado que comienza a ofrecer el servicio de voz mediante VoLTE a partir de 2017</w:t>
      </w:r>
      <w:r w:rsidRPr="009041D4">
        <w:rPr>
          <w:rFonts w:ascii="Arial" w:eastAsia="Times New Roman" w:hAnsi="Arial" w:cs="Arial"/>
          <w:sz w:val="18"/>
          <w:szCs w:val="20"/>
          <w:lang w:val="es-ES" w:eastAsia="es-ES"/>
        </w:rPr>
        <w:t xml:space="preserve"> </w:t>
      </w:r>
      <w:r w:rsidRPr="009041D4">
        <w:rPr>
          <w:rFonts w:ascii="Arial" w:hAnsi="Arial" w:cs="Arial"/>
          <w:lang w:val="es-ES"/>
        </w:rPr>
        <w:t>para el caso del operador móvil representativo del AEP y a partir del 2018 para el caso del operador móvil representativo de un concesionario eficiente.</w:t>
      </w:r>
    </w:p>
    <w:p w14:paraId="2169F221" w14:textId="77777777" w:rsidR="007727B0" w:rsidRPr="009041D4" w:rsidRDefault="007727B0" w:rsidP="007727B0">
      <w:pPr>
        <w:spacing w:after="0"/>
        <w:ind w:left="851"/>
        <w:jc w:val="both"/>
        <w:rPr>
          <w:rFonts w:ascii="Arial" w:eastAsia="Times New Roman" w:hAnsi="Arial" w:cs="Arial"/>
          <w:szCs w:val="24"/>
          <w:lang w:eastAsia="es-ES"/>
        </w:rPr>
      </w:pPr>
    </w:p>
    <w:p w14:paraId="787A9469"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119C685F" w14:textId="77777777" w:rsidR="007727B0" w:rsidRPr="009041D4" w:rsidRDefault="007727B0" w:rsidP="007727B0">
      <w:pPr>
        <w:spacing w:after="0"/>
        <w:jc w:val="both"/>
        <w:rPr>
          <w:rFonts w:ascii="Arial" w:eastAsia="Times New Roman" w:hAnsi="Arial" w:cs="Arial"/>
          <w:b/>
          <w:szCs w:val="24"/>
          <w:lang w:eastAsia="es-ES"/>
        </w:rPr>
      </w:pPr>
    </w:p>
    <w:p w14:paraId="385CD177"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Configuración de la red de un concesionario eficiente.</w:t>
      </w:r>
    </w:p>
    <w:p w14:paraId="5BDC8A9C" w14:textId="77777777" w:rsidR="007727B0" w:rsidRPr="009041D4" w:rsidRDefault="007727B0" w:rsidP="007727B0">
      <w:pPr>
        <w:spacing w:after="0"/>
        <w:jc w:val="both"/>
        <w:rPr>
          <w:rFonts w:ascii="Arial" w:eastAsia="Times New Roman" w:hAnsi="Arial" w:cs="Arial"/>
          <w:sz w:val="16"/>
          <w:szCs w:val="24"/>
          <w:lang w:eastAsia="es-ES"/>
        </w:rPr>
      </w:pPr>
    </w:p>
    <w:p w14:paraId="36BE6E5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429C007B" w14:textId="77777777" w:rsidR="007727B0" w:rsidRPr="009041D4" w:rsidRDefault="007727B0" w:rsidP="007727B0">
      <w:pPr>
        <w:spacing w:after="0"/>
        <w:jc w:val="both"/>
        <w:rPr>
          <w:rFonts w:ascii="Arial" w:eastAsia="Times New Roman" w:hAnsi="Arial" w:cs="Arial"/>
          <w:lang w:val="es-ES" w:eastAsia="es-ES"/>
        </w:rPr>
      </w:pPr>
    </w:p>
    <w:p w14:paraId="75CB58B4"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1516F26C" w14:textId="77777777" w:rsidR="007727B0" w:rsidRPr="009041D4" w:rsidRDefault="007727B0" w:rsidP="007727B0">
      <w:pPr>
        <w:spacing w:after="0"/>
        <w:jc w:val="both"/>
        <w:rPr>
          <w:rFonts w:ascii="Arial" w:eastAsia="Times New Roman" w:hAnsi="Arial" w:cs="Arial"/>
          <w:lang w:val="es-ES" w:eastAsia="es-ES"/>
        </w:rPr>
      </w:pPr>
    </w:p>
    <w:p w14:paraId="2C5EC49F"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w:t>
      </w:r>
      <w:r w:rsidRPr="009041D4">
        <w:rPr>
          <w:rFonts w:ascii="Arial" w:hAnsi="Arial" w:cs="Arial"/>
          <w:lang w:val="es-ES"/>
        </w:rPr>
        <w:t>nacional</w:t>
      </w:r>
      <w:r w:rsidRPr="009041D4">
        <w:rPr>
          <w:rFonts w:ascii="Arial" w:eastAsia="Times New Roman" w:hAnsi="Arial" w:cs="Arial"/>
          <w:lang w:val="es-ES" w:eastAsia="es-ES"/>
        </w:rPr>
        <w:t>.</w:t>
      </w:r>
    </w:p>
    <w:p w14:paraId="4AA9C1C2" w14:textId="77777777" w:rsidR="007727B0" w:rsidRPr="009041D4" w:rsidRDefault="007727B0" w:rsidP="007727B0">
      <w:pPr>
        <w:spacing w:after="0"/>
        <w:jc w:val="both"/>
        <w:rPr>
          <w:rFonts w:ascii="Arial" w:eastAsia="Times New Roman" w:hAnsi="Arial" w:cs="Arial"/>
          <w:lang w:val="es-ES" w:eastAsia="es-ES"/>
        </w:rPr>
      </w:pPr>
    </w:p>
    <w:p w14:paraId="6D7AF994"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En consecuencia, se modelarán niveles de cobertura geográfica comparables con los ofrecidos por el operador fijo nacional y los tres operadores móviles de alcance nacional en México. En el caso del Modelo Fijo, se modelará una cobertura nacional, mientras que para el Modelo Móvil se modelará una cobertura de servicios de voz en 2G del 93.2%, 94.5% en 3G y 87.9% en 4G para el operador representativo del preponderante y del 72.6% en 2G, 79.4% en 3G y 80% en 4G para el operador alternativo.</w:t>
      </w:r>
    </w:p>
    <w:p w14:paraId="21C59542" w14:textId="77777777" w:rsidR="007727B0" w:rsidRPr="009041D4" w:rsidRDefault="007727B0" w:rsidP="007727B0">
      <w:pPr>
        <w:spacing w:after="0"/>
        <w:ind w:left="426"/>
        <w:jc w:val="both"/>
        <w:rPr>
          <w:rFonts w:ascii="Arial" w:eastAsia="Times New Roman" w:hAnsi="Arial" w:cs="Arial"/>
          <w:sz w:val="16"/>
          <w:szCs w:val="24"/>
          <w:lang w:eastAsia="es-ES"/>
        </w:rPr>
      </w:pPr>
    </w:p>
    <w:p w14:paraId="33FBCD6F"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Tamaño de un concesionario eficiente.</w:t>
      </w:r>
    </w:p>
    <w:p w14:paraId="5E04E79A" w14:textId="77777777" w:rsidR="007727B0" w:rsidRPr="009041D4" w:rsidRDefault="007727B0" w:rsidP="007727B0">
      <w:pPr>
        <w:spacing w:after="0"/>
        <w:ind w:left="993"/>
        <w:jc w:val="both"/>
        <w:rPr>
          <w:rFonts w:ascii="Arial" w:eastAsia="Times New Roman" w:hAnsi="Arial" w:cs="Arial"/>
          <w:b/>
          <w:sz w:val="16"/>
          <w:szCs w:val="24"/>
          <w:lang w:eastAsia="es-ES"/>
        </w:rPr>
      </w:pPr>
    </w:p>
    <w:p w14:paraId="7D35D556"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15462EA5" w14:textId="77777777" w:rsidR="007727B0" w:rsidRPr="009041D4" w:rsidRDefault="007727B0" w:rsidP="007727B0">
      <w:pPr>
        <w:spacing w:after="0"/>
        <w:jc w:val="both"/>
        <w:rPr>
          <w:rFonts w:ascii="Arial" w:eastAsia="Times New Roman" w:hAnsi="Arial" w:cs="Arial"/>
          <w:szCs w:val="24"/>
          <w:lang w:eastAsia="es-ES"/>
        </w:rPr>
      </w:pPr>
    </w:p>
    <w:p w14:paraId="407820B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5B8C1633" w14:textId="77777777" w:rsidR="007727B0" w:rsidRPr="009041D4" w:rsidRDefault="007727B0" w:rsidP="007727B0">
      <w:pPr>
        <w:spacing w:after="0"/>
        <w:jc w:val="both"/>
        <w:rPr>
          <w:rFonts w:ascii="Arial" w:eastAsia="Times New Roman" w:hAnsi="Arial" w:cs="Arial"/>
          <w:szCs w:val="24"/>
          <w:lang w:eastAsia="es-ES"/>
        </w:rPr>
      </w:pPr>
    </w:p>
    <w:p w14:paraId="283C76D3"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El tamaño del operador a modelar está primordialmente determinado por el número de operadores existentes en cada uno de los mercados (fijo y móvil).</w:t>
      </w:r>
    </w:p>
    <w:p w14:paraId="32A73D64" w14:textId="77777777" w:rsidR="007727B0" w:rsidRPr="009041D4" w:rsidRDefault="007727B0" w:rsidP="007727B0">
      <w:pPr>
        <w:spacing w:after="0"/>
        <w:jc w:val="both"/>
        <w:rPr>
          <w:rFonts w:ascii="Arial" w:eastAsia="Times New Roman" w:hAnsi="Arial" w:cs="Arial"/>
          <w:szCs w:val="24"/>
          <w:lang w:eastAsia="es-ES"/>
        </w:rPr>
      </w:pPr>
    </w:p>
    <w:p w14:paraId="54EAFCC5"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lastRenderedPageBreak/>
        <w:t>En México hay cuatro operadores móviles que cuentan con infraestructura a nivel nacional: Telcel, AT&amp;T, Telefónica y Altán. La cuota de mercado de Altán es todavía muy baja y la información disponible en el ámbito público (BIT) es muy escasa, mientras que Telefónica ha decidido devolver el espectro que tiene disponible y ofrecer sus servicios a través de la red de AT&amp;T. Por tanto, se considera apropiado modelar un mercado móvil con dos operadores de red.</w:t>
      </w:r>
    </w:p>
    <w:p w14:paraId="55EFEA6E" w14:textId="77777777" w:rsidR="007727B0" w:rsidRPr="009041D4" w:rsidRDefault="007727B0" w:rsidP="007727B0">
      <w:pPr>
        <w:spacing w:after="0"/>
        <w:jc w:val="both"/>
        <w:rPr>
          <w:rFonts w:ascii="Arial" w:eastAsia="Times New Roman" w:hAnsi="Arial" w:cs="Arial"/>
          <w:szCs w:val="24"/>
          <w:lang w:eastAsia="es-ES"/>
        </w:rPr>
      </w:pPr>
    </w:p>
    <w:p w14:paraId="7001682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el mercado fijo se observa que,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14:paraId="0104C8F5" w14:textId="77777777" w:rsidR="007727B0" w:rsidRPr="009041D4" w:rsidRDefault="007727B0" w:rsidP="007727B0">
      <w:pPr>
        <w:spacing w:after="0"/>
        <w:jc w:val="both"/>
        <w:rPr>
          <w:rFonts w:ascii="Arial" w:eastAsia="Times New Roman" w:hAnsi="Arial" w:cs="Arial"/>
          <w:szCs w:val="24"/>
          <w:lang w:eastAsia="es-ES"/>
        </w:rPr>
      </w:pPr>
    </w:p>
    <w:p w14:paraId="2F9E01F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rPr>
        <w:t>La participación de mercado de los operadores fijos modelados</w:t>
      </w:r>
      <w:r w:rsidRPr="009041D4">
        <w:rPr>
          <w:rFonts w:ascii="Arial" w:hAnsi="Arial" w:cs="Arial"/>
          <w:vertAlign w:val="superscript"/>
        </w:rPr>
        <w:footnoteReference w:id="38"/>
      </w:r>
      <w:r w:rsidRPr="009041D4">
        <w:rPr>
          <w:rFonts w:ascii="Arial" w:hAnsi="Arial" w:cs="Arial"/>
        </w:rPr>
        <w:t xml:space="preserve"> será de 51% para el operador fijo de escala y alcance del  AEP y 49% para </w:t>
      </w:r>
      <w:r w:rsidRPr="009041D4">
        <w:rPr>
          <w:rFonts w:ascii="Arial" w:eastAsia="Times New Roman" w:hAnsi="Arial" w:cs="Arial"/>
          <w:szCs w:val="24"/>
          <w:lang w:eastAsia="es-ES"/>
        </w:rPr>
        <w:t>para el operador alternativo,</w:t>
      </w:r>
      <w:r w:rsidRPr="009041D4">
        <w:rPr>
          <w:rFonts w:ascii="Arial" w:hAnsi="Arial" w:cs="Arial"/>
        </w:rPr>
        <w:t xml:space="preserve"> el operador alternativo,</w:t>
      </w:r>
      <w:r w:rsidRPr="009041D4">
        <w:rPr>
          <w:rFonts w:ascii="Arial" w:eastAsia="Times New Roman" w:hAnsi="Arial" w:cs="Arial"/>
          <w:szCs w:val="24"/>
          <w:lang w:eastAsia="es-ES"/>
        </w:rPr>
        <w:t xml:space="preserve"> correspondiente a la participación de mercado en un mercado en el que se puede asumir que cada usuario tiene al menos dos opciones de operador.</w:t>
      </w:r>
    </w:p>
    <w:p w14:paraId="5BBF66CF" w14:textId="77777777" w:rsidR="007727B0" w:rsidRPr="009041D4" w:rsidRDefault="007727B0" w:rsidP="007727B0">
      <w:pPr>
        <w:spacing w:after="0"/>
        <w:jc w:val="both"/>
        <w:rPr>
          <w:rFonts w:ascii="Arial" w:eastAsia="Times New Roman" w:hAnsi="Arial" w:cs="Arial"/>
          <w:szCs w:val="24"/>
          <w:lang w:eastAsia="es-ES"/>
        </w:rPr>
      </w:pPr>
    </w:p>
    <w:p w14:paraId="58D7EA01"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lang w:val="es-ES"/>
        </w:rPr>
        <w:t>Para el caso de los operadores móviles, l</w:t>
      </w:r>
      <w:r w:rsidRPr="009041D4">
        <w:rPr>
          <w:rFonts w:ascii="Arial" w:hAnsi="Arial" w:cs="Arial"/>
        </w:rPr>
        <w:t>a participación en el mercado de los operadores modelados</w:t>
      </w:r>
      <w:r w:rsidRPr="009041D4">
        <w:rPr>
          <w:rFonts w:ascii="Arial" w:hAnsi="Arial" w:cs="Arial"/>
          <w:vertAlign w:val="superscript"/>
        </w:rPr>
        <w:footnoteReference w:id="39"/>
      </w:r>
      <w:r w:rsidRPr="009041D4">
        <w:rPr>
          <w:rFonts w:ascii="Arial" w:hAnsi="Arial" w:cs="Arial"/>
        </w:rPr>
        <w:t xml:space="preserve"> será de 38% para el operador móvil alternativo hipotético no preponderante, correspondiente a la participación de mercado asociado a un mercado en el que existen dos operadores de red compuesto por un operador de escala y alcance del Agente Económico Preponderante,</w:t>
      </w:r>
      <w:r w:rsidRPr="009041D4">
        <w:rPr>
          <w:rFonts w:ascii="Arial" w:eastAsia="Times New Roman" w:hAnsi="Arial" w:cs="Arial"/>
          <w:szCs w:val="24"/>
          <w:lang w:eastAsia="es-ES"/>
        </w:rPr>
        <w:t xml:space="preserve"> mismo que cuenta con una participación de mercado de 62%</w:t>
      </w:r>
      <w:r w:rsidRPr="009041D4">
        <w:rPr>
          <w:rFonts w:ascii="Arial" w:hAnsi="Arial" w:cs="Arial"/>
        </w:rPr>
        <w:t xml:space="preserve"> y un operador alternativo que da servicio a la cuota de mercado restante.</w:t>
      </w:r>
      <w:r w:rsidRPr="009041D4">
        <w:rPr>
          <w:rFonts w:ascii="Arial" w:eastAsia="Times New Roman" w:hAnsi="Arial" w:cs="Arial"/>
          <w:szCs w:val="24"/>
          <w:lang w:eastAsia="es-ES"/>
        </w:rPr>
        <w:t xml:space="preserve"> </w:t>
      </w:r>
    </w:p>
    <w:p w14:paraId="6E38FF94" w14:textId="77777777" w:rsidR="007727B0" w:rsidRPr="009041D4" w:rsidRDefault="007727B0" w:rsidP="007727B0">
      <w:pPr>
        <w:spacing w:after="0"/>
        <w:jc w:val="both"/>
        <w:rPr>
          <w:rFonts w:ascii="Arial" w:eastAsia="Times New Roman" w:hAnsi="Arial" w:cs="Arial"/>
          <w:szCs w:val="24"/>
          <w:lang w:eastAsia="es-ES"/>
        </w:rPr>
      </w:pPr>
    </w:p>
    <w:p w14:paraId="1BB1BB17"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Asimismo, el crecimiento de la participación de mercado está relacionado con el despliegue de la red y el aumento del tráfico utilizando la tecnología moderna.</w:t>
      </w:r>
    </w:p>
    <w:p w14:paraId="0C63319B" w14:textId="77777777" w:rsidR="007727B0" w:rsidRPr="009041D4" w:rsidRDefault="007727B0" w:rsidP="007727B0">
      <w:pPr>
        <w:spacing w:after="0"/>
        <w:jc w:val="both"/>
        <w:rPr>
          <w:rFonts w:ascii="Arial" w:eastAsia="Times New Roman" w:hAnsi="Arial" w:cs="Arial"/>
          <w:szCs w:val="24"/>
          <w:lang w:eastAsia="es-ES"/>
        </w:rPr>
      </w:pPr>
    </w:p>
    <w:p w14:paraId="5472CF6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538AFF20" w14:textId="77777777" w:rsidR="007727B0" w:rsidRPr="009041D4" w:rsidRDefault="007727B0" w:rsidP="007727B0">
      <w:pPr>
        <w:spacing w:after="0"/>
        <w:ind w:left="426"/>
        <w:jc w:val="both"/>
        <w:rPr>
          <w:rFonts w:ascii="Arial" w:eastAsia="Times New Roman" w:hAnsi="Arial" w:cs="Arial"/>
          <w:szCs w:val="24"/>
          <w:lang w:eastAsia="es-ES"/>
        </w:rPr>
      </w:pPr>
    </w:p>
    <w:p w14:paraId="166A59A0"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1.2 Aspectos relacionados con la tecnología.</w:t>
      </w:r>
    </w:p>
    <w:p w14:paraId="08FD114A" w14:textId="77777777" w:rsidR="007727B0" w:rsidRPr="009041D4" w:rsidRDefault="007727B0" w:rsidP="007727B0">
      <w:pPr>
        <w:spacing w:after="0"/>
        <w:jc w:val="both"/>
        <w:rPr>
          <w:rFonts w:ascii="Arial" w:eastAsia="Times New Roman" w:hAnsi="Arial" w:cs="Arial"/>
          <w:b/>
          <w:szCs w:val="24"/>
          <w:lang w:eastAsia="es-ES"/>
        </w:rPr>
      </w:pPr>
    </w:p>
    <w:p w14:paraId="6F8D0644"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Arquitectura moderna de red.</w:t>
      </w:r>
    </w:p>
    <w:p w14:paraId="10365C5C" w14:textId="77777777" w:rsidR="007727B0" w:rsidRPr="009041D4" w:rsidRDefault="007727B0" w:rsidP="007727B0">
      <w:pPr>
        <w:spacing w:after="0"/>
        <w:jc w:val="both"/>
        <w:rPr>
          <w:rFonts w:ascii="Arial" w:eastAsia="Times New Roman" w:hAnsi="Arial" w:cs="Arial"/>
          <w:szCs w:val="24"/>
          <w:lang w:eastAsia="es-ES"/>
        </w:rPr>
      </w:pPr>
    </w:p>
    <w:p w14:paraId="1082006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El Lineamiento Séptimo de la Metodología de Costos a la letra señala:</w:t>
      </w:r>
    </w:p>
    <w:p w14:paraId="6657289E" w14:textId="77777777" w:rsidR="007727B0" w:rsidRPr="009041D4" w:rsidRDefault="007727B0" w:rsidP="007727B0">
      <w:pPr>
        <w:spacing w:after="0"/>
        <w:jc w:val="both"/>
        <w:rPr>
          <w:rFonts w:ascii="Arial" w:eastAsia="Times New Roman" w:hAnsi="Arial" w:cs="Arial"/>
          <w:szCs w:val="24"/>
          <w:lang w:eastAsia="es-ES"/>
        </w:rPr>
      </w:pPr>
    </w:p>
    <w:p w14:paraId="38BE1921"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r w:rsidRPr="009041D4">
        <w:rPr>
          <w:rFonts w:ascii="Arial" w:eastAsia="Times New Roman" w:hAnsi="Arial" w:cs="Arial"/>
          <w:b/>
          <w:i/>
          <w:sz w:val="18"/>
          <w:szCs w:val="18"/>
          <w:lang w:val="es-ES" w:eastAsia="es-ES"/>
        </w:rPr>
        <w:t>SÉPTIMO.-</w:t>
      </w:r>
      <w:r w:rsidRPr="009041D4">
        <w:rPr>
          <w:rFonts w:ascii="Arial" w:eastAsia="Times New Roman" w:hAnsi="Arial" w:cs="Arial"/>
          <w:i/>
          <w:sz w:val="18"/>
          <w:szCs w:val="18"/>
          <w:lang w:val="es-ES" w:eastAsia="es-ES"/>
        </w:rPr>
        <w:t xml:space="preserve"> Dentro del período temporal utilizado por los Modelos de Costos se deberán considerar las tecnologías eficientes disponibles, debiendo ser consistente con lo siguiente:</w:t>
      </w:r>
    </w:p>
    <w:p w14:paraId="6FD6D7C2"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p>
    <w:p w14:paraId="20202657" w14:textId="77777777" w:rsidR="007727B0" w:rsidRPr="009041D4" w:rsidRDefault="007727B0" w:rsidP="005968B2">
      <w:pPr>
        <w:numPr>
          <w:ilvl w:val="0"/>
          <w:numId w:val="27"/>
        </w:numPr>
        <w:tabs>
          <w:tab w:val="left" w:pos="720"/>
        </w:tabs>
        <w:spacing w:after="0"/>
        <w:ind w:left="709" w:right="616" w:hanging="142"/>
        <w:jc w:val="both"/>
        <w:rPr>
          <w:rFonts w:ascii="Arial" w:eastAsia="Times New Roman" w:hAnsi="Arial" w:cs="Arial"/>
          <w:i/>
          <w:sz w:val="18"/>
          <w:szCs w:val="20"/>
          <w:lang w:val="es-ES_tradnl" w:eastAsia="es-ES"/>
        </w:rPr>
      </w:pPr>
      <w:r w:rsidRPr="009041D4">
        <w:rPr>
          <w:rFonts w:ascii="Arial" w:eastAsia="Times New Roman" w:hAnsi="Arial" w:cs="Arial"/>
          <w:i/>
          <w:sz w:val="18"/>
          <w:szCs w:val="20"/>
          <w:lang w:val="es-ES_tradnl" w:eastAsia="es-ES"/>
        </w:rPr>
        <w:lastRenderedPageBreak/>
        <w:t>La tecnología debe ser utilizada en las redes de los concesionarios que proveen servicios de telecomunicaciones tanto en nuestro país como en otros, es decir, no se debe seleccionar una tecnología que se encuentre en fase de desarrollo o de prueba.</w:t>
      </w:r>
    </w:p>
    <w:p w14:paraId="0C6B8AA3" w14:textId="77777777" w:rsidR="007727B0" w:rsidRPr="009041D4" w:rsidRDefault="007727B0" w:rsidP="005968B2">
      <w:pPr>
        <w:numPr>
          <w:ilvl w:val="0"/>
          <w:numId w:val="27"/>
        </w:numPr>
        <w:tabs>
          <w:tab w:val="left" w:pos="720"/>
        </w:tabs>
        <w:spacing w:after="0"/>
        <w:ind w:left="709" w:right="616" w:hanging="142"/>
        <w:jc w:val="both"/>
        <w:rPr>
          <w:rFonts w:ascii="Arial" w:eastAsia="Times New Roman" w:hAnsi="Arial" w:cs="Arial"/>
          <w:i/>
          <w:sz w:val="18"/>
          <w:szCs w:val="20"/>
          <w:lang w:val="es-ES_tradnl" w:eastAsia="es-ES"/>
        </w:rPr>
      </w:pPr>
      <w:r w:rsidRPr="009041D4">
        <w:rPr>
          <w:rFonts w:ascii="Arial" w:eastAsia="Times New Roman" w:hAnsi="Arial" w:cs="Arial"/>
          <w:i/>
          <w:sz w:val="18"/>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14B23714" w14:textId="0B6A84F5" w:rsidR="007727B0" w:rsidRPr="009041D4" w:rsidRDefault="007727B0" w:rsidP="005968B2">
      <w:pPr>
        <w:numPr>
          <w:ilvl w:val="0"/>
          <w:numId w:val="27"/>
        </w:numPr>
        <w:tabs>
          <w:tab w:val="left" w:pos="720"/>
        </w:tabs>
        <w:spacing w:after="0"/>
        <w:ind w:left="709" w:right="616" w:hanging="142"/>
        <w:jc w:val="both"/>
        <w:rPr>
          <w:rFonts w:ascii="Arial" w:eastAsia="Times New Roman" w:hAnsi="Arial" w:cs="Arial"/>
          <w:i/>
          <w:sz w:val="18"/>
          <w:szCs w:val="18"/>
          <w:lang w:val="es-ES" w:eastAsia="es-ES"/>
        </w:rPr>
      </w:pPr>
      <w:r w:rsidRPr="009041D4">
        <w:rPr>
          <w:rFonts w:ascii="Arial" w:eastAsia="Times New Roman" w:hAnsi="Arial" w:cs="Arial"/>
          <w:i/>
          <w:sz w:val="18"/>
          <w:szCs w:val="20"/>
          <w:lang w:val="es-ES_tradnl" w:eastAsia="es-ES"/>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r w:rsidR="00525D50" w:rsidRPr="009041D4">
        <w:rPr>
          <w:rFonts w:ascii="Arial" w:eastAsia="Times New Roman" w:hAnsi="Arial" w:cs="Arial"/>
          <w:i/>
          <w:sz w:val="18"/>
          <w:szCs w:val="20"/>
          <w:lang w:val="es-ES_tradnl" w:eastAsia="es-ES"/>
        </w:rPr>
        <w:t xml:space="preserve"> </w:t>
      </w:r>
      <w:r w:rsidRPr="009041D4">
        <w:rPr>
          <w:rFonts w:ascii="Arial" w:eastAsia="Times New Roman" w:hAnsi="Arial" w:cs="Arial"/>
          <w:i/>
          <w:sz w:val="18"/>
          <w:szCs w:val="20"/>
          <w:lang w:val="es-ES_tradnl" w:eastAsia="es-ES"/>
        </w:rPr>
        <w:t xml:space="preserve">Los </w:t>
      </w:r>
      <w:r w:rsidRPr="009041D4">
        <w:rPr>
          <w:rFonts w:ascii="Arial" w:eastAsia="Times New Roman" w:hAnsi="Arial" w:cs="Arial"/>
          <w:i/>
          <w:sz w:val="18"/>
          <w:szCs w:val="18"/>
          <w:lang w:val="es-ES" w:eastAsia="es-ES"/>
        </w:rPr>
        <w:t>Modelos de Costos deberán de incluir un Anexo Técnico en el que se expliquen detalladamente los supuestos, cálculos y metodología empleada en la elaboración de los mismos.</w:t>
      </w:r>
    </w:p>
    <w:p w14:paraId="13F7C605" w14:textId="77777777" w:rsidR="007727B0" w:rsidRPr="009041D4" w:rsidRDefault="007727B0" w:rsidP="007727B0">
      <w:pPr>
        <w:spacing w:after="0"/>
        <w:jc w:val="both"/>
        <w:rPr>
          <w:rFonts w:ascii="Arial" w:eastAsia="Times New Roman" w:hAnsi="Arial" w:cs="Arial"/>
          <w:szCs w:val="24"/>
          <w:lang w:val="es-ES" w:eastAsia="es-ES"/>
        </w:rPr>
      </w:pPr>
    </w:p>
    <w:p w14:paraId="237479CC"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 así que el Modelo Fijo y el Modelo Móvil exigirán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14:paraId="467141A1" w14:textId="77777777" w:rsidR="007727B0" w:rsidRPr="009041D4" w:rsidRDefault="007727B0" w:rsidP="007727B0">
      <w:pPr>
        <w:spacing w:after="0"/>
        <w:jc w:val="both"/>
        <w:rPr>
          <w:rFonts w:ascii="Arial" w:eastAsia="Times New Roman" w:hAnsi="Arial" w:cs="Arial"/>
          <w:szCs w:val="24"/>
          <w:lang w:eastAsia="es-ES"/>
        </w:rPr>
      </w:pPr>
    </w:p>
    <w:p w14:paraId="01EF9203" w14:textId="77777777" w:rsidR="007727B0" w:rsidRPr="009041D4" w:rsidRDefault="007727B0" w:rsidP="007727B0">
      <w:pPr>
        <w:spacing w:after="0"/>
        <w:rPr>
          <w:rFonts w:ascii="Arial" w:eastAsia="Times New Roman" w:hAnsi="Arial" w:cs="Arial"/>
          <w:szCs w:val="24"/>
          <w:lang w:eastAsia="es-ES"/>
        </w:rPr>
      </w:pPr>
      <w:r w:rsidRPr="009041D4">
        <w:rPr>
          <w:rFonts w:ascii="Arial" w:hAnsi="Arial" w:cs="Arial"/>
          <w:b/>
        </w:rPr>
        <w:t>Red de telecomunicaciones móviles.</w:t>
      </w:r>
    </w:p>
    <w:p w14:paraId="5EC12C5E" w14:textId="77777777" w:rsidR="007727B0" w:rsidRPr="009041D4" w:rsidRDefault="007727B0" w:rsidP="007727B0">
      <w:pPr>
        <w:spacing w:after="0"/>
        <w:jc w:val="both"/>
        <w:rPr>
          <w:rFonts w:ascii="Arial" w:eastAsia="Times New Roman" w:hAnsi="Arial" w:cs="Arial"/>
          <w:szCs w:val="24"/>
          <w:lang w:eastAsia="es-ES"/>
        </w:rPr>
      </w:pPr>
    </w:p>
    <w:p w14:paraId="33D0039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La arquitectura de redes de telefonía móvil se divide en tres partes: una capa de radio, una red de conmutación y una red de transmisión. </w:t>
      </w:r>
    </w:p>
    <w:p w14:paraId="4E26A8D9" w14:textId="77777777" w:rsidR="007727B0" w:rsidRPr="009041D4" w:rsidRDefault="007727B0" w:rsidP="007727B0">
      <w:pPr>
        <w:spacing w:after="0"/>
        <w:rPr>
          <w:rFonts w:ascii="Arial" w:hAnsi="Arial" w:cs="Arial"/>
          <w:b/>
        </w:rPr>
      </w:pPr>
    </w:p>
    <w:p w14:paraId="3C286360" w14:textId="77777777" w:rsidR="007727B0" w:rsidRPr="009041D4" w:rsidRDefault="007727B0" w:rsidP="007727B0">
      <w:pPr>
        <w:spacing w:after="0"/>
        <w:rPr>
          <w:rFonts w:ascii="Arial" w:hAnsi="Arial" w:cs="Arial"/>
          <w:i/>
        </w:rPr>
      </w:pPr>
      <w:r w:rsidRPr="009041D4">
        <w:rPr>
          <w:rFonts w:ascii="Arial" w:hAnsi="Arial" w:cs="Arial"/>
          <w:i/>
        </w:rPr>
        <w:t xml:space="preserve">Capa de radio </w:t>
      </w:r>
    </w:p>
    <w:p w14:paraId="74792BD8" w14:textId="77777777" w:rsidR="007727B0" w:rsidRPr="009041D4" w:rsidRDefault="007727B0" w:rsidP="007727B0">
      <w:pPr>
        <w:spacing w:after="0"/>
        <w:ind w:left="993"/>
        <w:jc w:val="both"/>
        <w:rPr>
          <w:rFonts w:ascii="Arial" w:eastAsia="Times New Roman" w:hAnsi="Arial" w:cs="Arial"/>
          <w:szCs w:val="24"/>
          <w:lang w:eastAsia="es-ES"/>
        </w:rPr>
      </w:pPr>
    </w:p>
    <w:p w14:paraId="6793F2B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9041D4" w:rsidDel="00F54E4D">
        <w:rPr>
          <w:rFonts w:ascii="Arial" w:eastAsia="Times New Roman" w:hAnsi="Arial" w:cs="Arial"/>
          <w:szCs w:val="24"/>
          <w:lang w:eastAsia="es-ES"/>
        </w:rPr>
        <w:t xml:space="preserve"> </w:t>
      </w:r>
      <w:r w:rsidRPr="009041D4">
        <w:rPr>
          <w:rFonts w:ascii="Arial" w:eastAsia="Times New Roman" w:hAnsi="Arial" w:cs="Arial"/>
          <w:szCs w:val="24"/>
          <w:lang w:eastAsia="es-ES"/>
        </w:rPr>
        <w:t>no son relevantes para este modelo de Costos Incrementales de Largo Plazo de abajo hacia arriba (en lo sucesivo, “CILP ascendente”).</w:t>
      </w:r>
    </w:p>
    <w:p w14:paraId="31D3D41D" w14:textId="77777777" w:rsidR="007727B0" w:rsidRPr="009041D4" w:rsidRDefault="007727B0" w:rsidP="007727B0">
      <w:pPr>
        <w:tabs>
          <w:tab w:val="left" w:pos="5572"/>
        </w:tabs>
        <w:spacing w:after="0"/>
        <w:jc w:val="both"/>
        <w:rPr>
          <w:rFonts w:ascii="Arial" w:eastAsia="Times New Roman" w:hAnsi="Arial" w:cs="Arial"/>
          <w:szCs w:val="24"/>
          <w:lang w:eastAsia="es-ES"/>
        </w:rPr>
      </w:pPr>
    </w:p>
    <w:p w14:paraId="267D30C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Por lo tanto, el modelo CILP ascendente  móvil debería limitarse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3G y/o 4G, estará fuertemente influenciado por la banda de </w:t>
      </w:r>
      <w:r w:rsidRPr="009041D4">
        <w:rPr>
          <w:rFonts w:ascii="Arial" w:eastAsia="Times New Roman" w:hAnsi="Arial" w:cs="Arial"/>
          <w:szCs w:val="24"/>
          <w:lang w:eastAsia="es-ES"/>
        </w:rPr>
        <w:lastRenderedPageBreak/>
        <w:t>frecuencia en la que se despliegue. En efecto, una red de radio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o 1700–2100MHz, que requieren una malla de estaciones base más estrecha y que no tienen la mayor penetración en edificios de las señales de 850MHz.</w:t>
      </w:r>
    </w:p>
    <w:p w14:paraId="2BC43C3F" w14:textId="77777777" w:rsidR="007727B0" w:rsidRPr="009041D4" w:rsidRDefault="007727B0" w:rsidP="007727B0">
      <w:pPr>
        <w:spacing w:after="0"/>
        <w:jc w:val="both"/>
        <w:rPr>
          <w:rFonts w:ascii="Arial" w:eastAsia="Times New Roman" w:hAnsi="Arial" w:cs="Arial"/>
          <w:szCs w:val="24"/>
          <w:lang w:eastAsia="es-ES"/>
        </w:rPr>
      </w:pPr>
    </w:p>
    <w:p w14:paraId="22481874" w14:textId="37931E5A"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México los operadores desplegaron su red GSM inicialmente en bandas de frecuencia inferiores a 1GHz –la banda de 850MHz– para dar cobertura en aquellas regiones en las que disponían del mismo (Movistar e Iusacell, actualmente AT&amp;T, habrían desplegado su red de cobertura utilizando la banda de 1900MHz en las regiones donde no disponían de espectro en bandas inferiores a 1GHz), con un despliegue posterior de estaciones base en la banda de 1900MHz para aportar capacidad adicional a la red. Cuando se comenzaron a desplegar las redes UMTS en 2007/08, los operadores siguieron un esquema de despliegue de una red de capacidad en frecuencias altas (1900MHz). Actualmente, se viene utilizando para la red 4G espectro en la banda AWS (1700–2100MHz) adquirido por los operadores en la subasta de espectro que tuvo lugar en 2010 y más recientemente en 2016, así como en la banda PCS (1900MHz) en el caso específico de Telefónica. Las bandas AWS y PCS también pueden ser utilizadas para el despliegue de redes UMTS y su evolución HSPA</w:t>
      </w:r>
      <w:r w:rsidR="00525D50" w:rsidRPr="009041D4">
        <w:rPr>
          <w:rFonts w:ascii="Arial" w:eastAsia="Times New Roman" w:hAnsi="Arial" w:cs="Arial"/>
          <w:szCs w:val="24"/>
          <w:lang w:eastAsia="es-ES"/>
        </w:rPr>
        <w:t>.</w:t>
      </w:r>
    </w:p>
    <w:p w14:paraId="42DECC45" w14:textId="77777777" w:rsidR="007727B0" w:rsidRPr="009041D4" w:rsidRDefault="007727B0" w:rsidP="007727B0">
      <w:pPr>
        <w:spacing w:after="0"/>
        <w:jc w:val="both"/>
        <w:rPr>
          <w:rFonts w:ascii="Arial" w:eastAsia="Times New Roman" w:hAnsi="Arial" w:cs="Arial"/>
          <w:szCs w:val="24"/>
          <w:lang w:eastAsia="es-ES"/>
        </w:rPr>
      </w:pPr>
    </w:p>
    <w:p w14:paraId="5B070C1C" w14:textId="62C3D91C" w:rsidR="007727B0" w:rsidRPr="009041D4" w:rsidRDefault="00525D50" w:rsidP="007727B0">
      <w:pPr>
        <w:spacing w:after="0"/>
        <w:jc w:val="both"/>
        <w:rPr>
          <w:rFonts w:ascii="Arial" w:hAnsi="Arial" w:cs="Arial"/>
        </w:rPr>
      </w:pPr>
      <w:r w:rsidRPr="009041D4">
        <w:rPr>
          <w:rFonts w:ascii="Arial" w:eastAsia="Times New Roman" w:hAnsi="Arial" w:cs="Arial"/>
          <w:szCs w:val="24"/>
          <w:lang w:eastAsia="es-ES"/>
        </w:rPr>
        <w:t xml:space="preserve"> </w:t>
      </w:r>
      <w:r w:rsidR="007727B0" w:rsidRPr="009041D4">
        <w:rPr>
          <w:rFonts w:ascii="Arial" w:hAnsi="Arial" w:cs="Arial"/>
        </w:rPr>
        <w:t xml:space="preserve">Pese a que la adopción de los servicios 3G de voz en México continúa su tendencia ascendente, las redes 2G siguen soportando parte del tráfico de voz; según la </w:t>
      </w:r>
      <w:r w:rsidR="00812B56" w:rsidRPr="009041D4">
        <w:rPr>
          <w:sz w:val="23"/>
          <w:szCs w:val="23"/>
        </w:rPr>
        <w:t>Asociación de Sistema Global para las comunicaciones móviles (</w:t>
      </w:r>
      <w:r w:rsidR="00812B56" w:rsidRPr="009041D4">
        <w:rPr>
          <w:rFonts w:ascii="ITC Avant Garde" w:hAnsi="ITC Avant Garde"/>
        </w:rPr>
        <w:t xml:space="preserve">GSMA </w:t>
      </w:r>
      <w:r w:rsidR="00812B56" w:rsidRPr="009041D4">
        <w:rPr>
          <w:sz w:val="23"/>
          <w:szCs w:val="23"/>
        </w:rPr>
        <w:t>de sus siglas en inglés “Global System Mobile Association”</w:t>
      </w:r>
      <w:r w:rsidR="00812B56" w:rsidRPr="009041D4">
        <w:rPr>
          <w:rFonts w:ascii="ITC Avant Garde" w:hAnsi="ITC Avant Garde"/>
        </w:rPr>
        <w:t>)</w:t>
      </w:r>
      <w:r w:rsidR="007727B0" w:rsidRPr="009041D4">
        <w:rPr>
          <w:rFonts w:ascii="Arial" w:hAnsi="Arial" w:cs="Arial"/>
        </w:rPr>
        <w:t>, en 2019 el número de conexiones 2G suponían todavía un 13% del total de conexiones móviles. Esto indica que la tecnología 2G seguirá jugando un papel en el transporte de voz móvil en México en los próximos años, a pesar de que se espera que las redes 3G pasen a transportar una proporción cada vez mayor del tráfico de voz y, en particular, de datos.</w:t>
      </w:r>
    </w:p>
    <w:p w14:paraId="386879EB" w14:textId="77777777" w:rsidR="007727B0" w:rsidRPr="009041D4" w:rsidRDefault="007727B0" w:rsidP="007727B0">
      <w:pPr>
        <w:spacing w:after="0"/>
        <w:jc w:val="both"/>
        <w:rPr>
          <w:rFonts w:ascii="Arial" w:hAnsi="Arial" w:cs="Arial"/>
        </w:rPr>
      </w:pPr>
    </w:p>
    <w:p w14:paraId="51924A19" w14:textId="66F4F256" w:rsidR="007727B0" w:rsidRPr="009041D4" w:rsidRDefault="00812B56" w:rsidP="007727B0">
      <w:pPr>
        <w:spacing w:after="0"/>
        <w:jc w:val="both"/>
        <w:rPr>
          <w:rFonts w:ascii="Arial" w:hAnsi="Arial" w:cs="Arial"/>
        </w:rPr>
      </w:pPr>
      <w:r w:rsidRPr="009041D4">
        <w:rPr>
          <w:rFonts w:ascii="Arial" w:hAnsi="Arial" w:cs="Arial"/>
        </w:rPr>
        <w:t>Por</w:t>
      </w:r>
      <w:r w:rsidR="007727B0" w:rsidRPr="009041D4">
        <w:rPr>
          <w:rFonts w:ascii="Arial" w:hAnsi="Arial" w:cs="Arial"/>
        </w:rPr>
        <w:t xml:space="preserve"> otra parte, con el importante crecimiento de las redes 4G para el transporte de datos como consecuencia del aumento en la penetración de smartphones y de los recientes despliegues, </w:t>
      </w:r>
      <w:r w:rsidRPr="009041D4">
        <w:rPr>
          <w:rFonts w:ascii="Arial" w:hAnsi="Arial" w:cs="Arial"/>
        </w:rPr>
        <w:t>es</w:t>
      </w:r>
      <w:r w:rsidR="007727B0" w:rsidRPr="009041D4">
        <w:rPr>
          <w:rFonts w:ascii="Arial" w:hAnsi="Arial" w:cs="Arial"/>
        </w:rPr>
        <w:t xml:space="preserve"> razonable considerar la tecnología VoLTE para el tra</w:t>
      </w:r>
      <w:r w:rsidRPr="009041D4">
        <w:rPr>
          <w:rFonts w:ascii="Arial" w:hAnsi="Arial" w:cs="Arial"/>
        </w:rPr>
        <w:t>n</w:t>
      </w:r>
      <w:r w:rsidR="007727B0" w:rsidRPr="009041D4">
        <w:rPr>
          <w:rFonts w:ascii="Arial" w:hAnsi="Arial" w:cs="Arial"/>
        </w:rPr>
        <w:t>sporte de voz. En efecto, esta tecnología ha empezado a utilizarse en diferentes países, incluido México, donde Telcel y AT&amp;</w:t>
      </w:r>
      <w:r w:rsidR="00546A86" w:rsidRPr="009041D4">
        <w:rPr>
          <w:rFonts w:ascii="Arial" w:hAnsi="Arial" w:cs="Arial"/>
        </w:rPr>
        <w:t>T</w:t>
      </w:r>
      <w:r w:rsidR="00546A86" w:rsidRPr="009041D4">
        <w:rPr>
          <w:rStyle w:val="Refdenotaalpie"/>
          <w:rFonts w:ascii="Arial" w:hAnsi="Arial" w:cs="Arial"/>
        </w:rPr>
        <w:footnoteReference w:id="40"/>
      </w:r>
      <w:r w:rsidR="00546A86" w:rsidRPr="009041D4">
        <w:rPr>
          <w:rFonts w:ascii="Arial" w:hAnsi="Arial" w:cs="Arial"/>
        </w:rPr>
        <w:t xml:space="preserve"> </w:t>
      </w:r>
      <w:r w:rsidR="007727B0" w:rsidRPr="009041D4">
        <w:rPr>
          <w:rFonts w:ascii="Arial" w:hAnsi="Arial" w:cs="Arial"/>
        </w:rPr>
        <w:t>comenzaron a prestar servicios basados en esta tecnología a sus clientes e</w:t>
      </w:r>
      <w:r w:rsidR="00525D50" w:rsidRPr="009041D4">
        <w:rPr>
          <w:rFonts w:ascii="Arial" w:hAnsi="Arial" w:cs="Arial"/>
        </w:rPr>
        <w:t>n 2017 y 2018, respectivamente.</w:t>
      </w:r>
    </w:p>
    <w:p w14:paraId="74317C1E" w14:textId="77777777" w:rsidR="007727B0" w:rsidRPr="009041D4" w:rsidRDefault="007727B0" w:rsidP="007727B0">
      <w:pPr>
        <w:spacing w:after="0"/>
        <w:jc w:val="both"/>
        <w:rPr>
          <w:rFonts w:ascii="Arial" w:eastAsia="Times New Roman" w:hAnsi="Arial" w:cs="Arial"/>
          <w:szCs w:val="24"/>
          <w:lang w:eastAsia="es-ES"/>
        </w:rPr>
      </w:pPr>
    </w:p>
    <w:p w14:paraId="29737F57"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De lo anterior, es indicado definir las tres tecnologías (2G, 3G y 4G) en el modelo como un mecanismo eficiente para el transporte de tráfico generado por los servicios móviles minoristas y mayoristas a lo largo de los próximos años.</w:t>
      </w:r>
    </w:p>
    <w:p w14:paraId="4EE8EA92" w14:textId="77777777" w:rsidR="007727B0" w:rsidRPr="009041D4" w:rsidRDefault="007727B0" w:rsidP="007727B0">
      <w:pPr>
        <w:spacing w:after="0"/>
        <w:jc w:val="both"/>
        <w:rPr>
          <w:rFonts w:ascii="Arial" w:eastAsia="Times New Roman" w:hAnsi="Arial" w:cs="Arial"/>
          <w:szCs w:val="24"/>
          <w:lang w:eastAsia="es-ES"/>
        </w:rPr>
      </w:pPr>
    </w:p>
    <w:p w14:paraId="587BC53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lastRenderedPageBreak/>
        <w:t>En el modelo se modelarán las tecnologías de radio 2G, 3G y 4G a largo plazo, asumiendo un despliegue inicial de 2G en bandas inferiores a &lt;1GHz (la banda de 850MHz) para una red de cobertura, seguido de un despliegue en frecuencias superiores a 1GHz (la banda de 1900MHz) para incrementar la capacidad de la red. La tecnología 3G se desplegará en la banda de 1900MHz (PCS), mientras que la tecnología 4G se desplegará en la banda de 1700/2100MHz (AWS).</w:t>
      </w:r>
    </w:p>
    <w:p w14:paraId="4AD4E066" w14:textId="77777777" w:rsidR="007727B0" w:rsidRPr="009041D4" w:rsidRDefault="007727B0" w:rsidP="007727B0">
      <w:pPr>
        <w:spacing w:after="0"/>
        <w:jc w:val="both"/>
        <w:rPr>
          <w:rFonts w:ascii="Arial" w:eastAsia="Times New Roman" w:hAnsi="Arial" w:cs="Arial"/>
          <w:szCs w:val="24"/>
          <w:lang w:eastAsia="es-ES"/>
        </w:rPr>
      </w:pPr>
    </w:p>
    <w:p w14:paraId="63B17A80" w14:textId="77777777" w:rsidR="007727B0" w:rsidRPr="009041D4" w:rsidRDefault="007727B0" w:rsidP="007727B0">
      <w:pPr>
        <w:spacing w:after="0"/>
        <w:rPr>
          <w:rFonts w:ascii="Arial" w:hAnsi="Arial" w:cs="Arial"/>
        </w:rPr>
      </w:pPr>
      <w:r w:rsidRPr="009041D4">
        <w:rPr>
          <w:rFonts w:ascii="Arial" w:hAnsi="Arial" w:cs="Arial"/>
          <w:i/>
        </w:rPr>
        <w:t>Espectro radioeléctrico</w:t>
      </w:r>
    </w:p>
    <w:p w14:paraId="2AB56B59" w14:textId="77777777" w:rsidR="007727B0" w:rsidRPr="009041D4" w:rsidRDefault="007727B0" w:rsidP="007727B0">
      <w:pPr>
        <w:spacing w:after="0"/>
        <w:jc w:val="both"/>
        <w:rPr>
          <w:rFonts w:ascii="Arial" w:eastAsia="Times New Roman" w:hAnsi="Arial" w:cs="Arial"/>
          <w:szCs w:val="24"/>
          <w:lang w:eastAsia="es-ES"/>
        </w:rPr>
      </w:pPr>
    </w:p>
    <w:p w14:paraId="0CE40FEC" w14:textId="77777777" w:rsidR="007727B0" w:rsidRPr="009041D4" w:rsidRDefault="007727B0" w:rsidP="007727B0">
      <w:pPr>
        <w:autoSpaceDE w:val="0"/>
        <w:autoSpaceDN w:val="0"/>
        <w:adjustRightInd w:val="0"/>
        <w:spacing w:after="0" w:line="240" w:lineRule="auto"/>
        <w:jc w:val="both"/>
        <w:rPr>
          <w:rFonts w:ascii="Arial" w:eastAsia="Times New Roman" w:hAnsi="Arial" w:cs="Arial"/>
          <w:szCs w:val="24"/>
          <w:lang w:eastAsia="es-ES"/>
        </w:rPr>
      </w:pPr>
      <w:r w:rsidRPr="009041D4">
        <w:rPr>
          <w:rFonts w:ascii="Arial" w:eastAsia="Times New Roman" w:hAnsi="Arial" w:cs="Arial"/>
          <w:szCs w:val="24"/>
          <w:lang w:eastAsia="es-ES"/>
        </w:rPr>
        <w:t>Existen marcadas diferencias entre los operadores mexicanos en cuanto sus tenencias de espectro, tanto en lo que respecta a la cantidad total de espectro que poseen como a nivel regional. Para el operador móvil alternativo hipotético no preponderante consideraremos el espectro utilizado por un operador alternativo que opere una red con las tecnologías 2G, 3G y 4G.</w:t>
      </w:r>
    </w:p>
    <w:p w14:paraId="24439B5D" w14:textId="77777777" w:rsidR="007727B0" w:rsidRPr="009041D4" w:rsidRDefault="007727B0" w:rsidP="007727B0">
      <w:pPr>
        <w:spacing w:after="0"/>
        <w:jc w:val="both"/>
        <w:rPr>
          <w:rFonts w:ascii="Arial" w:eastAsia="Times New Roman" w:hAnsi="Arial" w:cs="Arial"/>
          <w:szCs w:val="24"/>
          <w:lang w:eastAsia="es-ES"/>
        </w:rPr>
      </w:pPr>
    </w:p>
    <w:p w14:paraId="50AC1554" w14:textId="0F53907F"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cantidad de espectro disponible y utilizado actualmente por los operadores mexicanos se adecúa más a un mercado con dos operadores de red, permitiéndole a un operador alternativo hipotético existente disponer de suficiente espectro para poder operar de manera efectiva en las bandas de 850MHz (2G), 1900MHz (3G) y 1700/2100– 2500MHz (4G</w:t>
      </w:r>
      <w:r w:rsidR="00546A86" w:rsidRPr="009041D4">
        <w:rPr>
          <w:rFonts w:ascii="Arial" w:eastAsia="Times New Roman" w:hAnsi="Arial" w:cs="Arial"/>
          <w:szCs w:val="24"/>
          <w:lang w:eastAsia="es-ES"/>
        </w:rPr>
        <w:t>).</w:t>
      </w:r>
    </w:p>
    <w:p w14:paraId="74BB097C" w14:textId="77777777" w:rsidR="007727B0" w:rsidRPr="009041D4" w:rsidRDefault="007727B0" w:rsidP="007727B0">
      <w:pPr>
        <w:spacing w:after="0"/>
        <w:jc w:val="both"/>
        <w:rPr>
          <w:rFonts w:ascii="Arial" w:eastAsia="Times New Roman" w:hAnsi="Arial" w:cs="Arial"/>
          <w:szCs w:val="24"/>
          <w:lang w:eastAsia="es-ES"/>
        </w:rPr>
      </w:pPr>
    </w:p>
    <w:p w14:paraId="4667CF4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rPr>
        <w:t>El espectro asignado al operador alternativo hipotético será de 21 MHz en la banda de 850 MHz, de 37 MHz en la banda de 1900 MHz y de 50 MHz en la banda de 1700/2100 MHz y 80 MHz en la banda de 2500 MHz</w:t>
      </w:r>
      <w:r w:rsidRPr="009041D4">
        <w:rPr>
          <w:rFonts w:ascii="Arial" w:hAnsi="Arial" w:cs="Arial"/>
          <w:vertAlign w:val="superscript"/>
        </w:rPr>
        <w:footnoteReference w:id="41"/>
      </w:r>
      <w:r w:rsidRPr="009041D4">
        <w:rPr>
          <w:rFonts w:ascii="Arial" w:hAnsi="Arial" w:cs="Arial"/>
          <w:vertAlign w:val="superscript"/>
        </w:rPr>
        <w:footnoteReference w:id="42"/>
      </w:r>
      <w:r w:rsidRPr="009041D4">
        <w:rPr>
          <w:rFonts w:ascii="Arial" w:hAnsi="Arial" w:cs="Arial"/>
        </w:rPr>
        <w:t>.</w:t>
      </w:r>
    </w:p>
    <w:p w14:paraId="1788EDE2" w14:textId="77777777" w:rsidR="007727B0" w:rsidRPr="009041D4" w:rsidRDefault="007727B0" w:rsidP="007727B0">
      <w:pPr>
        <w:spacing w:after="0"/>
        <w:jc w:val="both"/>
        <w:rPr>
          <w:rFonts w:ascii="Arial" w:eastAsia="Times New Roman" w:hAnsi="Arial" w:cs="Arial"/>
          <w:szCs w:val="24"/>
          <w:lang w:eastAsia="es-ES"/>
        </w:rPr>
      </w:pPr>
    </w:p>
    <w:p w14:paraId="7B1AA4F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rPr>
        <w:t>El espectro asignado al AEP será de 21 MHz en la banda de 850 MHz, de 28.4 MHz en la banda de 1900 MHz y de 80 MHz en la banda de 1700 MHz; y 60 MHz en la banda de 2500 MHz.</w:t>
      </w:r>
    </w:p>
    <w:p w14:paraId="23999128" w14:textId="686E14AE" w:rsidR="007727B0" w:rsidRPr="009041D4" w:rsidRDefault="007727B0" w:rsidP="007727B0">
      <w:pPr>
        <w:spacing w:after="0"/>
        <w:jc w:val="both"/>
        <w:rPr>
          <w:rFonts w:ascii="Arial" w:eastAsia="Times New Roman" w:hAnsi="Arial" w:cs="Arial"/>
          <w:szCs w:val="24"/>
          <w:lang w:eastAsia="es-ES"/>
        </w:rPr>
      </w:pPr>
    </w:p>
    <w:p w14:paraId="55626EB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3C3F463E" w14:textId="77777777" w:rsidR="007727B0" w:rsidRPr="009041D4" w:rsidRDefault="007727B0" w:rsidP="007727B0">
      <w:pPr>
        <w:spacing w:after="0"/>
        <w:jc w:val="both"/>
        <w:rPr>
          <w:rFonts w:ascii="Arial" w:eastAsia="Times New Roman" w:hAnsi="Arial" w:cs="Arial"/>
          <w:szCs w:val="24"/>
          <w:lang w:eastAsia="es-ES"/>
        </w:rPr>
      </w:pPr>
    </w:p>
    <w:p w14:paraId="62767C7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inversión inicial (</w:t>
      </w:r>
      <w:r w:rsidRPr="009041D4">
        <w:rPr>
          <w:rFonts w:ascii="Arial" w:eastAsia="Times New Roman" w:hAnsi="Arial" w:cs="Arial"/>
          <w:i/>
          <w:szCs w:val="24"/>
          <w:lang w:eastAsia="es-ES"/>
        </w:rPr>
        <w:t>CapEx</w:t>
      </w:r>
      <w:r w:rsidRPr="009041D4">
        <w:rPr>
          <w:rFonts w:ascii="Arial" w:eastAsia="Times New Roman" w:hAnsi="Arial" w:cs="Arial"/>
          <w:szCs w:val="24"/>
          <w:lang w:eastAsia="es-ES"/>
        </w:rPr>
        <w:t>) en espectro en la banda de 850MHz se calcula con base al precio promedio pagado en la prórroga otorgada en mayo de 2010 por región por MHz, multiplicándolo por la cantidad de espectro que tendrá el operador hipotético.</w:t>
      </w:r>
    </w:p>
    <w:p w14:paraId="76927138" w14:textId="77777777" w:rsidR="007727B0" w:rsidRPr="009041D4" w:rsidRDefault="007727B0" w:rsidP="007727B0">
      <w:pPr>
        <w:spacing w:after="0"/>
        <w:jc w:val="both"/>
        <w:rPr>
          <w:rFonts w:ascii="Arial" w:eastAsia="Times New Roman" w:hAnsi="Arial" w:cs="Arial"/>
          <w:szCs w:val="24"/>
          <w:lang w:eastAsia="es-ES"/>
        </w:rPr>
      </w:pPr>
    </w:p>
    <w:p w14:paraId="6B0E58D1"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De forma similar, la inversión inicial (</w:t>
      </w:r>
      <w:r w:rsidRPr="009041D4">
        <w:rPr>
          <w:rFonts w:ascii="Arial" w:eastAsia="Times New Roman" w:hAnsi="Arial" w:cs="Arial"/>
          <w:i/>
          <w:szCs w:val="24"/>
          <w:lang w:eastAsia="es-ES"/>
        </w:rPr>
        <w:t>CapEx</w:t>
      </w:r>
      <w:r w:rsidRPr="009041D4">
        <w:rPr>
          <w:rFonts w:ascii="Arial" w:eastAsia="Times New Roman" w:hAnsi="Arial" w:cs="Arial"/>
          <w:szCs w:val="24"/>
          <w:lang w:eastAsia="es-ES"/>
        </w:rPr>
        <w:t>) en espectro en la banda de 1900MHz (PCS) y 1700/2100 MHz (AWS) y 2.5 GHz se calcula a partir de los precios pagados por el espectro en la prórroga de la concesión otorgada en 2019 y en las subastas realizadas en los años 2016 y 2018.</w:t>
      </w:r>
    </w:p>
    <w:p w14:paraId="20724449" w14:textId="77777777" w:rsidR="007727B0" w:rsidRPr="009041D4" w:rsidRDefault="007727B0" w:rsidP="007727B0">
      <w:pPr>
        <w:spacing w:after="0"/>
        <w:jc w:val="both"/>
        <w:rPr>
          <w:rFonts w:ascii="Arial" w:eastAsia="Times New Roman" w:hAnsi="Arial" w:cs="Arial"/>
          <w:szCs w:val="24"/>
          <w:lang w:eastAsia="es-ES"/>
        </w:rPr>
      </w:pPr>
    </w:p>
    <w:p w14:paraId="5AB26FD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lastRenderedPageBreak/>
        <w:t>Respecto a la banda de 700MHz, no se asume ninguna inversión inicial (</w:t>
      </w:r>
      <w:r w:rsidRPr="009041D4">
        <w:rPr>
          <w:rFonts w:ascii="Arial" w:eastAsia="Times New Roman" w:hAnsi="Arial" w:cs="Arial"/>
          <w:i/>
          <w:szCs w:val="24"/>
          <w:lang w:eastAsia="es-ES"/>
        </w:rPr>
        <w:t>CapEx</w:t>
      </w:r>
      <w:r w:rsidRPr="009041D4">
        <w:rPr>
          <w:rFonts w:ascii="Arial" w:eastAsia="Times New Roman" w:hAnsi="Arial" w:cs="Arial"/>
          <w:szCs w:val="24"/>
          <w:lang w:eastAsia="es-ES"/>
        </w:rPr>
        <w:t>) ya que su licitación no llevaba asociada una contraprestación por el otorgamiento de la concesión, pero sí un monto anual (</w:t>
      </w:r>
      <w:r w:rsidRPr="009041D4">
        <w:rPr>
          <w:rFonts w:ascii="Arial" w:eastAsia="Times New Roman" w:hAnsi="Arial" w:cs="Arial"/>
          <w:i/>
          <w:szCs w:val="24"/>
          <w:lang w:eastAsia="es-ES"/>
        </w:rPr>
        <w:t>OpEx</w:t>
      </w:r>
      <w:r w:rsidRPr="009041D4">
        <w:rPr>
          <w:rFonts w:ascii="Arial" w:eastAsia="Times New Roman" w:hAnsi="Arial" w:cs="Arial"/>
          <w:szCs w:val="24"/>
          <w:lang w:eastAsia="es-ES"/>
        </w:rPr>
        <w:t>) en concepto de pago de derechos.</w:t>
      </w:r>
    </w:p>
    <w:p w14:paraId="548B7052" w14:textId="77777777" w:rsidR="007727B0" w:rsidRPr="009041D4" w:rsidRDefault="007727B0" w:rsidP="007727B0">
      <w:pPr>
        <w:spacing w:after="0"/>
        <w:jc w:val="both"/>
        <w:rPr>
          <w:rFonts w:ascii="Arial" w:eastAsia="Times New Roman" w:hAnsi="Arial" w:cs="Arial"/>
          <w:szCs w:val="24"/>
          <w:lang w:eastAsia="es-ES"/>
        </w:rPr>
      </w:pPr>
    </w:p>
    <w:p w14:paraId="0460CC1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El costo del espectro se modelará de la siguiente manera:</w:t>
      </w:r>
    </w:p>
    <w:p w14:paraId="1081463A" w14:textId="77777777" w:rsidR="007727B0" w:rsidRPr="009041D4" w:rsidRDefault="007727B0" w:rsidP="007727B0">
      <w:pPr>
        <w:spacing w:after="0"/>
        <w:jc w:val="both"/>
        <w:rPr>
          <w:rFonts w:ascii="Arial" w:eastAsia="Times New Roman" w:hAnsi="Arial" w:cs="Arial"/>
          <w:szCs w:val="24"/>
          <w:lang w:eastAsia="es-ES"/>
        </w:rPr>
      </w:pPr>
    </w:p>
    <w:p w14:paraId="4A6FCC54"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La inversión inicial (</w:t>
      </w:r>
      <w:r w:rsidRPr="009041D4">
        <w:rPr>
          <w:rFonts w:ascii="Arial" w:hAnsi="Arial" w:cs="Arial"/>
          <w:i/>
          <w:lang w:val="es-ES"/>
        </w:rPr>
        <w:t>CapEx</w:t>
      </w:r>
      <w:r w:rsidRPr="009041D4">
        <w:rPr>
          <w:rFonts w:ascii="Arial" w:hAnsi="Arial" w:cs="Arial"/>
          <w:lang w:val="es-ES"/>
        </w:rPr>
        <w:t>) en espectro en la banda de 850MHz se calculará con base en el precio promedio pagado en la prórroga otorgada en mayo de 2010 por región por MHz, multiplicándolo por la cantidad de espectro que tendrá el operador hipotético.</w:t>
      </w:r>
    </w:p>
    <w:p w14:paraId="3DFE8144"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De forma similar, la inversión inicial (</w:t>
      </w:r>
      <w:r w:rsidRPr="009041D4">
        <w:rPr>
          <w:rFonts w:ascii="Arial" w:hAnsi="Arial" w:cs="Arial"/>
          <w:i/>
          <w:lang w:val="es-ES"/>
        </w:rPr>
        <w:t>CapEx</w:t>
      </w:r>
      <w:r w:rsidRPr="009041D4">
        <w:rPr>
          <w:rFonts w:ascii="Arial" w:hAnsi="Arial" w:cs="Arial"/>
          <w:lang w:val="es-ES"/>
        </w:rPr>
        <w:t>) en espectro en las bandas de PCS se calculará promediando el pago de la reciente prórroga de la concesión otorgada en 2019.</w:t>
      </w:r>
    </w:p>
    <w:p w14:paraId="67B1E3DE" w14:textId="71FFE062"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 xml:space="preserve"> La inversión inicial en </w:t>
      </w:r>
      <w:r w:rsidRPr="009041D4">
        <w:rPr>
          <w:rFonts w:ascii="Arial" w:hAnsi="Arial" w:cs="Arial"/>
          <w:i/>
          <w:lang w:val="es-ES"/>
        </w:rPr>
        <w:t>(CapEx)</w:t>
      </w:r>
      <w:r w:rsidRPr="009041D4">
        <w:rPr>
          <w:rFonts w:ascii="Arial" w:hAnsi="Arial" w:cs="Arial"/>
          <w:lang w:val="es-ES"/>
        </w:rPr>
        <w:t>en espectro en la banda AWS se calculará para la cantidad de espectro que el</w:t>
      </w:r>
      <w:r w:rsidR="00D94D81" w:rsidRPr="009041D4">
        <w:rPr>
          <w:rFonts w:ascii="Arial" w:hAnsi="Arial" w:cs="Arial"/>
          <w:lang w:val="es-ES"/>
        </w:rPr>
        <w:t xml:space="preserve"> </w:t>
      </w:r>
      <w:r w:rsidRPr="009041D4">
        <w:rPr>
          <w:rFonts w:ascii="Arial" w:hAnsi="Arial" w:cs="Arial"/>
          <w:lang w:val="es-ES"/>
        </w:rPr>
        <w:t>operador hipotético posea a partir del precio pagado en la subasta realizada en 2016.</w:t>
      </w:r>
    </w:p>
    <w:p w14:paraId="2E7FB782" w14:textId="77777777" w:rsidR="007727B0" w:rsidRPr="009041D4" w:rsidRDefault="007727B0" w:rsidP="007727B0">
      <w:pPr>
        <w:numPr>
          <w:ilvl w:val="0"/>
          <w:numId w:val="13"/>
        </w:numPr>
        <w:spacing w:after="0"/>
        <w:ind w:left="709"/>
        <w:jc w:val="both"/>
        <w:rPr>
          <w:rFonts w:ascii="Arial" w:hAnsi="Arial" w:cs="Arial"/>
        </w:rPr>
      </w:pPr>
      <w:r w:rsidRPr="009041D4">
        <w:rPr>
          <w:rFonts w:ascii="Arial" w:hAnsi="Arial" w:cs="Arial"/>
          <w:lang w:val="es-ES"/>
        </w:rPr>
        <w:t>Ahora bien, la inversión inicial (</w:t>
      </w:r>
      <w:r w:rsidRPr="009041D4">
        <w:rPr>
          <w:rFonts w:ascii="Arial" w:hAnsi="Arial" w:cs="Arial"/>
          <w:i/>
          <w:lang w:val="es-ES"/>
        </w:rPr>
        <w:t>CapEx</w:t>
      </w:r>
      <w:r w:rsidRPr="009041D4">
        <w:rPr>
          <w:rFonts w:ascii="Arial" w:hAnsi="Arial" w:cs="Arial"/>
          <w:lang w:val="es-ES"/>
        </w:rPr>
        <w:t xml:space="preserve">) aplicable a la </w:t>
      </w:r>
      <w:r w:rsidRPr="009041D4">
        <w:rPr>
          <w:rFonts w:ascii="Arial" w:hAnsi="Arial" w:cs="Arial"/>
        </w:rPr>
        <w:t>banda de 2500MHz se calculará con base en el precio promedio pagado en la subasta de 2018.</w:t>
      </w:r>
    </w:p>
    <w:p w14:paraId="74AFB35D" w14:textId="77777777" w:rsidR="007727B0" w:rsidRPr="009041D4" w:rsidRDefault="007727B0" w:rsidP="007727B0">
      <w:pPr>
        <w:numPr>
          <w:ilvl w:val="0"/>
          <w:numId w:val="13"/>
        </w:numPr>
        <w:spacing w:after="0"/>
        <w:ind w:left="709"/>
        <w:jc w:val="both"/>
        <w:rPr>
          <w:rFonts w:ascii="Arial" w:hAnsi="Arial" w:cs="Arial"/>
        </w:rPr>
      </w:pPr>
      <w:r w:rsidRPr="009041D4">
        <w:rPr>
          <w:rFonts w:ascii="Arial" w:eastAsiaTheme="minorHAnsi" w:hAnsi="Arial" w:cs="Arial"/>
        </w:rPr>
        <w:t>Finalmente, los costos asociados a la banda de 700MHz se calcularán sin necesidad de</w:t>
      </w:r>
      <w:r w:rsidRPr="009041D4">
        <w:rPr>
          <w:rFonts w:ascii="Arial" w:hAnsi="Arial" w:cs="Arial"/>
        </w:rPr>
        <w:t xml:space="preserve"> </w:t>
      </w:r>
      <w:r w:rsidRPr="009041D4">
        <w:rPr>
          <w:rFonts w:ascii="Arial" w:eastAsiaTheme="minorHAnsi" w:hAnsi="Arial" w:cs="Arial"/>
        </w:rPr>
        <w:t>promediarlos, directamente con base en los pagos realizados por Altán, que es el único operador con espectro en esta banda, y figurarán como gastos operativos (opex), ya que los pagos son</w:t>
      </w:r>
      <w:r w:rsidRPr="009041D4">
        <w:rPr>
          <w:rFonts w:ascii="Arial" w:hAnsi="Arial" w:cs="Arial"/>
        </w:rPr>
        <w:t xml:space="preserve"> </w:t>
      </w:r>
      <w:r w:rsidRPr="009041D4">
        <w:rPr>
          <w:rFonts w:ascii="Arial" w:eastAsiaTheme="minorHAnsi" w:hAnsi="Arial" w:cs="Arial"/>
        </w:rPr>
        <w:t>anuales en concepto de contraprestación por los derechos de uso y explotación del espectro.</w:t>
      </w:r>
    </w:p>
    <w:p w14:paraId="1380FF62" w14:textId="77777777" w:rsidR="007727B0" w:rsidRPr="009041D4" w:rsidRDefault="007727B0" w:rsidP="007727B0">
      <w:pPr>
        <w:numPr>
          <w:ilvl w:val="0"/>
          <w:numId w:val="13"/>
        </w:numPr>
        <w:spacing w:after="0"/>
        <w:ind w:left="709"/>
        <w:jc w:val="both"/>
        <w:rPr>
          <w:rFonts w:ascii="Arial" w:hAnsi="Arial" w:cs="Arial"/>
          <w:lang w:val="es-ES"/>
        </w:rPr>
      </w:pPr>
      <w:r w:rsidRPr="009041D4">
        <w:rPr>
          <w:rFonts w:ascii="Arial" w:hAnsi="Arial" w:cs="Arial"/>
          <w:lang w:val="es-ES"/>
        </w:rPr>
        <w:t>Los costos operativos se calcularán multiplicando la cantidad de espectro en cada banda de frecuencia por el precio de derechos por kHz por región.</w:t>
      </w:r>
    </w:p>
    <w:p w14:paraId="46D83724" w14:textId="77777777" w:rsidR="007727B0" w:rsidRPr="009041D4" w:rsidRDefault="007727B0" w:rsidP="007727B0">
      <w:pPr>
        <w:spacing w:after="0"/>
        <w:jc w:val="both"/>
        <w:rPr>
          <w:rFonts w:ascii="Arial" w:eastAsia="Times New Roman" w:hAnsi="Arial" w:cs="Arial"/>
          <w:szCs w:val="24"/>
          <w:lang w:eastAsia="es-ES"/>
        </w:rPr>
      </w:pPr>
    </w:p>
    <w:p w14:paraId="6FC847C7" w14:textId="77777777" w:rsidR="007727B0" w:rsidRPr="009041D4" w:rsidRDefault="007727B0" w:rsidP="007727B0">
      <w:pPr>
        <w:spacing w:after="0"/>
        <w:rPr>
          <w:rFonts w:ascii="Arial" w:hAnsi="Arial" w:cs="Arial"/>
          <w:i/>
        </w:rPr>
      </w:pPr>
      <w:r w:rsidRPr="009041D4">
        <w:rPr>
          <w:rFonts w:ascii="Arial" w:hAnsi="Arial" w:cs="Arial"/>
          <w:i/>
        </w:rPr>
        <w:t xml:space="preserve">Red de conmutación </w:t>
      </w:r>
    </w:p>
    <w:p w14:paraId="7176861D" w14:textId="77777777" w:rsidR="007727B0" w:rsidRPr="009041D4" w:rsidRDefault="007727B0" w:rsidP="007727B0">
      <w:pPr>
        <w:spacing w:after="0"/>
        <w:rPr>
          <w:rFonts w:ascii="Arial" w:hAnsi="Arial" w:cs="Arial"/>
          <w:i/>
        </w:rPr>
      </w:pPr>
    </w:p>
    <w:p w14:paraId="6B040B3B"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14:paraId="152FCAA6" w14:textId="77777777" w:rsidR="007727B0" w:rsidRPr="009041D4" w:rsidRDefault="007727B0" w:rsidP="007727B0">
      <w:pPr>
        <w:spacing w:after="0"/>
        <w:ind w:left="426"/>
        <w:jc w:val="both"/>
        <w:rPr>
          <w:rFonts w:ascii="Arial" w:eastAsia="Times New Roman" w:hAnsi="Arial" w:cs="Arial"/>
          <w:lang w:val="es-ES" w:eastAsia="es-ES"/>
        </w:rPr>
      </w:pPr>
    </w:p>
    <w:p w14:paraId="657E11A7" w14:textId="77777777" w:rsidR="007727B0" w:rsidRPr="009041D4" w:rsidRDefault="007727B0" w:rsidP="007727B0">
      <w:pPr>
        <w:numPr>
          <w:ilvl w:val="0"/>
          <w:numId w:val="13"/>
        </w:numPr>
        <w:spacing w:after="0"/>
        <w:ind w:left="709"/>
        <w:jc w:val="both"/>
        <w:rPr>
          <w:rFonts w:ascii="Arial" w:eastAsia="Times New Roman" w:hAnsi="Arial" w:cs="Arial"/>
          <w:lang w:val="es-ES" w:eastAsia="es-ES"/>
        </w:rPr>
      </w:pPr>
      <w:r w:rsidRPr="009041D4">
        <w:rPr>
          <w:rFonts w:ascii="Arial" w:eastAsia="Times New Roman" w:hAnsi="Arial" w:cs="Arial"/>
          <w:lang w:val="es-ES" w:eastAsia="es-ES"/>
        </w:rPr>
        <w:t>Estructuras 2G, 3G y 4G separadas con transmisión separada, cada una conteniendo uno o más Centrales de Conmutación Móviles (MSC de sus siglas en inglés, “Mobile Switching Center”), Nodos Pasarela de Soporte (GSN de sus siglas en inglés “Gateway Support Node”) y puntos de interconexión (PdI) entrelazados;</w:t>
      </w:r>
    </w:p>
    <w:p w14:paraId="16C0CE86" w14:textId="77777777" w:rsidR="00D94D81" w:rsidRPr="009041D4" w:rsidRDefault="007727B0" w:rsidP="007727B0">
      <w:pPr>
        <w:numPr>
          <w:ilvl w:val="0"/>
          <w:numId w:val="13"/>
        </w:numPr>
        <w:spacing w:after="0"/>
        <w:ind w:left="709"/>
        <w:jc w:val="both"/>
        <w:rPr>
          <w:rFonts w:ascii="Arial" w:eastAsia="Times New Roman" w:hAnsi="Arial" w:cs="Arial"/>
          <w:lang w:val="es-ES" w:eastAsia="es-ES"/>
        </w:rPr>
      </w:pPr>
      <w:r w:rsidRPr="009041D4">
        <w:rPr>
          <w:rFonts w:ascii="Arial" w:eastAsia="Times New Roman" w:hAnsi="Arial" w:cs="Arial"/>
          <w:lang w:val="es-ES" w:eastAsia="es-ES"/>
        </w:rPr>
        <w:t>Una estructura antigua mejorada con una red de transmisión combinada, conteniendo uno o más MSC, GSN y puntos de interconexión (PdI) entrelazados, que sean compatibles tanto con 2G como con 3G y una estructura 4G separada;</w:t>
      </w:r>
    </w:p>
    <w:p w14:paraId="30781B38" w14:textId="004FF6EF" w:rsidR="007727B0" w:rsidRPr="009041D4" w:rsidRDefault="007727B0" w:rsidP="007727B0">
      <w:pPr>
        <w:numPr>
          <w:ilvl w:val="0"/>
          <w:numId w:val="13"/>
        </w:numPr>
        <w:spacing w:after="0"/>
        <w:ind w:left="709"/>
        <w:jc w:val="both"/>
        <w:rPr>
          <w:rFonts w:ascii="Arial" w:eastAsia="Times New Roman" w:hAnsi="Arial" w:cs="Arial"/>
          <w:lang w:val="es-ES" w:eastAsia="es-ES"/>
        </w:rPr>
      </w:pPr>
      <w:r w:rsidRPr="009041D4">
        <w:rPr>
          <w:rFonts w:ascii="Arial" w:eastAsia="Times New Roman" w:hAnsi="Arial" w:cs="Arial"/>
          <w:lang w:val="es-ES" w:eastAsia="es-ES"/>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14:paraId="0AB90E3C" w14:textId="77777777" w:rsidR="007727B0" w:rsidRPr="009041D4" w:rsidRDefault="007727B0" w:rsidP="007727B0">
      <w:pPr>
        <w:spacing w:after="0"/>
        <w:ind w:left="709"/>
        <w:jc w:val="both"/>
        <w:rPr>
          <w:rFonts w:ascii="Arial" w:eastAsia="Times New Roman" w:hAnsi="Arial" w:cs="Arial"/>
          <w:lang w:val="es-ES" w:eastAsia="es-ES"/>
        </w:rPr>
      </w:pPr>
    </w:p>
    <w:p w14:paraId="7863D3EF"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lastRenderedPageBreak/>
        <w:t>Las tres opciones se muestran gráficamente en la siguiente figura:</w:t>
      </w:r>
    </w:p>
    <w:p w14:paraId="5E00986E" w14:textId="77777777" w:rsidR="007727B0" w:rsidRPr="009041D4" w:rsidRDefault="007727B0" w:rsidP="007727B0">
      <w:pPr>
        <w:spacing w:after="0"/>
        <w:jc w:val="center"/>
        <w:rPr>
          <w:rFonts w:ascii="Arial" w:eastAsia="Times New Roman" w:hAnsi="Arial" w:cs="Arial"/>
          <w:lang w:val="es-ES" w:eastAsia="es-ES"/>
        </w:rPr>
      </w:pPr>
      <w:r w:rsidRPr="009041D4">
        <w:rPr>
          <w:rFonts w:ascii="Arial" w:hAnsi="Arial" w:cs="Arial"/>
          <w:noProof/>
          <w:lang w:eastAsia="es-MX"/>
        </w:rPr>
        <w:drawing>
          <wp:inline distT="0" distB="0" distL="0" distR="0" wp14:anchorId="5FE4B5EA" wp14:editId="6423B060">
            <wp:extent cx="5104130" cy="3282315"/>
            <wp:effectExtent l="0" t="0" r="1270" b="0"/>
            <wp:docPr id="15"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57E4A21B" w14:textId="4B379B17" w:rsidR="007727B0" w:rsidRPr="009041D4" w:rsidRDefault="007727B0" w:rsidP="001F2E88">
      <w:pPr>
        <w:spacing w:after="0"/>
        <w:ind w:left="426"/>
        <w:jc w:val="center"/>
        <w:rPr>
          <w:rFonts w:ascii="Arial" w:eastAsia="Times New Roman" w:hAnsi="Arial" w:cs="Arial"/>
          <w:sz w:val="18"/>
          <w:szCs w:val="18"/>
          <w:lang w:val="es-ES" w:eastAsia="es-ES"/>
        </w:rPr>
      </w:pPr>
      <w:r w:rsidRPr="009041D4">
        <w:rPr>
          <w:rFonts w:ascii="Arial" w:eastAsia="Times New Roman" w:hAnsi="Arial" w:cs="Arial"/>
          <w:sz w:val="18"/>
          <w:szCs w:val="18"/>
          <w:lang w:val="es-ES" w:eastAsia="es-ES"/>
        </w:rPr>
        <w:t xml:space="preserve">Figura </w:t>
      </w:r>
      <w:r w:rsidR="00FA093E" w:rsidRPr="009041D4">
        <w:rPr>
          <w:rFonts w:ascii="Arial" w:eastAsia="Times New Roman" w:hAnsi="Arial" w:cs="Arial"/>
          <w:sz w:val="18"/>
          <w:szCs w:val="18"/>
          <w:lang w:val="es-ES" w:eastAsia="es-ES"/>
        </w:rPr>
        <w:t>2</w:t>
      </w:r>
      <w:r w:rsidRPr="009041D4">
        <w:rPr>
          <w:rFonts w:ascii="Arial" w:eastAsia="Times New Roman" w:hAnsi="Arial" w:cs="Arial"/>
          <w:sz w:val="18"/>
          <w:szCs w:val="18"/>
          <w:lang w:val="es-ES" w:eastAsia="es-ES"/>
        </w:rPr>
        <w:t xml:space="preserve">. Opciones de arquitectura para el Modelo Móvil. </w:t>
      </w:r>
    </w:p>
    <w:p w14:paraId="792BC018" w14:textId="77777777" w:rsidR="007727B0" w:rsidRPr="009041D4" w:rsidRDefault="007727B0" w:rsidP="001F2E88">
      <w:pPr>
        <w:spacing w:after="0"/>
        <w:jc w:val="center"/>
        <w:rPr>
          <w:rFonts w:ascii="Arial" w:eastAsia="Times New Roman" w:hAnsi="Arial" w:cs="Arial"/>
          <w:lang w:val="es-ES" w:eastAsia="es-ES"/>
        </w:rPr>
      </w:pPr>
    </w:p>
    <w:p w14:paraId="1E75543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lang w:val="es-ES"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162C0F8E" w14:textId="77777777" w:rsidR="007727B0" w:rsidRPr="009041D4" w:rsidRDefault="007727B0" w:rsidP="007727B0">
      <w:pPr>
        <w:tabs>
          <w:tab w:val="left" w:pos="426"/>
        </w:tabs>
        <w:spacing w:after="0"/>
        <w:jc w:val="both"/>
        <w:rPr>
          <w:rFonts w:ascii="Arial" w:eastAsia="Times New Roman" w:hAnsi="Arial" w:cs="Arial"/>
          <w:szCs w:val="24"/>
          <w:lang w:eastAsia="es-ES"/>
        </w:rPr>
      </w:pPr>
    </w:p>
    <w:p w14:paraId="335D8B0F" w14:textId="77777777" w:rsidR="007727B0" w:rsidRPr="009041D4" w:rsidRDefault="007727B0" w:rsidP="007727B0">
      <w:pPr>
        <w:spacing w:after="0"/>
        <w:rPr>
          <w:rFonts w:ascii="Arial" w:hAnsi="Arial" w:cs="Arial"/>
          <w:i/>
        </w:rPr>
      </w:pPr>
      <w:r w:rsidRPr="009041D4">
        <w:rPr>
          <w:rFonts w:ascii="Arial" w:hAnsi="Arial" w:cs="Arial"/>
          <w:i/>
        </w:rPr>
        <w:t>Red de transmisión</w:t>
      </w:r>
    </w:p>
    <w:p w14:paraId="26AC9B70" w14:textId="77777777" w:rsidR="007727B0" w:rsidRPr="009041D4" w:rsidRDefault="007727B0" w:rsidP="007727B0">
      <w:pPr>
        <w:spacing w:after="0"/>
        <w:rPr>
          <w:rFonts w:ascii="Arial" w:hAnsi="Arial" w:cs="Arial"/>
          <w:i/>
        </w:rPr>
      </w:pPr>
    </w:p>
    <w:p w14:paraId="46D3DB1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conectividad entre nodos de redes de telefonía móvil se ajusta a varios tipos:</w:t>
      </w:r>
    </w:p>
    <w:p w14:paraId="488A2062" w14:textId="77777777" w:rsidR="007727B0" w:rsidRPr="009041D4" w:rsidRDefault="007727B0" w:rsidP="007727B0">
      <w:pPr>
        <w:spacing w:after="0"/>
        <w:ind w:left="993"/>
        <w:jc w:val="both"/>
        <w:rPr>
          <w:rFonts w:ascii="Arial" w:eastAsia="Times New Roman" w:hAnsi="Arial" w:cs="Arial"/>
          <w:szCs w:val="24"/>
          <w:lang w:eastAsia="es-ES"/>
        </w:rPr>
      </w:pPr>
    </w:p>
    <w:p w14:paraId="76092D8F" w14:textId="77777777"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Acceso de última milla de BTS, Nodos o eNodosB a un concentrador (</w:t>
      </w:r>
      <w:r w:rsidRPr="009041D4">
        <w:rPr>
          <w:rFonts w:ascii="Arial" w:eastAsia="Times New Roman" w:hAnsi="Arial" w:cs="Arial"/>
          <w:i/>
          <w:szCs w:val="24"/>
          <w:lang w:eastAsia="es-ES"/>
        </w:rPr>
        <w:t>hub</w:t>
      </w:r>
      <w:r w:rsidRPr="009041D4">
        <w:rPr>
          <w:rFonts w:ascii="Arial" w:eastAsia="Times New Roman" w:hAnsi="Arial" w:cs="Arial"/>
          <w:szCs w:val="24"/>
          <w:lang w:eastAsia="es-ES"/>
        </w:rPr>
        <w:t>).</w:t>
      </w:r>
    </w:p>
    <w:p w14:paraId="5925BE9C" w14:textId="77777777"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Concentrador a Controlador Estación Base (BSC de sus siglas en inglés, Base Station Controller), Controlador de Red de Radio (RNC de sus siglas en inglés, Radio Network Controller) o punto de agregación LTE (LTE-AP).</w:t>
      </w:r>
    </w:p>
    <w:p w14:paraId="180E43A9" w14:textId="35A948CC"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 xml:space="preserve">BSC, RNC o LTE (LTE de sus siglas en inglés, </w:t>
      </w:r>
      <w:r w:rsidRPr="009041D4">
        <w:rPr>
          <w:rFonts w:ascii="Arial" w:eastAsia="Times New Roman" w:hAnsi="Arial" w:cs="Arial"/>
          <w:iCs/>
          <w:szCs w:val="24"/>
          <w:lang w:eastAsia="es-ES"/>
        </w:rPr>
        <w:t>Long Term Evolution)</w:t>
      </w:r>
      <w:r w:rsidRPr="009041D4">
        <w:rPr>
          <w:rFonts w:ascii="Arial" w:eastAsia="Times New Roman" w:hAnsi="Arial" w:cs="Arial"/>
          <w:szCs w:val="24"/>
          <w:lang w:eastAsia="es-ES"/>
        </w:rPr>
        <w:t xml:space="preserve"> a emplazamientos de conmutación principales (que contengan MSC,</w:t>
      </w:r>
      <w:r w:rsidR="00BE3A2E" w:rsidRPr="009041D4">
        <w:rPr>
          <w:rFonts w:ascii="Arial" w:eastAsia="Times New Roman" w:hAnsi="Arial" w:cs="Arial"/>
          <w:szCs w:val="24"/>
          <w:lang w:eastAsia="es-ES"/>
        </w:rPr>
        <w:t xml:space="preserve"> </w:t>
      </w:r>
      <w:r w:rsidRPr="009041D4">
        <w:rPr>
          <w:rFonts w:ascii="Arial" w:eastAsia="Times New Roman" w:hAnsi="Arial" w:cs="Arial"/>
          <w:szCs w:val="24"/>
          <w:lang w:eastAsia="es-ES"/>
        </w:rPr>
        <w:t>MGW o SGW) si no están coubicados.</w:t>
      </w:r>
    </w:p>
    <w:p w14:paraId="76466DD4" w14:textId="77777777"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Entre emplazamientos de conmutación principales (entre MSC, MGW o SGW).</w:t>
      </w:r>
    </w:p>
    <w:p w14:paraId="06F04A24" w14:textId="77777777" w:rsidR="007727B0" w:rsidRPr="009041D4" w:rsidRDefault="007727B0" w:rsidP="007727B0">
      <w:pPr>
        <w:spacing w:after="0"/>
        <w:jc w:val="both"/>
        <w:rPr>
          <w:rFonts w:ascii="Arial" w:eastAsia="Times New Roman" w:hAnsi="Arial" w:cs="Arial"/>
          <w:szCs w:val="24"/>
          <w:lang w:eastAsia="es-ES"/>
        </w:rPr>
      </w:pPr>
    </w:p>
    <w:p w14:paraId="4B58FEC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Las soluciones típicas para la provisión de transmisión incluyen los siguientes elementos,</w:t>
      </w:r>
      <w:r w:rsidRPr="009041D4">
        <w:rPr>
          <w:rFonts w:ascii="Arial" w:eastAsiaTheme="minorHAnsi" w:hAnsi="Arial" w:cs="Arial"/>
        </w:rPr>
        <w:t xml:space="preserve"> </w:t>
      </w:r>
      <w:r w:rsidRPr="009041D4">
        <w:rPr>
          <w:rFonts w:ascii="Arial" w:eastAsia="Times New Roman" w:hAnsi="Arial" w:cs="Arial"/>
          <w:szCs w:val="24"/>
          <w:lang w:eastAsia="es-ES"/>
        </w:rPr>
        <w:t>todos ellos disponibles con enlaces ATM (velocidades de 2, 4, 8, 16, 32, 155 y 622Mbit/s) y enlaces Ethernet (velocidades de 10, 30, 100 y 300Mbit/s):</w:t>
      </w:r>
    </w:p>
    <w:p w14:paraId="3031E404" w14:textId="77777777" w:rsidR="007727B0" w:rsidRPr="009041D4" w:rsidRDefault="007727B0" w:rsidP="007727B0">
      <w:pPr>
        <w:spacing w:after="0"/>
        <w:ind w:left="993"/>
        <w:jc w:val="both"/>
        <w:rPr>
          <w:rFonts w:ascii="Arial" w:eastAsia="Times New Roman" w:hAnsi="Arial" w:cs="Arial"/>
          <w:szCs w:val="24"/>
          <w:lang w:eastAsia="es-ES"/>
        </w:rPr>
      </w:pPr>
    </w:p>
    <w:p w14:paraId="0505463F" w14:textId="77777777" w:rsidR="007727B0" w:rsidRPr="009041D4" w:rsidRDefault="007727B0" w:rsidP="007727B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 xml:space="preserve">Enlaces dedicados </w:t>
      </w:r>
    </w:p>
    <w:p w14:paraId="4DDADD9A" w14:textId="77777777" w:rsidR="00525D50" w:rsidRPr="009041D4" w:rsidRDefault="007727B0" w:rsidP="00525D50">
      <w:pPr>
        <w:numPr>
          <w:ilvl w:val="0"/>
          <w:numId w:val="20"/>
        </w:numPr>
        <w:spacing w:after="0"/>
        <w:ind w:left="709" w:hanging="283"/>
        <w:jc w:val="both"/>
        <w:rPr>
          <w:rFonts w:ascii="Arial" w:eastAsia="Times New Roman" w:hAnsi="Arial" w:cs="Arial"/>
          <w:szCs w:val="24"/>
          <w:lang w:val="en-US" w:eastAsia="es-ES"/>
        </w:rPr>
      </w:pPr>
      <w:r w:rsidRPr="009041D4">
        <w:rPr>
          <w:rFonts w:ascii="Arial" w:eastAsia="Times New Roman" w:hAnsi="Arial" w:cs="Arial"/>
          <w:szCs w:val="24"/>
          <w:lang w:val="en-US" w:eastAsia="es-ES"/>
        </w:rPr>
        <w:t xml:space="preserve">Enlaces por microondas autoprovistos </w:t>
      </w:r>
    </w:p>
    <w:p w14:paraId="4CB71B4A" w14:textId="0396DE4D" w:rsidR="007727B0" w:rsidRPr="009041D4" w:rsidRDefault="007727B0" w:rsidP="00525D50">
      <w:pPr>
        <w:numPr>
          <w:ilvl w:val="0"/>
          <w:numId w:val="20"/>
        </w:numPr>
        <w:spacing w:after="0"/>
        <w:ind w:left="709" w:hanging="283"/>
        <w:jc w:val="both"/>
        <w:rPr>
          <w:rFonts w:ascii="Arial" w:eastAsia="Times New Roman" w:hAnsi="Arial" w:cs="Arial"/>
          <w:szCs w:val="24"/>
          <w:lang w:eastAsia="es-ES"/>
        </w:rPr>
      </w:pPr>
      <w:r w:rsidRPr="009041D4">
        <w:rPr>
          <w:rFonts w:ascii="Arial" w:eastAsia="Times New Roman" w:hAnsi="Arial" w:cs="Arial"/>
          <w:szCs w:val="24"/>
          <w:lang w:eastAsia="es-ES"/>
        </w:rPr>
        <w:t>Red de fibra alquilada (fibra oscura alquilada/IRU</w:t>
      </w:r>
      <w:r w:rsidRPr="009041D4">
        <w:rPr>
          <w:rFonts w:ascii="Arial" w:hAnsi="Arial" w:cs="Arial"/>
          <w:spacing w:val="-4"/>
          <w:vertAlign w:val="superscript"/>
        </w:rPr>
        <w:footnoteReference w:id="43"/>
      </w:r>
      <w:r w:rsidRPr="009041D4">
        <w:rPr>
          <w:rFonts w:ascii="Arial" w:hAnsi="Arial" w:cs="Arial"/>
          <w:spacing w:val="-4"/>
          <w:vertAlign w:val="superscript"/>
        </w:rPr>
        <w:t xml:space="preserve"> </w:t>
      </w:r>
    </w:p>
    <w:p w14:paraId="2A2F4DE9" w14:textId="77777777" w:rsidR="00525D50" w:rsidRPr="009041D4" w:rsidRDefault="00525D50" w:rsidP="007727B0">
      <w:pPr>
        <w:spacing w:after="0"/>
        <w:ind w:left="993"/>
        <w:jc w:val="both"/>
        <w:rPr>
          <w:rFonts w:ascii="Arial" w:eastAsia="Times New Roman" w:hAnsi="Arial" w:cs="Arial"/>
          <w:szCs w:val="24"/>
          <w:lang w:eastAsia="es-ES"/>
        </w:rPr>
      </w:pPr>
    </w:p>
    <w:p w14:paraId="279ED53A"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1366E8C4" w14:textId="77777777" w:rsidR="007727B0" w:rsidRPr="009041D4" w:rsidRDefault="007727B0" w:rsidP="007727B0">
      <w:pPr>
        <w:spacing w:after="0"/>
        <w:jc w:val="both"/>
        <w:rPr>
          <w:rFonts w:ascii="Arial" w:eastAsia="Times New Roman" w:hAnsi="Arial" w:cs="Arial"/>
          <w:szCs w:val="24"/>
          <w:lang w:eastAsia="es-ES"/>
        </w:rPr>
      </w:pPr>
    </w:p>
    <w:p w14:paraId="6DFC60BF" w14:textId="577769CD"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este sentido, en consistencia con la mejor tecnología disponible, los operadores modelados disponen de una red de transmisión basada principalmente en enlaces de microondas y enlaces dedicados</w:t>
      </w:r>
      <w:r w:rsidR="0090235E" w:rsidRPr="009041D4">
        <w:rPr>
          <w:rFonts w:ascii="Arial" w:eastAsia="Times New Roman" w:hAnsi="Arial" w:cs="Arial"/>
          <w:szCs w:val="24"/>
          <w:lang w:eastAsia="es-ES"/>
        </w:rPr>
        <w:t>.</w:t>
      </w:r>
    </w:p>
    <w:p w14:paraId="06186C69" w14:textId="77777777" w:rsidR="007727B0" w:rsidRPr="009041D4" w:rsidRDefault="007727B0" w:rsidP="007727B0">
      <w:pPr>
        <w:spacing w:after="0"/>
        <w:ind w:left="426"/>
        <w:jc w:val="both"/>
        <w:rPr>
          <w:rFonts w:ascii="Arial" w:eastAsia="Times New Roman" w:hAnsi="Arial" w:cs="Arial"/>
          <w:szCs w:val="24"/>
          <w:lang w:eastAsia="es-ES"/>
        </w:rPr>
      </w:pPr>
    </w:p>
    <w:p w14:paraId="7203B6B5" w14:textId="77777777" w:rsidR="007727B0" w:rsidRPr="009041D4" w:rsidRDefault="007727B0" w:rsidP="007727B0">
      <w:pPr>
        <w:spacing w:after="0"/>
        <w:jc w:val="both"/>
        <w:rPr>
          <w:rFonts w:ascii="Arial" w:eastAsia="Times New Roman" w:hAnsi="Arial" w:cs="Arial"/>
          <w:b/>
          <w:lang w:val="es-ES" w:eastAsia="es-ES"/>
        </w:rPr>
      </w:pPr>
      <w:r w:rsidRPr="009041D4">
        <w:rPr>
          <w:rFonts w:ascii="Arial" w:eastAsia="Times New Roman" w:hAnsi="Arial" w:cs="Arial"/>
          <w:b/>
          <w:lang w:val="es-ES" w:eastAsia="es-ES"/>
        </w:rPr>
        <w:t>Red de telecomunicaciones fija</w:t>
      </w:r>
    </w:p>
    <w:p w14:paraId="1385314C" w14:textId="77777777" w:rsidR="007727B0" w:rsidRPr="009041D4" w:rsidRDefault="007727B0" w:rsidP="007727B0">
      <w:pPr>
        <w:spacing w:after="0"/>
        <w:jc w:val="both"/>
        <w:rPr>
          <w:rFonts w:ascii="Arial" w:eastAsia="Times New Roman" w:hAnsi="Arial" w:cs="Arial"/>
          <w:i/>
          <w:lang w:val="es-ES" w:eastAsia="es-ES"/>
        </w:rPr>
      </w:pPr>
    </w:p>
    <w:p w14:paraId="77C0E7AE"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Las redes fijas suelen estar formadas de dos capas de activos, las cuales pueden ser desplegadas en base a diferentes tecnologías. Estas son generalmente la capa de acceso y la capa troncal (</w:t>
      </w:r>
      <w:r w:rsidRPr="009041D4">
        <w:rPr>
          <w:rFonts w:ascii="Arial" w:eastAsia="Times New Roman" w:hAnsi="Arial" w:cs="Arial"/>
          <w:i/>
          <w:lang w:val="es-ES" w:eastAsia="es-ES"/>
        </w:rPr>
        <w:t>core</w:t>
      </w:r>
      <w:r w:rsidRPr="009041D4">
        <w:rPr>
          <w:rFonts w:ascii="Arial" w:eastAsia="Times New Roman" w:hAnsi="Arial" w:cs="Arial"/>
          <w:lang w:val="es-ES" w:eastAsia="es-ES"/>
        </w:rPr>
        <w:t>) (que incorpora la red de transmisión), aunque el límite preciso entre las dos capas depende de la tecnología y debe ser cuidadosamente definido. Se describen a continuación cada una de estas capas.</w:t>
      </w:r>
    </w:p>
    <w:p w14:paraId="3E84EB75" w14:textId="77777777" w:rsidR="007727B0" w:rsidRPr="009041D4" w:rsidRDefault="007727B0" w:rsidP="007727B0">
      <w:pPr>
        <w:spacing w:after="0"/>
        <w:jc w:val="both"/>
        <w:rPr>
          <w:rFonts w:ascii="Arial" w:eastAsia="Times New Roman" w:hAnsi="Arial" w:cs="Arial"/>
          <w:lang w:val="es-ES" w:eastAsia="es-ES"/>
        </w:rPr>
      </w:pPr>
    </w:p>
    <w:p w14:paraId="0C49BB0D" w14:textId="77777777" w:rsidR="007727B0" w:rsidRPr="009041D4" w:rsidRDefault="007727B0" w:rsidP="007727B0">
      <w:pPr>
        <w:spacing w:after="0"/>
        <w:jc w:val="both"/>
        <w:rPr>
          <w:rFonts w:ascii="Arial" w:eastAsia="Times New Roman" w:hAnsi="Arial" w:cs="Arial"/>
          <w:i/>
          <w:lang w:val="es-ES" w:eastAsia="es-ES"/>
        </w:rPr>
      </w:pPr>
      <w:r w:rsidRPr="009041D4">
        <w:rPr>
          <w:rFonts w:ascii="Arial" w:eastAsia="Times New Roman" w:hAnsi="Arial" w:cs="Arial"/>
          <w:i/>
          <w:lang w:val="es-ES" w:eastAsia="es-ES"/>
        </w:rPr>
        <w:t>Red de acceso</w:t>
      </w:r>
    </w:p>
    <w:p w14:paraId="0399A982" w14:textId="77777777" w:rsidR="007727B0" w:rsidRPr="009041D4" w:rsidRDefault="007727B0" w:rsidP="007727B0">
      <w:pPr>
        <w:spacing w:after="0"/>
        <w:jc w:val="both"/>
        <w:rPr>
          <w:rFonts w:ascii="Arial" w:eastAsia="Times New Roman" w:hAnsi="Arial" w:cs="Arial"/>
          <w:lang w:val="es-ES" w:eastAsia="es-ES"/>
        </w:rPr>
      </w:pPr>
    </w:p>
    <w:p w14:paraId="39089427"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1928714A" w14:textId="77777777" w:rsidR="007727B0" w:rsidRPr="009041D4" w:rsidRDefault="007727B0" w:rsidP="007727B0">
      <w:pPr>
        <w:spacing w:after="0"/>
        <w:jc w:val="both"/>
        <w:rPr>
          <w:rFonts w:ascii="Arial" w:eastAsia="Times New Roman" w:hAnsi="Arial" w:cs="Arial"/>
          <w:lang w:val="es-ES" w:eastAsia="es-ES"/>
        </w:rPr>
      </w:pPr>
    </w:p>
    <w:p w14:paraId="3F8EE48C"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9041D4">
        <w:rPr>
          <w:rFonts w:ascii="Arial" w:eastAsia="Times New Roman" w:hAnsi="Arial" w:cs="Arial"/>
          <w:i/>
          <w:lang w:val="es-ES" w:eastAsia="es-ES"/>
        </w:rPr>
        <w:t>Multi- Service Access Node</w:t>
      </w:r>
      <w:r w:rsidRPr="009041D4">
        <w:rPr>
          <w:rFonts w:ascii="Arial" w:eastAsia="Times New Roman" w:hAnsi="Arial" w:cs="Arial"/>
          <w:lang w:val="es-ES" w:eastAsia="es-ES"/>
        </w:rPr>
        <w:t>) y supone que el operador despliega una red de última milla de cobre (no incluida en el modelo) sobre la que se despliega VDSL (</w:t>
      </w:r>
      <w:r w:rsidRPr="009041D4">
        <w:rPr>
          <w:rFonts w:ascii="Arial" w:eastAsia="Times New Roman" w:hAnsi="Arial" w:cs="Arial"/>
          <w:i/>
          <w:lang w:val="es-ES" w:eastAsia="es-ES"/>
        </w:rPr>
        <w:t>Very high-bit-rate Digital Suscriber Line)</w:t>
      </w:r>
      <w:r w:rsidRPr="009041D4">
        <w:rPr>
          <w:rFonts w:ascii="Arial" w:eastAsia="Times New Roman" w:hAnsi="Arial" w:cs="Arial"/>
          <w:lang w:val="es-ES" w:eastAsia="es-ES"/>
        </w:rPr>
        <w:t>.</w:t>
      </w:r>
    </w:p>
    <w:p w14:paraId="67E29F55" w14:textId="77777777" w:rsidR="007727B0" w:rsidRPr="009041D4" w:rsidRDefault="007727B0" w:rsidP="007727B0">
      <w:pPr>
        <w:spacing w:after="0"/>
        <w:jc w:val="both"/>
        <w:rPr>
          <w:rFonts w:ascii="Arial" w:eastAsia="Times New Roman" w:hAnsi="Arial" w:cs="Arial"/>
          <w:lang w:val="es-ES" w:eastAsia="es-ES"/>
        </w:rPr>
      </w:pPr>
    </w:p>
    <w:p w14:paraId="7C075CDD" w14:textId="77777777" w:rsidR="007727B0" w:rsidRPr="009041D4" w:rsidRDefault="007727B0" w:rsidP="007727B0">
      <w:pPr>
        <w:spacing w:after="0"/>
        <w:jc w:val="both"/>
        <w:rPr>
          <w:rFonts w:ascii="Arial" w:eastAsia="Times New Roman" w:hAnsi="Arial" w:cs="Arial"/>
          <w:i/>
          <w:lang w:val="es-ES" w:eastAsia="es-ES"/>
        </w:rPr>
      </w:pPr>
      <w:r w:rsidRPr="009041D4">
        <w:rPr>
          <w:rFonts w:ascii="Arial" w:eastAsia="Times New Roman" w:hAnsi="Arial" w:cs="Arial"/>
          <w:i/>
          <w:lang w:val="es-ES" w:eastAsia="es-ES"/>
        </w:rPr>
        <w:t>Red troncal (core) y NGN</w:t>
      </w:r>
    </w:p>
    <w:p w14:paraId="41827416" w14:textId="77777777" w:rsidR="007727B0" w:rsidRPr="009041D4" w:rsidRDefault="007727B0" w:rsidP="007727B0">
      <w:pPr>
        <w:spacing w:after="0"/>
        <w:ind w:left="567"/>
        <w:jc w:val="both"/>
        <w:rPr>
          <w:rFonts w:ascii="Arial" w:eastAsia="Times New Roman" w:hAnsi="Arial" w:cs="Arial"/>
          <w:lang w:val="es-ES" w:eastAsia="es-ES"/>
        </w:rPr>
      </w:pPr>
    </w:p>
    <w:p w14:paraId="44AC35C0"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 xml:space="preserve">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w:t>
      </w:r>
      <w:r w:rsidRPr="009041D4">
        <w:rPr>
          <w:rFonts w:ascii="Arial" w:eastAsia="Times New Roman" w:hAnsi="Arial" w:cs="Arial"/>
          <w:lang w:val="es-ES" w:eastAsia="es-ES"/>
        </w:rPr>
        <w:lastRenderedPageBreak/>
        <w:t>utilizan un transporte basado en conmutadores (</w:t>
      </w:r>
      <w:r w:rsidRPr="009041D4">
        <w:rPr>
          <w:rFonts w:ascii="Arial" w:eastAsia="Times New Roman" w:hAnsi="Arial" w:cs="Arial"/>
          <w:i/>
          <w:lang w:val="es-ES" w:eastAsia="es-ES"/>
        </w:rPr>
        <w:t>switches</w:t>
      </w:r>
      <w:r w:rsidRPr="009041D4">
        <w:rPr>
          <w:rFonts w:ascii="Arial" w:eastAsia="Times New Roman" w:hAnsi="Arial" w:cs="Arial"/>
          <w:lang w:val="es-ES" w:eastAsia="es-ES"/>
        </w:rPr>
        <w:t>) y enrutadores (</w:t>
      </w:r>
      <w:r w:rsidRPr="009041D4">
        <w:rPr>
          <w:rFonts w:ascii="Arial" w:eastAsia="Times New Roman" w:hAnsi="Arial" w:cs="Arial"/>
          <w:i/>
          <w:lang w:val="es-ES" w:eastAsia="es-ES"/>
        </w:rPr>
        <w:t>routers</w:t>
      </w:r>
      <w:r w:rsidRPr="009041D4">
        <w:rPr>
          <w:rFonts w:ascii="Arial" w:eastAsia="Times New Roman" w:hAnsi="Arial" w:cs="Arial"/>
          <w:lang w:val="es-ES" w:eastAsia="es-ES"/>
        </w:rPr>
        <w:t>) Ethernet e IP/MPLS (</w:t>
      </w:r>
      <w:r w:rsidRPr="009041D4">
        <w:rPr>
          <w:rFonts w:ascii="Arial" w:eastAsia="Times New Roman" w:hAnsi="Arial" w:cs="Arial"/>
          <w:i/>
          <w:lang w:val="es-ES" w:eastAsia="es-ES"/>
        </w:rPr>
        <w:t>Multiprotocol Laber Switching</w:t>
      </w:r>
      <w:r w:rsidRPr="009041D4">
        <w:rPr>
          <w:rFonts w:ascii="Arial" w:eastAsia="Times New Roman" w:hAnsi="Arial" w:cs="Arial"/>
          <w:lang w:val="es-ES" w:eastAsia="es-ES"/>
        </w:rPr>
        <w:t xml:space="preserve">). Sin embargo, la red de control NGN a modelar depende en gran medida de la arquitectura de la red de acceso. </w:t>
      </w:r>
    </w:p>
    <w:p w14:paraId="1D96E4B6" w14:textId="77777777" w:rsidR="007727B0" w:rsidRPr="009041D4" w:rsidRDefault="007727B0" w:rsidP="007727B0">
      <w:pPr>
        <w:spacing w:after="0"/>
        <w:jc w:val="both"/>
        <w:rPr>
          <w:rFonts w:ascii="Arial" w:eastAsia="Times New Roman" w:hAnsi="Arial" w:cs="Arial"/>
          <w:lang w:val="es-ES" w:eastAsia="es-ES"/>
        </w:rPr>
      </w:pPr>
    </w:p>
    <w:p w14:paraId="40D0EB6A"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29E41E6C" w14:textId="77777777" w:rsidR="007727B0" w:rsidRPr="009041D4" w:rsidRDefault="007727B0" w:rsidP="007727B0">
      <w:pPr>
        <w:spacing w:after="0"/>
        <w:jc w:val="center"/>
        <w:rPr>
          <w:rFonts w:ascii="Arial" w:eastAsia="Times New Roman" w:hAnsi="Arial" w:cs="Arial"/>
          <w:lang w:val="es-ES" w:eastAsia="es-ES"/>
        </w:rPr>
      </w:pPr>
    </w:p>
    <w:p w14:paraId="2F6FD1B4" w14:textId="77777777" w:rsidR="007727B0" w:rsidRPr="009041D4" w:rsidRDefault="007727B0" w:rsidP="007727B0">
      <w:pPr>
        <w:spacing w:after="0"/>
        <w:jc w:val="both"/>
        <w:rPr>
          <w:rFonts w:ascii="Arial" w:eastAsia="Times New Roman" w:hAnsi="Arial" w:cs="Arial"/>
          <w:lang w:val="es-ES" w:eastAsia="es-ES"/>
        </w:rPr>
      </w:pPr>
      <w:r w:rsidRPr="009041D4">
        <w:rPr>
          <w:rFonts w:ascii="Arial" w:eastAsia="Times New Roman" w:hAnsi="Arial" w:cs="Arial"/>
          <w:lang w:val="es-ES" w:eastAsia="es-ES"/>
        </w:rPr>
        <w:t>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9041D4">
        <w:rPr>
          <w:rFonts w:ascii="Arial" w:eastAsia="Times New Roman" w:hAnsi="Arial" w:cs="Arial"/>
          <w:vertAlign w:val="superscript"/>
          <w:lang w:val="es-ES" w:eastAsia="es-ES"/>
        </w:rPr>
        <w:footnoteReference w:id="44"/>
      </w:r>
    </w:p>
    <w:p w14:paraId="6FCCB044" w14:textId="77777777" w:rsidR="007727B0" w:rsidRPr="009041D4" w:rsidRDefault="007727B0" w:rsidP="007727B0">
      <w:pPr>
        <w:spacing w:after="0"/>
        <w:jc w:val="both"/>
        <w:rPr>
          <w:rFonts w:ascii="Arial" w:eastAsia="Times New Roman" w:hAnsi="Arial" w:cs="Arial"/>
          <w:lang w:val="es-ES" w:eastAsia="es-ES"/>
        </w:rPr>
      </w:pPr>
    </w:p>
    <w:p w14:paraId="1A9324A8" w14:textId="77777777" w:rsidR="007727B0" w:rsidRPr="009041D4" w:rsidRDefault="007727B0" w:rsidP="007727B0">
      <w:pPr>
        <w:spacing w:after="0"/>
        <w:jc w:val="center"/>
        <w:rPr>
          <w:rFonts w:ascii="Arial" w:hAnsi="Arial" w:cs="Arial"/>
          <w:lang w:val="es-ES"/>
        </w:rPr>
      </w:pPr>
      <w:r w:rsidRPr="009041D4">
        <w:rPr>
          <w:rFonts w:ascii="Arial" w:hAnsi="Arial" w:cs="Arial"/>
          <w:noProof/>
          <w:lang w:eastAsia="es-MX"/>
        </w:rPr>
        <w:drawing>
          <wp:inline distT="0" distB="0" distL="0" distR="0" wp14:anchorId="48322FB6" wp14:editId="485D34FB">
            <wp:extent cx="5545455" cy="3458210"/>
            <wp:effectExtent l="0" t="0" r="0" b="889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19F1EF90" w14:textId="1F9CD5B1" w:rsidR="007727B0" w:rsidRPr="009041D4" w:rsidRDefault="007727B0" w:rsidP="007727B0">
      <w:pPr>
        <w:keepNext/>
        <w:tabs>
          <w:tab w:val="left" w:pos="2041"/>
        </w:tabs>
        <w:spacing w:after="0"/>
        <w:jc w:val="center"/>
        <w:rPr>
          <w:rFonts w:ascii="Arial" w:hAnsi="Arial" w:cs="Arial"/>
          <w:bCs/>
          <w:sz w:val="18"/>
          <w:szCs w:val="18"/>
          <w:lang w:val="es-ES"/>
        </w:rPr>
      </w:pPr>
      <w:r w:rsidRPr="009041D4">
        <w:rPr>
          <w:rFonts w:ascii="Arial" w:hAnsi="Arial" w:cs="Arial"/>
          <w:bCs/>
          <w:sz w:val="18"/>
          <w:szCs w:val="18"/>
          <w:lang w:val="es-ES"/>
        </w:rPr>
        <w:lastRenderedPageBreak/>
        <w:t xml:space="preserve">Figura </w:t>
      </w:r>
      <w:r w:rsidR="00FA093E" w:rsidRPr="009041D4">
        <w:rPr>
          <w:rFonts w:ascii="Arial" w:hAnsi="Arial" w:cs="Arial"/>
          <w:bCs/>
          <w:sz w:val="18"/>
          <w:szCs w:val="18"/>
          <w:lang w:val="es-ES"/>
        </w:rPr>
        <w:t>3</w:t>
      </w:r>
      <w:r w:rsidRPr="009041D4">
        <w:rPr>
          <w:rFonts w:ascii="Arial" w:hAnsi="Arial" w:cs="Arial"/>
          <w:bCs/>
          <w:sz w:val="18"/>
          <w:szCs w:val="18"/>
          <w:lang w:val="es-ES"/>
        </w:rPr>
        <w:t>: Comparación entre redes de conmutación de circuitos y de conmutación de paquetes</w:t>
      </w:r>
    </w:p>
    <w:p w14:paraId="7180396E" w14:textId="77777777" w:rsidR="007727B0" w:rsidRPr="009041D4" w:rsidRDefault="007727B0" w:rsidP="007727B0">
      <w:pPr>
        <w:spacing w:after="0"/>
        <w:jc w:val="both"/>
        <w:rPr>
          <w:rFonts w:ascii="Arial" w:eastAsia="Times New Roman" w:hAnsi="Arial" w:cs="Arial"/>
          <w:szCs w:val="24"/>
          <w:lang w:eastAsia="es-ES"/>
        </w:rPr>
      </w:pPr>
    </w:p>
    <w:p w14:paraId="5F283429" w14:textId="5335DF9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Las figuras </w:t>
      </w:r>
      <w:r w:rsidR="00295B9A" w:rsidRPr="009041D4">
        <w:rPr>
          <w:rFonts w:ascii="Arial" w:eastAsia="Times New Roman" w:hAnsi="Arial" w:cs="Arial"/>
          <w:szCs w:val="24"/>
          <w:lang w:eastAsia="es-ES"/>
        </w:rPr>
        <w:t>3</w:t>
      </w:r>
      <w:r w:rsidRPr="009041D4">
        <w:rPr>
          <w:rFonts w:ascii="Arial" w:eastAsia="Times New Roman" w:hAnsi="Arial" w:cs="Arial"/>
          <w:szCs w:val="24"/>
          <w:lang w:eastAsia="es-ES"/>
        </w:rPr>
        <w:t xml:space="preserve"> y </w:t>
      </w:r>
      <w:r w:rsidR="00295B9A" w:rsidRPr="009041D4">
        <w:rPr>
          <w:rFonts w:ascii="Arial" w:eastAsia="Times New Roman" w:hAnsi="Arial" w:cs="Arial"/>
          <w:szCs w:val="24"/>
          <w:lang w:eastAsia="es-ES"/>
        </w:rPr>
        <w:t>4</w:t>
      </w:r>
      <w:r w:rsidRPr="009041D4">
        <w:rPr>
          <w:rFonts w:ascii="Arial" w:eastAsia="Times New Roman" w:hAnsi="Arial" w:cs="Arial"/>
          <w:szCs w:val="24"/>
          <w:lang w:eastAsia="es-ES"/>
        </w:rPr>
        <w:t xml:space="preserve"> comparan la arquitectura de una red PSTN y una red NGN y se pueden ver los dos conceptos que rigen una red NGN:</w:t>
      </w:r>
    </w:p>
    <w:p w14:paraId="2465E4D5" w14:textId="77777777" w:rsidR="007727B0" w:rsidRPr="009041D4" w:rsidRDefault="007727B0" w:rsidP="007727B0">
      <w:pPr>
        <w:spacing w:after="0"/>
        <w:jc w:val="both"/>
        <w:rPr>
          <w:rFonts w:ascii="Arial" w:eastAsia="Times New Roman" w:hAnsi="Arial" w:cs="Arial"/>
          <w:szCs w:val="24"/>
          <w:lang w:eastAsia="es-ES"/>
        </w:rPr>
      </w:pPr>
    </w:p>
    <w:p w14:paraId="74089458" w14:textId="54CF8D34" w:rsidR="007727B0" w:rsidRPr="009041D4" w:rsidRDefault="007727B0" w:rsidP="007727B0">
      <w:pPr>
        <w:numPr>
          <w:ilvl w:val="0"/>
          <w:numId w:val="13"/>
        </w:numPr>
        <w:tabs>
          <w:tab w:val="num" w:pos="426"/>
        </w:tabs>
        <w:spacing w:after="0"/>
        <w:ind w:left="426" w:firstLine="0"/>
        <w:jc w:val="both"/>
        <w:rPr>
          <w:rFonts w:ascii="Arial" w:eastAsia="Times New Roman" w:hAnsi="Arial" w:cs="Arial"/>
          <w:szCs w:val="24"/>
          <w:lang w:val="es-ES" w:eastAsia="es-ES"/>
        </w:rPr>
      </w:pPr>
      <w:r w:rsidRPr="009041D4">
        <w:rPr>
          <w:rFonts w:ascii="Arial" w:eastAsia="Times New Roman" w:hAnsi="Arial" w:cs="Arial"/>
          <w:i/>
          <w:szCs w:val="24"/>
          <w:lang w:eastAsia="es-ES"/>
        </w:rPr>
        <w:t>La separación entre los planos de control y de usuario</w:t>
      </w:r>
      <w:r w:rsidRPr="009041D4">
        <w:rPr>
          <w:rFonts w:ascii="Arial" w:eastAsia="Times New Roman" w:hAnsi="Arial" w:cs="Arial"/>
          <w:szCs w:val="24"/>
          <w:lang w:eastAsia="es-ES"/>
        </w:rPr>
        <w:t>. En una red PSTN los conmutadores (</w:t>
      </w:r>
      <w:r w:rsidRPr="009041D4">
        <w:rPr>
          <w:rFonts w:ascii="Arial" w:eastAsia="Times New Roman" w:hAnsi="Arial" w:cs="Arial"/>
          <w:i/>
          <w:szCs w:val="24"/>
          <w:lang w:eastAsia="es-ES"/>
        </w:rPr>
        <w:t>switches</w:t>
      </w:r>
      <w:r w:rsidRPr="009041D4">
        <w:rPr>
          <w:rFonts w:ascii="Arial" w:eastAsia="Times New Roman" w:hAnsi="Arial" w:cs="Arial"/>
          <w:szCs w:val="24"/>
          <w:lang w:eastAsia="es-ES"/>
        </w:rPr>
        <w:t xml:space="preserve">) realizan la conmutación de las llamadas de voz y gestionan la señalización; en una red NGN, los </w:t>
      </w:r>
      <w:r w:rsidRPr="009041D4">
        <w:rPr>
          <w:rFonts w:ascii="Arial" w:eastAsia="Times New Roman" w:hAnsi="Arial" w:cs="Arial"/>
          <w:i/>
          <w:szCs w:val="24"/>
          <w:lang w:eastAsia="es-ES"/>
        </w:rPr>
        <w:t>call servers</w:t>
      </w:r>
      <w:r w:rsidRPr="009041D4">
        <w:rPr>
          <w:rFonts w:ascii="Arial" w:eastAsia="Times New Roman" w:hAnsi="Arial" w:cs="Arial"/>
          <w:szCs w:val="24"/>
          <w:lang w:eastAsia="es-ES"/>
        </w:rPr>
        <w:t xml:space="preserve"> son los que gestionan la señalización, y los </w:t>
      </w:r>
      <w:r w:rsidRPr="009041D4">
        <w:rPr>
          <w:rFonts w:ascii="Arial" w:eastAsia="Times New Roman" w:hAnsi="Arial" w:cs="Arial"/>
          <w:i/>
          <w:szCs w:val="24"/>
          <w:lang w:eastAsia="es-ES"/>
        </w:rPr>
        <w:t>routers</w:t>
      </w:r>
      <w:r w:rsidRPr="009041D4">
        <w:rPr>
          <w:rFonts w:ascii="Arial" w:eastAsia="Times New Roman" w:hAnsi="Arial" w:cs="Arial"/>
          <w:szCs w:val="24"/>
          <w:lang w:eastAsia="es-ES"/>
        </w:rPr>
        <w:t xml:space="preserve"> (o </w:t>
      </w:r>
      <w:r w:rsidRPr="009041D4">
        <w:rPr>
          <w:rFonts w:ascii="Arial" w:eastAsia="Times New Roman" w:hAnsi="Arial" w:cs="Arial"/>
          <w:i/>
          <w:szCs w:val="24"/>
          <w:lang w:eastAsia="es-ES"/>
        </w:rPr>
        <w:t>media gateways</w:t>
      </w:r>
      <w:r w:rsidRPr="009041D4">
        <w:rPr>
          <w:rFonts w:ascii="Arial" w:eastAsia="Times New Roman" w:hAnsi="Arial" w:cs="Arial"/>
          <w:szCs w:val="24"/>
          <w:lang w:eastAsia="es-ES"/>
        </w:rPr>
        <w:t xml:space="preserve"> especializadas) enrutan y gestionan el tráfico de paquetes de voz. Adicionalmente, y como se puede comprobar en la Figura </w:t>
      </w:r>
      <w:r w:rsidR="00295B9A" w:rsidRPr="009041D4">
        <w:rPr>
          <w:rFonts w:ascii="Arial" w:eastAsia="Times New Roman" w:hAnsi="Arial" w:cs="Arial"/>
          <w:szCs w:val="24"/>
          <w:lang w:eastAsia="es-ES"/>
        </w:rPr>
        <w:t>4</w:t>
      </w:r>
      <w:r w:rsidRPr="009041D4">
        <w:rPr>
          <w:rFonts w:ascii="Arial" w:eastAsia="Times New Roman" w:hAnsi="Arial" w:cs="Arial"/>
          <w:szCs w:val="24"/>
          <w:lang w:eastAsia="es-ES"/>
        </w:rPr>
        <w:t xml:space="preserve">, las capas separadas de las redes de </w:t>
      </w:r>
      <w:r w:rsidRPr="009041D4">
        <w:rPr>
          <w:rFonts w:ascii="Arial" w:eastAsia="Times New Roman" w:hAnsi="Arial" w:cs="Arial"/>
          <w:i/>
          <w:szCs w:val="24"/>
          <w:lang w:eastAsia="es-ES"/>
        </w:rPr>
        <w:t>switches</w:t>
      </w:r>
      <w:r w:rsidRPr="009041D4">
        <w:rPr>
          <w:rFonts w:ascii="Arial" w:eastAsia="Times New Roman" w:hAnsi="Arial" w:cs="Arial"/>
          <w:szCs w:val="24"/>
          <w:lang w:eastAsia="es-ES"/>
        </w:rPr>
        <w:t xml:space="preserve"> locales y de tránsito se reemplazan por </w:t>
      </w:r>
      <w:r w:rsidRPr="009041D4">
        <w:rPr>
          <w:rFonts w:ascii="Arial" w:eastAsia="Times New Roman" w:hAnsi="Arial" w:cs="Arial"/>
          <w:i/>
          <w:szCs w:val="24"/>
          <w:lang w:eastAsia="es-ES"/>
        </w:rPr>
        <w:t>call servers</w:t>
      </w:r>
      <w:r w:rsidRPr="009041D4">
        <w:rPr>
          <w:rFonts w:ascii="Arial" w:eastAsia="Times New Roman" w:hAnsi="Arial" w:cs="Arial"/>
          <w:szCs w:val="24"/>
          <w:lang w:eastAsia="es-ES"/>
        </w:rPr>
        <w:t xml:space="preserve"> en una estructura de una sola capa. Típicamente, en una red PSTN de 100 </w:t>
      </w:r>
      <w:r w:rsidRPr="009041D4">
        <w:rPr>
          <w:rFonts w:ascii="Arial" w:eastAsia="Times New Roman" w:hAnsi="Arial" w:cs="Arial"/>
          <w:i/>
          <w:szCs w:val="24"/>
          <w:lang w:eastAsia="es-ES"/>
        </w:rPr>
        <w:t>switches</w:t>
      </w:r>
      <w:r w:rsidRPr="009041D4">
        <w:rPr>
          <w:rFonts w:ascii="Arial" w:eastAsia="Times New Roman" w:hAnsi="Arial" w:cs="Arial"/>
          <w:szCs w:val="24"/>
          <w:lang w:eastAsia="es-ES"/>
        </w:rPr>
        <w:t xml:space="preserve"> locales y 10 </w:t>
      </w:r>
      <w:r w:rsidRPr="009041D4">
        <w:rPr>
          <w:rFonts w:ascii="Arial" w:eastAsia="Times New Roman" w:hAnsi="Arial" w:cs="Arial"/>
          <w:i/>
          <w:szCs w:val="24"/>
          <w:lang w:eastAsia="es-ES"/>
        </w:rPr>
        <w:t>switches</w:t>
      </w:r>
      <w:r w:rsidRPr="009041D4">
        <w:rPr>
          <w:rFonts w:ascii="Arial" w:eastAsia="Times New Roman" w:hAnsi="Arial" w:cs="Arial"/>
          <w:szCs w:val="24"/>
          <w:lang w:eastAsia="es-ES"/>
        </w:rPr>
        <w:t xml:space="preserve"> de tránsito, éstos podrían ser remplazados por un menor número de </w:t>
      </w:r>
      <w:r w:rsidRPr="009041D4">
        <w:rPr>
          <w:rFonts w:ascii="Arial" w:eastAsia="Times New Roman" w:hAnsi="Arial" w:cs="Arial"/>
          <w:i/>
          <w:szCs w:val="24"/>
          <w:lang w:eastAsia="es-ES"/>
        </w:rPr>
        <w:t>call servers</w:t>
      </w:r>
      <w:r w:rsidRPr="009041D4">
        <w:rPr>
          <w:rFonts w:ascii="Arial" w:eastAsia="Times New Roman" w:hAnsi="Arial" w:cs="Arial"/>
          <w:szCs w:val="24"/>
          <w:lang w:eastAsia="es-ES"/>
        </w:rPr>
        <w:t xml:space="preserve"> (menos de 5) en una red NGN.</w:t>
      </w:r>
    </w:p>
    <w:p w14:paraId="082FF36D" w14:textId="77777777" w:rsidR="007727B0" w:rsidRPr="009041D4" w:rsidRDefault="007727B0" w:rsidP="007727B0">
      <w:pPr>
        <w:spacing w:after="0"/>
        <w:ind w:left="426"/>
        <w:jc w:val="both"/>
        <w:rPr>
          <w:rFonts w:ascii="Arial" w:eastAsia="Times New Roman" w:hAnsi="Arial" w:cs="Arial"/>
          <w:szCs w:val="24"/>
          <w:lang w:val="es-ES" w:eastAsia="es-ES"/>
        </w:rPr>
      </w:pPr>
    </w:p>
    <w:p w14:paraId="329A4F07" w14:textId="77777777" w:rsidR="007727B0" w:rsidRPr="009041D4" w:rsidRDefault="007727B0" w:rsidP="007727B0">
      <w:pPr>
        <w:numPr>
          <w:ilvl w:val="0"/>
          <w:numId w:val="13"/>
        </w:numPr>
        <w:tabs>
          <w:tab w:val="num" w:pos="426"/>
        </w:tabs>
        <w:spacing w:after="0"/>
        <w:ind w:left="426" w:firstLine="0"/>
        <w:jc w:val="both"/>
        <w:rPr>
          <w:rFonts w:ascii="Arial" w:eastAsia="Times New Roman" w:hAnsi="Arial" w:cs="Arial"/>
          <w:szCs w:val="24"/>
          <w:lang w:val="es-ES" w:eastAsia="es-ES"/>
        </w:rPr>
      </w:pPr>
      <w:r w:rsidRPr="009041D4">
        <w:rPr>
          <w:rFonts w:ascii="Arial" w:eastAsia="Times New Roman" w:hAnsi="Arial" w:cs="Arial"/>
          <w:i/>
          <w:szCs w:val="24"/>
          <w:lang w:val="es-ES" w:eastAsia="es-ES"/>
        </w:rPr>
        <w:t>La realización de la transmisión de paquetes de voz a través de una capa de routers común al resto de servicios transmitidos por la red NGN</w:t>
      </w:r>
      <w:r w:rsidRPr="009041D4">
        <w:rPr>
          <w:rFonts w:ascii="Arial" w:eastAsia="Times New Roman" w:hAnsi="Arial" w:cs="Arial"/>
          <w:szCs w:val="24"/>
          <w:lang w:val="es-ES" w:eastAsia="es-ES"/>
        </w:rPr>
        <w:t xml:space="preserve">. Estos </w:t>
      </w:r>
      <w:r w:rsidRPr="009041D4">
        <w:rPr>
          <w:rFonts w:ascii="Arial" w:eastAsia="Times New Roman" w:hAnsi="Arial" w:cs="Arial"/>
          <w:i/>
          <w:szCs w:val="24"/>
          <w:lang w:val="es-ES" w:eastAsia="es-ES"/>
        </w:rPr>
        <w:t xml:space="preserve">routers </w:t>
      </w:r>
      <w:r w:rsidRPr="009041D4">
        <w:rPr>
          <w:rFonts w:ascii="Arial" w:eastAsia="Times New Roman" w:hAnsi="Arial" w:cs="Arial"/>
          <w:szCs w:val="24"/>
          <w:lang w:val="es-ES"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64D67C62" w14:textId="77777777" w:rsidR="007727B0" w:rsidRPr="009041D4" w:rsidRDefault="007727B0" w:rsidP="007727B0">
      <w:pPr>
        <w:spacing w:after="0"/>
        <w:ind w:left="426"/>
        <w:jc w:val="both"/>
        <w:rPr>
          <w:rFonts w:ascii="Arial" w:eastAsia="Times New Roman" w:hAnsi="Arial" w:cs="Arial"/>
          <w:szCs w:val="24"/>
          <w:lang w:val="es-ES" w:eastAsia="es-ES"/>
        </w:rPr>
      </w:pPr>
    </w:p>
    <w:p w14:paraId="136EA853"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aplicación de ambos principios implica importantes ahorros en inversiones y gastos operativos.</w:t>
      </w:r>
    </w:p>
    <w:p w14:paraId="173C4123" w14:textId="77777777" w:rsidR="007727B0" w:rsidRPr="009041D4" w:rsidRDefault="007727B0" w:rsidP="007727B0">
      <w:pPr>
        <w:spacing w:after="0"/>
        <w:jc w:val="both"/>
        <w:rPr>
          <w:rFonts w:ascii="Arial" w:eastAsia="Times New Roman" w:hAnsi="Arial" w:cs="Arial"/>
          <w:szCs w:val="24"/>
          <w:lang w:eastAsia="es-ES"/>
        </w:rPr>
      </w:pPr>
    </w:p>
    <w:p w14:paraId="7D9B8C0A" w14:textId="77777777" w:rsidR="007727B0" w:rsidRPr="009041D4" w:rsidRDefault="007727B0" w:rsidP="007727B0">
      <w:pPr>
        <w:spacing w:after="0"/>
        <w:jc w:val="center"/>
        <w:rPr>
          <w:rFonts w:ascii="Arial" w:hAnsi="Arial" w:cs="Arial"/>
          <w:lang w:val="es-ES"/>
        </w:rPr>
      </w:pPr>
      <w:r w:rsidRPr="009041D4">
        <w:rPr>
          <w:rFonts w:ascii="Arial" w:hAnsi="Arial" w:cs="Arial"/>
          <w:noProof/>
          <w:lang w:eastAsia="es-MX"/>
        </w:rPr>
        <w:drawing>
          <wp:inline distT="0" distB="0" distL="0" distR="0" wp14:anchorId="3AC64F2F" wp14:editId="64D89B48">
            <wp:extent cx="5545455" cy="2831465"/>
            <wp:effectExtent l="0" t="0" r="0" b="698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535861E7" w14:textId="34D89A0D" w:rsidR="007727B0" w:rsidRPr="009041D4" w:rsidRDefault="007727B0" w:rsidP="007727B0">
      <w:pPr>
        <w:keepNext/>
        <w:tabs>
          <w:tab w:val="left" w:pos="2041"/>
        </w:tabs>
        <w:spacing w:after="0"/>
        <w:jc w:val="center"/>
        <w:rPr>
          <w:rFonts w:ascii="Arial" w:hAnsi="Arial" w:cs="Arial"/>
          <w:bCs/>
          <w:sz w:val="18"/>
          <w:szCs w:val="18"/>
          <w:lang w:val="es-ES"/>
        </w:rPr>
      </w:pPr>
      <w:r w:rsidRPr="009041D4">
        <w:rPr>
          <w:rFonts w:ascii="Arial" w:hAnsi="Arial" w:cs="Arial"/>
          <w:bCs/>
          <w:sz w:val="18"/>
          <w:szCs w:val="18"/>
          <w:lang w:val="es-ES"/>
        </w:rPr>
        <w:t xml:space="preserve">Figura </w:t>
      </w:r>
      <w:r w:rsidR="00295B9A" w:rsidRPr="009041D4">
        <w:rPr>
          <w:rFonts w:ascii="Arial" w:hAnsi="Arial" w:cs="Arial"/>
          <w:bCs/>
          <w:sz w:val="18"/>
          <w:szCs w:val="18"/>
          <w:lang w:val="es-ES"/>
        </w:rPr>
        <w:t>4</w:t>
      </w:r>
      <w:r w:rsidR="001C7668" w:rsidRPr="009041D4">
        <w:rPr>
          <w:rFonts w:ascii="Arial" w:hAnsi="Arial" w:cs="Arial"/>
          <w:bCs/>
          <w:sz w:val="18"/>
          <w:szCs w:val="18"/>
          <w:lang w:val="es-ES"/>
        </w:rPr>
        <w:t>.</w:t>
      </w:r>
      <w:r w:rsidRPr="009041D4">
        <w:rPr>
          <w:rFonts w:ascii="Arial" w:hAnsi="Arial" w:cs="Arial"/>
          <w:bCs/>
          <w:sz w:val="18"/>
          <w:szCs w:val="18"/>
          <w:lang w:val="es-ES"/>
        </w:rPr>
        <w:t xml:space="preserve"> Comparación de la red PSTN tradicional y los servicios de voz sobre una NGN</w:t>
      </w:r>
    </w:p>
    <w:p w14:paraId="00B0C7F1" w14:textId="77777777" w:rsidR="007727B0" w:rsidRPr="009041D4" w:rsidRDefault="007727B0" w:rsidP="007727B0">
      <w:pPr>
        <w:spacing w:after="0"/>
        <w:jc w:val="both"/>
        <w:rPr>
          <w:rFonts w:ascii="Arial" w:eastAsia="Times New Roman" w:hAnsi="Arial" w:cs="Arial"/>
          <w:szCs w:val="24"/>
          <w:lang w:eastAsia="es-ES"/>
        </w:rPr>
      </w:pPr>
    </w:p>
    <w:p w14:paraId="18F3270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interconexión con las redes de otros operadores en una red NGN se implementa a través de pasarelas frontera (</w:t>
      </w:r>
      <w:r w:rsidRPr="009041D4">
        <w:rPr>
          <w:rFonts w:ascii="Arial" w:eastAsia="Times New Roman" w:hAnsi="Arial" w:cs="Arial"/>
          <w:i/>
          <w:szCs w:val="24"/>
          <w:lang w:eastAsia="es-ES"/>
        </w:rPr>
        <w:t>border gateways</w:t>
      </w:r>
      <w:r w:rsidRPr="009041D4">
        <w:rPr>
          <w:rFonts w:ascii="Arial" w:eastAsia="Times New Roman" w:hAnsi="Arial" w:cs="Arial"/>
          <w:szCs w:val="24"/>
          <w:lang w:eastAsia="es-ES"/>
        </w:rPr>
        <w:t xml:space="preserve"> en inglés) que controlan el acceso a la red. Si la red </w:t>
      </w:r>
      <w:r w:rsidRPr="009041D4">
        <w:rPr>
          <w:rFonts w:ascii="Arial" w:eastAsia="Times New Roman" w:hAnsi="Arial" w:cs="Arial"/>
          <w:szCs w:val="24"/>
          <w:lang w:eastAsia="es-ES"/>
        </w:rPr>
        <w:lastRenderedPageBreak/>
        <w:t xml:space="preserve">se interconecta con una red tradicional de circuitos conmutados, se necesitan </w:t>
      </w:r>
      <w:r w:rsidRPr="009041D4">
        <w:rPr>
          <w:rFonts w:ascii="Arial" w:eastAsia="Times New Roman" w:hAnsi="Arial" w:cs="Arial"/>
          <w:i/>
          <w:szCs w:val="24"/>
          <w:lang w:eastAsia="es-ES"/>
        </w:rPr>
        <w:t>media gateways</w:t>
      </w:r>
      <w:r w:rsidRPr="009041D4">
        <w:rPr>
          <w:rFonts w:ascii="Arial" w:eastAsia="Times New Roman" w:hAnsi="Arial" w:cs="Arial"/>
          <w:szCs w:val="24"/>
          <w:lang w:eastAsia="es-ES"/>
        </w:rPr>
        <w:t xml:space="preserve"> </w:t>
      </w:r>
      <w:r w:rsidRPr="009041D4">
        <w:rPr>
          <w:rFonts w:ascii="Arial" w:eastAsia="Times New Roman" w:hAnsi="Arial" w:cs="Arial"/>
          <w:i/>
          <w:szCs w:val="24"/>
          <w:lang w:eastAsia="es-ES"/>
        </w:rPr>
        <w:t>o trunking gateways</w:t>
      </w:r>
      <w:r w:rsidRPr="009041D4">
        <w:rPr>
          <w:rFonts w:ascii="Arial" w:eastAsia="Times New Roman" w:hAnsi="Arial" w:cs="Arial"/>
          <w:szCs w:val="24"/>
          <w:lang w:eastAsia="es-ES"/>
        </w:rPr>
        <w:t xml:space="preserve"> que conviertan los paquetes de voz en señales TDM. </w:t>
      </w:r>
    </w:p>
    <w:p w14:paraId="432D9735" w14:textId="77777777" w:rsidR="007727B0" w:rsidRPr="009041D4" w:rsidRDefault="007727B0" w:rsidP="007727B0">
      <w:pPr>
        <w:spacing w:after="0"/>
        <w:ind w:left="567"/>
        <w:jc w:val="both"/>
        <w:rPr>
          <w:rFonts w:ascii="Arial" w:eastAsia="Times New Roman" w:hAnsi="Arial" w:cs="Arial"/>
          <w:szCs w:val="24"/>
          <w:lang w:eastAsia="es-ES"/>
        </w:rPr>
      </w:pPr>
    </w:p>
    <w:p w14:paraId="470E92CC"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9041D4">
        <w:rPr>
          <w:rFonts w:ascii="Arial" w:eastAsia="Times New Roman" w:hAnsi="Arial" w:cs="Arial"/>
          <w:spacing w:val="-4"/>
          <w:szCs w:val="24"/>
          <w:lang w:eastAsia="es-ES"/>
        </w:rPr>
        <w:t>todo sobre IP</w:t>
      </w:r>
      <w:r w:rsidRPr="009041D4">
        <w:rPr>
          <w:rFonts w:ascii="Arial" w:eastAsia="Times New Roman" w:hAnsi="Arial" w:cs="Arial"/>
          <w:szCs w:val="24"/>
          <w:lang w:eastAsia="es-ES"/>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r w:rsidRPr="009041D4">
        <w:rPr>
          <w:rFonts w:ascii="Arial" w:eastAsia="Times New Roman" w:hAnsi="Arial" w:cs="Arial"/>
          <w:i/>
          <w:szCs w:val="24"/>
          <w:lang w:eastAsia="es-ES"/>
        </w:rPr>
        <w:t xml:space="preserve">Bandwidth Allocation Protocol) </w:t>
      </w:r>
      <w:r w:rsidRPr="009041D4">
        <w:rPr>
          <w:rFonts w:ascii="Arial" w:eastAsia="Times New Roman" w:hAnsi="Arial" w:cs="Arial"/>
          <w:szCs w:val="24"/>
          <w:lang w:eastAsia="es-ES"/>
        </w:rPr>
        <w:t>como opción más apropiada.</w:t>
      </w:r>
    </w:p>
    <w:p w14:paraId="152289A8" w14:textId="77777777" w:rsidR="007727B0" w:rsidRPr="009041D4" w:rsidRDefault="007727B0" w:rsidP="007727B0">
      <w:pPr>
        <w:spacing w:after="0"/>
        <w:jc w:val="both"/>
        <w:rPr>
          <w:rFonts w:ascii="Arial" w:eastAsia="Times New Roman" w:hAnsi="Arial" w:cs="Arial"/>
          <w:szCs w:val="24"/>
          <w:lang w:eastAsia="es-ES"/>
        </w:rPr>
      </w:pPr>
    </w:p>
    <w:p w14:paraId="6907BAEF"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En tal virtud la red troncal del operador hipotético se basará en una arquitectura NGN-IP BAP. Los servicios de voz están habilitados por aplicaciones que utilizarán subsistemas multimedia IP (IMS). Los </w:t>
      </w:r>
      <w:r w:rsidRPr="009041D4">
        <w:rPr>
          <w:rFonts w:ascii="Arial" w:eastAsia="Times New Roman" w:hAnsi="Arial" w:cs="Arial"/>
          <w:i/>
          <w:szCs w:val="24"/>
          <w:lang w:eastAsia="es-ES"/>
        </w:rPr>
        <w:t>trunk media gateways</w:t>
      </w:r>
      <w:r w:rsidRPr="009041D4">
        <w:rPr>
          <w:rFonts w:ascii="Arial" w:eastAsia="Times New Roman" w:hAnsi="Arial" w:cs="Arial"/>
          <w:szCs w:val="24"/>
          <w:lang w:eastAsia="es-ES"/>
        </w:rPr>
        <w:t xml:space="preserve"> (TGWs) pueden desplegarse en conmutadores locales legados y en puntos de interconexión TDM, de ser necesario.</w:t>
      </w:r>
    </w:p>
    <w:p w14:paraId="689B58E9" w14:textId="77777777" w:rsidR="007727B0" w:rsidRPr="009041D4" w:rsidRDefault="007727B0" w:rsidP="007727B0">
      <w:pPr>
        <w:spacing w:after="0"/>
        <w:jc w:val="both"/>
        <w:rPr>
          <w:rFonts w:ascii="Arial" w:eastAsia="Times New Roman" w:hAnsi="Arial" w:cs="Arial"/>
          <w:szCs w:val="24"/>
          <w:lang w:eastAsia="es-ES"/>
        </w:rPr>
      </w:pPr>
    </w:p>
    <w:p w14:paraId="2AAEC6AD" w14:textId="77777777" w:rsidR="007727B0" w:rsidRPr="009041D4" w:rsidRDefault="007727B0" w:rsidP="007727B0">
      <w:pPr>
        <w:spacing w:after="0"/>
        <w:jc w:val="both"/>
        <w:rPr>
          <w:rFonts w:ascii="Arial" w:eastAsia="Times New Roman" w:hAnsi="Arial" w:cs="Arial"/>
          <w:i/>
          <w:szCs w:val="24"/>
          <w:lang w:eastAsia="es-ES"/>
        </w:rPr>
      </w:pPr>
      <w:r w:rsidRPr="009041D4">
        <w:rPr>
          <w:rFonts w:ascii="Arial" w:eastAsia="Times New Roman" w:hAnsi="Arial" w:cs="Arial"/>
          <w:i/>
          <w:szCs w:val="24"/>
          <w:lang w:eastAsia="es-ES"/>
        </w:rPr>
        <w:t>Red de transmisión</w:t>
      </w:r>
    </w:p>
    <w:p w14:paraId="0E08A122" w14:textId="77777777" w:rsidR="007727B0" w:rsidRPr="009041D4" w:rsidRDefault="007727B0" w:rsidP="007727B0">
      <w:pPr>
        <w:spacing w:after="0"/>
        <w:jc w:val="both"/>
        <w:rPr>
          <w:rFonts w:ascii="Arial" w:eastAsia="Times New Roman" w:hAnsi="Arial" w:cs="Arial"/>
          <w:szCs w:val="24"/>
          <w:lang w:eastAsia="es-ES"/>
        </w:rPr>
      </w:pPr>
    </w:p>
    <w:p w14:paraId="7C1A575C"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transmisión en una red fija puede realizase a través de una serie de métodos alternativos:</w:t>
      </w:r>
    </w:p>
    <w:p w14:paraId="1996659A" w14:textId="77777777" w:rsidR="007727B0" w:rsidRPr="009041D4" w:rsidRDefault="007727B0" w:rsidP="007727B0">
      <w:pPr>
        <w:spacing w:after="0"/>
        <w:jc w:val="both"/>
        <w:rPr>
          <w:rFonts w:ascii="Arial" w:eastAsia="Times New Roman" w:hAnsi="Arial" w:cs="Arial"/>
          <w:szCs w:val="24"/>
          <w:lang w:eastAsia="es-ES"/>
        </w:rPr>
      </w:pPr>
    </w:p>
    <w:p w14:paraId="39C47E1E" w14:textId="77777777" w:rsidR="007727B0" w:rsidRPr="009041D4" w:rsidRDefault="007727B0" w:rsidP="005968B2">
      <w:pPr>
        <w:numPr>
          <w:ilvl w:val="0"/>
          <w:numId w:val="30"/>
        </w:numPr>
        <w:spacing w:after="0"/>
        <w:ind w:left="426" w:firstLine="0"/>
        <w:contextualSpacing/>
        <w:jc w:val="both"/>
        <w:rPr>
          <w:rFonts w:ascii="Arial" w:eastAsia="Times New Roman" w:hAnsi="Arial" w:cs="Arial"/>
          <w:szCs w:val="24"/>
          <w:lang w:eastAsia="es-ES"/>
        </w:rPr>
      </w:pPr>
      <w:r w:rsidRPr="009041D4">
        <w:rPr>
          <w:rFonts w:ascii="Arial" w:eastAsia="Times New Roman" w:hAnsi="Arial" w:cs="Arial"/>
          <w:szCs w:val="24"/>
          <w:lang w:eastAsia="es-ES"/>
        </w:rPr>
        <w:t>ATM (</w:t>
      </w:r>
      <w:r w:rsidRPr="009041D4">
        <w:rPr>
          <w:rFonts w:ascii="Arial" w:eastAsia="Times New Roman" w:hAnsi="Arial" w:cs="Arial"/>
          <w:i/>
          <w:szCs w:val="24"/>
          <w:lang w:eastAsia="es-ES"/>
        </w:rPr>
        <w:t>Asynchronous Transfer Mode)</w:t>
      </w:r>
      <w:r w:rsidRPr="009041D4">
        <w:rPr>
          <w:rFonts w:ascii="Arial" w:eastAsia="Times New Roman" w:hAnsi="Arial" w:cs="Arial"/>
          <w:szCs w:val="24"/>
          <w:lang w:eastAsia="es-ES"/>
        </w:rPr>
        <w:t xml:space="preserve"> sobre SDH o SDH de próxima generación;</w:t>
      </w:r>
    </w:p>
    <w:p w14:paraId="42270F14" w14:textId="77777777" w:rsidR="007727B0" w:rsidRPr="009041D4" w:rsidRDefault="007727B0" w:rsidP="005968B2">
      <w:pPr>
        <w:numPr>
          <w:ilvl w:val="0"/>
          <w:numId w:val="30"/>
        </w:numPr>
        <w:spacing w:after="0"/>
        <w:ind w:left="426" w:firstLine="0"/>
        <w:contextualSpacing/>
        <w:jc w:val="both"/>
        <w:rPr>
          <w:rFonts w:ascii="Arial" w:eastAsia="Times New Roman" w:hAnsi="Arial" w:cs="Arial"/>
          <w:szCs w:val="24"/>
          <w:lang w:eastAsia="es-ES"/>
        </w:rPr>
      </w:pPr>
      <w:r w:rsidRPr="009041D4">
        <w:rPr>
          <w:rFonts w:ascii="Arial" w:eastAsia="Times New Roman" w:hAnsi="Arial" w:cs="Arial"/>
          <w:szCs w:val="24"/>
          <w:lang w:eastAsia="es-ES"/>
        </w:rPr>
        <w:t xml:space="preserve">Microondas STM punto-a-punto; </w:t>
      </w:r>
    </w:p>
    <w:p w14:paraId="6F7A455C" w14:textId="77777777" w:rsidR="007727B0" w:rsidRPr="009041D4" w:rsidRDefault="007727B0" w:rsidP="005968B2">
      <w:pPr>
        <w:numPr>
          <w:ilvl w:val="0"/>
          <w:numId w:val="30"/>
        </w:numPr>
        <w:spacing w:after="0"/>
        <w:ind w:left="426" w:firstLine="0"/>
        <w:contextualSpacing/>
        <w:jc w:val="both"/>
        <w:rPr>
          <w:rFonts w:ascii="Arial" w:eastAsia="Times New Roman" w:hAnsi="Arial" w:cs="Arial"/>
          <w:szCs w:val="24"/>
          <w:lang w:eastAsia="es-ES"/>
        </w:rPr>
      </w:pPr>
      <w:r w:rsidRPr="009041D4">
        <w:rPr>
          <w:rFonts w:ascii="Arial" w:eastAsia="Times New Roman" w:hAnsi="Arial" w:cs="Arial"/>
          <w:szCs w:val="24"/>
          <w:lang w:eastAsia="es-ES"/>
        </w:rPr>
        <w:t>IP/MPLS sobre SDH o SDH de próxima generación;</w:t>
      </w:r>
    </w:p>
    <w:p w14:paraId="40C3C51F" w14:textId="77777777" w:rsidR="007727B0" w:rsidRPr="009041D4" w:rsidRDefault="007727B0" w:rsidP="005968B2">
      <w:pPr>
        <w:numPr>
          <w:ilvl w:val="0"/>
          <w:numId w:val="30"/>
        </w:numPr>
        <w:spacing w:after="0"/>
        <w:ind w:left="426" w:firstLine="0"/>
        <w:contextualSpacing/>
        <w:jc w:val="both"/>
        <w:rPr>
          <w:rFonts w:ascii="Arial" w:eastAsia="Times New Roman" w:hAnsi="Arial" w:cs="Arial"/>
          <w:szCs w:val="24"/>
          <w:lang w:eastAsia="es-ES"/>
        </w:rPr>
      </w:pPr>
      <w:r w:rsidRPr="009041D4">
        <w:rPr>
          <w:rFonts w:ascii="Arial" w:eastAsia="Times New Roman" w:hAnsi="Arial" w:cs="Arial"/>
          <w:szCs w:val="24"/>
          <w:lang w:eastAsia="es-ES"/>
        </w:rPr>
        <w:t>IP/MPLS sobre Ethernet nativo.</w:t>
      </w:r>
    </w:p>
    <w:p w14:paraId="316E02EA" w14:textId="77777777" w:rsidR="007727B0" w:rsidRPr="009041D4" w:rsidRDefault="007727B0" w:rsidP="007727B0">
      <w:pPr>
        <w:spacing w:after="0"/>
        <w:jc w:val="both"/>
        <w:rPr>
          <w:rFonts w:ascii="Arial" w:eastAsia="Times New Roman" w:hAnsi="Arial" w:cs="Arial"/>
          <w:szCs w:val="24"/>
          <w:lang w:eastAsia="es-ES"/>
        </w:rPr>
      </w:pPr>
    </w:p>
    <w:p w14:paraId="64729DE0"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14:paraId="1C1F9689" w14:textId="77777777" w:rsidR="007727B0" w:rsidRPr="009041D4" w:rsidRDefault="007727B0" w:rsidP="007727B0">
      <w:pPr>
        <w:spacing w:after="0"/>
        <w:jc w:val="both"/>
        <w:rPr>
          <w:rFonts w:ascii="Arial" w:eastAsia="Times New Roman" w:hAnsi="Arial" w:cs="Arial"/>
          <w:szCs w:val="24"/>
          <w:lang w:eastAsia="es-ES"/>
        </w:rPr>
      </w:pPr>
    </w:p>
    <w:p w14:paraId="02DEB86D"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 así que se modelará un operador hipotético con una red de transmisión IP/MPLS sobre Ethernet nativo, o SDH de próxima generación sobre DWDM (</w:t>
      </w:r>
      <w:r w:rsidRPr="009041D4">
        <w:rPr>
          <w:rFonts w:ascii="Arial" w:eastAsia="Times New Roman" w:hAnsi="Arial" w:cs="Arial"/>
          <w:i/>
          <w:szCs w:val="24"/>
          <w:lang w:eastAsia="es-ES"/>
        </w:rPr>
        <w:t>Dense Wavelength Division Multiplexing)</w:t>
      </w:r>
      <w:r w:rsidRPr="009041D4">
        <w:rPr>
          <w:rFonts w:ascii="Arial" w:eastAsia="Times New Roman" w:hAnsi="Arial" w:cs="Arial"/>
          <w:szCs w:val="24"/>
          <w:lang w:eastAsia="es-ES"/>
        </w:rPr>
        <w:t>, dependiendo de lo que represente menores costos en función del volumen de tráfico trasportado en la red del operador hipotético.</w:t>
      </w:r>
    </w:p>
    <w:p w14:paraId="3555D8FB" w14:textId="77777777" w:rsidR="007727B0" w:rsidRPr="009041D4" w:rsidRDefault="007727B0" w:rsidP="007727B0">
      <w:pPr>
        <w:spacing w:after="0"/>
        <w:jc w:val="both"/>
        <w:rPr>
          <w:rFonts w:ascii="Arial" w:eastAsia="Times New Roman" w:hAnsi="Arial" w:cs="Arial"/>
          <w:szCs w:val="24"/>
          <w:lang w:eastAsia="es-ES"/>
        </w:rPr>
      </w:pPr>
    </w:p>
    <w:p w14:paraId="3971F58B" w14:textId="77777777" w:rsidR="007727B0" w:rsidRPr="009041D4" w:rsidRDefault="007727B0" w:rsidP="007727B0">
      <w:pPr>
        <w:spacing w:after="0"/>
        <w:jc w:val="both"/>
        <w:rPr>
          <w:rFonts w:ascii="Arial" w:eastAsia="Times New Roman" w:hAnsi="Arial" w:cs="Arial"/>
          <w:i/>
          <w:szCs w:val="24"/>
          <w:lang w:eastAsia="es-ES"/>
        </w:rPr>
      </w:pPr>
      <w:r w:rsidRPr="009041D4">
        <w:rPr>
          <w:rFonts w:ascii="Arial" w:eastAsia="Times New Roman" w:hAnsi="Arial" w:cs="Arial"/>
          <w:i/>
          <w:szCs w:val="24"/>
          <w:lang w:eastAsia="es-ES"/>
        </w:rPr>
        <w:t>Demarcación de las capas de red</w:t>
      </w:r>
    </w:p>
    <w:p w14:paraId="63E5B69A" w14:textId="77777777" w:rsidR="007727B0" w:rsidRPr="009041D4" w:rsidRDefault="007727B0" w:rsidP="007727B0">
      <w:pPr>
        <w:spacing w:after="0"/>
        <w:jc w:val="both"/>
        <w:rPr>
          <w:rFonts w:ascii="Arial" w:eastAsia="Times New Roman" w:hAnsi="Arial" w:cs="Arial"/>
          <w:szCs w:val="24"/>
          <w:lang w:eastAsia="es-ES"/>
        </w:rPr>
      </w:pPr>
    </w:p>
    <w:p w14:paraId="7E9B1B5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lastRenderedPageBreak/>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1F75D4CB" w14:textId="77777777" w:rsidR="007727B0" w:rsidRPr="009041D4" w:rsidRDefault="007727B0" w:rsidP="007727B0">
      <w:pPr>
        <w:spacing w:after="0"/>
        <w:ind w:left="567"/>
        <w:jc w:val="both"/>
        <w:rPr>
          <w:rFonts w:ascii="Arial" w:eastAsia="Times New Roman" w:hAnsi="Arial" w:cs="Arial"/>
          <w:szCs w:val="24"/>
          <w:lang w:eastAsia="es-ES"/>
        </w:rPr>
      </w:pPr>
    </w:p>
    <w:p w14:paraId="06713C1A" w14:textId="7E05D174"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En los modelos de costos </w:t>
      </w:r>
      <w:r w:rsidR="00525D50" w:rsidRPr="009041D4">
        <w:rPr>
          <w:rFonts w:ascii="Arial" w:eastAsia="Times New Roman" w:hAnsi="Arial" w:cs="Arial"/>
          <w:szCs w:val="24"/>
          <w:lang w:eastAsia="es-ES"/>
        </w:rPr>
        <w:t>fijos, los</w:t>
      </w:r>
      <w:r w:rsidRPr="009041D4">
        <w:rPr>
          <w:rFonts w:ascii="Arial" w:eastAsia="Times New Roman" w:hAnsi="Arial" w:cs="Arial"/>
          <w:szCs w:val="24"/>
          <w:lang w:eastAsia="es-ES"/>
        </w:rPr>
        <w:t xml:space="preserve">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411B6871" w14:textId="77777777" w:rsidR="007727B0" w:rsidRPr="009041D4" w:rsidRDefault="007727B0" w:rsidP="007727B0">
      <w:pPr>
        <w:spacing w:after="0"/>
        <w:jc w:val="both"/>
        <w:rPr>
          <w:rFonts w:ascii="Arial" w:eastAsia="Times New Roman" w:hAnsi="Arial" w:cs="Arial"/>
          <w:szCs w:val="24"/>
          <w:lang w:eastAsia="es-ES"/>
        </w:rPr>
      </w:pPr>
    </w:p>
    <w:p w14:paraId="53829D5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54DA7708" w14:textId="77777777" w:rsidR="007727B0" w:rsidRPr="009041D4" w:rsidRDefault="007727B0" w:rsidP="007727B0">
      <w:pPr>
        <w:spacing w:after="0"/>
        <w:jc w:val="both"/>
        <w:rPr>
          <w:rFonts w:ascii="Arial" w:eastAsia="Times New Roman" w:hAnsi="Arial" w:cs="Arial"/>
          <w:szCs w:val="24"/>
          <w:lang w:eastAsia="es-ES"/>
        </w:rPr>
      </w:pPr>
    </w:p>
    <w:p w14:paraId="5C154DBD"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385431B7" w14:textId="77777777" w:rsidR="007727B0" w:rsidRPr="009041D4" w:rsidRDefault="007727B0" w:rsidP="007727B0">
      <w:pPr>
        <w:spacing w:after="0"/>
        <w:jc w:val="both"/>
        <w:rPr>
          <w:rFonts w:ascii="Arial" w:eastAsia="Times New Roman" w:hAnsi="Arial" w:cs="Arial"/>
          <w:szCs w:val="24"/>
          <w:lang w:eastAsia="es-ES"/>
        </w:rPr>
      </w:pPr>
    </w:p>
    <w:p w14:paraId="1103FC1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60EAEA8D" w14:textId="77777777" w:rsidR="007727B0" w:rsidRPr="009041D4" w:rsidRDefault="007727B0" w:rsidP="007727B0">
      <w:pPr>
        <w:spacing w:after="0"/>
        <w:jc w:val="both"/>
        <w:rPr>
          <w:rFonts w:ascii="Arial" w:eastAsia="Times New Roman" w:hAnsi="Arial" w:cs="Arial"/>
          <w:szCs w:val="24"/>
          <w:lang w:eastAsia="es-ES"/>
        </w:rPr>
      </w:pPr>
    </w:p>
    <w:p w14:paraId="2F350827"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Al aplicar este principio a las redes fijas para un usuario de telefonía fija, el punto de demarcación se encuentra en la tarjeta (</w:t>
      </w:r>
      <w:r w:rsidRPr="009041D4">
        <w:rPr>
          <w:rFonts w:ascii="Arial" w:eastAsia="Times New Roman" w:hAnsi="Arial" w:cs="Arial"/>
          <w:i/>
          <w:szCs w:val="24"/>
          <w:lang w:eastAsia="es-ES"/>
        </w:rPr>
        <w:t>line card</w:t>
      </w:r>
      <w:r w:rsidRPr="009041D4">
        <w:rPr>
          <w:rFonts w:ascii="Arial" w:eastAsia="Times New Roman" w:hAnsi="Arial" w:cs="Arial"/>
          <w:szCs w:val="24"/>
          <w:lang w:eastAsia="es-ES"/>
        </w:rPr>
        <w:t>) del conmutador o de su equivalente en una red NGN.</w:t>
      </w:r>
    </w:p>
    <w:p w14:paraId="20868D59" w14:textId="77777777" w:rsidR="007727B0" w:rsidRPr="009041D4" w:rsidRDefault="007727B0" w:rsidP="007727B0">
      <w:pPr>
        <w:spacing w:after="0"/>
        <w:jc w:val="both"/>
        <w:rPr>
          <w:rFonts w:ascii="Arial" w:eastAsia="Times New Roman" w:hAnsi="Arial" w:cs="Arial"/>
          <w:szCs w:val="24"/>
          <w:lang w:eastAsia="es-ES"/>
        </w:rPr>
      </w:pPr>
    </w:p>
    <w:p w14:paraId="64E94641"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hAnsi="Arial" w:cs="Arial"/>
        </w:rPr>
        <w:t>Para un usuario de telefonía móvil, el punto de demarcación se encuentra en la tarjeta SIM ya que la concentración de tráfico ocurre en la interface aérea.</w:t>
      </w:r>
    </w:p>
    <w:p w14:paraId="64390AEC" w14:textId="77777777" w:rsidR="007727B0" w:rsidRPr="009041D4" w:rsidRDefault="007727B0" w:rsidP="007727B0">
      <w:pPr>
        <w:spacing w:after="0"/>
        <w:jc w:val="both"/>
        <w:rPr>
          <w:rFonts w:ascii="Arial" w:eastAsia="Times New Roman" w:hAnsi="Arial" w:cs="Arial"/>
          <w:szCs w:val="24"/>
          <w:lang w:eastAsia="es-ES"/>
        </w:rPr>
      </w:pPr>
    </w:p>
    <w:p w14:paraId="7B64DB5E" w14:textId="77777777" w:rsidR="007727B0" w:rsidRPr="009041D4" w:rsidRDefault="007727B0" w:rsidP="007727B0">
      <w:pPr>
        <w:spacing w:after="0"/>
        <w:jc w:val="both"/>
        <w:rPr>
          <w:rFonts w:ascii="Arial" w:eastAsia="Times New Roman" w:hAnsi="Arial" w:cs="Arial"/>
          <w:b/>
          <w:szCs w:val="24"/>
          <w:lang w:eastAsia="es-ES"/>
        </w:rPr>
      </w:pPr>
      <w:r w:rsidRPr="009041D4">
        <w:rPr>
          <w:rFonts w:ascii="Arial" w:eastAsia="Times New Roman" w:hAnsi="Arial" w:cs="Arial"/>
          <w:b/>
          <w:szCs w:val="24"/>
          <w:lang w:eastAsia="es-ES"/>
        </w:rPr>
        <w:t>Nodos de la red</w:t>
      </w:r>
    </w:p>
    <w:p w14:paraId="6740AAF8" w14:textId="77777777" w:rsidR="007727B0" w:rsidRPr="009041D4" w:rsidRDefault="007727B0" w:rsidP="007727B0">
      <w:pPr>
        <w:spacing w:after="0"/>
        <w:ind w:left="426"/>
        <w:jc w:val="both"/>
        <w:rPr>
          <w:rFonts w:ascii="Arial" w:hAnsi="Arial" w:cs="Arial"/>
        </w:rPr>
      </w:pPr>
    </w:p>
    <w:p w14:paraId="36EBD5D2"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Las redes fijas y móviles pueden considerarse como una serie de nodos (con diferentes funciones) y de enlaces entre ellos. Al modelar una red eficiente utilizando un enfoque </w:t>
      </w:r>
      <w:r w:rsidRPr="009041D4">
        <w:rPr>
          <w:rFonts w:ascii="Arial" w:eastAsia="Times New Roman" w:hAnsi="Arial" w:cs="Arial"/>
          <w:i/>
          <w:szCs w:val="24"/>
          <w:lang w:eastAsia="es-ES"/>
        </w:rPr>
        <w:t>bottom-up</w:t>
      </w:r>
      <w:r w:rsidRPr="009041D4">
        <w:rPr>
          <w:rFonts w:ascii="Arial" w:eastAsia="Times New Roman" w:hAnsi="Arial" w:cs="Arial"/>
          <w:szCs w:val="24"/>
          <w:lang w:eastAsia="es-ES"/>
        </w:rPr>
        <w:t xml:space="preserve">, hay varias opciones disponibles en cuanto al nivel de detalle utilizado en redes reales. Cuanto mayor sea el nivel de granularidad/detalle utilizado directamente en los cálculos, menor será el nivel de </w:t>
      </w:r>
      <w:r w:rsidRPr="009041D4">
        <w:rPr>
          <w:rFonts w:ascii="Arial" w:eastAsia="Times New Roman" w:hAnsi="Arial" w:cs="Arial"/>
          <w:i/>
          <w:szCs w:val="24"/>
          <w:lang w:eastAsia="es-ES"/>
        </w:rPr>
        <w:t>scorching</w:t>
      </w:r>
      <w:r w:rsidRPr="009041D4">
        <w:rPr>
          <w:rFonts w:ascii="Arial" w:eastAsia="Times New Roman" w:hAnsi="Arial" w:cs="Arial"/>
          <w:szCs w:val="24"/>
          <w:lang w:eastAsia="es-ES"/>
        </w:rPr>
        <w:t xml:space="preserve"> utilizado. </w:t>
      </w:r>
    </w:p>
    <w:p w14:paraId="10769815" w14:textId="77777777" w:rsidR="007727B0" w:rsidRPr="009041D4" w:rsidRDefault="007727B0" w:rsidP="007727B0">
      <w:pPr>
        <w:tabs>
          <w:tab w:val="left" w:pos="2925"/>
        </w:tabs>
        <w:spacing w:after="0"/>
        <w:jc w:val="both"/>
        <w:rPr>
          <w:rFonts w:ascii="Arial" w:eastAsia="Times New Roman" w:hAnsi="Arial" w:cs="Arial"/>
          <w:szCs w:val="24"/>
          <w:lang w:eastAsia="es-ES"/>
        </w:rPr>
      </w:pPr>
    </w:p>
    <w:p w14:paraId="30B51959"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El Lineamiento Quinto de la Metodología de Costos señala a la letra lo siguiente:</w:t>
      </w:r>
    </w:p>
    <w:p w14:paraId="2E9A3C42" w14:textId="77777777" w:rsidR="007727B0" w:rsidRPr="009041D4" w:rsidRDefault="007727B0" w:rsidP="007727B0">
      <w:pPr>
        <w:spacing w:after="0"/>
        <w:jc w:val="both"/>
        <w:rPr>
          <w:rFonts w:ascii="Arial" w:eastAsia="Times New Roman" w:hAnsi="Arial" w:cs="Arial"/>
          <w:szCs w:val="24"/>
          <w:lang w:eastAsia="es-ES"/>
        </w:rPr>
      </w:pPr>
    </w:p>
    <w:p w14:paraId="6E066A0B"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r w:rsidRPr="009041D4">
        <w:rPr>
          <w:rFonts w:ascii="Arial" w:eastAsia="Times New Roman" w:hAnsi="Arial" w:cs="Arial"/>
          <w:i/>
          <w:sz w:val="18"/>
          <w:szCs w:val="18"/>
          <w:lang w:eastAsia="es-ES"/>
        </w:rPr>
        <w:t>“</w:t>
      </w:r>
      <w:r w:rsidRPr="009041D4">
        <w:rPr>
          <w:rFonts w:ascii="Arial" w:eastAsia="Times New Roman" w:hAnsi="Arial" w:cs="Arial"/>
          <w:b/>
          <w:i/>
          <w:sz w:val="18"/>
          <w:szCs w:val="18"/>
          <w:lang w:eastAsia="es-ES"/>
        </w:rPr>
        <w:t>QUINTO</w:t>
      </w:r>
      <w:r w:rsidRPr="009041D4">
        <w:rPr>
          <w:rFonts w:ascii="Arial" w:eastAsia="Times New Roman" w:hAnsi="Arial" w:cs="Arial"/>
          <w:b/>
          <w:i/>
          <w:sz w:val="18"/>
          <w:szCs w:val="18"/>
          <w:lang w:val="es-ES" w:eastAsia="es-ES"/>
        </w:rPr>
        <w:t>.-</w:t>
      </w:r>
      <w:r w:rsidRPr="009041D4">
        <w:rPr>
          <w:rFonts w:ascii="Arial" w:eastAsia="Times New Roman" w:hAnsi="Arial" w:cs="Arial"/>
          <w:i/>
          <w:sz w:val="18"/>
          <w:szCs w:val="18"/>
          <w:lang w:val="es-ES" w:eastAsia="es-ES"/>
        </w:rPr>
        <w:t xml:space="preserve"> Los Modelos de Costos que se elaboren deberán considerar elementos técnicos y económicos de los Servicios de Interconexión, debiéndose emplear el enfoque de modelos ascendentes o ingenieriles (Bottom-Up).</w:t>
      </w:r>
    </w:p>
    <w:p w14:paraId="071F1F70"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p>
    <w:p w14:paraId="5005AD7B"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El Instituto Federal de Telecomunicaciones podrá hacer uso de otros modelos de costos y de información financiera y de contabilidad separada con que disponga para verificar y mejorar la solidez de los resultados.</w:t>
      </w:r>
    </w:p>
    <w:p w14:paraId="04DD1E74"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p>
    <w:p w14:paraId="31E608A8" w14:textId="77777777" w:rsidR="007727B0" w:rsidRPr="009041D4" w:rsidRDefault="007727B0" w:rsidP="007727B0">
      <w:pPr>
        <w:spacing w:after="0"/>
        <w:ind w:left="567" w:right="616"/>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60E6D791" w14:textId="77777777" w:rsidR="007727B0" w:rsidRPr="009041D4" w:rsidRDefault="007727B0" w:rsidP="007727B0">
      <w:pPr>
        <w:spacing w:after="0"/>
        <w:jc w:val="both"/>
        <w:rPr>
          <w:rFonts w:ascii="Arial" w:eastAsia="Times New Roman" w:hAnsi="Arial" w:cs="Arial"/>
          <w:szCs w:val="24"/>
          <w:lang w:eastAsia="es-ES"/>
        </w:rPr>
      </w:pPr>
    </w:p>
    <w:p w14:paraId="12E8BAE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Es así que, de acuerdo con la Metodología de Costos, la red fija y la red móvil se modelaron siguiendo un enfoque </w:t>
      </w:r>
      <w:r w:rsidRPr="009041D4">
        <w:rPr>
          <w:rFonts w:ascii="Arial" w:eastAsia="Times New Roman" w:hAnsi="Arial" w:cs="Arial"/>
          <w:i/>
          <w:szCs w:val="24"/>
          <w:lang w:eastAsia="es-ES"/>
        </w:rPr>
        <w:t>scorched-earth</w:t>
      </w:r>
      <w:r w:rsidRPr="009041D4">
        <w:rPr>
          <w:rFonts w:ascii="Arial" w:eastAsia="Times New Roman" w:hAnsi="Arial" w:cs="Arial"/>
          <w:szCs w:val="24"/>
          <w:lang w:eastAsia="es-ES"/>
        </w:rPr>
        <w:t xml:space="preserve"> calibrado con los datos de la red de los concesionarios actuales, lo cual resultará en una red más eficiente que la de los operadores existentes. </w:t>
      </w:r>
    </w:p>
    <w:p w14:paraId="055718F9" w14:textId="77777777" w:rsidR="007727B0" w:rsidRPr="009041D4" w:rsidRDefault="007727B0" w:rsidP="007727B0">
      <w:pPr>
        <w:spacing w:after="0"/>
        <w:jc w:val="both"/>
        <w:rPr>
          <w:rFonts w:ascii="Arial" w:eastAsia="Times New Roman" w:hAnsi="Arial" w:cs="Arial"/>
          <w:szCs w:val="24"/>
          <w:lang w:eastAsia="es-ES"/>
        </w:rPr>
      </w:pPr>
    </w:p>
    <w:p w14:paraId="7965AEE4"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El enfoque </w:t>
      </w:r>
      <w:r w:rsidRPr="009041D4">
        <w:rPr>
          <w:rFonts w:ascii="Arial" w:eastAsia="Times New Roman" w:hAnsi="Arial" w:cs="Arial"/>
          <w:i/>
          <w:szCs w:val="24"/>
          <w:lang w:eastAsia="es-ES"/>
        </w:rPr>
        <w:t>scorched-earth</w:t>
      </w:r>
      <w:r w:rsidRPr="009041D4">
        <w:rPr>
          <w:rFonts w:ascii="Arial" w:eastAsia="Times New Roman" w:hAnsi="Arial" w:cs="Arial"/>
          <w:szCs w:val="24"/>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4CF36800" w14:textId="77777777" w:rsidR="007727B0" w:rsidRPr="009041D4" w:rsidRDefault="007727B0" w:rsidP="007727B0">
      <w:pPr>
        <w:spacing w:after="0"/>
        <w:jc w:val="both"/>
        <w:rPr>
          <w:rFonts w:ascii="Arial" w:eastAsia="Times New Roman" w:hAnsi="Arial" w:cs="Arial"/>
          <w:szCs w:val="24"/>
          <w:lang w:eastAsia="es-ES"/>
        </w:rPr>
      </w:pPr>
    </w:p>
    <w:p w14:paraId="30E9958D"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A continuación, se presenta un esquema con la metodología utilizada para la calibración del modelo fijo.</w:t>
      </w:r>
    </w:p>
    <w:p w14:paraId="0C1B1BFE" w14:textId="77777777" w:rsidR="007727B0" w:rsidRPr="009041D4" w:rsidRDefault="007727B0" w:rsidP="007727B0">
      <w:pPr>
        <w:spacing w:after="0"/>
        <w:jc w:val="both"/>
        <w:rPr>
          <w:rFonts w:ascii="Arial" w:hAnsi="Arial" w:cs="Arial"/>
        </w:rPr>
      </w:pPr>
    </w:p>
    <w:tbl>
      <w:tblPr>
        <w:tblW w:w="6875" w:type="dxa"/>
        <w:jc w:val="center"/>
        <w:tblLayout w:type="fixed"/>
        <w:tblCellMar>
          <w:left w:w="0" w:type="dxa"/>
          <w:right w:w="0" w:type="dxa"/>
        </w:tblCellMar>
        <w:tblLook w:val="0000" w:firstRow="0" w:lastRow="0" w:firstColumn="0" w:lastColumn="0" w:noHBand="0" w:noVBand="0"/>
      </w:tblPr>
      <w:tblGrid>
        <w:gridCol w:w="6875"/>
      </w:tblGrid>
      <w:tr w:rsidR="007727B0" w:rsidRPr="009041D4" w14:paraId="2C7EFB8C" w14:textId="77777777" w:rsidTr="007727B0">
        <w:trPr>
          <w:trHeight w:val="4792"/>
          <w:jc w:val="center"/>
        </w:trPr>
        <w:tc>
          <w:tcPr>
            <w:tcW w:w="6875" w:type="dxa"/>
            <w:tcBorders>
              <w:right w:val="single" w:sz="4" w:space="0" w:color="auto"/>
            </w:tcBorders>
            <w:shd w:val="clear" w:color="auto" w:fill="auto"/>
          </w:tcPr>
          <w:p w14:paraId="070D839E" w14:textId="77777777" w:rsidR="007727B0" w:rsidRPr="009041D4" w:rsidRDefault="007727B0" w:rsidP="007727B0">
            <w:pPr>
              <w:spacing w:after="0"/>
              <w:ind w:left="426"/>
              <w:jc w:val="center"/>
              <w:rPr>
                <w:rFonts w:ascii="Arial" w:hAnsi="Arial" w:cs="Arial"/>
                <w:lang w:val="es-ES"/>
              </w:rPr>
            </w:pPr>
            <w:r w:rsidRPr="009041D4">
              <w:rPr>
                <w:rFonts w:ascii="Arial" w:hAnsi="Arial" w:cs="Arial"/>
                <w:noProof/>
                <w:lang w:eastAsia="es-MX"/>
              </w:rPr>
              <w:lastRenderedPageBreak/>
              <w:drawing>
                <wp:inline distT="0" distB="0" distL="0" distR="0" wp14:anchorId="64CA17DC" wp14:editId="380232AE">
                  <wp:extent cx="3990975" cy="3171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tc>
      </w:tr>
    </w:tbl>
    <w:p w14:paraId="558A6CE9" w14:textId="38E01B48" w:rsidR="007727B0" w:rsidRPr="009041D4" w:rsidRDefault="007727B0" w:rsidP="00245D71">
      <w:pPr>
        <w:spacing w:after="0"/>
        <w:ind w:left="284"/>
        <w:jc w:val="center"/>
        <w:rPr>
          <w:rFonts w:ascii="Arial" w:eastAsia="Times New Roman" w:hAnsi="Arial" w:cs="Arial"/>
          <w:sz w:val="12"/>
          <w:szCs w:val="24"/>
          <w:lang w:eastAsia="es-ES"/>
        </w:rPr>
      </w:pPr>
      <w:r w:rsidRPr="009041D4">
        <w:rPr>
          <w:rFonts w:ascii="Arial" w:hAnsi="Arial" w:cs="Arial"/>
          <w:sz w:val="18"/>
          <w:szCs w:val="18"/>
          <w:lang w:val="es-ES"/>
        </w:rPr>
        <w:t xml:space="preserve">Figura </w:t>
      </w:r>
      <w:r w:rsidR="00E81752" w:rsidRPr="009041D4">
        <w:rPr>
          <w:rFonts w:ascii="Arial" w:hAnsi="Arial" w:cs="Arial"/>
          <w:sz w:val="18"/>
          <w:szCs w:val="18"/>
          <w:lang w:val="es-ES"/>
        </w:rPr>
        <w:t>5</w:t>
      </w:r>
      <w:r w:rsidR="001C7668" w:rsidRPr="009041D4">
        <w:rPr>
          <w:rFonts w:ascii="Arial" w:hAnsi="Arial" w:cs="Arial"/>
          <w:sz w:val="18"/>
          <w:szCs w:val="18"/>
          <w:lang w:val="es-ES"/>
        </w:rPr>
        <w:t>.</w:t>
      </w:r>
      <w:r w:rsidRPr="009041D4">
        <w:rPr>
          <w:rFonts w:ascii="Arial" w:hAnsi="Arial" w:cs="Arial"/>
          <w:sz w:val="18"/>
          <w:szCs w:val="18"/>
          <w:lang w:val="es-ES"/>
        </w:rPr>
        <w:t xml:space="preserve"> Esquema de modelado scorched-earth calibrado para el operador fijo</w:t>
      </w:r>
    </w:p>
    <w:p w14:paraId="69211C5F" w14:textId="77777777" w:rsidR="00510741" w:rsidRPr="009041D4" w:rsidRDefault="00510741" w:rsidP="007727B0">
      <w:pPr>
        <w:spacing w:after="0"/>
        <w:jc w:val="both"/>
        <w:rPr>
          <w:rFonts w:ascii="Arial" w:eastAsia="Times New Roman" w:hAnsi="Arial" w:cs="Arial"/>
          <w:szCs w:val="24"/>
          <w:lang w:eastAsia="es-ES"/>
        </w:rPr>
      </w:pPr>
    </w:p>
    <w:p w14:paraId="3A8105BB" w14:textId="01D87C31"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A continuación, se muestra un esquema con la metodología utilizada para la calibración del Modelo Móvil.</w:t>
      </w:r>
    </w:p>
    <w:p w14:paraId="02C59DAC" w14:textId="77777777" w:rsidR="007727B0" w:rsidRPr="009041D4" w:rsidRDefault="007727B0" w:rsidP="007727B0">
      <w:pPr>
        <w:spacing w:after="0"/>
        <w:jc w:val="both"/>
        <w:rPr>
          <w:rFonts w:ascii="Arial" w:eastAsia="Times New Roman" w:hAnsi="Arial" w:cs="Arial"/>
          <w:sz w:val="12"/>
          <w:szCs w:val="24"/>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7727B0" w:rsidRPr="009041D4" w14:paraId="60250C37" w14:textId="77777777" w:rsidTr="007727B0">
        <w:trPr>
          <w:trHeight w:val="5021"/>
          <w:jc w:val="center"/>
        </w:trPr>
        <w:tc>
          <w:tcPr>
            <w:tcW w:w="6213" w:type="dxa"/>
            <w:tcBorders>
              <w:right w:val="single" w:sz="4" w:space="0" w:color="auto"/>
            </w:tcBorders>
            <w:shd w:val="clear" w:color="auto" w:fill="auto"/>
          </w:tcPr>
          <w:p w14:paraId="723E6E94" w14:textId="77777777" w:rsidR="007727B0" w:rsidRPr="009041D4" w:rsidRDefault="007727B0" w:rsidP="007727B0">
            <w:pPr>
              <w:spacing w:after="0"/>
              <w:ind w:left="426"/>
              <w:jc w:val="center"/>
              <w:rPr>
                <w:rFonts w:ascii="Arial" w:hAnsi="Arial" w:cs="Arial"/>
                <w:lang w:val="es-ES"/>
              </w:rPr>
            </w:pPr>
            <w:r w:rsidRPr="009041D4">
              <w:rPr>
                <w:rFonts w:ascii="Arial" w:hAnsi="Arial" w:cs="Arial"/>
                <w:noProof/>
                <w:lang w:eastAsia="es-MX"/>
              </w:rPr>
              <w:drawing>
                <wp:inline distT="0" distB="0" distL="0" distR="0" wp14:anchorId="475F1C4B" wp14:editId="26CD5658">
                  <wp:extent cx="3372180" cy="28235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3643" cy="2824821"/>
                          </a:xfrm>
                          <a:prstGeom prst="rect">
                            <a:avLst/>
                          </a:prstGeom>
                          <a:noFill/>
                          <a:ln>
                            <a:noFill/>
                          </a:ln>
                        </pic:spPr>
                      </pic:pic>
                    </a:graphicData>
                  </a:graphic>
                </wp:inline>
              </w:drawing>
            </w:r>
          </w:p>
        </w:tc>
      </w:tr>
    </w:tbl>
    <w:p w14:paraId="62D81B6B" w14:textId="77E15836" w:rsidR="007727B0" w:rsidRPr="009041D4" w:rsidRDefault="007727B0" w:rsidP="007727B0">
      <w:pPr>
        <w:spacing w:after="0"/>
        <w:ind w:left="426"/>
        <w:jc w:val="center"/>
        <w:rPr>
          <w:rFonts w:ascii="Arial" w:hAnsi="Arial" w:cs="Arial"/>
          <w:sz w:val="18"/>
          <w:szCs w:val="18"/>
          <w:lang w:val="es-ES"/>
        </w:rPr>
      </w:pPr>
      <w:r w:rsidRPr="009041D4">
        <w:rPr>
          <w:rFonts w:ascii="Arial" w:hAnsi="Arial" w:cs="Arial"/>
          <w:sz w:val="18"/>
          <w:szCs w:val="18"/>
          <w:lang w:val="es-ES"/>
        </w:rPr>
        <w:t xml:space="preserve">Figura </w:t>
      </w:r>
      <w:r w:rsidR="00E81752" w:rsidRPr="009041D4">
        <w:rPr>
          <w:rFonts w:ascii="Arial" w:hAnsi="Arial" w:cs="Arial"/>
          <w:sz w:val="18"/>
          <w:szCs w:val="18"/>
          <w:lang w:val="es-ES"/>
        </w:rPr>
        <w:t>6</w:t>
      </w:r>
      <w:r w:rsidR="001C7668" w:rsidRPr="009041D4">
        <w:rPr>
          <w:rFonts w:ascii="Arial" w:hAnsi="Arial" w:cs="Arial"/>
          <w:sz w:val="18"/>
          <w:szCs w:val="18"/>
          <w:lang w:val="es-ES"/>
        </w:rPr>
        <w:t>.</w:t>
      </w:r>
      <w:r w:rsidRPr="009041D4">
        <w:rPr>
          <w:rFonts w:ascii="Arial" w:hAnsi="Arial" w:cs="Arial"/>
          <w:sz w:val="18"/>
          <w:szCs w:val="18"/>
          <w:lang w:val="es-ES"/>
        </w:rPr>
        <w:t xml:space="preserve"> Esquema de modelado scorched earth calibrado para el operador móvil</w:t>
      </w:r>
    </w:p>
    <w:p w14:paraId="17A0C57E" w14:textId="77777777" w:rsidR="007727B0" w:rsidRPr="009041D4" w:rsidRDefault="007727B0" w:rsidP="007727B0">
      <w:pPr>
        <w:spacing w:after="0"/>
        <w:jc w:val="both"/>
        <w:rPr>
          <w:rFonts w:ascii="Arial" w:eastAsia="Times New Roman" w:hAnsi="Arial" w:cs="Arial"/>
          <w:szCs w:val="24"/>
          <w:lang w:eastAsia="es-ES"/>
        </w:rPr>
      </w:pPr>
    </w:p>
    <w:p w14:paraId="0DC542A6" w14:textId="77777777" w:rsidR="007727B0" w:rsidRPr="009041D4" w:rsidRDefault="007727B0" w:rsidP="007727B0">
      <w:pPr>
        <w:spacing w:after="0"/>
        <w:jc w:val="both"/>
        <w:rPr>
          <w:rFonts w:ascii="Arial" w:hAnsi="Arial" w:cs="Arial"/>
        </w:rPr>
      </w:pPr>
      <w:r w:rsidRPr="009041D4">
        <w:rPr>
          <w:rFonts w:ascii="Arial" w:eastAsia="Times New Roman" w:hAnsi="Arial" w:cs="Arial"/>
          <w:szCs w:val="24"/>
          <w:lang w:eastAsia="es-ES"/>
        </w:rPr>
        <w:t xml:space="preserve">En este enfoque el </w:t>
      </w:r>
      <w:r w:rsidRPr="009041D4">
        <w:rPr>
          <w:rFonts w:ascii="Arial" w:eastAsia="Times New Roman" w:hAnsi="Arial" w:cs="Arial"/>
          <w:b/>
          <w:szCs w:val="24"/>
          <w:lang w:eastAsia="es-ES"/>
        </w:rPr>
        <w:t>número total de nodos</w:t>
      </w:r>
      <w:r w:rsidRPr="009041D4">
        <w:rPr>
          <w:rFonts w:ascii="Arial" w:eastAsia="Times New Roman" w:hAnsi="Arial" w:cs="Arial"/>
          <w:szCs w:val="24"/>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639AA5E8" w14:textId="77777777" w:rsidR="007727B0" w:rsidRPr="009041D4" w:rsidRDefault="007727B0" w:rsidP="007727B0">
      <w:pPr>
        <w:spacing w:after="0"/>
        <w:ind w:left="426"/>
        <w:jc w:val="both"/>
        <w:rPr>
          <w:rFonts w:ascii="Arial" w:hAnsi="Arial" w:cs="Arial"/>
        </w:rPr>
      </w:pPr>
    </w:p>
    <w:p w14:paraId="3EDB99B0" w14:textId="77777777" w:rsidR="007727B0" w:rsidRPr="009041D4" w:rsidRDefault="007727B0" w:rsidP="007727B0">
      <w:pPr>
        <w:spacing w:after="0"/>
        <w:jc w:val="both"/>
        <w:rPr>
          <w:rFonts w:ascii="Arial" w:hAnsi="Arial" w:cs="Arial"/>
          <w:b/>
        </w:rPr>
      </w:pPr>
      <w:r w:rsidRPr="009041D4">
        <w:rPr>
          <w:rFonts w:ascii="Arial" w:hAnsi="Arial" w:cs="Arial"/>
          <w:b/>
        </w:rPr>
        <w:lastRenderedPageBreak/>
        <w:t>1.3 Aspectos relacionados con los servicios.</w:t>
      </w:r>
    </w:p>
    <w:p w14:paraId="09A3B7B4" w14:textId="77777777" w:rsidR="007727B0" w:rsidRPr="009041D4" w:rsidRDefault="007727B0" w:rsidP="007727B0">
      <w:pPr>
        <w:spacing w:after="0"/>
        <w:ind w:left="426"/>
        <w:jc w:val="both"/>
        <w:rPr>
          <w:rFonts w:ascii="Arial" w:hAnsi="Arial" w:cs="Arial"/>
          <w:b/>
        </w:rPr>
      </w:pPr>
    </w:p>
    <w:p w14:paraId="68CB21CC" w14:textId="77777777" w:rsidR="007727B0" w:rsidRPr="009041D4" w:rsidRDefault="007727B0" w:rsidP="007727B0">
      <w:pPr>
        <w:spacing w:after="0"/>
        <w:jc w:val="both"/>
        <w:rPr>
          <w:rFonts w:ascii="Arial" w:hAnsi="Arial" w:cs="Arial"/>
          <w:color w:val="000000"/>
          <w:spacing w:val="-4"/>
        </w:rPr>
      </w:pPr>
      <w:r w:rsidRPr="009041D4">
        <w:rPr>
          <w:rFonts w:ascii="Arial" w:hAnsi="Arial" w:cs="Arial"/>
          <w:color w:val="000000"/>
          <w:spacing w:val="-4"/>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w:t>
      </w:r>
      <w:r w:rsidRPr="009041D4">
        <w:rPr>
          <w:rFonts w:ascii="Arial" w:hAnsi="Arial" w:cs="Arial"/>
          <w:color w:val="000000"/>
          <w:spacing w:val="-4"/>
          <w:sz w:val="27"/>
          <w:szCs w:val="27"/>
        </w:rPr>
        <w:t xml:space="preserve"> </w:t>
      </w:r>
      <w:r w:rsidRPr="009041D4">
        <w:rPr>
          <w:rFonts w:ascii="Arial" w:hAnsi="Arial" w:cs="Arial"/>
          <w:color w:val="000000"/>
          <w:spacing w:val="-4"/>
        </w:rPr>
        <w:t>Sin embargo, las redes fijas y móviles suelen transportar una amplia gama de servicios.</w:t>
      </w:r>
      <w:r w:rsidRPr="009041D4">
        <w:rPr>
          <w:rFonts w:ascii="Arial" w:hAnsi="Arial" w:cs="Arial"/>
          <w:spacing w:val="-4"/>
        </w:rPr>
        <w:t xml:space="preserve"> La medida en la que el operador modelado puede ofrecer servicios en las zonas donde tiene cobertura determina las economías de alcance del operador</w:t>
      </w:r>
      <w:r w:rsidRPr="009041D4">
        <w:rPr>
          <w:rFonts w:ascii="Arial" w:hAnsi="Arial" w:cs="Arial"/>
          <w:color w:val="000000"/>
          <w:spacing w:val="-4"/>
        </w:rPr>
        <w:t>, y por lo tanto este aspecto debe ser considerado en los modelos</w:t>
      </w:r>
      <w:r w:rsidRPr="009041D4">
        <w:rPr>
          <w:rFonts w:ascii="Arial" w:hAnsi="Arial" w:cs="Arial"/>
          <w:spacing w:val="-4"/>
        </w:rPr>
        <w:t>.</w:t>
      </w:r>
      <w:r w:rsidRPr="009041D4">
        <w:rPr>
          <w:rFonts w:ascii="Arial" w:hAnsi="Arial" w:cs="Arial"/>
          <w:color w:val="000000"/>
          <w:spacing w:val="-4"/>
        </w:rPr>
        <w:t xml:space="preserve"> </w:t>
      </w:r>
    </w:p>
    <w:p w14:paraId="53DC6BCB" w14:textId="77777777" w:rsidR="007727B0" w:rsidRPr="009041D4" w:rsidRDefault="007727B0" w:rsidP="007727B0">
      <w:pPr>
        <w:spacing w:after="0"/>
        <w:ind w:left="993"/>
        <w:jc w:val="both"/>
        <w:rPr>
          <w:rFonts w:ascii="Arial" w:eastAsia="Times New Roman" w:hAnsi="Arial" w:cs="Arial"/>
          <w:szCs w:val="24"/>
          <w:lang w:eastAsia="es-ES"/>
        </w:rPr>
      </w:pPr>
    </w:p>
    <w:p w14:paraId="4A203F09" w14:textId="77777777" w:rsidR="007727B0" w:rsidRPr="009041D4" w:rsidRDefault="007727B0" w:rsidP="007727B0">
      <w:pPr>
        <w:keepNext/>
        <w:spacing w:after="0"/>
        <w:rPr>
          <w:rFonts w:ascii="Arial" w:hAnsi="Arial" w:cs="Arial"/>
          <w:b/>
          <w:lang w:val="es-ES"/>
        </w:rPr>
      </w:pPr>
      <w:r w:rsidRPr="009041D4">
        <w:rPr>
          <w:rFonts w:ascii="Arial" w:hAnsi="Arial" w:cs="Arial"/>
          <w:b/>
          <w:lang w:val="es-ES"/>
        </w:rPr>
        <w:t>Servicios a modelar</w:t>
      </w:r>
    </w:p>
    <w:p w14:paraId="521F1283" w14:textId="77777777" w:rsidR="007727B0" w:rsidRPr="009041D4" w:rsidRDefault="007727B0" w:rsidP="007727B0">
      <w:pPr>
        <w:spacing w:after="0"/>
        <w:jc w:val="both"/>
        <w:rPr>
          <w:rFonts w:ascii="Arial" w:eastAsia="Times New Roman" w:hAnsi="Arial" w:cs="Arial"/>
          <w:szCs w:val="24"/>
          <w:lang w:eastAsia="es-ES"/>
        </w:rPr>
      </w:pPr>
    </w:p>
    <w:p w14:paraId="0D16080E"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213FBA1C" w14:textId="77777777" w:rsidR="007727B0" w:rsidRPr="009041D4" w:rsidRDefault="007727B0" w:rsidP="007727B0">
      <w:pPr>
        <w:spacing w:after="0"/>
        <w:jc w:val="both"/>
        <w:rPr>
          <w:rFonts w:ascii="Arial" w:eastAsia="Times New Roman" w:hAnsi="Arial" w:cs="Arial"/>
          <w:szCs w:val="24"/>
          <w:lang w:eastAsia="es-ES"/>
        </w:rPr>
      </w:pPr>
    </w:p>
    <w:p w14:paraId="24D3806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60F23DD8" w14:textId="77777777" w:rsidR="007727B0" w:rsidRPr="009041D4" w:rsidRDefault="007727B0" w:rsidP="007727B0">
      <w:pPr>
        <w:spacing w:after="0"/>
        <w:jc w:val="both"/>
        <w:rPr>
          <w:rFonts w:ascii="Arial" w:eastAsia="Times New Roman" w:hAnsi="Arial" w:cs="Arial"/>
          <w:szCs w:val="24"/>
          <w:lang w:eastAsia="es-ES"/>
        </w:rPr>
      </w:pPr>
    </w:p>
    <w:p w14:paraId="483B716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9041D4">
        <w:rPr>
          <w:rFonts w:ascii="Arial" w:eastAsia="Times New Roman" w:hAnsi="Arial" w:cs="Arial"/>
          <w:sz w:val="20"/>
          <w:szCs w:val="20"/>
          <w:vertAlign w:val="superscript"/>
          <w:lang w:eastAsia="es-ES"/>
        </w:rPr>
        <w:footnoteReference w:id="45"/>
      </w:r>
    </w:p>
    <w:p w14:paraId="2B7AE991" w14:textId="77777777" w:rsidR="007727B0" w:rsidRPr="009041D4" w:rsidRDefault="007727B0" w:rsidP="007727B0">
      <w:pPr>
        <w:spacing w:after="0"/>
        <w:jc w:val="both"/>
        <w:rPr>
          <w:rFonts w:ascii="Arial" w:eastAsia="Times New Roman" w:hAnsi="Arial" w:cs="Arial"/>
          <w:szCs w:val="24"/>
          <w:lang w:eastAsia="es-ES"/>
        </w:rPr>
      </w:pPr>
    </w:p>
    <w:p w14:paraId="255F3565"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Será necesario analizar y comprender el efecto que pueden llegar a tener las previsiones de demanda de servicios distintos a los servicios de voz en los costos de los servicios de voz. </w:t>
      </w:r>
    </w:p>
    <w:p w14:paraId="509035BD" w14:textId="77777777" w:rsidR="007727B0" w:rsidRPr="009041D4" w:rsidRDefault="007727B0" w:rsidP="007727B0">
      <w:pPr>
        <w:spacing w:after="0"/>
        <w:jc w:val="both"/>
        <w:rPr>
          <w:rFonts w:ascii="Arial" w:eastAsia="Times New Roman" w:hAnsi="Arial" w:cs="Arial"/>
          <w:sz w:val="16"/>
          <w:szCs w:val="24"/>
          <w:lang w:eastAsia="es-ES"/>
        </w:rPr>
      </w:pPr>
    </w:p>
    <w:p w14:paraId="476A6987"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14:paraId="585F4006" w14:textId="77777777" w:rsidR="007727B0" w:rsidRPr="009041D4" w:rsidRDefault="007727B0" w:rsidP="007727B0">
      <w:pPr>
        <w:spacing w:after="0"/>
        <w:jc w:val="both"/>
        <w:rPr>
          <w:rFonts w:ascii="Arial" w:eastAsia="Times New Roman" w:hAnsi="Arial" w:cs="Arial"/>
          <w:sz w:val="16"/>
          <w:szCs w:val="24"/>
          <w:lang w:eastAsia="es-ES"/>
        </w:rPr>
      </w:pPr>
    </w:p>
    <w:p w14:paraId="59281A2B" w14:textId="77777777" w:rsidR="007727B0" w:rsidRPr="009041D4" w:rsidRDefault="007727B0" w:rsidP="007727B0">
      <w:pPr>
        <w:spacing w:after="0"/>
        <w:rPr>
          <w:rFonts w:ascii="Arial" w:hAnsi="Arial" w:cs="Arial"/>
          <w:b/>
          <w:lang w:val="es-ES"/>
        </w:rPr>
      </w:pPr>
      <w:r w:rsidRPr="009041D4">
        <w:rPr>
          <w:rFonts w:ascii="Arial" w:hAnsi="Arial" w:cs="Arial"/>
          <w:b/>
          <w:lang w:val="es-ES"/>
        </w:rPr>
        <w:t>Servicios que se ofrecen a través de redes fijas</w:t>
      </w:r>
    </w:p>
    <w:p w14:paraId="7280C45A" w14:textId="77777777" w:rsidR="007727B0" w:rsidRPr="009041D4" w:rsidRDefault="007727B0" w:rsidP="007727B0">
      <w:pPr>
        <w:spacing w:after="0"/>
        <w:jc w:val="both"/>
        <w:rPr>
          <w:rFonts w:ascii="Arial" w:eastAsia="Times New Roman" w:hAnsi="Arial" w:cs="Arial"/>
          <w:sz w:val="16"/>
          <w:szCs w:val="24"/>
          <w:lang w:eastAsia="es-ES"/>
        </w:rPr>
      </w:pPr>
    </w:p>
    <w:p w14:paraId="50F99DA4" w14:textId="1B020076"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lastRenderedPageBreak/>
        <w:t xml:space="preserve">En la tabla </w:t>
      </w:r>
      <w:r w:rsidR="001F064A" w:rsidRPr="009041D4">
        <w:rPr>
          <w:rFonts w:ascii="Arial" w:eastAsia="Times New Roman" w:hAnsi="Arial" w:cs="Arial"/>
          <w:szCs w:val="24"/>
          <w:lang w:eastAsia="es-ES"/>
        </w:rPr>
        <w:t>11</w:t>
      </w:r>
      <w:r w:rsidRPr="009041D4">
        <w:rPr>
          <w:rFonts w:ascii="Arial" w:eastAsia="Times New Roman" w:hAnsi="Arial" w:cs="Arial"/>
          <w:szCs w:val="24"/>
          <w:lang w:eastAsia="es-ES"/>
        </w:rPr>
        <w:t xml:space="preserve"> se presentan los servicios de voz considerados en el desarrollo del Modelo Fijo. Estos servicios contribuyen al despliegue de la red troncal.</w:t>
      </w:r>
    </w:p>
    <w:p w14:paraId="13217A9E" w14:textId="77777777" w:rsidR="007727B0" w:rsidRPr="009041D4" w:rsidRDefault="007727B0" w:rsidP="007727B0">
      <w:pPr>
        <w:spacing w:after="0"/>
        <w:jc w:val="both"/>
        <w:rPr>
          <w:rFonts w:ascii="Arial" w:eastAsia="Times New Roman" w:hAnsi="Arial" w:cs="Arial"/>
          <w:sz w:val="12"/>
          <w:szCs w:val="24"/>
          <w:lang w:eastAsia="es-ES"/>
        </w:rPr>
      </w:pPr>
    </w:p>
    <w:tbl>
      <w:tblPr>
        <w:tblStyle w:val="Sombreadomedio2-nfasis11"/>
        <w:tblW w:w="8789" w:type="dxa"/>
        <w:tblInd w:w="108" w:type="dxa"/>
        <w:tblLook w:val="0420" w:firstRow="1" w:lastRow="0" w:firstColumn="0" w:lastColumn="0" w:noHBand="0" w:noVBand="1"/>
      </w:tblPr>
      <w:tblGrid>
        <w:gridCol w:w="2268"/>
        <w:gridCol w:w="6521"/>
      </w:tblGrid>
      <w:tr w:rsidR="007727B0" w:rsidRPr="009041D4" w14:paraId="313AAF0C" w14:textId="77777777" w:rsidTr="007727B0">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0669B14E" w14:textId="77777777" w:rsidR="007727B0" w:rsidRPr="009041D4" w:rsidRDefault="007727B0" w:rsidP="007727B0">
            <w:pPr>
              <w:spacing w:after="0"/>
              <w:ind w:right="113"/>
              <w:rPr>
                <w:rFonts w:ascii="Arial" w:hAnsi="Arial" w:cs="Arial"/>
                <w:sz w:val="18"/>
              </w:rPr>
            </w:pPr>
            <w:r w:rsidRPr="009041D4">
              <w:rPr>
                <w:rFonts w:ascii="Arial" w:hAnsi="Arial" w:cs="Arial"/>
                <w:sz w:val="18"/>
              </w:rPr>
              <w:t>Servicio</w:t>
            </w:r>
          </w:p>
        </w:tc>
        <w:tc>
          <w:tcPr>
            <w:tcW w:w="6521" w:type="dxa"/>
            <w:tcBorders>
              <w:top w:val="single" w:sz="18" w:space="0" w:color="221F72"/>
              <w:bottom w:val="single" w:sz="18" w:space="0" w:color="221F72"/>
            </w:tcBorders>
            <w:shd w:val="solid" w:color="221F72" w:fill="221F72"/>
          </w:tcPr>
          <w:p w14:paraId="1FC3AFC4" w14:textId="77777777" w:rsidR="007727B0" w:rsidRPr="009041D4" w:rsidRDefault="007727B0" w:rsidP="007727B0">
            <w:pPr>
              <w:spacing w:after="0"/>
              <w:ind w:right="113"/>
              <w:rPr>
                <w:rFonts w:ascii="Arial" w:hAnsi="Arial" w:cs="Arial"/>
                <w:sz w:val="18"/>
              </w:rPr>
            </w:pPr>
            <w:r w:rsidRPr="009041D4">
              <w:rPr>
                <w:rFonts w:ascii="Arial" w:hAnsi="Arial" w:cs="Arial"/>
                <w:sz w:val="18"/>
              </w:rPr>
              <w:t>Descripción del servicio</w:t>
            </w:r>
          </w:p>
        </w:tc>
      </w:tr>
      <w:tr w:rsidR="007727B0" w:rsidRPr="009041D4" w14:paraId="706F9157"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14:paraId="335A25B8"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salientes on-net</w:t>
            </w:r>
          </w:p>
        </w:tc>
        <w:tc>
          <w:tcPr>
            <w:tcW w:w="6521" w:type="dxa"/>
            <w:tcBorders>
              <w:top w:val="single" w:sz="18" w:space="0" w:color="221F72"/>
            </w:tcBorders>
          </w:tcPr>
          <w:p w14:paraId="2465CCD3"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entre dos suscriptores minoristas del operador fijo modelado.</w:t>
            </w:r>
          </w:p>
        </w:tc>
      </w:tr>
      <w:tr w:rsidR="007727B0" w:rsidRPr="009041D4" w14:paraId="75B2698B" w14:textId="77777777" w:rsidTr="007727B0">
        <w:tc>
          <w:tcPr>
            <w:tcW w:w="2268" w:type="dxa"/>
            <w:tcBorders>
              <w:top w:val="nil"/>
              <w:bottom w:val="nil"/>
            </w:tcBorders>
          </w:tcPr>
          <w:p w14:paraId="0327BCE2"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salientes a otros operadores fijos</w:t>
            </w:r>
          </w:p>
        </w:tc>
        <w:tc>
          <w:tcPr>
            <w:tcW w:w="6521" w:type="dxa"/>
            <w:tcBorders>
              <w:top w:val="nil"/>
              <w:bottom w:val="nil"/>
            </w:tcBorders>
          </w:tcPr>
          <w:p w14:paraId="2685CA66"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de un suscriptor minorista del operador fijo modelado a un operador fijo doméstico.</w:t>
            </w:r>
          </w:p>
        </w:tc>
      </w:tr>
      <w:tr w:rsidR="007727B0" w:rsidRPr="009041D4" w14:paraId="69DE5E7F"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887FD12"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salientes a móvil</w:t>
            </w:r>
          </w:p>
        </w:tc>
        <w:tc>
          <w:tcPr>
            <w:tcW w:w="6521" w:type="dxa"/>
            <w:tcBorders>
              <w:top w:val="nil"/>
              <w:bottom w:val="nil"/>
            </w:tcBorders>
          </w:tcPr>
          <w:p w14:paraId="740473E0"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de un suscriptor minorista del operador fijo modelado a un operador móvil doméstico.</w:t>
            </w:r>
          </w:p>
        </w:tc>
      </w:tr>
      <w:tr w:rsidR="007727B0" w:rsidRPr="009041D4" w14:paraId="6FCE2A4A" w14:textId="77777777" w:rsidTr="007727B0">
        <w:tc>
          <w:tcPr>
            <w:tcW w:w="2268" w:type="dxa"/>
            <w:tcBorders>
              <w:top w:val="nil"/>
              <w:bottom w:val="nil"/>
            </w:tcBorders>
          </w:tcPr>
          <w:p w14:paraId="12DC0D60"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salientes a internacional</w:t>
            </w:r>
          </w:p>
        </w:tc>
        <w:tc>
          <w:tcPr>
            <w:tcW w:w="6521" w:type="dxa"/>
            <w:tcBorders>
              <w:top w:val="nil"/>
              <w:bottom w:val="nil"/>
            </w:tcBorders>
          </w:tcPr>
          <w:p w14:paraId="1EF9CA2F"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de un suscriptor minorista del operador fijo modelado a un destino internacional.</w:t>
            </w:r>
          </w:p>
        </w:tc>
      </w:tr>
      <w:tr w:rsidR="007727B0" w:rsidRPr="009041D4" w14:paraId="2B99C0B7"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3394215"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 xml:space="preserve">Llamadas salientes a números no geográficos </w:t>
            </w:r>
          </w:p>
        </w:tc>
        <w:tc>
          <w:tcPr>
            <w:tcW w:w="6521" w:type="dxa"/>
            <w:tcBorders>
              <w:top w:val="nil"/>
              <w:bottom w:val="nil"/>
            </w:tcBorders>
          </w:tcPr>
          <w:p w14:paraId="56A8FA5E"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de un suscriptor minorista del operador fijo modelado a números no geográficos, incluidos números comerciales de pago, consultas del directorio y servicios de emergencia.</w:t>
            </w:r>
          </w:p>
        </w:tc>
      </w:tr>
      <w:tr w:rsidR="007727B0" w:rsidRPr="009041D4" w14:paraId="57315A18" w14:textId="77777777" w:rsidTr="007727B0">
        <w:tc>
          <w:tcPr>
            <w:tcW w:w="2268" w:type="dxa"/>
            <w:tcBorders>
              <w:top w:val="nil"/>
              <w:bottom w:val="single" w:sz="4" w:space="0" w:color="D9D9D9"/>
            </w:tcBorders>
          </w:tcPr>
          <w:p w14:paraId="4482FAC8"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entrantes de otros operadores fijos</w:t>
            </w:r>
          </w:p>
        </w:tc>
        <w:tc>
          <w:tcPr>
            <w:tcW w:w="6521" w:type="dxa"/>
            <w:tcBorders>
              <w:top w:val="nil"/>
              <w:bottom w:val="single" w:sz="4" w:space="0" w:color="D9D9D9"/>
            </w:tcBorders>
          </w:tcPr>
          <w:p w14:paraId="6FDB9D60"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otro operador fijo y terminadas en la red de un suscriptor minorista del operador fijo modelado.</w:t>
            </w:r>
          </w:p>
        </w:tc>
      </w:tr>
      <w:tr w:rsidR="007727B0" w:rsidRPr="009041D4" w14:paraId="01CB3139"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B5A2C0E"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entrantes de móvil</w:t>
            </w:r>
          </w:p>
        </w:tc>
        <w:tc>
          <w:tcPr>
            <w:tcW w:w="6521" w:type="dxa"/>
            <w:tcBorders>
              <w:top w:val="nil"/>
              <w:bottom w:val="nil"/>
            </w:tcBorders>
          </w:tcPr>
          <w:p w14:paraId="6D58C6B0"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otro operador móvil y terminadas en la red de un suscriptor minorista del operador fijo modelado.</w:t>
            </w:r>
          </w:p>
        </w:tc>
      </w:tr>
      <w:tr w:rsidR="007727B0" w:rsidRPr="009041D4" w14:paraId="41137501" w14:textId="77777777" w:rsidTr="007727B0">
        <w:tc>
          <w:tcPr>
            <w:tcW w:w="2268" w:type="dxa"/>
            <w:tcBorders>
              <w:top w:val="nil"/>
              <w:bottom w:val="nil"/>
            </w:tcBorders>
          </w:tcPr>
          <w:p w14:paraId="6B2BFEBE"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entrantes de tráfico internacional</w:t>
            </w:r>
          </w:p>
        </w:tc>
        <w:tc>
          <w:tcPr>
            <w:tcW w:w="6521" w:type="dxa"/>
            <w:tcBorders>
              <w:top w:val="nil"/>
              <w:bottom w:val="nil"/>
            </w:tcBorders>
          </w:tcPr>
          <w:p w14:paraId="11D8B138"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otro operador internacional y terminadas en la red de un suscriptor minorista del operador fijo modelado.</w:t>
            </w:r>
          </w:p>
        </w:tc>
      </w:tr>
      <w:tr w:rsidR="007727B0" w:rsidRPr="009041D4" w14:paraId="7BCBEF7F"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27C8207"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entrantes a números no geográficos</w:t>
            </w:r>
          </w:p>
        </w:tc>
        <w:tc>
          <w:tcPr>
            <w:tcW w:w="6521" w:type="dxa"/>
            <w:tcBorders>
              <w:top w:val="nil"/>
              <w:bottom w:val="nil"/>
            </w:tcBorders>
          </w:tcPr>
          <w:p w14:paraId="1D951824"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un suscriptor minorista de otro operador a números no geográficos, incluidos números comerciales de pago, consultas del Directorio y servicios de emergencia.</w:t>
            </w:r>
          </w:p>
        </w:tc>
      </w:tr>
      <w:tr w:rsidR="007727B0" w:rsidRPr="009041D4" w14:paraId="5B4181FC" w14:textId="77777777" w:rsidTr="007727B0">
        <w:tc>
          <w:tcPr>
            <w:tcW w:w="2268" w:type="dxa"/>
            <w:tcBorders>
              <w:top w:val="nil"/>
              <w:bottom w:val="nil"/>
            </w:tcBorders>
          </w:tcPr>
          <w:p w14:paraId="59AFD3D8" w14:textId="77777777" w:rsidR="007727B0" w:rsidRPr="009041D4" w:rsidRDefault="007727B0" w:rsidP="007727B0">
            <w:pPr>
              <w:spacing w:after="0"/>
              <w:ind w:right="113"/>
              <w:rPr>
                <w:rFonts w:ascii="Arial" w:hAnsi="Arial" w:cs="Arial"/>
                <w:sz w:val="18"/>
              </w:rPr>
            </w:pPr>
            <w:r w:rsidRPr="009041D4">
              <w:rPr>
                <w:rFonts w:ascii="Arial" w:hAnsi="Arial" w:cs="Arial"/>
                <w:sz w:val="18"/>
              </w:rPr>
              <w:t>Llamadas en tránsito</w:t>
            </w:r>
          </w:p>
        </w:tc>
        <w:tc>
          <w:tcPr>
            <w:tcW w:w="6521" w:type="dxa"/>
            <w:tcBorders>
              <w:top w:val="nil"/>
              <w:bottom w:val="nil"/>
            </w:tcBorders>
          </w:tcPr>
          <w:p w14:paraId="495EF749" w14:textId="77777777" w:rsidR="007727B0" w:rsidRPr="009041D4" w:rsidRDefault="007727B0" w:rsidP="007727B0">
            <w:pPr>
              <w:spacing w:after="0"/>
              <w:ind w:right="113"/>
              <w:rPr>
                <w:rFonts w:ascii="Arial" w:hAnsi="Arial" w:cs="Arial"/>
                <w:sz w:val="18"/>
                <w:lang w:val="es-MX"/>
              </w:rPr>
            </w:pPr>
            <w:r w:rsidRPr="009041D4">
              <w:rPr>
                <w:rFonts w:ascii="Arial" w:hAnsi="Arial" w:cs="Arial"/>
                <w:sz w:val="18"/>
                <w:lang w:val="es-MX"/>
              </w:rPr>
              <w:t>Llamadas de voz recibidas de otro operador, móvil o fijo y terminadas en la red de otro operador internacional, móvil o fijo.</w:t>
            </w:r>
          </w:p>
        </w:tc>
      </w:tr>
      <w:tr w:rsidR="007727B0" w:rsidRPr="009041D4" w14:paraId="750E9D45"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cPr>
          <w:p w14:paraId="7B2491E9" w14:textId="77777777" w:rsidR="007727B0" w:rsidRPr="009041D4" w:rsidRDefault="007727B0" w:rsidP="007727B0">
            <w:pPr>
              <w:spacing w:after="0"/>
              <w:ind w:right="113"/>
              <w:rPr>
                <w:rFonts w:ascii="Arial" w:hAnsi="Arial" w:cs="Arial"/>
                <w:sz w:val="18"/>
              </w:rPr>
            </w:pPr>
            <w:r w:rsidRPr="009041D4">
              <w:rPr>
                <w:rFonts w:ascii="Arial" w:hAnsi="Arial" w:cs="Arial"/>
                <w:sz w:val="18"/>
              </w:rPr>
              <w:t>SMS salientes</w:t>
            </w:r>
          </w:p>
        </w:tc>
        <w:tc>
          <w:tcPr>
            <w:tcW w:w="6521" w:type="dxa"/>
            <w:tcBorders>
              <w:top w:val="nil"/>
              <w:bottom w:val="nil"/>
            </w:tcBorders>
            <w:shd w:val="clear" w:color="auto" w:fill="D9D9D9"/>
          </w:tcPr>
          <w:p w14:paraId="44FE9107" w14:textId="77777777" w:rsidR="007727B0" w:rsidRPr="009041D4" w:rsidRDefault="007727B0" w:rsidP="007727B0">
            <w:pPr>
              <w:spacing w:after="0"/>
              <w:ind w:right="113"/>
              <w:rPr>
                <w:rFonts w:ascii="Arial" w:hAnsi="Arial" w:cs="Arial"/>
                <w:sz w:val="18"/>
                <w:lang w:val="es-MX"/>
              </w:rPr>
            </w:pPr>
            <w:r w:rsidRPr="009041D4">
              <w:rPr>
                <w:rFonts w:ascii="Arial" w:hAnsi="Arial" w:cs="Arial"/>
                <w:color w:val="000000"/>
                <w:sz w:val="18"/>
                <w:lang w:val="es-MX"/>
              </w:rPr>
              <w:t>SMS de un suscriptor del operador fijo modelado a otro operador.</w:t>
            </w:r>
          </w:p>
        </w:tc>
      </w:tr>
      <w:tr w:rsidR="007727B0" w:rsidRPr="009041D4" w14:paraId="47BFC705" w14:textId="77777777" w:rsidTr="007727B0">
        <w:tc>
          <w:tcPr>
            <w:tcW w:w="2268" w:type="dxa"/>
            <w:tcBorders>
              <w:top w:val="nil"/>
              <w:bottom w:val="single" w:sz="4" w:space="0" w:color="808080"/>
            </w:tcBorders>
            <w:shd w:val="clear" w:color="auto" w:fill="FFFFFF"/>
          </w:tcPr>
          <w:p w14:paraId="4CB45734" w14:textId="77777777" w:rsidR="007727B0" w:rsidRPr="009041D4" w:rsidRDefault="007727B0" w:rsidP="007727B0">
            <w:pPr>
              <w:spacing w:after="0"/>
              <w:ind w:right="113"/>
              <w:rPr>
                <w:rFonts w:ascii="Arial" w:hAnsi="Arial" w:cs="Arial"/>
                <w:sz w:val="18"/>
              </w:rPr>
            </w:pPr>
            <w:r w:rsidRPr="009041D4">
              <w:rPr>
                <w:rFonts w:ascii="Arial" w:hAnsi="Arial" w:cs="Arial"/>
                <w:sz w:val="18"/>
              </w:rPr>
              <w:t>SMS entrantes</w:t>
            </w:r>
          </w:p>
        </w:tc>
        <w:tc>
          <w:tcPr>
            <w:tcW w:w="6521" w:type="dxa"/>
            <w:tcBorders>
              <w:top w:val="nil"/>
              <w:bottom w:val="single" w:sz="4" w:space="0" w:color="808080"/>
            </w:tcBorders>
            <w:shd w:val="clear" w:color="auto" w:fill="FFFFFF"/>
          </w:tcPr>
          <w:p w14:paraId="3D823889" w14:textId="77777777" w:rsidR="007727B0" w:rsidRPr="009041D4" w:rsidRDefault="007727B0" w:rsidP="007727B0">
            <w:pPr>
              <w:spacing w:after="0"/>
              <w:ind w:right="113"/>
              <w:rPr>
                <w:rFonts w:ascii="Arial" w:hAnsi="Arial" w:cs="Arial"/>
                <w:sz w:val="18"/>
                <w:lang w:val="es-MX"/>
              </w:rPr>
            </w:pPr>
            <w:r w:rsidRPr="009041D4">
              <w:rPr>
                <w:rFonts w:ascii="Arial" w:hAnsi="Arial" w:cs="Arial"/>
                <w:color w:val="000000"/>
                <w:sz w:val="18"/>
                <w:lang w:val="es-MX"/>
              </w:rPr>
              <w:t>SMS recibido de otro operador y terminado en la red de un suscriptor del operador fijo modelado.</w:t>
            </w:r>
          </w:p>
        </w:tc>
      </w:tr>
    </w:tbl>
    <w:p w14:paraId="1FDDCFF2" w14:textId="141A34EB" w:rsidR="007727B0" w:rsidRPr="009041D4" w:rsidRDefault="007727B0" w:rsidP="000B54D6">
      <w:pPr>
        <w:spacing w:after="0"/>
        <w:jc w:val="center"/>
        <w:rPr>
          <w:rFonts w:ascii="Arial" w:eastAsia="Times New Roman" w:hAnsi="Arial" w:cs="Arial"/>
          <w:szCs w:val="24"/>
          <w:lang w:eastAsia="es-ES"/>
        </w:rPr>
      </w:pPr>
      <w:r w:rsidRPr="009041D4">
        <w:rPr>
          <w:rFonts w:ascii="Arial" w:eastAsia="Times New Roman" w:hAnsi="Arial" w:cs="Arial"/>
          <w:sz w:val="18"/>
          <w:szCs w:val="18"/>
          <w:lang w:val="es-ES" w:eastAsia="es-ES"/>
        </w:rPr>
        <w:t xml:space="preserve">Tabla </w:t>
      </w:r>
      <w:r w:rsidR="001F064A" w:rsidRPr="009041D4">
        <w:rPr>
          <w:rFonts w:ascii="Arial" w:eastAsia="Times New Roman" w:hAnsi="Arial" w:cs="Arial"/>
          <w:sz w:val="18"/>
          <w:szCs w:val="18"/>
          <w:lang w:val="es-ES" w:eastAsia="es-ES"/>
        </w:rPr>
        <w:t>11</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Servicios que se ofrecen a través de redes fijas.</w:t>
      </w:r>
    </w:p>
    <w:p w14:paraId="3D93C4D6" w14:textId="77777777" w:rsidR="000B54D6" w:rsidRDefault="000B54D6" w:rsidP="007727B0">
      <w:pPr>
        <w:spacing w:after="0"/>
        <w:jc w:val="both"/>
        <w:rPr>
          <w:rFonts w:ascii="Arial" w:eastAsia="Times New Roman" w:hAnsi="Arial" w:cs="Arial"/>
          <w:szCs w:val="24"/>
          <w:lang w:eastAsia="es-ES"/>
        </w:rPr>
      </w:pPr>
    </w:p>
    <w:p w14:paraId="1B7F321C" w14:textId="5158251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Estos servicios se han incluido a fin de estimar precisamente los costos totales y su distribución entre los servicios que utilizan la red (esto no implica que resulte en una regulación de sus precios).</w:t>
      </w:r>
    </w:p>
    <w:p w14:paraId="79B222AD" w14:textId="77777777" w:rsidR="007727B0" w:rsidRPr="009041D4" w:rsidRDefault="007727B0" w:rsidP="007727B0">
      <w:pPr>
        <w:spacing w:after="0"/>
        <w:jc w:val="both"/>
        <w:rPr>
          <w:rFonts w:ascii="Arial" w:eastAsia="Times New Roman" w:hAnsi="Arial" w:cs="Arial"/>
          <w:szCs w:val="24"/>
          <w:lang w:eastAsia="es-ES"/>
        </w:rPr>
      </w:pPr>
    </w:p>
    <w:p w14:paraId="41E94421"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el Modelo Fijo se considera que el tráfico generado por las líneas ISDN (</w:t>
      </w:r>
      <w:r w:rsidRPr="009041D4">
        <w:rPr>
          <w:rFonts w:ascii="Arial" w:eastAsia="Times New Roman" w:hAnsi="Arial" w:cs="Arial"/>
          <w:i/>
          <w:szCs w:val="24"/>
          <w:lang w:eastAsia="es-ES"/>
        </w:rPr>
        <w:t>Integrated Service for Digital Network</w:t>
      </w:r>
      <w:r w:rsidRPr="009041D4">
        <w:rPr>
          <w:rFonts w:ascii="Arial" w:eastAsia="Times New Roman" w:hAnsi="Arial" w:cs="Arial"/>
          <w:szCs w:val="24"/>
          <w:lang w:eastAsia="es-ES"/>
        </w:rPr>
        <w:t>) se incluirá en los servicios fijos de voz, es decir, no hay servicios específicos de voz ISDN.</w:t>
      </w:r>
    </w:p>
    <w:p w14:paraId="2CE77471" w14:textId="77777777" w:rsidR="007727B0" w:rsidRPr="009041D4" w:rsidRDefault="007727B0" w:rsidP="007727B0">
      <w:pPr>
        <w:spacing w:after="0"/>
        <w:jc w:val="both"/>
        <w:rPr>
          <w:rFonts w:ascii="Arial" w:eastAsia="Times New Roman" w:hAnsi="Arial" w:cs="Arial"/>
          <w:szCs w:val="24"/>
          <w:lang w:eastAsia="es-ES"/>
        </w:rPr>
      </w:pPr>
    </w:p>
    <w:p w14:paraId="466ACD58"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Los servicios relacionados con el acceso a Internet que se incluirán en el modelo se presentan en la siguiente tabla. Estos servicios se incluyen para considerar los requerimientos de</w:t>
      </w:r>
      <w:r w:rsidRPr="009041D4">
        <w:rPr>
          <w:rFonts w:ascii="Arial" w:eastAsia="Times New Roman" w:hAnsi="Arial" w:cs="Arial"/>
          <w:i/>
          <w:szCs w:val="24"/>
          <w:lang w:eastAsia="es-ES"/>
        </w:rPr>
        <w:t xml:space="preserve"> backhaul</w:t>
      </w:r>
      <w:r w:rsidRPr="009041D4">
        <w:rPr>
          <w:rFonts w:ascii="Arial" w:eastAsia="Times New Roman" w:hAnsi="Arial" w:cs="Arial"/>
          <w:szCs w:val="24"/>
          <w:lang w:eastAsia="es-ES"/>
        </w:rPr>
        <w:t xml:space="preserve"> de retorno de la central local a la red troncal.</w:t>
      </w:r>
    </w:p>
    <w:p w14:paraId="0A548EF3" w14:textId="77777777" w:rsidR="007727B0" w:rsidRPr="009041D4" w:rsidRDefault="007727B0" w:rsidP="007727B0">
      <w:pPr>
        <w:spacing w:after="0"/>
        <w:jc w:val="both"/>
        <w:rPr>
          <w:rFonts w:ascii="Arial" w:eastAsia="Times New Roman" w:hAnsi="Arial" w:cs="Arial"/>
          <w:szCs w:val="24"/>
          <w:lang w:eastAsia="es-ES"/>
        </w:rPr>
      </w:pPr>
    </w:p>
    <w:p w14:paraId="68FCBBEB" w14:textId="77777777" w:rsidR="007727B0" w:rsidRPr="009041D4" w:rsidRDefault="007727B0" w:rsidP="007727B0">
      <w:pPr>
        <w:spacing w:after="0"/>
        <w:jc w:val="both"/>
        <w:rPr>
          <w:rFonts w:ascii="Arial" w:eastAsia="Times New Roman" w:hAnsi="Arial" w:cs="Arial"/>
          <w:szCs w:val="24"/>
          <w:lang w:eastAsia="es-ES"/>
        </w:rPr>
      </w:pPr>
      <w:r w:rsidRPr="009041D4">
        <w:rPr>
          <w:rFonts w:ascii="Arial" w:eastAsia="Times New Roman" w:hAnsi="Arial" w:cs="Arial"/>
          <w:szCs w:val="24"/>
          <w:lang w:eastAsia="es-ES"/>
        </w:rPr>
        <w:t>En relación al servicio de mensajes cortos provisto por redes fijas se han ajustado los volúmenes de tráfico considerando un escenario en el cual el operador alternativo de la red fija maneja el 2% del total de mensajes cortos generados en la red móvil, ya que se considera que el servicio provisto por la red fija está enfocado al segmento empresarial en donde se genera un mayor volumen de mensajes cortos en relación al volumen que se recibe.</w:t>
      </w:r>
    </w:p>
    <w:p w14:paraId="42C216B0" w14:textId="77777777" w:rsidR="007727B0" w:rsidRPr="009041D4" w:rsidRDefault="007727B0" w:rsidP="007727B0">
      <w:pPr>
        <w:spacing w:after="0"/>
        <w:jc w:val="both"/>
        <w:rPr>
          <w:rFonts w:ascii="Arial" w:hAnsi="Arial" w:cs="Arial"/>
          <w:color w:val="000000"/>
        </w:rPr>
      </w:pPr>
    </w:p>
    <w:tbl>
      <w:tblPr>
        <w:tblStyle w:val="Sombreadomedio2-nfasis11"/>
        <w:tblpPr w:leftFromText="141" w:rightFromText="141" w:vertAnchor="text" w:horzAnchor="margin" w:tblpXSpec="center" w:tblpY="57"/>
        <w:tblW w:w="8947" w:type="dxa"/>
        <w:tblLook w:val="0420" w:firstRow="1" w:lastRow="0" w:firstColumn="0" w:lastColumn="0" w:noHBand="0" w:noVBand="1"/>
      </w:tblPr>
      <w:tblGrid>
        <w:gridCol w:w="2410"/>
        <w:gridCol w:w="6537"/>
      </w:tblGrid>
      <w:tr w:rsidR="007727B0" w:rsidRPr="009041D4" w14:paraId="4611697C" w14:textId="77777777" w:rsidTr="007727B0">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2AED427E" w14:textId="77777777" w:rsidR="007727B0" w:rsidRPr="009041D4" w:rsidRDefault="007727B0" w:rsidP="007727B0">
            <w:pPr>
              <w:spacing w:after="0"/>
              <w:ind w:left="426" w:right="113"/>
              <w:rPr>
                <w:rFonts w:ascii="Arial" w:hAnsi="Arial" w:cs="Arial"/>
                <w:sz w:val="18"/>
              </w:rPr>
            </w:pPr>
            <w:r w:rsidRPr="009041D4">
              <w:rPr>
                <w:rFonts w:ascii="Arial" w:hAnsi="Arial" w:cs="Arial"/>
                <w:sz w:val="18"/>
              </w:rPr>
              <w:t>Servicio</w:t>
            </w:r>
          </w:p>
        </w:tc>
        <w:tc>
          <w:tcPr>
            <w:tcW w:w="6537" w:type="dxa"/>
            <w:tcBorders>
              <w:top w:val="single" w:sz="18" w:space="0" w:color="221F72"/>
              <w:bottom w:val="single" w:sz="18" w:space="0" w:color="221F72"/>
            </w:tcBorders>
            <w:shd w:val="solid" w:color="221F72" w:fill="221F72"/>
          </w:tcPr>
          <w:p w14:paraId="6B1CAC78" w14:textId="77777777" w:rsidR="007727B0" w:rsidRPr="009041D4" w:rsidRDefault="007727B0" w:rsidP="007727B0">
            <w:pPr>
              <w:spacing w:after="0"/>
              <w:ind w:left="426" w:right="113"/>
              <w:rPr>
                <w:rFonts w:ascii="Arial" w:hAnsi="Arial" w:cs="Arial"/>
                <w:sz w:val="18"/>
              </w:rPr>
            </w:pPr>
            <w:r w:rsidRPr="009041D4">
              <w:rPr>
                <w:rFonts w:ascii="Arial" w:hAnsi="Arial" w:cs="Arial"/>
                <w:sz w:val="18"/>
              </w:rPr>
              <w:t>Descripción del servicio</w:t>
            </w:r>
          </w:p>
        </w:tc>
      </w:tr>
      <w:tr w:rsidR="007727B0" w:rsidRPr="009041D4" w14:paraId="31501BDB" w14:textId="77777777" w:rsidTr="007727B0">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14:paraId="2508977C" w14:textId="77777777" w:rsidR="007727B0" w:rsidRPr="009041D4" w:rsidRDefault="007727B0" w:rsidP="007727B0">
            <w:pPr>
              <w:spacing w:after="0"/>
              <w:ind w:right="113"/>
              <w:rPr>
                <w:rFonts w:ascii="Arial" w:hAnsi="Arial" w:cs="Arial"/>
                <w:sz w:val="18"/>
              </w:rPr>
            </w:pPr>
            <w:r w:rsidRPr="009041D4">
              <w:rPr>
                <w:rFonts w:ascii="Arial" w:hAnsi="Arial" w:cs="Arial"/>
                <w:sz w:val="18"/>
              </w:rPr>
              <w:t>xDSL propio (líneas)</w:t>
            </w:r>
          </w:p>
        </w:tc>
        <w:tc>
          <w:tcPr>
            <w:tcW w:w="6537" w:type="dxa"/>
            <w:tcBorders>
              <w:top w:val="single" w:sz="18" w:space="0" w:color="221F72"/>
            </w:tcBorders>
          </w:tcPr>
          <w:p w14:paraId="55A836EE"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Provisión de una línea de suscripción digital (xDSL) para el servicio de Internet comercializado por el departamento minorista del operador modelado.</w:t>
            </w:r>
          </w:p>
        </w:tc>
      </w:tr>
      <w:tr w:rsidR="007727B0" w:rsidRPr="009041D4" w14:paraId="2D5E1DAB" w14:textId="77777777" w:rsidTr="007727B0">
        <w:tc>
          <w:tcPr>
            <w:tcW w:w="2410" w:type="dxa"/>
            <w:tcBorders>
              <w:bottom w:val="nil"/>
            </w:tcBorders>
          </w:tcPr>
          <w:p w14:paraId="694980C4" w14:textId="77777777" w:rsidR="007727B0" w:rsidRPr="009041D4" w:rsidRDefault="007727B0" w:rsidP="007727B0">
            <w:pPr>
              <w:spacing w:after="0"/>
              <w:ind w:right="113"/>
              <w:rPr>
                <w:rFonts w:ascii="Arial" w:hAnsi="Arial" w:cs="Arial"/>
                <w:sz w:val="18"/>
              </w:rPr>
            </w:pPr>
            <w:r w:rsidRPr="009041D4">
              <w:rPr>
                <w:rFonts w:ascii="Arial" w:hAnsi="Arial" w:cs="Arial"/>
                <w:sz w:val="18"/>
              </w:rPr>
              <w:t>xDSL propio (contendido)</w:t>
            </w:r>
          </w:p>
        </w:tc>
        <w:tc>
          <w:tcPr>
            <w:tcW w:w="6537" w:type="dxa"/>
            <w:tcBorders>
              <w:bottom w:val="nil"/>
            </w:tcBorders>
          </w:tcPr>
          <w:p w14:paraId="43DDC1BC"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Ancho de banda en una línea de suscripción digital (xDSL) para el servicio de Internet comercializado por el departamento minorista del operador modelado.</w:t>
            </w:r>
          </w:p>
        </w:tc>
      </w:tr>
      <w:tr w:rsidR="007727B0" w:rsidRPr="009041D4" w14:paraId="6D8D647B" w14:textId="77777777" w:rsidTr="007727B0">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14:paraId="0EA4F0D5" w14:textId="77777777" w:rsidR="007727B0" w:rsidRPr="009041D4" w:rsidRDefault="007727B0" w:rsidP="007727B0">
            <w:pPr>
              <w:spacing w:after="0"/>
              <w:ind w:right="113"/>
              <w:rPr>
                <w:rFonts w:ascii="Arial" w:hAnsi="Arial" w:cs="Arial"/>
                <w:sz w:val="18"/>
              </w:rPr>
            </w:pPr>
            <w:r w:rsidRPr="009041D4">
              <w:rPr>
                <w:rFonts w:ascii="Arial" w:hAnsi="Arial" w:cs="Arial"/>
                <w:sz w:val="18"/>
              </w:rPr>
              <w:t>xDSL ajeno (líneas)</w:t>
            </w:r>
          </w:p>
        </w:tc>
        <w:tc>
          <w:tcPr>
            <w:tcW w:w="6537" w:type="dxa"/>
            <w:tcBorders>
              <w:top w:val="nil"/>
              <w:bottom w:val="nil"/>
            </w:tcBorders>
          </w:tcPr>
          <w:p w14:paraId="68B7C855"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Provisión de una línea de suscripción digital (xDSL) para el servicio de Internet comercializado por el departamento mayorista del operador modelado.</w:t>
            </w:r>
          </w:p>
        </w:tc>
      </w:tr>
      <w:tr w:rsidR="007727B0" w:rsidRPr="009041D4" w14:paraId="22DADB22" w14:textId="77777777" w:rsidTr="007727B0">
        <w:tc>
          <w:tcPr>
            <w:tcW w:w="2410" w:type="dxa"/>
            <w:tcBorders>
              <w:top w:val="nil"/>
              <w:bottom w:val="single" w:sz="4" w:space="0" w:color="808080"/>
            </w:tcBorders>
          </w:tcPr>
          <w:p w14:paraId="6454A955" w14:textId="77777777" w:rsidR="007727B0" w:rsidRPr="009041D4" w:rsidRDefault="007727B0" w:rsidP="007727B0">
            <w:pPr>
              <w:spacing w:after="0"/>
              <w:ind w:right="113"/>
              <w:rPr>
                <w:rFonts w:ascii="Arial" w:hAnsi="Arial" w:cs="Arial"/>
                <w:sz w:val="18"/>
              </w:rPr>
            </w:pPr>
            <w:r w:rsidRPr="009041D4">
              <w:rPr>
                <w:rFonts w:ascii="Arial" w:hAnsi="Arial" w:cs="Arial"/>
                <w:sz w:val="18"/>
              </w:rPr>
              <w:t>xDSL ajeno (bitstream)</w:t>
            </w:r>
          </w:p>
        </w:tc>
        <w:tc>
          <w:tcPr>
            <w:tcW w:w="6537" w:type="dxa"/>
            <w:tcBorders>
              <w:top w:val="nil"/>
              <w:bottom w:val="single" w:sz="4" w:space="0" w:color="808080"/>
            </w:tcBorders>
          </w:tcPr>
          <w:p w14:paraId="1EF11C64"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Ancho de banda en una línea de suscripción digital (xDSL) para el servicio de Internet comercializado por el departamento mayorista del operador modelado.</w:t>
            </w:r>
          </w:p>
        </w:tc>
      </w:tr>
    </w:tbl>
    <w:p w14:paraId="411560AC" w14:textId="0D29D9E8" w:rsidR="007727B0" w:rsidRPr="009041D4" w:rsidRDefault="007727B0" w:rsidP="007727B0">
      <w:pPr>
        <w:spacing w:after="0"/>
        <w:jc w:val="center"/>
        <w:rPr>
          <w:rFonts w:ascii="Arial" w:hAnsi="Arial" w:cs="Arial"/>
          <w:color w:val="000000"/>
          <w:sz w:val="18"/>
          <w:szCs w:val="18"/>
        </w:rPr>
      </w:pPr>
      <w:r w:rsidRPr="009041D4">
        <w:rPr>
          <w:rFonts w:ascii="Arial" w:eastAsia="Times New Roman" w:hAnsi="Arial" w:cs="Arial"/>
          <w:sz w:val="18"/>
          <w:szCs w:val="18"/>
          <w:lang w:val="es-ES" w:eastAsia="es-ES"/>
        </w:rPr>
        <w:t xml:space="preserve">Tabla </w:t>
      </w:r>
      <w:r w:rsidR="001F064A" w:rsidRPr="009041D4">
        <w:rPr>
          <w:rFonts w:ascii="Arial" w:eastAsia="Times New Roman" w:hAnsi="Arial" w:cs="Arial"/>
          <w:sz w:val="18"/>
          <w:szCs w:val="18"/>
          <w:lang w:val="es-ES" w:eastAsia="es-ES"/>
        </w:rPr>
        <w:t>12</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Servicios de acceso a Internet</w:t>
      </w:r>
    </w:p>
    <w:p w14:paraId="6C2A7E99" w14:textId="77777777" w:rsidR="007727B0" w:rsidRPr="009041D4" w:rsidRDefault="007727B0" w:rsidP="007727B0">
      <w:pPr>
        <w:spacing w:after="0"/>
        <w:ind w:left="426" w:right="113"/>
        <w:rPr>
          <w:rFonts w:ascii="Arial" w:hAnsi="Arial" w:cs="Arial"/>
          <w:b/>
          <w:bCs/>
          <w:color w:val="000000"/>
          <w:sz w:val="18"/>
        </w:rPr>
      </w:pPr>
    </w:p>
    <w:tbl>
      <w:tblPr>
        <w:tblStyle w:val="Sombreadomedio2-nfasis11"/>
        <w:tblW w:w="8720" w:type="dxa"/>
        <w:jc w:val="center"/>
        <w:tblBorders>
          <w:top w:val="none" w:sz="0" w:space="0" w:color="auto"/>
          <w:bottom w:val="none" w:sz="0" w:space="0" w:color="auto"/>
        </w:tblBorders>
        <w:tblLook w:val="0420" w:firstRow="1" w:lastRow="0" w:firstColumn="0" w:lastColumn="0" w:noHBand="0" w:noVBand="1"/>
      </w:tblPr>
      <w:tblGrid>
        <w:gridCol w:w="2410"/>
        <w:gridCol w:w="6310"/>
      </w:tblGrid>
      <w:tr w:rsidR="007727B0" w:rsidRPr="009041D4" w14:paraId="03D3406F" w14:textId="77777777" w:rsidTr="007727B0">
        <w:trPr>
          <w:cnfStyle w:val="100000000000" w:firstRow="1" w:lastRow="0" w:firstColumn="0" w:lastColumn="0" w:oddVBand="0" w:evenVBand="0" w:oddHBand="0" w:evenHBand="0" w:firstRowFirstColumn="0" w:firstRowLastColumn="0" w:lastRowFirstColumn="0" w:lastRowLastColumn="0"/>
          <w:jc w:val="center"/>
        </w:trPr>
        <w:tc>
          <w:tcPr>
            <w:tcW w:w="2410" w:type="dxa"/>
            <w:tcBorders>
              <w:top w:val="none" w:sz="0" w:space="0" w:color="auto"/>
              <w:left w:val="none" w:sz="0" w:space="0" w:color="auto"/>
              <w:bottom w:val="none" w:sz="0" w:space="0" w:color="auto"/>
              <w:right w:val="none" w:sz="0" w:space="0" w:color="auto"/>
            </w:tcBorders>
            <w:shd w:val="clear" w:color="auto" w:fill="211F72"/>
          </w:tcPr>
          <w:p w14:paraId="3547A4CD" w14:textId="77777777" w:rsidR="007727B0" w:rsidRPr="009041D4" w:rsidRDefault="007727B0" w:rsidP="007727B0">
            <w:pPr>
              <w:spacing w:after="0"/>
              <w:ind w:left="426" w:right="113"/>
              <w:rPr>
                <w:rFonts w:ascii="Arial" w:hAnsi="Arial" w:cs="Arial"/>
                <w:sz w:val="18"/>
              </w:rPr>
            </w:pPr>
            <w:r w:rsidRPr="009041D4">
              <w:rPr>
                <w:rFonts w:ascii="Arial" w:hAnsi="Arial" w:cs="Arial"/>
                <w:sz w:val="18"/>
              </w:rPr>
              <w:t>Servicio</w:t>
            </w:r>
          </w:p>
        </w:tc>
        <w:tc>
          <w:tcPr>
            <w:tcW w:w="6310" w:type="dxa"/>
            <w:tcBorders>
              <w:top w:val="none" w:sz="0" w:space="0" w:color="auto"/>
              <w:left w:val="none" w:sz="0" w:space="0" w:color="auto"/>
              <w:bottom w:val="none" w:sz="0" w:space="0" w:color="auto"/>
              <w:right w:val="none" w:sz="0" w:space="0" w:color="auto"/>
            </w:tcBorders>
            <w:shd w:val="clear" w:color="auto" w:fill="221F72"/>
          </w:tcPr>
          <w:p w14:paraId="188A11A2" w14:textId="77777777" w:rsidR="007727B0" w:rsidRPr="009041D4" w:rsidRDefault="007727B0" w:rsidP="007727B0">
            <w:pPr>
              <w:keepNext/>
              <w:tabs>
                <w:tab w:val="center" w:pos="2990"/>
              </w:tabs>
              <w:spacing w:before="40" w:after="40" w:line="240" w:lineRule="exact"/>
              <w:ind w:right="113"/>
              <w:rPr>
                <w:rFonts w:ascii="Arial" w:hAnsi="Arial" w:cs="Arial"/>
                <w:sz w:val="18"/>
                <w:szCs w:val="18"/>
                <w:lang w:val="es-ES"/>
              </w:rPr>
            </w:pPr>
            <w:r w:rsidRPr="009041D4">
              <w:rPr>
                <w:rFonts w:ascii="Arial" w:hAnsi="Arial" w:cs="Arial"/>
                <w:sz w:val="18"/>
                <w:szCs w:val="18"/>
                <w:lang w:val="es-ES"/>
              </w:rPr>
              <w:t>Descripción del servicio</w:t>
            </w:r>
            <w:r w:rsidRPr="009041D4">
              <w:rPr>
                <w:rFonts w:ascii="Arial" w:hAnsi="Arial" w:cs="Arial"/>
                <w:sz w:val="18"/>
                <w:szCs w:val="18"/>
                <w:lang w:val="es-ES"/>
              </w:rPr>
              <w:tab/>
            </w:r>
          </w:p>
        </w:tc>
      </w:tr>
      <w:tr w:rsidR="007727B0" w:rsidRPr="009041D4" w14:paraId="0B1F942C" w14:textId="77777777" w:rsidTr="007727B0">
        <w:trPr>
          <w:cnfStyle w:val="000000100000" w:firstRow="0" w:lastRow="0" w:firstColumn="0" w:lastColumn="0" w:oddVBand="0" w:evenVBand="0" w:oddHBand="1" w:evenHBand="0" w:firstRowFirstColumn="0" w:firstRowLastColumn="0" w:lastRowFirstColumn="0" w:lastRowLastColumn="0"/>
          <w:jc w:val="center"/>
        </w:trPr>
        <w:tc>
          <w:tcPr>
            <w:tcW w:w="2410" w:type="dxa"/>
          </w:tcPr>
          <w:p w14:paraId="5A5B87DD"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Enlaces dedicados</w:t>
            </w:r>
          </w:p>
        </w:tc>
        <w:tc>
          <w:tcPr>
            <w:tcW w:w="6310" w:type="dxa"/>
          </w:tcPr>
          <w:p w14:paraId="04780334"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Incluye servicios de líneas alquiladas, ya sea para aprovisionar a clientes minoristas u otros operadores</w:t>
            </w:r>
          </w:p>
        </w:tc>
      </w:tr>
      <w:tr w:rsidR="007727B0" w:rsidRPr="009041D4" w14:paraId="0A319332" w14:textId="77777777" w:rsidTr="007727B0">
        <w:trPr>
          <w:jc w:val="center"/>
        </w:trPr>
        <w:tc>
          <w:tcPr>
            <w:tcW w:w="2410" w:type="dxa"/>
          </w:tcPr>
          <w:p w14:paraId="55840AE3" w14:textId="77777777" w:rsidR="007727B0" w:rsidRPr="009041D4" w:rsidRDefault="007727B0" w:rsidP="007727B0">
            <w:pPr>
              <w:spacing w:after="0"/>
              <w:ind w:left="426" w:right="113"/>
              <w:rPr>
                <w:rFonts w:ascii="Arial" w:hAnsi="Arial" w:cs="Arial"/>
                <w:spacing w:val="-4"/>
                <w:sz w:val="18"/>
                <w:lang w:val="es-MX"/>
              </w:rPr>
            </w:pPr>
            <w:r w:rsidRPr="009041D4">
              <w:rPr>
                <w:rFonts w:ascii="Arial" w:hAnsi="Arial" w:cs="Arial"/>
                <w:spacing w:val="-4"/>
                <w:sz w:val="18"/>
                <w:lang w:val="es-MX"/>
              </w:rPr>
              <w:t>Televisión</w:t>
            </w:r>
          </w:p>
        </w:tc>
        <w:tc>
          <w:tcPr>
            <w:tcW w:w="6310" w:type="dxa"/>
          </w:tcPr>
          <w:p w14:paraId="45A29B6E" w14:textId="77777777" w:rsidR="007727B0" w:rsidRPr="009041D4" w:rsidRDefault="007727B0" w:rsidP="007727B0">
            <w:pPr>
              <w:spacing w:after="0"/>
              <w:ind w:left="426" w:right="-37"/>
              <w:rPr>
                <w:rFonts w:ascii="Arial" w:hAnsi="Arial" w:cs="Arial"/>
                <w:spacing w:val="-4"/>
                <w:sz w:val="18"/>
                <w:lang w:val="es-MX"/>
              </w:rPr>
            </w:pPr>
            <w:r w:rsidRPr="009041D4">
              <w:rPr>
                <w:rFonts w:ascii="Arial" w:hAnsi="Arial" w:cs="Arial"/>
                <w:spacing w:val="-4"/>
                <w:sz w:val="18"/>
                <w:lang w:val="es-MX"/>
              </w:rPr>
              <w:t>Provisión del servicio de televisión, ya sea lineal o de vídeo bajo demanda, comercializado por el departamento minorista del operador modelado</w:t>
            </w:r>
          </w:p>
        </w:tc>
      </w:tr>
    </w:tbl>
    <w:p w14:paraId="38CA1687" w14:textId="7F7C9B76" w:rsidR="007727B0" w:rsidRPr="009041D4" w:rsidRDefault="007727B0" w:rsidP="00245D71">
      <w:pPr>
        <w:spacing w:after="0"/>
        <w:jc w:val="center"/>
        <w:rPr>
          <w:rFonts w:ascii="Arial" w:hAnsi="Arial" w:cs="Arial"/>
          <w:sz w:val="18"/>
        </w:rPr>
      </w:pPr>
    </w:p>
    <w:p w14:paraId="3BCEFBF4" w14:textId="09F3E6AE" w:rsidR="007727B0" w:rsidRPr="009041D4" w:rsidRDefault="007727B0" w:rsidP="007727B0">
      <w:pPr>
        <w:spacing w:after="0"/>
        <w:jc w:val="center"/>
        <w:rPr>
          <w:rFonts w:ascii="Arial" w:hAnsi="Arial" w:cs="Arial"/>
          <w:color w:val="000000"/>
          <w:sz w:val="18"/>
          <w:szCs w:val="18"/>
        </w:rPr>
      </w:pPr>
      <w:r w:rsidRPr="009041D4">
        <w:rPr>
          <w:rFonts w:ascii="Arial" w:eastAsia="Times New Roman" w:hAnsi="Arial" w:cs="Arial"/>
          <w:sz w:val="18"/>
          <w:szCs w:val="18"/>
          <w:lang w:val="es-ES" w:eastAsia="es-ES"/>
        </w:rPr>
        <w:t xml:space="preserve">Tabla </w:t>
      </w:r>
      <w:r w:rsidR="001F064A" w:rsidRPr="009041D4">
        <w:rPr>
          <w:rFonts w:ascii="Arial" w:eastAsia="Times New Roman" w:hAnsi="Arial" w:cs="Arial"/>
          <w:sz w:val="18"/>
          <w:szCs w:val="18"/>
          <w:lang w:val="es-ES" w:eastAsia="es-ES"/>
        </w:rPr>
        <w:t>13</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Otros servicios fijos</w:t>
      </w:r>
    </w:p>
    <w:p w14:paraId="0EA4A15A" w14:textId="77777777" w:rsidR="007727B0" w:rsidRPr="009041D4" w:rsidRDefault="007727B0" w:rsidP="007727B0">
      <w:pPr>
        <w:spacing w:after="0"/>
        <w:jc w:val="both"/>
        <w:rPr>
          <w:rFonts w:ascii="Arial" w:hAnsi="Arial" w:cs="Arial"/>
        </w:rPr>
      </w:pPr>
    </w:p>
    <w:p w14:paraId="5CCEA7C6" w14:textId="77777777" w:rsidR="007727B0" w:rsidRPr="009041D4" w:rsidRDefault="007727B0" w:rsidP="007727B0">
      <w:pPr>
        <w:spacing w:after="0"/>
        <w:jc w:val="both"/>
        <w:rPr>
          <w:rFonts w:ascii="Arial" w:hAnsi="Arial" w:cs="Arial"/>
        </w:rPr>
      </w:pPr>
      <w:r w:rsidRPr="009041D4">
        <w:rPr>
          <w:rFonts w:ascii="Arial" w:hAnsi="Arial" w:cs="Arial"/>
        </w:rPr>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14:paraId="7F074BF7" w14:textId="77777777" w:rsidR="007727B0" w:rsidRPr="009041D4" w:rsidRDefault="007727B0" w:rsidP="007727B0">
      <w:pPr>
        <w:spacing w:after="0"/>
        <w:ind w:left="426"/>
        <w:jc w:val="both"/>
        <w:rPr>
          <w:rFonts w:ascii="Arial" w:hAnsi="Arial" w:cs="Arial"/>
          <w:color w:val="000000"/>
        </w:rPr>
      </w:pPr>
    </w:p>
    <w:p w14:paraId="55FA384B" w14:textId="77777777" w:rsidR="007727B0" w:rsidRPr="009041D4" w:rsidRDefault="007727B0" w:rsidP="007727B0">
      <w:pPr>
        <w:spacing w:after="0"/>
        <w:jc w:val="both"/>
        <w:rPr>
          <w:rFonts w:ascii="Arial" w:hAnsi="Arial" w:cs="Arial"/>
          <w:color w:val="000000"/>
        </w:rPr>
      </w:pPr>
      <w:r w:rsidRPr="009041D4">
        <w:rPr>
          <w:rFonts w:ascii="Arial" w:hAnsi="Arial" w:cs="Arial"/>
          <w:color w:val="000000"/>
        </w:rPr>
        <w:t xml:space="preserve">Todos los servicios descritos anteriormente podrían estar disponibles tanto en una red tradicional PSTN como en una red </w:t>
      </w:r>
      <w:r w:rsidRPr="009041D4">
        <w:rPr>
          <w:rFonts w:ascii="Arial" w:hAnsi="Arial" w:cs="Arial"/>
          <w:i/>
          <w:color w:val="000000"/>
        </w:rPr>
        <w:t>core</w:t>
      </w:r>
      <w:r w:rsidRPr="009041D4">
        <w:rPr>
          <w:rFonts w:ascii="Arial" w:hAnsi="Arial" w:cs="Arial"/>
          <w:color w:val="000000"/>
        </w:rPr>
        <w:t xml:space="preserve"> de nueva generación. Sin embargo, no se modelarán servicios de tráfico específicos a redes de nueva generación.</w:t>
      </w:r>
    </w:p>
    <w:p w14:paraId="7B4E6EEF" w14:textId="77777777" w:rsidR="007727B0" w:rsidRPr="009041D4" w:rsidRDefault="007727B0" w:rsidP="007727B0">
      <w:pPr>
        <w:spacing w:after="0"/>
        <w:jc w:val="both"/>
        <w:rPr>
          <w:rFonts w:ascii="Arial" w:hAnsi="Arial" w:cs="Arial"/>
          <w:color w:val="000000"/>
        </w:rPr>
      </w:pPr>
    </w:p>
    <w:p w14:paraId="0B02B0ED" w14:textId="77777777" w:rsidR="007727B0" w:rsidRPr="009041D4" w:rsidRDefault="007727B0" w:rsidP="007727B0">
      <w:pPr>
        <w:spacing w:after="0"/>
        <w:rPr>
          <w:rFonts w:ascii="Arial" w:hAnsi="Arial" w:cs="Arial"/>
          <w:b/>
          <w:color w:val="000000"/>
        </w:rPr>
      </w:pPr>
      <w:r w:rsidRPr="009041D4">
        <w:rPr>
          <w:rFonts w:ascii="Arial" w:hAnsi="Arial" w:cs="Arial"/>
          <w:b/>
          <w:color w:val="000000"/>
        </w:rPr>
        <w:t>Servicios que se ofrecen a través de redes móviles</w:t>
      </w:r>
    </w:p>
    <w:p w14:paraId="014A2F5F" w14:textId="77777777" w:rsidR="007727B0" w:rsidRPr="009041D4" w:rsidRDefault="007727B0" w:rsidP="007727B0">
      <w:pPr>
        <w:spacing w:after="0"/>
        <w:rPr>
          <w:rFonts w:ascii="Arial" w:hAnsi="Arial" w:cs="Arial"/>
          <w:b/>
          <w:bCs/>
          <w:color w:val="000000"/>
          <w:szCs w:val="24"/>
        </w:rPr>
      </w:pPr>
    </w:p>
    <w:p w14:paraId="1607F6A1" w14:textId="078E3620" w:rsidR="007727B0" w:rsidRPr="009041D4" w:rsidRDefault="007727B0" w:rsidP="007727B0">
      <w:pPr>
        <w:spacing w:after="0"/>
        <w:jc w:val="both"/>
        <w:rPr>
          <w:rFonts w:ascii="Arial" w:hAnsi="Arial" w:cs="Arial"/>
          <w:color w:val="000000"/>
        </w:rPr>
      </w:pPr>
      <w:r w:rsidRPr="009041D4">
        <w:rPr>
          <w:rFonts w:ascii="Arial" w:hAnsi="Arial" w:cs="Arial"/>
          <w:color w:val="000000"/>
        </w:rPr>
        <w:t>En la siguiente tabla se observan los servicios móviles considerados en el desarrollo del Modelo Móvil.</w:t>
      </w:r>
      <w:r w:rsidRPr="009041D4">
        <w:rPr>
          <w:rFonts w:ascii="Arial" w:hAnsi="Arial" w:cs="Arial"/>
        </w:rPr>
        <w:t xml:space="preserve"> </w:t>
      </w:r>
      <w:r w:rsidRPr="009041D4">
        <w:rPr>
          <w:rFonts w:ascii="Arial" w:hAnsi="Arial" w:cs="Arial"/>
          <w:color w:val="000000"/>
        </w:rPr>
        <w:t>Est</w:t>
      </w:r>
      <w:r w:rsidR="00BE3A2E" w:rsidRPr="009041D4">
        <w:rPr>
          <w:rFonts w:ascii="Arial" w:hAnsi="Arial" w:cs="Arial"/>
          <w:color w:val="000000"/>
        </w:rPr>
        <w:t xml:space="preserve">os servicios contribuyen al despliegue de </w:t>
      </w:r>
      <w:r w:rsidRPr="009041D4">
        <w:rPr>
          <w:rFonts w:ascii="Arial" w:hAnsi="Arial" w:cs="Arial"/>
          <w:color w:val="000000"/>
        </w:rPr>
        <w:t>la red troncal.</w:t>
      </w:r>
    </w:p>
    <w:p w14:paraId="4A8D2AEC" w14:textId="77777777" w:rsidR="007727B0" w:rsidRPr="009041D4" w:rsidRDefault="007727B0" w:rsidP="007727B0">
      <w:pPr>
        <w:spacing w:after="0"/>
        <w:jc w:val="both"/>
        <w:rPr>
          <w:rFonts w:ascii="Arial" w:hAnsi="Arial" w:cs="Arial"/>
          <w:lang w:val="es-ES"/>
        </w:rPr>
      </w:pPr>
    </w:p>
    <w:tbl>
      <w:tblPr>
        <w:tblStyle w:val="Sombreadomedio2-nfasis11"/>
        <w:tblW w:w="8947" w:type="dxa"/>
        <w:tblInd w:w="108" w:type="dxa"/>
        <w:tblLook w:val="0420" w:firstRow="1" w:lastRow="0" w:firstColumn="0" w:lastColumn="0" w:noHBand="0" w:noVBand="1"/>
      </w:tblPr>
      <w:tblGrid>
        <w:gridCol w:w="2268"/>
        <w:gridCol w:w="6679"/>
      </w:tblGrid>
      <w:tr w:rsidR="007727B0" w:rsidRPr="009041D4" w14:paraId="45BEC8A5" w14:textId="77777777" w:rsidTr="007727B0">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24B47A10"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w:t>
            </w:r>
          </w:p>
        </w:tc>
        <w:tc>
          <w:tcPr>
            <w:tcW w:w="6679" w:type="dxa"/>
            <w:tcBorders>
              <w:top w:val="single" w:sz="18" w:space="0" w:color="221F72"/>
              <w:bottom w:val="single" w:sz="18" w:space="0" w:color="221F72"/>
            </w:tcBorders>
            <w:shd w:val="solid" w:color="221F72" w:fill="221F72"/>
          </w:tcPr>
          <w:p w14:paraId="3ABB7D32"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Descripción del servicio</w:t>
            </w:r>
          </w:p>
        </w:tc>
      </w:tr>
      <w:tr w:rsidR="007727B0" w:rsidRPr="009041D4" w14:paraId="29EABD4E"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14:paraId="432447D8"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 xml:space="preserve">Llamadas móviles </w:t>
            </w:r>
            <w:r w:rsidRPr="009041D4">
              <w:rPr>
                <w:rFonts w:ascii="Arial" w:hAnsi="Arial" w:cs="Arial"/>
                <w:sz w:val="18"/>
                <w:szCs w:val="18"/>
              </w:rPr>
              <w:br/>
            </w:r>
            <w:r w:rsidRPr="009041D4">
              <w:rPr>
                <w:rFonts w:ascii="Arial" w:hAnsi="Arial" w:cs="Arial"/>
                <w:i/>
                <w:sz w:val="18"/>
                <w:szCs w:val="18"/>
              </w:rPr>
              <w:t>on-net</w:t>
            </w:r>
          </w:p>
        </w:tc>
        <w:tc>
          <w:tcPr>
            <w:tcW w:w="6679" w:type="dxa"/>
            <w:tcBorders>
              <w:bottom w:val="nil"/>
            </w:tcBorders>
          </w:tcPr>
          <w:p w14:paraId="61E50481"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entre dos suscriptores (minoristas u OMV) del operador móvil modelado.</w:t>
            </w:r>
          </w:p>
        </w:tc>
      </w:tr>
      <w:tr w:rsidR="007727B0" w:rsidRPr="009041D4" w14:paraId="140E411A" w14:textId="77777777" w:rsidTr="007727B0">
        <w:tc>
          <w:tcPr>
            <w:tcW w:w="2268" w:type="dxa"/>
            <w:tcBorders>
              <w:top w:val="nil"/>
              <w:bottom w:val="nil"/>
            </w:tcBorders>
          </w:tcPr>
          <w:p w14:paraId="2D6D1727"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 xml:space="preserve">Llamadas móviles salientes a fijo </w:t>
            </w:r>
          </w:p>
        </w:tc>
        <w:tc>
          <w:tcPr>
            <w:tcW w:w="6679" w:type="dxa"/>
            <w:tcBorders>
              <w:top w:val="nil"/>
              <w:bottom w:val="nil"/>
            </w:tcBorders>
          </w:tcPr>
          <w:p w14:paraId="4D1E0763" w14:textId="77777777" w:rsidR="007727B0" w:rsidRPr="009041D4" w:rsidRDefault="007727B0" w:rsidP="007727B0">
            <w:pPr>
              <w:spacing w:after="0"/>
              <w:ind w:right="113"/>
              <w:rPr>
                <w:rFonts w:ascii="Arial" w:hAnsi="Arial" w:cs="Arial"/>
                <w:spacing w:val="-4"/>
                <w:sz w:val="18"/>
                <w:szCs w:val="18"/>
                <w:lang w:val="es-MX"/>
              </w:rPr>
            </w:pPr>
            <w:r w:rsidRPr="009041D4">
              <w:rPr>
                <w:rFonts w:ascii="Arial" w:hAnsi="Arial" w:cs="Arial"/>
                <w:spacing w:val="-4"/>
                <w:sz w:val="18"/>
                <w:szCs w:val="18"/>
                <w:lang w:val="es-MX"/>
              </w:rPr>
              <w:t>Llamadas de voz de un suscriptor (minorista u OMV) del operador móvil modelado a un destino fijo (incluyendo números no geográficos, etc.).</w:t>
            </w:r>
          </w:p>
        </w:tc>
      </w:tr>
      <w:tr w:rsidR="007727B0" w:rsidRPr="009041D4" w14:paraId="0D39A2A9"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1E437A6"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móviles salientes a internacional</w:t>
            </w:r>
          </w:p>
        </w:tc>
        <w:tc>
          <w:tcPr>
            <w:tcW w:w="6679" w:type="dxa"/>
            <w:tcBorders>
              <w:top w:val="nil"/>
              <w:bottom w:val="nil"/>
            </w:tcBorders>
          </w:tcPr>
          <w:p w14:paraId="2B378D6F"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de un suscriptor (minorista u OMV) del operador móvil modelado a un destino internacional.</w:t>
            </w:r>
          </w:p>
        </w:tc>
      </w:tr>
      <w:tr w:rsidR="007727B0" w:rsidRPr="009041D4" w14:paraId="07442FD9" w14:textId="77777777" w:rsidTr="007727B0">
        <w:tc>
          <w:tcPr>
            <w:tcW w:w="2268" w:type="dxa"/>
            <w:tcBorders>
              <w:top w:val="nil"/>
              <w:bottom w:val="nil"/>
            </w:tcBorders>
          </w:tcPr>
          <w:p w14:paraId="7721F4E0"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móviles salientes a otros operadores móviles</w:t>
            </w:r>
          </w:p>
        </w:tc>
        <w:tc>
          <w:tcPr>
            <w:tcW w:w="6679" w:type="dxa"/>
            <w:tcBorders>
              <w:top w:val="nil"/>
              <w:bottom w:val="nil"/>
            </w:tcBorders>
          </w:tcPr>
          <w:p w14:paraId="6CBC1A27"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de un suscriptor (minorista u OMV) del operador móvil modelado a otro operador móvil doméstico.</w:t>
            </w:r>
          </w:p>
        </w:tc>
      </w:tr>
      <w:tr w:rsidR="007727B0" w:rsidRPr="009041D4" w14:paraId="73A96990"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DEC5E0A"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lastRenderedPageBreak/>
              <w:t>Llamadas entrantes de operadores fijos</w:t>
            </w:r>
          </w:p>
        </w:tc>
        <w:tc>
          <w:tcPr>
            <w:tcW w:w="6679" w:type="dxa"/>
            <w:tcBorders>
              <w:top w:val="nil"/>
              <w:bottom w:val="nil"/>
            </w:tcBorders>
          </w:tcPr>
          <w:p w14:paraId="4FE0870A"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recibidas desde otro operador fijo y terminada en la red de un suscriptor (minorista u OMV) del operador móvil modelado.</w:t>
            </w:r>
          </w:p>
        </w:tc>
      </w:tr>
      <w:tr w:rsidR="007727B0" w:rsidRPr="009041D4" w14:paraId="4B00C77E" w14:textId="77777777" w:rsidTr="007727B0">
        <w:tc>
          <w:tcPr>
            <w:tcW w:w="2268" w:type="dxa"/>
            <w:tcBorders>
              <w:top w:val="nil"/>
              <w:bottom w:val="nil"/>
            </w:tcBorders>
          </w:tcPr>
          <w:p w14:paraId="4543BED6" w14:textId="77777777" w:rsidR="007727B0" w:rsidRPr="009041D4" w:rsidRDefault="007727B0" w:rsidP="007727B0">
            <w:pPr>
              <w:keepNext/>
              <w:spacing w:after="0"/>
              <w:ind w:right="113"/>
              <w:rPr>
                <w:rFonts w:ascii="Arial" w:hAnsi="Arial" w:cs="Arial"/>
                <w:sz w:val="18"/>
                <w:szCs w:val="18"/>
                <w:lang w:val="es-MX"/>
              </w:rPr>
            </w:pPr>
            <w:r w:rsidRPr="009041D4">
              <w:rPr>
                <w:rFonts w:ascii="Arial" w:hAnsi="Arial" w:cs="Arial"/>
                <w:sz w:val="18"/>
                <w:szCs w:val="18"/>
                <w:lang w:val="es-MX"/>
              </w:rPr>
              <w:t>Llamadas entrantes de operadores internacionales</w:t>
            </w:r>
          </w:p>
        </w:tc>
        <w:tc>
          <w:tcPr>
            <w:tcW w:w="6679" w:type="dxa"/>
            <w:tcBorders>
              <w:top w:val="nil"/>
              <w:bottom w:val="nil"/>
            </w:tcBorders>
          </w:tcPr>
          <w:p w14:paraId="52FCE598"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recibidas desde otro operador internacional y terminada en la red de un suscriptor (minorista u OMV) del operador móvil modelado.</w:t>
            </w:r>
          </w:p>
        </w:tc>
      </w:tr>
      <w:tr w:rsidR="007727B0" w:rsidRPr="009041D4" w14:paraId="76A1E14D"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7F20D5A" w14:textId="77777777" w:rsidR="007727B0" w:rsidRPr="009041D4" w:rsidRDefault="007727B0" w:rsidP="007727B0">
            <w:pPr>
              <w:spacing w:after="0"/>
              <w:ind w:right="113"/>
              <w:rPr>
                <w:rFonts w:ascii="Arial" w:hAnsi="Arial" w:cs="Arial"/>
                <w:spacing w:val="-4"/>
                <w:sz w:val="18"/>
                <w:szCs w:val="18"/>
                <w:lang w:val="es-MX"/>
              </w:rPr>
            </w:pPr>
            <w:r w:rsidRPr="009041D4">
              <w:rPr>
                <w:rFonts w:ascii="Arial" w:hAnsi="Arial" w:cs="Arial"/>
                <w:spacing w:val="-4"/>
                <w:sz w:val="18"/>
                <w:szCs w:val="18"/>
                <w:lang w:val="es-MX"/>
              </w:rPr>
              <w:t>Llamadas entrantes de otros operadores móviles</w:t>
            </w:r>
          </w:p>
        </w:tc>
        <w:tc>
          <w:tcPr>
            <w:tcW w:w="6679" w:type="dxa"/>
            <w:tcBorders>
              <w:top w:val="nil"/>
              <w:bottom w:val="nil"/>
            </w:tcBorders>
          </w:tcPr>
          <w:p w14:paraId="1BF73B12"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recibidas desde otro operador móvil y terminada en la red de un suscriptor (minorista u OMV) del operador móvil modelado.</w:t>
            </w:r>
          </w:p>
        </w:tc>
      </w:tr>
      <w:tr w:rsidR="007727B0" w:rsidRPr="009041D4" w14:paraId="74F6A5AC" w14:textId="77777777" w:rsidTr="007727B0">
        <w:tc>
          <w:tcPr>
            <w:tcW w:w="2268" w:type="dxa"/>
            <w:tcBorders>
              <w:top w:val="nil"/>
              <w:bottom w:val="nil"/>
            </w:tcBorders>
          </w:tcPr>
          <w:p w14:paraId="3B4D36EB"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Originación roaming internacional</w:t>
            </w:r>
          </w:p>
        </w:tc>
        <w:tc>
          <w:tcPr>
            <w:tcW w:w="6679" w:type="dxa"/>
            <w:tcBorders>
              <w:top w:val="nil"/>
              <w:bottom w:val="nil"/>
            </w:tcBorders>
          </w:tcPr>
          <w:p w14:paraId="1C40973C"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sz w:val="18"/>
                <w:szCs w:val="18"/>
                <w:lang w:val="es-MX"/>
              </w:rPr>
              <w:t>Llamadas de voz de un usuario visitante extranjero (</w:t>
            </w:r>
            <w:r w:rsidRPr="009041D4">
              <w:rPr>
                <w:rFonts w:ascii="Arial" w:hAnsi="Arial" w:cs="Arial"/>
                <w:i/>
                <w:sz w:val="18"/>
                <w:szCs w:val="18"/>
                <w:lang w:val="es-MX"/>
              </w:rPr>
              <w:t>inbound roamer</w:t>
            </w:r>
            <w:r w:rsidRPr="009041D4">
              <w:rPr>
                <w:rFonts w:ascii="Arial" w:hAnsi="Arial" w:cs="Arial"/>
                <w:sz w:val="18"/>
                <w:szCs w:val="18"/>
                <w:lang w:val="es-MX"/>
              </w:rPr>
              <w:t xml:space="preserve">) en la red del operador móvil modelado </w:t>
            </w:r>
            <w:r w:rsidRPr="009041D4">
              <w:rPr>
                <w:rFonts w:ascii="Arial" w:hAnsi="Arial" w:cs="Arial"/>
                <w:spacing w:val="-4"/>
                <w:sz w:val="18"/>
                <w:szCs w:val="18"/>
                <w:lang w:val="es-MX"/>
              </w:rPr>
              <w:t>a un destino móvil, fijo o internacional.</w:t>
            </w:r>
          </w:p>
        </w:tc>
      </w:tr>
      <w:tr w:rsidR="007727B0" w:rsidRPr="009041D4" w14:paraId="0057BD94"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53E9F43"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Terminación roaming internacional</w:t>
            </w:r>
          </w:p>
        </w:tc>
        <w:tc>
          <w:tcPr>
            <w:tcW w:w="6679" w:type="dxa"/>
            <w:tcBorders>
              <w:top w:val="nil"/>
              <w:bottom w:val="nil"/>
            </w:tcBorders>
          </w:tcPr>
          <w:p w14:paraId="3E7096D8"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 xml:space="preserve">Llamadas de voz recibidas desde otro operador móvil, </w:t>
            </w:r>
            <w:r w:rsidRPr="009041D4">
              <w:rPr>
                <w:rFonts w:ascii="Arial" w:hAnsi="Arial" w:cs="Arial"/>
                <w:spacing w:val="-4"/>
                <w:sz w:val="18"/>
                <w:szCs w:val="18"/>
                <w:lang w:val="es-MX"/>
              </w:rPr>
              <w:t xml:space="preserve">fijo o internacional </w:t>
            </w:r>
            <w:r w:rsidRPr="009041D4">
              <w:rPr>
                <w:rFonts w:ascii="Arial" w:hAnsi="Arial" w:cs="Arial"/>
                <w:sz w:val="18"/>
                <w:szCs w:val="18"/>
                <w:lang w:val="es-MX"/>
              </w:rPr>
              <w:t>y terminada en la red de un usuario visitante extranjero (</w:t>
            </w:r>
            <w:r w:rsidRPr="009041D4">
              <w:rPr>
                <w:rFonts w:ascii="Arial" w:hAnsi="Arial" w:cs="Arial"/>
                <w:i/>
                <w:sz w:val="18"/>
                <w:szCs w:val="18"/>
                <w:lang w:val="es-MX"/>
              </w:rPr>
              <w:t>inbound roamer</w:t>
            </w:r>
            <w:r w:rsidRPr="009041D4">
              <w:rPr>
                <w:rFonts w:ascii="Arial" w:hAnsi="Arial" w:cs="Arial"/>
                <w:sz w:val="18"/>
                <w:szCs w:val="18"/>
                <w:lang w:val="es-MX"/>
              </w:rPr>
              <w:t>) del operador móvil modelado.</w:t>
            </w:r>
          </w:p>
        </w:tc>
      </w:tr>
      <w:tr w:rsidR="007727B0" w:rsidRPr="009041D4" w14:paraId="1558F533" w14:textId="77777777" w:rsidTr="007727B0">
        <w:tc>
          <w:tcPr>
            <w:tcW w:w="2268" w:type="dxa"/>
            <w:tcBorders>
              <w:top w:val="nil"/>
              <w:bottom w:val="nil"/>
            </w:tcBorders>
          </w:tcPr>
          <w:p w14:paraId="411099D4"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Llamadas en tránsito</w:t>
            </w:r>
          </w:p>
        </w:tc>
        <w:tc>
          <w:tcPr>
            <w:tcW w:w="6679" w:type="dxa"/>
            <w:tcBorders>
              <w:top w:val="nil"/>
              <w:bottom w:val="nil"/>
            </w:tcBorders>
          </w:tcPr>
          <w:p w14:paraId="34EA234C"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sz w:val="18"/>
                <w:szCs w:val="18"/>
                <w:lang w:val="es-MX"/>
              </w:rPr>
              <w:t>Llamadas de voz recibidas de otro operador, móvil o fijo y terminadas en la red de otro operador, móvil o fijo. Este servicio sólo es prestado por el operador de escala y alcance del Agente Económico Preponderante.</w:t>
            </w:r>
          </w:p>
        </w:tc>
      </w:tr>
      <w:tr w:rsidR="007727B0" w:rsidRPr="009041D4" w14:paraId="3FA7FBE0"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0C37029"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 xml:space="preserve">SMS on-net </w:t>
            </w:r>
          </w:p>
        </w:tc>
        <w:tc>
          <w:tcPr>
            <w:tcW w:w="6679" w:type="dxa"/>
            <w:tcBorders>
              <w:top w:val="nil"/>
              <w:bottom w:val="nil"/>
            </w:tcBorders>
          </w:tcPr>
          <w:p w14:paraId="34B28513"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 xml:space="preserve">SMS entre dos suscriptores </w:t>
            </w:r>
            <w:r w:rsidRPr="009041D4">
              <w:rPr>
                <w:rFonts w:ascii="Arial" w:hAnsi="Arial" w:cs="Arial"/>
                <w:sz w:val="18"/>
                <w:szCs w:val="18"/>
                <w:lang w:val="es-MX"/>
              </w:rPr>
              <w:t xml:space="preserve">(minoristas u OMV o </w:t>
            </w:r>
            <w:r w:rsidRPr="009041D4">
              <w:rPr>
                <w:rFonts w:ascii="Arial" w:hAnsi="Arial" w:cs="Arial"/>
                <w:i/>
                <w:sz w:val="18"/>
                <w:szCs w:val="18"/>
                <w:lang w:val="es-MX"/>
              </w:rPr>
              <w:t>inbound roamer</w:t>
            </w:r>
            <w:r w:rsidRPr="009041D4">
              <w:rPr>
                <w:rFonts w:ascii="Arial" w:hAnsi="Arial" w:cs="Arial"/>
                <w:sz w:val="18"/>
                <w:szCs w:val="18"/>
                <w:lang w:val="es-MX"/>
              </w:rPr>
              <w:t xml:space="preserve">) </w:t>
            </w:r>
            <w:r w:rsidRPr="009041D4">
              <w:rPr>
                <w:rFonts w:ascii="Arial" w:hAnsi="Arial" w:cs="Arial"/>
                <w:color w:val="000000"/>
                <w:sz w:val="18"/>
                <w:szCs w:val="18"/>
                <w:lang w:val="es-MX"/>
              </w:rPr>
              <w:t>del operador móvil modelado.</w:t>
            </w:r>
          </w:p>
        </w:tc>
      </w:tr>
      <w:tr w:rsidR="007727B0" w:rsidRPr="009041D4" w14:paraId="7AAED904" w14:textId="77777777" w:rsidTr="007727B0">
        <w:tc>
          <w:tcPr>
            <w:tcW w:w="2268" w:type="dxa"/>
            <w:tcBorders>
              <w:top w:val="nil"/>
              <w:bottom w:val="nil"/>
            </w:tcBorders>
          </w:tcPr>
          <w:p w14:paraId="2A768F47"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SMS salientes a otras redes</w:t>
            </w:r>
          </w:p>
        </w:tc>
        <w:tc>
          <w:tcPr>
            <w:tcW w:w="6679" w:type="dxa"/>
            <w:tcBorders>
              <w:top w:val="nil"/>
              <w:bottom w:val="nil"/>
            </w:tcBorders>
          </w:tcPr>
          <w:p w14:paraId="21635489"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color w:val="000000"/>
                <w:sz w:val="18"/>
                <w:szCs w:val="18"/>
                <w:lang w:val="es-MX"/>
              </w:rPr>
              <w:t xml:space="preserve">SMS de un suscriptor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sz w:val="18"/>
                <w:szCs w:val="18"/>
                <w:lang w:val="es-MX"/>
              </w:rPr>
              <w:t xml:space="preserve">) </w:t>
            </w:r>
            <w:r w:rsidRPr="009041D4">
              <w:rPr>
                <w:rFonts w:ascii="Arial" w:hAnsi="Arial" w:cs="Arial"/>
                <w:color w:val="000000"/>
                <w:sz w:val="18"/>
                <w:szCs w:val="18"/>
                <w:lang w:val="es-MX"/>
              </w:rPr>
              <w:t>del operador móvil modelado a otro operador de red.</w:t>
            </w:r>
          </w:p>
        </w:tc>
      </w:tr>
      <w:tr w:rsidR="007727B0" w:rsidRPr="009041D4" w14:paraId="447EB553"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0C87913"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SMS entrantes de otras redes</w:t>
            </w:r>
          </w:p>
        </w:tc>
        <w:tc>
          <w:tcPr>
            <w:tcW w:w="6679" w:type="dxa"/>
            <w:tcBorders>
              <w:top w:val="nil"/>
              <w:bottom w:val="nil"/>
            </w:tcBorders>
          </w:tcPr>
          <w:p w14:paraId="45D982E0"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 xml:space="preserve">SMS recibidos de otro operador y terminado en un usuario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sz w:val="18"/>
                <w:szCs w:val="18"/>
                <w:lang w:val="es-MX"/>
              </w:rPr>
              <w:t xml:space="preserve">) </w:t>
            </w:r>
            <w:r w:rsidRPr="009041D4">
              <w:rPr>
                <w:rFonts w:ascii="Arial" w:hAnsi="Arial" w:cs="Arial"/>
                <w:color w:val="000000"/>
                <w:sz w:val="18"/>
                <w:szCs w:val="18"/>
                <w:lang w:val="es-MX"/>
              </w:rPr>
              <w:t>del operador móvil modelado.</w:t>
            </w:r>
          </w:p>
        </w:tc>
      </w:tr>
      <w:tr w:rsidR="007727B0" w:rsidRPr="009041D4" w14:paraId="2325C945" w14:textId="77777777" w:rsidTr="007727B0">
        <w:tc>
          <w:tcPr>
            <w:tcW w:w="2268" w:type="dxa"/>
            <w:tcBorders>
              <w:top w:val="nil"/>
              <w:bottom w:val="nil"/>
            </w:tcBorders>
          </w:tcPr>
          <w:p w14:paraId="4BFF04D9"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VMS</w:t>
            </w:r>
          </w:p>
        </w:tc>
        <w:tc>
          <w:tcPr>
            <w:tcW w:w="6679" w:type="dxa"/>
            <w:tcBorders>
              <w:top w:val="nil"/>
              <w:bottom w:val="nil"/>
            </w:tcBorders>
          </w:tcPr>
          <w:p w14:paraId="1169CE8E"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sz w:val="18"/>
                <w:szCs w:val="18"/>
                <w:lang w:val="es-MX"/>
              </w:rPr>
              <w:t>Llamadas de voz de un suscriptor (minorista u OMV) al contestador del operador móvil modelado.</w:t>
            </w:r>
          </w:p>
        </w:tc>
      </w:tr>
      <w:tr w:rsidR="007727B0" w:rsidRPr="009041D4" w14:paraId="4A6E3BE6"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BA731EE"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GPRS</w:t>
            </w:r>
          </w:p>
        </w:tc>
        <w:tc>
          <w:tcPr>
            <w:tcW w:w="6679" w:type="dxa"/>
            <w:tcBorders>
              <w:top w:val="nil"/>
              <w:bottom w:val="nil"/>
            </w:tcBorders>
          </w:tcPr>
          <w:p w14:paraId="58337DCE"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Mbytes de servicio de datos (excluyendo las cabeceras de los paquetes IP) transferidos desde y hacia un suscriptor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color w:val="000000"/>
                <w:sz w:val="18"/>
                <w:szCs w:val="18"/>
                <w:lang w:val="es-MX"/>
              </w:rPr>
              <w:t>) a través de la red 2G GPRS.</w:t>
            </w:r>
          </w:p>
        </w:tc>
      </w:tr>
      <w:tr w:rsidR="007727B0" w:rsidRPr="009041D4" w14:paraId="348FB2F3" w14:textId="77777777" w:rsidTr="007727B0">
        <w:tc>
          <w:tcPr>
            <w:tcW w:w="2268" w:type="dxa"/>
            <w:tcBorders>
              <w:top w:val="nil"/>
              <w:bottom w:val="nil"/>
            </w:tcBorders>
          </w:tcPr>
          <w:p w14:paraId="01FCCE42"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EDGE</w:t>
            </w:r>
          </w:p>
        </w:tc>
        <w:tc>
          <w:tcPr>
            <w:tcW w:w="6679" w:type="dxa"/>
            <w:tcBorders>
              <w:top w:val="nil"/>
              <w:bottom w:val="nil"/>
            </w:tcBorders>
          </w:tcPr>
          <w:p w14:paraId="5A817C70"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color w:val="000000"/>
                <w:sz w:val="18"/>
                <w:szCs w:val="18"/>
                <w:lang w:val="es-MX"/>
              </w:rPr>
              <w:t>Mbytes de servicio de datos (excluyendo las cabeceras de los paquetes IP) transferidos desde y hacia un suscriptor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color w:val="000000"/>
                <w:sz w:val="18"/>
                <w:szCs w:val="18"/>
                <w:lang w:val="es-MX"/>
              </w:rPr>
              <w:t>) a través de la red 2G EDGE.</w:t>
            </w:r>
          </w:p>
        </w:tc>
      </w:tr>
      <w:tr w:rsidR="007727B0" w:rsidRPr="009041D4" w14:paraId="4BA194A2"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7D0F217"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R99</w:t>
            </w:r>
          </w:p>
        </w:tc>
        <w:tc>
          <w:tcPr>
            <w:tcW w:w="6679" w:type="dxa"/>
            <w:tcBorders>
              <w:top w:val="nil"/>
              <w:bottom w:val="nil"/>
            </w:tcBorders>
          </w:tcPr>
          <w:p w14:paraId="75E41FB7"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color w:val="000000"/>
                <w:sz w:val="18"/>
                <w:szCs w:val="18"/>
                <w:lang w:val="es-MX"/>
              </w:rPr>
              <w:t>Mbytes de servicio de datos (excluyendo las cabeceras de los paquetes IP) transferidos desde y hacia un suscriptor (</w:t>
            </w:r>
            <w:r w:rsidRPr="009041D4">
              <w:rPr>
                <w:rFonts w:ascii="Arial" w:hAnsi="Arial" w:cs="Arial"/>
                <w:sz w:val="18"/>
                <w:szCs w:val="18"/>
                <w:lang w:val="es-MX"/>
              </w:rPr>
              <w:t xml:space="preserve">minorista u OMV o </w:t>
            </w:r>
            <w:r w:rsidRPr="009041D4">
              <w:rPr>
                <w:rFonts w:ascii="Arial" w:hAnsi="Arial" w:cs="Arial"/>
                <w:i/>
                <w:sz w:val="18"/>
                <w:szCs w:val="18"/>
                <w:lang w:val="es-MX"/>
              </w:rPr>
              <w:t>inbound roamer</w:t>
            </w:r>
            <w:r w:rsidRPr="009041D4">
              <w:rPr>
                <w:rFonts w:ascii="Arial" w:hAnsi="Arial" w:cs="Arial"/>
                <w:color w:val="000000"/>
                <w:sz w:val="18"/>
                <w:szCs w:val="18"/>
                <w:lang w:val="es-MX"/>
              </w:rPr>
              <w:t>) a través de la red de datos de baja velocidad 3G (portadoras Release 99).</w:t>
            </w:r>
          </w:p>
        </w:tc>
      </w:tr>
      <w:tr w:rsidR="007727B0" w:rsidRPr="009041D4" w14:paraId="58C31C99" w14:textId="77777777" w:rsidTr="007727B0">
        <w:tc>
          <w:tcPr>
            <w:tcW w:w="2268" w:type="dxa"/>
            <w:tcBorders>
              <w:top w:val="nil"/>
              <w:bottom w:val="nil"/>
            </w:tcBorders>
          </w:tcPr>
          <w:p w14:paraId="10CFED16"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HSDPA</w:t>
            </w:r>
          </w:p>
        </w:tc>
        <w:tc>
          <w:tcPr>
            <w:tcW w:w="6679" w:type="dxa"/>
            <w:tcBorders>
              <w:top w:val="nil"/>
              <w:bottom w:val="nil"/>
            </w:tcBorders>
          </w:tcPr>
          <w:p w14:paraId="13C71D7E"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Mbytes de servicio de datos (excluyendo las cabeceras de los paquetes IP) transferidos hacia un suscriptor (</w:t>
            </w:r>
            <w:r w:rsidRPr="009041D4">
              <w:rPr>
                <w:rFonts w:ascii="Arial" w:hAnsi="Arial" w:cs="Arial"/>
                <w:sz w:val="18"/>
                <w:szCs w:val="18"/>
                <w:lang w:val="es-MX"/>
              </w:rPr>
              <w:t>minorista u OMV o inbound roamer</w:t>
            </w:r>
            <w:r w:rsidRPr="009041D4">
              <w:rPr>
                <w:rFonts w:ascii="Arial" w:hAnsi="Arial" w:cs="Arial"/>
                <w:color w:val="000000"/>
                <w:sz w:val="18"/>
                <w:szCs w:val="18"/>
                <w:lang w:val="es-MX"/>
              </w:rPr>
              <w:t>) a través de la red HSPA.</w:t>
            </w:r>
          </w:p>
        </w:tc>
      </w:tr>
      <w:tr w:rsidR="007727B0" w:rsidRPr="009041D4" w14:paraId="27CFEE64" w14:textId="77777777" w:rsidTr="007727B0">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02D11C4"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HSUPA</w:t>
            </w:r>
          </w:p>
        </w:tc>
        <w:tc>
          <w:tcPr>
            <w:tcW w:w="6679" w:type="dxa"/>
            <w:tcBorders>
              <w:top w:val="nil"/>
              <w:bottom w:val="nil"/>
            </w:tcBorders>
          </w:tcPr>
          <w:p w14:paraId="6C0F7387" w14:textId="77777777" w:rsidR="007727B0" w:rsidRPr="009041D4" w:rsidRDefault="007727B0" w:rsidP="007727B0">
            <w:pPr>
              <w:spacing w:after="0"/>
              <w:ind w:right="113"/>
              <w:rPr>
                <w:rFonts w:ascii="Arial" w:hAnsi="Arial" w:cs="Arial"/>
                <w:sz w:val="18"/>
                <w:szCs w:val="18"/>
                <w:lang w:val="es-MX"/>
              </w:rPr>
            </w:pPr>
            <w:r w:rsidRPr="009041D4">
              <w:rPr>
                <w:rFonts w:ascii="Arial" w:hAnsi="Arial" w:cs="Arial"/>
                <w:color w:val="000000"/>
                <w:sz w:val="18"/>
                <w:szCs w:val="18"/>
                <w:lang w:val="es-MX"/>
              </w:rPr>
              <w:t>Mbytes de servicio de datos (excluyendo las cabeceras de los paquetes IP) transferidos desde un suscriptor (</w:t>
            </w:r>
            <w:r w:rsidRPr="009041D4">
              <w:rPr>
                <w:rFonts w:ascii="Arial" w:hAnsi="Arial" w:cs="Arial"/>
                <w:sz w:val="18"/>
                <w:szCs w:val="18"/>
                <w:lang w:val="es-MX"/>
              </w:rPr>
              <w:t>minorista u OMV o inbound roamer</w:t>
            </w:r>
            <w:r w:rsidRPr="009041D4">
              <w:rPr>
                <w:rFonts w:ascii="Arial" w:hAnsi="Arial" w:cs="Arial"/>
                <w:color w:val="000000"/>
                <w:sz w:val="18"/>
                <w:szCs w:val="18"/>
                <w:lang w:val="es-MX"/>
              </w:rPr>
              <w:t>) a través de la red HSPA.</w:t>
            </w:r>
          </w:p>
        </w:tc>
      </w:tr>
      <w:tr w:rsidR="007727B0" w:rsidRPr="009041D4" w14:paraId="5F794D07" w14:textId="77777777" w:rsidTr="007727B0">
        <w:tc>
          <w:tcPr>
            <w:tcW w:w="2268" w:type="dxa"/>
            <w:tcBorders>
              <w:top w:val="nil"/>
              <w:bottom w:val="nil"/>
            </w:tcBorders>
          </w:tcPr>
          <w:p w14:paraId="6EF93EFA" w14:textId="77777777" w:rsidR="007727B0" w:rsidRPr="009041D4" w:rsidRDefault="007727B0" w:rsidP="007727B0">
            <w:pPr>
              <w:spacing w:after="0"/>
              <w:ind w:right="113"/>
              <w:rPr>
                <w:rFonts w:ascii="Arial" w:hAnsi="Arial" w:cs="Arial"/>
                <w:sz w:val="18"/>
                <w:szCs w:val="18"/>
              </w:rPr>
            </w:pPr>
            <w:r w:rsidRPr="009041D4">
              <w:rPr>
                <w:rFonts w:ascii="Arial" w:hAnsi="Arial" w:cs="Arial"/>
                <w:sz w:val="18"/>
                <w:szCs w:val="18"/>
              </w:rPr>
              <w:t>Servicio de datos LTE</w:t>
            </w:r>
          </w:p>
        </w:tc>
        <w:tc>
          <w:tcPr>
            <w:tcW w:w="6679" w:type="dxa"/>
            <w:tcBorders>
              <w:top w:val="nil"/>
              <w:bottom w:val="nil"/>
            </w:tcBorders>
          </w:tcPr>
          <w:p w14:paraId="6AF1F60D" w14:textId="77777777" w:rsidR="007727B0" w:rsidRPr="009041D4" w:rsidRDefault="007727B0" w:rsidP="007727B0">
            <w:pPr>
              <w:spacing w:after="0"/>
              <w:ind w:right="113"/>
              <w:rPr>
                <w:rFonts w:ascii="Arial" w:hAnsi="Arial" w:cs="Arial"/>
                <w:color w:val="000000"/>
                <w:sz w:val="18"/>
                <w:szCs w:val="18"/>
                <w:lang w:val="es-MX"/>
              </w:rPr>
            </w:pPr>
            <w:r w:rsidRPr="009041D4">
              <w:rPr>
                <w:rFonts w:ascii="Arial" w:hAnsi="Arial" w:cs="Arial"/>
                <w:color w:val="000000"/>
                <w:sz w:val="18"/>
                <w:szCs w:val="18"/>
                <w:lang w:val="es-MX"/>
              </w:rPr>
              <w:t>Mbytes de servicio de datos (excluyendo las cabeceras de los paquetes IP transferidos desde y hacia el suscriptor (minorista u OMV o inbound roamer) a través de la red LTE.</w:t>
            </w:r>
          </w:p>
        </w:tc>
      </w:tr>
    </w:tbl>
    <w:p w14:paraId="4B8CEC92" w14:textId="330EAB35" w:rsidR="007727B0" w:rsidRPr="009041D4" w:rsidRDefault="007727B0" w:rsidP="007727B0">
      <w:pPr>
        <w:spacing w:after="0"/>
        <w:jc w:val="center"/>
        <w:rPr>
          <w:rFonts w:ascii="Arial" w:hAnsi="Arial" w:cs="Arial"/>
          <w:color w:val="000000"/>
          <w:sz w:val="18"/>
          <w:szCs w:val="18"/>
        </w:rPr>
      </w:pPr>
      <w:r w:rsidRPr="009041D4">
        <w:rPr>
          <w:rFonts w:ascii="Arial" w:eastAsia="Times New Roman" w:hAnsi="Arial" w:cs="Arial"/>
          <w:sz w:val="18"/>
          <w:szCs w:val="18"/>
          <w:lang w:val="es-ES" w:eastAsia="es-ES"/>
        </w:rPr>
        <w:t xml:space="preserve">Tabla </w:t>
      </w:r>
      <w:r w:rsidR="001F064A" w:rsidRPr="009041D4">
        <w:rPr>
          <w:rFonts w:ascii="Arial" w:eastAsia="Times New Roman" w:hAnsi="Arial" w:cs="Arial"/>
          <w:sz w:val="18"/>
          <w:szCs w:val="18"/>
          <w:lang w:val="es-ES" w:eastAsia="es-ES"/>
        </w:rPr>
        <w:t>14</w:t>
      </w:r>
      <w:r w:rsidR="001C7668" w:rsidRPr="009041D4">
        <w:rPr>
          <w:rFonts w:ascii="Arial" w:eastAsia="Times New Roman" w:hAnsi="Arial" w:cs="Arial"/>
          <w:sz w:val="18"/>
          <w:szCs w:val="18"/>
          <w:lang w:val="es-ES" w:eastAsia="es-ES"/>
        </w:rPr>
        <w:t>.</w:t>
      </w:r>
      <w:r w:rsidRPr="009041D4">
        <w:rPr>
          <w:rFonts w:ascii="Arial" w:eastAsia="Times New Roman" w:hAnsi="Arial" w:cs="Arial"/>
          <w:sz w:val="18"/>
          <w:szCs w:val="18"/>
          <w:lang w:val="es-ES" w:eastAsia="es-ES"/>
        </w:rPr>
        <w:t xml:space="preserve"> Servicios que se ofrecen a través de redes móviles.</w:t>
      </w:r>
    </w:p>
    <w:p w14:paraId="785C6D82" w14:textId="77777777" w:rsidR="007727B0" w:rsidRPr="009041D4" w:rsidRDefault="007727B0" w:rsidP="007727B0">
      <w:pPr>
        <w:spacing w:after="0"/>
        <w:ind w:left="426"/>
        <w:jc w:val="both"/>
        <w:rPr>
          <w:rFonts w:ascii="Arial" w:hAnsi="Arial" w:cs="Arial"/>
        </w:rPr>
      </w:pPr>
    </w:p>
    <w:p w14:paraId="0CE21794" w14:textId="77777777" w:rsidR="007727B0" w:rsidRPr="009041D4" w:rsidRDefault="007727B0" w:rsidP="007727B0">
      <w:pPr>
        <w:spacing w:after="0"/>
        <w:jc w:val="both"/>
        <w:rPr>
          <w:rFonts w:ascii="Arial" w:eastAsia="Times New Roman" w:hAnsi="Arial" w:cs="Arial"/>
          <w:lang w:eastAsia="es-ES"/>
        </w:rPr>
      </w:pPr>
      <w:r w:rsidRPr="009041D4">
        <w:rPr>
          <w:rFonts w:ascii="Arial" w:hAnsi="Arial" w:cs="Arial"/>
        </w:rPr>
        <w:t>Se agregarán los servicios de tráfico móvil para los diferentes tipos de usuarios (ej., venta minorista, usuario visitante internacional) para identificar los costos subyacentes del tráfico de red en el Modelo Móvil.</w:t>
      </w:r>
    </w:p>
    <w:p w14:paraId="58AF4C46" w14:textId="77777777" w:rsidR="007727B0" w:rsidRPr="009041D4" w:rsidRDefault="007727B0" w:rsidP="007727B0">
      <w:pPr>
        <w:spacing w:after="0"/>
        <w:jc w:val="both"/>
        <w:rPr>
          <w:rFonts w:ascii="Arial" w:eastAsia="Times New Roman" w:hAnsi="Arial" w:cs="Arial"/>
          <w:lang w:eastAsia="es-ES"/>
        </w:rPr>
      </w:pPr>
    </w:p>
    <w:p w14:paraId="580E0C85" w14:textId="77777777" w:rsidR="007727B0" w:rsidRPr="009041D4" w:rsidRDefault="007727B0" w:rsidP="007727B0">
      <w:pPr>
        <w:spacing w:after="0"/>
        <w:rPr>
          <w:rFonts w:ascii="Arial" w:hAnsi="Arial" w:cs="Arial"/>
          <w:b/>
          <w:lang w:val="es-ES"/>
        </w:rPr>
      </w:pPr>
      <w:r w:rsidRPr="009041D4">
        <w:rPr>
          <w:rFonts w:ascii="Arial" w:hAnsi="Arial" w:cs="Arial"/>
          <w:b/>
          <w:lang w:val="es-ES"/>
        </w:rPr>
        <w:t>Volúmenes de tráfico</w:t>
      </w:r>
    </w:p>
    <w:p w14:paraId="2E032428" w14:textId="77777777" w:rsidR="007727B0" w:rsidRPr="009041D4" w:rsidRDefault="007727B0" w:rsidP="007727B0">
      <w:pPr>
        <w:spacing w:after="0"/>
        <w:jc w:val="both"/>
        <w:rPr>
          <w:rFonts w:ascii="Arial" w:hAnsi="Arial" w:cs="Arial"/>
          <w:color w:val="000000"/>
        </w:rPr>
      </w:pPr>
    </w:p>
    <w:p w14:paraId="498EE434" w14:textId="77777777" w:rsidR="007727B0" w:rsidRPr="009041D4" w:rsidRDefault="007727B0" w:rsidP="007727B0">
      <w:pPr>
        <w:spacing w:after="0"/>
        <w:jc w:val="both"/>
        <w:rPr>
          <w:rFonts w:ascii="Arial" w:hAnsi="Arial" w:cs="Arial"/>
          <w:color w:val="000000"/>
        </w:rPr>
      </w:pPr>
      <w:r w:rsidRPr="009041D4">
        <w:rPr>
          <w:rFonts w:ascii="Arial" w:hAnsi="Arial" w:cs="Arial"/>
          <w:color w:val="000000"/>
        </w:rPr>
        <w:lastRenderedPageBreak/>
        <w:t>Es necesario definir el volumen y el perfil</w:t>
      </w:r>
      <w:r w:rsidRPr="009041D4">
        <w:rPr>
          <w:rFonts w:ascii="Arial" w:hAnsi="Arial" w:cs="Arial"/>
          <w:vertAlign w:val="superscript"/>
        </w:rPr>
        <w:footnoteReference w:id="46"/>
      </w:r>
      <w:r w:rsidRPr="009041D4">
        <w:rPr>
          <w:rFonts w:ascii="Arial" w:hAnsi="Arial" w:cs="Arial"/>
          <w:color w:val="000000"/>
        </w:rPr>
        <w:t xml:space="preserve"> del tráfico cursado en la red del operador modelado.</w:t>
      </w:r>
      <w:r w:rsidRPr="009041D4">
        <w:rPr>
          <w:rFonts w:ascii="Arial" w:hAnsi="Arial" w:cs="Arial"/>
        </w:rPr>
        <w:t xml:space="preserve"> </w:t>
      </w:r>
      <w:r w:rsidRPr="009041D4">
        <w:rPr>
          <w:rFonts w:ascii="Arial" w:hAnsi="Arial" w:cs="Arial"/>
          <w:color w:val="000000"/>
        </w:rPr>
        <w:t>Dado que la definición del operador incorpora la definición de una participación de mercado, se propone definir el volumen de tráfico y su perfil para un usuario promedio.</w:t>
      </w:r>
      <w:r w:rsidRPr="009041D4">
        <w:rPr>
          <w:rFonts w:ascii="Arial" w:hAnsi="Arial" w:cs="Arial"/>
        </w:rPr>
        <w:t xml:space="preserve"> </w:t>
      </w:r>
      <w:r w:rsidRPr="009041D4">
        <w:rPr>
          <w:rFonts w:ascii="Arial" w:hAnsi="Arial" w:cs="Arial"/>
          <w:color w:val="000000"/>
        </w:rPr>
        <w:t>Este perfil de tráfico deberá tener en cuenta el equilibrio de tráfico entre los diferentes servicios que compiten en el mercado.</w:t>
      </w:r>
      <w:r w:rsidRPr="009041D4">
        <w:rPr>
          <w:rFonts w:ascii="Arial" w:hAnsi="Arial" w:cs="Arial"/>
        </w:rPr>
        <w:t xml:space="preserve"> Se requerirá por lo tanto </w:t>
      </w:r>
      <w:r w:rsidRPr="009041D4">
        <w:rPr>
          <w:rFonts w:ascii="Arial" w:hAnsi="Arial" w:cs="Arial"/>
          <w:color w:val="000000"/>
        </w:rPr>
        <w:t>un enfoque integral para la estimación de la evolución del tráfico de voz y datos. En el caso del servicio de tránsito en el Modelo Móvil se utilizará una estimación de tráfico del servicio.</w:t>
      </w:r>
    </w:p>
    <w:p w14:paraId="09D57849" w14:textId="77777777" w:rsidR="007727B0" w:rsidRPr="009041D4" w:rsidRDefault="007727B0" w:rsidP="007727B0">
      <w:pPr>
        <w:spacing w:after="0"/>
        <w:jc w:val="both"/>
        <w:rPr>
          <w:rFonts w:ascii="Arial" w:hAnsi="Arial" w:cs="Arial"/>
          <w:color w:val="000000"/>
        </w:rPr>
      </w:pPr>
    </w:p>
    <w:p w14:paraId="5D743061" w14:textId="77777777" w:rsidR="007727B0" w:rsidRPr="009041D4" w:rsidRDefault="007727B0" w:rsidP="007727B0">
      <w:pPr>
        <w:spacing w:after="0"/>
        <w:jc w:val="both"/>
        <w:rPr>
          <w:rFonts w:ascii="Arial" w:hAnsi="Arial" w:cs="Arial"/>
        </w:rPr>
      </w:pPr>
      <w:r w:rsidRPr="009041D4">
        <w:rPr>
          <w:rFonts w:ascii="Arial" w:hAnsi="Arial" w:cs="Arial"/>
          <w:color w:val="000000"/>
        </w:rPr>
        <w:t>En consecuencia, los diferentes modelos deberían basarse en un módulo común de predicción de tráfico</w:t>
      </w:r>
      <w:r w:rsidRPr="009041D4">
        <w:rPr>
          <w:rFonts w:ascii="Arial" w:hAnsi="Arial" w:cs="Arial"/>
        </w:rPr>
        <w:t>.</w:t>
      </w:r>
    </w:p>
    <w:p w14:paraId="4D70EB5B" w14:textId="77777777" w:rsidR="007727B0" w:rsidRPr="009041D4" w:rsidRDefault="007727B0" w:rsidP="007727B0">
      <w:pPr>
        <w:spacing w:after="0"/>
        <w:ind w:left="426"/>
        <w:jc w:val="both"/>
        <w:rPr>
          <w:rFonts w:ascii="Arial" w:hAnsi="Arial" w:cs="Arial"/>
        </w:rPr>
      </w:pPr>
    </w:p>
    <w:p w14:paraId="0001CE0A" w14:textId="77777777" w:rsidR="007727B0" w:rsidRPr="009041D4" w:rsidRDefault="007727B0" w:rsidP="007727B0">
      <w:pPr>
        <w:spacing w:after="0"/>
        <w:jc w:val="both"/>
        <w:rPr>
          <w:rFonts w:ascii="Arial" w:hAnsi="Arial" w:cs="Arial"/>
        </w:rPr>
      </w:pPr>
      <w:r w:rsidRPr="009041D4">
        <w:rPr>
          <w:rFonts w:ascii="Arial" w:hAnsi="Arial" w:cs="Arial"/>
        </w:rPr>
        <w:t xml:space="preserve">El volumen de tráfico asociado a los </w:t>
      </w:r>
      <w:r w:rsidRPr="009041D4">
        <w:rPr>
          <w:rFonts w:ascii="Arial" w:hAnsi="Arial" w:cs="Arial"/>
          <w:color w:val="000000"/>
        </w:rPr>
        <w:t xml:space="preserve">usuarios </w:t>
      </w:r>
      <w:r w:rsidRPr="009041D4">
        <w:rPr>
          <w:rFonts w:ascii="Arial" w:hAnsi="Arial" w:cs="Arial"/>
        </w:rPr>
        <w:t>del operador modelado es el principal inductor de los costos asociados con la red troncal, y la medida que permitirá explotar las economías de escala.</w:t>
      </w:r>
    </w:p>
    <w:p w14:paraId="604A1026" w14:textId="77777777" w:rsidR="007727B0" w:rsidRPr="009041D4" w:rsidRDefault="007727B0" w:rsidP="007727B0">
      <w:pPr>
        <w:spacing w:after="0"/>
        <w:ind w:left="426"/>
        <w:jc w:val="both"/>
        <w:rPr>
          <w:rFonts w:ascii="Arial" w:hAnsi="Arial" w:cs="Arial"/>
          <w:spacing w:val="-4"/>
        </w:rPr>
      </w:pPr>
    </w:p>
    <w:p w14:paraId="145A7CB1"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9041D4">
        <w:rPr>
          <w:rFonts w:ascii="Arial" w:hAnsi="Arial" w:cs="Arial"/>
          <w:spacing w:val="-4"/>
          <w:vertAlign w:val="superscript"/>
        </w:rPr>
        <w:footnoteReference w:id="47"/>
      </w:r>
    </w:p>
    <w:p w14:paraId="6E6E4F71" w14:textId="77777777" w:rsidR="007727B0" w:rsidRPr="009041D4" w:rsidRDefault="007727B0" w:rsidP="007727B0">
      <w:pPr>
        <w:spacing w:after="0"/>
        <w:ind w:left="426"/>
        <w:jc w:val="both"/>
        <w:rPr>
          <w:rFonts w:ascii="Arial" w:hAnsi="Arial" w:cs="Arial"/>
        </w:rPr>
      </w:pPr>
    </w:p>
    <w:p w14:paraId="18EA8449" w14:textId="77777777" w:rsidR="007727B0" w:rsidRPr="009041D4" w:rsidRDefault="007727B0" w:rsidP="007727B0">
      <w:pPr>
        <w:spacing w:after="0"/>
        <w:jc w:val="both"/>
        <w:rPr>
          <w:rFonts w:ascii="Arial" w:hAnsi="Arial" w:cs="Arial"/>
          <w:spacing w:val="-4"/>
        </w:rPr>
      </w:pPr>
      <w:r w:rsidRPr="009041D4">
        <w:rPr>
          <w:rFonts w:ascii="Arial" w:hAnsi="Arial" w:cs="Arial"/>
        </w:rPr>
        <w:t>El pronóstico del perfil de tráfico del operador modelado se basará en el perfil de la media del mercado, es decir la base de suscriptores de cada operador tendrá el mismo perfil de uso.</w:t>
      </w:r>
    </w:p>
    <w:p w14:paraId="77E19D16" w14:textId="77777777" w:rsidR="007727B0" w:rsidRPr="009041D4" w:rsidRDefault="007727B0" w:rsidP="007727B0">
      <w:pPr>
        <w:spacing w:after="0"/>
        <w:ind w:left="426"/>
        <w:jc w:val="both"/>
        <w:rPr>
          <w:rFonts w:ascii="Arial" w:hAnsi="Arial" w:cs="Arial"/>
        </w:rPr>
      </w:pPr>
    </w:p>
    <w:p w14:paraId="25545A84" w14:textId="77777777" w:rsidR="007727B0" w:rsidRPr="009041D4" w:rsidRDefault="007727B0" w:rsidP="007727B0">
      <w:pPr>
        <w:spacing w:after="0"/>
        <w:rPr>
          <w:rFonts w:ascii="Arial" w:hAnsi="Arial" w:cs="Arial"/>
        </w:rPr>
      </w:pPr>
      <w:bookmarkStart w:id="1" w:name="_Toc406529103"/>
      <w:r w:rsidRPr="009041D4">
        <w:rPr>
          <w:rFonts w:ascii="Arial" w:hAnsi="Arial" w:cs="Arial"/>
          <w:b/>
        </w:rPr>
        <w:t>Costos mayoristas o minoristas</w:t>
      </w:r>
      <w:bookmarkEnd w:id="1"/>
    </w:p>
    <w:p w14:paraId="302147CE" w14:textId="77777777" w:rsidR="007727B0" w:rsidRPr="009041D4" w:rsidRDefault="007727B0" w:rsidP="007727B0">
      <w:pPr>
        <w:spacing w:after="0"/>
        <w:jc w:val="both"/>
        <w:rPr>
          <w:rFonts w:ascii="Arial" w:hAnsi="Arial" w:cs="Arial"/>
        </w:rPr>
      </w:pPr>
    </w:p>
    <w:p w14:paraId="07CC791D" w14:textId="77777777" w:rsidR="007727B0" w:rsidRPr="009041D4" w:rsidRDefault="007727B0" w:rsidP="007727B0">
      <w:pPr>
        <w:spacing w:after="0"/>
        <w:jc w:val="both"/>
        <w:rPr>
          <w:rFonts w:ascii="Arial" w:hAnsi="Arial" w:cs="Arial"/>
        </w:rPr>
      </w:pPr>
      <w:r w:rsidRPr="009041D4">
        <w:rPr>
          <w:rFonts w:ascii="Arial" w:hAnsi="Arial" w:cs="Arial"/>
        </w:rPr>
        <w:t>Este aspecto se describe a continuación.</w:t>
      </w:r>
    </w:p>
    <w:p w14:paraId="4A4F07C1" w14:textId="77777777" w:rsidR="007727B0" w:rsidRPr="009041D4" w:rsidRDefault="007727B0" w:rsidP="007727B0">
      <w:pPr>
        <w:spacing w:after="0"/>
        <w:jc w:val="both"/>
        <w:rPr>
          <w:rFonts w:ascii="Arial" w:hAnsi="Arial" w:cs="Arial"/>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7727B0" w:rsidRPr="009041D4" w14:paraId="1699C964" w14:textId="77777777" w:rsidTr="007727B0">
        <w:trPr>
          <w:trHeight w:val="2728"/>
        </w:trPr>
        <w:tc>
          <w:tcPr>
            <w:tcW w:w="5534" w:type="dxa"/>
            <w:tcBorders>
              <w:right w:val="single" w:sz="4" w:space="0" w:color="auto"/>
            </w:tcBorders>
            <w:shd w:val="clear" w:color="auto" w:fill="auto"/>
          </w:tcPr>
          <w:p w14:paraId="54E9561F" w14:textId="77777777" w:rsidR="007727B0" w:rsidRPr="009041D4" w:rsidRDefault="007727B0" w:rsidP="007727B0">
            <w:pPr>
              <w:spacing w:after="0"/>
              <w:ind w:left="426"/>
              <w:jc w:val="both"/>
              <w:rPr>
                <w:rFonts w:ascii="Arial" w:hAnsi="Arial" w:cs="Arial"/>
                <w:lang w:val="es-ES"/>
              </w:rPr>
            </w:pPr>
            <w:r w:rsidRPr="009041D4">
              <w:rPr>
                <w:rFonts w:ascii="Arial" w:hAnsi="Arial" w:cs="Arial"/>
                <w:noProof/>
                <w:lang w:eastAsia="es-MX"/>
              </w:rPr>
              <w:drawing>
                <wp:inline distT="0" distB="0" distL="0" distR="0" wp14:anchorId="2E76336E" wp14:editId="079FC50D">
                  <wp:extent cx="2827769" cy="16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a:noFill/>
                          </a:ln>
                        </pic:spPr>
                      </pic:pic>
                    </a:graphicData>
                  </a:graphic>
                </wp:inline>
              </w:drawing>
            </w:r>
          </w:p>
        </w:tc>
      </w:tr>
    </w:tbl>
    <w:p w14:paraId="24CFCAE9" w14:textId="071BF10D" w:rsidR="007727B0" w:rsidRPr="009041D4" w:rsidRDefault="007727B0" w:rsidP="007727B0">
      <w:pPr>
        <w:spacing w:after="0"/>
        <w:ind w:left="426"/>
        <w:jc w:val="center"/>
        <w:rPr>
          <w:rFonts w:ascii="Arial" w:hAnsi="Arial" w:cs="Arial"/>
          <w:sz w:val="18"/>
          <w:szCs w:val="18"/>
        </w:rPr>
      </w:pPr>
      <w:r w:rsidRPr="009041D4">
        <w:rPr>
          <w:rFonts w:ascii="Arial" w:hAnsi="Arial" w:cs="Arial"/>
          <w:sz w:val="18"/>
          <w:szCs w:val="18"/>
          <w:lang w:val="es-ES"/>
        </w:rPr>
        <w:t xml:space="preserve">Figura </w:t>
      </w:r>
      <w:r w:rsidR="00253FAE" w:rsidRPr="009041D4">
        <w:rPr>
          <w:rFonts w:ascii="Arial" w:hAnsi="Arial" w:cs="Arial"/>
          <w:sz w:val="18"/>
          <w:szCs w:val="18"/>
          <w:lang w:val="es-ES"/>
        </w:rPr>
        <w:t>7</w:t>
      </w:r>
      <w:r w:rsidR="001C7668" w:rsidRPr="009041D4">
        <w:rPr>
          <w:rFonts w:ascii="Arial" w:hAnsi="Arial" w:cs="Arial"/>
          <w:sz w:val="18"/>
          <w:szCs w:val="18"/>
          <w:lang w:val="es-ES"/>
        </w:rPr>
        <w:t>.</w:t>
      </w:r>
      <w:r w:rsidRPr="009041D4">
        <w:rPr>
          <w:rFonts w:ascii="Arial" w:hAnsi="Arial" w:cs="Arial"/>
          <w:sz w:val="18"/>
          <w:szCs w:val="18"/>
          <w:lang w:val="es-ES"/>
        </w:rPr>
        <w:t xml:space="preserve"> Costos mayoristas o minoristas.</w:t>
      </w:r>
    </w:p>
    <w:p w14:paraId="52A80E5B" w14:textId="77777777" w:rsidR="007727B0" w:rsidRPr="009041D4" w:rsidRDefault="007727B0" w:rsidP="007727B0">
      <w:pPr>
        <w:spacing w:after="0"/>
        <w:ind w:left="426"/>
        <w:jc w:val="both"/>
        <w:rPr>
          <w:rFonts w:ascii="Arial" w:hAnsi="Arial" w:cs="Arial"/>
        </w:rPr>
      </w:pPr>
    </w:p>
    <w:p w14:paraId="143B9E5D" w14:textId="77777777" w:rsidR="007727B0" w:rsidRPr="009041D4" w:rsidRDefault="007727B0" w:rsidP="007727B0">
      <w:pPr>
        <w:spacing w:after="0"/>
        <w:jc w:val="both"/>
        <w:rPr>
          <w:rFonts w:ascii="Arial" w:hAnsi="Arial" w:cs="Arial"/>
        </w:rPr>
      </w:pPr>
      <w:r w:rsidRPr="009041D4">
        <w:rPr>
          <w:rFonts w:ascii="Arial" w:hAnsi="Arial" w:cs="Arial"/>
        </w:rPr>
        <w:lastRenderedPageBreak/>
        <w:t xml:space="preserve">En el modelo separado verticalmente, los servicios de red (tales como el tráfico) son presupuestados por separado de las actividades minoristas (como las subvenciones de las terminales o el marketing). A los gastos generales se añade un </w:t>
      </w:r>
      <w:r w:rsidRPr="009041D4">
        <w:rPr>
          <w:rFonts w:ascii="Arial" w:hAnsi="Arial" w:cs="Arial"/>
          <w:i/>
        </w:rPr>
        <w:t>mark-up</w:t>
      </w:r>
      <w:r w:rsidRPr="009041D4">
        <w:rPr>
          <w:rFonts w:ascii="Arial" w:hAnsi="Arial" w:cs="Arial"/>
        </w:rPr>
        <w:t xml:space="preserve"> a la red y las actividades minoristas, y se considera para el costo mayorista de suministro de interconexión únicamente los costos de la red más la proporción de los gastos generales.</w:t>
      </w:r>
    </w:p>
    <w:p w14:paraId="4E371F70" w14:textId="77777777" w:rsidR="007727B0" w:rsidRPr="009041D4" w:rsidRDefault="007727B0" w:rsidP="007727B0">
      <w:pPr>
        <w:spacing w:after="0"/>
        <w:ind w:left="426"/>
        <w:jc w:val="both"/>
        <w:rPr>
          <w:rFonts w:ascii="Arial" w:hAnsi="Arial" w:cs="Arial"/>
          <w:color w:val="000000"/>
        </w:rPr>
      </w:pPr>
    </w:p>
    <w:p w14:paraId="33BDFABB" w14:textId="77777777" w:rsidR="007727B0" w:rsidRPr="009041D4" w:rsidRDefault="007727B0" w:rsidP="007727B0">
      <w:pPr>
        <w:spacing w:after="0"/>
        <w:jc w:val="both"/>
        <w:rPr>
          <w:rFonts w:ascii="Arial" w:hAnsi="Arial" w:cs="Arial"/>
          <w:color w:val="000000"/>
        </w:rPr>
      </w:pPr>
      <w:r w:rsidRPr="009041D4">
        <w:rPr>
          <w:rFonts w:ascii="Arial" w:hAnsi="Arial" w:cs="Arial"/>
          <w:color w:val="000000"/>
        </w:rPr>
        <w:t xml:space="preserve">En el modelo de integración vertical, los costos minoristas se consideran como parte integral de los servicios de red y se incluyen en los costos del servicio a través de un </w:t>
      </w:r>
      <w:r w:rsidRPr="009041D4">
        <w:rPr>
          <w:rFonts w:ascii="Arial" w:hAnsi="Arial" w:cs="Arial"/>
          <w:i/>
          <w:color w:val="000000"/>
        </w:rPr>
        <w:t>mark-up</w:t>
      </w:r>
      <w:r w:rsidRPr="009041D4">
        <w:rPr>
          <w:rFonts w:ascii="Arial" w:hAnsi="Arial" w:cs="Arial"/>
          <w:color w:val="000000"/>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1A48B91E" w14:textId="77777777" w:rsidR="007727B0" w:rsidRPr="009041D4" w:rsidRDefault="007727B0" w:rsidP="007727B0">
      <w:pPr>
        <w:spacing w:after="0"/>
        <w:jc w:val="both"/>
        <w:rPr>
          <w:rFonts w:ascii="Arial" w:hAnsi="Arial" w:cs="Arial"/>
          <w:spacing w:val="-2"/>
        </w:rPr>
      </w:pPr>
    </w:p>
    <w:p w14:paraId="72F27DED" w14:textId="77777777" w:rsidR="007727B0" w:rsidRPr="009041D4" w:rsidRDefault="007727B0" w:rsidP="007727B0">
      <w:pPr>
        <w:spacing w:after="0"/>
        <w:jc w:val="both"/>
        <w:rPr>
          <w:rFonts w:ascii="Arial" w:hAnsi="Arial" w:cs="Arial"/>
        </w:rPr>
      </w:pPr>
      <w:r w:rsidRPr="009041D4">
        <w:rPr>
          <w:rFonts w:ascii="Arial" w:hAnsi="Arial" w:cs="Arial"/>
          <w:color w:val="000000"/>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9041D4">
        <w:rPr>
          <w:rFonts w:ascii="Arial" w:hAnsi="Arial" w:cs="Arial"/>
        </w:rPr>
        <w:t xml:space="preserve"> </w:t>
      </w:r>
    </w:p>
    <w:p w14:paraId="5BD5D89E" w14:textId="77777777" w:rsidR="007727B0" w:rsidRPr="009041D4" w:rsidRDefault="007727B0" w:rsidP="007727B0">
      <w:pPr>
        <w:spacing w:after="0"/>
        <w:ind w:left="426"/>
        <w:jc w:val="both"/>
        <w:rPr>
          <w:rFonts w:ascii="Arial" w:hAnsi="Arial" w:cs="Arial"/>
        </w:rPr>
      </w:pPr>
    </w:p>
    <w:p w14:paraId="35E4186A" w14:textId="77777777" w:rsidR="007727B0" w:rsidRPr="009041D4" w:rsidRDefault="007727B0" w:rsidP="007727B0">
      <w:pPr>
        <w:spacing w:after="0"/>
        <w:jc w:val="both"/>
        <w:rPr>
          <w:rFonts w:ascii="Arial" w:hAnsi="Arial" w:cs="Arial"/>
          <w:color w:val="000000"/>
        </w:rPr>
      </w:pPr>
      <w:r w:rsidRPr="009041D4">
        <w:rPr>
          <w:rFonts w:ascii="Arial" w:hAnsi="Arial" w:cs="Arial"/>
          <w:color w:val="000000"/>
        </w:rPr>
        <w:t xml:space="preserve">Sin embargo, los costos comunes a las actividades de red y minoristas pueden ser recuperados a través de los servicios de red mayoristas y los servicios minoristas en el caso de un modelo CIPLP (tratados como un </w:t>
      </w:r>
      <w:r w:rsidRPr="009041D4">
        <w:rPr>
          <w:rFonts w:ascii="Arial" w:hAnsi="Arial" w:cs="Arial"/>
          <w:i/>
          <w:color w:val="000000"/>
        </w:rPr>
        <w:t>mark-up</w:t>
      </w:r>
      <w:r w:rsidRPr="009041D4">
        <w:rPr>
          <w:rFonts w:ascii="Arial" w:hAnsi="Arial" w:cs="Arial"/>
          <w:color w:val="000000"/>
        </w:rPr>
        <w:t xml:space="preserve"> del resultado del CIPLP) pero no en el caso de un modelo CILP Puro.</w:t>
      </w:r>
      <w:r w:rsidRPr="009041D4">
        <w:rPr>
          <w:rFonts w:ascii="Arial" w:hAnsi="Arial" w:cs="Arial"/>
        </w:rPr>
        <w:t xml:space="preserve"> </w:t>
      </w:r>
    </w:p>
    <w:p w14:paraId="0A896D62" w14:textId="77777777" w:rsidR="007727B0" w:rsidRPr="009041D4" w:rsidRDefault="007727B0" w:rsidP="007727B0">
      <w:pPr>
        <w:spacing w:after="0"/>
        <w:jc w:val="both"/>
        <w:rPr>
          <w:rFonts w:ascii="Arial" w:hAnsi="Arial" w:cs="Arial"/>
          <w:color w:val="000000"/>
        </w:rPr>
      </w:pPr>
    </w:p>
    <w:p w14:paraId="5535F808" w14:textId="77777777" w:rsidR="007727B0" w:rsidRPr="009041D4" w:rsidRDefault="007727B0" w:rsidP="007727B0">
      <w:pPr>
        <w:spacing w:after="0"/>
        <w:jc w:val="both"/>
        <w:rPr>
          <w:rFonts w:ascii="Arial" w:hAnsi="Arial" w:cs="Arial"/>
        </w:rPr>
      </w:pPr>
      <w:r w:rsidRPr="009041D4">
        <w:rPr>
          <w:rFonts w:ascii="Arial" w:hAnsi="Arial" w:cs="Arial"/>
          <w:color w:val="000000"/>
        </w:rPr>
        <w:t>Un enfoque de separación vertical resulta en la exclusión de bastantes costos no relacionados con la red de los costos de terminación.</w:t>
      </w:r>
      <w:r w:rsidRPr="009041D4">
        <w:rPr>
          <w:rFonts w:ascii="Arial" w:hAnsi="Arial" w:cs="Arial"/>
        </w:rPr>
        <w:t xml:space="preserve"> </w:t>
      </w:r>
      <w:r w:rsidRPr="009041D4">
        <w:rPr>
          <w:rFonts w:ascii="Arial" w:hAnsi="Arial" w:cs="Arial"/>
          <w:color w:val="000000"/>
        </w:rPr>
        <w:t>Sin embargo, trae consigo la necesidad de determinar el tamaño relativo de los costos económicos de las actividades minoristas con el fin de determinar la magnitud de los costos generales (</w:t>
      </w:r>
      <w:r w:rsidRPr="009041D4">
        <w:rPr>
          <w:rFonts w:ascii="Arial" w:hAnsi="Arial" w:cs="Arial"/>
          <w:i/>
          <w:color w:val="000000"/>
        </w:rPr>
        <w:t>business overheads</w:t>
      </w:r>
      <w:r w:rsidRPr="009041D4">
        <w:rPr>
          <w:rFonts w:ascii="Arial" w:hAnsi="Arial" w:cs="Arial"/>
          <w:color w:val="000000"/>
        </w:rPr>
        <w:t>, en inglés) a añadir a los costos de red incrementales.</w:t>
      </w:r>
      <w:r w:rsidRPr="009041D4">
        <w:rPr>
          <w:rFonts w:ascii="Arial" w:hAnsi="Arial" w:cs="Arial"/>
        </w:rPr>
        <w:t xml:space="preserve"> </w:t>
      </w:r>
    </w:p>
    <w:p w14:paraId="127923ED" w14:textId="77777777" w:rsidR="007727B0" w:rsidRPr="009041D4" w:rsidRDefault="007727B0" w:rsidP="007727B0">
      <w:pPr>
        <w:spacing w:after="0"/>
        <w:ind w:left="426"/>
        <w:jc w:val="both"/>
        <w:rPr>
          <w:rFonts w:ascii="Arial" w:hAnsi="Arial" w:cs="Arial"/>
        </w:rPr>
      </w:pPr>
    </w:p>
    <w:p w14:paraId="4C63E67B" w14:textId="2026D9B8" w:rsidR="007727B0" w:rsidRPr="009041D4" w:rsidRDefault="007727B0" w:rsidP="007727B0">
      <w:pPr>
        <w:spacing w:after="0"/>
        <w:jc w:val="both"/>
        <w:rPr>
          <w:rFonts w:ascii="Arial" w:hAnsi="Arial" w:cs="Arial"/>
        </w:rPr>
      </w:pPr>
      <w:r w:rsidRPr="009041D4">
        <w:rPr>
          <w:rFonts w:ascii="Arial" w:hAnsi="Arial" w:cs="Arial"/>
        </w:rPr>
        <w:t xml:space="preserve">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w:t>
      </w:r>
      <w:r w:rsidR="006D3C8E" w:rsidRPr="009041D4">
        <w:rPr>
          <w:rFonts w:ascii="Arial" w:hAnsi="Arial" w:cs="Arial"/>
        </w:rPr>
        <w:t>CIPLP,</w:t>
      </w:r>
      <w:r w:rsidRPr="009041D4">
        <w:rPr>
          <w:rFonts w:ascii="Arial" w:hAnsi="Arial" w:cs="Arial"/>
        </w:rPr>
        <w:t xml:space="preserve"> pero se excluyen de los gastos distribuibles al servicio de terminación en un modelo CILP Puro.</w:t>
      </w:r>
    </w:p>
    <w:p w14:paraId="2F8DDD0B" w14:textId="77777777" w:rsidR="007727B0" w:rsidRPr="009041D4" w:rsidRDefault="007727B0" w:rsidP="007727B0">
      <w:pPr>
        <w:spacing w:after="0"/>
        <w:ind w:left="426"/>
        <w:jc w:val="both"/>
        <w:rPr>
          <w:rFonts w:ascii="Arial" w:hAnsi="Arial" w:cs="Arial"/>
        </w:rPr>
      </w:pPr>
    </w:p>
    <w:p w14:paraId="7065B919" w14:textId="77777777" w:rsidR="007727B0" w:rsidRPr="009041D4" w:rsidRDefault="007727B0" w:rsidP="007727B0">
      <w:pPr>
        <w:spacing w:after="0"/>
        <w:jc w:val="both"/>
        <w:rPr>
          <w:rFonts w:ascii="Arial" w:hAnsi="Arial" w:cs="Arial"/>
          <w:b/>
        </w:rPr>
      </w:pPr>
      <w:r w:rsidRPr="009041D4">
        <w:rPr>
          <w:rFonts w:ascii="Arial" w:hAnsi="Arial" w:cs="Arial"/>
          <w:b/>
        </w:rPr>
        <w:t>1.4 Aspectos relacionados con la implementación de los modelos</w:t>
      </w:r>
    </w:p>
    <w:p w14:paraId="097AE693" w14:textId="77777777" w:rsidR="007727B0" w:rsidRPr="009041D4" w:rsidRDefault="007727B0" w:rsidP="007727B0">
      <w:pPr>
        <w:spacing w:after="0"/>
        <w:ind w:left="426"/>
        <w:jc w:val="both"/>
        <w:rPr>
          <w:rFonts w:ascii="Arial" w:hAnsi="Arial" w:cs="Arial"/>
          <w:b/>
        </w:rPr>
      </w:pPr>
    </w:p>
    <w:p w14:paraId="4AEC5DDC" w14:textId="77777777" w:rsidR="007727B0" w:rsidRPr="009041D4" w:rsidRDefault="007727B0" w:rsidP="007727B0">
      <w:pPr>
        <w:spacing w:after="0"/>
        <w:rPr>
          <w:rFonts w:ascii="Arial" w:hAnsi="Arial" w:cs="Arial"/>
          <w:b/>
        </w:rPr>
      </w:pPr>
      <w:r w:rsidRPr="009041D4">
        <w:rPr>
          <w:rFonts w:ascii="Arial" w:hAnsi="Arial" w:cs="Arial"/>
          <w:b/>
        </w:rPr>
        <w:t>Selección del incremento de servicio</w:t>
      </w:r>
    </w:p>
    <w:p w14:paraId="68D98D32" w14:textId="77777777" w:rsidR="007727B0" w:rsidRPr="009041D4" w:rsidRDefault="007727B0" w:rsidP="007727B0">
      <w:pPr>
        <w:spacing w:after="0"/>
        <w:rPr>
          <w:rFonts w:ascii="Arial" w:hAnsi="Arial" w:cs="Arial"/>
          <w:b/>
        </w:rPr>
      </w:pPr>
    </w:p>
    <w:p w14:paraId="7D0AB3E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w:t>
      </w:r>
      <w:r w:rsidRPr="009041D4">
        <w:rPr>
          <w:rFonts w:ascii="Arial" w:hAnsi="Arial" w:cs="Arial"/>
          <w:spacing w:val="-4"/>
        </w:rPr>
        <w:lastRenderedPageBreak/>
        <w:t xml:space="preserve">(en el caso de los costos incrementales) o mediante un </w:t>
      </w:r>
      <w:r w:rsidRPr="009041D4">
        <w:rPr>
          <w:rFonts w:ascii="Arial" w:hAnsi="Arial" w:cs="Arial"/>
          <w:i/>
          <w:spacing w:val="-4"/>
        </w:rPr>
        <w:t>mark-up</w:t>
      </w:r>
      <w:r w:rsidRPr="009041D4">
        <w:rPr>
          <w:rFonts w:ascii="Arial" w:hAnsi="Arial" w:cs="Arial"/>
          <w:spacing w:val="-4"/>
        </w:rPr>
        <w:t xml:space="preserve"> (si se incluyen los costos comunes). El tamaño y número del incremento afecta la complejidad</w:t>
      </w:r>
      <w:r w:rsidRPr="009041D4">
        <w:rPr>
          <w:rFonts w:ascii="Arial" w:hAnsi="Arial" w:cs="Arial"/>
          <w:spacing w:val="-4"/>
          <w:vertAlign w:val="superscript"/>
        </w:rPr>
        <w:footnoteReference w:id="48"/>
      </w:r>
      <w:r w:rsidRPr="009041D4">
        <w:rPr>
          <w:rFonts w:ascii="Arial" w:hAnsi="Arial" w:cs="Arial"/>
          <w:spacing w:val="-4"/>
          <w:vertAlign w:val="superscript"/>
        </w:rPr>
        <w:t xml:space="preserve"> </w:t>
      </w:r>
      <w:r w:rsidRPr="009041D4">
        <w:rPr>
          <w:rFonts w:ascii="Arial" w:hAnsi="Arial" w:cs="Arial"/>
          <w:spacing w:val="-4"/>
        </w:rPr>
        <w:t>de los resultados y la magnitud</w:t>
      </w:r>
      <w:r w:rsidRPr="009041D4">
        <w:rPr>
          <w:rFonts w:ascii="Arial" w:hAnsi="Arial" w:cs="Arial"/>
          <w:spacing w:val="-4"/>
          <w:vertAlign w:val="superscript"/>
        </w:rPr>
        <w:footnoteReference w:id="49"/>
      </w:r>
      <w:r w:rsidRPr="009041D4">
        <w:rPr>
          <w:rFonts w:ascii="Arial" w:hAnsi="Arial" w:cs="Arial"/>
          <w:spacing w:val="-4"/>
        </w:rPr>
        <w:t xml:space="preserve"> de los costos resultantes.</w:t>
      </w:r>
    </w:p>
    <w:p w14:paraId="1EA528C6" w14:textId="77777777" w:rsidR="007727B0" w:rsidRPr="009041D4" w:rsidRDefault="007727B0" w:rsidP="007727B0">
      <w:pPr>
        <w:spacing w:after="0"/>
        <w:rPr>
          <w:rFonts w:ascii="Arial" w:hAnsi="Arial" w:cs="Arial"/>
          <w:b/>
        </w:rPr>
      </w:pPr>
    </w:p>
    <w:p w14:paraId="4119E4B5" w14:textId="77777777" w:rsidR="007727B0" w:rsidRPr="009041D4" w:rsidRDefault="007727B0" w:rsidP="007727B0">
      <w:pPr>
        <w:spacing w:after="0"/>
        <w:rPr>
          <w:rFonts w:ascii="Arial" w:hAnsi="Arial" w:cs="Arial"/>
          <w:b/>
        </w:rPr>
      </w:pPr>
      <w:r w:rsidRPr="009041D4">
        <w:rPr>
          <w:rFonts w:ascii="Arial" w:hAnsi="Arial" w:cs="Arial"/>
          <w:b/>
        </w:rPr>
        <w:t xml:space="preserve">Enfoque CIPLP </w:t>
      </w:r>
    </w:p>
    <w:p w14:paraId="1967D71D" w14:textId="77777777" w:rsidR="007727B0" w:rsidRPr="009041D4" w:rsidRDefault="007727B0" w:rsidP="007727B0">
      <w:pPr>
        <w:spacing w:after="0"/>
        <w:rPr>
          <w:rFonts w:ascii="Arial" w:hAnsi="Arial" w:cs="Arial"/>
          <w:b/>
        </w:rPr>
      </w:pPr>
    </w:p>
    <w:p w14:paraId="3FB42177"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El costo incremental promedio de largo plazo (CIPLP)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7C74B954" w14:textId="77777777" w:rsidR="007727B0" w:rsidRPr="009041D4" w:rsidRDefault="007727B0" w:rsidP="007727B0">
      <w:pPr>
        <w:spacing w:after="0"/>
        <w:jc w:val="both"/>
        <w:rPr>
          <w:rFonts w:ascii="Arial" w:hAnsi="Arial" w:cs="Arial"/>
          <w:spacing w:val="-4"/>
        </w:rPr>
      </w:pPr>
    </w:p>
    <w:p w14:paraId="24F6C952"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2A9627BB" w14:textId="77777777" w:rsidR="007727B0" w:rsidRPr="009041D4" w:rsidRDefault="007727B0" w:rsidP="007727B0">
      <w:pPr>
        <w:spacing w:after="0"/>
        <w:jc w:val="both"/>
        <w:rPr>
          <w:rFonts w:ascii="Arial" w:hAnsi="Arial" w:cs="Arial"/>
          <w:spacing w:val="-4"/>
        </w:rPr>
      </w:pPr>
    </w:p>
    <w:p w14:paraId="5D7EFBB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6B8B5998" w14:textId="77777777" w:rsidR="007727B0" w:rsidRPr="009041D4" w:rsidRDefault="007727B0" w:rsidP="007727B0">
      <w:pPr>
        <w:spacing w:after="0"/>
        <w:jc w:val="both"/>
        <w:rPr>
          <w:rFonts w:ascii="Arial" w:hAnsi="Arial" w:cs="Arial"/>
          <w:spacing w:val="-4"/>
        </w:rPr>
      </w:pPr>
    </w:p>
    <w:p w14:paraId="5BF90C4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Un método generalmente utilizado debido a su objetividad y facilidad de implementación para la repartición de costos comunes es el de Márgenes Equiproporcionales (EPMU), mismo que es consistente con las prácticas regulatorias a nivel mundial.</w:t>
      </w:r>
    </w:p>
    <w:p w14:paraId="7C5A28B5" w14:textId="77777777" w:rsidR="007727B0" w:rsidRPr="009041D4" w:rsidRDefault="007727B0" w:rsidP="007727B0">
      <w:pPr>
        <w:spacing w:after="0"/>
        <w:jc w:val="both"/>
        <w:rPr>
          <w:rFonts w:ascii="Arial" w:hAnsi="Arial" w:cs="Arial"/>
          <w:spacing w:val="-4"/>
        </w:rPr>
      </w:pPr>
    </w:p>
    <w:p w14:paraId="29D8AB2E"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En el modelo de costos se emplea el método EPMU para distribuir los costos comunes a cada servicio en el modelo CIPLP (para uso meramente informativo) pero se excluirá el </w:t>
      </w:r>
      <w:r w:rsidRPr="009041D4">
        <w:rPr>
          <w:rFonts w:ascii="Arial" w:hAnsi="Arial" w:cs="Arial"/>
          <w:i/>
          <w:spacing w:val="-4"/>
        </w:rPr>
        <w:t>mark-up</w:t>
      </w:r>
      <w:r w:rsidRPr="009041D4">
        <w:rPr>
          <w:rFonts w:ascii="Arial" w:hAnsi="Arial" w:cs="Arial"/>
          <w:spacing w:val="-4"/>
        </w:rPr>
        <w:t xml:space="preserve"> del modelo CILP puro.</w:t>
      </w:r>
      <w:r w:rsidRPr="009041D4">
        <w:rPr>
          <w:rFonts w:ascii="Arial" w:hAnsi="Arial" w:cs="Arial"/>
          <w:color w:val="0000FF"/>
          <w:spacing w:val="-4"/>
        </w:rPr>
        <w:t xml:space="preserve"> </w:t>
      </w:r>
    </w:p>
    <w:p w14:paraId="782BCE43" w14:textId="77777777" w:rsidR="007727B0" w:rsidRPr="009041D4" w:rsidRDefault="007727B0" w:rsidP="007727B0">
      <w:pPr>
        <w:spacing w:after="0"/>
        <w:jc w:val="both"/>
        <w:rPr>
          <w:rFonts w:ascii="Arial" w:hAnsi="Arial" w:cs="Arial"/>
          <w:spacing w:val="-4"/>
        </w:rPr>
      </w:pPr>
    </w:p>
    <w:p w14:paraId="4394D647"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3FED3809" w14:textId="77777777" w:rsidR="007727B0" w:rsidRPr="009041D4" w:rsidRDefault="007727B0" w:rsidP="007727B0">
      <w:pPr>
        <w:spacing w:after="0"/>
        <w:jc w:val="both"/>
        <w:rPr>
          <w:rFonts w:ascii="Arial" w:hAnsi="Arial" w:cs="Arial"/>
          <w:spacing w:val="-4"/>
        </w:rPr>
      </w:pPr>
    </w:p>
    <w:p w14:paraId="0A8B8DBC" w14:textId="77777777" w:rsidR="007727B0" w:rsidRPr="009041D4" w:rsidRDefault="007727B0" w:rsidP="005968B2">
      <w:pPr>
        <w:numPr>
          <w:ilvl w:val="0"/>
          <w:numId w:val="21"/>
        </w:numPr>
        <w:spacing w:after="0"/>
        <w:jc w:val="both"/>
        <w:rPr>
          <w:rFonts w:ascii="Arial" w:hAnsi="Arial" w:cs="Arial"/>
          <w:spacing w:val="-4"/>
        </w:rPr>
      </w:pPr>
      <w:r w:rsidRPr="009041D4">
        <w:rPr>
          <w:rFonts w:ascii="Arial" w:hAnsi="Arial" w:cs="Arial"/>
          <w:spacing w:val="-4"/>
        </w:rPr>
        <w:t>En una red móvil, un nuevo usuario recibe una tarjeta SIM para poder enviar y recibir tráfico en el punto de concentración (el aire es la interfaz).</w:t>
      </w:r>
    </w:p>
    <w:p w14:paraId="26C91E52" w14:textId="77777777" w:rsidR="007727B0" w:rsidRPr="009041D4" w:rsidRDefault="007727B0" w:rsidP="005968B2">
      <w:pPr>
        <w:numPr>
          <w:ilvl w:val="0"/>
          <w:numId w:val="21"/>
        </w:numPr>
        <w:spacing w:after="0"/>
        <w:ind w:left="714" w:hanging="357"/>
        <w:jc w:val="both"/>
        <w:rPr>
          <w:rFonts w:ascii="Arial" w:hAnsi="Arial" w:cs="Arial"/>
          <w:spacing w:val="-4"/>
        </w:rPr>
      </w:pPr>
      <w:r w:rsidRPr="009041D4">
        <w:rPr>
          <w:rFonts w:ascii="Arial" w:hAnsi="Arial" w:cs="Arial"/>
          <w:spacing w:val="-4"/>
        </w:rPr>
        <w:lastRenderedPageBreak/>
        <w:t>En una red fija, un nuevo usuario requerirá ser conectado a la tarjeta del conmutador, o equivalente en una red de nueva generación, mediante cobre/cable/fibra que vaya del usuario al punto de concentración.</w:t>
      </w:r>
    </w:p>
    <w:p w14:paraId="0C9CEC09" w14:textId="77777777" w:rsidR="007727B0" w:rsidRPr="009041D4" w:rsidRDefault="007727B0" w:rsidP="007727B0">
      <w:pPr>
        <w:spacing w:after="0"/>
        <w:ind w:left="714"/>
        <w:jc w:val="both"/>
        <w:rPr>
          <w:rFonts w:ascii="Arial" w:hAnsi="Arial" w:cs="Arial"/>
          <w:spacing w:val="-4"/>
        </w:rPr>
      </w:pPr>
    </w:p>
    <w:p w14:paraId="7B17CA3E"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5AB69679" w14:textId="77777777" w:rsidR="007727B0" w:rsidRPr="009041D4" w:rsidRDefault="007727B0" w:rsidP="007727B0">
      <w:pPr>
        <w:spacing w:after="0"/>
        <w:jc w:val="both"/>
        <w:rPr>
          <w:rFonts w:ascii="Arial" w:hAnsi="Arial" w:cs="Arial"/>
          <w:spacing w:val="-4"/>
        </w:rPr>
      </w:pPr>
    </w:p>
    <w:p w14:paraId="29B773CE"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En el siguiente diagrama se encuentran reflejados los costos a incluirse siguiendo este método.</w:t>
      </w:r>
    </w:p>
    <w:p w14:paraId="7DE26320" w14:textId="77777777" w:rsidR="007727B0" w:rsidRPr="009041D4" w:rsidRDefault="007727B0" w:rsidP="007727B0">
      <w:pPr>
        <w:spacing w:after="0"/>
        <w:jc w:val="center"/>
        <w:rPr>
          <w:rFonts w:ascii="Arial" w:hAnsi="Arial" w:cs="Arial"/>
        </w:rPr>
      </w:pPr>
      <w:r w:rsidRPr="009041D4">
        <w:rPr>
          <w:rFonts w:ascii="Arial" w:eastAsia="Times New Roman" w:hAnsi="Arial" w:cs="Arial"/>
          <w:bCs/>
          <w:i/>
          <w:iCs/>
          <w:noProof/>
          <w:lang w:eastAsia="es-MX"/>
        </w:rPr>
        <w:drawing>
          <wp:inline distT="0" distB="0" distL="0" distR="0" wp14:anchorId="17573F25" wp14:editId="091E237F">
            <wp:extent cx="4498002" cy="2103094"/>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7101B2CA" w14:textId="201346C6" w:rsidR="007727B0" w:rsidRPr="009041D4" w:rsidRDefault="007727B0" w:rsidP="007727B0">
      <w:pPr>
        <w:spacing w:after="0"/>
        <w:jc w:val="center"/>
        <w:rPr>
          <w:rFonts w:ascii="Arial" w:hAnsi="Arial" w:cs="Arial"/>
          <w:spacing w:val="-4"/>
          <w:sz w:val="18"/>
          <w:szCs w:val="18"/>
          <w:lang w:val="es-ES"/>
        </w:rPr>
      </w:pPr>
      <w:r w:rsidRPr="009041D4">
        <w:rPr>
          <w:rFonts w:ascii="Arial" w:hAnsi="Arial" w:cs="Arial"/>
          <w:spacing w:val="-4"/>
          <w:sz w:val="18"/>
          <w:szCs w:val="18"/>
          <w:lang w:val="es-ES"/>
        </w:rPr>
        <w:t xml:space="preserve">Figura </w:t>
      </w:r>
      <w:r w:rsidR="00253FAE" w:rsidRPr="009041D4">
        <w:rPr>
          <w:rFonts w:ascii="Arial" w:hAnsi="Arial" w:cs="Arial"/>
          <w:spacing w:val="-4"/>
          <w:sz w:val="18"/>
          <w:szCs w:val="18"/>
          <w:lang w:val="es-ES"/>
        </w:rPr>
        <w:t>8</w:t>
      </w:r>
      <w:r w:rsidR="001C7668" w:rsidRPr="009041D4">
        <w:rPr>
          <w:rFonts w:ascii="Arial" w:hAnsi="Arial" w:cs="Arial"/>
          <w:spacing w:val="-4"/>
          <w:sz w:val="18"/>
          <w:szCs w:val="18"/>
          <w:lang w:val="es-ES"/>
        </w:rPr>
        <w:t>.</w:t>
      </w:r>
      <w:r w:rsidRPr="009041D4">
        <w:rPr>
          <w:rFonts w:ascii="Arial" w:hAnsi="Arial" w:cs="Arial"/>
          <w:spacing w:val="-4"/>
          <w:sz w:val="18"/>
          <w:szCs w:val="18"/>
          <w:lang w:val="es-ES"/>
        </w:rPr>
        <w:t xml:space="preserve"> Distribución de costos usando CIPLP Plus.</w:t>
      </w:r>
    </w:p>
    <w:p w14:paraId="6934EC70" w14:textId="77777777" w:rsidR="007727B0" w:rsidRPr="009041D4" w:rsidRDefault="007727B0" w:rsidP="007727B0">
      <w:pPr>
        <w:spacing w:after="0"/>
        <w:rPr>
          <w:rFonts w:ascii="Arial" w:hAnsi="Arial" w:cs="Arial"/>
          <w:lang w:val="es-ES" w:eastAsia="es-ES"/>
        </w:rPr>
      </w:pPr>
    </w:p>
    <w:p w14:paraId="2E5F64AC" w14:textId="77777777" w:rsidR="007727B0" w:rsidRPr="009041D4" w:rsidRDefault="007727B0" w:rsidP="007727B0">
      <w:pPr>
        <w:spacing w:after="0"/>
        <w:rPr>
          <w:rFonts w:ascii="Arial" w:hAnsi="Arial" w:cs="Arial"/>
          <w:b/>
          <w:lang w:val="es-ES"/>
        </w:rPr>
      </w:pPr>
      <w:r w:rsidRPr="009041D4">
        <w:rPr>
          <w:rFonts w:ascii="Arial" w:hAnsi="Arial" w:cs="Arial"/>
          <w:b/>
          <w:lang w:val="es-ES"/>
        </w:rPr>
        <w:t>Enfoque CILP Puro</w:t>
      </w:r>
    </w:p>
    <w:p w14:paraId="1CA5E81D" w14:textId="77777777" w:rsidR="007727B0" w:rsidRPr="009041D4" w:rsidRDefault="007727B0" w:rsidP="007727B0">
      <w:pPr>
        <w:spacing w:after="0"/>
        <w:jc w:val="both"/>
        <w:rPr>
          <w:rFonts w:ascii="Arial" w:hAnsi="Arial" w:cs="Arial"/>
          <w:spacing w:val="-4"/>
        </w:rPr>
      </w:pPr>
    </w:p>
    <w:p w14:paraId="23C65AE8"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costo incremental de largo plazo puro es acorde a los Lineamientos Tercero y Cuarto de la Metodología de Costos, que a la letra establecen:</w:t>
      </w:r>
    </w:p>
    <w:p w14:paraId="0B9A3CDE" w14:textId="77777777" w:rsidR="007727B0" w:rsidRPr="009041D4" w:rsidRDefault="007727B0" w:rsidP="007727B0">
      <w:pPr>
        <w:spacing w:after="0"/>
        <w:jc w:val="both"/>
        <w:rPr>
          <w:rFonts w:ascii="Arial" w:hAnsi="Arial" w:cs="Arial"/>
          <w:spacing w:val="-4"/>
        </w:rPr>
      </w:pPr>
    </w:p>
    <w:p w14:paraId="371DC82C"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w:t>
      </w:r>
      <w:r w:rsidRPr="009041D4">
        <w:rPr>
          <w:rFonts w:ascii="Arial" w:eastAsia="Times New Roman" w:hAnsi="Arial" w:cs="Arial"/>
          <w:b/>
          <w:i/>
          <w:sz w:val="18"/>
          <w:szCs w:val="18"/>
          <w:lang w:val="es-ES" w:eastAsia="es-ES"/>
        </w:rPr>
        <w:t xml:space="preserve">TERCERO.- </w:t>
      </w:r>
      <w:r w:rsidRPr="009041D4">
        <w:rPr>
          <w:rFonts w:ascii="Arial" w:eastAsia="Times New Roman" w:hAnsi="Arial" w:cs="Arial"/>
          <w:i/>
          <w:sz w:val="18"/>
          <w:szCs w:val="18"/>
          <w:lang w:val="es-ES"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0C950A51"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4CB98018"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 xml:space="preserve">La unidad de medida que se empleará en los Modelos de Costos para los servicios de conducción de tráfico cuando éstos se midan por tiempo, será el segundo. </w:t>
      </w:r>
    </w:p>
    <w:p w14:paraId="0373FB2E"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La unidad monetaria en la que se expresarán los resultados de los Modelos de Costos será en pesos mexicanos.”</w:t>
      </w:r>
    </w:p>
    <w:p w14:paraId="1377BAC0"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73442393"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w:t>
      </w:r>
      <w:r w:rsidRPr="009041D4">
        <w:rPr>
          <w:rFonts w:ascii="Arial" w:eastAsia="Times New Roman" w:hAnsi="Arial" w:cs="Arial"/>
          <w:b/>
          <w:i/>
          <w:sz w:val="18"/>
          <w:szCs w:val="18"/>
          <w:lang w:val="es-ES" w:eastAsia="es-ES"/>
        </w:rPr>
        <w:t xml:space="preserve">CUARTO.- </w:t>
      </w:r>
      <w:r w:rsidRPr="009041D4">
        <w:rPr>
          <w:rFonts w:ascii="Arial" w:eastAsia="Times New Roman" w:hAnsi="Arial" w:cs="Arial"/>
          <w:i/>
          <w:sz w:val="18"/>
          <w:szCs w:val="18"/>
          <w:lang w:val="es-ES"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1815B7B7"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14359DF5"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lastRenderedPageBreak/>
        <w:t xml:space="preserve">La unidad de medida que se empleará en los Modelos de Costos para el servicio de tránsito cuando éste se mida por tiempo, será el segundo. </w:t>
      </w:r>
    </w:p>
    <w:p w14:paraId="67F97580"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681DA3DD"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La unidad monetaria en la que se expresarán los resultados de los Modelos de Costos será en pesos mexicanos.”</w:t>
      </w:r>
    </w:p>
    <w:p w14:paraId="5424327F" w14:textId="77777777" w:rsidR="007727B0" w:rsidRPr="009041D4" w:rsidRDefault="007727B0" w:rsidP="007727B0">
      <w:pPr>
        <w:spacing w:after="0"/>
        <w:jc w:val="both"/>
        <w:rPr>
          <w:rFonts w:ascii="Arial" w:hAnsi="Arial" w:cs="Arial"/>
          <w:spacing w:val="-4"/>
        </w:rPr>
      </w:pPr>
    </w:p>
    <w:p w14:paraId="0BB20A7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4848CA14" w14:textId="77777777" w:rsidR="007727B0" w:rsidRPr="009041D4" w:rsidRDefault="007727B0" w:rsidP="007727B0">
      <w:pPr>
        <w:spacing w:after="0"/>
        <w:jc w:val="both"/>
        <w:rPr>
          <w:rFonts w:ascii="Arial" w:hAnsi="Arial" w:cs="Arial"/>
          <w:spacing w:val="-4"/>
        </w:rPr>
      </w:pPr>
    </w:p>
    <w:p w14:paraId="2B7D405A" w14:textId="1E8ECB03"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Para el cálculo del CILP Puro, se calcula el costo incremental ejecutando el modelo </w:t>
      </w:r>
      <w:r w:rsidRPr="009041D4">
        <w:rPr>
          <w:rFonts w:ascii="Arial" w:hAnsi="Arial" w:cs="Arial"/>
          <w:i/>
          <w:spacing w:val="-4"/>
        </w:rPr>
        <w:t xml:space="preserve">con </w:t>
      </w:r>
      <w:r w:rsidRPr="009041D4">
        <w:rPr>
          <w:rFonts w:ascii="Arial" w:hAnsi="Arial" w:cs="Arial"/>
          <w:spacing w:val="-4"/>
        </w:rPr>
        <w:t xml:space="preserve">y </w:t>
      </w:r>
      <w:r w:rsidRPr="009041D4">
        <w:rPr>
          <w:rFonts w:ascii="Arial" w:hAnsi="Arial" w:cs="Arial"/>
          <w:i/>
          <w:spacing w:val="-4"/>
        </w:rPr>
        <w:t xml:space="preserve">sin </w:t>
      </w:r>
      <w:r w:rsidRPr="009041D4">
        <w:rPr>
          <w:rFonts w:ascii="Arial" w:hAnsi="Arial" w:cs="Arial"/>
          <w:spacing w:val="-4"/>
        </w:rPr>
        <w:t xml:space="preserve">el incremento que se quiera costear. Los costos unitarios son entonces determinados como el cociente entre este costo incremental y el volumen de tráfico incremental del servicio (ver Figura </w:t>
      </w:r>
      <w:r w:rsidR="00253FAE" w:rsidRPr="009041D4">
        <w:rPr>
          <w:rFonts w:ascii="Arial" w:hAnsi="Arial" w:cs="Arial"/>
          <w:spacing w:val="-4"/>
        </w:rPr>
        <w:t>9</w:t>
      </w:r>
      <w:r w:rsidRPr="009041D4">
        <w:rPr>
          <w:rFonts w:ascii="Arial" w:hAnsi="Arial" w:cs="Arial"/>
          <w:spacing w:val="-4"/>
        </w:rPr>
        <w:t>).</w:t>
      </w:r>
    </w:p>
    <w:p w14:paraId="7F1A836D" w14:textId="77777777" w:rsidR="007727B0" w:rsidRPr="009041D4" w:rsidRDefault="007727B0" w:rsidP="007727B0">
      <w:pPr>
        <w:spacing w:after="0"/>
        <w:jc w:val="both"/>
        <w:rPr>
          <w:rFonts w:ascii="Arial" w:hAnsi="Arial" w:cs="Arial"/>
          <w:spacing w:val="-4"/>
        </w:rPr>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7727B0" w:rsidRPr="009041D4" w14:paraId="67EB6965" w14:textId="77777777" w:rsidTr="007727B0">
        <w:trPr>
          <w:jc w:val="center"/>
        </w:trPr>
        <w:tc>
          <w:tcPr>
            <w:tcW w:w="5387" w:type="dxa"/>
            <w:tcBorders>
              <w:top w:val="nil"/>
              <w:left w:val="nil"/>
              <w:bottom w:val="nil"/>
              <w:right w:val="single" w:sz="4" w:space="0" w:color="auto"/>
            </w:tcBorders>
            <w:hideMark/>
          </w:tcPr>
          <w:p w14:paraId="3730D86C" w14:textId="77777777" w:rsidR="007727B0" w:rsidRPr="009041D4" w:rsidRDefault="007727B0" w:rsidP="007727B0">
            <w:pPr>
              <w:spacing w:after="0"/>
              <w:jc w:val="center"/>
              <w:rPr>
                <w:rFonts w:ascii="Arial" w:hAnsi="Arial" w:cs="Arial"/>
                <w:lang w:val="es-ES"/>
              </w:rPr>
            </w:pPr>
            <w:r w:rsidRPr="009041D4">
              <w:rPr>
                <w:rFonts w:ascii="Arial" w:hAnsi="Arial" w:cs="Arial"/>
                <w:noProof/>
                <w:lang w:eastAsia="es-MX"/>
              </w:rPr>
              <w:drawing>
                <wp:inline distT="0" distB="0" distL="0" distR="0" wp14:anchorId="64446353" wp14:editId="2EA35D17">
                  <wp:extent cx="2932665" cy="2213637"/>
                  <wp:effectExtent l="0" t="0" r="0" b="0"/>
                  <wp:docPr id="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tc>
      </w:tr>
    </w:tbl>
    <w:p w14:paraId="4D373071" w14:textId="41645F07" w:rsidR="007727B0" w:rsidRPr="009041D4" w:rsidRDefault="007727B0" w:rsidP="007727B0">
      <w:pPr>
        <w:spacing w:after="0"/>
        <w:jc w:val="center"/>
        <w:rPr>
          <w:rFonts w:ascii="Arial" w:hAnsi="Arial" w:cs="Arial"/>
          <w:spacing w:val="-4"/>
          <w:sz w:val="18"/>
          <w:szCs w:val="18"/>
        </w:rPr>
      </w:pPr>
      <w:r w:rsidRPr="009041D4">
        <w:rPr>
          <w:rFonts w:ascii="Arial" w:hAnsi="Arial" w:cs="Arial"/>
          <w:spacing w:val="-4"/>
          <w:sz w:val="18"/>
          <w:szCs w:val="18"/>
          <w:lang w:val="es-ES"/>
        </w:rPr>
        <w:t xml:space="preserve">Figura </w:t>
      </w:r>
      <w:r w:rsidR="00253FAE" w:rsidRPr="009041D4">
        <w:rPr>
          <w:rFonts w:ascii="Arial" w:hAnsi="Arial" w:cs="Arial"/>
          <w:spacing w:val="-4"/>
          <w:sz w:val="18"/>
          <w:szCs w:val="18"/>
          <w:lang w:val="es-ES"/>
        </w:rPr>
        <w:t>9</w:t>
      </w:r>
      <w:r w:rsidR="001C7668" w:rsidRPr="009041D4">
        <w:rPr>
          <w:rFonts w:ascii="Arial" w:hAnsi="Arial" w:cs="Arial"/>
          <w:spacing w:val="-4"/>
          <w:sz w:val="18"/>
          <w:szCs w:val="18"/>
          <w:lang w:val="es-ES"/>
        </w:rPr>
        <w:t>.</w:t>
      </w:r>
      <w:r w:rsidRPr="009041D4">
        <w:rPr>
          <w:rFonts w:ascii="Arial" w:hAnsi="Arial" w:cs="Arial"/>
          <w:spacing w:val="-4"/>
          <w:sz w:val="18"/>
          <w:szCs w:val="18"/>
          <w:lang w:val="es-ES"/>
        </w:rPr>
        <w:t xml:space="preserve"> Cálculo del costo incremental del tráfico de terminación.</w:t>
      </w:r>
    </w:p>
    <w:p w14:paraId="594A3657" w14:textId="77777777" w:rsidR="007727B0" w:rsidRPr="009041D4" w:rsidRDefault="007727B0" w:rsidP="007727B0">
      <w:pPr>
        <w:spacing w:after="0"/>
        <w:jc w:val="both"/>
        <w:rPr>
          <w:rFonts w:ascii="Arial" w:hAnsi="Arial" w:cs="Arial"/>
          <w:spacing w:val="-4"/>
        </w:rPr>
      </w:pPr>
    </w:p>
    <w:p w14:paraId="0F1398E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Debido a los requisitos específicos de la Metodología de Costos, es necesario que el modelo de costos: </w:t>
      </w:r>
    </w:p>
    <w:p w14:paraId="7DDD7B9A" w14:textId="77777777" w:rsidR="007727B0" w:rsidRPr="009041D4" w:rsidRDefault="007727B0" w:rsidP="005968B2">
      <w:pPr>
        <w:numPr>
          <w:ilvl w:val="0"/>
          <w:numId w:val="29"/>
        </w:numPr>
        <w:spacing w:after="0"/>
        <w:jc w:val="both"/>
        <w:rPr>
          <w:rFonts w:ascii="Arial" w:hAnsi="Arial" w:cs="Arial"/>
          <w:spacing w:val="-4"/>
        </w:rPr>
      </w:pPr>
      <w:r w:rsidRPr="009041D4">
        <w:rPr>
          <w:rFonts w:ascii="Arial" w:hAnsi="Arial" w:cs="Arial"/>
          <w:spacing w:val="-4"/>
        </w:rPr>
        <w:t>Permita calcular los costos incrementales puros para cada incremento de los siguientes: tráfico de terminación, tráfico de originación, y tránsito.</w:t>
      </w:r>
    </w:p>
    <w:p w14:paraId="34DBD129"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Excluya los costos compartidos y comunes a los servicios de interconexión de los asignables a los servicios costeados con un modelo CILP puro.</w:t>
      </w:r>
    </w:p>
    <w:p w14:paraId="6FF3E271"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Permita ser competitivamente neutral con las operaciones móvil y fija.</w:t>
      </w:r>
    </w:p>
    <w:p w14:paraId="7A42ED00" w14:textId="77777777" w:rsidR="007727B0" w:rsidRPr="009041D4" w:rsidRDefault="007727B0" w:rsidP="007727B0">
      <w:pPr>
        <w:spacing w:after="0"/>
        <w:jc w:val="both"/>
        <w:rPr>
          <w:rFonts w:ascii="Arial" w:hAnsi="Arial" w:cs="Arial"/>
          <w:spacing w:val="-4"/>
        </w:rPr>
      </w:pPr>
    </w:p>
    <w:p w14:paraId="748B2530" w14:textId="429E7825"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El cálculo de los resultados obtenidos al aplicar la metodología CILP puro se basa en los siguientes pasos (ver Figura </w:t>
      </w:r>
      <w:r w:rsidR="00253FAE" w:rsidRPr="009041D4">
        <w:rPr>
          <w:rFonts w:ascii="Arial" w:hAnsi="Arial" w:cs="Arial"/>
          <w:spacing w:val="-4"/>
        </w:rPr>
        <w:t>10</w:t>
      </w:r>
      <w:r w:rsidRPr="009041D4">
        <w:rPr>
          <w:rFonts w:ascii="Arial" w:hAnsi="Arial" w:cs="Arial"/>
          <w:spacing w:val="-4"/>
        </w:rPr>
        <w:t>).</w:t>
      </w:r>
    </w:p>
    <w:p w14:paraId="191E9CF3"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 xml:space="preserve">Cálculo de los costos de la red completa del operador, </w:t>
      </w:r>
      <w:r w:rsidRPr="009041D4">
        <w:rPr>
          <w:rFonts w:ascii="Arial" w:hAnsi="Arial" w:cs="Arial"/>
          <w:i/>
          <w:spacing w:val="-4"/>
        </w:rPr>
        <w:t>sin</w:t>
      </w:r>
      <w:r w:rsidRPr="009041D4">
        <w:rPr>
          <w:rFonts w:ascii="Arial" w:hAnsi="Arial" w:cs="Arial"/>
          <w:spacing w:val="-4"/>
        </w:rPr>
        <w:t xml:space="preserve"> el incremento del servicio considerado (tráfico de originación, o terminación de otras redes o tránsito).</w:t>
      </w:r>
    </w:p>
    <w:p w14:paraId="4677C927"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 xml:space="preserve">Cálculo de los costos de la red completa del operador, </w:t>
      </w:r>
      <w:r w:rsidRPr="009041D4">
        <w:rPr>
          <w:rFonts w:ascii="Arial" w:hAnsi="Arial" w:cs="Arial"/>
          <w:i/>
          <w:spacing w:val="-4"/>
        </w:rPr>
        <w:t xml:space="preserve">con </w:t>
      </w:r>
      <w:r w:rsidRPr="009041D4">
        <w:rPr>
          <w:rFonts w:ascii="Arial" w:hAnsi="Arial" w:cs="Arial"/>
          <w:spacing w:val="-4"/>
        </w:rPr>
        <w:t>el incremento del servicio considerado (tráfico de originación, terminación de otras redes o tránsito).</w:t>
      </w:r>
    </w:p>
    <w:p w14:paraId="7C6CC3D1"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lastRenderedPageBreak/>
        <w:t>Obtención de la diferencia en costos entre los dos cálculos obtenidos y anualización de esta diferencia en base a la metodología de depreciación económica</w:t>
      </w:r>
    </w:p>
    <w:p w14:paraId="73A12348" w14:textId="77777777" w:rsidR="007727B0" w:rsidRPr="009041D4" w:rsidRDefault="007727B0" w:rsidP="005968B2">
      <w:pPr>
        <w:numPr>
          <w:ilvl w:val="0"/>
          <w:numId w:val="28"/>
        </w:numPr>
        <w:spacing w:after="0"/>
        <w:jc w:val="both"/>
        <w:rPr>
          <w:rFonts w:ascii="Arial" w:hAnsi="Arial" w:cs="Arial"/>
          <w:spacing w:val="-4"/>
        </w:rPr>
      </w:pPr>
      <w:r w:rsidRPr="009041D4">
        <w:rPr>
          <w:rFonts w:ascii="Arial" w:hAnsi="Arial" w:cs="Arial"/>
          <w:spacing w:val="-4"/>
        </w:rPr>
        <w:t>División del costo anualizado total por el número de minutos incrementales del servicio considerado (originación, tráfico de originación, terminación de otras redes o tránsito) para la obtención del costo del minuto incremental.</w:t>
      </w:r>
    </w:p>
    <w:p w14:paraId="07D372D4" w14:textId="77777777" w:rsidR="007727B0" w:rsidRPr="009041D4" w:rsidRDefault="007727B0" w:rsidP="007727B0">
      <w:pPr>
        <w:spacing w:after="0"/>
        <w:ind w:left="720" w:hanging="153"/>
        <w:jc w:val="center"/>
        <w:rPr>
          <w:rFonts w:ascii="Arial" w:hAnsi="Arial" w:cs="Arial"/>
          <w:spacing w:val="-4"/>
        </w:rPr>
      </w:pPr>
      <w:r w:rsidRPr="009041D4">
        <w:rPr>
          <w:rFonts w:ascii="Arial" w:hAnsi="Arial" w:cs="Arial"/>
          <w:noProof/>
          <w:spacing w:val="-4"/>
          <w:lang w:eastAsia="es-MX"/>
        </w:rPr>
        <w:drawing>
          <wp:inline distT="0" distB="0" distL="0" distR="0" wp14:anchorId="4C371173" wp14:editId="77A5374D">
            <wp:extent cx="4857293" cy="3161012"/>
            <wp:effectExtent l="0" t="0" r="0" b="190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55E8D142" w14:textId="7E502147" w:rsidR="007727B0" w:rsidRPr="009041D4" w:rsidRDefault="007727B0" w:rsidP="007727B0">
      <w:pPr>
        <w:spacing w:after="0"/>
        <w:ind w:left="720"/>
        <w:jc w:val="center"/>
        <w:rPr>
          <w:rFonts w:ascii="Arial" w:hAnsi="Arial" w:cs="Arial"/>
          <w:spacing w:val="-4"/>
          <w:sz w:val="18"/>
          <w:szCs w:val="18"/>
        </w:rPr>
      </w:pPr>
      <w:r w:rsidRPr="009041D4">
        <w:rPr>
          <w:rFonts w:ascii="Arial" w:hAnsi="Arial" w:cs="Arial"/>
          <w:spacing w:val="-4"/>
          <w:sz w:val="18"/>
          <w:szCs w:val="18"/>
          <w:lang w:val="es-ES"/>
        </w:rPr>
        <w:t xml:space="preserve">Figura </w:t>
      </w:r>
      <w:r w:rsidR="00253FAE" w:rsidRPr="009041D4">
        <w:rPr>
          <w:rFonts w:ascii="Arial" w:hAnsi="Arial" w:cs="Arial"/>
          <w:spacing w:val="-4"/>
          <w:sz w:val="18"/>
          <w:szCs w:val="18"/>
          <w:lang w:val="es-ES"/>
        </w:rPr>
        <w:t>10</w:t>
      </w:r>
      <w:r w:rsidR="001C7668" w:rsidRPr="009041D4">
        <w:rPr>
          <w:rFonts w:ascii="Arial" w:hAnsi="Arial" w:cs="Arial"/>
          <w:spacing w:val="-4"/>
          <w:sz w:val="18"/>
          <w:szCs w:val="18"/>
          <w:lang w:val="es-ES"/>
        </w:rPr>
        <w:t>.</w:t>
      </w:r>
      <w:r w:rsidRPr="009041D4">
        <w:rPr>
          <w:rFonts w:ascii="Arial" w:hAnsi="Arial" w:cs="Arial"/>
          <w:spacing w:val="-4"/>
          <w:sz w:val="18"/>
          <w:szCs w:val="18"/>
          <w:lang w:val="es-ES"/>
        </w:rPr>
        <w:t xml:space="preserve"> Etapas necesarias para el cálculo del CILP puro.</w:t>
      </w:r>
    </w:p>
    <w:p w14:paraId="5FB0AB30" w14:textId="77777777" w:rsidR="007727B0" w:rsidRPr="009041D4" w:rsidRDefault="007727B0" w:rsidP="007727B0">
      <w:pPr>
        <w:spacing w:after="0"/>
        <w:jc w:val="center"/>
        <w:rPr>
          <w:rFonts w:ascii="Arial" w:hAnsi="Arial" w:cs="Arial"/>
          <w:spacing w:val="-4"/>
        </w:rPr>
      </w:pPr>
    </w:p>
    <w:p w14:paraId="17A444F4"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De esta forma el modelo calculará los costos utilizando un modelo CILP puro y será capaz de calcular los costos mediante la metodología CIPLP+, pero únicamente de manera informativa.</w:t>
      </w:r>
    </w:p>
    <w:p w14:paraId="13F6096E" w14:textId="77777777" w:rsidR="007727B0" w:rsidRPr="009041D4" w:rsidRDefault="007727B0" w:rsidP="007727B0">
      <w:pPr>
        <w:spacing w:after="0"/>
        <w:rPr>
          <w:rFonts w:ascii="Arial" w:hAnsi="Arial" w:cs="Arial"/>
          <w:b/>
        </w:rPr>
      </w:pPr>
    </w:p>
    <w:p w14:paraId="60D46AB2" w14:textId="77777777" w:rsidR="007727B0" w:rsidRPr="009041D4" w:rsidRDefault="007727B0" w:rsidP="007727B0">
      <w:pPr>
        <w:spacing w:after="0"/>
        <w:rPr>
          <w:rFonts w:ascii="Arial" w:hAnsi="Arial" w:cs="Arial"/>
        </w:rPr>
      </w:pPr>
      <w:r w:rsidRPr="009041D4">
        <w:rPr>
          <w:rFonts w:ascii="Arial" w:hAnsi="Arial" w:cs="Arial"/>
          <w:b/>
        </w:rPr>
        <w:t>Depreciación</w:t>
      </w:r>
    </w:p>
    <w:p w14:paraId="500E0F2C" w14:textId="77777777" w:rsidR="007727B0" w:rsidRPr="009041D4" w:rsidRDefault="007727B0" w:rsidP="007727B0">
      <w:pPr>
        <w:spacing w:after="0"/>
        <w:jc w:val="both"/>
        <w:rPr>
          <w:rFonts w:ascii="Arial" w:hAnsi="Arial" w:cs="Arial"/>
          <w:spacing w:val="-4"/>
        </w:rPr>
      </w:pPr>
    </w:p>
    <w:p w14:paraId="4668E30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40DA476E" w14:textId="77777777" w:rsidR="007727B0" w:rsidRPr="009041D4" w:rsidRDefault="007727B0" w:rsidP="007727B0">
      <w:pPr>
        <w:spacing w:after="0"/>
        <w:jc w:val="both"/>
        <w:rPr>
          <w:rFonts w:ascii="Arial" w:hAnsi="Arial" w:cs="Arial"/>
          <w:spacing w:val="-4"/>
        </w:rPr>
      </w:pPr>
    </w:p>
    <w:p w14:paraId="10F3102B"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w:t>
      </w:r>
      <w:r w:rsidRPr="009041D4">
        <w:rPr>
          <w:rFonts w:ascii="Arial" w:eastAsia="Times New Roman" w:hAnsi="Arial" w:cs="Arial"/>
          <w:b/>
          <w:i/>
          <w:sz w:val="18"/>
          <w:szCs w:val="18"/>
          <w:lang w:val="es-ES" w:eastAsia="es-ES"/>
        </w:rPr>
        <w:t>SEXTO.-</w:t>
      </w:r>
      <w:r w:rsidRPr="009041D4">
        <w:rPr>
          <w:rFonts w:ascii="Arial" w:eastAsia="Times New Roman" w:hAnsi="Arial" w:cs="Arial"/>
          <w:i/>
          <w:sz w:val="18"/>
          <w:szCs w:val="18"/>
          <w:lang w:val="es-ES" w:eastAsia="es-ES"/>
        </w:rPr>
        <w:t xml:space="preserve"> La metodología empleada por los Modelos de Costos para la amortización de los activos será la metodología de Depreciación Económica.</w:t>
      </w:r>
    </w:p>
    <w:p w14:paraId="57C006DB"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p>
    <w:p w14:paraId="7CD3D31A" w14:textId="77777777" w:rsidR="007727B0" w:rsidRPr="009041D4" w:rsidRDefault="007727B0" w:rsidP="007727B0">
      <w:pPr>
        <w:spacing w:after="0"/>
        <w:ind w:left="567" w:right="651"/>
        <w:jc w:val="both"/>
        <w:rPr>
          <w:rFonts w:ascii="Arial" w:eastAsia="Times New Roman" w:hAnsi="Arial" w:cs="Arial"/>
          <w:i/>
          <w:sz w:val="18"/>
          <w:szCs w:val="18"/>
          <w:lang w:val="es-ES" w:eastAsia="es-ES"/>
        </w:rPr>
      </w:pPr>
      <w:r w:rsidRPr="009041D4">
        <w:rPr>
          <w:rFonts w:ascii="Arial" w:eastAsia="Times New Roman" w:hAnsi="Arial" w:cs="Arial"/>
          <w:i/>
          <w:sz w:val="18"/>
          <w:szCs w:val="18"/>
          <w:lang w:val="es-ES"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65567A97" w14:textId="77777777" w:rsidR="007727B0" w:rsidRPr="009041D4" w:rsidRDefault="007727B0" w:rsidP="007727B0">
      <w:pPr>
        <w:spacing w:after="0"/>
        <w:jc w:val="both"/>
        <w:rPr>
          <w:rFonts w:ascii="Arial" w:hAnsi="Arial" w:cs="Arial"/>
          <w:spacing w:val="-4"/>
        </w:rPr>
      </w:pPr>
    </w:p>
    <w:p w14:paraId="41A9CD4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En comparación con otros métodos de depreciación, este método considera todos los factores relevantes potenciales de depreciación, como son: </w:t>
      </w:r>
    </w:p>
    <w:p w14:paraId="2A35994E" w14:textId="77777777" w:rsidR="007727B0" w:rsidRPr="009041D4" w:rsidRDefault="007727B0" w:rsidP="007727B0">
      <w:pPr>
        <w:spacing w:after="0"/>
        <w:jc w:val="both"/>
        <w:rPr>
          <w:rFonts w:ascii="Arial" w:hAnsi="Arial" w:cs="Arial"/>
          <w:spacing w:val="-4"/>
        </w:rPr>
      </w:pPr>
    </w:p>
    <w:p w14:paraId="6546FDC1"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t>Costo del Activo Equivalente Moderno (MEA) en la actualidad</w:t>
      </w:r>
    </w:p>
    <w:p w14:paraId="6F81CCB2"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lastRenderedPageBreak/>
        <w:t>Pronóstico de costo del MEA</w:t>
      </w:r>
    </w:p>
    <w:p w14:paraId="6196C4F8"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t>Producción de la red a través del tiempo</w:t>
      </w:r>
    </w:p>
    <w:p w14:paraId="700F451E"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t>Vida financiera de los activos</w:t>
      </w:r>
    </w:p>
    <w:p w14:paraId="14DB86BD" w14:textId="77777777" w:rsidR="007727B0" w:rsidRPr="009041D4" w:rsidRDefault="007727B0" w:rsidP="005968B2">
      <w:pPr>
        <w:numPr>
          <w:ilvl w:val="0"/>
          <w:numId w:val="22"/>
        </w:numPr>
        <w:spacing w:after="0"/>
        <w:jc w:val="both"/>
        <w:rPr>
          <w:rFonts w:ascii="Arial" w:hAnsi="Arial" w:cs="Arial"/>
          <w:spacing w:val="-4"/>
        </w:rPr>
      </w:pPr>
      <w:r w:rsidRPr="009041D4">
        <w:rPr>
          <w:rFonts w:ascii="Arial" w:hAnsi="Arial" w:cs="Arial"/>
          <w:spacing w:val="-4"/>
        </w:rPr>
        <w:t>Vida económica de los activos</w:t>
      </w:r>
    </w:p>
    <w:p w14:paraId="44CCB76F" w14:textId="77777777" w:rsidR="007727B0" w:rsidRPr="009041D4" w:rsidRDefault="007727B0" w:rsidP="007727B0">
      <w:pPr>
        <w:spacing w:after="0"/>
        <w:jc w:val="both"/>
        <w:rPr>
          <w:rFonts w:ascii="Arial" w:hAnsi="Arial" w:cs="Arial"/>
          <w:spacing w:val="-4"/>
        </w:rPr>
      </w:pPr>
    </w:p>
    <w:p w14:paraId="7CA5EEB1"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9041D4">
        <w:rPr>
          <w:rFonts w:ascii="Arial" w:hAnsi="Arial" w:cs="Arial"/>
          <w:spacing w:val="-4"/>
          <w:vertAlign w:val="superscript"/>
        </w:rPr>
        <w:footnoteReference w:id="50"/>
      </w:r>
      <w:r w:rsidRPr="009041D4">
        <w:rPr>
          <w:rFonts w:ascii="Arial" w:hAnsi="Arial" w:cs="Arial"/>
          <w:spacing w:val="-4"/>
        </w:rPr>
        <w:t xml:space="preserve">. </w:t>
      </w:r>
    </w:p>
    <w:p w14:paraId="04C3068C" w14:textId="77777777" w:rsidR="007727B0" w:rsidRPr="009041D4" w:rsidRDefault="007727B0" w:rsidP="007727B0">
      <w:pPr>
        <w:spacing w:after="0"/>
        <w:jc w:val="both"/>
        <w:rPr>
          <w:rFonts w:ascii="Arial" w:hAnsi="Arial" w:cs="Arial"/>
          <w:spacing w:val="-4"/>
        </w:rPr>
      </w:pPr>
    </w:p>
    <w:p w14:paraId="48DEE148"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9041D4">
        <w:rPr>
          <w:rFonts w:ascii="Arial" w:hAnsi="Arial" w:cs="Arial"/>
          <w:spacing w:val="-4"/>
          <w:vertAlign w:val="superscript"/>
        </w:rPr>
        <w:footnoteReference w:id="51"/>
      </w:r>
      <w:r w:rsidRPr="009041D4">
        <w:rPr>
          <w:rFonts w:ascii="Arial" w:hAnsi="Arial" w:cs="Arial"/>
          <w:spacing w:val="-4"/>
        </w:rPr>
        <w:t>.</w:t>
      </w:r>
    </w:p>
    <w:p w14:paraId="29755861" w14:textId="77777777" w:rsidR="007727B0" w:rsidRPr="009041D4" w:rsidRDefault="007727B0" w:rsidP="007727B0">
      <w:pPr>
        <w:spacing w:after="0"/>
        <w:jc w:val="both"/>
        <w:rPr>
          <w:rFonts w:ascii="Arial" w:hAnsi="Arial" w:cs="Arial"/>
          <w:spacing w:val="-4"/>
        </w:rPr>
      </w:pPr>
    </w:p>
    <w:p w14:paraId="15CC572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Como la depreciación económica es un método para determinar cuál es la recuperación de costos económicamente racional debe:</w:t>
      </w:r>
    </w:p>
    <w:p w14:paraId="5B3966A9" w14:textId="77777777" w:rsidR="007727B0" w:rsidRPr="009041D4" w:rsidRDefault="007727B0" w:rsidP="007727B0">
      <w:pPr>
        <w:spacing w:after="0"/>
        <w:jc w:val="both"/>
        <w:rPr>
          <w:rFonts w:ascii="Arial" w:hAnsi="Arial" w:cs="Arial"/>
          <w:spacing w:val="-4"/>
        </w:rPr>
      </w:pPr>
    </w:p>
    <w:p w14:paraId="44245143" w14:textId="77777777" w:rsidR="007727B0" w:rsidRPr="009041D4" w:rsidRDefault="007727B0" w:rsidP="005968B2">
      <w:pPr>
        <w:numPr>
          <w:ilvl w:val="0"/>
          <w:numId w:val="23"/>
        </w:numPr>
        <w:spacing w:after="0"/>
        <w:jc w:val="both"/>
        <w:rPr>
          <w:rFonts w:ascii="Arial" w:hAnsi="Arial" w:cs="Arial"/>
          <w:spacing w:val="-4"/>
        </w:rPr>
      </w:pPr>
      <w:r w:rsidRPr="009041D4">
        <w:rPr>
          <w:rFonts w:ascii="Arial" w:hAnsi="Arial" w:cs="Arial"/>
          <w:spacing w:val="-4"/>
        </w:rPr>
        <w:t>Reflejar los costos subyacentes de producción: tendencias de precio del MEA</w:t>
      </w:r>
    </w:p>
    <w:p w14:paraId="404E5872" w14:textId="77777777" w:rsidR="007727B0" w:rsidRPr="009041D4" w:rsidRDefault="007727B0" w:rsidP="005968B2">
      <w:pPr>
        <w:numPr>
          <w:ilvl w:val="0"/>
          <w:numId w:val="23"/>
        </w:numPr>
        <w:spacing w:after="0"/>
        <w:jc w:val="both"/>
        <w:rPr>
          <w:rFonts w:ascii="Arial" w:hAnsi="Arial" w:cs="Arial"/>
          <w:spacing w:val="-4"/>
        </w:rPr>
      </w:pPr>
      <w:r w:rsidRPr="009041D4">
        <w:rPr>
          <w:rFonts w:ascii="Arial" w:hAnsi="Arial" w:cs="Arial"/>
          <w:spacing w:val="-4"/>
        </w:rPr>
        <w:t>Reflejar la producción de los elementos de la red en el largo plazo.</w:t>
      </w:r>
    </w:p>
    <w:p w14:paraId="18A3F6D7" w14:textId="77777777" w:rsidR="007727B0" w:rsidRPr="009041D4" w:rsidRDefault="007727B0" w:rsidP="007727B0">
      <w:pPr>
        <w:spacing w:after="0"/>
        <w:jc w:val="both"/>
        <w:rPr>
          <w:rFonts w:ascii="Arial" w:hAnsi="Arial" w:cs="Arial"/>
          <w:spacing w:val="-4"/>
        </w:rPr>
      </w:pPr>
    </w:p>
    <w:p w14:paraId="65415F62"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primer factor relaciona la recuperación de costos a la de un nuevo entrante en el mercado (si el mercado es contestable) que podría ofrecer servicios con base en los costos actuales de producción.</w:t>
      </w:r>
    </w:p>
    <w:p w14:paraId="17F5252B" w14:textId="77777777" w:rsidR="007727B0" w:rsidRPr="009041D4" w:rsidRDefault="007727B0" w:rsidP="007727B0">
      <w:pPr>
        <w:spacing w:after="0"/>
        <w:jc w:val="both"/>
        <w:rPr>
          <w:rFonts w:ascii="Arial" w:hAnsi="Arial" w:cs="Arial"/>
          <w:spacing w:val="-4"/>
        </w:rPr>
      </w:pPr>
    </w:p>
    <w:p w14:paraId="329FB20C"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337E3E84" w14:textId="77777777" w:rsidR="007727B0" w:rsidRPr="009041D4" w:rsidRDefault="007727B0" w:rsidP="007727B0">
      <w:pPr>
        <w:spacing w:after="0"/>
        <w:jc w:val="both"/>
        <w:rPr>
          <w:rFonts w:ascii="Arial" w:hAnsi="Arial" w:cs="Arial"/>
          <w:spacing w:val="-4"/>
        </w:rPr>
      </w:pPr>
    </w:p>
    <w:p w14:paraId="0D3124B9"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La implementación de depreciación económica a ser usada en los modelos de costos está basada en el principio que establece que </w:t>
      </w:r>
      <w:r w:rsidRPr="009041D4">
        <w:rPr>
          <w:rFonts w:ascii="Arial" w:hAnsi="Arial" w:cs="Arial"/>
          <w:i/>
          <w:spacing w:val="-4"/>
        </w:rPr>
        <w:t>todos los costos incurridos (eficientemente) deben ser completamente recuperados en forma económicamente racional</w:t>
      </w:r>
      <w:r w:rsidRPr="009041D4">
        <w:rPr>
          <w:rFonts w:ascii="Arial" w:hAnsi="Arial" w:cs="Arial"/>
          <w:spacing w:val="-4"/>
        </w:rPr>
        <w:t xml:space="preserve">. La recuperación total de estos costos se garantiza al comprobar que el valor presente (PV) de los gastos sea igual al valor presente de los costos económicos recuperados, o alternativamente, que el valor presente neto (NPV) de los costos recuperados menos los gastos sea cero.  </w:t>
      </w:r>
    </w:p>
    <w:p w14:paraId="315A8DB9" w14:textId="77777777" w:rsidR="007727B0" w:rsidRPr="009041D4" w:rsidRDefault="007727B0" w:rsidP="007727B0">
      <w:pPr>
        <w:spacing w:after="0"/>
        <w:jc w:val="both"/>
        <w:rPr>
          <w:rFonts w:ascii="Arial" w:hAnsi="Arial" w:cs="Arial"/>
          <w:spacing w:val="-4"/>
        </w:rPr>
      </w:pPr>
    </w:p>
    <w:p w14:paraId="79FBB4BD" w14:textId="77777777" w:rsidR="007727B0" w:rsidRPr="009041D4" w:rsidRDefault="007727B0" w:rsidP="007727B0">
      <w:pPr>
        <w:spacing w:after="0"/>
        <w:jc w:val="both"/>
        <w:rPr>
          <w:rFonts w:ascii="Arial" w:hAnsi="Arial" w:cs="Arial"/>
          <w:b/>
          <w:spacing w:val="-4"/>
        </w:rPr>
      </w:pPr>
      <w:r w:rsidRPr="009041D4">
        <w:rPr>
          <w:rFonts w:ascii="Arial" w:hAnsi="Arial" w:cs="Arial"/>
          <w:b/>
          <w:spacing w:val="-4"/>
        </w:rPr>
        <w:lastRenderedPageBreak/>
        <w:t>Serie de tiempo</w:t>
      </w:r>
    </w:p>
    <w:p w14:paraId="4851C240" w14:textId="77777777" w:rsidR="007727B0" w:rsidRPr="009041D4" w:rsidRDefault="007727B0" w:rsidP="007727B0">
      <w:pPr>
        <w:spacing w:after="0"/>
        <w:jc w:val="both"/>
        <w:rPr>
          <w:rFonts w:ascii="Arial" w:hAnsi="Arial" w:cs="Arial"/>
          <w:b/>
          <w:spacing w:val="-4"/>
        </w:rPr>
      </w:pPr>
    </w:p>
    <w:p w14:paraId="0395FA61"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serie de tiempo, o el número de años para el que se calcularán los volúmenes de demanda y activos, es un insumo muy importante. El modelo de costos empleará una serie de tiempo larga ya que ésta:</w:t>
      </w:r>
    </w:p>
    <w:p w14:paraId="2BB308A5" w14:textId="77777777" w:rsidR="007727B0" w:rsidRPr="009041D4" w:rsidRDefault="007727B0" w:rsidP="005968B2">
      <w:pPr>
        <w:numPr>
          <w:ilvl w:val="0"/>
          <w:numId w:val="24"/>
        </w:numPr>
        <w:spacing w:after="0"/>
        <w:jc w:val="both"/>
        <w:rPr>
          <w:rFonts w:ascii="Arial" w:hAnsi="Arial" w:cs="Arial"/>
          <w:spacing w:val="-4"/>
        </w:rPr>
      </w:pPr>
      <w:r w:rsidRPr="009041D4">
        <w:rPr>
          <w:rFonts w:ascii="Arial" w:hAnsi="Arial" w:cs="Arial"/>
          <w:spacing w:val="-4"/>
        </w:rPr>
        <w:t>Permite que se consideren todos los costos en el tiempo, suministrando la mayor claridad dentro del modelo en relación a las implicaciones de adoptar depreciación económica;</w:t>
      </w:r>
    </w:p>
    <w:p w14:paraId="0E5F7EA2" w14:textId="77777777" w:rsidR="007727B0" w:rsidRPr="009041D4" w:rsidRDefault="007727B0" w:rsidP="005968B2">
      <w:pPr>
        <w:numPr>
          <w:ilvl w:val="0"/>
          <w:numId w:val="24"/>
        </w:numPr>
        <w:spacing w:after="0"/>
        <w:jc w:val="both"/>
        <w:rPr>
          <w:rFonts w:ascii="Arial" w:hAnsi="Arial" w:cs="Arial"/>
          <w:spacing w:val="-4"/>
        </w:rPr>
      </w:pPr>
      <w:r w:rsidRPr="009041D4">
        <w:rPr>
          <w:rFonts w:ascii="Arial" w:hAnsi="Arial" w:cs="Arial"/>
          <w:spacing w:val="-4"/>
        </w:rPr>
        <w:t xml:space="preserve">Puede ser utilizado para estimar grandes pérdidas/ganancias resultantes de cambios en el costeo, permitiendo mayor transparencia sobre la recuperación de todos los costos incurridos por proveer los servicios; </w:t>
      </w:r>
    </w:p>
    <w:p w14:paraId="0089B46B" w14:textId="77777777" w:rsidR="007727B0" w:rsidRPr="009041D4" w:rsidRDefault="007727B0" w:rsidP="005968B2">
      <w:pPr>
        <w:numPr>
          <w:ilvl w:val="0"/>
          <w:numId w:val="24"/>
        </w:numPr>
        <w:spacing w:after="0"/>
        <w:jc w:val="both"/>
        <w:rPr>
          <w:rFonts w:ascii="Arial" w:hAnsi="Arial" w:cs="Arial"/>
          <w:spacing w:val="-4"/>
        </w:rPr>
      </w:pPr>
      <w:r w:rsidRPr="009041D4">
        <w:rPr>
          <w:rFonts w:ascii="Arial" w:hAnsi="Arial" w:cs="Arial"/>
          <w:spacing w:val="-4"/>
        </w:rPr>
        <w:t>Genera una gran cantidad de información para entender como varían los costos del operador modelado a través del tiempo en respuesta a cambios en la demanda o la evolución de la red;</w:t>
      </w:r>
    </w:p>
    <w:p w14:paraId="3DDB1CC0" w14:textId="77777777" w:rsidR="007727B0" w:rsidRPr="009041D4" w:rsidRDefault="007727B0" w:rsidP="007727B0">
      <w:pPr>
        <w:spacing w:after="0"/>
        <w:jc w:val="both"/>
        <w:rPr>
          <w:rFonts w:ascii="Arial" w:hAnsi="Arial" w:cs="Arial"/>
          <w:spacing w:val="-4"/>
        </w:rPr>
      </w:pPr>
    </w:p>
    <w:p w14:paraId="19EACE37"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5FF5D877" w14:textId="77777777" w:rsidR="007727B0" w:rsidRPr="009041D4" w:rsidRDefault="007727B0" w:rsidP="007727B0">
      <w:pPr>
        <w:spacing w:after="0"/>
        <w:jc w:val="both"/>
        <w:rPr>
          <w:rFonts w:ascii="Arial" w:hAnsi="Arial" w:cs="Arial"/>
          <w:spacing w:val="-4"/>
        </w:rPr>
      </w:pPr>
    </w:p>
    <w:p w14:paraId="757E27D1" w14:textId="77777777" w:rsidR="007727B0" w:rsidRPr="009041D4" w:rsidRDefault="007727B0" w:rsidP="007727B0">
      <w:pPr>
        <w:spacing w:after="0"/>
        <w:jc w:val="both"/>
        <w:rPr>
          <w:rFonts w:ascii="Arial" w:hAnsi="Arial" w:cs="Arial"/>
          <w:color w:val="000000"/>
          <w:spacing w:val="-4"/>
        </w:rPr>
      </w:pPr>
      <w:r w:rsidRPr="009041D4">
        <w:rPr>
          <w:rFonts w:ascii="Arial" w:hAnsi="Arial" w:cs="Arial"/>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03CA6DEC" w14:textId="77777777" w:rsidR="007727B0" w:rsidRPr="009041D4" w:rsidRDefault="007727B0" w:rsidP="007727B0">
      <w:pPr>
        <w:spacing w:after="0"/>
        <w:jc w:val="both"/>
        <w:rPr>
          <w:rFonts w:ascii="Arial" w:hAnsi="Arial" w:cs="Arial"/>
          <w:spacing w:val="-4"/>
        </w:rPr>
      </w:pPr>
    </w:p>
    <w:p w14:paraId="07E7A6E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2021 a 2023. </w:t>
      </w:r>
    </w:p>
    <w:p w14:paraId="5CFB30FA" w14:textId="77777777" w:rsidR="007727B0" w:rsidRPr="009041D4" w:rsidRDefault="007727B0" w:rsidP="007727B0">
      <w:pPr>
        <w:spacing w:after="0"/>
        <w:jc w:val="both"/>
        <w:rPr>
          <w:rFonts w:ascii="Arial" w:hAnsi="Arial" w:cs="Arial"/>
          <w:spacing w:val="-4"/>
        </w:rPr>
      </w:pPr>
    </w:p>
    <w:p w14:paraId="2B92DC1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3C11F5BC" w14:textId="77777777" w:rsidR="007727B0" w:rsidRPr="009041D4" w:rsidRDefault="007727B0" w:rsidP="007727B0">
      <w:pPr>
        <w:spacing w:after="0"/>
        <w:jc w:val="both"/>
        <w:rPr>
          <w:rFonts w:ascii="Arial" w:hAnsi="Arial" w:cs="Arial"/>
          <w:spacing w:val="-4"/>
        </w:rPr>
      </w:pPr>
    </w:p>
    <w:p w14:paraId="180CFA8D"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Para alinear la duración de las concesiones móviles con la serie de tiempo elegida para el modelo – equivalente a 50 años – se asume que cada concesión de espectro es válida durante un periodo de 20 años y después renovable cada 15 años.</w:t>
      </w:r>
    </w:p>
    <w:p w14:paraId="44F4B11D" w14:textId="77777777" w:rsidR="007727B0" w:rsidRPr="009041D4" w:rsidRDefault="007727B0" w:rsidP="007727B0">
      <w:pPr>
        <w:spacing w:after="0"/>
        <w:jc w:val="both"/>
        <w:rPr>
          <w:rFonts w:ascii="Arial" w:hAnsi="Arial" w:cs="Arial"/>
          <w:b/>
          <w:spacing w:val="-4"/>
        </w:rPr>
      </w:pPr>
    </w:p>
    <w:p w14:paraId="7A3B80B8" w14:textId="77777777" w:rsidR="007727B0" w:rsidRPr="009041D4" w:rsidRDefault="007727B0" w:rsidP="007727B0">
      <w:pPr>
        <w:spacing w:after="0"/>
        <w:rPr>
          <w:rFonts w:ascii="Arial" w:hAnsi="Arial" w:cs="Arial"/>
          <w:b/>
        </w:rPr>
      </w:pPr>
      <w:r w:rsidRPr="009041D4">
        <w:rPr>
          <w:rFonts w:ascii="Arial" w:hAnsi="Arial" w:cs="Arial"/>
          <w:b/>
        </w:rPr>
        <w:t>4.5 Costo de capital promedio ponderado (CCPP)</w:t>
      </w:r>
    </w:p>
    <w:p w14:paraId="57C61538" w14:textId="77777777" w:rsidR="007727B0" w:rsidRPr="009041D4" w:rsidRDefault="007727B0" w:rsidP="007727B0">
      <w:pPr>
        <w:spacing w:after="0"/>
        <w:rPr>
          <w:rFonts w:ascii="Arial" w:hAnsi="Arial" w:cs="Arial"/>
        </w:rPr>
      </w:pPr>
    </w:p>
    <w:p w14:paraId="6528E147"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lastRenderedPageBreak/>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6C575C1F" w14:textId="77777777" w:rsidR="007727B0" w:rsidRPr="009041D4" w:rsidRDefault="007727B0" w:rsidP="007727B0">
      <w:pPr>
        <w:spacing w:after="0"/>
        <w:jc w:val="center"/>
        <w:rPr>
          <w:rFonts w:ascii="Arial" w:hAnsi="Arial" w:cs="Arial"/>
        </w:rPr>
      </w:pPr>
      <w:r w:rsidRPr="009041D4">
        <w:rPr>
          <w:rFonts w:ascii="Arial" w:hAnsi="Arial" w:cs="Arial"/>
          <w:position w:val="-24"/>
        </w:rPr>
        <w:object w:dxaOrig="3300" w:dyaOrig="620" w14:anchorId="5B1CEC02">
          <v:shape id="_x0000_i1026" type="#_x0000_t75" style="width:163pt;height:30.55pt" o:ole="">
            <v:imagedata r:id="rId33" o:title=""/>
          </v:shape>
          <o:OLEObject Type="Embed" ProgID="Equation.3" ShapeID="_x0000_i1026" DrawAspect="Content" ObjectID="_1660649268" r:id="rId34"/>
        </w:object>
      </w:r>
    </w:p>
    <w:p w14:paraId="6E7610B6" w14:textId="77777777" w:rsidR="007727B0" w:rsidRPr="009041D4" w:rsidRDefault="007727B0" w:rsidP="007727B0">
      <w:pPr>
        <w:spacing w:after="0"/>
        <w:jc w:val="both"/>
        <w:rPr>
          <w:rFonts w:ascii="Arial" w:hAnsi="Arial" w:cs="Arial"/>
          <w:lang w:val="es-ES"/>
        </w:rPr>
      </w:pPr>
      <w:r w:rsidRPr="009041D4">
        <w:rPr>
          <w:rFonts w:ascii="Arial" w:hAnsi="Arial" w:cs="Arial"/>
          <w:lang w:val="es-ES"/>
        </w:rPr>
        <w:t>Donde:</w:t>
      </w:r>
    </w:p>
    <w:p w14:paraId="426C1545" w14:textId="77777777" w:rsidR="007727B0" w:rsidRPr="009041D4" w:rsidRDefault="007727B0" w:rsidP="007727B0">
      <w:pPr>
        <w:spacing w:after="0"/>
        <w:jc w:val="both"/>
        <w:rPr>
          <w:rFonts w:ascii="Arial" w:hAnsi="Arial" w:cs="Arial"/>
          <w:lang w:val="es-ES"/>
        </w:rPr>
      </w:pPr>
    </w:p>
    <w:p w14:paraId="4778DB59" w14:textId="77777777" w:rsidR="007727B0" w:rsidRPr="009041D4" w:rsidRDefault="007727B0" w:rsidP="007727B0">
      <w:pPr>
        <w:spacing w:after="0"/>
        <w:jc w:val="both"/>
        <w:rPr>
          <w:rFonts w:ascii="Arial" w:hAnsi="Arial" w:cs="Arial"/>
          <w:lang w:val="es-ES"/>
        </w:rPr>
      </w:pPr>
      <w:r w:rsidRPr="009041D4">
        <w:rPr>
          <w:rFonts w:ascii="Arial" w:hAnsi="Arial" w:cs="Arial"/>
          <w:position w:val="-12"/>
          <w:lang w:val="es-ES"/>
        </w:rPr>
        <w:object w:dxaOrig="320" w:dyaOrig="360" w14:anchorId="7F96F97D">
          <v:shape id="_x0000_i1027" type="#_x0000_t75" style="width:19pt;height:19pt" o:ole="">
            <v:imagedata r:id="rId35" o:title=""/>
          </v:shape>
          <o:OLEObject Type="Embed" ProgID="Equation.3" ShapeID="_x0000_i1027" DrawAspect="Content" ObjectID="_1660649269" r:id="rId36"/>
        </w:object>
      </w:r>
      <w:r w:rsidRPr="009041D4">
        <w:rPr>
          <w:rFonts w:ascii="Arial" w:hAnsi="Arial" w:cs="Arial"/>
          <w:lang w:val="es-ES"/>
        </w:rPr>
        <w:t xml:space="preserve"> es el costo de la deuda</w:t>
      </w:r>
    </w:p>
    <w:p w14:paraId="0283B2A9" w14:textId="77777777" w:rsidR="007727B0" w:rsidRPr="009041D4" w:rsidRDefault="007727B0" w:rsidP="007727B0">
      <w:pPr>
        <w:spacing w:after="0"/>
        <w:jc w:val="both"/>
        <w:rPr>
          <w:rFonts w:ascii="Arial" w:hAnsi="Arial" w:cs="Arial"/>
          <w:lang w:val="es-ES"/>
        </w:rPr>
      </w:pPr>
      <w:r w:rsidRPr="009041D4">
        <w:rPr>
          <w:rFonts w:ascii="Arial" w:hAnsi="Arial" w:cs="Arial"/>
          <w:position w:val="-12"/>
          <w:lang w:val="es-ES"/>
        </w:rPr>
        <w:object w:dxaOrig="300" w:dyaOrig="360" w14:anchorId="5DEE3EC6">
          <v:shape id="_x0000_i1028" type="#_x0000_t75" style="width:19pt;height:19pt" o:ole="">
            <v:imagedata r:id="rId37" o:title=""/>
          </v:shape>
          <o:OLEObject Type="Embed" ProgID="Equation.3" ShapeID="_x0000_i1028" DrawAspect="Content" ObjectID="_1660649270" r:id="rId38"/>
        </w:object>
      </w:r>
      <w:r w:rsidRPr="009041D4">
        <w:rPr>
          <w:rFonts w:ascii="Arial" w:hAnsi="Arial" w:cs="Arial"/>
          <w:lang w:val="es-ES"/>
        </w:rPr>
        <w:t xml:space="preserve"> es el costo del capital de la empresa antes de impuestos</w:t>
      </w:r>
    </w:p>
    <w:p w14:paraId="1169C242" w14:textId="77777777" w:rsidR="007727B0" w:rsidRPr="009041D4" w:rsidRDefault="007727B0" w:rsidP="007727B0">
      <w:pPr>
        <w:spacing w:after="0"/>
        <w:jc w:val="both"/>
        <w:rPr>
          <w:rFonts w:ascii="Arial" w:hAnsi="Arial" w:cs="Arial"/>
          <w:lang w:val="es-ES"/>
        </w:rPr>
      </w:pPr>
      <w:r w:rsidRPr="009041D4">
        <w:rPr>
          <w:rFonts w:ascii="Arial" w:hAnsi="Arial" w:cs="Arial"/>
          <w:position w:val="-4"/>
          <w:lang w:val="es-ES"/>
        </w:rPr>
        <w:object w:dxaOrig="260" w:dyaOrig="260" w14:anchorId="17EB1044">
          <v:shape id="_x0000_i1029" type="#_x0000_t75" style="width:10.35pt;height:10.35pt" o:ole="" o:bullet="t">
            <v:imagedata r:id="rId39" o:title=""/>
          </v:shape>
          <o:OLEObject Type="Embed" ProgID="Equation.3" ShapeID="_x0000_i1029" DrawAspect="Content" ObjectID="_1660649271" r:id="rId40"/>
        </w:object>
      </w:r>
      <w:r w:rsidRPr="009041D4">
        <w:rPr>
          <w:rFonts w:ascii="Arial" w:hAnsi="Arial" w:cs="Arial"/>
          <w:lang w:val="es-ES"/>
        </w:rPr>
        <w:t xml:space="preserve"> es el valor de la deuda del operador</w:t>
      </w:r>
    </w:p>
    <w:p w14:paraId="214E0EAF" w14:textId="77777777" w:rsidR="007727B0" w:rsidRPr="009041D4" w:rsidRDefault="007727B0" w:rsidP="007727B0">
      <w:pPr>
        <w:spacing w:after="0"/>
        <w:rPr>
          <w:rFonts w:ascii="Arial" w:hAnsi="Arial" w:cs="Arial"/>
        </w:rPr>
      </w:pPr>
      <w:r w:rsidRPr="009041D4">
        <w:rPr>
          <w:rFonts w:ascii="Arial" w:hAnsi="Arial" w:cs="Arial"/>
          <w:position w:val="-4"/>
        </w:rPr>
        <w:object w:dxaOrig="240" w:dyaOrig="260" w14:anchorId="2FDBCE7B">
          <v:shape id="_x0000_i1030" type="#_x0000_t75" style="width:10.95pt;height:10.35pt" o:ole="" o:bullet="t">
            <v:imagedata r:id="rId41" o:title=""/>
          </v:shape>
          <o:OLEObject Type="Embed" ProgID="Equation.3" ShapeID="_x0000_i1030" DrawAspect="Content" ObjectID="_1660649272" r:id="rId42"/>
        </w:object>
      </w:r>
      <w:r w:rsidRPr="009041D4">
        <w:rPr>
          <w:rFonts w:ascii="Arial" w:hAnsi="Arial" w:cs="Arial"/>
        </w:rPr>
        <w:t xml:space="preserve"> es el valor del capital (</w:t>
      </w:r>
      <w:r w:rsidRPr="009041D4">
        <w:rPr>
          <w:rFonts w:ascii="Arial" w:hAnsi="Arial" w:cs="Arial"/>
          <w:i/>
        </w:rPr>
        <w:t>equity</w:t>
      </w:r>
      <w:r w:rsidRPr="009041D4">
        <w:rPr>
          <w:rFonts w:ascii="Arial" w:hAnsi="Arial" w:cs="Arial"/>
        </w:rPr>
        <w:t>) del operador</w:t>
      </w:r>
    </w:p>
    <w:p w14:paraId="4A961C9A" w14:textId="77777777" w:rsidR="007727B0" w:rsidRPr="009041D4" w:rsidRDefault="007727B0" w:rsidP="007727B0">
      <w:pPr>
        <w:spacing w:after="0"/>
        <w:jc w:val="both"/>
        <w:rPr>
          <w:rFonts w:ascii="Arial" w:hAnsi="Arial" w:cs="Arial"/>
          <w:spacing w:val="-4"/>
        </w:rPr>
      </w:pPr>
    </w:p>
    <w:p w14:paraId="7BD40F4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Debido a que estos parámetros, o estimaciones de los mismos se encuentran disponibles en forma nominal, se calcula el CCPP nominal antes de impuestos y se convierte al CCPP real</w:t>
      </w:r>
      <w:r w:rsidRPr="009041D4">
        <w:rPr>
          <w:rFonts w:ascii="Arial" w:hAnsi="Arial" w:cs="Arial"/>
          <w:iCs/>
          <w:spacing w:val="-4"/>
          <w:vertAlign w:val="superscript"/>
        </w:rPr>
        <w:footnoteReference w:id="52"/>
      </w:r>
      <w:r w:rsidRPr="009041D4">
        <w:rPr>
          <w:rFonts w:ascii="Arial" w:hAnsi="Arial" w:cs="Arial"/>
          <w:spacing w:val="-4"/>
        </w:rPr>
        <w:t xml:space="preserve"> antes de impuestos de la siguiente manera:</w:t>
      </w:r>
    </w:p>
    <w:p w14:paraId="115B97CD" w14:textId="77777777" w:rsidR="007727B0" w:rsidRPr="009041D4" w:rsidRDefault="007727B0" w:rsidP="007727B0">
      <w:pPr>
        <w:spacing w:after="0"/>
        <w:jc w:val="both"/>
        <w:rPr>
          <w:rFonts w:ascii="Arial" w:hAnsi="Arial" w:cs="Arial"/>
          <w:spacing w:val="-4"/>
        </w:rPr>
      </w:pPr>
    </w:p>
    <w:p w14:paraId="01DB4827" w14:textId="77777777" w:rsidR="007727B0" w:rsidRPr="009041D4" w:rsidRDefault="007727B0" w:rsidP="007727B0">
      <w:pPr>
        <w:spacing w:after="0"/>
        <w:jc w:val="both"/>
        <w:rPr>
          <w:rFonts w:ascii="Arial" w:hAnsi="Arial" w:cs="Arial"/>
          <w:spacing w:val="-4"/>
        </w:rPr>
      </w:pPr>
      <m:oMathPara>
        <m:oMath>
          <m:r>
            <w:rPr>
              <w:rFonts w:ascii="Cambria Math" w:hAnsi="Cambria Math" w:cs="Arial"/>
              <w:spacing w:val="-4"/>
            </w:rPr>
            <m:t xml:space="preserve">Real CCPP = </m:t>
          </m:r>
          <m:f>
            <m:fPr>
              <m:ctrlPr>
                <w:rPr>
                  <w:rFonts w:ascii="Cambria Math" w:hAnsi="Cambria Math" w:cs="Arial"/>
                  <w:i/>
                  <w:spacing w:val="-4"/>
                </w:rPr>
              </m:ctrlPr>
            </m:fPr>
            <m:num>
              <m:d>
                <m:dPr>
                  <m:ctrlPr>
                    <w:rPr>
                      <w:rFonts w:ascii="Cambria Math" w:hAnsi="Cambria Math" w:cs="Arial"/>
                      <w:i/>
                      <w:spacing w:val="-4"/>
                    </w:rPr>
                  </m:ctrlPr>
                </m:dPr>
                <m:e>
                  <m:r>
                    <w:rPr>
                      <w:rFonts w:ascii="Cambria Math" w:hAnsi="Cambria Math" w:cs="Arial"/>
                      <w:spacing w:val="-4"/>
                    </w:rPr>
                    <m:t>1+Nominal CCPP</m:t>
                  </m:r>
                </m:e>
              </m:d>
            </m:num>
            <m:den>
              <m:r>
                <w:rPr>
                  <w:rFonts w:ascii="Cambria Math" w:hAnsi="Cambria Math" w:cs="Arial"/>
                  <w:spacing w:val="-4"/>
                </w:rPr>
                <m:t xml:space="preserve">(1+ </m:t>
              </m:r>
              <m:sSup>
                <m:sSupPr>
                  <m:ctrlPr>
                    <w:rPr>
                      <w:rFonts w:ascii="Cambria Math" w:hAnsi="Cambria Math" w:cs="Arial"/>
                      <w:i/>
                      <w:spacing w:val="-4"/>
                    </w:rPr>
                  </m:ctrlPr>
                </m:sSupPr>
                <m:e>
                  <m:r>
                    <w:rPr>
                      <w:rFonts w:ascii="Cambria Math" w:hAnsi="Cambria Math" w:cs="Arial"/>
                      <w:spacing w:val="-4"/>
                    </w:rPr>
                    <m:t>π</m:t>
                  </m:r>
                </m:e>
                <m:sup>
                  <m:r>
                    <w:rPr>
                      <w:rFonts w:ascii="Cambria Math" w:hAnsi="Cambria Math" w:cs="Arial"/>
                      <w:spacing w:val="-4"/>
                    </w:rPr>
                    <m:t>*</m:t>
                  </m:r>
                </m:sup>
              </m:sSup>
              <m:r>
                <w:rPr>
                  <w:rFonts w:ascii="Cambria Math" w:hAnsi="Cambria Math" w:cs="Arial"/>
                  <w:spacing w:val="-4"/>
                </w:rPr>
                <m:t>)</m:t>
              </m:r>
            </m:den>
          </m:f>
          <m:r>
            <w:rPr>
              <w:rFonts w:ascii="Cambria Math" w:hAnsi="Cambria Math" w:cs="Arial"/>
              <w:spacing w:val="-4"/>
            </w:rPr>
            <m:t>-1</m:t>
          </m:r>
        </m:oMath>
      </m:oMathPara>
    </w:p>
    <w:p w14:paraId="546BA7E1" w14:textId="77777777" w:rsidR="007727B0" w:rsidRPr="009041D4" w:rsidRDefault="007727B0" w:rsidP="007727B0">
      <w:pPr>
        <w:spacing w:after="0"/>
        <w:jc w:val="center"/>
        <w:rPr>
          <w:rFonts w:ascii="Arial" w:hAnsi="Arial" w:cs="Arial"/>
        </w:rPr>
      </w:pPr>
    </w:p>
    <w:p w14:paraId="411446EC" w14:textId="77777777" w:rsidR="007727B0" w:rsidRPr="009041D4" w:rsidRDefault="007727B0" w:rsidP="007727B0">
      <w:pPr>
        <w:spacing w:after="0"/>
        <w:rPr>
          <w:rFonts w:ascii="Arial" w:hAnsi="Arial" w:cs="Arial"/>
        </w:rPr>
      </w:pPr>
      <w:r w:rsidRPr="009041D4">
        <w:rPr>
          <w:rFonts w:ascii="Arial" w:hAnsi="Arial" w:cs="Arial"/>
        </w:rPr>
        <w:t>Donde:</w:t>
      </w:r>
    </w:p>
    <w:p w14:paraId="41F19098" w14:textId="77777777" w:rsidR="007727B0" w:rsidRPr="009041D4" w:rsidRDefault="00347FAD" w:rsidP="007727B0">
      <w:pPr>
        <w:tabs>
          <w:tab w:val="num" w:pos="360"/>
        </w:tabs>
        <w:spacing w:after="0"/>
        <w:ind w:left="360" w:hanging="360"/>
        <w:jc w:val="both"/>
        <w:rPr>
          <w:rFonts w:ascii="Arial" w:eastAsia="Times New Roman" w:hAnsi="Arial" w:cs="Arial"/>
          <w:szCs w:val="24"/>
          <w:lang w:eastAsia="es-ES"/>
        </w:rPr>
      </w:pPr>
      <m:oMath>
        <m:sSup>
          <m:sSupPr>
            <m:ctrlPr>
              <w:rPr>
                <w:rFonts w:ascii="Cambria Math" w:eastAsia="Times New Roman" w:hAnsi="Cambria Math" w:cs="Arial"/>
                <w:i/>
                <w:iCs/>
                <w:szCs w:val="24"/>
                <w:lang w:eastAsia="es-ES"/>
              </w:rPr>
            </m:ctrlPr>
          </m:sSupPr>
          <m:e>
            <m:r>
              <w:rPr>
                <w:rFonts w:ascii="Cambria Math" w:eastAsia="Times New Roman" w:hAnsi="Cambria Math" w:cs="Arial"/>
                <w:szCs w:val="24"/>
                <w:lang w:eastAsia="es-ES"/>
              </w:rPr>
              <m:t>π</m:t>
            </m:r>
          </m:e>
          <m:sup>
            <m:r>
              <w:rPr>
                <w:rFonts w:ascii="Cambria Math" w:eastAsia="Times New Roman" w:hAnsi="Cambria Math" w:cs="Arial"/>
                <w:szCs w:val="24"/>
                <w:lang w:eastAsia="es-ES"/>
              </w:rPr>
              <m:t>*</m:t>
            </m:r>
          </m:sup>
        </m:sSup>
      </m:oMath>
      <w:r w:rsidR="007727B0" w:rsidRPr="009041D4">
        <w:rPr>
          <w:rFonts w:ascii="Arial" w:eastAsia="Times New Roman" w:hAnsi="Arial" w:cs="Arial"/>
          <w:i/>
          <w:iCs/>
          <w:szCs w:val="24"/>
          <w:lang w:eastAsia="es-ES"/>
        </w:rPr>
        <w:t xml:space="preserve"> </w:t>
      </w:r>
      <w:r w:rsidR="007727B0" w:rsidRPr="009041D4">
        <w:rPr>
          <w:rFonts w:ascii="Arial" w:eastAsia="Times New Roman" w:hAnsi="Arial" w:cs="Arial"/>
          <w:szCs w:val="24"/>
          <w:lang w:eastAsia="es-ES"/>
        </w:rPr>
        <w:t>es la tasa de inflación objetivo del Banco de México para el largo plazo.</w:t>
      </w:r>
    </w:p>
    <w:p w14:paraId="6B44EE48" w14:textId="77777777" w:rsidR="007727B0" w:rsidRPr="009041D4" w:rsidRDefault="007727B0" w:rsidP="007727B0">
      <w:pPr>
        <w:tabs>
          <w:tab w:val="num" w:pos="360"/>
        </w:tabs>
        <w:spacing w:after="0"/>
        <w:jc w:val="both"/>
        <w:rPr>
          <w:rFonts w:ascii="Arial" w:eastAsia="Times New Roman" w:hAnsi="Arial" w:cs="Arial"/>
          <w:szCs w:val="24"/>
          <w:lang w:eastAsia="es-ES"/>
        </w:rPr>
      </w:pPr>
    </w:p>
    <w:p w14:paraId="4E7642E8" w14:textId="77777777" w:rsidR="007727B0" w:rsidRPr="009041D4" w:rsidRDefault="007727B0" w:rsidP="007727B0">
      <w:pPr>
        <w:tabs>
          <w:tab w:val="num" w:pos="360"/>
        </w:tabs>
        <w:spacing w:after="0"/>
        <w:jc w:val="both"/>
        <w:rPr>
          <w:rFonts w:ascii="Arial" w:eastAsia="Times New Roman" w:hAnsi="Arial" w:cs="Arial"/>
          <w:szCs w:val="24"/>
          <w:lang w:eastAsia="es-ES"/>
        </w:rPr>
      </w:pPr>
      <w:r w:rsidRPr="009041D4">
        <w:rPr>
          <w:rFonts w:ascii="Arial" w:eastAsia="Times New Roman" w:hAnsi="Arial" w:cs="Arial"/>
          <w:szCs w:val="24"/>
          <w:lang w:eastAsia="es-ES"/>
        </w:rPr>
        <w:t>Lo anterior de acuerdo con las recomendaciones de la Comisión Europea</w:t>
      </w:r>
      <w:r w:rsidRPr="009041D4">
        <w:rPr>
          <w:rStyle w:val="Refdenotaalpie"/>
          <w:rFonts w:ascii="Arial" w:hAnsi="Arial" w:cs="Arial"/>
        </w:rPr>
        <w:footnoteReference w:id="53"/>
      </w:r>
      <w:r w:rsidRPr="009041D4">
        <w:rPr>
          <w:rFonts w:ascii="Arial" w:eastAsia="Times New Roman" w:hAnsi="Arial" w:cs="Arial"/>
          <w:szCs w:val="24"/>
          <w:lang w:eastAsia="es-ES"/>
        </w:rPr>
        <w:t xml:space="preserve">, la cual señala que la inflación debe reflejar el horizonte en el cual se realizan las proyecciones del modelo, por lo cual se ha optado por elegir el objetivo de la inflación de largo plazo de Banxico el cual coincide con el horizonte de largo plazo proyectado en el Modelo. </w:t>
      </w:r>
    </w:p>
    <w:p w14:paraId="29F196C6" w14:textId="77777777" w:rsidR="007727B0" w:rsidRPr="009041D4" w:rsidRDefault="007727B0" w:rsidP="007727B0">
      <w:pPr>
        <w:tabs>
          <w:tab w:val="num" w:pos="360"/>
        </w:tabs>
        <w:spacing w:after="0"/>
        <w:jc w:val="both"/>
        <w:rPr>
          <w:rFonts w:ascii="Arial" w:eastAsia="Times New Roman" w:hAnsi="Arial" w:cs="Arial"/>
          <w:szCs w:val="24"/>
          <w:lang w:eastAsia="es-ES"/>
        </w:rPr>
      </w:pPr>
    </w:p>
    <w:p w14:paraId="3431F143" w14:textId="77777777" w:rsidR="007727B0" w:rsidRPr="009041D4" w:rsidRDefault="007727B0" w:rsidP="007727B0">
      <w:pPr>
        <w:tabs>
          <w:tab w:val="num" w:pos="360"/>
        </w:tabs>
        <w:spacing w:after="0"/>
        <w:jc w:val="both"/>
        <w:rPr>
          <w:rFonts w:ascii="Arial" w:eastAsia="Times New Roman" w:hAnsi="Arial" w:cs="Arial"/>
          <w:szCs w:val="24"/>
          <w:lang w:eastAsia="es-ES"/>
        </w:rPr>
      </w:pPr>
      <w:r w:rsidRPr="009041D4">
        <w:rPr>
          <w:rFonts w:ascii="Arial" w:eastAsia="Times New Roman" w:hAnsi="Arial" w:cs="Arial"/>
          <w:szCs w:val="24"/>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7B016E2E" w14:textId="77777777" w:rsidR="007727B0" w:rsidRPr="009041D4" w:rsidRDefault="007727B0" w:rsidP="007727B0">
      <w:pPr>
        <w:tabs>
          <w:tab w:val="num" w:pos="360"/>
        </w:tabs>
        <w:spacing w:after="0"/>
        <w:jc w:val="both"/>
        <w:rPr>
          <w:rFonts w:ascii="Arial" w:eastAsia="Times New Roman" w:hAnsi="Arial" w:cs="Arial"/>
          <w:szCs w:val="24"/>
          <w:lang w:eastAsia="es-ES"/>
        </w:rPr>
      </w:pPr>
    </w:p>
    <w:p w14:paraId="00ECC88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Entramos a continuación a tratar los supuestos que soportan cada uno de los parámetros en el cálculo del CCPP.</w:t>
      </w:r>
    </w:p>
    <w:p w14:paraId="16D6D484" w14:textId="77777777" w:rsidR="007727B0" w:rsidRPr="009041D4" w:rsidRDefault="007727B0" w:rsidP="007727B0">
      <w:pPr>
        <w:spacing w:after="0"/>
        <w:jc w:val="both"/>
        <w:rPr>
          <w:rFonts w:ascii="Arial" w:hAnsi="Arial" w:cs="Arial"/>
          <w:spacing w:val="-4"/>
        </w:rPr>
      </w:pPr>
    </w:p>
    <w:p w14:paraId="4AA39921" w14:textId="77777777" w:rsidR="007727B0" w:rsidRPr="009041D4" w:rsidRDefault="007727B0" w:rsidP="007727B0">
      <w:pPr>
        <w:spacing w:after="0"/>
        <w:rPr>
          <w:rFonts w:ascii="Arial" w:hAnsi="Arial" w:cs="Arial"/>
        </w:rPr>
      </w:pPr>
      <w:r w:rsidRPr="009041D4">
        <w:rPr>
          <w:rFonts w:ascii="Arial" w:hAnsi="Arial" w:cs="Arial"/>
          <w:b/>
        </w:rPr>
        <w:t>Costo del capital (</w:t>
      </w:r>
      <w:r w:rsidRPr="009041D4">
        <w:rPr>
          <w:rFonts w:ascii="Arial" w:hAnsi="Arial" w:cs="Arial"/>
          <w:b/>
          <w:i/>
        </w:rPr>
        <w:t>equity</w:t>
      </w:r>
      <w:r w:rsidRPr="009041D4">
        <w:rPr>
          <w:rFonts w:ascii="Arial" w:hAnsi="Arial" w:cs="Arial"/>
          <w:b/>
        </w:rPr>
        <w:t>)</w:t>
      </w:r>
    </w:p>
    <w:p w14:paraId="01366FC8" w14:textId="77777777" w:rsidR="007727B0" w:rsidRPr="009041D4" w:rsidRDefault="007727B0" w:rsidP="007727B0">
      <w:pPr>
        <w:spacing w:after="0"/>
        <w:jc w:val="both"/>
        <w:rPr>
          <w:rFonts w:ascii="Arial" w:hAnsi="Arial" w:cs="Arial"/>
          <w:spacing w:val="-4"/>
        </w:rPr>
      </w:pPr>
    </w:p>
    <w:p w14:paraId="206AECED"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lastRenderedPageBreak/>
        <w:t>El costo del capital (</w:t>
      </w:r>
      <w:r w:rsidRPr="009041D4">
        <w:rPr>
          <w:rFonts w:ascii="Arial" w:hAnsi="Arial" w:cs="Arial"/>
          <w:i/>
          <w:spacing w:val="-4"/>
        </w:rPr>
        <w:t>equity</w:t>
      </w:r>
      <w:r w:rsidRPr="009041D4">
        <w:rPr>
          <w:rFonts w:ascii="Arial" w:hAnsi="Arial" w:cs="Arial"/>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41100C73" w14:textId="77777777" w:rsidR="007727B0" w:rsidRPr="009041D4" w:rsidRDefault="007727B0" w:rsidP="007727B0">
      <w:pPr>
        <w:spacing w:after="0"/>
        <w:jc w:val="both"/>
        <w:rPr>
          <w:rFonts w:ascii="Arial" w:hAnsi="Arial" w:cs="Arial"/>
          <w:spacing w:val="-4"/>
        </w:rPr>
      </w:pPr>
    </w:p>
    <w:p w14:paraId="1FBA80A4"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costo del capital (</w:t>
      </w:r>
      <w:r w:rsidRPr="009041D4">
        <w:rPr>
          <w:rFonts w:ascii="Arial" w:hAnsi="Arial" w:cs="Arial"/>
          <w:i/>
          <w:spacing w:val="-4"/>
        </w:rPr>
        <w:t>equity</w:t>
      </w:r>
      <w:r w:rsidRPr="009041D4">
        <w:rPr>
          <w:rFonts w:ascii="Arial" w:hAnsi="Arial" w:cs="Arial"/>
          <w:spacing w:val="-4"/>
        </w:rPr>
        <w:t>) se calculará para dos operadores diferentes:</w:t>
      </w:r>
    </w:p>
    <w:p w14:paraId="50E5E21A" w14:textId="77777777" w:rsidR="007727B0" w:rsidRPr="009041D4" w:rsidRDefault="007727B0" w:rsidP="007727B0">
      <w:pPr>
        <w:spacing w:after="0"/>
        <w:jc w:val="both"/>
        <w:rPr>
          <w:rFonts w:ascii="Arial" w:hAnsi="Arial" w:cs="Arial"/>
          <w:spacing w:val="-4"/>
        </w:rPr>
      </w:pPr>
    </w:p>
    <w:p w14:paraId="1E1FE713" w14:textId="77777777" w:rsidR="007727B0" w:rsidRPr="009041D4" w:rsidRDefault="007727B0" w:rsidP="005968B2">
      <w:pPr>
        <w:numPr>
          <w:ilvl w:val="0"/>
          <w:numId w:val="25"/>
        </w:numPr>
        <w:spacing w:after="0"/>
        <w:jc w:val="both"/>
        <w:rPr>
          <w:rFonts w:ascii="Arial" w:hAnsi="Arial" w:cs="Arial"/>
          <w:spacing w:val="-4"/>
        </w:rPr>
      </w:pPr>
      <w:r w:rsidRPr="009041D4">
        <w:rPr>
          <w:rFonts w:ascii="Arial" w:hAnsi="Arial" w:cs="Arial"/>
          <w:spacing w:val="-4"/>
        </w:rPr>
        <w:t>un operador eficiente de servicios móviles en México</w:t>
      </w:r>
    </w:p>
    <w:p w14:paraId="48F07F65" w14:textId="77777777" w:rsidR="007727B0" w:rsidRPr="009041D4" w:rsidRDefault="007727B0" w:rsidP="005968B2">
      <w:pPr>
        <w:numPr>
          <w:ilvl w:val="0"/>
          <w:numId w:val="25"/>
        </w:numPr>
        <w:spacing w:after="0"/>
        <w:jc w:val="both"/>
        <w:rPr>
          <w:rFonts w:ascii="Arial" w:hAnsi="Arial" w:cs="Arial"/>
          <w:spacing w:val="-4"/>
        </w:rPr>
      </w:pPr>
      <w:r w:rsidRPr="009041D4">
        <w:rPr>
          <w:rFonts w:ascii="Arial" w:hAnsi="Arial" w:cs="Arial"/>
          <w:spacing w:val="-4"/>
        </w:rPr>
        <w:t>un operador eficiente de servicios fijos en México.</w:t>
      </w:r>
    </w:p>
    <w:p w14:paraId="4D542812" w14:textId="77777777" w:rsidR="007727B0" w:rsidRPr="009041D4" w:rsidRDefault="007727B0" w:rsidP="007727B0">
      <w:pPr>
        <w:spacing w:after="0"/>
        <w:jc w:val="both"/>
        <w:rPr>
          <w:rFonts w:ascii="Arial" w:hAnsi="Arial" w:cs="Arial"/>
          <w:spacing w:val="-4"/>
        </w:rPr>
      </w:pPr>
    </w:p>
    <w:p w14:paraId="3092275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Siguiendo esta metodología, el CAPM se calcula de la siguiente manera:</w:t>
      </w:r>
    </w:p>
    <w:p w14:paraId="71FBDE30" w14:textId="77777777" w:rsidR="007727B0" w:rsidRPr="009041D4" w:rsidRDefault="007727B0" w:rsidP="007727B0">
      <w:pPr>
        <w:spacing w:after="0"/>
        <w:jc w:val="center"/>
        <w:rPr>
          <w:rFonts w:ascii="Arial" w:hAnsi="Arial" w:cs="Arial"/>
        </w:rPr>
      </w:pPr>
      <w:r w:rsidRPr="009041D4">
        <w:rPr>
          <w:rFonts w:ascii="Arial" w:hAnsi="Arial" w:cs="Arial"/>
          <w:position w:val="-14"/>
        </w:rPr>
        <w:object w:dxaOrig="1700" w:dyaOrig="380" w14:anchorId="1E8D0CFE">
          <v:shape id="_x0000_i1031" type="#_x0000_t75" style="width:87.55pt;height:17.85pt" o:ole="">
            <v:imagedata r:id="rId43" o:title=""/>
          </v:shape>
          <o:OLEObject Type="Embed" ProgID="Equation.3" ShapeID="_x0000_i1031" DrawAspect="Content" ObjectID="_1660649273" r:id="rId44"/>
        </w:object>
      </w:r>
    </w:p>
    <w:p w14:paraId="6687D05F" w14:textId="77777777" w:rsidR="007727B0" w:rsidRPr="009041D4" w:rsidRDefault="007727B0" w:rsidP="007727B0">
      <w:pPr>
        <w:spacing w:after="0"/>
        <w:jc w:val="both"/>
        <w:rPr>
          <w:rFonts w:ascii="Arial" w:hAnsi="Arial" w:cs="Arial"/>
        </w:rPr>
      </w:pPr>
      <w:r w:rsidRPr="009041D4">
        <w:rPr>
          <w:rFonts w:ascii="Arial" w:hAnsi="Arial" w:cs="Arial"/>
        </w:rPr>
        <w:t>Donde:</w:t>
      </w:r>
    </w:p>
    <w:p w14:paraId="0351ACF3" w14:textId="77777777" w:rsidR="007727B0" w:rsidRPr="009041D4" w:rsidRDefault="007727B0" w:rsidP="007727B0">
      <w:pPr>
        <w:spacing w:after="0"/>
        <w:jc w:val="both"/>
        <w:rPr>
          <w:rFonts w:ascii="Arial" w:hAnsi="Arial" w:cs="Arial"/>
          <w:lang w:val="es-ES"/>
        </w:rPr>
      </w:pPr>
      <w:r w:rsidRPr="009041D4">
        <w:rPr>
          <w:rFonts w:ascii="Arial" w:hAnsi="Arial" w:cs="Arial"/>
          <w:position w:val="-14"/>
          <w:lang w:val="es-ES"/>
        </w:rPr>
        <w:object w:dxaOrig="340" w:dyaOrig="380" w14:anchorId="24382A9E">
          <v:shape id="_x0000_i1032" type="#_x0000_t75" style="width:19pt;height:17.85pt" o:ole="">
            <v:imagedata r:id="rId45" o:title=""/>
          </v:shape>
          <o:OLEObject Type="Embed" ProgID="Equation.3" ShapeID="_x0000_i1032" DrawAspect="Content" ObjectID="_1660649274" r:id="rId46"/>
        </w:object>
      </w:r>
      <w:r w:rsidRPr="009041D4">
        <w:rPr>
          <w:rFonts w:ascii="Arial" w:hAnsi="Arial" w:cs="Arial"/>
          <w:lang w:val="es-ES"/>
        </w:rPr>
        <w:t xml:space="preserve"> es la tasa de retorno interés libre de riesgo</w:t>
      </w:r>
    </w:p>
    <w:p w14:paraId="6F6490FC" w14:textId="77777777" w:rsidR="007727B0" w:rsidRPr="009041D4" w:rsidRDefault="007727B0" w:rsidP="007727B0">
      <w:pPr>
        <w:spacing w:after="0"/>
        <w:jc w:val="both"/>
        <w:rPr>
          <w:rFonts w:ascii="Arial" w:hAnsi="Arial" w:cs="Arial"/>
          <w:lang w:val="es-ES"/>
        </w:rPr>
      </w:pPr>
      <w:r w:rsidRPr="009041D4">
        <w:rPr>
          <w:rFonts w:ascii="Arial" w:hAnsi="Arial" w:cs="Arial"/>
          <w:position w:val="-12"/>
          <w:lang w:val="es-ES"/>
        </w:rPr>
        <w:object w:dxaOrig="300" w:dyaOrig="360" w14:anchorId="19C7A7AC">
          <v:shape id="_x0000_i1033" type="#_x0000_t75" style="width:15pt;height:19pt" o:ole="">
            <v:imagedata r:id="rId47" o:title=""/>
          </v:shape>
          <o:OLEObject Type="Embed" ProgID="Equation.3" ShapeID="_x0000_i1033" DrawAspect="Content" ObjectID="_1660649275" r:id="rId48"/>
        </w:object>
      </w:r>
      <w:r w:rsidRPr="009041D4">
        <w:rPr>
          <w:rFonts w:ascii="Arial" w:hAnsi="Arial" w:cs="Arial"/>
          <w:lang w:val="es-ES"/>
        </w:rPr>
        <w:t xml:space="preserve"> es la prima del riesgo del capital</w:t>
      </w:r>
    </w:p>
    <w:p w14:paraId="001B01EC" w14:textId="77777777" w:rsidR="007727B0" w:rsidRPr="009041D4" w:rsidRDefault="007727B0" w:rsidP="007727B0">
      <w:pPr>
        <w:spacing w:after="0"/>
        <w:jc w:val="both"/>
        <w:rPr>
          <w:rFonts w:ascii="Arial" w:hAnsi="Arial" w:cs="Arial"/>
        </w:rPr>
      </w:pPr>
      <w:r w:rsidRPr="009041D4">
        <w:rPr>
          <w:rFonts w:ascii="Arial" w:hAnsi="Arial" w:cs="Arial"/>
          <w:position w:val="-10"/>
        </w:rPr>
        <w:object w:dxaOrig="240" w:dyaOrig="320" w14:anchorId="1B7834C6">
          <v:shape id="_x0000_i1034" type="#_x0000_t75" style="width:10.95pt;height:19pt" o:ole="" o:bullet="t">
            <v:imagedata r:id="rId49" o:title=""/>
          </v:shape>
          <o:OLEObject Type="Embed" ProgID="Equation.3" ShapeID="_x0000_i1034" DrawAspect="Content" ObjectID="_1660649276" r:id="rId50"/>
        </w:object>
      </w:r>
      <w:r w:rsidRPr="009041D4">
        <w:rPr>
          <w:rFonts w:ascii="Arial" w:hAnsi="Arial" w:cs="Arial"/>
        </w:rPr>
        <w:t xml:space="preserve"> es la medida del riesgo de una compañía particular o sector de manera relativa a la economía nacional.</w:t>
      </w:r>
    </w:p>
    <w:p w14:paraId="27257435" w14:textId="77777777" w:rsidR="007727B0" w:rsidRPr="009041D4" w:rsidRDefault="007727B0" w:rsidP="007727B0">
      <w:pPr>
        <w:spacing w:after="0"/>
        <w:jc w:val="both"/>
        <w:rPr>
          <w:rFonts w:ascii="Arial" w:hAnsi="Arial" w:cs="Arial"/>
        </w:rPr>
      </w:pPr>
      <w:r w:rsidRPr="009041D4">
        <w:rPr>
          <w:rFonts w:ascii="Arial" w:hAnsi="Arial" w:cs="Arial"/>
        </w:rPr>
        <w:t>Cada uno de estos parámetros se trata a continuación.</w:t>
      </w:r>
    </w:p>
    <w:p w14:paraId="62E7D4F1" w14:textId="77777777" w:rsidR="007727B0" w:rsidRPr="009041D4" w:rsidRDefault="007727B0" w:rsidP="007727B0">
      <w:pPr>
        <w:spacing w:after="0"/>
        <w:jc w:val="both"/>
        <w:rPr>
          <w:rFonts w:ascii="Arial" w:hAnsi="Arial" w:cs="Arial"/>
        </w:rPr>
      </w:pPr>
    </w:p>
    <w:p w14:paraId="72E118E9" w14:textId="77777777" w:rsidR="007727B0" w:rsidRPr="009041D4" w:rsidRDefault="007727B0" w:rsidP="007727B0">
      <w:pPr>
        <w:spacing w:after="0"/>
        <w:rPr>
          <w:rFonts w:ascii="Arial" w:hAnsi="Arial" w:cs="Arial"/>
          <w:b/>
        </w:rPr>
      </w:pPr>
      <w:r w:rsidRPr="009041D4">
        <w:rPr>
          <w:rFonts w:ascii="Arial" w:hAnsi="Arial" w:cs="Arial"/>
          <w:b/>
        </w:rPr>
        <w:t xml:space="preserve">Tasa de retorno libre de riesgo, </w:t>
      </w:r>
      <w:r w:rsidRPr="009041D4">
        <w:rPr>
          <w:rFonts w:ascii="Arial" w:hAnsi="Arial" w:cs="Arial"/>
          <w:position w:val="-14"/>
        </w:rPr>
        <w:object w:dxaOrig="320" w:dyaOrig="380" w14:anchorId="6D8D47C0">
          <v:shape id="_x0000_i1035" type="#_x0000_t75" style="width:19pt;height:17.85pt" o:ole="">
            <v:imagedata r:id="rId51" o:title=""/>
          </v:shape>
          <o:OLEObject Type="Embed" ProgID="Equation.3" ShapeID="_x0000_i1035" DrawAspect="Content" ObjectID="_1660649277" r:id="rId52"/>
        </w:object>
      </w:r>
    </w:p>
    <w:p w14:paraId="40858A0C" w14:textId="77777777" w:rsidR="007727B0" w:rsidRPr="009041D4" w:rsidRDefault="007727B0" w:rsidP="007727B0">
      <w:pPr>
        <w:spacing w:after="0"/>
        <w:jc w:val="both"/>
        <w:rPr>
          <w:rFonts w:ascii="Arial" w:hAnsi="Arial" w:cs="Arial"/>
          <w:spacing w:val="-4"/>
        </w:rPr>
      </w:pPr>
    </w:p>
    <w:p w14:paraId="5E0DBB4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Habitualmente se asume que la tasa de retorno libre de riesgo es la de los bonos del estado a largo plazo, en el modelo se utilizará la tasa de retorno libre de riesgo (</w:t>
      </w:r>
      <w:r w:rsidRPr="009041D4">
        <w:rPr>
          <w:rFonts w:ascii="Arial" w:hAnsi="Arial" w:cs="Arial"/>
          <w:spacing w:val="-4"/>
          <w:position w:val="-14"/>
        </w:rPr>
        <w:object w:dxaOrig="340" w:dyaOrig="380" w14:anchorId="600676F3">
          <v:shape id="_x0000_i1036" type="#_x0000_t75" style="width:19pt;height:17.85pt" o:ole="">
            <v:imagedata r:id="rId45" o:title=""/>
          </v:shape>
          <o:OLEObject Type="Embed" ProgID="Equation.3" ShapeID="_x0000_i1036" DrawAspect="Content" ObjectID="_1660649278" r:id="rId53"/>
        </w:object>
      </w:r>
      <w:r w:rsidRPr="009041D4">
        <w:rPr>
          <w:rFonts w:ascii="Arial" w:hAnsi="Arial" w:cs="Arial"/>
          <w:spacing w:val="-4"/>
        </w:rPr>
        <w:t>) de los bonos gubernamentales estadunidenses de 30 años</w:t>
      </w:r>
      <w:r w:rsidRPr="009041D4">
        <w:rPr>
          <w:rFonts w:ascii="Arial" w:hAnsi="Arial" w:cs="Arial"/>
          <w:spacing w:val="-4"/>
          <w:vertAlign w:val="superscript"/>
        </w:rPr>
        <w:footnoteReference w:id="54"/>
      </w:r>
      <w:r w:rsidRPr="009041D4">
        <w:rPr>
          <w:rFonts w:ascii="Arial" w:hAnsi="Arial" w:cs="Arial"/>
          <w:spacing w:val="-4"/>
        </w:rPr>
        <w:t xml:space="preserve"> más una prima de riesgo país asociada a México de fuentes reconocidas internacionalmente.</w:t>
      </w:r>
    </w:p>
    <w:p w14:paraId="4FD7B471" w14:textId="77777777" w:rsidR="007727B0" w:rsidRPr="009041D4" w:rsidRDefault="007727B0" w:rsidP="007727B0">
      <w:pPr>
        <w:spacing w:after="0"/>
        <w:jc w:val="both"/>
        <w:rPr>
          <w:rFonts w:ascii="Arial" w:hAnsi="Arial" w:cs="Arial"/>
          <w:spacing w:val="-4"/>
        </w:rPr>
      </w:pPr>
    </w:p>
    <w:p w14:paraId="21323EBA" w14:textId="77777777" w:rsidR="007727B0" w:rsidRPr="009041D4" w:rsidRDefault="007727B0" w:rsidP="007727B0">
      <w:pPr>
        <w:spacing w:after="0"/>
        <w:rPr>
          <w:rFonts w:ascii="Arial" w:hAnsi="Arial" w:cs="Arial"/>
          <w:b/>
        </w:rPr>
      </w:pPr>
      <w:r w:rsidRPr="009041D4">
        <w:rPr>
          <w:rFonts w:ascii="Arial" w:hAnsi="Arial" w:cs="Arial"/>
          <w:b/>
        </w:rPr>
        <w:t xml:space="preserve">Prima de riesgo del capital, </w:t>
      </w:r>
      <w:r w:rsidRPr="009041D4">
        <w:rPr>
          <w:rFonts w:ascii="Arial" w:hAnsi="Arial" w:cs="Arial"/>
          <w:position w:val="-12"/>
        </w:rPr>
        <w:object w:dxaOrig="300" w:dyaOrig="360" w14:anchorId="730E3F30">
          <v:shape id="_x0000_i1037" type="#_x0000_t75" style="width:15pt;height:19pt" o:ole="">
            <v:imagedata r:id="rId47" o:title=""/>
          </v:shape>
          <o:OLEObject Type="Embed" ProgID="Equation.3" ShapeID="_x0000_i1037" DrawAspect="Content" ObjectID="_1660649279" r:id="rId54"/>
        </w:object>
      </w:r>
    </w:p>
    <w:p w14:paraId="1F9D19B9" w14:textId="77777777" w:rsidR="007727B0" w:rsidRPr="009041D4" w:rsidRDefault="007727B0" w:rsidP="007727B0">
      <w:pPr>
        <w:spacing w:after="0"/>
        <w:jc w:val="both"/>
        <w:rPr>
          <w:rFonts w:ascii="Arial" w:hAnsi="Arial" w:cs="Arial"/>
          <w:spacing w:val="-4"/>
        </w:rPr>
      </w:pPr>
    </w:p>
    <w:p w14:paraId="68F091DD"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La prima de riesgo del capital es el incremento sobre la tasa de retorno libre de riesgo que los inversores demandan del capital (</w:t>
      </w:r>
      <w:r w:rsidRPr="009041D4">
        <w:rPr>
          <w:rFonts w:ascii="Arial" w:hAnsi="Arial" w:cs="Arial"/>
          <w:i/>
          <w:spacing w:val="-4"/>
        </w:rPr>
        <w:t>equity</w:t>
      </w:r>
      <w:r w:rsidRPr="009041D4">
        <w:rPr>
          <w:rFonts w:ascii="Arial" w:hAnsi="Arial" w:cs="Arial"/>
          <w:spacing w:val="-4"/>
        </w:rPr>
        <w:t>), ya que invertir en acciones conlleva un mayor riesgo que invertir en bonos del estado. Normalmente, las empresas que cotizan en el mercado nacional de valores son utilizadas como muestra sobre la que se calcula el promedio.</w:t>
      </w:r>
    </w:p>
    <w:p w14:paraId="7018CC4F" w14:textId="77777777" w:rsidR="007727B0" w:rsidRPr="009041D4" w:rsidRDefault="007727B0" w:rsidP="007727B0">
      <w:pPr>
        <w:spacing w:after="0"/>
        <w:jc w:val="both"/>
        <w:rPr>
          <w:rFonts w:ascii="Arial" w:hAnsi="Arial" w:cs="Arial"/>
          <w:spacing w:val="-4"/>
        </w:rPr>
      </w:pPr>
    </w:p>
    <w:p w14:paraId="0262EAAA"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w:t>
      </w:r>
      <w:r w:rsidRPr="009041D4">
        <w:rPr>
          <w:rFonts w:ascii="Arial" w:hAnsi="Arial" w:cs="Arial"/>
          <w:spacing w:val="-4"/>
          <w:vertAlign w:val="superscript"/>
        </w:rPr>
        <w:footnoteReference w:id="55"/>
      </w:r>
      <w:r w:rsidRPr="009041D4">
        <w:rPr>
          <w:rFonts w:ascii="Arial" w:hAnsi="Arial" w:cs="Arial"/>
          <w:spacing w:val="-4"/>
        </w:rPr>
        <w:t xml:space="preserve">. </w:t>
      </w:r>
    </w:p>
    <w:p w14:paraId="27D127E4" w14:textId="77777777" w:rsidR="007727B0" w:rsidRPr="009041D4" w:rsidRDefault="007727B0" w:rsidP="007727B0">
      <w:pPr>
        <w:spacing w:after="0"/>
        <w:rPr>
          <w:rFonts w:ascii="Arial" w:hAnsi="Arial" w:cs="Arial"/>
          <w:b/>
        </w:rPr>
      </w:pPr>
    </w:p>
    <w:p w14:paraId="1DF42F26" w14:textId="77777777" w:rsidR="007727B0" w:rsidRPr="009041D4" w:rsidRDefault="007727B0" w:rsidP="007727B0">
      <w:pPr>
        <w:spacing w:after="0"/>
        <w:rPr>
          <w:rFonts w:ascii="Arial" w:hAnsi="Arial" w:cs="Arial"/>
          <w:b/>
        </w:rPr>
      </w:pPr>
      <w:r w:rsidRPr="009041D4">
        <w:rPr>
          <w:rFonts w:ascii="Arial" w:hAnsi="Arial" w:cs="Arial"/>
          <w:b/>
        </w:rPr>
        <w:t xml:space="preserve">Beta para los operadores de telecomunicaciones, </w:t>
      </w:r>
      <w:r w:rsidRPr="009041D4">
        <w:rPr>
          <w:rFonts w:ascii="Arial" w:hAnsi="Arial" w:cs="Arial"/>
          <w:b/>
        </w:rPr>
        <w:sym w:font="Symbol" w:char="F062"/>
      </w:r>
    </w:p>
    <w:p w14:paraId="3BC17CB4" w14:textId="77777777" w:rsidR="007727B0" w:rsidRPr="009041D4" w:rsidRDefault="007727B0" w:rsidP="007727B0">
      <w:pPr>
        <w:spacing w:after="0"/>
        <w:jc w:val="both"/>
        <w:rPr>
          <w:rFonts w:ascii="Arial" w:hAnsi="Arial" w:cs="Arial"/>
          <w:spacing w:val="-4"/>
        </w:rPr>
      </w:pPr>
    </w:p>
    <w:p w14:paraId="08D9CC34"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267B8CF5" w14:textId="77777777" w:rsidR="007727B0" w:rsidRPr="009041D4" w:rsidRDefault="007727B0" w:rsidP="007727B0">
      <w:pPr>
        <w:spacing w:after="0"/>
        <w:jc w:val="both"/>
        <w:rPr>
          <w:rFonts w:ascii="Arial" w:hAnsi="Arial" w:cs="Arial"/>
          <w:spacing w:val="-4"/>
        </w:rPr>
      </w:pPr>
    </w:p>
    <w:p w14:paraId="6CDB50F8"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riesgo sistemático se da por la naturaleza intrínseca de invertir. Este riesgo se denomina como Beta (</w:t>
      </w:r>
      <w:r w:rsidRPr="009041D4">
        <w:rPr>
          <w:rFonts w:ascii="Arial" w:hAnsi="Arial" w:cs="Arial"/>
          <w:i/>
          <w:iCs/>
          <w:spacing w:val="-4"/>
        </w:rPr>
        <w:sym w:font="Symbol" w:char="F062"/>
      </w:r>
      <w:r w:rsidRPr="009041D4">
        <w:rPr>
          <w:rFonts w:ascii="Arial" w:hAnsi="Arial" w:cs="Arial"/>
          <w:spacing w:val="-4"/>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34BE1C40" w14:textId="77777777" w:rsidR="007727B0" w:rsidRPr="009041D4" w:rsidRDefault="007727B0" w:rsidP="007727B0">
      <w:pPr>
        <w:spacing w:after="0"/>
        <w:jc w:val="both"/>
        <w:rPr>
          <w:rFonts w:ascii="Arial" w:hAnsi="Arial" w:cs="Arial"/>
          <w:spacing w:val="-4"/>
        </w:rPr>
      </w:pPr>
    </w:p>
    <w:p w14:paraId="7C4E9B4A" w14:textId="77777777" w:rsidR="007727B0" w:rsidRPr="009041D4" w:rsidRDefault="007727B0" w:rsidP="007727B0">
      <w:pPr>
        <w:spacing w:after="0"/>
        <w:jc w:val="both"/>
        <w:rPr>
          <w:rFonts w:ascii="Arial" w:hAnsi="Arial" w:cs="Arial"/>
          <w:spacing w:val="-4"/>
        </w:rPr>
      </w:pPr>
      <w:r w:rsidRPr="009041D4">
        <w:rPr>
          <w:rFonts w:ascii="Arial" w:hAnsi="Arial" w:cs="Arial"/>
          <w:spacing w:val="-4"/>
          <w:lang w:eastAsia="en-GB"/>
        </w:rPr>
        <w:t xml:space="preserve">Sin embargo, dado que la </w:t>
      </w:r>
      <w:r w:rsidRPr="009041D4">
        <w:rPr>
          <w:rFonts w:ascii="Arial" w:hAnsi="Arial" w:cs="Arial"/>
          <w:i/>
          <w:iCs/>
          <w:spacing w:val="-4"/>
        </w:rPr>
        <w:sym w:font="Symbol" w:char="F062"/>
      </w:r>
      <w:r w:rsidRPr="009041D4">
        <w:rPr>
          <w:rFonts w:ascii="Arial" w:hAnsi="Arial" w:cs="Arial"/>
          <w:spacing w:val="-4"/>
          <w:sz w:val="26"/>
          <w:szCs w:val="26"/>
          <w:lang w:eastAsia="en-GB"/>
        </w:rPr>
        <w:t></w:t>
      </w:r>
      <w:r w:rsidRPr="009041D4">
        <w:rPr>
          <w:rFonts w:ascii="Arial" w:hAnsi="Arial" w:cs="Arial"/>
          <w:spacing w:val="-4"/>
          <w:lang w:eastAsia="en-GB"/>
        </w:rPr>
        <w:t xml:space="preserve">representa el riesgo de una industria particular o compañía relativa al mercado, se esperaría que la </w:t>
      </w:r>
      <w:r w:rsidRPr="009041D4">
        <w:rPr>
          <w:rFonts w:ascii="Arial" w:hAnsi="Arial" w:cs="Arial"/>
          <w:i/>
          <w:iCs/>
          <w:spacing w:val="-4"/>
        </w:rPr>
        <w:sym w:font="Symbol" w:char="F062"/>
      </w:r>
      <w:r w:rsidRPr="009041D4">
        <w:rPr>
          <w:rFonts w:ascii="Arial" w:hAnsi="Arial" w:cs="Arial"/>
          <w:spacing w:val="-4"/>
          <w:sz w:val="26"/>
          <w:szCs w:val="26"/>
          <w:lang w:eastAsia="en-GB"/>
        </w:rPr>
        <w:t></w:t>
      </w:r>
      <w:r w:rsidRPr="009041D4">
        <w:rPr>
          <w:rFonts w:ascii="Arial" w:hAnsi="Arial" w:cs="Arial"/>
          <w:spacing w:val="-4"/>
          <w:lang w:eastAsia="en-GB"/>
        </w:rPr>
        <w:t xml:space="preserve">de una empresa en particular – en este caso un operador – fuera similar en diferentes países. Comparar la </w:t>
      </w:r>
      <w:r w:rsidRPr="009041D4">
        <w:rPr>
          <w:rFonts w:ascii="Arial" w:hAnsi="Arial" w:cs="Arial"/>
          <w:i/>
          <w:iCs/>
          <w:spacing w:val="-4"/>
        </w:rPr>
        <w:sym w:font="Symbol" w:char="F062"/>
      </w:r>
      <w:r w:rsidRPr="009041D4">
        <w:rPr>
          <w:rFonts w:ascii="Arial" w:hAnsi="Arial" w:cs="Arial"/>
          <w:spacing w:val="-4"/>
          <w:sz w:val="26"/>
          <w:szCs w:val="26"/>
          <w:lang w:eastAsia="en-GB"/>
        </w:rPr>
        <w:t></w:t>
      </w:r>
      <w:r w:rsidRPr="009041D4">
        <w:rPr>
          <w:rFonts w:ascii="Arial" w:hAnsi="Arial" w:cs="Arial"/>
          <w:spacing w:val="-4"/>
          <w:lang w:eastAsia="en-GB"/>
        </w:rPr>
        <w:t xml:space="preserve">de esta manera requiere una </w:t>
      </w:r>
      <w:r w:rsidRPr="009041D4">
        <w:rPr>
          <w:rFonts w:ascii="Arial" w:hAnsi="Arial" w:cs="Arial"/>
          <w:i/>
          <w:iCs/>
          <w:spacing w:val="-4"/>
        </w:rPr>
        <w:sym w:font="Symbol" w:char="F062"/>
      </w:r>
      <w:r w:rsidRPr="009041D4">
        <w:rPr>
          <w:rFonts w:ascii="Arial" w:hAnsi="Arial" w:cs="Arial"/>
          <w:spacing w:val="-4"/>
          <w:sz w:val="26"/>
          <w:szCs w:val="26"/>
          <w:lang w:eastAsia="en-GB"/>
        </w:rPr>
        <w:t></w:t>
      </w:r>
      <w:r w:rsidRPr="009041D4">
        <w:rPr>
          <w:rFonts w:ascii="Arial" w:hAnsi="Arial" w:cs="Arial"/>
          <w:spacing w:val="-4"/>
          <w:lang w:eastAsia="en-GB"/>
        </w:rPr>
        <w:t>desapalancada (</w:t>
      </w:r>
      <w:r w:rsidRPr="009041D4">
        <w:rPr>
          <w:rFonts w:ascii="Arial" w:hAnsi="Arial" w:cs="Arial"/>
          <w:i/>
          <w:spacing w:val="-4"/>
          <w:lang w:eastAsia="en-GB"/>
        </w:rPr>
        <w:t>asset</w:t>
      </w:r>
      <w:r w:rsidRPr="009041D4">
        <w:rPr>
          <w:rFonts w:ascii="Arial" w:hAnsi="Arial" w:cs="Arial"/>
          <w:spacing w:val="-4"/>
          <w:lang w:eastAsia="en-GB"/>
        </w:rPr>
        <w:t>) más que una apalancada (</w:t>
      </w:r>
      <w:r w:rsidRPr="009041D4">
        <w:rPr>
          <w:rFonts w:ascii="Arial" w:hAnsi="Arial" w:cs="Arial"/>
          <w:i/>
          <w:spacing w:val="-4"/>
          <w:lang w:eastAsia="en-GB"/>
        </w:rPr>
        <w:t>equity</w:t>
      </w:r>
      <w:r w:rsidRPr="009041D4">
        <w:rPr>
          <w:rFonts w:ascii="Arial" w:hAnsi="Arial" w:cs="Arial"/>
          <w:spacing w:val="-4"/>
          <w:lang w:eastAsia="en-GB"/>
        </w:rPr>
        <w:t>).</w:t>
      </w:r>
    </w:p>
    <w:p w14:paraId="6EA85021" w14:textId="77777777" w:rsidR="007727B0" w:rsidRPr="009041D4" w:rsidRDefault="007727B0" w:rsidP="007727B0">
      <w:pPr>
        <w:tabs>
          <w:tab w:val="num" w:pos="720"/>
        </w:tabs>
        <w:spacing w:after="0"/>
        <w:ind w:left="360"/>
        <w:jc w:val="center"/>
        <w:rPr>
          <w:rFonts w:ascii="Arial" w:hAnsi="Arial" w:cs="Arial"/>
        </w:rPr>
      </w:pPr>
      <w:r w:rsidRPr="009041D4">
        <w:rPr>
          <w:rFonts w:ascii="Arial" w:hAnsi="Arial" w:cs="Arial"/>
          <w:position w:val="-10"/>
        </w:rPr>
        <w:object w:dxaOrig="240" w:dyaOrig="320" w14:anchorId="049AF865">
          <v:shape id="_x0000_i1038" type="#_x0000_t75" style="width:10.95pt;height:19pt" o:ole="" o:bullet="t">
            <v:imagedata r:id="rId49" o:title=""/>
          </v:shape>
          <o:OLEObject Type="Embed" ProgID="Equation.3" ShapeID="_x0000_i1038" DrawAspect="Content" ObjectID="_1660649280" r:id="rId55"/>
        </w:object>
      </w:r>
      <w:r w:rsidRPr="009041D4">
        <w:rPr>
          <w:rFonts w:ascii="Arial" w:hAnsi="Arial" w:cs="Arial"/>
          <w:vertAlign w:val="subscript"/>
        </w:rPr>
        <w:t>asset</w:t>
      </w:r>
      <w:r w:rsidRPr="009041D4">
        <w:rPr>
          <w:rFonts w:ascii="Arial" w:hAnsi="Arial" w:cs="Arial"/>
        </w:rPr>
        <w:t xml:space="preserve"> = </w:t>
      </w:r>
      <w:r w:rsidRPr="009041D4">
        <w:rPr>
          <w:rFonts w:ascii="Arial" w:hAnsi="Arial" w:cs="Arial"/>
          <w:position w:val="-10"/>
        </w:rPr>
        <w:object w:dxaOrig="240" w:dyaOrig="320" w14:anchorId="4837FA28">
          <v:shape id="_x0000_i1039" type="#_x0000_t75" style="width:10.95pt;height:19pt" o:ole="">
            <v:imagedata r:id="rId49" o:title=""/>
          </v:shape>
          <o:OLEObject Type="Embed" ProgID="Equation.3" ShapeID="_x0000_i1039" DrawAspect="Content" ObjectID="_1660649281" r:id="rId56"/>
        </w:object>
      </w:r>
      <w:r w:rsidRPr="009041D4">
        <w:rPr>
          <w:rFonts w:ascii="Arial" w:hAnsi="Arial" w:cs="Arial"/>
          <w:vertAlign w:val="subscript"/>
        </w:rPr>
        <w:t>equity</w:t>
      </w:r>
      <w:r w:rsidRPr="009041D4">
        <w:rPr>
          <w:rFonts w:ascii="Arial" w:hAnsi="Arial" w:cs="Arial"/>
        </w:rPr>
        <w:t xml:space="preserve"> / (1+D/E)</w:t>
      </w:r>
    </w:p>
    <w:p w14:paraId="4A16F1B5" w14:textId="77777777" w:rsidR="007727B0" w:rsidRPr="009041D4" w:rsidRDefault="007727B0" w:rsidP="007727B0">
      <w:pPr>
        <w:spacing w:after="0"/>
        <w:jc w:val="both"/>
        <w:rPr>
          <w:rFonts w:ascii="Arial" w:hAnsi="Arial" w:cs="Arial"/>
          <w:spacing w:val="-4"/>
        </w:rPr>
      </w:pPr>
    </w:p>
    <w:p w14:paraId="6D437FFF"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Una manera de estimar este parámetro es mediante comparativos internacionales (</w:t>
      </w:r>
      <w:r w:rsidRPr="009041D4">
        <w:rPr>
          <w:rFonts w:ascii="Arial" w:hAnsi="Arial" w:cs="Arial"/>
          <w:i/>
          <w:spacing w:val="-4"/>
        </w:rPr>
        <w:t>benchmarking)</w:t>
      </w:r>
      <w:r w:rsidRPr="009041D4">
        <w:rPr>
          <w:rFonts w:ascii="Arial" w:hAnsi="Arial" w:cs="Arial"/>
          <w:spacing w:val="-4"/>
        </w:rPr>
        <w:t xml:space="preserve"> de las </w:t>
      </w:r>
      <w:r w:rsidRPr="009041D4">
        <w:rPr>
          <w:rFonts w:ascii="Arial" w:hAnsi="Arial" w:cs="Arial"/>
          <w:i/>
          <w:iCs/>
          <w:spacing w:val="-4"/>
        </w:rPr>
        <w:sym w:font="Symbol" w:char="F062"/>
      </w:r>
      <w:r w:rsidRPr="009041D4">
        <w:rPr>
          <w:rFonts w:ascii="Arial" w:hAnsi="Arial" w:cs="Arial"/>
          <w:spacing w:val="-4"/>
        </w:rPr>
        <w:t xml:space="preserve"> de empresas comparables, es así que se usará una comparativa de compañías de telecomunicaciones, prestando especial atención a mercados similares al mexicano, para identificar las </w:t>
      </w:r>
      <w:r w:rsidRPr="009041D4">
        <w:rPr>
          <w:rFonts w:ascii="Arial" w:hAnsi="Arial" w:cs="Arial"/>
          <w:i/>
          <w:iCs/>
          <w:spacing w:val="-4"/>
        </w:rPr>
        <w:sym w:font="Symbol" w:char="F062"/>
      </w:r>
      <w:r w:rsidRPr="009041D4">
        <w:rPr>
          <w:rFonts w:ascii="Arial" w:hAnsi="Arial" w:cs="Arial"/>
          <w:spacing w:val="-4"/>
        </w:rPr>
        <w:t xml:space="preserve"> específicas de los mercados fijo y móvil</w:t>
      </w:r>
      <w:r w:rsidRPr="009041D4">
        <w:rPr>
          <w:rFonts w:ascii="Arial" w:hAnsi="Arial" w:cs="Arial"/>
          <w:color w:val="0000FF"/>
          <w:spacing w:val="-4"/>
        </w:rPr>
        <w:t>.</w:t>
      </w:r>
    </w:p>
    <w:p w14:paraId="51925245" w14:textId="77777777" w:rsidR="007727B0" w:rsidRPr="009041D4" w:rsidRDefault="007727B0" w:rsidP="007727B0">
      <w:pPr>
        <w:spacing w:after="0"/>
        <w:jc w:val="both"/>
        <w:rPr>
          <w:rFonts w:ascii="Arial" w:hAnsi="Arial" w:cs="Arial"/>
          <w:spacing w:val="-4"/>
        </w:rPr>
      </w:pPr>
    </w:p>
    <w:p w14:paraId="756B0BFC"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No obstante se observa que debido a que cada día hay menos operadores que ofrecen un solo servicio (</w:t>
      </w:r>
      <w:r w:rsidRPr="009041D4">
        <w:rPr>
          <w:rFonts w:ascii="Arial" w:hAnsi="Arial" w:cs="Arial"/>
          <w:i/>
          <w:spacing w:val="-4"/>
        </w:rPr>
        <w:t>pure-play)</w:t>
      </w:r>
      <w:r w:rsidRPr="009041D4">
        <w:rPr>
          <w:rFonts w:ascii="Arial" w:hAnsi="Arial" w:cs="Arial"/>
          <w:spacing w:val="-4"/>
        </w:rPr>
        <w:t xml:space="preserve">, se recomienda derivar los valores de </w:t>
      </w:r>
      <w:r w:rsidRPr="009041D4">
        <w:rPr>
          <w:rFonts w:ascii="Arial" w:hAnsi="Arial" w:cs="Arial"/>
          <w:i/>
          <w:iCs/>
          <w:spacing w:val="-4"/>
        </w:rPr>
        <w:sym w:font="Symbol" w:char="F062"/>
      </w:r>
      <w:r w:rsidRPr="009041D4">
        <w:rPr>
          <w:rFonts w:ascii="Arial" w:hAnsi="Arial" w:cs="Arial"/>
          <w:spacing w:val="-4"/>
          <w:vertAlign w:val="subscript"/>
        </w:rPr>
        <w:t>asset</w:t>
      </w:r>
      <w:r w:rsidRPr="009041D4">
        <w:rPr>
          <w:rFonts w:ascii="Arial" w:hAnsi="Arial" w:cs="Arial"/>
          <w:spacing w:val="-4"/>
        </w:rPr>
        <w:t xml:space="preserve"> para los operadores fijos y móviles mediante una aproximación. Primeramente, se agrupan los operadores del </w:t>
      </w:r>
      <w:r w:rsidRPr="009041D4">
        <w:rPr>
          <w:rFonts w:ascii="Arial" w:hAnsi="Arial" w:cs="Arial"/>
          <w:i/>
          <w:spacing w:val="-4"/>
        </w:rPr>
        <w:t>benchmark</w:t>
      </w:r>
      <w:r w:rsidRPr="009041D4">
        <w:rPr>
          <w:rFonts w:ascii="Arial" w:hAnsi="Arial" w:cs="Arial"/>
          <w:spacing w:val="-4"/>
        </w:rPr>
        <w:t xml:space="preserve"> en tres grupos, utilizando la utilidad antes de impuestos, intereses, depreciación y amortización (EBITDA) como una aproximación de la capitalización de mercado hipotética de las divisiones fija y móvil de los operadores mixtos:</w:t>
      </w:r>
    </w:p>
    <w:p w14:paraId="26B7CA78" w14:textId="77777777" w:rsidR="007727B0" w:rsidRPr="009041D4" w:rsidRDefault="007727B0" w:rsidP="007727B0">
      <w:pPr>
        <w:spacing w:after="0"/>
        <w:jc w:val="both"/>
        <w:rPr>
          <w:rFonts w:ascii="Arial" w:hAnsi="Arial" w:cs="Arial"/>
          <w:spacing w:val="-4"/>
        </w:rPr>
      </w:pPr>
    </w:p>
    <w:p w14:paraId="73DF2440" w14:textId="77777777" w:rsidR="007727B0" w:rsidRPr="009041D4" w:rsidRDefault="007727B0" w:rsidP="005968B2">
      <w:pPr>
        <w:numPr>
          <w:ilvl w:val="0"/>
          <w:numId w:val="26"/>
        </w:numPr>
        <w:spacing w:after="0"/>
        <w:jc w:val="both"/>
        <w:rPr>
          <w:rFonts w:ascii="Arial" w:hAnsi="Arial" w:cs="Arial"/>
          <w:spacing w:val="-4"/>
        </w:rPr>
      </w:pPr>
      <w:r w:rsidRPr="009041D4">
        <w:rPr>
          <w:rFonts w:ascii="Arial" w:hAnsi="Arial" w:cs="Arial"/>
          <w:spacing w:val="-4"/>
        </w:rPr>
        <w:t>Predominantemente móviles: aquellos donde la porción de EBITDA móvil represente una porción significativa del total de EBITDA, esto es mayor a 50%</w:t>
      </w:r>
    </w:p>
    <w:p w14:paraId="527E901A" w14:textId="77777777" w:rsidR="007727B0" w:rsidRPr="009041D4" w:rsidRDefault="007727B0" w:rsidP="005968B2">
      <w:pPr>
        <w:numPr>
          <w:ilvl w:val="0"/>
          <w:numId w:val="26"/>
        </w:numPr>
        <w:spacing w:after="0"/>
        <w:jc w:val="both"/>
        <w:rPr>
          <w:rFonts w:ascii="Arial" w:hAnsi="Arial" w:cs="Arial"/>
          <w:spacing w:val="-4"/>
        </w:rPr>
      </w:pPr>
      <w:r w:rsidRPr="009041D4">
        <w:rPr>
          <w:rFonts w:ascii="Arial" w:hAnsi="Arial" w:cs="Arial"/>
          <w:spacing w:val="-4"/>
        </w:rPr>
        <w:t>Híbridos fijo–-móvil: aquellos donde ni el EBITDA móvil ni el fijo, representen una porción significativa del total del EBITDA</w:t>
      </w:r>
    </w:p>
    <w:p w14:paraId="5C6B222A" w14:textId="77777777" w:rsidR="007727B0" w:rsidRPr="009041D4" w:rsidRDefault="007727B0" w:rsidP="005968B2">
      <w:pPr>
        <w:numPr>
          <w:ilvl w:val="0"/>
          <w:numId w:val="26"/>
        </w:numPr>
        <w:spacing w:after="0"/>
        <w:jc w:val="both"/>
        <w:rPr>
          <w:rFonts w:ascii="Arial" w:hAnsi="Arial" w:cs="Arial"/>
          <w:spacing w:val="-4"/>
        </w:rPr>
      </w:pPr>
      <w:r w:rsidRPr="009041D4">
        <w:rPr>
          <w:rFonts w:ascii="Arial" w:hAnsi="Arial" w:cs="Arial"/>
          <w:spacing w:val="-4"/>
        </w:rPr>
        <w:t>Predominantemente fijos: aquellos donde el EBITDA fijo represente una porción significativa del EBITDA total.</w:t>
      </w:r>
    </w:p>
    <w:p w14:paraId="150A949B" w14:textId="77777777" w:rsidR="007727B0" w:rsidRPr="009041D4" w:rsidRDefault="007727B0" w:rsidP="007727B0">
      <w:pPr>
        <w:spacing w:after="0"/>
        <w:jc w:val="both"/>
        <w:rPr>
          <w:rFonts w:ascii="Arial" w:hAnsi="Arial" w:cs="Arial"/>
          <w:spacing w:val="-4"/>
        </w:rPr>
      </w:pPr>
    </w:p>
    <w:p w14:paraId="51F3AEA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Después de esto se calculan los valores de </w:t>
      </w:r>
      <w:r w:rsidRPr="009041D4">
        <w:rPr>
          <w:rFonts w:ascii="Arial" w:hAnsi="Arial" w:cs="Arial"/>
          <w:i/>
          <w:iCs/>
          <w:spacing w:val="-4"/>
        </w:rPr>
        <w:sym w:font="Symbol" w:char="F062"/>
      </w:r>
      <w:r w:rsidRPr="009041D4">
        <w:rPr>
          <w:rFonts w:ascii="Arial" w:hAnsi="Arial" w:cs="Arial"/>
          <w:spacing w:val="-4"/>
          <w:vertAlign w:val="subscript"/>
        </w:rPr>
        <w:t>asset</w:t>
      </w:r>
      <w:r w:rsidRPr="009041D4">
        <w:rPr>
          <w:rFonts w:ascii="Arial" w:hAnsi="Arial" w:cs="Arial"/>
          <w:spacing w:val="-4"/>
        </w:rPr>
        <w:t xml:space="preserve"> para el operador móvil con el promedio del primer grupo y para el operador fijo con el promedio del tercero.</w:t>
      </w:r>
    </w:p>
    <w:p w14:paraId="0C7F8320" w14:textId="77777777" w:rsidR="007727B0" w:rsidRPr="009041D4" w:rsidRDefault="007727B0" w:rsidP="007727B0">
      <w:pPr>
        <w:spacing w:after="0"/>
        <w:rPr>
          <w:rFonts w:ascii="Arial" w:hAnsi="Arial" w:cs="Arial"/>
          <w:b/>
        </w:rPr>
      </w:pPr>
    </w:p>
    <w:p w14:paraId="12D62949" w14:textId="77777777" w:rsidR="007727B0" w:rsidRPr="009041D4" w:rsidRDefault="007727B0" w:rsidP="007727B0">
      <w:pPr>
        <w:spacing w:after="0"/>
        <w:rPr>
          <w:rFonts w:ascii="Arial" w:hAnsi="Arial" w:cs="Arial"/>
          <w:b/>
        </w:rPr>
      </w:pPr>
      <w:r w:rsidRPr="009041D4">
        <w:rPr>
          <w:rFonts w:ascii="Arial" w:hAnsi="Arial" w:cs="Arial"/>
          <w:b/>
        </w:rPr>
        <w:t>Relación deuda/capital (</w:t>
      </w:r>
      <w:r w:rsidRPr="009041D4">
        <w:rPr>
          <w:rFonts w:ascii="Arial" w:hAnsi="Arial" w:cs="Arial"/>
          <w:b/>
          <w:i/>
        </w:rPr>
        <w:t>D/E</w:t>
      </w:r>
      <w:r w:rsidRPr="009041D4">
        <w:rPr>
          <w:rFonts w:ascii="Arial" w:hAnsi="Arial" w:cs="Arial"/>
          <w:b/>
        </w:rPr>
        <w:t>)</w:t>
      </w:r>
    </w:p>
    <w:p w14:paraId="3CFA9403" w14:textId="77777777" w:rsidR="007727B0" w:rsidRPr="009041D4" w:rsidRDefault="007727B0" w:rsidP="007727B0">
      <w:pPr>
        <w:spacing w:after="0"/>
        <w:rPr>
          <w:rFonts w:ascii="Arial" w:hAnsi="Arial" w:cs="Arial"/>
        </w:rPr>
      </w:pPr>
    </w:p>
    <w:p w14:paraId="740CFD4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lastRenderedPageBreak/>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315E2E04" w14:textId="77777777" w:rsidR="007727B0" w:rsidRPr="009041D4" w:rsidRDefault="007727B0" w:rsidP="007727B0">
      <w:pPr>
        <w:spacing w:after="0"/>
        <w:jc w:val="both"/>
        <w:rPr>
          <w:rFonts w:ascii="Arial" w:hAnsi="Arial" w:cs="Arial"/>
          <w:spacing w:val="-4"/>
        </w:rPr>
      </w:pPr>
    </w:p>
    <w:p w14:paraId="05182E64" w14:textId="77777777" w:rsidR="007727B0" w:rsidRPr="009041D4" w:rsidRDefault="007727B0" w:rsidP="007727B0">
      <w:pPr>
        <w:spacing w:after="0"/>
        <w:jc w:val="center"/>
        <w:rPr>
          <w:rFonts w:ascii="Arial" w:hAnsi="Arial" w:cs="Arial"/>
        </w:rPr>
      </w:pPr>
      <w:r w:rsidRPr="009041D4">
        <w:rPr>
          <w:rFonts w:ascii="Arial" w:hAnsi="Arial" w:cs="Arial"/>
          <w:i/>
        </w:rPr>
        <w:t>Apalancamiento</w:t>
      </w:r>
      <w:r w:rsidRPr="009041D4">
        <w:rPr>
          <w:rFonts w:ascii="Arial" w:hAnsi="Arial" w:cs="Arial"/>
        </w:rPr>
        <w:t xml:space="preserve"> = </w:t>
      </w:r>
      <w:r w:rsidRPr="009041D4">
        <w:rPr>
          <w:rFonts w:ascii="Arial" w:hAnsi="Arial" w:cs="Arial"/>
          <w:position w:val="-24"/>
        </w:rPr>
        <w:object w:dxaOrig="700" w:dyaOrig="620" w14:anchorId="2684A49A">
          <v:shape id="_x0000_i1040" type="#_x0000_t75" style="width:34pt;height:30.55pt" o:ole="">
            <v:imagedata r:id="rId57" o:title=""/>
          </v:shape>
          <o:OLEObject Type="Embed" ProgID="Equation.3" ShapeID="_x0000_i1040" DrawAspect="Content" ObjectID="_1660649282" r:id="rId58"/>
        </w:object>
      </w:r>
    </w:p>
    <w:p w14:paraId="0BB86B21" w14:textId="77777777" w:rsidR="007727B0" w:rsidRPr="009041D4" w:rsidRDefault="007727B0" w:rsidP="007727B0">
      <w:pPr>
        <w:spacing w:after="0"/>
        <w:jc w:val="center"/>
        <w:rPr>
          <w:rFonts w:ascii="Arial" w:hAnsi="Arial" w:cs="Arial"/>
          <w:position w:val="-24"/>
        </w:rPr>
      </w:pPr>
    </w:p>
    <w:p w14:paraId="3CF2785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Generalmente, la expectativa en lo que respecta al nivel de retorno del capital (</w:t>
      </w:r>
      <w:r w:rsidRPr="009041D4">
        <w:rPr>
          <w:rFonts w:ascii="Arial" w:hAnsi="Arial" w:cs="Arial"/>
          <w:i/>
          <w:spacing w:val="-4"/>
        </w:rPr>
        <w:t>equity</w:t>
      </w:r>
      <w:r w:rsidRPr="009041D4">
        <w:rPr>
          <w:rFonts w:ascii="Arial" w:hAnsi="Arial" w:cs="Arial"/>
          <w:spacing w:val="-4"/>
        </w:rPr>
        <w:t>) será mayor que la del retorno de la deuda. Si aumenta el nivel de apalancamiento, la deuda tendrá una prima de riesgo mayor ya que los acreedores requerirán un mayor interés al existir menor certidumbre en el pago.</w:t>
      </w:r>
    </w:p>
    <w:p w14:paraId="3CFEEFDB" w14:textId="77777777" w:rsidR="007727B0" w:rsidRPr="009041D4" w:rsidRDefault="007727B0" w:rsidP="007727B0">
      <w:pPr>
        <w:spacing w:after="0"/>
        <w:jc w:val="both"/>
        <w:rPr>
          <w:rFonts w:ascii="Arial" w:hAnsi="Arial" w:cs="Arial"/>
          <w:spacing w:val="-4"/>
        </w:rPr>
      </w:pPr>
    </w:p>
    <w:p w14:paraId="1B446706"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2A310914" w14:textId="77777777" w:rsidR="007727B0" w:rsidRPr="009041D4" w:rsidRDefault="007727B0" w:rsidP="007727B0">
      <w:pPr>
        <w:spacing w:after="0"/>
        <w:jc w:val="both"/>
        <w:rPr>
          <w:rFonts w:ascii="Arial" w:hAnsi="Arial" w:cs="Arial"/>
          <w:spacing w:val="-4"/>
        </w:rPr>
      </w:pPr>
    </w:p>
    <w:p w14:paraId="36360B1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Es así que de forma similar al método seguido para determinar la </w:t>
      </w:r>
      <w:r w:rsidRPr="009041D4">
        <w:rPr>
          <w:rFonts w:ascii="Arial" w:hAnsi="Arial" w:cs="Arial"/>
          <w:i/>
          <w:iCs/>
          <w:spacing w:val="-4"/>
        </w:rPr>
        <w:sym w:font="Symbol" w:char="F062"/>
      </w:r>
      <w:r w:rsidRPr="009041D4">
        <w:rPr>
          <w:rFonts w:ascii="Arial" w:hAnsi="Arial" w:cs="Arial"/>
          <w:i/>
          <w:spacing w:val="-4"/>
          <w:vertAlign w:val="subscript"/>
        </w:rPr>
        <w:t>asset</w:t>
      </w:r>
      <w:r w:rsidRPr="009041D4">
        <w:rPr>
          <w:rFonts w:ascii="Arial" w:hAnsi="Arial" w:cs="Arial"/>
          <w:spacing w:val="-4"/>
        </w:rPr>
        <w:t xml:space="preserve">, se evaluará el nivel apropiado de apalancamiento utilizando la misma comparativa de operadores en Latinoamérica, para lo cual se aplica el valor en libros de la deuda tomado de fuentes de información pública. </w:t>
      </w:r>
    </w:p>
    <w:p w14:paraId="5253A454" w14:textId="77777777" w:rsidR="007727B0" w:rsidRPr="009041D4" w:rsidRDefault="007727B0" w:rsidP="007727B0">
      <w:pPr>
        <w:spacing w:after="0"/>
        <w:rPr>
          <w:rFonts w:ascii="Arial" w:hAnsi="Arial" w:cs="Arial"/>
          <w:b/>
        </w:rPr>
      </w:pPr>
    </w:p>
    <w:p w14:paraId="6DD40ED8" w14:textId="77777777" w:rsidR="007727B0" w:rsidRPr="009041D4" w:rsidRDefault="007727B0" w:rsidP="007727B0">
      <w:pPr>
        <w:spacing w:after="0"/>
        <w:rPr>
          <w:rFonts w:ascii="Arial" w:hAnsi="Arial" w:cs="Arial"/>
          <w:b/>
        </w:rPr>
      </w:pPr>
      <w:r w:rsidRPr="009041D4">
        <w:rPr>
          <w:rFonts w:ascii="Arial" w:hAnsi="Arial" w:cs="Arial"/>
          <w:b/>
        </w:rPr>
        <w:t>Costo de la deuda</w:t>
      </w:r>
    </w:p>
    <w:p w14:paraId="7B4A569F" w14:textId="77777777" w:rsidR="007727B0" w:rsidRPr="009041D4" w:rsidRDefault="007727B0" w:rsidP="007727B0">
      <w:pPr>
        <w:spacing w:after="0"/>
        <w:jc w:val="both"/>
        <w:rPr>
          <w:rFonts w:ascii="Arial" w:hAnsi="Arial" w:cs="Arial"/>
          <w:spacing w:val="-4"/>
        </w:rPr>
      </w:pPr>
    </w:p>
    <w:p w14:paraId="6DEA102A"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El costo de la deuda se define como:</w:t>
      </w:r>
    </w:p>
    <w:p w14:paraId="477B0595" w14:textId="77777777" w:rsidR="007727B0" w:rsidRPr="009041D4" w:rsidRDefault="007727B0" w:rsidP="007727B0">
      <w:pPr>
        <w:spacing w:after="0"/>
        <w:jc w:val="both"/>
        <w:rPr>
          <w:rFonts w:ascii="Arial" w:hAnsi="Arial" w:cs="Arial"/>
          <w:spacing w:val="-4"/>
        </w:rPr>
      </w:pPr>
    </w:p>
    <w:p w14:paraId="5591F560" w14:textId="77777777" w:rsidR="007727B0" w:rsidRPr="009041D4" w:rsidRDefault="007727B0" w:rsidP="007727B0">
      <w:pPr>
        <w:spacing w:after="0"/>
        <w:jc w:val="both"/>
        <w:rPr>
          <w:rFonts w:ascii="Arial" w:hAnsi="Arial" w:cs="Arial"/>
          <w:spacing w:val="-4"/>
        </w:rPr>
      </w:pPr>
      <w:r w:rsidRPr="009041D4">
        <w:rPr>
          <w:rFonts w:ascii="Arial" w:hAnsi="Arial" w:cs="Arial"/>
          <w:spacing w:val="-4"/>
          <w:position w:val="-14"/>
        </w:rPr>
        <w:object w:dxaOrig="2420" w:dyaOrig="380" w14:anchorId="49AB7A24">
          <v:shape id="_x0000_i1041" type="#_x0000_t75" style="width:120.95pt;height:17.85pt" o:ole="">
            <v:imagedata r:id="rId59" o:title=""/>
          </v:shape>
          <o:OLEObject Type="Embed" ProgID="Equation.3" ShapeID="_x0000_i1041" DrawAspect="Content" ObjectID="_1660649283" r:id="rId60"/>
        </w:object>
      </w:r>
    </w:p>
    <w:p w14:paraId="5B7F5251"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Donde:</w:t>
      </w:r>
    </w:p>
    <w:p w14:paraId="3E85E397" w14:textId="77777777" w:rsidR="007727B0" w:rsidRPr="009041D4" w:rsidRDefault="007727B0" w:rsidP="007727B0">
      <w:pPr>
        <w:spacing w:after="0"/>
        <w:jc w:val="both"/>
        <w:rPr>
          <w:rFonts w:ascii="Arial" w:hAnsi="Arial" w:cs="Arial"/>
          <w:spacing w:val="-4"/>
        </w:rPr>
      </w:pPr>
    </w:p>
    <w:p w14:paraId="3178DC7E" w14:textId="77777777" w:rsidR="007727B0" w:rsidRPr="009041D4" w:rsidRDefault="007727B0" w:rsidP="007727B0">
      <w:pPr>
        <w:numPr>
          <w:ilvl w:val="0"/>
          <w:numId w:val="13"/>
        </w:numPr>
        <w:spacing w:after="0"/>
        <w:jc w:val="both"/>
        <w:rPr>
          <w:rFonts w:ascii="Arial" w:hAnsi="Arial" w:cs="Arial"/>
          <w:lang w:val="es-ES"/>
        </w:rPr>
      </w:pPr>
      <w:r w:rsidRPr="009041D4">
        <w:rPr>
          <w:rFonts w:ascii="Arial" w:hAnsi="Arial" w:cs="Arial"/>
          <w:i/>
          <w:iCs/>
          <w:lang w:val="es-ES"/>
        </w:rPr>
        <w:t>R</w:t>
      </w:r>
      <w:r w:rsidRPr="009041D4">
        <w:rPr>
          <w:rFonts w:ascii="Arial" w:hAnsi="Arial" w:cs="Arial"/>
          <w:i/>
          <w:iCs/>
          <w:vertAlign w:val="subscript"/>
          <w:lang w:val="es-ES"/>
        </w:rPr>
        <w:t>f</w:t>
      </w:r>
      <w:r w:rsidRPr="009041D4">
        <w:rPr>
          <w:rFonts w:ascii="Arial" w:hAnsi="Arial" w:cs="Arial"/>
          <w:lang w:val="es-ES"/>
        </w:rPr>
        <w:t xml:space="preserve"> es la tasa de retorno libre de riesgo</w:t>
      </w:r>
    </w:p>
    <w:p w14:paraId="04AF8FF0" w14:textId="77777777" w:rsidR="007727B0" w:rsidRPr="009041D4" w:rsidRDefault="007727B0" w:rsidP="007727B0">
      <w:pPr>
        <w:numPr>
          <w:ilvl w:val="0"/>
          <w:numId w:val="13"/>
        </w:numPr>
        <w:spacing w:after="0"/>
        <w:jc w:val="both"/>
        <w:rPr>
          <w:rFonts w:ascii="Arial" w:hAnsi="Arial" w:cs="Arial"/>
          <w:lang w:val="es-ES"/>
        </w:rPr>
      </w:pPr>
      <w:r w:rsidRPr="009041D4">
        <w:rPr>
          <w:rFonts w:ascii="Arial" w:hAnsi="Arial" w:cs="Arial"/>
          <w:i/>
          <w:iCs/>
          <w:lang w:val="es-ES"/>
        </w:rPr>
        <w:t>R</w:t>
      </w:r>
      <w:r w:rsidRPr="009041D4">
        <w:rPr>
          <w:rFonts w:ascii="Arial" w:hAnsi="Arial" w:cs="Arial"/>
          <w:i/>
          <w:iCs/>
          <w:vertAlign w:val="subscript"/>
          <w:lang w:val="es-ES"/>
        </w:rPr>
        <w:t>D</w:t>
      </w:r>
      <w:r w:rsidRPr="009041D4">
        <w:rPr>
          <w:rFonts w:ascii="Arial" w:hAnsi="Arial" w:cs="Arial"/>
          <w:lang w:val="es-ES"/>
        </w:rPr>
        <w:t xml:space="preserve"> es la prima de riesgo de deuda</w:t>
      </w:r>
    </w:p>
    <w:p w14:paraId="5E31AC93" w14:textId="77777777" w:rsidR="007727B0" w:rsidRPr="009041D4" w:rsidRDefault="007727B0" w:rsidP="007727B0">
      <w:pPr>
        <w:tabs>
          <w:tab w:val="num" w:pos="360"/>
        </w:tabs>
        <w:spacing w:after="0"/>
        <w:ind w:left="360" w:hanging="360"/>
        <w:jc w:val="both"/>
        <w:rPr>
          <w:rFonts w:ascii="Arial" w:eastAsia="Times New Roman" w:hAnsi="Arial" w:cs="Arial"/>
          <w:szCs w:val="24"/>
          <w:lang w:eastAsia="es-ES"/>
        </w:rPr>
      </w:pPr>
      <w:r w:rsidRPr="009041D4">
        <w:rPr>
          <w:rFonts w:ascii="Arial" w:eastAsia="Times New Roman" w:hAnsi="Arial" w:cs="Arial"/>
          <w:i/>
          <w:iCs/>
          <w:szCs w:val="24"/>
          <w:lang w:eastAsia="es-ES"/>
        </w:rPr>
        <w:t>T</w:t>
      </w:r>
      <w:r w:rsidRPr="009041D4">
        <w:rPr>
          <w:rFonts w:ascii="Arial" w:eastAsia="Times New Roman" w:hAnsi="Arial" w:cs="Arial"/>
          <w:szCs w:val="24"/>
          <w:lang w:eastAsia="es-ES"/>
        </w:rPr>
        <w:t xml:space="preserve"> es la tasa de impuestos corporativa.</w:t>
      </w:r>
    </w:p>
    <w:p w14:paraId="32B65AB2" w14:textId="77777777" w:rsidR="007727B0" w:rsidRPr="009041D4" w:rsidRDefault="007727B0" w:rsidP="007727B0">
      <w:pPr>
        <w:spacing w:after="0"/>
        <w:jc w:val="both"/>
        <w:rPr>
          <w:rFonts w:ascii="Arial" w:hAnsi="Arial" w:cs="Arial"/>
          <w:spacing w:val="-4"/>
        </w:rPr>
      </w:pPr>
    </w:p>
    <w:p w14:paraId="18C22998"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En México existen dos impuestos corporativos, el impuesto empresarial a Tasa Única (IETU) y el Impuesto sobre la Renta (ISR), para efectos del modelo se utilizará el ISR como la tasa adecuada de impuestos corporativos (T), cuyo valor es del 30%. </w:t>
      </w:r>
    </w:p>
    <w:p w14:paraId="6BC27845" w14:textId="77777777" w:rsidR="007727B0" w:rsidRPr="009041D4" w:rsidRDefault="007727B0" w:rsidP="007727B0">
      <w:pPr>
        <w:spacing w:after="0"/>
        <w:jc w:val="both"/>
        <w:rPr>
          <w:rFonts w:ascii="Arial" w:hAnsi="Arial" w:cs="Arial"/>
          <w:spacing w:val="-4"/>
        </w:rPr>
      </w:pPr>
    </w:p>
    <w:p w14:paraId="1E8CD6EB"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La prima de riesgo de deuda de una empresa es la diferencia entre lo que una empresa tiene que pagar a sus acreedores al adquirir un préstamo y la tasa libre de riesgo. </w:t>
      </w:r>
    </w:p>
    <w:p w14:paraId="1C1DC5EC" w14:textId="77777777" w:rsidR="007727B0" w:rsidRPr="009041D4" w:rsidRDefault="007727B0" w:rsidP="007727B0">
      <w:pPr>
        <w:spacing w:after="0"/>
        <w:jc w:val="both"/>
        <w:rPr>
          <w:rFonts w:ascii="Arial" w:hAnsi="Arial" w:cs="Arial"/>
          <w:spacing w:val="-4"/>
        </w:rPr>
      </w:pPr>
    </w:p>
    <w:p w14:paraId="3D3EAC5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lastRenderedPageBreak/>
        <w:t>Típicamente, la prima de riesgo de deuda varía de acuerdo con el apalancamiento de la empresa – cuanto mayor sea la proporción de financiamiento a través de deuda, mayor es la prima debido a la presión ejercida sobre los flujos de efectivo.</w:t>
      </w:r>
    </w:p>
    <w:p w14:paraId="2865D1D5" w14:textId="77777777" w:rsidR="007727B0" w:rsidRPr="009041D4" w:rsidRDefault="007727B0" w:rsidP="007727B0">
      <w:pPr>
        <w:spacing w:after="0"/>
        <w:jc w:val="both"/>
        <w:rPr>
          <w:rFonts w:ascii="Arial" w:hAnsi="Arial" w:cs="Arial"/>
          <w:spacing w:val="-4"/>
        </w:rPr>
      </w:pPr>
    </w:p>
    <w:p w14:paraId="652F9E83"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Una manera válida de calcular la prima de riesgo es sumar a la tasa libre de riesgo la prima de riesgo de la deuda asociada con la empresa, con base en una comparativa de las tasas de retorno de la deuda (p.ej. Eurobonos corporativos) de empresas comparables con riesgo o madurez semejantes. </w:t>
      </w:r>
    </w:p>
    <w:p w14:paraId="6EE0E207" w14:textId="77777777" w:rsidR="007727B0" w:rsidRPr="009041D4" w:rsidRDefault="007727B0" w:rsidP="007727B0">
      <w:pPr>
        <w:spacing w:after="0"/>
        <w:jc w:val="both"/>
        <w:rPr>
          <w:rFonts w:ascii="Arial" w:hAnsi="Arial" w:cs="Arial"/>
          <w:spacing w:val="-4"/>
        </w:rPr>
      </w:pPr>
    </w:p>
    <w:p w14:paraId="444C0999"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 xml:space="preserve">De esta forma se usará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34191184" w14:textId="77777777" w:rsidR="007727B0" w:rsidRPr="009041D4" w:rsidRDefault="007727B0" w:rsidP="007727B0">
      <w:pPr>
        <w:spacing w:after="0"/>
        <w:jc w:val="both"/>
        <w:rPr>
          <w:rFonts w:ascii="Arial" w:hAnsi="Arial" w:cs="Arial"/>
          <w:spacing w:val="-4"/>
        </w:rPr>
      </w:pPr>
    </w:p>
    <w:p w14:paraId="40C1D41D"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Se aplicará la misma metodología para determinar el costo de la deuda del operador fijo en línea con el observado en los operadores móviles.</w:t>
      </w:r>
    </w:p>
    <w:p w14:paraId="66F32A3C" w14:textId="77777777" w:rsidR="007727B0" w:rsidRPr="009041D4" w:rsidRDefault="007727B0" w:rsidP="007727B0">
      <w:pPr>
        <w:spacing w:after="0"/>
        <w:jc w:val="both"/>
        <w:rPr>
          <w:rFonts w:ascii="Arial" w:hAnsi="Arial" w:cs="Arial"/>
          <w:spacing w:val="-4"/>
        </w:rPr>
      </w:pPr>
    </w:p>
    <w:p w14:paraId="19A82780" w14:textId="77777777" w:rsidR="007727B0" w:rsidRPr="009041D4" w:rsidRDefault="007727B0" w:rsidP="007727B0">
      <w:pPr>
        <w:spacing w:after="0"/>
        <w:jc w:val="both"/>
        <w:rPr>
          <w:rFonts w:ascii="Arial" w:hAnsi="Arial" w:cs="Arial"/>
          <w:spacing w:val="-4"/>
        </w:rPr>
      </w:pPr>
      <w:r w:rsidRPr="009041D4">
        <w:rPr>
          <w:rFonts w:ascii="Arial" w:hAnsi="Arial" w:cs="Arial"/>
          <w:spacing w:val="-4"/>
        </w:rPr>
        <w:t>De esta forma se tiene el siguiente resultado:</w:t>
      </w:r>
    </w:p>
    <w:p w14:paraId="63001BF6" w14:textId="77777777" w:rsidR="007727B0" w:rsidRPr="009041D4" w:rsidRDefault="007727B0" w:rsidP="007727B0">
      <w:pPr>
        <w:spacing w:after="0"/>
        <w:jc w:val="both"/>
        <w:rPr>
          <w:rFonts w:ascii="Arial" w:hAnsi="Arial" w:cs="Arial"/>
          <w:spacing w:val="-4"/>
        </w:rPr>
      </w:pPr>
    </w:p>
    <w:tbl>
      <w:tblPr>
        <w:tblW w:w="4820" w:type="dxa"/>
        <w:jc w:val="center"/>
        <w:tblCellMar>
          <w:left w:w="0" w:type="dxa"/>
          <w:right w:w="0" w:type="dxa"/>
        </w:tblCellMar>
        <w:tblLook w:val="0420" w:firstRow="1" w:lastRow="0" w:firstColumn="0" w:lastColumn="0" w:noHBand="0" w:noVBand="1"/>
      </w:tblPr>
      <w:tblGrid>
        <w:gridCol w:w="2704"/>
        <w:gridCol w:w="875"/>
        <w:gridCol w:w="1241"/>
      </w:tblGrid>
      <w:tr w:rsidR="007727B0" w:rsidRPr="009041D4" w14:paraId="327FBE9A" w14:textId="77777777" w:rsidTr="007727B0">
        <w:trPr>
          <w:trHeight w:val="332"/>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163D8AA1" w14:textId="77777777" w:rsidR="007727B0" w:rsidRPr="009041D4" w:rsidRDefault="007727B0" w:rsidP="007727B0">
            <w:pPr>
              <w:spacing w:after="0"/>
              <w:jc w:val="both"/>
              <w:rPr>
                <w:rFonts w:ascii="Arial" w:hAnsi="Arial" w:cs="Arial"/>
                <w:spacing w:val="-4"/>
                <w:sz w:val="18"/>
                <w:szCs w:val="18"/>
              </w:rPr>
            </w:pPr>
          </w:p>
        </w:tc>
        <w:tc>
          <w:tcPr>
            <w:tcW w:w="853"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51FC094B"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Fijo</w:t>
            </w:r>
          </w:p>
        </w:tc>
        <w:tc>
          <w:tcPr>
            <w:tcW w:w="1246"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4CFD750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Móvil</w:t>
            </w:r>
          </w:p>
        </w:tc>
      </w:tr>
      <w:tr w:rsidR="007727B0" w:rsidRPr="009041D4" w14:paraId="0D836538" w14:textId="77777777" w:rsidTr="007727B0">
        <w:trPr>
          <w:trHeight w:val="139"/>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69BFD5BC"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Tasa libre de riesgo</w:t>
            </w:r>
          </w:p>
        </w:tc>
        <w:tc>
          <w:tcPr>
            <w:tcW w:w="853"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7F778B8C"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5.09%</w:t>
            </w:r>
          </w:p>
        </w:tc>
        <w:tc>
          <w:tcPr>
            <w:tcW w:w="1246"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28317C8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5.09%</w:t>
            </w:r>
          </w:p>
        </w:tc>
      </w:tr>
      <w:tr w:rsidR="007727B0" w:rsidRPr="009041D4" w14:paraId="44DC55BB" w14:textId="77777777" w:rsidTr="007727B0">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04CED9D5"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Beta apalancada</w:t>
            </w:r>
            <w:r w:rsidRPr="009041D4">
              <w:rPr>
                <w:rStyle w:val="Refdenotaalpie"/>
                <w:rFonts w:ascii="Arial" w:hAnsi="Arial" w:cs="Arial"/>
                <w:spacing w:val="-4"/>
                <w:sz w:val="18"/>
                <w:szCs w:val="18"/>
                <w:lang w:val="es-ES_tradnl"/>
              </w:rPr>
              <w:footnoteReference w:id="56"/>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0E87749B"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0.57</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7D9128EF"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0.71</w:t>
            </w:r>
          </w:p>
        </w:tc>
      </w:tr>
      <w:tr w:rsidR="007727B0" w:rsidRPr="009041D4" w14:paraId="2C121A62" w14:textId="77777777" w:rsidTr="007727B0">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53D1B8FB" w14:textId="77777777" w:rsidR="007727B0" w:rsidRPr="009041D4" w:rsidRDefault="007727B0" w:rsidP="007727B0">
            <w:pPr>
              <w:spacing w:after="0"/>
              <w:jc w:val="both"/>
              <w:rPr>
                <w:rFonts w:ascii="Arial" w:hAnsi="Arial" w:cs="Arial"/>
                <w:spacing w:val="-4"/>
                <w:sz w:val="18"/>
                <w:szCs w:val="18"/>
                <w:lang w:val="es-ES_tradnl"/>
              </w:rPr>
            </w:pPr>
            <w:r w:rsidRPr="009041D4">
              <w:rPr>
                <w:rFonts w:ascii="Arial" w:hAnsi="Arial" w:cs="Arial"/>
                <w:spacing w:val="-4"/>
                <w:sz w:val="18"/>
                <w:szCs w:val="18"/>
                <w:lang w:val="es-ES_tradnl"/>
              </w:rPr>
              <w:t>Beta desapalancada</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2FB24B0E" w14:textId="77777777" w:rsidR="007727B0" w:rsidRPr="009041D4" w:rsidRDefault="007727B0" w:rsidP="007727B0">
            <w:pPr>
              <w:spacing w:after="0"/>
              <w:jc w:val="both"/>
              <w:rPr>
                <w:rFonts w:ascii="Arial" w:hAnsi="Arial" w:cs="Arial"/>
                <w:spacing w:val="-4"/>
                <w:sz w:val="18"/>
                <w:szCs w:val="18"/>
                <w:lang w:val="es-ES_tradnl"/>
              </w:rPr>
            </w:pPr>
            <w:r w:rsidRPr="009041D4">
              <w:rPr>
                <w:rFonts w:ascii="Arial" w:hAnsi="Arial" w:cs="Arial"/>
                <w:spacing w:val="-4"/>
                <w:sz w:val="18"/>
                <w:szCs w:val="18"/>
                <w:lang w:val="es-ES_tradnl"/>
              </w:rPr>
              <w:t>0.29</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65F611B4" w14:textId="77777777" w:rsidR="007727B0" w:rsidRPr="009041D4" w:rsidRDefault="007727B0" w:rsidP="007727B0">
            <w:pPr>
              <w:spacing w:after="0"/>
              <w:jc w:val="both"/>
              <w:rPr>
                <w:rFonts w:ascii="Arial" w:hAnsi="Arial" w:cs="Arial"/>
                <w:spacing w:val="-4"/>
                <w:sz w:val="18"/>
                <w:szCs w:val="18"/>
                <w:lang w:val="es-ES_tradnl"/>
              </w:rPr>
            </w:pPr>
            <w:r w:rsidRPr="009041D4">
              <w:rPr>
                <w:rFonts w:ascii="Arial" w:hAnsi="Arial" w:cs="Arial"/>
                <w:spacing w:val="-4"/>
                <w:sz w:val="18"/>
                <w:szCs w:val="18"/>
                <w:lang w:val="es-ES_tradnl"/>
              </w:rPr>
              <w:t>0.40</w:t>
            </w:r>
          </w:p>
        </w:tc>
      </w:tr>
      <w:tr w:rsidR="007727B0" w:rsidRPr="009041D4" w14:paraId="0F43D7A6" w14:textId="77777777" w:rsidTr="007727B0">
        <w:trPr>
          <w:trHeight w:val="35"/>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4D8ADBF8"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Prima de mercado</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6325A60A"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6.01%</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365FAB85"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6.01%</w:t>
            </w:r>
          </w:p>
        </w:tc>
      </w:tr>
      <w:tr w:rsidR="007727B0" w:rsidRPr="009041D4" w14:paraId="45B6F8F9" w14:textId="77777777" w:rsidTr="007727B0">
        <w:trPr>
          <w:trHeight w:val="15"/>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38B4B5F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Ce</w:t>
            </w:r>
          </w:p>
        </w:tc>
        <w:tc>
          <w:tcPr>
            <w:tcW w:w="853"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07B5F3EB"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12.19%</w:t>
            </w:r>
          </w:p>
        </w:tc>
        <w:tc>
          <w:tcPr>
            <w:tcW w:w="1246"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6A5B2568"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13.36%</w:t>
            </w:r>
          </w:p>
        </w:tc>
      </w:tr>
      <w:tr w:rsidR="007727B0" w:rsidRPr="009041D4" w14:paraId="5493146E" w14:textId="77777777" w:rsidTr="007727B0">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177A3B68"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Cd</w:t>
            </w:r>
          </w:p>
        </w:tc>
        <w:tc>
          <w:tcPr>
            <w:tcW w:w="853"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4745BB2E"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6.86%</w:t>
            </w:r>
          </w:p>
        </w:tc>
        <w:tc>
          <w:tcPr>
            <w:tcW w:w="1246"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592AA89A"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6.66%</w:t>
            </w:r>
          </w:p>
        </w:tc>
      </w:tr>
      <w:tr w:rsidR="007727B0" w:rsidRPr="009041D4" w14:paraId="59CAECB7" w14:textId="77777777" w:rsidTr="007727B0">
        <w:trPr>
          <w:trHeight w:val="209"/>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29839CCC"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Apalancamiento</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392319F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57.67%</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12A83376"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53.10%</w:t>
            </w:r>
          </w:p>
        </w:tc>
      </w:tr>
      <w:tr w:rsidR="007727B0" w:rsidRPr="009041D4" w14:paraId="54251325" w14:textId="77777777" w:rsidTr="007727B0">
        <w:trPr>
          <w:trHeight w:val="73"/>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58E800D2"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Tasa de impuestos</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5774580C"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30.00%</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2562A372"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_tradnl"/>
              </w:rPr>
              <w:t>30.00%</w:t>
            </w:r>
          </w:p>
        </w:tc>
      </w:tr>
      <w:tr w:rsidR="007727B0" w:rsidRPr="009041D4" w14:paraId="2B7629AC" w14:textId="77777777" w:rsidTr="007727B0">
        <w:trPr>
          <w:trHeight w:val="18"/>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2D5C5E44"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CCPP nominal antes impuestos</w:t>
            </w:r>
          </w:p>
        </w:tc>
        <w:tc>
          <w:tcPr>
            <w:tcW w:w="853"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4B9918CA"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9.12%</w:t>
            </w:r>
          </w:p>
        </w:tc>
        <w:tc>
          <w:tcPr>
            <w:tcW w:w="1246"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4B58DF2A"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b/>
                <w:bCs/>
                <w:spacing w:val="-4"/>
                <w:sz w:val="18"/>
                <w:szCs w:val="18"/>
                <w:lang w:val="es-ES_tradnl"/>
              </w:rPr>
              <w:t>9.81%</w:t>
            </w:r>
          </w:p>
        </w:tc>
      </w:tr>
      <w:tr w:rsidR="007727B0" w:rsidRPr="009041D4" w14:paraId="18C4849A" w14:textId="77777777" w:rsidTr="007727B0">
        <w:trPr>
          <w:trHeight w:val="160"/>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6F297609"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
              </w:rPr>
              <w:t>Tasa de inflación</w:t>
            </w:r>
          </w:p>
        </w:tc>
        <w:tc>
          <w:tcPr>
            <w:tcW w:w="853"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24A22D35"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
              </w:rPr>
              <w:t>3.00%</w:t>
            </w:r>
          </w:p>
        </w:tc>
        <w:tc>
          <w:tcPr>
            <w:tcW w:w="1246"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7CAD207E" w14:textId="77777777" w:rsidR="007727B0" w:rsidRPr="009041D4" w:rsidRDefault="007727B0" w:rsidP="007727B0">
            <w:pPr>
              <w:spacing w:after="0"/>
              <w:jc w:val="both"/>
              <w:rPr>
                <w:rFonts w:ascii="Arial" w:hAnsi="Arial" w:cs="Arial"/>
                <w:spacing w:val="-4"/>
                <w:sz w:val="18"/>
                <w:szCs w:val="18"/>
              </w:rPr>
            </w:pPr>
            <w:r w:rsidRPr="009041D4">
              <w:rPr>
                <w:rFonts w:ascii="Arial" w:hAnsi="Arial" w:cs="Arial"/>
                <w:spacing w:val="-4"/>
                <w:sz w:val="18"/>
                <w:szCs w:val="18"/>
                <w:lang w:val="es-ES"/>
              </w:rPr>
              <w:t>3.00%</w:t>
            </w:r>
          </w:p>
        </w:tc>
      </w:tr>
      <w:tr w:rsidR="007727B0" w:rsidRPr="009041D4" w14:paraId="03E41420" w14:textId="77777777" w:rsidTr="007727B0">
        <w:trPr>
          <w:trHeight w:val="15"/>
          <w:jc w:val="center"/>
        </w:trPr>
        <w:tc>
          <w:tcPr>
            <w:tcW w:w="2721"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461FC11E" w14:textId="77777777" w:rsidR="007727B0" w:rsidRPr="009041D4" w:rsidRDefault="007727B0" w:rsidP="007727B0">
            <w:pPr>
              <w:spacing w:after="0"/>
              <w:jc w:val="both"/>
              <w:rPr>
                <w:rFonts w:ascii="Arial" w:hAnsi="Arial" w:cs="Arial"/>
                <w:b/>
                <w:bCs/>
                <w:spacing w:val="-4"/>
                <w:sz w:val="18"/>
                <w:szCs w:val="18"/>
                <w:lang w:val="es-ES_tradnl"/>
              </w:rPr>
            </w:pPr>
            <w:r w:rsidRPr="009041D4">
              <w:rPr>
                <w:rFonts w:ascii="Arial" w:hAnsi="Arial" w:cs="Arial"/>
                <w:b/>
                <w:bCs/>
                <w:spacing w:val="-4"/>
                <w:sz w:val="18"/>
                <w:szCs w:val="18"/>
                <w:lang w:val="es-ES_tradnl"/>
              </w:rPr>
              <w:t>CCPP real antes impuestos</w:t>
            </w:r>
          </w:p>
        </w:tc>
        <w:tc>
          <w:tcPr>
            <w:tcW w:w="853"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4B406614" w14:textId="77777777" w:rsidR="007727B0" w:rsidRPr="009041D4" w:rsidRDefault="007727B0" w:rsidP="007727B0">
            <w:pPr>
              <w:spacing w:after="0"/>
              <w:jc w:val="both"/>
              <w:rPr>
                <w:rFonts w:ascii="Arial" w:hAnsi="Arial" w:cs="Arial"/>
                <w:b/>
                <w:bCs/>
                <w:spacing w:val="-4"/>
                <w:sz w:val="18"/>
                <w:szCs w:val="18"/>
                <w:lang w:val="es-ES_tradnl"/>
              </w:rPr>
            </w:pPr>
            <w:r w:rsidRPr="009041D4">
              <w:rPr>
                <w:rFonts w:ascii="Arial" w:hAnsi="Arial" w:cs="Arial"/>
                <w:b/>
                <w:bCs/>
                <w:spacing w:val="-4"/>
                <w:sz w:val="18"/>
                <w:szCs w:val="18"/>
                <w:lang w:val="es-ES_tradnl"/>
              </w:rPr>
              <w:t>5.94%</w:t>
            </w:r>
          </w:p>
        </w:tc>
        <w:tc>
          <w:tcPr>
            <w:tcW w:w="1246"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0098E05E" w14:textId="77777777" w:rsidR="007727B0" w:rsidRPr="009041D4" w:rsidRDefault="007727B0" w:rsidP="007727B0">
            <w:pPr>
              <w:spacing w:after="0"/>
              <w:jc w:val="both"/>
              <w:rPr>
                <w:rFonts w:ascii="Arial" w:hAnsi="Arial" w:cs="Arial"/>
                <w:b/>
                <w:bCs/>
                <w:spacing w:val="-4"/>
                <w:sz w:val="18"/>
                <w:szCs w:val="18"/>
                <w:lang w:val="es-ES_tradnl"/>
              </w:rPr>
            </w:pPr>
            <w:r w:rsidRPr="009041D4">
              <w:rPr>
                <w:rFonts w:ascii="Arial" w:hAnsi="Arial" w:cs="Arial"/>
                <w:b/>
                <w:bCs/>
                <w:spacing w:val="-4"/>
                <w:sz w:val="18"/>
                <w:szCs w:val="18"/>
                <w:lang w:val="es-ES_tradnl"/>
              </w:rPr>
              <w:t>6.61%</w:t>
            </w:r>
          </w:p>
        </w:tc>
      </w:tr>
    </w:tbl>
    <w:p w14:paraId="75AF249F" w14:textId="20F29BB5" w:rsidR="007727B0" w:rsidRPr="009041D4" w:rsidRDefault="007727B0" w:rsidP="00FB70C1">
      <w:pPr>
        <w:spacing w:after="0"/>
        <w:ind w:right="51"/>
        <w:jc w:val="both"/>
        <w:rPr>
          <w:rFonts w:ascii="Arial" w:hAnsi="Arial" w:cs="Arial"/>
        </w:rPr>
      </w:pPr>
    </w:p>
    <w:p w14:paraId="048D234C" w14:textId="77777777" w:rsidR="007727B0" w:rsidRPr="009041D4" w:rsidRDefault="007727B0" w:rsidP="007727B0">
      <w:pPr>
        <w:spacing w:after="0"/>
        <w:jc w:val="both"/>
        <w:rPr>
          <w:rFonts w:ascii="Arial" w:hAnsi="Arial" w:cs="Arial"/>
        </w:rPr>
      </w:pPr>
      <w:r w:rsidRPr="009041D4">
        <w:rPr>
          <w:rFonts w:ascii="Arial" w:hAnsi="Arial" w:cs="Arial"/>
        </w:rPr>
        <w:t xml:space="preserve">Para la determinación de las tarifas, se utilizará un tipo de cambio de acuerdo a la mejor información disponible al momento de emitir el ordenamiento respectivo. En principio, el Instituto considera adecuado utilizar la media de la expectativa para el año 2021 del Tipo de Cambio Pesos por Dólar de la última </w:t>
      </w:r>
      <w:r w:rsidRPr="009041D4">
        <w:rPr>
          <w:rFonts w:ascii="Arial" w:hAnsi="Arial" w:cs="Arial"/>
          <w:i/>
        </w:rPr>
        <w:t xml:space="preserve">Encuesta sobre las expectativas de los </w:t>
      </w:r>
      <w:r w:rsidRPr="009041D4">
        <w:rPr>
          <w:rFonts w:ascii="Arial" w:hAnsi="Arial" w:cs="Arial"/>
          <w:i/>
        </w:rPr>
        <w:lastRenderedPageBreak/>
        <w:t>especialistas en economía del sector privado</w:t>
      </w:r>
      <w:r w:rsidRPr="009041D4">
        <w:rPr>
          <w:rFonts w:ascii="Arial" w:hAnsi="Arial" w:cs="Arial"/>
        </w:rPr>
        <w:t>, publicada por el Banco de México al momento de emitir el referido ordenamiento.</w:t>
      </w:r>
    </w:p>
    <w:p w14:paraId="164C34AA" w14:textId="358FBD4D" w:rsidR="007727B0" w:rsidRPr="009041D4" w:rsidRDefault="007727B0" w:rsidP="00FB70C1">
      <w:pPr>
        <w:spacing w:after="0"/>
        <w:ind w:right="51"/>
        <w:jc w:val="both"/>
        <w:rPr>
          <w:rFonts w:ascii="Arial" w:hAnsi="Arial" w:cs="Arial"/>
        </w:rPr>
      </w:pPr>
    </w:p>
    <w:p w14:paraId="2CAD1B04" w14:textId="77777777" w:rsidR="007727B0" w:rsidRPr="009041D4" w:rsidRDefault="007727B0" w:rsidP="007727B0">
      <w:pPr>
        <w:spacing w:after="0"/>
        <w:jc w:val="center"/>
        <w:rPr>
          <w:rFonts w:ascii="Arial" w:hAnsi="Arial" w:cs="Arial"/>
          <w:b/>
          <w:spacing w:val="-4"/>
        </w:rPr>
      </w:pPr>
      <w:r w:rsidRPr="009041D4">
        <w:rPr>
          <w:rFonts w:ascii="Arial" w:hAnsi="Arial" w:cs="Arial"/>
          <w:b/>
          <w:spacing w:val="-4"/>
        </w:rPr>
        <w:t>CAPÍTULO V</w:t>
      </w:r>
    </w:p>
    <w:p w14:paraId="07F23D33" w14:textId="77777777" w:rsidR="007727B0" w:rsidRPr="009041D4" w:rsidRDefault="007727B0" w:rsidP="007727B0">
      <w:pPr>
        <w:spacing w:after="0"/>
        <w:jc w:val="center"/>
        <w:rPr>
          <w:rFonts w:ascii="Arial" w:hAnsi="Arial" w:cs="Arial"/>
          <w:b/>
          <w:spacing w:val="-4"/>
        </w:rPr>
      </w:pPr>
      <w:r w:rsidRPr="009041D4">
        <w:rPr>
          <w:rFonts w:ascii="Arial" w:hAnsi="Arial" w:cs="Arial"/>
          <w:b/>
          <w:spacing w:val="-4"/>
        </w:rPr>
        <w:t>Tarifas de los Servicios no conmutados de Interconexión</w:t>
      </w:r>
    </w:p>
    <w:p w14:paraId="732291B6" w14:textId="77777777" w:rsidR="007727B0" w:rsidRPr="009041D4" w:rsidRDefault="007727B0" w:rsidP="007727B0">
      <w:pPr>
        <w:spacing w:after="0"/>
        <w:jc w:val="both"/>
        <w:rPr>
          <w:rFonts w:ascii="Arial" w:hAnsi="Arial" w:cs="Arial"/>
          <w:spacing w:val="-4"/>
        </w:rPr>
      </w:pPr>
    </w:p>
    <w:p w14:paraId="4F18B745" w14:textId="78F19487" w:rsidR="007727B0" w:rsidRPr="009041D4" w:rsidRDefault="007727B0" w:rsidP="000E3EA1">
      <w:pPr>
        <w:pStyle w:val="Prrafodelista"/>
        <w:spacing w:line="276" w:lineRule="auto"/>
        <w:ind w:left="0"/>
        <w:rPr>
          <w:rFonts w:cs="Arial"/>
        </w:rPr>
      </w:pPr>
      <w:r w:rsidRPr="009041D4">
        <w:rPr>
          <w:rFonts w:cs="Arial"/>
          <w:b/>
          <w:lang w:val="es-ES"/>
        </w:rPr>
        <w:t xml:space="preserve">Décima Primera. - </w:t>
      </w:r>
      <w:r w:rsidRPr="009041D4">
        <w:rPr>
          <w:rFonts w:cs="Arial"/>
          <w:lang w:val="es-ES"/>
        </w:rPr>
        <w:t>El Lineamiento Segundo de la Metodología de Costos establece</w:t>
      </w:r>
      <w:r w:rsidR="005968B2" w:rsidRPr="009041D4">
        <w:rPr>
          <w:rFonts w:cs="Arial"/>
          <w:lang w:val="es-ES"/>
        </w:rPr>
        <w:t xml:space="preserve"> que en la elaboración de los modelos de costos para servicios de interconexión distintos a los señalados en los Lineamientos Tercero y Cuarto se empleará un enfoque de Costo Incremental Total Promedio de Largo Plazo</w:t>
      </w:r>
      <w:r w:rsidR="00EE49CC" w:rsidRPr="009041D4">
        <w:rPr>
          <w:rFonts w:cs="Arial"/>
          <w:lang w:val="es-ES"/>
        </w:rPr>
        <w:t xml:space="preserve"> y t</w:t>
      </w:r>
      <w:r w:rsidRPr="009041D4">
        <w:rPr>
          <w:rFonts w:cs="Arial"/>
        </w:rPr>
        <w: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coubicaciones, enlaces de transmisión de interconexión y coubicación.</w:t>
      </w:r>
    </w:p>
    <w:p w14:paraId="023BAB4F" w14:textId="77777777" w:rsidR="007727B0" w:rsidRPr="009041D4" w:rsidRDefault="007727B0" w:rsidP="007727B0">
      <w:pPr>
        <w:spacing w:after="0"/>
        <w:jc w:val="both"/>
        <w:rPr>
          <w:rFonts w:ascii="Arial" w:hAnsi="Arial" w:cs="Arial"/>
        </w:rPr>
      </w:pPr>
    </w:p>
    <w:p w14:paraId="4627B5FD" w14:textId="77777777" w:rsidR="007727B0" w:rsidRPr="009041D4" w:rsidRDefault="007727B0" w:rsidP="007727B0">
      <w:pPr>
        <w:autoSpaceDE w:val="0"/>
        <w:autoSpaceDN w:val="0"/>
        <w:adjustRightInd w:val="0"/>
        <w:spacing w:after="0"/>
        <w:jc w:val="both"/>
        <w:rPr>
          <w:rFonts w:ascii="Arial" w:hAnsi="Arial" w:cs="Arial"/>
        </w:rPr>
      </w:pPr>
      <w:r w:rsidRPr="009041D4">
        <w:rPr>
          <w:rFonts w:ascii="Arial" w:hAnsi="Arial" w:cs="Arial"/>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7C7D7EE7" w14:textId="77777777" w:rsidR="007727B0" w:rsidRPr="009041D4" w:rsidRDefault="007727B0" w:rsidP="007727B0">
      <w:pPr>
        <w:autoSpaceDE w:val="0"/>
        <w:autoSpaceDN w:val="0"/>
        <w:adjustRightInd w:val="0"/>
        <w:spacing w:after="0"/>
        <w:jc w:val="both"/>
        <w:rPr>
          <w:rFonts w:ascii="Arial" w:hAnsi="Arial" w:cs="Arial"/>
        </w:rPr>
      </w:pPr>
    </w:p>
    <w:p w14:paraId="7918D708" w14:textId="77777777" w:rsidR="00EE49CC" w:rsidRPr="009041D4" w:rsidRDefault="00EE49CC" w:rsidP="00EE49CC">
      <w:pPr>
        <w:spacing w:after="0"/>
        <w:jc w:val="both"/>
        <w:rPr>
          <w:rFonts w:ascii="Arial" w:hAnsi="Arial" w:cs="Arial"/>
          <w:b/>
        </w:rPr>
      </w:pPr>
      <w:r w:rsidRPr="009041D4">
        <w:rPr>
          <w:rFonts w:ascii="Arial" w:hAnsi="Arial" w:cs="Arial"/>
          <w:b/>
        </w:rPr>
        <w:t>MODELO DE COSTOS DE SERVICIO DE ENLACES DE TRANSMISIÓN ENTRE COUBICACIONES.</w:t>
      </w:r>
    </w:p>
    <w:p w14:paraId="48FE3BD3" w14:textId="77777777" w:rsidR="00EE49CC" w:rsidRPr="009041D4" w:rsidRDefault="00EE49CC" w:rsidP="00EE49CC">
      <w:pPr>
        <w:autoSpaceDE w:val="0"/>
        <w:autoSpaceDN w:val="0"/>
        <w:adjustRightInd w:val="0"/>
        <w:spacing w:after="0"/>
        <w:rPr>
          <w:rFonts w:ascii="Arial" w:hAnsi="Arial" w:cs="Arial"/>
        </w:rPr>
      </w:pPr>
    </w:p>
    <w:p w14:paraId="5C49F979"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1CF47F69" w14:textId="77777777" w:rsidR="00EE49CC" w:rsidRPr="009041D4" w:rsidRDefault="00EE49CC" w:rsidP="00EE49CC">
      <w:pPr>
        <w:autoSpaceDE w:val="0"/>
        <w:autoSpaceDN w:val="0"/>
        <w:adjustRightInd w:val="0"/>
        <w:spacing w:after="0"/>
        <w:jc w:val="both"/>
        <w:rPr>
          <w:rFonts w:ascii="Arial" w:hAnsi="Arial" w:cs="Arial"/>
        </w:rPr>
      </w:pPr>
    </w:p>
    <w:p w14:paraId="6AC89A8F"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Estos enlaces podrán suministrarse bajo las modalidades de Enlace de Transmisión de Interconexión entre Coubicaciones Gestionado y Enlace de Transmisión de lnterconexión entre Coubicaciones No Gestionado.</w:t>
      </w:r>
    </w:p>
    <w:p w14:paraId="2CDE61BA" w14:textId="77777777" w:rsidR="00EE49CC" w:rsidRPr="009041D4" w:rsidRDefault="00EE49CC" w:rsidP="00EE49CC">
      <w:pPr>
        <w:autoSpaceDE w:val="0"/>
        <w:autoSpaceDN w:val="0"/>
        <w:adjustRightInd w:val="0"/>
        <w:spacing w:after="0"/>
        <w:jc w:val="both"/>
        <w:rPr>
          <w:rFonts w:ascii="Arial" w:hAnsi="Arial" w:cs="Arial"/>
        </w:rPr>
      </w:pPr>
    </w:p>
    <w:p w14:paraId="6A57E71F"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14:paraId="494A8633" w14:textId="77777777" w:rsidR="00EE49CC" w:rsidRPr="009041D4" w:rsidRDefault="00EE49CC" w:rsidP="00EE49CC">
      <w:pPr>
        <w:autoSpaceDE w:val="0"/>
        <w:autoSpaceDN w:val="0"/>
        <w:adjustRightInd w:val="0"/>
        <w:spacing w:after="0"/>
        <w:jc w:val="both"/>
        <w:rPr>
          <w:rFonts w:ascii="Arial" w:hAnsi="Arial" w:cs="Arial"/>
        </w:rPr>
      </w:pPr>
    </w:p>
    <w:p w14:paraId="4B0B289F" w14:textId="77777777" w:rsidR="00EE49CC" w:rsidRPr="009041D4" w:rsidRDefault="00EE49CC" w:rsidP="00EE49CC">
      <w:pPr>
        <w:spacing w:after="0"/>
        <w:jc w:val="both"/>
        <w:rPr>
          <w:rFonts w:ascii="Arial" w:hAnsi="Arial" w:cs="Arial"/>
          <w:b/>
        </w:rPr>
      </w:pPr>
      <w:r w:rsidRPr="009041D4">
        <w:rPr>
          <w:rFonts w:ascii="Arial" w:hAnsi="Arial" w:cs="Arial"/>
          <w:b/>
        </w:rPr>
        <w:t>Servicio gestionado</w:t>
      </w:r>
    </w:p>
    <w:p w14:paraId="06222A4A" w14:textId="77777777" w:rsidR="00EE49CC" w:rsidRPr="009041D4" w:rsidRDefault="00EE49CC" w:rsidP="00EE49CC">
      <w:pPr>
        <w:spacing w:after="0"/>
        <w:jc w:val="both"/>
        <w:rPr>
          <w:rFonts w:ascii="Arial" w:hAnsi="Arial" w:cs="Arial"/>
        </w:rPr>
      </w:pPr>
    </w:p>
    <w:p w14:paraId="67BD1A25"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lastRenderedPageBreak/>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5CA0DF4C" w14:textId="77777777" w:rsidR="00EE49CC" w:rsidRPr="009041D4" w:rsidRDefault="00EE49CC" w:rsidP="00EE49CC">
      <w:pPr>
        <w:spacing w:after="0"/>
        <w:jc w:val="both"/>
        <w:rPr>
          <w:rFonts w:ascii="Arial" w:hAnsi="Arial" w:cs="Arial"/>
        </w:rPr>
      </w:pPr>
    </w:p>
    <w:p w14:paraId="22A348FE" w14:textId="77777777" w:rsidR="00EE49CC" w:rsidRPr="009041D4" w:rsidRDefault="00EE49CC" w:rsidP="00EE49CC">
      <w:pPr>
        <w:spacing w:after="0"/>
        <w:jc w:val="center"/>
        <w:rPr>
          <w:rFonts w:ascii="Arial" w:hAnsi="Arial" w:cs="Arial"/>
        </w:rPr>
      </w:pPr>
      <w:r w:rsidRPr="009041D4">
        <w:rPr>
          <w:rFonts w:ascii="Arial" w:hAnsi="Arial" w:cs="Arial"/>
          <w:noProof/>
          <w:lang w:eastAsia="es-MX"/>
        </w:rPr>
        <w:drawing>
          <wp:inline distT="0" distB="0" distL="0" distR="0" wp14:anchorId="23EA0BA6" wp14:editId="64CDA403">
            <wp:extent cx="2806700" cy="2628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087C0D0A" w14:textId="18B7D92C" w:rsidR="00EE49CC" w:rsidRPr="009041D4" w:rsidRDefault="00EE49CC" w:rsidP="001F2E88">
      <w:pPr>
        <w:spacing w:after="0" w:line="240" w:lineRule="auto"/>
        <w:jc w:val="center"/>
        <w:rPr>
          <w:rFonts w:ascii="Arial" w:hAnsi="Arial" w:cs="Arial"/>
          <w:sz w:val="18"/>
          <w:szCs w:val="18"/>
        </w:rPr>
      </w:pPr>
      <w:r w:rsidRPr="009041D4">
        <w:rPr>
          <w:rFonts w:ascii="Arial" w:hAnsi="Arial" w:cs="Arial"/>
          <w:sz w:val="18"/>
          <w:szCs w:val="18"/>
        </w:rPr>
        <w:t>Fig</w:t>
      </w:r>
      <w:r w:rsidR="001F3325" w:rsidRPr="009041D4">
        <w:rPr>
          <w:rFonts w:ascii="Arial" w:hAnsi="Arial" w:cs="Arial"/>
          <w:sz w:val="18"/>
          <w:szCs w:val="18"/>
        </w:rPr>
        <w:t>ura</w:t>
      </w:r>
      <w:r w:rsidRPr="009041D4">
        <w:rPr>
          <w:rFonts w:ascii="Arial" w:hAnsi="Arial" w:cs="Arial"/>
          <w:sz w:val="18"/>
          <w:szCs w:val="18"/>
        </w:rPr>
        <w:t xml:space="preserve"> 11. Arquitectura servicio de interconexión cruzada activo.</w:t>
      </w:r>
    </w:p>
    <w:p w14:paraId="5AAC7630" w14:textId="77777777" w:rsidR="00510741" w:rsidRPr="009041D4" w:rsidRDefault="00510741" w:rsidP="00EE49CC">
      <w:pPr>
        <w:spacing w:after="0"/>
        <w:jc w:val="both"/>
        <w:rPr>
          <w:rFonts w:ascii="Arial" w:hAnsi="Arial" w:cs="Arial"/>
        </w:rPr>
      </w:pPr>
    </w:p>
    <w:p w14:paraId="1A0CF999" w14:textId="364A47AD" w:rsidR="00EE49CC" w:rsidRPr="009041D4" w:rsidRDefault="00EE49CC" w:rsidP="00EE49CC">
      <w:pPr>
        <w:spacing w:after="0"/>
        <w:jc w:val="both"/>
        <w:rPr>
          <w:rFonts w:ascii="Arial" w:hAnsi="Arial" w:cs="Arial"/>
        </w:rPr>
      </w:pPr>
      <w:r w:rsidRPr="009041D4">
        <w:rPr>
          <w:rFonts w:ascii="Arial" w:hAnsi="Arial" w:cs="Arial"/>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7ED02890" w14:textId="77777777" w:rsidR="00EE49CC" w:rsidRPr="009041D4" w:rsidRDefault="00EE49CC" w:rsidP="00EE49CC">
      <w:pPr>
        <w:spacing w:after="0" w:line="240" w:lineRule="auto"/>
        <w:jc w:val="both"/>
        <w:rPr>
          <w:rFonts w:ascii="Arial" w:hAnsi="Arial" w:cs="Arial"/>
        </w:rPr>
      </w:pPr>
    </w:p>
    <w:p w14:paraId="12B10F2E" w14:textId="77777777" w:rsidR="00EE49CC" w:rsidRPr="009041D4" w:rsidRDefault="00EE49CC" w:rsidP="00EE49CC">
      <w:pPr>
        <w:pStyle w:val="Prrafodelista"/>
        <w:numPr>
          <w:ilvl w:val="0"/>
          <w:numId w:val="48"/>
        </w:numPr>
        <w:contextualSpacing/>
        <w:rPr>
          <w:rFonts w:cs="Arial"/>
        </w:rPr>
      </w:pPr>
      <w:r w:rsidRPr="009041D4">
        <w:rPr>
          <w:rFonts w:cs="Arial"/>
        </w:rPr>
        <w:t>Distribuidor de Fibra Óptica: con capacidad de 6 pares dobles de fibra (12 conectores)</w:t>
      </w:r>
    </w:p>
    <w:p w14:paraId="2DA01CB9" w14:textId="77777777" w:rsidR="00EE49CC" w:rsidRPr="009041D4" w:rsidRDefault="00EE49CC" w:rsidP="00EE49CC">
      <w:pPr>
        <w:pStyle w:val="Prrafodelista"/>
        <w:numPr>
          <w:ilvl w:val="0"/>
          <w:numId w:val="48"/>
        </w:numPr>
        <w:contextualSpacing/>
        <w:rPr>
          <w:rFonts w:cs="Arial"/>
        </w:rPr>
      </w:pPr>
      <w:r w:rsidRPr="009041D4">
        <w:rPr>
          <w:rFonts w:cs="Arial"/>
        </w:rPr>
        <w:t>Demarcador: switch que servirá para delimitar la red del concesionario solicitado y del concesionario solicitante, con capacidad de 6 puertos ópticos, cuya capacidad puede ser de 1Gbps o 10Gbps, con un incremento del 2.5 en el Capex para este último caso.</w:t>
      </w:r>
    </w:p>
    <w:p w14:paraId="727AA3D8" w14:textId="77777777" w:rsidR="00EE49CC" w:rsidRPr="009041D4" w:rsidRDefault="00EE49CC" w:rsidP="00EE49CC">
      <w:pPr>
        <w:pStyle w:val="Prrafodelista"/>
        <w:numPr>
          <w:ilvl w:val="0"/>
          <w:numId w:val="48"/>
        </w:numPr>
        <w:contextualSpacing/>
        <w:rPr>
          <w:rFonts w:cs="Arial"/>
        </w:rPr>
      </w:pPr>
      <w:r w:rsidRPr="009041D4">
        <w:rPr>
          <w:rFonts w:cs="Arial"/>
        </w:rPr>
        <w:t>Equipo de Transporte: switch encargado del enrutamiento del tráfico entre los concesionarios, con capacidad de 16 puertos ópticos de 1 Gbps o 10 Gbps, con un incremento del 2.5 en el Capex para este último caso.</w:t>
      </w:r>
    </w:p>
    <w:p w14:paraId="65EC8FF9" w14:textId="77777777" w:rsidR="00EE49CC" w:rsidRPr="009041D4" w:rsidRDefault="00EE49CC" w:rsidP="00EE49CC">
      <w:pPr>
        <w:pStyle w:val="Prrafodelista"/>
        <w:numPr>
          <w:ilvl w:val="0"/>
          <w:numId w:val="48"/>
        </w:numPr>
        <w:contextualSpacing/>
        <w:rPr>
          <w:rFonts w:cs="Arial"/>
        </w:rPr>
      </w:pPr>
      <w:r w:rsidRPr="009041D4">
        <w:rPr>
          <w:rFonts w:cs="Arial"/>
        </w:rPr>
        <w:t>Jumper Óptico: multimodo dúplex y 10 metros de longitud.</w:t>
      </w:r>
    </w:p>
    <w:p w14:paraId="3F5C430F" w14:textId="77777777" w:rsidR="00EE49CC" w:rsidRPr="009041D4" w:rsidRDefault="00EE49CC" w:rsidP="00EE49CC">
      <w:pPr>
        <w:spacing w:after="0"/>
        <w:jc w:val="both"/>
        <w:rPr>
          <w:rFonts w:ascii="Arial" w:hAnsi="Arial" w:cs="Arial"/>
          <w:b/>
        </w:rPr>
      </w:pPr>
    </w:p>
    <w:p w14:paraId="51857D1A" w14:textId="77777777" w:rsidR="00EE49CC" w:rsidRPr="009041D4" w:rsidRDefault="00EE49CC" w:rsidP="00EE49CC">
      <w:pPr>
        <w:spacing w:after="0"/>
        <w:jc w:val="both"/>
        <w:rPr>
          <w:rFonts w:ascii="Arial" w:hAnsi="Arial" w:cs="Arial"/>
          <w:b/>
        </w:rPr>
      </w:pPr>
      <w:r w:rsidRPr="009041D4">
        <w:rPr>
          <w:rFonts w:ascii="Arial" w:hAnsi="Arial" w:cs="Arial"/>
          <w:b/>
        </w:rPr>
        <w:t>Servicio no gestionado</w:t>
      </w:r>
    </w:p>
    <w:p w14:paraId="091D2272" w14:textId="77777777" w:rsidR="00EE49CC" w:rsidRPr="009041D4" w:rsidRDefault="00EE49CC" w:rsidP="00EE49CC">
      <w:pPr>
        <w:spacing w:after="0"/>
        <w:jc w:val="both"/>
        <w:rPr>
          <w:rFonts w:ascii="Arial" w:hAnsi="Arial" w:cs="Arial"/>
          <w:b/>
        </w:rPr>
      </w:pPr>
    </w:p>
    <w:p w14:paraId="3DBF1447"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6679CFB7" w14:textId="77777777" w:rsidR="00EE49CC" w:rsidRPr="009041D4" w:rsidRDefault="00EE49CC" w:rsidP="00EE49CC">
      <w:pPr>
        <w:spacing w:after="0"/>
        <w:jc w:val="center"/>
        <w:rPr>
          <w:rFonts w:ascii="Arial" w:hAnsi="Arial" w:cs="Arial"/>
        </w:rPr>
      </w:pPr>
      <w:r w:rsidRPr="009041D4">
        <w:rPr>
          <w:rFonts w:ascii="Arial" w:hAnsi="Arial" w:cs="Arial"/>
          <w:noProof/>
          <w:lang w:eastAsia="es-MX"/>
        </w:rPr>
        <w:lastRenderedPageBreak/>
        <w:drawing>
          <wp:inline distT="0" distB="0" distL="0" distR="0" wp14:anchorId="4019F695" wp14:editId="3F1596C2">
            <wp:extent cx="2552700" cy="23903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6A229D35" w14:textId="60133B22" w:rsidR="00EE49CC" w:rsidRPr="009041D4" w:rsidRDefault="00EE49CC" w:rsidP="00EE49CC">
      <w:pPr>
        <w:spacing w:after="0" w:line="240" w:lineRule="auto"/>
        <w:jc w:val="center"/>
        <w:rPr>
          <w:rFonts w:ascii="Arial" w:hAnsi="Arial" w:cs="Arial"/>
          <w:sz w:val="18"/>
          <w:szCs w:val="18"/>
        </w:rPr>
      </w:pPr>
      <w:r w:rsidRPr="009041D4">
        <w:rPr>
          <w:rFonts w:ascii="Arial" w:hAnsi="Arial" w:cs="Arial"/>
          <w:sz w:val="18"/>
          <w:szCs w:val="18"/>
        </w:rPr>
        <w:t>Fig</w:t>
      </w:r>
      <w:r w:rsidR="001F3325" w:rsidRPr="009041D4">
        <w:rPr>
          <w:rFonts w:ascii="Arial" w:hAnsi="Arial" w:cs="Arial"/>
          <w:sz w:val="18"/>
          <w:szCs w:val="18"/>
        </w:rPr>
        <w:t>ura</w:t>
      </w:r>
      <w:r w:rsidRPr="009041D4">
        <w:rPr>
          <w:rFonts w:ascii="Arial" w:hAnsi="Arial" w:cs="Arial"/>
          <w:sz w:val="18"/>
          <w:szCs w:val="18"/>
        </w:rPr>
        <w:t xml:space="preserve"> 12. Arquitectura servicio de interconexión cruzada pasivo.</w:t>
      </w:r>
    </w:p>
    <w:p w14:paraId="4CF5F283" w14:textId="77777777" w:rsidR="00EE49CC" w:rsidRPr="009041D4" w:rsidRDefault="00EE49CC" w:rsidP="00EE49CC">
      <w:pPr>
        <w:autoSpaceDE w:val="0"/>
        <w:autoSpaceDN w:val="0"/>
        <w:adjustRightInd w:val="0"/>
        <w:spacing w:after="0"/>
        <w:jc w:val="both"/>
        <w:rPr>
          <w:rFonts w:ascii="Arial" w:hAnsi="Arial" w:cs="Arial"/>
        </w:rPr>
      </w:pPr>
    </w:p>
    <w:p w14:paraId="126579E3"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El modelo de costos considera para la provisión del servicio los siguientes elementos:</w:t>
      </w:r>
    </w:p>
    <w:p w14:paraId="5A01BB53" w14:textId="77777777" w:rsidR="00EE49CC" w:rsidRPr="009041D4" w:rsidRDefault="00EE49CC" w:rsidP="00EE49CC">
      <w:pPr>
        <w:autoSpaceDE w:val="0"/>
        <w:autoSpaceDN w:val="0"/>
        <w:adjustRightInd w:val="0"/>
        <w:spacing w:after="0"/>
        <w:jc w:val="both"/>
        <w:rPr>
          <w:rFonts w:ascii="Arial" w:hAnsi="Arial" w:cs="Arial"/>
        </w:rPr>
      </w:pPr>
    </w:p>
    <w:p w14:paraId="0F7C5265" w14:textId="77777777" w:rsidR="00EE49CC" w:rsidRPr="009041D4" w:rsidRDefault="00EE49CC" w:rsidP="00EE49CC">
      <w:pPr>
        <w:pStyle w:val="Prrafodelista"/>
        <w:numPr>
          <w:ilvl w:val="0"/>
          <w:numId w:val="49"/>
        </w:numPr>
        <w:autoSpaceDE w:val="0"/>
        <w:autoSpaceDN w:val="0"/>
        <w:adjustRightInd w:val="0"/>
        <w:spacing w:line="259" w:lineRule="auto"/>
        <w:contextualSpacing/>
        <w:rPr>
          <w:rFonts w:cs="Arial"/>
        </w:rPr>
      </w:pPr>
      <w:r w:rsidRPr="009041D4">
        <w:rPr>
          <w:rFonts w:cs="Arial"/>
        </w:rPr>
        <w:t>Cable Óptico: cable de 12 fibras ópticas</w:t>
      </w:r>
    </w:p>
    <w:p w14:paraId="2F71AE1B" w14:textId="77777777" w:rsidR="00EE49CC" w:rsidRPr="009041D4" w:rsidRDefault="00EE49CC" w:rsidP="00EE49CC">
      <w:pPr>
        <w:pStyle w:val="Prrafodelista"/>
        <w:numPr>
          <w:ilvl w:val="0"/>
          <w:numId w:val="49"/>
        </w:numPr>
        <w:autoSpaceDE w:val="0"/>
        <w:autoSpaceDN w:val="0"/>
        <w:adjustRightInd w:val="0"/>
        <w:spacing w:line="259" w:lineRule="auto"/>
        <w:contextualSpacing/>
        <w:rPr>
          <w:rFonts w:cs="Arial"/>
        </w:rPr>
      </w:pPr>
      <w:r w:rsidRPr="009041D4">
        <w:rPr>
          <w:rFonts w:cs="Arial"/>
        </w:rPr>
        <w:t>Escalerilla</w:t>
      </w:r>
    </w:p>
    <w:p w14:paraId="37310B3D" w14:textId="77777777" w:rsidR="00EE49CC" w:rsidRPr="009041D4" w:rsidRDefault="00EE49CC" w:rsidP="00EE49CC">
      <w:pPr>
        <w:autoSpaceDE w:val="0"/>
        <w:autoSpaceDN w:val="0"/>
        <w:adjustRightInd w:val="0"/>
        <w:spacing w:after="0"/>
        <w:jc w:val="both"/>
        <w:rPr>
          <w:rFonts w:ascii="Arial" w:hAnsi="Arial" w:cs="Arial"/>
        </w:rPr>
      </w:pPr>
    </w:p>
    <w:p w14:paraId="6F88FD4C" w14:textId="77777777" w:rsidR="00EE49CC" w:rsidRPr="009041D4" w:rsidRDefault="00EE49CC" w:rsidP="00EE49CC">
      <w:pPr>
        <w:autoSpaceDE w:val="0"/>
        <w:autoSpaceDN w:val="0"/>
        <w:adjustRightInd w:val="0"/>
        <w:spacing w:after="0"/>
        <w:jc w:val="both"/>
        <w:rPr>
          <w:rFonts w:ascii="Arial" w:hAnsi="Arial" w:cs="Arial"/>
        </w:rPr>
      </w:pPr>
      <w:r w:rsidRPr="009041D4">
        <w:rPr>
          <w:rFonts w:ascii="Arial" w:hAnsi="Arial" w:cs="Arial"/>
        </w:rPr>
        <w:t xml:space="preserve">La utilización únicamente de elementos pasivos disminuye el Opex y el Capex en relación al servicio gestionado. </w:t>
      </w:r>
    </w:p>
    <w:p w14:paraId="756A3A27" w14:textId="77777777" w:rsidR="00EE49CC" w:rsidRPr="009041D4" w:rsidRDefault="00EE49CC" w:rsidP="00EE49CC">
      <w:pPr>
        <w:spacing w:after="0"/>
        <w:rPr>
          <w:rFonts w:ascii="Arial" w:hAnsi="Arial" w:cs="Arial"/>
          <w:b/>
          <w:sz w:val="24"/>
        </w:rPr>
      </w:pPr>
    </w:p>
    <w:p w14:paraId="0745D997" w14:textId="77777777" w:rsidR="00EE49CC" w:rsidRPr="009041D4" w:rsidRDefault="00EE49CC" w:rsidP="00EE49CC">
      <w:pPr>
        <w:spacing w:after="0"/>
        <w:rPr>
          <w:rFonts w:ascii="Arial" w:hAnsi="Arial" w:cs="Arial"/>
          <w:b/>
        </w:rPr>
      </w:pPr>
      <w:r w:rsidRPr="009041D4">
        <w:rPr>
          <w:rFonts w:ascii="Arial" w:hAnsi="Arial" w:cs="Arial"/>
          <w:b/>
        </w:rPr>
        <w:t xml:space="preserve">Marco metodológico </w:t>
      </w:r>
    </w:p>
    <w:p w14:paraId="1DB92D3B" w14:textId="77777777" w:rsidR="00EE49CC" w:rsidRPr="009041D4" w:rsidRDefault="00EE49CC" w:rsidP="00EE49CC">
      <w:pPr>
        <w:spacing w:after="0"/>
        <w:rPr>
          <w:rFonts w:ascii="Arial" w:hAnsi="Arial" w:cs="Arial"/>
          <w:b/>
        </w:rPr>
      </w:pPr>
    </w:p>
    <w:p w14:paraId="6408ECD3" w14:textId="77777777" w:rsidR="00EE49CC" w:rsidRPr="009041D4" w:rsidRDefault="00EE49CC" w:rsidP="00EE49CC">
      <w:pPr>
        <w:spacing w:after="0"/>
        <w:rPr>
          <w:rFonts w:ascii="Arial" w:hAnsi="Arial" w:cs="Arial"/>
        </w:rPr>
      </w:pPr>
      <w:r w:rsidRPr="009041D4">
        <w:rPr>
          <w:rFonts w:ascii="Arial" w:hAnsi="Arial" w:cs="Arial"/>
        </w:rPr>
        <w:t>A efecto de determinar el costo del servicio se señalan las principales hipótesis:</w:t>
      </w:r>
    </w:p>
    <w:p w14:paraId="457243ED" w14:textId="77777777" w:rsidR="00EE49CC" w:rsidRPr="009041D4" w:rsidRDefault="00EE49CC" w:rsidP="00EE49CC">
      <w:pPr>
        <w:spacing w:after="0"/>
        <w:rPr>
          <w:rFonts w:ascii="Arial" w:hAnsi="Arial" w:cs="Arial"/>
        </w:rPr>
      </w:pPr>
    </w:p>
    <w:p w14:paraId="4BA4BCCE" w14:textId="77777777" w:rsidR="00EE49CC" w:rsidRPr="009041D4" w:rsidRDefault="00EE49CC" w:rsidP="00EE49CC">
      <w:pPr>
        <w:spacing w:after="0"/>
        <w:jc w:val="both"/>
        <w:rPr>
          <w:rFonts w:ascii="Arial" w:hAnsi="Arial" w:cs="Arial"/>
        </w:rPr>
      </w:pPr>
      <w:r w:rsidRPr="009041D4">
        <w:rPr>
          <w:rFonts w:ascii="Arial" w:hAnsi="Arial" w:cs="Arial"/>
          <w:b/>
        </w:rPr>
        <w:t xml:space="preserve">Demanda: </w:t>
      </w:r>
      <w:r w:rsidRPr="009041D4">
        <w:rPr>
          <w:rFonts w:ascii="Arial" w:hAnsi="Arial" w:cs="Arial"/>
        </w:rPr>
        <w:t>Todos los concesionarios solicitantes se encuentran en una misma central del AEP, considerando una media de 2 operadores por central.</w:t>
      </w:r>
    </w:p>
    <w:p w14:paraId="09EBFF49" w14:textId="77777777" w:rsidR="00EE49CC" w:rsidRPr="009041D4" w:rsidRDefault="00EE49CC" w:rsidP="00EE49CC">
      <w:pPr>
        <w:spacing w:after="0"/>
        <w:jc w:val="both"/>
        <w:rPr>
          <w:rFonts w:ascii="Arial" w:hAnsi="Arial" w:cs="Arial"/>
        </w:rPr>
      </w:pPr>
    </w:p>
    <w:p w14:paraId="3DAD3BD5" w14:textId="77777777" w:rsidR="00EE49CC" w:rsidRPr="009041D4" w:rsidRDefault="00EE49CC" w:rsidP="00EE49CC">
      <w:pPr>
        <w:spacing w:after="0"/>
        <w:jc w:val="both"/>
        <w:rPr>
          <w:rFonts w:ascii="Arial" w:hAnsi="Arial" w:cs="Arial"/>
          <w:b/>
        </w:rPr>
      </w:pPr>
      <w:r w:rsidRPr="009041D4">
        <w:rPr>
          <w:rFonts w:ascii="Arial" w:hAnsi="Arial" w:cs="Arial"/>
          <w:b/>
        </w:rPr>
        <w:t>Estructura de red:</w:t>
      </w:r>
    </w:p>
    <w:p w14:paraId="39DD2994" w14:textId="77777777" w:rsidR="00EE49CC" w:rsidRPr="009041D4" w:rsidRDefault="00EE49CC" w:rsidP="00EE49CC">
      <w:pPr>
        <w:pStyle w:val="Prrafodelista"/>
        <w:numPr>
          <w:ilvl w:val="0"/>
          <w:numId w:val="39"/>
        </w:numPr>
        <w:spacing w:line="259" w:lineRule="auto"/>
        <w:contextualSpacing/>
        <w:rPr>
          <w:rFonts w:cs="Arial"/>
          <w:b/>
        </w:rPr>
      </w:pPr>
      <w:r w:rsidRPr="009041D4">
        <w:rPr>
          <w:rFonts w:cs="Arial"/>
        </w:rPr>
        <w:t>Los elementos de red provistos por el AEP para la provisión de este servicio están totalmente separados de su red troncal y de acceso, y sus costos estarán por lo tanto exclusivamente repartidos entre los operadores que se interconecten.</w:t>
      </w:r>
    </w:p>
    <w:p w14:paraId="7490EC61" w14:textId="77777777" w:rsidR="00EE49CC" w:rsidRPr="009041D4" w:rsidRDefault="00EE49CC" w:rsidP="00EE49CC">
      <w:pPr>
        <w:pStyle w:val="Prrafodelista"/>
        <w:numPr>
          <w:ilvl w:val="0"/>
          <w:numId w:val="39"/>
        </w:numPr>
        <w:spacing w:line="259" w:lineRule="auto"/>
        <w:contextualSpacing/>
        <w:rPr>
          <w:rFonts w:cs="Arial"/>
          <w:b/>
        </w:rPr>
      </w:pPr>
      <w:r w:rsidRPr="009041D4">
        <w:rPr>
          <w:rFonts w:cs="Arial"/>
        </w:rPr>
        <w:t>Los demarcadores empleados para separar la red del AEP de la de los concesionarios están formados por conmutadores ópticos.</w:t>
      </w:r>
    </w:p>
    <w:p w14:paraId="76C9285E" w14:textId="77777777" w:rsidR="00EE49CC" w:rsidRPr="009041D4" w:rsidRDefault="00EE49CC" w:rsidP="00EE49CC">
      <w:pPr>
        <w:pStyle w:val="Prrafodelista"/>
        <w:numPr>
          <w:ilvl w:val="0"/>
          <w:numId w:val="39"/>
        </w:numPr>
        <w:spacing w:line="259" w:lineRule="auto"/>
        <w:contextualSpacing/>
        <w:rPr>
          <w:rFonts w:cs="Arial"/>
          <w:b/>
        </w:rPr>
      </w:pPr>
      <w:r w:rsidRPr="009041D4">
        <w:rPr>
          <w:rFonts w:cs="Arial"/>
        </w:rPr>
        <w:t>Todos los equipos considerados tienen conexiones de 1 Gbps; emplear equipos con conexiones de 10 Gbps incrementaría el capex en x2.5 para los equipos considerados.</w:t>
      </w:r>
    </w:p>
    <w:p w14:paraId="1E1E83FA" w14:textId="77777777" w:rsidR="00EE49CC" w:rsidRPr="009041D4" w:rsidRDefault="00EE49CC" w:rsidP="00EE49CC">
      <w:pPr>
        <w:spacing w:after="0"/>
        <w:jc w:val="both"/>
        <w:rPr>
          <w:rFonts w:ascii="Arial" w:hAnsi="Arial" w:cs="Arial"/>
          <w:b/>
        </w:rPr>
      </w:pPr>
    </w:p>
    <w:p w14:paraId="13B9E1F8" w14:textId="77777777" w:rsidR="00EE49CC" w:rsidRPr="009041D4" w:rsidRDefault="00EE49CC" w:rsidP="00EE49CC">
      <w:pPr>
        <w:spacing w:after="0"/>
        <w:jc w:val="both"/>
        <w:rPr>
          <w:rFonts w:ascii="Arial" w:hAnsi="Arial" w:cs="Arial"/>
        </w:rPr>
      </w:pPr>
      <w:r w:rsidRPr="009041D4">
        <w:rPr>
          <w:rFonts w:ascii="Arial" w:hAnsi="Arial" w:cs="Arial"/>
          <w:b/>
        </w:rPr>
        <w:t xml:space="preserve">Depreciación: </w:t>
      </w:r>
      <w:r w:rsidRPr="009041D4">
        <w:rPr>
          <w:rFonts w:ascii="Arial" w:hAnsi="Arial" w:cs="Arial"/>
        </w:rPr>
        <w:t>El costo de reposición de los equipos se considera en los costos mensuales en forma de anualización inclinada.</w:t>
      </w:r>
    </w:p>
    <w:p w14:paraId="5D1E99E5" w14:textId="77777777" w:rsidR="00EE49CC" w:rsidRPr="009041D4" w:rsidRDefault="00EE49CC" w:rsidP="00EE49CC">
      <w:pPr>
        <w:spacing w:after="0"/>
        <w:jc w:val="both"/>
        <w:rPr>
          <w:rFonts w:ascii="Arial" w:hAnsi="Arial" w:cs="Arial"/>
        </w:rPr>
      </w:pPr>
    </w:p>
    <w:p w14:paraId="7A02C5DF" w14:textId="5CD0727F" w:rsidR="00EE49CC" w:rsidRPr="009041D4" w:rsidRDefault="00EE49CC" w:rsidP="00EE49CC">
      <w:pPr>
        <w:spacing w:after="0"/>
        <w:jc w:val="both"/>
        <w:rPr>
          <w:rFonts w:ascii="Arial" w:hAnsi="Arial" w:cs="Arial"/>
        </w:rPr>
      </w:pPr>
      <w:r w:rsidRPr="009041D4">
        <w:rPr>
          <w:rFonts w:ascii="Arial" w:hAnsi="Arial" w:cs="Arial"/>
          <w:b/>
        </w:rPr>
        <w:t xml:space="preserve">CCPP: </w:t>
      </w:r>
      <w:r w:rsidRPr="009041D4">
        <w:rPr>
          <w:rFonts w:ascii="Arial" w:hAnsi="Arial" w:cs="Arial"/>
        </w:rPr>
        <w:t xml:space="preserve">Se considera un CCPP nominal antes de impuestos del </w:t>
      </w:r>
      <w:r w:rsidR="00700501" w:rsidRPr="009041D4">
        <w:rPr>
          <w:rFonts w:ascii="Arial" w:hAnsi="Arial" w:cs="Arial"/>
        </w:rPr>
        <w:t>9.12</w:t>
      </w:r>
      <w:r w:rsidRPr="009041D4">
        <w:rPr>
          <w:rFonts w:ascii="Arial" w:hAnsi="Arial" w:cs="Arial"/>
        </w:rPr>
        <w:t>%, en línea con el empleado en los modelos de costos de servicios conmutados de interconexión.</w:t>
      </w:r>
    </w:p>
    <w:p w14:paraId="576DFA7D" w14:textId="77777777" w:rsidR="00EE49CC" w:rsidRPr="009041D4" w:rsidRDefault="00EE49CC" w:rsidP="00EE49CC">
      <w:pPr>
        <w:spacing w:after="0"/>
        <w:jc w:val="both"/>
        <w:rPr>
          <w:rFonts w:ascii="Arial" w:hAnsi="Arial" w:cs="Arial"/>
        </w:rPr>
      </w:pPr>
    </w:p>
    <w:p w14:paraId="312F7EA1" w14:textId="77777777" w:rsidR="00EE49CC" w:rsidRPr="009041D4" w:rsidRDefault="00EE49CC" w:rsidP="00EE49CC">
      <w:pPr>
        <w:spacing w:after="0"/>
        <w:jc w:val="center"/>
        <w:rPr>
          <w:rFonts w:ascii="Arial" w:hAnsi="Arial" w:cs="Arial"/>
          <w:sz w:val="20"/>
        </w:rPr>
      </w:pPr>
      <w:r w:rsidRPr="009041D4">
        <w:rPr>
          <w:rFonts w:ascii="Arial" w:hAnsi="Arial" w:cs="Arial"/>
          <w:noProof/>
          <w:sz w:val="20"/>
          <w:lang w:eastAsia="es-MX"/>
        </w:rPr>
        <w:drawing>
          <wp:inline distT="0" distB="0" distL="0" distR="0" wp14:anchorId="3A456825" wp14:editId="13B91ADA">
            <wp:extent cx="3140766" cy="2706778"/>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0619AB93" w14:textId="43C56899" w:rsidR="00EE49CC" w:rsidRPr="009041D4" w:rsidRDefault="00EE49CC" w:rsidP="00EE49CC">
      <w:pPr>
        <w:spacing w:after="0" w:line="240" w:lineRule="auto"/>
        <w:jc w:val="center"/>
        <w:rPr>
          <w:rFonts w:ascii="Arial" w:hAnsi="Arial" w:cs="Arial"/>
          <w:sz w:val="18"/>
          <w:szCs w:val="18"/>
        </w:rPr>
      </w:pPr>
      <w:r w:rsidRPr="009041D4">
        <w:rPr>
          <w:rFonts w:ascii="Arial" w:hAnsi="Arial" w:cs="Arial"/>
          <w:sz w:val="18"/>
          <w:szCs w:val="18"/>
        </w:rPr>
        <w:t>Fig</w:t>
      </w:r>
      <w:r w:rsidR="00245D71" w:rsidRPr="009041D4">
        <w:rPr>
          <w:rFonts w:ascii="Arial" w:hAnsi="Arial" w:cs="Arial"/>
          <w:sz w:val="18"/>
          <w:szCs w:val="18"/>
        </w:rPr>
        <w:t>ura</w:t>
      </w:r>
      <w:r w:rsidRPr="009041D4">
        <w:rPr>
          <w:rFonts w:ascii="Arial" w:hAnsi="Arial" w:cs="Arial"/>
          <w:sz w:val="18"/>
          <w:szCs w:val="18"/>
        </w:rPr>
        <w:t xml:space="preserve"> 13. Estructura del Modelo.</w:t>
      </w:r>
    </w:p>
    <w:p w14:paraId="21D7EC03" w14:textId="77777777" w:rsidR="00EE49CC" w:rsidRPr="009041D4" w:rsidRDefault="00EE49CC" w:rsidP="00EE49CC">
      <w:pPr>
        <w:spacing w:after="0" w:line="240" w:lineRule="auto"/>
        <w:jc w:val="both"/>
        <w:rPr>
          <w:rFonts w:ascii="Arial" w:hAnsi="Arial" w:cs="Arial"/>
        </w:rPr>
      </w:pPr>
    </w:p>
    <w:p w14:paraId="7385FF1C" w14:textId="77777777" w:rsidR="00EE49CC" w:rsidRPr="009041D4" w:rsidRDefault="00EE49CC" w:rsidP="00EE49CC">
      <w:pPr>
        <w:spacing w:after="0" w:line="240" w:lineRule="auto"/>
        <w:jc w:val="both"/>
        <w:rPr>
          <w:rFonts w:ascii="Arial" w:hAnsi="Arial" w:cs="Arial"/>
        </w:rPr>
      </w:pPr>
      <w:r w:rsidRPr="009041D4">
        <w:rPr>
          <w:rFonts w:ascii="Arial" w:hAnsi="Arial" w:cs="Arial"/>
        </w:rPr>
        <w:t>El modelo adopta un enfoque orientado al cálculo de los costos de componentes asociados a estos servicios.</w:t>
      </w:r>
    </w:p>
    <w:p w14:paraId="7698D512" w14:textId="77777777" w:rsidR="00EE49CC" w:rsidRPr="009041D4" w:rsidRDefault="00EE49CC" w:rsidP="00EE49CC">
      <w:pPr>
        <w:spacing w:after="0"/>
        <w:jc w:val="both"/>
        <w:rPr>
          <w:rFonts w:ascii="Arial" w:hAnsi="Arial" w:cs="Arial"/>
        </w:rPr>
      </w:pPr>
    </w:p>
    <w:p w14:paraId="60331623" w14:textId="77777777" w:rsidR="00EE49CC" w:rsidRPr="009041D4" w:rsidRDefault="00EE49CC" w:rsidP="00EE49CC">
      <w:pPr>
        <w:spacing w:after="0"/>
        <w:jc w:val="both"/>
        <w:rPr>
          <w:rFonts w:ascii="Arial" w:hAnsi="Arial" w:cs="Arial"/>
        </w:rPr>
      </w:pPr>
      <w:r w:rsidRPr="009041D4">
        <w:rPr>
          <w:rFonts w:ascii="Arial" w:hAnsi="Arial" w:cs="Arial"/>
        </w:rPr>
        <w:t>El modelo captura elementos de red NGN, considerados como la tecnología moderna equivalente.</w:t>
      </w:r>
    </w:p>
    <w:p w14:paraId="22E52DA2" w14:textId="77777777" w:rsidR="00EE49CC" w:rsidRPr="009041D4" w:rsidRDefault="00EE49CC" w:rsidP="00EE49CC">
      <w:pPr>
        <w:spacing w:after="0"/>
        <w:jc w:val="both"/>
        <w:rPr>
          <w:rFonts w:ascii="Arial" w:hAnsi="Arial" w:cs="Arial"/>
        </w:rPr>
      </w:pPr>
    </w:p>
    <w:p w14:paraId="4D146F6D" w14:textId="77777777" w:rsidR="00EE49CC" w:rsidRPr="009041D4" w:rsidRDefault="00EE49CC" w:rsidP="00EE49CC">
      <w:pPr>
        <w:spacing w:after="0"/>
        <w:jc w:val="both"/>
        <w:rPr>
          <w:rFonts w:ascii="Arial" w:hAnsi="Arial" w:cs="Arial"/>
        </w:rPr>
      </w:pPr>
      <w:r w:rsidRPr="009041D4">
        <w:rPr>
          <w:rFonts w:ascii="Arial" w:hAnsi="Arial" w:cs="Arial"/>
        </w:rPr>
        <w:t>El modelo se expresa en dólares americanos (USD) reales que se convierten a nominales en base a la inflación futura esperada.</w:t>
      </w:r>
    </w:p>
    <w:p w14:paraId="24037EB1" w14:textId="77777777" w:rsidR="00EE49CC" w:rsidRPr="009041D4" w:rsidRDefault="00EE49CC" w:rsidP="00EE49CC">
      <w:pPr>
        <w:spacing w:after="0"/>
        <w:jc w:val="both"/>
        <w:rPr>
          <w:rFonts w:ascii="Arial" w:hAnsi="Arial" w:cs="Arial"/>
        </w:rPr>
      </w:pPr>
    </w:p>
    <w:p w14:paraId="35201AD4" w14:textId="77777777" w:rsidR="00EE49CC" w:rsidRPr="009041D4" w:rsidRDefault="00EE49CC" w:rsidP="00EE49CC">
      <w:pPr>
        <w:spacing w:after="0"/>
        <w:jc w:val="both"/>
        <w:rPr>
          <w:rFonts w:ascii="Arial" w:hAnsi="Arial" w:cs="Arial"/>
        </w:rPr>
      </w:pPr>
      <w:r w:rsidRPr="009041D4">
        <w:rPr>
          <w:rFonts w:ascii="Arial" w:hAnsi="Arial" w:cs="Arial"/>
        </w:rPr>
        <w:t>Una vez calculado el valor de los servicios en dólares americanos, se convierten los resultados a pesos mexicanos (MXN) con base en el tipo de cambio futuro, de acuerdo a las previsiones del Banco de México.</w:t>
      </w:r>
    </w:p>
    <w:p w14:paraId="2BB1F848" w14:textId="77777777" w:rsidR="00EE49CC" w:rsidRPr="009041D4" w:rsidRDefault="00EE49CC" w:rsidP="00EE49CC">
      <w:pPr>
        <w:spacing w:after="0"/>
        <w:jc w:val="both"/>
        <w:rPr>
          <w:rFonts w:ascii="Arial" w:hAnsi="Arial" w:cs="Arial"/>
        </w:rPr>
      </w:pPr>
    </w:p>
    <w:p w14:paraId="658E9DA6" w14:textId="77777777" w:rsidR="00EE49CC" w:rsidRPr="009041D4" w:rsidRDefault="00EE49CC" w:rsidP="00EE49CC">
      <w:pPr>
        <w:spacing w:after="0"/>
        <w:jc w:val="both"/>
        <w:rPr>
          <w:rFonts w:ascii="Arial" w:hAnsi="Arial" w:cs="Arial"/>
        </w:rPr>
      </w:pPr>
      <w:r w:rsidRPr="009041D4">
        <w:rPr>
          <w:rFonts w:ascii="Arial" w:hAnsi="Arial" w:cs="Arial"/>
        </w:rPr>
        <w:t>El servicio de interconexión cruzada se limita a aquel aplicable al establecimiento de interconexión de voz en las instalaciones del AEP: El servicio será ofrecido tanto a operadores fijos como móviles.</w:t>
      </w:r>
    </w:p>
    <w:p w14:paraId="2B42CBB0" w14:textId="77777777" w:rsidR="00EE49CC" w:rsidRPr="009041D4" w:rsidRDefault="00EE49CC" w:rsidP="00EE49CC">
      <w:pPr>
        <w:spacing w:after="0"/>
        <w:jc w:val="both"/>
        <w:rPr>
          <w:rFonts w:ascii="Arial" w:hAnsi="Arial" w:cs="Arial"/>
        </w:rPr>
      </w:pPr>
    </w:p>
    <w:p w14:paraId="3C8CE55F" w14:textId="77777777" w:rsidR="00EE49CC" w:rsidRPr="009041D4" w:rsidRDefault="00EE49CC" w:rsidP="00EE49CC">
      <w:pPr>
        <w:spacing w:after="0"/>
        <w:jc w:val="both"/>
        <w:rPr>
          <w:rFonts w:ascii="Arial" w:hAnsi="Arial" w:cs="Arial"/>
        </w:rPr>
      </w:pPr>
      <w:r w:rsidRPr="009041D4">
        <w:rPr>
          <w:rFonts w:ascii="Arial" w:hAnsi="Arial" w:cs="Arial"/>
        </w:rPr>
        <w:t>Los precios se calculan con base a una estructura de:</w:t>
      </w:r>
    </w:p>
    <w:p w14:paraId="04483D77" w14:textId="77777777" w:rsidR="00EE49CC" w:rsidRPr="009041D4" w:rsidRDefault="00EE49CC" w:rsidP="00EE49CC">
      <w:pPr>
        <w:spacing w:after="0"/>
        <w:jc w:val="both"/>
        <w:rPr>
          <w:rFonts w:ascii="Arial" w:hAnsi="Arial" w:cs="Arial"/>
        </w:rPr>
      </w:pPr>
    </w:p>
    <w:p w14:paraId="626AAA70" w14:textId="77777777" w:rsidR="00EE49CC" w:rsidRPr="009041D4" w:rsidRDefault="00EE49CC" w:rsidP="00EE49CC">
      <w:pPr>
        <w:pStyle w:val="Prrafodelista"/>
        <w:numPr>
          <w:ilvl w:val="0"/>
          <w:numId w:val="40"/>
        </w:numPr>
        <w:spacing w:line="259" w:lineRule="auto"/>
        <w:contextualSpacing/>
        <w:rPr>
          <w:rFonts w:cs="Arial"/>
        </w:rPr>
      </w:pPr>
      <w:r w:rsidRPr="009041D4">
        <w:rPr>
          <w:rFonts w:cs="Arial"/>
        </w:rPr>
        <w:t>Costos de instalación, que cubre el costo de los elementos instalados (equipo de transporte, distribuidor de fibra óptica, demarcador y jumper óptico) y la mano de obra asociada.</w:t>
      </w:r>
    </w:p>
    <w:p w14:paraId="31196AF9" w14:textId="77777777" w:rsidR="00EE49CC" w:rsidRPr="009041D4" w:rsidRDefault="00EE49CC" w:rsidP="00EE49CC">
      <w:pPr>
        <w:pStyle w:val="Prrafodelista"/>
        <w:numPr>
          <w:ilvl w:val="0"/>
          <w:numId w:val="40"/>
        </w:numPr>
        <w:spacing w:line="259" w:lineRule="auto"/>
        <w:contextualSpacing/>
        <w:rPr>
          <w:rFonts w:cs="Arial"/>
        </w:rPr>
      </w:pPr>
      <w:r w:rsidRPr="009041D4">
        <w:rPr>
          <w:rFonts w:cs="Arial"/>
        </w:rPr>
        <w:t>Costos mensuales, que cubren los costos de operación y mantenimiento, así como los costos de reposición de equipos.</w:t>
      </w:r>
    </w:p>
    <w:p w14:paraId="37299598" w14:textId="77777777" w:rsidR="00EE49CC" w:rsidRPr="009041D4" w:rsidRDefault="00EE49CC" w:rsidP="00EE49CC">
      <w:pPr>
        <w:pStyle w:val="Prrafodelista"/>
        <w:numPr>
          <w:ilvl w:val="0"/>
          <w:numId w:val="40"/>
        </w:numPr>
        <w:spacing w:line="259" w:lineRule="auto"/>
        <w:contextualSpacing/>
        <w:rPr>
          <w:rFonts w:cs="Arial"/>
        </w:rPr>
      </w:pPr>
      <w:r w:rsidRPr="009041D4">
        <w:rPr>
          <w:rFonts w:cs="Arial"/>
        </w:rPr>
        <w:t>Se consideran costos por metro lineal para despliegue y mantenimiento de fibra y escalerilla.</w:t>
      </w:r>
    </w:p>
    <w:p w14:paraId="515CB877" w14:textId="77777777" w:rsidR="00EE49CC" w:rsidRPr="009041D4" w:rsidRDefault="00EE49CC" w:rsidP="00EE49CC">
      <w:pPr>
        <w:spacing w:after="0"/>
        <w:jc w:val="both"/>
        <w:rPr>
          <w:rFonts w:ascii="Arial" w:hAnsi="Arial" w:cs="Arial"/>
        </w:rPr>
      </w:pPr>
    </w:p>
    <w:p w14:paraId="6D1D9BAC" w14:textId="77777777" w:rsidR="00EE49CC" w:rsidRPr="009041D4" w:rsidRDefault="00EE49CC" w:rsidP="00EE49CC">
      <w:pPr>
        <w:spacing w:after="0"/>
        <w:jc w:val="both"/>
        <w:rPr>
          <w:rFonts w:ascii="Arial" w:hAnsi="Arial" w:cs="Arial"/>
        </w:rPr>
      </w:pPr>
      <w:r w:rsidRPr="009041D4">
        <w:rPr>
          <w:rFonts w:ascii="Arial" w:eastAsia="Times New Roman" w:hAnsi="Arial" w:cs="Arial"/>
          <w:szCs w:val="24"/>
          <w:lang w:eastAsia="es-ES"/>
        </w:rPr>
        <w:lastRenderedPageBreak/>
        <w:t>A efecto de determinar las tarifas aplicables se hace el supuesto de que existirán dos coubicaciones en el punto de interconexión.</w:t>
      </w:r>
    </w:p>
    <w:p w14:paraId="730822A1" w14:textId="64AD4362" w:rsidR="00EE49CC" w:rsidRPr="009041D4" w:rsidRDefault="00EE49CC" w:rsidP="0078465C">
      <w:pPr>
        <w:spacing w:after="0"/>
        <w:jc w:val="both"/>
        <w:rPr>
          <w:rFonts w:ascii="Arial" w:hAnsi="Arial" w:cs="Arial"/>
          <w:b/>
        </w:rPr>
      </w:pPr>
    </w:p>
    <w:p w14:paraId="03953FEF" w14:textId="506BBC14" w:rsidR="00EE49CC" w:rsidRPr="009041D4" w:rsidRDefault="0019594E" w:rsidP="00EE49CC">
      <w:pPr>
        <w:spacing w:after="0"/>
        <w:jc w:val="both"/>
        <w:rPr>
          <w:rFonts w:ascii="Arial" w:hAnsi="Arial" w:cs="Arial"/>
          <w:b/>
        </w:rPr>
      </w:pPr>
      <w:r w:rsidRPr="009041D4">
        <w:rPr>
          <w:rFonts w:ascii="Arial" w:hAnsi="Arial" w:cs="Arial"/>
          <w:b/>
        </w:rPr>
        <w:t>MODELO DE COSTOS DE COUBICACIÓN</w:t>
      </w:r>
    </w:p>
    <w:p w14:paraId="0FC26DD2" w14:textId="77777777" w:rsidR="00EE49CC" w:rsidRPr="009041D4" w:rsidRDefault="00EE49CC" w:rsidP="00EE49CC">
      <w:pPr>
        <w:spacing w:after="0"/>
        <w:jc w:val="both"/>
        <w:rPr>
          <w:rFonts w:ascii="Arial" w:eastAsia="Times New Roman" w:hAnsi="Arial" w:cs="Arial"/>
          <w:lang w:eastAsia="es-ES"/>
        </w:rPr>
      </w:pPr>
    </w:p>
    <w:p w14:paraId="30FBDB65"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En términos de la Condición Segunda  el servicio de coubicación consiste en un servicio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6513A9BE" w14:textId="501B2AA6" w:rsidR="00EE49CC" w:rsidRPr="009041D4" w:rsidRDefault="00EE49CC" w:rsidP="00EE49CC">
      <w:pPr>
        <w:spacing w:after="0"/>
        <w:jc w:val="both"/>
        <w:rPr>
          <w:rFonts w:ascii="Arial" w:eastAsia="Times New Roman" w:hAnsi="Arial" w:cs="Arial"/>
          <w:lang w:eastAsia="es-ES"/>
        </w:rPr>
      </w:pPr>
    </w:p>
    <w:p w14:paraId="3E63D0AA"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1648E027" w14:textId="77777777" w:rsidR="00EE49CC" w:rsidRPr="009041D4" w:rsidRDefault="00EE49CC" w:rsidP="00EE49CC">
      <w:pPr>
        <w:spacing w:after="0"/>
        <w:jc w:val="both"/>
        <w:rPr>
          <w:rFonts w:ascii="Arial" w:eastAsia="Times New Roman" w:hAnsi="Arial" w:cs="Arial"/>
          <w:lang w:eastAsia="es-ES"/>
        </w:rPr>
      </w:pPr>
    </w:p>
    <w:p w14:paraId="04CBFC35"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Las facilidades antes mencionadas se modelan suponiendo salas específicamente dedicadas para tales efectos, de este modo se establecen las siguientes hipótesis:</w:t>
      </w:r>
    </w:p>
    <w:p w14:paraId="20972E09" w14:textId="77777777" w:rsidR="00EE49CC" w:rsidRPr="009041D4" w:rsidRDefault="00EE49CC" w:rsidP="00EE49CC">
      <w:pPr>
        <w:spacing w:after="0"/>
        <w:jc w:val="both"/>
        <w:rPr>
          <w:rFonts w:ascii="Arial" w:eastAsia="Times New Roman" w:hAnsi="Arial" w:cs="Arial"/>
          <w:lang w:eastAsia="es-ES"/>
        </w:rPr>
      </w:pPr>
    </w:p>
    <w:p w14:paraId="62CDCC42" w14:textId="77777777" w:rsidR="00EE49CC" w:rsidRPr="009041D4" w:rsidRDefault="00EE49CC" w:rsidP="00EE49CC">
      <w:pPr>
        <w:pStyle w:val="Prrafodelista"/>
        <w:numPr>
          <w:ilvl w:val="0"/>
          <w:numId w:val="46"/>
        </w:numPr>
        <w:spacing w:line="276" w:lineRule="auto"/>
        <w:contextualSpacing/>
        <w:rPr>
          <w:rFonts w:cs="Arial"/>
          <w:lang w:val="es-ES_tradnl"/>
        </w:rPr>
      </w:pPr>
      <w:r w:rsidRPr="009041D4">
        <w:rPr>
          <w:rFonts w:cs="Arial"/>
          <w:lang w:val="es-ES_tradnl"/>
        </w:rPr>
        <w:t xml:space="preserve">Las características técnicas de las diferentes salas de la central (sala MDF/ODF, sala de control, sala de switching/DSLAM y sala de equipos de transmisión) </w:t>
      </w:r>
    </w:p>
    <w:p w14:paraId="0C21FAA3" w14:textId="77777777" w:rsidR="00EE49CC" w:rsidRPr="009041D4" w:rsidRDefault="00EE49CC" w:rsidP="00EE49CC">
      <w:pPr>
        <w:pStyle w:val="Prrafodelista"/>
        <w:numPr>
          <w:ilvl w:val="0"/>
          <w:numId w:val="46"/>
        </w:numPr>
        <w:spacing w:line="276" w:lineRule="auto"/>
        <w:contextualSpacing/>
        <w:rPr>
          <w:rFonts w:cs="Arial"/>
          <w:lang w:val="es-ES_tradnl"/>
        </w:rPr>
      </w:pPr>
      <w:r w:rsidRPr="009041D4">
        <w:rPr>
          <w:rFonts w:cs="Arial"/>
          <w:lang w:val="es-ES_tradnl"/>
        </w:rPr>
        <w:t>La demanda de coubicación en términos del número de concesionarios coubicados.</w:t>
      </w:r>
    </w:p>
    <w:p w14:paraId="0E98FFF5" w14:textId="77777777" w:rsidR="00EE49CC" w:rsidRPr="009041D4" w:rsidRDefault="00EE49CC" w:rsidP="00EE49CC">
      <w:pPr>
        <w:pStyle w:val="Prrafodelista"/>
        <w:numPr>
          <w:ilvl w:val="0"/>
          <w:numId w:val="46"/>
        </w:numPr>
        <w:spacing w:line="276" w:lineRule="auto"/>
        <w:contextualSpacing/>
        <w:rPr>
          <w:rFonts w:cs="Arial"/>
          <w:lang w:val="es-ES_tradnl"/>
        </w:rPr>
      </w:pPr>
      <w:r w:rsidRPr="009041D4">
        <w:rPr>
          <w:rFonts w:cs="Arial"/>
          <w:lang w:val="es-ES_tradnl"/>
        </w:rPr>
        <w:t>Los precios unitarios de los equipos empleados</w:t>
      </w:r>
    </w:p>
    <w:p w14:paraId="1EA00B16" w14:textId="77777777" w:rsidR="00EE49CC" w:rsidRPr="009041D4" w:rsidRDefault="00EE49CC" w:rsidP="00EE49CC">
      <w:pPr>
        <w:pStyle w:val="Prrafodelista"/>
        <w:numPr>
          <w:ilvl w:val="0"/>
          <w:numId w:val="46"/>
        </w:numPr>
        <w:spacing w:line="276" w:lineRule="auto"/>
        <w:contextualSpacing/>
        <w:rPr>
          <w:rFonts w:cs="Arial"/>
          <w:lang w:val="es-ES_tradnl"/>
        </w:rPr>
      </w:pPr>
      <w:r w:rsidRPr="009041D4">
        <w:rPr>
          <w:rFonts w:cs="Arial"/>
          <w:lang w:val="es-ES_tradnl"/>
        </w:rPr>
        <w:t>Espacios físicos requeridos</w:t>
      </w:r>
    </w:p>
    <w:p w14:paraId="7CD5FD7E" w14:textId="77777777" w:rsidR="00EE49CC" w:rsidRPr="009041D4" w:rsidRDefault="00EE49CC" w:rsidP="00EE49CC">
      <w:pPr>
        <w:spacing w:after="0"/>
        <w:jc w:val="both"/>
        <w:rPr>
          <w:rFonts w:ascii="Arial" w:eastAsia="Times New Roman" w:hAnsi="Arial" w:cs="Arial"/>
          <w:lang w:eastAsia="es-ES"/>
        </w:rPr>
      </w:pPr>
    </w:p>
    <w:p w14:paraId="386AB4F3" w14:textId="77777777" w:rsidR="00EE49CC" w:rsidRPr="009041D4" w:rsidRDefault="00EE49CC" w:rsidP="00EE49CC">
      <w:pPr>
        <w:spacing w:after="0"/>
        <w:jc w:val="both"/>
        <w:rPr>
          <w:rFonts w:ascii="Arial" w:eastAsia="Times New Roman" w:hAnsi="Arial" w:cs="Arial"/>
          <w:sz w:val="20"/>
          <w:lang w:eastAsia="es-ES"/>
        </w:rPr>
      </w:pPr>
      <w:r w:rsidRPr="009041D4">
        <w:rPr>
          <w:rFonts w:ascii="Arial" w:hAnsi="Arial" w:cs="Arial"/>
          <w:noProof/>
          <w:lang w:eastAsia="es-MX"/>
        </w:rPr>
        <w:drawing>
          <wp:inline distT="0" distB="0" distL="0" distR="0" wp14:anchorId="45A9A391" wp14:editId="17F4D7E1">
            <wp:extent cx="5607170" cy="1551865"/>
            <wp:effectExtent l="19050" t="19050" r="12700" b="10795"/>
            <wp:docPr id="12" name="Imagen 12"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70AC9096" w14:textId="074A9618"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Figura 14</w:t>
      </w:r>
      <w:r w:rsidR="00245D71"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Flujo del modelo.</w:t>
      </w:r>
    </w:p>
    <w:p w14:paraId="2733C12E" w14:textId="77777777" w:rsidR="00EE49CC" w:rsidRPr="009041D4" w:rsidRDefault="00EE49CC" w:rsidP="00EE49CC">
      <w:pPr>
        <w:spacing w:after="0"/>
        <w:jc w:val="both"/>
        <w:rPr>
          <w:rFonts w:ascii="Arial" w:eastAsia="Times New Roman" w:hAnsi="Arial" w:cs="Arial"/>
          <w:lang w:eastAsia="es-ES"/>
        </w:rPr>
      </w:pPr>
    </w:p>
    <w:p w14:paraId="0786D0C4"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De esta forma, el modelo de costos de coubicación se compone de los siguientes módulos:</w:t>
      </w:r>
    </w:p>
    <w:p w14:paraId="5A039484" w14:textId="77777777" w:rsidR="00EE49CC" w:rsidRPr="009041D4" w:rsidRDefault="00EE49CC" w:rsidP="00EE49CC">
      <w:pPr>
        <w:spacing w:after="0"/>
        <w:jc w:val="both"/>
        <w:rPr>
          <w:rFonts w:ascii="Arial" w:eastAsia="Times New Roman" w:hAnsi="Arial" w:cs="Arial"/>
          <w:lang w:eastAsia="es-ES"/>
        </w:rPr>
      </w:pPr>
    </w:p>
    <w:p w14:paraId="56657753" w14:textId="3D4004E9" w:rsidR="00EE49CC" w:rsidRPr="009041D4" w:rsidRDefault="00EE49CC" w:rsidP="00EE49CC">
      <w:pPr>
        <w:numPr>
          <w:ilvl w:val="0"/>
          <w:numId w:val="41"/>
        </w:numPr>
        <w:spacing w:after="0" w:line="240" w:lineRule="auto"/>
        <w:jc w:val="both"/>
        <w:rPr>
          <w:rFonts w:ascii="Arial" w:eastAsia="Times New Roman" w:hAnsi="Arial" w:cs="Arial"/>
          <w:lang w:eastAsia="es-ES"/>
        </w:rPr>
      </w:pPr>
      <w:r w:rsidRPr="009041D4">
        <w:rPr>
          <w:rFonts w:ascii="Arial" w:eastAsia="Times New Roman" w:hAnsi="Arial" w:cs="Arial"/>
          <w:lang w:val="es-ES_tradnl" w:eastAsia="es-ES"/>
        </w:rPr>
        <w:lastRenderedPageBreak/>
        <w:t xml:space="preserve">Un módulo de </w:t>
      </w:r>
      <w:r w:rsidRPr="009041D4">
        <w:rPr>
          <w:rFonts w:ascii="Arial" w:eastAsia="Times New Roman" w:hAnsi="Arial" w:cs="Arial"/>
          <w:i/>
          <w:iCs/>
          <w:lang w:val="es-ES_tradnl" w:eastAsia="es-ES"/>
        </w:rPr>
        <w:t>Control</w:t>
      </w:r>
      <w:r w:rsidRPr="009041D4">
        <w:rPr>
          <w:rFonts w:ascii="Arial" w:eastAsia="Times New Roman" w:hAnsi="Arial"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9041D4">
        <w:rPr>
          <w:rFonts w:ascii="Arial" w:eastAsia="Times New Roman" w:hAnsi="Arial" w:cs="Arial"/>
          <w:i/>
          <w:iCs/>
          <w:lang w:val="es-ES_tradnl" w:eastAsia="es-ES"/>
        </w:rPr>
        <w:t>Control</w:t>
      </w:r>
      <w:r w:rsidRPr="009041D4">
        <w:rPr>
          <w:rFonts w:ascii="Arial" w:eastAsia="Times New Roman" w:hAnsi="Arial" w:cs="Arial"/>
          <w:lang w:val="es-ES_tradnl" w:eastAsia="es-ES"/>
        </w:rPr>
        <w:t xml:space="preserve"> también permite seleccionar el tipo de coubicación y la posible inclusión de servicios auxiliares (ej. fuente de energía de respaldo, aire acondicionado).</w:t>
      </w:r>
    </w:p>
    <w:p w14:paraId="0D9F9029" w14:textId="77777777" w:rsidR="00EE49CC" w:rsidRPr="009041D4" w:rsidRDefault="00EE49CC" w:rsidP="00EE49CC">
      <w:pPr>
        <w:spacing w:after="0" w:line="240" w:lineRule="auto"/>
        <w:ind w:left="720"/>
        <w:jc w:val="both"/>
        <w:rPr>
          <w:rFonts w:ascii="Arial" w:eastAsia="Times New Roman" w:hAnsi="Arial" w:cs="Arial"/>
          <w:lang w:eastAsia="es-ES"/>
        </w:rPr>
      </w:pPr>
    </w:p>
    <w:p w14:paraId="3D6A22AD" w14:textId="77777777" w:rsidR="00EE49CC" w:rsidRPr="009041D4" w:rsidRDefault="00EE49CC" w:rsidP="00EE49CC">
      <w:pPr>
        <w:numPr>
          <w:ilvl w:val="0"/>
          <w:numId w:val="41"/>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Un módulo de</w:t>
      </w:r>
      <w:r w:rsidRPr="009041D4">
        <w:rPr>
          <w:rFonts w:ascii="Arial" w:eastAsia="Times New Roman" w:hAnsi="Arial" w:cs="Arial"/>
          <w:lang w:val="es-ES_tradnl" w:eastAsia="es-ES"/>
        </w:rPr>
        <w:t xml:space="preserve"> </w:t>
      </w:r>
      <w:r w:rsidRPr="009041D4">
        <w:rPr>
          <w:rFonts w:ascii="Arial" w:eastAsia="Times New Roman" w:hAnsi="Arial" w:cs="Arial"/>
          <w:i/>
          <w:iCs/>
          <w:lang w:val="es-ES_tradnl" w:eastAsia="es-ES"/>
        </w:rPr>
        <w:t>Dimensionado</w:t>
      </w:r>
      <w:r w:rsidRPr="009041D4">
        <w:rPr>
          <w:rFonts w:ascii="Arial" w:eastAsia="Times New Roman" w:hAnsi="Arial" w:cs="Arial"/>
          <w:lang w:val="es-ES_tradnl" w:eastAsia="es-ES"/>
        </w:rPr>
        <w:t xml:space="preserve"> que procesa la demanda y los otros parámetros de entrada (p.ej. las características técnicas de las salas de la central del PH) para calcular el dimensionamiento eficiente de la red</w:t>
      </w:r>
      <w:r w:rsidRPr="009041D4">
        <w:rPr>
          <w:rFonts w:ascii="Arial" w:eastAsia="Times New Roman" w:hAnsi="Arial" w:cs="Arial"/>
          <w:i/>
          <w:iCs/>
          <w:lang w:val="es-ES_tradnl" w:eastAsia="es-ES"/>
        </w:rPr>
        <w:t xml:space="preserve">. </w:t>
      </w:r>
      <w:r w:rsidRPr="009041D4">
        <w:rPr>
          <w:rFonts w:ascii="Arial" w:eastAsia="Times New Roman" w:hAnsi="Arial" w:cs="Arial"/>
          <w:lang w:val="es-ES_tradnl" w:eastAsia="es-ES"/>
        </w:rPr>
        <w:t>Este módulo produce como resultado el número de activos y su tamaño correspondiente.</w:t>
      </w:r>
    </w:p>
    <w:p w14:paraId="2BC12004" w14:textId="77777777" w:rsidR="00EE49CC" w:rsidRPr="009041D4" w:rsidRDefault="00EE49CC" w:rsidP="00EE49CC">
      <w:pPr>
        <w:spacing w:after="0" w:line="240" w:lineRule="auto"/>
        <w:ind w:left="708"/>
        <w:jc w:val="both"/>
        <w:rPr>
          <w:rFonts w:ascii="Arial" w:eastAsia="Times New Roman" w:hAnsi="Arial" w:cs="Arial"/>
          <w:lang w:eastAsia="es-ES"/>
        </w:rPr>
      </w:pPr>
    </w:p>
    <w:p w14:paraId="2AF5F2C6" w14:textId="77777777" w:rsidR="00EE49CC" w:rsidRPr="009041D4" w:rsidRDefault="00EE49CC" w:rsidP="00EE49CC">
      <w:pPr>
        <w:numPr>
          <w:ilvl w:val="0"/>
          <w:numId w:val="41"/>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 xml:space="preserve">Un módulo de </w:t>
      </w:r>
      <w:r w:rsidRPr="009041D4">
        <w:rPr>
          <w:rFonts w:ascii="Arial" w:eastAsia="Times New Roman" w:hAnsi="Arial" w:cs="Arial"/>
          <w:i/>
          <w:iCs/>
          <w:lang w:val="es-ES_tradnl" w:eastAsia="es-ES"/>
        </w:rPr>
        <w:t xml:space="preserve">Costeo </w:t>
      </w:r>
      <w:r w:rsidRPr="009041D4">
        <w:rPr>
          <w:rFonts w:ascii="Arial" w:eastAsia="Times New Roman" w:hAnsi="Arial" w:cs="Arial"/>
          <w:iCs/>
          <w:lang w:val="es-ES_tradnl" w:eastAsia="es-ES"/>
        </w:rPr>
        <w:t>el cual</w:t>
      </w:r>
      <w:r w:rsidRPr="009041D4">
        <w:rPr>
          <w:rFonts w:ascii="Arial" w:eastAsia="Times New Roman" w:hAnsi="Arial" w:cs="Arial"/>
          <w:i/>
          <w:iCs/>
          <w:lang w:val="es-ES_tradnl" w:eastAsia="es-ES"/>
        </w:rPr>
        <w:t xml:space="preserve"> </w:t>
      </w:r>
      <w:r w:rsidRPr="009041D4">
        <w:rPr>
          <w:rFonts w:ascii="Arial" w:eastAsia="Times New Roman" w:hAnsi="Arial" w:cs="Arial"/>
          <w:lang w:val="es-ES_tradnl" w:eastAsia="es-ES"/>
        </w:rPr>
        <w:t xml:space="preserve">toma los costos unitarios calculados en el módulo de </w:t>
      </w:r>
      <w:r w:rsidRPr="009041D4">
        <w:rPr>
          <w:rFonts w:ascii="Arial" w:eastAsia="Times New Roman" w:hAnsi="Arial" w:cs="Arial"/>
          <w:i/>
          <w:iCs/>
          <w:lang w:val="es-ES_tradnl" w:eastAsia="es-ES"/>
        </w:rPr>
        <w:t xml:space="preserve">Costos unitarios </w:t>
      </w:r>
      <w:r w:rsidRPr="009041D4">
        <w:rPr>
          <w:rFonts w:ascii="Arial" w:eastAsia="Times New Roman" w:hAnsi="Arial" w:cs="Arial"/>
          <w:lang w:val="es-ES_tradnl" w:eastAsia="es-ES"/>
        </w:rPr>
        <w:t xml:space="preserve">y los multiplica por las unidades de activos obtenidos en el módulo </w:t>
      </w:r>
      <w:r w:rsidRPr="009041D4">
        <w:rPr>
          <w:rFonts w:ascii="Arial" w:eastAsia="Times New Roman" w:hAnsi="Arial" w:cs="Arial"/>
          <w:i/>
          <w:iCs/>
          <w:lang w:val="es-ES_tradnl" w:eastAsia="es-ES"/>
        </w:rPr>
        <w:t>Dimensionado.</w:t>
      </w:r>
    </w:p>
    <w:p w14:paraId="386F6E0C" w14:textId="77777777" w:rsidR="00EE49CC" w:rsidRPr="009041D4" w:rsidRDefault="00EE49CC" w:rsidP="00EE49CC">
      <w:pPr>
        <w:spacing w:after="0" w:line="240" w:lineRule="auto"/>
        <w:ind w:left="708"/>
        <w:jc w:val="both"/>
        <w:rPr>
          <w:rFonts w:ascii="Arial" w:eastAsia="Times New Roman" w:hAnsi="Arial" w:cs="Arial"/>
          <w:lang w:eastAsia="es-ES"/>
        </w:rPr>
      </w:pPr>
    </w:p>
    <w:p w14:paraId="25DD8D37" w14:textId="77777777" w:rsidR="00EE49CC" w:rsidRPr="009041D4" w:rsidRDefault="00EE49CC" w:rsidP="00EE49CC">
      <w:pPr>
        <w:numPr>
          <w:ilvl w:val="0"/>
          <w:numId w:val="41"/>
        </w:numPr>
        <w:spacing w:after="0" w:line="240" w:lineRule="auto"/>
        <w:jc w:val="both"/>
        <w:rPr>
          <w:rFonts w:ascii="Arial" w:eastAsia="Times New Roman" w:hAnsi="Arial" w:cs="Arial"/>
          <w:lang w:eastAsia="es-ES"/>
        </w:rPr>
      </w:pPr>
      <w:r w:rsidRPr="009041D4">
        <w:rPr>
          <w:rFonts w:ascii="Arial" w:eastAsia="Times New Roman" w:hAnsi="Arial" w:cs="Arial"/>
          <w:lang w:val="es-ES_tradnl" w:eastAsia="es-ES"/>
        </w:rPr>
        <w:t xml:space="preserve">Un módulo de </w:t>
      </w:r>
      <w:r w:rsidRPr="009041D4">
        <w:rPr>
          <w:rFonts w:ascii="Arial" w:eastAsia="Times New Roman" w:hAnsi="Arial" w:cs="Arial"/>
          <w:i/>
          <w:iCs/>
          <w:lang w:val="es-ES_tradnl" w:eastAsia="es-ES"/>
        </w:rPr>
        <w:t>Precio</w:t>
      </w:r>
      <w:r w:rsidRPr="009041D4">
        <w:rPr>
          <w:rFonts w:ascii="Arial" w:eastAsia="Times New Roman" w:hAnsi="Arial" w:cs="Arial"/>
          <w:lang w:val="es-ES_tradnl" w:eastAsia="es-ES"/>
        </w:rPr>
        <w:t xml:space="preserve"> en donde se asignan los costos de la red a los distintos servicios y se calcula el precio final del servicio mayorista.</w:t>
      </w:r>
    </w:p>
    <w:p w14:paraId="3F7F3C11" w14:textId="77777777" w:rsidR="00EE49CC" w:rsidRPr="009041D4" w:rsidRDefault="00EE49CC" w:rsidP="00EE49CC">
      <w:pPr>
        <w:spacing w:after="0"/>
        <w:jc w:val="both"/>
        <w:rPr>
          <w:rFonts w:ascii="Arial" w:eastAsia="Times New Roman" w:hAnsi="Arial" w:cs="Arial"/>
          <w:lang w:eastAsia="es-ES"/>
        </w:rPr>
      </w:pPr>
    </w:p>
    <w:p w14:paraId="0F301DCA" w14:textId="77777777" w:rsidR="00EE49CC" w:rsidRPr="009041D4" w:rsidRDefault="00EE49CC" w:rsidP="00EE49CC">
      <w:pPr>
        <w:spacing w:after="0"/>
        <w:jc w:val="both"/>
        <w:rPr>
          <w:rFonts w:ascii="Arial" w:eastAsia="Times New Roman" w:hAnsi="Arial" w:cs="Arial"/>
          <w:b/>
          <w:i/>
          <w:lang w:eastAsia="es-ES"/>
        </w:rPr>
      </w:pPr>
      <w:r w:rsidRPr="009041D4">
        <w:rPr>
          <w:rFonts w:ascii="Arial" w:eastAsia="Times New Roman" w:hAnsi="Arial" w:cs="Arial"/>
          <w:b/>
          <w:i/>
          <w:lang w:eastAsia="es-ES"/>
        </w:rPr>
        <w:t>Demanda del servicio</w:t>
      </w:r>
    </w:p>
    <w:p w14:paraId="43F3780B" w14:textId="77777777" w:rsidR="00EE49CC" w:rsidRPr="009041D4" w:rsidRDefault="00EE49CC" w:rsidP="00EE49CC">
      <w:pPr>
        <w:spacing w:after="0"/>
        <w:jc w:val="both"/>
        <w:rPr>
          <w:rFonts w:ascii="Arial" w:eastAsia="Times New Roman" w:hAnsi="Arial" w:cs="Arial"/>
          <w:lang w:eastAsia="es-ES"/>
        </w:rPr>
      </w:pPr>
    </w:p>
    <w:p w14:paraId="6E511788"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La demanda (espacio para coubicación) es un dato de entrada al modelo que se alimenta de manera externa en términos de: </w:t>
      </w:r>
    </w:p>
    <w:p w14:paraId="3800BEEF" w14:textId="77777777" w:rsidR="00EE49CC" w:rsidRPr="009041D4" w:rsidRDefault="00EE49CC" w:rsidP="00EE49CC">
      <w:pPr>
        <w:spacing w:after="0"/>
        <w:jc w:val="both"/>
        <w:rPr>
          <w:rFonts w:ascii="Arial" w:eastAsia="Times New Roman" w:hAnsi="Arial" w:cs="Arial"/>
          <w:lang w:eastAsia="es-ES"/>
        </w:rPr>
      </w:pPr>
    </w:p>
    <w:p w14:paraId="0FA99A7D" w14:textId="77777777" w:rsidR="00EE49CC" w:rsidRPr="009041D4" w:rsidRDefault="00EE49CC" w:rsidP="00EE49CC">
      <w:pPr>
        <w:numPr>
          <w:ilvl w:val="2"/>
          <w:numId w:val="42"/>
        </w:numPr>
        <w:spacing w:after="0"/>
        <w:ind w:left="993" w:hanging="851"/>
        <w:jc w:val="both"/>
        <w:rPr>
          <w:rFonts w:ascii="Arial" w:eastAsia="Times New Roman" w:hAnsi="Arial" w:cs="Arial"/>
          <w:lang w:eastAsia="es-ES"/>
        </w:rPr>
      </w:pPr>
      <w:r w:rsidRPr="009041D4">
        <w:rPr>
          <w:rFonts w:ascii="Arial" w:eastAsia="Times New Roman" w:hAnsi="Arial" w:cs="Arial"/>
          <w:lang w:val="es-ES_tradnl" w:eastAsia="es-ES"/>
        </w:rPr>
        <w:t>Número de operadores que se coubican en la central en el año seleccionado.</w:t>
      </w:r>
    </w:p>
    <w:p w14:paraId="789861B5" w14:textId="77777777" w:rsidR="00EE49CC" w:rsidRPr="009041D4" w:rsidRDefault="00EE49CC" w:rsidP="00EE49CC">
      <w:pPr>
        <w:numPr>
          <w:ilvl w:val="2"/>
          <w:numId w:val="42"/>
        </w:numPr>
        <w:spacing w:after="0"/>
        <w:ind w:left="993" w:hanging="851"/>
        <w:jc w:val="both"/>
        <w:rPr>
          <w:rFonts w:ascii="Arial" w:eastAsia="Times New Roman" w:hAnsi="Arial" w:cs="Arial"/>
          <w:lang w:eastAsia="es-ES"/>
        </w:rPr>
      </w:pPr>
      <w:r w:rsidRPr="009041D4">
        <w:rPr>
          <w:rFonts w:ascii="Arial" w:eastAsia="Times New Roman" w:hAnsi="Arial" w:cs="Arial"/>
          <w:lang w:val="es-ES_tradnl" w:eastAsia="es-ES"/>
        </w:rPr>
        <w:t>Espacio para la coubicación (en metros cuadrados) por operador.</w:t>
      </w:r>
    </w:p>
    <w:p w14:paraId="08E954B8" w14:textId="77777777" w:rsidR="00EE49CC" w:rsidRPr="009041D4" w:rsidRDefault="00EE49CC" w:rsidP="00EE49CC">
      <w:pPr>
        <w:numPr>
          <w:ilvl w:val="2"/>
          <w:numId w:val="42"/>
        </w:numPr>
        <w:spacing w:after="0"/>
        <w:ind w:left="993" w:hanging="851"/>
        <w:jc w:val="both"/>
        <w:rPr>
          <w:rFonts w:ascii="Arial" w:eastAsia="Times New Roman" w:hAnsi="Arial" w:cs="Arial"/>
          <w:lang w:eastAsia="es-ES"/>
        </w:rPr>
      </w:pPr>
      <w:r w:rsidRPr="009041D4">
        <w:rPr>
          <w:rFonts w:ascii="Arial" w:eastAsia="Times New Roman" w:hAnsi="Arial" w:cs="Arial"/>
          <w:lang w:val="es-ES_tradnl" w:eastAsia="es-ES"/>
        </w:rPr>
        <w:t>Consumo de los equipos (del PH y de los CS) así como el tipo de acometida eléctrica a utilizar (48V DC o 127V AC).</w:t>
      </w:r>
    </w:p>
    <w:p w14:paraId="7A63C2F9" w14:textId="77777777" w:rsidR="00EE49CC" w:rsidRPr="009041D4" w:rsidRDefault="00EE49CC" w:rsidP="00EE49CC">
      <w:pPr>
        <w:spacing w:after="0"/>
        <w:jc w:val="both"/>
        <w:rPr>
          <w:rFonts w:ascii="Arial" w:eastAsia="Times New Roman" w:hAnsi="Arial" w:cs="Arial"/>
          <w:lang w:eastAsia="es-ES"/>
        </w:rPr>
      </w:pPr>
    </w:p>
    <w:p w14:paraId="603BCA22" w14:textId="77777777" w:rsidR="00EE49CC" w:rsidRPr="009041D4" w:rsidRDefault="00EE49CC" w:rsidP="00EE49CC">
      <w:pPr>
        <w:spacing w:after="0"/>
        <w:jc w:val="both"/>
        <w:rPr>
          <w:rFonts w:ascii="Arial" w:eastAsia="Times New Roman" w:hAnsi="Arial" w:cs="Arial"/>
          <w:b/>
          <w:i/>
          <w:lang w:eastAsia="es-ES"/>
        </w:rPr>
      </w:pPr>
      <w:r w:rsidRPr="009041D4">
        <w:rPr>
          <w:rFonts w:ascii="Arial" w:eastAsia="Times New Roman" w:hAnsi="Arial" w:cs="Arial"/>
          <w:b/>
          <w:i/>
          <w:lang w:eastAsia="es-ES"/>
        </w:rPr>
        <w:t>Despliegue y dimensionamiento</w:t>
      </w:r>
    </w:p>
    <w:p w14:paraId="70C667F8" w14:textId="77777777" w:rsidR="00EE49CC" w:rsidRPr="009041D4" w:rsidRDefault="00EE49CC" w:rsidP="00EE49CC">
      <w:pPr>
        <w:spacing w:after="0"/>
        <w:jc w:val="both"/>
        <w:rPr>
          <w:rFonts w:ascii="Arial" w:eastAsia="Times New Roman" w:hAnsi="Arial" w:cs="Arial"/>
          <w:lang w:eastAsia="es-ES"/>
        </w:rPr>
      </w:pPr>
    </w:p>
    <w:p w14:paraId="12EE9DD5" w14:textId="6BA6234F"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El modelo asume que toda la infraestructura pasiva es desplegada en el año corriente teniendo en cuenta únicamente la demanda para ese año, de este modo, el modelo calcula el dimensionamiento de una clase de centrales que compa</w:t>
      </w:r>
      <w:r w:rsidR="0019594E" w:rsidRPr="009041D4">
        <w:rPr>
          <w:rFonts w:ascii="Arial" w:eastAsia="Times New Roman" w:hAnsi="Arial" w:cs="Arial"/>
          <w:lang w:eastAsia="es-ES"/>
        </w:rPr>
        <w:t>rten características similares.</w:t>
      </w:r>
    </w:p>
    <w:p w14:paraId="6729AEE5" w14:textId="77777777" w:rsidR="00EE49CC" w:rsidRPr="009041D4" w:rsidRDefault="00EE49CC" w:rsidP="00EE49CC">
      <w:pPr>
        <w:spacing w:after="0"/>
        <w:jc w:val="both"/>
        <w:rPr>
          <w:rFonts w:ascii="Arial" w:eastAsia="Times New Roman" w:hAnsi="Arial" w:cs="Arial"/>
          <w:lang w:eastAsia="es-ES"/>
        </w:rPr>
      </w:pPr>
    </w:p>
    <w:p w14:paraId="45278213"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El modelo implementa un dimensionamiento eficiente, es decir, se modela una red moderna equivalente a la del concesionario solicitado utilizando un enfoque teórico ascendente (</w:t>
      </w:r>
      <w:r w:rsidRPr="009041D4">
        <w:rPr>
          <w:rFonts w:ascii="Arial" w:hAnsi="Arial" w:cs="Arial"/>
        </w:rPr>
        <w:t>bottom-up</w:t>
      </w:r>
      <w:r w:rsidRPr="009041D4">
        <w:rPr>
          <w:rFonts w:ascii="Arial" w:eastAsia="Times New Roman" w:hAnsi="Arial" w:cs="Arial"/>
          <w:lang w:eastAsia="es-ES"/>
        </w:rPr>
        <w:t>). Asimismo, el modelo permite seleccionar las características apropiadas de la central a modelar.</w:t>
      </w:r>
    </w:p>
    <w:p w14:paraId="17B5E88C" w14:textId="77777777" w:rsidR="00EE49CC" w:rsidRPr="009041D4" w:rsidRDefault="00EE49CC" w:rsidP="00EE49CC">
      <w:pPr>
        <w:spacing w:after="0"/>
        <w:jc w:val="both"/>
        <w:rPr>
          <w:rFonts w:ascii="Arial" w:eastAsia="Times New Roman" w:hAnsi="Arial" w:cs="Arial"/>
          <w:lang w:eastAsia="es-ES"/>
        </w:rPr>
      </w:pPr>
    </w:p>
    <w:p w14:paraId="38A70DF0"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este sentido, es necesario caracterizar el sitio para el que desee calcular el costo según una serie de parámetros técnicos:</w:t>
      </w:r>
    </w:p>
    <w:p w14:paraId="7BCE8A2C" w14:textId="77777777" w:rsidR="00EE49CC" w:rsidRPr="009041D4" w:rsidRDefault="00EE49CC" w:rsidP="00EE49CC">
      <w:pPr>
        <w:spacing w:after="0"/>
        <w:jc w:val="both"/>
        <w:rPr>
          <w:rFonts w:ascii="Arial" w:eastAsia="Times New Roman" w:hAnsi="Arial" w:cs="Arial"/>
          <w:lang w:eastAsia="es-ES"/>
        </w:rPr>
      </w:pPr>
    </w:p>
    <w:p w14:paraId="3D97BFF5"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 xml:space="preserve">Geotipo: zona de tarificación alta, media y baja, por consiguiente se refleja un costo diferente por geotipo. La clasificación por geotipo se ha realizado de manera acorde a los convenios de interconexión que diversos concesionarios han suscrito para interconexión directa, y que obran en el registro público de concesiones. </w:t>
      </w:r>
    </w:p>
    <w:p w14:paraId="01ABEB28" w14:textId="77777777" w:rsidR="00EE49CC" w:rsidRPr="009041D4" w:rsidRDefault="00EE49CC" w:rsidP="00EE49CC">
      <w:pPr>
        <w:spacing w:after="0" w:line="240" w:lineRule="auto"/>
        <w:ind w:left="720"/>
        <w:jc w:val="both"/>
        <w:rPr>
          <w:rFonts w:ascii="Arial" w:eastAsia="Times New Roman" w:hAnsi="Arial" w:cs="Arial"/>
          <w:lang w:eastAsia="es-ES"/>
        </w:rPr>
      </w:pPr>
    </w:p>
    <w:p w14:paraId="3B690625" w14:textId="77777777" w:rsidR="00EE49CC" w:rsidRPr="009041D4" w:rsidRDefault="00EE49CC" w:rsidP="00EE49CC">
      <w:pPr>
        <w:numPr>
          <w:ilvl w:val="0"/>
          <w:numId w:val="43"/>
        </w:numPr>
        <w:spacing w:after="0"/>
        <w:ind w:left="714" w:hanging="357"/>
        <w:jc w:val="both"/>
        <w:rPr>
          <w:rFonts w:ascii="Arial" w:eastAsia="Times New Roman" w:hAnsi="Arial" w:cs="Arial"/>
          <w:lang w:eastAsia="es-ES"/>
        </w:rPr>
      </w:pPr>
      <w:r w:rsidRPr="009041D4">
        <w:rPr>
          <w:rFonts w:ascii="Arial" w:eastAsia="Times New Roman" w:hAnsi="Arial" w:cs="Arial"/>
          <w:lang w:eastAsia="es-ES"/>
        </w:rPr>
        <w:t>Propiedad del predio: propiedad del PH, arrendamiento. En este caso se ha utilizado el escenario de un tercero en arrendamiento en virtud de que se considera que refleja mejor las características del mercado.</w:t>
      </w:r>
    </w:p>
    <w:p w14:paraId="471D7E27"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 </w:t>
      </w:r>
    </w:p>
    <w:p w14:paraId="517D7E4D" w14:textId="77777777" w:rsidR="00EE49CC" w:rsidRPr="009041D4" w:rsidRDefault="00EE49CC" w:rsidP="00EE49CC">
      <w:pPr>
        <w:numPr>
          <w:ilvl w:val="0"/>
          <w:numId w:val="43"/>
        </w:numPr>
        <w:spacing w:after="0"/>
        <w:ind w:left="714" w:hanging="357"/>
        <w:jc w:val="both"/>
        <w:rPr>
          <w:rFonts w:ascii="Arial" w:eastAsia="Times New Roman" w:hAnsi="Arial" w:cs="Arial"/>
          <w:lang w:eastAsia="es-ES"/>
        </w:rPr>
      </w:pPr>
      <w:r w:rsidRPr="009041D4">
        <w:rPr>
          <w:rFonts w:ascii="Arial" w:eastAsia="Times New Roman" w:hAnsi="Arial" w:cs="Arial"/>
          <w:lang w:eastAsia="es-ES"/>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56632B89" w14:textId="77777777" w:rsidR="00EE49CC" w:rsidRPr="009041D4" w:rsidRDefault="00EE49CC" w:rsidP="00EE49CC">
      <w:pPr>
        <w:spacing w:after="0" w:line="240" w:lineRule="auto"/>
        <w:jc w:val="both"/>
        <w:rPr>
          <w:rFonts w:ascii="Arial" w:eastAsia="Times New Roman" w:hAnsi="Arial" w:cs="Arial"/>
          <w:lang w:eastAsia="es-ES"/>
        </w:rPr>
      </w:pPr>
    </w:p>
    <w:p w14:paraId="3589FF43"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 xml:space="preserve">Tipo de coubicación requerida: </w:t>
      </w:r>
    </w:p>
    <w:p w14:paraId="0A1274AD" w14:textId="77777777" w:rsidR="00EE49CC" w:rsidRPr="009041D4" w:rsidRDefault="00EE49CC" w:rsidP="00EE49CC">
      <w:pPr>
        <w:spacing w:after="0" w:line="240" w:lineRule="auto"/>
        <w:ind w:left="720"/>
        <w:jc w:val="both"/>
        <w:rPr>
          <w:rFonts w:ascii="Arial" w:eastAsia="Times New Roman" w:hAnsi="Arial" w:cs="Arial"/>
          <w:lang w:eastAsia="es-ES"/>
        </w:rPr>
      </w:pPr>
    </w:p>
    <w:p w14:paraId="0112C155" w14:textId="77777777" w:rsidR="00EE49CC" w:rsidRPr="009041D4" w:rsidRDefault="00EE49CC" w:rsidP="00EE49CC">
      <w:pPr>
        <w:numPr>
          <w:ilvl w:val="1"/>
          <w:numId w:val="44"/>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Coubicación interna. La coubicación se lleva a cabo dentro de la central.</w:t>
      </w:r>
    </w:p>
    <w:p w14:paraId="478F7AFF" w14:textId="77777777" w:rsidR="00EE49CC" w:rsidRPr="009041D4" w:rsidRDefault="00EE49CC" w:rsidP="00EE49CC">
      <w:pPr>
        <w:numPr>
          <w:ilvl w:val="1"/>
          <w:numId w:val="44"/>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Coubicación externa. La coubicación se lleva a cabo dentro del predio de la central.</w:t>
      </w:r>
    </w:p>
    <w:p w14:paraId="666E6D6A" w14:textId="77777777" w:rsidR="00EE49CC" w:rsidRPr="009041D4" w:rsidRDefault="00EE49CC" w:rsidP="00EE49CC">
      <w:pPr>
        <w:numPr>
          <w:ilvl w:val="1"/>
          <w:numId w:val="44"/>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Coubicación equipada. Corresponde a la coubicación tipo 3 (gabinete).</w:t>
      </w:r>
    </w:p>
    <w:p w14:paraId="35686C93" w14:textId="77777777" w:rsidR="00EE49CC" w:rsidRPr="009041D4" w:rsidRDefault="00EE49CC" w:rsidP="00EE49CC">
      <w:pPr>
        <w:spacing w:after="0" w:line="240" w:lineRule="auto"/>
        <w:ind w:left="720"/>
        <w:jc w:val="both"/>
        <w:rPr>
          <w:rFonts w:ascii="Arial" w:eastAsia="Times New Roman" w:hAnsi="Arial" w:cs="Arial"/>
          <w:lang w:eastAsia="es-ES"/>
        </w:rPr>
      </w:pPr>
    </w:p>
    <w:p w14:paraId="021A20EB" w14:textId="77777777" w:rsidR="00EE49CC" w:rsidRPr="009041D4" w:rsidRDefault="00EE49CC" w:rsidP="00EE49CC">
      <w:pPr>
        <w:numPr>
          <w:ilvl w:val="0"/>
          <w:numId w:val="43"/>
        </w:numPr>
        <w:spacing w:after="0"/>
        <w:ind w:left="714" w:hanging="357"/>
        <w:jc w:val="both"/>
        <w:rPr>
          <w:rFonts w:ascii="Arial" w:eastAsia="Times New Roman" w:hAnsi="Arial" w:cs="Arial"/>
          <w:lang w:eastAsia="es-ES"/>
        </w:rPr>
      </w:pPr>
      <w:r w:rsidRPr="009041D4">
        <w:rPr>
          <w:rFonts w:ascii="Arial" w:eastAsia="Times New Roman" w:hAnsi="Arial" w:cs="Arial"/>
          <w:lang w:eastAsia="es-ES"/>
        </w:rPr>
        <w:t>El espacio de coubicación servirá de base para el dimensionamiento de las salas de coubicación (mínimo 4m2).</w:t>
      </w:r>
    </w:p>
    <w:p w14:paraId="3F6D7EDC" w14:textId="77777777" w:rsidR="00EE49CC" w:rsidRPr="009041D4" w:rsidRDefault="00EE49CC" w:rsidP="00EE49CC">
      <w:pPr>
        <w:spacing w:after="0"/>
        <w:ind w:left="714"/>
        <w:jc w:val="both"/>
        <w:rPr>
          <w:rFonts w:ascii="Arial" w:eastAsia="Times New Roman" w:hAnsi="Arial" w:cs="Arial"/>
          <w:lang w:eastAsia="es-ES"/>
        </w:rPr>
      </w:pPr>
    </w:p>
    <w:p w14:paraId="66A88D32" w14:textId="77777777" w:rsidR="00EE49CC" w:rsidRPr="009041D4" w:rsidRDefault="00EE49CC" w:rsidP="00EE49CC">
      <w:pPr>
        <w:numPr>
          <w:ilvl w:val="0"/>
          <w:numId w:val="43"/>
        </w:numPr>
        <w:spacing w:after="0"/>
        <w:ind w:left="714" w:hanging="357"/>
        <w:jc w:val="both"/>
        <w:rPr>
          <w:rFonts w:ascii="Arial" w:eastAsia="Times New Roman" w:hAnsi="Arial" w:cs="Arial"/>
          <w:lang w:eastAsia="es-ES"/>
        </w:rPr>
      </w:pPr>
      <w:r w:rsidRPr="009041D4">
        <w:rPr>
          <w:rFonts w:ascii="Arial" w:eastAsia="Times New Roman" w:hAnsi="Arial" w:cs="Arial"/>
          <w:lang w:eastAsia="es-ES"/>
        </w:rPr>
        <w:t>Cabe mencionar que en el caso de coubicación externa difiere de la coubicación interna únicamente en los gastos de instalación, y no así en los costos recurrentes.</w:t>
      </w:r>
    </w:p>
    <w:p w14:paraId="6B3DAEBF" w14:textId="77777777" w:rsidR="00EE49CC" w:rsidRPr="009041D4" w:rsidRDefault="00EE49CC" w:rsidP="00EE49CC">
      <w:pPr>
        <w:spacing w:after="0"/>
        <w:ind w:left="714"/>
        <w:jc w:val="both"/>
        <w:rPr>
          <w:rFonts w:ascii="Arial" w:eastAsia="Times New Roman" w:hAnsi="Arial" w:cs="Arial"/>
          <w:lang w:eastAsia="es-ES"/>
        </w:rPr>
      </w:pPr>
    </w:p>
    <w:p w14:paraId="3865D1B2"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Tipo de acometida eléctrica: AC_127V, DC_48V</w:t>
      </w:r>
    </w:p>
    <w:p w14:paraId="352A5A54" w14:textId="77777777" w:rsidR="00EE49CC" w:rsidRPr="009041D4" w:rsidRDefault="00EE49CC" w:rsidP="00EE49CC">
      <w:pPr>
        <w:spacing w:after="0" w:line="240" w:lineRule="auto"/>
        <w:ind w:left="720"/>
        <w:jc w:val="both"/>
        <w:rPr>
          <w:rFonts w:ascii="Arial" w:eastAsia="Times New Roman" w:hAnsi="Arial" w:cs="Arial"/>
          <w:lang w:eastAsia="es-ES"/>
        </w:rPr>
      </w:pPr>
    </w:p>
    <w:p w14:paraId="34D818FD"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Aire acondicionado: sí (presente), no (ausente)</w:t>
      </w:r>
    </w:p>
    <w:p w14:paraId="61437EE5" w14:textId="77777777" w:rsidR="00EE49CC" w:rsidRPr="009041D4" w:rsidRDefault="00EE49CC" w:rsidP="00EE49CC">
      <w:pPr>
        <w:spacing w:after="0" w:line="240" w:lineRule="auto"/>
        <w:ind w:left="720"/>
        <w:jc w:val="both"/>
        <w:rPr>
          <w:rFonts w:ascii="Arial" w:eastAsia="Times New Roman" w:hAnsi="Arial" w:cs="Arial"/>
          <w:lang w:eastAsia="es-ES"/>
        </w:rPr>
      </w:pPr>
    </w:p>
    <w:p w14:paraId="756800FD" w14:textId="77777777" w:rsidR="00EE49CC" w:rsidRPr="009041D4" w:rsidRDefault="00EE49CC" w:rsidP="00EE49CC">
      <w:pPr>
        <w:numPr>
          <w:ilvl w:val="0"/>
          <w:numId w:val="43"/>
        </w:numPr>
        <w:spacing w:after="0" w:line="240" w:lineRule="auto"/>
        <w:jc w:val="both"/>
        <w:rPr>
          <w:rFonts w:ascii="Arial" w:eastAsia="Times New Roman" w:hAnsi="Arial" w:cs="Arial"/>
          <w:lang w:eastAsia="es-ES"/>
        </w:rPr>
      </w:pPr>
      <w:r w:rsidRPr="009041D4">
        <w:rPr>
          <w:rFonts w:ascii="Arial" w:eastAsia="Times New Roman" w:hAnsi="Arial" w:cs="Arial"/>
          <w:lang w:eastAsia="es-ES"/>
        </w:rPr>
        <w:t>Fuente de energía de respaldo: sí (presente), no (ausente)</w:t>
      </w:r>
    </w:p>
    <w:p w14:paraId="31FAD608" w14:textId="77777777" w:rsidR="00EE49CC" w:rsidRPr="009041D4" w:rsidRDefault="00EE49CC" w:rsidP="00EE49CC">
      <w:pPr>
        <w:spacing w:after="0"/>
        <w:jc w:val="both"/>
        <w:rPr>
          <w:rFonts w:ascii="Arial" w:eastAsia="Times New Roman" w:hAnsi="Arial" w:cs="Arial"/>
          <w:lang w:eastAsia="es-ES"/>
        </w:rPr>
      </w:pPr>
    </w:p>
    <w:p w14:paraId="7EF1CEF0"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Por su parte, las salas ubicadas en la central del PH consideradas en el modelo se dimensionan en base a los siguientes parámetros:</w:t>
      </w:r>
    </w:p>
    <w:p w14:paraId="1D9CCBD2" w14:textId="77777777" w:rsidR="00EE49CC" w:rsidRPr="009041D4" w:rsidRDefault="00EE49CC" w:rsidP="00EE49CC">
      <w:pPr>
        <w:spacing w:after="0"/>
        <w:rPr>
          <w:rFonts w:ascii="Arial" w:eastAsia="Times New Roman" w:hAnsi="Arial" w:cs="Arial"/>
          <w:sz w:val="18"/>
          <w:szCs w:val="18"/>
          <w:lang w:eastAsia="es-ES"/>
        </w:rPr>
      </w:pPr>
    </w:p>
    <w:tbl>
      <w:tblPr>
        <w:tblW w:w="9545" w:type="dxa"/>
        <w:tblCellMar>
          <w:left w:w="0" w:type="dxa"/>
          <w:right w:w="0" w:type="dxa"/>
        </w:tblCellMar>
        <w:tblLook w:val="0420" w:firstRow="1" w:lastRow="0" w:firstColumn="0" w:lastColumn="0" w:noHBand="0" w:noVBand="1"/>
      </w:tblPr>
      <w:tblGrid>
        <w:gridCol w:w="1661"/>
        <w:gridCol w:w="7884"/>
      </w:tblGrid>
      <w:tr w:rsidR="00EE49CC" w:rsidRPr="009041D4" w14:paraId="7B699E13" w14:textId="77777777" w:rsidTr="00D94D81">
        <w:trPr>
          <w:trHeight w:val="440"/>
        </w:trPr>
        <w:tc>
          <w:tcPr>
            <w:tcW w:w="1661"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2343E9DE"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b/>
                <w:bCs/>
                <w:sz w:val="18"/>
                <w:szCs w:val="18"/>
                <w:lang w:val="es-ES_tradnl" w:eastAsia="es-ES"/>
              </w:rPr>
              <w:t>Sala</w:t>
            </w:r>
          </w:p>
        </w:tc>
        <w:tc>
          <w:tcPr>
            <w:tcW w:w="7884"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7F6FB46C"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b/>
                <w:bCs/>
                <w:sz w:val="18"/>
                <w:szCs w:val="18"/>
                <w:lang w:val="es-ES_tradnl" w:eastAsia="es-ES"/>
              </w:rPr>
              <w:t>Descripción / dimensionamiento</w:t>
            </w:r>
          </w:p>
        </w:tc>
      </w:tr>
      <w:tr w:rsidR="00EE49CC" w:rsidRPr="009041D4" w14:paraId="425A6358" w14:textId="77777777" w:rsidTr="00D94D81">
        <w:trPr>
          <w:trHeight w:val="444"/>
        </w:trPr>
        <w:tc>
          <w:tcPr>
            <w:tcW w:w="1661" w:type="dxa"/>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DE22F13"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MDF/ODF HP</w:t>
            </w:r>
          </w:p>
        </w:tc>
        <w:tc>
          <w:tcPr>
            <w:tcW w:w="7884"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9349C3C"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donde se conecta el distribuidor general (MDF) del PH o su equivalente óptico (ODF). Esta sala no se comparte con el PH pero el distribuidor de los CS se conectan al distribuidor principal del PH</w:t>
            </w:r>
          </w:p>
        </w:tc>
      </w:tr>
      <w:tr w:rsidR="00EE49CC" w:rsidRPr="009041D4" w14:paraId="6EA71E64"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0A1EDA1"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coubicación CS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7F25F7FA"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Sala de coubicación para los CS que cuenta con las facilidades técnicas necesarias para la ubicación de sus equipos. </w:t>
            </w:r>
          </w:p>
        </w:tc>
      </w:tr>
      <w:tr w:rsidR="00EE49CC" w:rsidRPr="009041D4" w14:paraId="2FA71A5B" w14:textId="77777777" w:rsidTr="00D94D81">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C45C3D0"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control</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3B75C22D"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control se dimensiona en función del tamaño de la central</w:t>
            </w:r>
          </w:p>
        </w:tc>
      </w:tr>
      <w:tr w:rsidR="00EE49CC" w:rsidRPr="009041D4" w14:paraId="6FB43CA3" w14:textId="77777777" w:rsidTr="00D94D81">
        <w:trPr>
          <w:trHeight w:val="30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8AADF03"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Sala de </w:t>
            </w:r>
            <w:r w:rsidRPr="009041D4">
              <w:rPr>
                <w:rFonts w:ascii="Arial" w:eastAsia="Times New Roman" w:hAnsi="Arial" w:cs="Arial"/>
                <w:i/>
                <w:iCs/>
                <w:sz w:val="18"/>
                <w:szCs w:val="18"/>
                <w:lang w:val="es-ES_tradnl" w:eastAsia="es-ES"/>
              </w:rPr>
              <w:t>switching</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0E3A5AA6"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La sala de </w:t>
            </w:r>
            <w:r w:rsidRPr="009041D4">
              <w:rPr>
                <w:rFonts w:ascii="Arial" w:eastAsia="Times New Roman" w:hAnsi="Arial" w:cs="Arial"/>
                <w:i/>
                <w:iCs/>
                <w:sz w:val="18"/>
                <w:szCs w:val="18"/>
                <w:lang w:val="es-ES_tradnl" w:eastAsia="es-ES"/>
              </w:rPr>
              <w:t>switching</w:t>
            </w:r>
            <w:r w:rsidRPr="009041D4">
              <w:rPr>
                <w:rFonts w:ascii="Arial" w:eastAsia="Times New Roman" w:hAnsi="Arial" w:cs="Arial"/>
                <w:sz w:val="18"/>
                <w:szCs w:val="18"/>
                <w:lang w:val="es-ES_tradnl" w:eastAsia="es-ES"/>
              </w:rPr>
              <w:t xml:space="preserve"> se dimensiona en función del tamaño de la central</w:t>
            </w:r>
          </w:p>
        </w:tc>
      </w:tr>
      <w:tr w:rsidR="00EE49CC" w:rsidRPr="009041D4" w14:paraId="2CB09FD8"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70872B1A"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lastRenderedPageBreak/>
              <w:t>Sala equipos de transmisión</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C8D883F"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equipos de transmisión del PH se dimensiona en función del tamaño de la central (en la versión corriente del modelo). En esta sala el PH instala también los equipos DSLAM/MSAN</w:t>
            </w:r>
          </w:p>
        </w:tc>
      </w:tr>
      <w:tr w:rsidR="00EE49CC" w:rsidRPr="009041D4" w14:paraId="09711624"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EF0FBD6"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subestación eléctrica</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4DF9F677"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subestación eléctrica se dimensiona en función de la potencia de los equipos del PH y los CS</w:t>
            </w:r>
          </w:p>
        </w:tc>
      </w:tr>
      <w:tr w:rsidR="00EE49CC" w:rsidRPr="009041D4" w14:paraId="0480757E"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526B0D90"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planta de emergencia</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6FF426C6"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planta de emergencia se dimensiona en función de la potencia de los equipos del PH y los CS</w:t>
            </w:r>
          </w:p>
        </w:tc>
      </w:tr>
      <w:tr w:rsidR="00EE49CC" w:rsidRPr="009041D4" w14:paraId="2FEB2B96" w14:textId="77777777" w:rsidTr="00D94D81">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4F28041E"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baterías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4D32C638"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baterías se dimensiona en función de la potencia de los equipos del PH y los CS</w:t>
            </w:r>
          </w:p>
        </w:tc>
      </w:tr>
      <w:tr w:rsidR="00EE49CC" w:rsidRPr="009041D4" w14:paraId="04A44EFA"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BF3D9C7"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aire acondicionado</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4F6A1A8"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La sala de aire acondicionado se dimensiona en función del tamaño de la central</w:t>
            </w:r>
          </w:p>
        </w:tc>
      </w:tr>
      <w:tr w:rsidR="00EE49CC" w:rsidRPr="009041D4" w14:paraId="00C1D7CF" w14:textId="77777777" w:rsidTr="00D94D81">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E766EFD"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Espacio de </w:t>
            </w:r>
            <w:r w:rsidRPr="009041D4">
              <w:rPr>
                <w:rFonts w:ascii="Arial" w:eastAsia="Times New Roman" w:hAnsi="Arial" w:cs="Arial"/>
                <w:i/>
                <w:iCs/>
                <w:sz w:val="18"/>
                <w:szCs w:val="18"/>
                <w:lang w:val="es-ES_tradnl" w:eastAsia="es-ES"/>
              </w:rPr>
              <w:t>overheads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08CB329"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El espacio para </w:t>
            </w:r>
            <w:r w:rsidRPr="009041D4">
              <w:rPr>
                <w:rFonts w:ascii="Arial" w:eastAsia="Times New Roman" w:hAnsi="Arial" w:cs="Arial"/>
                <w:i/>
                <w:iCs/>
                <w:sz w:val="18"/>
                <w:szCs w:val="18"/>
                <w:lang w:val="es-ES_tradnl" w:eastAsia="es-ES"/>
              </w:rPr>
              <w:t>overheads</w:t>
            </w:r>
            <w:r w:rsidRPr="009041D4">
              <w:rPr>
                <w:rFonts w:ascii="Arial" w:eastAsia="Times New Roman" w:hAnsi="Arial" w:cs="Arial"/>
                <w:sz w:val="18"/>
                <w:szCs w:val="18"/>
                <w:lang w:val="es-ES_tradnl" w:eastAsia="es-ES"/>
              </w:rPr>
              <w:t xml:space="preserve"> (pasillos, escaleras, baños, etc.) está dimensionado con un </w:t>
            </w:r>
            <w:r w:rsidRPr="009041D4">
              <w:rPr>
                <w:rFonts w:ascii="Arial" w:eastAsia="Times New Roman" w:hAnsi="Arial" w:cs="Arial"/>
                <w:i/>
                <w:iCs/>
                <w:sz w:val="18"/>
                <w:szCs w:val="18"/>
                <w:lang w:val="es-ES_tradnl" w:eastAsia="es-ES"/>
              </w:rPr>
              <w:t>mark-up</w:t>
            </w:r>
            <w:r w:rsidRPr="009041D4">
              <w:rPr>
                <w:rFonts w:ascii="Arial" w:eastAsia="Times New Roman" w:hAnsi="Arial" w:cs="Arial"/>
                <w:sz w:val="18"/>
                <w:szCs w:val="18"/>
                <w:lang w:val="es-ES_tradnl" w:eastAsia="es-ES"/>
              </w:rPr>
              <w:t xml:space="preserve"> del área de las salas ‘útiles’ (es decir, suma del área ocupada por las salas)</w:t>
            </w:r>
          </w:p>
        </w:tc>
      </w:tr>
    </w:tbl>
    <w:p w14:paraId="2780BE3F" w14:textId="0F50B4F1"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3C33AC" w:rsidRPr="009041D4">
        <w:rPr>
          <w:rFonts w:ascii="Arial" w:eastAsia="Times New Roman" w:hAnsi="Arial" w:cs="Arial"/>
          <w:sz w:val="18"/>
          <w:szCs w:val="18"/>
          <w:lang w:eastAsia="es-ES"/>
        </w:rPr>
        <w:t>15</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Dimensionamiento de las salas.</w:t>
      </w:r>
    </w:p>
    <w:p w14:paraId="110F4A83" w14:textId="77777777" w:rsidR="00EE49CC" w:rsidRPr="009041D4" w:rsidRDefault="00EE49CC" w:rsidP="00EE49CC">
      <w:pPr>
        <w:spacing w:after="0"/>
        <w:jc w:val="both"/>
        <w:rPr>
          <w:rFonts w:ascii="Arial" w:eastAsia="Times New Roman" w:hAnsi="Arial" w:cs="Arial"/>
          <w:lang w:eastAsia="es-ES"/>
        </w:rPr>
      </w:pPr>
    </w:p>
    <w:p w14:paraId="12AA377B"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Algunas salas de las centrales del PH (sala MDF/ODF PH, sala de control, sala de switching, sala de equipos de transmisión y sala de aire acondicionado) se han dimensionado en función de un tamaño de la central promedio; otras se han dimensionado en función de la potencia requerida por los equipos instalados en dichas salas.</w:t>
      </w:r>
    </w:p>
    <w:p w14:paraId="271F2823" w14:textId="77777777" w:rsidR="00EE49CC" w:rsidRPr="009041D4" w:rsidRDefault="00EE49CC" w:rsidP="00EE49CC">
      <w:pPr>
        <w:spacing w:after="0"/>
        <w:jc w:val="both"/>
        <w:rPr>
          <w:rFonts w:ascii="Arial" w:eastAsia="Times New Roman" w:hAnsi="Arial" w:cs="Arial"/>
          <w:lang w:eastAsia="es-ES"/>
        </w:rPr>
      </w:pPr>
    </w:p>
    <w:p w14:paraId="71539C9E"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Los sistemas de respaldo se dimensionan </w:t>
      </w:r>
      <w:r w:rsidRPr="009041D4">
        <w:rPr>
          <w:rFonts w:ascii="Arial" w:hAnsi="Arial" w:cs="Arial"/>
        </w:rPr>
        <w:t>bottom-up</w:t>
      </w:r>
      <w:r w:rsidRPr="009041D4">
        <w:rPr>
          <w:rFonts w:ascii="Arial" w:eastAsia="Times New Roman" w:hAnsi="Arial" w:cs="Arial"/>
          <w:lang w:eastAsia="es-ES"/>
        </w:rPr>
        <w:t xml:space="preserve"> a partir del consumo de energía y del espacio ocupado, respectivamente.</w:t>
      </w:r>
    </w:p>
    <w:p w14:paraId="2FAC500C" w14:textId="77777777" w:rsidR="00EE49CC" w:rsidRPr="009041D4" w:rsidRDefault="00EE49CC" w:rsidP="00EE49CC">
      <w:pPr>
        <w:spacing w:after="0"/>
        <w:jc w:val="both"/>
        <w:rPr>
          <w:rFonts w:ascii="Arial" w:eastAsia="Times New Roman" w:hAnsi="Arial" w:cs="Arial"/>
          <w:lang w:eastAsia="es-ES"/>
        </w:rPr>
      </w:pPr>
    </w:p>
    <w:p w14:paraId="0087BB26"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Para el dimensionamiento de las salas de MDF/ODF, se consideran módulos con dimensiones de 0.18 metros de ancho por 1.30 metros de profundidad. Con base en la capacidad de los módulos MDF y los tamaños definidos para las centrales del PH, se requieren 2 módulos MDF para una central promedio.</w:t>
      </w:r>
    </w:p>
    <w:p w14:paraId="72234BA9" w14:textId="77777777" w:rsidR="00EE49CC" w:rsidRPr="009041D4" w:rsidRDefault="00EE49CC" w:rsidP="00EE49CC">
      <w:pPr>
        <w:spacing w:after="0"/>
        <w:jc w:val="both"/>
        <w:rPr>
          <w:rFonts w:ascii="Arial" w:eastAsia="Times New Roman" w:hAnsi="Arial" w:cs="Arial"/>
          <w:lang w:eastAsia="es-ES"/>
        </w:rPr>
      </w:pPr>
    </w:p>
    <w:p w14:paraId="4F1A8EB3"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Se asumen 1.5 metros</w:t>
      </w:r>
      <w:r w:rsidRPr="009041D4">
        <w:rPr>
          <w:rFonts w:ascii="Arial" w:eastAsia="Times New Roman" w:hAnsi="Arial" w:cs="Arial"/>
          <w:vertAlign w:val="superscript"/>
          <w:lang w:eastAsia="es-ES"/>
        </w:rPr>
        <w:t xml:space="preserve"> </w:t>
      </w:r>
      <w:r w:rsidRPr="009041D4">
        <w:rPr>
          <w:rFonts w:ascii="Arial" w:eastAsia="Times New Roman" w:hAnsi="Arial" w:cs="Arial"/>
          <w:lang w:eastAsia="es-ES"/>
        </w:rPr>
        <w:t>para maniobra a cada lado, tanto en ancho como en profundidad, en el cual se incluye el espacio necesario para el aire acondicionado y las acometidas.</w:t>
      </w:r>
    </w:p>
    <w:p w14:paraId="48E15B98" w14:textId="77777777" w:rsidR="00EE49CC" w:rsidRPr="009041D4" w:rsidRDefault="00EE49CC" w:rsidP="00EE49CC">
      <w:pPr>
        <w:spacing w:after="0"/>
        <w:jc w:val="both"/>
        <w:rPr>
          <w:rFonts w:ascii="Arial" w:eastAsia="Times New Roman" w:hAnsi="Arial" w:cs="Arial"/>
          <w:lang w:eastAsia="es-ES"/>
        </w:rPr>
      </w:pPr>
    </w:p>
    <w:p w14:paraId="0883A5A5"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3D767319" w14:textId="77777777" w:rsidR="00EE49CC" w:rsidRPr="009041D4" w:rsidRDefault="00EE49CC" w:rsidP="00EE49CC">
      <w:pPr>
        <w:spacing w:after="0"/>
        <w:jc w:val="both"/>
        <w:rPr>
          <w:rFonts w:ascii="Arial" w:eastAsia="Times New Roman" w:hAnsi="Arial" w:cs="Arial"/>
          <w:lang w:eastAsia="es-ES"/>
        </w:rPr>
      </w:pPr>
    </w:p>
    <w:tbl>
      <w:tblPr>
        <w:tblW w:w="5000" w:type="pct"/>
        <w:tblCellMar>
          <w:left w:w="0" w:type="dxa"/>
          <w:right w:w="0" w:type="dxa"/>
        </w:tblCellMar>
        <w:tblLook w:val="0420" w:firstRow="1" w:lastRow="0" w:firstColumn="0" w:lastColumn="0" w:noHBand="0" w:noVBand="1"/>
      </w:tblPr>
      <w:tblGrid>
        <w:gridCol w:w="2560"/>
        <w:gridCol w:w="2854"/>
        <w:gridCol w:w="988"/>
        <w:gridCol w:w="735"/>
        <w:gridCol w:w="859"/>
        <w:gridCol w:w="822"/>
      </w:tblGrid>
      <w:tr w:rsidR="00EE49CC" w:rsidRPr="009041D4" w14:paraId="312F5FF6" w14:textId="77777777" w:rsidTr="00D94D81">
        <w:trPr>
          <w:trHeight w:val="259"/>
        </w:trPr>
        <w:tc>
          <w:tcPr>
            <w:tcW w:w="1452"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042A5CDA"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color w:val="FFFFFF" w:themeColor="background1"/>
                <w:sz w:val="18"/>
                <w:szCs w:val="18"/>
                <w:lang w:eastAsia="es-ES"/>
              </w:rPr>
              <w:t>Sala</w:t>
            </w:r>
          </w:p>
        </w:tc>
        <w:tc>
          <w:tcPr>
            <w:tcW w:w="1618"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6838D7B5"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 xml:space="preserve">Supuestos </w:t>
            </w:r>
          </w:p>
        </w:tc>
        <w:tc>
          <w:tcPr>
            <w:tcW w:w="560"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67B823A7"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Pequeña</w:t>
            </w:r>
          </w:p>
        </w:tc>
        <w:tc>
          <w:tcPr>
            <w:tcW w:w="41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1E3CA2E6"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Media</w:t>
            </w:r>
          </w:p>
        </w:tc>
        <w:tc>
          <w:tcPr>
            <w:tcW w:w="48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1742143E"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Grande</w:t>
            </w:r>
          </w:p>
        </w:tc>
        <w:tc>
          <w:tcPr>
            <w:tcW w:w="466"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5D0F5B53" w14:textId="77777777" w:rsidR="00EE49CC" w:rsidRPr="009041D4" w:rsidRDefault="00EE49CC" w:rsidP="00D94D81">
            <w:pPr>
              <w:spacing w:after="0"/>
              <w:jc w:val="both"/>
              <w:rPr>
                <w:rFonts w:ascii="Arial" w:eastAsia="Times New Roman" w:hAnsi="Arial" w:cs="Arial"/>
                <w:b/>
                <w:color w:val="FFFFFF" w:themeColor="background1"/>
                <w:sz w:val="18"/>
                <w:szCs w:val="18"/>
                <w:lang w:eastAsia="es-ES"/>
              </w:rPr>
            </w:pPr>
            <w:r w:rsidRPr="009041D4">
              <w:rPr>
                <w:rFonts w:ascii="Arial" w:eastAsia="Times New Roman" w:hAnsi="Arial" w:cs="Arial"/>
                <w:b/>
                <w:bCs/>
                <w:color w:val="FFFFFF" w:themeColor="background1"/>
                <w:sz w:val="18"/>
                <w:szCs w:val="18"/>
                <w:lang w:val="es-ES_tradnl" w:eastAsia="es-ES"/>
              </w:rPr>
              <w:t>Muy grande</w:t>
            </w:r>
          </w:p>
        </w:tc>
      </w:tr>
      <w:tr w:rsidR="00EE49CC" w:rsidRPr="009041D4" w14:paraId="69969D30" w14:textId="77777777" w:rsidTr="00D94D81">
        <w:trPr>
          <w:trHeight w:val="197"/>
        </w:trPr>
        <w:tc>
          <w:tcPr>
            <w:tcW w:w="1452" w:type="pct"/>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tcPr>
          <w:p w14:paraId="01812DE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MDF/ODF del PH</w:t>
            </w:r>
          </w:p>
        </w:tc>
        <w:tc>
          <w:tcPr>
            <w:tcW w:w="1618" w:type="pct"/>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53CB6A22"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Dimensionamiento ascendente (</w:t>
            </w:r>
            <w:r w:rsidRPr="009041D4">
              <w:rPr>
                <w:rFonts w:ascii="Arial" w:eastAsia="Times New Roman" w:hAnsi="Arial" w:cs="Arial"/>
                <w:i/>
                <w:iCs/>
                <w:sz w:val="18"/>
                <w:szCs w:val="18"/>
                <w:lang w:val="es-ES_tradnl" w:eastAsia="es-ES"/>
              </w:rPr>
              <w:t>bottom-up</w:t>
            </w:r>
            <w:r w:rsidRPr="009041D4">
              <w:rPr>
                <w:rFonts w:ascii="Arial" w:eastAsia="Times New Roman" w:hAnsi="Arial" w:cs="Arial"/>
                <w:sz w:val="18"/>
                <w:szCs w:val="18"/>
                <w:lang w:val="es-ES_tradnl" w:eastAsia="es-ES"/>
              </w:rPr>
              <w:t xml:space="preserve">) en función del número de pares terminados y de </w:t>
            </w:r>
            <w:r w:rsidRPr="009041D4">
              <w:rPr>
                <w:rFonts w:ascii="Arial" w:eastAsia="Times New Roman" w:hAnsi="Arial" w:cs="Arial"/>
                <w:sz w:val="18"/>
                <w:szCs w:val="18"/>
                <w:lang w:val="es-ES_tradnl" w:eastAsia="es-ES"/>
              </w:rPr>
              <w:lastRenderedPageBreak/>
              <w:t>la capacidad de un módulo MDF estándar</w:t>
            </w:r>
          </w:p>
        </w:tc>
        <w:tc>
          <w:tcPr>
            <w:tcW w:w="560"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3DB38B6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lastRenderedPageBreak/>
              <w:t>14m</w:t>
            </w:r>
            <w:r w:rsidRPr="009041D4">
              <w:rPr>
                <w:rFonts w:ascii="Arial" w:eastAsia="Times New Roman" w:hAnsi="Arial" w:cs="Arial"/>
                <w:sz w:val="18"/>
                <w:szCs w:val="18"/>
                <w:vertAlign w:val="superscript"/>
                <w:lang w:val="es-ES_tradnl" w:eastAsia="es-ES"/>
              </w:rPr>
              <w:t>2</w:t>
            </w:r>
          </w:p>
        </w:tc>
        <w:tc>
          <w:tcPr>
            <w:tcW w:w="41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2BF870D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14m</w:t>
            </w:r>
            <w:r w:rsidRPr="009041D4">
              <w:rPr>
                <w:rFonts w:ascii="Arial" w:eastAsia="Times New Roman" w:hAnsi="Arial" w:cs="Arial"/>
                <w:sz w:val="18"/>
                <w:szCs w:val="18"/>
                <w:vertAlign w:val="superscript"/>
                <w:lang w:val="es-ES_tradnl" w:eastAsia="es-ES"/>
              </w:rPr>
              <w:t>2</w:t>
            </w:r>
          </w:p>
        </w:tc>
        <w:tc>
          <w:tcPr>
            <w:tcW w:w="48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750DFAA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17m</w:t>
            </w:r>
            <w:r w:rsidRPr="009041D4">
              <w:rPr>
                <w:rFonts w:ascii="Arial" w:eastAsia="Times New Roman" w:hAnsi="Arial" w:cs="Arial"/>
                <w:sz w:val="18"/>
                <w:szCs w:val="18"/>
                <w:vertAlign w:val="superscript"/>
                <w:lang w:val="es-ES_tradnl" w:eastAsia="es-ES"/>
              </w:rPr>
              <w:t>2</w:t>
            </w:r>
          </w:p>
        </w:tc>
        <w:tc>
          <w:tcPr>
            <w:tcW w:w="466"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345630B0"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23m</w:t>
            </w:r>
            <w:r w:rsidRPr="009041D4">
              <w:rPr>
                <w:rFonts w:ascii="Arial" w:eastAsia="Times New Roman" w:hAnsi="Arial" w:cs="Arial"/>
                <w:sz w:val="18"/>
                <w:szCs w:val="18"/>
                <w:vertAlign w:val="superscript"/>
                <w:lang w:val="es-ES_tradnl" w:eastAsia="es-ES"/>
              </w:rPr>
              <w:t>2</w:t>
            </w:r>
          </w:p>
        </w:tc>
      </w:tr>
      <w:tr w:rsidR="00EE49CC" w:rsidRPr="009041D4" w14:paraId="01E708A7" w14:textId="77777777" w:rsidTr="00D94D81">
        <w:trPr>
          <w:trHeight w:val="197"/>
        </w:trPr>
        <w:tc>
          <w:tcPr>
            <w:tcW w:w="1452" w:type="pct"/>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52191EB1"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control</w:t>
            </w:r>
          </w:p>
        </w:tc>
        <w:tc>
          <w:tcPr>
            <w:tcW w:w="1618" w:type="pct"/>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28BB477E"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Estimación</w:t>
            </w:r>
          </w:p>
        </w:tc>
        <w:tc>
          <w:tcPr>
            <w:tcW w:w="560"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33B2626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10m</w:t>
            </w:r>
            <w:r w:rsidRPr="009041D4">
              <w:rPr>
                <w:rFonts w:ascii="Arial" w:eastAsia="Times New Roman" w:hAnsi="Arial" w:cs="Arial"/>
                <w:sz w:val="18"/>
                <w:szCs w:val="18"/>
                <w:vertAlign w:val="superscript"/>
                <w:lang w:val="es-ES_tradnl" w:eastAsia="es-ES"/>
              </w:rPr>
              <w:t>2</w:t>
            </w:r>
          </w:p>
        </w:tc>
        <w:tc>
          <w:tcPr>
            <w:tcW w:w="41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5D76A52B"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10m</w:t>
            </w:r>
            <w:r w:rsidRPr="009041D4">
              <w:rPr>
                <w:rFonts w:ascii="Arial" w:eastAsia="Times New Roman" w:hAnsi="Arial" w:cs="Arial"/>
                <w:sz w:val="18"/>
                <w:szCs w:val="18"/>
                <w:vertAlign w:val="superscript"/>
                <w:lang w:val="es-ES_tradnl" w:eastAsia="es-ES"/>
              </w:rPr>
              <w:t>2</w:t>
            </w:r>
          </w:p>
        </w:tc>
        <w:tc>
          <w:tcPr>
            <w:tcW w:w="48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2BAB5DF4"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15m</w:t>
            </w:r>
            <w:r w:rsidRPr="009041D4">
              <w:rPr>
                <w:rFonts w:ascii="Arial" w:eastAsia="Times New Roman" w:hAnsi="Arial" w:cs="Arial"/>
                <w:sz w:val="18"/>
                <w:szCs w:val="18"/>
                <w:vertAlign w:val="superscript"/>
                <w:lang w:val="es-ES_tradnl" w:eastAsia="es-ES"/>
              </w:rPr>
              <w:t>2</w:t>
            </w:r>
          </w:p>
        </w:tc>
        <w:tc>
          <w:tcPr>
            <w:tcW w:w="466"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684032B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15m</w:t>
            </w:r>
            <w:r w:rsidRPr="009041D4">
              <w:rPr>
                <w:rFonts w:ascii="Arial" w:eastAsia="Times New Roman" w:hAnsi="Arial" w:cs="Arial"/>
                <w:sz w:val="18"/>
                <w:szCs w:val="18"/>
                <w:vertAlign w:val="superscript"/>
                <w:lang w:val="es-ES_tradnl" w:eastAsia="es-ES"/>
              </w:rPr>
              <w:t>2</w:t>
            </w:r>
          </w:p>
        </w:tc>
      </w:tr>
      <w:tr w:rsidR="00EE49CC" w:rsidRPr="009041D4" w14:paraId="73E4F8D2" w14:textId="77777777" w:rsidTr="00D94D81">
        <w:trPr>
          <w:trHeight w:val="510"/>
        </w:trPr>
        <w:tc>
          <w:tcPr>
            <w:tcW w:w="1452" w:type="pct"/>
            <w:tcBorders>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1743A48B"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Sala de </w:t>
            </w:r>
            <w:r w:rsidRPr="009041D4">
              <w:rPr>
                <w:rFonts w:ascii="Arial" w:eastAsia="Times New Roman" w:hAnsi="Arial" w:cs="Arial"/>
                <w:i/>
                <w:iCs/>
                <w:sz w:val="18"/>
                <w:szCs w:val="18"/>
                <w:lang w:val="es-ES_tradnl" w:eastAsia="es-ES"/>
              </w:rPr>
              <w:t>switching</w:t>
            </w:r>
            <w:r w:rsidRPr="009041D4">
              <w:rPr>
                <w:rFonts w:ascii="Arial" w:eastAsia="Times New Roman" w:hAnsi="Arial" w:cs="Arial"/>
                <w:sz w:val="18"/>
                <w:szCs w:val="18"/>
                <w:lang w:val="es-ES_tradnl" w:eastAsia="es-ES"/>
              </w:rPr>
              <w:t xml:space="preserve"> del PH</w:t>
            </w:r>
          </w:p>
        </w:tc>
        <w:tc>
          <w:tcPr>
            <w:tcW w:w="1618" w:type="pct"/>
            <w:tcBorders>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90C32FB" w14:textId="77777777" w:rsidR="00EE49CC" w:rsidRPr="009041D4" w:rsidRDefault="00EE49CC" w:rsidP="00D94D81">
            <w:pPr>
              <w:spacing w:after="0"/>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Número de racks por tamaño de central: </w:t>
            </w:r>
            <w:r w:rsidRPr="009041D4">
              <w:rPr>
                <w:rFonts w:ascii="Arial" w:eastAsia="Times New Roman" w:hAnsi="Arial" w:cs="Arial"/>
                <w:sz w:val="18"/>
                <w:szCs w:val="18"/>
                <w:lang w:val="es-ES_tradnl" w:eastAsia="es-ES"/>
              </w:rPr>
              <w:br/>
              <w:t>2, 4, 8 o 12 racks</w:t>
            </w:r>
          </w:p>
        </w:tc>
        <w:tc>
          <w:tcPr>
            <w:tcW w:w="560"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040C806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16m</w:t>
            </w:r>
            <w:r w:rsidRPr="009041D4">
              <w:rPr>
                <w:rFonts w:ascii="Arial" w:eastAsia="Times New Roman" w:hAnsi="Arial" w:cs="Arial"/>
                <w:sz w:val="18"/>
                <w:szCs w:val="18"/>
                <w:vertAlign w:val="superscript"/>
                <w:lang w:val="es-ES_tradnl" w:eastAsia="es-ES"/>
              </w:rPr>
              <w:t>2</w:t>
            </w:r>
          </w:p>
        </w:tc>
        <w:tc>
          <w:tcPr>
            <w:tcW w:w="41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6EA7CD1B"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21m</w:t>
            </w:r>
            <w:r w:rsidRPr="009041D4">
              <w:rPr>
                <w:rFonts w:ascii="Arial" w:eastAsia="Times New Roman" w:hAnsi="Arial" w:cs="Arial"/>
                <w:sz w:val="18"/>
                <w:szCs w:val="18"/>
                <w:vertAlign w:val="superscript"/>
                <w:lang w:val="es-ES_tradnl" w:eastAsia="es-ES"/>
              </w:rPr>
              <w:t>2</w:t>
            </w:r>
          </w:p>
        </w:tc>
        <w:tc>
          <w:tcPr>
            <w:tcW w:w="48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36747A26"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30m</w:t>
            </w:r>
            <w:r w:rsidRPr="009041D4">
              <w:rPr>
                <w:rFonts w:ascii="Arial" w:eastAsia="Times New Roman" w:hAnsi="Arial" w:cs="Arial"/>
                <w:sz w:val="18"/>
                <w:szCs w:val="18"/>
                <w:vertAlign w:val="superscript"/>
                <w:lang w:val="es-ES_tradnl" w:eastAsia="es-ES"/>
              </w:rPr>
              <w:t>2</w:t>
            </w:r>
          </w:p>
        </w:tc>
        <w:tc>
          <w:tcPr>
            <w:tcW w:w="466"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2D7EC8A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39m</w:t>
            </w:r>
            <w:r w:rsidRPr="009041D4">
              <w:rPr>
                <w:rFonts w:ascii="Arial" w:eastAsia="Times New Roman" w:hAnsi="Arial" w:cs="Arial"/>
                <w:sz w:val="18"/>
                <w:szCs w:val="18"/>
                <w:vertAlign w:val="superscript"/>
                <w:lang w:val="es-ES_tradnl" w:eastAsia="es-ES"/>
              </w:rPr>
              <w:t>2</w:t>
            </w:r>
          </w:p>
        </w:tc>
      </w:tr>
      <w:tr w:rsidR="00EE49CC" w:rsidRPr="009041D4" w14:paraId="42050C73" w14:textId="77777777" w:rsidTr="00D94D81">
        <w:trPr>
          <w:trHeight w:val="510"/>
        </w:trPr>
        <w:tc>
          <w:tcPr>
            <w:tcW w:w="1452" w:type="pc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22A930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equipos de transmisión del PH</w:t>
            </w:r>
          </w:p>
        </w:tc>
        <w:tc>
          <w:tcPr>
            <w:tcW w:w="1618" w:type="pct"/>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657BF20" w14:textId="77777777" w:rsidR="00EE49CC" w:rsidRPr="009041D4" w:rsidRDefault="00EE49CC" w:rsidP="00D94D81">
            <w:pPr>
              <w:spacing w:after="0"/>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Número de racks por tamaño de central:  2, 4, 8 o 12 racks</w:t>
            </w:r>
          </w:p>
        </w:tc>
        <w:tc>
          <w:tcPr>
            <w:tcW w:w="560"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0F4BF5F6"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16m</w:t>
            </w:r>
            <w:r w:rsidRPr="009041D4">
              <w:rPr>
                <w:rFonts w:ascii="Arial" w:eastAsia="Times New Roman" w:hAnsi="Arial" w:cs="Arial"/>
                <w:sz w:val="18"/>
                <w:szCs w:val="18"/>
                <w:vertAlign w:val="superscript"/>
                <w:lang w:val="es-ES_tradnl" w:eastAsia="es-ES"/>
              </w:rPr>
              <w:t>2</w:t>
            </w:r>
          </w:p>
        </w:tc>
        <w:tc>
          <w:tcPr>
            <w:tcW w:w="41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70278ED8"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21m</w:t>
            </w:r>
            <w:r w:rsidRPr="009041D4">
              <w:rPr>
                <w:rFonts w:ascii="Arial" w:eastAsia="Times New Roman" w:hAnsi="Arial" w:cs="Arial"/>
                <w:sz w:val="18"/>
                <w:szCs w:val="18"/>
                <w:vertAlign w:val="superscript"/>
                <w:lang w:val="es-ES_tradnl" w:eastAsia="es-ES"/>
              </w:rPr>
              <w:t>2</w:t>
            </w:r>
          </w:p>
        </w:tc>
        <w:tc>
          <w:tcPr>
            <w:tcW w:w="48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389FE250"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30m</w:t>
            </w:r>
            <w:r w:rsidRPr="009041D4">
              <w:rPr>
                <w:rFonts w:ascii="Arial" w:eastAsia="Times New Roman" w:hAnsi="Arial" w:cs="Arial"/>
                <w:sz w:val="18"/>
                <w:szCs w:val="18"/>
                <w:vertAlign w:val="superscript"/>
                <w:lang w:val="es-ES_tradnl" w:eastAsia="es-ES"/>
              </w:rPr>
              <w:t>2</w:t>
            </w:r>
          </w:p>
        </w:tc>
        <w:tc>
          <w:tcPr>
            <w:tcW w:w="466"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68B9FBFD"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39m</w:t>
            </w:r>
            <w:r w:rsidRPr="009041D4">
              <w:rPr>
                <w:rFonts w:ascii="Arial" w:eastAsia="Times New Roman" w:hAnsi="Arial" w:cs="Arial"/>
                <w:sz w:val="18"/>
                <w:szCs w:val="18"/>
                <w:vertAlign w:val="superscript"/>
                <w:lang w:val="es-ES_tradnl" w:eastAsia="es-ES"/>
              </w:rPr>
              <w:t>2</w:t>
            </w:r>
          </w:p>
        </w:tc>
      </w:tr>
    </w:tbl>
    <w:p w14:paraId="56BB7510" w14:textId="2552B9B6"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3C33AC" w:rsidRPr="009041D4">
        <w:rPr>
          <w:rFonts w:ascii="Arial" w:eastAsia="Times New Roman" w:hAnsi="Arial" w:cs="Arial"/>
          <w:sz w:val="18"/>
          <w:szCs w:val="18"/>
          <w:lang w:eastAsia="es-ES"/>
        </w:rPr>
        <w:t>16</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Dimensionamiento de las salas del PH.</w:t>
      </w:r>
    </w:p>
    <w:p w14:paraId="7086C61E" w14:textId="77777777" w:rsidR="00EE49CC" w:rsidRPr="009041D4" w:rsidRDefault="00EE49CC" w:rsidP="00EE49CC">
      <w:pPr>
        <w:spacing w:after="0"/>
        <w:jc w:val="both"/>
        <w:rPr>
          <w:rFonts w:ascii="Arial" w:eastAsia="Times New Roman" w:hAnsi="Arial" w:cs="Arial"/>
          <w:lang w:eastAsia="es-ES"/>
        </w:rPr>
      </w:pPr>
    </w:p>
    <w:p w14:paraId="7D6B6EE5"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Los</w:t>
      </w:r>
      <w:r w:rsidRPr="009041D4">
        <w:rPr>
          <w:rFonts w:ascii="Arial" w:eastAsia="Times New Roman" w:hAnsi="Arial" w:cs="Arial"/>
          <w:lang w:val="es-ES_tradnl" w:eastAsia="es-ES"/>
        </w:rPr>
        <w:t xml:space="preserve"> sistemas de respaldo se dimensionan bottom-up a partir del consumo de energía y del respaldo ocupado respectivamente</w:t>
      </w:r>
    </w:p>
    <w:p w14:paraId="1D8A4D17" w14:textId="77777777" w:rsidR="00EE49CC" w:rsidRPr="009041D4" w:rsidRDefault="00EE49CC" w:rsidP="00EE49CC">
      <w:pPr>
        <w:spacing w:after="0"/>
        <w:jc w:val="both"/>
        <w:rPr>
          <w:rFonts w:ascii="Arial" w:eastAsia="Times New Roman" w:hAnsi="Arial" w:cs="Arial"/>
          <w:lang w:eastAsia="es-ES"/>
        </w:rPr>
      </w:pPr>
    </w:p>
    <w:tbl>
      <w:tblPr>
        <w:tblW w:w="5000" w:type="pct"/>
        <w:jc w:val="center"/>
        <w:tblCellMar>
          <w:left w:w="0" w:type="dxa"/>
          <w:right w:w="0" w:type="dxa"/>
        </w:tblCellMar>
        <w:tblLook w:val="0420" w:firstRow="1" w:lastRow="0" w:firstColumn="0" w:lastColumn="0" w:noHBand="0" w:noVBand="1"/>
      </w:tblPr>
      <w:tblGrid>
        <w:gridCol w:w="2838"/>
        <w:gridCol w:w="5980"/>
      </w:tblGrid>
      <w:tr w:rsidR="00EE49CC" w:rsidRPr="009041D4" w14:paraId="6ED4C1DF" w14:textId="77777777" w:rsidTr="00D94D81">
        <w:trPr>
          <w:trHeight w:val="259"/>
          <w:jc w:val="center"/>
        </w:trPr>
        <w:tc>
          <w:tcPr>
            <w:tcW w:w="2838"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5DBC359C"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eastAsia="es-ES"/>
              </w:rPr>
              <w:t>Sala</w:t>
            </w:r>
          </w:p>
        </w:tc>
        <w:tc>
          <w:tcPr>
            <w:tcW w:w="5980"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18617BBD" w14:textId="77777777" w:rsidR="00EE49CC" w:rsidRPr="009041D4" w:rsidRDefault="00EE49CC" w:rsidP="00D94D81">
            <w:pPr>
              <w:spacing w:after="0"/>
              <w:jc w:val="both"/>
              <w:rPr>
                <w:rFonts w:ascii="Arial" w:hAnsi="Arial" w:cs="Arial"/>
                <w:sz w:val="20"/>
              </w:rPr>
            </w:pPr>
            <w:r w:rsidRPr="009041D4">
              <w:rPr>
                <w:rFonts w:ascii="Arial" w:hAnsi="Arial" w:cs="Arial"/>
                <w:b/>
                <w:sz w:val="20"/>
                <w:lang w:val="es-ES_tradnl"/>
              </w:rPr>
              <w:t>Descripción/dimensiones</w:t>
            </w:r>
          </w:p>
        </w:tc>
      </w:tr>
      <w:tr w:rsidR="00EE49CC" w:rsidRPr="009041D4" w14:paraId="4E5E5FD4" w14:textId="77777777" w:rsidTr="00D94D81">
        <w:trPr>
          <w:trHeight w:val="197"/>
          <w:jc w:val="center"/>
        </w:trPr>
        <w:tc>
          <w:tcPr>
            <w:tcW w:w="2838" w:type="dxa"/>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731E7B66"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Sala subestación eléctrica</w:t>
            </w:r>
          </w:p>
        </w:tc>
        <w:tc>
          <w:tcPr>
            <w:tcW w:w="5980" w:type="dxa"/>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370EDC4"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0.5 m2/kW (p.ej. 25 m</w:t>
            </w:r>
            <w:r w:rsidRPr="009041D4">
              <w:rPr>
                <w:rFonts w:ascii="Arial" w:eastAsia="Times New Roman" w:hAnsi="Arial" w:cs="Arial"/>
                <w:sz w:val="20"/>
                <w:szCs w:val="20"/>
                <w:vertAlign w:val="superscript"/>
                <w:lang w:val="es-ES_tradnl" w:eastAsia="es-ES"/>
              </w:rPr>
              <w:t>2</w:t>
            </w:r>
            <w:r w:rsidRPr="009041D4">
              <w:rPr>
                <w:rFonts w:ascii="Arial" w:eastAsia="Times New Roman" w:hAnsi="Arial" w:cs="Arial"/>
                <w:sz w:val="20"/>
                <w:szCs w:val="20"/>
                <w:lang w:val="es-ES_tradnl" w:eastAsia="es-ES"/>
              </w:rPr>
              <w:t xml:space="preserve"> para centrales medianas)</w:t>
            </w:r>
          </w:p>
        </w:tc>
      </w:tr>
      <w:tr w:rsidR="00EE49CC" w:rsidRPr="009041D4" w14:paraId="7E4E7D03" w14:textId="77777777" w:rsidTr="00D94D81">
        <w:trPr>
          <w:trHeight w:val="19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158F29F3"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Sala planta de emergencia</w:t>
            </w:r>
          </w:p>
        </w:tc>
        <w:tc>
          <w:tcPr>
            <w:tcW w:w="5980"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0491244"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 xml:space="preserve">Se dimensiona el motor y el tanque de diésel en base a la potencia de los equipos y a la fuente de respaldo requerida, más un </w:t>
            </w:r>
            <w:r w:rsidRPr="009041D4">
              <w:rPr>
                <w:rFonts w:ascii="Arial" w:hAnsi="Arial" w:cs="Arial"/>
                <w:sz w:val="20"/>
                <w:lang w:val="es-ES_tradnl"/>
              </w:rPr>
              <w:t>mark-up</w:t>
            </w:r>
            <w:r w:rsidRPr="009041D4">
              <w:rPr>
                <w:rFonts w:ascii="Arial" w:eastAsia="Times New Roman" w:hAnsi="Arial" w:cs="Arial"/>
                <w:sz w:val="20"/>
                <w:szCs w:val="20"/>
                <w:lang w:val="es-ES_tradnl" w:eastAsia="es-ES"/>
              </w:rPr>
              <w:t xml:space="preserve"> de operación. Una maquina típica necesita menos de 10 m</w:t>
            </w:r>
            <w:r w:rsidRPr="009041D4">
              <w:rPr>
                <w:rFonts w:ascii="Arial" w:eastAsia="Times New Roman" w:hAnsi="Arial" w:cs="Arial"/>
                <w:sz w:val="20"/>
                <w:szCs w:val="20"/>
                <w:vertAlign w:val="superscript"/>
                <w:lang w:val="es-ES_tradnl" w:eastAsia="es-ES"/>
              </w:rPr>
              <w:t>2</w:t>
            </w:r>
            <w:r w:rsidRPr="009041D4">
              <w:rPr>
                <w:rFonts w:ascii="Arial" w:eastAsia="Times New Roman" w:hAnsi="Arial" w:cs="Arial"/>
                <w:sz w:val="20"/>
                <w:szCs w:val="20"/>
                <w:lang w:val="es-ES_tradnl" w:eastAsia="es-ES"/>
              </w:rPr>
              <w:t xml:space="preserve"> de espacio</w:t>
            </w:r>
          </w:p>
        </w:tc>
      </w:tr>
      <w:tr w:rsidR="00EE49CC" w:rsidRPr="009041D4" w14:paraId="18B95AA6" w14:textId="77777777" w:rsidTr="00D94D81">
        <w:trPr>
          <w:trHeight w:val="32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241ED2C7"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Sala baterías</w:t>
            </w:r>
          </w:p>
        </w:tc>
        <w:tc>
          <w:tcPr>
            <w:tcW w:w="5980"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D88EB58" w14:textId="77777777" w:rsidR="00EE49CC" w:rsidRPr="009041D4" w:rsidRDefault="00EE49CC" w:rsidP="00D94D81">
            <w:pPr>
              <w:spacing w:after="0"/>
              <w:jc w:val="both"/>
              <w:rPr>
                <w:rFonts w:ascii="Arial" w:eastAsia="Times New Roman" w:hAnsi="Arial" w:cs="Arial"/>
                <w:sz w:val="20"/>
                <w:szCs w:val="20"/>
                <w:lang w:eastAsia="es-ES"/>
              </w:rPr>
            </w:pPr>
            <w:r w:rsidRPr="009041D4">
              <w:rPr>
                <w:rFonts w:ascii="Arial" w:eastAsia="Times New Roman" w:hAnsi="Arial" w:cs="Arial"/>
                <w:sz w:val="20"/>
                <w:szCs w:val="20"/>
                <w:lang w:val="es-ES_tradnl" w:eastAsia="es-ES"/>
              </w:rPr>
              <w:t>0.07m</w:t>
            </w:r>
            <w:r w:rsidRPr="009041D4">
              <w:rPr>
                <w:rFonts w:ascii="Arial" w:eastAsia="Times New Roman" w:hAnsi="Arial" w:cs="Arial"/>
                <w:sz w:val="20"/>
                <w:szCs w:val="20"/>
                <w:vertAlign w:val="superscript"/>
                <w:lang w:val="es-ES_tradnl" w:eastAsia="es-ES"/>
              </w:rPr>
              <w:t>2</w:t>
            </w:r>
            <w:r w:rsidRPr="009041D4">
              <w:rPr>
                <w:rFonts w:ascii="Arial" w:eastAsia="Times New Roman" w:hAnsi="Arial" w:cs="Arial"/>
                <w:sz w:val="20"/>
                <w:szCs w:val="20"/>
                <w:lang w:val="es-ES_tradnl" w:eastAsia="es-ES"/>
              </w:rPr>
              <w:t>/unidad</w:t>
            </w:r>
            <w:r w:rsidRPr="009041D4">
              <w:rPr>
                <w:rFonts w:ascii="Arial" w:eastAsia="Times New Roman" w:hAnsi="Arial" w:cs="Arial"/>
                <w:sz w:val="20"/>
                <w:szCs w:val="20"/>
                <w:lang w:val="es-ES_tradnl" w:eastAsia="es-ES"/>
              </w:rPr>
              <w:br/>
              <w:t>[10-30 unidades de 200Ah necesarias, según la potencia de los equipos]</w:t>
            </w:r>
          </w:p>
        </w:tc>
      </w:tr>
    </w:tbl>
    <w:p w14:paraId="19D75751" w14:textId="53F5978A"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3C33AC" w:rsidRPr="009041D4">
        <w:rPr>
          <w:rFonts w:ascii="Arial" w:eastAsia="Times New Roman" w:hAnsi="Arial" w:cs="Arial"/>
          <w:sz w:val="18"/>
          <w:szCs w:val="18"/>
          <w:lang w:eastAsia="es-ES"/>
        </w:rPr>
        <w:t>17</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Drivers para el dimensionamiento de las salas de energía de la central del PH.</w:t>
      </w:r>
    </w:p>
    <w:p w14:paraId="753D7D10" w14:textId="77777777" w:rsidR="00EE49CC" w:rsidRPr="009041D4" w:rsidRDefault="00EE49CC" w:rsidP="00EE49CC">
      <w:pPr>
        <w:spacing w:after="0"/>
        <w:jc w:val="both"/>
        <w:rPr>
          <w:rFonts w:ascii="Arial" w:eastAsia="Times New Roman" w:hAnsi="Arial" w:cs="Arial"/>
          <w:lang w:eastAsia="es-ES"/>
        </w:rPr>
      </w:pPr>
    </w:p>
    <w:p w14:paraId="52F3C952" w14:textId="77777777" w:rsidR="00EE49CC" w:rsidRPr="009041D4" w:rsidRDefault="00EE49CC" w:rsidP="00EE49CC">
      <w:pPr>
        <w:numPr>
          <w:ilvl w:val="0"/>
          <w:numId w:val="51"/>
        </w:numPr>
        <w:spacing w:after="0" w:line="259" w:lineRule="auto"/>
        <w:jc w:val="both"/>
        <w:rPr>
          <w:rFonts w:ascii="Arial" w:eastAsia="Times New Roman" w:hAnsi="Arial" w:cs="Arial"/>
          <w:lang w:eastAsia="es-ES"/>
        </w:rPr>
      </w:pPr>
      <w:r w:rsidRPr="009041D4">
        <w:rPr>
          <w:rFonts w:ascii="Arial" w:eastAsia="Times New Roman" w:hAnsi="Arial" w:cs="Arial"/>
          <w:lang w:val="es-ES_tradnl" w:eastAsia="es-ES"/>
        </w:rPr>
        <w:t xml:space="preserve">La potencia requerida por las centrales del PH es un parámetro que se tiene que introducir a la hora de calibrar el modelo. </w:t>
      </w:r>
    </w:p>
    <w:p w14:paraId="6D7F2807" w14:textId="77777777" w:rsidR="00EE49CC" w:rsidRPr="009041D4" w:rsidRDefault="00EE49CC" w:rsidP="00EE49CC">
      <w:pPr>
        <w:numPr>
          <w:ilvl w:val="1"/>
          <w:numId w:val="51"/>
        </w:numPr>
        <w:spacing w:after="0" w:line="259" w:lineRule="auto"/>
        <w:jc w:val="both"/>
        <w:rPr>
          <w:rFonts w:ascii="Arial" w:eastAsia="Times New Roman" w:hAnsi="Arial" w:cs="Arial"/>
          <w:lang w:eastAsia="es-ES"/>
        </w:rPr>
      </w:pPr>
      <w:r w:rsidRPr="009041D4">
        <w:rPr>
          <w:rFonts w:ascii="Arial" w:eastAsia="Times New Roman" w:hAnsi="Arial" w:cs="Arial"/>
          <w:lang w:val="es-ES_tradnl" w:eastAsia="es-ES"/>
        </w:rPr>
        <w:t>Los valores de este parámetro tienen un impacto en el dimensionamiento de las salas y de los equipos de subestación eléctrica, fuente de energía de respaldo y baterías</w:t>
      </w:r>
    </w:p>
    <w:p w14:paraId="422F7B32" w14:textId="77777777" w:rsidR="00EE49CC" w:rsidRPr="009041D4" w:rsidRDefault="00EE49CC" w:rsidP="00EE49CC">
      <w:pPr>
        <w:spacing w:after="0"/>
        <w:jc w:val="both"/>
        <w:rPr>
          <w:rFonts w:ascii="Arial" w:eastAsia="Times New Roman" w:hAnsi="Arial" w:cs="Arial"/>
          <w:lang w:eastAsia="es-ES"/>
        </w:rPr>
      </w:pPr>
    </w:p>
    <w:tbl>
      <w:tblPr>
        <w:tblW w:w="6700" w:type="dxa"/>
        <w:jc w:val="center"/>
        <w:tblCellMar>
          <w:left w:w="0" w:type="dxa"/>
          <w:right w:w="0" w:type="dxa"/>
        </w:tblCellMar>
        <w:tblLook w:val="0420" w:firstRow="1" w:lastRow="0" w:firstColumn="0" w:lastColumn="0" w:noHBand="0" w:noVBand="1"/>
      </w:tblPr>
      <w:tblGrid>
        <w:gridCol w:w="2908"/>
        <w:gridCol w:w="1846"/>
        <w:gridCol w:w="1946"/>
      </w:tblGrid>
      <w:tr w:rsidR="00EE49CC" w:rsidRPr="009041D4" w14:paraId="5FBF5735" w14:textId="77777777" w:rsidTr="00D94D81">
        <w:trPr>
          <w:trHeight w:val="259"/>
          <w:jc w:val="center"/>
        </w:trPr>
        <w:tc>
          <w:tcPr>
            <w:tcW w:w="2900" w:type="dxa"/>
            <w:tcBorders>
              <w:top w:val="single" w:sz="8" w:space="0" w:color="FFFFFF"/>
              <w:left w:val="single" w:sz="8" w:space="0" w:color="FFFFFF"/>
              <w:bottom w:val="single" w:sz="24" w:space="0" w:color="FFFFFF"/>
              <w:right w:val="single" w:sz="8" w:space="0" w:color="FFFFFF"/>
            </w:tcBorders>
            <w:shd w:val="clear" w:color="auto" w:fill="auto"/>
            <w:tcMar>
              <w:top w:w="74" w:type="dxa"/>
              <w:left w:w="142" w:type="dxa"/>
              <w:bottom w:w="74" w:type="dxa"/>
              <w:right w:w="142" w:type="dxa"/>
            </w:tcMar>
            <w:vAlign w:val="center"/>
            <w:hideMark/>
          </w:tcPr>
          <w:p w14:paraId="3296014F" w14:textId="77777777" w:rsidR="00EE49CC" w:rsidRPr="009041D4" w:rsidRDefault="00EE49CC" w:rsidP="00D94D81">
            <w:pPr>
              <w:spacing w:after="0"/>
              <w:jc w:val="both"/>
              <w:rPr>
                <w:rFonts w:ascii="Arial" w:eastAsia="Times New Roman" w:hAnsi="Arial" w:cs="Arial"/>
                <w:sz w:val="18"/>
                <w:szCs w:val="18"/>
                <w:lang w:eastAsia="es-ES"/>
              </w:rPr>
            </w:pPr>
          </w:p>
        </w:tc>
        <w:tc>
          <w:tcPr>
            <w:tcW w:w="18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3FBD0CDD"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Backup (horas) en zonas urbanas</w:t>
            </w:r>
          </w:p>
        </w:tc>
        <w:tc>
          <w:tcPr>
            <w:tcW w:w="19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52A359F8"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Backup (horas) en  zonas rurales</w:t>
            </w:r>
          </w:p>
        </w:tc>
      </w:tr>
      <w:tr w:rsidR="00EE49CC" w:rsidRPr="009041D4" w14:paraId="2D40B955" w14:textId="77777777" w:rsidTr="00D94D81">
        <w:trPr>
          <w:trHeight w:val="197"/>
          <w:jc w:val="center"/>
        </w:trPr>
        <w:tc>
          <w:tcPr>
            <w:tcW w:w="2900" w:type="dxa"/>
            <w:tcBorders>
              <w:top w:val="single" w:sz="24"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4A817D78"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Grupos electrógenos diésel</w:t>
            </w:r>
          </w:p>
        </w:tc>
        <w:tc>
          <w:tcPr>
            <w:tcW w:w="18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64B7500A" w14:textId="77777777" w:rsidR="00EE49CC" w:rsidRPr="009041D4" w:rsidRDefault="00EE49CC" w:rsidP="00D94D81">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24</w:t>
            </w:r>
          </w:p>
        </w:tc>
        <w:tc>
          <w:tcPr>
            <w:tcW w:w="19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67867B9A" w14:textId="77777777" w:rsidR="00EE49CC" w:rsidRPr="009041D4" w:rsidRDefault="00EE49CC" w:rsidP="00D94D81">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48</w:t>
            </w:r>
          </w:p>
        </w:tc>
      </w:tr>
      <w:tr w:rsidR="00EE49CC" w:rsidRPr="009041D4" w14:paraId="4429B562" w14:textId="77777777" w:rsidTr="00D94D81">
        <w:trPr>
          <w:trHeight w:val="197"/>
          <w:jc w:val="center"/>
        </w:trPr>
        <w:tc>
          <w:tcPr>
            <w:tcW w:w="2900" w:type="dxa"/>
            <w:tcBorders>
              <w:top w:val="single" w:sz="8"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2712CB6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Baterías de respaldo</w:t>
            </w:r>
          </w:p>
        </w:tc>
        <w:tc>
          <w:tcPr>
            <w:tcW w:w="18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1712A409" w14:textId="77777777" w:rsidR="00EE49CC" w:rsidRPr="009041D4" w:rsidRDefault="00EE49CC" w:rsidP="00D94D81">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4</w:t>
            </w:r>
          </w:p>
        </w:tc>
        <w:tc>
          <w:tcPr>
            <w:tcW w:w="19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412BB0C8" w14:textId="77777777" w:rsidR="00EE49CC" w:rsidRPr="009041D4" w:rsidRDefault="00EE49CC" w:rsidP="00D94D81">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8</w:t>
            </w:r>
          </w:p>
        </w:tc>
      </w:tr>
    </w:tbl>
    <w:p w14:paraId="0F204A72" w14:textId="55CFBB18" w:rsidR="00EE49CC" w:rsidRPr="009041D4" w:rsidRDefault="00EE49CC" w:rsidP="00EE49CC">
      <w:pPr>
        <w:spacing w:after="0"/>
        <w:ind w:left="1276"/>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3C33AC" w:rsidRPr="009041D4">
        <w:rPr>
          <w:rFonts w:ascii="Arial" w:eastAsia="Times New Roman" w:hAnsi="Arial" w:cs="Arial"/>
          <w:sz w:val="18"/>
          <w:szCs w:val="18"/>
          <w:lang w:eastAsia="es-ES"/>
        </w:rPr>
        <w:t>18</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Fuente de energía de respaldo.</w:t>
      </w:r>
    </w:p>
    <w:p w14:paraId="64D4A2B8" w14:textId="77777777" w:rsidR="00EE49CC" w:rsidRPr="009041D4" w:rsidRDefault="00EE49CC" w:rsidP="00EE49CC">
      <w:pPr>
        <w:spacing w:after="0"/>
        <w:jc w:val="both"/>
        <w:rPr>
          <w:rFonts w:ascii="Arial" w:eastAsia="Times New Roman" w:hAnsi="Arial" w:cs="Arial"/>
          <w:lang w:eastAsia="es-ES"/>
        </w:rPr>
      </w:pPr>
    </w:p>
    <w:p w14:paraId="4C736C99"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0319F7D0" w14:textId="77777777" w:rsidR="00EE49CC" w:rsidRPr="009041D4" w:rsidRDefault="00EE49CC" w:rsidP="00EE49CC">
      <w:pPr>
        <w:spacing w:after="0"/>
        <w:jc w:val="both"/>
        <w:rPr>
          <w:rFonts w:ascii="Arial" w:eastAsia="Times New Roman" w:hAnsi="Arial" w:cs="Arial"/>
          <w:lang w:eastAsia="es-ES"/>
        </w:rPr>
      </w:pPr>
    </w:p>
    <w:p w14:paraId="16448BF4"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lastRenderedPageBreak/>
        <w:t>Para el respaldo por medio del banco de baterías, se considera un banco de 33 baterías con capacidad de 2KW cada una, para proveer un respaldo de hasta 67 KW.</w:t>
      </w:r>
    </w:p>
    <w:p w14:paraId="5EB9DB9E" w14:textId="77777777" w:rsidR="00EE49CC" w:rsidRPr="009041D4" w:rsidRDefault="00EE49CC" w:rsidP="00EE49CC">
      <w:pPr>
        <w:spacing w:after="0"/>
        <w:jc w:val="both"/>
        <w:rPr>
          <w:rFonts w:ascii="Arial" w:eastAsia="Times New Roman" w:hAnsi="Arial" w:cs="Arial"/>
          <w:lang w:eastAsia="es-ES"/>
        </w:rPr>
      </w:pPr>
    </w:p>
    <w:p w14:paraId="1B2B3449"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La planta de aire acondicionado se dimensiona en función de la demanda efectiva de los operadores. El suministro de aire acondicionado, utilizando un equipo ya existente con capacidad o un equipo nuevo, es un servicio opcional.</w:t>
      </w:r>
    </w:p>
    <w:p w14:paraId="63819FF8" w14:textId="77777777" w:rsidR="00EE49CC" w:rsidRPr="009041D4" w:rsidRDefault="00EE49CC" w:rsidP="00EE49CC">
      <w:pPr>
        <w:spacing w:after="0"/>
        <w:jc w:val="both"/>
        <w:rPr>
          <w:rFonts w:ascii="Arial" w:eastAsia="Times New Roman" w:hAnsi="Arial" w:cs="Arial"/>
          <w:lang w:eastAsia="es-ES"/>
        </w:rPr>
      </w:pPr>
    </w:p>
    <w:p w14:paraId="7EE2E9EC"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Como se trata de un modelo ascendente (</w:t>
      </w:r>
      <w:r w:rsidRPr="009041D4">
        <w:rPr>
          <w:rFonts w:ascii="Arial" w:hAnsi="Arial" w:cs="Arial"/>
        </w:rPr>
        <w:t>bottom-up</w:t>
      </w:r>
      <w:r w:rsidRPr="009041D4">
        <w:rPr>
          <w:rFonts w:ascii="Arial" w:eastAsia="Times New Roman" w:hAnsi="Arial"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6234F419" w14:textId="77777777" w:rsidR="00EE49CC" w:rsidRPr="009041D4" w:rsidRDefault="00EE49CC" w:rsidP="00EE49CC">
      <w:pPr>
        <w:spacing w:after="0"/>
        <w:jc w:val="both"/>
        <w:rPr>
          <w:rFonts w:ascii="Arial" w:eastAsia="Times New Roman" w:hAnsi="Arial" w:cs="Arial"/>
          <w:lang w:eastAsia="es-ES"/>
        </w:rPr>
      </w:pPr>
    </w:p>
    <w:p w14:paraId="24855C8B"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el modelo se asume que, en cada sala de la central, el 5% del espacio es ocupado por equipos de clima.</w:t>
      </w:r>
    </w:p>
    <w:p w14:paraId="2B3C04D5" w14:textId="77777777" w:rsidR="00EE49CC" w:rsidRPr="009041D4" w:rsidRDefault="00EE49CC" w:rsidP="00EE49CC">
      <w:pPr>
        <w:spacing w:after="0"/>
        <w:jc w:val="both"/>
        <w:rPr>
          <w:rFonts w:ascii="Arial" w:eastAsia="Times New Roman" w:hAnsi="Arial" w:cs="Arial"/>
          <w:lang w:eastAsia="es-ES"/>
        </w:rPr>
      </w:pPr>
    </w:p>
    <w:p w14:paraId="38922C08" w14:textId="77777777" w:rsidR="00EE49CC" w:rsidRPr="009041D4" w:rsidRDefault="00EE49CC" w:rsidP="00EE49CC">
      <w:pPr>
        <w:spacing w:after="0"/>
        <w:jc w:val="both"/>
        <w:rPr>
          <w:rFonts w:ascii="Arial" w:eastAsia="Times New Roman" w:hAnsi="Arial" w:cs="Arial"/>
          <w:b/>
          <w:i/>
          <w:lang w:eastAsia="es-ES"/>
        </w:rPr>
      </w:pPr>
      <w:r w:rsidRPr="009041D4">
        <w:rPr>
          <w:rFonts w:ascii="Arial" w:eastAsia="Times New Roman" w:hAnsi="Arial" w:cs="Arial"/>
          <w:b/>
          <w:i/>
          <w:lang w:eastAsia="es-ES"/>
        </w:rPr>
        <w:t>Recuperación de costos</w:t>
      </w:r>
    </w:p>
    <w:p w14:paraId="5AB001C7" w14:textId="77777777" w:rsidR="00EE49CC" w:rsidRPr="009041D4" w:rsidRDefault="00EE49CC" w:rsidP="00EE49CC">
      <w:pPr>
        <w:spacing w:after="0"/>
        <w:jc w:val="both"/>
        <w:rPr>
          <w:rFonts w:ascii="Arial" w:eastAsia="Times New Roman" w:hAnsi="Arial" w:cs="Arial"/>
          <w:lang w:eastAsia="es-ES"/>
        </w:rPr>
      </w:pPr>
    </w:p>
    <w:p w14:paraId="2D410516"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El modelo utiliza costos corrientes y una recuperación de los costos con anualidad. </w:t>
      </w:r>
    </w:p>
    <w:p w14:paraId="326CF602" w14:textId="77777777" w:rsidR="00EE49CC" w:rsidRPr="009041D4" w:rsidRDefault="00EE49CC" w:rsidP="00EE49CC">
      <w:pPr>
        <w:spacing w:after="0"/>
        <w:jc w:val="both"/>
        <w:rPr>
          <w:rFonts w:ascii="Arial" w:eastAsia="Times New Roman" w:hAnsi="Arial" w:cs="Arial"/>
          <w:lang w:eastAsia="es-ES"/>
        </w:rPr>
      </w:pPr>
    </w:p>
    <w:p w14:paraId="19267C7A"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Para el costeo se utiliza el enfoque ascendente y de largo plazo, por lo tanto, se utilizan costos de Activos Modernos Equivalentes (MEA).</w:t>
      </w:r>
    </w:p>
    <w:p w14:paraId="74820E50" w14:textId="77777777" w:rsidR="00EE49CC" w:rsidRPr="009041D4" w:rsidRDefault="00EE49CC" w:rsidP="00EE49CC">
      <w:pPr>
        <w:spacing w:after="0"/>
        <w:jc w:val="both"/>
        <w:rPr>
          <w:rFonts w:ascii="Arial" w:eastAsia="Times New Roman" w:hAnsi="Arial" w:cs="Arial"/>
          <w:lang w:eastAsia="es-ES"/>
        </w:rPr>
      </w:pPr>
    </w:p>
    <w:p w14:paraId="3C6C0388"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16D0449C" w14:textId="77777777" w:rsidR="00EE49CC" w:rsidRPr="009041D4" w:rsidRDefault="00EE49CC" w:rsidP="00EE49CC">
      <w:pPr>
        <w:spacing w:after="0"/>
        <w:jc w:val="both"/>
        <w:rPr>
          <w:rFonts w:ascii="Arial" w:eastAsia="Times New Roman" w:hAnsi="Arial" w:cs="Arial"/>
          <w:lang w:eastAsia="es-ES"/>
        </w:rPr>
      </w:pPr>
    </w:p>
    <w:p w14:paraId="4EE4E418"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Asimismo, se consideran los siguientes costos operativos (opex): costos de alquiler y costos de mantenimiento de las centrales.</w:t>
      </w:r>
    </w:p>
    <w:p w14:paraId="3E0F5B3D" w14:textId="77777777" w:rsidR="00EE49CC" w:rsidRPr="009041D4" w:rsidRDefault="00EE49CC" w:rsidP="00EE49CC">
      <w:pPr>
        <w:spacing w:after="0"/>
        <w:jc w:val="both"/>
        <w:rPr>
          <w:rFonts w:ascii="Arial" w:eastAsia="Times New Roman" w:hAnsi="Arial" w:cs="Arial"/>
          <w:lang w:eastAsia="es-ES"/>
        </w:rPr>
      </w:pPr>
    </w:p>
    <w:tbl>
      <w:tblPr>
        <w:tblW w:w="8779" w:type="dxa"/>
        <w:tblCellMar>
          <w:left w:w="0" w:type="dxa"/>
          <w:right w:w="0" w:type="dxa"/>
        </w:tblCellMar>
        <w:tblLook w:val="0420" w:firstRow="1" w:lastRow="0" w:firstColumn="0" w:lastColumn="0" w:noHBand="0" w:noVBand="1"/>
      </w:tblPr>
      <w:tblGrid>
        <w:gridCol w:w="2400"/>
        <w:gridCol w:w="3402"/>
        <w:gridCol w:w="2977"/>
      </w:tblGrid>
      <w:tr w:rsidR="00EE49CC" w:rsidRPr="009041D4" w14:paraId="16FB8429" w14:textId="77777777" w:rsidTr="00D94D81">
        <w:trPr>
          <w:trHeight w:val="413"/>
        </w:trPr>
        <w:tc>
          <w:tcPr>
            <w:tcW w:w="2400"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6E2C09ED"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Activo</w:t>
            </w:r>
          </w:p>
        </w:tc>
        <w:tc>
          <w:tcPr>
            <w:tcW w:w="3402"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2A85AFFA"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Capex</w:t>
            </w:r>
          </w:p>
        </w:tc>
        <w:tc>
          <w:tcPr>
            <w:tcW w:w="2977"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65BCCC6E" w14:textId="77777777" w:rsidR="00EE49CC" w:rsidRPr="009041D4" w:rsidRDefault="00EE49CC" w:rsidP="00D94D81">
            <w:pPr>
              <w:spacing w:after="0"/>
              <w:jc w:val="both"/>
              <w:rPr>
                <w:rFonts w:ascii="Arial" w:hAnsi="Arial" w:cs="Arial"/>
                <w:sz w:val="18"/>
                <w:szCs w:val="18"/>
              </w:rPr>
            </w:pPr>
            <w:r w:rsidRPr="009041D4">
              <w:rPr>
                <w:rFonts w:ascii="Arial" w:hAnsi="Arial" w:cs="Arial"/>
                <w:b/>
                <w:sz w:val="18"/>
                <w:szCs w:val="18"/>
                <w:lang w:val="es-ES_tradnl"/>
              </w:rPr>
              <w:t>Opex</w:t>
            </w:r>
          </w:p>
        </w:tc>
      </w:tr>
      <w:tr w:rsidR="00EE49CC" w:rsidRPr="009041D4" w14:paraId="3E73CF8A" w14:textId="77777777" w:rsidTr="00D94D81">
        <w:trPr>
          <w:trHeight w:val="413"/>
        </w:trPr>
        <w:tc>
          <w:tcPr>
            <w:tcW w:w="2400"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4A09D776" w14:textId="77777777" w:rsidR="00EE49CC" w:rsidRPr="009041D4" w:rsidRDefault="00EE49CC" w:rsidP="00D94D81">
            <w:pPr>
              <w:spacing w:after="0"/>
              <w:jc w:val="both"/>
              <w:rPr>
                <w:rFonts w:ascii="Arial" w:eastAsia="Times New Roman" w:hAnsi="Arial" w:cs="Arial"/>
                <w:sz w:val="18"/>
                <w:szCs w:val="18"/>
                <w:lang w:eastAsia="es-ES"/>
              </w:rPr>
            </w:pPr>
          </w:p>
        </w:tc>
        <w:tc>
          <w:tcPr>
            <w:tcW w:w="3402"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769B970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b/>
                <w:bCs/>
                <w:i/>
                <w:iCs/>
                <w:sz w:val="18"/>
                <w:szCs w:val="18"/>
                <w:lang w:val="es-ES_tradnl" w:eastAsia="es-ES"/>
              </w:rPr>
              <w:t>Rubro</w:t>
            </w:r>
          </w:p>
        </w:tc>
        <w:tc>
          <w:tcPr>
            <w:tcW w:w="2977"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49FE5E48"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b/>
                <w:bCs/>
                <w:i/>
                <w:iCs/>
                <w:sz w:val="18"/>
                <w:szCs w:val="18"/>
                <w:lang w:val="es-ES_tradnl" w:eastAsia="es-ES"/>
              </w:rPr>
              <w:t>Rubro</w:t>
            </w:r>
          </w:p>
        </w:tc>
      </w:tr>
      <w:tr w:rsidR="00EE49CC" w:rsidRPr="009041D4" w14:paraId="4502F222" w14:textId="77777777" w:rsidTr="00D94D81">
        <w:trPr>
          <w:trHeight w:val="413"/>
        </w:trPr>
        <w:tc>
          <w:tcPr>
            <w:tcW w:w="2400" w:type="dxa"/>
            <w:vMerge w:val="restart"/>
            <w:tcBorders>
              <w:top w:val="single" w:sz="2"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7BEDC3B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Predio</w:t>
            </w:r>
          </w:p>
        </w:tc>
        <w:tc>
          <w:tcPr>
            <w:tcW w:w="3402"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B7B04F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Obras civiles de adecuación</w:t>
            </w:r>
          </w:p>
        </w:tc>
        <w:tc>
          <w:tcPr>
            <w:tcW w:w="2977"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97B94A8"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5BD47D1C" w14:textId="77777777" w:rsidTr="00D94D81">
        <w:trPr>
          <w:trHeight w:val="413"/>
        </w:trPr>
        <w:tc>
          <w:tcPr>
            <w:tcW w:w="2400" w:type="dxa"/>
            <w:vMerge/>
            <w:tcBorders>
              <w:top w:val="single" w:sz="18" w:space="0" w:color="FFFFFF"/>
              <w:left w:val="single" w:sz="8" w:space="0" w:color="FFFFFF"/>
              <w:bottom w:val="single" w:sz="8" w:space="0" w:color="FFFFFF"/>
              <w:right w:val="single" w:sz="8" w:space="0" w:color="FFFFFF"/>
            </w:tcBorders>
            <w:vAlign w:val="center"/>
            <w:hideMark/>
          </w:tcPr>
          <w:p w14:paraId="1D0FDAEB" w14:textId="77777777" w:rsidR="00EE49CC" w:rsidRPr="009041D4" w:rsidRDefault="00EE49CC" w:rsidP="00D94D81">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044E37AD"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Adquisición</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7BA9434"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Alquiler</w:t>
            </w:r>
          </w:p>
        </w:tc>
      </w:tr>
      <w:tr w:rsidR="00EE49CC" w:rsidRPr="009041D4" w14:paraId="16A5F7BD" w14:textId="77777777" w:rsidTr="00D94D81">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01D07C6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Central del PH</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64258F6"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A5B966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4A97D952" w14:textId="77777777" w:rsidTr="00D94D81">
        <w:trPr>
          <w:trHeight w:val="25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781DCCF9" w14:textId="77777777" w:rsidR="00EE49CC" w:rsidRPr="009041D4" w:rsidRDefault="00EE49CC" w:rsidP="00D94D81">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A4D58F4" w14:textId="77777777" w:rsidR="00EE49CC" w:rsidRPr="009041D4" w:rsidRDefault="00EE49CC" w:rsidP="00D94D81">
            <w:pPr>
              <w:spacing w:after="0"/>
              <w:jc w:val="both"/>
              <w:rPr>
                <w:rFonts w:ascii="Arial" w:eastAsia="Times New Roman" w:hAnsi="Arial"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45A6314"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Alquiler</w:t>
            </w:r>
          </w:p>
        </w:tc>
      </w:tr>
      <w:tr w:rsidR="00EE49CC" w:rsidRPr="009041D4" w14:paraId="69C02C88" w14:textId="77777777" w:rsidTr="00D94D81">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E78FDB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coubicación externa</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42AA815E"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231C0DA"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58403062" w14:textId="77777777" w:rsidTr="00D94D81">
        <w:trPr>
          <w:trHeight w:val="36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0C79463C" w14:textId="77777777" w:rsidR="00EE49CC" w:rsidRPr="009041D4" w:rsidRDefault="00EE49CC" w:rsidP="00D94D81">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38823B2" w14:textId="77777777" w:rsidR="00EE49CC" w:rsidRPr="009041D4" w:rsidRDefault="00EE49CC" w:rsidP="00D94D81">
            <w:pPr>
              <w:spacing w:after="0"/>
              <w:jc w:val="both"/>
              <w:rPr>
                <w:rFonts w:ascii="Arial" w:eastAsia="Times New Roman" w:hAnsi="Arial"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38CE2A7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Alquiler</w:t>
            </w:r>
          </w:p>
        </w:tc>
      </w:tr>
      <w:tr w:rsidR="00EE49CC" w:rsidRPr="009041D4" w14:paraId="22AD3F32" w14:textId="77777777" w:rsidTr="00D94D81">
        <w:trPr>
          <w:trHeight w:val="723"/>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18D03E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lastRenderedPageBreak/>
              <w:t>Subestación eléctrica (AC 127V o DC 48V)</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9DCA39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07DBC4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4992D3A7" w14:textId="77777777" w:rsidTr="00D94D81">
        <w:trPr>
          <w:trHeight w:val="878"/>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6B5E329C"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Fuente de energía de respaldo (generador y baterías)**</w:t>
            </w: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17C87586"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00514A0F"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w:t>
            </w:r>
          </w:p>
        </w:tc>
      </w:tr>
      <w:tr w:rsidR="00EE49CC" w:rsidRPr="009041D4" w14:paraId="55209CEB" w14:textId="77777777" w:rsidTr="00D94D81">
        <w:trPr>
          <w:trHeight w:val="251"/>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0CE7BF9"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Aire acondicionado</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C76BA34"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1D21FF3" w14:textId="77777777" w:rsidR="00EE49CC" w:rsidRPr="009041D4" w:rsidRDefault="00EE49CC" w:rsidP="00D94D81">
            <w:pPr>
              <w:spacing w:after="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Mantenimiento y energía</w:t>
            </w:r>
          </w:p>
        </w:tc>
      </w:tr>
    </w:tbl>
    <w:p w14:paraId="5F30D5EF" w14:textId="23EE3416"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Tabla 1</w:t>
      </w:r>
      <w:r w:rsidR="003C33AC" w:rsidRPr="009041D4">
        <w:rPr>
          <w:rFonts w:ascii="Arial" w:eastAsia="Times New Roman" w:hAnsi="Arial" w:cs="Arial"/>
          <w:sz w:val="18"/>
          <w:szCs w:val="18"/>
          <w:lang w:eastAsia="es-ES"/>
        </w:rPr>
        <w:t>9</w:t>
      </w:r>
      <w:r w:rsidR="001C7668"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Principales conceptos de capex y opex por activo.</w:t>
      </w:r>
    </w:p>
    <w:p w14:paraId="6F8C279C" w14:textId="77777777" w:rsidR="00EE49CC" w:rsidRPr="009041D4" w:rsidRDefault="00EE49CC" w:rsidP="00EE49CC">
      <w:pPr>
        <w:spacing w:after="0"/>
        <w:jc w:val="both"/>
        <w:rPr>
          <w:rFonts w:ascii="Arial" w:eastAsia="Times New Roman" w:hAnsi="Arial" w:cs="Arial"/>
          <w:lang w:eastAsia="es-ES"/>
        </w:rPr>
      </w:pPr>
    </w:p>
    <w:p w14:paraId="6ED87A30"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Para la recuperación de los costos se implementa una anualidad (</w:t>
      </w:r>
      <w:r w:rsidRPr="009041D4">
        <w:rPr>
          <w:rFonts w:ascii="Arial" w:hAnsi="Arial" w:cs="Arial"/>
        </w:rPr>
        <w:t>annuity</w:t>
      </w:r>
      <w:r w:rsidRPr="009041D4">
        <w:rPr>
          <w:rFonts w:ascii="Arial" w:eastAsia="Times New Roman" w:hAnsi="Arial" w:cs="Arial"/>
          <w:lang w:eastAsia="es-ES"/>
        </w:rPr>
        <w:t>), considerando perfiles de vidas útiles contables.</w:t>
      </w:r>
    </w:p>
    <w:p w14:paraId="01D480A6" w14:textId="77777777" w:rsidR="00EE49CC" w:rsidRPr="009041D4" w:rsidRDefault="00EE49CC" w:rsidP="00EE49CC">
      <w:pPr>
        <w:spacing w:after="0"/>
        <w:jc w:val="both"/>
        <w:rPr>
          <w:rFonts w:ascii="Arial" w:eastAsia="Times New Roman" w:hAnsi="Arial" w:cs="Arial"/>
          <w:lang w:eastAsia="es-ES"/>
        </w:rPr>
      </w:pPr>
    </w:p>
    <w:p w14:paraId="5058017F" w14:textId="77777777" w:rsidR="00EE49CC" w:rsidRPr="009041D4" w:rsidRDefault="00EE49CC" w:rsidP="00EE49CC">
      <w:pPr>
        <w:spacing w:after="0"/>
        <w:jc w:val="both"/>
        <w:rPr>
          <w:rFonts w:ascii="Arial" w:eastAsia="Times New Roman" w:hAnsi="Arial" w:cs="Arial"/>
          <w:lang w:val="es-ES" w:eastAsia="es-ES"/>
        </w:rPr>
      </w:pPr>
      <w:r w:rsidRPr="009041D4">
        <w:rPr>
          <w:rFonts w:ascii="Arial" w:eastAsia="Times New Roman" w:hAnsi="Arial" w:cs="Arial"/>
          <w:lang w:eastAsia="es-ES"/>
        </w:rPr>
        <w:t xml:space="preserve">El modelo debe incluir un retorno razonable sobre los activos, de conformidad con el Lineamiento Noveno de la Metodología de Costos, este será determinado a través del costo de capital promedio ponderado (CCPP). </w:t>
      </w:r>
      <w:r w:rsidRPr="009041D4">
        <w:rPr>
          <w:rFonts w:ascii="Arial" w:eastAsia="Times New Roman" w:hAnsi="Arial" w:cs="Arial"/>
          <w:lang w:val="es-ES" w:eastAsia="es-ES"/>
        </w:rPr>
        <w:t>El Costo de Capital Promedio Ponderado es el calculado en los modelos de costos de servicios de conmutados de interconexión.</w:t>
      </w:r>
    </w:p>
    <w:p w14:paraId="5B3E50E2" w14:textId="77777777" w:rsidR="00EE49CC" w:rsidRPr="009041D4" w:rsidRDefault="00EE49CC" w:rsidP="00EE49CC">
      <w:pPr>
        <w:spacing w:after="0"/>
        <w:jc w:val="both"/>
        <w:rPr>
          <w:rFonts w:ascii="Arial" w:eastAsia="Times New Roman" w:hAnsi="Arial" w:cs="Arial"/>
          <w:lang w:eastAsia="es-ES"/>
        </w:rPr>
      </w:pPr>
    </w:p>
    <w:p w14:paraId="00B1E697" w14:textId="77777777" w:rsidR="00EE49CC" w:rsidRPr="009041D4" w:rsidRDefault="00EE49CC" w:rsidP="00EE49CC">
      <w:pPr>
        <w:spacing w:after="0"/>
        <w:jc w:val="both"/>
        <w:rPr>
          <w:rFonts w:ascii="Arial" w:eastAsia="Times New Roman" w:hAnsi="Arial" w:cs="Arial"/>
          <w:b/>
          <w:i/>
          <w:lang w:eastAsia="es-ES"/>
        </w:rPr>
      </w:pPr>
      <w:r w:rsidRPr="009041D4">
        <w:rPr>
          <w:rFonts w:ascii="Arial" w:eastAsia="Times New Roman" w:hAnsi="Arial" w:cs="Arial"/>
          <w:b/>
          <w:i/>
          <w:lang w:eastAsia="es-ES"/>
        </w:rPr>
        <w:t>Asignación de costos</w:t>
      </w:r>
    </w:p>
    <w:p w14:paraId="43E7E554" w14:textId="77777777" w:rsidR="00EE49CC" w:rsidRPr="009041D4" w:rsidRDefault="00EE49CC" w:rsidP="00EE49CC">
      <w:pPr>
        <w:spacing w:after="0"/>
        <w:jc w:val="both"/>
        <w:rPr>
          <w:rFonts w:ascii="Arial" w:eastAsia="Times New Roman" w:hAnsi="Arial" w:cs="Arial"/>
          <w:lang w:eastAsia="es-ES"/>
        </w:rPr>
      </w:pPr>
    </w:p>
    <w:p w14:paraId="3255A361"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 xml:space="preserve">En el Módulo de Precio se asignan los costos a los distintos activos y elementos de red en base a una serie de criterios claramente definidos, los cuales constituyen los </w:t>
      </w:r>
      <w:r w:rsidRPr="009041D4">
        <w:rPr>
          <w:rFonts w:ascii="Arial" w:hAnsi="Arial" w:cs="Arial"/>
        </w:rPr>
        <w:t>drivers</w:t>
      </w:r>
      <w:r w:rsidRPr="009041D4">
        <w:rPr>
          <w:rFonts w:ascii="Arial" w:eastAsia="Times New Roman" w:hAnsi="Arial" w:cs="Arial"/>
          <w:lang w:eastAsia="es-ES"/>
        </w:rPr>
        <w:t xml:space="preserve"> de asignación de costos para cada activo/elemento de red, principalmente se consideran los siguientes puntos:</w:t>
      </w:r>
    </w:p>
    <w:p w14:paraId="1A6999B5" w14:textId="77777777" w:rsidR="00EE49CC" w:rsidRPr="009041D4" w:rsidRDefault="00EE49CC" w:rsidP="00EE49CC">
      <w:pPr>
        <w:spacing w:after="0"/>
        <w:jc w:val="both"/>
        <w:rPr>
          <w:rFonts w:ascii="Arial" w:eastAsia="Times New Roman" w:hAnsi="Arial" w:cs="Arial"/>
          <w:lang w:eastAsia="es-ES"/>
        </w:rPr>
      </w:pPr>
    </w:p>
    <w:p w14:paraId="603A6395" w14:textId="77777777" w:rsidR="00EE49CC" w:rsidRPr="009041D4" w:rsidRDefault="00EE49CC" w:rsidP="00EE49CC">
      <w:pPr>
        <w:numPr>
          <w:ilvl w:val="0"/>
          <w:numId w:val="45"/>
        </w:numPr>
        <w:tabs>
          <w:tab w:val="clear" w:pos="720"/>
          <w:tab w:val="num" w:pos="360"/>
          <w:tab w:val="num" w:pos="426"/>
        </w:tabs>
        <w:spacing w:after="0"/>
        <w:ind w:left="426" w:hanging="426"/>
        <w:jc w:val="both"/>
        <w:rPr>
          <w:rFonts w:ascii="Arial" w:eastAsia="Times New Roman" w:hAnsi="Arial" w:cs="Arial"/>
          <w:szCs w:val="24"/>
          <w:lang w:eastAsia="es-ES"/>
        </w:rPr>
      </w:pPr>
      <w:r w:rsidRPr="009041D4">
        <w:rPr>
          <w:rFonts w:ascii="Arial" w:eastAsia="Times New Roman" w:hAnsi="Arial" w:cs="Arial"/>
          <w:b/>
          <w:szCs w:val="24"/>
          <w:lang w:eastAsia="es-ES"/>
        </w:rPr>
        <w:t>Asignación de los costos del predio:</w:t>
      </w:r>
      <w:r w:rsidRPr="009041D4">
        <w:rPr>
          <w:rFonts w:ascii="Arial" w:eastAsia="Times New Roman" w:hAnsi="Arial" w:cs="Arial"/>
          <w:szCs w:val="24"/>
          <w:lang w:eastAsia="es-ES"/>
        </w:rPr>
        <w:t xml:space="preserve"> estos costos se reparten de manera proporcional al espacio horizontal ocupado por los operadores considerando el espacio requerido en la central del PH y en la sala de coubicación exterior.</w:t>
      </w:r>
    </w:p>
    <w:p w14:paraId="3B0B3920" w14:textId="77777777" w:rsidR="00EE49CC" w:rsidRPr="009041D4" w:rsidRDefault="00EE49CC" w:rsidP="00EE49CC">
      <w:pPr>
        <w:spacing w:after="0"/>
        <w:ind w:left="720"/>
        <w:jc w:val="both"/>
        <w:rPr>
          <w:rFonts w:ascii="Arial" w:eastAsia="Times New Roman" w:hAnsi="Arial" w:cs="Arial"/>
          <w:szCs w:val="24"/>
          <w:lang w:eastAsia="es-ES"/>
        </w:rPr>
      </w:pPr>
    </w:p>
    <w:p w14:paraId="389B4CFA" w14:textId="77777777" w:rsidR="00EE49CC" w:rsidRPr="009041D4" w:rsidRDefault="00EE49CC" w:rsidP="00EE49CC">
      <w:pPr>
        <w:spacing w:after="0"/>
        <w:ind w:left="426"/>
        <w:jc w:val="both"/>
        <w:rPr>
          <w:rFonts w:ascii="Arial" w:eastAsia="Times New Roman" w:hAnsi="Arial" w:cs="Arial"/>
          <w:lang w:eastAsia="es-ES"/>
        </w:rPr>
      </w:pPr>
      <w:r w:rsidRPr="009041D4">
        <w:rPr>
          <w:rFonts w:ascii="Arial" w:eastAsia="Times New Roman" w:hAnsi="Arial" w:cs="Arial"/>
          <w:lang w:eastAsia="es-ES"/>
        </w:rPr>
        <w:t>El área no construida libre se asigna en función del espacio funcional</w:t>
      </w:r>
      <w:r w:rsidRPr="009041D4">
        <w:rPr>
          <w:rFonts w:ascii="Arial" w:eastAsia="Times New Roman" w:hAnsi="Arial" w:cs="Arial"/>
          <w:vertAlign w:val="superscript"/>
          <w:lang w:eastAsia="es-ES"/>
        </w:rPr>
        <w:footnoteReference w:id="57"/>
      </w:r>
      <w:r w:rsidRPr="009041D4">
        <w:rPr>
          <w:rFonts w:ascii="Arial" w:eastAsia="Times New Roman" w:hAnsi="Arial" w:cs="Arial"/>
          <w:lang w:eastAsia="es-ES"/>
        </w:rPr>
        <w:t xml:space="preserve"> utilizado por cada operador; adicionalmente, el modelo permite asignar el costo total de este espacio al PH.</w:t>
      </w:r>
    </w:p>
    <w:p w14:paraId="38E4F02F" w14:textId="77777777" w:rsidR="00EE49CC" w:rsidRPr="009041D4" w:rsidRDefault="00EE49CC" w:rsidP="00EE49CC">
      <w:pPr>
        <w:spacing w:after="0"/>
        <w:ind w:left="709"/>
        <w:jc w:val="both"/>
        <w:rPr>
          <w:rFonts w:ascii="Arial" w:eastAsia="Times New Roman" w:hAnsi="Arial" w:cs="Arial"/>
          <w:lang w:eastAsia="es-ES"/>
        </w:rPr>
      </w:pPr>
    </w:p>
    <w:p w14:paraId="41DEFAFD" w14:textId="77777777" w:rsidR="00EE49CC" w:rsidRPr="009041D4" w:rsidRDefault="00EE49CC" w:rsidP="00EE49CC">
      <w:pPr>
        <w:numPr>
          <w:ilvl w:val="0"/>
          <w:numId w:val="45"/>
        </w:numPr>
        <w:tabs>
          <w:tab w:val="clear" w:pos="720"/>
          <w:tab w:val="num" w:pos="360"/>
          <w:tab w:val="num" w:pos="426"/>
        </w:tabs>
        <w:spacing w:after="0"/>
        <w:ind w:left="426" w:hanging="426"/>
        <w:jc w:val="both"/>
        <w:rPr>
          <w:rFonts w:ascii="Arial" w:eastAsia="Times New Roman" w:hAnsi="Arial" w:cs="Arial"/>
          <w:szCs w:val="24"/>
          <w:lang w:eastAsia="es-ES"/>
        </w:rPr>
      </w:pPr>
      <w:r w:rsidRPr="009041D4">
        <w:rPr>
          <w:rFonts w:ascii="Arial" w:eastAsia="Times New Roman" w:hAnsi="Arial" w:cs="Arial"/>
          <w:b/>
          <w:szCs w:val="24"/>
          <w:lang w:eastAsia="es-ES"/>
        </w:rPr>
        <w:t xml:space="preserve">Asignación de los costos de la central: </w:t>
      </w:r>
      <w:r w:rsidRPr="009041D4">
        <w:rPr>
          <w:rFonts w:ascii="Arial" w:eastAsia="Times New Roman" w:hAnsi="Arial" w:cs="Arial"/>
          <w:szCs w:val="24"/>
          <w:lang w:eastAsia="es-ES"/>
        </w:rPr>
        <w:t>se utilizan criterios de asignación diferentes según para qué se utilice la sala:</w:t>
      </w:r>
    </w:p>
    <w:p w14:paraId="224F936E" w14:textId="77777777" w:rsidR="00EE49CC" w:rsidRPr="009041D4" w:rsidRDefault="00EE49CC" w:rsidP="00EE49CC">
      <w:pPr>
        <w:spacing w:after="0" w:line="240" w:lineRule="auto"/>
        <w:ind w:left="720"/>
        <w:jc w:val="both"/>
        <w:rPr>
          <w:rFonts w:ascii="Arial" w:eastAsia="Times New Roman" w:hAnsi="Arial" w:cs="Arial"/>
          <w:szCs w:val="24"/>
          <w:lang w:eastAsia="es-ES"/>
        </w:rPr>
      </w:pPr>
    </w:p>
    <w:tbl>
      <w:tblPr>
        <w:tblW w:w="8921" w:type="dxa"/>
        <w:tblLayout w:type="fixed"/>
        <w:tblCellMar>
          <w:left w:w="0" w:type="dxa"/>
          <w:right w:w="0" w:type="dxa"/>
        </w:tblCellMar>
        <w:tblLook w:val="0420" w:firstRow="1" w:lastRow="0" w:firstColumn="0" w:lastColumn="0" w:noHBand="0" w:noVBand="1"/>
      </w:tblPr>
      <w:tblGrid>
        <w:gridCol w:w="1550"/>
        <w:gridCol w:w="1984"/>
        <w:gridCol w:w="2693"/>
        <w:gridCol w:w="2694"/>
      </w:tblGrid>
      <w:tr w:rsidR="00EE49CC" w:rsidRPr="009041D4" w14:paraId="57207DA7" w14:textId="77777777" w:rsidTr="00D94D81">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61D79C6E" w14:textId="77777777" w:rsidR="00EE49CC" w:rsidRPr="009041D4" w:rsidRDefault="00EE49CC" w:rsidP="00D94D81">
            <w:pPr>
              <w:spacing w:after="0" w:line="240" w:lineRule="auto"/>
              <w:ind w:left="77"/>
              <w:jc w:val="both"/>
              <w:rPr>
                <w:rFonts w:ascii="Arial" w:hAnsi="Arial" w:cs="Arial"/>
                <w:sz w:val="18"/>
                <w:szCs w:val="18"/>
              </w:rPr>
            </w:pPr>
            <w:r w:rsidRPr="009041D4">
              <w:rPr>
                <w:rFonts w:ascii="Arial" w:hAnsi="Arial" w:cs="Arial"/>
                <w:b/>
                <w:sz w:val="18"/>
                <w:szCs w:val="18"/>
                <w:lang w:val="es-ES_tradnl"/>
              </w:rPr>
              <w:t>Activo</w:t>
            </w:r>
          </w:p>
        </w:tc>
        <w:tc>
          <w:tcPr>
            <w:tcW w:w="198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27990E04" w14:textId="77777777" w:rsidR="00EE49CC" w:rsidRPr="009041D4" w:rsidRDefault="00EE49CC" w:rsidP="00D94D81">
            <w:pPr>
              <w:spacing w:after="0" w:line="240" w:lineRule="auto"/>
              <w:ind w:left="215"/>
              <w:jc w:val="both"/>
              <w:rPr>
                <w:rFonts w:ascii="Arial" w:hAnsi="Arial" w:cs="Arial"/>
                <w:sz w:val="18"/>
                <w:szCs w:val="18"/>
              </w:rPr>
            </w:pPr>
            <w:r w:rsidRPr="009041D4">
              <w:rPr>
                <w:rFonts w:ascii="Arial" w:hAnsi="Arial" w:cs="Arial"/>
                <w:b/>
                <w:sz w:val="18"/>
                <w:szCs w:val="18"/>
                <w:lang w:val="es-ES_tradnl"/>
              </w:rPr>
              <w:t>Sub-elemento</w:t>
            </w:r>
          </w:p>
        </w:tc>
        <w:tc>
          <w:tcPr>
            <w:tcW w:w="2693"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35BB7211" w14:textId="77777777" w:rsidR="00EE49CC" w:rsidRPr="009041D4" w:rsidRDefault="00EE49CC" w:rsidP="00D94D81">
            <w:pPr>
              <w:spacing w:after="0" w:line="240" w:lineRule="auto"/>
              <w:ind w:left="140"/>
              <w:jc w:val="center"/>
              <w:rPr>
                <w:rFonts w:ascii="Arial" w:hAnsi="Arial" w:cs="Arial"/>
                <w:sz w:val="18"/>
                <w:szCs w:val="18"/>
              </w:rPr>
            </w:pPr>
            <w:r w:rsidRPr="009041D4">
              <w:rPr>
                <w:rFonts w:ascii="Arial" w:hAnsi="Arial" w:cs="Arial"/>
                <w:b/>
                <w:sz w:val="18"/>
                <w:szCs w:val="18"/>
                <w:lang w:val="es-ES_tradnl"/>
              </w:rPr>
              <w:t>Servicio</w:t>
            </w:r>
          </w:p>
        </w:tc>
        <w:tc>
          <w:tcPr>
            <w:tcW w:w="269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7313BC02" w14:textId="77777777" w:rsidR="00EE49CC" w:rsidRPr="009041D4" w:rsidRDefault="00EE49CC" w:rsidP="00D94D81">
            <w:pPr>
              <w:spacing w:after="0" w:line="240" w:lineRule="auto"/>
              <w:ind w:left="10"/>
              <w:jc w:val="both"/>
              <w:rPr>
                <w:rFonts w:ascii="Arial" w:hAnsi="Arial" w:cs="Arial"/>
                <w:sz w:val="18"/>
                <w:szCs w:val="18"/>
              </w:rPr>
            </w:pPr>
            <w:r w:rsidRPr="009041D4">
              <w:rPr>
                <w:rFonts w:ascii="Arial" w:hAnsi="Arial" w:cs="Arial"/>
                <w:b/>
                <w:sz w:val="18"/>
                <w:szCs w:val="18"/>
                <w:lang w:val="es-ES_tradnl"/>
              </w:rPr>
              <w:t>Driver</w:t>
            </w:r>
          </w:p>
        </w:tc>
      </w:tr>
      <w:tr w:rsidR="00EE49CC" w:rsidRPr="009041D4" w14:paraId="0CCE622D" w14:textId="77777777" w:rsidTr="00D94D81">
        <w:trPr>
          <w:trHeight w:val="248"/>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14816349" w14:textId="77777777" w:rsidR="00EE49CC" w:rsidRPr="009041D4" w:rsidRDefault="00EE49CC" w:rsidP="00D94D81">
            <w:pPr>
              <w:spacing w:after="0" w:line="240" w:lineRule="auto"/>
              <w:ind w:left="7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Predio</w:t>
            </w:r>
          </w:p>
          <w:p w14:paraId="42CAA569" w14:textId="77777777" w:rsidR="00EE49CC" w:rsidRPr="009041D4" w:rsidRDefault="00EE49CC" w:rsidP="00D94D81">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3388854" w14:textId="77777777" w:rsidR="00EE49CC" w:rsidRPr="009041D4" w:rsidRDefault="00EE49CC" w:rsidP="00D94D81">
            <w:pPr>
              <w:spacing w:after="0" w:line="240" w:lineRule="auto"/>
              <w:ind w:left="83"/>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Área caseta central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AD300E4" w14:textId="77777777" w:rsidR="00EE49CC" w:rsidRPr="009041D4" w:rsidRDefault="00EE49CC" w:rsidP="00D94D81">
            <w:pPr>
              <w:spacing w:after="0" w:line="240" w:lineRule="auto"/>
              <w:ind w:left="83"/>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BD606C3" w14:textId="77777777" w:rsidR="00EE49CC" w:rsidRPr="009041D4" w:rsidRDefault="00EE49CC" w:rsidP="00D94D81">
            <w:pPr>
              <w:spacing w:after="0" w:line="240" w:lineRule="auto"/>
              <w:ind w:left="85"/>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funcional* utilizado por operador en la central</w:t>
            </w:r>
          </w:p>
        </w:tc>
      </w:tr>
      <w:tr w:rsidR="00EE49CC" w:rsidRPr="009041D4" w14:paraId="4BE22002" w14:textId="77777777" w:rsidTr="00D94D81">
        <w:trPr>
          <w:trHeight w:val="248"/>
        </w:trPr>
        <w:tc>
          <w:tcPr>
            <w:tcW w:w="1550" w:type="dxa"/>
            <w:vMerge/>
            <w:tcBorders>
              <w:left w:val="single" w:sz="8" w:space="0" w:color="FFFFFF"/>
              <w:bottom w:val="single" w:sz="8" w:space="0" w:color="FFFFFF"/>
              <w:right w:val="single" w:sz="8" w:space="0" w:color="FFFFFF"/>
            </w:tcBorders>
            <w:vAlign w:val="center"/>
            <w:hideMark/>
          </w:tcPr>
          <w:p w14:paraId="64990B39" w14:textId="77777777" w:rsidR="00EE49CC" w:rsidRPr="009041D4" w:rsidRDefault="00EE49CC" w:rsidP="00D94D81">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5E50705B" w14:textId="77777777" w:rsidR="00EE49CC" w:rsidRPr="009041D4" w:rsidRDefault="00EE49CC" w:rsidP="00D94D81">
            <w:pPr>
              <w:spacing w:after="0" w:line="240" w:lineRule="auto"/>
              <w:ind w:left="83"/>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Área sala coubicación externa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EF34D6A" w14:textId="77777777" w:rsidR="00EE49CC" w:rsidRPr="009041D4" w:rsidRDefault="00EE49CC" w:rsidP="00D94D81">
            <w:pPr>
              <w:spacing w:after="0" w:line="240" w:lineRule="auto"/>
              <w:ind w:left="83"/>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externa (CE)</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6EDCD19" w14:textId="77777777" w:rsidR="00EE49CC" w:rsidRPr="009041D4" w:rsidRDefault="00EE49CC" w:rsidP="00D94D81">
            <w:pPr>
              <w:spacing w:after="0" w:line="240" w:lineRule="auto"/>
              <w:ind w:left="85"/>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para CE por CS</w:t>
            </w:r>
          </w:p>
        </w:tc>
      </w:tr>
      <w:tr w:rsidR="00EE49CC" w:rsidRPr="009041D4" w14:paraId="6850FEE6" w14:textId="77777777" w:rsidTr="00D94D81">
        <w:trPr>
          <w:trHeight w:val="248"/>
        </w:trPr>
        <w:tc>
          <w:tcPr>
            <w:tcW w:w="1550" w:type="dxa"/>
            <w:vMerge/>
            <w:tcBorders>
              <w:left w:val="single" w:sz="8" w:space="0" w:color="FFFFFF"/>
              <w:bottom w:val="single" w:sz="8" w:space="0" w:color="FFFFFF"/>
              <w:right w:val="single" w:sz="8" w:space="0" w:color="FFFFFF"/>
            </w:tcBorders>
            <w:shd w:val="clear" w:color="auto" w:fill="C4D0E9"/>
            <w:vAlign w:val="center"/>
            <w:hideMark/>
          </w:tcPr>
          <w:p w14:paraId="3CF2C418" w14:textId="77777777" w:rsidR="00EE49CC" w:rsidRPr="009041D4" w:rsidRDefault="00EE49CC" w:rsidP="00D94D81">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8599E9D" w14:textId="77777777" w:rsidR="00EE49CC" w:rsidRPr="009041D4" w:rsidRDefault="00EE49CC" w:rsidP="00D94D81">
            <w:pPr>
              <w:spacing w:after="0" w:line="240" w:lineRule="auto"/>
              <w:ind w:left="83"/>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Área no construida / libre</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126DB55" w14:textId="77777777" w:rsidR="00EE49CC" w:rsidRPr="009041D4" w:rsidRDefault="00EE49CC" w:rsidP="00D94D81">
            <w:pPr>
              <w:spacing w:after="0" w:line="240" w:lineRule="auto"/>
              <w:ind w:left="83"/>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AB90DBE" w14:textId="77777777" w:rsidR="00EE49CC" w:rsidRPr="009041D4" w:rsidRDefault="00EE49CC" w:rsidP="00D94D81">
            <w:pPr>
              <w:spacing w:after="0" w:line="240" w:lineRule="auto"/>
              <w:ind w:left="85"/>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funcional* utilizado por operador. El modelo permite asignar el costo total de este elemento al PH</w:t>
            </w:r>
          </w:p>
        </w:tc>
      </w:tr>
      <w:tr w:rsidR="00EE49CC" w:rsidRPr="009041D4" w14:paraId="353505CA" w14:textId="77777777" w:rsidTr="00D94D81">
        <w:trPr>
          <w:trHeight w:val="248"/>
        </w:trPr>
        <w:tc>
          <w:tcPr>
            <w:tcW w:w="1550" w:type="dxa"/>
            <w:vMerge w:val="restart"/>
            <w:tcBorders>
              <w:top w:val="single" w:sz="8" w:space="0" w:color="FFFFFF"/>
              <w:left w:val="single" w:sz="8" w:space="0" w:color="FFFFFF"/>
              <w:right w:val="single" w:sz="8" w:space="0" w:color="FFFFFF"/>
            </w:tcBorders>
            <w:shd w:val="clear" w:color="auto" w:fill="C4D0E9"/>
            <w:vAlign w:val="center"/>
          </w:tcPr>
          <w:p w14:paraId="064FA556" w14:textId="77777777" w:rsidR="00EE49CC" w:rsidRPr="009041D4" w:rsidRDefault="00EE49CC" w:rsidP="00D94D81">
            <w:pPr>
              <w:spacing w:after="0"/>
              <w:ind w:left="75"/>
              <w:jc w:val="both"/>
              <w:rPr>
                <w:rFonts w:ascii="Arial" w:eastAsia="Times New Roman" w:hAnsi="Arial" w:cs="Arial"/>
                <w:sz w:val="18"/>
                <w:szCs w:val="18"/>
                <w:lang w:eastAsia="es-ES"/>
              </w:rPr>
            </w:pPr>
            <w:r w:rsidRPr="009041D4">
              <w:rPr>
                <w:rFonts w:ascii="Arial" w:eastAsia="Times New Roman" w:hAnsi="Arial" w:cs="Arial"/>
                <w:sz w:val="18"/>
                <w:szCs w:val="18"/>
                <w:lang w:eastAsia="es-ES"/>
              </w:rPr>
              <w:t>Central PH</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3886774F" w14:textId="77777777" w:rsidR="00EE49CC" w:rsidRPr="009041D4" w:rsidRDefault="00EE49CC" w:rsidP="00D94D81">
            <w:pPr>
              <w:spacing w:after="0" w:line="240" w:lineRule="auto"/>
              <w:ind w:left="83"/>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MDF/ODF PH</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99BEBD7" w14:textId="77777777" w:rsidR="00EE49CC" w:rsidRPr="009041D4" w:rsidRDefault="00EE49CC" w:rsidP="00D94D81">
            <w:pPr>
              <w:spacing w:after="0" w:line="240" w:lineRule="auto"/>
              <w:ind w:left="83"/>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Espacio dedicado y asignado en su totalidad al PH</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DB35E4A" w14:textId="77777777" w:rsidR="00EE49CC" w:rsidRPr="009041D4" w:rsidRDefault="00EE49CC" w:rsidP="00D94D81">
            <w:pPr>
              <w:spacing w:after="0" w:line="240" w:lineRule="auto"/>
              <w:ind w:left="85"/>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MDF/ODF PH</w:t>
            </w:r>
          </w:p>
        </w:tc>
      </w:tr>
      <w:tr w:rsidR="00EE49CC" w:rsidRPr="009041D4" w14:paraId="1CA8C96C" w14:textId="77777777" w:rsidTr="00D94D81">
        <w:trPr>
          <w:trHeight w:val="248"/>
        </w:trPr>
        <w:tc>
          <w:tcPr>
            <w:tcW w:w="1550" w:type="dxa"/>
            <w:vMerge/>
            <w:tcBorders>
              <w:left w:val="single" w:sz="8" w:space="0" w:color="FFFFFF"/>
              <w:right w:val="single" w:sz="8" w:space="0" w:color="FFFFFF"/>
            </w:tcBorders>
            <w:shd w:val="clear" w:color="auto" w:fill="C4D0E9"/>
            <w:vAlign w:val="center"/>
            <w:hideMark/>
          </w:tcPr>
          <w:p w14:paraId="4E2BE61B"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5277DD7" w14:textId="77777777" w:rsidR="00EE49CC" w:rsidRPr="009041D4" w:rsidRDefault="00EE49CC" w:rsidP="00D94D81">
            <w:pPr>
              <w:spacing w:after="0" w:line="240" w:lineRule="auto"/>
              <w:ind w:left="83"/>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coubicación CS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7136763" w14:textId="77777777" w:rsidR="00EE49CC" w:rsidRPr="009041D4" w:rsidRDefault="00EE49CC" w:rsidP="00D94D81">
            <w:pPr>
              <w:spacing w:after="0" w:line="240" w:lineRule="auto"/>
              <w:ind w:left="83"/>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interna (CI)</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E722958" w14:textId="77777777" w:rsidR="00EE49CC" w:rsidRPr="009041D4" w:rsidRDefault="00EE49CC" w:rsidP="00D94D81">
            <w:pPr>
              <w:spacing w:after="0" w:line="240" w:lineRule="auto"/>
              <w:ind w:left="85"/>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dedicado a los CS y asignado a cada CS según su demanda de espacio en CI</w:t>
            </w:r>
          </w:p>
        </w:tc>
      </w:tr>
      <w:tr w:rsidR="00EE49CC" w:rsidRPr="009041D4" w14:paraId="357EA454" w14:textId="77777777" w:rsidTr="00D94D81">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1243ED68"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52F778F6" w14:textId="77777777" w:rsidR="00EE49CC" w:rsidRPr="009041D4" w:rsidRDefault="00EE49CC" w:rsidP="00D94D81">
            <w:pPr>
              <w:spacing w:after="0"/>
              <w:ind w:left="87"/>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de control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7AE84876" w14:textId="77777777" w:rsidR="00EE49CC" w:rsidRPr="009041D4" w:rsidRDefault="00EE49CC" w:rsidP="00D94D81">
            <w:pPr>
              <w:spacing w:after="0"/>
              <w:ind w:left="57"/>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3C30C191" w14:textId="77777777" w:rsidR="00EE49CC" w:rsidRPr="009041D4" w:rsidRDefault="00EE49CC" w:rsidP="00D94D81">
            <w:pPr>
              <w:spacing w:after="0"/>
              <w:ind w:left="80"/>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Prorrateo según los espacios dedicados a cada operador.</w:t>
            </w:r>
          </w:p>
        </w:tc>
      </w:tr>
      <w:tr w:rsidR="00EE49CC" w:rsidRPr="009041D4" w14:paraId="0A1B4686" w14:textId="77777777" w:rsidTr="00D94D81">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5672FD63"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46F94C3" w14:textId="77777777" w:rsidR="00EE49CC" w:rsidRPr="009041D4" w:rsidRDefault="00EE49CC" w:rsidP="00D94D81">
            <w:pPr>
              <w:spacing w:after="0"/>
              <w:ind w:left="87"/>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de switching PH</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17AAAF7F" w14:textId="77777777" w:rsidR="00EE49CC" w:rsidRPr="009041D4" w:rsidRDefault="00EE49CC" w:rsidP="00D94D81">
            <w:pPr>
              <w:spacing w:after="0"/>
              <w:ind w:left="80"/>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Espacio utilizado por PH y por ende los costos de este elemento son asignados al PH en su totalidad</w:t>
            </w:r>
          </w:p>
        </w:tc>
      </w:tr>
      <w:tr w:rsidR="00EE49CC" w:rsidRPr="009041D4" w14:paraId="6B85CC05" w14:textId="77777777" w:rsidTr="00D94D81">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536D3CAC"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20BD82F4" w14:textId="77777777" w:rsidR="00EE49CC" w:rsidRPr="009041D4" w:rsidRDefault="00EE49CC" w:rsidP="00D94D81">
            <w:pPr>
              <w:spacing w:after="0"/>
              <w:ind w:left="87"/>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Sala de equipos de transmisión</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215596C5" w14:textId="77777777" w:rsidR="00EE49CC" w:rsidRPr="009041D4" w:rsidRDefault="00EE49CC" w:rsidP="00D94D81">
            <w:pPr>
              <w:spacing w:after="0"/>
              <w:ind w:left="80"/>
              <w:jc w:val="both"/>
              <w:rPr>
                <w:rFonts w:ascii="Arial" w:eastAsia="Times New Roman" w:hAnsi="Arial" w:cs="Arial"/>
                <w:sz w:val="18"/>
                <w:szCs w:val="18"/>
                <w:lang w:val="es-ES_tradnl" w:eastAsia="es-ES"/>
              </w:rPr>
            </w:pPr>
            <w:r w:rsidRPr="009041D4">
              <w:rPr>
                <w:rFonts w:ascii="Arial" w:eastAsia="Times New Roman" w:hAnsi="Arial" w:cs="Arial"/>
                <w:sz w:val="18"/>
                <w:szCs w:val="18"/>
                <w:lang w:val="es-ES_tradnl" w:eastAsia="es-ES"/>
              </w:rPr>
              <w:t>Espacio utilizado por PH y por ende los costos de este elemento son asignados al PH en su totalidad</w:t>
            </w:r>
          </w:p>
        </w:tc>
      </w:tr>
      <w:tr w:rsidR="00EE49CC" w:rsidRPr="009041D4" w14:paraId="057E4C67" w14:textId="77777777" w:rsidTr="00D94D81">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06F0CE76"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F2D350B" w14:textId="77777777" w:rsidR="00EE49CC" w:rsidRPr="009041D4" w:rsidRDefault="00EE49CC" w:rsidP="00D94D81">
            <w:pPr>
              <w:spacing w:after="0"/>
              <w:ind w:left="87"/>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subestación eléctrica</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458DF54"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07C8EC7"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7FA5F4A9" w14:textId="77777777" w:rsidTr="00D94D81">
        <w:trPr>
          <w:trHeight w:val="510"/>
        </w:trPr>
        <w:tc>
          <w:tcPr>
            <w:tcW w:w="1550" w:type="dxa"/>
            <w:vMerge/>
            <w:tcBorders>
              <w:left w:val="single" w:sz="8" w:space="0" w:color="FFFFFF"/>
              <w:right w:val="single" w:sz="8" w:space="0" w:color="FFFFFF"/>
            </w:tcBorders>
            <w:vAlign w:val="center"/>
            <w:hideMark/>
          </w:tcPr>
          <w:p w14:paraId="5945B24E"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1D63E97" w14:textId="77777777" w:rsidR="00EE49CC" w:rsidRPr="009041D4" w:rsidRDefault="00EE49CC" w:rsidP="00D94D81">
            <w:pPr>
              <w:spacing w:after="0"/>
              <w:ind w:left="87"/>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planta de emergencia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32C020A"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A573C01"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0CD03A04" w14:textId="77777777" w:rsidTr="00D94D81">
        <w:trPr>
          <w:trHeight w:val="510"/>
        </w:trPr>
        <w:tc>
          <w:tcPr>
            <w:tcW w:w="1550" w:type="dxa"/>
            <w:vMerge/>
            <w:tcBorders>
              <w:left w:val="single" w:sz="8" w:space="0" w:color="FFFFFF"/>
              <w:right w:val="single" w:sz="8" w:space="0" w:color="FFFFFF"/>
            </w:tcBorders>
            <w:shd w:val="clear" w:color="auto" w:fill="C4D0E9"/>
            <w:vAlign w:val="center"/>
            <w:hideMark/>
          </w:tcPr>
          <w:p w14:paraId="1CA7F2CE"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21A829A" w14:textId="77777777" w:rsidR="00EE49CC" w:rsidRPr="009041D4" w:rsidRDefault="00EE49CC" w:rsidP="00D94D81">
            <w:pPr>
              <w:spacing w:after="0"/>
              <w:ind w:left="87"/>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baterías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E114FDE"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931F6A6"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35155436" w14:textId="77777777" w:rsidTr="00D94D81">
        <w:trPr>
          <w:trHeight w:val="248"/>
        </w:trPr>
        <w:tc>
          <w:tcPr>
            <w:tcW w:w="1550" w:type="dxa"/>
            <w:vMerge/>
            <w:tcBorders>
              <w:left w:val="single" w:sz="8" w:space="0" w:color="FFFFFF"/>
              <w:bottom w:val="single" w:sz="8" w:space="0" w:color="FFFFFF"/>
              <w:right w:val="single" w:sz="8" w:space="0" w:color="FFFFFF"/>
            </w:tcBorders>
            <w:vAlign w:val="center"/>
            <w:hideMark/>
          </w:tcPr>
          <w:p w14:paraId="2B4E5ABC" w14:textId="77777777" w:rsidR="00EE49CC" w:rsidRPr="009041D4" w:rsidRDefault="00EE49CC" w:rsidP="00D94D81">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7FBA95F" w14:textId="77777777" w:rsidR="00EE49CC" w:rsidRPr="009041D4" w:rsidRDefault="00EE49CC" w:rsidP="00D94D81">
            <w:pPr>
              <w:spacing w:after="0"/>
              <w:ind w:left="87"/>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para overheads</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C9DA1DE"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Todos los servicios</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6577AF9"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funcional* (excl. overheads) utilizado por cada operador en la central</w:t>
            </w:r>
          </w:p>
        </w:tc>
      </w:tr>
      <w:tr w:rsidR="00EE49CC" w:rsidRPr="009041D4" w14:paraId="437A046B" w14:textId="77777777" w:rsidTr="00D94D81">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E4C6679" w14:textId="77777777" w:rsidR="00EE49CC" w:rsidRPr="009041D4" w:rsidRDefault="00EE49CC" w:rsidP="00D94D81">
            <w:pPr>
              <w:spacing w:after="0"/>
              <w:ind w:left="75"/>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Sala de coubicación externa</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403F50B" w14:textId="77777777" w:rsidR="00EE49CC" w:rsidRPr="009041D4" w:rsidRDefault="00EE49CC" w:rsidP="00D94D81">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6DC6C9B"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Coubicación externa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13F4656"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dedicado a los CS y asignado a cada CS en función de su demanda de espacio en CE</w:t>
            </w:r>
          </w:p>
        </w:tc>
      </w:tr>
      <w:tr w:rsidR="00EE49CC" w:rsidRPr="009041D4" w14:paraId="3C4067CC" w14:textId="77777777" w:rsidTr="00D94D81">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B085909" w14:textId="77777777" w:rsidR="00EE49CC" w:rsidRPr="009041D4" w:rsidRDefault="00EE49CC" w:rsidP="00D94D81">
            <w:pPr>
              <w:spacing w:after="0"/>
              <w:ind w:left="75"/>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Subestación eléctrica</w:t>
            </w: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A4C71C8" w14:textId="77777777" w:rsidR="00EE49CC" w:rsidRPr="009041D4" w:rsidRDefault="00EE49CC" w:rsidP="00D94D81">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1B5D261"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754D370"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5D02C130" w14:textId="77777777" w:rsidTr="00D94D81">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DDADD78" w14:textId="77777777" w:rsidR="00EE49CC" w:rsidRPr="009041D4" w:rsidRDefault="00EE49CC" w:rsidP="00D94D81">
            <w:pPr>
              <w:spacing w:after="0"/>
              <w:ind w:left="75"/>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Fuente de energía de respaldo</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06F0EB3" w14:textId="77777777" w:rsidR="00EE49CC" w:rsidRPr="009041D4" w:rsidRDefault="00EE49CC" w:rsidP="00D94D81">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F93B527"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09987FD"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Energía requerida por cada operador</w:t>
            </w:r>
          </w:p>
        </w:tc>
      </w:tr>
      <w:tr w:rsidR="00EE49CC" w:rsidRPr="009041D4" w14:paraId="1EFFEEA3" w14:textId="77777777" w:rsidTr="00D94D81">
        <w:trPr>
          <w:trHeight w:val="248"/>
        </w:trPr>
        <w:tc>
          <w:tcPr>
            <w:tcW w:w="1550" w:type="dxa"/>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4DBA24D4" w14:textId="77777777" w:rsidR="00EE49CC" w:rsidRPr="009041D4" w:rsidRDefault="00EE49CC" w:rsidP="00D94D81">
            <w:pPr>
              <w:spacing w:after="0"/>
              <w:ind w:left="75"/>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Aire acondicionado</w:t>
            </w:r>
          </w:p>
        </w:tc>
        <w:tc>
          <w:tcPr>
            <w:tcW w:w="198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7923C369" w14:textId="77777777" w:rsidR="00EE49CC" w:rsidRPr="009041D4" w:rsidRDefault="00EE49CC" w:rsidP="00D94D81">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6C0C90A6" w14:textId="77777777" w:rsidR="00EE49CC" w:rsidRPr="009041D4" w:rsidRDefault="00EE49CC" w:rsidP="00D94D81">
            <w:pPr>
              <w:spacing w:after="0"/>
              <w:ind w:left="57"/>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Aire acondicionado</w:t>
            </w:r>
          </w:p>
        </w:tc>
        <w:tc>
          <w:tcPr>
            <w:tcW w:w="269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391613BC" w14:textId="77777777" w:rsidR="00EE49CC" w:rsidRPr="009041D4" w:rsidRDefault="00EE49CC" w:rsidP="00D94D81">
            <w:pPr>
              <w:spacing w:after="0"/>
              <w:ind w:left="80"/>
              <w:jc w:val="both"/>
              <w:rPr>
                <w:rFonts w:ascii="Arial" w:eastAsia="Times New Roman" w:hAnsi="Arial" w:cs="Arial"/>
                <w:sz w:val="18"/>
                <w:szCs w:val="18"/>
                <w:lang w:eastAsia="es-ES"/>
              </w:rPr>
            </w:pPr>
            <w:r w:rsidRPr="009041D4">
              <w:rPr>
                <w:rFonts w:ascii="Arial" w:eastAsia="Times New Roman" w:hAnsi="Arial" w:cs="Arial"/>
                <w:sz w:val="18"/>
                <w:szCs w:val="18"/>
                <w:lang w:val="es-ES_tradnl" w:eastAsia="es-ES"/>
              </w:rPr>
              <w:t>Espacio ocupado en las salas de la central</w:t>
            </w:r>
          </w:p>
        </w:tc>
      </w:tr>
    </w:tbl>
    <w:p w14:paraId="5B72A6CC" w14:textId="265503CD" w:rsidR="00EE49CC" w:rsidRPr="009041D4" w:rsidRDefault="00EE49CC" w:rsidP="00EE49CC">
      <w:pPr>
        <w:spacing w:after="0"/>
        <w:jc w:val="center"/>
        <w:rPr>
          <w:rFonts w:ascii="Arial" w:eastAsia="Times New Roman" w:hAnsi="Arial" w:cs="Arial"/>
          <w:sz w:val="18"/>
          <w:szCs w:val="18"/>
          <w:lang w:eastAsia="es-ES"/>
        </w:rPr>
      </w:pPr>
      <w:r w:rsidRPr="009041D4">
        <w:rPr>
          <w:rFonts w:ascii="Arial" w:eastAsia="Times New Roman" w:hAnsi="Arial" w:cs="Arial"/>
          <w:sz w:val="18"/>
          <w:szCs w:val="18"/>
          <w:lang w:eastAsia="es-ES"/>
        </w:rPr>
        <w:t xml:space="preserve">Tabla </w:t>
      </w:r>
      <w:r w:rsidR="0009435E" w:rsidRPr="009041D4">
        <w:rPr>
          <w:rFonts w:ascii="Arial" w:eastAsia="Times New Roman" w:hAnsi="Arial" w:cs="Arial"/>
          <w:sz w:val="18"/>
          <w:szCs w:val="18"/>
          <w:lang w:eastAsia="es-ES"/>
        </w:rPr>
        <w:t>20</w:t>
      </w:r>
      <w:r w:rsidR="00245D71" w:rsidRPr="009041D4">
        <w:rPr>
          <w:rFonts w:ascii="Arial" w:eastAsia="Times New Roman" w:hAnsi="Arial" w:cs="Arial"/>
          <w:sz w:val="18"/>
          <w:szCs w:val="18"/>
          <w:lang w:eastAsia="es-ES"/>
        </w:rPr>
        <w:t>.</w:t>
      </w:r>
      <w:r w:rsidRPr="009041D4">
        <w:rPr>
          <w:rFonts w:ascii="Arial" w:eastAsia="Times New Roman" w:hAnsi="Arial" w:cs="Arial"/>
          <w:sz w:val="18"/>
          <w:szCs w:val="18"/>
          <w:lang w:eastAsia="es-ES"/>
        </w:rPr>
        <w:t xml:space="preserve"> </w:t>
      </w:r>
      <w:r w:rsidR="00700501" w:rsidRPr="009041D4">
        <w:rPr>
          <w:rFonts w:ascii="Arial" w:eastAsia="Times New Roman" w:hAnsi="Arial" w:cs="Arial"/>
          <w:sz w:val="18"/>
          <w:szCs w:val="18"/>
          <w:lang w:eastAsia="es-ES"/>
        </w:rPr>
        <w:t>D</w:t>
      </w:r>
      <w:r w:rsidRPr="009041D4">
        <w:rPr>
          <w:rFonts w:ascii="Arial" w:eastAsia="Times New Roman" w:hAnsi="Arial" w:cs="Arial"/>
          <w:sz w:val="18"/>
          <w:szCs w:val="18"/>
          <w:lang w:eastAsia="es-ES"/>
        </w:rPr>
        <w:t>rivers principales de asignación de costos a los distintos servicios.</w:t>
      </w:r>
    </w:p>
    <w:p w14:paraId="5875DA2B" w14:textId="77777777" w:rsidR="00EE49CC" w:rsidRPr="009041D4" w:rsidRDefault="00EE49CC" w:rsidP="00EE49CC">
      <w:pPr>
        <w:spacing w:after="0"/>
        <w:ind w:left="720"/>
        <w:jc w:val="both"/>
        <w:rPr>
          <w:rFonts w:ascii="Arial" w:eastAsia="Times New Roman" w:hAnsi="Arial" w:cs="Arial"/>
          <w:szCs w:val="24"/>
          <w:lang w:eastAsia="es-ES"/>
        </w:rPr>
      </w:pPr>
    </w:p>
    <w:p w14:paraId="3C3F7957" w14:textId="77777777" w:rsidR="00EE49CC" w:rsidRPr="009041D4" w:rsidRDefault="00EE49CC" w:rsidP="00EE49CC">
      <w:pPr>
        <w:numPr>
          <w:ilvl w:val="0"/>
          <w:numId w:val="45"/>
        </w:numPr>
        <w:tabs>
          <w:tab w:val="clear" w:pos="720"/>
          <w:tab w:val="num" w:pos="360"/>
          <w:tab w:val="num" w:pos="426"/>
        </w:tabs>
        <w:spacing w:after="0"/>
        <w:ind w:left="426" w:hanging="426"/>
        <w:jc w:val="both"/>
        <w:rPr>
          <w:rFonts w:ascii="Arial" w:eastAsia="Times New Roman" w:hAnsi="Arial" w:cs="Arial"/>
          <w:szCs w:val="24"/>
          <w:lang w:eastAsia="es-ES"/>
        </w:rPr>
      </w:pPr>
      <w:r w:rsidRPr="009041D4">
        <w:rPr>
          <w:rFonts w:ascii="Arial" w:eastAsia="Times New Roman" w:hAnsi="Arial" w:cs="Arial"/>
          <w:b/>
          <w:szCs w:val="24"/>
          <w:lang w:eastAsia="es-ES"/>
        </w:rPr>
        <w:t>Asignación de los costos de suministro de energía y de la fuente de energía de respaldo:</w:t>
      </w:r>
      <w:r w:rsidRPr="009041D4">
        <w:rPr>
          <w:rFonts w:ascii="Arial" w:eastAsia="Times New Roman" w:hAnsi="Arial" w:cs="Arial"/>
          <w:szCs w:val="24"/>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6A1ED0A6" w14:textId="77777777" w:rsidR="00EE49CC" w:rsidRPr="009041D4" w:rsidRDefault="00EE49CC" w:rsidP="00EE49CC">
      <w:pPr>
        <w:spacing w:after="0"/>
        <w:ind w:left="708"/>
        <w:jc w:val="both"/>
        <w:rPr>
          <w:rFonts w:ascii="Arial" w:eastAsia="Times New Roman" w:hAnsi="Arial" w:cs="Arial"/>
          <w:szCs w:val="24"/>
          <w:lang w:eastAsia="es-ES"/>
        </w:rPr>
      </w:pPr>
    </w:p>
    <w:p w14:paraId="3B376C89" w14:textId="77777777" w:rsidR="00EE49CC" w:rsidRPr="009041D4" w:rsidRDefault="00EE49CC" w:rsidP="00EE49CC">
      <w:pPr>
        <w:numPr>
          <w:ilvl w:val="0"/>
          <w:numId w:val="45"/>
        </w:numPr>
        <w:tabs>
          <w:tab w:val="clear" w:pos="720"/>
          <w:tab w:val="num" w:pos="426"/>
        </w:tabs>
        <w:spacing w:after="0"/>
        <w:ind w:left="426" w:hanging="426"/>
        <w:jc w:val="both"/>
        <w:rPr>
          <w:rFonts w:ascii="Arial" w:eastAsia="Times New Roman" w:hAnsi="Arial" w:cs="Arial"/>
          <w:lang w:eastAsia="es-ES"/>
        </w:rPr>
      </w:pPr>
      <w:r w:rsidRPr="009041D4">
        <w:rPr>
          <w:rFonts w:ascii="Arial" w:eastAsia="Times New Roman" w:hAnsi="Arial" w:cs="Arial"/>
          <w:b/>
          <w:szCs w:val="24"/>
          <w:lang w:eastAsia="es-ES"/>
        </w:rPr>
        <w:lastRenderedPageBreak/>
        <w:t>Asignación de los costos del clima</w:t>
      </w:r>
      <w:r w:rsidRPr="009041D4">
        <w:rPr>
          <w:rFonts w:ascii="Arial" w:eastAsia="Times New Roman" w:hAnsi="Arial" w:cs="Arial"/>
          <w:b/>
          <w:szCs w:val="24"/>
          <w:vertAlign w:val="superscript"/>
          <w:lang w:eastAsia="es-ES"/>
        </w:rPr>
        <w:footnoteReference w:id="58"/>
      </w:r>
      <w:r w:rsidRPr="009041D4">
        <w:rPr>
          <w:rFonts w:ascii="Arial" w:eastAsia="Times New Roman" w:hAnsi="Arial" w:cs="Arial"/>
          <w:b/>
          <w:szCs w:val="24"/>
          <w:lang w:eastAsia="es-ES"/>
        </w:rPr>
        <w:t>:</w:t>
      </w:r>
      <w:r w:rsidRPr="009041D4">
        <w:rPr>
          <w:rFonts w:ascii="Arial" w:eastAsia="Times New Roman" w:hAnsi="Arial"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9041D4">
        <w:rPr>
          <w:rFonts w:ascii="Arial" w:eastAsia="Times New Roman" w:hAnsi="Arial" w:cs="Arial"/>
          <w:lang w:eastAsia="es-ES"/>
        </w:rPr>
        <w:t>de estos servicios incluye el costo de los equipos, el consumo de energía y el costo del espacio ocupado por los equipos.</w:t>
      </w:r>
    </w:p>
    <w:p w14:paraId="584BA3C0" w14:textId="77777777" w:rsidR="00EE49CC" w:rsidRPr="009041D4" w:rsidRDefault="00EE49CC" w:rsidP="00EE49CC">
      <w:pPr>
        <w:pStyle w:val="Prrafodelista"/>
        <w:rPr>
          <w:rFonts w:cs="Arial"/>
        </w:rPr>
      </w:pPr>
    </w:p>
    <w:p w14:paraId="68D5F0BD" w14:textId="77777777" w:rsidR="00EE49CC" w:rsidRPr="009041D4" w:rsidRDefault="00EE49CC" w:rsidP="00EE49CC">
      <w:pPr>
        <w:numPr>
          <w:ilvl w:val="0"/>
          <w:numId w:val="45"/>
        </w:numPr>
        <w:tabs>
          <w:tab w:val="clear" w:pos="720"/>
          <w:tab w:val="num" w:pos="426"/>
        </w:tabs>
        <w:spacing w:after="0"/>
        <w:ind w:left="426" w:hanging="426"/>
        <w:jc w:val="both"/>
        <w:rPr>
          <w:rFonts w:ascii="Arial" w:eastAsia="Times New Roman" w:hAnsi="Arial" w:cs="Arial"/>
          <w:lang w:eastAsia="es-ES"/>
        </w:rPr>
      </w:pPr>
      <w:r w:rsidRPr="009041D4">
        <w:rPr>
          <w:rFonts w:ascii="Arial" w:eastAsia="Times New Roman" w:hAnsi="Arial" w:cs="Arial"/>
          <w:b/>
          <w:szCs w:val="24"/>
          <w:lang w:eastAsia="es-ES"/>
        </w:rPr>
        <w:t>Asignación de los costos de los ra</w:t>
      </w:r>
      <w:r w:rsidRPr="009041D4">
        <w:rPr>
          <w:rFonts w:ascii="Arial" w:eastAsia="Times New Roman" w:hAnsi="Arial" w:cs="Arial"/>
          <w:b/>
          <w:lang w:eastAsia="es-ES"/>
        </w:rPr>
        <w:t xml:space="preserve">cks: </w:t>
      </w:r>
      <w:r w:rsidRPr="009041D4">
        <w:rPr>
          <w:rFonts w:ascii="Arial" w:eastAsia="Times New Roman" w:hAnsi="Arial" w:cs="Arial"/>
          <w:lang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72816364" w14:textId="77777777" w:rsidR="00EE49CC" w:rsidRPr="009041D4" w:rsidRDefault="00EE49CC" w:rsidP="00EE49CC">
      <w:pPr>
        <w:pStyle w:val="Prrafodelista"/>
        <w:rPr>
          <w:rFonts w:cs="Arial"/>
        </w:rPr>
      </w:pPr>
    </w:p>
    <w:p w14:paraId="68CEE046" w14:textId="77777777" w:rsidR="00EE49CC" w:rsidRPr="009041D4" w:rsidRDefault="00EE49CC" w:rsidP="00EE49CC">
      <w:pPr>
        <w:numPr>
          <w:ilvl w:val="0"/>
          <w:numId w:val="45"/>
        </w:numPr>
        <w:tabs>
          <w:tab w:val="clear" w:pos="720"/>
          <w:tab w:val="num" w:pos="426"/>
        </w:tabs>
        <w:spacing w:after="0"/>
        <w:ind w:left="426" w:hanging="426"/>
        <w:jc w:val="both"/>
        <w:rPr>
          <w:rFonts w:ascii="Arial" w:eastAsia="Times New Roman" w:hAnsi="Arial" w:cs="Arial"/>
          <w:lang w:eastAsia="es-ES"/>
        </w:rPr>
      </w:pPr>
      <w:r w:rsidRPr="009041D4">
        <w:rPr>
          <w:rFonts w:ascii="Arial" w:eastAsia="Times New Roman" w:hAnsi="Arial" w:cs="Arial"/>
          <w:b/>
          <w:lang w:eastAsia="es-ES"/>
        </w:rPr>
        <w:t>Asignación de costos de los servicios complementarios:</w:t>
      </w:r>
      <w:r w:rsidRPr="009041D4">
        <w:rPr>
          <w:rFonts w:ascii="Arial" w:eastAsia="Times New Roman" w:hAnsi="Arial" w:cs="Arial"/>
          <w:lang w:eastAsia="es-ES"/>
        </w:rPr>
        <w:t xml:space="preserve"> Estos costos son los que corresponden a los servicios complementarios los cuales se separan en costos recurrentes y costos no recurrentes.</w:t>
      </w:r>
    </w:p>
    <w:p w14:paraId="637EBB76" w14:textId="77777777" w:rsidR="00EE49CC" w:rsidRPr="009041D4" w:rsidRDefault="00EE49CC" w:rsidP="00EE49CC">
      <w:pPr>
        <w:pStyle w:val="Prrafodelista"/>
        <w:rPr>
          <w:rFonts w:cs="Arial"/>
        </w:rPr>
      </w:pPr>
    </w:p>
    <w:p w14:paraId="0FEA9C80" w14:textId="77777777" w:rsidR="00EE49CC" w:rsidRPr="009041D4" w:rsidRDefault="00EE49CC" w:rsidP="00EE49CC">
      <w:pPr>
        <w:pStyle w:val="Prrafodelista"/>
        <w:numPr>
          <w:ilvl w:val="0"/>
          <w:numId w:val="50"/>
        </w:numPr>
        <w:spacing w:line="276" w:lineRule="auto"/>
        <w:contextualSpacing/>
        <w:rPr>
          <w:rFonts w:cs="Arial"/>
        </w:rPr>
      </w:pPr>
      <w:r w:rsidRPr="009041D4">
        <w:rPr>
          <w:rFonts w:cs="Arial"/>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14:paraId="36828CED" w14:textId="77777777" w:rsidR="00EE49CC" w:rsidRPr="009041D4" w:rsidRDefault="00EE49CC" w:rsidP="00EE49CC">
      <w:pPr>
        <w:pStyle w:val="Prrafodelista"/>
        <w:numPr>
          <w:ilvl w:val="0"/>
          <w:numId w:val="50"/>
        </w:numPr>
        <w:spacing w:line="276" w:lineRule="auto"/>
        <w:contextualSpacing/>
        <w:rPr>
          <w:rFonts w:cs="Arial"/>
        </w:rPr>
      </w:pPr>
      <w:r w:rsidRPr="009041D4">
        <w:rPr>
          <w:rFonts w:cs="Arial"/>
        </w:rPr>
        <w:t>Costos recurrentes: Cuota de mantenimiento, gastos de administración y costo de uso de escalerilla, y otros cobros adicionales relacionados con el interruptor termo magnético.</w:t>
      </w:r>
    </w:p>
    <w:p w14:paraId="38D154D6" w14:textId="69023C21" w:rsidR="00EE49CC" w:rsidRPr="009041D4" w:rsidRDefault="00EE49CC" w:rsidP="00EE49CC">
      <w:pPr>
        <w:spacing w:after="0"/>
        <w:jc w:val="both"/>
        <w:rPr>
          <w:rFonts w:ascii="Arial" w:eastAsia="Times New Roman" w:hAnsi="Arial" w:cs="Arial"/>
          <w:lang w:eastAsia="es-ES"/>
        </w:rPr>
      </w:pPr>
    </w:p>
    <w:p w14:paraId="51B06371" w14:textId="77777777" w:rsidR="00EE49CC" w:rsidRPr="009041D4" w:rsidRDefault="00EE49CC" w:rsidP="00EE49CC">
      <w:pPr>
        <w:spacing w:after="0"/>
        <w:jc w:val="both"/>
        <w:rPr>
          <w:rFonts w:ascii="Arial" w:eastAsia="Times New Roman" w:hAnsi="Arial" w:cs="Arial"/>
          <w:lang w:eastAsia="es-ES"/>
        </w:rPr>
      </w:pPr>
      <w:r w:rsidRPr="009041D4">
        <w:rPr>
          <w:rFonts w:ascii="Arial" w:eastAsia="Times New Roman" w:hAnsi="Arial" w:cs="Arial"/>
          <w:lang w:eastAsia="es-ES"/>
        </w:rPr>
        <w:t>En este sentido, el modelo de costos de coubicación permite calcular los gastos de instalación y las contraprestaciones mensuales correspondientes a los distintos tipos de coubicación:</w:t>
      </w:r>
    </w:p>
    <w:p w14:paraId="76E3CDC0" w14:textId="77777777" w:rsidR="00EE49CC" w:rsidRPr="009041D4" w:rsidRDefault="00EE49CC" w:rsidP="00EE49CC">
      <w:pPr>
        <w:spacing w:after="0"/>
        <w:jc w:val="both"/>
        <w:rPr>
          <w:rFonts w:ascii="Arial" w:eastAsia="Times New Roman" w:hAnsi="Arial" w:cs="Arial"/>
          <w:lang w:eastAsia="es-ES"/>
        </w:rPr>
      </w:pPr>
    </w:p>
    <w:p w14:paraId="1C592794" w14:textId="77777777" w:rsidR="00EE49CC" w:rsidRPr="009041D4" w:rsidRDefault="00EE49CC" w:rsidP="00EE49CC">
      <w:pPr>
        <w:pStyle w:val="Prrafodelista"/>
        <w:numPr>
          <w:ilvl w:val="0"/>
          <w:numId w:val="47"/>
        </w:numPr>
        <w:spacing w:line="276" w:lineRule="auto"/>
        <w:contextualSpacing/>
        <w:rPr>
          <w:rFonts w:cs="Arial"/>
          <w:lang w:val="es-ES_tradnl"/>
        </w:rPr>
      </w:pPr>
      <w:r w:rsidRPr="009041D4">
        <w:rPr>
          <w:rFonts w:cs="Arial"/>
          <w:lang w:val="es-ES_tradnl"/>
        </w:rPr>
        <w:t>Tipo 1: Área de 9 m2 con delimitación de tabla roca</w:t>
      </w:r>
    </w:p>
    <w:p w14:paraId="235010BD" w14:textId="77777777" w:rsidR="00EE49CC" w:rsidRPr="009041D4" w:rsidRDefault="00EE49CC" w:rsidP="00EE49CC">
      <w:pPr>
        <w:pStyle w:val="Prrafodelista"/>
        <w:numPr>
          <w:ilvl w:val="0"/>
          <w:numId w:val="47"/>
        </w:numPr>
        <w:spacing w:line="276" w:lineRule="auto"/>
        <w:contextualSpacing/>
        <w:rPr>
          <w:rFonts w:cs="Arial"/>
          <w:lang w:val="es-ES_tradnl"/>
        </w:rPr>
      </w:pPr>
      <w:r w:rsidRPr="009041D4">
        <w:rPr>
          <w:rFonts w:cs="Arial"/>
          <w:lang w:val="es-ES_tradnl"/>
        </w:rPr>
        <w:t>Tipo 2: Área de 4 m2 con delimitación de tabla roca</w:t>
      </w:r>
    </w:p>
    <w:p w14:paraId="519EF06F" w14:textId="599417DF" w:rsidR="00EE49CC" w:rsidRPr="009041D4" w:rsidRDefault="00EE49CC" w:rsidP="00EE49CC">
      <w:pPr>
        <w:pStyle w:val="Prrafodelista"/>
        <w:numPr>
          <w:ilvl w:val="0"/>
          <w:numId w:val="47"/>
        </w:numPr>
        <w:spacing w:line="276" w:lineRule="auto"/>
        <w:contextualSpacing/>
        <w:rPr>
          <w:rFonts w:cs="Arial"/>
          <w:lang w:val="es-ES_tradnl"/>
        </w:rPr>
      </w:pPr>
      <w:r w:rsidRPr="009041D4">
        <w:rPr>
          <w:rFonts w:cs="Arial"/>
          <w:lang w:val="es-ES_tradnl"/>
        </w:rPr>
        <w:t>Tipo 3: Gabinete</w:t>
      </w:r>
    </w:p>
    <w:p w14:paraId="597AC0FE" w14:textId="77777777" w:rsidR="00EE49CC" w:rsidRPr="009041D4" w:rsidRDefault="00EE49CC" w:rsidP="00EE49CC">
      <w:pPr>
        <w:spacing w:after="0"/>
        <w:jc w:val="both"/>
        <w:rPr>
          <w:rFonts w:ascii="Arial" w:eastAsia="Times New Roman" w:hAnsi="Arial" w:cs="Arial"/>
          <w:lang w:val="es-ES" w:eastAsia="es-ES"/>
        </w:rPr>
      </w:pPr>
    </w:p>
    <w:p w14:paraId="554AB4FA" w14:textId="77777777" w:rsidR="00EE49CC" w:rsidRPr="009041D4" w:rsidRDefault="00EE49CC" w:rsidP="00EE49CC">
      <w:pPr>
        <w:spacing w:after="0"/>
        <w:jc w:val="both"/>
        <w:rPr>
          <w:rFonts w:ascii="Arial" w:eastAsia="Times New Roman" w:hAnsi="Arial" w:cs="Arial"/>
          <w:lang w:val="es-ES" w:eastAsia="es-ES"/>
        </w:rPr>
      </w:pPr>
      <w:r w:rsidRPr="009041D4">
        <w:rPr>
          <w:rFonts w:ascii="Arial" w:eastAsia="Times New Roman" w:hAnsi="Arial" w:cs="Arial"/>
          <w:lang w:val="es-ES" w:eastAsia="es-ES"/>
        </w:rPr>
        <w:t>De acuerdo a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w:t>
      </w:r>
    </w:p>
    <w:p w14:paraId="2E0DB975" w14:textId="77777777" w:rsidR="00EE49CC" w:rsidRPr="009041D4" w:rsidRDefault="00EE49CC" w:rsidP="00EE49CC">
      <w:pPr>
        <w:spacing w:after="0"/>
        <w:jc w:val="both"/>
        <w:rPr>
          <w:rFonts w:ascii="Arial" w:eastAsia="Times New Roman" w:hAnsi="Arial" w:cs="Arial"/>
          <w:lang w:val="es-ES" w:eastAsia="es-ES"/>
        </w:rPr>
      </w:pPr>
    </w:p>
    <w:p w14:paraId="5F9080CA" w14:textId="77777777" w:rsidR="00EE49CC" w:rsidRPr="009041D4" w:rsidRDefault="00EE49CC" w:rsidP="00EE49CC">
      <w:pPr>
        <w:spacing w:after="0"/>
        <w:jc w:val="both"/>
        <w:rPr>
          <w:rFonts w:ascii="Arial" w:hAnsi="Arial" w:cs="Arial"/>
        </w:rPr>
      </w:pPr>
      <w:r w:rsidRPr="009041D4">
        <w:rPr>
          <w:rFonts w:ascii="Arial" w:eastAsia="Times New Roman" w:hAnsi="Arial" w:cs="Arial"/>
          <w:lang w:val="es-ES" w:eastAsia="es-ES"/>
        </w:rPr>
        <w:t>Asimismo, el modelo calcula los costos adicionales correspondientes a la capacidad del interruptor termo magnético en caso de que este sea necesario y se debe considerar que</w:t>
      </w:r>
      <w:r w:rsidRPr="009041D4">
        <w:rPr>
          <w:rFonts w:ascii="Arial" w:hAnsi="Arial" w:cs="Arial"/>
        </w:rPr>
        <w:t xml:space="preserve"> </w:t>
      </w:r>
      <w:r w:rsidRPr="009041D4">
        <w:rPr>
          <w:rFonts w:ascii="Arial" w:hAnsi="Arial" w:cs="Arial"/>
        </w:rPr>
        <w:lastRenderedPageBreak/>
        <w:t xml:space="preserve">las tarifas calculadas no incluyen el consumo de energía eléctrica correspondiente a los equipos del concesionario. </w:t>
      </w:r>
    </w:p>
    <w:p w14:paraId="65FF05FA" w14:textId="77777777" w:rsidR="00EE49CC" w:rsidRPr="009041D4" w:rsidRDefault="00EE49CC" w:rsidP="0078465C">
      <w:pPr>
        <w:spacing w:after="0"/>
        <w:jc w:val="both"/>
        <w:rPr>
          <w:rFonts w:ascii="Arial" w:hAnsi="Arial" w:cs="Arial"/>
          <w:b/>
        </w:rPr>
      </w:pPr>
    </w:p>
    <w:p w14:paraId="1546FF87" w14:textId="0C32AB47" w:rsidR="00EE49CC" w:rsidRPr="009041D4" w:rsidRDefault="0078465C" w:rsidP="0078465C">
      <w:pPr>
        <w:spacing w:after="0"/>
        <w:jc w:val="both"/>
        <w:rPr>
          <w:rFonts w:ascii="Arial" w:hAnsi="Arial" w:cs="Arial"/>
          <w:b/>
        </w:rPr>
      </w:pPr>
      <w:r w:rsidRPr="009041D4">
        <w:rPr>
          <w:rFonts w:ascii="Arial" w:hAnsi="Arial" w:cs="Arial"/>
          <w:b/>
        </w:rPr>
        <w:t>MODELO DE COSTOS DE ENLACES DEDICADOS DE INTERCONEXIÓN</w:t>
      </w:r>
    </w:p>
    <w:p w14:paraId="79AC7491" w14:textId="77777777" w:rsidR="0078465C" w:rsidRPr="009041D4" w:rsidRDefault="0078465C" w:rsidP="0078465C">
      <w:pPr>
        <w:spacing w:after="0"/>
        <w:jc w:val="both"/>
        <w:rPr>
          <w:rFonts w:ascii="Arial" w:hAnsi="Arial" w:cs="Arial"/>
          <w:b/>
        </w:rPr>
      </w:pPr>
    </w:p>
    <w:p w14:paraId="6800C626" w14:textId="77777777" w:rsidR="0078465C" w:rsidRPr="009041D4" w:rsidRDefault="0078465C" w:rsidP="0078465C">
      <w:pPr>
        <w:spacing w:after="0"/>
        <w:jc w:val="both"/>
        <w:rPr>
          <w:rFonts w:ascii="Arial" w:hAnsi="Arial" w:cs="Arial"/>
          <w:lang w:val="es-ES_tradnl"/>
        </w:rPr>
      </w:pPr>
      <w:r w:rsidRPr="009041D4">
        <w:rPr>
          <w:rFonts w:ascii="Arial" w:hAnsi="Arial" w:cs="Arial"/>
          <w:lang w:val="es-ES_tradnl"/>
        </w:rPr>
        <w:t>En términos de la Condición Segunda el servicio de enlaces de transmisión consiste en el establecimiento de enlaces de transmisión físicos o virtuales de cualquier tecnología, a través de los cuales se conduce Tráfico.</w:t>
      </w:r>
    </w:p>
    <w:p w14:paraId="00BE9A2B" w14:textId="77777777" w:rsidR="0078465C" w:rsidRPr="009041D4" w:rsidRDefault="0078465C" w:rsidP="0078465C">
      <w:pPr>
        <w:spacing w:after="0"/>
        <w:jc w:val="both"/>
        <w:rPr>
          <w:rFonts w:ascii="Arial" w:hAnsi="Arial" w:cs="Arial"/>
          <w:lang w:val="es-ES_tradnl"/>
        </w:rPr>
      </w:pPr>
    </w:p>
    <w:p w14:paraId="2B2D087D" w14:textId="77777777" w:rsidR="0078465C" w:rsidRPr="009041D4" w:rsidRDefault="0078465C" w:rsidP="0078465C">
      <w:pPr>
        <w:spacing w:after="0"/>
        <w:ind w:right="20"/>
        <w:jc w:val="both"/>
        <w:rPr>
          <w:rFonts w:ascii="Arial" w:hAnsi="Arial" w:cs="Arial"/>
          <w:lang w:val="es-ES"/>
        </w:rPr>
      </w:pPr>
      <w:r w:rsidRPr="009041D4">
        <w:rPr>
          <w:rFonts w:ascii="Arial" w:hAnsi="Arial" w:cs="Arial"/>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9041D4">
        <w:rPr>
          <w:rFonts w:ascii="Arial" w:hAnsi="Arial" w:cs="Arial"/>
          <w:lang w:val="es-ES"/>
        </w:rPr>
        <w:t xml:space="preserve">. </w:t>
      </w:r>
    </w:p>
    <w:p w14:paraId="79AB64F8" w14:textId="77777777" w:rsidR="0078465C" w:rsidRPr="009041D4" w:rsidRDefault="0078465C" w:rsidP="0078465C">
      <w:pPr>
        <w:spacing w:after="0"/>
        <w:jc w:val="both"/>
        <w:rPr>
          <w:rFonts w:ascii="Arial" w:hAnsi="Arial" w:cs="Arial"/>
          <w:lang w:val="es-ES"/>
        </w:rPr>
      </w:pPr>
    </w:p>
    <w:p w14:paraId="3F4D8753" w14:textId="77777777" w:rsidR="0078465C" w:rsidRPr="009041D4" w:rsidRDefault="0078465C" w:rsidP="0078465C">
      <w:pPr>
        <w:spacing w:after="0"/>
        <w:jc w:val="both"/>
        <w:rPr>
          <w:rFonts w:ascii="Arial" w:hAnsi="Arial" w:cs="Arial"/>
          <w:bCs/>
        </w:rPr>
      </w:pPr>
      <w:r w:rsidRPr="009041D4">
        <w:rPr>
          <w:rFonts w:ascii="Arial" w:hAnsi="Arial" w:cs="Arial"/>
          <w:bCs/>
        </w:rPr>
        <w:t xml:space="preserve">El modelo de costos se elaboró con una metodología CITLP. Bajo esta metodología el modelo calcula las tarifas mayoristas de enlaces dedicados locales, entre localidades e internacionales. </w:t>
      </w:r>
    </w:p>
    <w:p w14:paraId="1C4D5BBD" w14:textId="77777777" w:rsidR="0078465C" w:rsidRPr="009041D4" w:rsidRDefault="0078465C" w:rsidP="0078465C">
      <w:pPr>
        <w:spacing w:after="0"/>
        <w:jc w:val="both"/>
        <w:rPr>
          <w:rFonts w:ascii="Arial" w:hAnsi="Arial" w:cs="Arial"/>
          <w:bCs/>
        </w:rPr>
      </w:pPr>
    </w:p>
    <w:p w14:paraId="5EC51A4E" w14:textId="4ED8240F" w:rsidR="0078465C" w:rsidRPr="009041D4" w:rsidRDefault="0078465C" w:rsidP="0078465C">
      <w:pPr>
        <w:spacing w:after="0"/>
        <w:jc w:val="both"/>
        <w:rPr>
          <w:rFonts w:ascii="Arial" w:hAnsi="Arial" w:cs="Arial"/>
          <w:bCs/>
        </w:rPr>
      </w:pPr>
      <w:r w:rsidRPr="009041D4">
        <w:rPr>
          <w:rFonts w:ascii="Arial" w:hAnsi="Arial" w:cs="Arial"/>
          <w:bCs/>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dos fuentes principales:</w:t>
      </w:r>
    </w:p>
    <w:p w14:paraId="54EC445D" w14:textId="77777777" w:rsidR="001C74D5" w:rsidRPr="009041D4" w:rsidRDefault="001C74D5" w:rsidP="0078465C">
      <w:pPr>
        <w:spacing w:after="0"/>
        <w:jc w:val="both"/>
        <w:rPr>
          <w:rFonts w:ascii="Arial" w:hAnsi="Arial" w:cs="Arial"/>
          <w:bCs/>
        </w:rPr>
      </w:pPr>
    </w:p>
    <w:p w14:paraId="4A8F0876" w14:textId="77777777" w:rsidR="0078465C" w:rsidRPr="009041D4" w:rsidRDefault="0078465C" w:rsidP="0078465C">
      <w:pPr>
        <w:numPr>
          <w:ilvl w:val="0"/>
          <w:numId w:val="52"/>
        </w:numPr>
        <w:spacing w:after="0"/>
        <w:jc w:val="both"/>
        <w:rPr>
          <w:rFonts w:ascii="Arial" w:hAnsi="Arial" w:cs="Arial"/>
          <w:bCs/>
        </w:rPr>
      </w:pPr>
      <w:r w:rsidRPr="009041D4">
        <w:rPr>
          <w:rFonts w:ascii="Arial" w:hAnsi="Arial" w:cs="Arial"/>
          <w:bCs/>
        </w:rPr>
        <w:t>Información pública.</w:t>
      </w:r>
    </w:p>
    <w:p w14:paraId="6C4486CF" w14:textId="77777777" w:rsidR="0078465C" w:rsidRPr="009041D4" w:rsidRDefault="0078465C" w:rsidP="0078465C">
      <w:pPr>
        <w:numPr>
          <w:ilvl w:val="0"/>
          <w:numId w:val="52"/>
        </w:numPr>
        <w:spacing w:after="0"/>
        <w:jc w:val="both"/>
        <w:rPr>
          <w:rFonts w:ascii="Arial" w:hAnsi="Arial" w:cs="Arial"/>
          <w:bCs/>
        </w:rPr>
      </w:pPr>
      <w:r w:rsidRPr="009041D4">
        <w:rPr>
          <w:rFonts w:ascii="Arial" w:hAnsi="Arial" w:cs="Arial"/>
          <w:bCs/>
        </w:rPr>
        <w:t>Información confidencial provista por el AEP.</w:t>
      </w:r>
    </w:p>
    <w:p w14:paraId="1BF49B47" w14:textId="77777777" w:rsidR="0078465C" w:rsidRPr="009041D4" w:rsidRDefault="0078465C" w:rsidP="0078465C">
      <w:pPr>
        <w:spacing w:after="0"/>
        <w:jc w:val="center"/>
        <w:rPr>
          <w:rFonts w:ascii="Arial" w:hAnsi="Arial" w:cs="Arial"/>
          <w:b/>
          <w:bCs/>
        </w:rPr>
      </w:pPr>
    </w:p>
    <w:p w14:paraId="11F5B1D0" w14:textId="77777777"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 xml:space="preserve">Hipótesis del Modelo de Costos. </w:t>
      </w:r>
      <w:r w:rsidRPr="009041D4">
        <w:rPr>
          <w:rFonts w:ascii="Arial" w:hAnsi="Arial" w:cs="Arial"/>
          <w:bCs/>
          <w:lang w:val="es-ES_tradnl"/>
        </w:rPr>
        <w:t>El modelo costos utilizado por el Instituto consta de dos módulos independientes para el cálculo de los tramos local y entre localidades/internacional.</w:t>
      </w:r>
    </w:p>
    <w:p w14:paraId="19B322D3" w14:textId="77777777" w:rsidR="0078465C" w:rsidRPr="009041D4" w:rsidRDefault="0078465C" w:rsidP="0078465C">
      <w:pPr>
        <w:spacing w:after="0"/>
        <w:jc w:val="both"/>
        <w:rPr>
          <w:rFonts w:ascii="Arial" w:hAnsi="Arial" w:cs="Arial"/>
          <w:bCs/>
          <w:lang w:val="es-ES_tradnl"/>
        </w:rPr>
      </w:pPr>
    </w:p>
    <w:p w14:paraId="084BBD37"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Para el caso de Enlaces Locales los costos se calculan con base en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5CA6A22C"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 xml:space="preserve">Asimismo, se han definido reglas de ingeniería en función de los elementos de red necesarios para ofrecer el servicio de enlaces dedicados. </w:t>
      </w:r>
    </w:p>
    <w:p w14:paraId="7FA85EDA" w14:textId="77777777" w:rsidR="0078465C" w:rsidRPr="009041D4" w:rsidRDefault="0078465C" w:rsidP="0078465C">
      <w:pPr>
        <w:spacing w:after="0"/>
        <w:jc w:val="both"/>
        <w:rPr>
          <w:rFonts w:ascii="Arial" w:hAnsi="Arial" w:cs="Arial"/>
          <w:bCs/>
          <w:lang w:val="es-ES_tradnl"/>
        </w:rPr>
      </w:pPr>
    </w:p>
    <w:p w14:paraId="794BCE79"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En línea con la Oferta de Referencia, el modelo costea el precio de una punta de enlace dedicado, pudiendo estar formado el enlace de una o dos puntas que conectan cada una el emplazamiento del operador con una central del AEP.</w:t>
      </w:r>
    </w:p>
    <w:p w14:paraId="6C3CECC5" w14:textId="77777777" w:rsidR="0078465C" w:rsidRPr="009041D4" w:rsidRDefault="0078465C" w:rsidP="0078465C">
      <w:pPr>
        <w:spacing w:after="0"/>
        <w:jc w:val="both"/>
        <w:rPr>
          <w:rFonts w:ascii="Arial" w:hAnsi="Arial" w:cs="Arial"/>
          <w:bCs/>
          <w:lang w:val="es-ES_tradnl"/>
        </w:rPr>
      </w:pPr>
    </w:p>
    <w:p w14:paraId="7854224C"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lastRenderedPageBreak/>
        <w:t>Para el caso del Costo de Capital Promedio Ponderado se considera un CCPP nominal antes de impuestos del 9.12%, en línea con el empleado en los modelos de costos de servicios conmutados de interconexión.</w:t>
      </w:r>
    </w:p>
    <w:p w14:paraId="4EB4AAA1" w14:textId="77777777" w:rsidR="0078465C" w:rsidRPr="009041D4" w:rsidRDefault="0078465C" w:rsidP="0078465C">
      <w:pPr>
        <w:spacing w:after="0"/>
        <w:jc w:val="both"/>
        <w:rPr>
          <w:rFonts w:ascii="Arial" w:hAnsi="Arial" w:cs="Arial"/>
          <w:bCs/>
          <w:lang w:val="es-ES_tradnl"/>
        </w:rPr>
      </w:pPr>
    </w:p>
    <w:p w14:paraId="0402C76C"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79A9210B" w14:textId="77777777" w:rsidR="0078465C" w:rsidRPr="009041D4" w:rsidRDefault="0078465C" w:rsidP="0078465C">
      <w:pPr>
        <w:spacing w:after="0"/>
        <w:jc w:val="both"/>
        <w:rPr>
          <w:rFonts w:ascii="Arial" w:hAnsi="Arial" w:cs="Arial"/>
          <w:bCs/>
          <w:lang w:val="es-ES_tradnl"/>
        </w:rPr>
      </w:pPr>
    </w:p>
    <w:p w14:paraId="6865A6A5"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Para calcular los precios unitarios de los enlaces con base en velocidades y distancias, se aplica un gradiente de precios que permite asegurar la recuperación de todos los costos incurridos por el servicio de enlaces dedicados.</w:t>
      </w:r>
    </w:p>
    <w:p w14:paraId="1EB6E754" w14:textId="77777777" w:rsidR="0078465C" w:rsidRPr="009041D4" w:rsidRDefault="0078465C" w:rsidP="0078465C">
      <w:pPr>
        <w:spacing w:after="0"/>
        <w:jc w:val="both"/>
        <w:rPr>
          <w:rFonts w:ascii="Arial" w:hAnsi="Arial" w:cs="Arial"/>
          <w:bCs/>
          <w:lang w:val="es-ES_tradnl"/>
        </w:rPr>
      </w:pPr>
    </w:p>
    <w:p w14:paraId="69D53DC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Se han calculado los precios asociados a todos los enlaces ofrecidos por el AEP e incluidos en la oferta de referencia.</w:t>
      </w:r>
    </w:p>
    <w:p w14:paraId="34AF16D1" w14:textId="77777777" w:rsidR="0078465C" w:rsidRPr="009041D4" w:rsidRDefault="0078465C" w:rsidP="0078465C">
      <w:pPr>
        <w:spacing w:after="0"/>
        <w:jc w:val="both"/>
        <w:rPr>
          <w:rFonts w:ascii="Arial" w:hAnsi="Arial" w:cs="Arial"/>
          <w:bCs/>
          <w:lang w:val="es-ES_tradnl"/>
        </w:rPr>
      </w:pPr>
    </w:p>
    <w:p w14:paraId="04092036" w14:textId="2F980C1D"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Modelo de Mercado.</w:t>
      </w:r>
      <w:r w:rsidRPr="009041D4">
        <w:rPr>
          <w:rFonts w:ascii="Arial" w:hAnsi="Arial" w:cs="Arial"/>
          <w:bCs/>
          <w:lang w:val="es-ES_tradnl"/>
        </w:rPr>
        <w:t xml:space="preserve"> Se desarrolló un modelo de mercado que refleja la evolución de los enlaces TDM y Ethernet entre localidades e internacionales a largo plazo </w:t>
      </w:r>
      <w:r w:rsidRPr="009041D4">
        <w:rPr>
          <w:rFonts w:ascii="Arial" w:hAnsi="Arial" w:cs="Arial"/>
          <w:lang w:val="es-ES_tradnl"/>
        </w:rPr>
        <w:t>(figura</w:t>
      </w:r>
      <w:r w:rsidR="0009435E" w:rsidRPr="009041D4">
        <w:rPr>
          <w:rFonts w:ascii="Arial" w:hAnsi="Arial" w:cs="Arial"/>
          <w:bCs/>
          <w:lang w:val="es-ES_tradnl"/>
        </w:rPr>
        <w:t xml:space="preserve"> </w:t>
      </w:r>
      <w:r w:rsidR="007B00AB" w:rsidRPr="009041D4">
        <w:rPr>
          <w:rFonts w:ascii="Arial" w:hAnsi="Arial" w:cs="Arial"/>
          <w:bCs/>
          <w:lang w:val="es-ES_tradnl"/>
        </w:rPr>
        <w:t>15</w:t>
      </w:r>
      <w:r w:rsidRPr="009041D4">
        <w:rPr>
          <w:rFonts w:ascii="Arial" w:hAnsi="Arial" w:cs="Arial"/>
          <w:lang w:val="es-ES_tradnl"/>
        </w:rPr>
        <w:t>).</w:t>
      </w:r>
    </w:p>
    <w:p w14:paraId="6D25671F" w14:textId="77777777" w:rsidR="0078465C" w:rsidRPr="009041D4" w:rsidRDefault="0078465C" w:rsidP="0078465C">
      <w:pPr>
        <w:spacing w:after="0"/>
        <w:jc w:val="both"/>
        <w:rPr>
          <w:rFonts w:ascii="Arial" w:hAnsi="Arial" w:cs="Arial"/>
          <w:bCs/>
          <w:lang w:val="es-ES_tradnl"/>
        </w:rPr>
      </w:pPr>
    </w:p>
    <w:p w14:paraId="4EF1F03F" w14:textId="77777777" w:rsidR="0078465C" w:rsidRPr="009041D4" w:rsidRDefault="0078465C" w:rsidP="0078465C">
      <w:pPr>
        <w:spacing w:after="0"/>
        <w:jc w:val="both"/>
        <w:rPr>
          <w:rFonts w:ascii="Arial" w:hAnsi="Arial" w:cs="Arial"/>
          <w:lang w:val="es-ES_tradnl"/>
        </w:rPr>
      </w:pPr>
      <w:r w:rsidRPr="009041D4">
        <w:rPr>
          <w:rFonts w:ascii="Arial" w:hAnsi="Arial" w:cs="Arial"/>
          <w:noProof/>
          <w:lang w:eastAsia="es-MX"/>
        </w:rPr>
        <w:drawing>
          <wp:inline distT="0" distB="0" distL="0" distR="0" wp14:anchorId="0146E402" wp14:editId="17A5D029">
            <wp:extent cx="5607050" cy="13525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07050" cy="1352550"/>
                    </a:xfrm>
                    <a:prstGeom prst="rect">
                      <a:avLst/>
                    </a:prstGeom>
                    <a:noFill/>
                    <a:ln>
                      <a:noFill/>
                    </a:ln>
                  </pic:spPr>
                </pic:pic>
              </a:graphicData>
            </a:graphic>
          </wp:inline>
        </w:drawing>
      </w:r>
    </w:p>
    <w:p w14:paraId="6159EAB2" w14:textId="633A170B" w:rsidR="0009435E" w:rsidRPr="009041D4" w:rsidRDefault="0009435E" w:rsidP="00BC4F63">
      <w:pPr>
        <w:spacing w:after="0"/>
        <w:jc w:val="center"/>
        <w:rPr>
          <w:rFonts w:ascii="Arial" w:hAnsi="Arial" w:cs="Arial"/>
          <w:sz w:val="18"/>
          <w:szCs w:val="18"/>
          <w:lang w:val="es-ES_tradnl"/>
        </w:rPr>
      </w:pPr>
      <w:r w:rsidRPr="009041D4">
        <w:rPr>
          <w:rFonts w:ascii="Arial" w:hAnsi="Arial" w:cs="Arial"/>
          <w:sz w:val="18"/>
          <w:szCs w:val="18"/>
          <w:lang w:val="es-ES_tradnl"/>
        </w:rPr>
        <w:t xml:space="preserve">Figura </w:t>
      </w:r>
      <w:r w:rsidR="007B00AB" w:rsidRPr="009041D4">
        <w:rPr>
          <w:rFonts w:ascii="Arial" w:hAnsi="Arial" w:cs="Arial"/>
          <w:sz w:val="18"/>
          <w:szCs w:val="18"/>
          <w:lang w:val="es-ES_tradnl"/>
        </w:rPr>
        <w:t>15</w:t>
      </w:r>
      <w:r w:rsidRPr="009041D4">
        <w:rPr>
          <w:rFonts w:ascii="Arial" w:hAnsi="Arial" w:cs="Arial"/>
          <w:sz w:val="18"/>
          <w:szCs w:val="18"/>
          <w:lang w:val="es-ES_tradnl"/>
        </w:rPr>
        <w:t xml:space="preserve">. </w:t>
      </w:r>
      <w:r w:rsidR="00700501" w:rsidRPr="009041D4">
        <w:rPr>
          <w:rFonts w:ascii="Arial" w:hAnsi="Arial" w:cs="Arial"/>
          <w:sz w:val="18"/>
          <w:szCs w:val="18"/>
          <w:lang w:val="es-ES_tradnl"/>
        </w:rPr>
        <w:t>Modelo de mercado de enlaces dedicados</w:t>
      </w:r>
    </w:p>
    <w:p w14:paraId="329A6E97" w14:textId="77777777" w:rsidR="0078465C" w:rsidRPr="009041D4" w:rsidRDefault="0078465C" w:rsidP="0078465C">
      <w:pPr>
        <w:spacing w:after="0"/>
        <w:jc w:val="both"/>
        <w:rPr>
          <w:rFonts w:ascii="Arial" w:hAnsi="Arial" w:cs="Arial"/>
          <w:bCs/>
          <w:lang w:val="es-ES_tradnl"/>
        </w:rPr>
      </w:pPr>
    </w:p>
    <w:p w14:paraId="6991583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El modelo de mercado se basa en información provista por el AEP en donde es considerado lo siguiente:</w:t>
      </w:r>
    </w:p>
    <w:p w14:paraId="07F138A1" w14:textId="77777777" w:rsidR="0078465C" w:rsidRPr="009041D4" w:rsidRDefault="0078465C" w:rsidP="0078465C">
      <w:pPr>
        <w:spacing w:after="0"/>
        <w:jc w:val="both"/>
        <w:rPr>
          <w:rFonts w:ascii="Arial" w:hAnsi="Arial" w:cs="Arial"/>
          <w:bCs/>
          <w:lang w:val="es-ES_tradnl"/>
        </w:rPr>
      </w:pPr>
    </w:p>
    <w:p w14:paraId="4C163062" w14:textId="77777777" w:rsidR="0078465C" w:rsidRPr="009041D4" w:rsidRDefault="0078465C" w:rsidP="0078465C">
      <w:pPr>
        <w:numPr>
          <w:ilvl w:val="0"/>
          <w:numId w:val="53"/>
        </w:numPr>
        <w:spacing w:after="0"/>
        <w:jc w:val="both"/>
        <w:rPr>
          <w:rFonts w:ascii="Arial" w:hAnsi="Arial" w:cs="Arial"/>
          <w:bCs/>
          <w:lang w:val="es-ES_tradnl"/>
        </w:rPr>
      </w:pPr>
      <w:r w:rsidRPr="009041D4">
        <w:rPr>
          <w:rFonts w:ascii="Arial" w:hAnsi="Arial" w:cs="Arial"/>
          <w:bCs/>
          <w:lang w:val="es-ES_tradnl"/>
        </w:rPr>
        <w:t>Estimación del crecimiento de capacidad total transportada por enlaces dedicados.</w:t>
      </w:r>
    </w:p>
    <w:p w14:paraId="0A4B0CC7" w14:textId="77777777" w:rsidR="0078465C" w:rsidRPr="009041D4" w:rsidRDefault="0078465C" w:rsidP="0078465C">
      <w:pPr>
        <w:numPr>
          <w:ilvl w:val="0"/>
          <w:numId w:val="53"/>
        </w:numPr>
        <w:spacing w:after="0"/>
        <w:jc w:val="both"/>
        <w:rPr>
          <w:rFonts w:ascii="Arial" w:hAnsi="Arial" w:cs="Arial"/>
          <w:bCs/>
          <w:lang w:val="es-ES_tradnl"/>
        </w:rPr>
      </w:pPr>
      <w:r w:rsidRPr="009041D4">
        <w:rPr>
          <w:rFonts w:ascii="Arial" w:hAnsi="Arial" w:cs="Arial"/>
          <w:bCs/>
          <w:lang w:val="es-ES_tradnl"/>
        </w:rPr>
        <w:t>El tráfico es separado por tecnología: TDM y Ethernet.</w:t>
      </w:r>
    </w:p>
    <w:p w14:paraId="7C35D45A" w14:textId="77777777" w:rsidR="0078465C" w:rsidRPr="009041D4" w:rsidRDefault="0078465C" w:rsidP="0078465C">
      <w:pPr>
        <w:numPr>
          <w:ilvl w:val="0"/>
          <w:numId w:val="53"/>
        </w:numPr>
        <w:spacing w:after="0"/>
        <w:jc w:val="both"/>
        <w:rPr>
          <w:rFonts w:ascii="Arial" w:hAnsi="Arial" w:cs="Arial"/>
          <w:bCs/>
          <w:lang w:val="es-ES_tradnl"/>
        </w:rPr>
      </w:pPr>
      <w:r w:rsidRPr="009041D4">
        <w:rPr>
          <w:rFonts w:ascii="Arial" w:hAnsi="Arial" w:cs="Arial"/>
          <w:bCs/>
          <w:lang w:val="es-ES_tradnl"/>
        </w:rPr>
        <w:t>Cada tecnología se estima la distribución de enlaces según velocidad y distancia hasta 2025.</w:t>
      </w:r>
    </w:p>
    <w:p w14:paraId="38208B63" w14:textId="77777777" w:rsidR="0078465C" w:rsidRPr="009041D4" w:rsidRDefault="0078465C" w:rsidP="0078465C">
      <w:pPr>
        <w:numPr>
          <w:ilvl w:val="0"/>
          <w:numId w:val="53"/>
        </w:numPr>
        <w:spacing w:after="0"/>
        <w:jc w:val="both"/>
        <w:rPr>
          <w:rFonts w:ascii="Arial" w:hAnsi="Arial" w:cs="Arial"/>
          <w:bCs/>
          <w:lang w:val="es-ES_tradnl"/>
        </w:rPr>
      </w:pPr>
      <w:r w:rsidRPr="009041D4">
        <w:rPr>
          <w:rFonts w:ascii="Arial" w:hAnsi="Arial" w:cs="Arial"/>
          <w:bCs/>
          <w:lang w:val="es-ES_tradnl"/>
        </w:rPr>
        <w:t>Se calcula el número total de enlaces en el mercado con base en la capacidad total y la velocidad media por enlace.</w:t>
      </w:r>
    </w:p>
    <w:p w14:paraId="53903732" w14:textId="77777777" w:rsidR="0078465C" w:rsidRPr="009041D4" w:rsidRDefault="0078465C" w:rsidP="0078465C">
      <w:pPr>
        <w:spacing w:after="0"/>
        <w:ind w:left="720"/>
        <w:jc w:val="both"/>
        <w:rPr>
          <w:rFonts w:ascii="Arial" w:hAnsi="Arial" w:cs="Arial"/>
          <w:bCs/>
          <w:lang w:val="es-ES_tradnl"/>
        </w:rPr>
      </w:pPr>
    </w:p>
    <w:p w14:paraId="5EA25806"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 xml:space="preserve">Enlaces dedicados entre localidades e internacionales (consideración de la demanda y costos del modelo). 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 </w:t>
      </w:r>
    </w:p>
    <w:p w14:paraId="1517B660" w14:textId="77777777" w:rsidR="0078465C" w:rsidRPr="009041D4" w:rsidRDefault="0078465C" w:rsidP="0078465C">
      <w:pPr>
        <w:spacing w:after="0"/>
        <w:jc w:val="both"/>
        <w:rPr>
          <w:rFonts w:ascii="Arial" w:hAnsi="Arial" w:cs="Arial"/>
          <w:bCs/>
          <w:lang w:val="es-ES_tradnl"/>
        </w:rPr>
      </w:pPr>
    </w:p>
    <w:p w14:paraId="49BC2C55" w14:textId="77777777" w:rsidR="0078465C" w:rsidRPr="009041D4" w:rsidRDefault="0078465C" w:rsidP="0078465C">
      <w:pPr>
        <w:spacing w:after="0"/>
        <w:jc w:val="center"/>
        <w:rPr>
          <w:rFonts w:ascii="Arial" w:hAnsi="Arial" w:cs="Arial"/>
          <w:lang w:val="es-ES_tradnl"/>
        </w:rPr>
      </w:pPr>
      <w:r w:rsidRPr="009041D4">
        <w:rPr>
          <w:rFonts w:ascii="Arial" w:hAnsi="Arial" w:cs="Arial"/>
          <w:bCs/>
          <w:noProof/>
          <w:lang w:eastAsia="es-MX"/>
        </w:rPr>
        <w:drawing>
          <wp:inline distT="0" distB="0" distL="0" distR="0" wp14:anchorId="4F2F678C" wp14:editId="68A4431B">
            <wp:extent cx="2952750" cy="3149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2750" cy="3149600"/>
                    </a:xfrm>
                    <a:prstGeom prst="rect">
                      <a:avLst/>
                    </a:prstGeom>
                    <a:noFill/>
                    <a:ln>
                      <a:noFill/>
                    </a:ln>
                  </pic:spPr>
                </pic:pic>
              </a:graphicData>
            </a:graphic>
          </wp:inline>
        </w:drawing>
      </w:r>
    </w:p>
    <w:p w14:paraId="2EDFB405" w14:textId="1E6D4590" w:rsidR="0009435E" w:rsidRPr="009041D4" w:rsidRDefault="0009435E" w:rsidP="0078465C">
      <w:pPr>
        <w:spacing w:after="0"/>
        <w:jc w:val="center"/>
        <w:rPr>
          <w:rFonts w:ascii="Arial" w:hAnsi="Arial" w:cs="Arial"/>
          <w:sz w:val="18"/>
          <w:szCs w:val="18"/>
          <w:lang w:val="es-ES_tradnl"/>
        </w:rPr>
      </w:pPr>
      <w:r w:rsidRPr="009041D4">
        <w:rPr>
          <w:rFonts w:ascii="Arial" w:hAnsi="Arial" w:cs="Arial"/>
          <w:sz w:val="18"/>
          <w:szCs w:val="18"/>
          <w:lang w:val="es-ES_tradnl"/>
        </w:rPr>
        <w:t xml:space="preserve">Figura </w:t>
      </w:r>
      <w:r w:rsidR="007B00AB" w:rsidRPr="009041D4">
        <w:rPr>
          <w:rFonts w:ascii="Arial" w:hAnsi="Arial" w:cs="Arial"/>
          <w:sz w:val="18"/>
          <w:szCs w:val="18"/>
          <w:lang w:val="es-ES_tradnl"/>
        </w:rPr>
        <w:t>16</w:t>
      </w:r>
      <w:r w:rsidRPr="009041D4">
        <w:rPr>
          <w:rFonts w:ascii="Arial" w:hAnsi="Arial" w:cs="Arial"/>
          <w:sz w:val="18"/>
          <w:szCs w:val="18"/>
          <w:lang w:val="es-ES_tradnl"/>
        </w:rPr>
        <w:t xml:space="preserve">. </w:t>
      </w:r>
      <w:r w:rsidR="00700501" w:rsidRPr="009041D4">
        <w:rPr>
          <w:rFonts w:ascii="Arial" w:hAnsi="Arial" w:cs="Arial"/>
          <w:sz w:val="18"/>
          <w:szCs w:val="18"/>
          <w:lang w:val="es-ES_tradnl"/>
        </w:rPr>
        <w:t>Esquema del modelo de enlaces dedicados</w:t>
      </w:r>
    </w:p>
    <w:p w14:paraId="52FDA034" w14:textId="77777777" w:rsidR="0078465C" w:rsidRPr="009041D4" w:rsidRDefault="0078465C" w:rsidP="0078465C">
      <w:pPr>
        <w:spacing w:after="0"/>
        <w:jc w:val="both"/>
        <w:rPr>
          <w:rFonts w:ascii="Arial" w:hAnsi="Arial" w:cs="Arial"/>
          <w:lang w:val="es-ES_tradnl"/>
        </w:rPr>
      </w:pPr>
    </w:p>
    <w:p w14:paraId="66F7D73C"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4D090BA9" w14:textId="77777777" w:rsidR="0078465C" w:rsidRPr="009041D4" w:rsidRDefault="0078465C" w:rsidP="0078465C">
      <w:pPr>
        <w:spacing w:after="0"/>
        <w:jc w:val="both"/>
        <w:rPr>
          <w:rFonts w:ascii="Arial" w:hAnsi="Arial" w:cs="Arial"/>
          <w:lang w:val="es-ES_tradnl"/>
        </w:rPr>
      </w:pPr>
    </w:p>
    <w:p w14:paraId="6F113DB0"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En virtud de lo anterior, la estructura de precios actual para enlaces entre localidades e internacionales TDM difiere de la de enlaces Ethernet, tal que:</w:t>
      </w:r>
    </w:p>
    <w:p w14:paraId="03788D57" w14:textId="77777777" w:rsidR="0078465C" w:rsidRPr="009041D4" w:rsidRDefault="0078465C" w:rsidP="0078465C">
      <w:pPr>
        <w:spacing w:after="0"/>
        <w:jc w:val="both"/>
        <w:rPr>
          <w:rFonts w:ascii="Arial" w:hAnsi="Arial" w:cs="Arial"/>
          <w:lang w:val="es-ES_tradnl"/>
        </w:rPr>
      </w:pPr>
    </w:p>
    <w:p w14:paraId="42D2F495" w14:textId="77777777" w:rsidR="0078465C" w:rsidRPr="009041D4" w:rsidRDefault="0078465C" w:rsidP="0078465C">
      <w:pPr>
        <w:numPr>
          <w:ilvl w:val="0"/>
          <w:numId w:val="54"/>
        </w:numPr>
        <w:spacing w:after="0"/>
        <w:jc w:val="both"/>
        <w:rPr>
          <w:rFonts w:ascii="Arial" w:hAnsi="Arial" w:cs="Arial"/>
          <w:lang w:val="es-ES_tradnl"/>
        </w:rPr>
      </w:pPr>
      <w:r w:rsidRPr="009041D4">
        <w:rPr>
          <w:rFonts w:ascii="Arial" w:hAnsi="Arial" w:cs="Arial"/>
          <w:lang w:val="es-ES_tradnl"/>
        </w:rPr>
        <w:t>Enlaces TDM: parte fija + precio por kilómetro</w:t>
      </w:r>
    </w:p>
    <w:p w14:paraId="31FDD7E3"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lang w:val="es-ES_tradnl"/>
        </w:rPr>
        <w:t>Enlaces Ethernet: precio por kilómetro</w:t>
      </w:r>
    </w:p>
    <w:p w14:paraId="724FFE8C" w14:textId="77777777" w:rsidR="0078465C" w:rsidRPr="009041D4" w:rsidRDefault="0078465C" w:rsidP="0078465C">
      <w:pPr>
        <w:spacing w:after="0"/>
        <w:ind w:left="720"/>
        <w:jc w:val="both"/>
        <w:rPr>
          <w:rFonts w:ascii="Arial" w:hAnsi="Arial" w:cs="Arial"/>
          <w:lang w:val="es-ES_tradnl"/>
        </w:rPr>
      </w:pPr>
    </w:p>
    <w:p w14:paraId="01E52DF6" w14:textId="77777777" w:rsidR="0078465C" w:rsidRPr="009041D4" w:rsidRDefault="0078465C" w:rsidP="0078465C">
      <w:pPr>
        <w:spacing w:after="0"/>
        <w:jc w:val="both"/>
        <w:rPr>
          <w:rFonts w:ascii="Arial" w:hAnsi="Arial" w:cs="Arial"/>
          <w:lang w:val="es-ES_tradnl"/>
        </w:rPr>
      </w:pPr>
      <w:r w:rsidRPr="009041D4">
        <w:rPr>
          <w:rFonts w:ascii="Arial" w:hAnsi="Arial" w:cs="Arial"/>
          <w:noProof/>
          <w:lang w:eastAsia="es-MX"/>
        </w:rPr>
        <w:drawing>
          <wp:inline distT="0" distB="0" distL="0" distR="0" wp14:anchorId="00AF51DB" wp14:editId="60E3F960">
            <wp:extent cx="5613400" cy="124460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3400" cy="1244600"/>
                    </a:xfrm>
                    <a:prstGeom prst="rect">
                      <a:avLst/>
                    </a:prstGeom>
                    <a:noFill/>
                    <a:ln>
                      <a:noFill/>
                    </a:ln>
                  </pic:spPr>
                </pic:pic>
              </a:graphicData>
            </a:graphic>
          </wp:inline>
        </w:drawing>
      </w:r>
    </w:p>
    <w:p w14:paraId="5020D576" w14:textId="77157E30" w:rsidR="0078465C" w:rsidRPr="009041D4" w:rsidRDefault="0009435E" w:rsidP="00F07F44">
      <w:pPr>
        <w:spacing w:after="0"/>
        <w:jc w:val="center"/>
        <w:rPr>
          <w:rFonts w:ascii="Arial" w:hAnsi="Arial" w:cs="Arial"/>
          <w:bCs/>
          <w:lang w:val="es-ES_tradnl"/>
        </w:rPr>
      </w:pPr>
      <w:r w:rsidRPr="009041D4">
        <w:rPr>
          <w:rFonts w:ascii="Arial" w:hAnsi="Arial" w:cs="Arial"/>
          <w:sz w:val="18"/>
          <w:szCs w:val="18"/>
          <w:lang w:val="es-ES_tradnl"/>
        </w:rPr>
        <w:t>Figura</w:t>
      </w:r>
      <w:r w:rsidR="007B00AB" w:rsidRPr="009041D4">
        <w:rPr>
          <w:rFonts w:ascii="Arial" w:hAnsi="Arial" w:cs="Arial"/>
          <w:sz w:val="18"/>
          <w:szCs w:val="18"/>
          <w:lang w:val="es-ES_tradnl"/>
        </w:rPr>
        <w:t xml:space="preserve"> 17</w:t>
      </w:r>
      <w:r w:rsidR="00F07F44" w:rsidRPr="009041D4">
        <w:rPr>
          <w:rFonts w:ascii="Arial" w:hAnsi="Arial" w:cs="Arial"/>
          <w:sz w:val="18"/>
          <w:szCs w:val="18"/>
          <w:lang w:val="es-ES_tradnl"/>
        </w:rPr>
        <w:t>. Esquema de enlace</w:t>
      </w:r>
      <w:r w:rsidR="007B00AB" w:rsidRPr="009041D4">
        <w:rPr>
          <w:rFonts w:ascii="Arial" w:hAnsi="Arial" w:cs="Arial"/>
          <w:sz w:val="18"/>
          <w:szCs w:val="18"/>
          <w:lang w:val="es-ES_tradnl"/>
        </w:rPr>
        <w:t>s</w:t>
      </w:r>
      <w:r w:rsidR="00F07F44" w:rsidRPr="009041D4">
        <w:rPr>
          <w:rFonts w:ascii="Arial" w:hAnsi="Arial" w:cs="Arial"/>
          <w:sz w:val="18"/>
          <w:szCs w:val="18"/>
          <w:lang w:val="es-ES_tradnl"/>
        </w:rPr>
        <w:t xml:space="preserve"> dedicado</w:t>
      </w:r>
      <w:r w:rsidR="007B00AB" w:rsidRPr="009041D4">
        <w:rPr>
          <w:rFonts w:ascii="Arial" w:hAnsi="Arial" w:cs="Arial"/>
          <w:sz w:val="18"/>
          <w:szCs w:val="18"/>
          <w:lang w:val="es-ES_tradnl"/>
        </w:rPr>
        <w:t>s</w:t>
      </w:r>
      <w:r w:rsidR="00F07F44" w:rsidRPr="009041D4">
        <w:rPr>
          <w:rFonts w:ascii="Arial" w:hAnsi="Arial" w:cs="Arial"/>
          <w:sz w:val="18"/>
          <w:szCs w:val="18"/>
          <w:lang w:val="es-ES_tradnl"/>
        </w:rPr>
        <w:t xml:space="preserve"> entre localidades</w:t>
      </w:r>
    </w:p>
    <w:p w14:paraId="070699A0" w14:textId="77777777" w:rsidR="00510741" w:rsidRPr="009041D4" w:rsidRDefault="00510741" w:rsidP="0078465C">
      <w:pPr>
        <w:spacing w:after="0"/>
        <w:jc w:val="both"/>
        <w:rPr>
          <w:rFonts w:ascii="Arial" w:hAnsi="Arial" w:cs="Arial"/>
          <w:bCs/>
          <w:lang w:val="es-ES_tradnl"/>
        </w:rPr>
      </w:pPr>
    </w:p>
    <w:p w14:paraId="16A9F853" w14:textId="7A40122F"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El modelo de mercado de enlaces dedicados calcula la demanda total de enlaces del AEP entre localidades e internacionales, separando las tecnologías TDM y Ethernet.</w:t>
      </w:r>
    </w:p>
    <w:p w14:paraId="11A83437"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–La demanda se estima en términos de capacidad y en número de enlaces.</w:t>
      </w:r>
    </w:p>
    <w:p w14:paraId="7CE7CDF6" w14:textId="77777777" w:rsidR="0078465C" w:rsidRPr="009041D4" w:rsidRDefault="0078465C" w:rsidP="0078465C">
      <w:pPr>
        <w:spacing w:after="0"/>
        <w:jc w:val="both"/>
        <w:rPr>
          <w:rFonts w:ascii="Arial" w:hAnsi="Arial" w:cs="Arial"/>
          <w:bCs/>
          <w:lang w:val="es-ES_tradnl"/>
        </w:rPr>
      </w:pPr>
    </w:p>
    <w:p w14:paraId="63D5481B" w14:textId="0E96FD7D"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lastRenderedPageBreak/>
        <w:t>A partir del cálculo de la capacidad total de enlaces dedicados entre localidades e internacionales, se actualizan los datos del operador fijo incumbente en el modelo de mercado 202</w:t>
      </w:r>
      <w:r w:rsidR="00C540CE" w:rsidRPr="009041D4">
        <w:rPr>
          <w:rFonts w:ascii="Arial" w:hAnsi="Arial" w:cs="Arial"/>
          <w:bCs/>
          <w:lang w:val="es-ES_tradnl"/>
        </w:rPr>
        <w:t>1</w:t>
      </w:r>
      <w:r w:rsidRPr="009041D4">
        <w:rPr>
          <w:rFonts w:ascii="Arial" w:hAnsi="Arial" w:cs="Arial"/>
          <w:bCs/>
          <w:lang w:val="es-ES_tradnl"/>
        </w:rPr>
        <w:t>.</w:t>
      </w:r>
    </w:p>
    <w:p w14:paraId="083C29D3" w14:textId="77777777" w:rsidR="0078465C" w:rsidRPr="009041D4" w:rsidRDefault="0078465C" w:rsidP="0078465C">
      <w:pPr>
        <w:spacing w:after="0"/>
        <w:jc w:val="both"/>
        <w:rPr>
          <w:rFonts w:ascii="Arial" w:hAnsi="Arial" w:cs="Arial"/>
          <w:bCs/>
          <w:lang w:val="es-ES_tradnl"/>
        </w:rPr>
      </w:pPr>
    </w:p>
    <w:p w14:paraId="071D3A5B" w14:textId="500433FB"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Por último, se distribuyen los costos CI</w:t>
      </w:r>
      <w:r w:rsidR="004F33C3" w:rsidRPr="009041D4">
        <w:rPr>
          <w:rFonts w:ascii="Arial" w:hAnsi="Arial" w:cs="Arial"/>
          <w:bCs/>
          <w:lang w:val="es-ES_tradnl"/>
        </w:rPr>
        <w:t>P</w:t>
      </w:r>
      <w:r w:rsidRPr="009041D4">
        <w:rPr>
          <w:rFonts w:ascii="Arial" w:hAnsi="Arial" w:cs="Arial"/>
          <w:bCs/>
          <w:lang w:val="es-ES_tradnl"/>
        </w:rPr>
        <w:t>LP resultantes del modelo de interconexión 202</w:t>
      </w:r>
      <w:r w:rsidR="00C540CE" w:rsidRPr="009041D4">
        <w:rPr>
          <w:rFonts w:ascii="Arial" w:hAnsi="Arial" w:cs="Arial"/>
          <w:bCs/>
          <w:lang w:val="es-ES_tradnl"/>
        </w:rPr>
        <w:t>1</w:t>
      </w:r>
      <w:r w:rsidRPr="009041D4">
        <w:rPr>
          <w:rFonts w:ascii="Arial" w:hAnsi="Arial" w:cs="Arial"/>
          <w:bCs/>
          <w:lang w:val="es-ES_tradnl"/>
        </w:rPr>
        <w:t xml:space="preserve"> asociados al servicio de enlaces dedicados, asegurando así que se recuperan todos los costos.</w:t>
      </w:r>
    </w:p>
    <w:p w14:paraId="0754591A" w14:textId="77777777" w:rsidR="0078465C" w:rsidRPr="009041D4" w:rsidRDefault="0078465C" w:rsidP="0078465C">
      <w:pPr>
        <w:spacing w:after="0"/>
        <w:jc w:val="both"/>
        <w:rPr>
          <w:rFonts w:ascii="Arial" w:hAnsi="Arial" w:cs="Arial"/>
          <w:bCs/>
          <w:lang w:val="es-ES_tradnl"/>
        </w:rPr>
      </w:pPr>
    </w:p>
    <w:p w14:paraId="49EAFC15" w14:textId="77777777" w:rsidR="0078465C" w:rsidRPr="009041D4" w:rsidRDefault="0078465C" w:rsidP="0078465C">
      <w:pPr>
        <w:spacing w:after="0"/>
        <w:jc w:val="both"/>
        <w:rPr>
          <w:rFonts w:ascii="Arial" w:hAnsi="Arial" w:cs="Arial"/>
          <w:bCs/>
          <w:lang w:val="es-ES_tradnl"/>
        </w:rPr>
      </w:pPr>
      <w:r w:rsidRPr="009041D4">
        <w:rPr>
          <w:rFonts w:ascii="Arial" w:hAnsi="Arial" w:cs="Arial"/>
          <w:bCs/>
          <w:noProof/>
          <w:lang w:eastAsia="es-MX"/>
        </w:rPr>
        <w:drawing>
          <wp:inline distT="0" distB="0" distL="0" distR="0" wp14:anchorId="24E2C845" wp14:editId="2B29CFB1">
            <wp:extent cx="5613400" cy="1206500"/>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3400" cy="1206500"/>
                    </a:xfrm>
                    <a:prstGeom prst="rect">
                      <a:avLst/>
                    </a:prstGeom>
                    <a:noFill/>
                    <a:ln>
                      <a:noFill/>
                    </a:ln>
                  </pic:spPr>
                </pic:pic>
              </a:graphicData>
            </a:graphic>
          </wp:inline>
        </w:drawing>
      </w:r>
    </w:p>
    <w:p w14:paraId="645F02CA" w14:textId="1FC1721A" w:rsidR="0009435E" w:rsidRPr="009041D4" w:rsidRDefault="007B00AB" w:rsidP="00BC4F63">
      <w:pPr>
        <w:spacing w:after="0"/>
        <w:jc w:val="center"/>
        <w:rPr>
          <w:rFonts w:ascii="Arial" w:hAnsi="Arial" w:cs="Arial"/>
          <w:sz w:val="18"/>
          <w:szCs w:val="18"/>
          <w:lang w:val="es-ES_tradnl"/>
        </w:rPr>
      </w:pPr>
      <w:r w:rsidRPr="009041D4">
        <w:rPr>
          <w:rFonts w:ascii="Arial" w:hAnsi="Arial" w:cs="Arial"/>
          <w:sz w:val="18"/>
          <w:szCs w:val="18"/>
          <w:lang w:val="es-ES_tradnl"/>
        </w:rPr>
        <w:t>Figura 18</w:t>
      </w:r>
      <w:r w:rsidR="0009435E" w:rsidRPr="009041D4">
        <w:rPr>
          <w:rFonts w:ascii="Arial" w:hAnsi="Arial" w:cs="Arial"/>
          <w:sz w:val="18"/>
          <w:szCs w:val="18"/>
          <w:lang w:val="es-ES_tradnl"/>
        </w:rPr>
        <w:t xml:space="preserve">. </w:t>
      </w:r>
      <w:r w:rsidR="00F07F44" w:rsidRPr="009041D4">
        <w:rPr>
          <w:rFonts w:ascii="Arial" w:hAnsi="Arial" w:cs="Arial"/>
          <w:sz w:val="18"/>
          <w:szCs w:val="18"/>
          <w:lang w:val="es-ES_tradnl"/>
        </w:rPr>
        <w:t>Distribución de costos por tipo de tecnología</w:t>
      </w:r>
    </w:p>
    <w:p w14:paraId="56D58FF6" w14:textId="77777777" w:rsidR="0078465C" w:rsidRPr="009041D4" w:rsidRDefault="0078465C" w:rsidP="0078465C">
      <w:pPr>
        <w:spacing w:after="0"/>
        <w:jc w:val="both"/>
        <w:rPr>
          <w:rFonts w:ascii="Arial" w:hAnsi="Arial" w:cs="Arial"/>
          <w:bCs/>
          <w:lang w:val="es-ES_tradnl"/>
        </w:rPr>
      </w:pPr>
      <w:r w:rsidRPr="009041D4">
        <w:rPr>
          <w:rFonts w:ascii="Arial" w:hAnsi="Arial" w:cs="Arial"/>
          <w:bCs/>
          <w:vertAlign w:val="superscript"/>
          <w:lang w:val="es-ES_tradnl"/>
        </w:rPr>
        <w:footnoteReference w:id="59"/>
      </w:r>
    </w:p>
    <w:p w14:paraId="5A00C48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Para el cálculo de los precios de los enlaces se emplea un gradiente de precios, tal y como se presenta a continuación.</w:t>
      </w:r>
    </w:p>
    <w:p w14:paraId="6A7F7788" w14:textId="77777777" w:rsidR="0078465C" w:rsidRPr="009041D4" w:rsidRDefault="0078465C" w:rsidP="0078465C">
      <w:pPr>
        <w:spacing w:after="0"/>
        <w:jc w:val="both"/>
        <w:rPr>
          <w:rFonts w:ascii="Arial" w:hAnsi="Arial" w:cs="Arial"/>
          <w:bCs/>
          <w:lang w:val="es-ES_tradnl"/>
        </w:rPr>
      </w:pPr>
    </w:p>
    <w:p w14:paraId="3719811C" w14:textId="77777777" w:rsidR="0078465C" w:rsidRPr="009041D4" w:rsidRDefault="0078465C" w:rsidP="0078465C">
      <w:pPr>
        <w:spacing w:after="0"/>
        <w:jc w:val="both"/>
        <w:rPr>
          <w:rFonts w:ascii="Arial" w:hAnsi="Arial" w:cs="Arial"/>
          <w:b/>
          <w:bCs/>
          <w:lang w:val="es-ES_tradnl"/>
        </w:rPr>
      </w:pPr>
      <w:r w:rsidRPr="009041D4">
        <w:rPr>
          <w:rFonts w:ascii="Arial" w:hAnsi="Arial" w:cs="Arial"/>
          <w:b/>
          <w:bCs/>
          <w:lang w:val="es-ES_tradnl"/>
        </w:rPr>
        <w:t xml:space="preserve">Utilización de gradiente de precio </w:t>
      </w:r>
    </w:p>
    <w:p w14:paraId="687AEDCE" w14:textId="77777777" w:rsidR="0078465C" w:rsidRPr="009041D4" w:rsidRDefault="0078465C" w:rsidP="0078465C">
      <w:pPr>
        <w:spacing w:after="0"/>
        <w:jc w:val="both"/>
        <w:rPr>
          <w:rFonts w:ascii="Arial" w:hAnsi="Arial" w:cs="Arial"/>
          <w:b/>
          <w:bCs/>
          <w:lang w:val="es-ES_tradnl"/>
        </w:rPr>
      </w:pPr>
    </w:p>
    <w:p w14:paraId="4F01E17C"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Existe a nivel comercial un componente de diferenciación entre costos y precios difíciles de replicar en un modelo de costos ascendente. Generalmente las estructuras comerciales de precios no están orientadas puramente a costos, sino que toman en cuenta la elasticidad de la demanda.</w:t>
      </w:r>
    </w:p>
    <w:p w14:paraId="1634303C" w14:textId="77777777" w:rsidR="0078465C" w:rsidRPr="009041D4" w:rsidRDefault="0078465C" w:rsidP="0078465C">
      <w:pPr>
        <w:spacing w:after="0"/>
        <w:jc w:val="both"/>
        <w:rPr>
          <w:rFonts w:ascii="Arial" w:hAnsi="Arial" w:cs="Arial"/>
          <w:bCs/>
          <w:lang w:val="es-ES_tradnl"/>
        </w:rPr>
      </w:pPr>
    </w:p>
    <w:p w14:paraId="6B2B2DA2"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728296C3" w14:textId="77777777" w:rsidR="0078465C" w:rsidRPr="009041D4" w:rsidRDefault="0078465C" w:rsidP="0078465C">
      <w:pPr>
        <w:spacing w:after="0"/>
        <w:jc w:val="both"/>
        <w:rPr>
          <w:rFonts w:ascii="Arial" w:hAnsi="Arial" w:cs="Arial"/>
          <w:bCs/>
          <w:lang w:val="es-ES_tradnl"/>
        </w:rPr>
      </w:pPr>
    </w:p>
    <w:p w14:paraId="16DE9ADF"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Además, la estructura de precios de enlaces dedicados en México no ha cambiado en más de 15 años, al menos para productos TDM. Por ello, los CS efectuaron inversiones con base en el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74E8235E" w14:textId="77777777" w:rsidR="0078465C" w:rsidRPr="009041D4" w:rsidRDefault="0078465C" w:rsidP="0078465C">
      <w:pPr>
        <w:spacing w:after="0"/>
        <w:jc w:val="both"/>
        <w:rPr>
          <w:rFonts w:ascii="Arial" w:hAnsi="Arial" w:cs="Arial"/>
          <w:bCs/>
          <w:lang w:val="es-ES_tradnl"/>
        </w:rPr>
      </w:pPr>
    </w:p>
    <w:p w14:paraId="08A1BC7F"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 xml:space="preserve">Los gradientes se construyen a partir de una velocidad de referencia - E1 para TDM y 100Mbps para Ethernet – y una distancia de referencia –40.5km (D1). Con base en el </w:t>
      </w:r>
      <w:r w:rsidRPr="009041D4">
        <w:rPr>
          <w:rFonts w:ascii="Arial" w:hAnsi="Arial" w:cs="Arial"/>
          <w:bCs/>
          <w:lang w:val="es-ES_tradnl"/>
        </w:rPr>
        <w:lastRenderedPageBreak/>
        <w:t>reparto de costos entre TDM y Ethernet, se calculan precios para dichos enlaces de referencia (E1 D1 equivalentes y 100Mbps D1 equivalentes) a partir de los cuales, junto con el gradiente definido, se extrapolan los precios de todos los enlaces de la Oferta de Referencia.</w:t>
      </w:r>
    </w:p>
    <w:p w14:paraId="3FC9049E" w14:textId="77777777" w:rsidR="0078465C" w:rsidRPr="009041D4" w:rsidRDefault="0078465C" w:rsidP="0078465C">
      <w:pPr>
        <w:spacing w:after="0"/>
        <w:jc w:val="both"/>
        <w:rPr>
          <w:rFonts w:ascii="Arial" w:hAnsi="Arial" w:cs="Arial"/>
          <w:lang w:val="es-ES_tradnl"/>
        </w:rPr>
      </w:pPr>
      <w:r w:rsidRPr="009041D4">
        <w:rPr>
          <w:rFonts w:ascii="Arial" w:hAnsi="Arial" w:cs="Arial"/>
          <w:noProof/>
          <w:lang w:eastAsia="es-MX"/>
        </w:rPr>
        <w:drawing>
          <wp:inline distT="0" distB="0" distL="0" distR="0" wp14:anchorId="7E117DDB" wp14:editId="0016427C">
            <wp:extent cx="5613400" cy="296545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3400" cy="2965450"/>
                    </a:xfrm>
                    <a:prstGeom prst="rect">
                      <a:avLst/>
                    </a:prstGeom>
                    <a:noFill/>
                    <a:ln>
                      <a:noFill/>
                    </a:ln>
                  </pic:spPr>
                </pic:pic>
              </a:graphicData>
            </a:graphic>
          </wp:inline>
        </w:drawing>
      </w:r>
    </w:p>
    <w:p w14:paraId="73CF50CA" w14:textId="43E225C0" w:rsidR="0009435E" w:rsidRPr="009041D4" w:rsidRDefault="0009435E" w:rsidP="00BC4F63">
      <w:pPr>
        <w:spacing w:after="0"/>
        <w:jc w:val="center"/>
        <w:rPr>
          <w:rFonts w:ascii="Arial" w:hAnsi="Arial" w:cs="Arial"/>
          <w:sz w:val="18"/>
          <w:szCs w:val="18"/>
          <w:lang w:val="es-ES_tradnl"/>
        </w:rPr>
      </w:pPr>
      <w:r w:rsidRPr="009041D4">
        <w:rPr>
          <w:rFonts w:ascii="Arial" w:hAnsi="Arial" w:cs="Arial"/>
          <w:sz w:val="18"/>
          <w:szCs w:val="18"/>
          <w:lang w:val="es-ES_tradnl"/>
        </w:rPr>
        <w:t xml:space="preserve">Figura </w:t>
      </w:r>
      <w:r w:rsidR="007B00AB" w:rsidRPr="009041D4">
        <w:rPr>
          <w:rFonts w:ascii="Arial" w:hAnsi="Arial" w:cs="Arial"/>
          <w:sz w:val="18"/>
          <w:szCs w:val="18"/>
          <w:lang w:val="es-ES_tradnl"/>
        </w:rPr>
        <w:t>19</w:t>
      </w:r>
      <w:r w:rsidRPr="009041D4">
        <w:rPr>
          <w:rFonts w:ascii="Arial" w:hAnsi="Arial" w:cs="Arial"/>
          <w:sz w:val="18"/>
          <w:szCs w:val="18"/>
          <w:lang w:val="es-ES_tradnl"/>
        </w:rPr>
        <w:t xml:space="preserve">. </w:t>
      </w:r>
      <w:r w:rsidR="00F07F44" w:rsidRPr="009041D4">
        <w:rPr>
          <w:rFonts w:ascii="Arial" w:hAnsi="Arial" w:cs="Arial"/>
          <w:sz w:val="18"/>
          <w:szCs w:val="18"/>
          <w:lang w:val="es-ES_tradnl"/>
        </w:rPr>
        <w:t>Construcción del gradiente</w:t>
      </w:r>
    </w:p>
    <w:p w14:paraId="1DC2E8E2" w14:textId="77777777" w:rsidR="0078465C" w:rsidRPr="009041D4" w:rsidRDefault="0078465C" w:rsidP="0078465C">
      <w:pPr>
        <w:spacing w:after="0"/>
        <w:jc w:val="both"/>
        <w:rPr>
          <w:rFonts w:ascii="Arial" w:hAnsi="Arial" w:cs="Arial"/>
          <w:bCs/>
          <w:lang w:val="es-ES_tradnl"/>
        </w:rPr>
      </w:pPr>
    </w:p>
    <w:p w14:paraId="596CE484"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Tomando como referencia la velocidad de un tipo de enlace se calcula el gradiente como el cociente entre el precio de cada tecnología y el de referencia.</w:t>
      </w:r>
    </w:p>
    <w:p w14:paraId="4187818E" w14:textId="77777777" w:rsidR="0078465C" w:rsidRPr="009041D4" w:rsidRDefault="0078465C" w:rsidP="0078465C">
      <w:pPr>
        <w:spacing w:after="0"/>
        <w:jc w:val="both"/>
        <w:rPr>
          <w:rFonts w:ascii="Arial" w:hAnsi="Arial" w:cs="Arial"/>
          <w:lang w:val="es-ES_tradnl"/>
        </w:rPr>
      </w:pPr>
    </w:p>
    <w:p w14:paraId="06820A1E"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45CAD918" w14:textId="77777777" w:rsidR="0078465C" w:rsidRPr="009041D4" w:rsidRDefault="0078465C" w:rsidP="0078465C">
      <w:pPr>
        <w:spacing w:after="0"/>
        <w:jc w:val="both"/>
        <w:rPr>
          <w:rFonts w:ascii="Arial" w:hAnsi="Arial" w:cs="Arial"/>
          <w:bCs/>
          <w:lang w:val="es-ES_tradnl"/>
        </w:rPr>
      </w:pPr>
    </w:p>
    <w:p w14:paraId="11F75067"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Renta mensual de enlaces entre localidades. Con base en los costos de cada tecnología y el número de enlaces equivalentes, se calcula el costo de los enlaces de referencia.</w:t>
      </w:r>
    </w:p>
    <w:p w14:paraId="57D43B5C" w14:textId="77777777" w:rsidR="0078465C" w:rsidRPr="009041D4" w:rsidRDefault="0078465C" w:rsidP="0078465C">
      <w:pPr>
        <w:spacing w:after="0"/>
        <w:jc w:val="center"/>
        <w:rPr>
          <w:rFonts w:ascii="Arial" w:hAnsi="Arial" w:cs="Arial"/>
          <w:bCs/>
          <w:lang w:val="es-ES_tradnl"/>
        </w:rPr>
      </w:pPr>
      <w:r w:rsidRPr="009041D4">
        <w:rPr>
          <w:rFonts w:ascii="Arial" w:hAnsi="Arial" w:cs="Arial"/>
          <w:bCs/>
          <w:noProof/>
          <w:lang w:eastAsia="es-MX"/>
        </w:rPr>
        <w:drawing>
          <wp:inline distT="0" distB="0" distL="0" distR="0" wp14:anchorId="71012F57" wp14:editId="55820176">
            <wp:extent cx="5613400" cy="65405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3400" cy="654050"/>
                    </a:xfrm>
                    <a:prstGeom prst="rect">
                      <a:avLst/>
                    </a:prstGeom>
                    <a:noFill/>
                    <a:ln>
                      <a:noFill/>
                    </a:ln>
                  </pic:spPr>
                </pic:pic>
              </a:graphicData>
            </a:graphic>
          </wp:inline>
        </w:drawing>
      </w:r>
    </w:p>
    <w:p w14:paraId="3DF6785B" w14:textId="7EFB47CB" w:rsidR="0009435E" w:rsidRPr="009041D4" w:rsidRDefault="00F07F44" w:rsidP="0078465C">
      <w:pPr>
        <w:spacing w:after="0"/>
        <w:jc w:val="center"/>
        <w:rPr>
          <w:rFonts w:ascii="Arial" w:hAnsi="Arial" w:cs="Arial"/>
          <w:sz w:val="18"/>
          <w:szCs w:val="18"/>
          <w:lang w:val="es-ES_tradnl"/>
        </w:rPr>
      </w:pPr>
      <w:r w:rsidRPr="009041D4">
        <w:rPr>
          <w:rFonts w:ascii="Arial" w:hAnsi="Arial" w:cs="Arial"/>
          <w:sz w:val="18"/>
          <w:szCs w:val="18"/>
          <w:lang w:val="es-ES_tradnl"/>
        </w:rPr>
        <w:t>Figura 2</w:t>
      </w:r>
      <w:r w:rsidR="007B00AB" w:rsidRPr="009041D4">
        <w:rPr>
          <w:rFonts w:ascii="Arial" w:hAnsi="Arial" w:cs="Arial"/>
          <w:sz w:val="18"/>
          <w:szCs w:val="18"/>
          <w:lang w:val="es-ES_tradnl"/>
        </w:rPr>
        <w:t>0</w:t>
      </w:r>
      <w:r w:rsidR="0009435E" w:rsidRPr="009041D4">
        <w:rPr>
          <w:rFonts w:ascii="Arial" w:hAnsi="Arial" w:cs="Arial"/>
          <w:sz w:val="18"/>
          <w:szCs w:val="18"/>
          <w:lang w:val="es-ES_tradnl"/>
        </w:rPr>
        <w:t xml:space="preserve">. </w:t>
      </w:r>
      <w:r w:rsidRPr="009041D4">
        <w:rPr>
          <w:rFonts w:ascii="Arial" w:hAnsi="Arial" w:cs="Arial"/>
          <w:sz w:val="18"/>
          <w:szCs w:val="18"/>
          <w:lang w:val="es-ES_tradnl"/>
        </w:rPr>
        <w:t>Ejemplo de la construcción del gradiente para enlaces TDM</w:t>
      </w:r>
    </w:p>
    <w:p w14:paraId="03F61E41" w14:textId="77777777" w:rsidR="0078465C" w:rsidRPr="009041D4" w:rsidRDefault="0078465C" w:rsidP="0078465C">
      <w:pPr>
        <w:spacing w:after="0"/>
        <w:jc w:val="both"/>
        <w:rPr>
          <w:rFonts w:ascii="Arial" w:hAnsi="Arial" w:cs="Arial"/>
          <w:bCs/>
          <w:lang w:val="es-ES_tradnl"/>
        </w:rPr>
      </w:pPr>
    </w:p>
    <w:p w14:paraId="13F35153"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Las rentas mensuales de todos los enlaces se calculan aplicando el gradiente de precios al costo de los enlaces equivalentes. Cabe notar que se mantiene constante el gradiente de distancias, mientras que se modifica el gradiente por velocidad.</w:t>
      </w:r>
    </w:p>
    <w:p w14:paraId="788388FB"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De tal forma que:</w:t>
      </w:r>
    </w:p>
    <w:p w14:paraId="692B0F59" w14:textId="77777777" w:rsidR="0078465C" w:rsidRPr="009041D4" w:rsidRDefault="0078465C" w:rsidP="0078465C">
      <w:pPr>
        <w:spacing w:after="0"/>
        <w:jc w:val="both"/>
        <w:rPr>
          <w:rFonts w:ascii="Arial" w:hAnsi="Arial" w:cs="Arial"/>
          <w:bCs/>
          <w:lang w:val="es-ES_tradnl"/>
        </w:rPr>
      </w:pPr>
    </w:p>
    <w:p w14:paraId="33F8C770" w14:textId="77777777" w:rsidR="0078465C" w:rsidRPr="009041D4" w:rsidRDefault="0078465C" w:rsidP="0078465C">
      <w:pPr>
        <w:spacing w:after="0"/>
        <w:jc w:val="center"/>
        <w:rPr>
          <w:rFonts w:ascii="Arial" w:hAnsi="Arial" w:cs="Arial"/>
          <w:bCs/>
          <w:lang w:val="es-ES_tradnl"/>
        </w:rPr>
      </w:pPr>
      <w:r w:rsidRPr="009041D4">
        <w:rPr>
          <w:rFonts w:ascii="Arial" w:hAnsi="Arial" w:cs="Arial"/>
          <w:bCs/>
          <w:noProof/>
          <w:lang w:eastAsia="es-MX"/>
        </w:rPr>
        <w:drawing>
          <wp:inline distT="0" distB="0" distL="0" distR="0" wp14:anchorId="777EDFDC" wp14:editId="595EEC83">
            <wp:extent cx="5613400" cy="4445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3400" cy="444500"/>
                    </a:xfrm>
                    <a:prstGeom prst="rect">
                      <a:avLst/>
                    </a:prstGeom>
                    <a:noFill/>
                    <a:ln>
                      <a:noFill/>
                    </a:ln>
                  </pic:spPr>
                </pic:pic>
              </a:graphicData>
            </a:graphic>
          </wp:inline>
        </w:drawing>
      </w:r>
    </w:p>
    <w:p w14:paraId="0A6476CB" w14:textId="15FA023C" w:rsidR="0009435E" w:rsidRPr="009041D4" w:rsidRDefault="0009435E" w:rsidP="0009435E">
      <w:pPr>
        <w:spacing w:after="0"/>
        <w:jc w:val="center"/>
        <w:rPr>
          <w:rFonts w:ascii="Arial" w:hAnsi="Arial" w:cs="Arial"/>
          <w:sz w:val="18"/>
          <w:szCs w:val="18"/>
          <w:lang w:val="es-ES_tradnl"/>
        </w:rPr>
      </w:pPr>
      <w:r w:rsidRPr="009041D4">
        <w:rPr>
          <w:rFonts w:ascii="Arial" w:hAnsi="Arial" w:cs="Arial"/>
          <w:sz w:val="18"/>
          <w:szCs w:val="18"/>
          <w:lang w:val="es-ES_tradnl"/>
        </w:rPr>
        <w:lastRenderedPageBreak/>
        <w:t>Figura</w:t>
      </w:r>
      <w:r w:rsidR="00F07F44" w:rsidRPr="009041D4">
        <w:rPr>
          <w:rFonts w:ascii="Arial" w:hAnsi="Arial" w:cs="Arial"/>
          <w:sz w:val="18"/>
          <w:szCs w:val="18"/>
          <w:lang w:val="es-ES_tradnl"/>
        </w:rPr>
        <w:t xml:space="preserve"> 2</w:t>
      </w:r>
      <w:r w:rsidR="007B00AB" w:rsidRPr="009041D4">
        <w:rPr>
          <w:rFonts w:ascii="Arial" w:hAnsi="Arial" w:cs="Arial"/>
          <w:sz w:val="18"/>
          <w:szCs w:val="18"/>
          <w:lang w:val="es-ES_tradnl"/>
        </w:rPr>
        <w:t>1</w:t>
      </w:r>
      <w:r w:rsidRPr="009041D4">
        <w:rPr>
          <w:rFonts w:ascii="Arial" w:hAnsi="Arial" w:cs="Arial"/>
          <w:sz w:val="18"/>
          <w:szCs w:val="18"/>
          <w:lang w:val="es-ES_tradnl"/>
        </w:rPr>
        <w:t xml:space="preserve">. </w:t>
      </w:r>
      <w:r w:rsidR="00F07F44" w:rsidRPr="009041D4">
        <w:rPr>
          <w:rFonts w:ascii="Arial" w:hAnsi="Arial" w:cs="Arial"/>
          <w:sz w:val="18"/>
          <w:szCs w:val="18"/>
          <w:lang w:val="es-ES_tradnl"/>
        </w:rPr>
        <w:t>Ejemplo de aplicación del gradiente para la renta mensual</w:t>
      </w:r>
    </w:p>
    <w:p w14:paraId="6A07E20F" w14:textId="77777777" w:rsidR="0078465C" w:rsidRPr="009041D4" w:rsidRDefault="0078465C" w:rsidP="0078465C">
      <w:pPr>
        <w:spacing w:after="0"/>
        <w:jc w:val="both"/>
        <w:rPr>
          <w:rFonts w:ascii="Arial" w:hAnsi="Arial" w:cs="Arial"/>
          <w:bCs/>
          <w:lang w:val="es-ES_tradnl"/>
        </w:rPr>
      </w:pPr>
    </w:p>
    <w:p w14:paraId="4B785980" w14:textId="77777777"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Enlaces dedicados Internacionales</w:t>
      </w:r>
      <w:r w:rsidRPr="009041D4">
        <w:rPr>
          <w:rFonts w:ascii="Arial" w:hAnsi="Arial" w:cs="Arial"/>
          <w:bCs/>
          <w:lang w:val="es-ES_tradnl"/>
        </w:rPr>
        <w:t>. Los enlaces internacionales TDM requieren de equipos de traducción para adaptar el tráfico a países que emplean PDH portadoras-T y SONET.</w:t>
      </w:r>
    </w:p>
    <w:p w14:paraId="630E6D99" w14:textId="77777777" w:rsidR="0078465C" w:rsidRPr="009041D4" w:rsidRDefault="0078465C" w:rsidP="0078465C">
      <w:pPr>
        <w:spacing w:after="0"/>
        <w:jc w:val="both"/>
        <w:rPr>
          <w:rFonts w:ascii="Arial" w:hAnsi="Arial" w:cs="Arial"/>
          <w:bCs/>
          <w:lang w:val="es-ES_tradnl"/>
        </w:rPr>
      </w:pPr>
    </w:p>
    <w:p w14:paraId="3B8F6837" w14:textId="77777777" w:rsidR="0078465C" w:rsidRPr="009041D4" w:rsidRDefault="0078465C" w:rsidP="0078465C">
      <w:pPr>
        <w:spacing w:after="0"/>
        <w:jc w:val="both"/>
        <w:rPr>
          <w:rFonts w:ascii="Arial" w:hAnsi="Arial" w:cs="Arial"/>
          <w:lang w:val="es-ES_tradnl"/>
        </w:rPr>
      </w:pPr>
      <w:r w:rsidRPr="009041D4">
        <w:rPr>
          <w:rFonts w:ascii="Arial" w:hAnsi="Arial" w:cs="Arial"/>
          <w:noProof/>
          <w:lang w:eastAsia="es-MX"/>
        </w:rPr>
        <w:drawing>
          <wp:inline distT="0" distB="0" distL="0" distR="0" wp14:anchorId="29A44584" wp14:editId="1E0BB052">
            <wp:extent cx="5613400" cy="1060450"/>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3400" cy="1060450"/>
                    </a:xfrm>
                    <a:prstGeom prst="rect">
                      <a:avLst/>
                    </a:prstGeom>
                    <a:noFill/>
                    <a:ln>
                      <a:noFill/>
                    </a:ln>
                  </pic:spPr>
                </pic:pic>
              </a:graphicData>
            </a:graphic>
          </wp:inline>
        </w:drawing>
      </w:r>
    </w:p>
    <w:p w14:paraId="079DD376" w14:textId="4C4B0B82" w:rsidR="0078465C" w:rsidRPr="009041D4" w:rsidRDefault="0009435E" w:rsidP="001F2E88">
      <w:pPr>
        <w:spacing w:after="0"/>
        <w:jc w:val="center"/>
        <w:rPr>
          <w:rFonts w:ascii="Arial" w:hAnsi="Arial" w:cs="Arial"/>
          <w:bCs/>
          <w:lang w:val="es-ES_tradnl"/>
        </w:rPr>
      </w:pPr>
      <w:r w:rsidRPr="009041D4">
        <w:rPr>
          <w:rFonts w:ascii="Arial" w:hAnsi="Arial" w:cs="Arial"/>
          <w:sz w:val="18"/>
          <w:szCs w:val="18"/>
          <w:lang w:val="es-ES_tradnl"/>
        </w:rPr>
        <w:t xml:space="preserve">Figura </w:t>
      </w:r>
      <w:r w:rsidR="00F07F44" w:rsidRPr="009041D4">
        <w:rPr>
          <w:rFonts w:ascii="Arial" w:hAnsi="Arial" w:cs="Arial"/>
          <w:sz w:val="18"/>
          <w:szCs w:val="18"/>
          <w:lang w:val="es-ES_tradnl"/>
        </w:rPr>
        <w:t>2</w:t>
      </w:r>
      <w:r w:rsidR="007B00AB" w:rsidRPr="009041D4">
        <w:rPr>
          <w:rFonts w:ascii="Arial" w:hAnsi="Arial" w:cs="Arial"/>
          <w:sz w:val="18"/>
          <w:szCs w:val="18"/>
          <w:lang w:val="es-ES_tradnl"/>
        </w:rPr>
        <w:t>2</w:t>
      </w:r>
      <w:r w:rsidRPr="009041D4">
        <w:rPr>
          <w:rFonts w:ascii="Arial" w:hAnsi="Arial" w:cs="Arial"/>
          <w:sz w:val="18"/>
          <w:szCs w:val="18"/>
          <w:lang w:val="es-ES_tradnl"/>
        </w:rPr>
        <w:t xml:space="preserve">. </w:t>
      </w:r>
      <w:r w:rsidR="00F07F44" w:rsidRPr="009041D4">
        <w:rPr>
          <w:rFonts w:ascii="Arial" w:hAnsi="Arial" w:cs="Arial"/>
          <w:sz w:val="18"/>
          <w:szCs w:val="18"/>
          <w:lang w:val="es-ES_tradnl"/>
        </w:rPr>
        <w:t>Esquema de enlace dedicado internacional</w:t>
      </w:r>
    </w:p>
    <w:p w14:paraId="75250A25" w14:textId="77777777" w:rsidR="00510741" w:rsidRPr="009041D4" w:rsidRDefault="00510741" w:rsidP="0078465C">
      <w:pPr>
        <w:spacing w:after="0"/>
        <w:jc w:val="both"/>
        <w:rPr>
          <w:rFonts w:ascii="Arial" w:hAnsi="Arial" w:cs="Arial"/>
          <w:lang w:val="es-ES_tradnl"/>
        </w:rPr>
      </w:pPr>
    </w:p>
    <w:p w14:paraId="4CC6024D" w14:textId="23404F0A"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Por ello, el AEP ha de disponer de equipos especiales de traducción de interfaces para poder transportar el tráfico al extranjero.</w:t>
      </w:r>
    </w:p>
    <w:p w14:paraId="635312CC" w14:textId="77777777" w:rsidR="0078465C" w:rsidRPr="009041D4" w:rsidRDefault="0078465C" w:rsidP="0078465C">
      <w:pPr>
        <w:spacing w:after="0"/>
        <w:jc w:val="both"/>
        <w:rPr>
          <w:rFonts w:ascii="Arial" w:hAnsi="Arial" w:cs="Arial"/>
          <w:lang w:val="es-ES_tradnl"/>
        </w:rPr>
      </w:pPr>
    </w:p>
    <w:p w14:paraId="0504F940"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Debido a los costos de estos equipos, los precios de los enlaces internacionales TDM son ligeramente superiores a los nacionales (entre localidades) para aquellas velocidades a las que se aplica la traducción.</w:t>
      </w:r>
    </w:p>
    <w:p w14:paraId="2ADAB743" w14:textId="77777777" w:rsidR="0078465C" w:rsidRPr="009041D4" w:rsidRDefault="0078465C" w:rsidP="0078465C">
      <w:pPr>
        <w:spacing w:after="0"/>
        <w:jc w:val="both"/>
        <w:rPr>
          <w:rFonts w:ascii="Arial" w:hAnsi="Arial" w:cs="Arial"/>
          <w:lang w:val="es-ES_tradnl"/>
        </w:rPr>
      </w:pPr>
    </w:p>
    <w:p w14:paraId="23B542DC"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Los precios de enlaces entre localidades e internacionales para Ethernet son idénticos, toda vez que para estas interfaces no se requiere de equipos de traducción para transportar el tráfico al extranjero.</w:t>
      </w:r>
    </w:p>
    <w:p w14:paraId="7BD2AA44" w14:textId="77777777" w:rsidR="0078465C" w:rsidRPr="009041D4" w:rsidRDefault="0078465C" w:rsidP="0078465C">
      <w:pPr>
        <w:spacing w:after="0"/>
        <w:jc w:val="both"/>
        <w:rPr>
          <w:rFonts w:ascii="Arial" w:hAnsi="Arial" w:cs="Arial"/>
          <w:lang w:val="es-ES_tradnl"/>
        </w:rPr>
      </w:pPr>
    </w:p>
    <w:p w14:paraId="5BDAE352"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Por lo tanto, el costo de los enlaces internacionales se calcula de la siguiente manera:</w:t>
      </w:r>
    </w:p>
    <w:p w14:paraId="774F9AED" w14:textId="77777777" w:rsidR="0078465C" w:rsidRPr="009041D4" w:rsidRDefault="0078465C" w:rsidP="0078465C">
      <w:pPr>
        <w:spacing w:after="0"/>
        <w:jc w:val="both"/>
        <w:rPr>
          <w:rFonts w:ascii="Arial" w:hAnsi="Arial" w:cs="Arial"/>
          <w:lang w:val="es-ES_tradnl"/>
        </w:rPr>
      </w:pPr>
    </w:p>
    <w:p w14:paraId="43F763A5" w14:textId="77777777" w:rsidR="0078465C" w:rsidRPr="009041D4" w:rsidRDefault="0078465C" w:rsidP="0078465C">
      <w:pPr>
        <w:numPr>
          <w:ilvl w:val="0"/>
          <w:numId w:val="54"/>
        </w:numPr>
        <w:spacing w:after="0"/>
        <w:jc w:val="both"/>
        <w:rPr>
          <w:rFonts w:ascii="Arial" w:hAnsi="Arial" w:cs="Arial"/>
          <w:lang w:val="es-ES_tradnl"/>
        </w:rPr>
      </w:pPr>
      <w:r w:rsidRPr="009041D4">
        <w:rPr>
          <w:rFonts w:ascii="Arial" w:hAnsi="Arial" w:cs="Arial"/>
          <w:lang w:val="es-ES_tradnl"/>
        </w:rPr>
        <w:t>Enlaces TDM internacionales: Costo proporcional extraído del modelo de interconexión fija + costo de los equipos de traducción para aquellas velocidades que lo requieren.</w:t>
      </w:r>
    </w:p>
    <w:p w14:paraId="04B67A00"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lang w:val="es-ES_tradnl"/>
        </w:rPr>
        <w:t>Enlaces Ethernet internacionales: Costo proporcional extraído del modelo de interconexión fija.</w:t>
      </w:r>
    </w:p>
    <w:p w14:paraId="6773094C" w14:textId="77777777" w:rsidR="0078465C" w:rsidRPr="009041D4" w:rsidRDefault="0078465C" w:rsidP="0078465C">
      <w:pPr>
        <w:spacing w:after="0"/>
        <w:ind w:left="720"/>
        <w:jc w:val="both"/>
        <w:rPr>
          <w:rFonts w:ascii="Arial" w:hAnsi="Arial" w:cs="Arial"/>
          <w:lang w:val="es-ES_tradnl"/>
        </w:rPr>
      </w:pPr>
    </w:p>
    <w:p w14:paraId="43388466"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 xml:space="preserve">Costos de instalación. Los costos de instalación de enlaces entre localidades y enlaces internacionales se basan exclusivamente en el costo de la mano de obra necesaria para dicha instalación. </w:t>
      </w:r>
    </w:p>
    <w:p w14:paraId="6A3C0416" w14:textId="77777777" w:rsidR="0078465C" w:rsidRPr="009041D4" w:rsidRDefault="0078465C" w:rsidP="0078465C">
      <w:pPr>
        <w:spacing w:after="0"/>
        <w:jc w:val="both"/>
        <w:rPr>
          <w:rFonts w:ascii="Arial" w:hAnsi="Arial" w:cs="Arial"/>
          <w:lang w:val="es-ES_tradnl"/>
        </w:rPr>
      </w:pPr>
    </w:p>
    <w:p w14:paraId="1B75A154" w14:textId="77777777" w:rsidR="0078465C" w:rsidRPr="009041D4" w:rsidRDefault="0078465C" w:rsidP="0078465C">
      <w:pPr>
        <w:spacing w:after="0"/>
        <w:jc w:val="both"/>
        <w:rPr>
          <w:rFonts w:ascii="Arial" w:hAnsi="Arial" w:cs="Arial"/>
          <w:bCs/>
          <w:lang w:val="es-ES_tradnl"/>
        </w:rPr>
      </w:pPr>
      <w:r w:rsidRPr="009041D4">
        <w:rPr>
          <w:rFonts w:ascii="Arial" w:hAnsi="Arial" w:cs="Arial"/>
          <w:lang w:val="es-ES_tradnl"/>
        </w:rPr>
        <w:t>Los cálculos efectuados para el cálculo de los costos totales de instalación para enlaces TDM y Ethernet son los siguientes:</w:t>
      </w:r>
    </w:p>
    <w:p w14:paraId="0ABAC51F" w14:textId="77777777" w:rsidR="0078465C" w:rsidRPr="009041D4" w:rsidRDefault="0078465C" w:rsidP="0078465C">
      <w:pPr>
        <w:spacing w:after="0"/>
        <w:jc w:val="both"/>
        <w:rPr>
          <w:rFonts w:ascii="Arial" w:hAnsi="Arial" w:cs="Arial"/>
          <w:bCs/>
          <w:lang w:val="es-ES_tradnl"/>
        </w:rPr>
      </w:pPr>
    </w:p>
    <w:p w14:paraId="3A28F32E" w14:textId="77777777" w:rsidR="0078465C" w:rsidRPr="009041D4" w:rsidRDefault="0078465C" w:rsidP="0078465C">
      <w:pPr>
        <w:spacing w:after="0"/>
        <w:jc w:val="both"/>
        <w:rPr>
          <w:rFonts w:ascii="Arial" w:hAnsi="Arial" w:cs="Arial"/>
          <w:bCs/>
          <w:lang w:val="es-ES_tradnl"/>
        </w:rPr>
      </w:pPr>
      <w:r w:rsidRPr="009041D4">
        <w:rPr>
          <w:rFonts w:ascii="Arial" w:hAnsi="Arial" w:cs="Arial"/>
          <w:bCs/>
          <w:noProof/>
          <w:lang w:eastAsia="es-MX"/>
        </w:rPr>
        <w:lastRenderedPageBreak/>
        <w:drawing>
          <wp:inline distT="0" distB="0" distL="0" distR="0" wp14:anchorId="41780BB0" wp14:editId="356526DF">
            <wp:extent cx="5613400" cy="1955800"/>
            <wp:effectExtent l="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3400" cy="1955800"/>
                    </a:xfrm>
                    <a:prstGeom prst="rect">
                      <a:avLst/>
                    </a:prstGeom>
                    <a:noFill/>
                    <a:ln>
                      <a:noFill/>
                    </a:ln>
                  </pic:spPr>
                </pic:pic>
              </a:graphicData>
            </a:graphic>
          </wp:inline>
        </w:drawing>
      </w:r>
    </w:p>
    <w:p w14:paraId="23D90F26" w14:textId="4725D0DD" w:rsidR="0009435E" w:rsidRPr="009041D4" w:rsidRDefault="0009435E" w:rsidP="0009435E">
      <w:pPr>
        <w:spacing w:after="0"/>
        <w:jc w:val="center"/>
        <w:rPr>
          <w:rFonts w:ascii="Arial" w:hAnsi="Arial" w:cs="Arial"/>
          <w:sz w:val="18"/>
          <w:szCs w:val="18"/>
          <w:lang w:val="es-ES_tradnl"/>
        </w:rPr>
      </w:pPr>
      <w:r w:rsidRPr="009041D4">
        <w:rPr>
          <w:rFonts w:ascii="Arial" w:hAnsi="Arial" w:cs="Arial"/>
          <w:sz w:val="18"/>
          <w:szCs w:val="18"/>
          <w:lang w:val="es-ES_tradnl"/>
        </w:rPr>
        <w:t>Figura</w:t>
      </w:r>
      <w:r w:rsidR="00242814" w:rsidRPr="009041D4">
        <w:rPr>
          <w:rFonts w:ascii="Arial" w:hAnsi="Arial" w:cs="Arial"/>
          <w:sz w:val="18"/>
          <w:szCs w:val="18"/>
          <w:lang w:val="es-ES_tradnl"/>
        </w:rPr>
        <w:t xml:space="preserve"> 2</w:t>
      </w:r>
      <w:r w:rsidR="007B00AB" w:rsidRPr="009041D4">
        <w:rPr>
          <w:rFonts w:ascii="Arial" w:hAnsi="Arial" w:cs="Arial"/>
          <w:sz w:val="18"/>
          <w:szCs w:val="18"/>
          <w:lang w:val="es-ES_tradnl"/>
        </w:rPr>
        <w:t>3</w:t>
      </w:r>
      <w:r w:rsidRPr="009041D4">
        <w:rPr>
          <w:rFonts w:ascii="Arial" w:hAnsi="Arial" w:cs="Arial"/>
          <w:sz w:val="18"/>
          <w:szCs w:val="18"/>
          <w:lang w:val="es-ES_tradnl"/>
        </w:rPr>
        <w:t xml:space="preserve">. </w:t>
      </w:r>
      <w:r w:rsidR="00242814" w:rsidRPr="009041D4">
        <w:rPr>
          <w:rFonts w:ascii="Arial" w:hAnsi="Arial" w:cs="Arial"/>
          <w:sz w:val="18"/>
          <w:szCs w:val="18"/>
          <w:lang w:val="es-ES_tradnl"/>
        </w:rPr>
        <w:t>Cálculo de los costos de instalación para enlaces dedicados</w:t>
      </w:r>
    </w:p>
    <w:p w14:paraId="5005F909" w14:textId="77777777" w:rsidR="0078465C" w:rsidRPr="009041D4" w:rsidRDefault="0078465C" w:rsidP="0078465C">
      <w:pPr>
        <w:spacing w:after="0"/>
        <w:jc w:val="both"/>
        <w:rPr>
          <w:rFonts w:ascii="Arial" w:hAnsi="Arial" w:cs="Arial"/>
          <w:bCs/>
          <w:lang w:val="es-ES_tradnl"/>
        </w:rPr>
      </w:pPr>
    </w:p>
    <w:p w14:paraId="102FB97F"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Partiendo de esta información se calcula el costo de instalación para los enlaces de referencia (E1 equivalente para TDM y 100Mbps equivalente para Ethernet) y a continuación se aplica un gradiente basado en los precios de instalación actuales de AEP.</w:t>
      </w:r>
    </w:p>
    <w:p w14:paraId="11EBEDD8" w14:textId="77777777" w:rsidR="0078465C" w:rsidRPr="009041D4" w:rsidRDefault="0078465C" w:rsidP="0078465C">
      <w:pPr>
        <w:spacing w:after="0"/>
        <w:jc w:val="both"/>
        <w:rPr>
          <w:rFonts w:ascii="Arial" w:hAnsi="Arial" w:cs="Arial"/>
          <w:bCs/>
          <w:lang w:val="es-ES_tradnl"/>
        </w:rPr>
      </w:pPr>
    </w:p>
    <w:p w14:paraId="23102D7F" w14:textId="77777777"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Enlaces dedicados locales</w:t>
      </w:r>
      <w:r w:rsidRPr="009041D4">
        <w:rPr>
          <w:rFonts w:ascii="Arial" w:hAnsi="Arial" w:cs="Arial"/>
          <w:bCs/>
          <w:lang w:val="es-ES_tradnl"/>
        </w:rPr>
        <w:t>. Para el cálculo de los precios de enlaces locales se han empleado precios regulados de desagregación y la arquitectura de enlaces del AEP.</w:t>
      </w:r>
    </w:p>
    <w:p w14:paraId="3EAE1330" w14:textId="77777777" w:rsidR="0078465C" w:rsidRPr="009041D4" w:rsidRDefault="0078465C" w:rsidP="0078465C">
      <w:pPr>
        <w:spacing w:after="0"/>
        <w:jc w:val="both"/>
        <w:rPr>
          <w:rFonts w:ascii="Arial" w:hAnsi="Arial" w:cs="Arial"/>
          <w:bCs/>
          <w:lang w:val="es-ES_tradnl"/>
        </w:rPr>
      </w:pPr>
    </w:p>
    <w:p w14:paraId="3722FF2A" w14:textId="77777777" w:rsidR="0078465C" w:rsidRPr="009041D4" w:rsidRDefault="0078465C" w:rsidP="0078465C">
      <w:pPr>
        <w:spacing w:after="0"/>
        <w:jc w:val="center"/>
        <w:rPr>
          <w:rFonts w:ascii="Arial" w:hAnsi="Arial" w:cs="Arial"/>
          <w:bCs/>
          <w:lang w:val="es-ES_tradnl"/>
        </w:rPr>
      </w:pPr>
      <w:r w:rsidRPr="009041D4">
        <w:rPr>
          <w:rFonts w:ascii="Arial" w:hAnsi="Arial" w:cs="Arial"/>
          <w:bCs/>
          <w:noProof/>
          <w:lang w:eastAsia="es-MX"/>
        </w:rPr>
        <w:drawing>
          <wp:inline distT="0" distB="0" distL="0" distR="0" wp14:anchorId="0490FAE1" wp14:editId="48F53040">
            <wp:extent cx="3765550" cy="29464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65550" cy="2946400"/>
                    </a:xfrm>
                    <a:prstGeom prst="rect">
                      <a:avLst/>
                    </a:prstGeom>
                    <a:noFill/>
                    <a:ln>
                      <a:noFill/>
                    </a:ln>
                  </pic:spPr>
                </pic:pic>
              </a:graphicData>
            </a:graphic>
          </wp:inline>
        </w:drawing>
      </w:r>
    </w:p>
    <w:p w14:paraId="3710337F" w14:textId="7D9436CB" w:rsidR="00B537BC" w:rsidRPr="009041D4" w:rsidRDefault="00B537BC" w:rsidP="00B537BC">
      <w:pPr>
        <w:spacing w:after="0"/>
        <w:jc w:val="center"/>
        <w:rPr>
          <w:rFonts w:ascii="Arial" w:hAnsi="Arial" w:cs="Arial"/>
          <w:sz w:val="18"/>
          <w:szCs w:val="18"/>
          <w:lang w:val="es-ES_tradnl"/>
        </w:rPr>
      </w:pPr>
      <w:r w:rsidRPr="009041D4">
        <w:rPr>
          <w:rFonts w:ascii="Arial" w:hAnsi="Arial" w:cs="Arial"/>
          <w:sz w:val="18"/>
          <w:szCs w:val="18"/>
          <w:lang w:val="es-ES_tradnl"/>
        </w:rPr>
        <w:t>Figura</w:t>
      </w:r>
      <w:r w:rsidR="00242814" w:rsidRPr="009041D4">
        <w:rPr>
          <w:rFonts w:ascii="Arial" w:hAnsi="Arial" w:cs="Arial"/>
          <w:sz w:val="18"/>
          <w:szCs w:val="18"/>
          <w:lang w:val="es-ES_tradnl"/>
        </w:rPr>
        <w:t xml:space="preserve"> </w:t>
      </w:r>
      <w:r w:rsidR="007B00AB" w:rsidRPr="009041D4">
        <w:rPr>
          <w:rFonts w:ascii="Arial" w:hAnsi="Arial" w:cs="Arial"/>
          <w:sz w:val="18"/>
          <w:szCs w:val="18"/>
          <w:lang w:val="es-ES_tradnl"/>
        </w:rPr>
        <w:t>24</w:t>
      </w:r>
      <w:r w:rsidRPr="009041D4">
        <w:rPr>
          <w:rFonts w:ascii="Arial" w:hAnsi="Arial" w:cs="Arial"/>
          <w:sz w:val="18"/>
          <w:szCs w:val="18"/>
          <w:lang w:val="es-ES_tradnl"/>
        </w:rPr>
        <w:t xml:space="preserve">. </w:t>
      </w:r>
      <w:r w:rsidR="00242814" w:rsidRPr="009041D4">
        <w:rPr>
          <w:rFonts w:ascii="Arial" w:hAnsi="Arial" w:cs="Arial"/>
          <w:sz w:val="18"/>
          <w:szCs w:val="18"/>
          <w:lang w:val="es-ES_tradnl"/>
        </w:rPr>
        <w:t>Cálculo para obtener los precios de enlaces locales</w:t>
      </w:r>
    </w:p>
    <w:p w14:paraId="54A3C938" w14:textId="77777777" w:rsidR="0078465C" w:rsidRPr="009041D4" w:rsidRDefault="0078465C" w:rsidP="0078465C">
      <w:pPr>
        <w:spacing w:after="0"/>
        <w:jc w:val="both"/>
        <w:rPr>
          <w:rFonts w:ascii="Arial" w:hAnsi="Arial" w:cs="Arial"/>
          <w:bCs/>
          <w:lang w:val="es-ES_tradnl"/>
        </w:rPr>
      </w:pPr>
    </w:p>
    <w:p w14:paraId="2A6B56D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Los costos asociados a los enlaces locales se pueden categorizar en tres grupos:</w:t>
      </w:r>
    </w:p>
    <w:p w14:paraId="72EE51DC" w14:textId="77777777" w:rsidR="0078465C" w:rsidRPr="009041D4" w:rsidRDefault="0078465C" w:rsidP="0078465C">
      <w:pPr>
        <w:spacing w:after="0"/>
        <w:jc w:val="both"/>
        <w:rPr>
          <w:rFonts w:ascii="Arial" w:hAnsi="Arial" w:cs="Arial"/>
          <w:bCs/>
          <w:lang w:val="es-ES_tradnl"/>
        </w:rPr>
      </w:pPr>
    </w:p>
    <w:p w14:paraId="3BC75F21"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Costeo del transporte de tráfico entre centrales dentro de una misma localidad (costos de transporte)</w:t>
      </w:r>
    </w:p>
    <w:p w14:paraId="6A9958B7"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Costeo del equipamiento de red necesario para ofrecer el servicio de enlaces dedicados: Módems, multiplexadores, switches, etc.</w:t>
      </w:r>
    </w:p>
    <w:p w14:paraId="17ED5B9F"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lastRenderedPageBreak/>
        <w:t>Costeo de la ruta física entre emplazamientos; cobre o fibra P2P, (se considera el costo del par de hilos de fibra y los elementos de red tanto en las instalaciones del cliente como en la central en la cual se ubican los equipos de transporte) según la capacidad del enlace.</w:t>
      </w:r>
    </w:p>
    <w:p w14:paraId="07E08EE6" w14:textId="77777777" w:rsidR="0078465C" w:rsidRPr="009041D4" w:rsidRDefault="0078465C" w:rsidP="0078465C">
      <w:pPr>
        <w:numPr>
          <w:ilvl w:val="1"/>
          <w:numId w:val="54"/>
        </w:numPr>
        <w:spacing w:after="0"/>
        <w:jc w:val="both"/>
        <w:rPr>
          <w:rFonts w:ascii="Arial" w:hAnsi="Arial" w:cs="Arial"/>
          <w:bCs/>
          <w:lang w:val="es-ES"/>
        </w:rPr>
      </w:pPr>
      <w:r w:rsidRPr="009041D4">
        <w:rPr>
          <w:rFonts w:ascii="Arial" w:hAnsi="Arial" w:cs="Arial"/>
          <w:bCs/>
          <w:lang w:val="es-ES_tradnl"/>
        </w:rPr>
        <w:t>AEP</w:t>
      </w:r>
      <w:r w:rsidRPr="009041D4">
        <w:rPr>
          <w:rFonts w:ascii="Arial" w:hAnsi="Arial" w:cs="Arial"/>
          <w:bCs/>
          <w:lang w:val="es-ES"/>
        </w:rPr>
        <w:t xml:space="preserve"> no tiene capacidad en sus anillos STM-4 para transportar enlaces de </w:t>
      </w:r>
      <w:r w:rsidRPr="009041D4">
        <w:rPr>
          <w:rFonts w:ascii="Arial" w:hAnsi="Arial" w:cs="Arial"/>
          <w:bCs/>
          <w:lang w:val="es-ES_tradnl"/>
        </w:rPr>
        <w:t xml:space="preserve">capacidad igual o superior a 1Gbps. Para ello, requiere rutas más largas para conectar dichos enlaces a centrales con capacidad suficiente para enrutar dicho tráfico, lo que incrementa las distancias y por ende los costos. </w:t>
      </w:r>
    </w:p>
    <w:p w14:paraId="4CD6C081" w14:textId="77777777" w:rsidR="0078465C" w:rsidRPr="009041D4" w:rsidRDefault="0078465C" w:rsidP="0078465C">
      <w:pPr>
        <w:spacing w:after="0"/>
        <w:ind w:left="1440"/>
        <w:jc w:val="both"/>
        <w:rPr>
          <w:rFonts w:ascii="Arial" w:hAnsi="Arial" w:cs="Arial"/>
          <w:bCs/>
          <w:lang w:val="es-ES"/>
        </w:rPr>
      </w:pPr>
    </w:p>
    <w:p w14:paraId="65A4027B"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Los enlaces dedicados locales pueden pasar por más de una central (extremos del enlace), siempre que se sitúen dentro de una misma localidad.</w:t>
      </w:r>
    </w:p>
    <w:p w14:paraId="60001EEB" w14:textId="77777777" w:rsidR="0078465C" w:rsidRPr="009041D4" w:rsidRDefault="0078465C" w:rsidP="0078465C">
      <w:pPr>
        <w:spacing w:after="0"/>
        <w:jc w:val="both"/>
        <w:rPr>
          <w:rFonts w:ascii="Arial" w:hAnsi="Arial" w:cs="Arial"/>
          <w:bCs/>
          <w:lang w:val="es-ES_tradnl"/>
        </w:rPr>
      </w:pPr>
    </w:p>
    <w:p w14:paraId="7FAF0F55" w14:textId="77777777" w:rsidR="0078465C" w:rsidRPr="009041D4" w:rsidRDefault="0078465C" w:rsidP="0078465C">
      <w:pPr>
        <w:spacing w:after="0"/>
        <w:jc w:val="both"/>
        <w:rPr>
          <w:rFonts w:ascii="Arial" w:hAnsi="Arial" w:cs="Arial"/>
          <w:bCs/>
          <w:lang w:val="es-ES_tradnl"/>
        </w:rPr>
      </w:pPr>
      <w:r w:rsidRPr="009041D4">
        <w:rPr>
          <w:rFonts w:ascii="Arial" w:hAnsi="Arial" w:cs="Arial"/>
          <w:bCs/>
          <w:noProof/>
          <w:lang w:eastAsia="es-MX"/>
        </w:rPr>
        <w:drawing>
          <wp:inline distT="0" distB="0" distL="0" distR="0" wp14:anchorId="0148EF08" wp14:editId="6606A8F8">
            <wp:extent cx="5613400" cy="15049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3400" cy="1504950"/>
                    </a:xfrm>
                    <a:prstGeom prst="rect">
                      <a:avLst/>
                    </a:prstGeom>
                    <a:noFill/>
                    <a:ln>
                      <a:noFill/>
                    </a:ln>
                  </pic:spPr>
                </pic:pic>
              </a:graphicData>
            </a:graphic>
          </wp:inline>
        </w:drawing>
      </w:r>
    </w:p>
    <w:p w14:paraId="3582F8B0" w14:textId="1B8397CE" w:rsidR="00B537BC" w:rsidRPr="009041D4" w:rsidRDefault="00B537BC" w:rsidP="00B537BC">
      <w:pPr>
        <w:spacing w:after="0"/>
        <w:jc w:val="center"/>
        <w:rPr>
          <w:rFonts w:ascii="Arial" w:hAnsi="Arial" w:cs="Arial"/>
          <w:sz w:val="18"/>
          <w:szCs w:val="18"/>
          <w:lang w:val="es-ES_tradnl"/>
        </w:rPr>
      </w:pPr>
      <w:r w:rsidRPr="009041D4">
        <w:rPr>
          <w:rFonts w:ascii="Arial" w:hAnsi="Arial" w:cs="Arial"/>
          <w:sz w:val="18"/>
          <w:szCs w:val="18"/>
          <w:lang w:val="es-ES_tradnl"/>
        </w:rPr>
        <w:t xml:space="preserve">Figura </w:t>
      </w:r>
      <w:r w:rsidR="007B00AB" w:rsidRPr="009041D4">
        <w:rPr>
          <w:rFonts w:ascii="Arial" w:hAnsi="Arial" w:cs="Arial"/>
          <w:sz w:val="18"/>
          <w:szCs w:val="18"/>
          <w:lang w:val="es-ES_tradnl"/>
        </w:rPr>
        <w:t>25</w:t>
      </w:r>
      <w:r w:rsidRPr="009041D4">
        <w:rPr>
          <w:rFonts w:ascii="Arial" w:hAnsi="Arial" w:cs="Arial"/>
          <w:sz w:val="18"/>
          <w:szCs w:val="18"/>
          <w:lang w:val="es-ES_tradnl"/>
        </w:rPr>
        <w:t xml:space="preserve">. </w:t>
      </w:r>
      <w:r w:rsidR="00242814" w:rsidRPr="009041D4">
        <w:rPr>
          <w:rFonts w:ascii="Arial" w:hAnsi="Arial" w:cs="Arial"/>
          <w:sz w:val="18"/>
          <w:szCs w:val="18"/>
          <w:lang w:val="es-ES_tradnl"/>
        </w:rPr>
        <w:t>Esquema de enlace dedicado local</w:t>
      </w:r>
    </w:p>
    <w:p w14:paraId="79EC3AA5" w14:textId="77777777" w:rsidR="0078465C" w:rsidRPr="009041D4" w:rsidRDefault="0078465C" w:rsidP="0078465C">
      <w:pPr>
        <w:spacing w:after="0"/>
        <w:jc w:val="both"/>
        <w:rPr>
          <w:rFonts w:ascii="Arial" w:hAnsi="Arial" w:cs="Arial"/>
          <w:bCs/>
          <w:lang w:val="es-ES_tradnl"/>
        </w:rPr>
      </w:pPr>
    </w:p>
    <w:p w14:paraId="7692B510"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Los costos de transporte de tráfico entre centrales se extraen del modelo de interconexión fijo, así como de los elementos de red necesarios para ofrecer el servicio de enlaces dedicados con base en las reglas de ingeniería definidas a partir de información provista por Telmex. Dichos costos se reparten entre los diferentes enlaces con base en un gradiente de precios que permite recuperar todos los costos.</w:t>
      </w:r>
    </w:p>
    <w:p w14:paraId="75392105"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br/>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2BB4A08C" w14:textId="77777777" w:rsidR="0078465C" w:rsidRPr="009041D4" w:rsidRDefault="0078465C" w:rsidP="0078465C">
      <w:pPr>
        <w:spacing w:after="0"/>
        <w:jc w:val="both"/>
        <w:rPr>
          <w:rFonts w:ascii="Arial" w:hAnsi="Arial" w:cs="Arial"/>
          <w:bCs/>
          <w:lang w:val="es-ES_tradnl"/>
        </w:rPr>
      </w:pPr>
      <w:r w:rsidRPr="009041D4">
        <w:rPr>
          <w:rFonts w:ascii="Arial" w:hAnsi="Arial" w:cs="Arial"/>
          <w:bCs/>
          <w:noProof/>
          <w:lang w:eastAsia="es-MX"/>
        </w:rPr>
        <w:lastRenderedPageBreak/>
        <w:drawing>
          <wp:inline distT="0" distB="0" distL="0" distR="0" wp14:anchorId="288D3299" wp14:editId="4BDAEA3A">
            <wp:extent cx="5613400" cy="32766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3400" cy="3276600"/>
                    </a:xfrm>
                    <a:prstGeom prst="rect">
                      <a:avLst/>
                    </a:prstGeom>
                    <a:noFill/>
                    <a:ln>
                      <a:noFill/>
                    </a:ln>
                  </pic:spPr>
                </pic:pic>
              </a:graphicData>
            </a:graphic>
          </wp:inline>
        </w:drawing>
      </w:r>
    </w:p>
    <w:p w14:paraId="4B7FEBB5" w14:textId="0615E36F" w:rsidR="0078465C" w:rsidRPr="009041D4" w:rsidRDefault="00B537BC" w:rsidP="00DF6172">
      <w:pPr>
        <w:spacing w:after="0"/>
        <w:jc w:val="center"/>
        <w:rPr>
          <w:rFonts w:ascii="Arial" w:hAnsi="Arial" w:cs="Arial"/>
          <w:sz w:val="18"/>
          <w:szCs w:val="18"/>
          <w:lang w:val="es-ES_tradnl"/>
        </w:rPr>
      </w:pPr>
      <w:r w:rsidRPr="009041D4">
        <w:rPr>
          <w:rFonts w:ascii="Arial" w:hAnsi="Arial" w:cs="Arial"/>
          <w:sz w:val="18"/>
          <w:szCs w:val="18"/>
          <w:lang w:val="es-ES_tradnl"/>
        </w:rPr>
        <w:t>Figura</w:t>
      </w:r>
      <w:r w:rsidR="007B00AB" w:rsidRPr="009041D4">
        <w:rPr>
          <w:rFonts w:ascii="Arial" w:hAnsi="Arial" w:cs="Arial"/>
          <w:sz w:val="18"/>
          <w:szCs w:val="18"/>
          <w:lang w:val="es-ES_tradnl"/>
        </w:rPr>
        <w:t xml:space="preserve"> 26</w:t>
      </w:r>
      <w:r w:rsidRPr="009041D4">
        <w:rPr>
          <w:rFonts w:ascii="Arial" w:hAnsi="Arial" w:cs="Arial"/>
          <w:sz w:val="18"/>
          <w:szCs w:val="18"/>
          <w:lang w:val="es-ES_tradnl"/>
        </w:rPr>
        <w:t xml:space="preserve">. </w:t>
      </w:r>
      <w:r w:rsidR="00DF6172" w:rsidRPr="009041D4">
        <w:rPr>
          <w:rFonts w:ascii="Arial" w:hAnsi="Arial" w:cs="Arial"/>
          <w:sz w:val="18"/>
          <w:szCs w:val="18"/>
          <w:lang w:val="es-ES_tradnl"/>
        </w:rPr>
        <w:t>Reglas de ingeniería para calcular los costos de equipamiento</w:t>
      </w:r>
    </w:p>
    <w:p w14:paraId="10C2BDE4" w14:textId="77777777" w:rsidR="00245D71" w:rsidRPr="009041D4" w:rsidRDefault="00245D71" w:rsidP="00DF6172">
      <w:pPr>
        <w:spacing w:after="0"/>
        <w:jc w:val="center"/>
        <w:rPr>
          <w:rFonts w:ascii="Arial" w:hAnsi="Arial" w:cs="Arial"/>
          <w:sz w:val="18"/>
          <w:szCs w:val="18"/>
          <w:lang w:val="es-ES_tradnl"/>
        </w:rPr>
      </w:pPr>
    </w:p>
    <w:p w14:paraId="05825839"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 xml:space="preserve">Costos de instalación de los enlaces dedicados locales.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 </w:t>
      </w:r>
    </w:p>
    <w:p w14:paraId="747F3189" w14:textId="77777777" w:rsidR="0078465C" w:rsidRPr="009041D4" w:rsidRDefault="0078465C" w:rsidP="0078465C">
      <w:pPr>
        <w:spacing w:after="0"/>
        <w:jc w:val="both"/>
        <w:rPr>
          <w:rFonts w:ascii="Arial" w:hAnsi="Arial" w:cs="Arial"/>
          <w:bCs/>
          <w:lang w:val="es-ES_tradnl"/>
        </w:rPr>
      </w:pPr>
    </w:p>
    <w:p w14:paraId="4E9C42C4" w14:textId="77777777" w:rsidR="0078465C" w:rsidRPr="009041D4" w:rsidRDefault="0078465C" w:rsidP="0078465C">
      <w:pPr>
        <w:spacing w:after="0"/>
        <w:jc w:val="both"/>
        <w:rPr>
          <w:rFonts w:ascii="Arial" w:hAnsi="Arial" w:cs="Arial"/>
          <w:bCs/>
          <w:lang w:val="es-ES"/>
        </w:rPr>
      </w:pPr>
      <w:r w:rsidRPr="009041D4">
        <w:rPr>
          <w:rFonts w:ascii="Arial" w:hAnsi="Arial" w:cs="Arial"/>
          <w:bCs/>
          <w:lang w:val="es-ES"/>
        </w:rPr>
        <w:t>A partir de dichos costos unitarios de instalación se calculan los costos totales de instalación que se distribuyen entre los diferentes enlaces a través de un gradiente de precios.</w:t>
      </w:r>
    </w:p>
    <w:p w14:paraId="5BBA258E" w14:textId="77777777" w:rsidR="0078465C" w:rsidRPr="009041D4" w:rsidRDefault="0078465C" w:rsidP="0078465C">
      <w:pPr>
        <w:spacing w:after="0"/>
        <w:jc w:val="both"/>
        <w:rPr>
          <w:rFonts w:ascii="Arial" w:hAnsi="Arial" w:cs="Arial"/>
          <w:bCs/>
          <w:lang w:val="es-ES"/>
        </w:rPr>
      </w:pPr>
    </w:p>
    <w:p w14:paraId="0F3F95F3" w14:textId="77777777" w:rsidR="0078465C" w:rsidRPr="009041D4" w:rsidRDefault="0078465C" w:rsidP="0078465C">
      <w:pPr>
        <w:spacing w:after="0"/>
        <w:jc w:val="both"/>
        <w:rPr>
          <w:rFonts w:ascii="Arial" w:hAnsi="Arial" w:cs="Arial"/>
          <w:bCs/>
          <w:lang w:val="es-ES_tradnl"/>
        </w:rPr>
      </w:pPr>
      <w:r w:rsidRPr="009041D4">
        <w:rPr>
          <w:rFonts w:ascii="Arial" w:hAnsi="Arial" w:cs="Arial"/>
          <w:b/>
          <w:bCs/>
          <w:lang w:val="es-ES_tradnl"/>
        </w:rPr>
        <w:t>Descripción del modelo</w:t>
      </w:r>
      <w:r w:rsidRPr="009041D4">
        <w:rPr>
          <w:rFonts w:ascii="Arial" w:hAnsi="Arial" w:cs="Arial"/>
          <w:bCs/>
          <w:lang w:val="es-ES_tradnl"/>
        </w:rPr>
        <w:t>. El modelo se estructura alrededor de los módulos de enlaces locales, y entre localidades/internacionales.</w:t>
      </w:r>
    </w:p>
    <w:p w14:paraId="15684B32" w14:textId="77777777" w:rsidR="0078465C" w:rsidRPr="009041D4" w:rsidRDefault="0078465C" w:rsidP="0078465C">
      <w:pPr>
        <w:spacing w:after="0"/>
        <w:jc w:val="both"/>
        <w:rPr>
          <w:rFonts w:ascii="Arial" w:hAnsi="Arial" w:cs="Arial"/>
          <w:bCs/>
          <w:lang w:val="es-ES_tradnl"/>
        </w:rPr>
      </w:pPr>
    </w:p>
    <w:p w14:paraId="5D196E51"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Diferencias en el precio por Mbps en México (Gradientes en precio).</w:t>
      </w:r>
    </w:p>
    <w:p w14:paraId="33A9F943" w14:textId="77777777" w:rsidR="0078465C" w:rsidRPr="009041D4" w:rsidRDefault="0078465C" w:rsidP="0078465C">
      <w:pPr>
        <w:spacing w:after="0"/>
        <w:jc w:val="both"/>
        <w:rPr>
          <w:rFonts w:ascii="Arial" w:hAnsi="Arial" w:cs="Arial"/>
          <w:bCs/>
          <w:lang w:val="es-ES_tradnl"/>
        </w:rPr>
      </w:pPr>
    </w:p>
    <w:p w14:paraId="1ACC3F08"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Esquema para el cálculo del gradiente equivalente de capacidad:</w:t>
      </w:r>
    </w:p>
    <w:p w14:paraId="289AD885"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Se toma como referencia un gradiente que reflejara las economías de escala con base en la experiencia internacional.</w:t>
      </w:r>
    </w:p>
    <w:p w14:paraId="57712C26"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Se toma como referencia el precio de un enlace entre localidades de 34Mbps de capacidad (E3) para enlaces TDM y el de 100Mbps para enlaces Ethernet, se calcula el precio equivalente de los enlaces de todas las velocidades suponiendo que tuviese una capacidad E3 para los enlaces TDM y 100Mbps en el caso de los enlaces Ethernet.</w:t>
      </w:r>
    </w:p>
    <w:p w14:paraId="2BB792BC"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Por último, para comparar los distintos precios equivalentes, se vuelve a tomar como referencia el precio de un enlace E3 / 100Mbps y se calcula una matriz gradiente.</w:t>
      </w:r>
    </w:p>
    <w:p w14:paraId="3C850379" w14:textId="77777777" w:rsidR="0078465C" w:rsidRPr="009041D4" w:rsidRDefault="0078465C" w:rsidP="0078465C">
      <w:pPr>
        <w:spacing w:after="0"/>
        <w:ind w:left="720"/>
        <w:jc w:val="both"/>
        <w:rPr>
          <w:rFonts w:ascii="Arial" w:hAnsi="Arial" w:cs="Arial"/>
          <w:bCs/>
          <w:lang w:val="es-ES_tradnl"/>
        </w:rPr>
      </w:pPr>
    </w:p>
    <w:p w14:paraId="55E3163E"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Lo anterior denota que el precio del Mbps no varía significativamente en los enlaces de velocidades inferiores a E3, contrariamente a los enlaces de velocidades superiores, sin embargo, en Ethernet sí aparecen economías de escala para todas las velocidades.</w:t>
      </w:r>
    </w:p>
    <w:p w14:paraId="03D927D6"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Debido a las economías de escala, el precio por km también debe seguir una progresión en línea con las distancias totales.</w:t>
      </w:r>
    </w:p>
    <w:p w14:paraId="3CD9F204" w14:textId="77777777" w:rsidR="0078465C" w:rsidRPr="009041D4" w:rsidRDefault="0078465C" w:rsidP="0078465C">
      <w:pPr>
        <w:spacing w:after="0"/>
        <w:jc w:val="both"/>
        <w:rPr>
          <w:rFonts w:ascii="Arial" w:hAnsi="Arial" w:cs="Arial"/>
          <w:bCs/>
          <w:lang w:val="es-ES_tradnl"/>
        </w:rPr>
      </w:pPr>
    </w:p>
    <w:p w14:paraId="102662EA"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Esquema para el cálculo del gradiente equivalente de distancia.</w:t>
      </w:r>
    </w:p>
    <w:p w14:paraId="2BAD6E38" w14:textId="77777777" w:rsidR="0078465C" w:rsidRPr="009041D4" w:rsidRDefault="0078465C" w:rsidP="0078465C">
      <w:pPr>
        <w:spacing w:after="0"/>
        <w:jc w:val="both"/>
        <w:rPr>
          <w:rFonts w:ascii="Arial" w:hAnsi="Arial" w:cs="Arial"/>
          <w:bCs/>
          <w:lang w:val="es-ES_tradnl"/>
        </w:rPr>
      </w:pPr>
    </w:p>
    <w:p w14:paraId="376A3190"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Se toma como referencia un gradiente que reflejará las economías de escala con base en la experiencia internacional.</w:t>
      </w:r>
    </w:p>
    <w:p w14:paraId="7FFC2545"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Se toma como referencia el precio de un enlace entre localidades de 40.5km (Da), se calcula el precio equivalente por km para los enlaces de todas las velocidades suponiendo que tuviesen una distancia de 40.5km.</w:t>
      </w:r>
    </w:p>
    <w:p w14:paraId="072EBE9B" w14:textId="77777777" w:rsidR="0078465C" w:rsidRPr="009041D4" w:rsidRDefault="0078465C" w:rsidP="0078465C">
      <w:pPr>
        <w:numPr>
          <w:ilvl w:val="0"/>
          <w:numId w:val="54"/>
        </w:numPr>
        <w:spacing w:after="0"/>
        <w:jc w:val="both"/>
        <w:rPr>
          <w:rFonts w:ascii="Arial" w:hAnsi="Arial" w:cs="Arial"/>
          <w:bCs/>
          <w:lang w:val="es-ES_tradnl"/>
        </w:rPr>
      </w:pPr>
      <w:r w:rsidRPr="009041D4">
        <w:rPr>
          <w:rFonts w:ascii="Arial" w:hAnsi="Arial" w:cs="Arial"/>
          <w:bCs/>
          <w:lang w:val="es-ES_tradnl"/>
        </w:rPr>
        <w:t>Por último, para comparar los distintos precios equivalentes, se vuelve a tomar como referencia el precio de los enlaces de 40.5km y se calcula una matriz gradiente.</w:t>
      </w:r>
    </w:p>
    <w:p w14:paraId="27530193" w14:textId="77777777" w:rsidR="0078465C" w:rsidRPr="009041D4" w:rsidRDefault="0078465C" w:rsidP="0078465C">
      <w:pPr>
        <w:spacing w:after="0"/>
        <w:jc w:val="both"/>
        <w:rPr>
          <w:rFonts w:ascii="Arial" w:hAnsi="Arial" w:cs="Arial"/>
          <w:bCs/>
          <w:lang w:val="es-ES_tradnl"/>
        </w:rPr>
      </w:pPr>
    </w:p>
    <w:p w14:paraId="36701FE5" w14:textId="77777777" w:rsidR="0078465C" w:rsidRPr="009041D4" w:rsidRDefault="0078465C" w:rsidP="0078465C">
      <w:pPr>
        <w:spacing w:after="0"/>
        <w:jc w:val="both"/>
        <w:rPr>
          <w:rFonts w:ascii="Arial" w:hAnsi="Arial" w:cs="Arial"/>
          <w:bCs/>
          <w:lang w:val="es-ES_tradnl"/>
        </w:rPr>
      </w:pPr>
      <w:r w:rsidRPr="009041D4">
        <w:rPr>
          <w:rFonts w:ascii="Arial" w:hAnsi="Arial" w:cs="Arial"/>
          <w:bCs/>
          <w:lang w:val="es-ES_tradnl"/>
        </w:rPr>
        <w:t>Lo anterior muestra que el precio por km en México en Ethernet se mantiene constante, sin reflejar las diferencias de precios de transporte entre niveles de red.</w:t>
      </w:r>
    </w:p>
    <w:p w14:paraId="06847693" w14:textId="77777777" w:rsidR="0078465C" w:rsidRPr="009041D4" w:rsidRDefault="0078465C" w:rsidP="0078465C">
      <w:pPr>
        <w:spacing w:after="0"/>
        <w:jc w:val="both"/>
        <w:rPr>
          <w:rFonts w:ascii="Arial" w:hAnsi="Arial" w:cs="Arial"/>
          <w:bCs/>
          <w:lang w:val="es-ES_tradnl"/>
        </w:rPr>
      </w:pPr>
    </w:p>
    <w:p w14:paraId="22C5ABD6" w14:textId="77777777" w:rsidR="0078465C" w:rsidRPr="009041D4" w:rsidRDefault="0078465C" w:rsidP="0078465C">
      <w:pPr>
        <w:spacing w:after="0"/>
        <w:jc w:val="both"/>
        <w:rPr>
          <w:rFonts w:ascii="Arial" w:hAnsi="Arial" w:cs="Arial"/>
          <w:bCs/>
          <w:lang w:val="es-ES"/>
        </w:rPr>
      </w:pPr>
      <w:r w:rsidRPr="009041D4">
        <w:rPr>
          <w:rFonts w:ascii="Arial" w:hAnsi="Arial" w:cs="Arial"/>
          <w:bCs/>
          <w:lang w:val="es-ES_tradnl"/>
        </w:rPr>
        <w:t xml:space="preserve">El modelo debe incluir un retorno razonable sobre los activos que, de conformidad con el Lineamiento Noveno de la Metodología de Costos, éste será determinado a través del costo de capital promedio ponderado (CCPP). </w:t>
      </w:r>
      <w:r w:rsidRPr="009041D4">
        <w:rPr>
          <w:rFonts w:ascii="Arial" w:hAnsi="Arial" w:cs="Arial"/>
          <w:bCs/>
          <w:lang w:val="es-ES"/>
        </w:rPr>
        <w:t>El Costo de Capital Promedio Ponderado es el calculado en los modelos de costos de servicios de conmutados de interconexión.</w:t>
      </w:r>
    </w:p>
    <w:p w14:paraId="665E10A2" w14:textId="77777777" w:rsidR="007727B0" w:rsidRPr="009041D4" w:rsidRDefault="007727B0" w:rsidP="00FB70C1">
      <w:pPr>
        <w:spacing w:after="0"/>
        <w:ind w:right="51"/>
        <w:jc w:val="both"/>
        <w:rPr>
          <w:rFonts w:ascii="Arial" w:hAnsi="Arial" w:cs="Arial"/>
        </w:rPr>
      </w:pPr>
    </w:p>
    <w:p w14:paraId="7990E615" w14:textId="5501427C" w:rsidR="0078465C" w:rsidRPr="009041D4" w:rsidRDefault="0078465C" w:rsidP="0078465C">
      <w:pPr>
        <w:spacing w:after="360"/>
        <w:jc w:val="both"/>
        <w:rPr>
          <w:rFonts w:ascii="Arial" w:hAnsi="Arial" w:cs="Arial"/>
        </w:rPr>
      </w:pPr>
      <w:r w:rsidRPr="009041D4">
        <w:rPr>
          <w:rFonts w:ascii="Arial" w:hAnsi="Arial" w:cs="Arial"/>
          <w:b/>
        </w:rPr>
        <w:t>Décimo Segunda. - Tarifas de servicios de interconexión conmutados excepto terminación en la red del Agente Económico Preponderante.</w:t>
      </w:r>
      <w:r w:rsidRPr="009041D4">
        <w:rPr>
          <w:rFonts w:ascii="Arial" w:hAnsi="Arial" w:cs="Arial"/>
        </w:rPr>
        <w:t xml:space="preserve"> El artículo 126 de la LFTR señala que, los concesionarios de redes públicas de telecomunicaciones acordarán las condiciones bajo las cuales se llevará a cabo la interconexión de las mismas. Asimismo, el artículo 131 señala en su inciso b) que para el tráfico que termina en la red de los concesionarios distintos al Agente Económico Preponderante la tarifa de interconexión será negociada libremente.</w:t>
      </w:r>
    </w:p>
    <w:p w14:paraId="46D7ADD6" w14:textId="77777777" w:rsidR="0078465C" w:rsidRPr="009041D4" w:rsidRDefault="0078465C" w:rsidP="0078465C">
      <w:pPr>
        <w:spacing w:after="0"/>
        <w:jc w:val="both"/>
        <w:rPr>
          <w:rFonts w:ascii="Arial" w:hAnsi="Arial" w:cs="Arial"/>
        </w:rPr>
      </w:pPr>
      <w:r w:rsidRPr="009041D4">
        <w:rPr>
          <w:rFonts w:ascii="Arial" w:hAnsi="Arial" w:cs="Arial"/>
        </w:rPr>
        <w:t xml:space="preserve">Es así que se observa que la propia LFTR privilegia la voluntad de las partes para efectos de que estas puedan acordar las tarifas aplicables a los distintos servicios de interconexión. </w:t>
      </w:r>
    </w:p>
    <w:p w14:paraId="5B34CE78" w14:textId="77777777" w:rsidR="0078465C" w:rsidRPr="009041D4" w:rsidRDefault="0078465C" w:rsidP="0078465C">
      <w:pPr>
        <w:spacing w:after="0"/>
        <w:jc w:val="both"/>
        <w:rPr>
          <w:rFonts w:ascii="Arial" w:hAnsi="Arial" w:cs="Arial"/>
        </w:rPr>
      </w:pPr>
    </w:p>
    <w:p w14:paraId="13E1C8BC" w14:textId="483CE1E7" w:rsidR="0078465C" w:rsidRPr="009041D4" w:rsidRDefault="0078465C" w:rsidP="0078465C">
      <w:pPr>
        <w:spacing w:after="0"/>
        <w:jc w:val="both"/>
        <w:rPr>
          <w:rFonts w:ascii="Arial" w:hAnsi="Arial" w:cs="Arial"/>
        </w:rPr>
      </w:pPr>
      <w:r w:rsidRPr="009041D4">
        <w:rPr>
          <w:rFonts w:ascii="Arial" w:hAnsi="Arial" w:cs="Arial"/>
        </w:rPr>
        <w:t>Por las razones anteriormente expuestas, se determinan las tarifas que han resultado de las metodologías para el cálculo de los costos de interconexión con base en el Modelo Móvil y el Modelo Fijo para el año 202</w:t>
      </w:r>
      <w:r w:rsidR="00DD3A80" w:rsidRPr="009041D4">
        <w:rPr>
          <w:rFonts w:ascii="Arial" w:hAnsi="Arial" w:cs="Arial"/>
        </w:rPr>
        <w:t>1</w:t>
      </w:r>
      <w:r w:rsidR="00844A47" w:rsidRPr="009041D4">
        <w:rPr>
          <w:rFonts w:ascii="Arial" w:hAnsi="Arial" w:cs="Arial"/>
        </w:rPr>
        <w:t xml:space="preserve"> </w:t>
      </w:r>
      <w:r w:rsidRPr="009041D4">
        <w:rPr>
          <w:rFonts w:ascii="Arial" w:hAnsi="Arial" w:cs="Arial"/>
        </w:rPr>
        <w:t xml:space="preserve">para los concesionarios distintos al Agente Económico Preponderante </w:t>
      </w:r>
      <w:r w:rsidR="00844A47" w:rsidRPr="009041D4">
        <w:rPr>
          <w:rFonts w:ascii="Arial" w:hAnsi="Arial" w:cs="Arial"/>
        </w:rPr>
        <w:t xml:space="preserve">que se utilizarán para resolver los desacuerdos de interconexión que se presenten </w:t>
      </w:r>
      <w:r w:rsidRPr="009041D4">
        <w:rPr>
          <w:rFonts w:ascii="Arial" w:hAnsi="Arial" w:cs="Arial"/>
        </w:rPr>
        <w:t>en los siguientes términos:</w:t>
      </w:r>
    </w:p>
    <w:p w14:paraId="57DE806E" w14:textId="77777777" w:rsidR="0078465C" w:rsidRPr="009041D4" w:rsidRDefault="0078465C" w:rsidP="0078465C">
      <w:pPr>
        <w:shd w:val="clear" w:color="auto" w:fill="FFFFFF"/>
        <w:spacing w:after="100" w:line="240" w:lineRule="auto"/>
        <w:jc w:val="both"/>
        <w:rPr>
          <w:rFonts w:ascii="Arial" w:hAnsi="Arial" w:cs="Arial"/>
        </w:rPr>
      </w:pPr>
    </w:p>
    <w:p w14:paraId="0DF1D547" w14:textId="77777777" w:rsidR="0078465C" w:rsidRPr="009041D4" w:rsidRDefault="0078465C" w:rsidP="0078465C">
      <w:pPr>
        <w:pStyle w:val="Prrafodelista"/>
        <w:numPr>
          <w:ilvl w:val="0"/>
          <w:numId w:val="56"/>
        </w:numPr>
        <w:spacing w:line="276" w:lineRule="auto"/>
        <w:contextualSpacing/>
        <w:rPr>
          <w:rFonts w:cs="Arial"/>
        </w:rPr>
      </w:pPr>
      <w:r w:rsidRPr="009041D4">
        <w:rPr>
          <w:rFonts w:cs="Arial"/>
        </w:rPr>
        <w:t>Tarifa por servicios de terminación del Servicio Local en usuarios móviles.</w:t>
      </w:r>
    </w:p>
    <w:p w14:paraId="118FCC0E" w14:textId="77777777" w:rsidR="0078465C" w:rsidRPr="009041D4" w:rsidRDefault="0078465C" w:rsidP="0078465C">
      <w:pPr>
        <w:pStyle w:val="Prrafodelista"/>
        <w:numPr>
          <w:ilvl w:val="0"/>
          <w:numId w:val="56"/>
        </w:numPr>
        <w:spacing w:line="276" w:lineRule="auto"/>
        <w:contextualSpacing/>
        <w:rPr>
          <w:rFonts w:cs="Arial"/>
        </w:rPr>
      </w:pPr>
      <w:r w:rsidRPr="009041D4">
        <w:rPr>
          <w:rFonts w:cs="Arial"/>
        </w:rPr>
        <w:lastRenderedPageBreak/>
        <w:t>Tarifa por servicios de terminación de mensajes cortos (SMS) en usuarios móviles y fijos.</w:t>
      </w:r>
    </w:p>
    <w:p w14:paraId="5493DE98" w14:textId="77777777" w:rsidR="0078465C" w:rsidRPr="009041D4" w:rsidRDefault="0078465C" w:rsidP="0078465C">
      <w:pPr>
        <w:pStyle w:val="Prrafodelista"/>
        <w:numPr>
          <w:ilvl w:val="0"/>
          <w:numId w:val="56"/>
        </w:numPr>
        <w:spacing w:line="276" w:lineRule="auto"/>
        <w:contextualSpacing/>
        <w:rPr>
          <w:rFonts w:cs="Arial"/>
        </w:rPr>
      </w:pPr>
      <w:r w:rsidRPr="009041D4">
        <w:rPr>
          <w:rFonts w:cs="Arial"/>
        </w:rPr>
        <w:t>Tarifa por servicios de terminación del Servicio Local en usuarios fijos.</w:t>
      </w:r>
    </w:p>
    <w:p w14:paraId="47CF5F2F" w14:textId="77777777" w:rsidR="0078465C" w:rsidRPr="009041D4" w:rsidRDefault="0078465C" w:rsidP="0078465C">
      <w:pPr>
        <w:spacing w:after="0" w:line="240" w:lineRule="auto"/>
        <w:rPr>
          <w:rFonts w:ascii="Arial" w:hAnsi="Arial" w:cs="Arial"/>
        </w:rPr>
      </w:pPr>
    </w:p>
    <w:p w14:paraId="7983727A" w14:textId="62B3464A" w:rsidR="0078465C" w:rsidRPr="009041D4" w:rsidRDefault="0078465C" w:rsidP="0078465C">
      <w:pPr>
        <w:spacing w:after="0"/>
        <w:jc w:val="both"/>
        <w:rPr>
          <w:rFonts w:ascii="Arial" w:hAnsi="Arial" w:cs="Arial"/>
        </w:rPr>
      </w:pPr>
      <w:r w:rsidRPr="009041D4">
        <w:rPr>
          <w:rFonts w:ascii="Arial" w:hAnsi="Arial" w:cs="Arial"/>
        </w:rPr>
        <w:t>Tratándose del Agente Económico Preponderante, las tarifas por los servicios de interconexión para el año 202</w:t>
      </w:r>
      <w:r w:rsidR="00DD3A80" w:rsidRPr="009041D4">
        <w:rPr>
          <w:rFonts w:ascii="Arial" w:hAnsi="Arial" w:cs="Arial"/>
        </w:rPr>
        <w:t>1</w:t>
      </w:r>
      <w:r w:rsidRPr="009041D4">
        <w:rPr>
          <w:rFonts w:ascii="Arial" w:hAnsi="Arial" w:cs="Arial"/>
        </w:rPr>
        <w:t>, que se obtienen del Modelo Móvil y del Modelo Fijo, serán las siguientes:</w:t>
      </w:r>
    </w:p>
    <w:p w14:paraId="42CB9B72" w14:textId="6C413447" w:rsidR="0078465C" w:rsidRPr="009041D4" w:rsidRDefault="0078465C" w:rsidP="0078465C">
      <w:pPr>
        <w:spacing w:after="0"/>
        <w:jc w:val="both"/>
        <w:rPr>
          <w:rFonts w:ascii="Arial" w:hAnsi="Arial" w:cs="Arial"/>
        </w:rPr>
      </w:pPr>
    </w:p>
    <w:p w14:paraId="18173843" w14:textId="1BA44CE7" w:rsidR="0078465C" w:rsidRPr="009041D4" w:rsidDel="00306DD8" w:rsidRDefault="0078465C" w:rsidP="0078465C">
      <w:pPr>
        <w:pStyle w:val="Prrafodelista"/>
        <w:numPr>
          <w:ilvl w:val="0"/>
          <w:numId w:val="56"/>
        </w:numPr>
        <w:spacing w:line="276" w:lineRule="auto"/>
        <w:contextualSpacing/>
        <w:rPr>
          <w:rFonts w:cs="Arial"/>
        </w:rPr>
      </w:pPr>
      <w:r w:rsidRPr="009041D4" w:rsidDel="00306DD8">
        <w:rPr>
          <w:rFonts w:cs="Arial"/>
        </w:rPr>
        <w:t>Por servicio de tránsito móvil.</w:t>
      </w:r>
    </w:p>
    <w:p w14:paraId="4DD61FA1" w14:textId="77777777" w:rsidR="0078465C" w:rsidRPr="009041D4" w:rsidDel="00306DD8" w:rsidRDefault="0078465C" w:rsidP="0078465C">
      <w:pPr>
        <w:pStyle w:val="Prrafodelista"/>
        <w:numPr>
          <w:ilvl w:val="0"/>
          <w:numId w:val="56"/>
        </w:numPr>
        <w:spacing w:line="276" w:lineRule="auto"/>
        <w:contextualSpacing/>
        <w:rPr>
          <w:rFonts w:cs="Arial"/>
        </w:rPr>
      </w:pPr>
      <w:r w:rsidRPr="009041D4" w:rsidDel="00306DD8">
        <w:rPr>
          <w:rFonts w:cs="Arial"/>
        </w:rPr>
        <w:t>Por servicios de originación del Servicio Local en usuarios fijos.</w:t>
      </w:r>
    </w:p>
    <w:p w14:paraId="2A8853A8" w14:textId="77777777" w:rsidR="0078465C" w:rsidRPr="009041D4" w:rsidDel="00306DD8" w:rsidRDefault="0078465C" w:rsidP="0078465C">
      <w:pPr>
        <w:pStyle w:val="Prrafodelista"/>
        <w:numPr>
          <w:ilvl w:val="0"/>
          <w:numId w:val="56"/>
        </w:numPr>
        <w:spacing w:line="276" w:lineRule="auto"/>
        <w:contextualSpacing/>
        <w:rPr>
          <w:rFonts w:cs="Arial"/>
        </w:rPr>
      </w:pPr>
      <w:r w:rsidRPr="009041D4" w:rsidDel="00306DD8">
        <w:rPr>
          <w:rFonts w:cs="Arial"/>
        </w:rPr>
        <w:t>Por servicio de tránsito fijo.</w:t>
      </w:r>
    </w:p>
    <w:p w14:paraId="4AFE2AA6" w14:textId="77777777" w:rsidR="0078465C" w:rsidRPr="009041D4" w:rsidDel="00306DD8" w:rsidRDefault="0078465C" w:rsidP="0078465C">
      <w:pPr>
        <w:pStyle w:val="Prrafodelista"/>
        <w:spacing w:line="276" w:lineRule="auto"/>
        <w:rPr>
          <w:rFonts w:cs="Arial"/>
        </w:rPr>
      </w:pPr>
    </w:p>
    <w:p w14:paraId="13B6FB3F" w14:textId="77777777" w:rsidR="0078465C" w:rsidRPr="009041D4" w:rsidRDefault="0078465C" w:rsidP="0078465C">
      <w:pPr>
        <w:spacing w:after="0"/>
        <w:jc w:val="both"/>
        <w:rPr>
          <w:rFonts w:ascii="Arial" w:hAnsi="Arial" w:cs="Arial"/>
        </w:rPr>
      </w:pPr>
      <w:r w:rsidRPr="009041D4">
        <w:rPr>
          <w:rFonts w:ascii="Arial" w:hAnsi="Arial" w:cs="Arial"/>
        </w:rPr>
        <w:t>Las tarifas anteriores ya incluyen el costo correspondiente a los puertos necesarios para la interconexión.</w:t>
      </w:r>
    </w:p>
    <w:p w14:paraId="6DD16AAA" w14:textId="77777777" w:rsidR="0078465C" w:rsidRPr="009041D4" w:rsidRDefault="0078465C" w:rsidP="0078465C">
      <w:pPr>
        <w:spacing w:after="0"/>
        <w:jc w:val="both"/>
        <w:rPr>
          <w:rFonts w:ascii="Arial" w:hAnsi="Arial" w:cs="Arial"/>
        </w:rPr>
      </w:pPr>
    </w:p>
    <w:p w14:paraId="15F5E03D" w14:textId="37F517C3" w:rsidR="0078465C" w:rsidRPr="009041D4" w:rsidRDefault="0078465C" w:rsidP="0078465C">
      <w:pPr>
        <w:spacing w:after="0"/>
        <w:jc w:val="both"/>
        <w:rPr>
          <w:rFonts w:ascii="Arial" w:hAnsi="Arial" w:cs="Arial"/>
        </w:rPr>
      </w:pPr>
      <w:r w:rsidRPr="009041D4">
        <w:rPr>
          <w:rFonts w:ascii="Arial" w:hAnsi="Arial" w:cs="Arial"/>
        </w:rPr>
        <w:t>La aplicación de las tarifas indicadas en los incisos a), c), d</w:t>
      </w:r>
      <w:r w:rsidR="0050498B" w:rsidRPr="009041D4">
        <w:rPr>
          <w:rFonts w:ascii="Arial" w:hAnsi="Arial" w:cs="Arial"/>
        </w:rPr>
        <w:t>), e</w:t>
      </w:r>
      <w:r w:rsidRPr="009041D4">
        <w:rPr>
          <w:rFonts w:ascii="Arial" w:hAnsi="Arial" w:cs="Arial"/>
        </w:rPr>
        <w:t>) y f)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4A84DF8" w14:textId="77777777" w:rsidR="0078465C" w:rsidRPr="009041D4" w:rsidRDefault="0078465C" w:rsidP="0078465C">
      <w:pPr>
        <w:spacing w:after="0" w:line="240" w:lineRule="auto"/>
        <w:rPr>
          <w:rFonts w:ascii="Arial" w:hAnsi="Arial" w:cs="Arial"/>
        </w:rPr>
      </w:pPr>
    </w:p>
    <w:p w14:paraId="17C3D35A" w14:textId="129C69E4" w:rsidR="0078465C" w:rsidRPr="009041D4" w:rsidRDefault="0078465C" w:rsidP="0078465C">
      <w:pPr>
        <w:spacing w:after="0"/>
        <w:jc w:val="both"/>
        <w:rPr>
          <w:rFonts w:ascii="Arial" w:hAnsi="Arial" w:cs="Arial"/>
        </w:rPr>
      </w:pPr>
      <w:r w:rsidRPr="009041D4">
        <w:rPr>
          <w:rFonts w:ascii="Arial" w:hAnsi="Arial" w:cs="Arial"/>
          <w:b/>
        </w:rPr>
        <w:t xml:space="preserve">Décimo Tercera. - Tarifa del servicio de interconexión conmutado de terminación en la red del Agente Económico Preponderante. </w:t>
      </w:r>
      <w:r w:rsidRPr="009041D4">
        <w:rPr>
          <w:rFonts w:ascii="Arial" w:hAnsi="Arial" w:cs="Arial"/>
        </w:rPr>
        <w:t>Tratándose del Agente Económico Preponderante, las tarifas de interconexión que cobrará del 1 de enero al 31 de diciembre de 202</w:t>
      </w:r>
      <w:r w:rsidR="00DD3A80" w:rsidRPr="009041D4">
        <w:rPr>
          <w:rFonts w:ascii="Arial" w:hAnsi="Arial" w:cs="Arial"/>
        </w:rPr>
        <w:t>1</w:t>
      </w:r>
      <w:r w:rsidRPr="009041D4">
        <w:rPr>
          <w:rFonts w:ascii="Arial" w:hAnsi="Arial" w:cs="Arial"/>
        </w:rPr>
        <w:t xml:space="preserve"> que han resultado de las metodologías para el cálculo de los costos de interconexión con base en el Modelo Móvil y el Modelo Fijo para el servicio de terminación, serán las siguientes:</w:t>
      </w:r>
    </w:p>
    <w:p w14:paraId="4E8FD645" w14:textId="77777777" w:rsidR="0078465C" w:rsidRPr="009041D4" w:rsidRDefault="0078465C" w:rsidP="0078465C">
      <w:pPr>
        <w:spacing w:after="0"/>
        <w:jc w:val="both"/>
        <w:rPr>
          <w:rFonts w:ascii="Arial" w:hAnsi="Arial" w:cs="Arial"/>
          <w:b/>
        </w:rPr>
      </w:pPr>
    </w:p>
    <w:p w14:paraId="7F1C0634" w14:textId="77777777" w:rsidR="0078465C" w:rsidRPr="009041D4" w:rsidRDefault="0078465C" w:rsidP="00844A47">
      <w:pPr>
        <w:pStyle w:val="Prrafodelista"/>
        <w:numPr>
          <w:ilvl w:val="0"/>
          <w:numId w:val="56"/>
        </w:numPr>
        <w:spacing w:line="276" w:lineRule="auto"/>
        <w:contextualSpacing/>
        <w:rPr>
          <w:rFonts w:cs="Arial"/>
        </w:rPr>
      </w:pPr>
      <w:r w:rsidRPr="009041D4">
        <w:rPr>
          <w:rFonts w:cs="Arial"/>
        </w:rPr>
        <w:t>Tarifa por servicios de terminación del Servicio Local en usuarios móviles.</w:t>
      </w:r>
    </w:p>
    <w:p w14:paraId="174BE022" w14:textId="1596FD9D" w:rsidR="0050498B" w:rsidRPr="009041D4" w:rsidRDefault="0078465C" w:rsidP="00844A47">
      <w:pPr>
        <w:pStyle w:val="Prrafodelista"/>
        <w:numPr>
          <w:ilvl w:val="0"/>
          <w:numId w:val="56"/>
        </w:numPr>
        <w:spacing w:line="276" w:lineRule="auto"/>
        <w:contextualSpacing/>
        <w:rPr>
          <w:rFonts w:cs="Arial"/>
        </w:rPr>
      </w:pPr>
      <w:r w:rsidRPr="009041D4">
        <w:rPr>
          <w:rFonts w:cs="Arial"/>
        </w:rPr>
        <w:t>Por servicios de terminación del Servicio Local en usuarios fijos.</w:t>
      </w:r>
    </w:p>
    <w:p w14:paraId="17B1F64F" w14:textId="5C8C22D6" w:rsidR="00306DD8" w:rsidRPr="009041D4" w:rsidRDefault="0078465C" w:rsidP="001F2E88">
      <w:pPr>
        <w:pStyle w:val="Prrafodelista"/>
        <w:numPr>
          <w:ilvl w:val="0"/>
          <w:numId w:val="56"/>
        </w:numPr>
        <w:spacing w:line="276" w:lineRule="auto"/>
        <w:contextualSpacing/>
      </w:pPr>
      <w:r w:rsidRPr="009041D4">
        <w:rPr>
          <w:rFonts w:cs="Arial"/>
        </w:rPr>
        <w:t>Tarifa por servicios de terminación de mensajes cortos (SMS) en usuarios móviles.</w:t>
      </w:r>
    </w:p>
    <w:p w14:paraId="6F4E7523" w14:textId="77777777" w:rsidR="0078465C" w:rsidRPr="009041D4" w:rsidRDefault="0078465C" w:rsidP="00844A47">
      <w:pPr>
        <w:spacing w:after="0"/>
        <w:jc w:val="both"/>
        <w:rPr>
          <w:b/>
        </w:rPr>
      </w:pPr>
    </w:p>
    <w:p w14:paraId="2FF09FA0" w14:textId="77777777" w:rsidR="0078465C" w:rsidRPr="009041D4" w:rsidRDefault="0078465C" w:rsidP="0078465C">
      <w:pPr>
        <w:spacing w:after="0"/>
        <w:jc w:val="both"/>
        <w:rPr>
          <w:rFonts w:ascii="Arial" w:hAnsi="Arial" w:cs="Arial"/>
        </w:rPr>
      </w:pPr>
      <w:r w:rsidRPr="009041D4">
        <w:rPr>
          <w:rFonts w:ascii="Arial" w:hAnsi="Arial" w:cs="Arial"/>
        </w:rPr>
        <w:t>Las tarifas anteriores ya incluyen el costo correspondiente a los puertos necesarios para la interconexión.</w:t>
      </w:r>
    </w:p>
    <w:p w14:paraId="3D288F52" w14:textId="77777777" w:rsidR="0078465C" w:rsidRPr="009041D4" w:rsidRDefault="0078465C" w:rsidP="0078465C">
      <w:pPr>
        <w:spacing w:after="0"/>
        <w:jc w:val="both"/>
        <w:rPr>
          <w:rFonts w:ascii="Arial" w:hAnsi="Arial" w:cs="Arial"/>
        </w:rPr>
      </w:pPr>
    </w:p>
    <w:p w14:paraId="57623EF5" w14:textId="23576CB7" w:rsidR="0078465C" w:rsidRPr="009041D4" w:rsidRDefault="0078465C" w:rsidP="0078465C">
      <w:pPr>
        <w:spacing w:after="0"/>
        <w:jc w:val="both"/>
        <w:rPr>
          <w:rFonts w:ascii="Arial" w:hAnsi="Arial" w:cs="Arial"/>
        </w:rPr>
      </w:pPr>
      <w:r w:rsidRPr="009041D4">
        <w:rPr>
          <w:rFonts w:ascii="Arial" w:hAnsi="Arial" w:cs="Arial"/>
        </w:rPr>
        <w:t>La aplicación de las tarifas indicadas en los incisos g) y h)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5FF10D06" w14:textId="77777777" w:rsidR="00844A47" w:rsidRPr="009041D4" w:rsidRDefault="00844A47" w:rsidP="0078465C">
      <w:pPr>
        <w:spacing w:after="0"/>
        <w:jc w:val="both"/>
        <w:rPr>
          <w:rFonts w:ascii="Arial" w:hAnsi="Arial" w:cs="Arial"/>
          <w:b/>
        </w:rPr>
      </w:pPr>
    </w:p>
    <w:p w14:paraId="6F1631BD" w14:textId="52D1E3CA" w:rsidR="0078465C" w:rsidRPr="009041D4" w:rsidRDefault="0078465C" w:rsidP="0078465C">
      <w:pPr>
        <w:spacing w:after="0"/>
        <w:jc w:val="both"/>
        <w:rPr>
          <w:rFonts w:ascii="Arial" w:hAnsi="Arial" w:cs="Arial"/>
        </w:rPr>
      </w:pPr>
      <w:r w:rsidRPr="009041D4">
        <w:rPr>
          <w:rFonts w:ascii="Arial" w:hAnsi="Arial" w:cs="Arial"/>
          <w:b/>
        </w:rPr>
        <w:t xml:space="preserve">Décima Cuarta. - </w:t>
      </w:r>
      <w:r w:rsidRPr="009041D4">
        <w:rPr>
          <w:rFonts w:ascii="Arial" w:hAnsi="Arial" w:cs="Arial"/>
        </w:rPr>
        <w:t>Las tarifas de los Servicios no conmutados de Interconexión, calculadas con base en los costos por los Servicios de Interconexión que se obtienen del Modelo de Coubicación para el año 202</w:t>
      </w:r>
      <w:r w:rsidR="00877C51" w:rsidRPr="009041D4">
        <w:rPr>
          <w:rFonts w:ascii="Arial" w:hAnsi="Arial" w:cs="Arial"/>
        </w:rPr>
        <w:t>1</w:t>
      </w:r>
      <w:r w:rsidRPr="009041D4">
        <w:rPr>
          <w:rFonts w:ascii="Arial" w:hAnsi="Arial" w:cs="Arial"/>
        </w:rPr>
        <w:t xml:space="preserve"> serán las siguientes: </w:t>
      </w:r>
    </w:p>
    <w:p w14:paraId="417F1FB6" w14:textId="77777777" w:rsidR="0078465C" w:rsidRPr="009041D4" w:rsidRDefault="0078465C" w:rsidP="0078465C">
      <w:pPr>
        <w:spacing w:after="0"/>
        <w:jc w:val="both"/>
        <w:rPr>
          <w:rFonts w:ascii="Arial" w:hAnsi="Arial" w:cs="Arial"/>
        </w:rPr>
      </w:pPr>
    </w:p>
    <w:p w14:paraId="44F0734A" w14:textId="77777777" w:rsidR="0078465C" w:rsidRPr="009041D4" w:rsidRDefault="0078465C" w:rsidP="0078465C">
      <w:pPr>
        <w:pStyle w:val="Prrafodelista"/>
        <w:numPr>
          <w:ilvl w:val="0"/>
          <w:numId w:val="55"/>
        </w:numPr>
        <w:spacing w:line="276" w:lineRule="auto"/>
        <w:contextualSpacing/>
        <w:rPr>
          <w:rFonts w:cs="Arial"/>
        </w:rPr>
      </w:pPr>
      <w:r w:rsidRPr="009041D4">
        <w:rPr>
          <w:rFonts w:cs="Arial"/>
        </w:rPr>
        <w:lastRenderedPageBreak/>
        <w:t>Tarifa por el servicio de coubicación Tipo 1, Tipo 2 y Tipo 3 para concesionarios fijos y móviles para región de costo alto, medio y bajo.</w:t>
      </w:r>
    </w:p>
    <w:p w14:paraId="5783C67B" w14:textId="77777777" w:rsidR="0078465C" w:rsidRPr="009041D4" w:rsidRDefault="0078465C" w:rsidP="0078465C">
      <w:pPr>
        <w:pStyle w:val="Prrafodelista"/>
        <w:spacing w:line="276" w:lineRule="auto"/>
        <w:rPr>
          <w:rFonts w:cs="Arial"/>
        </w:rPr>
      </w:pPr>
    </w:p>
    <w:p w14:paraId="75624C66" w14:textId="4F3F6F53" w:rsidR="0078465C" w:rsidRPr="009041D4" w:rsidRDefault="0078465C" w:rsidP="0078465C">
      <w:pPr>
        <w:spacing w:after="0"/>
        <w:jc w:val="both"/>
        <w:rPr>
          <w:rFonts w:ascii="Arial" w:hAnsi="Arial" w:cs="Arial"/>
        </w:rPr>
      </w:pPr>
      <w:r w:rsidRPr="009041D4">
        <w:rPr>
          <w:rFonts w:ascii="Arial" w:hAnsi="Arial" w:cs="Arial"/>
          <w:b/>
        </w:rPr>
        <w:t xml:space="preserve">Décima Quinta. - </w:t>
      </w:r>
      <w:r w:rsidRPr="009041D4">
        <w:rPr>
          <w:rFonts w:ascii="Arial" w:hAnsi="Arial" w:cs="Arial"/>
        </w:rPr>
        <w:t>Las tarifas de los Servicios no conmutados de Interconexión, calculadas con base en los costos por los Servicios de Interconexión que se obtienen del Modelo de Enlaces de Transmisión entre coubicaciones para el año 202</w:t>
      </w:r>
      <w:r w:rsidR="00877C51" w:rsidRPr="009041D4">
        <w:rPr>
          <w:rFonts w:ascii="Arial" w:hAnsi="Arial" w:cs="Arial"/>
        </w:rPr>
        <w:t>1</w:t>
      </w:r>
      <w:r w:rsidRPr="009041D4">
        <w:rPr>
          <w:rFonts w:ascii="Arial" w:hAnsi="Arial" w:cs="Arial"/>
        </w:rPr>
        <w:t xml:space="preserve"> serán las siguientes:</w:t>
      </w:r>
    </w:p>
    <w:p w14:paraId="5719DE96" w14:textId="77777777" w:rsidR="0078465C" w:rsidRPr="009041D4" w:rsidRDefault="0078465C" w:rsidP="0078465C">
      <w:pPr>
        <w:spacing w:after="0"/>
        <w:jc w:val="both"/>
        <w:rPr>
          <w:rFonts w:ascii="Arial" w:hAnsi="Arial" w:cs="Arial"/>
        </w:rPr>
      </w:pPr>
    </w:p>
    <w:p w14:paraId="167D1250" w14:textId="77777777" w:rsidR="0078465C" w:rsidRPr="009041D4" w:rsidRDefault="0078465C" w:rsidP="0078465C">
      <w:pPr>
        <w:pStyle w:val="Prrafodelista"/>
        <w:numPr>
          <w:ilvl w:val="0"/>
          <w:numId w:val="55"/>
        </w:numPr>
        <w:spacing w:line="276" w:lineRule="auto"/>
        <w:contextualSpacing/>
        <w:rPr>
          <w:rFonts w:cs="Arial"/>
        </w:rPr>
      </w:pPr>
      <w:r w:rsidRPr="009041D4">
        <w:rPr>
          <w:rFonts w:cs="Arial"/>
        </w:rPr>
        <w:t>Tarifa por el servicio de enlaces de transmisión de interconexión entre coubicaciones gestionado y no gestionado.</w:t>
      </w:r>
    </w:p>
    <w:p w14:paraId="5734372A" w14:textId="77777777" w:rsidR="0078465C" w:rsidRPr="009041D4" w:rsidRDefault="0078465C" w:rsidP="0078465C">
      <w:pPr>
        <w:spacing w:after="0" w:line="240" w:lineRule="auto"/>
        <w:jc w:val="both"/>
        <w:rPr>
          <w:rFonts w:ascii="Arial" w:hAnsi="Arial" w:cs="Arial"/>
        </w:rPr>
      </w:pPr>
    </w:p>
    <w:p w14:paraId="093537A1" w14:textId="4F9EAF46" w:rsidR="0078465C" w:rsidRPr="009041D4" w:rsidRDefault="0078465C" w:rsidP="0078465C">
      <w:pPr>
        <w:spacing w:after="0"/>
        <w:jc w:val="both"/>
        <w:rPr>
          <w:rFonts w:ascii="Arial" w:eastAsia="Times New Roman" w:hAnsi="Arial" w:cs="Arial"/>
        </w:rPr>
      </w:pPr>
      <w:r w:rsidRPr="009041D4">
        <w:rPr>
          <w:rFonts w:ascii="Arial" w:hAnsi="Arial" w:cs="Arial"/>
          <w:b/>
        </w:rPr>
        <w:t>Décima Sexta. -</w:t>
      </w:r>
      <w:r w:rsidRPr="009041D4">
        <w:rPr>
          <w:rFonts w:ascii="Arial" w:hAnsi="Arial" w:cs="Arial"/>
        </w:rPr>
        <w:t xml:space="preserve"> Las tarifas </w:t>
      </w:r>
      <w:r w:rsidRPr="009041D4">
        <w:rPr>
          <w:rFonts w:ascii="Arial" w:eastAsia="Times New Roman" w:hAnsi="Arial" w:cs="Arial"/>
        </w:rPr>
        <w:t xml:space="preserve">de </w:t>
      </w:r>
      <w:r w:rsidRPr="009041D4">
        <w:rPr>
          <w:rFonts w:ascii="Arial" w:hAnsi="Arial" w:cs="Arial"/>
        </w:rPr>
        <w:t>los Servicios no conmutados de Interconexión calculadas con base en los costos por</w:t>
      </w:r>
      <w:r w:rsidRPr="009041D4">
        <w:rPr>
          <w:rFonts w:ascii="Arial" w:eastAsia="Times New Roman" w:hAnsi="Arial" w:cs="Arial"/>
        </w:rPr>
        <w:t xml:space="preserve"> los Servicios de Interconexión que se obtienen del Modelo de Enlaces Dedicados de Interconexión, </w:t>
      </w:r>
      <w:r w:rsidRPr="009041D4">
        <w:rPr>
          <w:rFonts w:ascii="Arial" w:hAnsi="Arial" w:cs="Arial"/>
        </w:rPr>
        <w:t>para el año 202</w:t>
      </w:r>
      <w:r w:rsidR="00877C51" w:rsidRPr="009041D4">
        <w:rPr>
          <w:rFonts w:ascii="Arial" w:hAnsi="Arial" w:cs="Arial"/>
        </w:rPr>
        <w:t>1</w:t>
      </w:r>
      <w:r w:rsidRPr="009041D4">
        <w:rPr>
          <w:rFonts w:ascii="Arial" w:hAnsi="Arial" w:cs="Arial"/>
        </w:rPr>
        <w:t xml:space="preserve"> </w:t>
      </w:r>
      <w:r w:rsidRPr="009041D4">
        <w:rPr>
          <w:rFonts w:ascii="Arial" w:eastAsia="Times New Roman" w:hAnsi="Arial" w:cs="Arial"/>
        </w:rPr>
        <w:t>serán las siguientes:</w:t>
      </w:r>
    </w:p>
    <w:p w14:paraId="59A3C825" w14:textId="77777777" w:rsidR="0078465C" w:rsidRPr="009041D4" w:rsidRDefault="0078465C" w:rsidP="0078465C">
      <w:pPr>
        <w:spacing w:after="0"/>
        <w:jc w:val="both"/>
        <w:rPr>
          <w:rFonts w:ascii="Arial" w:eastAsia="Times New Roman" w:hAnsi="Arial" w:cs="Arial"/>
        </w:rPr>
      </w:pPr>
    </w:p>
    <w:p w14:paraId="7B42172B" w14:textId="77777777" w:rsidR="0078465C" w:rsidRPr="009041D4" w:rsidRDefault="0078465C" w:rsidP="0078465C">
      <w:pPr>
        <w:pStyle w:val="Prrafodelista"/>
        <w:numPr>
          <w:ilvl w:val="0"/>
          <w:numId w:val="55"/>
        </w:numPr>
        <w:spacing w:line="276" w:lineRule="auto"/>
        <w:contextualSpacing/>
        <w:rPr>
          <w:rFonts w:cs="Arial"/>
        </w:rPr>
      </w:pPr>
      <w:r w:rsidRPr="009041D4">
        <w:rPr>
          <w:rFonts w:cs="Arial"/>
        </w:rPr>
        <w:t xml:space="preserve">Tarifa por gastos de instalación y renta mensual por el servicio de Enlaces de interconexión con velocidades de transmisión E1 (2.048 Mbps), </w:t>
      </w:r>
      <w:r w:rsidRPr="009041D4">
        <w:rPr>
          <w:rFonts w:cs="Arial"/>
          <w:lang w:val="es-ES"/>
        </w:rPr>
        <w:t>E3 (34 Mbps)</w:t>
      </w:r>
      <w:r w:rsidRPr="009041D4">
        <w:rPr>
          <w:rFonts w:cs="Arial"/>
        </w:rPr>
        <w:t xml:space="preserve">, </w:t>
      </w:r>
      <w:r w:rsidRPr="009041D4">
        <w:rPr>
          <w:rFonts w:cs="Arial"/>
          <w:lang w:val="es-ES"/>
        </w:rPr>
        <w:t>STM1 (</w:t>
      </w:r>
      <w:r w:rsidRPr="009041D4">
        <w:rPr>
          <w:rFonts w:cs="Arial"/>
          <w:bCs/>
          <w:lang w:val="es-ES_tradnl"/>
        </w:rPr>
        <w:t>155.52 Mbps)</w:t>
      </w:r>
      <w:r w:rsidRPr="009041D4">
        <w:rPr>
          <w:rFonts w:cs="Arial"/>
          <w:lang w:val="es-ES"/>
        </w:rPr>
        <w:t xml:space="preserve"> y 1 Gbps</w:t>
      </w:r>
      <w:r w:rsidRPr="009041D4">
        <w:rPr>
          <w:rFonts w:cs="Arial"/>
        </w:rPr>
        <w:t>.</w:t>
      </w:r>
    </w:p>
    <w:p w14:paraId="317FC3C2" w14:textId="77777777" w:rsidR="0078465C" w:rsidRPr="00525D50" w:rsidRDefault="0078465C" w:rsidP="0078465C">
      <w:pPr>
        <w:spacing w:after="0"/>
        <w:jc w:val="both"/>
        <w:rPr>
          <w:rFonts w:ascii="Arial" w:hAnsi="Arial" w:cs="Arial"/>
          <w:b/>
        </w:rPr>
      </w:pPr>
    </w:p>
    <w:p w14:paraId="0D85BC20" w14:textId="77777777" w:rsidR="0078465C" w:rsidRPr="00525D50" w:rsidRDefault="0078465C" w:rsidP="0078465C">
      <w:pPr>
        <w:spacing w:after="0"/>
        <w:jc w:val="both"/>
        <w:rPr>
          <w:rFonts w:ascii="Arial" w:hAnsi="Arial" w:cs="Arial"/>
        </w:rPr>
      </w:pPr>
    </w:p>
    <w:p w14:paraId="5E8ED883" w14:textId="77777777" w:rsidR="0078465C" w:rsidRPr="00525D50" w:rsidRDefault="0078465C" w:rsidP="0078465C">
      <w:pPr>
        <w:spacing w:after="0"/>
        <w:jc w:val="both"/>
        <w:rPr>
          <w:rFonts w:ascii="Arial" w:eastAsia="Times New Roman" w:hAnsi="Arial" w:cs="Arial"/>
        </w:rPr>
      </w:pPr>
    </w:p>
    <w:p w14:paraId="4C69C7BD" w14:textId="77777777" w:rsidR="007C319B" w:rsidRPr="000E3EA1" w:rsidRDefault="007C319B">
      <w:pPr>
        <w:rPr>
          <w:rFonts w:ascii="Arial" w:hAnsi="Arial" w:cs="Arial"/>
        </w:rPr>
      </w:pPr>
    </w:p>
    <w:sectPr w:rsidR="007C319B" w:rsidRPr="000E3EA1">
      <w:headerReference w:type="even" r:id="rId77"/>
      <w:headerReference w:type="default" r:id="rId78"/>
      <w:footerReference w:type="even" r:id="rId79"/>
      <w:footerReference w:type="default" r:id="rId80"/>
      <w:headerReference w:type="first" r:id="rId81"/>
      <w:footerReference w:type="first" r:id="rId82"/>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F81062" w16cid:durableId="22F8B54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F7F7B" w14:textId="77777777" w:rsidR="00347FAD" w:rsidRDefault="00347FAD" w:rsidP="00FB70C1">
      <w:pPr>
        <w:spacing w:after="0" w:line="240" w:lineRule="auto"/>
      </w:pPr>
      <w:r>
        <w:separator/>
      </w:r>
    </w:p>
  </w:endnote>
  <w:endnote w:type="continuationSeparator" w:id="0">
    <w:p w14:paraId="62725257" w14:textId="77777777" w:rsidR="00347FAD" w:rsidRDefault="00347FAD" w:rsidP="00FB70C1">
      <w:pPr>
        <w:spacing w:after="0" w:line="240" w:lineRule="auto"/>
      </w:pPr>
      <w:r>
        <w:continuationSeparator/>
      </w:r>
    </w:p>
  </w:endnote>
  <w:endnote w:type="continuationNotice" w:id="1">
    <w:p w14:paraId="2CA61307" w14:textId="77777777" w:rsidR="00347FAD" w:rsidRDefault="00347F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charset w:val="00"/>
    <w:family w:val="auto"/>
    <w:pitch w:val="variable"/>
    <w:sig w:usb0="00000003" w:usb1="00000000" w:usb2="00000000" w:usb3="00000000" w:csb0="00000001" w:csb1="00000000"/>
  </w:font>
  <w:font w:name="ITC Avant Garde">
    <w:altName w:val="Century Gothic"/>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50402020203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A9A8B" w14:textId="77777777" w:rsidR="00000039" w:rsidRDefault="000000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28830" w14:textId="77777777" w:rsidR="00000039" w:rsidRDefault="0000003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99BB6" w14:textId="77777777" w:rsidR="00000039" w:rsidRDefault="000000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63B1A" w14:textId="77777777" w:rsidR="00347FAD" w:rsidRDefault="00347FAD" w:rsidP="00FB70C1">
      <w:pPr>
        <w:spacing w:after="0" w:line="240" w:lineRule="auto"/>
      </w:pPr>
      <w:r>
        <w:separator/>
      </w:r>
    </w:p>
  </w:footnote>
  <w:footnote w:type="continuationSeparator" w:id="0">
    <w:p w14:paraId="03112024" w14:textId="77777777" w:rsidR="00347FAD" w:rsidRDefault="00347FAD" w:rsidP="00FB70C1">
      <w:pPr>
        <w:spacing w:after="0" w:line="240" w:lineRule="auto"/>
      </w:pPr>
      <w:r>
        <w:continuationSeparator/>
      </w:r>
    </w:p>
  </w:footnote>
  <w:footnote w:type="continuationNotice" w:id="1">
    <w:p w14:paraId="0D6270BF" w14:textId="77777777" w:rsidR="00347FAD" w:rsidRDefault="00347FAD">
      <w:pPr>
        <w:spacing w:after="0" w:line="240" w:lineRule="auto"/>
      </w:pPr>
    </w:p>
  </w:footnote>
  <w:footnote w:id="2">
    <w:p w14:paraId="0B9B1FD4" w14:textId="0622B6B7" w:rsidR="002359B6" w:rsidRPr="00647F51" w:rsidRDefault="002359B6">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IEEE Standard for Ethernet</w:t>
      </w:r>
      <w:r>
        <w:rPr>
          <w:rFonts w:ascii="ITC Avant Garde" w:hAnsi="ITC Avant Garde"/>
          <w:sz w:val="16"/>
          <w:szCs w:val="16"/>
        </w:rPr>
        <w:t xml:space="preserve">, </w:t>
      </w:r>
      <w:r w:rsidRPr="001664E9">
        <w:rPr>
          <w:rFonts w:ascii="ITC Avant Garde" w:hAnsi="ITC Avant Garde"/>
          <w:sz w:val="16"/>
          <w:szCs w:val="16"/>
        </w:rPr>
        <w:t>802.3-2018.</w:t>
      </w:r>
      <w:r w:rsidRPr="00647F51">
        <w:rPr>
          <w:rFonts w:ascii="ITC Avant Garde" w:hAnsi="ITC Avant Garde"/>
          <w:sz w:val="16"/>
          <w:szCs w:val="16"/>
        </w:rPr>
        <w:t> </w:t>
      </w:r>
    </w:p>
  </w:footnote>
  <w:footnote w:id="3">
    <w:p w14:paraId="43DC2046" w14:textId="53367EA8" w:rsidR="009F1BD7" w:rsidRPr="00647F51" w:rsidRDefault="009F1BD7" w:rsidP="00321C82">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w:t>
      </w:r>
      <w:r w:rsidR="00F058E6" w:rsidRPr="00647F51">
        <w:rPr>
          <w:rFonts w:ascii="ITC Avant Garde" w:hAnsi="ITC Avant Garde"/>
          <w:sz w:val="16"/>
          <w:szCs w:val="16"/>
        </w:rPr>
        <w:t>ACUERDO mediante el cual el Pleno del Instituto Federal de Telecomunicaciones expide la Disposición Técnica IFT-005-2016: Interfaz digital a redes públicas (Interfaz digital a 2 048 kbit/s y a 34 368 kbit/s)</w:t>
      </w:r>
      <w:r w:rsidR="00726F2B">
        <w:rPr>
          <w:rFonts w:ascii="ITC Avant Garde" w:hAnsi="ITC Avant Garde"/>
          <w:sz w:val="16"/>
          <w:szCs w:val="16"/>
        </w:rPr>
        <w:t>.</w:t>
      </w:r>
    </w:p>
  </w:footnote>
  <w:footnote w:id="4">
    <w:p w14:paraId="3546C90F" w14:textId="3E03EBB4" w:rsidR="00F058E6" w:rsidRPr="00647F51" w:rsidRDefault="00F058E6" w:rsidP="00647F51">
      <w:pPr>
        <w:spacing w:after="0" w:line="240" w:lineRule="auto"/>
        <w:rPr>
          <w:rFonts w:ascii="ITC Avant Garde" w:hAnsi="ITC Avant Garde"/>
          <w:sz w:val="16"/>
          <w:szCs w:val="16"/>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w:t>
      </w:r>
      <w:r w:rsidRPr="00647F51">
        <w:rPr>
          <w:rFonts w:ascii="ITC Avant Garde" w:eastAsia="Times New Roman" w:hAnsi="ITC Avant Garde"/>
          <w:sz w:val="16"/>
          <w:szCs w:val="16"/>
          <w:lang w:val="es-ES" w:eastAsia="es-ES"/>
        </w:rPr>
        <w:t>ITU G.780, Terms and definitions for synchronous digital hierarchy (SDH) networks</w:t>
      </w:r>
      <w:r w:rsidR="008422EF" w:rsidRPr="00726F2B">
        <w:rPr>
          <w:rFonts w:ascii="ITC Avant Garde" w:eastAsia="Times New Roman" w:hAnsi="ITC Avant Garde"/>
          <w:sz w:val="16"/>
          <w:szCs w:val="16"/>
          <w:lang w:val="es-ES" w:eastAsia="es-ES"/>
        </w:rPr>
        <w:t>.</w:t>
      </w:r>
    </w:p>
  </w:footnote>
  <w:footnote w:id="5">
    <w:p w14:paraId="1AA8A2D1" w14:textId="162558F5" w:rsidR="00F058E6" w:rsidRPr="00647F51" w:rsidRDefault="00F058E6">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G.803, Architecture of transport networks based on the synchronous digital hierarchy (SDH)</w:t>
      </w:r>
      <w:r w:rsidR="008422EF" w:rsidRPr="00726F2B">
        <w:rPr>
          <w:rFonts w:ascii="ITC Avant Garde" w:hAnsi="ITC Avant Garde"/>
          <w:sz w:val="16"/>
          <w:szCs w:val="16"/>
        </w:rPr>
        <w:t>.</w:t>
      </w:r>
    </w:p>
  </w:footnote>
  <w:footnote w:id="6">
    <w:p w14:paraId="61D7082B" w14:textId="4E6BBC58" w:rsidR="00F058E6" w:rsidRPr="00647F51" w:rsidRDefault="00F058E6">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G.810, Definitions and terminology for synchronization networks</w:t>
      </w:r>
      <w:r w:rsidR="008422EF" w:rsidRPr="00726F2B">
        <w:rPr>
          <w:rFonts w:ascii="ITC Avant Garde" w:hAnsi="ITC Avant Garde"/>
          <w:sz w:val="16"/>
          <w:szCs w:val="16"/>
        </w:rPr>
        <w:t>.</w:t>
      </w:r>
    </w:p>
  </w:footnote>
  <w:footnote w:id="7">
    <w:p w14:paraId="5D95EDFE" w14:textId="080DEF21" w:rsidR="00A23CEE" w:rsidRPr="00647F51" w:rsidRDefault="00A23CEE">
      <w:pPr>
        <w:pStyle w:val="Textonotapie"/>
        <w:rPr>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3261, SIP: Session Initiation Protocol</w:t>
      </w:r>
      <w:r w:rsidR="00726F2B">
        <w:rPr>
          <w:rFonts w:ascii="ITC Avant Garde" w:hAnsi="ITC Avant Garde"/>
          <w:sz w:val="16"/>
          <w:szCs w:val="16"/>
        </w:rPr>
        <w:t>.</w:t>
      </w:r>
    </w:p>
  </w:footnote>
  <w:footnote w:id="8">
    <w:p w14:paraId="5E1FB3EA" w14:textId="41AFF3BB" w:rsidR="00BE04B0" w:rsidRPr="00647F51" w:rsidRDefault="00BE04B0">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3311, The Session Initiation Protocol (SIP) UPDATE Method</w:t>
      </w:r>
      <w:r w:rsidR="008422EF" w:rsidRPr="00647F51">
        <w:rPr>
          <w:rFonts w:ascii="ITC Avant Garde" w:hAnsi="ITC Avant Garde"/>
          <w:sz w:val="16"/>
          <w:szCs w:val="16"/>
        </w:rPr>
        <w:t>.</w:t>
      </w:r>
    </w:p>
  </w:footnote>
  <w:footnote w:id="9">
    <w:p w14:paraId="0C057C6D" w14:textId="16261791" w:rsidR="00BE04B0" w:rsidRPr="00647F51" w:rsidRDefault="00BE04B0">
      <w:pPr>
        <w:pStyle w:val="Textonotapie"/>
        <w:rPr>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3262, Reliability of Provisional Responses in the Session Initiation Protocol (SIP)</w:t>
      </w:r>
      <w:r w:rsidR="008422EF" w:rsidRPr="00647F51">
        <w:rPr>
          <w:rFonts w:ascii="ITC Avant Garde" w:hAnsi="ITC Avant Garde"/>
          <w:sz w:val="16"/>
          <w:szCs w:val="16"/>
        </w:rPr>
        <w:t>.</w:t>
      </w:r>
    </w:p>
  </w:footnote>
  <w:footnote w:id="10">
    <w:p w14:paraId="62E2874E" w14:textId="7D4ACB43" w:rsidR="00BE04B0" w:rsidRPr="00647F51" w:rsidRDefault="00BE04B0">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4028, Session Timers in the Session Initiation Protocol (SIP)</w:t>
      </w:r>
      <w:r w:rsidR="008422EF" w:rsidRPr="00F40A24">
        <w:rPr>
          <w:rFonts w:ascii="ITC Avant Garde" w:hAnsi="ITC Avant Garde"/>
          <w:sz w:val="16"/>
          <w:szCs w:val="16"/>
        </w:rPr>
        <w:t>.</w:t>
      </w:r>
    </w:p>
  </w:footnote>
  <w:footnote w:id="11">
    <w:p w14:paraId="218C6DD4" w14:textId="39A567F9" w:rsidR="00BE04B0" w:rsidRPr="00647F51" w:rsidRDefault="00BE04B0" w:rsidP="00647F51">
      <w:pPr>
        <w:spacing w:after="0" w:line="240" w:lineRule="auto"/>
        <w:rPr>
          <w:rFonts w:ascii="ITC Avant Garde" w:hAnsi="ITC Avant Garde"/>
          <w:sz w:val="16"/>
          <w:szCs w:val="16"/>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w:t>
      </w:r>
      <w:r w:rsidRPr="00647F51">
        <w:rPr>
          <w:rFonts w:ascii="ITC Avant Garde" w:eastAsia="Times New Roman" w:hAnsi="ITC Avant Garde"/>
          <w:sz w:val="16"/>
          <w:szCs w:val="16"/>
          <w:lang w:val="es-ES" w:eastAsia="es-ES"/>
        </w:rPr>
        <w:t>IETF RFC 3323, A Privacy Mechanism for the Session Initiation Protocol (SIP)</w:t>
      </w:r>
      <w:r w:rsidR="008422EF" w:rsidRPr="00F40A24">
        <w:rPr>
          <w:rFonts w:ascii="ITC Avant Garde" w:eastAsia="Times New Roman" w:hAnsi="ITC Avant Garde"/>
          <w:sz w:val="16"/>
          <w:szCs w:val="16"/>
          <w:lang w:val="es-ES" w:eastAsia="es-ES"/>
        </w:rPr>
        <w:t>.</w:t>
      </w:r>
    </w:p>
  </w:footnote>
  <w:footnote w:id="12">
    <w:p w14:paraId="55328ABF" w14:textId="678413AE" w:rsidR="00BE04B0" w:rsidRPr="00647F51" w:rsidRDefault="00BE04B0">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3326, The Reason Header Fiel for the Session Initiation Protocol (SIP)</w:t>
      </w:r>
      <w:r w:rsidR="008422EF" w:rsidRPr="00F40A24">
        <w:rPr>
          <w:rFonts w:ascii="ITC Avant Garde" w:hAnsi="ITC Avant Garde"/>
          <w:sz w:val="16"/>
          <w:szCs w:val="16"/>
        </w:rPr>
        <w:t>.</w:t>
      </w:r>
    </w:p>
  </w:footnote>
  <w:footnote w:id="13">
    <w:p w14:paraId="17CE0690" w14:textId="16667BB2" w:rsidR="00BE04B0" w:rsidRPr="00647F51" w:rsidRDefault="00BE04B0">
      <w:pPr>
        <w:pStyle w:val="Textonotapie"/>
        <w:rPr>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3325, Private Extensions to the Session Initiaton Protocol (SIP) for Asserted Identity within Trusted</w:t>
      </w:r>
      <w:r w:rsidR="008422EF" w:rsidRPr="00F40A24">
        <w:rPr>
          <w:rFonts w:ascii="ITC Avant Garde" w:hAnsi="ITC Avant Garde"/>
          <w:sz w:val="16"/>
          <w:szCs w:val="16"/>
        </w:rPr>
        <w:t xml:space="preserve"> </w:t>
      </w:r>
      <w:r w:rsidRPr="00647F51">
        <w:rPr>
          <w:rFonts w:ascii="ITC Avant Garde" w:hAnsi="ITC Avant Garde"/>
          <w:sz w:val="16"/>
          <w:szCs w:val="16"/>
        </w:rPr>
        <w:t>Networks</w:t>
      </w:r>
      <w:r w:rsidR="008422EF" w:rsidRPr="00F40A24">
        <w:rPr>
          <w:rFonts w:ascii="ITC Avant Garde" w:hAnsi="ITC Avant Garde"/>
          <w:sz w:val="16"/>
          <w:szCs w:val="16"/>
        </w:rPr>
        <w:t>.</w:t>
      </w:r>
    </w:p>
  </w:footnote>
  <w:footnote w:id="14">
    <w:p w14:paraId="6FA65978" w14:textId="169652F5" w:rsidR="00BE04B0" w:rsidRPr="00647F51" w:rsidRDefault="00BE04B0" w:rsidP="00647F51">
      <w:pPr>
        <w:pStyle w:val="Ttulo2"/>
        <w:shd w:val="clear" w:color="auto" w:fill="FFFFFF"/>
        <w:spacing w:before="0" w:line="240" w:lineRule="auto"/>
        <w:rPr>
          <w:rFonts w:ascii="ITC Avant Garde" w:hAnsi="ITC Avant Garde"/>
          <w:sz w:val="16"/>
          <w:szCs w:val="16"/>
        </w:rPr>
      </w:pPr>
      <w:r w:rsidRPr="00647F51">
        <w:rPr>
          <w:rStyle w:val="Refdenotaalpie"/>
          <w:rFonts w:ascii="ITC Avant Garde" w:eastAsia="Times New Roman" w:hAnsi="ITC Avant Garde" w:cs="Times New Roman"/>
          <w:color w:val="auto"/>
          <w:sz w:val="16"/>
          <w:szCs w:val="16"/>
          <w:lang w:val="es-ES" w:eastAsia="es-ES"/>
        </w:rPr>
        <w:footnoteRef/>
      </w:r>
      <w:r w:rsidRPr="00647F51">
        <w:rPr>
          <w:rStyle w:val="Refdenotaalpie"/>
          <w:rFonts w:ascii="ITC Avant Garde" w:hAnsi="ITC Avant Garde"/>
          <w:sz w:val="16"/>
          <w:szCs w:val="16"/>
        </w:rPr>
        <w:t xml:space="preserve"> </w:t>
      </w:r>
      <w:r w:rsidRPr="00647F51">
        <w:rPr>
          <w:rFonts w:ascii="ITC Avant Garde" w:eastAsia="Times New Roman" w:hAnsi="ITC Avant Garde" w:cs="Times New Roman"/>
          <w:color w:val="auto"/>
          <w:sz w:val="16"/>
          <w:szCs w:val="16"/>
          <w:lang w:val="es-ES" w:eastAsia="es-ES"/>
        </w:rPr>
        <w:t>IETF RFC 5009, Private Header (P-Header) Extension to the Session Initiation Protocol (SIP) for Authorization of Early Media</w:t>
      </w:r>
      <w:r w:rsidR="005534D7">
        <w:rPr>
          <w:rFonts w:ascii="ITC Avant Garde" w:eastAsia="Times New Roman" w:hAnsi="ITC Avant Garde" w:cs="Times New Roman"/>
          <w:color w:val="auto"/>
          <w:sz w:val="16"/>
          <w:szCs w:val="16"/>
          <w:lang w:val="es-ES" w:eastAsia="es-ES"/>
        </w:rPr>
        <w:t>.</w:t>
      </w:r>
    </w:p>
  </w:footnote>
  <w:footnote w:id="15">
    <w:p w14:paraId="588DBCE7" w14:textId="16DCEB18" w:rsidR="00BE04B0" w:rsidRPr="00647F51" w:rsidRDefault="00BE04B0">
      <w:pPr>
        <w:pStyle w:val="Textonotapie"/>
        <w:rPr>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4566, SDP: Session Description Protocol</w:t>
      </w:r>
      <w:r w:rsidR="005534D7">
        <w:rPr>
          <w:rFonts w:ascii="ITC Avant Garde" w:hAnsi="ITC Avant Garde"/>
          <w:sz w:val="16"/>
          <w:szCs w:val="16"/>
        </w:rPr>
        <w:t>.</w:t>
      </w:r>
    </w:p>
  </w:footnote>
  <w:footnote w:id="16">
    <w:p w14:paraId="02359853" w14:textId="1E203308" w:rsidR="00BE04B0" w:rsidRPr="00647F51" w:rsidRDefault="00BE04B0">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3551, RTP Profile for Audio and Video Conferences with Minimal Control</w:t>
      </w:r>
      <w:r w:rsidR="004A660A" w:rsidRPr="00D71A2D">
        <w:rPr>
          <w:rFonts w:ascii="ITC Avant Garde" w:hAnsi="ITC Avant Garde"/>
          <w:sz w:val="16"/>
          <w:szCs w:val="16"/>
        </w:rPr>
        <w:t>.</w:t>
      </w:r>
    </w:p>
  </w:footnote>
  <w:footnote w:id="17">
    <w:p w14:paraId="0A484635" w14:textId="0CF810FA" w:rsidR="00905F34" w:rsidRPr="00647F51" w:rsidRDefault="00905F34">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3264, </w:t>
      </w:r>
      <w:r w:rsidRPr="00647F51">
        <w:rPr>
          <w:rFonts w:ascii="ITC Avant Garde" w:hAnsi="ITC Avant Garde"/>
          <w:iCs/>
          <w:sz w:val="16"/>
          <w:szCs w:val="16"/>
        </w:rPr>
        <w:t>An Offer/Answer Model with the Session Description Protocol (SDP)</w:t>
      </w:r>
      <w:r w:rsidR="004A660A" w:rsidRPr="00D71A2D">
        <w:rPr>
          <w:rFonts w:ascii="ITC Avant Garde" w:hAnsi="ITC Avant Garde"/>
          <w:iCs/>
          <w:sz w:val="16"/>
          <w:szCs w:val="16"/>
        </w:rPr>
        <w:t>.</w:t>
      </w:r>
    </w:p>
  </w:footnote>
  <w:footnote w:id="18">
    <w:p w14:paraId="6367535A" w14:textId="23B006E3" w:rsidR="00905F34" w:rsidRPr="00647F51" w:rsidRDefault="00905F34">
      <w:pPr>
        <w:pStyle w:val="Textonotapie"/>
        <w:rPr>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3960, </w:t>
      </w:r>
      <w:r w:rsidRPr="00647F51">
        <w:rPr>
          <w:rFonts w:ascii="ITC Avant Garde" w:hAnsi="ITC Avant Garde"/>
          <w:iCs/>
          <w:sz w:val="16"/>
          <w:szCs w:val="16"/>
        </w:rPr>
        <w:t>Early Media and Ringing Tone Generation in the Session Initiation Protocol (SIP</w:t>
      </w:r>
      <w:r w:rsidRPr="00647F51">
        <w:rPr>
          <w:rFonts w:ascii="ITC Avant Garde" w:hAnsi="ITC Avant Garde"/>
          <w:i/>
          <w:iCs/>
          <w:sz w:val="16"/>
          <w:szCs w:val="16"/>
        </w:rPr>
        <w:t>)</w:t>
      </w:r>
      <w:r w:rsidR="004A660A" w:rsidRPr="00D71A2D">
        <w:rPr>
          <w:rFonts w:ascii="ITC Avant Garde" w:hAnsi="ITC Avant Garde"/>
          <w:i/>
          <w:iCs/>
          <w:sz w:val="16"/>
          <w:szCs w:val="16"/>
        </w:rPr>
        <w:t>.</w:t>
      </w:r>
    </w:p>
  </w:footnote>
  <w:footnote w:id="19">
    <w:p w14:paraId="69718ECB" w14:textId="3304F18E" w:rsidR="00905F34" w:rsidRPr="00647F51" w:rsidRDefault="00905F34">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4734, </w:t>
      </w:r>
      <w:r w:rsidRPr="00647F51">
        <w:rPr>
          <w:rFonts w:ascii="ITC Avant Garde" w:hAnsi="ITC Avant Garde"/>
          <w:iCs/>
          <w:sz w:val="16"/>
          <w:szCs w:val="16"/>
        </w:rPr>
        <w:t>Definition of Events for Modem, Fax, and Text Telephony Signals</w:t>
      </w:r>
      <w:r w:rsidR="004A660A" w:rsidRPr="006A25F3">
        <w:rPr>
          <w:rFonts w:ascii="ITC Avant Garde" w:hAnsi="ITC Avant Garde"/>
          <w:iCs/>
          <w:sz w:val="16"/>
          <w:szCs w:val="16"/>
        </w:rPr>
        <w:t>.</w:t>
      </w:r>
    </w:p>
  </w:footnote>
  <w:footnote w:id="20">
    <w:p w14:paraId="4D35F300" w14:textId="5FB3AC2D" w:rsidR="00905F34" w:rsidRPr="00647F51" w:rsidRDefault="00905F34">
      <w:pPr>
        <w:pStyle w:val="Textonotapie"/>
        <w:rPr>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4733, </w:t>
      </w:r>
      <w:r w:rsidRPr="00647F51">
        <w:rPr>
          <w:rFonts w:ascii="ITC Avant Garde" w:hAnsi="ITC Avant Garde"/>
          <w:iCs/>
          <w:sz w:val="16"/>
          <w:szCs w:val="16"/>
        </w:rPr>
        <w:t>RTP Payload for DTMF Digits, Telephony Tones, and Telephony Signals</w:t>
      </w:r>
      <w:r w:rsidR="004A660A" w:rsidRPr="006A25F3">
        <w:rPr>
          <w:rFonts w:ascii="ITC Avant Garde" w:hAnsi="ITC Avant Garde"/>
          <w:iCs/>
          <w:sz w:val="16"/>
          <w:szCs w:val="16"/>
        </w:rPr>
        <w:t>.</w:t>
      </w:r>
    </w:p>
  </w:footnote>
  <w:footnote w:id="21">
    <w:p w14:paraId="6FAFAC13" w14:textId="4F9F38EB" w:rsidR="00905F34" w:rsidRPr="00647F51" w:rsidRDefault="00905F34">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ETF RFC 768, </w:t>
      </w:r>
      <w:r w:rsidRPr="00647F51">
        <w:rPr>
          <w:rFonts w:ascii="ITC Avant Garde" w:hAnsi="ITC Avant Garde"/>
          <w:iCs/>
          <w:sz w:val="16"/>
          <w:szCs w:val="16"/>
        </w:rPr>
        <w:t>User Datagram Protocol</w:t>
      </w:r>
      <w:r w:rsidR="004A660A" w:rsidRPr="006A25F3">
        <w:rPr>
          <w:rFonts w:ascii="ITC Avant Garde" w:hAnsi="ITC Avant Garde"/>
          <w:iCs/>
          <w:sz w:val="16"/>
          <w:szCs w:val="16"/>
        </w:rPr>
        <w:t>.</w:t>
      </w:r>
    </w:p>
  </w:footnote>
  <w:footnote w:id="22">
    <w:p w14:paraId="0221E36D" w14:textId="2A57616B" w:rsidR="00905F34" w:rsidRPr="00647F51" w:rsidRDefault="00905F34">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3550, </w:t>
      </w:r>
      <w:r w:rsidRPr="00647F51">
        <w:rPr>
          <w:rFonts w:ascii="ITC Avant Garde" w:hAnsi="ITC Avant Garde"/>
          <w:iCs/>
          <w:sz w:val="16"/>
          <w:szCs w:val="16"/>
        </w:rPr>
        <w:t>RTP: A Transport Protocol for Real-Time Applications</w:t>
      </w:r>
      <w:r w:rsidR="004A660A" w:rsidRPr="006A25F3">
        <w:rPr>
          <w:rFonts w:ascii="ITC Avant Garde" w:hAnsi="ITC Avant Garde"/>
          <w:iCs/>
          <w:sz w:val="16"/>
          <w:szCs w:val="16"/>
        </w:rPr>
        <w:t>.</w:t>
      </w:r>
    </w:p>
  </w:footnote>
  <w:footnote w:id="23">
    <w:p w14:paraId="1A17EE83" w14:textId="3E81B114" w:rsidR="00905F34" w:rsidRPr="00647F51" w:rsidRDefault="00905F34">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E.164, </w:t>
      </w:r>
      <w:r w:rsidR="004A660A">
        <w:rPr>
          <w:rFonts w:ascii="ITC Avant Garde" w:hAnsi="ITC Avant Garde"/>
          <w:sz w:val="16"/>
          <w:szCs w:val="16"/>
        </w:rPr>
        <w:t>T</w:t>
      </w:r>
      <w:r w:rsidRPr="00647F51">
        <w:rPr>
          <w:rFonts w:ascii="ITC Avant Garde" w:hAnsi="ITC Avant Garde"/>
          <w:iCs/>
          <w:sz w:val="16"/>
          <w:szCs w:val="16"/>
        </w:rPr>
        <w:t>he international public telecommunication numbering plan</w:t>
      </w:r>
      <w:r w:rsidR="004A660A">
        <w:rPr>
          <w:rFonts w:ascii="ITC Avant Garde" w:hAnsi="ITC Avant Garde"/>
          <w:iCs/>
          <w:sz w:val="16"/>
          <w:szCs w:val="16"/>
        </w:rPr>
        <w:t>.</w:t>
      </w:r>
    </w:p>
  </w:footnote>
  <w:footnote w:id="24">
    <w:p w14:paraId="09B387A9" w14:textId="537F78EB" w:rsidR="00905F34" w:rsidRPr="00647F51" w:rsidRDefault="00905F34">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3966, </w:t>
      </w:r>
      <w:r w:rsidR="00EE2AE5" w:rsidRPr="00EE2AE5">
        <w:rPr>
          <w:rFonts w:ascii="ITC Avant Garde" w:hAnsi="ITC Avant Garde"/>
          <w:sz w:val="16"/>
          <w:szCs w:val="16"/>
        </w:rPr>
        <w:t>T</w:t>
      </w:r>
      <w:r w:rsidRPr="00647F51">
        <w:rPr>
          <w:rFonts w:ascii="ITC Avant Garde" w:hAnsi="ITC Avant Garde"/>
          <w:iCs/>
          <w:sz w:val="16"/>
          <w:szCs w:val="16"/>
        </w:rPr>
        <w:t>he tel URI for Telephone Numbers</w:t>
      </w:r>
      <w:r w:rsidR="00EE2AE5" w:rsidRPr="00647F51">
        <w:rPr>
          <w:rFonts w:ascii="ITC Avant Garde" w:hAnsi="ITC Avant Garde"/>
          <w:iCs/>
          <w:sz w:val="16"/>
          <w:szCs w:val="16"/>
        </w:rPr>
        <w:t>.</w:t>
      </w:r>
    </w:p>
  </w:footnote>
  <w:footnote w:id="25">
    <w:p w14:paraId="4D2D28A7" w14:textId="71E05E64" w:rsidR="00905F34" w:rsidRPr="00647F51" w:rsidRDefault="00905F34">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IETF RFC 4694, </w:t>
      </w:r>
      <w:r w:rsidRPr="00647F51">
        <w:rPr>
          <w:rFonts w:ascii="ITC Avant Garde" w:hAnsi="ITC Avant Garde"/>
          <w:iCs/>
          <w:sz w:val="16"/>
          <w:szCs w:val="16"/>
        </w:rPr>
        <w:t>Number Portability Parameters for the tel URI</w:t>
      </w:r>
      <w:r w:rsidR="00EE2AE5">
        <w:rPr>
          <w:rFonts w:ascii="ITC Avant Garde" w:hAnsi="ITC Avant Garde"/>
          <w:iCs/>
          <w:sz w:val="16"/>
          <w:szCs w:val="16"/>
        </w:rPr>
        <w:t>.</w:t>
      </w:r>
    </w:p>
  </w:footnote>
  <w:footnote w:id="26">
    <w:p w14:paraId="6A182B2D" w14:textId="77777777" w:rsidR="006D15C5" w:rsidRPr="00647F51" w:rsidRDefault="006D15C5" w:rsidP="00FB70C1">
      <w:pPr>
        <w:pStyle w:val="Textonotapie"/>
        <w:rPr>
          <w:rFonts w:ascii="ITC Avant Garde" w:hAnsi="ITC Avant Garde"/>
          <w:sz w:val="16"/>
          <w:szCs w:val="16"/>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Las respuestas temporales, indican que el servidor contactado está realizando una cierta acción y todavía no tiene una respuesta definitiva. </w:t>
      </w:r>
    </w:p>
  </w:footnote>
  <w:footnote w:id="27">
    <w:p w14:paraId="5511DB58" w14:textId="3CE61436" w:rsidR="00905F34" w:rsidRPr="00647F51" w:rsidRDefault="00905F34">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w:t>
      </w:r>
      <w:r w:rsidR="00320AB5" w:rsidRPr="00647F51">
        <w:rPr>
          <w:rFonts w:ascii="ITC Avant Garde" w:hAnsi="ITC Avant Garde"/>
          <w:sz w:val="16"/>
          <w:szCs w:val="16"/>
        </w:rPr>
        <w:t xml:space="preserve">IETF RFC 5359, </w:t>
      </w:r>
      <w:r w:rsidR="00320AB5" w:rsidRPr="00647F51">
        <w:rPr>
          <w:rFonts w:ascii="ITC Avant Garde" w:hAnsi="ITC Avant Garde"/>
          <w:iCs/>
          <w:sz w:val="16"/>
          <w:szCs w:val="16"/>
        </w:rPr>
        <w:t>Session Initiation Protocol Service Examples</w:t>
      </w:r>
      <w:r w:rsidR="00726F2B">
        <w:rPr>
          <w:rFonts w:ascii="ITC Avant Garde" w:hAnsi="ITC Avant Garde"/>
          <w:iCs/>
          <w:sz w:val="16"/>
          <w:szCs w:val="16"/>
        </w:rPr>
        <w:t>.</w:t>
      </w:r>
    </w:p>
  </w:footnote>
  <w:footnote w:id="28">
    <w:p w14:paraId="3C3D53C6" w14:textId="77777777" w:rsidR="006D15C5" w:rsidRPr="00B459B9" w:rsidRDefault="006D15C5" w:rsidP="00FB70C1">
      <w:pPr>
        <w:pStyle w:val="Textonotapie"/>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Conforme a la recomendación 3261.</w:t>
      </w:r>
      <w:r w:rsidRPr="00874845">
        <w:rPr>
          <w:rFonts w:ascii="ITC Avant Garde" w:hAnsi="ITC Avant Garde"/>
          <w:sz w:val="16"/>
          <w:szCs w:val="22"/>
        </w:rPr>
        <w:t xml:space="preserve">  </w:t>
      </w:r>
    </w:p>
  </w:footnote>
  <w:footnote w:id="29">
    <w:p w14:paraId="2C77ADD9" w14:textId="4F19A1C7" w:rsidR="00320AB5" w:rsidRPr="00647F51" w:rsidRDefault="00320AB5">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Y.1540, </w:t>
      </w:r>
      <w:r w:rsidRPr="00647F51">
        <w:rPr>
          <w:rFonts w:ascii="ITC Avant Garde" w:hAnsi="ITC Avant Garde"/>
          <w:iCs/>
          <w:sz w:val="16"/>
          <w:szCs w:val="16"/>
        </w:rPr>
        <w:t>Internet protocol data communication service – IP packet transfer and availability performance parameters</w:t>
      </w:r>
      <w:r w:rsidR="00726F2B">
        <w:rPr>
          <w:rFonts w:ascii="ITC Avant Garde" w:hAnsi="ITC Avant Garde"/>
          <w:iCs/>
          <w:sz w:val="16"/>
          <w:szCs w:val="16"/>
        </w:rPr>
        <w:t>.</w:t>
      </w:r>
    </w:p>
  </w:footnote>
  <w:footnote w:id="30">
    <w:p w14:paraId="612404D7" w14:textId="25602F0E" w:rsidR="00320AB5" w:rsidRPr="00647F51" w:rsidRDefault="00320AB5">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Y.1541, </w:t>
      </w:r>
      <w:r w:rsidRPr="00647F51">
        <w:rPr>
          <w:rFonts w:ascii="ITC Avant Garde" w:hAnsi="ITC Avant Garde"/>
          <w:iCs/>
          <w:sz w:val="16"/>
          <w:szCs w:val="16"/>
        </w:rPr>
        <w:t>Network performance objectives for IP-based services</w:t>
      </w:r>
      <w:r w:rsidR="00726F2B">
        <w:rPr>
          <w:rFonts w:ascii="ITC Avant Garde" w:hAnsi="ITC Avant Garde"/>
          <w:iCs/>
          <w:sz w:val="16"/>
          <w:szCs w:val="16"/>
        </w:rPr>
        <w:t>.</w:t>
      </w:r>
    </w:p>
  </w:footnote>
  <w:footnote w:id="31">
    <w:p w14:paraId="441FA5DE" w14:textId="0ECB9FEF" w:rsidR="004522AC" w:rsidRPr="00647F51" w:rsidRDefault="004522AC">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RFC 4594, </w:t>
      </w:r>
      <w:r w:rsidRPr="00647F51">
        <w:rPr>
          <w:rFonts w:ascii="ITC Avant Garde" w:hAnsi="ITC Avant Garde"/>
          <w:iCs/>
          <w:sz w:val="16"/>
          <w:szCs w:val="16"/>
        </w:rPr>
        <w:t>Configuration Guidelines for DiffServ Service Classes</w:t>
      </w:r>
      <w:r w:rsidR="00726F2B">
        <w:rPr>
          <w:rFonts w:ascii="ITC Avant Garde" w:hAnsi="ITC Avant Garde"/>
          <w:iCs/>
          <w:sz w:val="16"/>
          <w:szCs w:val="16"/>
        </w:rPr>
        <w:t>.</w:t>
      </w:r>
    </w:p>
  </w:footnote>
  <w:footnote w:id="32">
    <w:p w14:paraId="38D35173" w14:textId="4545079B" w:rsidR="004522AC" w:rsidRPr="00647F51" w:rsidRDefault="004522AC" w:rsidP="004522AC">
      <w:pPr>
        <w:spacing w:after="0" w:line="240" w:lineRule="auto"/>
        <w:jc w:val="both"/>
        <w:rPr>
          <w:rFonts w:ascii="ITC Avant Garde" w:hAnsi="ITC Avant Garde"/>
          <w:iCs/>
          <w:sz w:val="16"/>
          <w:szCs w:val="16"/>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G.811, </w:t>
      </w:r>
      <w:r w:rsidRPr="00647F51">
        <w:rPr>
          <w:rFonts w:ascii="ITC Avant Garde" w:hAnsi="ITC Avant Garde"/>
          <w:iCs/>
          <w:sz w:val="16"/>
          <w:szCs w:val="16"/>
        </w:rPr>
        <w:t>Timing characteristics of primary reference clocks</w:t>
      </w:r>
      <w:r w:rsidR="00726F2B">
        <w:rPr>
          <w:rFonts w:ascii="ITC Avant Garde" w:hAnsi="ITC Avant Garde"/>
          <w:iCs/>
          <w:sz w:val="16"/>
          <w:szCs w:val="16"/>
        </w:rPr>
        <w:t>.</w:t>
      </w:r>
    </w:p>
    <w:p w14:paraId="28F4F316" w14:textId="202B511C" w:rsidR="004522AC" w:rsidRPr="00647F51" w:rsidRDefault="004522AC">
      <w:pPr>
        <w:pStyle w:val="Textonotapie"/>
        <w:rPr>
          <w:lang w:val="es-MX"/>
        </w:rPr>
      </w:pPr>
    </w:p>
  </w:footnote>
  <w:footnote w:id="33">
    <w:p w14:paraId="3CEC8599" w14:textId="4748B3D6" w:rsidR="004522AC" w:rsidRPr="00647F51" w:rsidRDefault="004522AC">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G.703, </w:t>
      </w:r>
      <w:r w:rsidRPr="00647F51">
        <w:rPr>
          <w:rFonts w:ascii="ITC Avant Garde" w:hAnsi="ITC Avant Garde"/>
          <w:iCs/>
          <w:sz w:val="16"/>
          <w:szCs w:val="16"/>
        </w:rPr>
        <w:t>Physical/electrical characteristics of hierarchical digital interfaces</w:t>
      </w:r>
      <w:r w:rsidR="00726F2B">
        <w:rPr>
          <w:rFonts w:ascii="ITC Avant Garde" w:hAnsi="ITC Avant Garde"/>
          <w:iCs/>
          <w:sz w:val="16"/>
          <w:szCs w:val="16"/>
        </w:rPr>
        <w:t>.</w:t>
      </w:r>
    </w:p>
  </w:footnote>
  <w:footnote w:id="34">
    <w:p w14:paraId="75C433BA" w14:textId="622AF338" w:rsidR="004522AC" w:rsidRPr="00647F51" w:rsidRDefault="004522AC" w:rsidP="00647F51">
      <w:pPr>
        <w:spacing w:after="0" w:line="240" w:lineRule="auto"/>
        <w:jc w:val="both"/>
        <w:rPr>
          <w:rFonts w:ascii="ITC Avant Garde" w:hAnsi="ITC Avant Garde"/>
          <w:iCs/>
          <w:sz w:val="16"/>
          <w:szCs w:val="16"/>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G.822, </w:t>
      </w:r>
      <w:r w:rsidRPr="00647F51">
        <w:rPr>
          <w:rFonts w:ascii="ITC Avant Garde" w:hAnsi="ITC Avant Garde"/>
          <w:iCs/>
          <w:sz w:val="16"/>
          <w:szCs w:val="16"/>
        </w:rPr>
        <w:t>Controlled slip rate objectives on an international digital connection</w:t>
      </w:r>
      <w:r w:rsidR="00726F2B">
        <w:rPr>
          <w:rFonts w:ascii="ITC Avant Garde" w:hAnsi="ITC Avant Garde"/>
          <w:iCs/>
          <w:sz w:val="16"/>
          <w:szCs w:val="16"/>
        </w:rPr>
        <w:t>.</w:t>
      </w:r>
    </w:p>
  </w:footnote>
  <w:footnote w:id="35">
    <w:p w14:paraId="3143549C" w14:textId="30C89A9B" w:rsidR="004522AC" w:rsidRPr="00647F51" w:rsidRDefault="004522AC" w:rsidP="00647F51">
      <w:pPr>
        <w:spacing w:after="0" w:line="240" w:lineRule="auto"/>
        <w:jc w:val="both"/>
        <w:rPr>
          <w:rFonts w:ascii="ITC Avant Garde" w:hAnsi="ITC Avant Garde"/>
          <w:iCs/>
          <w:sz w:val="16"/>
          <w:szCs w:val="16"/>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G.823, </w:t>
      </w:r>
      <w:r w:rsidRPr="00647F51">
        <w:rPr>
          <w:rFonts w:ascii="ITC Avant Garde" w:hAnsi="ITC Avant Garde"/>
          <w:iCs/>
          <w:sz w:val="16"/>
          <w:szCs w:val="16"/>
        </w:rPr>
        <w:t>The control of jitter and wander within digital networks which are based on the 2048 kbit/s hierarchy</w:t>
      </w:r>
      <w:r w:rsidR="00726F2B">
        <w:rPr>
          <w:rFonts w:ascii="ITC Avant Garde" w:hAnsi="ITC Avant Garde"/>
          <w:iCs/>
          <w:sz w:val="16"/>
          <w:szCs w:val="16"/>
        </w:rPr>
        <w:t>.</w:t>
      </w:r>
    </w:p>
  </w:footnote>
  <w:footnote w:id="36">
    <w:p w14:paraId="66506B19" w14:textId="74A0ADBF" w:rsidR="004522AC" w:rsidRPr="00647F51" w:rsidRDefault="004522AC">
      <w:pPr>
        <w:pStyle w:val="Textonotapie"/>
        <w:rPr>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ITU G.812, </w:t>
      </w:r>
      <w:r w:rsidRPr="00647F51">
        <w:rPr>
          <w:rFonts w:ascii="ITC Avant Garde" w:hAnsi="ITC Avant Garde"/>
          <w:iCs/>
          <w:sz w:val="16"/>
          <w:szCs w:val="16"/>
        </w:rPr>
        <w:t>Timing requirements of slave clocks suitable for use as node clocks in synchronization networks</w:t>
      </w:r>
      <w:r w:rsidR="00726F2B">
        <w:rPr>
          <w:rFonts w:ascii="ITC Avant Garde" w:hAnsi="ITC Avant Garde"/>
          <w:iCs/>
          <w:sz w:val="16"/>
          <w:szCs w:val="16"/>
        </w:rPr>
        <w:t>.</w:t>
      </w:r>
    </w:p>
  </w:footnote>
  <w:footnote w:id="37">
    <w:p w14:paraId="4434A4DD" w14:textId="77777777" w:rsidR="006D15C5" w:rsidRPr="00421D08" w:rsidRDefault="006D15C5" w:rsidP="007727B0">
      <w:pPr>
        <w:pStyle w:val="Textonotapie"/>
        <w:jc w:val="both"/>
        <w:rPr>
          <w:sz w:val="16"/>
          <w:szCs w:val="16"/>
        </w:rPr>
      </w:pPr>
      <w:r w:rsidRPr="00421D08">
        <w:rPr>
          <w:rFonts w:ascii="ITC Avant Garde" w:hAnsi="ITC Avant Garde"/>
          <w:sz w:val="16"/>
          <w:szCs w:val="16"/>
          <w:vertAlign w:val="superscript"/>
          <w:lang w:val="es-MX"/>
        </w:rPr>
        <w:footnoteRef/>
      </w:r>
      <w:r w:rsidRPr="00421D08">
        <w:rPr>
          <w:rFonts w:ascii="ITC Avant Garde" w:hAnsi="ITC Avant Garde"/>
          <w:sz w:val="16"/>
          <w:szCs w:val="16"/>
          <w:lang w:val="es-MX"/>
        </w:rPr>
        <w:t xml:space="preserve"> El proceso de calibración permite acercar los resultados del modelo con los valores realmente observados a efecto de alcanzar una mayor exactitud.</w:t>
      </w:r>
    </w:p>
  </w:footnote>
  <w:footnote w:id="38">
    <w:p w14:paraId="32A5829C" w14:textId="77777777" w:rsidR="006D15C5" w:rsidRPr="00DD274B" w:rsidRDefault="006D15C5" w:rsidP="007727B0">
      <w:pPr>
        <w:pStyle w:val="Textonotapie"/>
        <w:rPr>
          <w:rFonts w:ascii="ITC Avant Garde" w:hAnsi="ITC Avant Garde"/>
          <w:sz w:val="16"/>
          <w:szCs w:val="16"/>
          <w:lang w:val="es-MX"/>
        </w:rPr>
      </w:pPr>
      <w:r>
        <w:rPr>
          <w:rStyle w:val="Refdenotaalpie"/>
        </w:rPr>
        <w:footnoteRef/>
      </w:r>
      <w:r>
        <w:t xml:space="preserve"> </w:t>
      </w:r>
      <w:r w:rsidRPr="00DD274B">
        <w:rPr>
          <w:rFonts w:ascii="ITC Avant Garde" w:hAnsi="ITC Avant Garde"/>
          <w:sz w:val="16"/>
          <w:szCs w:val="16"/>
          <w:lang w:val="es-MX"/>
        </w:rPr>
        <w:t>Con base en las estadísticas del Instituto</w:t>
      </w:r>
    </w:p>
  </w:footnote>
  <w:footnote w:id="39">
    <w:p w14:paraId="129069B9" w14:textId="77777777" w:rsidR="006D15C5" w:rsidRPr="00381159" w:rsidRDefault="006D15C5" w:rsidP="007727B0">
      <w:pPr>
        <w:pStyle w:val="Textonotapie"/>
        <w:rPr>
          <w:lang w:val="es-MX"/>
        </w:rPr>
      </w:pPr>
      <w:r w:rsidRPr="00DD274B">
        <w:rPr>
          <w:rStyle w:val="Refdenotaalpie"/>
          <w:rFonts w:ascii="ITC Avant Garde" w:hAnsi="ITC Avant Garde"/>
          <w:sz w:val="16"/>
          <w:szCs w:val="16"/>
        </w:rPr>
        <w:footnoteRef/>
      </w:r>
      <w:r w:rsidRPr="00DD274B">
        <w:rPr>
          <w:rFonts w:ascii="ITC Avant Garde" w:hAnsi="ITC Avant Garde"/>
          <w:sz w:val="16"/>
          <w:szCs w:val="16"/>
        </w:rPr>
        <w:t xml:space="preserve"> </w:t>
      </w:r>
      <w:r w:rsidRPr="00DD274B">
        <w:rPr>
          <w:rFonts w:ascii="ITC Avant Garde" w:hAnsi="ITC Avant Garde"/>
          <w:sz w:val="16"/>
          <w:szCs w:val="16"/>
          <w:lang w:val="es-MX"/>
        </w:rPr>
        <w:t>Con base en las estadísticas del Instituto</w:t>
      </w:r>
    </w:p>
  </w:footnote>
  <w:footnote w:id="40">
    <w:p w14:paraId="5E01BB03" w14:textId="63E256DA" w:rsidR="006D15C5" w:rsidRPr="00546A86" w:rsidRDefault="006D15C5">
      <w:pPr>
        <w:pStyle w:val="Textonotapie"/>
        <w:rPr>
          <w:rFonts w:ascii="Arial" w:hAnsi="Arial" w:cs="Arial"/>
          <w:lang w:val="es-MX"/>
        </w:rPr>
      </w:pPr>
      <w:r w:rsidRPr="00546A86">
        <w:rPr>
          <w:rStyle w:val="Refdenotaalpie"/>
          <w:rFonts w:ascii="Arial" w:hAnsi="Arial" w:cs="Arial"/>
        </w:rPr>
        <w:footnoteRef/>
      </w:r>
      <w:r w:rsidRPr="00546A86">
        <w:rPr>
          <w:rFonts w:ascii="Arial" w:hAnsi="Arial" w:cs="Arial"/>
        </w:rPr>
        <w:t xml:space="preserve"> </w:t>
      </w:r>
      <w:r w:rsidRPr="00546A86">
        <w:rPr>
          <w:rFonts w:ascii="Arial" w:hAnsi="Arial" w:cs="Arial"/>
          <w:color w:val="000000"/>
          <w:sz w:val="21"/>
          <w:szCs w:val="21"/>
          <w:shd w:val="clear" w:color="auto" w:fill="FFFFFF"/>
        </w:rPr>
        <w:t>Estrictamente hablando, en el caso del operador AT&amp;T, no se trata de VoLTE sino de una aplicación </w:t>
      </w:r>
      <w:r w:rsidRPr="00546A86">
        <w:rPr>
          <w:rFonts w:ascii="Arial" w:hAnsi="Arial" w:cs="Arial"/>
          <w:i/>
          <w:iCs/>
          <w:color w:val="000000"/>
          <w:sz w:val="21"/>
          <w:szCs w:val="21"/>
          <w:shd w:val="clear" w:color="auto" w:fill="FFFFFF"/>
        </w:rPr>
        <w:t>over- the-top</w:t>
      </w:r>
      <w:r w:rsidRPr="00546A86">
        <w:rPr>
          <w:rFonts w:ascii="Arial" w:hAnsi="Arial" w:cs="Arial"/>
          <w:color w:val="000000"/>
          <w:sz w:val="21"/>
          <w:szCs w:val="21"/>
          <w:shd w:val="clear" w:color="auto" w:fill="FFFFFF"/>
        </w:rPr>
        <w:t>(OTT) que proporciona servicios de voz sobre la red 4G a sus usuarios</w:t>
      </w:r>
    </w:p>
  </w:footnote>
  <w:footnote w:id="41">
    <w:p w14:paraId="4934A9E2" w14:textId="77777777" w:rsidR="006D15C5" w:rsidRPr="00953769" w:rsidRDefault="006D15C5" w:rsidP="007727B0">
      <w:pPr>
        <w:pStyle w:val="Textonotapie"/>
        <w:rPr>
          <w:rFonts w:ascii="ITC Avant Garde" w:hAnsi="ITC Avant Garde"/>
          <w:sz w:val="16"/>
          <w:szCs w:val="16"/>
          <w:lang w:val="es-MX"/>
        </w:rPr>
      </w:pPr>
      <w:r w:rsidRPr="00953769">
        <w:rPr>
          <w:rStyle w:val="Refdenotaalpie"/>
          <w:rFonts w:ascii="ITC Avant Garde" w:hAnsi="ITC Avant Garde"/>
          <w:sz w:val="16"/>
          <w:szCs w:val="16"/>
        </w:rPr>
        <w:footnoteRef/>
      </w:r>
      <w:r w:rsidRPr="00D36AFD">
        <w:rPr>
          <w:rFonts w:ascii="ITC Avant Garde" w:hAnsi="ITC Avant Garde"/>
          <w:sz w:val="18"/>
          <w:szCs w:val="18"/>
          <w:lang w:val="es-MX"/>
        </w:rPr>
        <w:t xml:space="preserve"> </w:t>
      </w:r>
      <w:r w:rsidRPr="00953769">
        <w:rPr>
          <w:rFonts w:ascii="ITC Avant Garde" w:hAnsi="ITC Avant Garde"/>
          <w:sz w:val="16"/>
          <w:szCs w:val="16"/>
          <w:lang w:val="es-MX"/>
        </w:rPr>
        <w:t>Estos anchos de banda son suficientes para establecer los canales para transmitir y recibir.</w:t>
      </w:r>
    </w:p>
  </w:footnote>
  <w:footnote w:id="42">
    <w:p w14:paraId="04662E7A" w14:textId="77777777" w:rsidR="006D15C5" w:rsidRPr="003A757F" w:rsidRDefault="006D15C5" w:rsidP="007727B0">
      <w:pPr>
        <w:pStyle w:val="Textonotapie"/>
        <w:jc w:val="both"/>
        <w:rPr>
          <w:rFonts w:ascii="ITC Avant Garde" w:hAnsi="ITC Avant Garde"/>
          <w:sz w:val="16"/>
          <w:szCs w:val="16"/>
          <w:lang w:val="es-MX"/>
        </w:rPr>
      </w:pPr>
      <w:r w:rsidRPr="00717435">
        <w:rPr>
          <w:rStyle w:val="Refdenotaalpie"/>
          <w:rFonts w:ascii="ITC Avant Garde" w:hAnsi="ITC Avant Garde"/>
          <w:sz w:val="16"/>
          <w:szCs w:val="16"/>
        </w:rPr>
        <w:footnoteRef/>
      </w:r>
      <w:r w:rsidRPr="00717435">
        <w:rPr>
          <w:rFonts w:ascii="ITC Avant Garde" w:hAnsi="ITC Avant Garde"/>
          <w:sz w:val="16"/>
          <w:szCs w:val="16"/>
        </w:rPr>
        <w:t xml:space="preserve"> </w:t>
      </w:r>
      <w:r w:rsidRPr="00717435">
        <w:rPr>
          <w:rFonts w:ascii="ITC Avant Garde" w:hAnsi="ITC Avant Garde"/>
          <w:sz w:val="16"/>
          <w:szCs w:val="16"/>
          <w:lang w:val="es-MX"/>
        </w:rPr>
        <w:t>No se considera el espectro de trunking porque dicho espectro no es</w:t>
      </w:r>
      <w:r w:rsidRPr="00FF73C6">
        <w:rPr>
          <w:rFonts w:ascii="ITC Avant Garde" w:hAnsi="ITC Avant Garde"/>
          <w:sz w:val="16"/>
          <w:szCs w:val="16"/>
          <w:lang w:val="es-MX"/>
        </w:rPr>
        <w:t xml:space="preserve"> utilizado para la prestación de servicios de telefonía móvil.</w:t>
      </w:r>
    </w:p>
  </w:footnote>
  <w:footnote w:id="43">
    <w:p w14:paraId="5F11BCF5" w14:textId="77777777" w:rsidR="006D15C5" w:rsidRPr="00B11232" w:rsidRDefault="006D15C5" w:rsidP="007727B0">
      <w:pPr>
        <w:pStyle w:val="Textonotapie"/>
        <w:rPr>
          <w:rFonts w:ascii="ITC Avant Garde" w:hAnsi="ITC Avant Garde" w:cs="Arial"/>
          <w:sz w:val="16"/>
          <w:szCs w:val="16"/>
        </w:rPr>
      </w:pPr>
      <w:r w:rsidRPr="000B691F">
        <w:rPr>
          <w:rFonts w:ascii="ITC Avant Garde" w:hAnsi="ITC Avant Garde"/>
          <w:sz w:val="16"/>
          <w:szCs w:val="16"/>
          <w:vertAlign w:val="superscript"/>
        </w:rPr>
        <w:footnoteRef/>
      </w:r>
      <w:r w:rsidRPr="00E51E81">
        <w:rPr>
          <w:rFonts w:ascii="ITC Avant Garde" w:hAnsi="ITC Avant Garde"/>
          <w:sz w:val="16"/>
          <w:szCs w:val="16"/>
          <w:lang w:val="es-MX"/>
        </w:rPr>
        <w:t xml:space="preserve"> IRU: </w:t>
      </w:r>
      <w:r w:rsidRPr="00E51E81">
        <w:rPr>
          <w:rFonts w:ascii="ITC Avant Garde" w:hAnsi="ITC Avant Garde"/>
          <w:i/>
          <w:sz w:val="16"/>
          <w:szCs w:val="16"/>
          <w:lang w:val="es-MX"/>
        </w:rPr>
        <w:t>Indefeasible right of use</w:t>
      </w:r>
      <w:r w:rsidRPr="00E51E81">
        <w:rPr>
          <w:rFonts w:ascii="ITC Avant Garde" w:hAnsi="ITC Avant Garde"/>
          <w:sz w:val="16"/>
          <w:szCs w:val="16"/>
          <w:lang w:val="es-MX"/>
        </w:rPr>
        <w:t xml:space="preserve">, derecho de uso irrevocable. </w:t>
      </w:r>
      <w:r w:rsidRPr="00851DBE">
        <w:rPr>
          <w:rFonts w:ascii="ITC Avant Garde" w:hAnsi="ITC Avant Garde"/>
          <w:sz w:val="16"/>
          <w:szCs w:val="16"/>
        </w:rPr>
        <w:t>Se trata de un derecho de uso a largo plazo (o propiedad temporal) de una porción de la capacidad de un enlace de transmisión.</w:t>
      </w:r>
    </w:p>
  </w:footnote>
  <w:footnote w:id="44">
    <w:p w14:paraId="468AFD83" w14:textId="77777777" w:rsidR="006D15C5" w:rsidRPr="00FA0E41" w:rsidRDefault="006D15C5" w:rsidP="007727B0">
      <w:pPr>
        <w:pStyle w:val="Textonotapie"/>
        <w:jc w:val="both"/>
        <w:rPr>
          <w:rFonts w:ascii="ITC Avant Garde" w:hAnsi="ITC Avant Garde"/>
          <w:sz w:val="18"/>
          <w:szCs w:val="18"/>
        </w:rPr>
      </w:pPr>
      <w:r w:rsidRPr="00FA0E41">
        <w:rPr>
          <w:rStyle w:val="Refdenotaalpie"/>
          <w:rFonts w:ascii="ITC Avant Garde" w:hAnsi="ITC Avant Garde"/>
          <w:sz w:val="18"/>
          <w:szCs w:val="18"/>
        </w:rPr>
        <w:footnoteRef/>
      </w:r>
      <w:r w:rsidRPr="00FA0E41">
        <w:rPr>
          <w:rFonts w:ascii="ITC Avant Garde" w:hAnsi="ITC Avant Garde"/>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45">
    <w:p w14:paraId="5D2C63C1" w14:textId="77777777" w:rsidR="006D15C5" w:rsidRPr="00105C36" w:rsidRDefault="006D15C5" w:rsidP="007727B0">
      <w:pPr>
        <w:pStyle w:val="Textonotapie"/>
        <w:jc w:val="both"/>
        <w:rPr>
          <w:rFonts w:ascii="ITC Avant Garde" w:hAnsi="ITC Avant Garde"/>
          <w:spacing w:val="-4"/>
          <w:sz w:val="16"/>
          <w:szCs w:val="16"/>
        </w:rPr>
      </w:pPr>
      <w:r w:rsidRPr="00105C36">
        <w:rPr>
          <w:rStyle w:val="Refdenotaalpie"/>
          <w:rFonts w:ascii="ITC Avant Garde" w:hAnsi="ITC Avant Garde"/>
          <w:spacing w:val="-4"/>
          <w:sz w:val="18"/>
          <w:szCs w:val="18"/>
        </w:rPr>
        <w:footnoteRef/>
      </w:r>
      <w:r>
        <w:rPr>
          <w:rFonts w:ascii="ITC Avant Garde" w:hAnsi="ITC Avant Garde"/>
          <w:spacing w:val="-4"/>
          <w:sz w:val="18"/>
          <w:szCs w:val="18"/>
        </w:rPr>
        <w:t xml:space="preserve"> </w:t>
      </w:r>
      <w:r w:rsidRPr="00105C36">
        <w:rPr>
          <w:rFonts w:ascii="ITC Avant Garde" w:hAnsi="ITC Avant Garde"/>
          <w:spacing w:val="-4"/>
          <w:sz w:val="16"/>
          <w:szCs w:val="16"/>
        </w:rPr>
        <w:t xml:space="preserve">Por ejemplo, los costos actuales </w:t>
      </w:r>
      <w:r w:rsidRPr="00105C36">
        <w:rPr>
          <w:rFonts w:ascii="ITC Avant Garde" w:hAnsi="ITC Avant Garde"/>
          <w:i/>
          <w:spacing w:val="-4"/>
          <w:sz w:val="16"/>
          <w:szCs w:val="16"/>
        </w:rPr>
        <w:t>top-down</w:t>
      </w:r>
      <w:r w:rsidRPr="00105C36">
        <w:rPr>
          <w:rFonts w:ascii="ITC Avant Garde" w:hAnsi="ITC Avant Garde"/>
          <w:spacing w:val="-4"/>
          <w:sz w:val="16"/>
          <w:szCs w:val="16"/>
        </w:rPr>
        <w:t xml:space="preserve"> que representan operaciones de voz y datos necesitan ser divididos en cost</w:t>
      </w:r>
      <w:r>
        <w:rPr>
          <w:rFonts w:ascii="ITC Avant Garde" w:hAnsi="ITC Avant Garde"/>
          <w:spacing w:val="-4"/>
          <w:sz w:val="16"/>
          <w:szCs w:val="16"/>
        </w:rPr>
        <w:t>o</w:t>
      </w:r>
      <w:r w:rsidRPr="00105C36">
        <w:rPr>
          <w:rFonts w:ascii="ITC Avant Garde" w:hAnsi="ITC Avant Garde"/>
          <w:spacing w:val="-4"/>
          <w:sz w:val="16"/>
          <w:szCs w:val="16"/>
        </w:rPr>
        <w:t>s independientes de voz relevantes y cost</w:t>
      </w:r>
      <w:r>
        <w:rPr>
          <w:rFonts w:ascii="ITC Avant Garde" w:hAnsi="ITC Avant Garde"/>
          <w:spacing w:val="-4"/>
          <w:sz w:val="16"/>
          <w:szCs w:val="16"/>
        </w:rPr>
        <w:t>o</w:t>
      </w:r>
      <w:r w:rsidRPr="00105C36">
        <w:rPr>
          <w:rFonts w:ascii="ITC Avant Garde" w:hAnsi="ITC Avant Garde"/>
          <w:spacing w:val="-4"/>
          <w:sz w:val="16"/>
          <w:szCs w:val="16"/>
        </w:rPr>
        <w:t>s adicionales de datos. Las redes únicamente de voz no existen comúnmente en la realidad, lo que implica que la red modelada no puede ser comparada con ningún operador real.</w:t>
      </w:r>
    </w:p>
  </w:footnote>
  <w:footnote w:id="46">
    <w:p w14:paraId="0AFBC2CD" w14:textId="77777777" w:rsidR="006D15C5" w:rsidRPr="00EF3F8D" w:rsidRDefault="006D15C5" w:rsidP="007727B0">
      <w:pPr>
        <w:pStyle w:val="Textonotapie"/>
        <w:jc w:val="both"/>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rPr>
        <w:t xml:space="preserve"> </w:t>
      </w:r>
      <w:r>
        <w:rPr>
          <w:rFonts w:ascii="ITC Avant Garde" w:hAnsi="ITC Avant Garde"/>
          <w:sz w:val="16"/>
          <w:szCs w:val="16"/>
        </w:rPr>
        <w:t>Se entiende p</w:t>
      </w:r>
      <w:r w:rsidRPr="006C46DB">
        <w:rPr>
          <w:rFonts w:ascii="ITC Avant Garde" w:hAnsi="ITC Avant Garde"/>
          <w:sz w:val="16"/>
          <w:szCs w:val="16"/>
        </w:rPr>
        <w:t>or ‘perfil’ las proporciones de llamadas desde/a varios destinos fijos y móviles, por hora del día y usos de otros servicios.</w:t>
      </w:r>
    </w:p>
  </w:footnote>
  <w:footnote w:id="47">
    <w:p w14:paraId="776CE439" w14:textId="77777777" w:rsidR="006D15C5" w:rsidRPr="00037889" w:rsidRDefault="006D15C5" w:rsidP="007727B0">
      <w:pPr>
        <w:pStyle w:val="Textonotapie"/>
        <w:jc w:val="both"/>
        <w:rPr>
          <w:rFonts w:ascii="ITC Avant Garde" w:hAnsi="ITC Avant Garde"/>
          <w:sz w:val="18"/>
          <w:szCs w:val="18"/>
          <w:lang w:val="es-MX"/>
        </w:rPr>
      </w:pPr>
      <w:r w:rsidRPr="006C46DB">
        <w:rPr>
          <w:rStyle w:val="Refdenotaalpie"/>
          <w:rFonts w:ascii="ITC Avant Garde" w:hAnsi="ITC Avant Garde"/>
          <w:sz w:val="16"/>
          <w:szCs w:val="16"/>
        </w:rPr>
        <w:footnoteRef/>
      </w:r>
      <w:r w:rsidRPr="00037889">
        <w:rPr>
          <w:rFonts w:ascii="ITC Avant Garde" w:hAnsi="ITC Avant Garde"/>
          <w:sz w:val="16"/>
          <w:szCs w:val="16"/>
          <w:lang w:val="es-MX"/>
        </w:rPr>
        <w:t xml:space="preserve"> Por ejemplo</w:t>
      </w:r>
      <w:r>
        <w:rPr>
          <w:rFonts w:ascii="ITC Avant Garde" w:hAnsi="ITC Avant Garde"/>
          <w:sz w:val="16"/>
          <w:szCs w:val="16"/>
          <w:lang w:val="es-MX"/>
        </w:rPr>
        <w:t>,</w:t>
      </w:r>
      <w:r w:rsidRPr="00037889">
        <w:rPr>
          <w:rFonts w:ascii="ITC Avant Garde" w:hAnsi="ITC Avant Garde"/>
          <w:sz w:val="16"/>
          <w:szCs w:val="16"/>
          <w:lang w:val="es-MX"/>
        </w:rPr>
        <w:t xml:space="preserve"> se puede esperar que la proporción de llamadas originadas que son on-net, manteniendo todos los otros factores constant</w:t>
      </w:r>
      <w:r>
        <w:rPr>
          <w:rFonts w:ascii="ITC Avant Garde" w:hAnsi="ITC Avant Garde"/>
          <w:sz w:val="16"/>
          <w:szCs w:val="16"/>
          <w:lang w:val="es-MX"/>
        </w:rPr>
        <w:t>e</w:t>
      </w:r>
      <w:r w:rsidRPr="00037889">
        <w:rPr>
          <w:rFonts w:ascii="ITC Avant Garde" w:hAnsi="ITC Avant Garde"/>
          <w:sz w:val="16"/>
          <w:szCs w:val="16"/>
          <w:lang w:val="es-MX"/>
        </w:rPr>
        <w:t xml:space="preserve">s, estén relacionadas con el tamaño de la base de suscriptores del operador. </w:t>
      </w:r>
      <w:r w:rsidRPr="005A013A">
        <w:rPr>
          <w:rFonts w:ascii="ITC Avant Garde" w:hAnsi="ITC Avant Garde"/>
          <w:sz w:val="16"/>
          <w:szCs w:val="16"/>
          <w:lang w:val="es-MX"/>
        </w:rPr>
        <w:t>Claramente, a medida que cambie con el tiempo el tamaño del operador mo</w:t>
      </w:r>
      <w:r w:rsidRPr="00037889">
        <w:rPr>
          <w:rFonts w:ascii="ITC Avant Garde" w:hAnsi="ITC Avant Garde"/>
          <w:sz w:val="16"/>
          <w:szCs w:val="16"/>
          <w:lang w:val="es-MX"/>
        </w:rPr>
        <w:t>delado, una proporción cambiante dinámicamente de tráfico tendr</w:t>
      </w:r>
      <w:r>
        <w:rPr>
          <w:rFonts w:ascii="ITC Avant Garde" w:hAnsi="ITC Avant Garde"/>
          <w:sz w:val="16"/>
          <w:szCs w:val="16"/>
          <w:lang w:val="es-MX"/>
        </w:rPr>
        <w:t>ía que ser estimada como on-net.</w:t>
      </w:r>
    </w:p>
  </w:footnote>
  <w:footnote w:id="48">
    <w:p w14:paraId="277C4FED" w14:textId="77777777" w:rsidR="006D15C5" w:rsidRPr="00523B2F" w:rsidRDefault="006D15C5" w:rsidP="007727B0">
      <w:pPr>
        <w:pStyle w:val="Textonotapie"/>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Entre más incrementos, más cálculos se necesitan en el modelo y más costos comunes (o agregado de costos comunes) tienen que ser distribuidos como </w:t>
      </w:r>
      <w:r w:rsidRPr="006C46DB">
        <w:rPr>
          <w:rFonts w:ascii="ITC Avant Garde" w:hAnsi="ITC Avant Garde"/>
          <w:i/>
          <w:sz w:val="16"/>
          <w:szCs w:val="16"/>
          <w:lang w:val="es-MX"/>
        </w:rPr>
        <w:t>mark-up.</w:t>
      </w:r>
    </w:p>
  </w:footnote>
  <w:footnote w:id="49">
    <w:p w14:paraId="6712FC41" w14:textId="77777777" w:rsidR="006D15C5" w:rsidRPr="00FA097F" w:rsidRDefault="006D15C5" w:rsidP="007727B0">
      <w:pPr>
        <w:pStyle w:val="Textonotapie"/>
        <w:rPr>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Por las economías de escala y el mecanismo de márgenes adicionales.</w:t>
      </w:r>
      <w:r w:rsidRPr="00FA097F">
        <w:rPr>
          <w:lang w:val="es-MX"/>
        </w:rPr>
        <w:t xml:space="preserve"> </w:t>
      </w:r>
    </w:p>
  </w:footnote>
  <w:footnote w:id="50">
    <w:p w14:paraId="5E643C8D" w14:textId="77777777" w:rsidR="006D15C5" w:rsidRPr="00DB2CF8" w:rsidRDefault="006D15C5" w:rsidP="007727B0">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footnote>
  <w:footnote w:id="51">
    <w:p w14:paraId="4673DF7D" w14:textId="77777777" w:rsidR="006D15C5" w:rsidRPr="00DB2CF8" w:rsidRDefault="006D15C5" w:rsidP="007727B0">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p w14:paraId="66519852" w14:textId="77777777" w:rsidR="006D15C5" w:rsidRPr="00381159" w:rsidRDefault="006D15C5" w:rsidP="007727B0">
      <w:pPr>
        <w:pStyle w:val="Textonotapie"/>
        <w:rPr>
          <w:lang w:val="es-MX"/>
        </w:rPr>
      </w:pPr>
    </w:p>
  </w:footnote>
  <w:footnote w:id="52">
    <w:p w14:paraId="634D80CA" w14:textId="77777777" w:rsidR="006D15C5" w:rsidRPr="006B329C" w:rsidRDefault="006D15C5" w:rsidP="007727B0">
      <w:pPr>
        <w:pStyle w:val="Textonotapie"/>
        <w:jc w:val="both"/>
        <w:rPr>
          <w:rFonts w:ascii="ITC Avant Garde" w:hAnsi="ITC Avant Garde"/>
          <w:sz w:val="16"/>
          <w:szCs w:val="16"/>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53">
    <w:p w14:paraId="2F52C104" w14:textId="77777777" w:rsidR="006D15C5" w:rsidRPr="00882590" w:rsidRDefault="006D15C5" w:rsidP="007727B0">
      <w:pPr>
        <w:pStyle w:val="Textonotapie"/>
        <w:jc w:val="both"/>
        <w:rPr>
          <w:lang w:val="es-MX"/>
        </w:rPr>
      </w:pPr>
      <w:r>
        <w:rPr>
          <w:rStyle w:val="Refdenotaalpie"/>
        </w:rPr>
        <w:footnoteRef/>
      </w:r>
      <w:r w:rsidRPr="00882590">
        <w:rPr>
          <w:rFonts w:ascii="ITC Avant Garde" w:hAnsi="ITC Avant Garde"/>
          <w:sz w:val="16"/>
          <w:szCs w:val="16"/>
          <w:lang w:val="es-MX"/>
        </w:rPr>
        <w:t>http://files.brattle.com/files/7177_review_of_approaches_to_estimate_a_reasonable_rate_of_return_for_investments_in_telecoms_networks_in_regulatory_proceedings_and_options_for_eu_harmonization.pdf</w:t>
      </w:r>
    </w:p>
  </w:footnote>
  <w:footnote w:id="54">
    <w:p w14:paraId="14C3850E" w14:textId="77777777" w:rsidR="006D15C5" w:rsidRPr="00E0213D" w:rsidRDefault="006D15C5" w:rsidP="007727B0">
      <w:pPr>
        <w:pStyle w:val="Textonotapie"/>
        <w:rPr>
          <w:rFonts w:ascii="ITC Avant Garde" w:hAnsi="ITC Avant Garde"/>
          <w:sz w:val="16"/>
        </w:rPr>
      </w:pPr>
      <w:r>
        <w:rPr>
          <w:rStyle w:val="Refdenotaalpie"/>
        </w:rPr>
        <w:footnoteRef/>
      </w:r>
      <w:r>
        <w:t xml:space="preserve"> </w:t>
      </w:r>
      <w:r w:rsidRPr="00E0213D">
        <w:rPr>
          <w:rFonts w:ascii="ITC Avant Garde" w:hAnsi="ITC Avant Garde"/>
          <w:sz w:val="16"/>
        </w:rPr>
        <w:t>http://www.treasury.gov</w:t>
      </w:r>
    </w:p>
  </w:footnote>
  <w:footnote w:id="55">
    <w:p w14:paraId="2BD43252" w14:textId="77777777" w:rsidR="006D15C5" w:rsidRPr="003F11C1" w:rsidRDefault="006D15C5" w:rsidP="007727B0">
      <w:pPr>
        <w:pStyle w:val="Textonotapie"/>
        <w:rPr>
          <w:rFonts w:ascii="ITC Avant Garde" w:hAnsi="ITC Avant Garde"/>
        </w:rPr>
      </w:pPr>
      <w:r w:rsidRPr="003F11C1">
        <w:rPr>
          <w:rStyle w:val="Refdenotaalpie"/>
          <w:rFonts w:ascii="ITC Avant Garde" w:hAnsi="ITC Avant Garde"/>
          <w:sz w:val="16"/>
        </w:rPr>
        <w:footnoteRef/>
      </w:r>
      <w:r w:rsidRPr="003F11C1">
        <w:rPr>
          <w:rFonts w:ascii="ITC Avant Garde" w:hAnsi="ITC Avant Garde"/>
          <w:sz w:val="16"/>
        </w:rPr>
        <w:t xml:space="preserve"> La información se puede consultar en el siguiente vínculo: </w:t>
      </w:r>
      <w:hyperlink r:id="rId1" w:history="1">
        <w:r w:rsidRPr="003F11C1">
          <w:rPr>
            <w:rStyle w:val="Hipervnculo"/>
            <w:rFonts w:ascii="ITC Avant Garde" w:hAnsi="ITC Avant Garde"/>
            <w:sz w:val="16"/>
          </w:rPr>
          <w:t>http://pages.stern.nyu.edu/~adamodar/New_Home_Page/datafile/Betas.html</w:t>
        </w:r>
      </w:hyperlink>
      <w:r w:rsidRPr="007E3DB6">
        <w:t xml:space="preserve"> </w:t>
      </w:r>
    </w:p>
  </w:footnote>
  <w:footnote w:id="56">
    <w:p w14:paraId="069B2B2A" w14:textId="77777777" w:rsidR="006D15C5" w:rsidRPr="008A4C13" w:rsidRDefault="006D15C5" w:rsidP="007727B0">
      <w:pPr>
        <w:pStyle w:val="Textonotapie"/>
        <w:rPr>
          <w:rFonts w:ascii="ITC Avant Garde" w:hAnsi="ITC Avant Garde"/>
          <w:sz w:val="18"/>
          <w:szCs w:val="18"/>
          <w:lang w:val="es-MX"/>
        </w:rPr>
      </w:pPr>
      <w:r>
        <w:rPr>
          <w:rStyle w:val="Refdenotaalpie"/>
        </w:rPr>
        <w:footnoteRef/>
      </w:r>
      <w:r>
        <w:t xml:space="preserve"> </w:t>
      </w:r>
      <w:r>
        <w:rPr>
          <w:rFonts w:ascii="ITC Avant Garde" w:hAnsi="ITC Avant Garde"/>
          <w:sz w:val="18"/>
          <w:szCs w:val="18"/>
        </w:rPr>
        <w:t xml:space="preserve">El cálculo de la beta apalancada se realiza </w:t>
      </w:r>
      <w:r>
        <w:rPr>
          <w:rFonts w:ascii="ITC Avant Garde" w:hAnsi="ITC Avant Garde"/>
        </w:rPr>
        <w:t xml:space="preserve">con la siguiente fórmula </w:t>
      </w:r>
      <m:oMath>
        <m:r>
          <w:rPr>
            <w:rFonts w:ascii="Cambria Math" w:hAnsi="Cambria Math"/>
          </w:rPr>
          <m:t xml:space="preserve">β equity=β asset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D</m:t>
                </m:r>
              </m:num>
              <m:den>
                <m:r>
                  <w:rPr>
                    <w:rFonts w:ascii="Cambria Math" w:hAnsi="Cambria Math"/>
                  </w:rPr>
                  <m:t>E</m:t>
                </m:r>
              </m:den>
            </m:f>
          </m:e>
        </m:d>
      </m:oMath>
    </w:p>
  </w:footnote>
  <w:footnote w:id="57">
    <w:p w14:paraId="270AA34A" w14:textId="77777777" w:rsidR="006D15C5" w:rsidRPr="00284EAA" w:rsidRDefault="006D15C5" w:rsidP="00EE49CC">
      <w:pPr>
        <w:pStyle w:val="Textonotapie"/>
        <w:jc w:val="both"/>
        <w:rPr>
          <w:rFonts w:ascii="ITC Avant Garde" w:hAnsi="ITC Avant Garde"/>
          <w:lang w:val="es-MX"/>
        </w:rPr>
      </w:pPr>
      <w:r w:rsidRPr="00284EAA">
        <w:rPr>
          <w:rStyle w:val="Refdenotaalpie"/>
          <w:rFonts w:ascii="ITC Avant Garde" w:hAnsi="ITC Avant Garde"/>
        </w:rPr>
        <w:footnoteRef/>
      </w:r>
      <w:r w:rsidRPr="00284EAA">
        <w:rPr>
          <w:rFonts w:ascii="ITC Avant Garde" w:hAnsi="ITC Avant Garde"/>
        </w:rPr>
        <w:t xml:space="preserve"> </w:t>
      </w:r>
      <w:r w:rsidRPr="00284EAA">
        <w:rPr>
          <w:rFonts w:ascii="ITC Avant Garde" w:hAnsi="ITC Avant Garde"/>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58">
    <w:p w14:paraId="5E270B79" w14:textId="77777777" w:rsidR="006D15C5" w:rsidRPr="00273FE6" w:rsidRDefault="006D15C5" w:rsidP="00EE49CC">
      <w:pPr>
        <w:pStyle w:val="Textonotapie"/>
        <w:jc w:val="both"/>
        <w:rPr>
          <w:rFonts w:ascii="ITC Avant Garde" w:hAnsi="ITC Avant Garde"/>
          <w:lang w:val="es-MX"/>
        </w:rPr>
      </w:pPr>
      <w:r w:rsidRPr="00273FE6">
        <w:rPr>
          <w:rStyle w:val="Refdenotaalpie"/>
          <w:rFonts w:ascii="ITC Avant Garde" w:hAnsi="ITC Avant Garde"/>
        </w:rPr>
        <w:footnoteRef/>
      </w:r>
      <w:r w:rsidRPr="00273FE6">
        <w:rPr>
          <w:rFonts w:ascii="ITC Avant Garde" w:hAnsi="ITC Avant Garde"/>
        </w:rPr>
        <w:t xml:space="preserve"> </w:t>
      </w:r>
      <w:r w:rsidRPr="00273FE6">
        <w:rPr>
          <w:rFonts w:ascii="ITC Avant Garde" w:hAnsi="ITC Avant Garde"/>
          <w:lang w:val="es-MX"/>
        </w:rPr>
        <w:t>El suministro de aire acondicionado necesario para mantener las condiciones ambientales para la correcta operación de los equipos.</w:t>
      </w:r>
    </w:p>
  </w:footnote>
  <w:footnote w:id="59">
    <w:p w14:paraId="257B536B" w14:textId="77777777" w:rsidR="006D15C5" w:rsidRDefault="006D15C5" w:rsidP="0078465C">
      <w:pPr>
        <w:pStyle w:val="Textocomentario"/>
        <w:rPr>
          <w:rFonts w:ascii="ITC Avant Garde" w:hAnsi="ITC Avant Garde"/>
          <w:sz w:val="18"/>
          <w:lang w:eastAsia="es-MX"/>
        </w:rPr>
      </w:pPr>
      <w:r>
        <w:rPr>
          <w:rStyle w:val="Refdenotaalpie"/>
          <w:rFonts w:ascii="ITC Avant Garde" w:hAnsi="ITC Avant Garde"/>
          <w:sz w:val="18"/>
        </w:rPr>
        <w:footnoteRef/>
      </w:r>
      <w:r>
        <w:rPr>
          <w:rFonts w:ascii="ITC Avant Garde" w:hAnsi="ITC Avant Garde"/>
          <w:sz w:val="18"/>
        </w:rPr>
        <w:t xml:space="preserve"> En donde: LRAIC es “long run aveage incremental cost” o costos incrementales promedio de largo plazo.</w:t>
      </w:r>
    </w:p>
    <w:p w14:paraId="073BE766" w14:textId="77777777" w:rsidR="006D15C5" w:rsidRDefault="006D15C5" w:rsidP="0078465C">
      <w:pPr>
        <w:pStyle w:val="Textonotapie"/>
        <w:rPr>
          <w:rFonts w:ascii="Calibri" w:hAnsi="Calibr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E180D" w14:textId="139A6C88" w:rsidR="00000039" w:rsidRDefault="00000039">
    <w:pPr>
      <w:pStyle w:val="Encabezado"/>
    </w:pPr>
    <w:r>
      <w:rPr>
        <w:noProof/>
      </w:rPr>
      <w:pict w14:anchorId="573E7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623954" o:spid="_x0000_s2050" type="#_x0000_t136" style="position:absolute;margin-left:0;margin-top:0;width:498.4pt;height:124.6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96A98" w14:textId="2FFBA13A" w:rsidR="00000039" w:rsidRDefault="00000039">
    <w:pPr>
      <w:pStyle w:val="Encabezado"/>
    </w:pPr>
    <w:r>
      <w:rPr>
        <w:noProof/>
      </w:rPr>
      <w:pict w14:anchorId="5A84B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623955" o:spid="_x0000_s2051" type="#_x0000_t136" style="position:absolute;margin-left:0;margin-top:0;width:498.4pt;height:124.6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DDF10" w14:textId="3997CC9A" w:rsidR="00000039" w:rsidRDefault="00000039">
    <w:pPr>
      <w:pStyle w:val="Encabezado"/>
    </w:pPr>
    <w:r>
      <w:rPr>
        <w:noProof/>
      </w:rPr>
      <w:pict w14:anchorId="4C141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623953" o:spid="_x0000_s2049" type="#_x0000_t136" style="position:absolute;margin-left:0;margin-top:0;width:498.4pt;height:124.6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5" w15:restartNumberingAfterBreak="0">
    <w:nsid w:val="0B195F42"/>
    <w:multiLevelType w:val="hybridMultilevel"/>
    <w:tmpl w:val="3188941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28502B"/>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0"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897134"/>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4"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5"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6"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7"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3"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4"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39FC4AEB"/>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27"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41"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49"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51"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3"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5"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4"/>
  </w:num>
  <w:num w:numId="2">
    <w:abstractNumId w:val="27"/>
  </w:num>
  <w:num w:numId="3">
    <w:abstractNumId w:val="32"/>
  </w:num>
  <w:num w:numId="4">
    <w:abstractNumId w:val="2"/>
  </w:num>
  <w:num w:numId="5">
    <w:abstractNumId w:val="23"/>
  </w:num>
  <w:num w:numId="6">
    <w:abstractNumId w:val="9"/>
  </w:num>
  <w:num w:numId="7">
    <w:abstractNumId w:val="9"/>
    <w:lvlOverride w:ilvl="0">
      <w:lvl w:ilvl="0">
        <w:start w:val="1"/>
        <w:numFmt w:val="lowerLetter"/>
        <w:lvlText w:val="%1)"/>
        <w:legacy w:legacy="1" w:legacySpace="0" w:legacyIndent="283"/>
        <w:lvlJc w:val="left"/>
        <w:pPr>
          <w:ind w:left="283" w:hanging="283"/>
        </w:pPr>
        <w:rPr>
          <w:rFonts w:cs="Times New Roman"/>
        </w:rPr>
      </w:lvl>
    </w:lvlOverride>
  </w:num>
  <w:num w:numId="8">
    <w:abstractNumId w:val="31"/>
  </w:num>
  <w:num w:numId="9">
    <w:abstractNumId w:val="26"/>
  </w:num>
  <w:num w:numId="10">
    <w:abstractNumId w:val="22"/>
  </w:num>
  <w:num w:numId="11">
    <w:abstractNumId w:val="40"/>
  </w:num>
  <w:num w:numId="12">
    <w:abstractNumId w:val="0"/>
  </w:num>
  <w:num w:numId="13">
    <w:abstractNumId w:val="1"/>
  </w:num>
  <w:num w:numId="14">
    <w:abstractNumId w:val="29"/>
  </w:num>
  <w:num w:numId="15">
    <w:abstractNumId w:val="51"/>
  </w:num>
  <w:num w:numId="16">
    <w:abstractNumId w:val="35"/>
  </w:num>
  <w:num w:numId="17">
    <w:abstractNumId w:val="13"/>
  </w:num>
  <w:num w:numId="18">
    <w:abstractNumId w:val="10"/>
  </w:num>
  <w:num w:numId="19">
    <w:abstractNumId w:val="43"/>
  </w:num>
  <w:num w:numId="20">
    <w:abstractNumId w:val="14"/>
  </w:num>
  <w:num w:numId="21">
    <w:abstractNumId w:val="38"/>
  </w:num>
  <w:num w:numId="22">
    <w:abstractNumId w:val="55"/>
  </w:num>
  <w:num w:numId="23">
    <w:abstractNumId w:val="44"/>
  </w:num>
  <w:num w:numId="24">
    <w:abstractNumId w:val="18"/>
  </w:num>
  <w:num w:numId="25">
    <w:abstractNumId w:val="36"/>
  </w:num>
  <w:num w:numId="26">
    <w:abstractNumId w:val="30"/>
  </w:num>
  <w:num w:numId="27">
    <w:abstractNumId w:val="16"/>
  </w:num>
  <w:num w:numId="28">
    <w:abstractNumId w:val="45"/>
  </w:num>
  <w:num w:numId="29">
    <w:abstractNumId w:val="46"/>
  </w:num>
  <w:num w:numId="30">
    <w:abstractNumId w:val="4"/>
  </w:num>
  <w:num w:numId="31">
    <w:abstractNumId w:val="21"/>
  </w:num>
  <w:num w:numId="32">
    <w:abstractNumId w:val="33"/>
  </w:num>
  <w:num w:numId="33">
    <w:abstractNumId w:val="54"/>
  </w:num>
  <w:num w:numId="34">
    <w:abstractNumId w:val="56"/>
  </w:num>
  <w:num w:numId="35">
    <w:abstractNumId w:val="49"/>
  </w:num>
  <w:num w:numId="36">
    <w:abstractNumId w:val="48"/>
  </w:num>
  <w:num w:numId="37">
    <w:abstractNumId w:val="3"/>
  </w:num>
  <w:num w:numId="38">
    <w:abstractNumId w:val="11"/>
  </w:num>
  <w:num w:numId="39">
    <w:abstractNumId w:val="17"/>
  </w:num>
  <w:num w:numId="40">
    <w:abstractNumId w:val="7"/>
  </w:num>
  <w:num w:numId="41">
    <w:abstractNumId w:val="19"/>
  </w:num>
  <w:num w:numId="42">
    <w:abstractNumId w:val="50"/>
  </w:num>
  <w:num w:numId="43">
    <w:abstractNumId w:val="37"/>
  </w:num>
  <w:num w:numId="44">
    <w:abstractNumId w:val="8"/>
  </w:num>
  <w:num w:numId="45">
    <w:abstractNumId w:val="34"/>
  </w:num>
  <w:num w:numId="46">
    <w:abstractNumId w:val="15"/>
  </w:num>
  <w:num w:numId="47">
    <w:abstractNumId w:val="52"/>
  </w:num>
  <w:num w:numId="48">
    <w:abstractNumId w:val="41"/>
  </w:num>
  <w:num w:numId="49">
    <w:abstractNumId w:val="20"/>
  </w:num>
  <w:num w:numId="50">
    <w:abstractNumId w:val="53"/>
  </w:num>
  <w:num w:numId="51">
    <w:abstractNumId w:val="28"/>
  </w:num>
  <w:num w:numId="52">
    <w:abstractNumId w:val="39"/>
  </w:num>
  <w:num w:numId="53">
    <w:abstractNumId w:val="42"/>
  </w:num>
  <w:num w:numId="54">
    <w:abstractNumId w:val="47"/>
  </w:num>
  <w:num w:numId="55">
    <w:abstractNumId w:val="5"/>
  </w:num>
  <w:num w:numId="56">
    <w:abstractNumId w:val="12"/>
  </w:num>
  <w:num w:numId="57">
    <w:abstractNumId w:val="25"/>
  </w:num>
  <w:num w:numId="58">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C1"/>
    <w:rsid w:val="00000039"/>
    <w:rsid w:val="000002E6"/>
    <w:rsid w:val="0000123B"/>
    <w:rsid w:val="00001C49"/>
    <w:rsid w:val="00005551"/>
    <w:rsid w:val="000134F2"/>
    <w:rsid w:val="00032C27"/>
    <w:rsid w:val="000437CB"/>
    <w:rsid w:val="00067DEF"/>
    <w:rsid w:val="000939F5"/>
    <w:rsid w:val="0009435E"/>
    <w:rsid w:val="000A42ED"/>
    <w:rsid w:val="000B54D6"/>
    <w:rsid w:val="000C6299"/>
    <w:rsid w:val="000E3EA1"/>
    <w:rsid w:val="000E5F78"/>
    <w:rsid w:val="000F0314"/>
    <w:rsid w:val="00110461"/>
    <w:rsid w:val="00122A02"/>
    <w:rsid w:val="00123614"/>
    <w:rsid w:val="00160092"/>
    <w:rsid w:val="00175B20"/>
    <w:rsid w:val="00190EC8"/>
    <w:rsid w:val="0019594E"/>
    <w:rsid w:val="00195E82"/>
    <w:rsid w:val="001B025A"/>
    <w:rsid w:val="001B3B95"/>
    <w:rsid w:val="001C3561"/>
    <w:rsid w:val="001C74D5"/>
    <w:rsid w:val="001C7668"/>
    <w:rsid w:val="001F064A"/>
    <w:rsid w:val="001F1581"/>
    <w:rsid w:val="001F2E88"/>
    <w:rsid w:val="001F3325"/>
    <w:rsid w:val="0020673F"/>
    <w:rsid w:val="00211E8B"/>
    <w:rsid w:val="00214EDF"/>
    <w:rsid w:val="002359B6"/>
    <w:rsid w:val="00242814"/>
    <w:rsid w:val="00245D71"/>
    <w:rsid w:val="00253FAE"/>
    <w:rsid w:val="00274821"/>
    <w:rsid w:val="00295B9A"/>
    <w:rsid w:val="002B4C69"/>
    <w:rsid w:val="002E273C"/>
    <w:rsid w:val="002F576E"/>
    <w:rsid w:val="00306DD8"/>
    <w:rsid w:val="00320AB5"/>
    <w:rsid w:val="00321C82"/>
    <w:rsid w:val="003337DC"/>
    <w:rsid w:val="003456BC"/>
    <w:rsid w:val="00347FAD"/>
    <w:rsid w:val="00353759"/>
    <w:rsid w:val="00356143"/>
    <w:rsid w:val="00370AF4"/>
    <w:rsid w:val="003720E0"/>
    <w:rsid w:val="0037360F"/>
    <w:rsid w:val="003B7A7E"/>
    <w:rsid w:val="003C33AC"/>
    <w:rsid w:val="003C4ABA"/>
    <w:rsid w:val="003D22CF"/>
    <w:rsid w:val="003D539C"/>
    <w:rsid w:val="003E0CF8"/>
    <w:rsid w:val="004020F3"/>
    <w:rsid w:val="00404AF7"/>
    <w:rsid w:val="0041654B"/>
    <w:rsid w:val="004250C3"/>
    <w:rsid w:val="00440442"/>
    <w:rsid w:val="004522AC"/>
    <w:rsid w:val="004705D6"/>
    <w:rsid w:val="004A660A"/>
    <w:rsid w:val="004B7C20"/>
    <w:rsid w:val="004C5167"/>
    <w:rsid w:val="004E5573"/>
    <w:rsid w:val="004F33C3"/>
    <w:rsid w:val="004F6508"/>
    <w:rsid w:val="0050498B"/>
    <w:rsid w:val="00510741"/>
    <w:rsid w:val="005216AA"/>
    <w:rsid w:val="00525D50"/>
    <w:rsid w:val="00533364"/>
    <w:rsid w:val="005404A4"/>
    <w:rsid w:val="00546A86"/>
    <w:rsid w:val="005476F7"/>
    <w:rsid w:val="005534D7"/>
    <w:rsid w:val="00572168"/>
    <w:rsid w:val="00576EF7"/>
    <w:rsid w:val="005968B2"/>
    <w:rsid w:val="005B3574"/>
    <w:rsid w:val="005B4FC5"/>
    <w:rsid w:val="005E1A67"/>
    <w:rsid w:val="005E2AA3"/>
    <w:rsid w:val="006044F3"/>
    <w:rsid w:val="0060607E"/>
    <w:rsid w:val="006155D1"/>
    <w:rsid w:val="006329CD"/>
    <w:rsid w:val="00637781"/>
    <w:rsid w:val="00642A61"/>
    <w:rsid w:val="00647F51"/>
    <w:rsid w:val="00654019"/>
    <w:rsid w:val="006703AB"/>
    <w:rsid w:val="00677A27"/>
    <w:rsid w:val="006A10FD"/>
    <w:rsid w:val="006A25F3"/>
    <w:rsid w:val="006B2B62"/>
    <w:rsid w:val="006B42E3"/>
    <w:rsid w:val="006D15C5"/>
    <w:rsid w:val="006D3C8E"/>
    <w:rsid w:val="006E2408"/>
    <w:rsid w:val="00700501"/>
    <w:rsid w:val="007249DA"/>
    <w:rsid w:val="00726F2B"/>
    <w:rsid w:val="0076130B"/>
    <w:rsid w:val="00764207"/>
    <w:rsid w:val="007727B0"/>
    <w:rsid w:val="007835E9"/>
    <w:rsid w:val="0078465C"/>
    <w:rsid w:val="00795724"/>
    <w:rsid w:val="007970CD"/>
    <w:rsid w:val="007A4051"/>
    <w:rsid w:val="007B00AB"/>
    <w:rsid w:val="007B1E90"/>
    <w:rsid w:val="007B7F33"/>
    <w:rsid w:val="007C319B"/>
    <w:rsid w:val="007F1DEA"/>
    <w:rsid w:val="00806524"/>
    <w:rsid w:val="00812B56"/>
    <w:rsid w:val="00823B9A"/>
    <w:rsid w:val="008422EF"/>
    <w:rsid w:val="00844A47"/>
    <w:rsid w:val="00877C51"/>
    <w:rsid w:val="00887B48"/>
    <w:rsid w:val="0089282D"/>
    <w:rsid w:val="008B71F3"/>
    <w:rsid w:val="008C2AF1"/>
    <w:rsid w:val="008D1319"/>
    <w:rsid w:val="008F1299"/>
    <w:rsid w:val="0090235E"/>
    <w:rsid w:val="00903D47"/>
    <w:rsid w:val="009041D4"/>
    <w:rsid w:val="00905F34"/>
    <w:rsid w:val="00961158"/>
    <w:rsid w:val="00961A92"/>
    <w:rsid w:val="00962C85"/>
    <w:rsid w:val="0097771C"/>
    <w:rsid w:val="009B1EBC"/>
    <w:rsid w:val="009E4A73"/>
    <w:rsid w:val="009E6256"/>
    <w:rsid w:val="009F1BD7"/>
    <w:rsid w:val="009F1E87"/>
    <w:rsid w:val="00A15421"/>
    <w:rsid w:val="00A23CEE"/>
    <w:rsid w:val="00A50F81"/>
    <w:rsid w:val="00A53775"/>
    <w:rsid w:val="00A653DC"/>
    <w:rsid w:val="00A73104"/>
    <w:rsid w:val="00A77E7B"/>
    <w:rsid w:val="00A92449"/>
    <w:rsid w:val="00A95C13"/>
    <w:rsid w:val="00AC483F"/>
    <w:rsid w:val="00AD64BA"/>
    <w:rsid w:val="00AE30E0"/>
    <w:rsid w:val="00AE53AA"/>
    <w:rsid w:val="00B03B37"/>
    <w:rsid w:val="00B17972"/>
    <w:rsid w:val="00B17A12"/>
    <w:rsid w:val="00B32BAA"/>
    <w:rsid w:val="00B51BDC"/>
    <w:rsid w:val="00B53316"/>
    <w:rsid w:val="00B537BC"/>
    <w:rsid w:val="00B54BA7"/>
    <w:rsid w:val="00B64CC2"/>
    <w:rsid w:val="00B71991"/>
    <w:rsid w:val="00B8023F"/>
    <w:rsid w:val="00B96899"/>
    <w:rsid w:val="00BC3935"/>
    <w:rsid w:val="00BC4F63"/>
    <w:rsid w:val="00BC5E94"/>
    <w:rsid w:val="00BD7147"/>
    <w:rsid w:val="00BE04B0"/>
    <w:rsid w:val="00BE3A2E"/>
    <w:rsid w:val="00BF2059"/>
    <w:rsid w:val="00C540CE"/>
    <w:rsid w:val="00C5486E"/>
    <w:rsid w:val="00C87811"/>
    <w:rsid w:val="00CC1E01"/>
    <w:rsid w:val="00CD6636"/>
    <w:rsid w:val="00CF7EFB"/>
    <w:rsid w:val="00D07BBE"/>
    <w:rsid w:val="00D113CE"/>
    <w:rsid w:val="00D15ADA"/>
    <w:rsid w:val="00D27CC1"/>
    <w:rsid w:val="00D3518E"/>
    <w:rsid w:val="00D37013"/>
    <w:rsid w:val="00D4037E"/>
    <w:rsid w:val="00D40DBB"/>
    <w:rsid w:val="00D71A2D"/>
    <w:rsid w:val="00D83C79"/>
    <w:rsid w:val="00D94D81"/>
    <w:rsid w:val="00D95D45"/>
    <w:rsid w:val="00DC23C7"/>
    <w:rsid w:val="00DD0707"/>
    <w:rsid w:val="00DD3A80"/>
    <w:rsid w:val="00DD6A01"/>
    <w:rsid w:val="00DE6E86"/>
    <w:rsid w:val="00DF6172"/>
    <w:rsid w:val="00E05AEE"/>
    <w:rsid w:val="00E751F3"/>
    <w:rsid w:val="00E76026"/>
    <w:rsid w:val="00E81752"/>
    <w:rsid w:val="00E83612"/>
    <w:rsid w:val="00E95B43"/>
    <w:rsid w:val="00EA4121"/>
    <w:rsid w:val="00EA44E4"/>
    <w:rsid w:val="00EA5C14"/>
    <w:rsid w:val="00EE0333"/>
    <w:rsid w:val="00EE2AE5"/>
    <w:rsid w:val="00EE49CC"/>
    <w:rsid w:val="00F039FF"/>
    <w:rsid w:val="00F058E6"/>
    <w:rsid w:val="00F07C42"/>
    <w:rsid w:val="00F07F44"/>
    <w:rsid w:val="00F33D9F"/>
    <w:rsid w:val="00F40A24"/>
    <w:rsid w:val="00F44F96"/>
    <w:rsid w:val="00F55B9F"/>
    <w:rsid w:val="00F6536A"/>
    <w:rsid w:val="00F73508"/>
    <w:rsid w:val="00F824EB"/>
    <w:rsid w:val="00FA093E"/>
    <w:rsid w:val="00FA0F01"/>
    <w:rsid w:val="00FA5A5F"/>
    <w:rsid w:val="00FB3BF9"/>
    <w:rsid w:val="00FB70C1"/>
    <w:rsid w:val="00FC1ABF"/>
    <w:rsid w:val="00FC3A3C"/>
    <w:rsid w:val="00FC71EF"/>
    <w:rsid w:val="00FD50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37D87C"/>
  <w15:chartTrackingRefBased/>
  <w15:docId w15:val="{CF014FD3-739F-43EA-8070-A7399D54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C1"/>
    <w:pPr>
      <w:spacing w:after="200" w:line="276" w:lineRule="auto"/>
    </w:pPr>
    <w:rPr>
      <w:rFonts w:ascii="Calibri" w:eastAsia="Calibri" w:hAnsi="Calibri" w:cs="Times New Roman"/>
    </w:rPr>
  </w:style>
  <w:style w:type="paragraph" w:styleId="Ttulo1">
    <w:name w:val="heading 1"/>
    <w:aliases w:val="h1,Heading I"/>
    <w:basedOn w:val="Normal"/>
    <w:next w:val="Normal"/>
    <w:link w:val="Ttulo1Car"/>
    <w:qFormat/>
    <w:rsid w:val="007727B0"/>
    <w:pPr>
      <w:keepNext/>
      <w:spacing w:after="0" w:line="240" w:lineRule="auto"/>
      <w:jc w:val="center"/>
      <w:outlineLvl w:val="0"/>
    </w:pPr>
    <w:rPr>
      <w:rFonts w:ascii="Arial" w:eastAsia="Times New Roman" w:hAnsi="Arial"/>
      <w:b/>
      <w:szCs w:val="20"/>
    </w:rPr>
  </w:style>
  <w:style w:type="paragraph" w:styleId="Ttulo2">
    <w:name w:val="heading 2"/>
    <w:aliases w:val="h2,2TitSec,Heading II"/>
    <w:basedOn w:val="Normal"/>
    <w:next w:val="Normal"/>
    <w:link w:val="Ttulo2Car"/>
    <w:unhideWhenUsed/>
    <w:qFormat/>
    <w:rsid w:val="00C878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h3"/>
    <w:basedOn w:val="Normal"/>
    <w:next w:val="Normal"/>
    <w:link w:val="Ttulo3Car"/>
    <w:qFormat/>
    <w:rsid w:val="00FB70C1"/>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nhideWhenUsed/>
    <w:qFormat/>
    <w:rsid w:val="00F33D9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aliases w:val="Considerando,Apartado_sub"/>
    <w:basedOn w:val="Normal"/>
    <w:next w:val="Normal"/>
    <w:link w:val="Ttulo5Car"/>
    <w:qFormat/>
    <w:rsid w:val="007727B0"/>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7727B0"/>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7727B0"/>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7727B0"/>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7727B0"/>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h3 Car"/>
    <w:basedOn w:val="Fuentedeprrafopredeter"/>
    <w:link w:val="Ttulo3"/>
    <w:rsid w:val="00FB70C1"/>
    <w:rPr>
      <w:rFonts w:ascii="Arial" w:eastAsia="Times New Roman" w:hAnsi="Arial" w:cs="Arial"/>
      <w:b/>
      <w:bCs/>
      <w:szCs w:val="20"/>
    </w:rPr>
  </w:style>
  <w:style w:type="paragraph" w:styleId="NormalWeb">
    <w:name w:val="Normal (Web)"/>
    <w:basedOn w:val="Normal"/>
    <w:uiPriority w:val="99"/>
    <w:unhideWhenUsed/>
    <w:rsid w:val="00FB70C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FB70C1"/>
    <w:pPr>
      <w:autoSpaceDE w:val="0"/>
      <w:autoSpaceDN w:val="0"/>
      <w:adjustRightInd w:val="0"/>
      <w:spacing w:after="0" w:line="240" w:lineRule="auto"/>
    </w:pPr>
    <w:rPr>
      <w:rFonts w:ascii="Tahoma" w:eastAsia="Calibri" w:hAnsi="Tahoma" w:cs="Tahoma"/>
      <w:color w:val="000000"/>
      <w:sz w:val="24"/>
      <w:szCs w:val="24"/>
      <w:lang w:eastAsia="es-MX"/>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uiPriority w:val="99"/>
    <w:qFormat/>
    <w:rsid w:val="00FB70C1"/>
    <w:rPr>
      <w:vertAlign w:val="superscript"/>
    </w:rPr>
  </w:style>
  <w:style w:type="character" w:styleId="Hipervnculo">
    <w:name w:val="Hyperlink"/>
    <w:uiPriority w:val="99"/>
    <w:rsid w:val="00FB70C1"/>
    <w:rPr>
      <w:color w:val="0000FF"/>
      <w:u w:val="single"/>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qFormat/>
    <w:rsid w:val="00FB70C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FB70C1"/>
    <w:rPr>
      <w:rFonts w:ascii="Times New Roman" w:eastAsia="Times New Roman" w:hAnsi="Times New Roman" w:cs="Times New Roman"/>
      <w:sz w:val="20"/>
      <w:szCs w:val="20"/>
      <w:lang w:val="es-ES" w:eastAsia="es-ES"/>
    </w:rPr>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FB70C1"/>
    <w:pPr>
      <w:spacing w:after="0" w:line="240" w:lineRule="auto"/>
      <w:ind w:left="708"/>
      <w:jc w:val="both"/>
    </w:pPr>
    <w:rPr>
      <w:rFonts w:ascii="Arial" w:eastAsia="Times New Roman" w:hAnsi="Arial"/>
      <w:szCs w:val="24"/>
      <w:lang w:eastAsia="es-ES"/>
    </w:rPr>
  </w:style>
  <w:style w:type="paragraph" w:customStyle="1" w:styleId="Texto">
    <w:name w:val="Texto"/>
    <w:basedOn w:val="Normal"/>
    <w:uiPriority w:val="99"/>
    <w:rsid w:val="00FB70C1"/>
    <w:pPr>
      <w:spacing w:after="101" w:line="216" w:lineRule="exact"/>
      <w:ind w:firstLine="288"/>
      <w:jc w:val="both"/>
    </w:pPr>
    <w:rPr>
      <w:rFonts w:ascii="Arial" w:eastAsia="Times New Roman" w:hAnsi="Arial" w:cs="Arial"/>
      <w:sz w:val="18"/>
      <w:szCs w:val="18"/>
      <w:lang w:val="es-ES" w:eastAsia="es-ES"/>
    </w:rPr>
  </w:style>
  <w:style w:type="paragraph" w:customStyle="1" w:styleId="ANOTACION">
    <w:name w:val="ANOTACION"/>
    <w:basedOn w:val="Normal"/>
    <w:link w:val="ANOTACIONCar"/>
    <w:rsid w:val="00FB70C1"/>
    <w:pPr>
      <w:spacing w:before="101" w:after="101" w:line="216" w:lineRule="atLeast"/>
      <w:jc w:val="center"/>
    </w:pPr>
    <w:rPr>
      <w:rFonts w:ascii="CG Palacio (WN)" w:eastAsia="Times New Roman" w:hAnsi="CG Palacio (WN)" w:cs="CG Palacio (WN)"/>
      <w:b/>
      <w:sz w:val="18"/>
      <w:szCs w:val="20"/>
      <w:lang w:val="es-ES_tradnl" w:eastAsia="es-MX"/>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FB70C1"/>
    <w:rPr>
      <w:rFonts w:ascii="Arial" w:eastAsia="Times New Roman" w:hAnsi="Arial" w:cs="Times New Roman"/>
      <w:szCs w:val="24"/>
      <w:lang w:eastAsia="es-ES"/>
    </w:rPr>
  </w:style>
  <w:style w:type="table" w:styleId="Tablaconcuadrcula">
    <w:name w:val="Table Grid"/>
    <w:basedOn w:val="Tablanormal"/>
    <w:uiPriority w:val="59"/>
    <w:rsid w:val="00FB70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OTACIONCar">
    <w:name w:val="ANOTACION Car"/>
    <w:link w:val="ANOTACION"/>
    <w:locked/>
    <w:rsid w:val="00FB70C1"/>
    <w:rPr>
      <w:rFonts w:ascii="CG Palacio (WN)" w:eastAsia="Times New Roman" w:hAnsi="CG Palacio (WN)" w:cs="CG Palacio (WN)"/>
      <w:b/>
      <w:sz w:val="18"/>
      <w:szCs w:val="20"/>
      <w:lang w:val="es-ES_tradnl" w:eastAsia="es-MX"/>
    </w:rPr>
  </w:style>
  <w:style w:type="paragraph" w:customStyle="1" w:styleId="TAL">
    <w:name w:val="TAL"/>
    <w:basedOn w:val="Normal"/>
    <w:link w:val="TALChar"/>
    <w:uiPriority w:val="99"/>
    <w:rsid w:val="00FB70C1"/>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FB70C1"/>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FB70C1"/>
    <w:pPr>
      <w:spacing w:before="240" w:after="240"/>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FB70C1"/>
    <w:rPr>
      <w:rFonts w:ascii="ITC Avant Garde" w:eastAsia="Times New Roman" w:hAnsi="ITC Avant Garde" w:cs="Arial"/>
      <w:lang w:eastAsia="es-MX"/>
    </w:rPr>
  </w:style>
  <w:style w:type="paragraph" w:customStyle="1" w:styleId="TAH">
    <w:name w:val="TAH"/>
    <w:basedOn w:val="Normal"/>
    <w:uiPriority w:val="99"/>
    <w:rsid w:val="00FB70C1"/>
    <w:pPr>
      <w:keepNext/>
      <w:keepLines/>
      <w:spacing w:after="0" w:line="240" w:lineRule="auto"/>
      <w:jc w:val="center"/>
    </w:pPr>
    <w:rPr>
      <w:rFonts w:ascii="Arial" w:eastAsia="Batang" w:hAnsi="Arial"/>
      <w:b/>
      <w:sz w:val="18"/>
      <w:szCs w:val="20"/>
      <w:lang w:val="en-GB"/>
    </w:rPr>
  </w:style>
  <w:style w:type="numbering" w:customStyle="1" w:styleId="1ai2">
    <w:name w:val="1 / a / i2"/>
    <w:basedOn w:val="Sinlista"/>
    <w:next w:val="1ai"/>
    <w:uiPriority w:val="99"/>
    <w:unhideWhenUsed/>
    <w:rsid w:val="00FB70C1"/>
    <w:pPr>
      <w:numPr>
        <w:numId w:val="2"/>
      </w:numPr>
    </w:pPr>
  </w:style>
  <w:style w:type="numbering" w:customStyle="1" w:styleId="1ai11">
    <w:name w:val="1 / a / i11"/>
    <w:basedOn w:val="Sinlista"/>
    <w:next w:val="1ai"/>
    <w:uiPriority w:val="99"/>
    <w:unhideWhenUsed/>
    <w:rsid w:val="00FB70C1"/>
    <w:pPr>
      <w:numPr>
        <w:numId w:val="1"/>
      </w:numPr>
    </w:pPr>
  </w:style>
  <w:style w:type="numbering" w:styleId="1ai">
    <w:name w:val="Outline List 1"/>
    <w:basedOn w:val="Sinlista"/>
    <w:uiPriority w:val="99"/>
    <w:unhideWhenUsed/>
    <w:rsid w:val="00FB70C1"/>
  </w:style>
  <w:style w:type="character" w:styleId="Refdecomentario">
    <w:name w:val="annotation reference"/>
    <w:basedOn w:val="Fuentedeprrafopredeter"/>
    <w:unhideWhenUsed/>
    <w:rsid w:val="00DC23C7"/>
    <w:rPr>
      <w:sz w:val="16"/>
      <w:szCs w:val="16"/>
    </w:rPr>
  </w:style>
  <w:style w:type="paragraph" w:styleId="Textocomentario">
    <w:name w:val="annotation text"/>
    <w:basedOn w:val="Normal"/>
    <w:link w:val="TextocomentarioCar"/>
    <w:uiPriority w:val="99"/>
    <w:unhideWhenUsed/>
    <w:rsid w:val="00DC23C7"/>
    <w:pPr>
      <w:spacing w:line="240" w:lineRule="auto"/>
    </w:pPr>
    <w:rPr>
      <w:sz w:val="20"/>
      <w:szCs w:val="20"/>
    </w:rPr>
  </w:style>
  <w:style w:type="character" w:customStyle="1" w:styleId="TextocomentarioCar">
    <w:name w:val="Texto comentario Car"/>
    <w:basedOn w:val="Fuentedeprrafopredeter"/>
    <w:link w:val="Textocomentario"/>
    <w:uiPriority w:val="99"/>
    <w:rsid w:val="00DC23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nhideWhenUsed/>
    <w:rsid w:val="00DC23C7"/>
    <w:rPr>
      <w:b/>
      <w:bCs/>
    </w:rPr>
  </w:style>
  <w:style w:type="character" w:customStyle="1" w:styleId="AsuntodelcomentarioCar">
    <w:name w:val="Asunto del comentario Car"/>
    <w:basedOn w:val="TextocomentarioCar"/>
    <w:link w:val="Asuntodelcomentario"/>
    <w:rsid w:val="00DC23C7"/>
    <w:rPr>
      <w:rFonts w:ascii="Calibri" w:eastAsia="Calibri" w:hAnsi="Calibri" w:cs="Times New Roman"/>
      <w:b/>
      <w:bCs/>
      <w:sz w:val="20"/>
      <w:szCs w:val="20"/>
    </w:rPr>
  </w:style>
  <w:style w:type="paragraph" w:styleId="Textodeglobo">
    <w:name w:val="Balloon Text"/>
    <w:basedOn w:val="Normal"/>
    <w:link w:val="TextodegloboCar"/>
    <w:unhideWhenUsed/>
    <w:rsid w:val="00DC23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DC23C7"/>
    <w:rPr>
      <w:rFonts w:ascii="Segoe UI" w:eastAsia="Calibri" w:hAnsi="Segoe UI" w:cs="Segoe UI"/>
      <w:sz w:val="18"/>
      <w:szCs w:val="18"/>
    </w:rPr>
  </w:style>
  <w:style w:type="character" w:customStyle="1" w:styleId="Ttulo4Car">
    <w:name w:val="Título 4 Car"/>
    <w:basedOn w:val="Fuentedeprrafopredeter"/>
    <w:link w:val="Ttulo4"/>
    <w:rsid w:val="00F33D9F"/>
    <w:rPr>
      <w:rFonts w:asciiTheme="majorHAnsi" w:eastAsiaTheme="majorEastAsia" w:hAnsiTheme="majorHAnsi" w:cstheme="majorBidi"/>
      <w:i/>
      <w:iCs/>
      <w:color w:val="2E74B5" w:themeColor="accent1" w:themeShade="BF"/>
    </w:rPr>
  </w:style>
  <w:style w:type="character" w:customStyle="1" w:styleId="Ttulo2Car">
    <w:name w:val="Título 2 Car"/>
    <w:aliases w:val="h2 Car,2TitSec Car,Heading II Car"/>
    <w:basedOn w:val="Fuentedeprrafopredeter"/>
    <w:link w:val="Ttulo2"/>
    <w:rsid w:val="00C87811"/>
    <w:rPr>
      <w:rFonts w:asciiTheme="majorHAnsi" w:eastAsiaTheme="majorEastAsia" w:hAnsiTheme="majorHAnsi" w:cstheme="majorBidi"/>
      <w:color w:val="2E74B5" w:themeColor="accent1" w:themeShade="BF"/>
      <w:sz w:val="26"/>
      <w:szCs w:val="26"/>
    </w:rPr>
  </w:style>
  <w:style w:type="character" w:customStyle="1" w:styleId="Ttulo1Car">
    <w:name w:val="Título 1 Car"/>
    <w:aliases w:val="h1 Car,Heading I Car"/>
    <w:basedOn w:val="Fuentedeprrafopredeter"/>
    <w:link w:val="Ttulo1"/>
    <w:rsid w:val="007727B0"/>
    <w:rPr>
      <w:rFonts w:ascii="Arial" w:eastAsia="Times New Roman" w:hAnsi="Arial" w:cs="Times New Roman"/>
      <w:b/>
      <w:szCs w:val="20"/>
    </w:rPr>
  </w:style>
  <w:style w:type="character" w:customStyle="1" w:styleId="Ttulo5Car">
    <w:name w:val="Título 5 Car"/>
    <w:aliases w:val="Considerando Car,Apartado_sub Car"/>
    <w:basedOn w:val="Fuentedeprrafopredeter"/>
    <w:link w:val="Ttulo5"/>
    <w:rsid w:val="007727B0"/>
    <w:rPr>
      <w:rFonts w:ascii="Arial" w:eastAsia="Times New Roman" w:hAnsi="Arial" w:cs="Times New Roman"/>
      <w:b/>
      <w:sz w:val="20"/>
      <w:szCs w:val="20"/>
    </w:rPr>
  </w:style>
  <w:style w:type="character" w:customStyle="1" w:styleId="Ttulo6Car">
    <w:name w:val="Título 6 Car"/>
    <w:basedOn w:val="Fuentedeprrafopredeter"/>
    <w:link w:val="Ttulo6"/>
    <w:rsid w:val="007727B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7727B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7727B0"/>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7727B0"/>
    <w:rPr>
      <w:rFonts w:ascii="Arial" w:eastAsia="Times New Roman" w:hAnsi="Arial" w:cs="Arial"/>
      <w:lang w:eastAsia="es-ES"/>
    </w:rPr>
  </w:style>
  <w:style w:type="paragraph" w:styleId="Encabezado">
    <w:name w:val="header"/>
    <w:basedOn w:val="Normal"/>
    <w:link w:val="EncabezadoCar"/>
    <w:unhideWhenUsed/>
    <w:rsid w:val="007727B0"/>
    <w:pPr>
      <w:tabs>
        <w:tab w:val="center" w:pos="4419"/>
        <w:tab w:val="right" w:pos="8838"/>
      </w:tabs>
      <w:spacing w:after="0" w:line="240" w:lineRule="auto"/>
    </w:pPr>
  </w:style>
  <w:style w:type="character" w:customStyle="1" w:styleId="EncabezadoCar">
    <w:name w:val="Encabezado Car"/>
    <w:basedOn w:val="Fuentedeprrafopredeter"/>
    <w:link w:val="Encabezado"/>
    <w:rsid w:val="007727B0"/>
    <w:rPr>
      <w:rFonts w:ascii="Calibri" w:eastAsia="Calibri" w:hAnsi="Calibri" w:cs="Times New Roman"/>
    </w:rPr>
  </w:style>
  <w:style w:type="paragraph" w:styleId="Piedepgina">
    <w:name w:val="footer"/>
    <w:basedOn w:val="Normal"/>
    <w:link w:val="PiedepginaCar"/>
    <w:uiPriority w:val="99"/>
    <w:unhideWhenUsed/>
    <w:rsid w:val="007727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27B0"/>
    <w:rPr>
      <w:rFonts w:ascii="Calibri" w:eastAsia="Calibri" w:hAnsi="Calibri" w:cs="Times New Roman"/>
    </w:rPr>
  </w:style>
  <w:style w:type="paragraph" w:customStyle="1" w:styleId="estilo30">
    <w:name w:val="estilo30"/>
    <w:basedOn w:val="Normal"/>
    <w:rsid w:val="007727B0"/>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semiHidden/>
    <w:unhideWhenUsed/>
    <w:rsid w:val="007727B0"/>
  </w:style>
  <w:style w:type="paragraph" w:styleId="Textoindependiente">
    <w:name w:val="Body Text"/>
    <w:basedOn w:val="Normal"/>
    <w:link w:val="TextoindependienteCar"/>
    <w:rsid w:val="007727B0"/>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7727B0"/>
    <w:rPr>
      <w:rFonts w:ascii="Arial" w:eastAsia="Times New Roman" w:hAnsi="Arial" w:cs="Times New Roman"/>
      <w:szCs w:val="20"/>
    </w:rPr>
  </w:style>
  <w:style w:type="character" w:styleId="Nmerodepgina">
    <w:name w:val="page number"/>
    <w:basedOn w:val="Fuentedeprrafopredeter"/>
    <w:rsid w:val="007727B0"/>
  </w:style>
  <w:style w:type="paragraph" w:styleId="Ttulo">
    <w:name w:val="Title"/>
    <w:basedOn w:val="Normal"/>
    <w:link w:val="TtuloCar"/>
    <w:uiPriority w:val="99"/>
    <w:qFormat/>
    <w:rsid w:val="007727B0"/>
    <w:pPr>
      <w:spacing w:after="0" w:line="240" w:lineRule="auto"/>
      <w:jc w:val="center"/>
    </w:pPr>
    <w:rPr>
      <w:rFonts w:ascii="Arial" w:eastAsia="Times New Roman" w:hAnsi="Arial"/>
      <w:b/>
      <w:szCs w:val="20"/>
    </w:rPr>
  </w:style>
  <w:style w:type="character" w:customStyle="1" w:styleId="TtuloCar">
    <w:name w:val="Título Car"/>
    <w:basedOn w:val="Fuentedeprrafopredeter"/>
    <w:link w:val="Ttulo"/>
    <w:uiPriority w:val="99"/>
    <w:rsid w:val="007727B0"/>
    <w:rPr>
      <w:rFonts w:ascii="Arial" w:eastAsia="Times New Roman" w:hAnsi="Arial" w:cs="Times New Roman"/>
      <w:b/>
      <w:szCs w:val="20"/>
    </w:rPr>
  </w:style>
  <w:style w:type="paragraph" w:styleId="Sangra2detindependiente">
    <w:name w:val="Body Text Indent 2"/>
    <w:basedOn w:val="Normal"/>
    <w:link w:val="Sangra2detindependienteCar"/>
    <w:rsid w:val="007727B0"/>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7727B0"/>
    <w:rPr>
      <w:rFonts w:ascii="Arial" w:eastAsia="Times New Roman" w:hAnsi="Arial" w:cs="Times New Roman"/>
      <w:szCs w:val="20"/>
    </w:rPr>
  </w:style>
  <w:style w:type="paragraph" w:styleId="Subttulo">
    <w:name w:val="Subtitle"/>
    <w:basedOn w:val="Normal"/>
    <w:link w:val="SubttuloCar"/>
    <w:uiPriority w:val="99"/>
    <w:qFormat/>
    <w:rsid w:val="007727B0"/>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uiPriority w:val="99"/>
    <w:rsid w:val="007727B0"/>
    <w:rPr>
      <w:rFonts w:ascii="Arial" w:eastAsia="Times New Roman" w:hAnsi="Arial" w:cs="Arial"/>
      <w:b/>
      <w:szCs w:val="24"/>
      <w:lang w:eastAsia="es-ES"/>
    </w:rPr>
  </w:style>
  <w:style w:type="paragraph" w:styleId="Textoindependiente3">
    <w:name w:val="Body Text 3"/>
    <w:basedOn w:val="Normal"/>
    <w:link w:val="Textoindependiente3Car"/>
    <w:rsid w:val="007727B0"/>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7727B0"/>
    <w:rPr>
      <w:rFonts w:ascii="Arial" w:eastAsia="Times New Roman" w:hAnsi="Arial" w:cs="Arial"/>
      <w:szCs w:val="24"/>
      <w:lang w:eastAsia="es-ES"/>
    </w:rPr>
  </w:style>
  <w:style w:type="paragraph" w:styleId="Sangradetextonormal">
    <w:name w:val="Body Text Indent"/>
    <w:basedOn w:val="Normal"/>
    <w:link w:val="SangradetextonormalCar"/>
    <w:rsid w:val="007727B0"/>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7727B0"/>
    <w:rPr>
      <w:rFonts w:ascii="Arial" w:eastAsia="Times New Roman" w:hAnsi="Arial" w:cs="Arial"/>
      <w:b/>
      <w:szCs w:val="24"/>
      <w:lang w:eastAsia="es-ES"/>
    </w:rPr>
  </w:style>
  <w:style w:type="paragraph" w:styleId="Textoindependiente2">
    <w:name w:val="Body Text 2"/>
    <w:basedOn w:val="Normal"/>
    <w:link w:val="Textoindependiente2Car"/>
    <w:rsid w:val="007727B0"/>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7727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7727B0"/>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7727B0"/>
    <w:rPr>
      <w:rFonts w:ascii="Arial" w:eastAsia="Times New Roman" w:hAnsi="Arial" w:cs="Times New Roman"/>
      <w:i/>
      <w:sz w:val="20"/>
      <w:szCs w:val="20"/>
      <w:lang w:eastAsia="es-ES"/>
    </w:rPr>
  </w:style>
  <w:style w:type="paragraph" w:customStyle="1" w:styleId="TEXT">
    <w:name w:val="TEXT"/>
    <w:basedOn w:val="Normal"/>
    <w:rsid w:val="007727B0"/>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7727B0"/>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7727B0"/>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0">
    <w:name w:val="texto"/>
    <w:basedOn w:val="Normal"/>
    <w:rsid w:val="007727B0"/>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7727B0"/>
  </w:style>
  <w:style w:type="paragraph" w:customStyle="1" w:styleId="call">
    <w:name w:val="call"/>
    <w:basedOn w:val="Normal"/>
    <w:next w:val="Normal"/>
    <w:rsid w:val="007727B0"/>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7727B0"/>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styleId="Textosinformato">
    <w:name w:val="Plain Text"/>
    <w:basedOn w:val="Normal"/>
    <w:link w:val="TextosinformatoCar"/>
    <w:rsid w:val="007727B0"/>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7727B0"/>
    <w:rPr>
      <w:rFonts w:ascii="Courier New" w:eastAsia="Times New Roman" w:hAnsi="Courier New" w:cs="Courier New"/>
      <w:sz w:val="20"/>
      <w:szCs w:val="20"/>
      <w:lang w:eastAsia="es-ES"/>
    </w:rPr>
  </w:style>
  <w:style w:type="paragraph" w:customStyle="1" w:styleId="TextoCar">
    <w:name w:val="Texto Car"/>
    <w:basedOn w:val="Normal"/>
    <w:rsid w:val="007727B0"/>
    <w:pPr>
      <w:spacing w:after="101" w:line="216" w:lineRule="exact"/>
      <w:ind w:firstLine="288"/>
      <w:jc w:val="both"/>
    </w:pPr>
    <w:rPr>
      <w:rFonts w:ascii="Arial" w:eastAsia="Times New Roman" w:hAnsi="Arial" w:cs="Arial"/>
      <w:sz w:val="18"/>
      <w:szCs w:val="20"/>
      <w:lang w:val="es-ES" w:eastAsia="es-MX"/>
    </w:rPr>
  </w:style>
  <w:style w:type="character" w:customStyle="1" w:styleId="estilo71">
    <w:name w:val="estilo71"/>
    <w:rsid w:val="007727B0"/>
    <w:rPr>
      <w:rFonts w:ascii="Arial" w:hAnsi="Arial" w:cs="Arial" w:hint="default"/>
      <w:sz w:val="15"/>
      <w:szCs w:val="15"/>
    </w:rPr>
  </w:style>
  <w:style w:type="paragraph" w:customStyle="1" w:styleId="contenidos">
    <w:name w:val="contenidos"/>
    <w:basedOn w:val="Normal"/>
    <w:rsid w:val="007727B0"/>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7727B0"/>
    <w:rPr>
      <w:rFonts w:ascii="Arial" w:hAnsi="Arial" w:cs="Arial" w:hint="default"/>
      <w:b/>
      <w:bCs/>
      <w:strike w:val="0"/>
      <w:dstrike w:val="0"/>
      <w:color w:val="8F840D"/>
      <w:sz w:val="24"/>
      <w:szCs w:val="24"/>
      <w:u w:val="none"/>
      <w:effect w:val="none"/>
    </w:rPr>
  </w:style>
  <w:style w:type="character" w:customStyle="1" w:styleId="contenidos1">
    <w:name w:val="contenidos1"/>
    <w:rsid w:val="007727B0"/>
    <w:rPr>
      <w:rFonts w:ascii="Verdana" w:hAnsi="Verdana" w:hint="default"/>
      <w:color w:val="000000"/>
      <w:sz w:val="18"/>
      <w:szCs w:val="18"/>
    </w:rPr>
  </w:style>
  <w:style w:type="character" w:customStyle="1" w:styleId="linkconta1">
    <w:name w:val="linkconta1"/>
    <w:rsid w:val="007727B0"/>
    <w:rPr>
      <w:rFonts w:ascii="Verdana" w:hAnsi="Verdana" w:hint="default"/>
      <w:sz w:val="18"/>
      <w:szCs w:val="18"/>
    </w:rPr>
  </w:style>
  <w:style w:type="character" w:styleId="Textoennegrita">
    <w:name w:val="Strong"/>
    <w:qFormat/>
    <w:rsid w:val="007727B0"/>
    <w:rPr>
      <w:b/>
      <w:bCs/>
    </w:rPr>
  </w:style>
  <w:style w:type="paragraph" w:styleId="Textodebloque">
    <w:name w:val="Block Text"/>
    <w:basedOn w:val="Normal"/>
    <w:rsid w:val="007727B0"/>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7727B0"/>
    <w:rPr>
      <w:color w:val="800080"/>
      <w:u w:val="single"/>
    </w:rPr>
  </w:style>
  <w:style w:type="paragraph" w:styleId="Lista">
    <w:name w:val="List"/>
    <w:basedOn w:val="Normal"/>
    <w:rsid w:val="007727B0"/>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7727B0"/>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7727B0"/>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7727B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7727B0"/>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7727B0"/>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7727B0"/>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7727B0"/>
    <w:pPr>
      <w:numPr>
        <w:numId w:val="12"/>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7727B0"/>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7727B0"/>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7727B0"/>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7727B0"/>
    <w:rPr>
      <w:sz w:val="24"/>
      <w:szCs w:val="24"/>
      <w:lang w:val="es-ES" w:eastAsia="es-MX"/>
    </w:rPr>
  </w:style>
  <w:style w:type="paragraph" w:styleId="Textoindependienteprimerasangra">
    <w:name w:val="Body Text First Indent"/>
    <w:basedOn w:val="Textoindependiente"/>
    <w:link w:val="TextoindependienteprimerasangraCar"/>
    <w:rsid w:val="007727B0"/>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7727B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7727B0"/>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7727B0"/>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7727B0"/>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7727B0"/>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7727B0"/>
    <w:pPr>
      <w:spacing w:after="0" w:line="240" w:lineRule="auto"/>
    </w:pPr>
    <w:rPr>
      <w:rFonts w:ascii="Calibri" w:eastAsia="Calibri" w:hAnsi="Calibri" w:cs="Times New Roman"/>
    </w:rPr>
  </w:style>
  <w:style w:type="paragraph" w:customStyle="1" w:styleId="CM4">
    <w:name w:val="CM4"/>
    <w:basedOn w:val="Default"/>
    <w:next w:val="Default"/>
    <w:uiPriority w:val="99"/>
    <w:rsid w:val="007727B0"/>
    <w:rPr>
      <w:rFonts w:ascii="EUAlbertina" w:eastAsia="Times New Roman" w:hAnsi="EUAlbertina" w:cs="Times New Roman"/>
      <w:color w:val="auto"/>
      <w:lang w:val="es-ES" w:eastAsia="es-ES"/>
    </w:rPr>
  </w:style>
  <w:style w:type="character" w:customStyle="1" w:styleId="eacep1">
    <w:name w:val="eacep1"/>
    <w:rsid w:val="007727B0"/>
    <w:rPr>
      <w:color w:val="000000"/>
    </w:rPr>
  </w:style>
  <w:style w:type="paragraph" w:styleId="Listaconvietas">
    <w:name w:val="List Bullet"/>
    <w:aliases w:val="Bullets texto"/>
    <w:basedOn w:val="Normal"/>
    <w:uiPriority w:val="99"/>
    <w:qFormat/>
    <w:rsid w:val="007727B0"/>
    <w:pPr>
      <w:numPr>
        <w:numId w:val="13"/>
      </w:numPr>
      <w:spacing w:after="0" w:line="240" w:lineRule="auto"/>
      <w:contextualSpacing/>
      <w:jc w:val="both"/>
    </w:pPr>
    <w:rPr>
      <w:rFonts w:ascii="Arial" w:eastAsia="Times New Roman" w:hAnsi="Arial"/>
      <w:szCs w:val="24"/>
      <w:lang w:eastAsia="es-ES"/>
    </w:rPr>
  </w:style>
  <w:style w:type="paragraph" w:customStyle="1" w:styleId="Captionsmall">
    <w:name w:val="Caption: small"/>
    <w:basedOn w:val="Descripcin"/>
    <w:next w:val="Normal"/>
    <w:qFormat/>
    <w:rsid w:val="007727B0"/>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7727B0"/>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7727B0"/>
    <w:pPr>
      <w:numPr>
        <w:numId w:val="11"/>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7727B0"/>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7727B0"/>
    <w:pPr>
      <w:numPr>
        <w:numId w:val="14"/>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7727B0"/>
    <w:rPr>
      <w:rFonts w:ascii="Times New Roman" w:eastAsia="Calibri" w:hAnsi="Times New Roman" w:cs="Times New Roman"/>
      <w:sz w:val="20"/>
      <w:szCs w:val="20"/>
      <w:lang w:val="es-ES" w:eastAsia="es-ES"/>
    </w:rPr>
  </w:style>
  <w:style w:type="paragraph" w:customStyle="1" w:styleId="Tablecells">
    <w:name w:val="Table: cells"/>
    <w:qFormat/>
    <w:rsid w:val="007727B0"/>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7727B0"/>
    <w:pPr>
      <w:keepNext/>
    </w:pPr>
    <w:rPr>
      <w:b/>
      <w:color w:val="FFFFFF"/>
    </w:rPr>
  </w:style>
  <w:style w:type="paragraph" w:styleId="Listaconnmeros">
    <w:name w:val="List Number"/>
    <w:basedOn w:val="Normal"/>
    <w:uiPriority w:val="99"/>
    <w:rsid w:val="007727B0"/>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7727B0"/>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7727B0"/>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7727B0"/>
    <w:pPr>
      <w:keepLines/>
      <w:numPr>
        <w:numId w:val="10"/>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7727B0"/>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7727B0"/>
    <w:rPr>
      <w:rFonts w:ascii="Times New Roman" w:eastAsia="Calibri" w:hAnsi="Times New Roman" w:cs="Times New Roman"/>
      <w:lang w:val="es-ES"/>
    </w:rPr>
  </w:style>
  <w:style w:type="paragraph" w:customStyle="1" w:styleId="SBSheader">
    <w:name w:val="SBS: header"/>
    <w:basedOn w:val="Normal"/>
    <w:qFormat/>
    <w:rsid w:val="007727B0"/>
    <w:pPr>
      <w:spacing w:after="240" w:line="320" w:lineRule="atLeast"/>
    </w:pPr>
    <w:rPr>
      <w:rFonts w:ascii="Times New Roman" w:hAnsi="Times New Roman"/>
      <w:i/>
      <w:lang w:val="es-ES"/>
    </w:rPr>
  </w:style>
  <w:style w:type="paragraph" w:customStyle="1" w:styleId="L1">
    <w:name w:val="L1"/>
    <w:basedOn w:val="ListBulletCompact"/>
    <w:link w:val="L1Char"/>
    <w:qFormat/>
    <w:rsid w:val="007727B0"/>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7727B0"/>
    <w:rPr>
      <w:rFonts w:ascii="Times New Roman" w:eastAsia="Calibri" w:hAnsi="Times New Roman" w:cs="Times New Roman"/>
      <w:sz w:val="20"/>
      <w:szCs w:val="20"/>
      <w:lang w:val="es-ES" w:eastAsia="es-ES"/>
    </w:rPr>
  </w:style>
  <w:style w:type="character" w:customStyle="1" w:styleId="apple-converted-space">
    <w:name w:val="apple-converted-space"/>
    <w:rsid w:val="007727B0"/>
  </w:style>
  <w:style w:type="table" w:customStyle="1" w:styleId="Sombreadomedio2-nfasis11">
    <w:name w:val="Sombreado medio 2 - Énfasis 11"/>
    <w:basedOn w:val="Tablanormal"/>
    <w:uiPriority w:val="64"/>
    <w:rsid w:val="007727B0"/>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7727B0"/>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7727B0"/>
    <w:rPr>
      <w:rFonts w:ascii="Arial" w:hAnsi="Arial"/>
      <w:sz w:val="16"/>
    </w:rPr>
  </w:style>
  <w:style w:type="character" w:customStyle="1" w:styleId="Listaconvietas2Car">
    <w:name w:val="Lista con viñetas 2 Car"/>
    <w:link w:val="Listaconvietas2"/>
    <w:uiPriority w:val="99"/>
    <w:rsid w:val="007727B0"/>
    <w:rPr>
      <w:rFonts w:ascii="Times New Roman" w:eastAsia="Times New Roman" w:hAnsi="Times New Roman" w:cs="Times New Roman"/>
      <w:sz w:val="24"/>
      <w:szCs w:val="24"/>
      <w:lang w:val="es-ES" w:eastAsia="es-ES"/>
    </w:rPr>
  </w:style>
  <w:style w:type="character" w:customStyle="1" w:styleId="FooterChar">
    <w:name w:val="Footer Char"/>
    <w:uiPriority w:val="99"/>
    <w:rsid w:val="007727B0"/>
    <w:rPr>
      <w:rFonts w:ascii="Arial" w:hAnsi="Arial"/>
      <w:sz w:val="16"/>
    </w:rPr>
  </w:style>
  <w:style w:type="paragraph" w:customStyle="1" w:styleId="Annex1">
    <w:name w:val="Annex 1"/>
    <w:next w:val="Normal"/>
    <w:qFormat/>
    <w:rsid w:val="007727B0"/>
    <w:pPr>
      <w:keepNext/>
      <w:pageBreakBefore/>
      <w:numPr>
        <w:numId w:val="17"/>
      </w:numPr>
      <w:tabs>
        <w:tab w:val="clear" w:pos="1134"/>
      </w:tabs>
      <w:spacing w:after="600" w:line="560" w:lineRule="exact"/>
      <w:ind w:left="720" w:hanging="360"/>
      <w:outlineLvl w:val="0"/>
    </w:pPr>
    <w:rPr>
      <w:rFonts w:ascii="Times New Roman" w:eastAsia="Calibri" w:hAnsi="Times New Roman" w:cs="Times New Roman"/>
      <w:sz w:val="36"/>
      <w:lang w:val="en-GB"/>
    </w:rPr>
  </w:style>
  <w:style w:type="paragraph" w:customStyle="1" w:styleId="LL">
    <w:name w:val="LL"/>
    <w:basedOn w:val="ListBullet2Compact"/>
    <w:rsid w:val="007727B0"/>
    <w:pPr>
      <w:numPr>
        <w:numId w:val="16"/>
      </w:numPr>
      <w:ind w:left="714" w:hanging="357"/>
    </w:pPr>
  </w:style>
  <w:style w:type="paragraph" w:customStyle="1" w:styleId="Tablenote">
    <w:name w:val="Table: note"/>
    <w:basedOn w:val="Tablecells"/>
    <w:qFormat/>
    <w:rsid w:val="007727B0"/>
    <w:pPr>
      <w:pBdr>
        <w:bottom w:val="single" w:sz="4" w:space="9" w:color="auto"/>
      </w:pBdr>
      <w:spacing w:before="100" w:after="0"/>
      <w:ind w:left="357" w:right="0" w:hanging="357"/>
    </w:pPr>
  </w:style>
  <w:style w:type="paragraph" w:customStyle="1" w:styleId="Tablebullet">
    <w:name w:val="Table: bullet"/>
    <w:basedOn w:val="Tablecells"/>
    <w:qFormat/>
    <w:rsid w:val="007727B0"/>
    <w:pPr>
      <w:numPr>
        <w:numId w:val="18"/>
      </w:numPr>
      <w:tabs>
        <w:tab w:val="num" w:pos="567"/>
      </w:tabs>
      <w:ind w:left="227" w:hanging="227"/>
    </w:pPr>
  </w:style>
  <w:style w:type="paragraph" w:styleId="TDC2">
    <w:name w:val="toc 2"/>
    <w:basedOn w:val="TDC1"/>
    <w:next w:val="Normal"/>
    <w:autoRedefine/>
    <w:uiPriority w:val="39"/>
    <w:unhideWhenUsed/>
    <w:rsid w:val="007727B0"/>
    <w:pPr>
      <w:keepNext w:val="0"/>
      <w:spacing w:before="0"/>
    </w:pPr>
    <w:rPr>
      <w:b w:val="0"/>
      <w:noProof/>
    </w:rPr>
  </w:style>
  <w:style w:type="character" w:customStyle="1" w:styleId="ConfidentialFooter">
    <w:name w:val="ConfidentialFooter"/>
    <w:rsid w:val="007727B0"/>
    <w:rPr>
      <w:color w:val="FFFFFF"/>
      <w:sz w:val="2"/>
    </w:rPr>
  </w:style>
  <w:style w:type="paragraph" w:customStyle="1" w:styleId="ConfidentialFront">
    <w:name w:val="ConfidentialFront"/>
    <w:basedOn w:val="Normal"/>
    <w:qFormat/>
    <w:rsid w:val="007727B0"/>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7727B0"/>
    <w:pPr>
      <w:keepNext/>
      <w:numPr>
        <w:numId w:val="19"/>
      </w:numPr>
      <w:spacing w:line="320" w:lineRule="atLeast"/>
      <w:ind w:left="357" w:hanging="357"/>
      <w:jc w:val="both"/>
    </w:pPr>
    <w:rPr>
      <w:rFonts w:ascii="Times New Roman" w:hAnsi="Times New Roman"/>
      <w:i/>
      <w:lang w:val="es-ES"/>
    </w:rPr>
  </w:style>
  <w:style w:type="character" w:customStyle="1" w:styleId="H5Char">
    <w:name w:val="H5 Char"/>
    <w:link w:val="H5"/>
    <w:rsid w:val="007727B0"/>
    <w:rPr>
      <w:rFonts w:ascii="Times New Roman" w:eastAsia="Calibri" w:hAnsi="Times New Roman" w:cs="Times New Roman"/>
      <w:i/>
      <w:lang w:val="es-ES"/>
    </w:rPr>
  </w:style>
  <w:style w:type="paragraph" w:styleId="TDC1">
    <w:name w:val="toc 1"/>
    <w:basedOn w:val="Normal"/>
    <w:next w:val="Normal"/>
    <w:autoRedefine/>
    <w:uiPriority w:val="39"/>
    <w:unhideWhenUsed/>
    <w:rsid w:val="007727B0"/>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7727B0"/>
    <w:rPr>
      <w:sz w:val="20"/>
    </w:rPr>
  </w:style>
  <w:style w:type="paragraph" w:styleId="TDC4">
    <w:name w:val="toc 4"/>
    <w:basedOn w:val="TDC3"/>
    <w:next w:val="Normal"/>
    <w:autoRedefine/>
    <w:uiPriority w:val="39"/>
    <w:unhideWhenUsed/>
    <w:rsid w:val="007727B0"/>
  </w:style>
  <w:style w:type="paragraph" w:customStyle="1" w:styleId="Annex2">
    <w:name w:val="Annex 2"/>
    <w:next w:val="Normal"/>
    <w:qFormat/>
    <w:rsid w:val="007727B0"/>
    <w:pPr>
      <w:keepNext/>
      <w:numPr>
        <w:ilvl w:val="1"/>
        <w:numId w:val="17"/>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7727B0"/>
    <w:pPr>
      <w:keepNext/>
      <w:numPr>
        <w:ilvl w:val="2"/>
        <w:numId w:val="17"/>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7727B0"/>
    <w:pPr>
      <w:keepNext/>
      <w:numPr>
        <w:ilvl w:val="3"/>
        <w:numId w:val="17"/>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7727B0"/>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7727B0"/>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7727B0"/>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7727B0"/>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7727B0"/>
    <w:pPr>
      <w:spacing w:after="160"/>
    </w:pPr>
    <w:rPr>
      <w:i/>
      <w:color w:val="003352"/>
      <w:sz w:val="24"/>
      <w:szCs w:val="24"/>
    </w:rPr>
  </w:style>
  <w:style w:type="paragraph" w:customStyle="1" w:styleId="TitleRefNo">
    <w:name w:val="Title: RefNo"/>
    <w:basedOn w:val="Titledate"/>
    <w:next w:val="Normal"/>
    <w:qFormat/>
    <w:rsid w:val="007727B0"/>
    <w:rPr>
      <w:i w:val="0"/>
      <w:sz w:val="22"/>
    </w:rPr>
  </w:style>
  <w:style w:type="paragraph" w:customStyle="1" w:styleId="Contentsheading">
    <w:name w:val="Contents: heading"/>
    <w:basedOn w:val="Normal"/>
    <w:next w:val="TDC1"/>
    <w:qFormat/>
    <w:rsid w:val="007727B0"/>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7727B0"/>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7727B0"/>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7727B0"/>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7727B0"/>
    <w:pPr>
      <w:spacing w:after="0" w:line="320" w:lineRule="atLeast"/>
      <w:jc w:val="both"/>
    </w:pPr>
    <w:rPr>
      <w:rFonts w:ascii="Times New Roman" w:hAnsi="Times New Roman"/>
      <w:lang w:val="es-ES"/>
    </w:rPr>
  </w:style>
  <w:style w:type="paragraph" w:customStyle="1" w:styleId="Titleaddress">
    <w:name w:val="Title: address"/>
    <w:basedOn w:val="01"/>
    <w:qFormat/>
    <w:rsid w:val="007727B0"/>
    <w:pPr>
      <w:ind w:left="567"/>
    </w:pPr>
  </w:style>
  <w:style w:type="paragraph" w:customStyle="1" w:styleId="Titleversion">
    <w:name w:val="Title: version"/>
    <w:basedOn w:val="Normal"/>
    <w:rsid w:val="007727B0"/>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7727B0"/>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7727B0"/>
  </w:style>
  <w:style w:type="table" w:styleId="Tablaclsica2">
    <w:name w:val="Table Classic 2"/>
    <w:basedOn w:val="Tablanormal"/>
    <w:rsid w:val="007727B0"/>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7727B0"/>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7727B0"/>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7727B0"/>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7727B0"/>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7727B0"/>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7727B0"/>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7727B0"/>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7727B0"/>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7727B0"/>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7727B0"/>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7727B0"/>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7727B0"/>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7727B0"/>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7727B0"/>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7727B0"/>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7727B0"/>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7727B0"/>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7727B0"/>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7727B0"/>
  </w:style>
  <w:style w:type="numbering" w:customStyle="1" w:styleId="Sinlista11">
    <w:name w:val="Sin lista11"/>
    <w:next w:val="Sinlista"/>
    <w:semiHidden/>
    <w:unhideWhenUsed/>
    <w:rsid w:val="007727B0"/>
  </w:style>
  <w:style w:type="numbering" w:customStyle="1" w:styleId="Sinlista2">
    <w:name w:val="Sin lista2"/>
    <w:next w:val="Sinlista"/>
    <w:semiHidden/>
    <w:rsid w:val="007727B0"/>
  </w:style>
  <w:style w:type="numbering" w:customStyle="1" w:styleId="Sinlista3">
    <w:name w:val="Sin lista3"/>
    <w:next w:val="Sinlista"/>
    <w:uiPriority w:val="99"/>
    <w:semiHidden/>
    <w:unhideWhenUsed/>
    <w:rsid w:val="007727B0"/>
  </w:style>
  <w:style w:type="numbering" w:customStyle="1" w:styleId="Sinlista4">
    <w:name w:val="Sin lista4"/>
    <w:next w:val="Sinlista"/>
    <w:semiHidden/>
    <w:unhideWhenUsed/>
    <w:rsid w:val="007727B0"/>
  </w:style>
  <w:style w:type="numbering" w:customStyle="1" w:styleId="1ai1">
    <w:name w:val="1 / a / i1"/>
    <w:basedOn w:val="Sinlista"/>
    <w:next w:val="1ai"/>
    <w:uiPriority w:val="99"/>
    <w:unhideWhenUsed/>
    <w:rsid w:val="007727B0"/>
  </w:style>
  <w:style w:type="paragraph" w:customStyle="1" w:styleId="xl69">
    <w:name w:val="xl69"/>
    <w:basedOn w:val="Normal"/>
    <w:rsid w:val="007727B0"/>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7727B0"/>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7727B0"/>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7727B0"/>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7727B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7727B0"/>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7727B0"/>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7727B0"/>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7727B0"/>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7727B0"/>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7727B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7727B0"/>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7727B0"/>
  </w:style>
  <w:style w:type="numbering" w:customStyle="1" w:styleId="Sinlista111">
    <w:name w:val="Sin lista111"/>
    <w:next w:val="Sinlista"/>
    <w:semiHidden/>
    <w:unhideWhenUsed/>
    <w:rsid w:val="007727B0"/>
  </w:style>
  <w:style w:type="table" w:customStyle="1" w:styleId="Tablaconcuadrcula1">
    <w:name w:val="Tabla con cuadrícula1"/>
    <w:basedOn w:val="Tablanormal"/>
    <w:next w:val="Tablaconcuadrcula"/>
    <w:uiPriority w:val="59"/>
    <w:rsid w:val="007727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7727B0"/>
  </w:style>
  <w:style w:type="numbering" w:customStyle="1" w:styleId="Sinlista31">
    <w:name w:val="Sin lista31"/>
    <w:next w:val="Sinlista"/>
    <w:uiPriority w:val="99"/>
    <w:semiHidden/>
    <w:unhideWhenUsed/>
    <w:rsid w:val="007727B0"/>
  </w:style>
  <w:style w:type="numbering" w:customStyle="1" w:styleId="Sinlista41">
    <w:name w:val="Sin lista41"/>
    <w:next w:val="Sinlista"/>
    <w:uiPriority w:val="99"/>
    <w:semiHidden/>
    <w:unhideWhenUsed/>
    <w:rsid w:val="007727B0"/>
  </w:style>
  <w:style w:type="paragraph" w:customStyle="1" w:styleId="Titulo1">
    <w:name w:val="Titulo 1"/>
    <w:basedOn w:val="Texto"/>
    <w:qFormat/>
    <w:rsid w:val="007727B0"/>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7727B0"/>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7727B0"/>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7727B0"/>
    <w:rPr>
      <w:rFonts w:ascii="Arial" w:eastAsia="Times New Roman" w:hAnsi="Arial" w:cs="Times New Roman"/>
      <w:sz w:val="30"/>
      <w:szCs w:val="30"/>
      <w:lang w:val="es-ES_tradnl" w:eastAsia="es-ES"/>
    </w:rPr>
  </w:style>
  <w:style w:type="paragraph" w:customStyle="1" w:styleId="xl3157">
    <w:name w:val="xl3157"/>
    <w:basedOn w:val="Normal"/>
    <w:rsid w:val="007727B0"/>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7727B0"/>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7727B0"/>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7727B0"/>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7727B0"/>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7727B0"/>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styleId="Revisin">
    <w:name w:val="Revision"/>
    <w:hidden/>
    <w:uiPriority w:val="99"/>
    <w:semiHidden/>
    <w:rsid w:val="007727B0"/>
    <w:pPr>
      <w:spacing w:after="0" w:line="240" w:lineRule="auto"/>
    </w:pPr>
    <w:rPr>
      <w:rFonts w:ascii="Calibri" w:eastAsia="Calibri" w:hAnsi="Calibri" w:cs="Times New Roman"/>
    </w:rPr>
  </w:style>
  <w:style w:type="character" w:customStyle="1" w:styleId="ROMANOSCar">
    <w:name w:val="ROMANOS Car"/>
    <w:link w:val="ROMANOS"/>
    <w:locked/>
    <w:rsid w:val="007727B0"/>
    <w:rPr>
      <w:rFonts w:ascii="Arial" w:eastAsia="Times New Roman" w:hAnsi="Arial" w:cs="Times New Roman"/>
      <w:sz w:val="18"/>
      <w:szCs w:val="20"/>
      <w:lang w:val="es-ES_tradnl" w:eastAsia="es-ES"/>
    </w:rPr>
  </w:style>
  <w:style w:type="paragraph" w:customStyle="1" w:styleId="IFT1">
    <w:name w:val="IFT 1"/>
    <w:basedOn w:val="Normal"/>
    <w:link w:val="IFT1Car"/>
    <w:qFormat/>
    <w:rsid w:val="007727B0"/>
    <w:pPr>
      <w:jc w:val="both"/>
    </w:pPr>
    <w:rPr>
      <w:rFonts w:ascii="ITC Avant Garde" w:hAnsi="ITC Avant Garde"/>
      <w:spacing w:val="-4"/>
    </w:rPr>
  </w:style>
  <w:style w:type="character" w:customStyle="1" w:styleId="IFT1Car">
    <w:name w:val="IFT 1 Car"/>
    <w:basedOn w:val="Fuentedeprrafopredeter"/>
    <w:link w:val="IFT1"/>
    <w:rsid w:val="007727B0"/>
    <w:rPr>
      <w:rFonts w:ascii="ITC Avant Garde" w:eastAsia="Calibri" w:hAnsi="ITC Avant Garde" w:cs="Times New Roman"/>
      <w:spacing w:val="-4"/>
    </w:rPr>
  </w:style>
  <w:style w:type="paragraph" w:customStyle="1" w:styleId="Normal2">
    <w:name w:val="Normal2"/>
    <w:rsid w:val="007727B0"/>
    <w:pPr>
      <w:spacing w:after="0" w:line="276" w:lineRule="auto"/>
    </w:pPr>
    <w:rPr>
      <w:rFonts w:ascii="Arial" w:eastAsia="Arial" w:hAnsi="Arial" w:cs="Arial"/>
      <w:color w:val="000000"/>
      <w:szCs w:val="20"/>
      <w:lang w:val="en-US"/>
    </w:rPr>
  </w:style>
  <w:style w:type="paragraph" w:customStyle="1" w:styleId="Titulo2">
    <w:name w:val="Titulo 2"/>
    <w:basedOn w:val="Texto"/>
    <w:uiPriority w:val="99"/>
    <w:rsid w:val="007727B0"/>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
    <w:uiPriority w:val="99"/>
    <w:rsid w:val="007727B0"/>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7727B0"/>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7727B0"/>
    <w:pPr>
      <w:keepLines/>
      <w:spacing w:before="480" w:line="276" w:lineRule="auto"/>
      <w:jc w:val="left"/>
      <w:outlineLvl w:val="9"/>
    </w:pPr>
    <w:rPr>
      <w:rFonts w:ascii="Calibri Light" w:hAnsi="Calibri Light"/>
      <w:bCs/>
      <w:color w:val="2E74B5"/>
      <w:sz w:val="28"/>
      <w:szCs w:val="28"/>
      <w:lang w:eastAsia="es-MX"/>
    </w:rPr>
  </w:style>
  <w:style w:type="character" w:styleId="nfasis">
    <w:name w:val="Emphasis"/>
    <w:aliases w:val="Título 4 (1.1.1)"/>
    <w:basedOn w:val="Fuentedeprrafopredeter"/>
    <w:uiPriority w:val="20"/>
    <w:qFormat/>
    <w:rsid w:val="007727B0"/>
    <w:rPr>
      <w:rFonts w:cs="Times New Roman"/>
      <w:i/>
      <w:iCs/>
      <w:color w:val="auto"/>
    </w:rPr>
  </w:style>
  <w:style w:type="paragraph" w:styleId="Cita">
    <w:name w:val="Quote"/>
    <w:aliases w:val="Bullets cita"/>
    <w:basedOn w:val="Normal"/>
    <w:next w:val="Normal"/>
    <w:link w:val="CitaCar"/>
    <w:uiPriority w:val="29"/>
    <w:qFormat/>
    <w:rsid w:val="007727B0"/>
    <w:pPr>
      <w:spacing w:before="160" w:after="160" w:line="259" w:lineRule="auto"/>
      <w:ind w:left="720" w:right="720"/>
    </w:pPr>
    <w:rPr>
      <w:rFonts w:eastAsia="Times New Roman"/>
      <w:i/>
      <w:iCs/>
      <w:color w:val="000000"/>
    </w:rPr>
  </w:style>
  <w:style w:type="character" w:customStyle="1" w:styleId="CitaCar">
    <w:name w:val="Cita Car"/>
    <w:aliases w:val="Bullets cita Car"/>
    <w:basedOn w:val="Fuentedeprrafopredeter"/>
    <w:link w:val="Cita"/>
    <w:uiPriority w:val="29"/>
    <w:rsid w:val="007727B0"/>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7727B0"/>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rsid w:val="007727B0"/>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7727B0"/>
    <w:rPr>
      <w:rFonts w:cs="Times New Roman"/>
      <w:i/>
      <w:iCs/>
      <w:color w:val="404040"/>
    </w:rPr>
  </w:style>
  <w:style w:type="character" w:styleId="nfasisintenso">
    <w:name w:val="Intense Emphasis"/>
    <w:basedOn w:val="Fuentedeprrafopredeter"/>
    <w:uiPriority w:val="99"/>
    <w:qFormat/>
    <w:rsid w:val="007727B0"/>
    <w:rPr>
      <w:rFonts w:cs="Times New Roman"/>
      <w:b/>
      <w:bCs/>
      <w:i/>
      <w:iCs/>
      <w:caps/>
    </w:rPr>
  </w:style>
  <w:style w:type="character" w:styleId="Referenciasutil">
    <w:name w:val="Subtle Reference"/>
    <w:basedOn w:val="Fuentedeprrafopredeter"/>
    <w:uiPriority w:val="99"/>
    <w:qFormat/>
    <w:rsid w:val="007727B0"/>
    <w:rPr>
      <w:rFonts w:cs="Times New Roman"/>
      <w:smallCaps/>
      <w:color w:val="404040"/>
      <w:u w:val="single" w:color="7F7F7F"/>
    </w:rPr>
  </w:style>
  <w:style w:type="character" w:styleId="Referenciaintensa">
    <w:name w:val="Intense Reference"/>
    <w:basedOn w:val="Fuentedeprrafopredeter"/>
    <w:uiPriority w:val="99"/>
    <w:qFormat/>
    <w:rsid w:val="007727B0"/>
    <w:rPr>
      <w:rFonts w:cs="Times New Roman"/>
      <w:b/>
      <w:bCs/>
      <w:smallCaps/>
      <w:u w:val="single"/>
    </w:rPr>
  </w:style>
  <w:style w:type="character" w:styleId="Ttulodellibro">
    <w:name w:val="Book Title"/>
    <w:basedOn w:val="Fuentedeprrafopredeter"/>
    <w:uiPriority w:val="99"/>
    <w:qFormat/>
    <w:rsid w:val="007727B0"/>
    <w:rPr>
      <w:rFonts w:cs="Times New Roman"/>
      <w:smallCaps/>
      <w:spacing w:val="5"/>
    </w:rPr>
  </w:style>
  <w:style w:type="character" w:customStyle="1" w:styleId="notranslate">
    <w:name w:val="notranslate"/>
    <w:basedOn w:val="Fuentedeprrafopredeter"/>
    <w:uiPriority w:val="99"/>
    <w:rsid w:val="007727B0"/>
    <w:rPr>
      <w:rFonts w:cs="Times New Roman"/>
    </w:rPr>
  </w:style>
  <w:style w:type="character" w:customStyle="1" w:styleId="HTMLconformatoprevioCar">
    <w:name w:val="HTML con formato previo Car"/>
    <w:basedOn w:val="Fuentedeprrafopredeter"/>
    <w:link w:val="HTMLconformatoprevio"/>
    <w:uiPriority w:val="99"/>
    <w:semiHidden/>
    <w:locked/>
    <w:rsid w:val="007727B0"/>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772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s-MX"/>
    </w:rPr>
  </w:style>
  <w:style w:type="character" w:customStyle="1" w:styleId="HTMLconformatoprevioCar1">
    <w:name w:val="HTML con formato previo Car1"/>
    <w:basedOn w:val="Fuentedeprrafopredeter"/>
    <w:uiPriority w:val="99"/>
    <w:semiHidden/>
    <w:rsid w:val="007727B0"/>
    <w:rPr>
      <w:rFonts w:ascii="Consolas" w:eastAsia="Calibri" w:hAnsi="Consolas" w:cs="Times New Roman"/>
      <w:sz w:val="20"/>
      <w:szCs w:val="20"/>
    </w:rPr>
  </w:style>
  <w:style w:type="character" w:customStyle="1" w:styleId="HTMLPreformattedChar1">
    <w:name w:val="HTML Preformatted Char1"/>
    <w:basedOn w:val="Fuentedeprrafopredeter"/>
    <w:uiPriority w:val="99"/>
    <w:semiHidden/>
    <w:rsid w:val="007727B0"/>
    <w:rPr>
      <w:rFonts w:ascii="Courier New" w:hAnsi="Courier New" w:cs="Courier New"/>
      <w:sz w:val="20"/>
      <w:szCs w:val="20"/>
      <w:lang w:eastAsia="en-US"/>
    </w:rPr>
  </w:style>
  <w:style w:type="paragraph" w:customStyle="1" w:styleId="Style1">
    <w:name w:val="Style1"/>
    <w:basedOn w:val="Prrafodelista"/>
    <w:link w:val="Style1Char"/>
    <w:uiPriority w:val="99"/>
    <w:rsid w:val="007727B0"/>
    <w:pPr>
      <w:keepNext/>
      <w:spacing w:before="240" w:after="240" w:line="276" w:lineRule="auto"/>
      <w:ind w:left="0"/>
      <w:contextualSpacing/>
      <w:outlineLvl w:val="0"/>
    </w:pPr>
    <w:rPr>
      <w:rFonts w:ascii="ITC Avant Garde" w:hAnsi="ITC Avant Garde" w:cs="Arial"/>
      <w:b/>
      <w:lang w:val="es-ES"/>
    </w:rPr>
  </w:style>
  <w:style w:type="character" w:customStyle="1" w:styleId="Style1Char">
    <w:name w:val="Style1 Char"/>
    <w:basedOn w:val="PrrafodelistaCar"/>
    <w:link w:val="Style1"/>
    <w:uiPriority w:val="99"/>
    <w:locked/>
    <w:rsid w:val="007727B0"/>
    <w:rPr>
      <w:rFonts w:ascii="ITC Avant Garde" w:eastAsia="Times New Roman" w:hAnsi="ITC Avant Garde" w:cs="Arial"/>
      <w:b/>
      <w:szCs w:val="24"/>
      <w:lang w:val="es-ES" w:eastAsia="es-ES"/>
    </w:rPr>
  </w:style>
  <w:style w:type="paragraph" w:customStyle="1" w:styleId="Style2">
    <w:name w:val="Style2"/>
    <w:basedOn w:val="Prrafodelista"/>
    <w:uiPriority w:val="99"/>
    <w:rsid w:val="007727B0"/>
    <w:pPr>
      <w:keepNext/>
      <w:spacing w:before="240" w:after="240" w:line="276" w:lineRule="auto"/>
      <w:ind w:left="0"/>
      <w:contextualSpacing/>
      <w:outlineLvl w:val="0"/>
    </w:pPr>
    <w:rPr>
      <w:rFonts w:ascii="ITC Avant Garde" w:hAnsi="ITC Avant Garde" w:cs="Arial"/>
      <w:b/>
      <w:szCs w:val="22"/>
      <w:lang w:eastAsia="es-MX"/>
    </w:rPr>
  </w:style>
  <w:style w:type="paragraph" w:customStyle="1" w:styleId="Style3">
    <w:name w:val="Style3"/>
    <w:basedOn w:val="Prrafodelista"/>
    <w:link w:val="Style3Char"/>
    <w:uiPriority w:val="99"/>
    <w:rsid w:val="007727B0"/>
    <w:pPr>
      <w:keepNext/>
      <w:numPr>
        <w:ilvl w:val="1"/>
        <w:numId w:val="31"/>
      </w:numPr>
      <w:spacing w:before="120" w:after="360" w:line="276" w:lineRule="auto"/>
      <w:ind w:left="357" w:hanging="357"/>
      <w:contextualSpacing/>
      <w:outlineLvl w:val="0"/>
    </w:pPr>
    <w:rPr>
      <w:rFonts w:ascii="ITC Avant Garde" w:hAnsi="ITC Avant Garde" w:cs="Arial"/>
      <w:b/>
      <w:sz w:val="30"/>
      <w:lang w:eastAsia="es-MX"/>
    </w:rPr>
  </w:style>
  <w:style w:type="character" w:customStyle="1" w:styleId="Style3Char">
    <w:name w:val="Style3 Char"/>
    <w:basedOn w:val="PrrafodelistaCar"/>
    <w:link w:val="Style3"/>
    <w:uiPriority w:val="99"/>
    <w:locked/>
    <w:rsid w:val="007727B0"/>
    <w:rPr>
      <w:rFonts w:ascii="ITC Avant Garde" w:eastAsia="Times New Roman" w:hAnsi="ITC Avant Garde" w:cs="Arial"/>
      <w:b/>
      <w:sz w:val="30"/>
      <w:szCs w:val="24"/>
      <w:lang w:eastAsia="es-MX"/>
    </w:rPr>
  </w:style>
  <w:style w:type="paragraph" w:customStyle="1" w:styleId="Estilo1">
    <w:name w:val="Estilo1"/>
    <w:basedOn w:val="Prrafodelista"/>
    <w:uiPriority w:val="99"/>
    <w:rsid w:val="007727B0"/>
    <w:pPr>
      <w:numPr>
        <w:numId w:val="32"/>
      </w:numPr>
      <w:spacing w:after="200" w:line="276" w:lineRule="auto"/>
      <w:ind w:left="0" w:firstLine="0"/>
      <w:contextualSpacing/>
    </w:pPr>
    <w:rPr>
      <w:rFonts w:ascii="ITC Avant Garde" w:hAnsi="ITC Avant Garde"/>
      <w:b/>
      <w:sz w:val="20"/>
      <w:szCs w:val="20"/>
      <w:lang w:eastAsia="en-US"/>
    </w:rPr>
  </w:style>
  <w:style w:type="paragraph" w:styleId="Textonotaalfinal">
    <w:name w:val="endnote text"/>
    <w:basedOn w:val="Normal"/>
    <w:link w:val="TextonotaalfinalCar"/>
    <w:uiPriority w:val="99"/>
    <w:semiHidden/>
    <w:unhideWhenUsed/>
    <w:rsid w:val="007727B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727B0"/>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7727B0"/>
    <w:rPr>
      <w:vertAlign w:val="superscript"/>
    </w:rPr>
  </w:style>
  <w:style w:type="table" w:styleId="Sombreadomedio2-nfasis1">
    <w:name w:val="Medium Shading 2 Accent 1"/>
    <w:basedOn w:val="Tablanormal"/>
    <w:uiPriority w:val="64"/>
    <w:unhideWhenUsed/>
    <w:rsid w:val="00772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7727B0"/>
    <w:pPr>
      <w:keepNext w:val="0"/>
      <w:spacing w:line="276" w:lineRule="auto"/>
      <w:ind w:left="567" w:right="49"/>
      <w:jc w:val="both"/>
      <w:outlineLvl w:val="9"/>
    </w:pPr>
    <w:rPr>
      <w:rFonts w:ascii="ITC Avant Garde" w:eastAsia="Calibri" w:hAnsi="ITC Avant Garde" w:cs="Arial"/>
      <w:b w:val="0"/>
      <w:szCs w:val="22"/>
      <w:lang w:val="es-ES_tradnl" w:eastAsia="es-ES"/>
    </w:rPr>
  </w:style>
  <w:style w:type="character" w:customStyle="1" w:styleId="1TitPrinCar">
    <w:name w:val="1TitPrin Car"/>
    <w:link w:val="1TitPrin"/>
    <w:rsid w:val="007727B0"/>
    <w:rPr>
      <w:rFonts w:ascii="ITC Avant Garde" w:eastAsia="Calibri" w:hAnsi="ITC Avant Garde" w:cs="Arial"/>
      <w:lang w:val="es-ES_tradnl" w:eastAsia="es-ES"/>
    </w:rPr>
  </w:style>
  <w:style w:type="paragraph" w:customStyle="1" w:styleId="Citaift">
    <w:name w:val="Cita ift"/>
    <w:basedOn w:val="Normal"/>
    <w:link w:val="CitaiftCar"/>
    <w:qFormat/>
    <w:rsid w:val="007727B0"/>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7727B0"/>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7727B0"/>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7727B0"/>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7727B0"/>
    <w:pPr>
      <w:ind w:left="720"/>
      <w:contextualSpacing/>
    </w:pPr>
  </w:style>
  <w:style w:type="character" w:customStyle="1" w:styleId="Listamulticolor-nfasis1Car">
    <w:name w:val="Lista multicolor - Énfasis 1 Car"/>
    <w:link w:val="Listamulticolor-nfasis11"/>
    <w:uiPriority w:val="34"/>
    <w:rsid w:val="007727B0"/>
    <w:rPr>
      <w:rFonts w:ascii="Calibri" w:eastAsia="Calibri" w:hAnsi="Calibri" w:cs="Times New Roman"/>
    </w:rPr>
  </w:style>
  <w:style w:type="paragraph" w:customStyle="1" w:styleId="Cuadrculamediana21">
    <w:name w:val="Cuadrícula mediana 21"/>
    <w:uiPriority w:val="1"/>
    <w:rsid w:val="007727B0"/>
    <w:pPr>
      <w:spacing w:after="0" w:line="240" w:lineRule="auto"/>
    </w:pPr>
    <w:rPr>
      <w:rFonts w:ascii="Calibri" w:eastAsia="Calibri" w:hAnsi="Calibri" w:cs="Times New Roman"/>
    </w:rPr>
  </w:style>
  <w:style w:type="character" w:styleId="CitaHTML">
    <w:name w:val="HTML Cite"/>
    <w:uiPriority w:val="99"/>
    <w:semiHidden/>
    <w:unhideWhenUsed/>
    <w:rsid w:val="007727B0"/>
    <w:rPr>
      <w:i/>
      <w:iCs/>
    </w:rPr>
  </w:style>
  <w:style w:type="paragraph" w:customStyle="1" w:styleId="Sombreadomulticolor-nfasis11">
    <w:name w:val="Sombreado multicolor - Énfasis 11"/>
    <w:hidden/>
    <w:uiPriority w:val="99"/>
    <w:semiHidden/>
    <w:rsid w:val="007727B0"/>
    <w:pPr>
      <w:spacing w:after="0" w:line="240" w:lineRule="auto"/>
    </w:pPr>
    <w:rPr>
      <w:rFonts w:ascii="Calibri" w:eastAsia="Calibri" w:hAnsi="Calibri" w:cs="Times New Roman"/>
    </w:rPr>
  </w:style>
  <w:style w:type="table" w:styleId="Cuadrculamedia3-nfasis1">
    <w:name w:val="Medium Grid 3 Accent 1"/>
    <w:basedOn w:val="Tablanormal"/>
    <w:uiPriority w:val="64"/>
    <w:rsid w:val="007727B0"/>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7727B0"/>
    <w:pPr>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7727B0"/>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7727B0"/>
    <w:pPr>
      <w:jc w:val="both"/>
    </w:pPr>
    <w:rPr>
      <w:rFonts w:ascii="ITC Avant Garde" w:hAnsi="ITC Avant Garde"/>
      <w:u w:val="single"/>
    </w:rPr>
  </w:style>
  <w:style w:type="paragraph" w:customStyle="1" w:styleId="ListaCitaOtras">
    <w:name w:val="ListaCitaOtras"/>
    <w:basedOn w:val="Citaift"/>
    <w:link w:val="ListaCitaOtrasCar"/>
    <w:qFormat/>
    <w:rsid w:val="007727B0"/>
    <w:pPr>
      <w:numPr>
        <w:numId w:val="33"/>
      </w:numPr>
      <w:ind w:left="1570" w:hanging="357"/>
    </w:pPr>
  </w:style>
  <w:style w:type="character" w:customStyle="1" w:styleId="ListaCitaOtrasCar">
    <w:name w:val="ListaCitaOtras Car"/>
    <w:basedOn w:val="CitaiftCar"/>
    <w:link w:val="ListaCitaOtras"/>
    <w:rsid w:val="007727B0"/>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7727B0"/>
    <w:rPr>
      <w:sz w:val="22"/>
      <w:szCs w:val="22"/>
      <w:lang w:eastAsia="en-US"/>
    </w:rPr>
  </w:style>
  <w:style w:type="table" w:styleId="Listavistosa-nfasis1">
    <w:name w:val="Colorful List Accent 1"/>
    <w:basedOn w:val="Tablanormal"/>
    <w:link w:val="Listavistosa-nfasis1Car"/>
    <w:uiPriority w:val="34"/>
    <w:semiHidden/>
    <w:unhideWhenUsed/>
    <w:rsid w:val="007727B0"/>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7727B0"/>
    <w:pPr>
      <w:ind w:left="792"/>
    </w:pPr>
  </w:style>
  <w:style w:type="paragraph" w:customStyle="1" w:styleId="Niv2C4">
    <w:name w:val="Niv2C4"/>
    <w:basedOn w:val="Subttulo"/>
    <w:link w:val="Niv2C4Car"/>
    <w:qFormat/>
    <w:rsid w:val="007727B0"/>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7727B0"/>
    <w:rPr>
      <w:rFonts w:ascii="ITC Avant Garde" w:eastAsia="Times New Roman" w:hAnsi="ITC Avant Garde" w:cs="Arial"/>
      <w:b/>
      <w:iCs/>
    </w:rPr>
  </w:style>
  <w:style w:type="character" w:customStyle="1" w:styleId="PuntosC5Car">
    <w:name w:val="PuntosC5 Car"/>
    <w:basedOn w:val="PuntosC4Car"/>
    <w:link w:val="PuntosC5"/>
    <w:rsid w:val="007727B0"/>
    <w:rPr>
      <w:rFonts w:ascii="ITC Avant Garde" w:eastAsia="Times New Roman" w:hAnsi="ITC Avant Garde" w:cs="Arial"/>
      <w:b/>
      <w:iCs/>
    </w:rPr>
  </w:style>
  <w:style w:type="paragraph" w:customStyle="1" w:styleId="Niv3C4">
    <w:name w:val="Niv3C4"/>
    <w:basedOn w:val="Subttulo"/>
    <w:link w:val="Niv3C4Car"/>
    <w:qFormat/>
    <w:rsid w:val="007727B0"/>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7727B0"/>
    <w:rPr>
      <w:rFonts w:ascii="ITC Avant Garde" w:hAnsi="ITC Avant Garde"/>
      <w:sz w:val="20"/>
      <w:szCs w:val="20"/>
      <w:lang w:eastAsia="es-ES"/>
    </w:rPr>
  </w:style>
  <w:style w:type="paragraph" w:customStyle="1" w:styleId="z">
    <w:name w:val="z"/>
    <w:basedOn w:val="Normal"/>
    <w:link w:val="zCar"/>
    <w:qFormat/>
    <w:rsid w:val="007727B0"/>
    <w:pPr>
      <w:jc w:val="both"/>
    </w:pPr>
    <w:rPr>
      <w:rFonts w:ascii="ITC Avant Garde" w:eastAsia="Times New Roman" w:hAnsi="ITC Avant Garde"/>
      <w:iCs/>
    </w:rPr>
  </w:style>
  <w:style w:type="character" w:customStyle="1" w:styleId="zCar">
    <w:name w:val="z Car"/>
    <w:link w:val="z"/>
    <w:rsid w:val="007727B0"/>
    <w:rPr>
      <w:rFonts w:ascii="ITC Avant Garde" w:eastAsia="Times New Roman" w:hAnsi="ITC Avant Garde" w:cs="Times New Roman"/>
      <w:iCs/>
    </w:rPr>
  </w:style>
  <w:style w:type="paragraph" w:customStyle="1" w:styleId="CondicionesFinales">
    <w:name w:val="CondicionesFinales"/>
    <w:basedOn w:val="Citaift"/>
    <w:qFormat/>
    <w:rsid w:val="007727B0"/>
    <w:rPr>
      <w:bCs/>
      <w:i w:val="0"/>
      <w:sz w:val="22"/>
      <w:szCs w:val="22"/>
      <w:lang w:val="es-ES_tradnl"/>
    </w:rPr>
  </w:style>
  <w:style w:type="paragraph" w:customStyle="1" w:styleId="ecxmsonormal">
    <w:name w:val="ecxmsonormal"/>
    <w:basedOn w:val="Normal"/>
    <w:uiPriority w:val="99"/>
    <w:rsid w:val="007727B0"/>
    <w:pPr>
      <w:spacing w:after="324"/>
      <w:jc w:val="both"/>
    </w:pPr>
    <w:rPr>
      <w:rFonts w:ascii="Arial" w:hAnsi="Arial" w:cs="Arial"/>
    </w:rPr>
  </w:style>
  <w:style w:type="character" w:customStyle="1" w:styleId="IFTnormalCar">
    <w:name w:val="IFT normal Car"/>
    <w:basedOn w:val="Fuentedeprrafopredeter"/>
    <w:link w:val="IFTnormal"/>
    <w:rsid w:val="007727B0"/>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7727B0"/>
    <w:pPr>
      <w:tabs>
        <w:tab w:val="left" w:pos="992"/>
        <w:tab w:val="left" w:pos="1276"/>
      </w:tabs>
      <w:spacing w:before="120"/>
      <w:ind w:left="648"/>
      <w:jc w:val="left"/>
    </w:pPr>
  </w:style>
  <w:style w:type="paragraph" w:customStyle="1" w:styleId="LosOdioAtodos">
    <w:name w:val="LosOdioAtodos"/>
    <w:basedOn w:val="Niv3C4"/>
    <w:link w:val="LosOdioAtodosCar"/>
    <w:qFormat/>
    <w:rsid w:val="007727B0"/>
    <w:pPr>
      <w:tabs>
        <w:tab w:val="left" w:pos="851"/>
        <w:tab w:val="left" w:pos="1276"/>
      </w:tabs>
      <w:outlineLvl w:val="2"/>
    </w:pPr>
  </w:style>
  <w:style w:type="character" w:customStyle="1" w:styleId="Niv3C4Car">
    <w:name w:val="Niv3C4 Car"/>
    <w:basedOn w:val="SubttuloCar"/>
    <w:link w:val="Niv3C4"/>
    <w:rsid w:val="007727B0"/>
    <w:rPr>
      <w:rFonts w:ascii="ITC Avant Garde" w:eastAsia="Calibri" w:hAnsi="ITC Avant Garde" w:cs="Times New Roman"/>
      <w:b/>
      <w:szCs w:val="24"/>
      <w:lang w:eastAsia="es-ES"/>
    </w:rPr>
  </w:style>
  <w:style w:type="character" w:customStyle="1" w:styleId="03TitPrinCar">
    <w:name w:val="03TitPrin Car"/>
    <w:basedOn w:val="Niv3C4Car"/>
    <w:link w:val="03TitPrin"/>
    <w:rsid w:val="007727B0"/>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7727B0"/>
    <w:pPr>
      <w:numPr>
        <w:numId w:val="35"/>
      </w:numPr>
      <w:tabs>
        <w:tab w:val="left" w:pos="709"/>
        <w:tab w:val="left" w:pos="1134"/>
      </w:tabs>
      <w:outlineLvl w:val="3"/>
    </w:pPr>
    <w:rPr>
      <w:b w:val="0"/>
    </w:rPr>
  </w:style>
  <w:style w:type="paragraph" w:customStyle="1" w:styleId="RIFT">
    <w:name w:val="R_IFT"/>
    <w:basedOn w:val="Ttulo2"/>
    <w:link w:val="RIFTCar"/>
    <w:qFormat/>
    <w:rsid w:val="007727B0"/>
    <w:pPr>
      <w:keepLines w:val="0"/>
      <w:spacing w:before="0" w:after="200"/>
      <w:jc w:val="both"/>
    </w:pPr>
    <w:rPr>
      <w:rFonts w:ascii="ITC Avant Garde" w:eastAsia="Times New Roman" w:hAnsi="ITC Avant Garde" w:cs="Arial"/>
      <w:b/>
      <w:bCs/>
      <w:szCs w:val="20"/>
    </w:rPr>
  </w:style>
  <w:style w:type="character" w:customStyle="1" w:styleId="LosOdioAtodosCar">
    <w:name w:val="LosOdioAtodos Car"/>
    <w:basedOn w:val="Niv3C4Car"/>
    <w:link w:val="LosOdioAtodos"/>
    <w:rsid w:val="007727B0"/>
    <w:rPr>
      <w:rFonts w:ascii="ITC Avant Garde" w:eastAsia="Calibri" w:hAnsi="ITC Avant Garde" w:cs="Times New Roman"/>
      <w:b/>
      <w:szCs w:val="24"/>
      <w:lang w:eastAsia="es-ES"/>
    </w:rPr>
  </w:style>
  <w:style w:type="character" w:customStyle="1" w:styleId="5TitCinCar">
    <w:name w:val="5TitCin Car"/>
    <w:basedOn w:val="LosOdioAtodosCar"/>
    <w:link w:val="5TitCin"/>
    <w:rsid w:val="007727B0"/>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7727B0"/>
    <w:pPr>
      <w:numPr>
        <w:ilvl w:val="3"/>
        <w:numId w:val="34"/>
      </w:numPr>
      <w:tabs>
        <w:tab w:val="left" w:pos="709"/>
        <w:tab w:val="left" w:leader="underscore" w:pos="1134"/>
      </w:tabs>
      <w:outlineLvl w:val="2"/>
    </w:pPr>
    <w:rPr>
      <w:b w:val="0"/>
    </w:rPr>
  </w:style>
  <w:style w:type="character" w:customStyle="1" w:styleId="RIFTCar">
    <w:name w:val="R_IFT Car"/>
    <w:basedOn w:val="Ttulo2Car"/>
    <w:link w:val="RIFT"/>
    <w:rsid w:val="007727B0"/>
    <w:rPr>
      <w:rFonts w:ascii="ITC Avant Garde" w:eastAsia="Times New Roman" w:hAnsi="ITC Avant Garde" w:cs="Arial"/>
      <w:b/>
      <w:bCs/>
      <w:color w:val="2E74B5" w:themeColor="accent1" w:themeShade="BF"/>
      <w:sz w:val="26"/>
      <w:szCs w:val="20"/>
    </w:rPr>
  </w:style>
  <w:style w:type="paragraph" w:customStyle="1" w:styleId="R2N4C4">
    <w:name w:val="R2N4C4"/>
    <w:basedOn w:val="4TitCuar"/>
    <w:link w:val="R2N4C4Car"/>
    <w:rsid w:val="007727B0"/>
    <w:pPr>
      <w:outlineLvl w:val="3"/>
    </w:pPr>
  </w:style>
  <w:style w:type="character" w:customStyle="1" w:styleId="4TitCuarCar">
    <w:name w:val="4TitCuar Car"/>
    <w:basedOn w:val="Niv3C4Car"/>
    <w:link w:val="4TitCuar"/>
    <w:rsid w:val="007727B0"/>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7727B0"/>
    <w:pPr>
      <w:ind w:left="0" w:firstLine="0"/>
      <w:outlineLvl w:val="1"/>
    </w:pPr>
  </w:style>
  <w:style w:type="character" w:customStyle="1" w:styleId="R2N4C4Car">
    <w:name w:val="R2N4C4 Car"/>
    <w:basedOn w:val="4TitCuarCar"/>
    <w:link w:val="R2N4C4"/>
    <w:rsid w:val="007727B0"/>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7727B0"/>
    <w:pPr>
      <w:keepNext w:val="0"/>
      <w:spacing w:after="200" w:line="276" w:lineRule="auto"/>
      <w:jc w:val="both"/>
    </w:pPr>
    <w:rPr>
      <w:rFonts w:ascii="ITC Avant Garde" w:eastAsia="Calibri" w:hAnsi="ITC Avant Garde" w:cs="Arial"/>
      <w:color w:val="000000"/>
      <w:szCs w:val="22"/>
      <w:lang w:val="es-ES" w:eastAsia="es-ES"/>
    </w:rPr>
  </w:style>
  <w:style w:type="character" w:customStyle="1" w:styleId="Niv2C4Car">
    <w:name w:val="Niv2C4 Car"/>
    <w:basedOn w:val="SubttuloCar"/>
    <w:link w:val="Niv2C4"/>
    <w:rsid w:val="007727B0"/>
    <w:rPr>
      <w:rFonts w:ascii="ITC Avant Garde" w:eastAsia="Calibri" w:hAnsi="ITC Avant Garde" w:cs="Times New Roman"/>
      <w:b/>
      <w:szCs w:val="24"/>
      <w:lang w:eastAsia="es-ES"/>
    </w:rPr>
  </w:style>
  <w:style w:type="character" w:customStyle="1" w:styleId="3TitTerCar">
    <w:name w:val="3TitTer Car"/>
    <w:basedOn w:val="Niv2C4Car"/>
    <w:link w:val="3TitTer"/>
    <w:rsid w:val="007727B0"/>
    <w:rPr>
      <w:rFonts w:ascii="ITC Avant Garde" w:eastAsia="Calibri" w:hAnsi="ITC Avant Garde" w:cs="Times New Roman"/>
      <w:b/>
      <w:szCs w:val="24"/>
      <w:lang w:eastAsia="es-ES"/>
    </w:rPr>
  </w:style>
  <w:style w:type="character" w:customStyle="1" w:styleId="01TitPrinCar">
    <w:name w:val="01TitPrin Car"/>
    <w:link w:val="01TitPrin"/>
    <w:rsid w:val="007727B0"/>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7727B0"/>
    <w:pPr>
      <w:keepNext w:val="0"/>
      <w:spacing w:after="200" w:line="276" w:lineRule="auto"/>
      <w:ind w:left="792" w:hanging="432"/>
      <w:jc w:val="both"/>
    </w:pPr>
    <w:rPr>
      <w:rFonts w:ascii="ITC Avant Garde" w:eastAsia="Calibri" w:hAnsi="ITC Avant Garde" w:cs="Arial"/>
      <w:color w:val="000000"/>
      <w:szCs w:val="22"/>
      <w:lang w:val="es-ES" w:eastAsia="es-ES"/>
    </w:rPr>
  </w:style>
  <w:style w:type="paragraph" w:customStyle="1" w:styleId="T2IFT">
    <w:name w:val="T2 IFT"/>
    <w:basedOn w:val="Niv2C4"/>
    <w:autoRedefine/>
    <w:qFormat/>
    <w:rsid w:val="007727B0"/>
    <w:pPr>
      <w:jc w:val="left"/>
      <w:outlineLvl w:val="1"/>
    </w:pPr>
  </w:style>
  <w:style w:type="paragraph" w:styleId="TDC5">
    <w:name w:val="toc 5"/>
    <w:basedOn w:val="Normal"/>
    <w:next w:val="Normal"/>
    <w:autoRedefine/>
    <w:uiPriority w:val="39"/>
    <w:unhideWhenUsed/>
    <w:rsid w:val="007727B0"/>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7727B0"/>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7727B0"/>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7727B0"/>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7727B0"/>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7727B0"/>
    <w:pPr>
      <w:adjustRightInd w:val="0"/>
      <w:ind w:left="851" w:right="760"/>
    </w:pPr>
    <w:rPr>
      <w:rFonts w:eastAsia="Times New Roman"/>
      <w:bCs/>
      <w:i/>
      <w:sz w:val="18"/>
      <w:szCs w:val="18"/>
    </w:rPr>
  </w:style>
  <w:style w:type="character" w:customStyle="1" w:styleId="CitaIFTCar0">
    <w:name w:val="Cita IFT Car"/>
    <w:link w:val="CitaIFT0"/>
    <w:rsid w:val="007727B0"/>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7727B0"/>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7727B0"/>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7727B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27B0"/>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7727B0"/>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7727B0"/>
    <w:rPr>
      <w:color w:val="808080"/>
    </w:rPr>
  </w:style>
  <w:style w:type="paragraph" w:customStyle="1" w:styleId="Prrafodelista11">
    <w:name w:val="Párrafo de lista11"/>
    <w:basedOn w:val="Normal"/>
    <w:uiPriority w:val="99"/>
    <w:rsid w:val="007727B0"/>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7727B0"/>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7727B0"/>
    <w:rPr>
      <w:rFonts w:cs="Times New Roman"/>
      <w:b/>
    </w:rPr>
  </w:style>
  <w:style w:type="paragraph" w:customStyle="1" w:styleId="Sub-titulo">
    <w:name w:val="Sub-titulo"/>
    <w:basedOn w:val="Normal"/>
    <w:uiPriority w:val="99"/>
    <w:rsid w:val="007727B0"/>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7727B0"/>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7727B0"/>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7727B0"/>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7727B0"/>
    <w:pPr>
      <w:numPr>
        <w:numId w:val="36"/>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7727B0"/>
    <w:pPr>
      <w:widowControl w:val="0"/>
      <w:numPr>
        <w:numId w:val="37"/>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7727B0"/>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7727B0"/>
    <w:pPr>
      <w:numPr>
        <w:ilvl w:val="1"/>
        <w:numId w:val="38"/>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7727B0"/>
    <w:pPr>
      <w:numPr>
        <w:ilvl w:val="2"/>
        <w:numId w:val="38"/>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7727B0"/>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7727B0"/>
    <w:pPr>
      <w:numPr>
        <w:ilvl w:val="3"/>
      </w:numPr>
    </w:pPr>
  </w:style>
  <w:style w:type="character" w:customStyle="1" w:styleId="SUBCAP2Car">
    <w:name w:val="SUBCAP2 Car"/>
    <w:link w:val="SUBCAP2"/>
    <w:rsid w:val="007727B0"/>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7727B0"/>
  </w:style>
  <w:style w:type="character" w:customStyle="1" w:styleId="SUBCAP3Car">
    <w:name w:val="SUBCAP3 Car"/>
    <w:basedOn w:val="SUBCAP2Car"/>
    <w:link w:val="SUBCAP3"/>
    <w:rsid w:val="007727B0"/>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7727B0"/>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7727B0"/>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7727B0"/>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7727B0"/>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7727B0"/>
    <w:rPr>
      <w:rFonts w:ascii="ITC Avant Garde" w:eastAsia="Calibri" w:hAnsi="ITC Avant Garde" w:cs="Arial"/>
      <w:b/>
      <w:color w:val="000000"/>
      <w:lang w:val="es-ES" w:eastAsia="es-ES"/>
    </w:rPr>
  </w:style>
  <w:style w:type="numbering" w:customStyle="1" w:styleId="Sinlista6">
    <w:name w:val="Sin lista6"/>
    <w:next w:val="Sinlista"/>
    <w:uiPriority w:val="99"/>
    <w:semiHidden/>
    <w:unhideWhenUsed/>
    <w:rsid w:val="007727B0"/>
  </w:style>
  <w:style w:type="numbering" w:customStyle="1" w:styleId="Sinlista12">
    <w:name w:val="Sin lista12"/>
    <w:next w:val="Sinlista"/>
    <w:semiHidden/>
    <w:unhideWhenUsed/>
    <w:rsid w:val="007727B0"/>
  </w:style>
  <w:style w:type="table" w:customStyle="1" w:styleId="Tablaconcuadrcula2">
    <w:name w:val="Tabla con cuadrícula2"/>
    <w:basedOn w:val="Tablanormal"/>
    <w:next w:val="Tablaconcuadrcula"/>
    <w:uiPriority w:val="59"/>
    <w:rsid w:val="007727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semiHidden/>
    <w:unhideWhenUsed/>
    <w:rsid w:val="007727B0"/>
  </w:style>
  <w:style w:type="numbering" w:customStyle="1" w:styleId="Sinlista22">
    <w:name w:val="Sin lista22"/>
    <w:next w:val="Sinlista"/>
    <w:semiHidden/>
    <w:rsid w:val="007727B0"/>
  </w:style>
  <w:style w:type="numbering" w:customStyle="1" w:styleId="Sinlista32">
    <w:name w:val="Sin lista32"/>
    <w:next w:val="Sinlista"/>
    <w:uiPriority w:val="99"/>
    <w:semiHidden/>
    <w:unhideWhenUsed/>
    <w:rsid w:val="007727B0"/>
  </w:style>
  <w:style w:type="numbering" w:customStyle="1" w:styleId="Sinlista42">
    <w:name w:val="Sin lista42"/>
    <w:next w:val="Sinlista"/>
    <w:semiHidden/>
    <w:unhideWhenUsed/>
    <w:rsid w:val="007727B0"/>
  </w:style>
  <w:style w:type="numbering" w:customStyle="1" w:styleId="Sinlista51">
    <w:name w:val="Sin lista51"/>
    <w:next w:val="Sinlista"/>
    <w:semiHidden/>
    <w:rsid w:val="007727B0"/>
  </w:style>
  <w:style w:type="numbering" w:customStyle="1" w:styleId="Sinlista1111">
    <w:name w:val="Sin lista1111"/>
    <w:next w:val="Sinlista"/>
    <w:semiHidden/>
    <w:unhideWhenUsed/>
    <w:rsid w:val="007727B0"/>
  </w:style>
  <w:style w:type="numbering" w:customStyle="1" w:styleId="Sinlista211">
    <w:name w:val="Sin lista211"/>
    <w:next w:val="Sinlista"/>
    <w:semiHidden/>
    <w:rsid w:val="007727B0"/>
  </w:style>
  <w:style w:type="numbering" w:customStyle="1" w:styleId="Sinlista311">
    <w:name w:val="Sin lista311"/>
    <w:next w:val="Sinlista"/>
    <w:uiPriority w:val="99"/>
    <w:semiHidden/>
    <w:unhideWhenUsed/>
    <w:rsid w:val="007727B0"/>
  </w:style>
  <w:style w:type="numbering" w:customStyle="1" w:styleId="Sinlista411">
    <w:name w:val="Sin lista411"/>
    <w:next w:val="Sinlista"/>
    <w:uiPriority w:val="99"/>
    <w:semiHidden/>
    <w:unhideWhenUsed/>
    <w:rsid w:val="007727B0"/>
  </w:style>
  <w:style w:type="table" w:customStyle="1" w:styleId="Listavistosa-nfasis12">
    <w:name w:val="Lista vistosa - Énfasis 12"/>
    <w:basedOn w:val="Tablanormal"/>
    <w:next w:val="Listavistosa-nfasis1"/>
    <w:uiPriority w:val="34"/>
    <w:semiHidden/>
    <w:unhideWhenUsed/>
    <w:rsid w:val="007727B0"/>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7727B0"/>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7727B0"/>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7727B0"/>
    <w:rPr>
      <w:rFonts w:ascii="ITC Avant Garde" w:eastAsia="Times New Roman" w:hAnsi="ITC Avant Garde" w:cs="Arial"/>
      <w:bCs/>
      <w:i/>
      <w:color w:val="000000"/>
      <w:sz w:val="18"/>
      <w:lang w:val="en-GB" w:eastAsia="es-ES"/>
    </w:rPr>
  </w:style>
  <w:style w:type="paragraph" w:customStyle="1" w:styleId="Level2">
    <w:name w:val="Level 2"/>
    <w:basedOn w:val="Normal"/>
    <w:rsid w:val="007727B0"/>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7727B0"/>
    <w:pPr>
      <w:spacing w:after="0" w:line="240" w:lineRule="auto"/>
      <w:ind w:left="720"/>
      <w:contextualSpacing/>
    </w:pPr>
    <w:rPr>
      <w:rFonts w:ascii="Times New Roman" w:eastAsia="Times New Roman" w:hAnsi="Times New Roman"/>
      <w:sz w:val="24"/>
      <w:szCs w:val="24"/>
      <w:lang w:eastAsia="es-MX"/>
    </w:rPr>
  </w:style>
  <w:style w:type="paragraph" w:customStyle="1" w:styleId="Estilo">
    <w:name w:val="Estilo"/>
    <w:rsid w:val="007727B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7727B0"/>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7727B0"/>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7727B0"/>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7727B0"/>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7727B0"/>
    <w:rPr>
      <w:rFonts w:ascii="Helvetica" w:hAnsi="Helvetica" w:hint="default"/>
      <w:sz w:val="15"/>
      <w:szCs w:val="15"/>
    </w:rPr>
  </w:style>
  <w:style w:type="character" w:customStyle="1" w:styleId="s2">
    <w:name w:val="s2"/>
    <w:basedOn w:val="Fuentedeprrafopredeter"/>
    <w:rsid w:val="007727B0"/>
    <w:rPr>
      <w:rFonts w:ascii="Helvetica" w:hAnsi="Helvetica" w:hint="default"/>
      <w:sz w:val="17"/>
      <w:szCs w:val="17"/>
    </w:rPr>
  </w:style>
  <w:style w:type="character" w:customStyle="1" w:styleId="s3">
    <w:name w:val="s3"/>
    <w:basedOn w:val="Fuentedeprrafopredeter"/>
    <w:rsid w:val="007727B0"/>
    <w:rPr>
      <w:rFonts w:ascii="Helvetica" w:hAnsi="Helvetica" w:hint="default"/>
      <w:sz w:val="27"/>
      <w:szCs w:val="27"/>
    </w:rPr>
  </w:style>
  <w:style w:type="character" w:customStyle="1" w:styleId="s4">
    <w:name w:val="s4"/>
    <w:basedOn w:val="Fuentedeprrafopredeter"/>
    <w:rsid w:val="007727B0"/>
    <w:rPr>
      <w:rFonts w:ascii="Helvetica" w:hAnsi="Helvetica" w:hint="default"/>
      <w:sz w:val="23"/>
      <w:szCs w:val="23"/>
    </w:rPr>
  </w:style>
  <w:style w:type="character" w:customStyle="1" w:styleId="s5">
    <w:name w:val="s5"/>
    <w:basedOn w:val="Fuentedeprrafopredeter"/>
    <w:rsid w:val="007727B0"/>
    <w:rPr>
      <w:rFonts w:ascii="Helvetica" w:hAnsi="Helvetica" w:hint="default"/>
      <w:sz w:val="18"/>
      <w:szCs w:val="18"/>
    </w:rPr>
  </w:style>
  <w:style w:type="character" w:customStyle="1" w:styleId="s6">
    <w:name w:val="s6"/>
    <w:basedOn w:val="Fuentedeprrafopredeter"/>
    <w:rsid w:val="007727B0"/>
    <w:rPr>
      <w:rFonts w:ascii="Helvetica" w:hAnsi="Helvetica" w:hint="default"/>
      <w:sz w:val="26"/>
      <w:szCs w:val="26"/>
    </w:rPr>
  </w:style>
  <w:style w:type="character" w:customStyle="1" w:styleId="s7">
    <w:name w:val="s7"/>
    <w:basedOn w:val="Fuentedeprrafopredeter"/>
    <w:rsid w:val="007727B0"/>
    <w:rPr>
      <w:rFonts w:ascii="Helvetica" w:hAnsi="Helvetica" w:hint="default"/>
      <w:sz w:val="20"/>
      <w:szCs w:val="20"/>
    </w:rPr>
  </w:style>
  <w:style w:type="character" w:customStyle="1" w:styleId="s8">
    <w:name w:val="s8"/>
    <w:basedOn w:val="Fuentedeprrafopredeter"/>
    <w:rsid w:val="007727B0"/>
    <w:rPr>
      <w:rFonts w:ascii="Helvetica" w:hAnsi="Helvetica" w:hint="default"/>
      <w:sz w:val="20"/>
      <w:szCs w:val="20"/>
    </w:rPr>
  </w:style>
  <w:style w:type="character" w:customStyle="1" w:styleId="s9">
    <w:name w:val="s9"/>
    <w:basedOn w:val="Fuentedeprrafopredeter"/>
    <w:rsid w:val="007727B0"/>
    <w:rPr>
      <w:rFonts w:ascii="Helvetica" w:hAnsi="Helvetica" w:hint="default"/>
      <w:sz w:val="19"/>
      <w:szCs w:val="19"/>
    </w:rPr>
  </w:style>
  <w:style w:type="character" w:customStyle="1" w:styleId="s10">
    <w:name w:val="s10"/>
    <w:basedOn w:val="Fuentedeprrafopredeter"/>
    <w:rsid w:val="007727B0"/>
    <w:rPr>
      <w:rFonts w:ascii="Helvetica" w:hAnsi="Helvetica" w:hint="default"/>
      <w:sz w:val="23"/>
      <w:szCs w:val="23"/>
    </w:rPr>
  </w:style>
  <w:style w:type="character" w:customStyle="1" w:styleId="s11">
    <w:name w:val="s11"/>
    <w:basedOn w:val="Fuentedeprrafopredeter"/>
    <w:rsid w:val="007727B0"/>
    <w:rPr>
      <w:rFonts w:ascii="Helvetica" w:hAnsi="Helvetica" w:hint="default"/>
      <w:sz w:val="21"/>
      <w:szCs w:val="21"/>
    </w:rPr>
  </w:style>
  <w:style w:type="character" w:customStyle="1" w:styleId="s12">
    <w:name w:val="s12"/>
    <w:basedOn w:val="Fuentedeprrafopredeter"/>
    <w:rsid w:val="007727B0"/>
    <w:rPr>
      <w:rFonts w:ascii="Helvetica" w:hAnsi="Helvetica" w:hint="default"/>
      <w:sz w:val="14"/>
      <w:szCs w:val="14"/>
    </w:rPr>
  </w:style>
  <w:style w:type="character" w:customStyle="1" w:styleId="s13">
    <w:name w:val="s13"/>
    <w:basedOn w:val="Fuentedeprrafopredeter"/>
    <w:rsid w:val="007727B0"/>
    <w:rPr>
      <w:rFonts w:ascii="Helvetica" w:hAnsi="Helvetica" w:hint="default"/>
      <w:sz w:val="23"/>
      <w:szCs w:val="23"/>
    </w:rPr>
  </w:style>
  <w:style w:type="character" w:customStyle="1" w:styleId="s14">
    <w:name w:val="s14"/>
    <w:basedOn w:val="Fuentedeprrafopredeter"/>
    <w:rsid w:val="007727B0"/>
    <w:rPr>
      <w:rFonts w:ascii="Helvetica" w:hAnsi="Helvetica" w:hint="default"/>
      <w:sz w:val="23"/>
      <w:szCs w:val="23"/>
    </w:rPr>
  </w:style>
  <w:style w:type="character" w:customStyle="1" w:styleId="s15">
    <w:name w:val="s15"/>
    <w:basedOn w:val="Fuentedeprrafopredeter"/>
    <w:rsid w:val="007727B0"/>
    <w:rPr>
      <w:rFonts w:ascii="Helvetica" w:hAnsi="Helvetica" w:hint="default"/>
      <w:sz w:val="25"/>
      <w:szCs w:val="25"/>
    </w:rPr>
  </w:style>
  <w:style w:type="character" w:customStyle="1" w:styleId="s16">
    <w:name w:val="s16"/>
    <w:basedOn w:val="Fuentedeprrafopredeter"/>
    <w:rsid w:val="007727B0"/>
    <w:rPr>
      <w:rFonts w:ascii="Helvetica" w:hAnsi="Helvetica" w:hint="default"/>
      <w:sz w:val="27"/>
      <w:szCs w:val="27"/>
    </w:rPr>
  </w:style>
  <w:style w:type="character" w:customStyle="1" w:styleId="apple-tab-span">
    <w:name w:val="apple-tab-span"/>
    <w:basedOn w:val="Fuentedeprrafopredeter"/>
    <w:rsid w:val="007727B0"/>
  </w:style>
  <w:style w:type="table" w:customStyle="1" w:styleId="Sombreadomedio2-nfasis12">
    <w:name w:val="Sombreado medio 2 - Énfasis 12"/>
    <w:basedOn w:val="Tablanormal"/>
    <w:next w:val="Sombreadomedio2-nfasis1"/>
    <w:uiPriority w:val="64"/>
    <w:unhideWhenUsed/>
    <w:rsid w:val="007727B0"/>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8688">
      <w:bodyDiv w:val="1"/>
      <w:marLeft w:val="0"/>
      <w:marRight w:val="0"/>
      <w:marTop w:val="0"/>
      <w:marBottom w:val="0"/>
      <w:divBdr>
        <w:top w:val="none" w:sz="0" w:space="0" w:color="auto"/>
        <w:left w:val="none" w:sz="0" w:space="0" w:color="auto"/>
        <w:bottom w:val="none" w:sz="0" w:space="0" w:color="auto"/>
        <w:right w:val="none" w:sz="0" w:space="0" w:color="auto"/>
      </w:divBdr>
    </w:div>
    <w:div w:id="10261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4.png"/><Relationship Id="rId42" Type="http://schemas.openxmlformats.org/officeDocument/2006/relationships/oleObject" Target="embeddings/oleObject5.bin"/><Relationship Id="rId47" Type="http://schemas.openxmlformats.org/officeDocument/2006/relationships/image" Target="media/image23.wmf"/><Relationship Id="rId63" Type="http://schemas.openxmlformats.org/officeDocument/2006/relationships/image" Target="media/image30.png"/><Relationship Id="rId68" Type="http://schemas.openxmlformats.org/officeDocument/2006/relationships/image" Target="media/image35.wmf"/><Relationship Id="rId84" Type="http://schemas.openxmlformats.org/officeDocument/2006/relationships/theme" Target="theme/theme1.xml"/><Relationship Id="rId16" Type="http://schemas.openxmlformats.org/officeDocument/2006/relationships/hyperlink" Target="mailto:unknown@unknown.invalid" TargetMode="External"/><Relationship Id="rId11" Type="http://schemas.openxmlformats.org/officeDocument/2006/relationships/image" Target="media/image1.emf"/><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oleObject" Target="embeddings/oleObject11.bin"/><Relationship Id="rId58" Type="http://schemas.openxmlformats.org/officeDocument/2006/relationships/oleObject" Target="embeddings/oleObject15.bin"/><Relationship Id="rId74" Type="http://schemas.openxmlformats.org/officeDocument/2006/relationships/image" Target="media/image41.wmf"/><Relationship Id="rId79"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2.png"/><Relationship Id="rId14" Type="http://schemas.openxmlformats.org/officeDocument/2006/relationships/hyperlink" Target="mailto:5550154000@%3coperador.mx" TargetMode="Externa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image" Target="media/image13.e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8.bin"/><Relationship Id="rId56" Type="http://schemas.openxmlformats.org/officeDocument/2006/relationships/oleObject" Target="embeddings/oleObject14.bin"/><Relationship Id="rId64" Type="http://schemas.openxmlformats.org/officeDocument/2006/relationships/image" Target="media/image31.emf"/><Relationship Id="rId69" Type="http://schemas.openxmlformats.org/officeDocument/2006/relationships/image" Target="media/image36.wmf"/><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5.wmf"/><Relationship Id="rId72" Type="http://schemas.openxmlformats.org/officeDocument/2006/relationships/image" Target="media/image39.wmf"/><Relationship Id="rId80" Type="http://schemas.openxmlformats.org/officeDocument/2006/relationships/footer" Target="footer2.xml"/><Relationship Id="rId85"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package" Target="embeddings/Dibujo_de_Microsoft_Visio.vsdx"/><Relationship Id="rId17" Type="http://schemas.openxmlformats.org/officeDocument/2006/relationships/hyperlink" Target="mailto:unavailable@unavailable.invalid" TargetMode="Externa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7.wmf"/><Relationship Id="rId67" Type="http://schemas.openxmlformats.org/officeDocument/2006/relationships/image" Target="media/image34.wmf"/><Relationship Id="rId20" Type="http://schemas.openxmlformats.org/officeDocument/2006/relationships/image" Target="media/image3.png"/><Relationship Id="rId41" Type="http://schemas.openxmlformats.org/officeDocument/2006/relationships/image" Target="media/image20.wmf"/><Relationship Id="rId54" Type="http://schemas.openxmlformats.org/officeDocument/2006/relationships/oleObject" Target="embeddings/oleObject12.bin"/><Relationship Id="rId62" Type="http://schemas.openxmlformats.org/officeDocument/2006/relationships/image" Target="media/image29.png"/><Relationship Id="rId70" Type="http://schemas.openxmlformats.org/officeDocument/2006/relationships/image" Target="media/image37.wmf"/><Relationship Id="rId75" Type="http://schemas.openxmlformats.org/officeDocument/2006/relationships/image" Target="media/image42.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5550154000@operador.mx%20o%20direcci&#243;n%20IP%3e;user=phone"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oleObject" Target="embeddings/oleObject2.bin"/><Relationship Id="rId49" Type="http://schemas.openxmlformats.org/officeDocument/2006/relationships/image" Target="media/image24.wmf"/><Relationship Id="rId57" Type="http://schemas.openxmlformats.org/officeDocument/2006/relationships/image" Target="media/image26.wmf"/><Relationship Id="rId10" Type="http://schemas.openxmlformats.org/officeDocument/2006/relationships/endnotes" Target="endnotes.xml"/><Relationship Id="rId31" Type="http://schemas.openxmlformats.org/officeDocument/2006/relationships/image" Target="media/image14.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6.bin"/><Relationship Id="rId65" Type="http://schemas.openxmlformats.org/officeDocument/2006/relationships/image" Target="media/image32.wmf"/><Relationship Id="rId73" Type="http://schemas.openxmlformats.org/officeDocument/2006/relationships/image" Target="media/image40.wmf"/><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sip:%3c5512345678@operador.mx" TargetMode="External"/><Relationship Id="rId18" Type="http://schemas.openxmlformats.org/officeDocument/2006/relationships/hyperlink" Target="mailto:+NN@operador.mx" TargetMode="External"/><Relationship Id="rId39" Type="http://schemas.openxmlformats.org/officeDocument/2006/relationships/image" Target="media/image19.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image" Target="media/image43.wmf"/><Relationship Id="rId7" Type="http://schemas.openxmlformats.org/officeDocument/2006/relationships/settings" Target="settings.xml"/><Relationship Id="rId71"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7.wmf"/><Relationship Id="rId40" Type="http://schemas.openxmlformats.org/officeDocument/2006/relationships/oleObject" Target="embeddings/oleObject4.bin"/><Relationship Id="rId45" Type="http://schemas.openxmlformats.org/officeDocument/2006/relationships/image" Target="media/image22.wmf"/><Relationship Id="rId66" Type="http://schemas.openxmlformats.org/officeDocument/2006/relationships/image" Target="media/image33.wmf"/><Relationship Id="rId61" Type="http://schemas.openxmlformats.org/officeDocument/2006/relationships/image" Target="media/image28.png"/><Relationship Id="rId8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868e326f67f1874abd819807f958e9d8">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A554C-7F04-439D-BDAC-83467864BF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0CD275-3783-42D3-9CF2-375D35B67E39}">
  <ds:schemaRefs>
    <ds:schemaRef ds:uri="http://schemas.microsoft.com/sharepoint/v3/contenttype/forms"/>
  </ds:schemaRefs>
</ds:datastoreItem>
</file>

<file path=customXml/itemProps3.xml><?xml version="1.0" encoding="utf-8"?>
<ds:datastoreItem xmlns:ds="http://schemas.openxmlformats.org/officeDocument/2006/customXml" ds:itemID="{DF98140F-D39D-40EB-A6C6-D2B112A38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221FB6B-FC39-4480-A7B1-DBBBB9FF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85</Pages>
  <Words>24834</Words>
  <Characters>140065</Characters>
  <Application>Microsoft Office Word</Application>
  <DocSecurity>0</DocSecurity>
  <Lines>2122</Lines>
  <Paragraphs>785</Paragraphs>
  <ScaleCrop>false</ScaleCrop>
  <HeadingPairs>
    <vt:vector size="2" baseType="variant">
      <vt:variant>
        <vt:lpstr>Título</vt:lpstr>
      </vt:variant>
      <vt:variant>
        <vt:i4>1</vt:i4>
      </vt:variant>
    </vt:vector>
  </HeadingPairs>
  <TitlesOfParts>
    <vt:vector size="1" baseType="lpstr">
      <vt:lpstr/>
    </vt:vector>
  </TitlesOfParts>
  <Company>IFT</Company>
  <LinksUpToDate>false</LinksUpToDate>
  <CharactersWithSpaces>164114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Huichan Munoz</dc:creator>
  <cp:keywords/>
  <dc:description/>
  <cp:lastModifiedBy>Primitivo Ortiz Maldonado</cp:lastModifiedBy>
  <cp:revision>4</cp:revision>
  <dcterms:created xsi:type="dcterms:W3CDTF">2020-09-01T22:26:00Z</dcterms:created>
  <dcterms:modified xsi:type="dcterms:W3CDTF">2020-09-03T19:40:00Z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