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3DD6A619"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06CCF387" w14:textId="77777777" w:rsidR="00E51908" w:rsidRDefault="00E51908" w:rsidP="00501ADF">
            <w:pPr>
              <w:jc w:val="both"/>
              <w:rPr>
                <w:rFonts w:ascii="ITC Avant Garde" w:hAnsi="ITC Avant Garde"/>
                <w:sz w:val="18"/>
                <w:szCs w:val="18"/>
              </w:rPr>
            </w:pPr>
          </w:p>
          <w:p w14:paraId="3B08303C" w14:textId="58887A69" w:rsidR="0068307E" w:rsidRPr="00451B7D" w:rsidRDefault="00E51908" w:rsidP="00501ADF">
            <w:pPr>
              <w:jc w:val="both"/>
              <w:rPr>
                <w:rFonts w:ascii="ITC Avant Garde" w:hAnsi="ITC Avant Garde"/>
                <w:sz w:val="18"/>
                <w:szCs w:val="18"/>
              </w:rPr>
            </w:pPr>
            <w:r w:rsidRPr="001D680E">
              <w:rPr>
                <w:rFonts w:ascii="ITC Avant Garde" w:hAnsi="ITC Avant Garde"/>
                <w:sz w:val="18"/>
                <w:szCs w:val="18"/>
              </w:rPr>
              <w:t>Coordinación General de Mejora Regulatoria</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7E06DB73" w14:textId="77777777" w:rsidR="0068307E" w:rsidRPr="00E51908" w:rsidRDefault="00E51908" w:rsidP="00501ADF">
            <w:pPr>
              <w:jc w:val="both"/>
              <w:rPr>
                <w:rFonts w:ascii="ITC Avant Garde" w:hAnsi="ITC Avant Garde"/>
                <w:b/>
                <w:sz w:val="18"/>
                <w:szCs w:val="18"/>
              </w:rPr>
            </w:pPr>
            <w:r w:rsidRPr="00E51908">
              <w:rPr>
                <w:rFonts w:ascii="ITC Avant Garde" w:hAnsi="ITC Avant Garde"/>
                <w:b/>
                <w:sz w:val="18"/>
                <w:szCs w:val="18"/>
              </w:rPr>
              <w:t>“Acuerdo mediante el cual el Pleno del Instituto Federal de Telecomunicacion</w:t>
            </w:r>
            <w:bookmarkStart w:id="0" w:name="_GoBack"/>
            <w:bookmarkEnd w:id="0"/>
            <w:r w:rsidRPr="00E51908">
              <w:rPr>
                <w:rFonts w:ascii="ITC Avant Garde" w:hAnsi="ITC Avant Garde"/>
                <w:b/>
                <w:sz w:val="18"/>
                <w:szCs w:val="18"/>
              </w:rPr>
              <w:t>es deroga, extingue, abroga, deja sin efectos y/o modifica diversas disposiciones relacionadas con los trámites a su cargo y que por diversas circunstancias han perdido su utilidad”.</w:t>
            </w:r>
          </w:p>
          <w:p w14:paraId="6360D2ED" w14:textId="1F46E689" w:rsidR="00E51908" w:rsidRPr="00451B7D" w:rsidRDefault="00E51908"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669ABD4D" w14:textId="77777777" w:rsidR="00E51908" w:rsidRPr="00451B7D" w:rsidRDefault="00E51908" w:rsidP="00E51908">
            <w:pPr>
              <w:jc w:val="both"/>
              <w:rPr>
                <w:rFonts w:ascii="ITC Avant Garde" w:hAnsi="ITC Avant Garde"/>
                <w:sz w:val="18"/>
                <w:szCs w:val="18"/>
              </w:rPr>
            </w:pPr>
            <w:r w:rsidRPr="00451B7D">
              <w:rPr>
                <w:rFonts w:ascii="ITC Avant Garde" w:hAnsi="ITC Avant Garde"/>
                <w:sz w:val="18"/>
                <w:szCs w:val="18"/>
              </w:rPr>
              <w:t xml:space="preserve">Nombre: </w:t>
            </w:r>
            <w:r w:rsidRPr="001D680E">
              <w:rPr>
                <w:rFonts w:ascii="ITC Avant Garde" w:hAnsi="ITC Avant Garde"/>
                <w:sz w:val="18"/>
                <w:szCs w:val="18"/>
              </w:rPr>
              <w:t>Luis Fernando Rosas Yáñez</w:t>
            </w:r>
          </w:p>
          <w:p w14:paraId="595D174D" w14:textId="31AC60FB" w:rsidR="00E51908" w:rsidRPr="00451B7D" w:rsidRDefault="00E51908" w:rsidP="00E51908">
            <w:pPr>
              <w:jc w:val="both"/>
              <w:rPr>
                <w:rFonts w:ascii="ITC Avant Garde" w:hAnsi="ITC Avant Garde"/>
                <w:sz w:val="18"/>
                <w:szCs w:val="18"/>
              </w:rPr>
            </w:pPr>
            <w:r w:rsidRPr="00451B7D">
              <w:rPr>
                <w:rFonts w:ascii="ITC Avant Garde" w:hAnsi="ITC Avant Garde"/>
                <w:sz w:val="18"/>
                <w:szCs w:val="18"/>
              </w:rPr>
              <w:t xml:space="preserve">Teléfono: </w:t>
            </w:r>
            <w:r>
              <w:rPr>
                <w:rFonts w:ascii="ITC Avant Garde" w:hAnsi="ITC Avant Garde"/>
                <w:sz w:val="18"/>
                <w:szCs w:val="18"/>
              </w:rPr>
              <w:t xml:space="preserve">55 </w:t>
            </w:r>
            <w:r w:rsidRPr="001D680E">
              <w:rPr>
                <w:rFonts w:ascii="ITC Avant Garde" w:hAnsi="ITC Avant Garde"/>
                <w:sz w:val="18"/>
                <w:szCs w:val="18"/>
              </w:rPr>
              <w:t>5015</w:t>
            </w:r>
            <w:r>
              <w:rPr>
                <w:rFonts w:ascii="ITC Avant Garde" w:hAnsi="ITC Avant Garde"/>
                <w:sz w:val="18"/>
                <w:szCs w:val="18"/>
              </w:rPr>
              <w:t xml:space="preserve"> </w:t>
            </w:r>
            <w:r w:rsidRPr="001D680E">
              <w:rPr>
                <w:rFonts w:ascii="ITC Avant Garde" w:hAnsi="ITC Avant Garde"/>
                <w:sz w:val="18"/>
                <w:szCs w:val="18"/>
              </w:rPr>
              <w:t>4725</w:t>
            </w:r>
          </w:p>
          <w:p w14:paraId="4A3BCAFE" w14:textId="77777777" w:rsidR="005B3401" w:rsidRDefault="00E51908" w:rsidP="00E51908">
            <w:pPr>
              <w:jc w:val="both"/>
              <w:rPr>
                <w:rFonts w:ascii="ITC Avant Garde" w:hAnsi="ITC Avant Garde"/>
                <w:sz w:val="18"/>
                <w:szCs w:val="18"/>
              </w:rPr>
            </w:pPr>
            <w:r w:rsidRPr="00451B7D">
              <w:rPr>
                <w:rFonts w:ascii="ITC Avant Garde" w:hAnsi="ITC Avant Garde"/>
                <w:sz w:val="18"/>
                <w:szCs w:val="18"/>
              </w:rPr>
              <w:t>Correo electrónico:</w:t>
            </w:r>
          </w:p>
          <w:p w14:paraId="6353C720" w14:textId="698C6641" w:rsidR="00E51908" w:rsidRDefault="00E51908" w:rsidP="00E51908">
            <w:pPr>
              <w:jc w:val="both"/>
              <w:rPr>
                <w:rFonts w:ascii="ITC Avant Garde" w:hAnsi="ITC Avant Garde"/>
                <w:sz w:val="18"/>
                <w:szCs w:val="18"/>
              </w:rPr>
            </w:pPr>
            <w:r>
              <w:rPr>
                <w:rFonts w:ascii="ITC Avant Garde" w:hAnsi="ITC Avant Garde"/>
                <w:sz w:val="18"/>
                <w:szCs w:val="18"/>
              </w:rPr>
              <w:t xml:space="preserve"> </w:t>
            </w:r>
            <w:hyperlink r:id="rId11" w:history="1">
              <w:r w:rsidRPr="00117148">
                <w:rPr>
                  <w:rStyle w:val="Hipervnculo"/>
                  <w:rFonts w:ascii="ITC Avant Garde" w:hAnsi="ITC Avant Garde"/>
                  <w:sz w:val="18"/>
                  <w:szCs w:val="18"/>
                </w:rPr>
                <w:t>luis.rosas@ift.org.mx</w:t>
              </w:r>
            </w:hyperlink>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2970D49F" w:rsidR="0068307E" w:rsidRPr="00451B7D" w:rsidRDefault="00CA2F29" w:rsidP="00E51908">
            <w:pPr>
              <w:jc w:val="center"/>
              <w:rPr>
                <w:rFonts w:ascii="ITC Avant Garde" w:hAnsi="ITC Avant Garde"/>
                <w:sz w:val="18"/>
                <w:szCs w:val="18"/>
              </w:rPr>
            </w:pPr>
            <w:r>
              <w:rPr>
                <w:rFonts w:ascii="ITC Avant Garde" w:hAnsi="ITC Avant Garde"/>
                <w:sz w:val="18"/>
                <w:szCs w:val="18"/>
              </w:rPr>
              <w:t>06</w:t>
            </w:r>
            <w:r w:rsidR="0068307E" w:rsidRPr="00451B7D">
              <w:rPr>
                <w:rFonts w:ascii="ITC Avant Garde" w:hAnsi="ITC Avant Garde"/>
                <w:sz w:val="18"/>
                <w:szCs w:val="18"/>
              </w:rPr>
              <w:t>/</w:t>
            </w:r>
            <w:r>
              <w:rPr>
                <w:rFonts w:ascii="ITC Avant Garde" w:hAnsi="ITC Avant Garde"/>
                <w:sz w:val="18"/>
                <w:szCs w:val="18"/>
              </w:rPr>
              <w:t>11</w:t>
            </w:r>
            <w:r w:rsidR="0068307E" w:rsidRPr="00451B7D">
              <w:rPr>
                <w:rFonts w:ascii="ITC Avant Garde" w:hAnsi="ITC Avant Garde"/>
                <w:sz w:val="18"/>
                <w:szCs w:val="18"/>
              </w:rPr>
              <w:t>/</w:t>
            </w:r>
            <w:r w:rsidR="00E51908">
              <w:rPr>
                <w:rFonts w:ascii="ITC Avant Garde" w:hAnsi="ITC Avant Garde"/>
                <w:sz w:val="18"/>
                <w:szCs w:val="18"/>
              </w:rPr>
              <w:t>2019</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18AF502D" w:rsidR="0068307E" w:rsidRPr="00512862" w:rsidRDefault="00850582" w:rsidP="00512862">
            <w:pPr>
              <w:jc w:val="center"/>
              <w:rPr>
                <w:rFonts w:ascii="ITC Avant Garde" w:hAnsi="ITC Avant Garde"/>
                <w:sz w:val="18"/>
                <w:szCs w:val="18"/>
                <w:highlight w:val="green"/>
              </w:rPr>
            </w:pPr>
            <w:r>
              <w:rPr>
                <w:rFonts w:ascii="ITC Avant Garde" w:hAnsi="ITC Avant Garde"/>
                <w:sz w:val="18"/>
                <w:szCs w:val="18"/>
                <w:highlight w:val="lightGray"/>
              </w:rPr>
              <w:t>26/08/2019 al 23/09/2019</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172EC137" w14:textId="5CC3E9A7" w:rsidR="001932FC" w:rsidRDefault="001932FC" w:rsidP="008A48B0">
            <w:pPr>
              <w:shd w:val="clear" w:color="auto" w:fill="FFFFFF" w:themeFill="background1"/>
              <w:jc w:val="both"/>
              <w:rPr>
                <w:rFonts w:ascii="ITC Avant Garde" w:hAnsi="ITC Avant Garde"/>
                <w:sz w:val="18"/>
                <w:szCs w:val="18"/>
              </w:rPr>
            </w:pPr>
          </w:p>
          <w:p w14:paraId="3541A99A" w14:textId="7E25BFE3" w:rsidR="0017469C" w:rsidRDefault="0017469C" w:rsidP="0017469C">
            <w:pPr>
              <w:shd w:val="clear" w:color="auto" w:fill="FFFFFF" w:themeFill="background1"/>
              <w:jc w:val="both"/>
              <w:rPr>
                <w:rFonts w:ascii="ITC Avant Garde" w:hAnsi="ITC Avant Garde"/>
                <w:sz w:val="18"/>
                <w:szCs w:val="18"/>
              </w:rPr>
            </w:pPr>
            <w:r w:rsidRPr="0017469C">
              <w:rPr>
                <w:rFonts w:ascii="ITC Avant Garde" w:hAnsi="ITC Avant Garde"/>
                <w:sz w:val="18"/>
                <w:szCs w:val="18"/>
              </w:rPr>
              <w:t>En la confección de políticas públicas efectivas y eficientes, la Organización para la Cooperación y el Desarrollo Econó</w:t>
            </w:r>
            <w:r>
              <w:rPr>
                <w:rFonts w:ascii="ITC Avant Garde" w:hAnsi="ITC Avant Garde"/>
                <w:sz w:val="18"/>
                <w:szCs w:val="18"/>
              </w:rPr>
              <w:t>micos (en lo sucesivo, la “OCDE”</w:t>
            </w:r>
            <w:r w:rsidRPr="0017469C">
              <w:rPr>
                <w:rFonts w:ascii="ITC Avant Garde" w:hAnsi="ITC Avant Garde"/>
                <w:sz w:val="18"/>
                <w:szCs w:val="18"/>
              </w:rPr>
              <w:t xml:space="preserve">) a través de la implementación del </w:t>
            </w:r>
            <w:r w:rsidRPr="0017469C">
              <w:rPr>
                <w:rFonts w:ascii="ITC Avant Garde" w:hAnsi="ITC Avant Garde"/>
                <w:b/>
                <w:sz w:val="18"/>
                <w:szCs w:val="18"/>
              </w:rPr>
              <w:t>“Ciclo de Gobernanza Regulatoria”</w:t>
            </w:r>
            <w:r w:rsidRPr="0017469C">
              <w:rPr>
                <w:rFonts w:ascii="ITC Avant Garde" w:hAnsi="ITC Avant Garde"/>
                <w:sz w:val="18"/>
                <w:szCs w:val="18"/>
              </w:rPr>
              <w:t>, estima que todo órgano regulador -</w:t>
            </w:r>
            <w:r w:rsidRPr="0017469C">
              <w:rPr>
                <w:rFonts w:ascii="ITC Avant Garde" w:hAnsi="ITC Avant Garde"/>
                <w:b/>
                <w:sz w:val="18"/>
                <w:szCs w:val="18"/>
              </w:rPr>
              <w:t>previamente a la emisión de una regulación- debe llevar a cabo diversas acciones concatenadas</w:t>
            </w:r>
            <w:r>
              <w:rPr>
                <w:rFonts w:ascii="ITC Avant Garde" w:hAnsi="ITC Avant Garde"/>
                <w:sz w:val="18"/>
                <w:szCs w:val="18"/>
              </w:rPr>
              <w:t xml:space="preserve"> (OC</w:t>
            </w:r>
            <w:r w:rsidRPr="0017469C">
              <w:rPr>
                <w:rFonts w:ascii="ITC Avant Garde" w:hAnsi="ITC Avant Garde"/>
                <w:sz w:val="18"/>
                <w:szCs w:val="18"/>
              </w:rPr>
              <w:t>D</w:t>
            </w:r>
            <w:r>
              <w:rPr>
                <w:rFonts w:ascii="ITC Avant Garde" w:hAnsi="ITC Avant Garde"/>
                <w:sz w:val="18"/>
                <w:szCs w:val="18"/>
              </w:rPr>
              <w:t>E, 2015), a saber:</w:t>
            </w:r>
          </w:p>
          <w:p w14:paraId="500720D8" w14:textId="77777777" w:rsidR="0017469C" w:rsidRDefault="0017469C" w:rsidP="0017469C">
            <w:pPr>
              <w:shd w:val="clear" w:color="auto" w:fill="FFFFFF" w:themeFill="background1"/>
              <w:jc w:val="both"/>
              <w:rPr>
                <w:rFonts w:ascii="ITC Avant Garde" w:hAnsi="ITC Avant Garde"/>
                <w:sz w:val="18"/>
                <w:szCs w:val="18"/>
              </w:rPr>
            </w:pPr>
          </w:p>
          <w:p w14:paraId="1D941F24" w14:textId="28B23560" w:rsidR="0017469C"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sz w:val="18"/>
                <w:szCs w:val="18"/>
              </w:rPr>
              <w:t xml:space="preserve">Durante la etapa de planeación se identifican estrategias de acción gubernamental, </w:t>
            </w:r>
            <w:r w:rsidR="00CA7886">
              <w:rPr>
                <w:rFonts w:ascii="ITC Avant Garde" w:hAnsi="ITC Avant Garde"/>
                <w:sz w:val="18"/>
                <w:szCs w:val="18"/>
              </w:rPr>
              <w:t xml:space="preserve">tales </w:t>
            </w:r>
            <w:r w:rsidRPr="0017469C">
              <w:rPr>
                <w:rFonts w:ascii="ITC Avant Garde" w:hAnsi="ITC Avant Garde"/>
                <w:sz w:val="18"/>
                <w:szCs w:val="18"/>
              </w:rPr>
              <w:t>como</w:t>
            </w:r>
            <w:r w:rsidR="00CA7886">
              <w:rPr>
                <w:rFonts w:ascii="ITC Avant Garde" w:hAnsi="ITC Avant Garde"/>
                <w:sz w:val="18"/>
                <w:szCs w:val="18"/>
              </w:rPr>
              <w:t>:</w:t>
            </w:r>
            <w:r w:rsidRPr="0017469C">
              <w:rPr>
                <w:rFonts w:ascii="ITC Avant Garde" w:hAnsi="ITC Avant Garde"/>
                <w:sz w:val="18"/>
                <w:szCs w:val="18"/>
              </w:rPr>
              <w:t xml:space="preserve"> objetivos, recursos, capacidades y herramientas que permitan justificar la necesidad de emitir, modificar o eliminar una regulación;</w:t>
            </w:r>
          </w:p>
          <w:p w14:paraId="57B67EC3" w14:textId="77777777" w:rsidR="005B3401" w:rsidRDefault="005B3401" w:rsidP="005B3401">
            <w:pPr>
              <w:pStyle w:val="Prrafodelista"/>
              <w:shd w:val="clear" w:color="auto" w:fill="FFFFFF" w:themeFill="background1"/>
              <w:jc w:val="both"/>
              <w:rPr>
                <w:rFonts w:ascii="ITC Avant Garde" w:hAnsi="ITC Avant Garde"/>
                <w:sz w:val="18"/>
                <w:szCs w:val="18"/>
              </w:rPr>
            </w:pPr>
          </w:p>
          <w:p w14:paraId="4B6CF334" w14:textId="77777777" w:rsidR="0017469C"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sz w:val="18"/>
                <w:szCs w:val="18"/>
              </w:rPr>
              <w:t xml:space="preserve">Posteriormente, desarrollar una estrategia de transparencia gubernamental y consulta, para recabar opiniones de los diferentes actores involucrados, definir los instrumentos de política y promover una coordinación </w:t>
            </w:r>
            <w:proofErr w:type="spellStart"/>
            <w:r w:rsidRPr="0017469C">
              <w:rPr>
                <w:rFonts w:ascii="ITC Avant Garde" w:hAnsi="ITC Avant Garde"/>
                <w:sz w:val="18"/>
                <w:szCs w:val="18"/>
              </w:rPr>
              <w:t>intragubernamental</w:t>
            </w:r>
            <w:proofErr w:type="spellEnd"/>
            <w:r w:rsidRPr="0017469C">
              <w:rPr>
                <w:rFonts w:ascii="ITC Avant Garde" w:hAnsi="ITC Avant Garde"/>
                <w:sz w:val="18"/>
                <w:szCs w:val="18"/>
              </w:rPr>
              <w:t xml:space="preserve"> con la finalidad contar con el apoyo político de más alto nivel para el impulso de la regulación que se prevé emitir;</w:t>
            </w:r>
          </w:p>
          <w:p w14:paraId="6A813CDB" w14:textId="77777777" w:rsidR="005B3401" w:rsidRPr="005B3401" w:rsidRDefault="005B3401" w:rsidP="005B3401">
            <w:pPr>
              <w:pStyle w:val="Prrafodelista"/>
              <w:shd w:val="clear" w:color="auto" w:fill="FFFFFF" w:themeFill="background1"/>
              <w:jc w:val="both"/>
              <w:rPr>
                <w:rFonts w:ascii="ITC Avant Garde" w:hAnsi="ITC Avant Garde"/>
                <w:sz w:val="18"/>
                <w:szCs w:val="18"/>
              </w:rPr>
            </w:pPr>
          </w:p>
          <w:p w14:paraId="128A97D1" w14:textId="7EDFCB25" w:rsidR="0017469C"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b/>
                <w:sz w:val="18"/>
                <w:szCs w:val="18"/>
              </w:rPr>
              <w:t xml:space="preserve">Revisar la regulación existente, diseñar su modificación o la emisión de nueva regulación, </w:t>
            </w:r>
            <w:r>
              <w:rPr>
                <w:rFonts w:ascii="ITC Avant Garde" w:hAnsi="ITC Avant Garde"/>
                <w:b/>
                <w:sz w:val="18"/>
                <w:szCs w:val="18"/>
              </w:rPr>
              <w:t xml:space="preserve">e inclusive procurando la eliminación de aquellos ordenamientos obsoletos o que generen en los mercados regulados distorsiones, </w:t>
            </w:r>
            <w:r w:rsidRPr="0017469C">
              <w:rPr>
                <w:rFonts w:ascii="ITC Avant Garde" w:hAnsi="ITC Avant Garde"/>
                <w:b/>
                <w:sz w:val="18"/>
                <w:szCs w:val="18"/>
              </w:rPr>
              <w:t>buscando la simplificación o reducción de cargas administrativas, así como el establecimiento de objetivos regulatorios medibles</w:t>
            </w:r>
            <w:r w:rsidRPr="0017469C">
              <w:rPr>
                <w:rFonts w:ascii="ITC Avant Garde" w:hAnsi="ITC Avant Garde"/>
                <w:sz w:val="18"/>
                <w:szCs w:val="18"/>
              </w:rPr>
              <w:t>;</w:t>
            </w:r>
          </w:p>
          <w:p w14:paraId="67B3F25D" w14:textId="77777777" w:rsidR="005B3401" w:rsidRDefault="005B3401" w:rsidP="005B3401">
            <w:pPr>
              <w:pStyle w:val="Prrafodelista"/>
              <w:shd w:val="clear" w:color="auto" w:fill="FFFFFF" w:themeFill="background1"/>
              <w:jc w:val="both"/>
              <w:rPr>
                <w:rFonts w:ascii="ITC Avant Garde" w:hAnsi="ITC Avant Garde"/>
                <w:sz w:val="18"/>
                <w:szCs w:val="18"/>
              </w:rPr>
            </w:pPr>
          </w:p>
          <w:p w14:paraId="550E2060" w14:textId="2DEFE86A" w:rsidR="0017469C"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sz w:val="18"/>
                <w:szCs w:val="18"/>
              </w:rPr>
              <w:t>Implementar la regulación, poniendo en marcha los objetivos, recursos, capacidades y herramientas estimadas para su cumplimiento, todo ello durante un periodo específico;</w:t>
            </w:r>
          </w:p>
          <w:p w14:paraId="525C7531" w14:textId="77777777" w:rsidR="005B3401" w:rsidRDefault="005B3401" w:rsidP="005B3401">
            <w:pPr>
              <w:pStyle w:val="Prrafodelista"/>
              <w:shd w:val="clear" w:color="auto" w:fill="FFFFFF" w:themeFill="background1"/>
              <w:jc w:val="both"/>
              <w:rPr>
                <w:rFonts w:ascii="ITC Avant Garde" w:hAnsi="ITC Avant Garde"/>
                <w:sz w:val="18"/>
                <w:szCs w:val="18"/>
              </w:rPr>
            </w:pPr>
          </w:p>
          <w:p w14:paraId="67B742E1" w14:textId="1477C8BB" w:rsidR="0017469C"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sz w:val="18"/>
                <w:szCs w:val="18"/>
              </w:rPr>
              <w:t>Monitorear los costos y los beneficios de la regulación implementada, así como evaluar periódicamente sus resultados, comparándolos con los objetivos originalmente planteados, a través de una evaluación de impacto regulatorio ex post, y</w:t>
            </w:r>
          </w:p>
          <w:p w14:paraId="01590637" w14:textId="77777777" w:rsidR="005B3401" w:rsidRDefault="005B3401" w:rsidP="005B3401">
            <w:pPr>
              <w:pStyle w:val="Prrafodelista"/>
              <w:shd w:val="clear" w:color="auto" w:fill="FFFFFF" w:themeFill="background1"/>
              <w:jc w:val="both"/>
              <w:rPr>
                <w:rFonts w:ascii="ITC Avant Garde" w:hAnsi="ITC Avant Garde"/>
                <w:sz w:val="18"/>
                <w:szCs w:val="18"/>
              </w:rPr>
            </w:pPr>
          </w:p>
          <w:p w14:paraId="62E78368" w14:textId="1342B651" w:rsidR="00E51908" w:rsidRDefault="0017469C" w:rsidP="0017469C">
            <w:pPr>
              <w:pStyle w:val="Prrafodelista"/>
              <w:numPr>
                <w:ilvl w:val="0"/>
                <w:numId w:val="5"/>
              </w:numPr>
              <w:shd w:val="clear" w:color="auto" w:fill="FFFFFF" w:themeFill="background1"/>
              <w:jc w:val="both"/>
              <w:rPr>
                <w:rFonts w:ascii="ITC Avant Garde" w:hAnsi="ITC Avant Garde"/>
                <w:sz w:val="18"/>
                <w:szCs w:val="18"/>
              </w:rPr>
            </w:pPr>
            <w:r w:rsidRPr="0017469C">
              <w:rPr>
                <w:rFonts w:ascii="ITC Avant Garde" w:hAnsi="ITC Avant Garde"/>
                <w:sz w:val="18"/>
                <w:szCs w:val="18"/>
              </w:rPr>
              <w:t>Finalmente, una vez que se recaben y documenten los resultados de la implementación completa, se valorarán los riesgos que implica continuar o no con dicha regulación y, así sucesivamente, comenzar el Ciclo de Gobernanza Regulatoria, de nueva cuenta, a través de la planeación.</w:t>
            </w:r>
          </w:p>
          <w:p w14:paraId="56B38DBE" w14:textId="2CDAB0B7" w:rsidR="0017469C" w:rsidRDefault="0017469C" w:rsidP="0017469C">
            <w:pPr>
              <w:pStyle w:val="Prrafodelista"/>
              <w:shd w:val="clear" w:color="auto" w:fill="FFFFFF" w:themeFill="background1"/>
              <w:jc w:val="both"/>
              <w:rPr>
                <w:rFonts w:ascii="ITC Avant Garde" w:hAnsi="ITC Avant Garde"/>
                <w:sz w:val="18"/>
                <w:szCs w:val="18"/>
              </w:rPr>
            </w:pPr>
          </w:p>
          <w:p w14:paraId="4EB52DE1" w14:textId="019D9641" w:rsidR="00E85B1B" w:rsidRPr="001A01E0" w:rsidRDefault="00E85B1B" w:rsidP="00E85B1B">
            <w:pPr>
              <w:shd w:val="clear" w:color="auto" w:fill="FFFFFF" w:themeFill="background1"/>
              <w:jc w:val="both"/>
              <w:rPr>
                <w:rFonts w:ascii="ITC Avant Garde" w:hAnsi="ITC Avant Garde"/>
                <w:sz w:val="18"/>
                <w:szCs w:val="18"/>
                <w:lang w:val="es-ES_tradnl"/>
              </w:rPr>
            </w:pPr>
            <w:r w:rsidRPr="00E85B1B">
              <w:rPr>
                <w:rFonts w:ascii="ITC Avant Garde" w:hAnsi="ITC Avant Garde"/>
                <w:sz w:val="18"/>
                <w:szCs w:val="20"/>
              </w:rPr>
              <w:lastRenderedPageBreak/>
              <w:t>Ahora bien, para impulsar el rendimiento de los mercados regulados, el Instituto Federal de Telecomunicaciones (en lo sucesivo, el “Instituto”)</w:t>
            </w:r>
            <w:r>
              <w:rPr>
                <w:rFonts w:ascii="ITC Avant Garde" w:hAnsi="ITC Avant Garde"/>
                <w:sz w:val="18"/>
                <w:szCs w:val="20"/>
              </w:rPr>
              <w:t xml:space="preserve"> ha elaborado diversos proyectos encaminados a </w:t>
            </w:r>
            <w:r w:rsidRPr="00E85B1B">
              <w:rPr>
                <w:rFonts w:ascii="ITC Avant Garde" w:hAnsi="ITC Avant Garde"/>
                <w:sz w:val="18"/>
                <w:szCs w:val="18"/>
                <w:lang w:val="es-ES_tradnl"/>
              </w:rPr>
              <w:t xml:space="preserve">mejorar y simplificar </w:t>
            </w:r>
            <w:r>
              <w:rPr>
                <w:rFonts w:ascii="ITC Avant Garde" w:hAnsi="ITC Avant Garde"/>
                <w:sz w:val="18"/>
                <w:szCs w:val="18"/>
                <w:lang w:val="es-ES_tradnl"/>
              </w:rPr>
              <w:t xml:space="preserve">los </w:t>
            </w:r>
            <w:r w:rsidRPr="00E85B1B">
              <w:rPr>
                <w:rFonts w:ascii="ITC Avant Garde" w:hAnsi="ITC Avant Garde"/>
                <w:sz w:val="18"/>
                <w:szCs w:val="18"/>
                <w:lang w:val="es-ES_tradnl"/>
              </w:rPr>
              <w:t xml:space="preserve">trámites </w:t>
            </w:r>
            <w:r>
              <w:rPr>
                <w:rFonts w:ascii="ITC Avant Garde" w:hAnsi="ITC Avant Garde"/>
                <w:sz w:val="18"/>
                <w:szCs w:val="18"/>
                <w:lang w:val="es-ES_tradnl"/>
              </w:rPr>
              <w:t xml:space="preserve">a su </w:t>
            </w:r>
            <w:r w:rsidR="00512862" w:rsidRPr="005B3401">
              <w:rPr>
                <w:rFonts w:ascii="ITC Avant Garde" w:hAnsi="ITC Avant Garde"/>
                <w:sz w:val="18"/>
                <w:szCs w:val="18"/>
                <w:lang w:val="es-ES_tradnl"/>
              </w:rPr>
              <w:t>cargo</w:t>
            </w:r>
            <w:r w:rsidRPr="005B3401">
              <w:rPr>
                <w:rFonts w:ascii="ITC Avant Garde" w:hAnsi="ITC Avant Garde"/>
                <w:sz w:val="18"/>
                <w:szCs w:val="18"/>
                <w:lang w:val="es-ES_tradnl"/>
              </w:rPr>
              <w:t>,</w:t>
            </w:r>
            <w:r>
              <w:rPr>
                <w:rFonts w:ascii="ITC Avant Garde" w:hAnsi="ITC Avant Garde"/>
                <w:sz w:val="18"/>
                <w:szCs w:val="18"/>
                <w:lang w:val="es-ES_tradnl"/>
              </w:rPr>
              <w:t xml:space="preserve"> como </w:t>
            </w:r>
            <w:r w:rsidRPr="00E85B1B">
              <w:rPr>
                <w:rFonts w:ascii="ITC Avant Garde" w:hAnsi="ITC Avant Garde"/>
                <w:sz w:val="18"/>
                <w:szCs w:val="18"/>
                <w:lang w:val="es-ES_tradnl"/>
              </w:rPr>
              <w:t xml:space="preserve">parte de una estrategia amplia de política regulatoria, </w:t>
            </w:r>
            <w:r w:rsidR="001A01E0">
              <w:rPr>
                <w:rFonts w:ascii="ITC Avant Garde" w:hAnsi="ITC Avant Garde"/>
                <w:sz w:val="18"/>
                <w:szCs w:val="18"/>
                <w:lang w:val="es-ES_tradnl"/>
              </w:rPr>
              <w:t xml:space="preserve">denominada </w:t>
            </w:r>
            <w:r w:rsidR="001A01E0" w:rsidRPr="001A01E0">
              <w:rPr>
                <w:rFonts w:ascii="ITC Avant Garde" w:hAnsi="ITC Avant Garde"/>
                <w:sz w:val="18"/>
                <w:szCs w:val="18"/>
                <w:lang w:val="es-ES_tradnl"/>
              </w:rPr>
              <w:t>“Programa de Mejora Administrativa del Instituto Federal de Telecomunicacion</w:t>
            </w:r>
            <w:r w:rsidR="001A01E0">
              <w:rPr>
                <w:rFonts w:ascii="ITC Avant Garde" w:hAnsi="ITC Avant Garde"/>
                <w:sz w:val="18"/>
                <w:szCs w:val="18"/>
                <w:lang w:val="es-ES_tradnl"/>
              </w:rPr>
              <w:t>es” (en lo sucesivo, el “PMA”)</w:t>
            </w:r>
            <w:r w:rsidR="001A01E0">
              <w:rPr>
                <w:rStyle w:val="Refdenotaalpie"/>
                <w:rFonts w:ascii="ITC Avant Garde" w:hAnsi="ITC Avant Garde"/>
                <w:sz w:val="18"/>
                <w:szCs w:val="18"/>
                <w:lang w:val="es-ES_tradnl"/>
              </w:rPr>
              <w:footnoteReference w:id="1"/>
            </w:r>
            <w:r w:rsidR="001A01E0">
              <w:rPr>
                <w:rFonts w:ascii="ITC Avant Garde" w:hAnsi="ITC Avant Garde"/>
                <w:sz w:val="18"/>
                <w:szCs w:val="18"/>
                <w:lang w:val="es-ES_tradnl"/>
              </w:rPr>
              <w:t xml:space="preserve">, que tiene por objeto </w:t>
            </w:r>
            <w:r>
              <w:rPr>
                <w:rFonts w:ascii="ITC Avant Garde" w:hAnsi="ITC Avant Garde"/>
                <w:sz w:val="18"/>
                <w:szCs w:val="18"/>
                <w:lang w:val="es-ES_tradnl"/>
              </w:rPr>
              <w:t xml:space="preserve">incidir en </w:t>
            </w:r>
            <w:r w:rsidRPr="00E85B1B">
              <w:rPr>
                <w:rFonts w:ascii="ITC Avant Garde" w:hAnsi="ITC Avant Garde"/>
                <w:sz w:val="18"/>
                <w:szCs w:val="18"/>
                <w:lang w:val="es-ES_tradnl"/>
              </w:rPr>
              <w:t>la forma en la que éstos se diseñan, implementan, y hacen cumplir</w:t>
            </w:r>
            <w:r>
              <w:rPr>
                <w:rFonts w:ascii="ITC Avant Garde" w:hAnsi="ITC Avant Garde"/>
                <w:sz w:val="18"/>
                <w:szCs w:val="18"/>
                <w:lang w:val="es-ES_tradnl"/>
              </w:rPr>
              <w:t xml:space="preserve">. </w:t>
            </w:r>
            <w:r w:rsidR="001A01E0">
              <w:rPr>
                <w:rFonts w:ascii="ITC Avant Garde" w:hAnsi="ITC Avant Garde"/>
                <w:sz w:val="18"/>
                <w:szCs w:val="18"/>
                <w:lang w:val="es-ES_tradnl"/>
              </w:rPr>
              <w:t xml:space="preserve">Ello, con finalidad central de aumentar </w:t>
            </w:r>
            <w:r w:rsidRPr="00E85B1B">
              <w:rPr>
                <w:rFonts w:ascii="ITC Avant Garde" w:hAnsi="ITC Avant Garde"/>
                <w:sz w:val="18"/>
                <w:szCs w:val="18"/>
                <w:lang w:val="es-ES_tradnl"/>
              </w:rPr>
              <w:t>la efectividad de la regulación y, por tanto, en su capacidad para cumplir con su objetivo primario de política pública. Así que, la reducción de la carga administrativa de las regulaciones gubernamentales en los ciudadanos, las empresas y el sector público es parte de la estrategia de la mejora administrativa a cargo de este órgano constitucional autónomo para mejorar el desempeño económico y la productividad de los sectores de las telecomunicaciones y la radiodifusión.</w:t>
            </w:r>
          </w:p>
          <w:p w14:paraId="17ADF9B7" w14:textId="77777777" w:rsidR="00E85B1B" w:rsidRPr="00E85B1B" w:rsidRDefault="00E85B1B" w:rsidP="00E85B1B">
            <w:pPr>
              <w:shd w:val="clear" w:color="auto" w:fill="FFFFFF" w:themeFill="background1"/>
              <w:jc w:val="both"/>
              <w:rPr>
                <w:rFonts w:ascii="ITC Avant Garde" w:hAnsi="ITC Avant Garde"/>
                <w:sz w:val="18"/>
                <w:szCs w:val="18"/>
                <w:lang w:val="es-ES_tradnl"/>
              </w:rPr>
            </w:pPr>
          </w:p>
          <w:p w14:paraId="0851A751" w14:textId="50675758" w:rsidR="00E85B1B" w:rsidRPr="00E85B1B" w:rsidRDefault="00E85B1B" w:rsidP="00E85B1B">
            <w:pPr>
              <w:shd w:val="clear" w:color="auto" w:fill="FFFFFF" w:themeFill="background1"/>
              <w:jc w:val="both"/>
              <w:rPr>
                <w:rFonts w:ascii="ITC Avant Garde" w:hAnsi="ITC Avant Garde"/>
                <w:sz w:val="18"/>
                <w:szCs w:val="18"/>
                <w:lang w:val="es-ES_tradnl"/>
              </w:rPr>
            </w:pPr>
            <w:r w:rsidRPr="00E85B1B">
              <w:rPr>
                <w:rFonts w:ascii="ITC Avant Garde" w:hAnsi="ITC Avant Garde"/>
                <w:sz w:val="18"/>
                <w:szCs w:val="18"/>
                <w:lang w:val="es-ES_tradnl"/>
              </w:rPr>
              <w:t>Sobre ello, el Consejo de Política y Gobernanza Regulatoria de la O</w:t>
            </w:r>
            <w:r w:rsidR="00CA7886">
              <w:rPr>
                <w:rFonts w:ascii="ITC Avant Garde" w:hAnsi="ITC Avant Garde"/>
                <w:sz w:val="18"/>
                <w:szCs w:val="18"/>
                <w:lang w:val="es-ES_tradnl"/>
              </w:rPr>
              <w:t>CDE</w:t>
            </w:r>
            <w:r w:rsidRPr="00E85B1B">
              <w:rPr>
                <w:rFonts w:ascii="ITC Avant Garde" w:hAnsi="ITC Avant Garde"/>
                <w:sz w:val="18"/>
                <w:szCs w:val="18"/>
                <w:lang w:val="es-ES_tradnl"/>
              </w:rPr>
              <w:t xml:space="preserve"> señaló en el año 2012, dentro de la Recomendación del Consejo sobre Política y Gobernanza Regulatoria, la necesidad de los Gobiernos de efectuar revisiones sistemáticas de programas de acervo normativo importante contra objetivos de políticas claramente definidos, incluso considerando los costos y beneficios, para asegurar que las regulaciones se mantengan actualizadas, el costo se justifique, sean rentables y coherentes, y cumplan con los objetivos previstos en materia de política pública</w:t>
            </w:r>
            <w:r w:rsidRPr="00E85B1B">
              <w:rPr>
                <w:rFonts w:ascii="ITC Avant Garde" w:hAnsi="ITC Avant Garde"/>
                <w:sz w:val="18"/>
                <w:szCs w:val="18"/>
                <w:vertAlign w:val="superscript"/>
                <w:lang w:val="es-ES_tradnl"/>
              </w:rPr>
              <w:footnoteReference w:id="2"/>
            </w:r>
            <w:r w:rsidRPr="00E85B1B">
              <w:rPr>
                <w:rFonts w:ascii="ITC Avant Garde" w:hAnsi="ITC Avant Garde"/>
                <w:sz w:val="18"/>
                <w:szCs w:val="18"/>
                <w:lang w:val="es-ES_tradnl"/>
              </w:rPr>
              <w:t>.</w:t>
            </w:r>
          </w:p>
          <w:p w14:paraId="3F8C8CFE" w14:textId="77777777" w:rsidR="00E85B1B" w:rsidRPr="00E85B1B" w:rsidRDefault="00E85B1B" w:rsidP="00E85B1B">
            <w:pPr>
              <w:shd w:val="clear" w:color="auto" w:fill="FFFFFF" w:themeFill="background1"/>
              <w:jc w:val="both"/>
              <w:rPr>
                <w:rFonts w:ascii="ITC Avant Garde" w:hAnsi="ITC Avant Garde"/>
                <w:sz w:val="18"/>
                <w:szCs w:val="18"/>
                <w:lang w:val="es-ES_tradnl"/>
              </w:rPr>
            </w:pPr>
          </w:p>
          <w:p w14:paraId="0E09B974" w14:textId="28B3F6D3" w:rsidR="00E85B1B" w:rsidRPr="00E85B1B" w:rsidRDefault="00E85B1B" w:rsidP="00E85B1B">
            <w:pPr>
              <w:shd w:val="clear" w:color="auto" w:fill="FFFFFF" w:themeFill="background1"/>
              <w:jc w:val="both"/>
              <w:rPr>
                <w:rFonts w:ascii="ITC Avant Garde" w:hAnsi="ITC Avant Garde"/>
                <w:sz w:val="18"/>
                <w:szCs w:val="18"/>
                <w:lang w:val="es-ES_tradnl"/>
              </w:rPr>
            </w:pPr>
            <w:r w:rsidRPr="00E85B1B">
              <w:rPr>
                <w:rFonts w:ascii="ITC Avant Garde" w:hAnsi="ITC Avant Garde"/>
                <w:sz w:val="18"/>
                <w:szCs w:val="18"/>
                <w:lang w:val="es-ES_tradnl"/>
              </w:rPr>
              <w:t xml:space="preserve">Así, el papel que desempeña la revisión del estado de la regulación existente y las cargas administrativas asociadas, permite complementar y renovar el </w:t>
            </w:r>
            <w:r w:rsidR="00CA7886">
              <w:rPr>
                <w:rFonts w:ascii="ITC Avant Garde" w:hAnsi="ITC Avant Garde"/>
                <w:sz w:val="18"/>
                <w:szCs w:val="18"/>
                <w:lang w:val="es-ES_tradnl"/>
              </w:rPr>
              <w:t>C</w:t>
            </w:r>
            <w:r w:rsidRPr="00E85B1B">
              <w:rPr>
                <w:rFonts w:ascii="ITC Avant Garde" w:hAnsi="ITC Avant Garde"/>
                <w:sz w:val="18"/>
                <w:szCs w:val="18"/>
                <w:lang w:val="es-ES_tradnl"/>
              </w:rPr>
              <w:t xml:space="preserve">iclo de </w:t>
            </w:r>
            <w:r w:rsidR="00CA7886">
              <w:rPr>
                <w:rFonts w:ascii="ITC Avant Garde" w:hAnsi="ITC Avant Garde"/>
                <w:sz w:val="18"/>
                <w:szCs w:val="18"/>
                <w:lang w:val="es-ES_tradnl"/>
              </w:rPr>
              <w:t>G</w:t>
            </w:r>
            <w:r w:rsidRPr="00E85B1B">
              <w:rPr>
                <w:rFonts w:ascii="ITC Avant Garde" w:hAnsi="ITC Avant Garde"/>
                <w:sz w:val="18"/>
                <w:szCs w:val="18"/>
                <w:lang w:val="es-ES_tradnl"/>
              </w:rPr>
              <w:t xml:space="preserve">obernanza </w:t>
            </w:r>
            <w:r w:rsidR="00CA7886">
              <w:rPr>
                <w:rFonts w:ascii="ITC Avant Garde" w:hAnsi="ITC Avant Garde"/>
                <w:sz w:val="18"/>
                <w:szCs w:val="18"/>
                <w:lang w:val="es-ES_tradnl"/>
              </w:rPr>
              <w:t>R</w:t>
            </w:r>
            <w:r w:rsidRPr="00E85B1B">
              <w:rPr>
                <w:rFonts w:ascii="ITC Avant Garde" w:hAnsi="ITC Avant Garde"/>
                <w:sz w:val="18"/>
                <w:szCs w:val="18"/>
                <w:lang w:val="es-ES_tradnl"/>
              </w:rPr>
              <w:t>egulatoria, además, implica la necesidad de una interpretación integral para identificar problemas aplicativos en el contexto actual de la regulación, así como impactos específicos de rendimiento y cuestiones de interés y, a su vez, implementar mejoras basadas en políticas similares.</w:t>
            </w:r>
          </w:p>
          <w:p w14:paraId="261C4E11" w14:textId="77777777" w:rsidR="00E85B1B" w:rsidRPr="00E85B1B" w:rsidRDefault="00E85B1B" w:rsidP="00E85B1B">
            <w:pPr>
              <w:shd w:val="clear" w:color="auto" w:fill="FFFFFF" w:themeFill="background1"/>
              <w:jc w:val="both"/>
              <w:rPr>
                <w:rFonts w:ascii="ITC Avant Garde" w:hAnsi="ITC Avant Garde"/>
                <w:sz w:val="18"/>
                <w:szCs w:val="18"/>
                <w:lang w:val="es-ES_tradnl"/>
              </w:rPr>
            </w:pPr>
          </w:p>
          <w:p w14:paraId="26EB9B20" w14:textId="77777777" w:rsidR="00E85B1B" w:rsidRPr="00E85B1B" w:rsidRDefault="00E85B1B" w:rsidP="00E85B1B">
            <w:pPr>
              <w:shd w:val="clear" w:color="auto" w:fill="FFFFFF" w:themeFill="background1"/>
              <w:jc w:val="both"/>
              <w:rPr>
                <w:rFonts w:ascii="ITC Avant Garde" w:hAnsi="ITC Avant Garde"/>
                <w:sz w:val="18"/>
                <w:szCs w:val="18"/>
                <w:lang w:val="es-ES_tradnl"/>
              </w:rPr>
            </w:pPr>
            <w:r w:rsidRPr="00E85B1B">
              <w:rPr>
                <w:rFonts w:ascii="ITC Avant Garde" w:hAnsi="ITC Avant Garde"/>
                <w:sz w:val="18"/>
                <w:szCs w:val="18"/>
                <w:lang w:val="es-ES_tradnl"/>
              </w:rPr>
              <w:t>Al efecto, las herramientas analíticas básicas recomendadas de la evaluación al régimen regulatorio son las siguientes y responden a cuestionamientos precisos, a saber</w:t>
            </w:r>
            <w:r w:rsidRPr="00E85B1B">
              <w:rPr>
                <w:rFonts w:ascii="ITC Avant Garde" w:hAnsi="ITC Avant Garde"/>
                <w:sz w:val="18"/>
                <w:szCs w:val="18"/>
                <w:vertAlign w:val="superscript"/>
                <w:lang w:val="es-ES_tradnl"/>
              </w:rPr>
              <w:footnoteReference w:id="3"/>
            </w:r>
            <w:r w:rsidRPr="00E85B1B">
              <w:rPr>
                <w:rFonts w:ascii="ITC Avant Garde" w:hAnsi="ITC Avant Garde"/>
                <w:sz w:val="18"/>
                <w:szCs w:val="18"/>
                <w:lang w:val="es-ES_tradnl"/>
              </w:rPr>
              <w:t>:</w:t>
            </w:r>
          </w:p>
          <w:p w14:paraId="37AACFE6" w14:textId="77777777" w:rsidR="00E85B1B" w:rsidRPr="00E85B1B" w:rsidRDefault="00E85B1B" w:rsidP="00E85B1B">
            <w:pPr>
              <w:shd w:val="clear" w:color="auto" w:fill="FFFFFF" w:themeFill="background1"/>
              <w:jc w:val="both"/>
              <w:rPr>
                <w:rFonts w:ascii="ITC Avant Garde" w:hAnsi="ITC Avant Garde"/>
                <w:sz w:val="18"/>
                <w:szCs w:val="18"/>
                <w:lang w:val="es-ES_tradnl"/>
              </w:rPr>
            </w:pPr>
          </w:p>
          <w:p w14:paraId="2EF68A04" w14:textId="77777777" w:rsidR="00E85B1B" w:rsidRPr="00E85B1B" w:rsidRDefault="00E85B1B" w:rsidP="001A01E0">
            <w:pPr>
              <w:numPr>
                <w:ilvl w:val="0"/>
                <w:numId w:val="6"/>
              </w:numPr>
              <w:shd w:val="clear" w:color="auto" w:fill="FFFFFF" w:themeFill="background1"/>
              <w:ind w:left="360"/>
              <w:jc w:val="both"/>
              <w:rPr>
                <w:rFonts w:ascii="ITC Avant Garde" w:hAnsi="ITC Avant Garde"/>
                <w:sz w:val="18"/>
                <w:szCs w:val="18"/>
              </w:rPr>
            </w:pPr>
            <w:r w:rsidRPr="00E85B1B">
              <w:rPr>
                <w:rFonts w:ascii="ITC Avant Garde" w:hAnsi="ITC Avant Garde"/>
                <w:i/>
                <w:sz w:val="18"/>
                <w:szCs w:val="18"/>
              </w:rPr>
              <w:t>Oportunidad</w:t>
            </w:r>
            <w:r w:rsidRPr="00E85B1B">
              <w:rPr>
                <w:rFonts w:ascii="ITC Avant Garde" w:hAnsi="ITC Avant Garde"/>
                <w:sz w:val="18"/>
                <w:szCs w:val="18"/>
              </w:rPr>
              <w:t>: la revisión debe analizar como un umbral a cumplir, si se mantiene un razonamiento válido para regular;</w:t>
            </w:r>
          </w:p>
          <w:p w14:paraId="43197EAA" w14:textId="77777777" w:rsidR="00E85B1B" w:rsidRPr="00E85B1B" w:rsidRDefault="00E85B1B" w:rsidP="001A01E0">
            <w:pPr>
              <w:shd w:val="clear" w:color="auto" w:fill="FFFFFF" w:themeFill="background1"/>
              <w:jc w:val="both"/>
              <w:rPr>
                <w:rFonts w:ascii="ITC Avant Garde" w:hAnsi="ITC Avant Garde"/>
                <w:sz w:val="18"/>
                <w:szCs w:val="18"/>
              </w:rPr>
            </w:pPr>
          </w:p>
          <w:p w14:paraId="441D16F9" w14:textId="77777777" w:rsidR="00E85B1B" w:rsidRPr="00E85B1B" w:rsidRDefault="00E85B1B" w:rsidP="001A01E0">
            <w:pPr>
              <w:numPr>
                <w:ilvl w:val="0"/>
                <w:numId w:val="6"/>
              </w:numPr>
              <w:shd w:val="clear" w:color="auto" w:fill="FFFFFF" w:themeFill="background1"/>
              <w:ind w:left="360"/>
              <w:jc w:val="both"/>
              <w:rPr>
                <w:rFonts w:ascii="ITC Avant Garde" w:hAnsi="ITC Avant Garde"/>
                <w:sz w:val="18"/>
                <w:szCs w:val="18"/>
              </w:rPr>
            </w:pPr>
            <w:r w:rsidRPr="00E85B1B">
              <w:rPr>
                <w:rFonts w:ascii="ITC Avant Garde" w:hAnsi="ITC Avant Garde"/>
                <w:i/>
                <w:sz w:val="18"/>
                <w:szCs w:val="18"/>
              </w:rPr>
              <w:t>Efectividad</w:t>
            </w:r>
            <w:r w:rsidRPr="00E85B1B">
              <w:rPr>
                <w:rFonts w:ascii="ITC Avant Garde" w:hAnsi="ITC Avant Garde"/>
                <w:sz w:val="18"/>
                <w:szCs w:val="18"/>
              </w:rPr>
              <w:t>: la revisión debe determinar si la regulación (o el conjunto de regulaciones) en efecto cumple los objetivos por los cuales fue creada;</w:t>
            </w:r>
          </w:p>
          <w:p w14:paraId="2B0738C8" w14:textId="77777777" w:rsidR="00E85B1B" w:rsidRPr="00E85B1B" w:rsidRDefault="00E85B1B" w:rsidP="001A01E0">
            <w:pPr>
              <w:shd w:val="clear" w:color="auto" w:fill="FFFFFF" w:themeFill="background1"/>
              <w:jc w:val="both"/>
              <w:rPr>
                <w:rFonts w:ascii="ITC Avant Garde" w:hAnsi="ITC Avant Garde"/>
                <w:sz w:val="18"/>
                <w:szCs w:val="18"/>
              </w:rPr>
            </w:pPr>
          </w:p>
          <w:p w14:paraId="4F1A20D4" w14:textId="77777777" w:rsidR="00E85B1B" w:rsidRPr="00E85B1B" w:rsidRDefault="00E85B1B" w:rsidP="001A01E0">
            <w:pPr>
              <w:numPr>
                <w:ilvl w:val="0"/>
                <w:numId w:val="6"/>
              </w:numPr>
              <w:shd w:val="clear" w:color="auto" w:fill="FFFFFF" w:themeFill="background1"/>
              <w:ind w:left="360"/>
              <w:jc w:val="both"/>
              <w:rPr>
                <w:rFonts w:ascii="ITC Avant Garde" w:hAnsi="ITC Avant Garde"/>
                <w:sz w:val="18"/>
                <w:szCs w:val="18"/>
              </w:rPr>
            </w:pPr>
            <w:r w:rsidRPr="00E85B1B">
              <w:rPr>
                <w:rFonts w:ascii="ITC Avant Garde" w:hAnsi="ITC Avant Garde"/>
                <w:i/>
                <w:sz w:val="18"/>
                <w:szCs w:val="18"/>
              </w:rPr>
              <w:t>Eficiencia</w:t>
            </w:r>
            <w:r w:rsidRPr="00E85B1B">
              <w:rPr>
                <w:rFonts w:ascii="ITC Avant Garde" w:hAnsi="ITC Avant Garde"/>
                <w:sz w:val="18"/>
                <w:szCs w:val="18"/>
              </w:rPr>
              <w:t>: la revisión debe determinar si la regulación da lugar a costos innecesarios (fuera de aquellos necesarios para alcanzar el objetivo regulatorio) u otros impactos no pretendidos, y</w:t>
            </w:r>
          </w:p>
          <w:p w14:paraId="386A4C7E" w14:textId="77777777" w:rsidR="00E85B1B" w:rsidRPr="00E85B1B" w:rsidRDefault="00E85B1B" w:rsidP="001A01E0">
            <w:pPr>
              <w:shd w:val="clear" w:color="auto" w:fill="FFFFFF" w:themeFill="background1"/>
              <w:jc w:val="both"/>
              <w:rPr>
                <w:rFonts w:ascii="ITC Avant Garde" w:hAnsi="ITC Avant Garde"/>
                <w:sz w:val="18"/>
                <w:szCs w:val="18"/>
              </w:rPr>
            </w:pPr>
          </w:p>
          <w:p w14:paraId="610551B1" w14:textId="77777777" w:rsidR="00E85B1B" w:rsidRPr="00E85B1B" w:rsidRDefault="00E85B1B" w:rsidP="001A01E0">
            <w:pPr>
              <w:numPr>
                <w:ilvl w:val="0"/>
                <w:numId w:val="6"/>
              </w:numPr>
              <w:shd w:val="clear" w:color="auto" w:fill="FFFFFF" w:themeFill="background1"/>
              <w:ind w:left="360"/>
              <w:jc w:val="both"/>
              <w:rPr>
                <w:rFonts w:ascii="ITC Avant Garde" w:hAnsi="ITC Avant Garde"/>
                <w:sz w:val="18"/>
                <w:szCs w:val="18"/>
              </w:rPr>
            </w:pPr>
            <w:r w:rsidRPr="00E85B1B">
              <w:rPr>
                <w:rFonts w:ascii="ITC Avant Garde" w:hAnsi="ITC Avant Garde"/>
                <w:i/>
                <w:sz w:val="18"/>
                <w:szCs w:val="18"/>
              </w:rPr>
              <w:t>Alternativas</w:t>
            </w:r>
            <w:r w:rsidRPr="00E85B1B">
              <w:rPr>
                <w:rFonts w:ascii="ITC Avant Garde" w:hAnsi="ITC Avant Garde"/>
                <w:sz w:val="18"/>
                <w:szCs w:val="18"/>
              </w:rPr>
              <w:t>: la revisión debe considerar si es necesario modificar la regulación o reemplazarla con instrumentos alternativos.</w:t>
            </w:r>
          </w:p>
          <w:p w14:paraId="241BDDED" w14:textId="77777777" w:rsidR="00E85B1B" w:rsidRPr="00E85B1B" w:rsidRDefault="00E85B1B" w:rsidP="00E85B1B">
            <w:pPr>
              <w:shd w:val="clear" w:color="auto" w:fill="FFFFFF" w:themeFill="background1"/>
              <w:jc w:val="both"/>
              <w:rPr>
                <w:rFonts w:ascii="ITC Avant Garde" w:hAnsi="ITC Avant Garde"/>
                <w:bCs/>
                <w:sz w:val="18"/>
                <w:szCs w:val="18"/>
              </w:rPr>
            </w:pPr>
          </w:p>
          <w:p w14:paraId="5C1D92C8" w14:textId="0E312B87" w:rsidR="00E85B1B" w:rsidRPr="00E85B1B" w:rsidRDefault="00E85B1B" w:rsidP="00E85B1B">
            <w:pPr>
              <w:shd w:val="clear" w:color="auto" w:fill="FFFFFF" w:themeFill="background1"/>
              <w:jc w:val="both"/>
              <w:rPr>
                <w:rFonts w:ascii="ITC Avant Garde" w:hAnsi="ITC Avant Garde"/>
                <w:bCs/>
                <w:sz w:val="18"/>
                <w:szCs w:val="18"/>
              </w:rPr>
            </w:pPr>
            <w:r w:rsidRPr="00E85B1B">
              <w:rPr>
                <w:rFonts w:ascii="ITC Avant Garde" w:hAnsi="ITC Avant Garde"/>
                <w:bCs/>
                <w:sz w:val="18"/>
                <w:szCs w:val="18"/>
              </w:rPr>
              <w:lastRenderedPageBreak/>
              <w:t>De esta mane</w:t>
            </w:r>
            <w:r w:rsidR="006D2BD3">
              <w:rPr>
                <w:rFonts w:ascii="ITC Avant Garde" w:hAnsi="ITC Avant Garde"/>
                <w:bCs/>
                <w:sz w:val="18"/>
                <w:szCs w:val="18"/>
              </w:rPr>
              <w:t xml:space="preserve">ra, la emisión del presente </w:t>
            </w:r>
            <w:r w:rsidRPr="00E85B1B">
              <w:rPr>
                <w:rFonts w:ascii="ITC Avant Garde" w:hAnsi="ITC Avant Garde"/>
                <w:bCs/>
                <w:sz w:val="18"/>
                <w:szCs w:val="18"/>
              </w:rPr>
              <w:t xml:space="preserve">proyecto se materializa como parte de los resultados concatenados de un ejercicio de revisión de la regulación a cargo del Instituto y sus cargas administrativas asociadas, a partir de los criterios de oportunidad, efectividad, eficiencia y alternativas en el contexto de la utilidad social de las mismas; buscando así, una transición ordenada y transparente hacia un andamiaje jurídico óptimo para el cumplimiento de las facultades regulatorias constitucionales y legales del Instituto. </w:t>
            </w:r>
          </w:p>
          <w:p w14:paraId="3BBA3F1D" w14:textId="77777777" w:rsidR="0017469C" w:rsidRDefault="0017469C" w:rsidP="008A48B0">
            <w:pPr>
              <w:shd w:val="clear" w:color="auto" w:fill="FFFFFF" w:themeFill="background1"/>
              <w:jc w:val="both"/>
              <w:rPr>
                <w:rFonts w:ascii="ITC Avant Garde" w:hAnsi="ITC Avant Garde"/>
                <w:sz w:val="18"/>
                <w:szCs w:val="18"/>
              </w:rPr>
            </w:pPr>
          </w:p>
          <w:p w14:paraId="03F39F86" w14:textId="60268A9A" w:rsidR="00E51908" w:rsidRPr="00E51908" w:rsidRDefault="00CA7886" w:rsidP="00E51908">
            <w:pPr>
              <w:shd w:val="clear" w:color="auto" w:fill="FFFFFF" w:themeFill="background1"/>
              <w:jc w:val="both"/>
              <w:rPr>
                <w:rFonts w:ascii="ITC Avant Garde" w:hAnsi="ITC Avant Garde"/>
                <w:bCs/>
                <w:sz w:val="18"/>
                <w:szCs w:val="18"/>
                <w:lang w:val="es-ES_tradnl"/>
              </w:rPr>
            </w:pPr>
            <w:r>
              <w:rPr>
                <w:rFonts w:ascii="ITC Avant Garde" w:hAnsi="ITC Avant Garde"/>
                <w:sz w:val="18"/>
                <w:szCs w:val="18"/>
              </w:rPr>
              <w:t xml:space="preserve">En tal virtud, </w:t>
            </w:r>
            <w:r w:rsidR="001A01E0">
              <w:rPr>
                <w:rFonts w:ascii="ITC Avant Garde" w:hAnsi="ITC Avant Garde"/>
                <w:sz w:val="18"/>
                <w:szCs w:val="18"/>
              </w:rPr>
              <w:t>e</w:t>
            </w:r>
            <w:r w:rsidR="006D2BD3">
              <w:rPr>
                <w:rFonts w:ascii="ITC Avant Garde" w:hAnsi="ITC Avant Garde"/>
                <w:sz w:val="18"/>
                <w:szCs w:val="18"/>
              </w:rPr>
              <w:t>l</w:t>
            </w:r>
            <w:r w:rsidR="00CA2F29">
              <w:rPr>
                <w:rFonts w:ascii="ITC Avant Garde" w:hAnsi="ITC Avant Garde"/>
                <w:sz w:val="18"/>
                <w:szCs w:val="18"/>
              </w:rPr>
              <w:t xml:space="preserve"> </w:t>
            </w:r>
            <w:proofErr w:type="spellStart"/>
            <w:r w:rsidR="009A7F8E">
              <w:rPr>
                <w:rFonts w:ascii="ITC Avant Garde" w:hAnsi="ITC Avant Garde"/>
                <w:sz w:val="18"/>
                <w:szCs w:val="18"/>
              </w:rPr>
              <w:t>P</w:t>
            </w:r>
            <w:r w:rsidR="00E51908" w:rsidRPr="00E51908">
              <w:rPr>
                <w:rFonts w:ascii="ITC Avant Garde" w:hAnsi="ITC Avant Garde"/>
                <w:sz w:val="18"/>
                <w:szCs w:val="18"/>
              </w:rPr>
              <w:t>roy</w:t>
            </w:r>
            <w:r w:rsidR="00E51908" w:rsidRPr="00E51908">
              <w:rPr>
                <w:rFonts w:ascii="ITC Avant Garde" w:hAnsi="ITC Avant Garde"/>
                <w:bCs/>
                <w:sz w:val="18"/>
                <w:szCs w:val="18"/>
                <w:lang w:val="es-ES_tradnl"/>
              </w:rPr>
              <w:t>ecto</w:t>
            </w:r>
            <w:proofErr w:type="spellEnd"/>
            <w:r w:rsidR="006D2BD3">
              <w:rPr>
                <w:rFonts w:ascii="ITC Avant Garde" w:hAnsi="ITC Avant Garde"/>
                <w:bCs/>
                <w:sz w:val="18"/>
                <w:szCs w:val="18"/>
                <w:lang w:val="es-ES_tradnl"/>
              </w:rPr>
              <w:t xml:space="preserve"> de Acuerdo presente,</w:t>
            </w:r>
            <w:r w:rsidR="00E51908" w:rsidRPr="00E51908">
              <w:rPr>
                <w:rFonts w:ascii="ITC Avant Garde" w:hAnsi="ITC Avant Garde"/>
                <w:bCs/>
                <w:sz w:val="18"/>
                <w:szCs w:val="18"/>
                <w:lang w:val="es-ES_tradnl"/>
              </w:rPr>
              <w:t xml:space="preserve"> tiene por objeto emplear la desregulación y la simplificación administrativa como herramientas para lograr una mayor eficiencia y disminuir las cargas administrativas de los sujetos regulados por la L</w:t>
            </w:r>
            <w:r>
              <w:rPr>
                <w:rFonts w:ascii="ITC Avant Garde" w:hAnsi="ITC Avant Garde"/>
                <w:bCs/>
                <w:sz w:val="18"/>
                <w:szCs w:val="18"/>
                <w:lang w:val="es-ES_tradnl"/>
              </w:rPr>
              <w:t xml:space="preserve">ey </w:t>
            </w:r>
            <w:r w:rsidR="00E51908" w:rsidRPr="00E51908">
              <w:rPr>
                <w:rFonts w:ascii="ITC Avant Garde" w:hAnsi="ITC Avant Garde"/>
                <w:bCs/>
                <w:sz w:val="18"/>
                <w:szCs w:val="18"/>
                <w:lang w:val="es-ES_tradnl"/>
              </w:rPr>
              <w:t>F</w:t>
            </w:r>
            <w:r>
              <w:rPr>
                <w:rFonts w:ascii="ITC Avant Garde" w:hAnsi="ITC Avant Garde"/>
                <w:bCs/>
                <w:sz w:val="18"/>
                <w:szCs w:val="18"/>
                <w:lang w:val="es-ES_tradnl"/>
              </w:rPr>
              <w:t xml:space="preserve">ederal de </w:t>
            </w:r>
            <w:r w:rsidR="00E51908" w:rsidRPr="00E51908">
              <w:rPr>
                <w:rFonts w:ascii="ITC Avant Garde" w:hAnsi="ITC Avant Garde"/>
                <w:bCs/>
                <w:sz w:val="18"/>
                <w:szCs w:val="18"/>
                <w:lang w:val="es-ES_tradnl"/>
              </w:rPr>
              <w:t>T</w:t>
            </w:r>
            <w:r>
              <w:rPr>
                <w:rFonts w:ascii="ITC Avant Garde" w:hAnsi="ITC Avant Garde"/>
                <w:bCs/>
                <w:sz w:val="18"/>
                <w:szCs w:val="18"/>
                <w:lang w:val="es-ES_tradnl"/>
              </w:rPr>
              <w:t xml:space="preserve">elecomunicaciones y </w:t>
            </w:r>
            <w:r w:rsidR="00E51908" w:rsidRPr="00E51908">
              <w:rPr>
                <w:rFonts w:ascii="ITC Avant Garde" w:hAnsi="ITC Avant Garde"/>
                <w:bCs/>
                <w:sz w:val="18"/>
                <w:szCs w:val="18"/>
                <w:lang w:val="es-ES_tradnl"/>
              </w:rPr>
              <w:t>R</w:t>
            </w:r>
            <w:r>
              <w:rPr>
                <w:rFonts w:ascii="ITC Avant Garde" w:hAnsi="ITC Avant Garde"/>
                <w:bCs/>
                <w:sz w:val="18"/>
                <w:szCs w:val="18"/>
                <w:lang w:val="es-ES_tradnl"/>
              </w:rPr>
              <w:t>adiodifusión (en lo sucesivo, la “LFTR”)</w:t>
            </w:r>
            <w:r w:rsidR="00E51908" w:rsidRPr="00E51908">
              <w:rPr>
                <w:rFonts w:ascii="ITC Avant Garde" w:hAnsi="ITC Avant Garde"/>
                <w:bCs/>
                <w:sz w:val="18"/>
                <w:szCs w:val="18"/>
                <w:lang w:val="es-ES_tradnl"/>
              </w:rPr>
              <w:t xml:space="preserve">, a través de la expedición de una disposición de carácter general, que de manera sumaria y contextualmente armónica con las demás acciones de mejora administrativa que el Instituto ha realizado y se encuentra realizando, permita la extinción o modificación de diversas obligaciones a cargo de los regulados que, a la fecha, se traducen en trámites innecesarios u obsoletos o en entregas de contenidos de información respecto de los cuales, el Instituto ya se allega o puede allegarse por otras vías. </w:t>
            </w:r>
          </w:p>
          <w:p w14:paraId="343B834A" w14:textId="6367925E" w:rsidR="00E51908" w:rsidRDefault="00E51908" w:rsidP="00E51908">
            <w:pPr>
              <w:shd w:val="clear" w:color="auto" w:fill="FFFFFF" w:themeFill="background1"/>
              <w:jc w:val="both"/>
              <w:rPr>
                <w:rFonts w:ascii="ITC Avant Garde" w:hAnsi="ITC Avant Garde"/>
                <w:bCs/>
                <w:sz w:val="18"/>
                <w:szCs w:val="18"/>
                <w:lang w:val="es-ES_tradnl"/>
              </w:rPr>
            </w:pPr>
          </w:p>
          <w:p w14:paraId="17B94E18" w14:textId="36A4DF7D" w:rsidR="00E51908" w:rsidRPr="00E51908" w:rsidRDefault="00241296" w:rsidP="00E51908">
            <w:pPr>
              <w:shd w:val="clear" w:color="auto" w:fill="FFFFFF" w:themeFill="background1"/>
              <w:jc w:val="both"/>
              <w:rPr>
                <w:rFonts w:ascii="ITC Avant Garde" w:hAnsi="ITC Avant Garde"/>
                <w:bCs/>
                <w:sz w:val="18"/>
                <w:szCs w:val="18"/>
                <w:lang w:val="es-ES_tradnl"/>
              </w:rPr>
            </w:pPr>
            <w:r>
              <w:rPr>
                <w:rFonts w:ascii="ITC Avant Garde" w:hAnsi="ITC Avant Garde"/>
                <w:bCs/>
                <w:sz w:val="18"/>
                <w:szCs w:val="18"/>
                <w:lang w:val="es-ES_tradnl"/>
              </w:rPr>
              <w:t xml:space="preserve">Cabe señalar que, un </w:t>
            </w:r>
            <w:r w:rsidR="00E51908" w:rsidRPr="00E51908">
              <w:rPr>
                <w:rFonts w:ascii="ITC Avant Garde" w:hAnsi="ITC Avant Garde"/>
                <w:bCs/>
                <w:sz w:val="18"/>
                <w:szCs w:val="18"/>
                <w:lang w:val="es-ES_tradnl"/>
              </w:rPr>
              <w:t xml:space="preserve">insumo, </w:t>
            </w:r>
            <w:r>
              <w:rPr>
                <w:rFonts w:ascii="ITC Avant Garde" w:hAnsi="ITC Avant Garde"/>
                <w:bCs/>
                <w:sz w:val="18"/>
                <w:szCs w:val="18"/>
                <w:lang w:val="es-ES_tradnl"/>
              </w:rPr>
              <w:t>determinante par</w:t>
            </w:r>
            <w:r w:rsidR="00CA2F29">
              <w:rPr>
                <w:rFonts w:ascii="ITC Avant Garde" w:hAnsi="ITC Avant Garde"/>
                <w:bCs/>
                <w:sz w:val="18"/>
                <w:szCs w:val="18"/>
                <w:lang w:val="es-ES_tradnl"/>
              </w:rPr>
              <w:t xml:space="preserve">a construcción del presente </w:t>
            </w:r>
            <w:r>
              <w:rPr>
                <w:rFonts w:ascii="ITC Avant Garde" w:hAnsi="ITC Avant Garde"/>
                <w:bCs/>
                <w:sz w:val="18"/>
                <w:szCs w:val="18"/>
                <w:lang w:val="es-ES_tradnl"/>
              </w:rPr>
              <w:t xml:space="preserve">proyecto, se encuentra </w:t>
            </w:r>
            <w:r w:rsidR="00E51908" w:rsidRPr="00E51908">
              <w:rPr>
                <w:rFonts w:ascii="ITC Avant Garde" w:hAnsi="ITC Avant Garde"/>
                <w:bCs/>
                <w:sz w:val="18"/>
                <w:szCs w:val="18"/>
                <w:lang w:val="es-ES_tradnl"/>
              </w:rPr>
              <w:t xml:space="preserve">la </w:t>
            </w:r>
            <w:r w:rsidR="00E51908" w:rsidRPr="006D2BD3">
              <w:rPr>
                <w:rFonts w:ascii="ITC Avant Garde" w:hAnsi="ITC Avant Garde"/>
                <w:b/>
                <w:bCs/>
                <w:i/>
                <w:sz w:val="18"/>
                <w:szCs w:val="18"/>
              </w:rPr>
              <w:t>“</w:t>
            </w:r>
            <w:r w:rsidR="00E51908" w:rsidRPr="006D2BD3">
              <w:rPr>
                <w:rFonts w:ascii="ITC Avant Garde" w:hAnsi="ITC Avant Garde"/>
                <w:b/>
                <w:bCs/>
                <w:i/>
                <w:sz w:val="18"/>
                <w:szCs w:val="18"/>
                <w:lang w:val="es-ES_tradnl"/>
              </w:rPr>
              <w:t>Consulta pública sobre los trámites contenidos en las disposiciones de carácter general a cargo del Instituto Federal de Telecomunicaciones, así como para la detección de posibles áreas de oportunidad de los mismos”</w:t>
            </w:r>
            <w:r w:rsidR="00E51908" w:rsidRPr="00E51908">
              <w:rPr>
                <w:rFonts w:ascii="ITC Avant Garde" w:hAnsi="ITC Avant Garde"/>
                <w:bCs/>
                <w:i/>
                <w:sz w:val="18"/>
                <w:szCs w:val="18"/>
                <w:lang w:val="es-ES_tradnl"/>
              </w:rPr>
              <w:t xml:space="preserve">, </w:t>
            </w:r>
            <w:r w:rsidR="00E51908" w:rsidRPr="00E51908">
              <w:rPr>
                <w:rFonts w:ascii="ITC Avant Garde" w:hAnsi="ITC Avant Garde"/>
                <w:bCs/>
                <w:sz w:val="18"/>
                <w:szCs w:val="18"/>
                <w:lang w:val="es-ES_tradnl"/>
              </w:rPr>
              <w:t>misma que arrojó 271 comentarios a cargo de 17 participantes, los cuales se manifestaron a razón de la mayoría de las obligaciones que se buscan modificar o extinguir a través del pre</w:t>
            </w:r>
            <w:r w:rsidR="006D2BD3">
              <w:rPr>
                <w:rFonts w:ascii="ITC Avant Garde" w:hAnsi="ITC Avant Garde"/>
                <w:bCs/>
                <w:sz w:val="18"/>
                <w:szCs w:val="18"/>
                <w:lang w:val="es-ES_tradnl"/>
              </w:rPr>
              <w:t xml:space="preserve">sente </w:t>
            </w:r>
            <w:r w:rsidR="00E51908" w:rsidRPr="00E51908">
              <w:rPr>
                <w:rFonts w:ascii="ITC Avant Garde" w:hAnsi="ITC Avant Garde"/>
                <w:bCs/>
                <w:sz w:val="18"/>
                <w:szCs w:val="18"/>
                <w:lang w:val="es-ES_tradnl"/>
              </w:rPr>
              <w:t>proyecto regulatorio.</w:t>
            </w:r>
          </w:p>
          <w:p w14:paraId="3AF5AC9C" w14:textId="77777777" w:rsidR="00E51908" w:rsidRPr="00E51908" w:rsidRDefault="00E51908" w:rsidP="00E51908">
            <w:pPr>
              <w:shd w:val="clear" w:color="auto" w:fill="FFFFFF" w:themeFill="background1"/>
              <w:jc w:val="both"/>
              <w:rPr>
                <w:rFonts w:ascii="ITC Avant Garde" w:hAnsi="ITC Avant Garde"/>
                <w:bCs/>
                <w:sz w:val="18"/>
                <w:szCs w:val="18"/>
                <w:lang w:val="es-ES_tradnl"/>
              </w:rPr>
            </w:pPr>
          </w:p>
          <w:p w14:paraId="7DEBB7DB" w14:textId="552E9030" w:rsidR="00E51908" w:rsidRPr="00E51908" w:rsidRDefault="00CA2F29" w:rsidP="00E51908">
            <w:pPr>
              <w:shd w:val="clear" w:color="auto" w:fill="FFFFFF" w:themeFill="background1"/>
              <w:jc w:val="both"/>
              <w:rPr>
                <w:rFonts w:ascii="ITC Avant Garde" w:hAnsi="ITC Avant Garde"/>
                <w:bCs/>
                <w:sz w:val="18"/>
                <w:szCs w:val="18"/>
                <w:lang w:val="es-ES_tradnl"/>
              </w:rPr>
            </w:pPr>
            <w:r>
              <w:rPr>
                <w:rFonts w:ascii="ITC Avant Garde" w:hAnsi="ITC Avant Garde"/>
                <w:bCs/>
                <w:sz w:val="18"/>
                <w:szCs w:val="18"/>
                <w:lang w:val="es-ES_tradnl"/>
              </w:rPr>
              <w:t xml:space="preserve">De la misma manera, el </w:t>
            </w:r>
            <w:r w:rsidR="00E51908" w:rsidRPr="00E51908">
              <w:rPr>
                <w:rFonts w:ascii="ITC Avant Garde" w:hAnsi="ITC Avant Garde"/>
                <w:bCs/>
                <w:sz w:val="18"/>
                <w:szCs w:val="18"/>
                <w:lang w:val="es-ES_tradnl"/>
              </w:rPr>
              <w:t xml:space="preserve">proyecto de mérito complementa y se alinea con las siguientes propuestas regulatorias: </w:t>
            </w:r>
          </w:p>
          <w:p w14:paraId="56F94EEF" w14:textId="77777777" w:rsidR="00E51908" w:rsidRPr="00E51908" w:rsidRDefault="00E51908" w:rsidP="00E51908">
            <w:pPr>
              <w:shd w:val="clear" w:color="auto" w:fill="FFFFFF" w:themeFill="background1"/>
              <w:jc w:val="both"/>
              <w:rPr>
                <w:rFonts w:ascii="ITC Avant Garde" w:hAnsi="ITC Avant Garde"/>
                <w:bCs/>
                <w:sz w:val="18"/>
                <w:szCs w:val="18"/>
                <w:lang w:val="es-ES_tradnl"/>
              </w:rPr>
            </w:pPr>
          </w:p>
          <w:p w14:paraId="355602C3" w14:textId="40B5DDDC" w:rsidR="00E51908" w:rsidRPr="00CA2F29" w:rsidRDefault="00CA2F29" w:rsidP="00CA2F29">
            <w:pPr>
              <w:numPr>
                <w:ilvl w:val="0"/>
                <w:numId w:val="4"/>
              </w:numPr>
              <w:shd w:val="clear" w:color="auto" w:fill="FFFFFF" w:themeFill="background1"/>
              <w:jc w:val="both"/>
              <w:rPr>
                <w:rFonts w:ascii="ITC Avant Garde" w:hAnsi="ITC Avant Garde"/>
                <w:bCs/>
                <w:i/>
                <w:sz w:val="18"/>
                <w:szCs w:val="18"/>
                <w:lang w:val="es-ES_tradnl"/>
              </w:rPr>
            </w:pPr>
            <w:r w:rsidRPr="00CA2F29">
              <w:rPr>
                <w:rFonts w:ascii="ITC Avant Garde" w:hAnsi="ITC Avant Garde"/>
                <w:bCs/>
                <w:i/>
                <w:sz w:val="18"/>
                <w:szCs w:val="18"/>
                <w:lang w:val="es-ES_tradnl"/>
              </w:rPr>
              <w:t>ACUERDO mediante el cual el Pleno del Instituto Feder</w:t>
            </w:r>
            <w:r>
              <w:rPr>
                <w:rFonts w:ascii="ITC Avant Garde" w:hAnsi="ITC Avant Garde"/>
                <w:bCs/>
                <w:i/>
                <w:sz w:val="18"/>
                <w:szCs w:val="18"/>
                <w:lang w:val="es-ES_tradnl"/>
              </w:rPr>
              <w:t xml:space="preserve">al de Telecomunicaciones abroga </w:t>
            </w:r>
            <w:r w:rsidRPr="00CA2F29">
              <w:rPr>
                <w:rFonts w:ascii="ITC Avant Garde" w:hAnsi="ITC Avant Garde"/>
                <w:bCs/>
                <w:i/>
                <w:sz w:val="18"/>
                <w:szCs w:val="18"/>
                <w:lang w:val="es-ES_tradnl"/>
              </w:rPr>
              <w:t>diversos reglamentos</w:t>
            </w:r>
            <w:r>
              <w:rPr>
                <w:rFonts w:ascii="ITC Avant Garde" w:hAnsi="ITC Avant Garde"/>
                <w:bCs/>
                <w:i/>
                <w:sz w:val="18"/>
                <w:szCs w:val="18"/>
                <w:lang w:val="es-ES_tradnl"/>
              </w:rPr>
              <w:t xml:space="preserve"> </w:t>
            </w:r>
            <w:r w:rsidRPr="00CA2F29">
              <w:rPr>
                <w:rFonts w:ascii="ITC Avant Garde" w:hAnsi="ITC Avant Garde"/>
                <w:bCs/>
                <w:i/>
                <w:sz w:val="18"/>
                <w:szCs w:val="18"/>
                <w:lang w:val="es-ES_tradnl"/>
              </w:rPr>
              <w:t>expedidos con anterioridad a la ent</w:t>
            </w:r>
            <w:r>
              <w:rPr>
                <w:rFonts w:ascii="ITC Avant Garde" w:hAnsi="ITC Avant Garde"/>
                <w:bCs/>
                <w:i/>
                <w:sz w:val="18"/>
                <w:szCs w:val="18"/>
                <w:lang w:val="es-ES_tradnl"/>
              </w:rPr>
              <w:t xml:space="preserve">rada en vigor de la Ley Federal </w:t>
            </w:r>
            <w:r w:rsidRPr="00CA2F29">
              <w:rPr>
                <w:rFonts w:ascii="ITC Avant Garde" w:hAnsi="ITC Avant Garde"/>
                <w:bCs/>
                <w:i/>
                <w:sz w:val="18"/>
                <w:szCs w:val="18"/>
                <w:lang w:val="es-ES_tradnl"/>
              </w:rPr>
              <w:t>de Telecomunicaciones y Radiodifusión, y emite</w:t>
            </w:r>
            <w:r>
              <w:rPr>
                <w:rFonts w:ascii="ITC Avant Garde" w:hAnsi="ITC Avant Garde"/>
                <w:bCs/>
                <w:i/>
                <w:sz w:val="18"/>
                <w:szCs w:val="18"/>
                <w:lang w:val="es-ES_tradnl"/>
              </w:rPr>
              <w:t xml:space="preserve"> </w:t>
            </w:r>
            <w:r w:rsidRPr="00CA2F29">
              <w:rPr>
                <w:rFonts w:ascii="ITC Avant Garde" w:hAnsi="ITC Avant Garde"/>
                <w:bCs/>
                <w:i/>
                <w:sz w:val="18"/>
                <w:szCs w:val="18"/>
                <w:lang w:val="es-ES_tradnl"/>
              </w:rPr>
              <w:t>disposiciones aplicables al servicio de telefonía pública y las relativas al procedim</w:t>
            </w:r>
            <w:r w:rsidR="00BB0D34">
              <w:rPr>
                <w:rFonts w:ascii="ITC Avant Garde" w:hAnsi="ITC Avant Garde"/>
                <w:bCs/>
                <w:i/>
                <w:sz w:val="18"/>
                <w:szCs w:val="18"/>
                <w:lang w:val="es-ES_tradnl"/>
              </w:rPr>
              <w:t>iento de homologación de equipo</w:t>
            </w:r>
            <w:r w:rsidR="00BB0D34">
              <w:rPr>
                <w:rStyle w:val="Refdenotaalpie"/>
                <w:rFonts w:ascii="ITC Avant Garde" w:hAnsi="ITC Avant Garde"/>
                <w:bCs/>
                <w:i/>
                <w:sz w:val="18"/>
                <w:szCs w:val="18"/>
                <w:lang w:val="es-ES_tradnl"/>
              </w:rPr>
              <w:footnoteReference w:id="4"/>
            </w:r>
            <w:r w:rsidR="00E51908" w:rsidRPr="00CA2F29">
              <w:rPr>
                <w:rFonts w:ascii="ITC Avant Garde" w:hAnsi="ITC Avant Garde"/>
                <w:bCs/>
                <w:sz w:val="18"/>
                <w:szCs w:val="18"/>
                <w:lang w:val="es-ES_tradnl"/>
              </w:rPr>
              <w:t>, y</w:t>
            </w:r>
          </w:p>
          <w:p w14:paraId="3FB4C7CF" w14:textId="77777777" w:rsidR="00E51908" w:rsidRPr="00E51908" w:rsidRDefault="00E51908" w:rsidP="00E51908">
            <w:pPr>
              <w:shd w:val="clear" w:color="auto" w:fill="FFFFFF" w:themeFill="background1"/>
              <w:jc w:val="both"/>
              <w:rPr>
                <w:rFonts w:ascii="ITC Avant Garde" w:hAnsi="ITC Avant Garde"/>
                <w:bCs/>
                <w:sz w:val="18"/>
                <w:szCs w:val="18"/>
                <w:lang w:val="es-ES_tradnl"/>
              </w:rPr>
            </w:pPr>
          </w:p>
          <w:p w14:paraId="1562294B" w14:textId="351E27AD" w:rsidR="00E51908" w:rsidRPr="00E51908" w:rsidRDefault="00E51908" w:rsidP="00E51908">
            <w:pPr>
              <w:numPr>
                <w:ilvl w:val="0"/>
                <w:numId w:val="4"/>
              </w:numPr>
              <w:shd w:val="clear" w:color="auto" w:fill="FFFFFF" w:themeFill="background1"/>
              <w:jc w:val="both"/>
              <w:rPr>
                <w:rFonts w:ascii="ITC Avant Garde" w:hAnsi="ITC Avant Garde"/>
                <w:bCs/>
                <w:sz w:val="18"/>
                <w:szCs w:val="18"/>
                <w:lang w:val="es-ES_tradnl"/>
              </w:rPr>
            </w:pPr>
            <w:r w:rsidRPr="00E51908">
              <w:rPr>
                <w:rFonts w:ascii="ITC Avant Garde" w:hAnsi="ITC Avant Garde"/>
                <w:bCs/>
                <w:i/>
                <w:sz w:val="18"/>
                <w:szCs w:val="18"/>
                <w:lang w:val="es-ES_tradnl"/>
              </w:rPr>
              <w:t xml:space="preserve">“Acuerdo por el que el Pleno del Instituto Federal de Telecomunicaciones somete a consulta pública el anteproyecto de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w:t>
            </w:r>
            <w:r w:rsidRPr="00E51908">
              <w:rPr>
                <w:rFonts w:ascii="ITC Avant Garde" w:hAnsi="ITC Avant Garde"/>
                <w:bCs/>
                <w:sz w:val="18"/>
                <w:szCs w:val="18"/>
                <w:lang w:val="es-ES_tradnl"/>
              </w:rPr>
              <w:t>mismo que se somete a consideración del Pleno del Instituto en la misma sesión que el anteproyecto regulatorio que nos ocupa</w:t>
            </w:r>
            <w:r w:rsidR="003F1408">
              <w:rPr>
                <w:rStyle w:val="Refdenotaalpie"/>
                <w:rFonts w:ascii="ITC Avant Garde" w:hAnsi="ITC Avant Garde"/>
                <w:bCs/>
                <w:sz w:val="18"/>
                <w:szCs w:val="18"/>
                <w:lang w:val="es-ES_tradnl"/>
              </w:rPr>
              <w:footnoteReference w:id="5"/>
            </w:r>
            <w:r w:rsidRPr="00E51908">
              <w:rPr>
                <w:rFonts w:ascii="ITC Avant Garde" w:hAnsi="ITC Avant Garde"/>
                <w:bCs/>
                <w:sz w:val="18"/>
                <w:szCs w:val="18"/>
                <w:lang w:val="es-ES_tradnl"/>
              </w:rPr>
              <w:t xml:space="preserve">. </w:t>
            </w:r>
          </w:p>
          <w:p w14:paraId="77B70C94" w14:textId="77777777" w:rsidR="001932FC" w:rsidRPr="00451B7D"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3D374751"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007E7A27">
                    <w:rPr>
                      <w:rFonts w:ascii="ITC Avant Garde" w:hAnsi="ITC Avant Garde"/>
                      <w:sz w:val="18"/>
                      <w:szCs w:val="18"/>
                    </w:rPr>
                    <w:t xml:space="preserve"> ( ) No (X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00767070" w14:textId="4B56320B" w:rsidR="00596FDE"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66685CE1" w14:textId="77777777" w:rsidR="009656B1" w:rsidRPr="00451B7D" w:rsidRDefault="009656B1" w:rsidP="00B41497">
            <w:pPr>
              <w:jc w:val="both"/>
              <w:rPr>
                <w:rFonts w:ascii="ITC Avant Garde" w:hAnsi="ITC Avant Garde"/>
                <w:sz w:val="18"/>
                <w:szCs w:val="18"/>
              </w:rPr>
            </w:pPr>
          </w:p>
        </w:tc>
      </w:tr>
    </w:tbl>
    <w:p w14:paraId="49EDF348" w14:textId="1D9839F3"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7E7A27">
        <w:trPr>
          <w:trHeight w:val="1229"/>
        </w:trPr>
        <w:tc>
          <w:tcPr>
            <w:tcW w:w="8828" w:type="dxa"/>
          </w:tcPr>
          <w:p w14:paraId="695C7A4C" w14:textId="60C0AEAD" w:rsidR="00BE7D1C" w:rsidRPr="00451B7D" w:rsidRDefault="00BE7D1C" w:rsidP="00E51908">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E51908">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E5190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E51908">
              <w:tc>
                <w:tcPr>
                  <w:tcW w:w="1876" w:type="dxa"/>
                  <w:tcBorders>
                    <w:bottom w:val="single" w:sz="12" w:space="0" w:color="auto"/>
                  </w:tcBorders>
                  <w:shd w:val="clear" w:color="auto" w:fill="A8D08D" w:themeFill="accent6" w:themeFillTint="99"/>
                </w:tcPr>
                <w:p w14:paraId="68667C9B"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E51908">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26ABB599" w:rsidR="00BE7D1C" w:rsidRPr="00451B7D" w:rsidRDefault="00241296" w:rsidP="00E51908">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4BA9FCDA" w:rsidR="00BE7D1C" w:rsidRPr="00451B7D" w:rsidRDefault="00241296" w:rsidP="004E2DC4">
                  <w:pPr>
                    <w:jc w:val="center"/>
                    <w:rPr>
                      <w:rFonts w:ascii="ITC Avant Garde" w:hAnsi="ITC Avant Garde"/>
                      <w:sz w:val="18"/>
                      <w:szCs w:val="18"/>
                    </w:rPr>
                  </w:pPr>
                  <w:r w:rsidRPr="00241296">
                    <w:rPr>
                      <w:rFonts w:ascii="ITC Avant Garde" w:hAnsi="ITC Avant Garde"/>
                      <w:sz w:val="18"/>
                      <w:szCs w:val="18"/>
                    </w:rPr>
                    <w:t>Se mantiene</w:t>
                  </w:r>
                  <w:r w:rsidR="004E2DC4">
                    <w:rPr>
                      <w:rFonts w:ascii="ITC Avant Garde" w:hAnsi="ITC Avant Garde"/>
                      <w:sz w:val="18"/>
                      <w:szCs w:val="18"/>
                    </w:rPr>
                    <w:t xml:space="preserve">n vigentes ordenamientos obsoletos </w:t>
                  </w:r>
                </w:p>
              </w:tc>
              <w:tc>
                <w:tcPr>
                  <w:tcW w:w="3969" w:type="dxa"/>
                </w:tcPr>
                <w:p w14:paraId="5A54D464" w14:textId="1F78E243" w:rsidR="00241296" w:rsidRDefault="00C430F8" w:rsidP="00B957A5">
                  <w:pPr>
                    <w:jc w:val="both"/>
                    <w:rPr>
                      <w:rFonts w:ascii="ITC Avant Garde" w:hAnsi="ITC Avant Garde"/>
                      <w:sz w:val="18"/>
                      <w:szCs w:val="18"/>
                    </w:rPr>
                  </w:pPr>
                  <w:r>
                    <w:rPr>
                      <w:rFonts w:ascii="ITC Avant Garde" w:hAnsi="ITC Avant Garde"/>
                      <w:sz w:val="18"/>
                      <w:szCs w:val="18"/>
                    </w:rPr>
                    <w:t>N</w:t>
                  </w:r>
                  <w:r w:rsidR="00AB5462">
                    <w:rPr>
                      <w:rFonts w:ascii="ITC Avant Garde" w:hAnsi="ITC Avant Garde"/>
                      <w:sz w:val="18"/>
                      <w:szCs w:val="18"/>
                    </w:rPr>
                    <w:t xml:space="preserve">o se tendría control sobre el crecimiento del </w:t>
                  </w:r>
                  <w:r w:rsidR="00EE3B75" w:rsidRPr="00EE3B75">
                    <w:rPr>
                      <w:rFonts w:ascii="ITC Avant Garde" w:hAnsi="ITC Avant Garde"/>
                      <w:sz w:val="18"/>
                      <w:szCs w:val="18"/>
                    </w:rPr>
                    <w:t xml:space="preserve">stock </w:t>
                  </w:r>
                  <w:r w:rsidR="00AB5462">
                    <w:rPr>
                      <w:rFonts w:ascii="ITC Avant Garde" w:hAnsi="ITC Avant Garde"/>
                      <w:sz w:val="18"/>
                      <w:szCs w:val="18"/>
                    </w:rPr>
                    <w:t>regulatorio de los sectores regulados.</w:t>
                  </w:r>
                  <w:r>
                    <w:rPr>
                      <w:rFonts w:ascii="ITC Avant Garde" w:hAnsi="ITC Avant Garde"/>
                      <w:sz w:val="18"/>
                      <w:szCs w:val="18"/>
                    </w:rPr>
                    <w:t xml:space="preserve"> </w:t>
                  </w:r>
                  <w:r w:rsidRPr="005B3401">
                    <w:rPr>
                      <w:rFonts w:ascii="ITC Avant Garde" w:hAnsi="ITC Avant Garde"/>
                      <w:sz w:val="18"/>
                      <w:szCs w:val="18"/>
                    </w:rPr>
                    <w:t>Por lo que, s</w:t>
                  </w:r>
                  <w:r w:rsidR="00241296" w:rsidRPr="005B3401">
                    <w:rPr>
                      <w:rFonts w:ascii="ITC Avant Garde" w:hAnsi="ITC Avant Garde"/>
                      <w:sz w:val="18"/>
                      <w:szCs w:val="18"/>
                    </w:rPr>
                    <w:t>e mantendría</w:t>
                  </w:r>
                  <w:r w:rsidR="00AB5462" w:rsidRPr="005B3401">
                    <w:rPr>
                      <w:rFonts w:ascii="ITC Avant Garde" w:hAnsi="ITC Avant Garde"/>
                      <w:sz w:val="18"/>
                      <w:szCs w:val="18"/>
                    </w:rPr>
                    <w:t>n</w:t>
                  </w:r>
                  <w:r w:rsidR="00241296" w:rsidRPr="005B3401">
                    <w:rPr>
                      <w:rFonts w:ascii="ITC Avant Garde" w:hAnsi="ITC Avant Garde"/>
                      <w:sz w:val="18"/>
                      <w:szCs w:val="18"/>
                    </w:rPr>
                    <w:t xml:space="preserve"> </w:t>
                  </w:r>
                  <w:r w:rsidR="00AB5462" w:rsidRPr="005B3401">
                    <w:rPr>
                      <w:rFonts w:ascii="ITC Avant Garde" w:hAnsi="ITC Avant Garde"/>
                      <w:sz w:val="18"/>
                      <w:szCs w:val="18"/>
                    </w:rPr>
                    <w:t xml:space="preserve">marcos jurídicos </w:t>
                  </w:r>
                  <w:r w:rsidR="004E2DC4" w:rsidRPr="005B3401">
                    <w:rPr>
                      <w:rFonts w:ascii="ITC Avant Garde" w:hAnsi="ITC Avant Garde"/>
                      <w:sz w:val="18"/>
                      <w:szCs w:val="18"/>
                    </w:rPr>
                    <w:t>innecesarios</w:t>
                  </w:r>
                  <w:r w:rsidR="00241296" w:rsidRPr="005B3401">
                    <w:rPr>
                      <w:rFonts w:ascii="ITC Avant Garde" w:hAnsi="ITC Avant Garde"/>
                      <w:sz w:val="18"/>
                      <w:szCs w:val="18"/>
                    </w:rPr>
                    <w:t xml:space="preserve">, con información </w:t>
                  </w:r>
                  <w:r w:rsidR="004E2DC4" w:rsidRPr="005B3401">
                    <w:rPr>
                      <w:rFonts w:ascii="ITC Avant Garde" w:hAnsi="ITC Avant Garde"/>
                      <w:sz w:val="18"/>
                      <w:szCs w:val="18"/>
                    </w:rPr>
                    <w:t xml:space="preserve">obsoleta </w:t>
                  </w:r>
                  <w:r w:rsidR="00AB5462" w:rsidRPr="005B3401">
                    <w:rPr>
                      <w:rFonts w:ascii="ITC Avant Garde" w:hAnsi="ITC Avant Garde"/>
                      <w:sz w:val="18"/>
                      <w:szCs w:val="18"/>
                    </w:rPr>
                    <w:t xml:space="preserve">muy posiblemente </w:t>
                  </w:r>
                  <w:r w:rsidR="004E2DC4" w:rsidRPr="005B3401">
                    <w:rPr>
                      <w:rFonts w:ascii="ITC Avant Garde" w:hAnsi="ITC Avant Garde"/>
                      <w:sz w:val="18"/>
                      <w:szCs w:val="18"/>
                    </w:rPr>
                    <w:t>desactualizada</w:t>
                  </w:r>
                  <w:r w:rsidR="00B957A5" w:rsidRPr="005B3401">
                    <w:rPr>
                      <w:rFonts w:ascii="ITC Avant Garde" w:hAnsi="ITC Avant Garde"/>
                      <w:sz w:val="18"/>
                      <w:szCs w:val="18"/>
                    </w:rPr>
                    <w:t xml:space="preserve"> a las necesidades sectoriales</w:t>
                  </w:r>
                  <w:r w:rsidR="00241296" w:rsidRPr="005B3401">
                    <w:rPr>
                      <w:rFonts w:ascii="ITC Avant Garde" w:hAnsi="ITC Avant Garde"/>
                      <w:sz w:val="18"/>
                      <w:szCs w:val="18"/>
                    </w:rPr>
                    <w:t>.</w:t>
                  </w:r>
                  <w:r w:rsidR="00AB5462">
                    <w:rPr>
                      <w:rFonts w:ascii="ITC Avant Garde" w:hAnsi="ITC Avant Garde"/>
                      <w:sz w:val="18"/>
                      <w:szCs w:val="18"/>
                    </w:rPr>
                    <w:t xml:space="preserve"> </w:t>
                  </w:r>
                </w:p>
                <w:p w14:paraId="3CBE9ABC" w14:textId="77777777" w:rsidR="00B957A5" w:rsidRPr="00241296" w:rsidRDefault="00B957A5" w:rsidP="00B957A5">
                  <w:pPr>
                    <w:jc w:val="both"/>
                    <w:rPr>
                      <w:rFonts w:ascii="ITC Avant Garde" w:hAnsi="ITC Avant Garde"/>
                      <w:sz w:val="18"/>
                      <w:szCs w:val="18"/>
                    </w:rPr>
                  </w:pPr>
                </w:p>
                <w:p w14:paraId="049F2289" w14:textId="66C01E0D" w:rsidR="00BE7D1C" w:rsidRDefault="00AB5462" w:rsidP="00AB5462">
                  <w:pPr>
                    <w:jc w:val="both"/>
                    <w:rPr>
                      <w:rFonts w:ascii="ITC Avant Garde" w:hAnsi="ITC Avant Garde"/>
                      <w:sz w:val="18"/>
                      <w:szCs w:val="18"/>
                    </w:rPr>
                  </w:pPr>
                  <w:r>
                    <w:rPr>
                      <w:rFonts w:ascii="ITC Avant Garde" w:hAnsi="ITC Avant Garde"/>
                      <w:sz w:val="18"/>
                      <w:szCs w:val="18"/>
                    </w:rPr>
                    <w:t xml:space="preserve">Lo anterior, provocaría carecer de </w:t>
                  </w:r>
                  <w:r w:rsidR="004E2DC4">
                    <w:rPr>
                      <w:rFonts w:ascii="ITC Avant Garde" w:hAnsi="ITC Avant Garde"/>
                      <w:sz w:val="18"/>
                      <w:szCs w:val="18"/>
                    </w:rPr>
                    <w:t>información precisa y necesaria para el óptimo funcionamiento de los mercados regulados y se podría</w:t>
                  </w:r>
                  <w:r w:rsidR="00B957A5">
                    <w:rPr>
                      <w:rFonts w:ascii="ITC Avant Garde" w:hAnsi="ITC Avant Garde"/>
                      <w:sz w:val="18"/>
                      <w:szCs w:val="18"/>
                    </w:rPr>
                    <w:t>n</w:t>
                  </w:r>
                  <w:r w:rsidR="004E2DC4">
                    <w:rPr>
                      <w:rFonts w:ascii="ITC Avant Garde" w:hAnsi="ITC Avant Garde"/>
                      <w:sz w:val="18"/>
                      <w:szCs w:val="18"/>
                    </w:rPr>
                    <w:t xml:space="preserve"> crear distorsiones a los sectores económicos productivos, a cargo del Instituto. </w:t>
                  </w:r>
                </w:p>
                <w:p w14:paraId="7FA5D603" w14:textId="77777777" w:rsidR="00AB5462" w:rsidRDefault="00AB5462" w:rsidP="00AB5462">
                  <w:pPr>
                    <w:jc w:val="both"/>
                    <w:rPr>
                      <w:rFonts w:ascii="ITC Avant Garde" w:hAnsi="ITC Avant Garde"/>
                      <w:sz w:val="18"/>
                      <w:szCs w:val="18"/>
                    </w:rPr>
                  </w:pPr>
                </w:p>
                <w:p w14:paraId="3A0F5AC2" w14:textId="44E2CB6C" w:rsidR="00AB5462" w:rsidRPr="00451B7D" w:rsidRDefault="00AB5462" w:rsidP="00B957A5">
                  <w:pPr>
                    <w:jc w:val="both"/>
                    <w:rPr>
                      <w:rFonts w:ascii="ITC Avant Garde" w:hAnsi="ITC Avant Garde"/>
                      <w:sz w:val="18"/>
                      <w:szCs w:val="18"/>
                    </w:rPr>
                  </w:pPr>
                  <w:r>
                    <w:rPr>
                      <w:rFonts w:ascii="ITC Avant Garde" w:hAnsi="ITC Avant Garde"/>
                      <w:sz w:val="18"/>
                      <w:szCs w:val="18"/>
                    </w:rPr>
                    <w:t xml:space="preserve">Finalmente, se </w:t>
                  </w:r>
                  <w:r w:rsidR="00B957A5">
                    <w:rPr>
                      <w:rFonts w:ascii="ITC Avant Garde" w:hAnsi="ITC Avant Garde"/>
                      <w:sz w:val="18"/>
                      <w:szCs w:val="18"/>
                    </w:rPr>
                    <w:t xml:space="preserve">podría no contar con </w:t>
                  </w:r>
                  <w:r>
                    <w:rPr>
                      <w:rFonts w:ascii="ITC Avant Garde" w:hAnsi="ITC Avant Garde"/>
                      <w:sz w:val="18"/>
                      <w:szCs w:val="18"/>
                    </w:rPr>
                    <w:t>mantener el stock regulatorio</w:t>
                  </w:r>
                  <w:r w:rsidR="00B957A5">
                    <w:rPr>
                      <w:rFonts w:ascii="ITC Avant Garde" w:hAnsi="ITC Avant Garde"/>
                      <w:sz w:val="18"/>
                      <w:szCs w:val="18"/>
                    </w:rPr>
                    <w:t xml:space="preserve"> alineado</w:t>
                  </w:r>
                  <w:r>
                    <w:rPr>
                      <w:rFonts w:ascii="ITC Avant Garde" w:hAnsi="ITC Avant Garde"/>
                      <w:sz w:val="18"/>
                      <w:szCs w:val="18"/>
                    </w:rPr>
                    <w:t xml:space="preserve"> a los </w:t>
                  </w:r>
                  <w:r w:rsidRPr="00EE3B75">
                    <w:rPr>
                      <w:rFonts w:ascii="ITC Avant Garde" w:hAnsi="ITC Avant Garde"/>
                      <w:sz w:val="18"/>
                      <w:szCs w:val="18"/>
                    </w:rPr>
                    <w:t xml:space="preserve">objetivos </w:t>
                  </w:r>
                  <w:r>
                    <w:rPr>
                      <w:rFonts w:ascii="ITC Avant Garde" w:hAnsi="ITC Avant Garde"/>
                      <w:sz w:val="18"/>
                      <w:szCs w:val="18"/>
                    </w:rPr>
                    <w:t xml:space="preserve">del Instituto, </w:t>
                  </w:r>
                  <w:r w:rsidR="00B957A5">
                    <w:rPr>
                      <w:rFonts w:ascii="ITC Avant Garde" w:hAnsi="ITC Avant Garde"/>
                      <w:sz w:val="18"/>
                      <w:szCs w:val="18"/>
                    </w:rPr>
                    <w:t xml:space="preserve">lo cual no podría </w:t>
                  </w:r>
                  <w:r w:rsidRPr="00EE3B75">
                    <w:rPr>
                      <w:rFonts w:ascii="ITC Avant Garde" w:hAnsi="ITC Avant Garde"/>
                      <w:sz w:val="18"/>
                      <w:szCs w:val="18"/>
                    </w:rPr>
                    <w:t xml:space="preserve">garantizar que las reglamentaciones </w:t>
                  </w:r>
                  <w:r w:rsidR="00B957A5">
                    <w:rPr>
                      <w:rFonts w:ascii="ITC Avant Garde" w:hAnsi="ITC Avant Garde"/>
                      <w:sz w:val="18"/>
                      <w:szCs w:val="18"/>
                    </w:rPr>
                    <w:t xml:space="preserve">emitidas </w:t>
                  </w:r>
                  <w:r w:rsidRPr="00EE3B75">
                    <w:rPr>
                      <w:rFonts w:ascii="ITC Avant Garde" w:hAnsi="ITC Avant Garde"/>
                      <w:sz w:val="18"/>
                      <w:szCs w:val="18"/>
                    </w:rPr>
                    <w:t>permanezcan actualizadas, justificadas en fun</w:t>
                  </w:r>
                  <w:r>
                    <w:rPr>
                      <w:rFonts w:ascii="ITC Avant Garde" w:hAnsi="ITC Avant Garde"/>
                      <w:sz w:val="18"/>
                      <w:szCs w:val="18"/>
                    </w:rPr>
                    <w:t xml:space="preserve">ción de los costos, rentables y </w:t>
                  </w:r>
                  <w:r w:rsidRPr="00EE3B75">
                    <w:rPr>
                      <w:rFonts w:ascii="ITC Avant Garde" w:hAnsi="ITC Avant Garde"/>
                      <w:sz w:val="18"/>
                      <w:szCs w:val="18"/>
                    </w:rPr>
                    <w:t>coherente</w:t>
                  </w:r>
                  <w:r>
                    <w:rPr>
                      <w:rFonts w:ascii="ITC Avant Garde" w:hAnsi="ITC Avant Garde"/>
                      <w:sz w:val="18"/>
                      <w:szCs w:val="18"/>
                    </w:rPr>
                    <w:t>s.</w:t>
                  </w:r>
                </w:p>
              </w:tc>
            </w:tr>
          </w:tbl>
          <w:p w14:paraId="3DD0A069" w14:textId="589CF89C" w:rsidR="007E7A27" w:rsidRPr="00451B7D" w:rsidRDefault="007E7A27" w:rsidP="00E51908">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E51908">
        <w:tc>
          <w:tcPr>
            <w:tcW w:w="8828" w:type="dxa"/>
          </w:tcPr>
          <w:p w14:paraId="34F02CB1" w14:textId="1DE44432" w:rsidR="00BE7D1C" w:rsidRDefault="00BE7D1C" w:rsidP="00E51908">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591905B5" w14:textId="241D1EFA" w:rsidR="004E2DC4" w:rsidRDefault="004E2DC4" w:rsidP="00E51908">
            <w:pPr>
              <w:jc w:val="both"/>
              <w:rPr>
                <w:rFonts w:ascii="ITC Avant Garde" w:hAnsi="ITC Avant Garde"/>
                <w:b/>
                <w:sz w:val="18"/>
                <w:szCs w:val="18"/>
              </w:rPr>
            </w:pPr>
          </w:p>
          <w:p w14:paraId="0C3A2641" w14:textId="469DCBE2" w:rsidR="004E2DC4" w:rsidRPr="004E2DC4" w:rsidRDefault="004E2DC4" w:rsidP="00E51908">
            <w:pPr>
              <w:jc w:val="both"/>
              <w:rPr>
                <w:rFonts w:ascii="ITC Avant Garde" w:hAnsi="ITC Avant Garde"/>
                <w:sz w:val="18"/>
                <w:szCs w:val="18"/>
              </w:rPr>
            </w:pPr>
            <w:r w:rsidRPr="004E2DC4">
              <w:rPr>
                <w:rFonts w:ascii="ITC Avant Garde" w:hAnsi="ITC Avant Garde"/>
                <w:sz w:val="18"/>
                <w:szCs w:val="18"/>
              </w:rPr>
              <w:t xml:space="preserve">La propuesta de regulación </w:t>
            </w:r>
            <w:r>
              <w:rPr>
                <w:rFonts w:ascii="ITC Avant Garde" w:hAnsi="ITC Avant Garde"/>
                <w:sz w:val="18"/>
                <w:szCs w:val="18"/>
              </w:rPr>
              <w:t>contribuirá a reducir el marco regulatorio obsoleto e ineficiente para la productividad de los sectores a cargo del Instituto, adelgazando el andamiaje jurídico que podría estar provocando distorsiones económicas en los sectores productivos.</w:t>
            </w:r>
          </w:p>
          <w:p w14:paraId="49B3A5D3" w14:textId="77777777" w:rsidR="004E2DC4" w:rsidRDefault="004E2DC4" w:rsidP="00E51908">
            <w:pPr>
              <w:jc w:val="both"/>
              <w:rPr>
                <w:rFonts w:ascii="ITC Avant Garde" w:hAnsi="ITC Avant Garde"/>
                <w:b/>
                <w:sz w:val="18"/>
                <w:szCs w:val="18"/>
              </w:rPr>
            </w:pPr>
          </w:p>
          <w:p w14:paraId="49FA9B5A" w14:textId="0FFD41B2" w:rsidR="004E2DC4" w:rsidRDefault="006D2BD3" w:rsidP="004E2DC4">
            <w:pPr>
              <w:jc w:val="both"/>
              <w:rPr>
                <w:rFonts w:ascii="ITC Avant Garde" w:hAnsi="ITC Avant Garde"/>
                <w:bCs/>
                <w:sz w:val="18"/>
                <w:szCs w:val="18"/>
                <w:lang w:val="es-ES"/>
              </w:rPr>
            </w:pPr>
            <w:r>
              <w:rPr>
                <w:rFonts w:ascii="ITC Avant Garde" w:hAnsi="ITC Avant Garde"/>
                <w:bCs/>
                <w:sz w:val="18"/>
                <w:szCs w:val="18"/>
                <w:lang w:val="es-ES"/>
              </w:rPr>
              <w:t>Principalmente, el p</w:t>
            </w:r>
            <w:r w:rsidR="004E2DC4">
              <w:rPr>
                <w:rFonts w:ascii="ITC Avant Garde" w:hAnsi="ITC Avant Garde"/>
                <w:bCs/>
                <w:sz w:val="18"/>
                <w:szCs w:val="18"/>
                <w:lang w:val="es-ES"/>
              </w:rPr>
              <w:t xml:space="preserve">royecto contiene: </w:t>
            </w:r>
          </w:p>
          <w:p w14:paraId="4140999F" w14:textId="77777777" w:rsidR="005B3401" w:rsidRDefault="005B3401" w:rsidP="004E2DC4">
            <w:pPr>
              <w:jc w:val="both"/>
              <w:rPr>
                <w:rFonts w:ascii="ITC Avant Garde" w:hAnsi="ITC Avant Garde"/>
                <w:bCs/>
                <w:sz w:val="18"/>
                <w:szCs w:val="18"/>
                <w:lang w:val="es-ES"/>
              </w:rPr>
            </w:pPr>
          </w:p>
          <w:p w14:paraId="32A28267" w14:textId="1269734F" w:rsidR="00D261A8" w:rsidRDefault="00D261A8"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La d</w:t>
            </w:r>
            <w:r w:rsidR="004E2DC4" w:rsidRPr="00D261A8">
              <w:rPr>
                <w:rFonts w:ascii="ITC Avant Garde" w:hAnsi="ITC Avant Garde"/>
                <w:bCs/>
                <w:sz w:val="18"/>
                <w:szCs w:val="18"/>
                <w:lang w:val="es-ES"/>
              </w:rPr>
              <w:t>eroga</w:t>
            </w:r>
            <w:r w:rsidR="00D65942">
              <w:rPr>
                <w:rFonts w:ascii="ITC Avant Garde" w:hAnsi="ITC Avant Garde"/>
                <w:bCs/>
                <w:sz w:val="18"/>
                <w:szCs w:val="18"/>
                <w:lang w:val="es-ES"/>
              </w:rPr>
              <w:t>ción</w:t>
            </w:r>
            <w:r>
              <w:rPr>
                <w:rFonts w:ascii="ITC Avant Garde" w:hAnsi="ITC Avant Garde"/>
                <w:bCs/>
                <w:sz w:val="18"/>
                <w:szCs w:val="18"/>
                <w:lang w:val="es-ES"/>
              </w:rPr>
              <w:t xml:space="preserve"> de </w:t>
            </w:r>
            <w:r w:rsidR="004E2DC4" w:rsidRPr="00D261A8">
              <w:rPr>
                <w:rFonts w:ascii="ITC Avant Garde" w:hAnsi="ITC Avant Garde"/>
                <w:bCs/>
                <w:sz w:val="18"/>
                <w:szCs w:val="18"/>
                <w:lang w:val="es-ES"/>
              </w:rPr>
              <w:t>las</w:t>
            </w:r>
            <w:r w:rsidR="00D65942">
              <w:rPr>
                <w:rFonts w:ascii="ITC Avant Garde" w:hAnsi="ITC Avant Garde"/>
                <w:bCs/>
                <w:sz w:val="18"/>
                <w:szCs w:val="18"/>
                <w:lang w:val="es-ES"/>
              </w:rPr>
              <w:t xml:space="preserve"> Reglas 3, 5, 38 y 39, de las</w:t>
            </w:r>
            <w:r w:rsidR="004E2DC4" w:rsidRPr="00D261A8">
              <w:rPr>
                <w:rFonts w:ascii="ITC Avant Garde" w:hAnsi="ITC Avant Garde"/>
                <w:bCs/>
                <w:sz w:val="18"/>
                <w:szCs w:val="18"/>
                <w:lang w:val="es-ES"/>
              </w:rPr>
              <w:t xml:space="preserve"> “Reglas del Servicio de Larga Distancia”, publicadas en el Diario Oficial de la Federación (en lo sucesivo, el “DOF”) el 21 de junio de 1996; </w:t>
            </w:r>
          </w:p>
          <w:p w14:paraId="6285362E" w14:textId="77777777" w:rsidR="005B3401" w:rsidRDefault="005B3401" w:rsidP="005B3401">
            <w:pPr>
              <w:pStyle w:val="Prrafodelista"/>
              <w:jc w:val="both"/>
              <w:rPr>
                <w:rFonts w:ascii="ITC Avant Garde" w:hAnsi="ITC Avant Garde"/>
                <w:bCs/>
                <w:sz w:val="18"/>
                <w:szCs w:val="18"/>
                <w:lang w:val="es-ES"/>
              </w:rPr>
            </w:pPr>
          </w:p>
          <w:p w14:paraId="40A9FE0B" w14:textId="5D3442E5" w:rsidR="005B3401" w:rsidRPr="007E7A27" w:rsidRDefault="00D65942" w:rsidP="00D65942">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lastRenderedPageBreak/>
              <w:t>Se modifica el primer párrafo de la Regla 9 de las</w:t>
            </w:r>
            <w:r w:rsidR="004E2DC4" w:rsidRPr="00D261A8">
              <w:rPr>
                <w:rFonts w:ascii="ITC Avant Garde" w:hAnsi="ITC Avant Garde"/>
                <w:bCs/>
                <w:sz w:val="18"/>
                <w:szCs w:val="18"/>
                <w:lang w:val="es-ES"/>
              </w:rPr>
              <w:t xml:space="preserve"> “Reglas de Telecomunicaciones Internacionales”, publicadas en el DOF el 11 de agosto de 2004; </w:t>
            </w:r>
            <w:r>
              <w:rPr>
                <w:rFonts w:ascii="ITC Avant Garde" w:hAnsi="ITC Avant Garde"/>
                <w:bCs/>
                <w:sz w:val="18"/>
                <w:szCs w:val="18"/>
                <w:lang w:val="es-ES"/>
              </w:rPr>
              <w:t>Así mismo</w:t>
            </w:r>
            <w:r w:rsidRPr="00D65942">
              <w:rPr>
                <w:rFonts w:ascii="ITC Avant Garde" w:hAnsi="ITC Avant Garde"/>
                <w:bCs/>
                <w:sz w:val="18"/>
                <w:szCs w:val="18"/>
                <w:lang w:val="es-ES"/>
              </w:rPr>
              <w:t xml:space="preserve"> se deroga</w:t>
            </w:r>
            <w:r>
              <w:rPr>
                <w:rFonts w:ascii="ITC Avant Garde" w:hAnsi="ITC Avant Garde"/>
                <w:bCs/>
                <w:sz w:val="18"/>
                <w:szCs w:val="18"/>
                <w:lang w:val="es-ES"/>
              </w:rPr>
              <w:t>n el segundo párrafo de la R</w:t>
            </w:r>
            <w:r w:rsidRPr="00D65942">
              <w:rPr>
                <w:rFonts w:ascii="ITC Avant Garde" w:hAnsi="ITC Avant Garde"/>
                <w:bCs/>
                <w:sz w:val="18"/>
                <w:szCs w:val="18"/>
                <w:lang w:val="es-ES"/>
              </w:rPr>
              <w:t>egla</w:t>
            </w:r>
            <w:r>
              <w:rPr>
                <w:rFonts w:ascii="ITC Avant Garde" w:hAnsi="ITC Avant Garde"/>
                <w:bCs/>
                <w:sz w:val="18"/>
                <w:szCs w:val="18"/>
                <w:lang w:val="es-ES"/>
              </w:rPr>
              <w:t xml:space="preserve"> 9, la Regla 23 y el Anexo 1 del mismo ordenamiento. </w:t>
            </w:r>
          </w:p>
          <w:p w14:paraId="3F00BF86" w14:textId="77777777" w:rsidR="005B3401" w:rsidRDefault="005B3401" w:rsidP="005B3401">
            <w:pPr>
              <w:pStyle w:val="Prrafodelista"/>
              <w:jc w:val="both"/>
              <w:rPr>
                <w:rFonts w:ascii="ITC Avant Garde" w:hAnsi="ITC Avant Garde"/>
                <w:bCs/>
                <w:sz w:val="18"/>
                <w:szCs w:val="18"/>
                <w:lang w:val="es-ES"/>
              </w:rPr>
            </w:pPr>
          </w:p>
          <w:p w14:paraId="6B0A0A84" w14:textId="5AF0C45B" w:rsidR="00D261A8" w:rsidRDefault="00D65942"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Se derogan el Lineamiento Décimo Sexto y el Anexo 1 de los</w:t>
            </w:r>
            <w:r w:rsidR="004E2DC4" w:rsidRPr="00D261A8">
              <w:rPr>
                <w:rFonts w:ascii="ITC Avant Garde" w:hAnsi="ITC Avant Garde"/>
                <w:bCs/>
                <w:sz w:val="18"/>
                <w:szCs w:val="18"/>
                <w:lang w:val="es-ES"/>
              </w:rPr>
              <w:t xml:space="preserve"> “Lineamientos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 publicados en el DOF el 24 de julio de 2017; </w:t>
            </w:r>
          </w:p>
          <w:p w14:paraId="52F0CE6F" w14:textId="77777777" w:rsidR="005B3401" w:rsidRDefault="005B3401" w:rsidP="005B3401">
            <w:pPr>
              <w:pStyle w:val="Prrafodelista"/>
              <w:jc w:val="both"/>
              <w:rPr>
                <w:rFonts w:ascii="ITC Avant Garde" w:hAnsi="ITC Avant Garde"/>
                <w:bCs/>
                <w:sz w:val="18"/>
                <w:szCs w:val="18"/>
                <w:lang w:val="es-ES"/>
              </w:rPr>
            </w:pPr>
          </w:p>
          <w:p w14:paraId="680143A8" w14:textId="4CDC8C52" w:rsidR="00D261A8" w:rsidRDefault="009A7F8E"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Se derogan las Reglas Quinta y Cuadragésima Segunda de l</w:t>
            </w:r>
            <w:r w:rsidR="004E2DC4" w:rsidRPr="00D261A8">
              <w:rPr>
                <w:rFonts w:ascii="ITC Avant Garde" w:hAnsi="ITC Avant Garde"/>
                <w:bCs/>
                <w:sz w:val="18"/>
                <w:szCs w:val="18"/>
                <w:lang w:val="es-ES"/>
              </w:rPr>
              <w:t xml:space="preserve">as “Reglas del Servicio Local”, publicadas en el DOF el 23 de octubre de 1997; </w:t>
            </w:r>
          </w:p>
          <w:p w14:paraId="04DA4839" w14:textId="77777777" w:rsidR="005B3401" w:rsidRDefault="005B3401" w:rsidP="005B3401">
            <w:pPr>
              <w:pStyle w:val="Prrafodelista"/>
              <w:jc w:val="both"/>
              <w:rPr>
                <w:rFonts w:ascii="ITC Avant Garde" w:hAnsi="ITC Avant Garde"/>
                <w:bCs/>
                <w:sz w:val="18"/>
                <w:szCs w:val="18"/>
                <w:lang w:val="es-ES"/>
              </w:rPr>
            </w:pPr>
          </w:p>
          <w:p w14:paraId="38C67469" w14:textId="6B5540D7" w:rsidR="00D261A8" w:rsidRDefault="009A7F8E"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Se extingue</w:t>
            </w:r>
            <w:r w:rsidR="00D261A8">
              <w:rPr>
                <w:rFonts w:ascii="ITC Avant Garde" w:hAnsi="ITC Avant Garde"/>
                <w:bCs/>
                <w:sz w:val="18"/>
                <w:szCs w:val="18"/>
                <w:lang w:val="es-ES"/>
              </w:rPr>
              <w:t xml:space="preserve"> </w:t>
            </w:r>
            <w:r>
              <w:rPr>
                <w:rFonts w:ascii="ITC Avant Garde" w:hAnsi="ITC Avant Garde"/>
                <w:bCs/>
                <w:sz w:val="18"/>
                <w:szCs w:val="18"/>
                <w:lang w:val="es-ES"/>
              </w:rPr>
              <w:t>la condición establecida</w:t>
            </w:r>
            <w:r w:rsidR="004E2DC4" w:rsidRPr="00D261A8">
              <w:rPr>
                <w:rFonts w:ascii="ITC Avant Garde" w:hAnsi="ITC Avant Garde"/>
                <w:bCs/>
                <w:sz w:val="18"/>
                <w:szCs w:val="18"/>
                <w:lang w:val="es-ES"/>
              </w:rPr>
              <w:t xml:space="preserve"> en las Constancias de Registro de Servicio de Valor Agregado para prestar servicios de provisión de Acceso a Internet, emitidas al amparo de la abrogada Ley Federal de Telecomunicaciones, re</w:t>
            </w:r>
            <w:r>
              <w:rPr>
                <w:rFonts w:ascii="ITC Avant Garde" w:hAnsi="ITC Avant Garde"/>
                <w:bCs/>
                <w:sz w:val="18"/>
                <w:szCs w:val="18"/>
                <w:lang w:val="es-ES"/>
              </w:rPr>
              <w:t xml:space="preserve">lacionada a la obligación de proporcionar </w:t>
            </w:r>
            <w:r w:rsidRPr="009A7F8E">
              <w:rPr>
                <w:rFonts w:ascii="ITC Avant Garde" w:hAnsi="ITC Avant Garde"/>
                <w:bCs/>
                <w:sz w:val="18"/>
                <w:szCs w:val="18"/>
                <w:lang w:val="es-ES"/>
              </w:rPr>
              <w:t xml:space="preserve">aquella información estadística que sea requerida para conocer la operación y explotación de los servicios de telecomunicaciones, en el entendido de que le serán aplicables las demás disposiciones que, en su caso, sean aplicables a dicho servicio.  </w:t>
            </w:r>
          </w:p>
          <w:p w14:paraId="53D76385" w14:textId="77777777" w:rsidR="005B3401" w:rsidRDefault="005B3401" w:rsidP="005B3401">
            <w:pPr>
              <w:pStyle w:val="Prrafodelista"/>
              <w:jc w:val="both"/>
              <w:rPr>
                <w:rFonts w:ascii="ITC Avant Garde" w:hAnsi="ITC Avant Garde"/>
                <w:bCs/>
                <w:sz w:val="18"/>
                <w:szCs w:val="18"/>
                <w:lang w:val="es-ES"/>
              </w:rPr>
            </w:pPr>
          </w:p>
          <w:p w14:paraId="35384F4E" w14:textId="77777777" w:rsidR="009A7F8E" w:rsidRDefault="009A7F8E" w:rsidP="00E5190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Se abrogan</w:t>
            </w:r>
            <w:r w:rsidR="00D261A8">
              <w:rPr>
                <w:rFonts w:ascii="ITC Avant Garde" w:hAnsi="ITC Avant Garde"/>
                <w:bCs/>
                <w:sz w:val="18"/>
                <w:szCs w:val="18"/>
                <w:lang w:val="es-ES"/>
              </w:rPr>
              <w:t xml:space="preserve"> </w:t>
            </w:r>
            <w:r w:rsidR="004E2DC4" w:rsidRPr="00D261A8">
              <w:rPr>
                <w:rFonts w:ascii="ITC Avant Garde" w:hAnsi="ITC Avant Garde"/>
                <w:bCs/>
                <w:sz w:val="18"/>
                <w:szCs w:val="18"/>
                <w:lang w:val="es-ES"/>
              </w:rPr>
              <w:t xml:space="preserve">las “Disposiciones Generales relativas a la información estadística de tráfico que deberán entregar los concesionarios del servicio público de telefonía básica de larga distancia", emitidas por el Pleno de la extinta Comisión Federal de Telecomunicaciones mediante la resolución número P/090797/0128, del 9 de junio de 1997, y </w:t>
            </w:r>
          </w:p>
          <w:p w14:paraId="63E122A4" w14:textId="77777777" w:rsidR="009A7F8E" w:rsidRPr="009A7F8E" w:rsidRDefault="009A7F8E" w:rsidP="009A7F8E">
            <w:pPr>
              <w:pStyle w:val="Prrafodelista"/>
              <w:rPr>
                <w:rFonts w:ascii="ITC Avant Garde" w:hAnsi="ITC Avant Garde"/>
                <w:bCs/>
                <w:sz w:val="18"/>
                <w:szCs w:val="18"/>
                <w:lang w:val="es-ES"/>
              </w:rPr>
            </w:pPr>
          </w:p>
          <w:p w14:paraId="7CEF5AB6" w14:textId="5CD628F4" w:rsidR="00BE7D1C" w:rsidRDefault="009A7F8E" w:rsidP="00E5190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Se quedarán sin efecto</w:t>
            </w:r>
            <w:r w:rsidRPr="009A7F8E">
              <w:rPr>
                <w:rFonts w:ascii="ITC Avant Garde" w:hAnsi="ITC Avant Garde"/>
                <w:b/>
                <w:bCs/>
                <w:sz w:val="18"/>
                <w:szCs w:val="18"/>
                <w:lang w:val="es-ES"/>
              </w:rPr>
              <w:t xml:space="preserve"> </w:t>
            </w:r>
            <w:r w:rsidRPr="009A7F8E">
              <w:rPr>
                <w:rFonts w:ascii="ITC Avant Garde" w:hAnsi="ITC Avant Garde"/>
                <w:bCs/>
                <w:sz w:val="18"/>
                <w:szCs w:val="18"/>
                <w:lang w:val="es-ES"/>
              </w:rPr>
              <w:t>los</w:t>
            </w:r>
            <w:r w:rsidRPr="009A7F8E">
              <w:rPr>
                <w:rFonts w:ascii="ITC Avant Garde" w:hAnsi="ITC Avant Garde"/>
                <w:b/>
                <w:bCs/>
                <w:sz w:val="18"/>
                <w:szCs w:val="18"/>
                <w:lang w:val="es-ES"/>
              </w:rPr>
              <w:t xml:space="preserve"> </w:t>
            </w:r>
            <w:r w:rsidRPr="009A7F8E">
              <w:rPr>
                <w:rFonts w:ascii="ITC Avant Garde" w:hAnsi="ITC Avant Garde"/>
                <w:bCs/>
                <w:sz w:val="18"/>
                <w:szCs w:val="18"/>
                <w:lang w:val="es-ES"/>
              </w:rPr>
              <w:t>formatos contenidos en circulares, oficios, criterios, instructivos y directivas que como medios de presentación para la entrega de diversa información se exigía a los concesionarios, autorizados, permisionarios y prestadores de servicios de valor agregado.</w:t>
            </w:r>
          </w:p>
          <w:p w14:paraId="28EDC9AB" w14:textId="79937DE6" w:rsidR="009A7F8E" w:rsidRPr="009A7F8E" w:rsidRDefault="009A7F8E" w:rsidP="009A7F8E">
            <w:pPr>
              <w:jc w:val="both"/>
              <w:rPr>
                <w:rFonts w:ascii="ITC Avant Garde" w:hAnsi="ITC Avant Garde"/>
                <w:bCs/>
                <w:sz w:val="18"/>
                <w:szCs w:val="18"/>
                <w:lang w:val="es-ES"/>
              </w:rPr>
            </w:pPr>
          </w:p>
          <w:p w14:paraId="05780536" w14:textId="77777777" w:rsidR="00BE7D1C" w:rsidRPr="00451B7D" w:rsidRDefault="00BE7D1C" w:rsidP="009A7F8E">
            <w:pPr>
              <w:tabs>
                <w:tab w:val="num" w:pos="720"/>
              </w:tabs>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39CAAD6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6"/>
            </w:r>
            <w:r w:rsidRPr="007C425A">
              <w:rPr>
                <w:rFonts w:ascii="ITC Avant Garde" w:hAnsi="ITC Avant Garde"/>
                <w:sz w:val="18"/>
                <w:szCs w:val="18"/>
              </w:rPr>
              <w:t>.</w:t>
            </w:r>
          </w:p>
        </w:tc>
        <w:tc>
          <w:tcPr>
            <w:tcW w:w="1462" w:type="dxa"/>
          </w:tcPr>
          <w:p w14:paraId="2F1452FB" w14:textId="0BFD634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645A2ABD"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56C9A8DD"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D261A8">
              <w:rPr>
                <w:rFonts w:ascii="ITC Avant Garde" w:hAnsi="ITC Avant Garde"/>
                <w:sz w:val="18"/>
                <w:szCs w:val="18"/>
              </w:rPr>
              <w:t>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D261A8" w14:paraId="20AA8AE7" w14:textId="77777777" w:rsidTr="006D2BD3">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37E2801C" w14:textId="77777777" w:rsidR="00D261A8" w:rsidRPr="00D261A8" w:rsidRDefault="00D261A8" w:rsidP="00D261A8">
            <w:pPr>
              <w:pStyle w:val="Prrafodelista"/>
              <w:numPr>
                <w:ilvl w:val="0"/>
                <w:numId w:val="3"/>
              </w:numPr>
              <w:rPr>
                <w:rFonts w:ascii="ITC Avant Garde" w:hAnsi="ITC Avant Garde"/>
                <w:sz w:val="18"/>
                <w:szCs w:val="18"/>
                <w:lang w:val="en-US"/>
              </w:rPr>
            </w:pPr>
            <w:r w:rsidRPr="00D261A8">
              <w:rPr>
                <w:rFonts w:ascii="ITC Avant Garde" w:hAnsi="ITC Avant Garde"/>
                <w:sz w:val="18"/>
                <w:szCs w:val="18"/>
                <w:lang w:val="en-US"/>
              </w:rPr>
              <w:t>OECD (2015). OECD Regulatory Policy Outlook 2015, OECD Publishing, Paris.</w:t>
            </w:r>
          </w:p>
          <w:p w14:paraId="636C7FB1" w14:textId="1E8EBB73" w:rsidR="00870931"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 xml:space="preserve">Comité de Política Regulatoria de la OCDE. (2012). “Recomendación del Consejo sobre Política y Gobernanza Regulatoria”. OCDE. </w:t>
            </w:r>
            <w:r w:rsidR="00AB5462">
              <w:rPr>
                <w:rFonts w:ascii="ITC Avant Garde" w:hAnsi="ITC Avant Garde"/>
                <w:sz w:val="18"/>
                <w:szCs w:val="18"/>
              </w:rPr>
              <w:t xml:space="preserve">Consultado </w:t>
            </w:r>
            <w:r w:rsidRPr="00D261A8">
              <w:rPr>
                <w:rFonts w:ascii="ITC Avant Garde" w:hAnsi="ITC Avant Garde"/>
                <w:sz w:val="18"/>
                <w:szCs w:val="18"/>
              </w:rPr>
              <w:t xml:space="preserve">el </w:t>
            </w:r>
            <w:r w:rsidR="00AB5462">
              <w:rPr>
                <w:rFonts w:ascii="ITC Avant Garde" w:hAnsi="ITC Avant Garde"/>
                <w:sz w:val="18"/>
                <w:szCs w:val="18"/>
              </w:rPr>
              <w:t xml:space="preserve">12 </w:t>
            </w:r>
            <w:r w:rsidRPr="00D261A8">
              <w:rPr>
                <w:rFonts w:ascii="ITC Avant Garde" w:hAnsi="ITC Avant Garde"/>
                <w:sz w:val="18"/>
                <w:szCs w:val="18"/>
              </w:rPr>
              <w:t xml:space="preserve">de </w:t>
            </w:r>
            <w:r w:rsidR="00AB5462">
              <w:rPr>
                <w:rFonts w:ascii="ITC Avant Garde" w:hAnsi="ITC Avant Garde"/>
                <w:sz w:val="18"/>
                <w:szCs w:val="18"/>
              </w:rPr>
              <w:t xml:space="preserve">agosto </w:t>
            </w:r>
            <w:r w:rsidRPr="00D261A8">
              <w:rPr>
                <w:rFonts w:ascii="ITC Avant Garde" w:hAnsi="ITC Avant Garde"/>
                <w:sz w:val="18"/>
                <w:szCs w:val="18"/>
              </w:rPr>
              <w:t xml:space="preserve">de 2019, de: </w:t>
            </w:r>
            <w:hyperlink r:id="rId12" w:history="1">
              <w:r w:rsidRPr="00982B64">
                <w:rPr>
                  <w:rStyle w:val="Hipervnculo"/>
                  <w:rFonts w:ascii="ITC Avant Garde" w:hAnsi="ITC Avant Garde"/>
                  <w:sz w:val="18"/>
                  <w:szCs w:val="18"/>
                </w:rPr>
                <w:t>https://www.oecd.org/gov/regulatorypolicy/Recommendation%20with%20cover%20SP.pdf</w:t>
              </w:r>
            </w:hyperlink>
          </w:p>
          <w:p w14:paraId="3100A788" w14:textId="36051EBA" w:rsidR="00D261A8" w:rsidRPr="00D261A8"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 xml:space="preserve">Reglas </w:t>
            </w:r>
            <w:r>
              <w:rPr>
                <w:rFonts w:ascii="ITC Avant Garde" w:hAnsi="ITC Avant Garde"/>
                <w:sz w:val="18"/>
                <w:szCs w:val="18"/>
              </w:rPr>
              <w:t>del Servicio de Larga Distancia</w:t>
            </w:r>
            <w:r w:rsidRPr="00D261A8">
              <w:rPr>
                <w:rFonts w:ascii="ITC Avant Garde" w:hAnsi="ITC Avant Garde"/>
                <w:sz w:val="18"/>
                <w:szCs w:val="18"/>
              </w:rPr>
              <w:t>, publicadas en el Diario Oficial de la Federación (en lo sucesivo, el “DOF”) e</w:t>
            </w:r>
            <w:r>
              <w:rPr>
                <w:rFonts w:ascii="ITC Avant Garde" w:hAnsi="ITC Avant Garde"/>
                <w:sz w:val="18"/>
                <w:szCs w:val="18"/>
              </w:rPr>
              <w:t>l 21 de junio de 1996.</w:t>
            </w:r>
            <w:r w:rsidRPr="00D261A8">
              <w:rPr>
                <w:rFonts w:ascii="ITC Avant Garde" w:hAnsi="ITC Avant Garde"/>
                <w:sz w:val="18"/>
                <w:szCs w:val="18"/>
              </w:rPr>
              <w:t xml:space="preserve"> </w:t>
            </w:r>
          </w:p>
          <w:p w14:paraId="0127CD73" w14:textId="2236952F" w:rsidR="00D261A8" w:rsidRPr="00D261A8"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Reglas de Tel</w:t>
            </w:r>
            <w:r>
              <w:rPr>
                <w:rFonts w:ascii="ITC Avant Garde" w:hAnsi="ITC Avant Garde"/>
                <w:sz w:val="18"/>
                <w:szCs w:val="18"/>
              </w:rPr>
              <w:t>ecomunicaciones Internacionales</w:t>
            </w:r>
            <w:r w:rsidRPr="00D261A8">
              <w:rPr>
                <w:rFonts w:ascii="ITC Avant Garde" w:hAnsi="ITC Avant Garde"/>
                <w:sz w:val="18"/>
                <w:szCs w:val="18"/>
              </w:rPr>
              <w:t xml:space="preserve">, publicadas en </w:t>
            </w:r>
            <w:r>
              <w:rPr>
                <w:rFonts w:ascii="ITC Avant Garde" w:hAnsi="ITC Avant Garde"/>
                <w:sz w:val="18"/>
                <w:szCs w:val="18"/>
              </w:rPr>
              <w:t>el DOF el 11 de agosto de 2004.</w:t>
            </w:r>
          </w:p>
          <w:p w14:paraId="6F015B5D" w14:textId="6806283F" w:rsidR="00D261A8" w:rsidRPr="00D261A8"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w:t>
            </w:r>
            <w:r>
              <w:rPr>
                <w:rFonts w:ascii="ITC Avant Garde" w:hAnsi="ITC Avant Garde"/>
                <w:sz w:val="18"/>
                <w:szCs w:val="18"/>
              </w:rPr>
              <w:t xml:space="preserve"> eficiente y menos costosa</w:t>
            </w:r>
            <w:r w:rsidRPr="00D261A8">
              <w:rPr>
                <w:rFonts w:ascii="ITC Avant Garde" w:hAnsi="ITC Avant Garde"/>
                <w:sz w:val="18"/>
                <w:szCs w:val="18"/>
              </w:rPr>
              <w:t>, publicados en el DOF el 24 de julio de 2017</w:t>
            </w:r>
            <w:r>
              <w:rPr>
                <w:rFonts w:ascii="ITC Avant Garde" w:hAnsi="ITC Avant Garde"/>
                <w:sz w:val="18"/>
                <w:szCs w:val="18"/>
              </w:rPr>
              <w:t xml:space="preserve">. </w:t>
            </w:r>
          </w:p>
          <w:p w14:paraId="221AED88" w14:textId="711B2A13" w:rsidR="00D261A8" w:rsidRPr="00D261A8" w:rsidRDefault="00D261A8" w:rsidP="00D261A8">
            <w:pPr>
              <w:pStyle w:val="Prrafodelista"/>
              <w:numPr>
                <w:ilvl w:val="0"/>
                <w:numId w:val="3"/>
              </w:numPr>
              <w:jc w:val="both"/>
              <w:rPr>
                <w:rFonts w:ascii="ITC Avant Garde" w:hAnsi="ITC Avant Garde"/>
                <w:sz w:val="18"/>
                <w:szCs w:val="18"/>
              </w:rPr>
            </w:pPr>
            <w:r>
              <w:rPr>
                <w:rFonts w:ascii="ITC Avant Garde" w:hAnsi="ITC Avant Garde"/>
                <w:sz w:val="18"/>
                <w:szCs w:val="18"/>
              </w:rPr>
              <w:t>Reglas del Servicio Local</w:t>
            </w:r>
            <w:r w:rsidRPr="00D261A8">
              <w:rPr>
                <w:rFonts w:ascii="ITC Avant Garde" w:hAnsi="ITC Avant Garde"/>
                <w:sz w:val="18"/>
                <w:szCs w:val="18"/>
              </w:rPr>
              <w:t>, publicadas en el DOF el 23 de octubre de 1997</w:t>
            </w:r>
            <w:r>
              <w:rPr>
                <w:rFonts w:ascii="ITC Avant Garde" w:hAnsi="ITC Avant Garde"/>
                <w:sz w:val="18"/>
                <w:szCs w:val="18"/>
              </w:rPr>
              <w:t>.</w:t>
            </w:r>
            <w:r w:rsidRPr="00D261A8">
              <w:rPr>
                <w:rFonts w:ascii="ITC Avant Garde" w:hAnsi="ITC Avant Garde"/>
                <w:sz w:val="18"/>
                <w:szCs w:val="18"/>
              </w:rPr>
              <w:t xml:space="preserve"> </w:t>
            </w:r>
          </w:p>
          <w:p w14:paraId="7E174B40" w14:textId="693FD6FC" w:rsidR="00D261A8" w:rsidRPr="00D261A8"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Ley Federal de Telecomunicaciones</w:t>
            </w:r>
            <w:r>
              <w:rPr>
                <w:rFonts w:ascii="ITC Avant Garde" w:hAnsi="ITC Avant Garde"/>
                <w:sz w:val="18"/>
                <w:szCs w:val="18"/>
              </w:rPr>
              <w:t>.</w:t>
            </w:r>
            <w:r w:rsidRPr="00D261A8">
              <w:rPr>
                <w:rFonts w:ascii="ITC Avant Garde" w:hAnsi="ITC Avant Garde"/>
                <w:sz w:val="18"/>
                <w:szCs w:val="18"/>
              </w:rPr>
              <w:t xml:space="preserve"> </w:t>
            </w:r>
          </w:p>
          <w:p w14:paraId="5EAED613" w14:textId="64F761E6" w:rsidR="00D261A8" w:rsidRPr="00D261A8" w:rsidRDefault="00D261A8" w:rsidP="00D261A8">
            <w:pPr>
              <w:pStyle w:val="Prrafodelista"/>
              <w:numPr>
                <w:ilvl w:val="0"/>
                <w:numId w:val="3"/>
              </w:numPr>
              <w:jc w:val="both"/>
              <w:rPr>
                <w:rFonts w:ascii="ITC Avant Garde" w:hAnsi="ITC Avant Garde"/>
                <w:sz w:val="18"/>
                <w:szCs w:val="18"/>
              </w:rPr>
            </w:pPr>
            <w:r w:rsidRPr="00D261A8">
              <w:rPr>
                <w:rFonts w:ascii="ITC Avant Garde" w:hAnsi="ITC Avant Garde"/>
                <w:sz w:val="18"/>
                <w:szCs w:val="18"/>
              </w:rPr>
              <w:t>Disposiciones Generales relativas a la información estadística de tráfico que deberán entregar los concesionarios del servicio público de tele</w:t>
            </w:r>
            <w:r>
              <w:rPr>
                <w:rFonts w:ascii="ITC Avant Garde" w:hAnsi="ITC Avant Garde"/>
                <w:sz w:val="18"/>
                <w:szCs w:val="18"/>
              </w:rPr>
              <w:t>fonía básica de larga distancia</w:t>
            </w:r>
            <w:r w:rsidRPr="00D261A8">
              <w:rPr>
                <w:rFonts w:ascii="ITC Avant Garde" w:hAnsi="ITC Avant Garde"/>
                <w:sz w:val="18"/>
                <w:szCs w:val="18"/>
              </w:rPr>
              <w:t>, emitidas por el Pleno de la extinta Comisión Federal de Telecomunicaciones mediante la resolución número P/090797/0128, del 9 de ju</w:t>
            </w:r>
            <w:r>
              <w:rPr>
                <w:rFonts w:ascii="ITC Avant Garde" w:hAnsi="ITC Avant Garde"/>
                <w:sz w:val="18"/>
                <w:szCs w:val="18"/>
              </w:rPr>
              <w:t>nio de 1997.</w:t>
            </w:r>
          </w:p>
          <w:p w14:paraId="7CDC0B4D" w14:textId="57689D6F" w:rsidR="00D261A8" w:rsidRPr="00D261A8" w:rsidRDefault="00D261A8" w:rsidP="00D261A8">
            <w:pPr>
              <w:jc w:val="both"/>
              <w:rPr>
                <w:rFonts w:ascii="ITC Avant Garde" w:hAnsi="ITC Avant Garde"/>
                <w:sz w:val="18"/>
                <w:szCs w:val="18"/>
              </w:rPr>
            </w:pPr>
          </w:p>
        </w:tc>
      </w:tr>
    </w:tbl>
    <w:p w14:paraId="499F7232" w14:textId="77777777" w:rsidR="0086684A" w:rsidRPr="00D261A8" w:rsidRDefault="0086684A" w:rsidP="0086684A">
      <w:pPr>
        <w:jc w:val="both"/>
        <w:rPr>
          <w:rFonts w:ascii="ITC Avant Garde" w:hAnsi="ITC Avant Garde"/>
          <w:sz w:val="18"/>
          <w:szCs w:val="18"/>
        </w:rPr>
      </w:pPr>
    </w:p>
    <w:sectPr w:rsidR="0086684A" w:rsidRPr="00D261A8">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47C8D" w14:textId="77777777" w:rsidR="006C370F" w:rsidRDefault="006C370F" w:rsidP="00501ADF">
      <w:pPr>
        <w:spacing w:after="0" w:line="240" w:lineRule="auto"/>
      </w:pPr>
      <w:r>
        <w:separator/>
      </w:r>
    </w:p>
  </w:endnote>
  <w:endnote w:type="continuationSeparator" w:id="0">
    <w:p w14:paraId="1F3454C8" w14:textId="77777777" w:rsidR="006C370F" w:rsidRDefault="006C370F"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283655095"/>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4046F613" w14:textId="607B7BDD" w:rsidR="00B957A5" w:rsidRPr="00B957A5" w:rsidRDefault="00B957A5">
            <w:pPr>
              <w:pStyle w:val="Piedepgina"/>
              <w:jc w:val="right"/>
              <w:rPr>
                <w:rFonts w:ascii="ITC Avant Garde" w:hAnsi="ITC Avant Garde"/>
                <w:sz w:val="16"/>
                <w:szCs w:val="16"/>
              </w:rPr>
            </w:pPr>
            <w:r w:rsidRPr="00B957A5">
              <w:rPr>
                <w:rFonts w:ascii="ITC Avant Garde" w:hAnsi="ITC Avant Garde"/>
                <w:sz w:val="16"/>
                <w:szCs w:val="16"/>
                <w:lang w:val="es-ES"/>
              </w:rPr>
              <w:t xml:space="preserve">Página </w:t>
            </w:r>
            <w:r w:rsidRPr="00B957A5">
              <w:rPr>
                <w:rFonts w:ascii="ITC Avant Garde" w:hAnsi="ITC Avant Garde"/>
                <w:b/>
                <w:bCs/>
                <w:sz w:val="16"/>
                <w:szCs w:val="16"/>
              </w:rPr>
              <w:fldChar w:fldCharType="begin"/>
            </w:r>
            <w:r w:rsidRPr="00B957A5">
              <w:rPr>
                <w:rFonts w:ascii="ITC Avant Garde" w:hAnsi="ITC Avant Garde"/>
                <w:b/>
                <w:bCs/>
                <w:sz w:val="16"/>
                <w:szCs w:val="16"/>
              </w:rPr>
              <w:instrText>PAGE</w:instrText>
            </w:r>
            <w:r w:rsidRPr="00B957A5">
              <w:rPr>
                <w:rFonts w:ascii="ITC Avant Garde" w:hAnsi="ITC Avant Garde"/>
                <w:b/>
                <w:bCs/>
                <w:sz w:val="16"/>
                <w:szCs w:val="16"/>
              </w:rPr>
              <w:fldChar w:fldCharType="separate"/>
            </w:r>
            <w:r w:rsidR="00DC6F44">
              <w:rPr>
                <w:rFonts w:ascii="ITC Avant Garde" w:hAnsi="ITC Avant Garde"/>
                <w:b/>
                <w:bCs/>
                <w:noProof/>
                <w:sz w:val="16"/>
                <w:szCs w:val="16"/>
              </w:rPr>
              <w:t>2</w:t>
            </w:r>
            <w:r w:rsidRPr="00B957A5">
              <w:rPr>
                <w:rFonts w:ascii="ITC Avant Garde" w:hAnsi="ITC Avant Garde"/>
                <w:b/>
                <w:bCs/>
                <w:sz w:val="16"/>
                <w:szCs w:val="16"/>
              </w:rPr>
              <w:fldChar w:fldCharType="end"/>
            </w:r>
            <w:r w:rsidRPr="00B957A5">
              <w:rPr>
                <w:rFonts w:ascii="ITC Avant Garde" w:hAnsi="ITC Avant Garde"/>
                <w:sz w:val="16"/>
                <w:szCs w:val="16"/>
                <w:lang w:val="es-ES"/>
              </w:rPr>
              <w:t xml:space="preserve"> de </w:t>
            </w:r>
            <w:r w:rsidRPr="00B957A5">
              <w:rPr>
                <w:rFonts w:ascii="ITC Avant Garde" w:hAnsi="ITC Avant Garde"/>
                <w:b/>
                <w:bCs/>
                <w:sz w:val="16"/>
                <w:szCs w:val="16"/>
              </w:rPr>
              <w:fldChar w:fldCharType="begin"/>
            </w:r>
            <w:r w:rsidRPr="00B957A5">
              <w:rPr>
                <w:rFonts w:ascii="ITC Avant Garde" w:hAnsi="ITC Avant Garde"/>
                <w:b/>
                <w:bCs/>
                <w:sz w:val="16"/>
                <w:szCs w:val="16"/>
              </w:rPr>
              <w:instrText>NUMPAGES</w:instrText>
            </w:r>
            <w:r w:rsidRPr="00B957A5">
              <w:rPr>
                <w:rFonts w:ascii="ITC Avant Garde" w:hAnsi="ITC Avant Garde"/>
                <w:b/>
                <w:bCs/>
                <w:sz w:val="16"/>
                <w:szCs w:val="16"/>
              </w:rPr>
              <w:fldChar w:fldCharType="separate"/>
            </w:r>
            <w:r w:rsidR="00DC6F44">
              <w:rPr>
                <w:rFonts w:ascii="ITC Avant Garde" w:hAnsi="ITC Avant Garde"/>
                <w:b/>
                <w:bCs/>
                <w:noProof/>
                <w:sz w:val="16"/>
                <w:szCs w:val="16"/>
              </w:rPr>
              <w:t>6</w:t>
            </w:r>
            <w:r w:rsidRPr="00B957A5">
              <w:rPr>
                <w:rFonts w:ascii="ITC Avant Garde" w:hAnsi="ITC Avant Garde"/>
                <w:b/>
                <w:bCs/>
                <w:sz w:val="16"/>
                <w:szCs w:val="16"/>
              </w:rPr>
              <w:fldChar w:fldCharType="end"/>
            </w:r>
          </w:p>
        </w:sdtContent>
      </w:sdt>
    </w:sdtContent>
  </w:sdt>
  <w:p w14:paraId="2108E346" w14:textId="77777777" w:rsidR="00241296" w:rsidRPr="00B957A5" w:rsidRDefault="00241296">
    <w:pPr>
      <w:pStyle w:val="Piedepgina"/>
      <w:rPr>
        <w:rFonts w:ascii="ITC Avant Garde" w:hAnsi="ITC Avant Gar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9BEB4" w14:textId="77777777" w:rsidR="006C370F" w:rsidRDefault="006C370F" w:rsidP="00501ADF">
      <w:pPr>
        <w:spacing w:after="0" w:line="240" w:lineRule="auto"/>
      </w:pPr>
      <w:r>
        <w:separator/>
      </w:r>
    </w:p>
  </w:footnote>
  <w:footnote w:type="continuationSeparator" w:id="0">
    <w:p w14:paraId="2C9E08DB" w14:textId="77777777" w:rsidR="006C370F" w:rsidRDefault="006C370F" w:rsidP="00501ADF">
      <w:pPr>
        <w:spacing w:after="0" w:line="240" w:lineRule="auto"/>
      </w:pPr>
      <w:r>
        <w:continuationSeparator/>
      </w:r>
    </w:p>
  </w:footnote>
  <w:footnote w:id="1">
    <w:p w14:paraId="0B3D16A2" w14:textId="464CFC2E" w:rsidR="00241296" w:rsidRPr="005B3401" w:rsidRDefault="00241296" w:rsidP="001A01E0">
      <w:pPr>
        <w:pStyle w:val="Textonotapie"/>
        <w:jc w:val="both"/>
        <w:rPr>
          <w:rFonts w:ascii="ITC Avant Garde" w:hAnsi="ITC Avant Garde"/>
          <w:sz w:val="16"/>
          <w:szCs w:val="16"/>
          <w:lang w:val="es-ES_tradnl"/>
        </w:rPr>
      </w:pPr>
      <w:r w:rsidRPr="005B3401">
        <w:rPr>
          <w:rStyle w:val="Refdenotaalpie"/>
          <w:rFonts w:ascii="ITC Avant Garde" w:hAnsi="ITC Avant Garde"/>
          <w:sz w:val="16"/>
          <w:szCs w:val="16"/>
        </w:rPr>
        <w:footnoteRef/>
      </w:r>
      <w:r w:rsidRPr="005B3401">
        <w:rPr>
          <w:rFonts w:ascii="ITC Avant Garde" w:hAnsi="ITC Avant Garde"/>
          <w:sz w:val="16"/>
          <w:szCs w:val="16"/>
        </w:rPr>
        <w:t xml:space="preserve"> El 25 de mayo de 2018, este órgano constitucional autónomo inició el “Programa de Mejora Administrativa del Instituto Federal de Telecomunicaciones” (en lo sucesivo, el “PMA”), por conducto de su Coordinación General de Mejora Regulatoria (en lo sucesivo, la “Coordinación General”), cuyo objetivo es disminuir la carga administrativa a sus regulados mediante la eliminación de trámites, requisitos innecesarios u obsoletos, el empleo de formatos y el empleo intensivo de las tecnologías de la información y comunicación para la recepción y gestión de los trámites y servicios a su cargo.</w:t>
      </w:r>
    </w:p>
  </w:footnote>
  <w:footnote w:id="2">
    <w:p w14:paraId="7594D9A5" w14:textId="22B77521" w:rsidR="00241296" w:rsidRPr="005B3401" w:rsidRDefault="00241296" w:rsidP="00E85B1B">
      <w:pPr>
        <w:pStyle w:val="Textonotapie"/>
        <w:jc w:val="both"/>
        <w:rPr>
          <w:rFonts w:ascii="ITC Avant Garde" w:hAnsi="ITC Avant Garde"/>
          <w:sz w:val="16"/>
          <w:szCs w:val="16"/>
        </w:rPr>
      </w:pPr>
      <w:r w:rsidRPr="005B3401">
        <w:rPr>
          <w:rStyle w:val="Refdenotaalpie"/>
          <w:rFonts w:ascii="ITC Avant Garde" w:hAnsi="ITC Avant Garde"/>
          <w:sz w:val="16"/>
          <w:szCs w:val="16"/>
        </w:rPr>
        <w:footnoteRef/>
      </w:r>
      <w:r w:rsidRPr="005B3401">
        <w:rPr>
          <w:rFonts w:ascii="ITC Avant Garde" w:hAnsi="ITC Avant Garde"/>
          <w:sz w:val="16"/>
          <w:szCs w:val="16"/>
        </w:rPr>
        <w:t xml:space="preserve"> Comité de Política Regulatoria de la OCDE. (2012). “</w:t>
      </w:r>
      <w:r w:rsidRPr="005B3401">
        <w:rPr>
          <w:rFonts w:ascii="ITC Avant Garde" w:hAnsi="ITC Avant Garde"/>
          <w:i/>
          <w:sz w:val="16"/>
          <w:szCs w:val="16"/>
        </w:rPr>
        <w:t>Recomendación del Consejo sobre Política y Gobernanza Regulatoria”</w:t>
      </w:r>
      <w:r w:rsidRPr="005B3401">
        <w:rPr>
          <w:rFonts w:ascii="ITC Avant Garde" w:hAnsi="ITC Avant Garde"/>
          <w:sz w:val="16"/>
          <w:szCs w:val="16"/>
        </w:rPr>
        <w:t xml:space="preserve">. OCDE. </w:t>
      </w:r>
      <w:r w:rsidR="00B957A5" w:rsidRPr="005B3401">
        <w:rPr>
          <w:rFonts w:ascii="ITC Avant Garde" w:hAnsi="ITC Avant Garde"/>
          <w:sz w:val="16"/>
          <w:szCs w:val="16"/>
        </w:rPr>
        <w:t>Disponible para su consulta, en el siguiente apartado</w:t>
      </w:r>
      <w:r w:rsidRPr="005B3401">
        <w:rPr>
          <w:rFonts w:ascii="ITC Avant Garde" w:hAnsi="ITC Avant Garde"/>
          <w:sz w:val="16"/>
          <w:szCs w:val="16"/>
        </w:rPr>
        <w:t xml:space="preserve">: </w:t>
      </w:r>
      <w:hyperlink r:id="rId1" w:history="1">
        <w:r w:rsidRPr="005B3401">
          <w:rPr>
            <w:rFonts w:ascii="ITC Avant Garde" w:hAnsi="ITC Avant Garde"/>
            <w:sz w:val="16"/>
            <w:szCs w:val="16"/>
          </w:rPr>
          <w:t>https://www.oecd.org/gov/regulatory-policy/Recommendation%20with%20cover%20SP.pdf</w:t>
        </w:r>
      </w:hyperlink>
      <w:r w:rsidR="00B957A5" w:rsidRPr="005B3401">
        <w:rPr>
          <w:rFonts w:ascii="ITC Avant Garde" w:hAnsi="ITC Avant Garde"/>
          <w:sz w:val="16"/>
          <w:szCs w:val="16"/>
        </w:rPr>
        <w:t xml:space="preserve">  </w:t>
      </w:r>
    </w:p>
  </w:footnote>
  <w:footnote w:id="3">
    <w:p w14:paraId="6A6E8AB8" w14:textId="77777777" w:rsidR="00241296" w:rsidRPr="005B3401" w:rsidRDefault="00241296" w:rsidP="00B957A5">
      <w:pPr>
        <w:pStyle w:val="Textonotapie"/>
        <w:jc w:val="both"/>
        <w:rPr>
          <w:rFonts w:ascii="ITC Avant Garde" w:hAnsi="ITC Avant Garde"/>
          <w:sz w:val="16"/>
          <w:szCs w:val="16"/>
        </w:rPr>
      </w:pPr>
      <w:r w:rsidRPr="005B3401">
        <w:rPr>
          <w:rStyle w:val="Refdenotaalpie"/>
          <w:rFonts w:ascii="ITC Avant Garde" w:hAnsi="ITC Avant Garde"/>
          <w:sz w:val="16"/>
          <w:szCs w:val="16"/>
        </w:rPr>
        <w:footnoteRef/>
      </w:r>
      <w:r w:rsidRPr="005B3401">
        <w:rPr>
          <w:rFonts w:ascii="ITC Avant Garde" w:hAnsi="ITC Avant Garde"/>
          <w:sz w:val="16"/>
          <w:szCs w:val="16"/>
          <w:lang w:val="en-US"/>
        </w:rPr>
        <w:t xml:space="preserve"> Regulatory Policy Committee of the OECD. (2018) “</w:t>
      </w:r>
      <w:r w:rsidRPr="005B3401">
        <w:rPr>
          <w:rFonts w:ascii="ITC Avant Garde" w:hAnsi="ITC Avant Garde"/>
          <w:i/>
          <w:sz w:val="16"/>
          <w:szCs w:val="16"/>
          <w:lang w:val="en-US"/>
        </w:rPr>
        <w:t>Reviewing the stock of regulation- towards best practice principals and methods: a Scoping Paper”</w:t>
      </w:r>
      <w:r w:rsidRPr="005B3401">
        <w:rPr>
          <w:rFonts w:ascii="ITC Avant Garde" w:hAnsi="ITC Avant Garde"/>
          <w:sz w:val="16"/>
          <w:szCs w:val="16"/>
          <w:lang w:val="en-US"/>
        </w:rPr>
        <w:t xml:space="preserve">. </w:t>
      </w:r>
      <w:r w:rsidRPr="005B3401">
        <w:rPr>
          <w:rFonts w:ascii="ITC Avant Garde" w:hAnsi="ITC Avant Garde"/>
          <w:sz w:val="16"/>
          <w:szCs w:val="16"/>
        </w:rPr>
        <w:t xml:space="preserve">18th </w:t>
      </w:r>
      <w:proofErr w:type="spellStart"/>
      <w:r w:rsidRPr="005B3401">
        <w:rPr>
          <w:rFonts w:ascii="ITC Avant Garde" w:hAnsi="ITC Avant Garde"/>
          <w:sz w:val="16"/>
          <w:szCs w:val="16"/>
        </w:rPr>
        <w:t>Session</w:t>
      </w:r>
      <w:proofErr w:type="spellEnd"/>
      <w:r w:rsidRPr="005B3401">
        <w:rPr>
          <w:rFonts w:ascii="ITC Avant Garde" w:hAnsi="ITC Avant Garde"/>
          <w:sz w:val="16"/>
          <w:szCs w:val="16"/>
        </w:rPr>
        <w:t xml:space="preserve"> of </w:t>
      </w:r>
      <w:proofErr w:type="spellStart"/>
      <w:r w:rsidRPr="005B3401">
        <w:rPr>
          <w:rFonts w:ascii="ITC Avant Garde" w:hAnsi="ITC Avant Garde"/>
          <w:sz w:val="16"/>
          <w:szCs w:val="16"/>
        </w:rPr>
        <w:t>the</w:t>
      </w:r>
      <w:proofErr w:type="spellEnd"/>
      <w:r w:rsidRPr="005B3401">
        <w:rPr>
          <w:rFonts w:ascii="ITC Avant Garde" w:hAnsi="ITC Avant Garde"/>
          <w:sz w:val="16"/>
          <w:szCs w:val="16"/>
        </w:rPr>
        <w:t xml:space="preserve"> </w:t>
      </w:r>
      <w:proofErr w:type="spellStart"/>
      <w:r w:rsidRPr="005B3401">
        <w:rPr>
          <w:rFonts w:ascii="ITC Avant Garde" w:hAnsi="ITC Avant Garde"/>
          <w:sz w:val="16"/>
          <w:szCs w:val="16"/>
        </w:rPr>
        <w:t>Regulatory</w:t>
      </w:r>
      <w:proofErr w:type="spellEnd"/>
      <w:r w:rsidRPr="005B3401">
        <w:rPr>
          <w:rFonts w:ascii="ITC Avant Garde" w:hAnsi="ITC Avant Garde"/>
          <w:sz w:val="16"/>
          <w:szCs w:val="16"/>
        </w:rPr>
        <w:t xml:space="preserve"> </w:t>
      </w:r>
      <w:proofErr w:type="spellStart"/>
      <w:r w:rsidRPr="005B3401">
        <w:rPr>
          <w:rFonts w:ascii="ITC Avant Garde" w:hAnsi="ITC Avant Garde"/>
          <w:sz w:val="16"/>
          <w:szCs w:val="16"/>
        </w:rPr>
        <w:t>Policy</w:t>
      </w:r>
      <w:proofErr w:type="spellEnd"/>
      <w:r w:rsidRPr="005B3401">
        <w:rPr>
          <w:rFonts w:ascii="ITC Avant Garde" w:hAnsi="ITC Avant Garde"/>
          <w:sz w:val="16"/>
          <w:szCs w:val="16"/>
        </w:rPr>
        <w:t xml:space="preserve"> </w:t>
      </w:r>
      <w:proofErr w:type="spellStart"/>
      <w:r w:rsidRPr="005B3401">
        <w:rPr>
          <w:rFonts w:ascii="ITC Avant Garde" w:hAnsi="ITC Avant Garde"/>
          <w:sz w:val="16"/>
          <w:szCs w:val="16"/>
        </w:rPr>
        <w:t>Committee</w:t>
      </w:r>
      <w:proofErr w:type="spellEnd"/>
      <w:r w:rsidRPr="005B3401">
        <w:rPr>
          <w:rFonts w:ascii="ITC Avant Garde" w:hAnsi="ITC Avant Garde"/>
          <w:sz w:val="16"/>
          <w:szCs w:val="16"/>
        </w:rPr>
        <w:t>, Paris.</w:t>
      </w:r>
    </w:p>
  </w:footnote>
  <w:footnote w:id="4">
    <w:p w14:paraId="1C0D2075" w14:textId="1E82AAB9" w:rsidR="00BB0D34" w:rsidRDefault="00BB0D34">
      <w:pPr>
        <w:pStyle w:val="Textonotapie"/>
        <w:rPr>
          <w:rFonts w:ascii="ITC Avant Garde" w:hAnsi="ITC Avant Garde"/>
          <w:sz w:val="16"/>
          <w:szCs w:val="16"/>
        </w:rPr>
      </w:pPr>
      <w:r w:rsidRPr="00BB0D34">
        <w:rPr>
          <w:rStyle w:val="Refdenotaalpie"/>
          <w:rFonts w:ascii="ITC Avant Garde" w:hAnsi="ITC Avant Garde"/>
          <w:sz w:val="16"/>
          <w:szCs w:val="16"/>
        </w:rPr>
        <w:footnoteRef/>
      </w:r>
      <w:r w:rsidRPr="00BB0D34">
        <w:rPr>
          <w:rFonts w:ascii="ITC Avant Garde" w:hAnsi="ITC Avant Garde"/>
          <w:sz w:val="16"/>
          <w:szCs w:val="16"/>
        </w:rPr>
        <w:t xml:space="preserve"> </w:t>
      </w:r>
      <w:r w:rsidR="007E7A27">
        <w:rPr>
          <w:rFonts w:ascii="ITC Avant Garde" w:hAnsi="ITC Avant Garde"/>
          <w:sz w:val="16"/>
          <w:szCs w:val="16"/>
        </w:rPr>
        <w:t>Ap</w:t>
      </w:r>
      <w:r w:rsidR="003F1408" w:rsidRPr="003F1408">
        <w:rPr>
          <w:rFonts w:ascii="ITC Avant Garde" w:hAnsi="ITC Avant Garde"/>
          <w:sz w:val="16"/>
          <w:szCs w:val="16"/>
        </w:rPr>
        <w:t>robado por el Pleno del Instituto mediante Acuerdo P/IFT/210819/397, en su XVIII sesión Ordinaria de fecha 21 de agosto de 2019 y publicado en el DOF el 13 de septiembre de 2019</w:t>
      </w:r>
      <w:r w:rsidRPr="00BB0D34">
        <w:rPr>
          <w:rFonts w:ascii="ITC Avant Garde" w:hAnsi="ITC Avant Garde"/>
          <w:sz w:val="16"/>
          <w:szCs w:val="16"/>
        </w:rPr>
        <w:t>.</w:t>
      </w:r>
    </w:p>
    <w:p w14:paraId="2F282E30" w14:textId="77777777" w:rsidR="003F1408" w:rsidRPr="00BB0D34" w:rsidRDefault="003F1408">
      <w:pPr>
        <w:pStyle w:val="Textonotapie"/>
        <w:rPr>
          <w:rFonts w:ascii="ITC Avant Garde" w:hAnsi="ITC Avant Garde"/>
          <w:sz w:val="16"/>
          <w:szCs w:val="16"/>
        </w:rPr>
      </w:pPr>
    </w:p>
  </w:footnote>
  <w:footnote w:id="5">
    <w:p w14:paraId="60E4EDA4" w14:textId="10A4E5CF" w:rsidR="003F1408" w:rsidRDefault="003F1408">
      <w:pPr>
        <w:pStyle w:val="Textonotapie"/>
      </w:pPr>
      <w:r w:rsidRPr="003F1408">
        <w:rPr>
          <w:rStyle w:val="Refdenotaalpie"/>
        </w:rPr>
        <w:footnoteRef/>
      </w:r>
      <w:r>
        <w:t xml:space="preserve"> </w:t>
      </w:r>
      <w:r w:rsidR="007E7A27">
        <w:rPr>
          <w:rFonts w:ascii="ITC Avant Garde" w:hAnsi="ITC Avant Garde"/>
          <w:sz w:val="16"/>
          <w:szCs w:val="16"/>
        </w:rPr>
        <w:t>A</w:t>
      </w:r>
      <w:r>
        <w:rPr>
          <w:rFonts w:ascii="ITC Avant Garde" w:hAnsi="ITC Avant Garde"/>
          <w:sz w:val="16"/>
          <w:szCs w:val="16"/>
        </w:rPr>
        <w:t>p</w:t>
      </w:r>
      <w:r w:rsidRPr="003F1408">
        <w:rPr>
          <w:rFonts w:ascii="ITC Avant Garde" w:hAnsi="ITC Avant Garde"/>
          <w:sz w:val="16"/>
          <w:szCs w:val="16"/>
        </w:rPr>
        <w:t xml:space="preserve">robado por el Pleno del Instituto mediante Acuerdo P/IFT/210819/398 el 21 de agosto de </w:t>
      </w:r>
      <w:r w:rsidR="007E7A27">
        <w:rPr>
          <w:rFonts w:ascii="ITC Avant Garde" w:hAnsi="ITC Avant Garde"/>
          <w:sz w:val="16"/>
          <w:szCs w:val="16"/>
        </w:rPr>
        <w:t>201</w:t>
      </w:r>
    </w:p>
  </w:footnote>
  <w:footnote w:id="6">
    <w:p w14:paraId="05EB7592" w14:textId="595FC95B" w:rsidR="00241296" w:rsidRPr="005B3401" w:rsidRDefault="00241296" w:rsidP="00BA4E93">
      <w:pPr>
        <w:pStyle w:val="Textonotapie"/>
        <w:jc w:val="both"/>
        <w:rPr>
          <w:rFonts w:ascii="ITC Avant Garde" w:hAnsi="ITC Avant Garde"/>
          <w:sz w:val="16"/>
          <w:szCs w:val="16"/>
        </w:rPr>
      </w:pPr>
      <w:r w:rsidRPr="005B3401">
        <w:rPr>
          <w:rStyle w:val="Refdenotaalpie"/>
          <w:rFonts w:ascii="ITC Avant Garde" w:hAnsi="ITC Avant Garde"/>
          <w:sz w:val="16"/>
          <w:szCs w:val="16"/>
        </w:rPr>
        <w:footnoteRef/>
      </w:r>
      <w:r w:rsidRPr="005B3401">
        <w:rPr>
          <w:rFonts w:ascii="ITC Avant Garde" w:hAnsi="ITC Avant Garde"/>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241296" w:rsidRPr="00525271" w:rsidRDefault="00241296" w:rsidP="00525271">
      <w:pPr>
        <w:pStyle w:val="Textonotapie"/>
        <w:jc w:val="both"/>
        <w:rPr>
          <w:rFonts w:ascii="ITC Avant Garde" w:hAnsi="ITC Avant Garde"/>
          <w:sz w:val="16"/>
          <w:szCs w:val="16"/>
        </w:rPr>
      </w:pPr>
      <w:r w:rsidRPr="005B3401">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2" w:history="1">
        <w:r w:rsidRPr="005B3401">
          <w:rPr>
            <w:rStyle w:val="Hipervnculo"/>
            <w:rFonts w:ascii="ITC Avant Garde" w:hAnsi="ITC Avant Garde"/>
            <w:sz w:val="16"/>
            <w:szCs w:val="16"/>
          </w:rPr>
          <w:t>http://www.diputados.gob.mx/LeyesBiblio/pdf/LGMR_180518.pdf</w:t>
        </w:r>
      </w:hyperlink>
      <w:r>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241296" w:rsidRPr="00501ADF" w:rsidRDefault="0024129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241296" w:rsidRPr="00451B7D" w:rsidRDefault="00241296"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241296" w:rsidRPr="00451B7D" w:rsidRDefault="00241296"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241296" w:rsidRDefault="00241296">
    <w:pPr>
      <w:pStyle w:val="Encabezado"/>
    </w:pPr>
  </w:p>
  <w:p w14:paraId="2C48871E" w14:textId="77777777" w:rsidR="00241296" w:rsidRDefault="00241296">
    <w:pPr>
      <w:pStyle w:val="Encabezado"/>
    </w:pPr>
  </w:p>
  <w:p w14:paraId="75745905" w14:textId="19BBBECD" w:rsidR="00241296" w:rsidRDefault="00241296">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241296" w:rsidRDefault="002412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AE6483"/>
    <w:multiLevelType w:val="hybridMultilevel"/>
    <w:tmpl w:val="F7841540"/>
    <w:lvl w:ilvl="0" w:tplc="87F2C3A8">
      <w:start w:val="1"/>
      <w:numFmt w:val="low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2EF5348"/>
    <w:multiLevelType w:val="hybridMultilevel"/>
    <w:tmpl w:val="669848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6F502E"/>
    <w:multiLevelType w:val="hybridMultilevel"/>
    <w:tmpl w:val="70AE3C00"/>
    <w:lvl w:ilvl="0" w:tplc="E058127C">
      <w:start w:val="1"/>
      <w:numFmt w:val="bullet"/>
      <w:lvlText w:val="-"/>
      <w:lvlJc w:val="left"/>
      <w:pPr>
        <w:ind w:left="2200" w:hanging="360"/>
      </w:pPr>
      <w:rPr>
        <w:rFonts w:ascii="ITC Avant Garde" w:eastAsiaTheme="minorHAnsi" w:hAnsi="ITC Avant Garde" w:cs="Times New Roman" w:hint="default"/>
        <w:w w:val="100"/>
        <w:sz w:val="22"/>
        <w:szCs w:val="22"/>
        <w:lang w:val="es-MX" w:eastAsia="es-MX" w:bidi="es-MX"/>
      </w:rPr>
    </w:lvl>
    <w:lvl w:ilvl="1" w:tplc="33F492D0">
      <w:numFmt w:val="bullet"/>
      <w:lvlText w:val="•"/>
      <w:lvlJc w:val="left"/>
      <w:pPr>
        <w:ind w:left="3030" w:hanging="360"/>
      </w:pPr>
      <w:rPr>
        <w:rFonts w:hint="default"/>
        <w:lang w:val="es-MX" w:eastAsia="es-MX" w:bidi="es-MX"/>
      </w:rPr>
    </w:lvl>
    <w:lvl w:ilvl="2" w:tplc="9C3A05EC">
      <w:numFmt w:val="bullet"/>
      <w:lvlText w:val="•"/>
      <w:lvlJc w:val="left"/>
      <w:pPr>
        <w:ind w:left="3860" w:hanging="360"/>
      </w:pPr>
      <w:rPr>
        <w:rFonts w:hint="default"/>
        <w:lang w:val="es-MX" w:eastAsia="es-MX" w:bidi="es-MX"/>
      </w:rPr>
    </w:lvl>
    <w:lvl w:ilvl="3" w:tplc="8130825A">
      <w:numFmt w:val="bullet"/>
      <w:lvlText w:val="•"/>
      <w:lvlJc w:val="left"/>
      <w:pPr>
        <w:ind w:left="4690" w:hanging="360"/>
      </w:pPr>
      <w:rPr>
        <w:rFonts w:hint="default"/>
        <w:lang w:val="es-MX" w:eastAsia="es-MX" w:bidi="es-MX"/>
      </w:rPr>
    </w:lvl>
    <w:lvl w:ilvl="4" w:tplc="5CD26F5E">
      <w:numFmt w:val="bullet"/>
      <w:lvlText w:val="•"/>
      <w:lvlJc w:val="left"/>
      <w:pPr>
        <w:ind w:left="5520" w:hanging="360"/>
      </w:pPr>
      <w:rPr>
        <w:rFonts w:hint="default"/>
        <w:lang w:val="es-MX" w:eastAsia="es-MX" w:bidi="es-MX"/>
      </w:rPr>
    </w:lvl>
    <w:lvl w:ilvl="5" w:tplc="E4A06620">
      <w:numFmt w:val="bullet"/>
      <w:lvlText w:val="•"/>
      <w:lvlJc w:val="left"/>
      <w:pPr>
        <w:ind w:left="6350" w:hanging="360"/>
      </w:pPr>
      <w:rPr>
        <w:rFonts w:hint="default"/>
        <w:lang w:val="es-MX" w:eastAsia="es-MX" w:bidi="es-MX"/>
      </w:rPr>
    </w:lvl>
    <w:lvl w:ilvl="6" w:tplc="3B9E9028">
      <w:numFmt w:val="bullet"/>
      <w:lvlText w:val="•"/>
      <w:lvlJc w:val="left"/>
      <w:pPr>
        <w:ind w:left="7180" w:hanging="360"/>
      </w:pPr>
      <w:rPr>
        <w:rFonts w:hint="default"/>
        <w:lang w:val="es-MX" w:eastAsia="es-MX" w:bidi="es-MX"/>
      </w:rPr>
    </w:lvl>
    <w:lvl w:ilvl="7" w:tplc="D7CC47DC">
      <w:numFmt w:val="bullet"/>
      <w:lvlText w:val="•"/>
      <w:lvlJc w:val="left"/>
      <w:pPr>
        <w:ind w:left="8010" w:hanging="360"/>
      </w:pPr>
      <w:rPr>
        <w:rFonts w:hint="default"/>
        <w:lang w:val="es-MX" w:eastAsia="es-MX" w:bidi="es-MX"/>
      </w:rPr>
    </w:lvl>
    <w:lvl w:ilvl="8" w:tplc="1610DA1C">
      <w:numFmt w:val="bullet"/>
      <w:lvlText w:val="•"/>
      <w:lvlJc w:val="left"/>
      <w:pPr>
        <w:ind w:left="8840" w:hanging="360"/>
      </w:pPr>
      <w:rPr>
        <w:rFonts w:hint="default"/>
        <w:lang w:val="es-MX" w:eastAsia="es-MX" w:bidi="es-MX"/>
      </w:rPr>
    </w:lvl>
  </w:abstractNum>
  <w:abstractNum w:abstractNumId="6" w15:restartNumberingAfterBreak="0">
    <w:nsid w:val="5E454048"/>
    <w:multiLevelType w:val="hybridMultilevel"/>
    <w:tmpl w:val="0AC6C62C"/>
    <w:lvl w:ilvl="0" w:tplc="7472AFF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21824"/>
    <w:rsid w:val="00021FB4"/>
    <w:rsid w:val="00044D30"/>
    <w:rsid w:val="00056AE8"/>
    <w:rsid w:val="0006478F"/>
    <w:rsid w:val="000C16BC"/>
    <w:rsid w:val="000D401B"/>
    <w:rsid w:val="000D6650"/>
    <w:rsid w:val="000E6A13"/>
    <w:rsid w:val="000F669B"/>
    <w:rsid w:val="0017469C"/>
    <w:rsid w:val="00177F7B"/>
    <w:rsid w:val="00181A32"/>
    <w:rsid w:val="001932FC"/>
    <w:rsid w:val="001A01E0"/>
    <w:rsid w:val="001B4A51"/>
    <w:rsid w:val="001C25B4"/>
    <w:rsid w:val="001E26FE"/>
    <w:rsid w:val="00203BB3"/>
    <w:rsid w:val="00206C6C"/>
    <w:rsid w:val="00211C96"/>
    <w:rsid w:val="00241296"/>
    <w:rsid w:val="00247B33"/>
    <w:rsid w:val="00286496"/>
    <w:rsid w:val="00295E97"/>
    <w:rsid w:val="002D28C7"/>
    <w:rsid w:val="002E12D3"/>
    <w:rsid w:val="002F620C"/>
    <w:rsid w:val="0030055F"/>
    <w:rsid w:val="003039BF"/>
    <w:rsid w:val="00323167"/>
    <w:rsid w:val="00333B41"/>
    <w:rsid w:val="00372BF7"/>
    <w:rsid w:val="0039169A"/>
    <w:rsid w:val="003949C0"/>
    <w:rsid w:val="003A72BC"/>
    <w:rsid w:val="003B48A5"/>
    <w:rsid w:val="003E1D84"/>
    <w:rsid w:val="003F05E7"/>
    <w:rsid w:val="003F1408"/>
    <w:rsid w:val="004226AE"/>
    <w:rsid w:val="00451B7D"/>
    <w:rsid w:val="004603F7"/>
    <w:rsid w:val="0049127C"/>
    <w:rsid w:val="004A7C30"/>
    <w:rsid w:val="004B6836"/>
    <w:rsid w:val="004D61F2"/>
    <w:rsid w:val="004E0AA9"/>
    <w:rsid w:val="004E0DA9"/>
    <w:rsid w:val="004E2DC4"/>
    <w:rsid w:val="00501ADF"/>
    <w:rsid w:val="00512862"/>
    <w:rsid w:val="00525271"/>
    <w:rsid w:val="005319D5"/>
    <w:rsid w:val="00596FDE"/>
    <w:rsid w:val="005A06B2"/>
    <w:rsid w:val="005A40FB"/>
    <w:rsid w:val="005B2C92"/>
    <w:rsid w:val="005B3401"/>
    <w:rsid w:val="005C44A8"/>
    <w:rsid w:val="006220C6"/>
    <w:rsid w:val="00623EB8"/>
    <w:rsid w:val="00634DE8"/>
    <w:rsid w:val="00641D09"/>
    <w:rsid w:val="00647FB6"/>
    <w:rsid w:val="006717D5"/>
    <w:rsid w:val="0068307E"/>
    <w:rsid w:val="006963A3"/>
    <w:rsid w:val="006A3A0E"/>
    <w:rsid w:val="006C370F"/>
    <w:rsid w:val="006D2BD3"/>
    <w:rsid w:val="006D7556"/>
    <w:rsid w:val="006D7A08"/>
    <w:rsid w:val="007018A1"/>
    <w:rsid w:val="00712636"/>
    <w:rsid w:val="00714252"/>
    <w:rsid w:val="00737304"/>
    <w:rsid w:val="0074323F"/>
    <w:rsid w:val="0076488A"/>
    <w:rsid w:val="00766990"/>
    <w:rsid w:val="007906D0"/>
    <w:rsid w:val="007A37D6"/>
    <w:rsid w:val="007C425A"/>
    <w:rsid w:val="007D4E5B"/>
    <w:rsid w:val="007E7A27"/>
    <w:rsid w:val="007F37BF"/>
    <w:rsid w:val="00801FED"/>
    <w:rsid w:val="00804F49"/>
    <w:rsid w:val="008135FB"/>
    <w:rsid w:val="00814A48"/>
    <w:rsid w:val="00827470"/>
    <w:rsid w:val="0084560D"/>
    <w:rsid w:val="00850582"/>
    <w:rsid w:val="0086684A"/>
    <w:rsid w:val="00870931"/>
    <w:rsid w:val="00876D05"/>
    <w:rsid w:val="00880C0A"/>
    <w:rsid w:val="008A1704"/>
    <w:rsid w:val="008A48B0"/>
    <w:rsid w:val="008C76AF"/>
    <w:rsid w:val="008D468A"/>
    <w:rsid w:val="008E1AD3"/>
    <w:rsid w:val="008E3011"/>
    <w:rsid w:val="009013E8"/>
    <w:rsid w:val="009058DB"/>
    <w:rsid w:val="00911216"/>
    <w:rsid w:val="009442FD"/>
    <w:rsid w:val="009656B1"/>
    <w:rsid w:val="009806B7"/>
    <w:rsid w:val="00986E23"/>
    <w:rsid w:val="0098783F"/>
    <w:rsid w:val="009A7F8E"/>
    <w:rsid w:val="009D10E1"/>
    <w:rsid w:val="009D5C70"/>
    <w:rsid w:val="009D73E5"/>
    <w:rsid w:val="009E2F03"/>
    <w:rsid w:val="009F237F"/>
    <w:rsid w:val="00A1622C"/>
    <w:rsid w:val="00A7211D"/>
    <w:rsid w:val="00A73AD8"/>
    <w:rsid w:val="00A81C3A"/>
    <w:rsid w:val="00A855B0"/>
    <w:rsid w:val="00AA4CB3"/>
    <w:rsid w:val="00AB5462"/>
    <w:rsid w:val="00B2360F"/>
    <w:rsid w:val="00B24AB5"/>
    <w:rsid w:val="00B32137"/>
    <w:rsid w:val="00B32DDD"/>
    <w:rsid w:val="00B41497"/>
    <w:rsid w:val="00B43D57"/>
    <w:rsid w:val="00B45C2E"/>
    <w:rsid w:val="00B46D42"/>
    <w:rsid w:val="00B6461E"/>
    <w:rsid w:val="00B74C55"/>
    <w:rsid w:val="00B74F10"/>
    <w:rsid w:val="00B77B4B"/>
    <w:rsid w:val="00B957A5"/>
    <w:rsid w:val="00BA0F10"/>
    <w:rsid w:val="00BA4E93"/>
    <w:rsid w:val="00BB0D34"/>
    <w:rsid w:val="00BB73BA"/>
    <w:rsid w:val="00BC2FF7"/>
    <w:rsid w:val="00BE7D1C"/>
    <w:rsid w:val="00BF1C27"/>
    <w:rsid w:val="00BF6479"/>
    <w:rsid w:val="00C37872"/>
    <w:rsid w:val="00C430F8"/>
    <w:rsid w:val="00C53388"/>
    <w:rsid w:val="00C5470D"/>
    <w:rsid w:val="00C85DB0"/>
    <w:rsid w:val="00C917FC"/>
    <w:rsid w:val="00CA2F29"/>
    <w:rsid w:val="00CA7886"/>
    <w:rsid w:val="00CE2EA1"/>
    <w:rsid w:val="00D02DA9"/>
    <w:rsid w:val="00D0386B"/>
    <w:rsid w:val="00D221B5"/>
    <w:rsid w:val="00D23BD5"/>
    <w:rsid w:val="00D261A8"/>
    <w:rsid w:val="00D31AE9"/>
    <w:rsid w:val="00D55CA7"/>
    <w:rsid w:val="00D65942"/>
    <w:rsid w:val="00DB01FA"/>
    <w:rsid w:val="00DC6F44"/>
    <w:rsid w:val="00DE6F24"/>
    <w:rsid w:val="00E046F4"/>
    <w:rsid w:val="00E16506"/>
    <w:rsid w:val="00E21B49"/>
    <w:rsid w:val="00E27972"/>
    <w:rsid w:val="00E304DC"/>
    <w:rsid w:val="00E51908"/>
    <w:rsid w:val="00E6080B"/>
    <w:rsid w:val="00E768BA"/>
    <w:rsid w:val="00E8340B"/>
    <w:rsid w:val="00E85B1B"/>
    <w:rsid w:val="00EE3B75"/>
    <w:rsid w:val="00EE6FE8"/>
    <w:rsid w:val="00F03289"/>
    <w:rsid w:val="00F063C0"/>
    <w:rsid w:val="00F31821"/>
    <w:rsid w:val="00F342A4"/>
    <w:rsid w:val="00F75427"/>
    <w:rsid w:val="00F75C80"/>
    <w:rsid w:val="00F9299E"/>
    <w:rsid w:val="00F94A28"/>
    <w:rsid w:val="00FB158A"/>
    <w:rsid w:val="00FB4FEA"/>
    <w:rsid w:val="00FB58BA"/>
    <w:rsid w:val="00FD121A"/>
    <w:rsid w:val="00FD5ADB"/>
    <w:rsid w:val="00FE174F"/>
    <w:rsid w:val="00FE4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Hipervnculovisitado">
    <w:name w:val="FollowedHyperlink"/>
    <w:basedOn w:val="Fuentedeprrafopredeter"/>
    <w:uiPriority w:val="99"/>
    <w:semiHidden/>
    <w:unhideWhenUsed/>
    <w:rsid w:val="00AB5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org/gov/regulatorypolicy/Recommendation%20with%20cover%20SP.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LGMR_180518.pdf" TargetMode="External"/><Relationship Id="rId1" Type="http://schemas.openxmlformats.org/officeDocument/2006/relationships/hyperlink" Target="https://www.oecd.org/gov/regulatory-policy/Recommendation%20with%20cover%20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156B10"/>
    <w:rsid w:val="00162398"/>
    <w:rsid w:val="002D1216"/>
    <w:rsid w:val="0032322D"/>
    <w:rsid w:val="00361AF2"/>
    <w:rsid w:val="0039332E"/>
    <w:rsid w:val="00504DE3"/>
    <w:rsid w:val="0051743B"/>
    <w:rsid w:val="00540EA6"/>
    <w:rsid w:val="0058081F"/>
    <w:rsid w:val="00586F8F"/>
    <w:rsid w:val="005A01C4"/>
    <w:rsid w:val="006020B4"/>
    <w:rsid w:val="00622624"/>
    <w:rsid w:val="0067131A"/>
    <w:rsid w:val="007118CA"/>
    <w:rsid w:val="00716E5E"/>
    <w:rsid w:val="00760FAD"/>
    <w:rsid w:val="007D0B23"/>
    <w:rsid w:val="00824E08"/>
    <w:rsid w:val="00872405"/>
    <w:rsid w:val="00895355"/>
    <w:rsid w:val="008A7E6C"/>
    <w:rsid w:val="00963F51"/>
    <w:rsid w:val="00981D52"/>
    <w:rsid w:val="00990181"/>
    <w:rsid w:val="009F77D0"/>
    <w:rsid w:val="00A80CA9"/>
    <w:rsid w:val="00B05362"/>
    <w:rsid w:val="00B12BD4"/>
    <w:rsid w:val="00B234BA"/>
    <w:rsid w:val="00B53C30"/>
    <w:rsid w:val="00B748CE"/>
    <w:rsid w:val="00BD02AE"/>
    <w:rsid w:val="00BD59E5"/>
    <w:rsid w:val="00C82816"/>
    <w:rsid w:val="00CF1BA4"/>
    <w:rsid w:val="00DB3940"/>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7240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B4978774BA974F9087417A3047B5E9FB">
    <w:name w:val="B4978774BA974F9087417A3047B5E9FB"/>
    <w:rsid w:val="00872405"/>
  </w:style>
  <w:style w:type="paragraph" w:customStyle="1" w:styleId="FF8CE6064A4F477AA1874E6B7CBB7E41">
    <w:name w:val="FF8CE6064A4F477AA1874E6B7CBB7E41"/>
    <w:rsid w:val="00872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426B5F2A-7712-4A9C-8A3E-D2F3DE66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13298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3</cp:revision>
  <cp:lastPrinted>2019-08-21T15:58:00Z</cp:lastPrinted>
  <dcterms:created xsi:type="dcterms:W3CDTF">2019-12-04T19:47:00Z</dcterms:created>
  <dcterms:modified xsi:type="dcterms:W3CDTF">2019-12-04T20:00:00Z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