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7CD2D" w14:textId="77777777" w:rsidR="00416A22" w:rsidRPr="005B36F9" w:rsidRDefault="00416A22" w:rsidP="002A524D">
      <w:pPr>
        <w:spacing w:after="0" w:line="276" w:lineRule="auto"/>
        <w:ind w:left="-851" w:right="0" w:firstLine="0"/>
        <w:rPr>
          <w:rFonts w:ascii="ITC Avant Garde" w:hAnsi="ITC Avant Garde"/>
          <w:b/>
        </w:rPr>
      </w:pPr>
      <w:r w:rsidRPr="006C321C">
        <w:rPr>
          <w:rFonts w:ascii="ITC Avant Garde" w:eastAsiaTheme="minorHAnsi" w:hAnsi="ITC Avant Garde" w:cstheme="minorBidi"/>
          <w:b/>
          <w:color w:val="auto"/>
          <w:sz w:val="24"/>
          <w:szCs w:val="24"/>
          <w:lang w:eastAsia="en-US"/>
        </w:rPr>
        <w:t>RESPUESTAS GENERALES QUE BRINDA EL INSTITUTO FEDERAL DE TELECOMUNICACIONES A LAS MANIFESTACIONES, OPINIONES, COMENTARIOS Y PROPUESTAS CONCRETAS, PRESENTADAS DURANTE LA CONSULTA PÚBLICA DE LA</w:t>
      </w:r>
      <w:r>
        <w:rPr>
          <w:rFonts w:ascii="ITC Avant Garde" w:eastAsiaTheme="minorHAnsi" w:hAnsi="ITC Avant Garde" w:cstheme="minorBidi"/>
          <w:b/>
          <w:color w:val="auto"/>
          <w:sz w:val="24"/>
          <w:szCs w:val="24"/>
          <w:lang w:eastAsia="en-US"/>
        </w:rPr>
        <w:t>S</w:t>
      </w:r>
      <w:r w:rsidRPr="006C321C">
        <w:rPr>
          <w:rFonts w:ascii="ITC Avant Garde" w:eastAsiaTheme="minorHAnsi" w:hAnsi="ITC Avant Garde" w:cstheme="minorBidi"/>
          <w:b/>
          <w:color w:val="auto"/>
          <w:sz w:val="24"/>
          <w:szCs w:val="24"/>
          <w:lang w:eastAsia="en-US"/>
        </w:rPr>
        <w:t xml:space="preserve"> “</w:t>
      </w:r>
      <w:r w:rsidRPr="006C321C">
        <w:rPr>
          <w:rFonts w:ascii="ITC Avant Garde" w:eastAsiaTheme="minorHAnsi" w:hAnsi="ITC Avant Garde" w:cstheme="minorBidi"/>
          <w:b/>
          <w:i/>
          <w:color w:val="auto"/>
          <w:sz w:val="24"/>
          <w:szCs w:val="24"/>
          <w:lang w:eastAsia="en-US"/>
        </w:rPr>
        <w:t>PROPUESTAS DE OFERTAS DE REFERENCIA PARA LOS SERVICIOS MAYORISTAS DE USUARIO VISITANTE; COMERCIALIZACIÓN O REVENTA DE SERVICIOS; ACCESO Y USO COMPARTIDO DE INFRAESTRUCTURA, Y ARRENDAMIENTO DE ENLACES DEDICADOS PRESENTADOS POR EL AEP</w:t>
      </w:r>
      <w:r w:rsidRPr="005B36F9">
        <w:rPr>
          <w:rFonts w:ascii="ITC Avant Garde" w:hAnsi="ITC Avant Garde"/>
          <w:b/>
        </w:rPr>
        <w:t>”.</w:t>
      </w:r>
    </w:p>
    <w:p w14:paraId="62670366" w14:textId="77777777" w:rsidR="00416A22" w:rsidRPr="005B36F9" w:rsidRDefault="00416A22" w:rsidP="002A524D">
      <w:pPr>
        <w:spacing w:after="1" w:line="276" w:lineRule="auto"/>
        <w:ind w:left="-851" w:right="0" w:firstLine="0"/>
        <w:rPr>
          <w:rFonts w:ascii="ITC Avant Garde" w:hAnsi="ITC Avant Garde"/>
        </w:rPr>
      </w:pPr>
    </w:p>
    <w:p w14:paraId="24FA47E8" w14:textId="4B61A675" w:rsidR="00416A22" w:rsidRDefault="00416A22" w:rsidP="002A524D">
      <w:pPr>
        <w:spacing w:after="0" w:line="276" w:lineRule="auto"/>
        <w:ind w:left="-851" w:hanging="11"/>
        <w:rPr>
          <w:rFonts w:ascii="ITC Avant Garde" w:hAnsi="ITC Avant Garde" w:cs="ITC Avant Garde"/>
        </w:rPr>
      </w:pPr>
      <w:r>
        <w:rPr>
          <w:rFonts w:ascii="ITC Avant Garde" w:hAnsi="ITC Avant Garde" w:cs="ITC Avant Garde"/>
          <w:b/>
        </w:rPr>
        <w:t>Fecha de Elaboración del Informe de Consideraciones sobre los comentarios, opiniones y aportaciones recibidos en relación a la presente Consulta Pública</w:t>
      </w:r>
      <w:r w:rsidRPr="00BB5136">
        <w:rPr>
          <w:rFonts w:ascii="ITC Avant Garde" w:hAnsi="ITC Avant Garde" w:cs="ITC Avant Garde"/>
          <w:b/>
        </w:rPr>
        <w:t xml:space="preserve">: </w:t>
      </w:r>
      <w:r w:rsidR="00C15421">
        <w:rPr>
          <w:rFonts w:ascii="ITC Avant Garde" w:hAnsi="ITC Avant Garde" w:cs="ITC Avant Garde"/>
        </w:rPr>
        <w:t>9</w:t>
      </w:r>
      <w:r w:rsidRPr="00BB5136">
        <w:rPr>
          <w:rFonts w:ascii="ITC Avant Garde" w:hAnsi="ITC Avant Garde" w:cs="ITC Avant Garde"/>
        </w:rPr>
        <w:t xml:space="preserve"> de </w:t>
      </w:r>
      <w:r>
        <w:rPr>
          <w:rFonts w:ascii="ITC Avant Garde" w:hAnsi="ITC Avant Garde" w:cs="ITC Avant Garde"/>
        </w:rPr>
        <w:t>diciembre</w:t>
      </w:r>
      <w:r w:rsidR="00F42423">
        <w:rPr>
          <w:rFonts w:ascii="ITC Avant Garde" w:hAnsi="ITC Avant Garde" w:cs="ITC Avant Garde"/>
        </w:rPr>
        <w:t xml:space="preserve"> del 2019</w:t>
      </w:r>
      <w:r w:rsidRPr="00BB5136">
        <w:rPr>
          <w:rFonts w:ascii="ITC Avant Garde" w:hAnsi="ITC Avant Garde" w:cs="ITC Avant Garde"/>
        </w:rPr>
        <w:t>.</w:t>
      </w:r>
    </w:p>
    <w:p w14:paraId="30A55FAE" w14:textId="77777777" w:rsidR="00416A22" w:rsidRDefault="00416A22" w:rsidP="002A524D">
      <w:pPr>
        <w:spacing w:after="0" w:line="276" w:lineRule="auto"/>
        <w:ind w:left="-851" w:hanging="11"/>
        <w:rPr>
          <w:rFonts w:ascii="ITC Avant Garde" w:hAnsi="ITC Avant Garde" w:cs="ITC Avant Garde"/>
        </w:rPr>
      </w:pPr>
    </w:p>
    <w:p w14:paraId="46BB2049" w14:textId="77777777" w:rsidR="00C15421" w:rsidRDefault="00C15421" w:rsidP="002A524D">
      <w:pPr>
        <w:spacing w:after="0" w:line="276" w:lineRule="auto"/>
        <w:ind w:left="-851" w:hanging="11"/>
        <w:rPr>
          <w:rFonts w:ascii="ITC Avant Garde" w:hAnsi="ITC Avant Garde" w:cs="ITC Avant Garde"/>
          <w:b/>
        </w:rPr>
      </w:pPr>
      <w:r>
        <w:rPr>
          <w:rFonts w:ascii="ITC Avant Garde" w:hAnsi="ITC Avant Garde" w:cs="ITC Avant Garde"/>
          <w:b/>
        </w:rPr>
        <w:t>Descripción de la Consulta Pública:</w:t>
      </w:r>
    </w:p>
    <w:p w14:paraId="13D272AE" w14:textId="77777777" w:rsidR="00C15421" w:rsidRDefault="00C15421" w:rsidP="002A524D">
      <w:pPr>
        <w:spacing w:after="0" w:line="276" w:lineRule="auto"/>
        <w:ind w:left="-851" w:right="0" w:hanging="11"/>
        <w:rPr>
          <w:rFonts w:ascii="ITC Avant Garde" w:eastAsiaTheme="minorHAnsi" w:hAnsi="ITC Avant Garde" w:cs="ITC Avant Garde"/>
          <w:lang w:eastAsia="en-US"/>
        </w:rPr>
      </w:pPr>
      <w:r w:rsidRPr="002A50FC">
        <w:rPr>
          <w:rFonts w:ascii="ITC Avant Garde" w:hAnsi="ITC Avant Garde"/>
        </w:rPr>
        <w:t xml:space="preserve">El Instituto Federal de Telecomunicaciones (en lo sucesivo, “Instituto”) </w:t>
      </w:r>
      <w:r w:rsidRPr="00665D70">
        <w:rPr>
          <w:rFonts w:ascii="ITC Avant Garde" w:eastAsiaTheme="minorHAnsi" w:hAnsi="ITC Avant Garde" w:cs="ITC Avant Garde"/>
          <w:lang w:eastAsia="en-US"/>
        </w:rPr>
        <w:t>recibió los comentarios, opiniones y aportaciones que se tuvieron con relación al contenido de las</w:t>
      </w:r>
      <w:r>
        <w:rPr>
          <w:rFonts w:ascii="ITC Avant Garde" w:eastAsiaTheme="minorHAnsi" w:hAnsi="ITC Avant Garde" w:cs="ITC Avant Garde"/>
          <w:lang w:eastAsia="en-US"/>
        </w:rPr>
        <w:t xml:space="preserve"> </w:t>
      </w:r>
      <w:r w:rsidRPr="008B2ED4">
        <w:rPr>
          <w:rFonts w:ascii="ITC Avant Garde" w:eastAsiaTheme="minorHAnsi" w:hAnsi="ITC Avant Garde" w:cs="ITC Avant Garde"/>
          <w:b/>
          <w:i/>
          <w:lang w:eastAsia="en-US"/>
        </w:rPr>
        <w:t>“Propuestas de Ofertas de Referencia para la prestación de los Servicios Mayoristas de Usuario Visitante; de Comercialización o Reventa de Servicios; del Servicio de Acceso y Uso Compartido de Infraestructura presentadas por el Agente Económico Preponderante en el sector de las telecomunicaciones”</w:t>
      </w:r>
      <w:r w:rsidRPr="00665D70">
        <w:rPr>
          <w:rFonts w:ascii="ITC Avant Garde" w:eastAsiaTheme="minorHAnsi" w:hAnsi="ITC Avant Garde" w:cs="ITC Avant Garde"/>
          <w:lang w:eastAsia="en-US"/>
        </w:rPr>
        <w:t xml:space="preserve"> (en lo sucesivo, la</w:t>
      </w:r>
      <w:r>
        <w:rPr>
          <w:rFonts w:ascii="ITC Avant Garde" w:eastAsiaTheme="minorHAnsi" w:hAnsi="ITC Avant Garde" w:cs="ITC Avant Garde"/>
          <w:lang w:eastAsia="en-US"/>
        </w:rPr>
        <w:t>s</w:t>
      </w:r>
      <w:r w:rsidRPr="00665D70">
        <w:rPr>
          <w:rFonts w:ascii="ITC Avant Garde" w:eastAsiaTheme="minorHAnsi" w:hAnsi="ITC Avant Garde" w:cs="ITC Avant Garde"/>
          <w:lang w:eastAsia="en-US"/>
        </w:rPr>
        <w:t xml:space="preserve"> “</w:t>
      </w:r>
      <w:r>
        <w:rPr>
          <w:rFonts w:ascii="ITC Avant Garde" w:eastAsiaTheme="minorHAnsi" w:hAnsi="ITC Avant Garde" w:cs="ITC Avant Garde"/>
          <w:lang w:eastAsia="en-US"/>
        </w:rPr>
        <w:t>Propuestas de Ofertas</w:t>
      </w:r>
      <w:r w:rsidRPr="00665D70">
        <w:rPr>
          <w:rFonts w:ascii="ITC Avant Garde" w:eastAsiaTheme="minorHAnsi" w:hAnsi="ITC Avant Garde" w:cs="ITC Avant Garde"/>
          <w:lang w:eastAsia="en-US"/>
        </w:rPr>
        <w:t xml:space="preserve">”) materia de la consulta pública de mérito, recibidas durante el periodo comprendido </w:t>
      </w:r>
      <w:r w:rsidRPr="00BB5136">
        <w:rPr>
          <w:rFonts w:ascii="ITC Avant Garde" w:eastAsiaTheme="minorHAnsi" w:hAnsi="ITC Avant Garde" w:cs="ITC Avant Garde"/>
          <w:lang w:eastAsia="en-US"/>
        </w:rPr>
        <w:t xml:space="preserve">del </w:t>
      </w:r>
      <w:r>
        <w:rPr>
          <w:rFonts w:ascii="ITC Avant Garde" w:eastAsiaTheme="minorHAnsi" w:hAnsi="ITC Avant Garde" w:cs="ITC Avant Garde"/>
          <w:lang w:eastAsia="en-US"/>
        </w:rPr>
        <w:t>12</w:t>
      </w:r>
      <w:r w:rsidRPr="00BB5136">
        <w:rPr>
          <w:rFonts w:ascii="ITC Avant Garde" w:eastAsiaTheme="minorHAnsi" w:hAnsi="ITC Avant Garde" w:cs="ITC Avant Garde"/>
          <w:lang w:eastAsia="en-US"/>
        </w:rPr>
        <w:t xml:space="preserve"> </w:t>
      </w:r>
      <w:r>
        <w:rPr>
          <w:rFonts w:ascii="ITC Avant Garde" w:eastAsiaTheme="minorHAnsi" w:hAnsi="ITC Avant Garde" w:cs="ITC Avant Garde"/>
          <w:lang w:eastAsia="en-US"/>
        </w:rPr>
        <w:t>de agosto al 10</w:t>
      </w:r>
      <w:r w:rsidRPr="00BB5136">
        <w:rPr>
          <w:rFonts w:ascii="ITC Avant Garde" w:eastAsiaTheme="minorHAnsi" w:hAnsi="ITC Avant Garde" w:cs="ITC Avant Garde"/>
          <w:lang w:eastAsia="en-US"/>
        </w:rPr>
        <w:t xml:space="preserve"> de septiembre</w:t>
      </w:r>
      <w:r>
        <w:rPr>
          <w:rFonts w:ascii="ITC Avant Garde" w:eastAsiaTheme="minorHAnsi" w:hAnsi="ITC Avant Garde" w:cs="ITC Avant Garde"/>
          <w:lang w:eastAsia="en-US"/>
        </w:rPr>
        <w:t xml:space="preserve"> de 2019</w:t>
      </w:r>
      <w:r w:rsidRPr="00BB5136">
        <w:rPr>
          <w:rFonts w:ascii="ITC Avant Garde" w:eastAsiaTheme="minorHAnsi" w:hAnsi="ITC Avant Garde" w:cs="ITC Avant Garde"/>
          <w:lang w:eastAsia="en-US"/>
        </w:rPr>
        <w:t xml:space="preserve"> a</w:t>
      </w:r>
      <w:r w:rsidRPr="00665D70">
        <w:rPr>
          <w:rFonts w:ascii="ITC Avant Garde" w:eastAsiaTheme="minorHAnsi" w:hAnsi="ITC Avant Garde" w:cs="ITC Avant Garde"/>
          <w:lang w:eastAsia="en-US"/>
        </w:rPr>
        <w:t xml:space="preserve"> través de la dirección de correo electrónico </w:t>
      </w:r>
      <w:hyperlink r:id="rId8" w:history="1">
        <w:r w:rsidRPr="00D4028C">
          <w:rPr>
            <w:rFonts w:ascii="ITC Avant Garde" w:eastAsiaTheme="minorHAnsi" w:hAnsi="ITC Avant Garde" w:cs="ITC Avant Garde"/>
            <w:lang w:eastAsia="en-US"/>
          </w:rPr>
          <w:t>ofertas.referencia@ift.org.mx</w:t>
        </w:r>
      </w:hyperlink>
      <w:r w:rsidRPr="00665D70">
        <w:rPr>
          <w:rFonts w:ascii="ITC Avant Garde" w:eastAsiaTheme="minorHAnsi" w:hAnsi="ITC Avant Garde" w:cs="ITC Avant Garde"/>
          <w:lang w:eastAsia="en-US"/>
        </w:rPr>
        <w:t>,</w:t>
      </w:r>
      <w:r>
        <w:rPr>
          <w:rFonts w:ascii="ITC Avant Garde" w:eastAsiaTheme="minorHAnsi" w:hAnsi="ITC Avant Garde" w:cs="ITC Avant Garde"/>
          <w:lang w:eastAsia="en-US"/>
        </w:rPr>
        <w:t xml:space="preserve"> o </w:t>
      </w:r>
      <w:r w:rsidRPr="00665D70">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w:t>
      </w:r>
      <w:r>
        <w:rPr>
          <w:rFonts w:ascii="ITC Avant Garde" w:eastAsiaTheme="minorHAnsi" w:hAnsi="ITC Avant Garde" w:cs="ITC Avant Garde"/>
          <w:lang w:eastAsia="en-US"/>
        </w:rPr>
        <w:t>z, C.P. 03720, Ciudad de México.</w:t>
      </w:r>
    </w:p>
    <w:p w14:paraId="7C8607A7" w14:textId="77777777" w:rsidR="00416A22" w:rsidRDefault="00416A22" w:rsidP="002A524D">
      <w:pPr>
        <w:spacing w:after="0" w:line="276" w:lineRule="auto"/>
        <w:ind w:left="-851" w:right="0" w:hanging="11"/>
        <w:rPr>
          <w:rFonts w:ascii="ITC Avant Garde" w:eastAsiaTheme="minorHAnsi" w:hAnsi="ITC Avant Garde" w:cs="ITC Avant Garde"/>
          <w:lang w:eastAsia="en-US"/>
        </w:rPr>
      </w:pPr>
    </w:p>
    <w:p w14:paraId="37A9866C" w14:textId="77777777" w:rsidR="00C15421" w:rsidRDefault="00C15421" w:rsidP="002A524D">
      <w:pPr>
        <w:spacing w:line="276" w:lineRule="auto"/>
        <w:ind w:left="-851"/>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14:paraId="7D969E6B" w14:textId="32E66603" w:rsidR="00C15421" w:rsidRDefault="00C15421" w:rsidP="002A524D">
      <w:pPr>
        <w:spacing w:line="276" w:lineRule="auto"/>
        <w:ind w:left="-851" w:right="0"/>
        <w:rPr>
          <w:rFonts w:ascii="ITC Avant Garde" w:hAnsi="ITC Avant Garde"/>
        </w:rPr>
      </w:pPr>
      <w:r w:rsidRPr="002A50FC">
        <w:rPr>
          <w:rFonts w:ascii="ITC Avant Garde" w:hAnsi="ITC Avant Garde"/>
        </w:rPr>
        <w:t>El Insti</w:t>
      </w:r>
      <w:r>
        <w:rPr>
          <w:rFonts w:ascii="ITC Avant Garde" w:hAnsi="ITC Avant Garde"/>
        </w:rPr>
        <w:t>tuto</w:t>
      </w:r>
      <w:r w:rsidRPr="002A50FC">
        <w:rPr>
          <w:rFonts w:ascii="ITC Avant Garde" w:hAnsi="ITC Avant Garde"/>
        </w:rPr>
        <w:t xml:space="preserve"> convencido de la importancia y relevancia de transparentar su proceso de elaboración de nuevas regulaciones, a través</w:t>
      </w:r>
      <w:r>
        <w:rPr>
          <w:rFonts w:ascii="ITC Avant Garde" w:hAnsi="ITC Avant Garde"/>
        </w:rPr>
        <w:t xml:space="preserve"> de la consulta pública recibió</w:t>
      </w:r>
      <w:r w:rsidRPr="002A50FC">
        <w:rPr>
          <w:rFonts w:ascii="ITC Avant Garde" w:hAnsi="ITC Avant Garde"/>
        </w:rPr>
        <w:t xml:space="preserve"> </w:t>
      </w:r>
      <w:r>
        <w:rPr>
          <w:rFonts w:ascii="ITC Avant Garde" w:hAnsi="ITC Avant Garde"/>
        </w:rPr>
        <w:t xml:space="preserve">los </w:t>
      </w:r>
      <w:r w:rsidRPr="002A50FC">
        <w:rPr>
          <w:rFonts w:ascii="ITC Avant Garde" w:hAnsi="ITC Avant Garde"/>
        </w:rPr>
        <w:t>comentarios, opiniones y aportaciones de cualquier interesado a propósito de las </w:t>
      </w:r>
      <w:r>
        <w:rPr>
          <w:rFonts w:ascii="ITC Avant Garde" w:hAnsi="ITC Avant Garde"/>
        </w:rPr>
        <w:t>Propuestas de Ofertas</w:t>
      </w:r>
      <w:r w:rsidRPr="002A50FC">
        <w:rPr>
          <w:rFonts w:ascii="ITC Avant Garde" w:hAnsi="ITC Avant Garde"/>
        </w:rPr>
        <w:t>, las cuales se proponen con base en lo establecido en los artículos 1, 2, 7, 15, fracción XL y LXIII, 51 y 269 fracción III de la Ley Federal de Telecomunicaciones y Radiodifusión</w:t>
      </w:r>
      <w:r>
        <w:rPr>
          <w:rFonts w:ascii="ITC Avant Garde" w:hAnsi="ITC Avant Garde"/>
        </w:rPr>
        <w:t xml:space="preserve"> (en lo sucesivo, la “LFTR”)</w:t>
      </w:r>
      <w:r w:rsidRPr="002A50FC">
        <w:rPr>
          <w:rFonts w:ascii="ITC Avant Garde" w:hAnsi="ITC Avant Garde"/>
        </w:rPr>
        <w:t>, y 1, 4, fracción I, 6, fracción XXXVIII y 26, fracción I del Estatuto Orgánico del Institut</w:t>
      </w:r>
      <w:r>
        <w:rPr>
          <w:rFonts w:ascii="ITC Avant Garde" w:hAnsi="ITC Avant Garde"/>
        </w:rPr>
        <w:t xml:space="preserve">o Federal de Telecomunicaciones, y la </w:t>
      </w:r>
      <w:r w:rsidRPr="00096849">
        <w:rPr>
          <w:rFonts w:ascii="ITC Avant Garde" w:hAnsi="ITC Avant Garde"/>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w:t>
      </w:r>
      <w:r w:rsidRPr="00096849">
        <w:rPr>
          <w:rFonts w:ascii="ITC Avant Garde" w:hAnsi="ITC Avant Garde"/>
        </w:rPr>
        <w:lastRenderedPageBreak/>
        <w:t>aprobada mediante Acuerdo P/IFT/EXT/060314/76, y</w:t>
      </w:r>
      <w:r>
        <w:rPr>
          <w:rFonts w:ascii="ITC Avant Garde" w:hAnsi="ITC Avant Garde"/>
        </w:rPr>
        <w:t xml:space="preserve"> la</w:t>
      </w:r>
      <w:r w:rsidRPr="00096849">
        <w:rPr>
          <w:rFonts w:ascii="ITC Avant Garde" w:hAnsi="ITC Avant Garde"/>
        </w:rPr>
        <w:t xml:space="preserve">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P/IFT/EXT/270217/119</w:t>
      </w:r>
      <w:r>
        <w:rPr>
          <w:rFonts w:ascii="ITC Avant Garde" w:hAnsi="ITC Avant Garde"/>
        </w:rPr>
        <w:t xml:space="preserve"> (en lo sucesivo, las “Medidas Móviles”)</w:t>
      </w:r>
      <w:r w:rsidRPr="00096849">
        <w:rPr>
          <w:rFonts w:ascii="ITC Avant Garde" w:hAnsi="ITC Avant Garde"/>
        </w:rPr>
        <w:t>.</w:t>
      </w:r>
    </w:p>
    <w:p w14:paraId="16487020" w14:textId="77777777" w:rsidR="00C15421" w:rsidRPr="002A50FC" w:rsidRDefault="00C15421" w:rsidP="002A524D">
      <w:pPr>
        <w:spacing w:line="276" w:lineRule="auto"/>
        <w:ind w:left="-851" w:right="0"/>
        <w:rPr>
          <w:rFonts w:ascii="ITC Avant Garde" w:hAnsi="ITC Avant Garde"/>
        </w:rPr>
      </w:pPr>
    </w:p>
    <w:p w14:paraId="74023BD6" w14:textId="77777777" w:rsidR="00C15421" w:rsidRDefault="00C15421" w:rsidP="002A524D">
      <w:pPr>
        <w:spacing w:line="276" w:lineRule="auto"/>
        <w:ind w:left="-851" w:right="0"/>
        <w:rPr>
          <w:rFonts w:ascii="ITC Avant Garde" w:hAnsi="ITC Avant Garde"/>
        </w:rPr>
      </w:pPr>
      <w:r w:rsidRPr="002A50FC">
        <w:rPr>
          <w:rFonts w:ascii="ITC Avant Garde" w:hAnsi="ITC Avant Garde"/>
        </w:rPr>
        <w:t xml:space="preserve">Los objetivos principales de la </w:t>
      </w:r>
      <w:r>
        <w:rPr>
          <w:rFonts w:ascii="ITC Avant Garde" w:hAnsi="ITC Avant Garde"/>
        </w:rPr>
        <w:t>consulta pública consistieron</w:t>
      </w:r>
      <w:r w:rsidRPr="002A50FC">
        <w:rPr>
          <w:rFonts w:ascii="ITC Avant Garde" w:hAnsi="ITC Avant Garde"/>
        </w:rPr>
        <w:t xml:space="preserve"> en: i) contar con mayores elementos para determinar las condiciones bajo las cuales</w:t>
      </w:r>
      <w:r>
        <w:rPr>
          <w:rFonts w:ascii="ITC Avant Garde" w:hAnsi="ITC Avant Garde"/>
        </w:rPr>
        <w:t xml:space="preserve"> se deberán aprobar las Propuestas de Ofertas</w:t>
      </w:r>
      <w:r w:rsidRPr="002A50FC">
        <w:rPr>
          <w:rFonts w:ascii="ITC Avant Garde" w:hAnsi="ITC Avant Garde"/>
        </w:rPr>
        <w:t>; ii) favorecer la transparencia y participación ciudadana con el fin de recibir los comentarios y opiniones de regulados, cámaras</w:t>
      </w:r>
      <w:r>
        <w:rPr>
          <w:rFonts w:ascii="ITC Avant Garde" w:hAnsi="ITC Avant Garde"/>
        </w:rPr>
        <w:t xml:space="preserve"> industriales</w:t>
      </w:r>
      <w:r w:rsidRPr="002A50FC">
        <w:rPr>
          <w:rFonts w:ascii="ITC Avant Garde" w:hAnsi="ITC Avant Garde"/>
        </w:rPr>
        <w:t>, usuarios y audiencias</w:t>
      </w:r>
      <w:r>
        <w:rPr>
          <w:rFonts w:ascii="ITC Avant Garde" w:hAnsi="ITC Avant Garde"/>
        </w:rPr>
        <w:t xml:space="preserve"> sobre las Propuestas de Ofertas</w:t>
      </w:r>
      <w:r w:rsidRPr="002A50FC">
        <w:rPr>
          <w:rFonts w:ascii="ITC Avant Garde" w:hAnsi="ITC Avant Garde"/>
        </w:rPr>
        <w:t>; y iii) establecer las bases para aprobar o modificar las mismas.</w:t>
      </w:r>
    </w:p>
    <w:p w14:paraId="691E3E98" w14:textId="77777777" w:rsidR="00416A22" w:rsidRDefault="00416A22" w:rsidP="002A524D">
      <w:pPr>
        <w:spacing w:line="276" w:lineRule="auto"/>
        <w:ind w:left="-851" w:right="0"/>
        <w:rPr>
          <w:rFonts w:ascii="ITC Avant Garde" w:hAnsi="ITC Avant Garde"/>
        </w:rPr>
      </w:pPr>
    </w:p>
    <w:p w14:paraId="48544448" w14:textId="77777777" w:rsidR="00416A22" w:rsidRDefault="00416A22" w:rsidP="002A524D">
      <w:pPr>
        <w:spacing w:line="276" w:lineRule="auto"/>
        <w:ind w:left="-851"/>
        <w:rPr>
          <w:rFonts w:ascii="ITC Avant Garde" w:hAnsi="ITC Avant Garde" w:cs="ITC Avant Garde"/>
          <w:b/>
        </w:rPr>
      </w:pPr>
      <w:r>
        <w:rPr>
          <w:rFonts w:ascii="ITC Avant Garde" w:hAnsi="ITC Avant Garde" w:cs="ITC Avant Garde"/>
          <w:b/>
        </w:rPr>
        <w:t xml:space="preserve">Unidad Administrativa que promueve el proyecto: </w:t>
      </w:r>
      <w:r w:rsidRPr="00F7338C">
        <w:rPr>
          <w:rFonts w:ascii="ITC Avant Garde" w:hAnsi="ITC Avant Garde" w:cs="ITC Avant Garde"/>
        </w:rPr>
        <w:t>Unidad de Política Regulatoria.</w:t>
      </w:r>
    </w:p>
    <w:p w14:paraId="63CC49AF" w14:textId="77777777" w:rsidR="00416A22" w:rsidRPr="005B36F9" w:rsidRDefault="00416A22" w:rsidP="002A524D">
      <w:pPr>
        <w:spacing w:after="0" w:line="276" w:lineRule="auto"/>
        <w:ind w:left="-851" w:right="0" w:firstLine="0"/>
        <w:jc w:val="left"/>
        <w:rPr>
          <w:rFonts w:ascii="ITC Avant Garde" w:hAnsi="ITC Avant Garde"/>
        </w:rPr>
      </w:pPr>
    </w:p>
    <w:p w14:paraId="62629393" w14:textId="77777777" w:rsidR="00C15421" w:rsidRPr="0053503B" w:rsidRDefault="00C15421" w:rsidP="002A524D">
      <w:pPr>
        <w:spacing w:after="0" w:line="276" w:lineRule="auto"/>
        <w:ind w:left="-851" w:hanging="11"/>
        <w:rPr>
          <w:rFonts w:ascii="ITC Avant Garde" w:hAnsi="ITC Avant Garde" w:cs="ITC Avant Garde"/>
        </w:rPr>
      </w:pPr>
      <w:r w:rsidRPr="009E1B8A">
        <w:rPr>
          <w:rFonts w:ascii="ITC Avant Garde" w:hAnsi="ITC Avant Garde" w:cs="ITC Avant Garde"/>
          <w:b/>
        </w:rPr>
        <w:t>Participantes de la Consulta Pública:</w:t>
      </w:r>
    </w:p>
    <w:p w14:paraId="7AC44ADC" w14:textId="77777777" w:rsidR="00C15421" w:rsidRPr="005B36F9" w:rsidRDefault="00C15421" w:rsidP="002A524D">
      <w:pPr>
        <w:spacing w:line="276" w:lineRule="auto"/>
        <w:ind w:left="-851" w:right="0"/>
        <w:rPr>
          <w:rFonts w:ascii="ITC Avant Garde" w:hAnsi="ITC Avant Garde"/>
        </w:rPr>
      </w:pPr>
      <w:r w:rsidRPr="005B36F9">
        <w:rPr>
          <w:rFonts w:ascii="ITC Avant Garde" w:hAnsi="ITC Avant Garde"/>
        </w:rPr>
        <w:t xml:space="preserve">Durante el periodo de la consulta pública de mérito, se </w:t>
      </w:r>
      <w:r w:rsidRPr="005C05E7">
        <w:rPr>
          <w:rFonts w:ascii="ITC Avant Garde" w:hAnsi="ITC Avant Garde"/>
        </w:rPr>
        <w:t>recibieron 5 participaciones por parte de las siguientes personas morales:</w:t>
      </w:r>
    </w:p>
    <w:p w14:paraId="5778DFAB" w14:textId="77777777" w:rsidR="00C15421" w:rsidRPr="005B36F9" w:rsidRDefault="00C15421" w:rsidP="002A524D">
      <w:pPr>
        <w:spacing w:line="276" w:lineRule="auto"/>
        <w:ind w:left="-851" w:right="0"/>
        <w:rPr>
          <w:rFonts w:ascii="ITC Avant Garde" w:hAnsi="ITC Avant Garde"/>
        </w:rPr>
      </w:pPr>
    </w:p>
    <w:p w14:paraId="7AFEEBC6" w14:textId="77777777" w:rsidR="00C15421" w:rsidRPr="005B36F9" w:rsidRDefault="00C15421" w:rsidP="00221F60">
      <w:pPr>
        <w:pStyle w:val="Prrafodelista"/>
        <w:numPr>
          <w:ilvl w:val="0"/>
          <w:numId w:val="1"/>
        </w:numPr>
        <w:autoSpaceDE w:val="0"/>
        <w:autoSpaceDN w:val="0"/>
        <w:adjustRightInd w:val="0"/>
        <w:spacing w:after="0" w:line="276" w:lineRule="auto"/>
        <w:ind w:left="0" w:right="616"/>
        <w:rPr>
          <w:rFonts w:ascii="ITC Avant Garde" w:eastAsiaTheme="minorHAnsi" w:hAnsi="ITC Avant Garde" w:cs="ITC Avant Garde"/>
          <w:lang w:eastAsia="en-US"/>
        </w:rPr>
      </w:pPr>
      <w:r>
        <w:rPr>
          <w:rFonts w:ascii="ITC Avant Garde" w:eastAsiaTheme="minorHAnsi" w:hAnsi="ITC Avant Garde" w:cs="ITC Avant Garde"/>
          <w:lang w:eastAsia="en-US"/>
        </w:rPr>
        <w:t>Pegaso PCS, S.A. de C.V.</w:t>
      </w:r>
      <w:r w:rsidRPr="005B36F9">
        <w:rPr>
          <w:rFonts w:ascii="ITC Avant Garde" w:eastAsiaTheme="minorHAnsi" w:hAnsi="ITC Avant Garde" w:cs="ITC Avant Garde"/>
          <w:lang w:eastAsia="en-US"/>
        </w:rPr>
        <w:t xml:space="preserve"> </w:t>
      </w:r>
      <w:r w:rsidRPr="005B36F9">
        <w:rPr>
          <w:rFonts w:ascii="ITC Avant Garde" w:hAnsi="ITC Avant Garde"/>
        </w:rPr>
        <w:t>(</w:t>
      </w:r>
      <w:r>
        <w:rPr>
          <w:rFonts w:ascii="ITC Avant Garde" w:hAnsi="ITC Avant Garde"/>
        </w:rPr>
        <w:t xml:space="preserve">en lo sucesivo </w:t>
      </w:r>
      <w:r w:rsidRPr="005B36F9">
        <w:rPr>
          <w:rFonts w:ascii="ITC Avant Garde" w:hAnsi="ITC Avant Garde"/>
        </w:rPr>
        <w:t>“Telefónica”)</w:t>
      </w:r>
    </w:p>
    <w:p w14:paraId="20A8171F" w14:textId="77777777" w:rsidR="00C15421" w:rsidRDefault="00C15421" w:rsidP="00221F60">
      <w:pPr>
        <w:pStyle w:val="Prrafodelista"/>
        <w:numPr>
          <w:ilvl w:val="0"/>
          <w:numId w:val="1"/>
        </w:numPr>
        <w:autoSpaceDE w:val="0"/>
        <w:autoSpaceDN w:val="0"/>
        <w:adjustRightInd w:val="0"/>
        <w:spacing w:after="0" w:line="276" w:lineRule="auto"/>
        <w:ind w:left="0" w:right="616"/>
        <w:rPr>
          <w:rFonts w:ascii="ITC Avant Garde" w:eastAsiaTheme="minorHAnsi" w:hAnsi="ITC Avant Garde" w:cs="ITC Avant Garde"/>
          <w:lang w:eastAsia="en-US"/>
        </w:rPr>
      </w:pPr>
      <w:proofErr w:type="spellStart"/>
      <w:r w:rsidRPr="005B36F9">
        <w:rPr>
          <w:rFonts w:ascii="ITC Avant Garde" w:eastAsiaTheme="minorHAnsi" w:hAnsi="ITC Avant Garde" w:cs="ITC Avant Garde"/>
          <w:lang w:eastAsia="en-US"/>
        </w:rPr>
        <w:t>Operbes</w:t>
      </w:r>
      <w:proofErr w:type="spellEnd"/>
      <w:r w:rsidRPr="005B36F9">
        <w:rPr>
          <w:rFonts w:ascii="ITC Avant Garde" w:eastAsiaTheme="minorHAnsi" w:hAnsi="ITC Avant Garde" w:cs="ITC Avant Garde"/>
          <w:lang w:eastAsia="en-US"/>
        </w:rPr>
        <w:t xml:space="preserve">, S.A. de C.V, </w:t>
      </w:r>
      <w:proofErr w:type="spellStart"/>
      <w:r w:rsidRPr="005B36F9">
        <w:rPr>
          <w:rFonts w:ascii="ITC Avant Garde" w:eastAsiaTheme="minorHAnsi" w:hAnsi="ITC Avant Garde" w:cs="ITC Avant Garde"/>
          <w:lang w:eastAsia="en-US"/>
        </w:rPr>
        <w:t>Bestphone</w:t>
      </w:r>
      <w:proofErr w:type="spellEnd"/>
      <w:r w:rsidRPr="005B36F9">
        <w:rPr>
          <w:rFonts w:ascii="ITC Avant Garde" w:eastAsiaTheme="minorHAnsi" w:hAnsi="ITC Avant Garde" w:cs="ITC Avant Garde"/>
          <w:lang w:eastAsia="en-US"/>
        </w:rPr>
        <w:t xml:space="preserve">, S.A. de C.V., Cablevisión, S.A. de C.V., </w:t>
      </w:r>
      <w:proofErr w:type="spellStart"/>
      <w:r w:rsidRPr="005B36F9">
        <w:rPr>
          <w:rFonts w:ascii="ITC Avant Garde" w:eastAsiaTheme="minorHAnsi" w:hAnsi="ITC Avant Garde" w:cs="ITC Avant Garde"/>
          <w:lang w:eastAsia="en-US"/>
        </w:rPr>
        <w:t>Cablemás</w:t>
      </w:r>
      <w:proofErr w:type="spellEnd"/>
      <w:r w:rsidRPr="005B36F9">
        <w:rPr>
          <w:rFonts w:ascii="ITC Avant Garde" w:eastAsiaTheme="minorHAnsi" w:hAnsi="ITC Avant Garde" w:cs="ITC Avant Garde"/>
          <w:lang w:eastAsia="en-US"/>
        </w:rPr>
        <w:t xml:space="preserve"> Telecomunicaciones, S.A. de C.V., Cable y Comunicación de Campeche, S.A. de C.V., TV Cable de Oriente, S.A. de C.V. y Cablevisión Red, S.A. de C.V. (</w:t>
      </w:r>
      <w:r>
        <w:rPr>
          <w:rFonts w:ascii="ITC Avant Garde" w:eastAsiaTheme="minorHAnsi" w:hAnsi="ITC Avant Garde" w:cs="ITC Avant Garde"/>
          <w:lang w:eastAsia="en-US"/>
        </w:rPr>
        <w:t>en lo sucesivo “</w:t>
      </w:r>
      <w:r w:rsidRPr="005B36F9">
        <w:rPr>
          <w:rFonts w:ascii="ITC Avant Garde" w:eastAsiaTheme="minorHAnsi" w:hAnsi="ITC Avant Garde" w:cs="ITC Avant Garde"/>
          <w:lang w:eastAsia="en-US"/>
        </w:rPr>
        <w:t>Televisa”)</w:t>
      </w:r>
    </w:p>
    <w:p w14:paraId="6B8BD467" w14:textId="7E3139D0" w:rsidR="00C15421" w:rsidRDefault="00C15421" w:rsidP="00221F60">
      <w:pPr>
        <w:pStyle w:val="Prrafodelista"/>
        <w:numPr>
          <w:ilvl w:val="0"/>
          <w:numId w:val="1"/>
        </w:numPr>
        <w:autoSpaceDE w:val="0"/>
        <w:autoSpaceDN w:val="0"/>
        <w:adjustRightInd w:val="0"/>
        <w:spacing w:after="0" w:line="276" w:lineRule="auto"/>
        <w:ind w:left="0" w:right="616"/>
        <w:rPr>
          <w:rFonts w:ascii="ITC Avant Garde" w:eastAsiaTheme="minorHAnsi" w:hAnsi="ITC Avant Garde" w:cs="ITC Avant Garde"/>
          <w:lang w:eastAsia="en-US"/>
        </w:rPr>
      </w:pPr>
      <w:r>
        <w:rPr>
          <w:rFonts w:ascii="ITC Avant Garde" w:eastAsiaTheme="minorHAnsi" w:hAnsi="ITC Avant Garde" w:cs="ITC Avant Garde"/>
          <w:lang w:eastAsia="en-US"/>
        </w:rPr>
        <w:t>Cámara Nacional de la Industria Electrónica, de Telecomunicaciones y Tecnologías de la Información (en lo sucesivo, “CANIETI”)</w:t>
      </w:r>
    </w:p>
    <w:p w14:paraId="070DF845" w14:textId="77777777" w:rsidR="009E1B8A" w:rsidRPr="00B66661" w:rsidRDefault="009E1B8A" w:rsidP="00221F60">
      <w:pPr>
        <w:pStyle w:val="Prrafodelista"/>
        <w:numPr>
          <w:ilvl w:val="0"/>
          <w:numId w:val="1"/>
        </w:numPr>
        <w:autoSpaceDE w:val="0"/>
        <w:autoSpaceDN w:val="0"/>
        <w:adjustRightInd w:val="0"/>
        <w:spacing w:after="0" w:line="276" w:lineRule="auto"/>
        <w:ind w:left="0" w:right="616"/>
        <w:rPr>
          <w:rFonts w:ascii="ITC Avant Garde" w:eastAsiaTheme="minorHAnsi" w:hAnsi="ITC Avant Garde" w:cs="ITC Avant Garde"/>
          <w:lang w:eastAsia="en-US"/>
        </w:rPr>
      </w:pPr>
      <w:r w:rsidRPr="00B66661">
        <w:rPr>
          <w:rFonts w:ascii="ITC Avant Garde" w:eastAsiaTheme="minorHAnsi" w:hAnsi="ITC Avant Garde" w:cs="ITC Avant Garde"/>
          <w:lang w:eastAsia="en-US"/>
        </w:rPr>
        <w:t>Axtel, S.A.B. de C.V. (en lo sucesivo, “Axtel”)</w:t>
      </w:r>
    </w:p>
    <w:p w14:paraId="4183EB7B" w14:textId="37D56E79" w:rsidR="009E1B8A" w:rsidRDefault="009E1B8A" w:rsidP="00221F60">
      <w:pPr>
        <w:pStyle w:val="Prrafodelista"/>
        <w:numPr>
          <w:ilvl w:val="0"/>
          <w:numId w:val="1"/>
        </w:numPr>
        <w:autoSpaceDE w:val="0"/>
        <w:autoSpaceDN w:val="0"/>
        <w:adjustRightInd w:val="0"/>
        <w:spacing w:after="0" w:line="276" w:lineRule="auto"/>
        <w:ind w:left="0" w:right="616"/>
        <w:rPr>
          <w:rFonts w:ascii="ITC Avant Garde" w:eastAsiaTheme="minorHAnsi" w:hAnsi="ITC Avant Garde" w:cs="ITC Avant Garde"/>
          <w:lang w:eastAsia="en-US"/>
        </w:rPr>
      </w:pPr>
      <w:r>
        <w:rPr>
          <w:rFonts w:ascii="ITC Avant Garde" w:eastAsiaTheme="minorHAnsi" w:hAnsi="ITC Avant Garde" w:cs="ITC Avant Garde"/>
          <w:lang w:eastAsia="en-US"/>
        </w:rPr>
        <w:t>Telecomunicaciones 360, S.A. de C.V. (en lo sucesivo, “Telecomunicaciones 360)</w:t>
      </w:r>
    </w:p>
    <w:p w14:paraId="4D75981A" w14:textId="77777777" w:rsidR="000B5810" w:rsidRPr="005B36F9" w:rsidRDefault="000B5810" w:rsidP="002A524D">
      <w:pPr>
        <w:autoSpaceDE w:val="0"/>
        <w:autoSpaceDN w:val="0"/>
        <w:adjustRightInd w:val="0"/>
        <w:spacing w:after="0" w:line="276" w:lineRule="auto"/>
        <w:ind w:left="-851" w:right="0" w:firstLine="0"/>
        <w:rPr>
          <w:rFonts w:ascii="ITC Avant Garde" w:eastAsiaTheme="minorHAnsi" w:hAnsi="ITC Avant Garde" w:cs="ITC Avant Garde"/>
          <w:lang w:eastAsia="en-US"/>
        </w:rPr>
      </w:pPr>
    </w:p>
    <w:p w14:paraId="64A799EB" w14:textId="77777777" w:rsidR="00416A22" w:rsidRPr="0053503B" w:rsidRDefault="00416A22" w:rsidP="002A524D">
      <w:pPr>
        <w:spacing w:after="0" w:line="276" w:lineRule="auto"/>
        <w:ind w:left="-851" w:hanging="11"/>
        <w:rPr>
          <w:rFonts w:ascii="ITC Avant Garde" w:hAnsi="ITC Avant Garde" w:cs="ITC Avant Garde"/>
        </w:rPr>
      </w:pPr>
      <w:r>
        <w:rPr>
          <w:rFonts w:ascii="ITC Avant Garde" w:hAnsi="ITC Avant Garde" w:cs="ITC Avant Garde"/>
          <w:b/>
        </w:rPr>
        <w:t>Respuestas y posicionamientos por parte del Instituto:</w:t>
      </w:r>
    </w:p>
    <w:p w14:paraId="02BC78BF" w14:textId="30EE8B30" w:rsidR="00352EEF" w:rsidRPr="005B36F9" w:rsidRDefault="00C15421" w:rsidP="002A524D">
      <w:pPr>
        <w:spacing w:line="276" w:lineRule="auto"/>
        <w:ind w:left="-851" w:right="0"/>
        <w:rPr>
          <w:rFonts w:ascii="ITC Avant Garde" w:hAnsi="ITC Avant Garde"/>
        </w:rPr>
      </w:pPr>
      <w:r>
        <w:rPr>
          <w:rFonts w:ascii="ITC Avant Garde" w:hAnsi="ITC Avant Garde"/>
        </w:rPr>
        <w:t>S</w:t>
      </w:r>
      <w:r w:rsidR="005C2139" w:rsidRPr="005B36F9">
        <w:rPr>
          <w:rFonts w:ascii="ITC Avant Garde" w:hAnsi="ITC Avant Garde"/>
        </w:rPr>
        <w:t xml:space="preserve">e señala que el orden en </w:t>
      </w:r>
      <w:r w:rsidR="005E75EF">
        <w:rPr>
          <w:rFonts w:ascii="ITC Avant Garde" w:hAnsi="ITC Avant Garde"/>
        </w:rPr>
        <w:t xml:space="preserve">el </w:t>
      </w:r>
      <w:r w:rsidR="005C2139" w:rsidRPr="005B36F9">
        <w:rPr>
          <w:rFonts w:ascii="ITC Avant Garde" w:hAnsi="ITC Avant Garde"/>
        </w:rPr>
        <w:t>que son abordados cada uno de los temas y numerales genéricos mencionados, obedece primordialmente al orden en que cada uno de éstos aparece</w:t>
      </w:r>
      <w:r w:rsidR="001368EC" w:rsidRPr="005B36F9">
        <w:rPr>
          <w:rFonts w:ascii="ITC Avant Garde" w:hAnsi="ITC Avant Garde"/>
        </w:rPr>
        <w:t>n</w:t>
      </w:r>
      <w:r w:rsidR="005C2139" w:rsidRPr="005B36F9">
        <w:rPr>
          <w:rFonts w:ascii="ITC Avant Garde" w:hAnsi="ITC Avant Garde"/>
        </w:rPr>
        <w:t xml:space="preserve"> en</w:t>
      </w:r>
      <w:r w:rsidR="001368EC" w:rsidRPr="005B36F9">
        <w:rPr>
          <w:rFonts w:ascii="ITC Avant Garde" w:hAnsi="ITC Avant Garde"/>
        </w:rPr>
        <w:t xml:space="preserve"> la Propuesta de </w:t>
      </w:r>
      <w:r w:rsidR="007D20DF" w:rsidRPr="00B72C7A">
        <w:rPr>
          <w:rFonts w:ascii="ITC Avant Garde" w:hAnsi="ITC Avant Garde"/>
          <w:b/>
          <w:i/>
        </w:rPr>
        <w:t>Oferta de Referencia para la Prestación del Servicio Mayorista de Comercialización o Reventa de Servicios prestado por el Agente Económico Preponderante en el Sector de las Telecomunicaciones</w:t>
      </w:r>
      <w:r w:rsidR="007D20DF" w:rsidRPr="007D20DF">
        <w:rPr>
          <w:rFonts w:ascii="ITC Avant Garde" w:hAnsi="ITC Avant Garde"/>
        </w:rPr>
        <w:t xml:space="preserve"> (en los sucesivo, la “Oferta”)</w:t>
      </w:r>
      <w:r w:rsidR="004210F9">
        <w:rPr>
          <w:rFonts w:ascii="ITC Avant Garde" w:hAnsi="ITC Avant Garde"/>
        </w:rPr>
        <w:t>,</w:t>
      </w:r>
      <w:r w:rsidR="007D20DF" w:rsidRPr="007D20DF">
        <w:rPr>
          <w:rFonts w:ascii="ITC Avant Garde" w:hAnsi="ITC Avant Garde"/>
        </w:rPr>
        <w:t xml:space="preserve"> prestada por Radiomóvil Dipsa, S.A. de C.V., (en lo sucesivo, “Telcel”) integrante del Agente Económico Preponderante (en lo sucesivo, el “AEP”) en el S</w:t>
      </w:r>
      <w:r w:rsidR="007D20DF">
        <w:rPr>
          <w:rFonts w:ascii="ITC Avant Garde" w:hAnsi="ITC Avant Garde"/>
        </w:rPr>
        <w:t>ector de las Telecomunicaciones.</w:t>
      </w:r>
    </w:p>
    <w:p w14:paraId="6D4B1954" w14:textId="77777777" w:rsidR="00352EEF" w:rsidRPr="005E5201" w:rsidRDefault="00352EEF" w:rsidP="002A524D">
      <w:pPr>
        <w:spacing w:line="276" w:lineRule="auto"/>
        <w:ind w:left="-851" w:right="0"/>
        <w:rPr>
          <w:rFonts w:ascii="ITC Avant Garde" w:hAnsi="ITC Avant Garde"/>
          <w:color w:val="auto"/>
        </w:rPr>
      </w:pPr>
    </w:p>
    <w:p w14:paraId="02A781AE" w14:textId="47A9C68E" w:rsidR="00BC09A3" w:rsidRDefault="00BC09A3" w:rsidP="002A524D">
      <w:pPr>
        <w:spacing w:line="276" w:lineRule="auto"/>
        <w:ind w:left="-851" w:right="0"/>
        <w:rPr>
          <w:rFonts w:ascii="ITC Avant Garde" w:hAnsi="ITC Avant Garde"/>
        </w:rPr>
      </w:pPr>
      <w:r w:rsidRPr="005B36F9">
        <w:rPr>
          <w:rFonts w:ascii="ITC Avant Garde" w:hAnsi="ITC Avant Garde"/>
        </w:rPr>
        <w:lastRenderedPageBreak/>
        <w:t>Por lo anterior, el Instituto emite las siguientes respuestas y con</w:t>
      </w:r>
      <w:r w:rsidR="007B0E47" w:rsidRPr="005B36F9">
        <w:rPr>
          <w:rFonts w:ascii="ITC Avant Garde" w:hAnsi="ITC Avant Garde"/>
        </w:rPr>
        <w:t>sideraciones para cada una de la</w:t>
      </w:r>
      <w:r w:rsidRPr="005B36F9">
        <w:rPr>
          <w:rFonts w:ascii="ITC Avant Garde" w:hAnsi="ITC Avant Garde"/>
        </w:rPr>
        <w:t>s</w:t>
      </w:r>
      <w:r w:rsidR="007B0E47" w:rsidRPr="005B36F9">
        <w:rPr>
          <w:rFonts w:ascii="ITC Avant Garde" w:hAnsi="ITC Avant Garde"/>
        </w:rPr>
        <w:t xml:space="preserve"> participaciones</w:t>
      </w:r>
      <w:r w:rsidR="004B5491" w:rsidRPr="005B36F9">
        <w:rPr>
          <w:rFonts w:ascii="ITC Avant Garde" w:hAnsi="ITC Avant Garde"/>
        </w:rPr>
        <w:t xml:space="preserve"> recibidas</w:t>
      </w:r>
      <w:r w:rsidRPr="005B36F9">
        <w:rPr>
          <w:rFonts w:ascii="ITC Avant Garde" w:hAnsi="ITC Avant Garde"/>
        </w:rPr>
        <w:t xml:space="preserve">:  </w:t>
      </w:r>
    </w:p>
    <w:p w14:paraId="1503769A" w14:textId="77777777" w:rsidR="00F96416" w:rsidRDefault="00F96416" w:rsidP="002A524D">
      <w:pPr>
        <w:spacing w:line="276" w:lineRule="auto"/>
        <w:ind w:left="-851" w:right="0"/>
        <w:rPr>
          <w:rFonts w:ascii="ITC Avant Garde" w:hAnsi="ITC Avant Garde"/>
        </w:rPr>
      </w:pPr>
    </w:p>
    <w:p w14:paraId="0181DB3A" w14:textId="48609F49" w:rsidR="00B06926" w:rsidRPr="00B06926" w:rsidRDefault="00B06926" w:rsidP="002A524D">
      <w:pPr>
        <w:spacing w:after="0" w:line="276" w:lineRule="auto"/>
        <w:ind w:left="-851" w:right="49"/>
        <w:rPr>
          <w:rFonts w:ascii="ITC Avant Garde" w:hAnsi="ITC Avant Garde"/>
          <w:b/>
          <w:color w:val="auto"/>
          <w:u w:val="single"/>
        </w:rPr>
      </w:pPr>
      <w:r w:rsidRPr="00B06926">
        <w:rPr>
          <w:rFonts w:ascii="ITC Avant Garde" w:hAnsi="ITC Avant Garde"/>
          <w:b/>
          <w:color w:val="auto"/>
          <w:u w:val="single"/>
        </w:rPr>
        <w:t>3. Definiciones</w:t>
      </w:r>
    </w:p>
    <w:p w14:paraId="6DC3EBFA" w14:textId="459A73C4" w:rsidR="00B06926" w:rsidRPr="00CC72B9" w:rsidRDefault="00B06926" w:rsidP="002A524D">
      <w:pPr>
        <w:spacing w:after="0" w:line="276" w:lineRule="auto"/>
        <w:ind w:left="-851" w:right="0" w:firstLine="0"/>
        <w:rPr>
          <w:rFonts w:ascii="ITC Avant Garde" w:hAnsi="ITC Avant Garde"/>
          <w:b/>
          <w:color w:val="auto"/>
        </w:rPr>
      </w:pPr>
      <w:r>
        <w:rPr>
          <w:rFonts w:ascii="ITC Avant Garde" w:hAnsi="ITC Avant Garde"/>
          <w:b/>
          <w:color w:val="auto"/>
        </w:rPr>
        <w:t>Televisa</w:t>
      </w:r>
      <w:r w:rsidR="00295BB7">
        <w:rPr>
          <w:rFonts w:ascii="ITC Avant Garde" w:hAnsi="ITC Avant Garde"/>
          <w:b/>
          <w:color w:val="auto"/>
        </w:rPr>
        <w:t>, CANIETI</w:t>
      </w:r>
      <w:r w:rsidRPr="00CC72B9">
        <w:rPr>
          <w:rFonts w:ascii="ITC Avant Garde" w:hAnsi="ITC Avant Garde"/>
          <w:b/>
          <w:color w:val="auto"/>
        </w:rPr>
        <w:t>:</w:t>
      </w:r>
    </w:p>
    <w:p w14:paraId="5730342E" w14:textId="613C3123" w:rsidR="0090132B" w:rsidRDefault="00EF7397" w:rsidP="002A524D">
      <w:pPr>
        <w:spacing w:line="276" w:lineRule="auto"/>
        <w:ind w:left="-851" w:right="0"/>
        <w:rPr>
          <w:rFonts w:ascii="ITC Avant Garde" w:hAnsi="ITC Avant Garde"/>
        </w:rPr>
      </w:pPr>
      <w:r>
        <w:rPr>
          <w:rFonts w:ascii="ITC Avant Garde" w:hAnsi="ITC Avant Garde"/>
        </w:rPr>
        <w:t>Refiere</w:t>
      </w:r>
      <w:r w:rsidR="00374359">
        <w:rPr>
          <w:rFonts w:ascii="ITC Avant Garde" w:hAnsi="ITC Avant Garde"/>
        </w:rPr>
        <w:t>n</w:t>
      </w:r>
      <w:r>
        <w:rPr>
          <w:rFonts w:ascii="ITC Avant Garde" w:hAnsi="ITC Avant Garde"/>
        </w:rPr>
        <w:t xml:space="preserve"> que</w:t>
      </w:r>
      <w:r w:rsidR="00F15959" w:rsidRPr="0010413E">
        <w:rPr>
          <w:rFonts w:ascii="ITC Avant Garde" w:hAnsi="ITC Avant Garde"/>
        </w:rPr>
        <w:t xml:space="preserve"> la OREDA</w:t>
      </w:r>
      <w:r w:rsidR="004D6BD0">
        <w:rPr>
          <w:rFonts w:ascii="ITC Avant Garde" w:hAnsi="ITC Avant Garde"/>
        </w:rPr>
        <w:t xml:space="preserve"> vigente</w:t>
      </w:r>
      <w:r w:rsidR="004D6BD0">
        <w:rPr>
          <w:rStyle w:val="Refdenotaalpie"/>
          <w:rFonts w:ascii="ITC Avant Garde" w:hAnsi="ITC Avant Garde"/>
        </w:rPr>
        <w:footnoteReference w:id="1"/>
      </w:r>
      <w:r w:rsidR="00CC48E9">
        <w:rPr>
          <w:rFonts w:ascii="ITC Avant Garde" w:hAnsi="ITC Avant Garde"/>
        </w:rPr>
        <w:t xml:space="preserve"> establece que los servicios de “Reventa”</w:t>
      </w:r>
      <w:r>
        <w:rPr>
          <w:rFonts w:ascii="ITC Avant Garde" w:hAnsi="ITC Avant Garde"/>
        </w:rPr>
        <w:t xml:space="preserve"> permite</w:t>
      </w:r>
      <w:r w:rsidR="00F15959" w:rsidRPr="0010413E">
        <w:rPr>
          <w:rFonts w:ascii="ITC Avant Garde" w:hAnsi="ITC Avant Garde"/>
        </w:rPr>
        <w:t xml:space="preserve"> a los concesionarios comercializar los servicios o paquetes comerciales </w:t>
      </w:r>
      <w:r w:rsidR="00C51256" w:rsidRPr="0010413E">
        <w:rPr>
          <w:rFonts w:ascii="ITC Avant Garde" w:hAnsi="ITC Avant Garde"/>
        </w:rPr>
        <w:t>que en la actualidad el AEP tiene autorizados y registrados ante el Instituto, en los mismos términos y condiciones que ofrece a sus usuarios finales.</w:t>
      </w:r>
      <w:r w:rsidR="0010413E" w:rsidRPr="0010413E">
        <w:rPr>
          <w:rFonts w:ascii="ITC Avant Garde" w:hAnsi="ITC Avant Garde"/>
        </w:rPr>
        <w:t xml:space="preserve"> </w:t>
      </w:r>
      <w:r w:rsidR="0090132B" w:rsidRPr="0010413E">
        <w:rPr>
          <w:rFonts w:ascii="ITC Avant Garde" w:hAnsi="ITC Avant Garde"/>
        </w:rPr>
        <w:t>Señala que</w:t>
      </w:r>
      <w:r w:rsidR="00CC0670" w:rsidRPr="0010413E">
        <w:rPr>
          <w:rFonts w:ascii="ITC Avant Garde" w:hAnsi="ITC Avant Garde"/>
        </w:rPr>
        <w:t>,</w:t>
      </w:r>
      <w:r w:rsidR="0090132B" w:rsidRPr="0010413E">
        <w:rPr>
          <w:rFonts w:ascii="ITC Avant Garde" w:hAnsi="ITC Avant Garde"/>
        </w:rPr>
        <w:t xml:space="preserve"> al igual que en la OREDA, el AEP deberá ofrecer a los concesionarios</w:t>
      </w:r>
      <w:r w:rsidR="0090132B">
        <w:rPr>
          <w:rFonts w:ascii="ITC Avant Garde" w:hAnsi="ITC Avant Garde"/>
        </w:rPr>
        <w:t xml:space="preserve"> las nuevas ofertas comerciales de paquetes una vez que</w:t>
      </w:r>
      <w:r w:rsidR="00E17871">
        <w:rPr>
          <w:rFonts w:ascii="ITC Avant Garde" w:hAnsi="ITC Avant Garde"/>
        </w:rPr>
        <w:t xml:space="preserve"> las autorice el Instituto, por lo</w:t>
      </w:r>
      <w:r w:rsidR="0090132B">
        <w:rPr>
          <w:rFonts w:ascii="ITC Avant Garde" w:hAnsi="ITC Avant Garde"/>
        </w:rPr>
        <w:t xml:space="preserve"> que</w:t>
      </w:r>
      <w:r w:rsidR="00E17871">
        <w:rPr>
          <w:rFonts w:ascii="ITC Avant Garde" w:hAnsi="ITC Avant Garde"/>
        </w:rPr>
        <w:t xml:space="preserve"> Telcel</w:t>
      </w:r>
      <w:r w:rsidR="0090132B">
        <w:rPr>
          <w:rFonts w:ascii="ITC Avant Garde" w:hAnsi="ITC Avant Garde"/>
        </w:rPr>
        <w:t xml:space="preserve"> deberá publicar en el SEG </w:t>
      </w:r>
      <w:r w:rsidR="007B78DC">
        <w:rPr>
          <w:rFonts w:ascii="ITC Avant Garde" w:hAnsi="ITC Avant Garde"/>
        </w:rPr>
        <w:t>las ofertas registradas y autorizadas por el Instituto para que los concesionarios puedan seleccionarlas d</w:t>
      </w:r>
      <w:r w:rsidR="00CC0670">
        <w:rPr>
          <w:rFonts w:ascii="ITC Avant Garde" w:hAnsi="ITC Avant Garde"/>
        </w:rPr>
        <w:t>irectamente</w:t>
      </w:r>
      <w:r w:rsidR="00B23164">
        <w:rPr>
          <w:rFonts w:ascii="ITC Avant Garde" w:hAnsi="ITC Avant Garde"/>
        </w:rPr>
        <w:t>.</w:t>
      </w:r>
      <w:r w:rsidR="00404D95">
        <w:rPr>
          <w:rFonts w:ascii="ITC Avant Garde" w:hAnsi="ITC Avant Garde"/>
        </w:rPr>
        <w:t xml:space="preserve"> Por lo anterior, propone modificar la definición de “Revendedor” y “Comerci</w:t>
      </w:r>
      <w:r w:rsidR="006F37F2">
        <w:rPr>
          <w:rFonts w:ascii="ITC Avant Garde" w:hAnsi="ITC Avant Garde"/>
        </w:rPr>
        <w:t>a</w:t>
      </w:r>
      <w:r w:rsidR="00404D95">
        <w:rPr>
          <w:rFonts w:ascii="ITC Avant Garde" w:hAnsi="ITC Avant Garde"/>
        </w:rPr>
        <w:t>lización o Reventa de Servicios” en los siguientes términos:</w:t>
      </w:r>
    </w:p>
    <w:p w14:paraId="60B1A5FD" w14:textId="69B8E642" w:rsidR="004C647F" w:rsidRDefault="004C647F" w:rsidP="002A524D">
      <w:pPr>
        <w:spacing w:line="276" w:lineRule="auto"/>
        <w:ind w:left="-851" w:right="0"/>
        <w:rPr>
          <w:rFonts w:ascii="ITC Avant Garde" w:hAnsi="ITC Avant Garde"/>
        </w:rPr>
      </w:pPr>
    </w:p>
    <w:p w14:paraId="756653FB" w14:textId="6995A7CC" w:rsidR="004C647F" w:rsidRDefault="00A60C12" w:rsidP="00221F60">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004C647F" w:rsidRPr="00A60C12">
        <w:rPr>
          <w:rFonts w:ascii="ITC Avant Garde" w:eastAsia="Calibri" w:hAnsi="ITC Avant Garde" w:cs="Arial"/>
          <w:i/>
          <w:color w:val="auto"/>
          <w:sz w:val="18"/>
          <w:szCs w:val="18"/>
          <w:lang w:eastAsia="en-US"/>
        </w:rPr>
        <w:t xml:space="preserve">Revendedor: </w:t>
      </w:r>
      <w:r w:rsidR="004C647F" w:rsidRPr="00A60C12">
        <w:rPr>
          <w:rFonts w:ascii="ITC Avant Garde" w:eastAsia="Calibri" w:hAnsi="ITC Avant Garde" w:cs="Arial"/>
          <w:i/>
          <w:strike/>
          <w:color w:val="auto"/>
          <w:sz w:val="18"/>
          <w:szCs w:val="18"/>
          <w:lang w:eastAsia="en-US"/>
        </w:rPr>
        <w:t>Es un operador móvil virtual que no dispone de infraestructura y cuenta con su propia marca y canales de distribución</w:t>
      </w:r>
      <w:r w:rsidR="004C647F" w:rsidRPr="00A60C12">
        <w:rPr>
          <w:rFonts w:ascii="ITC Avant Garde" w:eastAsia="Calibri" w:hAnsi="ITC Avant Garde" w:cs="Arial"/>
          <w:i/>
          <w:color w:val="auto"/>
          <w:sz w:val="18"/>
          <w:szCs w:val="18"/>
          <w:lang w:eastAsia="en-US"/>
        </w:rPr>
        <w:t xml:space="preserve">. </w:t>
      </w:r>
      <w:r w:rsidR="004C647F" w:rsidRPr="00A60C12">
        <w:rPr>
          <w:rFonts w:ascii="ITC Avant Garde" w:eastAsia="Calibri" w:hAnsi="ITC Avant Garde" w:cs="Arial"/>
          <w:i/>
          <w:color w:val="auto"/>
          <w:sz w:val="18"/>
          <w:szCs w:val="18"/>
          <w:u w:val="single"/>
          <w:lang w:eastAsia="en-US"/>
        </w:rPr>
        <w:t>Es el CS que tiene permitido comercializar o revender las tarifas o paquetes autorizados y registrados por parte de Telcel ante el Instituto, en los mismos términos y condiciones que este ofrece a sus usuarios finales. El Revendedor podrá ofrecer a sus usuarios finales las nuevas ofertas comerciales móviles de Telcel una vez que se las autorice el Instituto</w:t>
      </w:r>
      <w:r w:rsidR="004C647F" w:rsidRPr="00A60C12">
        <w:rPr>
          <w:rFonts w:ascii="ITC Avant Garde" w:eastAsia="Calibri" w:hAnsi="ITC Avant Garde" w:cs="Arial"/>
          <w:i/>
          <w:color w:val="auto"/>
          <w:sz w:val="18"/>
          <w:szCs w:val="18"/>
          <w:lang w:eastAsia="en-US"/>
        </w:rPr>
        <w:t>.</w:t>
      </w:r>
      <w:r>
        <w:rPr>
          <w:rFonts w:ascii="ITC Avant Garde" w:eastAsia="Calibri" w:hAnsi="ITC Avant Garde" w:cs="Arial"/>
          <w:i/>
          <w:color w:val="auto"/>
          <w:sz w:val="18"/>
          <w:szCs w:val="18"/>
          <w:lang w:eastAsia="en-US"/>
        </w:rPr>
        <w:t>”</w:t>
      </w:r>
    </w:p>
    <w:p w14:paraId="3DE351A2" w14:textId="77777777" w:rsidR="00A60C12" w:rsidRPr="00105996" w:rsidRDefault="00A60C12" w:rsidP="00221F60">
      <w:pPr>
        <w:spacing w:after="0" w:line="276" w:lineRule="auto"/>
        <w:ind w:left="-284"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3A683A18" w14:textId="77777777" w:rsidR="00472A64" w:rsidRPr="00A60C12" w:rsidRDefault="00472A64" w:rsidP="00221F60">
      <w:pPr>
        <w:spacing w:after="0" w:line="276" w:lineRule="auto"/>
        <w:ind w:left="-284" w:right="615" w:firstLine="0"/>
        <w:rPr>
          <w:rFonts w:ascii="ITC Avant Garde" w:eastAsia="Calibri" w:hAnsi="ITC Avant Garde" w:cs="Arial"/>
          <w:i/>
          <w:color w:val="auto"/>
          <w:sz w:val="18"/>
          <w:szCs w:val="18"/>
          <w:lang w:eastAsia="en-US"/>
        </w:rPr>
      </w:pPr>
    </w:p>
    <w:p w14:paraId="1BA5D6F7" w14:textId="4787FBFB" w:rsidR="00A529D7" w:rsidRDefault="00472A64" w:rsidP="00221F60">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472A64">
        <w:rPr>
          <w:rFonts w:ascii="ITC Avant Garde" w:eastAsia="Calibri" w:hAnsi="ITC Avant Garde" w:cs="Arial"/>
          <w:i/>
          <w:color w:val="auto"/>
          <w:sz w:val="18"/>
          <w:szCs w:val="18"/>
          <w:lang w:eastAsia="en-US"/>
        </w:rPr>
        <w:t xml:space="preserve">Comercialización o Reventa de Servicios: Se entiende como comercialización o reventa de servicios de telecomunicaciones </w:t>
      </w:r>
      <w:r w:rsidRPr="00472A64">
        <w:rPr>
          <w:rFonts w:ascii="ITC Avant Garde" w:eastAsia="Calibri" w:hAnsi="ITC Avant Garde" w:cs="Arial"/>
          <w:i/>
          <w:strike/>
          <w:color w:val="auto"/>
          <w:sz w:val="18"/>
          <w:szCs w:val="18"/>
          <w:lang w:eastAsia="en-US"/>
        </w:rPr>
        <w:t>a toda actividad realizada por un OMV para vender los servicios de telecomunicaciones de voz, SMS y datos, al amparo de una Oferta de Referencia suscrita con Telcel, donde algún tercero, realiza transacciones de venta de los servicios de telecomunicaciones de Telcel a sus Usuarios Finales.</w:t>
      </w:r>
      <w:r w:rsidRPr="00472A64">
        <w:rPr>
          <w:rFonts w:ascii="ITC Avant Garde" w:eastAsia="Calibri" w:hAnsi="ITC Avant Garde" w:cs="Arial"/>
          <w:i/>
          <w:color w:val="auto"/>
          <w:sz w:val="18"/>
          <w:szCs w:val="18"/>
          <w:lang w:eastAsia="en-US"/>
        </w:rPr>
        <w:t xml:space="preserve"> </w:t>
      </w:r>
      <w:r w:rsidRPr="00472A64">
        <w:rPr>
          <w:rFonts w:ascii="ITC Avant Garde" w:eastAsia="Calibri" w:hAnsi="ITC Avant Garde" w:cs="Arial"/>
          <w:i/>
          <w:color w:val="auto"/>
          <w:sz w:val="18"/>
          <w:szCs w:val="18"/>
          <w:u w:val="single"/>
          <w:lang w:eastAsia="en-US"/>
        </w:rPr>
        <w:t>móviles a la posibilidad de que un CS pueda revender o comercializar los servicios de telefonía e internet móvil de Telcel, mediante las tarifas unitarias de la Oferta de Referencia o replicando los paquetes comerciales de Telcel. Telcel realizará la provisión de los paquetes que tiene autorizados y registrados ante el Instituto, bajo las mismas condiciones comerciales que ofrece para sus usuarios finales. Telcel ofrecerá a los CS las nuevas ofertas comerciales de Paquetes una vez que se las autorice el Instituto. Para ello, publicará en el SEG las ofertas registradas y autorizadas al Instituto</w:t>
      </w:r>
      <w:r w:rsidRPr="00472A64">
        <w:rPr>
          <w:rFonts w:ascii="ITC Avant Garde" w:eastAsia="Calibri" w:hAnsi="ITC Avant Garde" w:cs="Arial"/>
          <w:i/>
          <w:color w:val="auto"/>
          <w:sz w:val="18"/>
          <w:szCs w:val="18"/>
          <w:lang w:eastAsia="en-US"/>
        </w:rPr>
        <w:t>.</w:t>
      </w:r>
      <w:r>
        <w:rPr>
          <w:rFonts w:ascii="ITC Avant Garde" w:eastAsia="Calibri" w:hAnsi="ITC Avant Garde" w:cs="Arial"/>
          <w:i/>
          <w:color w:val="auto"/>
          <w:sz w:val="18"/>
          <w:szCs w:val="18"/>
          <w:lang w:eastAsia="en-US"/>
        </w:rPr>
        <w:t>”</w:t>
      </w:r>
    </w:p>
    <w:p w14:paraId="294325EA" w14:textId="77777777" w:rsidR="00472A64" w:rsidRPr="00105996" w:rsidRDefault="00472A64" w:rsidP="00221F60">
      <w:pPr>
        <w:spacing w:after="0" w:line="276" w:lineRule="auto"/>
        <w:ind w:left="-284"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46DAB442" w14:textId="77777777" w:rsidR="00472A64" w:rsidRPr="00472A64" w:rsidRDefault="00472A64" w:rsidP="002A524D">
      <w:pPr>
        <w:spacing w:after="0" w:line="276" w:lineRule="auto"/>
        <w:ind w:left="-851" w:right="615" w:firstLine="0"/>
        <w:rPr>
          <w:rFonts w:ascii="ITC Avant Garde" w:eastAsia="Calibri" w:hAnsi="ITC Avant Garde" w:cs="Arial"/>
          <w:i/>
          <w:color w:val="auto"/>
          <w:sz w:val="18"/>
          <w:szCs w:val="18"/>
          <w:lang w:eastAsia="en-US"/>
        </w:rPr>
      </w:pPr>
    </w:p>
    <w:p w14:paraId="66AC6266" w14:textId="77777777" w:rsidR="0004599A" w:rsidRDefault="0004599A" w:rsidP="002A524D">
      <w:pPr>
        <w:spacing w:after="0" w:line="276" w:lineRule="auto"/>
        <w:ind w:left="-851" w:right="0" w:firstLine="0"/>
        <w:rPr>
          <w:rFonts w:ascii="ITC Avant Garde" w:hAnsi="ITC Avant Garde"/>
          <w:b/>
          <w:color w:val="auto"/>
        </w:rPr>
      </w:pPr>
      <w:r w:rsidRPr="00343A4F">
        <w:rPr>
          <w:rFonts w:ascii="ITC Avant Garde" w:hAnsi="ITC Avant Garde"/>
          <w:b/>
          <w:color w:val="auto"/>
        </w:rPr>
        <w:t xml:space="preserve">Consideraciones del Instituto </w:t>
      </w:r>
    </w:p>
    <w:p w14:paraId="57EC638B" w14:textId="689A94F8" w:rsidR="004146CC" w:rsidRDefault="004146CC" w:rsidP="002A524D">
      <w:pPr>
        <w:spacing w:line="276" w:lineRule="auto"/>
        <w:ind w:left="-851" w:right="0"/>
        <w:rPr>
          <w:rFonts w:ascii="ITC Avant Garde" w:hAnsi="ITC Avant Garde"/>
          <w:color w:val="auto"/>
        </w:rPr>
      </w:pPr>
      <w:r>
        <w:rPr>
          <w:rFonts w:ascii="ITC Avant Garde" w:hAnsi="ITC Avant Garde"/>
          <w:color w:val="auto"/>
        </w:rPr>
        <w:t xml:space="preserve">Al respecto se señala que el Anexo I Oferta de Servicios, ya considera el poner a disposición de los OMV la oferta comercial de Telcel. </w:t>
      </w:r>
    </w:p>
    <w:p w14:paraId="69897550" w14:textId="6C69AF8B" w:rsidR="004146CC" w:rsidRDefault="004146CC" w:rsidP="002A524D">
      <w:pPr>
        <w:spacing w:line="276" w:lineRule="auto"/>
        <w:ind w:left="-851" w:right="0"/>
        <w:rPr>
          <w:rFonts w:ascii="ITC Avant Garde" w:hAnsi="ITC Avant Garde"/>
          <w:color w:val="auto"/>
        </w:rPr>
      </w:pPr>
    </w:p>
    <w:p w14:paraId="53C7D631" w14:textId="77777777" w:rsidR="004146CC" w:rsidRPr="004146CC" w:rsidRDefault="004146CC" w:rsidP="004146CC">
      <w:pPr>
        <w:spacing w:after="0" w:line="276" w:lineRule="auto"/>
        <w:rPr>
          <w:rFonts w:ascii="ITC Avant Garde" w:eastAsia="Calibri" w:hAnsi="ITC Avant Garde"/>
          <w:i/>
          <w:sz w:val="18"/>
          <w:szCs w:val="18"/>
        </w:rPr>
      </w:pPr>
    </w:p>
    <w:p w14:paraId="3470FEB4" w14:textId="4B42A005" w:rsidR="004146CC" w:rsidRPr="004146CC" w:rsidRDefault="004146CC" w:rsidP="004146CC">
      <w:pPr>
        <w:spacing w:after="0" w:line="276" w:lineRule="auto"/>
        <w:ind w:right="0"/>
        <w:rPr>
          <w:rFonts w:ascii="ITC Avant Garde" w:eastAsia="Calibri" w:hAnsi="ITC Avant Garde" w:cs="Arial"/>
          <w:b/>
          <w:i/>
          <w:sz w:val="18"/>
          <w:szCs w:val="18"/>
        </w:rPr>
      </w:pPr>
      <w:r>
        <w:rPr>
          <w:rFonts w:ascii="ITC Avant Garde" w:eastAsia="Calibri" w:hAnsi="ITC Avant Garde" w:cs="Arial"/>
          <w:b/>
          <w:i/>
          <w:sz w:val="18"/>
          <w:szCs w:val="18"/>
        </w:rPr>
        <w:t xml:space="preserve">VI </w:t>
      </w:r>
      <w:r w:rsidRPr="004146CC">
        <w:rPr>
          <w:rFonts w:ascii="ITC Avant Garde" w:eastAsia="Calibri" w:hAnsi="ITC Avant Garde" w:cs="Arial"/>
          <w:b/>
          <w:i/>
          <w:sz w:val="18"/>
          <w:szCs w:val="18"/>
        </w:rPr>
        <w:t>Servicios Adicionales para el OMV.</w:t>
      </w:r>
    </w:p>
    <w:p w14:paraId="6DE7FE41" w14:textId="77777777" w:rsidR="004146CC" w:rsidRPr="004146CC" w:rsidRDefault="004146CC" w:rsidP="004146CC">
      <w:pPr>
        <w:spacing w:after="0" w:line="276" w:lineRule="auto"/>
        <w:rPr>
          <w:rFonts w:ascii="ITC Avant Garde" w:eastAsia="Calibri" w:hAnsi="ITC Avant Garde" w:cs="Arial"/>
          <w:i/>
          <w:sz w:val="18"/>
          <w:szCs w:val="18"/>
        </w:rPr>
      </w:pPr>
    </w:p>
    <w:p w14:paraId="17043659" w14:textId="21C2CB5C" w:rsidR="004146CC" w:rsidRPr="004146CC" w:rsidRDefault="004146CC" w:rsidP="004146CC">
      <w:pPr>
        <w:spacing w:after="0" w:line="276" w:lineRule="auto"/>
        <w:rPr>
          <w:rFonts w:ascii="ITC Avant Garde" w:eastAsia="Calibri" w:hAnsi="ITC Avant Garde" w:cs="Arial"/>
          <w:i/>
          <w:sz w:val="18"/>
          <w:szCs w:val="18"/>
        </w:rPr>
      </w:pPr>
      <w:r>
        <w:rPr>
          <w:rFonts w:ascii="ITC Avant Garde" w:eastAsia="Calibri" w:hAnsi="ITC Avant Garde" w:cs="Arial"/>
          <w:i/>
          <w:sz w:val="18"/>
          <w:szCs w:val="18"/>
        </w:rPr>
        <w:t>(…)</w:t>
      </w:r>
    </w:p>
    <w:p w14:paraId="17A5A51D" w14:textId="77777777" w:rsidR="004146CC" w:rsidRPr="004146CC" w:rsidRDefault="004146CC" w:rsidP="004146CC">
      <w:pPr>
        <w:spacing w:after="0" w:line="276" w:lineRule="auto"/>
        <w:ind w:right="474"/>
        <w:rPr>
          <w:rFonts w:ascii="ITC Avant Garde" w:eastAsia="Calibri" w:hAnsi="ITC Avant Garde" w:cs="Arial"/>
          <w:i/>
          <w:sz w:val="18"/>
          <w:szCs w:val="18"/>
        </w:rPr>
      </w:pPr>
      <w:r w:rsidRPr="004146CC">
        <w:rPr>
          <w:rFonts w:ascii="ITC Avant Garde" w:eastAsia="Calibri" w:hAnsi="ITC Avant Garde" w:cs="Arial"/>
          <w:i/>
          <w:sz w:val="18"/>
          <w:szCs w:val="18"/>
        </w:rPr>
        <w:t xml:space="preserve">En el supuesto de que el OMV solicite nuevos planes y productos de </w:t>
      </w:r>
      <w:proofErr w:type="spellStart"/>
      <w:r w:rsidRPr="004146CC">
        <w:rPr>
          <w:rFonts w:ascii="ITC Avant Garde" w:eastAsia="Calibri" w:hAnsi="ITC Avant Garde" w:cs="Arial"/>
          <w:i/>
          <w:sz w:val="18"/>
          <w:szCs w:val="18"/>
        </w:rPr>
        <w:t>pospago</w:t>
      </w:r>
      <w:proofErr w:type="spellEnd"/>
      <w:r w:rsidRPr="004146CC">
        <w:rPr>
          <w:rFonts w:ascii="ITC Avant Garde" w:eastAsia="Calibri" w:hAnsi="ITC Avant Garde" w:cs="Arial"/>
          <w:i/>
          <w:sz w:val="18"/>
          <w:szCs w:val="18"/>
        </w:rPr>
        <w:t xml:space="preserve"> y prepago que se asemejen a productos y servicios minoristas de Telcel, el plazo de liberación comercial no podrá exceder de 15 (quince) días hábiles. </w:t>
      </w:r>
    </w:p>
    <w:p w14:paraId="48BC0687" w14:textId="77777777" w:rsidR="004146CC" w:rsidRPr="004146CC" w:rsidRDefault="004146CC" w:rsidP="004146CC">
      <w:pPr>
        <w:spacing w:after="0" w:line="276" w:lineRule="auto"/>
        <w:rPr>
          <w:rFonts w:ascii="ITC Avant Garde" w:eastAsia="Calibri" w:hAnsi="ITC Avant Garde" w:cs="Arial"/>
          <w:i/>
          <w:sz w:val="18"/>
          <w:szCs w:val="18"/>
        </w:rPr>
      </w:pPr>
    </w:p>
    <w:p w14:paraId="2D8053EB" w14:textId="253E7A9C" w:rsidR="004146CC" w:rsidRDefault="004146CC" w:rsidP="004146CC">
      <w:pPr>
        <w:spacing w:after="0" w:line="276" w:lineRule="auto"/>
        <w:ind w:right="474"/>
        <w:rPr>
          <w:rFonts w:ascii="ITC Avant Garde" w:eastAsia="Calibri" w:hAnsi="ITC Avant Garde" w:cs="Arial"/>
          <w:i/>
          <w:sz w:val="18"/>
          <w:szCs w:val="18"/>
        </w:rPr>
      </w:pPr>
      <w:r w:rsidRPr="004146CC">
        <w:rPr>
          <w:rFonts w:ascii="ITC Avant Garde" w:eastAsia="Calibri" w:hAnsi="ITC Avant Garde" w:cs="Arial"/>
          <w:i/>
          <w:sz w:val="18"/>
          <w:szCs w:val="18"/>
        </w:rPr>
        <w:t xml:space="preserve">Para el caso de que los nuevos planes y productos de </w:t>
      </w:r>
      <w:proofErr w:type="spellStart"/>
      <w:r w:rsidRPr="004146CC">
        <w:rPr>
          <w:rFonts w:ascii="ITC Avant Garde" w:eastAsia="Calibri" w:hAnsi="ITC Avant Garde" w:cs="Arial"/>
          <w:i/>
          <w:sz w:val="18"/>
          <w:szCs w:val="18"/>
        </w:rPr>
        <w:t>pospago</w:t>
      </w:r>
      <w:proofErr w:type="spellEnd"/>
      <w:r w:rsidRPr="004146CC">
        <w:rPr>
          <w:rFonts w:ascii="ITC Avant Garde" w:eastAsia="Calibri" w:hAnsi="ITC Avant Garde" w:cs="Arial"/>
          <w:i/>
          <w:sz w:val="18"/>
          <w:szCs w:val="18"/>
        </w:rPr>
        <w:t xml:space="preserve"> y prepago solicitados por el OMV no se asemejen a productos y servicios minoristas de Telcel y requieran inversiones adicionales por parte de Telcel, éste emitirá un documento en el que se justifique la ampliación del plazo.</w:t>
      </w:r>
    </w:p>
    <w:p w14:paraId="52F4275C" w14:textId="7BA2AB98" w:rsidR="00852FF0" w:rsidRDefault="004146CC" w:rsidP="004146CC">
      <w:pPr>
        <w:spacing w:after="0" w:line="276" w:lineRule="auto"/>
        <w:ind w:right="474"/>
        <w:rPr>
          <w:rFonts w:ascii="ITC Avant Garde" w:eastAsia="Calibri" w:hAnsi="ITC Avant Garde" w:cs="Arial"/>
          <w:i/>
          <w:sz w:val="18"/>
          <w:szCs w:val="18"/>
        </w:rPr>
      </w:pPr>
      <w:r>
        <w:rPr>
          <w:rFonts w:ascii="ITC Avant Garde" w:eastAsia="Calibri" w:hAnsi="ITC Avant Garde" w:cs="Arial"/>
          <w:i/>
          <w:sz w:val="18"/>
          <w:szCs w:val="18"/>
        </w:rPr>
        <w:t>(…)</w:t>
      </w:r>
    </w:p>
    <w:p w14:paraId="2A9DF256" w14:textId="26B0E3A0" w:rsidR="004146CC" w:rsidRDefault="004146CC" w:rsidP="004146CC">
      <w:pPr>
        <w:spacing w:after="0" w:line="276" w:lineRule="auto"/>
        <w:ind w:left="-851" w:right="0" w:firstLine="0"/>
        <w:rPr>
          <w:rFonts w:ascii="ITC Avant Garde" w:hAnsi="ITC Avant Garde"/>
          <w:color w:val="auto"/>
        </w:rPr>
      </w:pPr>
      <w:r>
        <w:rPr>
          <w:rFonts w:ascii="ITC Avant Garde" w:hAnsi="ITC Avant Garde"/>
          <w:color w:val="auto"/>
        </w:rPr>
        <w:t>Por lo anterior, no se considera necesaria la modificación propuesta.</w:t>
      </w:r>
    </w:p>
    <w:p w14:paraId="6B1931B6" w14:textId="77777777" w:rsidR="004146CC" w:rsidRPr="004146CC" w:rsidRDefault="004146CC" w:rsidP="004146CC">
      <w:pPr>
        <w:spacing w:after="0" w:line="276" w:lineRule="auto"/>
        <w:ind w:left="-851" w:right="0" w:firstLine="0"/>
        <w:rPr>
          <w:rFonts w:ascii="ITC Avant Garde" w:hAnsi="ITC Avant Garde"/>
          <w:color w:val="auto"/>
        </w:rPr>
      </w:pPr>
    </w:p>
    <w:p w14:paraId="1A819182" w14:textId="4694FF54" w:rsidR="00852FF0" w:rsidRDefault="00852FF0" w:rsidP="002A524D">
      <w:pPr>
        <w:spacing w:after="0" w:line="276" w:lineRule="auto"/>
        <w:ind w:left="-851" w:right="49"/>
        <w:rPr>
          <w:rFonts w:ascii="ITC Avant Garde" w:hAnsi="ITC Avant Garde"/>
          <w:b/>
          <w:color w:val="auto"/>
        </w:rPr>
      </w:pPr>
      <w:r w:rsidRPr="00852FF0">
        <w:rPr>
          <w:rFonts w:ascii="ITC Avant Garde" w:hAnsi="ITC Avant Garde"/>
          <w:b/>
          <w:color w:val="auto"/>
        </w:rPr>
        <w:t>ANEXO I OFERTA DE SERVICIOS</w:t>
      </w:r>
    </w:p>
    <w:p w14:paraId="4AD8094B" w14:textId="7E3C9A65" w:rsidR="003B75F5" w:rsidRDefault="003B75F5" w:rsidP="002A524D">
      <w:pPr>
        <w:spacing w:after="0" w:line="276" w:lineRule="auto"/>
        <w:ind w:left="-851" w:right="0" w:firstLine="0"/>
        <w:rPr>
          <w:rFonts w:ascii="ITC Avant Garde" w:hAnsi="ITC Avant Garde"/>
          <w:b/>
          <w:color w:val="auto"/>
          <w:u w:val="single"/>
        </w:rPr>
      </w:pPr>
      <w:r>
        <w:rPr>
          <w:rFonts w:ascii="ITC Avant Garde" w:hAnsi="ITC Avant Garde"/>
          <w:b/>
          <w:color w:val="auto"/>
          <w:u w:val="single"/>
        </w:rPr>
        <w:t xml:space="preserve">II. </w:t>
      </w:r>
      <w:r w:rsidRPr="003B75F5">
        <w:rPr>
          <w:rFonts w:ascii="ITC Avant Garde" w:hAnsi="ITC Avant Garde"/>
          <w:b/>
          <w:color w:val="auto"/>
          <w:u w:val="single"/>
        </w:rPr>
        <w:t>Servicios Asociados Disponibles para OMV bajo el esquema de Revendedor y/o Telcel como Habilitador de Red.</w:t>
      </w:r>
    </w:p>
    <w:p w14:paraId="06AD0067" w14:textId="77777777" w:rsidR="00F974A6" w:rsidRDefault="00F974A6" w:rsidP="002A524D">
      <w:pPr>
        <w:spacing w:after="0" w:line="276" w:lineRule="auto"/>
        <w:ind w:left="-851" w:right="0" w:firstLine="0"/>
        <w:rPr>
          <w:rFonts w:ascii="ITC Avant Garde" w:hAnsi="ITC Avant Garde"/>
          <w:b/>
          <w:color w:val="auto"/>
        </w:rPr>
      </w:pPr>
    </w:p>
    <w:p w14:paraId="75FC0CCC" w14:textId="5F1368EC" w:rsidR="003B75F5" w:rsidRDefault="0067021F" w:rsidP="002A524D">
      <w:pPr>
        <w:spacing w:after="0" w:line="276" w:lineRule="auto"/>
        <w:ind w:left="-851" w:right="0" w:firstLine="0"/>
        <w:rPr>
          <w:rFonts w:ascii="ITC Avant Garde" w:hAnsi="ITC Avant Garde"/>
          <w:b/>
          <w:color w:val="auto"/>
        </w:rPr>
      </w:pPr>
      <w:r w:rsidRPr="0067021F">
        <w:rPr>
          <w:rFonts w:ascii="ITC Avant Garde" w:hAnsi="ITC Avant Garde"/>
          <w:b/>
          <w:color w:val="auto"/>
        </w:rPr>
        <w:t>Telecomunicaciones 360:</w:t>
      </w:r>
    </w:p>
    <w:p w14:paraId="3CFB54EB" w14:textId="6FFC75B8" w:rsidR="00D92BF5" w:rsidRDefault="0073212F" w:rsidP="002A524D">
      <w:pPr>
        <w:spacing w:after="0" w:line="276" w:lineRule="auto"/>
        <w:ind w:left="-851" w:right="0" w:firstLine="0"/>
        <w:rPr>
          <w:rFonts w:ascii="ITC Avant Garde" w:hAnsi="ITC Avant Garde"/>
          <w:color w:val="auto"/>
        </w:rPr>
      </w:pPr>
      <w:r>
        <w:rPr>
          <w:rFonts w:ascii="ITC Avant Garde" w:hAnsi="ITC Avant Garde"/>
          <w:color w:val="auto"/>
        </w:rPr>
        <w:t xml:space="preserve">Señala que es necesario emitir un manual de operación del “Operador de Trámites”, en el cual se indiquen las funcionalidades o aplicaciones del sistema, el contenido de cada módulo y </w:t>
      </w:r>
      <w:proofErr w:type="spellStart"/>
      <w:r>
        <w:rPr>
          <w:rFonts w:ascii="ITC Avant Garde" w:hAnsi="ITC Avant Garde"/>
          <w:color w:val="auto"/>
        </w:rPr>
        <w:t>subm</w:t>
      </w:r>
      <w:r w:rsidR="00295E35">
        <w:rPr>
          <w:rFonts w:ascii="ITC Avant Garde" w:hAnsi="ITC Avant Garde"/>
          <w:color w:val="auto"/>
        </w:rPr>
        <w:t>ódulo</w:t>
      </w:r>
      <w:proofErr w:type="spellEnd"/>
      <w:r w:rsidR="00295E35">
        <w:rPr>
          <w:rFonts w:ascii="ITC Avant Garde" w:hAnsi="ITC Avant Garde"/>
          <w:color w:val="auto"/>
        </w:rPr>
        <w:t xml:space="preserve"> que lo integran.</w:t>
      </w:r>
      <w:r>
        <w:rPr>
          <w:rFonts w:ascii="ITC Avant Garde" w:hAnsi="ITC Avant Garde"/>
          <w:color w:val="auto"/>
        </w:rPr>
        <w:t xml:space="preserve">  </w:t>
      </w:r>
    </w:p>
    <w:p w14:paraId="433D0955" w14:textId="6001AC43" w:rsidR="00295E35" w:rsidRDefault="00295E35" w:rsidP="002A524D">
      <w:pPr>
        <w:spacing w:after="0" w:line="276" w:lineRule="auto"/>
        <w:ind w:left="-851" w:right="0" w:firstLine="0"/>
        <w:rPr>
          <w:rFonts w:ascii="ITC Avant Garde" w:hAnsi="ITC Avant Garde"/>
          <w:color w:val="auto"/>
        </w:rPr>
      </w:pPr>
    </w:p>
    <w:p w14:paraId="34F23384" w14:textId="77777777" w:rsidR="00295E35" w:rsidRDefault="00295E35" w:rsidP="002A524D">
      <w:pPr>
        <w:spacing w:after="0" w:line="276" w:lineRule="auto"/>
        <w:ind w:left="-851" w:right="0" w:firstLine="0"/>
        <w:rPr>
          <w:rFonts w:ascii="ITC Avant Garde" w:hAnsi="ITC Avant Garde"/>
          <w:b/>
          <w:color w:val="auto"/>
        </w:rPr>
      </w:pPr>
      <w:r w:rsidRPr="00343A4F">
        <w:rPr>
          <w:rFonts w:ascii="ITC Avant Garde" w:hAnsi="ITC Avant Garde"/>
          <w:b/>
          <w:color w:val="auto"/>
        </w:rPr>
        <w:t xml:space="preserve">Consideraciones del Instituto </w:t>
      </w:r>
    </w:p>
    <w:p w14:paraId="78020A6B" w14:textId="7BAF21B4" w:rsidR="00C43DB7" w:rsidRPr="00C43DB7" w:rsidRDefault="00C43DB7" w:rsidP="002A524D">
      <w:pPr>
        <w:spacing w:after="0" w:line="276" w:lineRule="auto"/>
        <w:ind w:left="-851" w:right="0" w:firstLine="0"/>
        <w:rPr>
          <w:rFonts w:ascii="ITC Avant Garde" w:hAnsi="ITC Avant Garde"/>
          <w:color w:val="auto"/>
        </w:rPr>
      </w:pPr>
      <w:r w:rsidRPr="00C43DB7">
        <w:rPr>
          <w:rFonts w:ascii="ITC Avant Garde" w:hAnsi="ITC Avant Garde"/>
          <w:color w:val="auto"/>
        </w:rPr>
        <w:t xml:space="preserve">Con el fin de establecer las condiciones aplicables a los </w:t>
      </w:r>
      <w:r w:rsidR="00634253">
        <w:rPr>
          <w:rFonts w:ascii="ITC Avant Garde" w:hAnsi="ITC Avant Garde"/>
          <w:color w:val="auto"/>
        </w:rPr>
        <w:t>servicios incluidos en la Oferta</w:t>
      </w:r>
      <w:r w:rsidRPr="00C43DB7">
        <w:rPr>
          <w:rFonts w:ascii="ITC Avant Garde" w:hAnsi="ITC Avant Garde"/>
          <w:color w:val="auto"/>
        </w:rPr>
        <w:t xml:space="preserve"> de conformidad a la Medida Decimosexta de las Medidas Móviles, en el Anexo I se precisó que Telcel debe proveer el manual de operación al OMV, </w:t>
      </w:r>
      <w:r>
        <w:rPr>
          <w:rFonts w:ascii="ITC Avant Garde" w:hAnsi="ITC Avant Garde"/>
          <w:color w:val="auto"/>
        </w:rPr>
        <w:t>en los siguientes términos</w:t>
      </w:r>
      <w:r w:rsidRPr="00C43DB7">
        <w:rPr>
          <w:rFonts w:ascii="ITC Avant Garde" w:hAnsi="ITC Avant Garde"/>
          <w:color w:val="auto"/>
        </w:rPr>
        <w:t xml:space="preserve">: </w:t>
      </w:r>
    </w:p>
    <w:p w14:paraId="0156A815" w14:textId="77777777" w:rsidR="00C43DB7" w:rsidRDefault="00C43DB7" w:rsidP="002A524D">
      <w:pPr>
        <w:pStyle w:val="IFT1"/>
        <w:tabs>
          <w:tab w:val="left" w:pos="426"/>
        </w:tabs>
        <w:spacing w:after="0"/>
        <w:ind w:left="-851"/>
        <w:rPr>
          <w:bCs/>
        </w:rPr>
      </w:pPr>
    </w:p>
    <w:p w14:paraId="747ACED2" w14:textId="77777777" w:rsidR="00C43DB7" w:rsidRDefault="00C43DB7" w:rsidP="00F974A6">
      <w:pPr>
        <w:spacing w:after="0" w:line="276" w:lineRule="auto"/>
        <w:ind w:left="-284" w:right="615"/>
        <w:rPr>
          <w:rFonts w:ascii="ITC Avant Garde" w:eastAsia="Calibri" w:hAnsi="ITC Avant Garde" w:cs="Arial"/>
          <w:i/>
          <w:sz w:val="18"/>
          <w:szCs w:val="18"/>
        </w:rPr>
      </w:pPr>
      <w:r>
        <w:rPr>
          <w:rFonts w:ascii="ITC Avant Garde" w:eastAsia="Calibri" w:hAnsi="ITC Avant Garde" w:cs="Arial"/>
          <w:i/>
          <w:sz w:val="18"/>
          <w:szCs w:val="18"/>
        </w:rPr>
        <w:t xml:space="preserve">“1) </w:t>
      </w:r>
      <w:r w:rsidRPr="00106777">
        <w:rPr>
          <w:rFonts w:ascii="ITC Avant Garde" w:eastAsia="Calibri" w:hAnsi="ITC Avant Garde" w:cs="Arial"/>
          <w:i/>
          <w:sz w:val="18"/>
          <w:szCs w:val="18"/>
        </w:rPr>
        <w:t xml:space="preserve">Capacitación: Telcel proveerá </w:t>
      </w:r>
      <w:r w:rsidRPr="00106777">
        <w:rPr>
          <w:rFonts w:ascii="ITC Avant Garde" w:eastAsia="Calibri" w:hAnsi="ITC Avant Garde" w:cs="Arial"/>
          <w:i/>
          <w:sz w:val="18"/>
          <w:szCs w:val="18"/>
          <w:u w:val="single"/>
        </w:rPr>
        <w:t>el manual de operación y</w:t>
      </w:r>
      <w:r w:rsidRPr="00106777">
        <w:rPr>
          <w:rFonts w:ascii="ITC Avant Garde" w:eastAsia="Calibri" w:hAnsi="ITC Avant Garde" w:cs="Arial"/>
          <w:i/>
          <w:sz w:val="18"/>
          <w:szCs w:val="18"/>
        </w:rPr>
        <w:t xml:space="preserve"> la capacitación necesaria al OMV para la correcta operación del Operador de Trámites.</w:t>
      </w:r>
      <w:r>
        <w:rPr>
          <w:rFonts w:ascii="ITC Avant Garde" w:eastAsia="Calibri" w:hAnsi="ITC Avant Garde" w:cs="Arial"/>
          <w:i/>
          <w:sz w:val="18"/>
          <w:szCs w:val="18"/>
        </w:rPr>
        <w:t>”</w:t>
      </w:r>
    </w:p>
    <w:p w14:paraId="265D3A0A" w14:textId="77777777" w:rsidR="00C43DB7" w:rsidRPr="00B35E2C" w:rsidRDefault="00C43DB7" w:rsidP="002A524D">
      <w:pPr>
        <w:spacing w:after="0" w:line="276" w:lineRule="auto"/>
        <w:ind w:left="-851" w:right="615"/>
        <w:jc w:val="right"/>
        <w:rPr>
          <w:rFonts w:ascii="ITC Avant Garde" w:eastAsia="Calibri" w:hAnsi="ITC Avant Garde" w:cs="Arial"/>
          <w:i/>
          <w:sz w:val="18"/>
          <w:szCs w:val="18"/>
        </w:rPr>
      </w:pPr>
      <w:r w:rsidRPr="00684AB9">
        <w:rPr>
          <w:rFonts w:ascii="ITC Avant Garde" w:eastAsia="Calibri" w:hAnsi="ITC Avant Garde" w:cs="Arial"/>
          <w:sz w:val="18"/>
          <w:szCs w:val="18"/>
        </w:rPr>
        <w:t>Énfasis añadido</w:t>
      </w:r>
    </w:p>
    <w:p w14:paraId="5F4C818E" w14:textId="77777777" w:rsidR="003B75F5" w:rsidRPr="003B75F5" w:rsidRDefault="003B75F5" w:rsidP="002A524D">
      <w:pPr>
        <w:spacing w:after="0" w:line="276" w:lineRule="auto"/>
        <w:ind w:left="-851" w:right="49"/>
        <w:rPr>
          <w:rFonts w:ascii="ITC Avant Garde" w:hAnsi="ITC Avant Garde"/>
          <w:b/>
          <w:color w:val="auto"/>
          <w:lang w:val="es-ES_tradnl"/>
        </w:rPr>
      </w:pPr>
    </w:p>
    <w:p w14:paraId="0A064359" w14:textId="1B393011" w:rsidR="00852FF0" w:rsidRDefault="00852FF0" w:rsidP="002A524D">
      <w:pPr>
        <w:spacing w:after="0" w:line="276" w:lineRule="auto"/>
        <w:ind w:left="-851" w:right="0" w:firstLine="0"/>
        <w:rPr>
          <w:rFonts w:ascii="ITC Avant Garde" w:hAnsi="ITC Avant Garde"/>
          <w:b/>
          <w:color w:val="auto"/>
          <w:u w:val="single"/>
        </w:rPr>
      </w:pPr>
      <w:r w:rsidRPr="00852FF0">
        <w:rPr>
          <w:rFonts w:ascii="ITC Avant Garde" w:hAnsi="ITC Avant Garde"/>
          <w:b/>
          <w:color w:val="auto"/>
          <w:u w:val="single"/>
        </w:rPr>
        <w:t xml:space="preserve">Procedimiento para la modificación y/o creación de Planes y Productos de </w:t>
      </w:r>
      <w:proofErr w:type="spellStart"/>
      <w:r w:rsidR="00331D98">
        <w:rPr>
          <w:rFonts w:ascii="ITC Avant Garde" w:hAnsi="ITC Avant Garde"/>
          <w:b/>
          <w:color w:val="auto"/>
          <w:u w:val="single"/>
        </w:rPr>
        <w:t>pospago</w:t>
      </w:r>
      <w:proofErr w:type="spellEnd"/>
      <w:r w:rsidR="00331D98">
        <w:rPr>
          <w:rFonts w:ascii="ITC Avant Garde" w:hAnsi="ITC Avant Garde"/>
          <w:b/>
          <w:color w:val="auto"/>
          <w:u w:val="single"/>
        </w:rPr>
        <w:t xml:space="preserve"> o prepago implementados</w:t>
      </w:r>
    </w:p>
    <w:p w14:paraId="21FD619A" w14:textId="77777777" w:rsidR="00F974A6" w:rsidRDefault="00F974A6" w:rsidP="002A524D">
      <w:pPr>
        <w:spacing w:after="0" w:line="276" w:lineRule="auto"/>
        <w:ind w:left="-851" w:right="0" w:firstLine="0"/>
        <w:rPr>
          <w:rFonts w:ascii="ITC Avant Garde" w:hAnsi="ITC Avant Garde"/>
          <w:b/>
          <w:color w:val="auto"/>
        </w:rPr>
      </w:pPr>
    </w:p>
    <w:p w14:paraId="1286C2A2" w14:textId="412ACCBE" w:rsidR="00670979" w:rsidRPr="005B36F9" w:rsidRDefault="00670979" w:rsidP="002A524D">
      <w:pPr>
        <w:spacing w:after="0" w:line="276" w:lineRule="auto"/>
        <w:ind w:left="-851" w:right="0" w:firstLine="0"/>
        <w:rPr>
          <w:rFonts w:ascii="ITC Avant Garde" w:hAnsi="ITC Avant Garde"/>
          <w:b/>
          <w:color w:val="auto"/>
        </w:rPr>
      </w:pPr>
      <w:r>
        <w:rPr>
          <w:rFonts w:ascii="ITC Avant Garde" w:hAnsi="ITC Avant Garde"/>
          <w:b/>
          <w:color w:val="auto"/>
        </w:rPr>
        <w:t>Televisa</w:t>
      </w:r>
      <w:r w:rsidRPr="005B36F9">
        <w:rPr>
          <w:rFonts w:ascii="ITC Avant Garde" w:hAnsi="ITC Avant Garde"/>
          <w:b/>
          <w:color w:val="auto"/>
        </w:rPr>
        <w:t>:</w:t>
      </w:r>
    </w:p>
    <w:p w14:paraId="56E56B2F" w14:textId="2D7C6C56" w:rsidR="00670979" w:rsidRDefault="00651607" w:rsidP="002A524D">
      <w:pPr>
        <w:spacing w:after="0" w:line="276" w:lineRule="auto"/>
        <w:ind w:left="-851" w:right="0"/>
        <w:rPr>
          <w:rFonts w:ascii="ITC Avant Garde" w:hAnsi="ITC Avant Garde"/>
          <w:color w:val="auto"/>
        </w:rPr>
      </w:pPr>
      <w:r>
        <w:rPr>
          <w:rFonts w:ascii="ITC Avant Garde" w:hAnsi="ITC Avant Garde"/>
          <w:color w:val="auto"/>
        </w:rPr>
        <w:t>Solicita modificar el numeral en cuestión en los siguientes términos:</w:t>
      </w:r>
    </w:p>
    <w:p w14:paraId="1954DBDD" w14:textId="22AB1103" w:rsidR="00651607" w:rsidRDefault="00651607" w:rsidP="002A524D">
      <w:pPr>
        <w:spacing w:after="0" w:line="276" w:lineRule="auto"/>
        <w:ind w:left="-851" w:right="0"/>
        <w:rPr>
          <w:rFonts w:ascii="ITC Avant Garde" w:hAnsi="ITC Avant Garde"/>
          <w:color w:val="auto"/>
        </w:rPr>
      </w:pPr>
    </w:p>
    <w:p w14:paraId="3D1C8F1D" w14:textId="2160544B"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651607">
        <w:rPr>
          <w:rFonts w:ascii="ITC Avant Garde" w:eastAsia="Calibri" w:hAnsi="ITC Avant Garde" w:cs="Arial"/>
          <w:i/>
          <w:color w:val="auto"/>
          <w:sz w:val="18"/>
          <w:szCs w:val="18"/>
          <w:lang w:eastAsia="en-US"/>
        </w:rPr>
        <w:t>Procedimiento de Solicitud de Creación:</w:t>
      </w:r>
    </w:p>
    <w:p w14:paraId="0BAB2694"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p>
    <w:p w14:paraId="3FF3A37A" w14:textId="2A2AE35F"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r w:rsidRPr="00651607">
        <w:rPr>
          <w:rFonts w:ascii="ITC Avant Garde" w:eastAsia="Calibri" w:hAnsi="ITC Avant Garde" w:cs="Arial"/>
          <w:i/>
          <w:color w:val="auto"/>
          <w:sz w:val="18"/>
          <w:szCs w:val="18"/>
          <w:lang w:eastAsia="en-US"/>
        </w:rPr>
        <w:t>1.1. Telcel entregará los costos y plazos para la implementación de la Solicitud de Creación (</w:t>
      </w:r>
      <w:r w:rsidRPr="005423B4">
        <w:rPr>
          <w:rFonts w:ascii="ITC Avant Garde" w:eastAsia="Calibri" w:hAnsi="ITC Avant Garde" w:cs="Arial"/>
          <w:i/>
          <w:color w:val="auto"/>
          <w:sz w:val="18"/>
          <w:szCs w:val="18"/>
          <w:lang w:eastAsia="en-US"/>
        </w:rPr>
        <w:t xml:space="preserve">en lo sucesivo los “Tiempos y Costos de la Solicitud”) al OMV en un plazo de </w:t>
      </w:r>
      <w:r w:rsidRPr="005423B4">
        <w:rPr>
          <w:rFonts w:ascii="ITC Avant Garde" w:eastAsia="Calibri" w:hAnsi="ITC Avant Garde" w:cs="Arial"/>
          <w:i/>
          <w:strike/>
          <w:color w:val="auto"/>
          <w:sz w:val="18"/>
          <w:szCs w:val="18"/>
          <w:lang w:eastAsia="en-US"/>
        </w:rPr>
        <w:t xml:space="preserve">15 </w:t>
      </w:r>
      <w:r w:rsidRPr="005423B4">
        <w:rPr>
          <w:rFonts w:ascii="ITC Avant Garde" w:eastAsia="Calibri" w:hAnsi="ITC Avant Garde" w:cs="Arial"/>
          <w:i/>
          <w:strike/>
          <w:color w:val="auto"/>
          <w:sz w:val="18"/>
          <w:szCs w:val="18"/>
          <w:lang w:eastAsia="en-US"/>
        </w:rPr>
        <w:lastRenderedPageBreak/>
        <w:t>(quince)</w:t>
      </w:r>
      <w:r w:rsidRPr="005423B4">
        <w:rPr>
          <w:rFonts w:ascii="ITC Avant Garde" w:eastAsia="Calibri" w:hAnsi="ITC Avant Garde" w:cs="Arial"/>
          <w:i/>
          <w:color w:val="auto"/>
          <w:sz w:val="18"/>
          <w:szCs w:val="18"/>
          <w:lang w:eastAsia="en-US"/>
        </w:rPr>
        <w:t xml:space="preserve"> </w:t>
      </w:r>
      <w:r w:rsidRPr="005423B4">
        <w:rPr>
          <w:rFonts w:ascii="ITC Avant Garde" w:eastAsia="Calibri" w:hAnsi="ITC Avant Garde" w:cs="Arial"/>
          <w:i/>
          <w:color w:val="auto"/>
          <w:sz w:val="18"/>
          <w:szCs w:val="18"/>
          <w:u w:val="single"/>
          <w:lang w:eastAsia="en-US"/>
        </w:rPr>
        <w:t>3 (tres)</w:t>
      </w:r>
      <w:r w:rsidRPr="005423B4">
        <w:rPr>
          <w:rFonts w:ascii="ITC Avant Garde" w:eastAsia="Calibri" w:hAnsi="ITC Avant Garde" w:cs="Arial"/>
          <w:i/>
          <w:color w:val="auto"/>
          <w:sz w:val="18"/>
          <w:szCs w:val="18"/>
          <w:lang w:eastAsia="en-US"/>
        </w:rPr>
        <w:t xml:space="preserve"> días </w:t>
      </w:r>
      <w:r w:rsidRPr="005423B4">
        <w:rPr>
          <w:rFonts w:ascii="ITC Avant Garde" w:eastAsia="Calibri" w:hAnsi="ITC Avant Garde" w:cs="Arial"/>
          <w:i/>
          <w:strike/>
          <w:color w:val="auto"/>
          <w:sz w:val="18"/>
          <w:szCs w:val="18"/>
          <w:lang w:eastAsia="en-US"/>
        </w:rPr>
        <w:t>hábiles</w:t>
      </w:r>
      <w:r w:rsidRPr="005423B4">
        <w:rPr>
          <w:rFonts w:ascii="ITC Avant Garde" w:eastAsia="Calibri" w:hAnsi="ITC Avant Garde" w:cs="Arial"/>
          <w:i/>
          <w:color w:val="auto"/>
          <w:sz w:val="18"/>
          <w:szCs w:val="18"/>
          <w:lang w:eastAsia="en-US"/>
        </w:rPr>
        <w:t xml:space="preserve"> </w:t>
      </w:r>
      <w:r w:rsidRPr="005423B4">
        <w:rPr>
          <w:rFonts w:ascii="ITC Avant Garde" w:eastAsia="Calibri" w:hAnsi="ITC Avant Garde" w:cs="Arial"/>
          <w:i/>
          <w:color w:val="auto"/>
          <w:sz w:val="18"/>
          <w:szCs w:val="18"/>
          <w:u w:val="single"/>
          <w:lang w:eastAsia="en-US"/>
        </w:rPr>
        <w:t>naturales</w:t>
      </w:r>
      <w:r w:rsidRPr="005423B4">
        <w:rPr>
          <w:rFonts w:ascii="ITC Avant Garde" w:eastAsia="Calibri" w:hAnsi="ITC Avant Garde" w:cs="Arial"/>
          <w:i/>
          <w:color w:val="auto"/>
          <w:sz w:val="18"/>
          <w:szCs w:val="18"/>
          <w:lang w:eastAsia="en-US"/>
        </w:rPr>
        <w:t>, siempre</w:t>
      </w:r>
      <w:r w:rsidRPr="00651607">
        <w:rPr>
          <w:rFonts w:ascii="ITC Avant Garde" w:eastAsia="Calibri" w:hAnsi="ITC Avant Garde" w:cs="Arial"/>
          <w:i/>
          <w:color w:val="auto"/>
          <w:sz w:val="18"/>
          <w:szCs w:val="18"/>
          <w:lang w:eastAsia="en-US"/>
        </w:rPr>
        <w:t xml:space="preserve"> y cuando se cumplan las siguientes condiciones: (i) que no existe ningún cambio de funcionalidad que requiera algún tipo de desarrollo adicional en el Habilitador de Red; y (ii) que el OMV envíe a Telcel los formatos e información completa y necesaria. En caso de que la información recibida no esté completa, se notificará a través del SEG al OMV sobre la información faltante;</w:t>
      </w:r>
    </w:p>
    <w:p w14:paraId="00D36381"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p>
    <w:p w14:paraId="489CF9B8"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r w:rsidRPr="00651607">
        <w:rPr>
          <w:rFonts w:ascii="ITC Avant Garde" w:eastAsia="Calibri" w:hAnsi="ITC Avant Garde" w:cs="Arial"/>
          <w:i/>
          <w:color w:val="auto"/>
          <w:sz w:val="18"/>
          <w:szCs w:val="18"/>
          <w:lang w:eastAsia="en-US"/>
        </w:rPr>
        <w:t xml:space="preserve">1.1.2. El OMV podrá aceptar o rechazar los Tiempos y Costos de la Solicitud dentro de un plazo </w:t>
      </w:r>
      <w:r w:rsidRPr="005423B4">
        <w:rPr>
          <w:rFonts w:ascii="ITC Avant Garde" w:eastAsia="Calibri" w:hAnsi="ITC Avant Garde" w:cs="Arial"/>
          <w:i/>
          <w:color w:val="auto"/>
          <w:sz w:val="18"/>
          <w:szCs w:val="18"/>
          <w:lang w:eastAsia="en-US"/>
        </w:rPr>
        <w:t xml:space="preserve">de </w:t>
      </w:r>
      <w:r w:rsidRPr="005423B4">
        <w:rPr>
          <w:rFonts w:ascii="ITC Avant Garde" w:eastAsia="Calibri" w:hAnsi="ITC Avant Garde" w:cs="Arial"/>
          <w:i/>
          <w:strike/>
          <w:color w:val="auto"/>
          <w:sz w:val="18"/>
          <w:szCs w:val="18"/>
          <w:lang w:eastAsia="en-US"/>
        </w:rPr>
        <w:t>30 (treinta)</w:t>
      </w:r>
      <w:r w:rsidRPr="005423B4">
        <w:rPr>
          <w:rFonts w:ascii="ITC Avant Garde" w:eastAsia="Calibri" w:hAnsi="ITC Avant Garde" w:cs="Arial"/>
          <w:i/>
          <w:color w:val="auto"/>
          <w:sz w:val="18"/>
          <w:szCs w:val="18"/>
          <w:lang w:eastAsia="en-US"/>
        </w:rPr>
        <w:t xml:space="preserve"> </w:t>
      </w:r>
      <w:r w:rsidRPr="005423B4">
        <w:rPr>
          <w:rFonts w:ascii="ITC Avant Garde" w:eastAsia="Calibri" w:hAnsi="ITC Avant Garde" w:cs="Arial"/>
          <w:i/>
          <w:color w:val="auto"/>
          <w:sz w:val="18"/>
          <w:szCs w:val="18"/>
          <w:u w:val="single"/>
          <w:lang w:eastAsia="en-US"/>
        </w:rPr>
        <w:t>3 (tres)</w:t>
      </w:r>
      <w:r w:rsidRPr="005423B4">
        <w:rPr>
          <w:rFonts w:ascii="ITC Avant Garde" w:eastAsia="Calibri" w:hAnsi="ITC Avant Garde" w:cs="Arial"/>
          <w:i/>
          <w:color w:val="auto"/>
          <w:sz w:val="18"/>
          <w:szCs w:val="18"/>
          <w:lang w:eastAsia="en-US"/>
        </w:rPr>
        <w:t xml:space="preserve"> días </w:t>
      </w:r>
      <w:r w:rsidRPr="005423B4">
        <w:rPr>
          <w:rFonts w:ascii="ITC Avant Garde" w:eastAsia="Calibri" w:hAnsi="ITC Avant Garde" w:cs="Arial"/>
          <w:i/>
          <w:strike/>
          <w:color w:val="auto"/>
          <w:sz w:val="18"/>
          <w:szCs w:val="18"/>
          <w:lang w:eastAsia="en-US"/>
        </w:rPr>
        <w:t>hábiles</w:t>
      </w:r>
      <w:r w:rsidRPr="005423B4">
        <w:rPr>
          <w:rFonts w:ascii="ITC Avant Garde" w:eastAsia="Calibri" w:hAnsi="ITC Avant Garde" w:cs="Arial"/>
          <w:i/>
          <w:color w:val="auto"/>
          <w:sz w:val="18"/>
          <w:szCs w:val="18"/>
          <w:lang w:eastAsia="en-US"/>
        </w:rPr>
        <w:t xml:space="preserve"> </w:t>
      </w:r>
      <w:r w:rsidRPr="005423B4">
        <w:rPr>
          <w:rFonts w:ascii="ITC Avant Garde" w:eastAsia="Calibri" w:hAnsi="ITC Avant Garde" w:cs="Arial"/>
          <w:i/>
          <w:color w:val="auto"/>
          <w:sz w:val="18"/>
          <w:szCs w:val="18"/>
          <w:u w:val="single"/>
          <w:lang w:eastAsia="en-US"/>
        </w:rPr>
        <w:t>naturales</w:t>
      </w:r>
      <w:r w:rsidRPr="005423B4">
        <w:rPr>
          <w:rFonts w:ascii="ITC Avant Garde" w:eastAsia="Calibri" w:hAnsi="ITC Avant Garde" w:cs="Arial"/>
          <w:i/>
          <w:color w:val="auto"/>
          <w:sz w:val="18"/>
          <w:szCs w:val="18"/>
          <w:lang w:eastAsia="en-US"/>
        </w:rPr>
        <w:t xml:space="preserve"> contados</w:t>
      </w:r>
      <w:r w:rsidRPr="00651607">
        <w:rPr>
          <w:rFonts w:ascii="ITC Avant Garde" w:eastAsia="Calibri" w:hAnsi="ITC Avant Garde" w:cs="Arial"/>
          <w:i/>
          <w:color w:val="auto"/>
          <w:sz w:val="18"/>
          <w:szCs w:val="18"/>
          <w:lang w:eastAsia="en-US"/>
        </w:rPr>
        <w:t xml:space="preserve"> a partir de la notificación del SEG;</w:t>
      </w:r>
    </w:p>
    <w:p w14:paraId="4924E7FA"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p>
    <w:p w14:paraId="27E448D9"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r w:rsidRPr="00651607">
        <w:rPr>
          <w:rFonts w:ascii="ITC Avant Garde" w:eastAsia="Calibri" w:hAnsi="ITC Avant Garde" w:cs="Arial"/>
          <w:i/>
          <w:color w:val="auto"/>
          <w:sz w:val="18"/>
          <w:szCs w:val="18"/>
          <w:lang w:eastAsia="en-US"/>
        </w:rPr>
        <w:t>1.1.3. En caso de que el OMV rechace la Solicitud de Creación, el SEG cerrará automáticamente la misma;</w:t>
      </w:r>
    </w:p>
    <w:p w14:paraId="7BCB7D4D"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p>
    <w:p w14:paraId="4892F652"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r w:rsidRPr="00651607">
        <w:rPr>
          <w:rFonts w:ascii="ITC Avant Garde" w:eastAsia="Calibri" w:hAnsi="ITC Avant Garde" w:cs="Arial"/>
          <w:i/>
          <w:color w:val="auto"/>
          <w:sz w:val="18"/>
          <w:szCs w:val="18"/>
          <w:lang w:eastAsia="en-US"/>
        </w:rPr>
        <w:t xml:space="preserve">1.1.4. Aceptados los Tiempos y Costos de la Solicitud por el OMV, y una vez que Telcel haya concluido con la implementación de la Solicitud de Creación, las Partes </w:t>
      </w:r>
      <w:r w:rsidRPr="005423B4">
        <w:rPr>
          <w:rFonts w:ascii="ITC Avant Garde" w:eastAsia="Calibri" w:hAnsi="ITC Avant Garde" w:cs="Arial"/>
          <w:i/>
          <w:color w:val="auto"/>
          <w:sz w:val="18"/>
          <w:szCs w:val="18"/>
          <w:lang w:eastAsia="en-US"/>
        </w:rPr>
        <w:t xml:space="preserve">tendrán </w:t>
      </w:r>
      <w:r w:rsidRPr="005423B4">
        <w:rPr>
          <w:rFonts w:ascii="ITC Avant Garde" w:eastAsia="Calibri" w:hAnsi="ITC Avant Garde" w:cs="Arial"/>
          <w:i/>
          <w:strike/>
          <w:color w:val="auto"/>
          <w:sz w:val="18"/>
          <w:szCs w:val="18"/>
          <w:lang w:eastAsia="en-US"/>
        </w:rPr>
        <w:t>5 (cinco)</w:t>
      </w:r>
      <w:r w:rsidRPr="005423B4">
        <w:rPr>
          <w:rFonts w:ascii="ITC Avant Garde" w:eastAsia="Calibri" w:hAnsi="ITC Avant Garde" w:cs="Arial"/>
          <w:i/>
          <w:color w:val="auto"/>
          <w:sz w:val="18"/>
          <w:szCs w:val="18"/>
          <w:lang w:eastAsia="en-US"/>
        </w:rPr>
        <w:t xml:space="preserve"> </w:t>
      </w:r>
      <w:r w:rsidRPr="005423B4">
        <w:rPr>
          <w:rFonts w:ascii="ITC Avant Garde" w:eastAsia="Calibri" w:hAnsi="ITC Avant Garde" w:cs="Arial"/>
          <w:i/>
          <w:color w:val="auto"/>
          <w:sz w:val="18"/>
          <w:szCs w:val="18"/>
          <w:u w:val="single"/>
          <w:lang w:eastAsia="en-US"/>
        </w:rPr>
        <w:t>3 (tres)</w:t>
      </w:r>
      <w:r w:rsidRPr="005423B4">
        <w:rPr>
          <w:rFonts w:ascii="ITC Avant Garde" w:eastAsia="Calibri" w:hAnsi="ITC Avant Garde" w:cs="Arial"/>
          <w:i/>
          <w:color w:val="auto"/>
          <w:sz w:val="18"/>
          <w:szCs w:val="18"/>
          <w:lang w:eastAsia="en-US"/>
        </w:rPr>
        <w:t xml:space="preserve"> días </w:t>
      </w:r>
      <w:r w:rsidRPr="005423B4">
        <w:rPr>
          <w:rFonts w:ascii="ITC Avant Garde" w:eastAsia="Calibri" w:hAnsi="ITC Avant Garde" w:cs="Arial"/>
          <w:i/>
          <w:strike/>
          <w:color w:val="auto"/>
          <w:sz w:val="18"/>
          <w:szCs w:val="18"/>
          <w:lang w:eastAsia="en-US"/>
        </w:rPr>
        <w:t>hábiles</w:t>
      </w:r>
      <w:r w:rsidRPr="005423B4">
        <w:rPr>
          <w:rFonts w:ascii="ITC Avant Garde" w:eastAsia="Calibri" w:hAnsi="ITC Avant Garde" w:cs="Arial"/>
          <w:i/>
          <w:color w:val="auto"/>
          <w:sz w:val="18"/>
          <w:szCs w:val="18"/>
          <w:lang w:eastAsia="en-US"/>
        </w:rPr>
        <w:t xml:space="preserve"> </w:t>
      </w:r>
      <w:r w:rsidRPr="005423B4">
        <w:rPr>
          <w:rFonts w:ascii="ITC Avant Garde" w:eastAsia="Calibri" w:hAnsi="ITC Avant Garde" w:cs="Arial"/>
          <w:i/>
          <w:color w:val="auto"/>
          <w:sz w:val="18"/>
          <w:szCs w:val="18"/>
          <w:u w:val="single"/>
          <w:lang w:eastAsia="en-US"/>
        </w:rPr>
        <w:t>naturales</w:t>
      </w:r>
      <w:r w:rsidRPr="005423B4">
        <w:rPr>
          <w:rFonts w:ascii="ITC Avant Garde" w:eastAsia="Calibri" w:hAnsi="ITC Avant Garde" w:cs="Arial"/>
          <w:i/>
          <w:color w:val="auto"/>
          <w:sz w:val="18"/>
          <w:szCs w:val="18"/>
          <w:lang w:eastAsia="en-US"/>
        </w:rPr>
        <w:t xml:space="preserve"> para</w:t>
      </w:r>
      <w:r w:rsidRPr="00651607">
        <w:rPr>
          <w:rFonts w:ascii="ITC Avant Garde" w:eastAsia="Calibri" w:hAnsi="ITC Avant Garde" w:cs="Arial"/>
          <w:i/>
          <w:color w:val="auto"/>
          <w:sz w:val="18"/>
          <w:szCs w:val="18"/>
          <w:lang w:eastAsia="en-US"/>
        </w:rPr>
        <w:t xml:space="preserve"> ejecutar las pruebas </w:t>
      </w:r>
      <w:proofErr w:type="spellStart"/>
      <w:r w:rsidRPr="00651607">
        <w:rPr>
          <w:rFonts w:ascii="ITC Avant Garde" w:eastAsia="Calibri" w:hAnsi="ITC Avant Garde" w:cs="Arial"/>
          <w:i/>
          <w:color w:val="auto"/>
          <w:sz w:val="18"/>
          <w:szCs w:val="18"/>
          <w:lang w:eastAsia="en-US"/>
        </w:rPr>
        <w:t>preproductivas</w:t>
      </w:r>
      <w:proofErr w:type="spellEnd"/>
      <w:r w:rsidRPr="00651607">
        <w:rPr>
          <w:rFonts w:ascii="ITC Avant Garde" w:eastAsia="Calibri" w:hAnsi="ITC Avant Garde" w:cs="Arial"/>
          <w:i/>
          <w:color w:val="auto"/>
          <w:sz w:val="18"/>
          <w:szCs w:val="18"/>
          <w:lang w:eastAsia="en-US"/>
        </w:rPr>
        <w:t xml:space="preserve"> y productivas, que integran el documento denominado ATP para garantizar la correcta funcionalidad de los sistemas y aplicaciones de la Solicitud de Creación; y</w:t>
      </w:r>
    </w:p>
    <w:p w14:paraId="490091AA"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p>
    <w:p w14:paraId="11E9B5E4" w14:textId="5480CDBE" w:rsidR="00651607" w:rsidRPr="00651607" w:rsidRDefault="00331D98" w:rsidP="00F974A6">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4DF39723"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r w:rsidRPr="00651607">
        <w:rPr>
          <w:rFonts w:ascii="ITC Avant Garde" w:eastAsia="Calibri" w:hAnsi="ITC Avant Garde" w:cs="Arial"/>
          <w:i/>
          <w:color w:val="auto"/>
          <w:sz w:val="18"/>
          <w:szCs w:val="18"/>
          <w:lang w:eastAsia="en-US"/>
        </w:rPr>
        <w:t>Procedimiento de Solicitud de Modificación:</w:t>
      </w:r>
    </w:p>
    <w:p w14:paraId="14F9F31B"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p>
    <w:p w14:paraId="53F02108"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r w:rsidRPr="00651607">
        <w:rPr>
          <w:rFonts w:ascii="ITC Avant Garde" w:eastAsia="Calibri" w:hAnsi="ITC Avant Garde" w:cs="Arial"/>
          <w:i/>
          <w:color w:val="auto"/>
          <w:sz w:val="18"/>
          <w:szCs w:val="18"/>
          <w:lang w:eastAsia="en-US"/>
        </w:rPr>
        <w:t xml:space="preserve">1.2.1. Se entenderá como la Solicitud de Modificación de Planes y Productos en donde la funcionalidad no tenga cambio y solo sean modificaciones a las tarifas y/o unidades, Telcel determinará los tiempos, los cuales, podrán ir desde </w:t>
      </w:r>
      <w:r w:rsidRPr="005423B4">
        <w:rPr>
          <w:rFonts w:ascii="ITC Avant Garde" w:eastAsia="Calibri" w:hAnsi="ITC Avant Garde" w:cs="Arial"/>
          <w:i/>
          <w:strike/>
          <w:color w:val="auto"/>
          <w:sz w:val="18"/>
          <w:szCs w:val="18"/>
          <w:lang w:eastAsia="en-US"/>
        </w:rPr>
        <w:t>10 (diez)</w:t>
      </w:r>
      <w:r w:rsidRPr="005423B4">
        <w:rPr>
          <w:rFonts w:ascii="ITC Avant Garde" w:eastAsia="Calibri" w:hAnsi="ITC Avant Garde" w:cs="Arial"/>
          <w:i/>
          <w:color w:val="auto"/>
          <w:sz w:val="18"/>
          <w:szCs w:val="18"/>
          <w:lang w:eastAsia="en-US"/>
        </w:rPr>
        <w:t xml:space="preserve"> </w:t>
      </w:r>
      <w:r w:rsidRPr="005423B4">
        <w:rPr>
          <w:rFonts w:ascii="ITC Avant Garde" w:eastAsia="Calibri" w:hAnsi="ITC Avant Garde" w:cs="Arial"/>
          <w:i/>
          <w:color w:val="auto"/>
          <w:sz w:val="18"/>
          <w:szCs w:val="18"/>
          <w:u w:val="single"/>
          <w:lang w:eastAsia="en-US"/>
        </w:rPr>
        <w:t>3 (tres)</w:t>
      </w:r>
      <w:r w:rsidRPr="005423B4">
        <w:rPr>
          <w:rFonts w:ascii="ITC Avant Garde" w:eastAsia="Calibri" w:hAnsi="ITC Avant Garde" w:cs="Arial"/>
          <w:i/>
          <w:color w:val="auto"/>
          <w:sz w:val="18"/>
          <w:szCs w:val="18"/>
          <w:lang w:eastAsia="en-US"/>
        </w:rPr>
        <w:t xml:space="preserve"> días hasta </w:t>
      </w:r>
      <w:r w:rsidRPr="005423B4">
        <w:rPr>
          <w:rFonts w:ascii="ITC Avant Garde" w:eastAsia="Calibri" w:hAnsi="ITC Avant Garde" w:cs="Arial"/>
          <w:i/>
          <w:strike/>
          <w:color w:val="auto"/>
          <w:sz w:val="18"/>
          <w:szCs w:val="18"/>
          <w:lang w:eastAsia="en-US"/>
        </w:rPr>
        <w:t>20 (veinte)</w:t>
      </w:r>
      <w:r w:rsidRPr="005423B4">
        <w:rPr>
          <w:rFonts w:ascii="ITC Avant Garde" w:eastAsia="Calibri" w:hAnsi="ITC Avant Garde" w:cs="Arial"/>
          <w:i/>
          <w:color w:val="auto"/>
          <w:sz w:val="18"/>
          <w:szCs w:val="18"/>
          <w:lang w:eastAsia="en-US"/>
        </w:rPr>
        <w:t xml:space="preserve"> </w:t>
      </w:r>
      <w:r w:rsidRPr="005423B4">
        <w:rPr>
          <w:rFonts w:ascii="ITC Avant Garde" w:eastAsia="Calibri" w:hAnsi="ITC Avant Garde" w:cs="Arial"/>
          <w:i/>
          <w:color w:val="auto"/>
          <w:sz w:val="18"/>
          <w:szCs w:val="18"/>
          <w:u w:val="single"/>
          <w:lang w:eastAsia="en-US"/>
        </w:rPr>
        <w:t>7 (siete)</w:t>
      </w:r>
      <w:r w:rsidRPr="005423B4">
        <w:rPr>
          <w:rFonts w:ascii="ITC Avant Garde" w:eastAsia="Calibri" w:hAnsi="ITC Avant Garde" w:cs="Arial"/>
          <w:i/>
          <w:color w:val="auto"/>
          <w:sz w:val="18"/>
          <w:szCs w:val="18"/>
          <w:lang w:eastAsia="en-US"/>
        </w:rPr>
        <w:t xml:space="preserve"> días </w:t>
      </w:r>
      <w:r w:rsidRPr="005423B4">
        <w:rPr>
          <w:rFonts w:ascii="ITC Avant Garde" w:eastAsia="Calibri" w:hAnsi="ITC Avant Garde" w:cs="Arial"/>
          <w:i/>
          <w:strike/>
          <w:color w:val="auto"/>
          <w:sz w:val="18"/>
          <w:szCs w:val="18"/>
          <w:lang w:eastAsia="en-US"/>
        </w:rPr>
        <w:t>hábiles</w:t>
      </w:r>
      <w:r w:rsidRPr="005423B4">
        <w:rPr>
          <w:rFonts w:ascii="ITC Avant Garde" w:eastAsia="Calibri" w:hAnsi="ITC Avant Garde" w:cs="Arial"/>
          <w:i/>
          <w:color w:val="auto"/>
          <w:sz w:val="18"/>
          <w:szCs w:val="18"/>
          <w:lang w:eastAsia="en-US"/>
        </w:rPr>
        <w:t xml:space="preserve"> </w:t>
      </w:r>
      <w:r w:rsidRPr="005423B4">
        <w:rPr>
          <w:rFonts w:ascii="ITC Avant Garde" w:eastAsia="Calibri" w:hAnsi="ITC Avant Garde" w:cs="Arial"/>
          <w:i/>
          <w:color w:val="auto"/>
          <w:sz w:val="18"/>
          <w:szCs w:val="18"/>
          <w:u w:val="single"/>
          <w:lang w:eastAsia="en-US"/>
        </w:rPr>
        <w:t>naturales</w:t>
      </w:r>
      <w:r w:rsidRPr="005423B4">
        <w:rPr>
          <w:rFonts w:ascii="ITC Avant Garde" w:eastAsia="Calibri" w:hAnsi="ITC Avant Garde" w:cs="Arial"/>
          <w:i/>
          <w:color w:val="auto"/>
          <w:sz w:val="18"/>
          <w:szCs w:val="18"/>
          <w:lang w:eastAsia="en-US"/>
        </w:rPr>
        <w:t>;</w:t>
      </w:r>
    </w:p>
    <w:p w14:paraId="3E302206"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p>
    <w:p w14:paraId="57960C28"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r w:rsidRPr="00651607">
        <w:rPr>
          <w:rFonts w:ascii="ITC Avant Garde" w:eastAsia="Calibri" w:hAnsi="ITC Avant Garde" w:cs="Arial"/>
          <w:i/>
          <w:color w:val="auto"/>
          <w:sz w:val="18"/>
          <w:szCs w:val="18"/>
          <w:lang w:eastAsia="en-US"/>
        </w:rPr>
        <w:t xml:space="preserve">1.2.2. Una vez que Telcel haya concluido con la implementación de la Solicitud de Modificación, las Partes tendrán </w:t>
      </w:r>
      <w:r w:rsidRPr="009A4A20">
        <w:rPr>
          <w:rFonts w:ascii="ITC Avant Garde" w:eastAsia="Calibri" w:hAnsi="ITC Avant Garde" w:cs="Arial"/>
          <w:i/>
          <w:strike/>
          <w:color w:val="auto"/>
          <w:sz w:val="18"/>
          <w:szCs w:val="18"/>
          <w:lang w:eastAsia="en-US"/>
        </w:rPr>
        <w:t>5 (cinco)</w:t>
      </w:r>
      <w:r w:rsidRPr="00651607">
        <w:rPr>
          <w:rFonts w:ascii="ITC Avant Garde" w:eastAsia="Calibri" w:hAnsi="ITC Avant Garde" w:cs="Arial"/>
          <w:i/>
          <w:color w:val="auto"/>
          <w:sz w:val="18"/>
          <w:szCs w:val="18"/>
          <w:lang w:eastAsia="en-US"/>
        </w:rPr>
        <w:t xml:space="preserve"> </w:t>
      </w:r>
      <w:r w:rsidRPr="009A4A20">
        <w:rPr>
          <w:rFonts w:ascii="ITC Avant Garde" w:eastAsia="Calibri" w:hAnsi="ITC Avant Garde" w:cs="Arial"/>
          <w:i/>
          <w:color w:val="auto"/>
          <w:sz w:val="18"/>
          <w:szCs w:val="18"/>
          <w:u w:val="single"/>
          <w:lang w:eastAsia="en-US"/>
        </w:rPr>
        <w:t>3 (tres)</w:t>
      </w:r>
      <w:r w:rsidRPr="00651607">
        <w:rPr>
          <w:rFonts w:ascii="ITC Avant Garde" w:eastAsia="Calibri" w:hAnsi="ITC Avant Garde" w:cs="Arial"/>
          <w:i/>
          <w:color w:val="auto"/>
          <w:sz w:val="18"/>
          <w:szCs w:val="18"/>
          <w:lang w:eastAsia="en-US"/>
        </w:rPr>
        <w:t xml:space="preserve"> días </w:t>
      </w:r>
      <w:r w:rsidRPr="009A4A20">
        <w:rPr>
          <w:rFonts w:ascii="ITC Avant Garde" w:eastAsia="Calibri" w:hAnsi="ITC Avant Garde" w:cs="Arial"/>
          <w:i/>
          <w:strike/>
          <w:color w:val="auto"/>
          <w:sz w:val="18"/>
          <w:szCs w:val="18"/>
          <w:lang w:eastAsia="en-US"/>
        </w:rPr>
        <w:t>hábiles</w:t>
      </w:r>
      <w:r w:rsidRPr="00651607">
        <w:rPr>
          <w:rFonts w:ascii="ITC Avant Garde" w:eastAsia="Calibri" w:hAnsi="ITC Avant Garde" w:cs="Arial"/>
          <w:i/>
          <w:color w:val="auto"/>
          <w:sz w:val="18"/>
          <w:szCs w:val="18"/>
          <w:lang w:eastAsia="en-US"/>
        </w:rPr>
        <w:t xml:space="preserve"> </w:t>
      </w:r>
      <w:r w:rsidRPr="009A4A20">
        <w:rPr>
          <w:rFonts w:ascii="ITC Avant Garde" w:eastAsia="Calibri" w:hAnsi="ITC Avant Garde" w:cs="Arial"/>
          <w:i/>
          <w:color w:val="auto"/>
          <w:sz w:val="18"/>
          <w:szCs w:val="18"/>
          <w:u w:val="single"/>
          <w:lang w:eastAsia="en-US"/>
        </w:rPr>
        <w:t>naturales</w:t>
      </w:r>
      <w:r w:rsidRPr="00651607">
        <w:rPr>
          <w:rFonts w:ascii="ITC Avant Garde" w:eastAsia="Calibri" w:hAnsi="ITC Avant Garde" w:cs="Arial"/>
          <w:i/>
          <w:color w:val="auto"/>
          <w:sz w:val="18"/>
          <w:szCs w:val="18"/>
          <w:lang w:eastAsia="en-US"/>
        </w:rPr>
        <w:t xml:space="preserve"> para ejecutar las pruebas </w:t>
      </w:r>
      <w:proofErr w:type="spellStart"/>
      <w:r w:rsidRPr="00651607">
        <w:rPr>
          <w:rFonts w:ascii="ITC Avant Garde" w:eastAsia="Calibri" w:hAnsi="ITC Avant Garde" w:cs="Arial"/>
          <w:i/>
          <w:color w:val="auto"/>
          <w:sz w:val="18"/>
          <w:szCs w:val="18"/>
          <w:lang w:eastAsia="en-US"/>
        </w:rPr>
        <w:t>preproductivas</w:t>
      </w:r>
      <w:proofErr w:type="spellEnd"/>
      <w:r w:rsidRPr="00651607">
        <w:rPr>
          <w:rFonts w:ascii="ITC Avant Garde" w:eastAsia="Calibri" w:hAnsi="ITC Avant Garde" w:cs="Arial"/>
          <w:i/>
          <w:color w:val="auto"/>
          <w:sz w:val="18"/>
          <w:szCs w:val="18"/>
          <w:lang w:eastAsia="en-US"/>
        </w:rPr>
        <w:t xml:space="preserve"> y productivas, que integran el documento denominado ATP para garantizar la correcta funcionalidad de los sistemas y aplicaciones de la Solicitud de Modificación, y</w:t>
      </w:r>
    </w:p>
    <w:p w14:paraId="325D3B6A"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p>
    <w:p w14:paraId="1C68B030" w14:textId="77777777" w:rsidR="00651607" w:rsidRPr="00651607" w:rsidRDefault="00651607" w:rsidP="00331D98">
      <w:pPr>
        <w:spacing w:after="0" w:line="276" w:lineRule="auto"/>
        <w:ind w:left="0" w:right="615" w:firstLine="0"/>
        <w:rPr>
          <w:rFonts w:ascii="ITC Avant Garde" w:eastAsia="Calibri" w:hAnsi="ITC Avant Garde" w:cs="Arial"/>
          <w:i/>
          <w:color w:val="auto"/>
          <w:sz w:val="18"/>
          <w:szCs w:val="18"/>
          <w:lang w:eastAsia="en-US"/>
        </w:rPr>
      </w:pPr>
    </w:p>
    <w:p w14:paraId="773BEC83"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r w:rsidRPr="00651607">
        <w:rPr>
          <w:rFonts w:ascii="ITC Avant Garde" w:eastAsia="Calibri" w:hAnsi="ITC Avant Garde" w:cs="Arial"/>
          <w:i/>
          <w:color w:val="auto"/>
          <w:sz w:val="18"/>
          <w:szCs w:val="18"/>
          <w:lang w:eastAsia="en-US"/>
        </w:rPr>
        <w:t>[… ]</w:t>
      </w:r>
    </w:p>
    <w:p w14:paraId="50ED5DF1" w14:textId="77777777" w:rsidR="00651607" w:rsidRP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p>
    <w:p w14:paraId="3D39C63C" w14:textId="77777777" w:rsidR="00651607" w:rsidRPr="009A4A20" w:rsidRDefault="00651607" w:rsidP="00F974A6">
      <w:pPr>
        <w:spacing w:after="0" w:line="276" w:lineRule="auto"/>
        <w:ind w:left="-284" w:right="615" w:firstLine="0"/>
        <w:rPr>
          <w:rFonts w:ascii="ITC Avant Garde" w:eastAsia="Calibri" w:hAnsi="ITC Avant Garde" w:cs="Arial"/>
          <w:i/>
          <w:color w:val="auto"/>
          <w:sz w:val="18"/>
          <w:szCs w:val="18"/>
          <w:u w:val="single"/>
          <w:lang w:eastAsia="en-US"/>
        </w:rPr>
      </w:pPr>
      <w:r w:rsidRPr="009A4A20">
        <w:rPr>
          <w:rFonts w:ascii="ITC Avant Garde" w:eastAsia="Calibri" w:hAnsi="ITC Avant Garde" w:cs="Arial"/>
          <w:i/>
          <w:color w:val="auto"/>
          <w:sz w:val="18"/>
          <w:szCs w:val="18"/>
          <w:u w:val="single"/>
          <w:lang w:eastAsia="en-US"/>
        </w:rPr>
        <w:t xml:space="preserve">Procedimiento para la Reventa de Paquetes de Telcel </w:t>
      </w:r>
    </w:p>
    <w:p w14:paraId="6C76C3E9" w14:textId="77777777" w:rsidR="00651607" w:rsidRPr="009A4A20" w:rsidRDefault="00651607" w:rsidP="00F974A6">
      <w:pPr>
        <w:spacing w:after="0" w:line="276" w:lineRule="auto"/>
        <w:ind w:left="-284" w:right="615" w:firstLine="0"/>
        <w:rPr>
          <w:rFonts w:ascii="ITC Avant Garde" w:eastAsia="Calibri" w:hAnsi="ITC Avant Garde" w:cs="Arial"/>
          <w:i/>
          <w:color w:val="auto"/>
          <w:sz w:val="18"/>
          <w:szCs w:val="18"/>
          <w:u w:val="single"/>
          <w:lang w:eastAsia="en-US"/>
        </w:rPr>
      </w:pPr>
    </w:p>
    <w:p w14:paraId="17B85DAF" w14:textId="5448D41B" w:rsidR="00651607" w:rsidRDefault="00651607" w:rsidP="00F974A6">
      <w:pPr>
        <w:spacing w:after="0" w:line="276" w:lineRule="auto"/>
        <w:ind w:left="-284" w:right="615" w:firstLine="0"/>
        <w:rPr>
          <w:rFonts w:ascii="ITC Avant Garde" w:eastAsia="Calibri" w:hAnsi="ITC Avant Garde" w:cs="Arial"/>
          <w:i/>
          <w:color w:val="auto"/>
          <w:sz w:val="18"/>
          <w:szCs w:val="18"/>
          <w:lang w:eastAsia="en-US"/>
        </w:rPr>
      </w:pPr>
      <w:r w:rsidRPr="009A4A20">
        <w:rPr>
          <w:rFonts w:ascii="ITC Avant Garde" w:eastAsia="Calibri" w:hAnsi="ITC Avant Garde" w:cs="Arial"/>
          <w:i/>
          <w:color w:val="auto"/>
          <w:sz w:val="18"/>
          <w:szCs w:val="18"/>
          <w:u w:val="single"/>
          <w:lang w:eastAsia="en-US"/>
        </w:rPr>
        <w:t>1.3.1. Se entenderá como la Solicitud de Reventa de Planes y Paquetes comerciales el servicio donde los CS podrán replicar los paquetes que ofrece Telcel a sus usuarios finales, y que han sido previamente autorizados y registrados ante el Instituto. Telcel ofrecerá a los CS los planes y paquetes que comercializa actualmente en los mismos términos y condiciones que ofrece a sus usuarios finales. Telcel ofrecerá a los CS los nuevos planes móviles una vez que se las autorice el Instituto. Para ello, publicará en el SEG las ofertas registradas y autorizadas al Instituto, para que los CS mediante el SEG puedan solicitar los servicios</w:t>
      </w:r>
      <w:r w:rsidR="009A4A20">
        <w:rPr>
          <w:rFonts w:ascii="ITC Avant Garde" w:eastAsia="Calibri" w:hAnsi="ITC Avant Garde" w:cs="Arial"/>
          <w:i/>
          <w:color w:val="auto"/>
          <w:sz w:val="18"/>
          <w:szCs w:val="18"/>
          <w:u w:val="single"/>
          <w:lang w:eastAsia="en-US"/>
        </w:rPr>
        <w:t>.</w:t>
      </w:r>
      <w:r w:rsidR="009A4A20">
        <w:rPr>
          <w:rFonts w:ascii="ITC Avant Garde" w:eastAsia="Calibri" w:hAnsi="ITC Avant Garde" w:cs="Arial"/>
          <w:i/>
          <w:color w:val="auto"/>
          <w:sz w:val="18"/>
          <w:szCs w:val="18"/>
          <w:lang w:eastAsia="en-US"/>
        </w:rPr>
        <w:t>”</w:t>
      </w:r>
    </w:p>
    <w:p w14:paraId="64507C9F" w14:textId="77777777" w:rsidR="00E21F08" w:rsidRPr="00105996" w:rsidRDefault="00E21F08" w:rsidP="00F974A6">
      <w:pPr>
        <w:spacing w:after="0" w:line="276" w:lineRule="auto"/>
        <w:ind w:left="-284"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70ACF334" w14:textId="77777777" w:rsidR="00852FF0" w:rsidRPr="00852FF0" w:rsidRDefault="00852FF0" w:rsidP="002A524D">
      <w:pPr>
        <w:spacing w:after="0" w:line="276" w:lineRule="auto"/>
        <w:ind w:left="-851" w:right="49"/>
        <w:rPr>
          <w:rFonts w:ascii="ITC Avant Garde" w:hAnsi="ITC Avant Garde"/>
          <w:b/>
          <w:color w:val="auto"/>
        </w:rPr>
      </w:pPr>
    </w:p>
    <w:p w14:paraId="296EF1E4" w14:textId="77777777" w:rsidR="00966269" w:rsidRDefault="00966269" w:rsidP="002A524D">
      <w:pPr>
        <w:spacing w:after="0" w:line="276" w:lineRule="auto"/>
        <w:ind w:left="-851" w:right="0" w:firstLine="0"/>
        <w:rPr>
          <w:rFonts w:ascii="ITC Avant Garde" w:hAnsi="ITC Avant Garde"/>
          <w:b/>
          <w:color w:val="auto"/>
        </w:rPr>
      </w:pPr>
      <w:r w:rsidRPr="00343A4F">
        <w:rPr>
          <w:rFonts w:ascii="ITC Avant Garde" w:hAnsi="ITC Avant Garde"/>
          <w:b/>
          <w:color w:val="auto"/>
        </w:rPr>
        <w:t xml:space="preserve">Consideraciones del Instituto </w:t>
      </w:r>
    </w:p>
    <w:p w14:paraId="76D0E5A5" w14:textId="2F2813A7" w:rsidR="00BA6F4E" w:rsidRDefault="00966269" w:rsidP="002A524D">
      <w:pPr>
        <w:spacing w:line="276" w:lineRule="auto"/>
        <w:ind w:left="-851" w:right="0"/>
        <w:rPr>
          <w:rFonts w:ascii="ITC Avant Garde" w:hAnsi="ITC Avant Garde"/>
          <w:color w:val="auto"/>
        </w:rPr>
      </w:pPr>
      <w:r>
        <w:rPr>
          <w:rFonts w:ascii="ITC Avant Garde" w:hAnsi="ITC Avant Garde"/>
          <w:color w:val="auto"/>
        </w:rPr>
        <w:lastRenderedPageBreak/>
        <w:t xml:space="preserve">Respecto al plazo para la entrega de los costos y plazos </w:t>
      </w:r>
      <w:r w:rsidR="0005536B">
        <w:rPr>
          <w:rFonts w:ascii="ITC Avant Garde" w:hAnsi="ITC Avant Garde"/>
          <w:color w:val="auto"/>
        </w:rPr>
        <w:t xml:space="preserve">para la implementación de la Solicitud de creación, </w:t>
      </w:r>
      <w:r w:rsidR="00BA6F4E">
        <w:rPr>
          <w:rFonts w:ascii="ITC Avant Garde" w:hAnsi="ITC Avant Garde"/>
          <w:color w:val="auto"/>
        </w:rPr>
        <w:t xml:space="preserve">se señala que el plazo de 15 días </w:t>
      </w:r>
      <w:r w:rsidR="00AE6CAD">
        <w:rPr>
          <w:rFonts w:ascii="ITC Avant Garde" w:hAnsi="ITC Avant Garde"/>
          <w:color w:val="auto"/>
        </w:rPr>
        <w:t>contempla</w:t>
      </w:r>
      <w:r w:rsidR="00BA6F4E">
        <w:rPr>
          <w:rFonts w:ascii="ITC Avant Garde" w:hAnsi="ITC Avant Garde"/>
          <w:color w:val="auto"/>
        </w:rPr>
        <w:t xml:space="preserve"> el análisis y la prospección de costos y plazos para el desar</w:t>
      </w:r>
      <w:r w:rsidR="00AE6CAD">
        <w:rPr>
          <w:rFonts w:ascii="ITC Avant Garde" w:hAnsi="ITC Avant Garde"/>
          <w:color w:val="auto"/>
        </w:rPr>
        <w:t>rollo propuesto por el OMV.</w:t>
      </w:r>
      <w:r w:rsidR="00BB32F3">
        <w:rPr>
          <w:rFonts w:ascii="ITC Avant Garde" w:hAnsi="ITC Avant Garde"/>
          <w:color w:val="auto"/>
        </w:rPr>
        <w:t xml:space="preserve"> Asimismo</w:t>
      </w:r>
      <w:r w:rsidR="00EC64D6">
        <w:rPr>
          <w:rFonts w:ascii="ITC Avant Garde" w:hAnsi="ITC Avant Garde"/>
          <w:color w:val="auto"/>
        </w:rPr>
        <w:t xml:space="preserve">, la reducción del plazo </w:t>
      </w:r>
      <w:r w:rsidR="00BB32F3">
        <w:rPr>
          <w:rFonts w:ascii="ITC Avant Garde" w:hAnsi="ITC Avant Garde"/>
          <w:color w:val="auto"/>
        </w:rPr>
        <w:t xml:space="preserve">a 3 días naturales </w:t>
      </w:r>
      <w:r w:rsidR="00EC64D6">
        <w:rPr>
          <w:rFonts w:ascii="ITC Avant Garde" w:hAnsi="ITC Avant Garde"/>
          <w:color w:val="auto"/>
        </w:rPr>
        <w:t xml:space="preserve">para que el OMV acepte o rechace </w:t>
      </w:r>
      <w:r w:rsidR="00035F7D">
        <w:rPr>
          <w:rFonts w:ascii="ITC Avant Garde" w:hAnsi="ITC Avant Garde"/>
          <w:color w:val="auto"/>
        </w:rPr>
        <w:t>los tiempos y costos de la solicitud represen</w:t>
      </w:r>
      <w:r w:rsidR="006C1D4A">
        <w:rPr>
          <w:rFonts w:ascii="ITC Avant Garde" w:hAnsi="ITC Avant Garde"/>
          <w:color w:val="auto"/>
        </w:rPr>
        <w:t>ta condiciones menos favorables a los aprobados en la Oferta vigente.</w:t>
      </w:r>
    </w:p>
    <w:p w14:paraId="04168D23" w14:textId="565C8FC4" w:rsidR="00BB32F3" w:rsidRDefault="00BB32F3" w:rsidP="002A524D">
      <w:pPr>
        <w:spacing w:line="276" w:lineRule="auto"/>
        <w:ind w:left="-851" w:right="0"/>
        <w:rPr>
          <w:rFonts w:ascii="ITC Avant Garde" w:hAnsi="ITC Avant Garde"/>
          <w:color w:val="auto"/>
        </w:rPr>
      </w:pPr>
    </w:p>
    <w:p w14:paraId="380442F9" w14:textId="793DF7EA" w:rsidR="00BB32F3" w:rsidRDefault="00BB32F3" w:rsidP="002A524D">
      <w:pPr>
        <w:spacing w:line="276" w:lineRule="auto"/>
        <w:ind w:left="-851" w:right="0"/>
        <w:rPr>
          <w:rFonts w:ascii="ITC Avant Garde" w:hAnsi="ITC Avant Garde"/>
          <w:color w:val="auto"/>
        </w:rPr>
      </w:pPr>
      <w:r>
        <w:rPr>
          <w:rFonts w:ascii="ITC Avant Garde" w:hAnsi="ITC Avant Garde"/>
          <w:color w:val="auto"/>
        </w:rPr>
        <w:t>Por otra parte, el plazo de 5 días hábiles para ejecutar las pruebas pre-productivas y productivas considera el tiempo necesario para garantizar la correcta funcionalidad de los sistemas y aplicaciones, asegurando</w:t>
      </w:r>
      <w:r w:rsidR="00705A88">
        <w:rPr>
          <w:rFonts w:ascii="ITC Avant Garde" w:hAnsi="ITC Avant Garde"/>
          <w:color w:val="auto"/>
        </w:rPr>
        <w:t xml:space="preserve"> así</w:t>
      </w:r>
      <w:r>
        <w:rPr>
          <w:rFonts w:ascii="ITC Avant Garde" w:hAnsi="ITC Avant Garde"/>
          <w:color w:val="auto"/>
        </w:rPr>
        <w:t xml:space="preserve"> la adecuada interacción de los sistemas de cada Parte</w:t>
      </w:r>
      <w:r w:rsidR="00705A88">
        <w:rPr>
          <w:rFonts w:ascii="ITC Avant Garde" w:hAnsi="ITC Avant Garde"/>
          <w:color w:val="auto"/>
        </w:rPr>
        <w:t xml:space="preserve">. </w:t>
      </w:r>
      <w:r w:rsidR="000551FF">
        <w:rPr>
          <w:rFonts w:ascii="ITC Avant Garde" w:hAnsi="ITC Avant Garde"/>
          <w:color w:val="auto"/>
        </w:rPr>
        <w:t xml:space="preserve">Respecto a la reducción del plazo para la </w:t>
      </w:r>
      <w:r w:rsidR="000551FF" w:rsidRPr="000551FF">
        <w:rPr>
          <w:rFonts w:ascii="ITC Avant Garde" w:hAnsi="ITC Avant Garde"/>
          <w:color w:val="auto"/>
        </w:rPr>
        <w:t>Solicitud de Modificación de Planes y Productos en donde la funcionalidad no tenga cambio</w:t>
      </w:r>
      <w:r w:rsidR="000551FF">
        <w:rPr>
          <w:rFonts w:ascii="ITC Avant Garde" w:hAnsi="ITC Avant Garde"/>
          <w:color w:val="auto"/>
        </w:rPr>
        <w:t>, se señala que éste no es acorde al plazo establecido para la liberación comercial de planes y productos que se asemejen a productos y servicios minoristas de Telcel establecido en el numeral VI.</w:t>
      </w:r>
    </w:p>
    <w:p w14:paraId="2EF82FD2" w14:textId="478CDB58" w:rsidR="006C64D6" w:rsidRDefault="006C64D6" w:rsidP="002A524D">
      <w:pPr>
        <w:spacing w:line="276" w:lineRule="auto"/>
        <w:ind w:left="-851" w:right="0"/>
        <w:rPr>
          <w:rFonts w:ascii="ITC Avant Garde" w:hAnsi="ITC Avant Garde"/>
          <w:color w:val="auto"/>
        </w:rPr>
      </w:pPr>
    </w:p>
    <w:p w14:paraId="23F51C97" w14:textId="380FACEE" w:rsidR="006C64D6" w:rsidRDefault="00C50F5F" w:rsidP="00331D98">
      <w:pPr>
        <w:spacing w:after="0" w:line="276" w:lineRule="auto"/>
        <w:ind w:left="-851" w:right="49"/>
        <w:rPr>
          <w:rFonts w:ascii="ITC Avant Garde" w:eastAsia="Calibri" w:hAnsi="ITC Avant Garde" w:cs="Arial"/>
          <w:color w:val="auto"/>
          <w:sz w:val="18"/>
          <w:szCs w:val="18"/>
          <w:lang w:eastAsia="en-US"/>
        </w:rPr>
      </w:pPr>
      <w:r>
        <w:rPr>
          <w:rFonts w:ascii="ITC Avant Garde" w:hAnsi="ITC Avant Garde"/>
          <w:color w:val="auto"/>
        </w:rPr>
        <w:t>Referente</w:t>
      </w:r>
      <w:r w:rsidR="006C64D6" w:rsidRPr="00522158">
        <w:rPr>
          <w:rFonts w:ascii="ITC Avant Garde" w:hAnsi="ITC Avant Garde"/>
          <w:color w:val="auto"/>
        </w:rPr>
        <w:t xml:space="preserve"> al procedimiento para la reventa de paquetes,</w:t>
      </w:r>
      <w:r w:rsidR="006C64D6">
        <w:rPr>
          <w:rFonts w:ascii="ITC Avant Garde" w:hAnsi="ITC Avant Garde"/>
          <w:color w:val="auto"/>
        </w:rPr>
        <w:t xml:space="preserve"> se indica que la medida Sexagésima cuarta de las Medidas Móviles establece que el Instituto validará de manera ex post la </w:t>
      </w:r>
      <w:proofErr w:type="spellStart"/>
      <w:r w:rsidR="006C64D6">
        <w:rPr>
          <w:rFonts w:ascii="ITC Avant Garde" w:hAnsi="ITC Avant Garde"/>
          <w:color w:val="auto"/>
        </w:rPr>
        <w:t>replicabilidad</w:t>
      </w:r>
      <w:proofErr w:type="spellEnd"/>
      <w:r w:rsidR="006C64D6">
        <w:rPr>
          <w:rFonts w:ascii="ITC Avant Garde" w:hAnsi="ITC Avant Garde"/>
          <w:color w:val="auto"/>
        </w:rPr>
        <w:t xml:space="preserve"> económica de las tarifas de los servicios mayorist</w:t>
      </w:r>
      <w:r w:rsidR="00331D98">
        <w:rPr>
          <w:rFonts w:ascii="ITC Avant Garde" w:hAnsi="ITC Avant Garde"/>
          <w:color w:val="auto"/>
        </w:rPr>
        <w:t>as regulados y, en caso de que é</w:t>
      </w:r>
      <w:r w:rsidR="006C64D6">
        <w:rPr>
          <w:rFonts w:ascii="ITC Avant Garde" w:hAnsi="ITC Avant Garde"/>
          <w:color w:val="auto"/>
        </w:rPr>
        <w:t>stas no pasen la prueba, el AEP podrá modificar las tarifas de los servicios mayoristas reg</w:t>
      </w:r>
      <w:r w:rsidR="00331D98">
        <w:rPr>
          <w:rFonts w:ascii="ITC Avant Garde" w:hAnsi="ITC Avant Garde"/>
          <w:color w:val="auto"/>
        </w:rPr>
        <w:t>ulados o las del usuario final.</w:t>
      </w:r>
    </w:p>
    <w:p w14:paraId="0D568F52" w14:textId="77777777" w:rsidR="006C64D6" w:rsidRPr="004C7577" w:rsidRDefault="006C64D6" w:rsidP="002A524D">
      <w:pPr>
        <w:spacing w:after="0" w:line="276" w:lineRule="auto"/>
        <w:ind w:left="-851" w:right="49"/>
        <w:rPr>
          <w:rFonts w:ascii="ITC Avant Garde" w:hAnsi="ITC Avant Garde"/>
          <w:color w:val="auto"/>
        </w:rPr>
      </w:pPr>
    </w:p>
    <w:p w14:paraId="1B5974FD" w14:textId="22568AAA" w:rsidR="006C64D6" w:rsidRDefault="006C64D6" w:rsidP="00331D98">
      <w:pPr>
        <w:spacing w:after="0" w:line="276" w:lineRule="auto"/>
        <w:ind w:left="-851" w:right="49"/>
        <w:rPr>
          <w:rFonts w:ascii="ITC Avant Garde" w:hAnsi="ITC Avant Garde"/>
          <w:color w:val="auto"/>
          <w:highlight w:val="cyan"/>
        </w:rPr>
      </w:pPr>
      <w:r>
        <w:rPr>
          <w:rFonts w:ascii="ITC Avant Garde" w:hAnsi="ITC Avant Garde"/>
          <w:color w:val="auto"/>
        </w:rPr>
        <w:t>Asimismo</w:t>
      </w:r>
      <w:r w:rsidRPr="00D65D5C">
        <w:rPr>
          <w:rFonts w:ascii="ITC Avant Garde" w:hAnsi="ITC Avant Garde"/>
          <w:color w:val="auto"/>
        </w:rPr>
        <w:t xml:space="preserve">, el Acuerdo de </w:t>
      </w:r>
      <w:proofErr w:type="spellStart"/>
      <w:r w:rsidRPr="00D65D5C">
        <w:rPr>
          <w:rFonts w:ascii="ITC Avant Garde" w:hAnsi="ITC Avant Garde"/>
          <w:color w:val="auto"/>
        </w:rPr>
        <w:t>Replicabilidad</w:t>
      </w:r>
      <w:proofErr w:type="spellEnd"/>
      <w:r w:rsidRPr="00D65D5C">
        <w:rPr>
          <w:rFonts w:ascii="ITC Avant Garde" w:hAnsi="ITC Avant Garde"/>
          <w:color w:val="auto"/>
        </w:rPr>
        <w:t xml:space="preserve"> Económica</w:t>
      </w:r>
      <w:r>
        <w:rPr>
          <w:rStyle w:val="Refdenotaalpie"/>
          <w:rFonts w:ascii="ITC Avant Garde" w:hAnsi="ITC Avant Garde"/>
          <w:color w:val="auto"/>
        </w:rPr>
        <w:footnoteReference w:id="2"/>
      </w:r>
      <w:r w:rsidRPr="00D65D5C">
        <w:rPr>
          <w:rFonts w:ascii="ITC Avant Garde" w:hAnsi="ITC Avant Garde"/>
          <w:color w:val="auto"/>
        </w:rPr>
        <w:t xml:space="preserve"> establece </w:t>
      </w:r>
      <w:r>
        <w:rPr>
          <w:rFonts w:ascii="ITC Avant Garde" w:hAnsi="ITC Avant Garde"/>
          <w:color w:val="auto"/>
        </w:rPr>
        <w:t xml:space="preserve">que esta prueba se realizará de manera ex post cada tres meses, aplicándose de manera separada tanto a la cartera de Prepago como a la de </w:t>
      </w:r>
      <w:proofErr w:type="spellStart"/>
      <w:r>
        <w:rPr>
          <w:rFonts w:ascii="ITC Avant Garde" w:hAnsi="ITC Avant Garde"/>
          <w:color w:val="auto"/>
        </w:rPr>
        <w:t>Pospago</w:t>
      </w:r>
      <w:proofErr w:type="spellEnd"/>
      <w:r>
        <w:rPr>
          <w:rFonts w:ascii="ITC Avant Garde" w:hAnsi="ITC Avant Garde"/>
          <w:color w:val="auto"/>
        </w:rPr>
        <w:t>, a</w:t>
      </w:r>
      <w:r w:rsidR="00331D98">
        <w:rPr>
          <w:rFonts w:ascii="ITC Avant Garde" w:hAnsi="ITC Avant Garde"/>
          <w:color w:val="auto"/>
        </w:rPr>
        <w:t>sí como a las ofertas insignia.</w:t>
      </w:r>
    </w:p>
    <w:p w14:paraId="7D4AB5E1" w14:textId="32D5D8F0" w:rsidR="006C64D6" w:rsidRDefault="006C64D6" w:rsidP="002A524D">
      <w:pPr>
        <w:spacing w:after="0" w:line="276" w:lineRule="auto"/>
        <w:ind w:left="-851" w:right="49"/>
        <w:rPr>
          <w:rFonts w:ascii="ITC Avant Garde" w:hAnsi="ITC Avant Garde"/>
          <w:color w:val="auto"/>
        </w:rPr>
      </w:pPr>
      <w:r>
        <w:rPr>
          <w:rFonts w:ascii="ITC Avant Garde" w:hAnsi="ITC Avant Garde"/>
          <w:color w:val="auto"/>
        </w:rPr>
        <w:t>Asimismo</w:t>
      </w:r>
      <w:r>
        <w:rPr>
          <w:rFonts w:ascii="ITC Avant Garde" w:hAnsi="ITC Avant Garde"/>
          <w:color w:val="auto"/>
          <w:lang w:val="es-ES"/>
        </w:rPr>
        <w:t>, en el Informe Trimestral del Cumplimiento a las Medidas y la Regulación Asimétrica impuestas al AEP (abril-junio 2019)</w:t>
      </w:r>
      <w:r>
        <w:rPr>
          <w:rStyle w:val="Refdenotaalpie"/>
          <w:rFonts w:ascii="ITC Avant Garde" w:hAnsi="ITC Avant Garde"/>
          <w:color w:val="auto"/>
          <w:lang w:val="es-ES"/>
        </w:rPr>
        <w:footnoteReference w:id="3"/>
      </w:r>
      <w:r>
        <w:rPr>
          <w:rFonts w:ascii="ITC Avant Garde" w:hAnsi="ITC Avant Garde"/>
          <w:color w:val="auto"/>
          <w:lang w:val="es-ES"/>
        </w:rPr>
        <w:t>, se señalan l</w:t>
      </w:r>
      <w:r w:rsidR="00331D98">
        <w:rPr>
          <w:rFonts w:ascii="ITC Avant Garde" w:hAnsi="ITC Avant Garde"/>
          <w:color w:val="auto"/>
          <w:lang w:val="es-ES"/>
        </w:rPr>
        <w:t>as tarifas que fueron autorizada</w:t>
      </w:r>
      <w:r>
        <w:rPr>
          <w:rFonts w:ascii="ITC Avant Garde" w:hAnsi="ITC Avant Garde"/>
          <w:color w:val="auto"/>
          <w:lang w:val="es-ES"/>
        </w:rPr>
        <w:t xml:space="preserve">s por el Instituto para los diferentes planes que fueron sometidos por el AEP. </w:t>
      </w:r>
      <w:r w:rsidRPr="00181906">
        <w:rPr>
          <w:rFonts w:ascii="ITC Avant Garde" w:hAnsi="ITC Avant Garde"/>
          <w:color w:val="auto"/>
        </w:rPr>
        <w:t>Por lo anterior, se man</w:t>
      </w:r>
      <w:r w:rsidR="00A7232D">
        <w:rPr>
          <w:rFonts w:ascii="ITC Avant Garde" w:hAnsi="ITC Avant Garde"/>
          <w:color w:val="auto"/>
        </w:rPr>
        <w:t>tiene la Oferta en los mismos</w:t>
      </w:r>
      <w:r w:rsidRPr="00181906">
        <w:rPr>
          <w:rFonts w:ascii="ITC Avant Garde" w:hAnsi="ITC Avant Garde"/>
          <w:color w:val="auto"/>
        </w:rPr>
        <w:t xml:space="preserve"> términos.</w:t>
      </w:r>
    </w:p>
    <w:p w14:paraId="3592AD78" w14:textId="05C1F3D3" w:rsidR="008F13D7" w:rsidRDefault="008F13D7" w:rsidP="002A524D">
      <w:pPr>
        <w:spacing w:line="276" w:lineRule="auto"/>
        <w:ind w:left="-851" w:right="0"/>
        <w:rPr>
          <w:rFonts w:ascii="ITC Avant Garde" w:hAnsi="ITC Avant Garde"/>
          <w:color w:val="auto"/>
        </w:rPr>
      </w:pPr>
    </w:p>
    <w:p w14:paraId="71C8FFC0" w14:textId="77777777" w:rsidR="008F13D7" w:rsidRPr="00E713AA" w:rsidRDefault="008F13D7" w:rsidP="002A524D">
      <w:pPr>
        <w:spacing w:after="0" w:line="276" w:lineRule="auto"/>
        <w:ind w:left="-851" w:right="0" w:firstLine="0"/>
        <w:rPr>
          <w:rFonts w:ascii="ITC Avant Garde" w:hAnsi="ITC Avant Garde"/>
          <w:b/>
        </w:rPr>
      </w:pPr>
      <w:r w:rsidRPr="00E713AA">
        <w:rPr>
          <w:rFonts w:ascii="ITC Avant Garde" w:hAnsi="ITC Avant Garde"/>
          <w:b/>
        </w:rPr>
        <w:t>ANEXO II ACUERDOS TÉCNICOS</w:t>
      </w:r>
    </w:p>
    <w:p w14:paraId="7CB3A7A9" w14:textId="1EBCD7C7" w:rsidR="008F13D7" w:rsidRPr="0054734F" w:rsidRDefault="0054734F" w:rsidP="002A524D">
      <w:pPr>
        <w:spacing w:line="276" w:lineRule="auto"/>
        <w:ind w:left="-851" w:right="0"/>
        <w:rPr>
          <w:rFonts w:ascii="ITC Avant Garde" w:hAnsi="ITC Avant Garde"/>
          <w:color w:val="auto"/>
          <w:u w:val="single"/>
        </w:rPr>
      </w:pPr>
      <w:r>
        <w:rPr>
          <w:rFonts w:ascii="ITC Avant Garde" w:eastAsia="Calibri" w:hAnsi="ITC Avant Garde" w:cs="Arial"/>
          <w:b/>
          <w:u w:val="single"/>
        </w:rPr>
        <w:t>3.1.2.8 Bloqueo de IMEI</w:t>
      </w:r>
    </w:p>
    <w:p w14:paraId="5F9FB2EF" w14:textId="06B4B1AD" w:rsidR="00BA6F4E" w:rsidRPr="00E713AA" w:rsidRDefault="008F13D7" w:rsidP="002A524D">
      <w:pPr>
        <w:spacing w:after="0" w:line="276" w:lineRule="auto"/>
        <w:ind w:left="-851" w:right="0" w:firstLine="0"/>
        <w:rPr>
          <w:rFonts w:ascii="ITC Avant Garde" w:hAnsi="ITC Avant Garde"/>
          <w:b/>
          <w:color w:val="auto"/>
        </w:rPr>
      </w:pPr>
      <w:r w:rsidRPr="00E713AA">
        <w:rPr>
          <w:rFonts w:ascii="ITC Avant Garde" w:hAnsi="ITC Avant Garde"/>
          <w:b/>
          <w:color w:val="auto"/>
        </w:rPr>
        <w:t>Axtel</w:t>
      </w:r>
      <w:r w:rsidR="00061BCA">
        <w:rPr>
          <w:rFonts w:ascii="ITC Avant Garde" w:hAnsi="ITC Avant Garde"/>
          <w:b/>
          <w:color w:val="auto"/>
        </w:rPr>
        <w:t>, CANIETI</w:t>
      </w:r>
      <w:r w:rsidRPr="00E713AA">
        <w:rPr>
          <w:rFonts w:ascii="ITC Avant Garde" w:hAnsi="ITC Avant Garde"/>
          <w:b/>
          <w:color w:val="auto"/>
        </w:rPr>
        <w:t>:</w:t>
      </w:r>
    </w:p>
    <w:p w14:paraId="3C281924" w14:textId="428B3042" w:rsidR="008F13D7" w:rsidRDefault="008F13D7" w:rsidP="002A524D">
      <w:pPr>
        <w:spacing w:after="0" w:line="276" w:lineRule="auto"/>
        <w:ind w:left="-851" w:right="0" w:firstLine="0"/>
        <w:rPr>
          <w:rFonts w:ascii="ITC Avant Garde" w:hAnsi="ITC Avant Garde"/>
          <w:color w:val="auto"/>
        </w:rPr>
      </w:pPr>
      <w:r w:rsidRPr="00E713AA">
        <w:rPr>
          <w:rFonts w:ascii="ITC Avant Garde" w:hAnsi="ITC Avant Garde"/>
          <w:color w:val="auto"/>
        </w:rPr>
        <w:t>Refiere</w:t>
      </w:r>
      <w:r w:rsidR="00061BCA">
        <w:rPr>
          <w:rFonts w:ascii="ITC Avant Garde" w:hAnsi="ITC Avant Garde"/>
          <w:color w:val="auto"/>
        </w:rPr>
        <w:t>n</w:t>
      </w:r>
      <w:r w:rsidRPr="00E713AA">
        <w:rPr>
          <w:rFonts w:ascii="ITC Avant Garde" w:hAnsi="ITC Avant Garde"/>
          <w:color w:val="auto"/>
        </w:rPr>
        <w:t xml:space="preserve"> que para los OMV completos que cuenten con su propio PLMN (</w:t>
      </w:r>
      <w:r w:rsidRPr="00E713AA">
        <w:rPr>
          <w:rFonts w:ascii="ITC Avant Garde" w:hAnsi="ITC Avant Garde"/>
          <w:i/>
          <w:color w:val="auto"/>
        </w:rPr>
        <w:t>“</w:t>
      </w:r>
      <w:proofErr w:type="spellStart"/>
      <w:r w:rsidRPr="00E713AA">
        <w:rPr>
          <w:rFonts w:ascii="ITC Avant Garde" w:hAnsi="ITC Avant Garde"/>
          <w:i/>
          <w:color w:val="auto"/>
        </w:rPr>
        <w:t>Public</w:t>
      </w:r>
      <w:proofErr w:type="spellEnd"/>
      <w:r w:rsidRPr="00E713AA">
        <w:rPr>
          <w:rFonts w:ascii="ITC Avant Garde" w:hAnsi="ITC Avant Garde"/>
          <w:i/>
          <w:color w:val="auto"/>
        </w:rPr>
        <w:t xml:space="preserve"> </w:t>
      </w:r>
      <w:proofErr w:type="spellStart"/>
      <w:r w:rsidRPr="00E713AA">
        <w:rPr>
          <w:rFonts w:ascii="ITC Avant Garde" w:hAnsi="ITC Avant Garde"/>
          <w:i/>
          <w:color w:val="auto"/>
        </w:rPr>
        <w:t>Land</w:t>
      </w:r>
      <w:proofErr w:type="spellEnd"/>
      <w:r w:rsidRPr="00E713AA">
        <w:rPr>
          <w:rFonts w:ascii="ITC Avant Garde" w:hAnsi="ITC Avant Garde"/>
          <w:i/>
          <w:color w:val="auto"/>
        </w:rPr>
        <w:t xml:space="preserve"> Mobile Network</w:t>
      </w:r>
      <w:r w:rsidRPr="00E713AA">
        <w:rPr>
          <w:rFonts w:ascii="ITC Avant Garde" w:hAnsi="ITC Avant Garde"/>
          <w:color w:val="auto"/>
        </w:rPr>
        <w:t>”)</w:t>
      </w:r>
      <w:r w:rsidR="00E713AA">
        <w:rPr>
          <w:rFonts w:ascii="ITC Avant Garde" w:hAnsi="ITC Avant Garde"/>
          <w:color w:val="auto"/>
        </w:rPr>
        <w:t xml:space="preserve"> se deben de incluir las siguientes opciones:</w:t>
      </w:r>
    </w:p>
    <w:p w14:paraId="56B8C1A9" w14:textId="74192ADD" w:rsidR="00E713AA" w:rsidRDefault="00E713AA" w:rsidP="002A524D">
      <w:pPr>
        <w:spacing w:after="0" w:line="276" w:lineRule="auto"/>
        <w:ind w:left="-851" w:right="0" w:firstLine="0"/>
        <w:rPr>
          <w:rFonts w:ascii="ITC Avant Garde" w:hAnsi="ITC Avant Garde"/>
          <w:color w:val="auto"/>
        </w:rPr>
      </w:pPr>
    </w:p>
    <w:p w14:paraId="048E66A3" w14:textId="57742036" w:rsidR="00E713AA" w:rsidRDefault="00E713AA" w:rsidP="0042489D">
      <w:pPr>
        <w:pStyle w:val="Prrafodelista"/>
        <w:numPr>
          <w:ilvl w:val="0"/>
          <w:numId w:val="15"/>
        </w:numPr>
        <w:spacing w:after="0" w:line="276" w:lineRule="auto"/>
        <w:ind w:left="284" w:right="0"/>
        <w:rPr>
          <w:rFonts w:ascii="ITC Avant Garde" w:hAnsi="ITC Avant Garde"/>
          <w:color w:val="auto"/>
        </w:rPr>
      </w:pPr>
      <w:r>
        <w:rPr>
          <w:rFonts w:ascii="ITC Avant Garde" w:hAnsi="ITC Avant Garde"/>
          <w:color w:val="auto"/>
        </w:rPr>
        <w:t>En caso de que el OMV Completo/</w:t>
      </w:r>
      <w:proofErr w:type="spellStart"/>
      <w:r>
        <w:rPr>
          <w:rFonts w:ascii="ITC Avant Garde" w:hAnsi="ITC Avant Garde"/>
          <w:color w:val="auto"/>
        </w:rPr>
        <w:t>Agregador</w:t>
      </w:r>
      <w:proofErr w:type="spellEnd"/>
      <w:r>
        <w:rPr>
          <w:rFonts w:ascii="ITC Avant Garde" w:hAnsi="ITC Avant Garde"/>
          <w:color w:val="auto"/>
        </w:rPr>
        <w:t xml:space="preserve"> cuente con un acuerdo con la GSMA</w:t>
      </w:r>
      <w:r w:rsidR="008B4AA4">
        <w:rPr>
          <w:rFonts w:ascii="ITC Avant Garde" w:hAnsi="ITC Avant Garde"/>
          <w:color w:val="auto"/>
        </w:rPr>
        <w:t xml:space="preserve"> </w:t>
      </w:r>
      <w:r w:rsidR="008B4AA4" w:rsidRPr="008B4AA4">
        <w:rPr>
          <w:rFonts w:ascii="ITC Avant Garde" w:hAnsi="ITC Avant Garde"/>
          <w:color w:val="auto"/>
        </w:rPr>
        <w:t>(</w:t>
      </w:r>
      <w:r w:rsidR="008B4AA4" w:rsidRPr="008B4AA4">
        <w:rPr>
          <w:rFonts w:ascii="ITC Avant Garde" w:hAnsi="ITC Avant Garde"/>
          <w:i/>
          <w:color w:val="auto"/>
        </w:rPr>
        <w:t xml:space="preserve">“GSM </w:t>
      </w:r>
      <w:proofErr w:type="spellStart"/>
      <w:r w:rsidR="008B4AA4" w:rsidRPr="008B4AA4">
        <w:rPr>
          <w:rFonts w:ascii="ITC Avant Garde" w:hAnsi="ITC Avant Garde"/>
          <w:i/>
          <w:color w:val="auto"/>
        </w:rPr>
        <w:t>Association</w:t>
      </w:r>
      <w:proofErr w:type="spellEnd"/>
      <w:r w:rsidR="008B4AA4" w:rsidRPr="008B4AA4">
        <w:rPr>
          <w:rFonts w:ascii="ITC Avant Garde" w:hAnsi="ITC Avant Garde"/>
          <w:i/>
          <w:color w:val="auto"/>
        </w:rPr>
        <w:t>”</w:t>
      </w:r>
      <w:r w:rsidR="008B4AA4" w:rsidRPr="008B4AA4">
        <w:rPr>
          <w:rFonts w:ascii="ITC Avant Garde" w:hAnsi="ITC Avant Garde"/>
          <w:color w:val="auto"/>
        </w:rPr>
        <w:t>)</w:t>
      </w:r>
      <w:r>
        <w:rPr>
          <w:rFonts w:ascii="ITC Avant Garde" w:hAnsi="ITC Avant Garde"/>
          <w:color w:val="auto"/>
        </w:rPr>
        <w:t>, el AEP facilitará la operación del OMV para que este pueda realizar directamente en la lista negra</w:t>
      </w:r>
      <w:r w:rsidR="00767DCC">
        <w:rPr>
          <w:rFonts w:ascii="ITC Avant Garde" w:hAnsi="ITC Avant Garde"/>
          <w:color w:val="auto"/>
        </w:rPr>
        <w:t xml:space="preserve"> (</w:t>
      </w:r>
      <w:r w:rsidR="00767DCC" w:rsidRPr="00767DCC">
        <w:rPr>
          <w:rFonts w:ascii="ITC Avant Garde" w:hAnsi="ITC Avant Garde"/>
          <w:i/>
          <w:color w:val="auto"/>
        </w:rPr>
        <w:t xml:space="preserve">“Black </w:t>
      </w:r>
      <w:proofErr w:type="spellStart"/>
      <w:r w:rsidR="00767DCC" w:rsidRPr="00767DCC">
        <w:rPr>
          <w:rFonts w:ascii="ITC Avant Garde" w:hAnsi="ITC Avant Garde"/>
          <w:i/>
          <w:color w:val="auto"/>
        </w:rPr>
        <w:t>List</w:t>
      </w:r>
      <w:proofErr w:type="spellEnd"/>
      <w:r w:rsidR="00767DCC" w:rsidRPr="00767DCC">
        <w:rPr>
          <w:rFonts w:ascii="ITC Avant Garde" w:hAnsi="ITC Avant Garde"/>
          <w:i/>
          <w:color w:val="auto"/>
        </w:rPr>
        <w:t>”</w:t>
      </w:r>
      <w:r w:rsidR="00767DCC">
        <w:rPr>
          <w:rFonts w:ascii="ITC Avant Garde" w:hAnsi="ITC Avant Garde"/>
          <w:color w:val="auto"/>
        </w:rPr>
        <w:t>) el alta o baja</w:t>
      </w:r>
      <w:r>
        <w:rPr>
          <w:rFonts w:ascii="ITC Avant Garde" w:hAnsi="ITC Avant Garde"/>
          <w:color w:val="auto"/>
        </w:rPr>
        <w:t xml:space="preserve"> de </w:t>
      </w:r>
      <w:r w:rsidR="00767DCC">
        <w:rPr>
          <w:rFonts w:ascii="ITC Avant Garde" w:hAnsi="ITC Avant Garde"/>
          <w:color w:val="auto"/>
        </w:rPr>
        <w:t xml:space="preserve">un </w:t>
      </w:r>
      <w:r>
        <w:rPr>
          <w:rFonts w:ascii="ITC Avant Garde" w:hAnsi="ITC Avant Garde"/>
          <w:color w:val="auto"/>
        </w:rPr>
        <w:t xml:space="preserve">IMEI </w:t>
      </w:r>
      <w:r w:rsidRPr="00E713AA">
        <w:rPr>
          <w:rFonts w:ascii="ITC Avant Garde" w:hAnsi="ITC Avant Garde"/>
          <w:color w:val="auto"/>
        </w:rPr>
        <w:t>(</w:t>
      </w:r>
      <w:r w:rsidRPr="00E713AA">
        <w:rPr>
          <w:rFonts w:ascii="ITC Avant Garde" w:hAnsi="ITC Avant Garde"/>
          <w:i/>
          <w:color w:val="auto"/>
        </w:rPr>
        <w:t xml:space="preserve">“International Mobile </w:t>
      </w:r>
      <w:proofErr w:type="spellStart"/>
      <w:r w:rsidRPr="00E713AA">
        <w:rPr>
          <w:rFonts w:ascii="ITC Avant Garde" w:hAnsi="ITC Avant Garde"/>
          <w:i/>
          <w:color w:val="auto"/>
        </w:rPr>
        <w:t>System</w:t>
      </w:r>
      <w:proofErr w:type="spellEnd"/>
      <w:r w:rsidRPr="00E713AA">
        <w:rPr>
          <w:rFonts w:ascii="ITC Avant Garde" w:hAnsi="ITC Avant Garde"/>
          <w:i/>
          <w:color w:val="auto"/>
        </w:rPr>
        <w:t xml:space="preserve"> </w:t>
      </w:r>
      <w:proofErr w:type="spellStart"/>
      <w:r w:rsidRPr="00E713AA">
        <w:rPr>
          <w:rFonts w:ascii="ITC Avant Garde" w:hAnsi="ITC Avant Garde"/>
          <w:i/>
          <w:color w:val="auto"/>
        </w:rPr>
        <w:t>Equipment</w:t>
      </w:r>
      <w:proofErr w:type="spellEnd"/>
      <w:r w:rsidRPr="00E713AA">
        <w:rPr>
          <w:rFonts w:ascii="ITC Avant Garde" w:hAnsi="ITC Avant Garde"/>
          <w:i/>
          <w:color w:val="auto"/>
        </w:rPr>
        <w:t xml:space="preserve"> </w:t>
      </w:r>
      <w:proofErr w:type="spellStart"/>
      <w:r w:rsidRPr="00E713AA">
        <w:rPr>
          <w:rFonts w:ascii="ITC Avant Garde" w:hAnsi="ITC Avant Garde"/>
          <w:i/>
          <w:color w:val="auto"/>
        </w:rPr>
        <w:t>Identity</w:t>
      </w:r>
      <w:proofErr w:type="spellEnd"/>
      <w:r w:rsidRPr="00E713AA">
        <w:rPr>
          <w:rFonts w:ascii="ITC Avant Garde" w:hAnsi="ITC Avant Garde"/>
          <w:i/>
          <w:color w:val="auto"/>
        </w:rPr>
        <w:t>”</w:t>
      </w:r>
      <w:r w:rsidRPr="00E713AA">
        <w:rPr>
          <w:rFonts w:ascii="ITC Avant Garde" w:hAnsi="ITC Avant Garde"/>
          <w:color w:val="auto"/>
        </w:rPr>
        <w:t>)</w:t>
      </w:r>
      <w:r>
        <w:rPr>
          <w:rFonts w:ascii="ITC Avant Garde" w:hAnsi="ITC Avant Garde"/>
          <w:color w:val="auto"/>
        </w:rPr>
        <w:t>.</w:t>
      </w:r>
    </w:p>
    <w:p w14:paraId="08441978" w14:textId="6E4B4CC4" w:rsidR="008B4AA4" w:rsidRDefault="008B4AA4" w:rsidP="0042489D">
      <w:pPr>
        <w:pStyle w:val="Prrafodelista"/>
        <w:numPr>
          <w:ilvl w:val="0"/>
          <w:numId w:val="15"/>
        </w:numPr>
        <w:spacing w:after="0" w:line="276" w:lineRule="auto"/>
        <w:ind w:left="284" w:right="0"/>
        <w:rPr>
          <w:rFonts w:ascii="ITC Avant Garde" w:hAnsi="ITC Avant Garde"/>
          <w:color w:val="auto"/>
        </w:rPr>
      </w:pPr>
      <w:r>
        <w:rPr>
          <w:rFonts w:ascii="ITC Avant Garde" w:hAnsi="ITC Avant Garde"/>
          <w:color w:val="auto"/>
        </w:rPr>
        <w:t xml:space="preserve">En caso de que el OMV </w:t>
      </w:r>
      <w:r w:rsidR="00857992">
        <w:rPr>
          <w:rFonts w:ascii="ITC Avant Garde" w:hAnsi="ITC Avant Garde"/>
          <w:color w:val="auto"/>
        </w:rPr>
        <w:t>Completo/</w:t>
      </w:r>
      <w:proofErr w:type="spellStart"/>
      <w:r w:rsidR="00857992">
        <w:rPr>
          <w:rFonts w:ascii="ITC Avant Garde" w:hAnsi="ITC Avant Garde"/>
          <w:color w:val="auto"/>
        </w:rPr>
        <w:t>Agregador</w:t>
      </w:r>
      <w:proofErr w:type="spellEnd"/>
      <w:r w:rsidR="00857992">
        <w:rPr>
          <w:rFonts w:ascii="ITC Avant Garde" w:hAnsi="ITC Avant Garde"/>
          <w:color w:val="auto"/>
        </w:rPr>
        <w:t xml:space="preserve"> </w:t>
      </w:r>
      <w:r>
        <w:rPr>
          <w:rFonts w:ascii="ITC Avant Garde" w:hAnsi="ITC Avant Garde"/>
          <w:color w:val="auto"/>
        </w:rPr>
        <w:t>no cuente con un acuerdo con la GSMA, éste podrá solicitar a Telcel el servicio de alta y baja de información (bloqueo y desbloqueo de equipos terminales) mediante el mismo esquema planteado en el numeral 3.2.3.</w:t>
      </w:r>
    </w:p>
    <w:p w14:paraId="59CCDEB5" w14:textId="77777777" w:rsidR="008E2DB1" w:rsidRDefault="008E2DB1" w:rsidP="008E2DB1">
      <w:pPr>
        <w:pStyle w:val="Prrafodelista"/>
        <w:spacing w:after="0" w:line="276" w:lineRule="auto"/>
        <w:ind w:left="284" w:right="0" w:firstLine="0"/>
        <w:rPr>
          <w:rFonts w:ascii="ITC Avant Garde" w:hAnsi="ITC Avant Garde"/>
          <w:color w:val="auto"/>
        </w:rPr>
      </w:pPr>
    </w:p>
    <w:p w14:paraId="789D2A18" w14:textId="7402600F" w:rsidR="00061BCA" w:rsidRPr="00061BCA" w:rsidRDefault="00061BCA" w:rsidP="002A524D">
      <w:pPr>
        <w:spacing w:after="0" w:line="276" w:lineRule="auto"/>
        <w:ind w:left="-851" w:right="0"/>
        <w:rPr>
          <w:rFonts w:ascii="ITC Avant Garde" w:hAnsi="ITC Avant Garde"/>
          <w:color w:val="auto"/>
        </w:rPr>
      </w:pPr>
      <w:r>
        <w:rPr>
          <w:rFonts w:ascii="ITC Avant Garde" w:hAnsi="ITC Avant Garde"/>
          <w:color w:val="auto"/>
        </w:rPr>
        <w:t>Asimismo, CANIETI refiere que se debe incluir la solución técnica y el costo de la implementación.</w:t>
      </w:r>
      <w:r w:rsidR="001F2433">
        <w:rPr>
          <w:rFonts w:ascii="ITC Avant Garde" w:hAnsi="ITC Avant Garde"/>
          <w:color w:val="auto"/>
        </w:rPr>
        <w:t xml:space="preserve"> Además, refiere que para el caso de los OMV revendedores no aplica un cobro por desarrollo adicional ya que este es provisto por el </w:t>
      </w:r>
      <w:r w:rsidR="00F01B88">
        <w:rPr>
          <w:rFonts w:ascii="ITC Avant Garde" w:hAnsi="ITC Avant Garde"/>
          <w:color w:val="auto"/>
        </w:rPr>
        <w:t>AEP, por lo que indica</w:t>
      </w:r>
      <w:r w:rsidR="001F2433">
        <w:rPr>
          <w:rFonts w:ascii="ITC Avant Garde" w:hAnsi="ITC Avant Garde"/>
          <w:color w:val="auto"/>
        </w:rPr>
        <w:t xml:space="preserve"> que no se está otorgando igualdad de condiciones.</w:t>
      </w:r>
    </w:p>
    <w:p w14:paraId="4D5AACE3" w14:textId="68450328" w:rsidR="008B4AA4" w:rsidRDefault="008B4AA4" w:rsidP="002A524D">
      <w:pPr>
        <w:spacing w:after="0" w:line="276" w:lineRule="auto"/>
        <w:ind w:left="-851" w:right="0" w:firstLine="0"/>
        <w:rPr>
          <w:rFonts w:ascii="ITC Avant Garde" w:hAnsi="ITC Avant Garde"/>
          <w:color w:val="auto"/>
        </w:rPr>
      </w:pPr>
    </w:p>
    <w:p w14:paraId="3465F5D3" w14:textId="77777777" w:rsidR="00BB6C41" w:rsidRDefault="00BB6C41" w:rsidP="002A524D">
      <w:pPr>
        <w:spacing w:after="0" w:line="276" w:lineRule="auto"/>
        <w:ind w:left="-851" w:right="0" w:firstLine="0"/>
        <w:rPr>
          <w:rFonts w:ascii="ITC Avant Garde" w:hAnsi="ITC Avant Garde"/>
          <w:b/>
          <w:color w:val="auto"/>
        </w:rPr>
      </w:pPr>
      <w:r w:rsidRPr="00343A4F">
        <w:rPr>
          <w:rFonts w:ascii="ITC Avant Garde" w:hAnsi="ITC Avant Garde"/>
          <w:b/>
          <w:color w:val="auto"/>
        </w:rPr>
        <w:t xml:space="preserve">Consideraciones del Instituto </w:t>
      </w:r>
    </w:p>
    <w:p w14:paraId="08B3822C" w14:textId="179882E9" w:rsidR="000534FC" w:rsidRDefault="000534FC" w:rsidP="002A524D">
      <w:pPr>
        <w:spacing w:after="0" w:line="276" w:lineRule="auto"/>
        <w:ind w:left="-851"/>
        <w:rPr>
          <w:rFonts w:ascii="ITC Avant Garde" w:eastAsia="Calibri" w:hAnsi="ITC Avant Garde" w:cs="Arial"/>
        </w:rPr>
      </w:pPr>
      <w:r>
        <w:rPr>
          <w:rFonts w:ascii="ITC Avant Garde" w:eastAsia="Calibri" w:hAnsi="ITC Avant Garde" w:cs="Arial"/>
        </w:rPr>
        <w:t>A</w:t>
      </w:r>
      <w:r w:rsidR="00BB6C41">
        <w:rPr>
          <w:rFonts w:ascii="ITC Avant Garde" w:eastAsia="Calibri" w:hAnsi="ITC Avant Garde" w:cs="Arial"/>
        </w:rPr>
        <w:t xml:space="preserve"> fin de que el OMV pueda atender los reportes por robo o extravío de los equipos terminales de sus usuarios, en el numeral 3.1.2.8 se precisa que Telcel coadyuv</w:t>
      </w:r>
      <w:r>
        <w:rPr>
          <w:rFonts w:ascii="ITC Avant Garde" w:eastAsia="Calibri" w:hAnsi="ITC Avant Garde" w:cs="Arial"/>
        </w:rPr>
        <w:t>ará con el OMV Completo</w:t>
      </w:r>
      <w:r w:rsidR="00525751">
        <w:rPr>
          <w:rFonts w:ascii="ITC Avant Garde" w:eastAsia="Calibri" w:hAnsi="ITC Avant Garde" w:cs="Arial"/>
        </w:rPr>
        <w:t xml:space="preserve"> para el cumplimiento de estas obligaciones en los siguientes términos:</w:t>
      </w:r>
    </w:p>
    <w:p w14:paraId="3DF48D15" w14:textId="0678345B" w:rsidR="000534FC" w:rsidRDefault="000534FC" w:rsidP="002A524D">
      <w:pPr>
        <w:spacing w:after="0" w:line="276" w:lineRule="auto"/>
        <w:ind w:left="-851"/>
        <w:rPr>
          <w:rFonts w:ascii="ITC Avant Garde" w:eastAsia="Calibri" w:hAnsi="ITC Avant Garde" w:cs="Arial"/>
        </w:rPr>
      </w:pPr>
    </w:p>
    <w:p w14:paraId="332BDD40" w14:textId="77777777" w:rsidR="000534FC" w:rsidRPr="00E53037" w:rsidRDefault="000534FC" w:rsidP="008E2DB1">
      <w:pPr>
        <w:spacing w:after="0" w:line="276" w:lineRule="auto"/>
        <w:ind w:left="-284" w:right="615"/>
        <w:rPr>
          <w:rFonts w:ascii="ITC Avant Garde" w:eastAsia="Calibri" w:hAnsi="ITC Avant Garde" w:cs="Arial"/>
          <w:i/>
          <w:sz w:val="18"/>
          <w:szCs w:val="18"/>
        </w:rPr>
      </w:pPr>
      <w:r>
        <w:rPr>
          <w:rFonts w:ascii="ITC Avant Garde" w:eastAsia="Calibri" w:hAnsi="ITC Avant Garde" w:cs="Arial"/>
          <w:i/>
          <w:sz w:val="18"/>
          <w:szCs w:val="18"/>
        </w:rPr>
        <w:t xml:space="preserve">“3.1.2.8 </w:t>
      </w:r>
      <w:r w:rsidRPr="00E53037">
        <w:rPr>
          <w:rFonts w:ascii="ITC Avant Garde" w:eastAsia="Calibri" w:hAnsi="ITC Avant Garde" w:cs="Arial"/>
          <w:i/>
          <w:sz w:val="18"/>
          <w:szCs w:val="18"/>
        </w:rPr>
        <w:t xml:space="preserve">BLOQUEO DE IMEI. </w:t>
      </w:r>
    </w:p>
    <w:p w14:paraId="34D3B179" w14:textId="2DCEA37C" w:rsidR="000534FC" w:rsidRPr="00E53037" w:rsidRDefault="000534FC" w:rsidP="008E2DB1">
      <w:pPr>
        <w:spacing w:after="0" w:line="276" w:lineRule="auto"/>
        <w:ind w:left="-284" w:right="615"/>
        <w:rPr>
          <w:rFonts w:ascii="ITC Avant Garde" w:eastAsia="Calibri" w:hAnsi="ITC Avant Garde" w:cs="Arial"/>
          <w:i/>
          <w:sz w:val="18"/>
          <w:szCs w:val="18"/>
        </w:rPr>
      </w:pPr>
      <w:r w:rsidRPr="00E53037">
        <w:rPr>
          <w:rFonts w:ascii="ITC Avant Garde" w:eastAsia="Calibri" w:hAnsi="ITC Avant Garde" w:cs="Arial"/>
          <w:i/>
          <w:sz w:val="18"/>
          <w:szCs w:val="18"/>
        </w:rPr>
        <w:t>En el entendido que el OMV Completo cuenta con ciertos elementos propios, entre otros, el PLMN, deberá atender los reportes por robo o extravío de equipos terminales por parte de sus Usuarios Finales, atendiendo a las normas de la GSMA, para el bloqueo de IMEI</w:t>
      </w:r>
      <w:r w:rsidRPr="00E53037">
        <w:rPr>
          <w:rFonts w:ascii="ITC Avant Garde" w:eastAsia="Calibri" w:hAnsi="ITC Avant Garde" w:cs="Arial"/>
          <w:i/>
          <w:sz w:val="18"/>
          <w:szCs w:val="18"/>
          <w:u w:val="single"/>
        </w:rPr>
        <w:t>; para ello, Telcel coadyuvará con el OMV Completo para que este en posibilidad de cumplir con las obligaciones a que se refiere el presente numeral</w:t>
      </w:r>
      <w:r w:rsidRPr="00E53037">
        <w:rPr>
          <w:rFonts w:ascii="ITC Avant Garde" w:eastAsia="Calibri" w:hAnsi="ITC Avant Garde" w:cs="Arial"/>
          <w:i/>
          <w:sz w:val="18"/>
          <w:szCs w:val="18"/>
        </w:rPr>
        <w:t>.</w:t>
      </w:r>
    </w:p>
    <w:p w14:paraId="384C44E7" w14:textId="77777777" w:rsidR="000534FC" w:rsidRPr="00E53037" w:rsidRDefault="000534FC" w:rsidP="008E2DB1">
      <w:pPr>
        <w:spacing w:after="0" w:line="276" w:lineRule="auto"/>
        <w:ind w:left="-284" w:right="615"/>
        <w:rPr>
          <w:rFonts w:ascii="ITC Avant Garde" w:eastAsia="Calibri" w:hAnsi="ITC Avant Garde" w:cs="Arial"/>
          <w:i/>
          <w:sz w:val="18"/>
          <w:szCs w:val="18"/>
        </w:rPr>
      </w:pPr>
      <w:r>
        <w:rPr>
          <w:rFonts w:ascii="ITC Avant Garde" w:eastAsia="Calibri" w:hAnsi="ITC Avant Garde" w:cs="Arial"/>
          <w:i/>
          <w:sz w:val="18"/>
          <w:szCs w:val="18"/>
        </w:rPr>
        <w:t>(…)”</w:t>
      </w:r>
    </w:p>
    <w:p w14:paraId="653DC32D" w14:textId="20A837E6" w:rsidR="00525751" w:rsidRDefault="00525751" w:rsidP="008E2DB1">
      <w:pPr>
        <w:spacing w:after="0" w:line="276" w:lineRule="auto"/>
        <w:ind w:left="-284"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70753803" w14:textId="77777777" w:rsidR="0054734F" w:rsidRPr="00105996" w:rsidRDefault="0054734F" w:rsidP="002A524D">
      <w:pPr>
        <w:spacing w:after="0" w:line="276" w:lineRule="auto"/>
        <w:ind w:left="-851" w:right="615" w:firstLine="0"/>
        <w:jc w:val="right"/>
        <w:rPr>
          <w:rFonts w:ascii="ITC Avant Garde" w:eastAsia="Calibri" w:hAnsi="ITC Avant Garde" w:cs="Arial"/>
          <w:color w:val="auto"/>
          <w:sz w:val="18"/>
          <w:szCs w:val="18"/>
          <w:lang w:eastAsia="en-US"/>
        </w:rPr>
      </w:pPr>
    </w:p>
    <w:p w14:paraId="632DA305" w14:textId="3667694F" w:rsidR="008F34A6" w:rsidRDefault="008F34A6" w:rsidP="002A524D">
      <w:pPr>
        <w:spacing w:after="0" w:line="276" w:lineRule="auto"/>
        <w:ind w:left="-851" w:right="49"/>
        <w:rPr>
          <w:rFonts w:ascii="ITC Avant Garde" w:hAnsi="ITC Avant Garde"/>
          <w:color w:val="auto"/>
        </w:rPr>
      </w:pPr>
      <w:r w:rsidRPr="008F34A6">
        <w:rPr>
          <w:rFonts w:ascii="ITC Avant Garde" w:hAnsi="ITC Avant Garde"/>
          <w:color w:val="auto"/>
        </w:rPr>
        <w:t>Respecto al</w:t>
      </w:r>
      <w:r>
        <w:rPr>
          <w:rFonts w:ascii="ITC Avant Garde" w:hAnsi="ITC Avant Garde"/>
          <w:color w:val="auto"/>
        </w:rPr>
        <w:t xml:space="preserve"> señalamiento referente a que no aplica un cobro por desarrollo adicional para los OMV revendedores, se indica que el numeral 3.2.</w:t>
      </w:r>
      <w:r w:rsidR="00817AE7">
        <w:rPr>
          <w:rFonts w:ascii="ITC Avant Garde" w:hAnsi="ITC Avant Garde"/>
          <w:color w:val="auto"/>
        </w:rPr>
        <w:t xml:space="preserve">3 </w:t>
      </w:r>
      <w:r>
        <w:rPr>
          <w:rFonts w:ascii="ITC Avant Garde" w:hAnsi="ITC Avant Garde"/>
          <w:color w:val="auto"/>
        </w:rPr>
        <w:t>establece que dentro de la plataforma del OMV revendedor y/o Telcel como Habilitador de Red</w:t>
      </w:r>
      <w:r w:rsidR="00817AE7">
        <w:rPr>
          <w:rFonts w:ascii="ITC Avant Garde" w:hAnsi="ITC Avant Garde"/>
          <w:color w:val="auto"/>
        </w:rPr>
        <w:t xml:space="preserve"> existe un módulo para realizar el alta y baja para el bloqueo del IMEI:</w:t>
      </w:r>
    </w:p>
    <w:p w14:paraId="383FBCD0" w14:textId="411317C2" w:rsidR="00817AE7" w:rsidRPr="00817AE7" w:rsidRDefault="00817AE7" w:rsidP="002A524D">
      <w:pPr>
        <w:spacing w:after="0" w:line="276" w:lineRule="auto"/>
        <w:ind w:left="-851" w:right="615"/>
        <w:rPr>
          <w:rFonts w:ascii="ITC Avant Garde" w:eastAsia="Calibri" w:hAnsi="ITC Avant Garde" w:cs="Arial"/>
          <w:i/>
          <w:sz w:val="18"/>
          <w:szCs w:val="18"/>
        </w:rPr>
      </w:pPr>
    </w:p>
    <w:p w14:paraId="4A20121C" w14:textId="1AE863EC" w:rsidR="00817AE7" w:rsidRPr="00817AE7" w:rsidRDefault="00817AE7" w:rsidP="00655374">
      <w:pPr>
        <w:spacing w:after="0" w:line="276" w:lineRule="auto"/>
        <w:ind w:left="-284" w:right="615"/>
        <w:rPr>
          <w:rFonts w:ascii="ITC Avant Garde" w:eastAsia="Calibri" w:hAnsi="ITC Avant Garde" w:cs="Arial"/>
          <w:i/>
          <w:sz w:val="18"/>
          <w:szCs w:val="18"/>
        </w:rPr>
      </w:pPr>
      <w:r>
        <w:rPr>
          <w:rFonts w:ascii="ITC Avant Garde" w:eastAsia="Calibri" w:hAnsi="ITC Avant Garde" w:cs="Arial"/>
          <w:i/>
          <w:sz w:val="18"/>
          <w:szCs w:val="18"/>
        </w:rPr>
        <w:t xml:space="preserve">“3.2.3 </w:t>
      </w:r>
      <w:r w:rsidRPr="00817AE7">
        <w:rPr>
          <w:rFonts w:ascii="ITC Avant Garde" w:eastAsia="Calibri" w:hAnsi="ITC Avant Garde" w:cs="Arial"/>
          <w:i/>
          <w:sz w:val="18"/>
          <w:szCs w:val="18"/>
        </w:rPr>
        <w:t>Bloqueo de IMEI</w:t>
      </w:r>
    </w:p>
    <w:p w14:paraId="4B63A5BF" w14:textId="5DF4671A" w:rsidR="00817AE7" w:rsidRDefault="00817AE7" w:rsidP="00655374">
      <w:pPr>
        <w:spacing w:after="0" w:line="276" w:lineRule="auto"/>
        <w:ind w:left="-284" w:right="615"/>
        <w:rPr>
          <w:rFonts w:ascii="ITC Avant Garde" w:eastAsia="Calibri" w:hAnsi="ITC Avant Garde" w:cs="Arial"/>
          <w:i/>
          <w:sz w:val="18"/>
          <w:szCs w:val="18"/>
        </w:rPr>
      </w:pPr>
      <w:r w:rsidRPr="000E2E08">
        <w:rPr>
          <w:rFonts w:ascii="ITC Avant Garde" w:eastAsia="Calibri" w:hAnsi="ITC Avant Garde" w:cs="Arial"/>
          <w:i/>
          <w:sz w:val="18"/>
          <w:szCs w:val="18"/>
          <w:u w:val="single"/>
        </w:rPr>
        <w:t>Telcel ha habilitado un módulo dentro de la plataforma para que el OMV pueda realizar las funcionalidades de alta y baja de información para el bloqueo de IMEI</w:t>
      </w:r>
      <w:r w:rsidRPr="00817AE7">
        <w:rPr>
          <w:rFonts w:ascii="ITC Avant Garde" w:eastAsia="Calibri" w:hAnsi="ITC Avant Garde" w:cs="Arial"/>
          <w:i/>
          <w:sz w:val="18"/>
          <w:szCs w:val="18"/>
        </w:rPr>
        <w:t>, en el entendido que será el único responsable de la gestión de la información, por lo que el OMV libera a Telcel de cualquier responsabilidad por el manejo de la misma.</w:t>
      </w:r>
      <w:r>
        <w:rPr>
          <w:rFonts w:ascii="ITC Avant Garde" w:eastAsia="Calibri" w:hAnsi="ITC Avant Garde" w:cs="Arial"/>
          <w:i/>
          <w:sz w:val="18"/>
          <w:szCs w:val="18"/>
        </w:rPr>
        <w:t>”</w:t>
      </w:r>
    </w:p>
    <w:p w14:paraId="1FA00803" w14:textId="77777777" w:rsidR="000E2E08" w:rsidRDefault="000E2E08" w:rsidP="00655374">
      <w:pPr>
        <w:spacing w:after="0" w:line="276" w:lineRule="auto"/>
        <w:ind w:left="-284"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72669AAD" w14:textId="017CC8D3" w:rsidR="000E2E08" w:rsidRDefault="000E2E08" w:rsidP="002A524D">
      <w:pPr>
        <w:spacing w:after="0" w:line="276" w:lineRule="auto"/>
        <w:ind w:left="-851" w:right="615"/>
        <w:rPr>
          <w:rFonts w:ascii="ITC Avant Garde" w:eastAsia="Calibri" w:hAnsi="ITC Avant Garde" w:cs="Arial"/>
          <w:i/>
          <w:sz w:val="18"/>
          <w:szCs w:val="18"/>
        </w:rPr>
      </w:pPr>
    </w:p>
    <w:p w14:paraId="14834E96" w14:textId="26D3E0F2" w:rsidR="00817AE7" w:rsidRDefault="000E2E08" w:rsidP="002A524D">
      <w:pPr>
        <w:spacing w:after="0" w:line="276" w:lineRule="auto"/>
        <w:ind w:left="-851" w:right="49"/>
        <w:rPr>
          <w:rFonts w:ascii="ITC Avant Garde" w:hAnsi="ITC Avant Garde"/>
          <w:color w:val="auto"/>
        </w:rPr>
      </w:pPr>
      <w:r>
        <w:rPr>
          <w:rFonts w:ascii="ITC Avant Garde" w:hAnsi="ITC Avant Garde"/>
          <w:color w:val="auto"/>
        </w:rPr>
        <w:lastRenderedPageBreak/>
        <w:t>Sin embargo, el OMV revendedor y/o Telcel como Habilitador de Red debe cubrir el concepto de administración de usuarios</w:t>
      </w:r>
      <w:r w:rsidR="00973C80">
        <w:rPr>
          <w:rFonts w:ascii="ITC Avant Garde" w:hAnsi="ITC Avant Garde"/>
          <w:color w:val="auto"/>
        </w:rPr>
        <w:t>, tal como establece el numeral 1.1 del Anexo I:</w:t>
      </w:r>
      <w:r>
        <w:rPr>
          <w:rFonts w:ascii="ITC Avant Garde" w:hAnsi="ITC Avant Garde"/>
          <w:color w:val="auto"/>
        </w:rPr>
        <w:t xml:space="preserve">  </w:t>
      </w:r>
    </w:p>
    <w:p w14:paraId="296961CE" w14:textId="69BC9B3A" w:rsidR="00973C80" w:rsidRDefault="00973C80" w:rsidP="002A524D">
      <w:pPr>
        <w:spacing w:after="0" w:line="276" w:lineRule="auto"/>
        <w:ind w:left="-851" w:right="49"/>
        <w:rPr>
          <w:rFonts w:ascii="ITC Avant Garde" w:hAnsi="ITC Avant Garde"/>
          <w:color w:val="auto"/>
        </w:rPr>
      </w:pPr>
    </w:p>
    <w:p w14:paraId="29FE0655" w14:textId="4E56E37B" w:rsidR="00973C80" w:rsidRDefault="00973C80" w:rsidP="00655374">
      <w:pPr>
        <w:spacing w:after="0" w:line="276" w:lineRule="auto"/>
        <w:ind w:left="-284" w:right="615"/>
        <w:rPr>
          <w:rFonts w:ascii="ITC Avant Garde" w:eastAsia="Calibri" w:hAnsi="ITC Avant Garde" w:cs="Arial"/>
          <w:i/>
          <w:sz w:val="18"/>
          <w:szCs w:val="18"/>
        </w:rPr>
      </w:pPr>
      <w:r>
        <w:rPr>
          <w:rFonts w:ascii="ITC Avant Garde" w:eastAsia="Calibri" w:hAnsi="ITC Avant Garde" w:cs="Arial"/>
          <w:i/>
          <w:sz w:val="18"/>
          <w:szCs w:val="18"/>
        </w:rPr>
        <w:t xml:space="preserve">“1.1 </w:t>
      </w:r>
      <w:r w:rsidRPr="00973C80">
        <w:rPr>
          <w:rFonts w:ascii="ITC Avant Garde" w:eastAsia="Calibri" w:hAnsi="ITC Avant Garde" w:cs="Arial"/>
          <w:i/>
          <w:sz w:val="18"/>
          <w:szCs w:val="18"/>
        </w:rPr>
        <w:t>Servicios Básicos</w:t>
      </w:r>
    </w:p>
    <w:p w14:paraId="7661B661" w14:textId="0E99BA64" w:rsidR="00973C80" w:rsidRDefault="00973C80" w:rsidP="00655374">
      <w:pPr>
        <w:spacing w:after="0" w:line="276" w:lineRule="auto"/>
        <w:ind w:left="-284" w:right="615"/>
        <w:rPr>
          <w:rFonts w:ascii="ITC Avant Garde" w:eastAsia="Calibri" w:hAnsi="ITC Avant Garde" w:cs="Arial"/>
          <w:i/>
          <w:sz w:val="18"/>
          <w:szCs w:val="18"/>
        </w:rPr>
      </w:pPr>
    </w:p>
    <w:tbl>
      <w:tblPr>
        <w:tblStyle w:val="Tablaconcuadrcula"/>
        <w:tblW w:w="7088" w:type="dxa"/>
        <w:tblInd w:w="675" w:type="dxa"/>
        <w:tblLook w:val="04A0" w:firstRow="1" w:lastRow="0" w:firstColumn="1" w:lastColumn="0" w:noHBand="0" w:noVBand="1"/>
        <w:tblCaption w:val="Tabla que describe los servicios asociados disponibles en esquema de revendedor"/>
        <w:tblDescription w:val="Tabla que describe los servicios asociados disponibles en esquema de revendedor"/>
      </w:tblPr>
      <w:tblGrid>
        <w:gridCol w:w="3152"/>
        <w:gridCol w:w="3936"/>
      </w:tblGrid>
      <w:tr w:rsidR="00973C80" w:rsidRPr="00655374" w14:paraId="5FBC914B" w14:textId="77777777" w:rsidTr="00655374">
        <w:trPr>
          <w:tblHeader/>
        </w:trPr>
        <w:tc>
          <w:tcPr>
            <w:tcW w:w="3152" w:type="dxa"/>
          </w:tcPr>
          <w:p w14:paraId="3CFCAD71" w14:textId="77777777" w:rsidR="00973C80" w:rsidRPr="00655374" w:rsidRDefault="00973C80" w:rsidP="00655374">
            <w:pPr>
              <w:spacing w:line="276" w:lineRule="auto"/>
              <w:ind w:left="-284"/>
              <w:jc w:val="center"/>
              <w:rPr>
                <w:rFonts w:ascii="ITC Avant Garde" w:hAnsi="ITC Avant Garde" w:cs="Arial"/>
                <w:i/>
                <w:sz w:val="12"/>
                <w:szCs w:val="18"/>
              </w:rPr>
            </w:pPr>
            <w:r w:rsidRPr="00655374">
              <w:rPr>
                <w:rFonts w:ascii="ITC Avant Garde" w:hAnsi="ITC Avant Garde" w:cs="Arial"/>
                <w:i/>
                <w:sz w:val="12"/>
                <w:szCs w:val="18"/>
              </w:rPr>
              <w:t>1.2 Servicios Asociados Disponibles para</w:t>
            </w:r>
          </w:p>
        </w:tc>
        <w:tc>
          <w:tcPr>
            <w:tcW w:w="3936" w:type="dxa"/>
          </w:tcPr>
          <w:p w14:paraId="4496941A" w14:textId="77777777" w:rsidR="00973C80" w:rsidRPr="00655374" w:rsidRDefault="00973C80" w:rsidP="00655374">
            <w:pPr>
              <w:spacing w:line="276" w:lineRule="auto"/>
              <w:ind w:left="-284"/>
              <w:jc w:val="center"/>
              <w:rPr>
                <w:rFonts w:ascii="ITC Avant Garde" w:hAnsi="ITC Avant Garde" w:cs="Arial"/>
                <w:i/>
                <w:sz w:val="12"/>
                <w:szCs w:val="18"/>
              </w:rPr>
            </w:pPr>
            <w:r w:rsidRPr="00655374">
              <w:rPr>
                <w:rFonts w:ascii="ITC Avant Garde" w:hAnsi="ITC Avant Garde" w:cs="Arial"/>
                <w:i/>
                <w:sz w:val="12"/>
                <w:szCs w:val="18"/>
              </w:rPr>
              <w:t>Esquemas de Revendedor y/o Telcel como Habilitador de Red</w:t>
            </w:r>
          </w:p>
        </w:tc>
      </w:tr>
      <w:tr w:rsidR="00973C80" w:rsidRPr="00655374" w14:paraId="055669F2" w14:textId="77777777" w:rsidTr="00655374">
        <w:tc>
          <w:tcPr>
            <w:tcW w:w="3152" w:type="dxa"/>
          </w:tcPr>
          <w:p w14:paraId="601EE101" w14:textId="77777777" w:rsidR="00973C80" w:rsidRPr="00655374" w:rsidRDefault="00973C80" w:rsidP="00655374">
            <w:pPr>
              <w:spacing w:line="276" w:lineRule="auto"/>
              <w:ind w:left="-284"/>
              <w:jc w:val="center"/>
              <w:rPr>
                <w:rFonts w:ascii="ITC Avant Garde" w:hAnsi="ITC Avant Garde" w:cs="Arial"/>
                <w:i/>
                <w:sz w:val="12"/>
                <w:szCs w:val="18"/>
              </w:rPr>
            </w:pPr>
            <w:r w:rsidRPr="00655374">
              <w:rPr>
                <w:rFonts w:ascii="ITC Avant Garde" w:hAnsi="ITC Avant Garde" w:cs="Arial"/>
                <w:i/>
                <w:sz w:val="12"/>
                <w:szCs w:val="18"/>
              </w:rPr>
              <w:t xml:space="preserve">d) Administración de Usuarios* </w:t>
            </w:r>
            <w:proofErr w:type="spellStart"/>
            <w:r w:rsidRPr="00655374">
              <w:rPr>
                <w:rFonts w:ascii="ITC Avant Garde" w:hAnsi="ITC Avant Garde" w:cs="Arial"/>
                <w:i/>
                <w:sz w:val="12"/>
                <w:szCs w:val="18"/>
              </w:rPr>
              <w:t>pospago</w:t>
            </w:r>
            <w:proofErr w:type="spellEnd"/>
          </w:p>
        </w:tc>
        <w:tc>
          <w:tcPr>
            <w:tcW w:w="3936" w:type="dxa"/>
          </w:tcPr>
          <w:p w14:paraId="1BAADFBF" w14:textId="77777777" w:rsidR="00973C80" w:rsidRPr="00655374" w:rsidRDefault="00973C80" w:rsidP="00655374">
            <w:pPr>
              <w:spacing w:line="276" w:lineRule="auto"/>
              <w:ind w:left="-284"/>
              <w:jc w:val="center"/>
              <w:rPr>
                <w:rFonts w:ascii="ITC Avant Garde" w:hAnsi="ITC Avant Garde" w:cs="Arial"/>
                <w:i/>
                <w:sz w:val="12"/>
                <w:szCs w:val="18"/>
              </w:rPr>
            </w:pPr>
            <w:r w:rsidRPr="00655374">
              <w:rPr>
                <w:rFonts w:ascii="ITC Avant Garde" w:hAnsi="ITC Avant Garde" w:cs="Arial"/>
                <w:i/>
                <w:sz w:val="12"/>
                <w:szCs w:val="18"/>
              </w:rPr>
              <w:t>Cargo mensual por Usuario Activo</w:t>
            </w:r>
          </w:p>
        </w:tc>
      </w:tr>
      <w:tr w:rsidR="00973C80" w:rsidRPr="00655374" w14:paraId="78FC8741" w14:textId="77777777" w:rsidTr="00655374">
        <w:tc>
          <w:tcPr>
            <w:tcW w:w="3152" w:type="dxa"/>
          </w:tcPr>
          <w:p w14:paraId="5F2B2E4C" w14:textId="77777777" w:rsidR="00973C80" w:rsidRPr="00655374" w:rsidRDefault="00973C80" w:rsidP="00655374">
            <w:pPr>
              <w:spacing w:line="276" w:lineRule="auto"/>
              <w:ind w:left="-284"/>
              <w:jc w:val="center"/>
              <w:rPr>
                <w:rFonts w:ascii="ITC Avant Garde" w:hAnsi="ITC Avant Garde"/>
                <w:i/>
                <w:sz w:val="12"/>
                <w:szCs w:val="18"/>
              </w:rPr>
            </w:pPr>
            <w:r w:rsidRPr="00655374">
              <w:rPr>
                <w:rFonts w:ascii="ITC Avant Garde" w:hAnsi="ITC Avant Garde" w:cs="Arial"/>
                <w:i/>
                <w:sz w:val="12"/>
                <w:szCs w:val="18"/>
              </w:rPr>
              <w:t>e) Administración de Usuarios* prepago</w:t>
            </w:r>
          </w:p>
        </w:tc>
        <w:tc>
          <w:tcPr>
            <w:tcW w:w="3936" w:type="dxa"/>
          </w:tcPr>
          <w:p w14:paraId="169BFB18" w14:textId="77777777" w:rsidR="00973C80" w:rsidRPr="00655374" w:rsidRDefault="00973C80" w:rsidP="00655374">
            <w:pPr>
              <w:spacing w:line="276" w:lineRule="auto"/>
              <w:ind w:left="-284"/>
              <w:jc w:val="center"/>
              <w:rPr>
                <w:rFonts w:ascii="ITC Avant Garde" w:hAnsi="ITC Avant Garde" w:cs="Arial"/>
                <w:i/>
                <w:sz w:val="12"/>
                <w:szCs w:val="18"/>
              </w:rPr>
            </w:pPr>
            <w:r w:rsidRPr="00655374">
              <w:rPr>
                <w:rFonts w:ascii="ITC Avant Garde" w:hAnsi="ITC Avant Garde" w:cs="Arial"/>
                <w:i/>
                <w:sz w:val="12"/>
                <w:szCs w:val="18"/>
              </w:rPr>
              <w:t>Cargo mensual por Usuario Activo</w:t>
            </w:r>
          </w:p>
        </w:tc>
      </w:tr>
      <w:tr w:rsidR="00973C80" w:rsidRPr="00655374" w14:paraId="68920417" w14:textId="77777777" w:rsidTr="00655374">
        <w:tc>
          <w:tcPr>
            <w:tcW w:w="3152" w:type="dxa"/>
          </w:tcPr>
          <w:p w14:paraId="0ADDCA05" w14:textId="77777777" w:rsidR="00973C80" w:rsidRPr="00655374" w:rsidRDefault="00973C80" w:rsidP="00655374">
            <w:pPr>
              <w:spacing w:line="276" w:lineRule="auto"/>
              <w:ind w:left="-284"/>
              <w:jc w:val="center"/>
              <w:rPr>
                <w:rFonts w:ascii="ITC Avant Garde" w:hAnsi="ITC Avant Garde"/>
                <w:i/>
                <w:sz w:val="12"/>
                <w:szCs w:val="18"/>
              </w:rPr>
            </w:pPr>
            <w:r w:rsidRPr="00655374">
              <w:rPr>
                <w:rFonts w:ascii="ITC Avant Garde" w:hAnsi="ITC Avant Garde" w:cs="Arial"/>
                <w:i/>
                <w:sz w:val="12"/>
                <w:szCs w:val="18"/>
              </w:rPr>
              <w:t>f) Administración de Usuarios* mixtos</w:t>
            </w:r>
          </w:p>
        </w:tc>
        <w:tc>
          <w:tcPr>
            <w:tcW w:w="3936" w:type="dxa"/>
          </w:tcPr>
          <w:p w14:paraId="799BC99A" w14:textId="77777777" w:rsidR="00973C80" w:rsidRPr="00655374" w:rsidRDefault="00973C80" w:rsidP="00655374">
            <w:pPr>
              <w:spacing w:line="276" w:lineRule="auto"/>
              <w:ind w:left="-284"/>
              <w:jc w:val="center"/>
              <w:rPr>
                <w:rFonts w:ascii="ITC Avant Garde" w:hAnsi="ITC Avant Garde" w:cs="Arial"/>
                <w:i/>
                <w:sz w:val="12"/>
                <w:szCs w:val="18"/>
              </w:rPr>
            </w:pPr>
            <w:r w:rsidRPr="00655374">
              <w:rPr>
                <w:rFonts w:ascii="ITC Avant Garde" w:hAnsi="ITC Avant Garde" w:cs="Arial"/>
                <w:i/>
                <w:sz w:val="12"/>
                <w:szCs w:val="18"/>
              </w:rPr>
              <w:t>Cargo mensual por Usuario Activo</w:t>
            </w:r>
          </w:p>
        </w:tc>
      </w:tr>
    </w:tbl>
    <w:p w14:paraId="213F4F10" w14:textId="1FC6E5F3" w:rsidR="00AC520E" w:rsidRDefault="00AC520E" w:rsidP="00655374">
      <w:pPr>
        <w:spacing w:after="0" w:line="276" w:lineRule="auto"/>
        <w:ind w:left="-284" w:right="615"/>
        <w:rPr>
          <w:rFonts w:ascii="ITC Avant Garde" w:eastAsia="Calibri" w:hAnsi="ITC Avant Garde" w:cs="Arial"/>
          <w:i/>
          <w:sz w:val="18"/>
          <w:szCs w:val="18"/>
        </w:rPr>
      </w:pPr>
      <w:r>
        <w:rPr>
          <w:rFonts w:ascii="ITC Avant Garde" w:eastAsia="Calibri" w:hAnsi="ITC Avant Garde" w:cs="Arial"/>
          <w:i/>
          <w:sz w:val="18"/>
          <w:szCs w:val="18"/>
        </w:rPr>
        <w:t>(…)”</w:t>
      </w:r>
    </w:p>
    <w:p w14:paraId="3A903464" w14:textId="77777777" w:rsidR="00973C80" w:rsidRPr="00973C80" w:rsidRDefault="00973C80" w:rsidP="00655374">
      <w:pPr>
        <w:spacing w:after="0" w:line="276" w:lineRule="auto"/>
        <w:ind w:left="-284" w:right="615"/>
        <w:rPr>
          <w:rFonts w:ascii="ITC Avant Garde" w:eastAsia="Calibri" w:hAnsi="ITC Avant Garde" w:cs="Arial"/>
          <w:i/>
          <w:sz w:val="18"/>
          <w:szCs w:val="18"/>
        </w:rPr>
      </w:pPr>
    </w:p>
    <w:p w14:paraId="039BF02B" w14:textId="6D705BDD" w:rsidR="00973C80" w:rsidRPr="008F34A6" w:rsidRDefault="00407A44" w:rsidP="002A524D">
      <w:pPr>
        <w:spacing w:after="0" w:line="276" w:lineRule="auto"/>
        <w:ind w:left="-851" w:right="49"/>
        <w:rPr>
          <w:rFonts w:ascii="ITC Avant Garde" w:hAnsi="ITC Avant Garde"/>
          <w:color w:val="auto"/>
        </w:rPr>
      </w:pPr>
      <w:r>
        <w:rPr>
          <w:rFonts w:ascii="ITC Avant Garde" w:hAnsi="ITC Avant Garde"/>
          <w:color w:val="auto"/>
        </w:rPr>
        <w:t xml:space="preserve">De lo anterior, se observa que existe igualdad de condiciones entre los </w:t>
      </w:r>
      <w:r w:rsidRPr="00407A44">
        <w:rPr>
          <w:rFonts w:ascii="ITC Avant Garde" w:hAnsi="ITC Avant Garde"/>
          <w:color w:val="auto"/>
        </w:rPr>
        <w:t>OMV Completo y/o como Habilitador de Red y/o Revendedor y/o Telcel como Habilitador de Red</w:t>
      </w:r>
      <w:r>
        <w:rPr>
          <w:rFonts w:ascii="ITC Avant Garde" w:hAnsi="ITC Avant Garde"/>
          <w:color w:val="auto"/>
        </w:rPr>
        <w:t>, ya que en ambos escenarios los OMV deben cubrir por los costos relacionados con el bloqueo de IMEI, por lo que la Oferta se mantiene en sus términos.</w:t>
      </w:r>
    </w:p>
    <w:p w14:paraId="6D8FCF49" w14:textId="77777777" w:rsidR="008F34A6" w:rsidRDefault="008F34A6" w:rsidP="002A524D">
      <w:pPr>
        <w:spacing w:after="0" w:line="276" w:lineRule="auto"/>
        <w:ind w:left="-851" w:right="49"/>
        <w:rPr>
          <w:rFonts w:ascii="ITC Avant Garde" w:hAnsi="ITC Avant Garde"/>
          <w:color w:val="auto"/>
          <w:highlight w:val="cyan"/>
        </w:rPr>
      </w:pPr>
    </w:p>
    <w:p w14:paraId="14C3E6AA" w14:textId="0D92867B" w:rsidR="000C3B23" w:rsidRDefault="000C3B23" w:rsidP="002A524D">
      <w:pPr>
        <w:spacing w:after="0" w:line="276" w:lineRule="auto"/>
        <w:ind w:left="-851" w:right="0"/>
        <w:rPr>
          <w:rFonts w:ascii="ITC Avant Garde" w:eastAsia="Calibri" w:hAnsi="ITC Avant Garde" w:cs="Arial"/>
          <w:b/>
        </w:rPr>
      </w:pPr>
      <w:r w:rsidRPr="000C3B23">
        <w:rPr>
          <w:rFonts w:ascii="ITC Avant Garde" w:eastAsia="Calibri" w:hAnsi="ITC Avant Garde" w:cs="Arial"/>
          <w:b/>
          <w:spacing w:val="4"/>
          <w:u w:val="single"/>
        </w:rPr>
        <w:t>5.Tecnologías</w:t>
      </w:r>
      <w:r w:rsidRPr="000C3B23">
        <w:rPr>
          <w:rFonts w:ascii="ITC Avant Garde" w:eastAsia="Calibri" w:hAnsi="ITC Avant Garde" w:cs="Arial"/>
          <w:b/>
          <w:u w:val="single"/>
        </w:rPr>
        <w:t xml:space="preserve"> Disponibles.</w:t>
      </w:r>
    </w:p>
    <w:p w14:paraId="1F09F69B" w14:textId="09BFC3B1" w:rsidR="000C3B23" w:rsidRDefault="000C3B23" w:rsidP="002A524D">
      <w:pPr>
        <w:spacing w:after="0" w:line="276" w:lineRule="auto"/>
        <w:ind w:left="-851" w:right="0"/>
        <w:rPr>
          <w:rFonts w:ascii="ITC Avant Garde" w:eastAsia="Calibri" w:hAnsi="ITC Avant Garde" w:cs="Arial"/>
          <w:b/>
        </w:rPr>
      </w:pPr>
      <w:r>
        <w:rPr>
          <w:rFonts w:ascii="ITC Avant Garde" w:eastAsia="Calibri" w:hAnsi="ITC Avant Garde" w:cs="Arial"/>
          <w:b/>
        </w:rPr>
        <w:t>Axtel</w:t>
      </w:r>
      <w:r w:rsidR="000C66E3">
        <w:rPr>
          <w:rFonts w:ascii="ITC Avant Garde" w:eastAsia="Calibri" w:hAnsi="ITC Avant Garde" w:cs="Arial"/>
          <w:b/>
        </w:rPr>
        <w:t>, CANIETI</w:t>
      </w:r>
      <w:r>
        <w:rPr>
          <w:rFonts w:ascii="ITC Avant Garde" w:eastAsia="Calibri" w:hAnsi="ITC Avant Garde" w:cs="Arial"/>
          <w:b/>
        </w:rPr>
        <w:t>:</w:t>
      </w:r>
    </w:p>
    <w:p w14:paraId="4E317902" w14:textId="57B979B3" w:rsidR="000C3B23" w:rsidRDefault="000C3B23" w:rsidP="002A524D">
      <w:pPr>
        <w:spacing w:after="0" w:line="276" w:lineRule="auto"/>
        <w:ind w:left="-851"/>
        <w:rPr>
          <w:rFonts w:ascii="ITC Avant Garde" w:eastAsia="Calibri" w:hAnsi="ITC Avant Garde" w:cs="Arial"/>
        </w:rPr>
      </w:pPr>
      <w:r w:rsidRPr="000C3B23">
        <w:rPr>
          <w:rFonts w:ascii="ITC Avant Garde" w:eastAsia="Calibri" w:hAnsi="ITC Avant Garde" w:cs="Arial"/>
        </w:rPr>
        <w:t>Solicita</w:t>
      </w:r>
      <w:r w:rsidR="000C66E3">
        <w:rPr>
          <w:rFonts w:ascii="ITC Avant Garde" w:eastAsia="Calibri" w:hAnsi="ITC Avant Garde" w:cs="Arial"/>
        </w:rPr>
        <w:t>n</w:t>
      </w:r>
      <w:r w:rsidRPr="000C3B23">
        <w:rPr>
          <w:rFonts w:ascii="ITC Avant Garde" w:eastAsia="Calibri" w:hAnsi="ITC Avant Garde" w:cs="Arial"/>
        </w:rPr>
        <w:t xml:space="preserve"> que se incluya la tecnolog</w:t>
      </w:r>
      <w:r>
        <w:rPr>
          <w:rFonts w:ascii="ITC Avant Garde" w:eastAsia="Calibri" w:hAnsi="ITC Avant Garde" w:cs="Arial"/>
        </w:rPr>
        <w:t xml:space="preserve">ía de </w:t>
      </w:r>
      <w:proofErr w:type="spellStart"/>
      <w:r w:rsidRPr="000C3B23">
        <w:rPr>
          <w:rFonts w:ascii="ITC Avant Garde" w:eastAsia="Calibri" w:hAnsi="ITC Avant Garde" w:cs="Arial"/>
        </w:rPr>
        <w:t>VoLTE</w:t>
      </w:r>
      <w:proofErr w:type="spellEnd"/>
      <w:r w:rsidRPr="000C3B23">
        <w:rPr>
          <w:rFonts w:ascii="ITC Avant Garde" w:eastAsia="Calibri" w:hAnsi="ITC Avant Garde" w:cs="Arial"/>
        </w:rPr>
        <w:t xml:space="preserve"> (</w:t>
      </w:r>
      <w:r w:rsidRPr="000C3B23">
        <w:rPr>
          <w:rFonts w:ascii="ITC Avant Garde" w:eastAsia="Calibri" w:hAnsi="ITC Avant Garde" w:cs="Arial"/>
          <w:i/>
        </w:rPr>
        <w:t>“</w:t>
      </w:r>
      <w:proofErr w:type="spellStart"/>
      <w:r w:rsidRPr="000C3B23">
        <w:rPr>
          <w:rFonts w:ascii="ITC Avant Garde" w:eastAsia="Calibri" w:hAnsi="ITC Avant Garde" w:cs="Arial"/>
          <w:i/>
        </w:rPr>
        <w:t>Voice</w:t>
      </w:r>
      <w:proofErr w:type="spellEnd"/>
      <w:r w:rsidRPr="000C3B23">
        <w:rPr>
          <w:rFonts w:ascii="ITC Avant Garde" w:eastAsia="Calibri" w:hAnsi="ITC Avant Garde" w:cs="Arial"/>
          <w:i/>
        </w:rPr>
        <w:t xml:space="preserve"> </w:t>
      </w:r>
      <w:proofErr w:type="spellStart"/>
      <w:r w:rsidRPr="000C3B23">
        <w:rPr>
          <w:rFonts w:ascii="ITC Avant Garde" w:eastAsia="Calibri" w:hAnsi="ITC Avant Garde" w:cs="Arial"/>
          <w:i/>
        </w:rPr>
        <w:t>over</w:t>
      </w:r>
      <w:proofErr w:type="spellEnd"/>
      <w:r w:rsidRPr="000C3B23">
        <w:rPr>
          <w:rFonts w:ascii="ITC Avant Garde" w:eastAsia="Calibri" w:hAnsi="ITC Avant Garde" w:cs="Arial"/>
          <w:i/>
        </w:rPr>
        <w:t xml:space="preserve"> Long </w:t>
      </w:r>
      <w:proofErr w:type="spellStart"/>
      <w:r w:rsidRPr="000C3B23">
        <w:rPr>
          <w:rFonts w:ascii="ITC Avant Garde" w:eastAsia="Calibri" w:hAnsi="ITC Avant Garde" w:cs="Arial"/>
          <w:i/>
        </w:rPr>
        <w:t>Term</w:t>
      </w:r>
      <w:proofErr w:type="spellEnd"/>
      <w:r w:rsidRPr="000C3B23">
        <w:rPr>
          <w:rFonts w:ascii="ITC Avant Garde" w:eastAsia="Calibri" w:hAnsi="ITC Avant Garde" w:cs="Arial"/>
          <w:i/>
        </w:rPr>
        <w:t xml:space="preserve"> </w:t>
      </w:r>
      <w:proofErr w:type="spellStart"/>
      <w:r w:rsidRPr="000C3B23">
        <w:rPr>
          <w:rFonts w:ascii="ITC Avant Garde" w:eastAsia="Calibri" w:hAnsi="ITC Avant Garde" w:cs="Arial"/>
          <w:i/>
        </w:rPr>
        <w:t>Evolution</w:t>
      </w:r>
      <w:proofErr w:type="spellEnd"/>
      <w:r w:rsidRPr="000C3B23">
        <w:rPr>
          <w:rFonts w:ascii="ITC Avant Garde" w:eastAsia="Calibri" w:hAnsi="ITC Avant Garde" w:cs="Arial"/>
          <w:i/>
        </w:rPr>
        <w:t>”</w:t>
      </w:r>
      <w:r w:rsidRPr="000C3B23">
        <w:rPr>
          <w:rFonts w:ascii="ITC Avant Garde" w:eastAsia="Calibri" w:hAnsi="ITC Avant Garde" w:cs="Arial"/>
        </w:rPr>
        <w:t>) para dar cumplimien</w:t>
      </w:r>
      <w:r>
        <w:rPr>
          <w:rFonts w:ascii="ITC Avant Garde" w:eastAsia="Calibri" w:hAnsi="ITC Avant Garde" w:cs="Arial"/>
        </w:rPr>
        <w:t xml:space="preserve">to a la equivalencia de insumos. </w:t>
      </w:r>
    </w:p>
    <w:p w14:paraId="0EBA3B4F" w14:textId="75629455" w:rsidR="00872187" w:rsidRDefault="00872187" w:rsidP="002A524D">
      <w:pPr>
        <w:spacing w:after="0" w:line="276" w:lineRule="auto"/>
        <w:ind w:left="-851"/>
        <w:rPr>
          <w:rFonts w:ascii="ITC Avant Garde" w:eastAsia="Calibri" w:hAnsi="ITC Avant Garde" w:cs="Arial"/>
        </w:rPr>
      </w:pPr>
    </w:p>
    <w:p w14:paraId="61E189EC" w14:textId="42E815F2" w:rsidR="00872187" w:rsidRDefault="00872187" w:rsidP="002A524D">
      <w:pPr>
        <w:spacing w:after="0" w:line="276" w:lineRule="auto"/>
        <w:ind w:left="-851"/>
        <w:rPr>
          <w:rFonts w:ascii="ITC Avant Garde" w:eastAsia="Calibri" w:hAnsi="ITC Avant Garde" w:cs="Arial"/>
        </w:rPr>
      </w:pPr>
      <w:r w:rsidRPr="00343A4F">
        <w:rPr>
          <w:rFonts w:ascii="ITC Avant Garde" w:hAnsi="ITC Avant Garde"/>
          <w:b/>
          <w:color w:val="auto"/>
        </w:rPr>
        <w:t>Consideraciones del Instituto</w:t>
      </w:r>
    </w:p>
    <w:p w14:paraId="3FB7B3F6" w14:textId="1B1E8AF3" w:rsidR="00872187" w:rsidRDefault="00872187" w:rsidP="002A524D">
      <w:pPr>
        <w:pStyle w:val="IFT1"/>
        <w:tabs>
          <w:tab w:val="left" w:pos="426"/>
        </w:tabs>
        <w:spacing w:after="0"/>
        <w:ind w:left="-851"/>
        <w:rPr>
          <w:bCs/>
        </w:rPr>
      </w:pPr>
      <w:r>
        <w:rPr>
          <w:bCs/>
        </w:rPr>
        <w:t xml:space="preserve">Se adiciona el servicio de </w:t>
      </w:r>
      <w:proofErr w:type="spellStart"/>
      <w:r>
        <w:rPr>
          <w:bCs/>
        </w:rPr>
        <w:t>VoLTE</w:t>
      </w:r>
      <w:proofErr w:type="spellEnd"/>
      <w:r>
        <w:rPr>
          <w:bCs/>
        </w:rPr>
        <w:t xml:space="preserve"> al numeral 5 del Anexo II a efecto de que Telcel ofrezca los servicios</w:t>
      </w:r>
      <w:r w:rsidRPr="005F3B44">
        <w:rPr>
          <w:bCs/>
        </w:rPr>
        <w:t xml:space="preserve"> de telecomunicaciones por medio del uso de </w:t>
      </w:r>
      <w:r>
        <w:rPr>
          <w:bCs/>
        </w:rPr>
        <w:t xml:space="preserve">todas las </w:t>
      </w:r>
      <w:r w:rsidRPr="005F3B44">
        <w:rPr>
          <w:bCs/>
        </w:rPr>
        <w:t>te</w:t>
      </w:r>
      <w:r>
        <w:rPr>
          <w:bCs/>
        </w:rPr>
        <w:t>cnologías disponibles en su red de conformidad a la Medida Decimotercera de las Medidas Móviles. Por lo anterior, se modifica la Oferta en los siguientes términos:</w:t>
      </w:r>
    </w:p>
    <w:p w14:paraId="057FAEB3" w14:textId="77777777" w:rsidR="00872187" w:rsidRDefault="00872187" w:rsidP="002A524D">
      <w:pPr>
        <w:pStyle w:val="IFT1"/>
        <w:tabs>
          <w:tab w:val="left" w:pos="426"/>
        </w:tabs>
        <w:spacing w:after="0"/>
        <w:ind w:left="-851"/>
        <w:rPr>
          <w:bCs/>
        </w:rPr>
      </w:pPr>
    </w:p>
    <w:p w14:paraId="0E5DC3B3" w14:textId="77777777" w:rsidR="00872187" w:rsidRPr="00A52059" w:rsidRDefault="00872187" w:rsidP="00655374">
      <w:pPr>
        <w:spacing w:after="0" w:line="276" w:lineRule="auto"/>
        <w:ind w:left="-142" w:right="615"/>
        <w:rPr>
          <w:rFonts w:ascii="ITC Avant Garde" w:eastAsia="Calibri" w:hAnsi="ITC Avant Garde" w:cs="Arial"/>
          <w:i/>
          <w:sz w:val="18"/>
          <w:szCs w:val="18"/>
        </w:rPr>
      </w:pPr>
      <w:r>
        <w:rPr>
          <w:rFonts w:ascii="ITC Avant Garde" w:eastAsia="Calibri" w:hAnsi="ITC Avant Garde" w:cs="Arial"/>
          <w:i/>
          <w:sz w:val="18"/>
          <w:szCs w:val="18"/>
        </w:rPr>
        <w:t xml:space="preserve">“5. </w:t>
      </w:r>
      <w:r w:rsidRPr="00A52059">
        <w:rPr>
          <w:rFonts w:ascii="ITC Avant Garde" w:eastAsia="Calibri" w:hAnsi="ITC Avant Garde" w:cs="Arial"/>
          <w:i/>
          <w:sz w:val="18"/>
          <w:szCs w:val="18"/>
        </w:rPr>
        <w:t>TECNOLOGÍAS DISPONIBLES.</w:t>
      </w:r>
    </w:p>
    <w:p w14:paraId="3E29661F" w14:textId="77777777" w:rsidR="00872187" w:rsidRPr="00A52059" w:rsidRDefault="00872187" w:rsidP="00655374">
      <w:pPr>
        <w:spacing w:after="0" w:line="276" w:lineRule="auto"/>
        <w:ind w:left="-142" w:right="615"/>
        <w:rPr>
          <w:rFonts w:ascii="ITC Avant Garde" w:eastAsia="Calibri" w:hAnsi="ITC Avant Garde" w:cs="Arial"/>
          <w:i/>
          <w:sz w:val="18"/>
          <w:szCs w:val="18"/>
        </w:rPr>
      </w:pPr>
      <w:r w:rsidRPr="00A52059">
        <w:rPr>
          <w:rFonts w:ascii="ITC Avant Garde" w:eastAsia="Calibri" w:hAnsi="ITC Avant Garde" w:cs="Arial"/>
          <w:i/>
          <w:sz w:val="18"/>
          <w:szCs w:val="18"/>
        </w:rPr>
        <w:t>Telcel cuenta con las siguientes tecnologías disponibles, a saber:</w:t>
      </w:r>
    </w:p>
    <w:p w14:paraId="553F80A9" w14:textId="77777777" w:rsidR="00872187" w:rsidRPr="00A52059" w:rsidRDefault="00872187" w:rsidP="00655374">
      <w:pPr>
        <w:spacing w:after="0" w:line="276" w:lineRule="auto"/>
        <w:ind w:left="-142" w:right="615"/>
        <w:rPr>
          <w:rFonts w:ascii="ITC Avant Garde" w:eastAsia="Calibri" w:hAnsi="ITC Avant Garde" w:cs="Arial"/>
          <w:i/>
          <w:sz w:val="18"/>
          <w:szCs w:val="18"/>
        </w:rPr>
      </w:pPr>
    </w:p>
    <w:p w14:paraId="0037C597" w14:textId="77777777" w:rsidR="00872187" w:rsidRPr="00C85606" w:rsidRDefault="00872187" w:rsidP="00655374">
      <w:pPr>
        <w:spacing w:after="0" w:line="276" w:lineRule="auto"/>
        <w:ind w:left="-142" w:right="615"/>
        <w:rPr>
          <w:rFonts w:ascii="ITC Avant Garde" w:eastAsia="Calibri" w:hAnsi="ITC Avant Garde" w:cs="Arial"/>
          <w:i/>
          <w:sz w:val="18"/>
          <w:szCs w:val="18"/>
          <w:lang w:val="en-US"/>
        </w:rPr>
      </w:pPr>
      <w:r w:rsidRPr="00C85606">
        <w:rPr>
          <w:rFonts w:ascii="ITC Avant Garde" w:eastAsia="Calibri" w:hAnsi="ITC Avant Garde" w:cs="Arial"/>
          <w:i/>
          <w:sz w:val="18"/>
          <w:szCs w:val="18"/>
          <w:lang w:val="en-US"/>
        </w:rPr>
        <w:t>(2G) GSM.</w:t>
      </w:r>
    </w:p>
    <w:p w14:paraId="76A3DE6F" w14:textId="77777777" w:rsidR="00872187" w:rsidRPr="00C85606" w:rsidRDefault="00872187" w:rsidP="00655374">
      <w:pPr>
        <w:spacing w:after="0" w:line="276" w:lineRule="auto"/>
        <w:ind w:left="-142" w:right="615"/>
        <w:rPr>
          <w:rFonts w:ascii="ITC Avant Garde" w:eastAsia="Calibri" w:hAnsi="ITC Avant Garde" w:cs="Arial"/>
          <w:i/>
          <w:sz w:val="18"/>
          <w:szCs w:val="18"/>
          <w:lang w:val="en-US"/>
        </w:rPr>
      </w:pPr>
      <w:r w:rsidRPr="00C85606">
        <w:rPr>
          <w:rFonts w:ascii="ITC Avant Garde" w:eastAsia="Calibri" w:hAnsi="ITC Avant Garde" w:cs="Arial"/>
          <w:i/>
          <w:sz w:val="18"/>
          <w:szCs w:val="18"/>
          <w:lang w:val="en-US"/>
        </w:rPr>
        <w:t>(3G) UMTS.</w:t>
      </w:r>
    </w:p>
    <w:p w14:paraId="07994B74" w14:textId="77777777" w:rsidR="00872187" w:rsidRPr="00C85606" w:rsidRDefault="00872187" w:rsidP="00655374">
      <w:pPr>
        <w:spacing w:after="0" w:line="276" w:lineRule="auto"/>
        <w:ind w:left="-142" w:right="615"/>
        <w:rPr>
          <w:rFonts w:ascii="ITC Avant Garde" w:eastAsia="Calibri" w:hAnsi="ITC Avant Garde" w:cs="Arial"/>
          <w:i/>
          <w:sz w:val="18"/>
          <w:szCs w:val="18"/>
          <w:lang w:val="en-US"/>
        </w:rPr>
      </w:pPr>
      <w:r w:rsidRPr="00C85606">
        <w:rPr>
          <w:rFonts w:ascii="ITC Avant Garde" w:eastAsia="Calibri" w:hAnsi="ITC Avant Garde" w:cs="Arial"/>
          <w:i/>
          <w:sz w:val="18"/>
          <w:szCs w:val="18"/>
          <w:lang w:val="en-US"/>
        </w:rPr>
        <w:t>(4G/4.5G) LTE.</w:t>
      </w:r>
    </w:p>
    <w:p w14:paraId="1EF05E0F" w14:textId="77777777" w:rsidR="00872187" w:rsidRDefault="00872187" w:rsidP="00655374">
      <w:pPr>
        <w:spacing w:after="0" w:line="276" w:lineRule="auto"/>
        <w:ind w:left="-142" w:right="615"/>
        <w:rPr>
          <w:rFonts w:ascii="ITC Avant Garde" w:eastAsia="Calibri" w:hAnsi="ITC Avant Garde" w:cs="Arial"/>
          <w:i/>
          <w:sz w:val="18"/>
          <w:szCs w:val="18"/>
        </w:rPr>
      </w:pPr>
      <w:r w:rsidRPr="00A52059">
        <w:rPr>
          <w:rFonts w:ascii="ITC Avant Garde" w:eastAsia="Calibri" w:hAnsi="ITC Avant Garde" w:cs="Arial"/>
          <w:i/>
          <w:sz w:val="18"/>
          <w:szCs w:val="18"/>
          <w:u w:val="single"/>
        </w:rPr>
        <w:t xml:space="preserve">(4G/4.5G) </w:t>
      </w:r>
      <w:proofErr w:type="spellStart"/>
      <w:r w:rsidRPr="00A52059">
        <w:rPr>
          <w:rFonts w:ascii="ITC Avant Garde" w:eastAsia="Calibri" w:hAnsi="ITC Avant Garde" w:cs="Arial"/>
          <w:i/>
          <w:sz w:val="18"/>
          <w:szCs w:val="18"/>
          <w:u w:val="single"/>
        </w:rPr>
        <w:t>VoLTE</w:t>
      </w:r>
      <w:proofErr w:type="spellEnd"/>
      <w:r w:rsidRPr="00DE188D">
        <w:rPr>
          <w:rFonts w:ascii="ITC Avant Garde" w:eastAsia="Calibri" w:hAnsi="ITC Avant Garde" w:cs="Arial"/>
          <w:i/>
          <w:sz w:val="18"/>
          <w:szCs w:val="18"/>
        </w:rPr>
        <w:t>”</w:t>
      </w:r>
    </w:p>
    <w:p w14:paraId="065532C7" w14:textId="77777777" w:rsidR="00872187" w:rsidRDefault="00872187" w:rsidP="00655374">
      <w:pPr>
        <w:spacing w:after="0" w:line="276" w:lineRule="auto"/>
        <w:ind w:left="-142"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2E947276" w14:textId="77777777" w:rsidR="00872187" w:rsidRPr="000C3B23" w:rsidRDefault="00872187" w:rsidP="002A524D">
      <w:pPr>
        <w:spacing w:after="0" w:line="276" w:lineRule="auto"/>
        <w:ind w:left="-851"/>
        <w:rPr>
          <w:rFonts w:ascii="ITC Avant Garde" w:eastAsia="Calibri" w:hAnsi="ITC Avant Garde" w:cs="Arial"/>
        </w:rPr>
      </w:pPr>
    </w:p>
    <w:p w14:paraId="000214ED" w14:textId="7CD7EAF4" w:rsidR="002A27EA" w:rsidRDefault="002A27EA" w:rsidP="002A524D">
      <w:pPr>
        <w:spacing w:after="0" w:line="276" w:lineRule="auto"/>
        <w:ind w:left="-851" w:right="0" w:firstLine="0"/>
        <w:rPr>
          <w:rFonts w:ascii="ITC Avant Garde" w:hAnsi="ITC Avant Garde"/>
          <w:b/>
        </w:rPr>
      </w:pPr>
      <w:r w:rsidRPr="002A27EA">
        <w:rPr>
          <w:rFonts w:ascii="ITC Avant Garde" w:hAnsi="ITC Avant Garde"/>
          <w:b/>
        </w:rPr>
        <w:t>ANEXO VII PROCEDIMIENTOS DE LA ATENCIÓN DE INCIDENCIAS</w:t>
      </w:r>
    </w:p>
    <w:p w14:paraId="025D7CF8" w14:textId="241FB6DA" w:rsidR="002A27EA" w:rsidRDefault="002A27EA" w:rsidP="002A524D">
      <w:pPr>
        <w:spacing w:after="0" w:line="276" w:lineRule="auto"/>
        <w:ind w:left="-851" w:right="0"/>
        <w:rPr>
          <w:rFonts w:ascii="ITC Avant Garde" w:eastAsia="Calibri" w:hAnsi="ITC Avant Garde" w:cs="Arial"/>
          <w:b/>
          <w:spacing w:val="4"/>
          <w:u w:val="single"/>
        </w:rPr>
      </w:pPr>
      <w:r>
        <w:rPr>
          <w:rFonts w:ascii="ITC Avant Garde" w:eastAsia="Calibri" w:hAnsi="ITC Avant Garde" w:cs="Arial"/>
          <w:b/>
          <w:spacing w:val="4"/>
          <w:u w:val="single"/>
        </w:rPr>
        <w:t xml:space="preserve">3. </w:t>
      </w:r>
      <w:r w:rsidR="00331D98">
        <w:rPr>
          <w:rFonts w:ascii="ITC Avant Garde" w:eastAsia="Calibri" w:hAnsi="ITC Avant Garde" w:cs="Arial"/>
          <w:b/>
          <w:spacing w:val="4"/>
          <w:u w:val="single"/>
        </w:rPr>
        <w:t>Atención del Reporte</w:t>
      </w:r>
    </w:p>
    <w:p w14:paraId="3479C79F" w14:textId="4D4B1719" w:rsidR="00E87C05" w:rsidRDefault="00E87C05" w:rsidP="002A524D">
      <w:pPr>
        <w:spacing w:after="0" w:line="276" w:lineRule="auto"/>
        <w:ind w:left="-851" w:right="0"/>
        <w:rPr>
          <w:rFonts w:ascii="ITC Avant Garde" w:eastAsia="Calibri" w:hAnsi="ITC Avant Garde" w:cs="Arial"/>
          <w:b/>
        </w:rPr>
      </w:pPr>
      <w:r w:rsidRPr="00E87C05">
        <w:rPr>
          <w:rFonts w:ascii="ITC Avant Garde" w:eastAsia="Calibri" w:hAnsi="ITC Avant Garde" w:cs="Arial"/>
          <w:b/>
        </w:rPr>
        <w:t>Telecomunicaciones 360:</w:t>
      </w:r>
    </w:p>
    <w:p w14:paraId="54C1F711" w14:textId="2906A351" w:rsidR="00E87C05" w:rsidRDefault="00C958BA" w:rsidP="002A524D">
      <w:pPr>
        <w:pStyle w:val="IFT1"/>
        <w:tabs>
          <w:tab w:val="left" w:pos="426"/>
        </w:tabs>
        <w:spacing w:after="0"/>
        <w:ind w:left="-851"/>
        <w:rPr>
          <w:bCs/>
        </w:rPr>
      </w:pPr>
      <w:r w:rsidRPr="00C958BA">
        <w:rPr>
          <w:bCs/>
        </w:rPr>
        <w:t xml:space="preserve">Refiere que </w:t>
      </w:r>
      <w:r>
        <w:rPr>
          <w:bCs/>
        </w:rPr>
        <w:t xml:space="preserve">ante la existencia de un reporte que no cumple con la “información necesaria”, se debe requerir al OMV para que subsane la irregularidad, o en su caso, se pida presentar la documentación que a juicio de Telcel sea necesaria. Por lo </w:t>
      </w:r>
      <w:r>
        <w:rPr>
          <w:bCs/>
        </w:rPr>
        <w:lastRenderedPageBreak/>
        <w:t>anterior, propone eliminar el estatus de “Cancelado” por no brindar mecanismos alternos para corregir las irregularidades.</w:t>
      </w:r>
    </w:p>
    <w:p w14:paraId="7EB434F0" w14:textId="3B133417" w:rsidR="00D7118D" w:rsidRDefault="00D7118D" w:rsidP="002A524D">
      <w:pPr>
        <w:pStyle w:val="IFT1"/>
        <w:tabs>
          <w:tab w:val="left" w:pos="426"/>
        </w:tabs>
        <w:spacing w:after="0"/>
        <w:ind w:left="-851"/>
        <w:rPr>
          <w:bCs/>
        </w:rPr>
      </w:pPr>
    </w:p>
    <w:p w14:paraId="01D23B33" w14:textId="77777777" w:rsidR="00D7118D" w:rsidRDefault="00D7118D" w:rsidP="002A524D">
      <w:pPr>
        <w:spacing w:after="0" w:line="276" w:lineRule="auto"/>
        <w:ind w:left="-851"/>
        <w:rPr>
          <w:rFonts w:ascii="ITC Avant Garde" w:eastAsia="Calibri" w:hAnsi="ITC Avant Garde" w:cs="Arial"/>
        </w:rPr>
      </w:pPr>
      <w:r w:rsidRPr="00343A4F">
        <w:rPr>
          <w:rFonts w:ascii="ITC Avant Garde" w:hAnsi="ITC Avant Garde"/>
          <w:b/>
          <w:color w:val="auto"/>
        </w:rPr>
        <w:t>Consideraciones del Instituto</w:t>
      </w:r>
    </w:p>
    <w:p w14:paraId="4BF26D52" w14:textId="34049790" w:rsidR="000579B5" w:rsidRPr="00353FF3" w:rsidRDefault="004F26F0" w:rsidP="002A524D">
      <w:pPr>
        <w:pStyle w:val="IFT1"/>
        <w:tabs>
          <w:tab w:val="left" w:pos="426"/>
        </w:tabs>
        <w:spacing w:after="0"/>
        <w:ind w:left="-851"/>
        <w:rPr>
          <w:bCs/>
        </w:rPr>
      </w:pPr>
      <w:r>
        <w:rPr>
          <w:bCs/>
        </w:rPr>
        <w:t xml:space="preserve">Se señala que los tipos de reportes de incidencias se encuentran definidos en el numeral 5 del Anexo VII, los cuales pueden corresponder a </w:t>
      </w:r>
      <w:r w:rsidR="00C07F43">
        <w:rPr>
          <w:bCs/>
        </w:rPr>
        <w:t>incidencias de operación y mantenimiento, incidencias informáticas o incidencias de ingenier</w:t>
      </w:r>
      <w:r w:rsidR="000579B5">
        <w:rPr>
          <w:bCs/>
        </w:rPr>
        <w:t xml:space="preserve">ía. </w:t>
      </w:r>
      <w:r w:rsidR="000579B5" w:rsidRPr="00353FF3">
        <w:rPr>
          <w:bCs/>
        </w:rPr>
        <w:t xml:space="preserve">Sin embargo, para </w:t>
      </w:r>
      <w:r w:rsidR="00331D98">
        <w:rPr>
          <w:bCs/>
        </w:rPr>
        <w:t>otorgar</w:t>
      </w:r>
      <w:r w:rsidR="000579B5" w:rsidRPr="00353FF3">
        <w:rPr>
          <w:bCs/>
        </w:rPr>
        <w:t xml:space="preserve"> certidumbre a los OMV respecto a los tipos de incidentes que po</w:t>
      </w:r>
      <w:r w:rsidR="00331D98">
        <w:rPr>
          <w:bCs/>
        </w:rPr>
        <w:t>drán ser reportados, se modificó</w:t>
      </w:r>
      <w:r w:rsidR="000579B5" w:rsidRPr="00353FF3">
        <w:rPr>
          <w:bCs/>
        </w:rPr>
        <w:t xml:space="preserve"> el numeral en cuestión en los siguientes términos:</w:t>
      </w:r>
    </w:p>
    <w:p w14:paraId="2E58D32F" w14:textId="77777777" w:rsidR="000579B5" w:rsidRPr="00353FF3" w:rsidRDefault="000579B5" w:rsidP="002A524D">
      <w:pPr>
        <w:pStyle w:val="IFT1"/>
        <w:tabs>
          <w:tab w:val="left" w:pos="426"/>
        </w:tabs>
        <w:spacing w:after="0"/>
        <w:ind w:left="-851"/>
        <w:rPr>
          <w:bCs/>
        </w:rPr>
      </w:pPr>
    </w:p>
    <w:p w14:paraId="20AA773C" w14:textId="77777777" w:rsidR="000579B5" w:rsidRPr="00353FF3" w:rsidRDefault="000579B5" w:rsidP="00AA792F">
      <w:pPr>
        <w:spacing w:line="276" w:lineRule="auto"/>
        <w:ind w:left="-284" w:right="615"/>
        <w:rPr>
          <w:rFonts w:ascii="ITC Avant Garde" w:eastAsia="Calibri" w:hAnsi="ITC Avant Garde" w:cs="Arial"/>
          <w:i/>
          <w:sz w:val="18"/>
          <w:szCs w:val="18"/>
        </w:rPr>
      </w:pPr>
      <w:r w:rsidRPr="00353FF3">
        <w:rPr>
          <w:rFonts w:ascii="ITC Avant Garde" w:eastAsia="Calibri" w:hAnsi="ITC Avant Garde" w:cs="Arial"/>
          <w:i/>
          <w:sz w:val="18"/>
          <w:szCs w:val="18"/>
        </w:rPr>
        <w:t>“3. Atención del Reporte</w:t>
      </w:r>
    </w:p>
    <w:p w14:paraId="46AD0560" w14:textId="77777777" w:rsidR="000579B5" w:rsidRPr="00353FF3" w:rsidRDefault="000579B5" w:rsidP="00AA792F">
      <w:pPr>
        <w:spacing w:line="276" w:lineRule="auto"/>
        <w:ind w:left="-284" w:right="615"/>
        <w:rPr>
          <w:rFonts w:ascii="ITC Avant Garde" w:eastAsia="Calibri" w:hAnsi="ITC Avant Garde" w:cs="Arial"/>
          <w:i/>
          <w:sz w:val="18"/>
          <w:szCs w:val="18"/>
        </w:rPr>
      </w:pPr>
      <w:r w:rsidRPr="00353FF3">
        <w:rPr>
          <w:rFonts w:ascii="ITC Avant Garde" w:eastAsia="Calibri" w:hAnsi="ITC Avant Garde" w:cs="Arial"/>
          <w:i/>
          <w:sz w:val="18"/>
          <w:szCs w:val="18"/>
        </w:rPr>
        <w:t>(…)</w:t>
      </w:r>
    </w:p>
    <w:p w14:paraId="76B3FFC6" w14:textId="77777777" w:rsidR="000579B5" w:rsidRPr="00353FF3" w:rsidRDefault="000579B5" w:rsidP="00AA792F">
      <w:pPr>
        <w:spacing w:line="276" w:lineRule="auto"/>
        <w:ind w:left="-284" w:right="615"/>
        <w:rPr>
          <w:rFonts w:ascii="ITC Avant Garde" w:eastAsia="Calibri" w:hAnsi="ITC Avant Garde" w:cs="Arial"/>
          <w:i/>
          <w:sz w:val="18"/>
          <w:szCs w:val="18"/>
        </w:rPr>
      </w:pPr>
      <w:r w:rsidRPr="00353FF3">
        <w:rPr>
          <w:rFonts w:ascii="ITC Avant Garde" w:eastAsia="Calibri" w:hAnsi="ITC Avant Garde" w:cs="Arial"/>
          <w:i/>
          <w:sz w:val="18"/>
          <w:szCs w:val="18"/>
        </w:rPr>
        <w:t>c)</w:t>
      </w:r>
      <w:r w:rsidRPr="00353FF3">
        <w:rPr>
          <w:rFonts w:ascii="ITC Avant Garde" w:eastAsia="Calibri" w:hAnsi="ITC Avant Garde" w:cs="Arial"/>
          <w:i/>
          <w:sz w:val="18"/>
          <w:szCs w:val="18"/>
        </w:rPr>
        <w:tab/>
        <w:t xml:space="preserve">Cancelado: Se presenta cuando el Reporte no cumple con toda la información necesaria para iniciar el flujo de Atención del Reporte, y cuando el reporte no corresponda a una </w:t>
      </w:r>
      <w:r w:rsidRPr="00353FF3">
        <w:rPr>
          <w:rFonts w:ascii="ITC Avant Garde" w:eastAsia="Calibri" w:hAnsi="ITC Avant Garde" w:cs="Arial"/>
          <w:i/>
          <w:sz w:val="18"/>
          <w:szCs w:val="18"/>
          <w:u w:val="single"/>
        </w:rPr>
        <w:t>de las</w:t>
      </w:r>
      <w:r w:rsidRPr="00353FF3">
        <w:rPr>
          <w:rFonts w:ascii="ITC Avant Garde" w:eastAsia="Calibri" w:hAnsi="ITC Avant Garde" w:cs="Arial"/>
          <w:i/>
          <w:sz w:val="18"/>
          <w:szCs w:val="18"/>
        </w:rPr>
        <w:t xml:space="preserve"> incidencia</w:t>
      </w:r>
      <w:r w:rsidRPr="00353FF3">
        <w:rPr>
          <w:rFonts w:ascii="ITC Avant Garde" w:eastAsia="Calibri" w:hAnsi="ITC Avant Garde" w:cs="Arial"/>
          <w:i/>
          <w:sz w:val="18"/>
          <w:szCs w:val="18"/>
          <w:u w:val="single"/>
        </w:rPr>
        <w:t>s</w:t>
      </w:r>
      <w:r w:rsidRPr="00353FF3">
        <w:rPr>
          <w:rFonts w:ascii="ITC Avant Garde" w:eastAsia="Calibri" w:hAnsi="ITC Avant Garde" w:cs="Arial"/>
          <w:i/>
          <w:sz w:val="18"/>
          <w:szCs w:val="18"/>
        </w:rPr>
        <w:t xml:space="preserve"> del servicio </w:t>
      </w:r>
      <w:r w:rsidRPr="00353FF3">
        <w:rPr>
          <w:rFonts w:ascii="ITC Avant Garde" w:eastAsia="Calibri" w:hAnsi="ITC Avant Garde" w:cs="Arial"/>
          <w:i/>
          <w:sz w:val="18"/>
          <w:szCs w:val="18"/>
          <w:u w:val="single"/>
        </w:rPr>
        <w:t>definidas en el numeral 5 Tipos de Reportes</w:t>
      </w:r>
      <w:r w:rsidRPr="00353FF3">
        <w:rPr>
          <w:rFonts w:ascii="ITC Avant Garde" w:eastAsia="Calibri" w:hAnsi="ITC Avant Garde" w:cs="Arial"/>
          <w:i/>
          <w:sz w:val="18"/>
          <w:szCs w:val="18"/>
        </w:rPr>
        <w:t>.</w:t>
      </w:r>
    </w:p>
    <w:p w14:paraId="72684F34" w14:textId="77777777" w:rsidR="000579B5" w:rsidRPr="00353FF3" w:rsidRDefault="000579B5" w:rsidP="00AA792F">
      <w:pPr>
        <w:spacing w:after="0" w:line="276" w:lineRule="auto"/>
        <w:ind w:left="-284" w:right="615"/>
        <w:rPr>
          <w:rFonts w:ascii="ITC Avant Garde" w:eastAsia="Calibri" w:hAnsi="ITC Avant Garde" w:cs="Arial"/>
          <w:i/>
          <w:sz w:val="18"/>
          <w:szCs w:val="18"/>
        </w:rPr>
      </w:pPr>
      <w:r w:rsidRPr="00353FF3">
        <w:rPr>
          <w:rFonts w:ascii="ITC Avant Garde" w:eastAsia="Calibri" w:hAnsi="ITC Avant Garde" w:cs="Arial"/>
          <w:i/>
          <w:sz w:val="18"/>
          <w:szCs w:val="18"/>
        </w:rPr>
        <w:t>(…)”</w:t>
      </w:r>
    </w:p>
    <w:p w14:paraId="26B37CE5" w14:textId="77777777" w:rsidR="000579B5" w:rsidRDefault="000579B5" w:rsidP="00AA792F">
      <w:pPr>
        <w:spacing w:after="0" w:line="276" w:lineRule="auto"/>
        <w:ind w:left="-284" w:right="612"/>
        <w:jc w:val="right"/>
        <w:rPr>
          <w:rFonts w:ascii="ITC Avant Garde" w:eastAsia="Calibri" w:hAnsi="ITC Avant Garde" w:cs="Arial"/>
          <w:sz w:val="18"/>
          <w:szCs w:val="18"/>
        </w:rPr>
      </w:pPr>
      <w:r w:rsidRPr="00353FF3">
        <w:rPr>
          <w:rFonts w:ascii="ITC Avant Garde" w:eastAsia="Calibri" w:hAnsi="ITC Avant Garde" w:cs="Arial"/>
          <w:sz w:val="18"/>
          <w:szCs w:val="18"/>
        </w:rPr>
        <w:t>Énfasis añadido</w:t>
      </w:r>
    </w:p>
    <w:p w14:paraId="050D5B16" w14:textId="77777777" w:rsidR="002A27EA" w:rsidRPr="002A27EA" w:rsidRDefault="002A27EA" w:rsidP="002A524D">
      <w:pPr>
        <w:spacing w:after="0" w:line="276" w:lineRule="auto"/>
        <w:ind w:left="-851" w:right="0" w:firstLine="0"/>
        <w:rPr>
          <w:rFonts w:ascii="ITC Avant Garde" w:hAnsi="ITC Avant Garde"/>
          <w:b/>
          <w:lang w:val="es-ES_tradnl"/>
        </w:rPr>
      </w:pPr>
    </w:p>
    <w:p w14:paraId="450E8364" w14:textId="2B2351FF" w:rsidR="00A614A7" w:rsidRDefault="00A614A7" w:rsidP="002A524D">
      <w:pPr>
        <w:spacing w:after="0" w:line="276" w:lineRule="auto"/>
        <w:ind w:left="-851" w:right="0" w:firstLine="0"/>
        <w:rPr>
          <w:rFonts w:ascii="ITC Avant Garde" w:hAnsi="ITC Avant Garde"/>
          <w:b/>
        </w:rPr>
      </w:pPr>
      <w:r w:rsidRPr="00114036">
        <w:rPr>
          <w:rFonts w:ascii="ITC Avant Garde" w:hAnsi="ITC Avant Garde"/>
          <w:b/>
        </w:rPr>
        <w:t>ANEXO X COMPROBACIÓN DE EQUIPOS TERMINALES</w:t>
      </w:r>
    </w:p>
    <w:p w14:paraId="3FCB366B" w14:textId="77777777" w:rsidR="00A614A7" w:rsidRPr="002E7D33" w:rsidRDefault="00A614A7" w:rsidP="002A524D">
      <w:pPr>
        <w:spacing w:after="0" w:line="276" w:lineRule="auto"/>
        <w:ind w:left="-851" w:right="0" w:firstLine="0"/>
        <w:rPr>
          <w:rFonts w:ascii="ITC Avant Garde" w:hAnsi="ITC Avant Garde"/>
          <w:b/>
          <w:color w:val="auto"/>
        </w:rPr>
      </w:pPr>
      <w:r w:rsidRPr="002E7D33">
        <w:rPr>
          <w:rFonts w:ascii="ITC Avant Garde" w:hAnsi="ITC Avant Garde"/>
          <w:b/>
          <w:color w:val="auto"/>
        </w:rPr>
        <w:t>Axtel:</w:t>
      </w:r>
    </w:p>
    <w:p w14:paraId="49BB9F96" w14:textId="126A1AF3" w:rsidR="008F13D7" w:rsidRDefault="00A614A7" w:rsidP="002A524D">
      <w:pPr>
        <w:spacing w:line="276" w:lineRule="auto"/>
        <w:ind w:left="-851" w:right="0"/>
        <w:rPr>
          <w:rFonts w:ascii="ITC Avant Garde" w:hAnsi="ITC Avant Garde"/>
          <w:color w:val="auto"/>
        </w:rPr>
      </w:pPr>
      <w:r>
        <w:rPr>
          <w:rFonts w:ascii="ITC Avant Garde" w:hAnsi="ITC Avant Garde"/>
          <w:color w:val="auto"/>
        </w:rPr>
        <w:t>Solicita que se incluya el listado detallado de los requisitos que deberá cubrir el OMV para la comprobación de equipos terminales y dispositivos inal</w:t>
      </w:r>
      <w:r w:rsidR="00BD45A0">
        <w:rPr>
          <w:rFonts w:ascii="ITC Avant Garde" w:hAnsi="ITC Avant Garde"/>
          <w:color w:val="auto"/>
        </w:rPr>
        <w:t>ámbricos ya que, posterior al ingreso de la solicitud en el SEG, indica que se requiere al OMV la entrega de documentos no especificados en el Anexo. También solicita que se incluyan los definiciones, clasificaciones y alcances de los resultados de la homologación: Aprobado, Rechazado/No Aprobado, Aprobado Condicionado, más los que pudieran aplicar.</w:t>
      </w:r>
    </w:p>
    <w:p w14:paraId="0B989A52" w14:textId="3150D1FB" w:rsidR="00105622" w:rsidRDefault="00105622" w:rsidP="002A524D">
      <w:pPr>
        <w:spacing w:line="276" w:lineRule="auto"/>
        <w:ind w:left="-851" w:right="0"/>
        <w:rPr>
          <w:rFonts w:ascii="ITC Avant Garde" w:hAnsi="ITC Avant Garde"/>
          <w:color w:val="auto"/>
        </w:rPr>
      </w:pPr>
    </w:p>
    <w:p w14:paraId="40050DBA" w14:textId="77777777" w:rsidR="00105622" w:rsidRDefault="00105622" w:rsidP="002A524D">
      <w:pPr>
        <w:spacing w:after="0" w:line="276" w:lineRule="auto"/>
        <w:ind w:left="-851"/>
        <w:rPr>
          <w:rFonts w:ascii="ITC Avant Garde" w:eastAsia="Calibri" w:hAnsi="ITC Avant Garde" w:cs="Arial"/>
        </w:rPr>
      </w:pPr>
      <w:r w:rsidRPr="00343A4F">
        <w:rPr>
          <w:rFonts w:ascii="ITC Avant Garde" w:hAnsi="ITC Avant Garde"/>
          <w:b/>
          <w:color w:val="auto"/>
        </w:rPr>
        <w:t>Consideraciones del Instituto</w:t>
      </w:r>
    </w:p>
    <w:p w14:paraId="075D50D8" w14:textId="2FF8BF22" w:rsidR="00374D7E" w:rsidRDefault="00374D7E" w:rsidP="002A524D">
      <w:pPr>
        <w:spacing w:line="276" w:lineRule="auto"/>
        <w:ind w:left="-851" w:right="0"/>
        <w:rPr>
          <w:rFonts w:ascii="ITC Avant Garde" w:hAnsi="ITC Avant Garde"/>
          <w:color w:val="auto"/>
        </w:rPr>
      </w:pPr>
      <w:r>
        <w:rPr>
          <w:rFonts w:ascii="ITC Avant Garde" w:hAnsi="ITC Avant Garde"/>
          <w:color w:val="auto"/>
        </w:rPr>
        <w:t>El numeral 4.1 del Anexo X establece los insumos requeridos para la comprobación</w:t>
      </w:r>
      <w:r w:rsidR="00D27742">
        <w:rPr>
          <w:rFonts w:ascii="ITC Avant Garde" w:hAnsi="ITC Avant Garde"/>
          <w:color w:val="auto"/>
        </w:rPr>
        <w:t xml:space="preserve"> de equipos terminales, entre los cuales se incluye la siguiente documentación:</w:t>
      </w:r>
    </w:p>
    <w:p w14:paraId="74C95ABB" w14:textId="454B551B" w:rsidR="000602A1" w:rsidRDefault="000602A1" w:rsidP="002A524D">
      <w:pPr>
        <w:spacing w:line="276" w:lineRule="auto"/>
        <w:ind w:left="-851" w:right="0"/>
        <w:rPr>
          <w:rFonts w:ascii="ITC Avant Garde" w:hAnsi="ITC Avant Garde"/>
          <w:color w:val="auto"/>
        </w:rPr>
      </w:pPr>
    </w:p>
    <w:p w14:paraId="1137E7EB" w14:textId="32122EE4" w:rsidR="000602A1" w:rsidRDefault="000602A1" w:rsidP="002356FF">
      <w:pPr>
        <w:spacing w:after="0" w:line="276" w:lineRule="auto"/>
        <w:ind w:left="0" w:right="615"/>
        <w:rPr>
          <w:rFonts w:ascii="ITC Avant Garde" w:eastAsia="Calibri" w:hAnsi="ITC Avant Garde" w:cs="Arial"/>
          <w:i/>
          <w:sz w:val="18"/>
          <w:szCs w:val="18"/>
        </w:rPr>
      </w:pPr>
      <w:r>
        <w:rPr>
          <w:rFonts w:ascii="ITC Avant Garde" w:eastAsia="Calibri" w:hAnsi="ITC Avant Garde" w:cs="Arial"/>
          <w:i/>
          <w:sz w:val="18"/>
          <w:szCs w:val="18"/>
        </w:rPr>
        <w:t>“</w:t>
      </w:r>
      <w:r w:rsidRPr="000602A1">
        <w:rPr>
          <w:rFonts w:ascii="ITC Avant Garde" w:eastAsia="Calibri" w:hAnsi="ITC Avant Garde" w:cs="Arial"/>
          <w:i/>
          <w:sz w:val="18"/>
          <w:szCs w:val="18"/>
        </w:rPr>
        <w:t>4.1 Insumos Requeridos</w:t>
      </w:r>
    </w:p>
    <w:p w14:paraId="2AA90491" w14:textId="023CC91A" w:rsidR="000602A1" w:rsidRPr="000602A1" w:rsidRDefault="000602A1" w:rsidP="002356FF">
      <w:pPr>
        <w:spacing w:after="0" w:line="276" w:lineRule="auto"/>
        <w:ind w:left="0" w:right="615"/>
        <w:rPr>
          <w:rFonts w:ascii="ITC Avant Garde" w:eastAsia="Calibri" w:hAnsi="ITC Avant Garde" w:cs="Arial"/>
          <w:i/>
          <w:sz w:val="18"/>
          <w:szCs w:val="18"/>
        </w:rPr>
      </w:pPr>
      <w:r>
        <w:rPr>
          <w:rFonts w:ascii="ITC Avant Garde" w:eastAsia="Calibri" w:hAnsi="ITC Avant Garde" w:cs="Arial"/>
          <w:i/>
          <w:sz w:val="18"/>
          <w:szCs w:val="18"/>
        </w:rPr>
        <w:t>(…)</w:t>
      </w:r>
    </w:p>
    <w:p w14:paraId="6B8D1065" w14:textId="77777777" w:rsidR="00D27742" w:rsidRPr="00D27742" w:rsidRDefault="00D27742" w:rsidP="002356FF">
      <w:pPr>
        <w:pStyle w:val="Prrafodelista"/>
        <w:numPr>
          <w:ilvl w:val="0"/>
          <w:numId w:val="16"/>
        </w:numPr>
        <w:spacing w:after="0" w:line="276" w:lineRule="auto"/>
        <w:ind w:left="426" w:right="615"/>
        <w:rPr>
          <w:rFonts w:ascii="ITC Avant Garde" w:eastAsia="Calibri" w:hAnsi="ITC Avant Garde" w:cs="Arial"/>
          <w:i/>
          <w:sz w:val="18"/>
          <w:szCs w:val="18"/>
        </w:rPr>
      </w:pPr>
      <w:r w:rsidRPr="00D27742">
        <w:rPr>
          <w:rFonts w:ascii="ITC Avant Garde" w:eastAsia="Calibri" w:hAnsi="ITC Avant Garde" w:cs="Arial"/>
          <w:i/>
          <w:sz w:val="18"/>
          <w:szCs w:val="18"/>
        </w:rPr>
        <w:t xml:space="preserve">Documentación: el OMV deberá entregar los siguientes documentos a Telcel; </w:t>
      </w:r>
    </w:p>
    <w:p w14:paraId="1DBAF213" w14:textId="77777777" w:rsidR="00D27742" w:rsidRPr="00D27742" w:rsidRDefault="00D27742" w:rsidP="002356FF">
      <w:pPr>
        <w:pStyle w:val="Prrafodelista"/>
        <w:numPr>
          <w:ilvl w:val="1"/>
          <w:numId w:val="16"/>
        </w:numPr>
        <w:spacing w:after="0" w:line="276" w:lineRule="auto"/>
        <w:ind w:left="709" w:right="615"/>
        <w:rPr>
          <w:rFonts w:ascii="ITC Avant Garde" w:eastAsia="Calibri" w:hAnsi="ITC Avant Garde" w:cs="Arial"/>
          <w:i/>
          <w:sz w:val="18"/>
          <w:szCs w:val="18"/>
        </w:rPr>
      </w:pPr>
      <w:r w:rsidRPr="00D27742">
        <w:rPr>
          <w:rFonts w:ascii="ITC Avant Garde" w:eastAsia="Calibri" w:hAnsi="ITC Avant Garde" w:cs="Arial"/>
          <w:i/>
          <w:sz w:val="18"/>
          <w:szCs w:val="18"/>
        </w:rPr>
        <w:t>Cumplimiento a las Normas Oficiales Mexicanas / NYCE,</w:t>
      </w:r>
    </w:p>
    <w:p w14:paraId="27E579D4" w14:textId="77777777" w:rsidR="00D27742" w:rsidRPr="00D27742" w:rsidRDefault="00D27742" w:rsidP="002356FF">
      <w:pPr>
        <w:pStyle w:val="Prrafodelista"/>
        <w:numPr>
          <w:ilvl w:val="1"/>
          <w:numId w:val="16"/>
        </w:numPr>
        <w:spacing w:after="0" w:line="276" w:lineRule="auto"/>
        <w:ind w:left="709" w:right="615"/>
        <w:rPr>
          <w:rFonts w:ascii="ITC Avant Garde" w:eastAsia="Calibri" w:hAnsi="ITC Avant Garde" w:cs="Arial"/>
          <w:i/>
          <w:sz w:val="18"/>
          <w:szCs w:val="18"/>
        </w:rPr>
      </w:pPr>
      <w:r w:rsidRPr="00D27742">
        <w:rPr>
          <w:rFonts w:ascii="ITC Avant Garde" w:eastAsia="Calibri" w:hAnsi="ITC Avant Garde" w:cs="Arial"/>
          <w:i/>
          <w:sz w:val="18"/>
          <w:szCs w:val="18"/>
        </w:rPr>
        <w:t>Certificado de Homologación emitido por el IFT,</w:t>
      </w:r>
    </w:p>
    <w:p w14:paraId="297F72F6" w14:textId="77777777" w:rsidR="00D27742" w:rsidRPr="00D27742" w:rsidRDefault="00D27742" w:rsidP="002356FF">
      <w:pPr>
        <w:pStyle w:val="Prrafodelista"/>
        <w:numPr>
          <w:ilvl w:val="1"/>
          <w:numId w:val="16"/>
        </w:numPr>
        <w:spacing w:after="0" w:line="276" w:lineRule="auto"/>
        <w:ind w:left="709" w:right="615"/>
        <w:rPr>
          <w:rFonts w:ascii="ITC Avant Garde" w:eastAsia="Calibri" w:hAnsi="ITC Avant Garde" w:cs="Arial"/>
          <w:i/>
          <w:sz w:val="18"/>
          <w:szCs w:val="18"/>
        </w:rPr>
      </w:pPr>
      <w:r w:rsidRPr="00D27742">
        <w:rPr>
          <w:rFonts w:ascii="ITC Avant Garde" w:eastAsia="Calibri" w:hAnsi="ITC Avant Garde" w:cs="Arial"/>
          <w:i/>
          <w:sz w:val="18"/>
          <w:szCs w:val="18"/>
        </w:rPr>
        <w:t>Certificación emitida por la Comisión Federal de Comunicaciones de Estados Unidos de Norte América,</w:t>
      </w:r>
    </w:p>
    <w:p w14:paraId="196A2302" w14:textId="77777777" w:rsidR="00D27742" w:rsidRPr="00D27742" w:rsidRDefault="00D27742" w:rsidP="002356FF">
      <w:pPr>
        <w:pStyle w:val="Prrafodelista"/>
        <w:numPr>
          <w:ilvl w:val="1"/>
          <w:numId w:val="16"/>
        </w:numPr>
        <w:spacing w:after="0" w:line="276" w:lineRule="auto"/>
        <w:ind w:left="709" w:right="615"/>
        <w:rPr>
          <w:rFonts w:ascii="ITC Avant Garde" w:eastAsia="Calibri" w:hAnsi="ITC Avant Garde" w:cs="Arial"/>
          <w:i/>
          <w:sz w:val="18"/>
          <w:szCs w:val="18"/>
        </w:rPr>
      </w:pPr>
      <w:r w:rsidRPr="00D27742">
        <w:rPr>
          <w:rFonts w:ascii="ITC Avant Garde" w:eastAsia="Calibri" w:hAnsi="ITC Avant Garde" w:cs="Arial"/>
          <w:i/>
          <w:sz w:val="18"/>
          <w:szCs w:val="18"/>
        </w:rPr>
        <w:t>PTCRB (</w:t>
      </w:r>
      <w:proofErr w:type="spellStart"/>
      <w:r w:rsidRPr="00D27742">
        <w:rPr>
          <w:rFonts w:ascii="ITC Avant Garde" w:eastAsia="Calibri" w:hAnsi="ITC Avant Garde" w:cs="Arial"/>
          <w:i/>
          <w:sz w:val="18"/>
          <w:szCs w:val="18"/>
        </w:rPr>
        <w:t>half</w:t>
      </w:r>
      <w:proofErr w:type="spellEnd"/>
      <w:r w:rsidRPr="00D27742">
        <w:rPr>
          <w:rFonts w:ascii="ITC Avant Garde" w:eastAsia="Calibri" w:hAnsi="ITC Avant Garde" w:cs="Arial"/>
          <w:i/>
          <w:sz w:val="18"/>
          <w:szCs w:val="18"/>
        </w:rPr>
        <w:t xml:space="preserve"> time, algoritmos de encriptación),</w:t>
      </w:r>
    </w:p>
    <w:p w14:paraId="17CDBCD3" w14:textId="77777777" w:rsidR="00D27742" w:rsidRPr="00D27742" w:rsidRDefault="00D27742" w:rsidP="002356FF">
      <w:pPr>
        <w:pStyle w:val="Prrafodelista"/>
        <w:numPr>
          <w:ilvl w:val="1"/>
          <w:numId w:val="16"/>
        </w:numPr>
        <w:spacing w:after="0" w:line="276" w:lineRule="auto"/>
        <w:ind w:left="709" w:right="615"/>
        <w:rPr>
          <w:rFonts w:ascii="ITC Avant Garde" w:eastAsia="Calibri" w:hAnsi="ITC Avant Garde" w:cs="Arial"/>
          <w:i/>
          <w:sz w:val="18"/>
          <w:szCs w:val="18"/>
        </w:rPr>
      </w:pPr>
      <w:r w:rsidRPr="00D27742">
        <w:rPr>
          <w:rFonts w:ascii="ITC Avant Garde" w:eastAsia="Calibri" w:hAnsi="ITC Avant Garde" w:cs="Arial"/>
          <w:i/>
          <w:sz w:val="18"/>
          <w:szCs w:val="18"/>
        </w:rPr>
        <w:t>Ficha Técnica del dispositivo a evaluar,</w:t>
      </w:r>
    </w:p>
    <w:p w14:paraId="4AD1ADDD" w14:textId="77777777" w:rsidR="00D27742" w:rsidRPr="00D27742" w:rsidRDefault="00D27742" w:rsidP="002356FF">
      <w:pPr>
        <w:pStyle w:val="Prrafodelista"/>
        <w:numPr>
          <w:ilvl w:val="1"/>
          <w:numId w:val="16"/>
        </w:numPr>
        <w:spacing w:after="0" w:line="276" w:lineRule="auto"/>
        <w:ind w:left="709" w:right="615"/>
        <w:rPr>
          <w:rFonts w:ascii="ITC Avant Garde" w:eastAsia="Calibri" w:hAnsi="ITC Avant Garde" w:cs="Arial"/>
          <w:i/>
          <w:sz w:val="18"/>
          <w:szCs w:val="18"/>
        </w:rPr>
      </w:pPr>
      <w:r w:rsidRPr="00D27742">
        <w:rPr>
          <w:rFonts w:ascii="ITC Avant Garde" w:eastAsia="Calibri" w:hAnsi="ITC Avant Garde" w:cs="Arial"/>
          <w:i/>
          <w:sz w:val="18"/>
          <w:szCs w:val="18"/>
        </w:rPr>
        <w:t>Secuencias de prueba conducidas y radiadas para equipos de medición (test cases), y</w:t>
      </w:r>
    </w:p>
    <w:p w14:paraId="6907CE80" w14:textId="0B043F07" w:rsidR="00D27742" w:rsidRPr="00D27742" w:rsidRDefault="00D27742" w:rsidP="002356FF">
      <w:pPr>
        <w:pStyle w:val="Prrafodelista"/>
        <w:numPr>
          <w:ilvl w:val="1"/>
          <w:numId w:val="16"/>
        </w:numPr>
        <w:spacing w:after="0" w:line="276" w:lineRule="auto"/>
        <w:ind w:left="709" w:right="615"/>
        <w:rPr>
          <w:rFonts w:ascii="ITC Avant Garde" w:eastAsia="Calibri" w:hAnsi="ITC Avant Garde" w:cs="Arial"/>
          <w:i/>
          <w:sz w:val="18"/>
          <w:szCs w:val="18"/>
        </w:rPr>
      </w:pPr>
      <w:r w:rsidRPr="00D27742">
        <w:rPr>
          <w:rFonts w:ascii="ITC Avant Garde" w:eastAsia="Calibri" w:hAnsi="ITC Avant Garde" w:cs="Arial"/>
          <w:i/>
          <w:sz w:val="18"/>
          <w:szCs w:val="18"/>
        </w:rPr>
        <w:lastRenderedPageBreak/>
        <w:t>Documento de personalización del Equipo Terminal apegado al requerimiento del OMV.</w:t>
      </w:r>
      <w:r w:rsidR="000602A1">
        <w:rPr>
          <w:rFonts w:ascii="ITC Avant Garde" w:eastAsia="Calibri" w:hAnsi="ITC Avant Garde" w:cs="Arial"/>
          <w:i/>
          <w:sz w:val="18"/>
          <w:szCs w:val="18"/>
        </w:rPr>
        <w:t>”</w:t>
      </w:r>
    </w:p>
    <w:p w14:paraId="6E3B63D0" w14:textId="77777777" w:rsidR="00D27742" w:rsidRDefault="00D27742" w:rsidP="002A524D">
      <w:pPr>
        <w:spacing w:line="276" w:lineRule="auto"/>
        <w:ind w:left="-851" w:right="0"/>
        <w:rPr>
          <w:rFonts w:ascii="ITC Avant Garde" w:hAnsi="ITC Avant Garde"/>
          <w:color w:val="auto"/>
        </w:rPr>
      </w:pPr>
    </w:p>
    <w:p w14:paraId="7D4EDE29" w14:textId="79D4E1CA" w:rsidR="00D27742" w:rsidRDefault="002F72F8" w:rsidP="002A524D">
      <w:pPr>
        <w:spacing w:line="276" w:lineRule="auto"/>
        <w:ind w:left="-851" w:right="0"/>
        <w:rPr>
          <w:rFonts w:ascii="ITC Avant Garde" w:hAnsi="ITC Avant Garde"/>
          <w:color w:val="auto"/>
        </w:rPr>
      </w:pPr>
      <w:r>
        <w:rPr>
          <w:rFonts w:ascii="ITC Avant Garde" w:hAnsi="ITC Avant Garde"/>
          <w:color w:val="auto"/>
        </w:rPr>
        <w:t>Asimismo, el Anexo X establece que Telcel emitirá un reporte de resultados al final del proceso de comprobación de equipos terminales, el cual podrá ser: aceptado, se recomienda su comercialización o rechazado, no se recomienda su comercialización:</w:t>
      </w:r>
    </w:p>
    <w:p w14:paraId="76E706A1" w14:textId="19D974AF" w:rsidR="002F72F8" w:rsidRDefault="002F72F8" w:rsidP="002A524D">
      <w:pPr>
        <w:spacing w:line="276" w:lineRule="auto"/>
        <w:ind w:left="-851" w:right="0"/>
        <w:rPr>
          <w:rFonts w:ascii="ITC Avant Garde" w:hAnsi="ITC Avant Garde"/>
          <w:color w:val="auto"/>
        </w:rPr>
      </w:pPr>
    </w:p>
    <w:p w14:paraId="5A7FA7F4" w14:textId="7A7C537A" w:rsidR="002F72F8" w:rsidRPr="002F72F8" w:rsidRDefault="002F72F8" w:rsidP="002356FF">
      <w:pPr>
        <w:spacing w:after="0" w:line="276" w:lineRule="auto"/>
        <w:ind w:left="-284" w:right="615"/>
        <w:rPr>
          <w:rFonts w:ascii="ITC Avant Garde" w:eastAsia="Calibri" w:hAnsi="ITC Avant Garde" w:cs="Arial"/>
          <w:i/>
          <w:sz w:val="18"/>
          <w:szCs w:val="18"/>
        </w:rPr>
      </w:pPr>
      <w:r>
        <w:rPr>
          <w:rFonts w:ascii="ITC Avant Garde" w:eastAsia="Calibri" w:hAnsi="ITC Avant Garde" w:cs="Arial"/>
          <w:i/>
          <w:sz w:val="18"/>
          <w:szCs w:val="18"/>
        </w:rPr>
        <w:t>“</w:t>
      </w:r>
      <w:r w:rsidRPr="002F72F8">
        <w:rPr>
          <w:rFonts w:ascii="ITC Avant Garde" w:eastAsia="Calibri" w:hAnsi="ITC Avant Garde" w:cs="Arial"/>
          <w:i/>
          <w:sz w:val="18"/>
          <w:szCs w:val="18"/>
        </w:rPr>
        <w:t xml:space="preserve">Al término del proceso, Telcel emitirá un reporte de resultados de Comprobación, en los plazos señalados en el Acuerdo II Acuerdos Técnicos, numeral 2 Requisitos con los que debe contar un OMV Completo o Revendedor con el resultado: </w:t>
      </w:r>
    </w:p>
    <w:p w14:paraId="6E5B2104" w14:textId="77777777" w:rsidR="002F72F8" w:rsidRPr="002F72F8" w:rsidRDefault="002F72F8" w:rsidP="002356FF">
      <w:pPr>
        <w:spacing w:after="0" w:line="276" w:lineRule="auto"/>
        <w:ind w:left="-284" w:right="615"/>
        <w:rPr>
          <w:rFonts w:ascii="ITC Avant Garde" w:eastAsia="Calibri" w:hAnsi="ITC Avant Garde" w:cs="Arial"/>
          <w:i/>
          <w:sz w:val="18"/>
          <w:szCs w:val="18"/>
        </w:rPr>
      </w:pPr>
    </w:p>
    <w:p w14:paraId="390E8D71" w14:textId="77777777" w:rsidR="002F72F8" w:rsidRPr="002F72F8" w:rsidRDefault="002F72F8" w:rsidP="002356FF">
      <w:pPr>
        <w:pStyle w:val="Prrafodelista"/>
        <w:numPr>
          <w:ilvl w:val="0"/>
          <w:numId w:val="17"/>
        </w:numPr>
        <w:spacing w:after="0" w:line="276" w:lineRule="auto"/>
        <w:ind w:left="426" w:right="615"/>
        <w:rPr>
          <w:rFonts w:ascii="ITC Avant Garde" w:eastAsia="Calibri" w:hAnsi="ITC Avant Garde" w:cs="Arial"/>
          <w:i/>
          <w:sz w:val="18"/>
          <w:szCs w:val="18"/>
        </w:rPr>
      </w:pPr>
      <w:r w:rsidRPr="002F72F8">
        <w:rPr>
          <w:rFonts w:ascii="ITC Avant Garde" w:eastAsia="Calibri" w:hAnsi="ITC Avant Garde" w:cs="Arial"/>
          <w:i/>
          <w:sz w:val="18"/>
          <w:szCs w:val="18"/>
        </w:rPr>
        <w:t>Aceptado, se recomienda su comercialización, o</w:t>
      </w:r>
    </w:p>
    <w:p w14:paraId="7E54EC9B" w14:textId="45000E3D" w:rsidR="002F72F8" w:rsidRPr="002F72F8" w:rsidRDefault="002F72F8" w:rsidP="002356FF">
      <w:pPr>
        <w:pStyle w:val="Prrafodelista"/>
        <w:numPr>
          <w:ilvl w:val="0"/>
          <w:numId w:val="17"/>
        </w:numPr>
        <w:spacing w:after="0" w:line="276" w:lineRule="auto"/>
        <w:ind w:left="426" w:right="615"/>
        <w:rPr>
          <w:rFonts w:ascii="ITC Avant Garde" w:eastAsia="Calibri" w:hAnsi="ITC Avant Garde" w:cs="Arial"/>
          <w:i/>
          <w:sz w:val="18"/>
          <w:szCs w:val="18"/>
        </w:rPr>
      </w:pPr>
      <w:r w:rsidRPr="002F72F8">
        <w:rPr>
          <w:rFonts w:ascii="ITC Avant Garde" w:eastAsia="Calibri" w:hAnsi="ITC Avant Garde" w:cs="Arial"/>
          <w:i/>
          <w:sz w:val="18"/>
          <w:szCs w:val="18"/>
        </w:rPr>
        <w:t>Rechazado, no se recomienda su comercialización.</w:t>
      </w:r>
      <w:r>
        <w:rPr>
          <w:rFonts w:ascii="ITC Avant Garde" w:eastAsia="Calibri" w:hAnsi="ITC Avant Garde" w:cs="Arial"/>
          <w:i/>
          <w:sz w:val="18"/>
          <w:szCs w:val="18"/>
        </w:rPr>
        <w:t>”</w:t>
      </w:r>
    </w:p>
    <w:p w14:paraId="465E153F" w14:textId="77777777" w:rsidR="002F72F8" w:rsidRDefault="002F72F8" w:rsidP="002A524D">
      <w:pPr>
        <w:spacing w:line="276" w:lineRule="auto"/>
        <w:ind w:left="-851" w:right="0"/>
        <w:rPr>
          <w:rFonts w:ascii="ITC Avant Garde" w:hAnsi="ITC Avant Garde"/>
          <w:color w:val="auto"/>
        </w:rPr>
      </w:pPr>
    </w:p>
    <w:p w14:paraId="685BA6E6" w14:textId="39B51812" w:rsidR="002F72F8" w:rsidRDefault="002F72F8" w:rsidP="002A524D">
      <w:pPr>
        <w:spacing w:line="276" w:lineRule="auto"/>
        <w:ind w:left="-851" w:right="0"/>
        <w:rPr>
          <w:rFonts w:ascii="ITC Avant Garde" w:hAnsi="ITC Avant Garde"/>
        </w:rPr>
      </w:pPr>
      <w:r>
        <w:rPr>
          <w:rFonts w:ascii="ITC Avant Garde" w:hAnsi="ITC Avant Garde"/>
        </w:rPr>
        <w:t xml:space="preserve">Por lo anterior, </w:t>
      </w:r>
      <w:r w:rsidR="002C2E1A">
        <w:rPr>
          <w:rFonts w:ascii="ITC Avant Garde" w:hAnsi="ITC Avant Garde"/>
        </w:rPr>
        <w:t>en la Oferta ya se considera lo solicitado en este comentario.</w:t>
      </w:r>
    </w:p>
    <w:p w14:paraId="7EC4AED4" w14:textId="44F3556E" w:rsidR="004967DB" w:rsidRDefault="004967DB" w:rsidP="002A524D">
      <w:pPr>
        <w:spacing w:line="276" w:lineRule="auto"/>
        <w:ind w:left="-851" w:right="0"/>
        <w:rPr>
          <w:rFonts w:ascii="ITC Avant Garde" w:hAnsi="ITC Avant Garde"/>
        </w:rPr>
      </w:pPr>
    </w:p>
    <w:p w14:paraId="2E746DED" w14:textId="7ED0D28B" w:rsidR="004967DB" w:rsidRDefault="004967DB" w:rsidP="002A524D">
      <w:pPr>
        <w:spacing w:after="0" w:line="276" w:lineRule="auto"/>
        <w:ind w:left="-851" w:right="49"/>
        <w:rPr>
          <w:rFonts w:ascii="ITC Avant Garde" w:hAnsi="ITC Avant Garde"/>
          <w:b/>
          <w:color w:val="auto"/>
        </w:rPr>
      </w:pPr>
      <w:r w:rsidRPr="004967DB">
        <w:rPr>
          <w:rFonts w:ascii="ITC Avant Garde" w:hAnsi="ITC Avant Garde"/>
          <w:b/>
          <w:color w:val="auto"/>
        </w:rPr>
        <w:t>ANEXO XIII PENAS CONVENCIONALES</w:t>
      </w:r>
    </w:p>
    <w:p w14:paraId="5912F871" w14:textId="48658D98" w:rsidR="003158DC" w:rsidRPr="003158DC" w:rsidRDefault="003158DC" w:rsidP="002A524D">
      <w:pPr>
        <w:spacing w:after="0" w:line="276" w:lineRule="auto"/>
        <w:ind w:left="-851" w:right="0" w:firstLine="0"/>
        <w:rPr>
          <w:rFonts w:ascii="ITC Avant Garde" w:hAnsi="ITC Avant Garde"/>
          <w:b/>
          <w:color w:val="auto"/>
          <w:u w:val="single"/>
        </w:rPr>
      </w:pPr>
      <w:r>
        <w:rPr>
          <w:rFonts w:ascii="ITC Avant Garde" w:hAnsi="ITC Avant Garde"/>
          <w:b/>
          <w:color w:val="auto"/>
          <w:u w:val="single"/>
        </w:rPr>
        <w:t xml:space="preserve">1.1 </w:t>
      </w:r>
      <w:r w:rsidRPr="003158DC">
        <w:rPr>
          <w:rFonts w:ascii="ITC Avant Garde" w:hAnsi="ITC Avant Garde"/>
          <w:b/>
          <w:color w:val="auto"/>
          <w:u w:val="single"/>
        </w:rPr>
        <w:t>Plataforma de Habilitación de los Se</w:t>
      </w:r>
      <w:r>
        <w:rPr>
          <w:rFonts w:ascii="ITC Avant Garde" w:hAnsi="ITC Avant Garde"/>
          <w:b/>
          <w:color w:val="auto"/>
          <w:u w:val="single"/>
        </w:rPr>
        <w:t>rvicios</w:t>
      </w:r>
    </w:p>
    <w:p w14:paraId="2C2A0F31" w14:textId="6CBC926B" w:rsidR="003158DC" w:rsidRDefault="003158DC" w:rsidP="002A524D">
      <w:pPr>
        <w:spacing w:after="0" w:line="276" w:lineRule="auto"/>
        <w:ind w:left="-851" w:right="49"/>
        <w:rPr>
          <w:rFonts w:ascii="ITC Avant Garde" w:hAnsi="ITC Avant Garde"/>
          <w:b/>
          <w:color w:val="auto"/>
        </w:rPr>
      </w:pPr>
      <w:r>
        <w:rPr>
          <w:rFonts w:ascii="ITC Avant Garde" w:hAnsi="ITC Avant Garde"/>
          <w:b/>
          <w:color w:val="auto"/>
        </w:rPr>
        <w:t>Telecomunicaciones 360:</w:t>
      </w:r>
    </w:p>
    <w:p w14:paraId="1949F87A" w14:textId="78F83B75" w:rsidR="003158DC" w:rsidRDefault="003158DC" w:rsidP="002A524D">
      <w:pPr>
        <w:spacing w:line="276" w:lineRule="auto"/>
        <w:ind w:left="-851" w:right="0"/>
        <w:rPr>
          <w:rFonts w:ascii="ITC Avant Garde" w:hAnsi="ITC Avant Garde"/>
        </w:rPr>
      </w:pPr>
      <w:r w:rsidRPr="003158DC">
        <w:rPr>
          <w:rFonts w:ascii="ITC Avant Garde" w:hAnsi="ITC Avant Garde"/>
        </w:rPr>
        <w:t>Propone conservar la</w:t>
      </w:r>
      <w:r>
        <w:rPr>
          <w:rFonts w:ascii="ITC Avant Garde" w:hAnsi="ITC Avant Garde"/>
        </w:rPr>
        <w:t xml:space="preserve"> compensación a favor del OMV conforme a la Oferta vigente en lo referente a multiplicar por tres las horas correspondientes a la falta de servicio.</w:t>
      </w:r>
      <w:r w:rsidRPr="003158DC">
        <w:rPr>
          <w:rFonts w:ascii="ITC Avant Garde" w:hAnsi="ITC Avant Garde"/>
        </w:rPr>
        <w:t xml:space="preserve"> </w:t>
      </w:r>
      <w:r w:rsidR="009D64E3">
        <w:rPr>
          <w:rFonts w:ascii="ITC Avant Garde" w:hAnsi="ITC Avant Garde"/>
        </w:rPr>
        <w:t xml:space="preserve">Asimismo, sugiere que el monto de compensación sea por el </w:t>
      </w:r>
      <w:r w:rsidR="009D64E3" w:rsidRPr="005000A5">
        <w:rPr>
          <w:rFonts w:ascii="ITC Avant Garde" w:hAnsi="ITC Avant Garde"/>
        </w:rPr>
        <w:t>doble</w:t>
      </w:r>
      <w:r w:rsidR="009D64E3">
        <w:rPr>
          <w:rFonts w:ascii="ITC Avant Garde" w:hAnsi="ITC Avant Garde"/>
        </w:rPr>
        <w:t xml:space="preserve"> de las horas en las que la plataforma no estuvo disponible. </w:t>
      </w:r>
    </w:p>
    <w:p w14:paraId="660DFB9A" w14:textId="36D889BD" w:rsidR="009D64E3" w:rsidRDefault="009D64E3" w:rsidP="002A524D">
      <w:pPr>
        <w:spacing w:line="276" w:lineRule="auto"/>
        <w:ind w:left="-851" w:right="0"/>
        <w:rPr>
          <w:rFonts w:ascii="ITC Avant Garde" w:hAnsi="ITC Avant Garde"/>
        </w:rPr>
      </w:pPr>
    </w:p>
    <w:p w14:paraId="0EB5CCDA" w14:textId="77777777" w:rsidR="009D64E3" w:rsidRDefault="009D64E3" w:rsidP="002A524D">
      <w:pPr>
        <w:spacing w:after="0" w:line="276" w:lineRule="auto"/>
        <w:ind w:left="-851"/>
        <w:rPr>
          <w:rFonts w:ascii="ITC Avant Garde" w:eastAsia="Calibri" w:hAnsi="ITC Avant Garde" w:cs="Arial"/>
        </w:rPr>
      </w:pPr>
      <w:r w:rsidRPr="00343A4F">
        <w:rPr>
          <w:rFonts w:ascii="ITC Avant Garde" w:hAnsi="ITC Avant Garde"/>
          <w:b/>
          <w:color w:val="auto"/>
        </w:rPr>
        <w:t>Consideraciones del Instituto</w:t>
      </w:r>
    </w:p>
    <w:p w14:paraId="18BF103B" w14:textId="7EAA4C2E" w:rsidR="009D64E3" w:rsidRPr="009D64E3" w:rsidRDefault="009D64E3" w:rsidP="002A524D">
      <w:pPr>
        <w:spacing w:line="276" w:lineRule="auto"/>
        <w:ind w:left="-851" w:right="0"/>
        <w:rPr>
          <w:rFonts w:ascii="ITC Avant Garde" w:hAnsi="ITC Avant Garde"/>
          <w:color w:val="auto"/>
        </w:rPr>
      </w:pPr>
      <w:r w:rsidRPr="009D64E3">
        <w:rPr>
          <w:rFonts w:ascii="ITC Avant Garde" w:hAnsi="ITC Avant Garde"/>
          <w:color w:val="auto"/>
        </w:rPr>
        <w:t>Para asegurar condiciones equivalentes a la Oferta vigente de conformidad a la medida Décimo Sexta de las Medidas Móviles, en el numeral 1.1.1 y 1.2.2 del Anexo XI</w:t>
      </w:r>
      <w:r w:rsidR="002C2E1A">
        <w:rPr>
          <w:rFonts w:ascii="ITC Avant Garde" w:hAnsi="ITC Avant Garde"/>
          <w:color w:val="auto"/>
        </w:rPr>
        <w:t>II se precisó</w:t>
      </w:r>
      <w:r w:rsidRPr="009D64E3">
        <w:rPr>
          <w:rFonts w:ascii="ITC Avant Garde" w:hAnsi="ITC Avant Garde"/>
          <w:color w:val="auto"/>
        </w:rPr>
        <w:t xml:space="preserve"> que las horas correspondientes a la falta de disponibilidad de la Plataforma de Habilitación de los Servicios se multiplicará por 3 veces para determinar la compensación a favor del OMV, en los siguientes términos:</w:t>
      </w:r>
    </w:p>
    <w:p w14:paraId="74DE6BD7" w14:textId="77777777" w:rsidR="009D64E3" w:rsidRDefault="009D64E3" w:rsidP="00E87D60">
      <w:pPr>
        <w:pStyle w:val="NormalWeb"/>
        <w:spacing w:before="0" w:beforeAutospacing="0" w:after="0" w:afterAutospacing="0" w:line="276" w:lineRule="auto"/>
        <w:ind w:left="-284"/>
        <w:jc w:val="both"/>
        <w:rPr>
          <w:rFonts w:ascii="ITC Avant Garde" w:hAnsi="ITC Avant Garde" w:cs="Arial"/>
          <w:snapToGrid w:val="0"/>
          <w:sz w:val="22"/>
          <w:szCs w:val="22"/>
        </w:rPr>
      </w:pPr>
    </w:p>
    <w:p w14:paraId="13DC1117" w14:textId="77777777" w:rsidR="009D64E3" w:rsidRPr="007464A9" w:rsidRDefault="009D64E3" w:rsidP="00E87D60">
      <w:pPr>
        <w:spacing w:after="0" w:line="276" w:lineRule="auto"/>
        <w:ind w:left="-284" w:right="615"/>
        <w:rPr>
          <w:rFonts w:ascii="ITC Avant Garde" w:eastAsia="Calibri" w:hAnsi="ITC Avant Garde" w:cs="Arial"/>
          <w:i/>
          <w:sz w:val="18"/>
          <w:szCs w:val="18"/>
        </w:rPr>
      </w:pPr>
      <w:r>
        <w:rPr>
          <w:rFonts w:ascii="ITC Avant Garde" w:eastAsia="Calibri" w:hAnsi="ITC Avant Garde" w:cs="Arial"/>
          <w:i/>
          <w:sz w:val="18"/>
          <w:szCs w:val="18"/>
        </w:rPr>
        <w:t>“</w:t>
      </w:r>
      <w:r w:rsidRPr="007464A9">
        <w:rPr>
          <w:rFonts w:ascii="ITC Avant Garde" w:eastAsia="Calibri" w:hAnsi="ITC Avant Garde" w:cs="Arial"/>
          <w:i/>
          <w:sz w:val="18"/>
          <w:szCs w:val="18"/>
        </w:rPr>
        <w:t>1.1.1</w:t>
      </w:r>
      <w:r w:rsidRPr="007464A9">
        <w:rPr>
          <w:rFonts w:ascii="ITC Avant Garde" w:eastAsia="Calibri" w:hAnsi="ITC Avant Garde" w:cs="Arial"/>
          <w:i/>
          <w:sz w:val="18"/>
          <w:szCs w:val="18"/>
        </w:rPr>
        <w:tab/>
        <w:t xml:space="preserve">Disponibilidad del nivel de servicio: se refiere a la capacidad operativa de la plataforma de por lo menos el 99.5% (noventa y </w:t>
      </w:r>
      <w:proofErr w:type="gramStart"/>
      <w:r w:rsidRPr="007464A9">
        <w:rPr>
          <w:rFonts w:ascii="ITC Avant Garde" w:eastAsia="Calibri" w:hAnsi="ITC Avant Garde" w:cs="Arial"/>
          <w:i/>
          <w:sz w:val="18"/>
          <w:szCs w:val="18"/>
        </w:rPr>
        <w:t>nueve punto</w:t>
      </w:r>
      <w:proofErr w:type="gramEnd"/>
      <w:r w:rsidRPr="007464A9">
        <w:rPr>
          <w:rFonts w:ascii="ITC Avant Garde" w:eastAsia="Calibri" w:hAnsi="ITC Avant Garde" w:cs="Arial"/>
          <w:i/>
          <w:sz w:val="18"/>
          <w:szCs w:val="18"/>
        </w:rPr>
        <w:t xml:space="preserve"> cinco por ciento) durante el mes calendario.</w:t>
      </w:r>
    </w:p>
    <w:p w14:paraId="7C886E1A" w14:textId="77777777" w:rsidR="009D64E3" w:rsidRDefault="009D64E3" w:rsidP="00E87D60">
      <w:pPr>
        <w:spacing w:after="0" w:line="276" w:lineRule="auto"/>
        <w:ind w:left="-284" w:right="615"/>
        <w:rPr>
          <w:rFonts w:ascii="ITC Avant Garde" w:eastAsia="Calibri" w:hAnsi="ITC Avant Garde" w:cs="Arial"/>
          <w:i/>
          <w:sz w:val="18"/>
          <w:szCs w:val="18"/>
        </w:rPr>
      </w:pPr>
      <w:r w:rsidRPr="007464A9">
        <w:rPr>
          <w:rFonts w:ascii="ITC Avant Garde" w:eastAsia="Calibri" w:hAnsi="ITC Avant Garde" w:cs="Arial"/>
          <w:i/>
          <w:sz w:val="18"/>
          <w:szCs w:val="18"/>
        </w:rPr>
        <w:t xml:space="preserve">La disponibilidad del nivel de servicio de la plataforma se medirá con base a los servicios integrales proporcionados por la misma. Compensación a favor del OMV: será la diferencia del 99.5% (noventa y </w:t>
      </w:r>
      <w:proofErr w:type="gramStart"/>
      <w:r w:rsidRPr="007464A9">
        <w:rPr>
          <w:rFonts w:ascii="ITC Avant Garde" w:eastAsia="Calibri" w:hAnsi="ITC Avant Garde" w:cs="Arial"/>
          <w:i/>
          <w:sz w:val="18"/>
          <w:szCs w:val="18"/>
        </w:rPr>
        <w:t>nueve punto</w:t>
      </w:r>
      <w:proofErr w:type="gramEnd"/>
      <w:r w:rsidRPr="007464A9">
        <w:rPr>
          <w:rFonts w:ascii="ITC Avant Garde" w:eastAsia="Calibri" w:hAnsi="ITC Avant Garde" w:cs="Arial"/>
          <w:i/>
          <w:sz w:val="18"/>
          <w:szCs w:val="18"/>
        </w:rPr>
        <w:t xml:space="preserve"> cinco por ciento) frente al porcentaje total de funcionamiento durante el mes calendario. Esa diferencia se multiplicará por </w:t>
      </w:r>
      <w:r w:rsidRPr="00FB2790">
        <w:rPr>
          <w:rFonts w:ascii="ITC Avant Garde" w:eastAsia="Calibri" w:hAnsi="ITC Avant Garde" w:cs="Arial"/>
          <w:i/>
          <w:sz w:val="18"/>
          <w:szCs w:val="18"/>
          <w:u w:val="single"/>
        </w:rPr>
        <w:t>3 (tres) veces</w:t>
      </w:r>
      <w:r w:rsidRPr="007464A9">
        <w:rPr>
          <w:rFonts w:ascii="ITC Avant Garde" w:eastAsia="Calibri" w:hAnsi="ITC Avant Garde" w:cs="Arial"/>
          <w:i/>
          <w:sz w:val="18"/>
          <w:szCs w:val="18"/>
        </w:rPr>
        <w:t xml:space="preserve"> las horas correspondientes a la falta de disponibilidad respecto al 99.5% (noventa y </w:t>
      </w:r>
      <w:proofErr w:type="gramStart"/>
      <w:r w:rsidRPr="007464A9">
        <w:rPr>
          <w:rFonts w:ascii="ITC Avant Garde" w:eastAsia="Calibri" w:hAnsi="ITC Avant Garde" w:cs="Arial"/>
          <w:i/>
          <w:sz w:val="18"/>
          <w:szCs w:val="18"/>
        </w:rPr>
        <w:t>nueve punto</w:t>
      </w:r>
      <w:proofErr w:type="gramEnd"/>
      <w:r w:rsidRPr="007464A9">
        <w:rPr>
          <w:rFonts w:ascii="ITC Avant Garde" w:eastAsia="Calibri" w:hAnsi="ITC Avant Garde" w:cs="Arial"/>
          <w:i/>
          <w:sz w:val="18"/>
          <w:szCs w:val="18"/>
        </w:rPr>
        <w:t xml:space="preserve"> cinco por ciento) y se aplicará la reducción proporcional del cobro dentro del periodo de facturación posterior a aquél en que la misma sea exigible.</w:t>
      </w:r>
      <w:r>
        <w:rPr>
          <w:rFonts w:ascii="ITC Avant Garde" w:eastAsia="Calibri" w:hAnsi="ITC Avant Garde" w:cs="Arial"/>
          <w:i/>
          <w:sz w:val="18"/>
          <w:szCs w:val="18"/>
        </w:rPr>
        <w:t>”</w:t>
      </w:r>
    </w:p>
    <w:p w14:paraId="18F4D7FB" w14:textId="77777777" w:rsidR="009D64E3" w:rsidRDefault="009D64E3" w:rsidP="00E87D60">
      <w:pPr>
        <w:spacing w:after="0" w:line="276" w:lineRule="auto"/>
        <w:ind w:left="-284" w:right="615"/>
        <w:jc w:val="right"/>
        <w:rPr>
          <w:rFonts w:ascii="ITC Avant Garde" w:eastAsia="Calibri" w:hAnsi="ITC Avant Garde" w:cs="Arial"/>
          <w:sz w:val="18"/>
          <w:szCs w:val="18"/>
        </w:rPr>
      </w:pPr>
      <w:r w:rsidRPr="00684AB9">
        <w:rPr>
          <w:rFonts w:ascii="ITC Avant Garde" w:eastAsia="Calibri" w:hAnsi="ITC Avant Garde" w:cs="Arial"/>
          <w:sz w:val="18"/>
          <w:szCs w:val="18"/>
        </w:rPr>
        <w:t>Énfasis añadido</w:t>
      </w:r>
    </w:p>
    <w:p w14:paraId="040E6778" w14:textId="77777777" w:rsidR="009D64E3" w:rsidRDefault="009D64E3" w:rsidP="00E87D60">
      <w:pPr>
        <w:spacing w:after="0" w:line="276" w:lineRule="auto"/>
        <w:ind w:left="-284" w:right="615"/>
        <w:jc w:val="right"/>
        <w:rPr>
          <w:rFonts w:ascii="ITC Avant Garde" w:eastAsia="Calibri" w:hAnsi="ITC Avant Garde" w:cs="Arial"/>
          <w:sz w:val="18"/>
          <w:szCs w:val="18"/>
        </w:rPr>
      </w:pPr>
    </w:p>
    <w:p w14:paraId="17F8875E" w14:textId="77777777" w:rsidR="009D64E3" w:rsidRDefault="009D64E3" w:rsidP="00E87D60">
      <w:pPr>
        <w:spacing w:after="0" w:line="276" w:lineRule="auto"/>
        <w:ind w:left="-284" w:right="615"/>
        <w:jc w:val="right"/>
        <w:rPr>
          <w:rFonts w:ascii="ITC Avant Garde" w:eastAsia="Calibri" w:hAnsi="ITC Avant Garde" w:cs="Arial"/>
          <w:sz w:val="18"/>
          <w:szCs w:val="18"/>
        </w:rPr>
      </w:pPr>
    </w:p>
    <w:p w14:paraId="1EBFDB5B" w14:textId="211D41E9" w:rsidR="00827D07" w:rsidRDefault="00827D07" w:rsidP="002A524D">
      <w:pPr>
        <w:spacing w:after="0" w:line="276" w:lineRule="auto"/>
        <w:ind w:left="-851" w:right="49"/>
        <w:rPr>
          <w:rFonts w:ascii="ITC Avant Garde" w:hAnsi="ITC Avant Garde"/>
          <w:b/>
          <w:color w:val="auto"/>
        </w:rPr>
      </w:pPr>
      <w:r>
        <w:rPr>
          <w:rFonts w:ascii="ITC Avant Garde" w:hAnsi="ITC Avant Garde"/>
          <w:b/>
          <w:color w:val="auto"/>
        </w:rPr>
        <w:lastRenderedPageBreak/>
        <w:t xml:space="preserve">ANEXO XVI </w:t>
      </w:r>
      <w:r w:rsidR="004967DB">
        <w:rPr>
          <w:rFonts w:ascii="ITC Avant Garde" w:hAnsi="ITC Avant Garde"/>
          <w:b/>
          <w:color w:val="auto"/>
        </w:rPr>
        <w:t>CONVENIO MARCO</w:t>
      </w:r>
    </w:p>
    <w:p w14:paraId="60488792" w14:textId="39D61928" w:rsidR="00013C76" w:rsidRPr="005E5201" w:rsidRDefault="00013C76" w:rsidP="002A524D">
      <w:pPr>
        <w:spacing w:after="0" w:line="276" w:lineRule="auto"/>
        <w:ind w:left="-851" w:right="0" w:firstLine="0"/>
        <w:rPr>
          <w:rFonts w:ascii="ITC Avant Garde" w:hAnsi="ITC Avant Garde"/>
          <w:b/>
        </w:rPr>
      </w:pPr>
      <w:r>
        <w:rPr>
          <w:rFonts w:ascii="ITC Avant Garde" w:hAnsi="ITC Avant Garde"/>
          <w:b/>
          <w:color w:val="auto"/>
          <w:u w:val="single"/>
        </w:rPr>
        <w:t>4.1.2 Vigencia de las Tarifas</w:t>
      </w:r>
    </w:p>
    <w:p w14:paraId="5985C727" w14:textId="714FCB75" w:rsidR="00013C76" w:rsidRPr="005B36F9" w:rsidRDefault="00013C76" w:rsidP="002A524D">
      <w:pPr>
        <w:spacing w:after="0" w:line="276" w:lineRule="auto"/>
        <w:ind w:left="-851" w:right="0" w:firstLine="0"/>
        <w:rPr>
          <w:rFonts w:ascii="ITC Avant Garde" w:hAnsi="ITC Avant Garde"/>
          <w:b/>
          <w:color w:val="auto"/>
        </w:rPr>
      </w:pPr>
      <w:r>
        <w:rPr>
          <w:rFonts w:ascii="ITC Avant Garde" w:hAnsi="ITC Avant Garde"/>
          <w:b/>
          <w:color w:val="auto"/>
        </w:rPr>
        <w:t>Axtel</w:t>
      </w:r>
      <w:r w:rsidR="00C923B3">
        <w:rPr>
          <w:rFonts w:ascii="ITC Avant Garde" w:hAnsi="ITC Avant Garde"/>
          <w:b/>
          <w:color w:val="auto"/>
        </w:rPr>
        <w:t>, CANIETI</w:t>
      </w:r>
      <w:r w:rsidRPr="005B36F9">
        <w:rPr>
          <w:rFonts w:ascii="ITC Avant Garde" w:hAnsi="ITC Avant Garde"/>
          <w:b/>
          <w:color w:val="auto"/>
        </w:rPr>
        <w:t>:</w:t>
      </w:r>
    </w:p>
    <w:p w14:paraId="7C35F835" w14:textId="5AF99586" w:rsidR="00013C76" w:rsidRDefault="00013C76" w:rsidP="002A524D">
      <w:pPr>
        <w:spacing w:after="0" w:line="276" w:lineRule="auto"/>
        <w:ind w:left="-851" w:right="0"/>
        <w:rPr>
          <w:rFonts w:ascii="ITC Avant Garde" w:hAnsi="ITC Avant Garde"/>
          <w:color w:val="auto"/>
        </w:rPr>
      </w:pPr>
      <w:r>
        <w:rPr>
          <w:rFonts w:ascii="ITC Avant Garde" w:hAnsi="ITC Avant Garde"/>
          <w:color w:val="auto"/>
        </w:rPr>
        <w:t>Solicita</w:t>
      </w:r>
      <w:r w:rsidR="00C923B3">
        <w:rPr>
          <w:rFonts w:ascii="ITC Avant Garde" w:hAnsi="ITC Avant Garde"/>
          <w:color w:val="auto"/>
        </w:rPr>
        <w:t>n</w:t>
      </w:r>
      <w:r>
        <w:rPr>
          <w:rFonts w:ascii="ITC Avant Garde" w:hAnsi="ITC Avant Garde"/>
          <w:color w:val="auto"/>
        </w:rPr>
        <w:t xml:space="preserve"> que se garantice el derecho del OMV en mantener el esquema tarifario que se tenga acordado con independencia de los ajustes que publique el AEP.</w:t>
      </w:r>
      <w:r w:rsidR="00DC79E1">
        <w:rPr>
          <w:rFonts w:ascii="ITC Avant Garde" w:hAnsi="ITC Avant Garde"/>
          <w:color w:val="auto"/>
        </w:rPr>
        <w:t xml:space="preserve"> Por lo anterior, propone sustituir el término “supeditado en todo momento a la existencia de Tarifas vigentes” por “supeditado en todo momento a la existencia del Convenio que se mantenga vigente”.</w:t>
      </w:r>
    </w:p>
    <w:p w14:paraId="619ACAC4" w14:textId="5F0DE832" w:rsidR="00FB3352" w:rsidRDefault="00FB3352" w:rsidP="002A524D">
      <w:pPr>
        <w:spacing w:after="0" w:line="276" w:lineRule="auto"/>
        <w:ind w:left="-851" w:right="0"/>
        <w:rPr>
          <w:rFonts w:ascii="ITC Avant Garde" w:hAnsi="ITC Avant Garde"/>
          <w:color w:val="auto"/>
        </w:rPr>
      </w:pPr>
    </w:p>
    <w:p w14:paraId="642245D0" w14:textId="77777777" w:rsidR="00FB3352" w:rsidRDefault="00FB3352" w:rsidP="002A524D">
      <w:pPr>
        <w:spacing w:after="0" w:line="276" w:lineRule="auto"/>
        <w:ind w:left="-851"/>
        <w:rPr>
          <w:rFonts w:ascii="ITC Avant Garde" w:eastAsia="Calibri" w:hAnsi="ITC Avant Garde" w:cs="Arial"/>
        </w:rPr>
      </w:pPr>
      <w:r w:rsidRPr="00343A4F">
        <w:rPr>
          <w:rFonts w:ascii="ITC Avant Garde" w:hAnsi="ITC Avant Garde"/>
          <w:b/>
          <w:color w:val="auto"/>
        </w:rPr>
        <w:t>Consideraciones del Instituto</w:t>
      </w:r>
    </w:p>
    <w:p w14:paraId="695CC100" w14:textId="2353C26E" w:rsidR="00FB3352" w:rsidRDefault="00FB3352" w:rsidP="002A524D">
      <w:pPr>
        <w:pStyle w:val="NormalWeb"/>
        <w:spacing w:before="0" w:beforeAutospacing="0" w:after="0" w:afterAutospacing="0" w:line="276" w:lineRule="auto"/>
        <w:ind w:left="-851"/>
        <w:jc w:val="both"/>
        <w:rPr>
          <w:rFonts w:ascii="ITC Avant Garde" w:hAnsi="ITC Avant Garde" w:cs="Arial"/>
          <w:snapToGrid w:val="0"/>
          <w:sz w:val="22"/>
          <w:szCs w:val="22"/>
        </w:rPr>
      </w:pPr>
      <w:r w:rsidRPr="00AD2A2F">
        <w:rPr>
          <w:rFonts w:ascii="ITC Avant Garde" w:hAnsi="ITC Avant Garde" w:cs="Arial"/>
          <w:snapToGrid w:val="0"/>
          <w:sz w:val="22"/>
          <w:szCs w:val="22"/>
        </w:rPr>
        <w:t>Con el fin de brindar certidumbre a los concesionarios respecto a la prestación de los servicios</w:t>
      </w:r>
      <w:r>
        <w:rPr>
          <w:rFonts w:ascii="ITC Avant Garde" w:hAnsi="ITC Avant Garde" w:cs="Arial"/>
          <w:snapToGrid w:val="0"/>
          <w:sz w:val="22"/>
          <w:szCs w:val="22"/>
        </w:rPr>
        <w:t>, en el numeral 4.1.2 se precisó</w:t>
      </w:r>
      <w:r w:rsidRPr="00AD2A2F">
        <w:rPr>
          <w:rFonts w:ascii="ITC Avant Garde" w:hAnsi="ITC Avant Garde" w:cs="Arial"/>
          <w:snapToGrid w:val="0"/>
          <w:sz w:val="22"/>
          <w:szCs w:val="22"/>
        </w:rPr>
        <w:t xml:space="preserve"> que la prestación de los servicios estará supeditada a la existencia de un convenio vigente en vez de la </w:t>
      </w:r>
      <w:r w:rsidR="00832A5F">
        <w:rPr>
          <w:rFonts w:ascii="ITC Avant Garde" w:hAnsi="ITC Avant Garde" w:cs="Arial"/>
          <w:snapToGrid w:val="0"/>
          <w:sz w:val="22"/>
          <w:szCs w:val="22"/>
        </w:rPr>
        <w:t>existencia de tarifas vigentes, tal como se muestra a continuación:</w:t>
      </w:r>
    </w:p>
    <w:p w14:paraId="266501B5" w14:textId="77777777" w:rsidR="00FB3352" w:rsidRDefault="00FB3352" w:rsidP="00E87D60">
      <w:pPr>
        <w:pStyle w:val="NormalWeb"/>
        <w:spacing w:before="0" w:beforeAutospacing="0" w:after="0" w:afterAutospacing="0" w:line="276" w:lineRule="auto"/>
        <w:ind w:left="-284"/>
        <w:jc w:val="both"/>
        <w:rPr>
          <w:rFonts w:ascii="ITC Avant Garde" w:hAnsi="ITC Avant Garde" w:cs="Arial"/>
          <w:snapToGrid w:val="0"/>
          <w:sz w:val="22"/>
          <w:szCs w:val="22"/>
        </w:rPr>
      </w:pPr>
    </w:p>
    <w:p w14:paraId="0BFF3507" w14:textId="77777777" w:rsidR="00FB3352" w:rsidRPr="00170D79" w:rsidRDefault="00FB3352" w:rsidP="00E87D60">
      <w:pPr>
        <w:spacing w:after="0" w:line="276" w:lineRule="auto"/>
        <w:ind w:left="-284" w:right="615"/>
        <w:rPr>
          <w:rFonts w:ascii="ITC Avant Garde" w:eastAsia="Calibri" w:hAnsi="ITC Avant Garde" w:cs="Arial"/>
          <w:i/>
          <w:sz w:val="18"/>
          <w:szCs w:val="18"/>
        </w:rPr>
      </w:pPr>
      <w:r>
        <w:rPr>
          <w:rFonts w:ascii="ITC Avant Garde" w:eastAsia="Calibri" w:hAnsi="ITC Avant Garde" w:cs="Arial"/>
          <w:i/>
          <w:sz w:val="18"/>
          <w:szCs w:val="18"/>
        </w:rPr>
        <w:t>“</w:t>
      </w:r>
      <w:r w:rsidRPr="00170D79">
        <w:rPr>
          <w:rFonts w:ascii="ITC Avant Garde" w:eastAsia="Calibri" w:hAnsi="ITC Avant Garde" w:cs="Arial"/>
          <w:i/>
          <w:sz w:val="18"/>
          <w:szCs w:val="18"/>
        </w:rPr>
        <w:t>4.1.2 VIGENCIA DE LAS TARIFAS.</w:t>
      </w:r>
    </w:p>
    <w:p w14:paraId="58A210D4" w14:textId="77777777" w:rsidR="00FB3352" w:rsidRPr="00170D79" w:rsidRDefault="00FB3352" w:rsidP="00E87D60">
      <w:pPr>
        <w:spacing w:after="0" w:line="276" w:lineRule="auto"/>
        <w:ind w:left="-284" w:right="615"/>
        <w:rPr>
          <w:rFonts w:ascii="ITC Avant Garde" w:eastAsia="Calibri" w:hAnsi="ITC Avant Garde" w:cs="Arial"/>
          <w:i/>
          <w:sz w:val="18"/>
          <w:szCs w:val="18"/>
        </w:rPr>
      </w:pPr>
    </w:p>
    <w:p w14:paraId="5C6C7333" w14:textId="77777777" w:rsidR="00FB3352" w:rsidRDefault="00FB3352" w:rsidP="00E87D60">
      <w:pPr>
        <w:spacing w:after="0" w:line="276" w:lineRule="auto"/>
        <w:ind w:left="-284" w:right="615"/>
        <w:rPr>
          <w:rFonts w:ascii="ITC Avant Garde" w:eastAsia="Calibri" w:hAnsi="ITC Avant Garde" w:cs="Arial"/>
          <w:i/>
          <w:sz w:val="18"/>
          <w:szCs w:val="18"/>
        </w:rPr>
      </w:pPr>
      <w:r w:rsidRPr="00170D79">
        <w:rPr>
          <w:rFonts w:ascii="ITC Avant Garde" w:eastAsia="Calibri" w:hAnsi="ITC Avant Garde" w:cs="Arial"/>
          <w:i/>
          <w:sz w:val="18"/>
          <w:szCs w:val="18"/>
        </w:rPr>
        <w:t xml:space="preserve">Telcel y el OMV están de acuerdo y reconocen que la vigencia de las Tarifas será aquella que las Partes convengan para determinado periodo, conforme se establezca en el Anexo A Precios y Tarifas del Convenio. En relación con lo anterior, queda entendido y aceptado que la prestación de los Servicios de la Oferta estará supeditada en todo momento a la existencia </w:t>
      </w:r>
      <w:r w:rsidRPr="00170D79">
        <w:rPr>
          <w:rFonts w:ascii="ITC Avant Garde" w:eastAsia="Calibri" w:hAnsi="ITC Avant Garde" w:cs="Arial"/>
          <w:i/>
          <w:strike/>
          <w:sz w:val="18"/>
          <w:szCs w:val="18"/>
        </w:rPr>
        <w:t>de Tarifas vigentes</w:t>
      </w:r>
      <w:r>
        <w:rPr>
          <w:rFonts w:ascii="ITC Avant Garde" w:eastAsia="Calibri" w:hAnsi="ITC Avant Garde" w:cs="Arial"/>
          <w:i/>
          <w:sz w:val="18"/>
          <w:szCs w:val="18"/>
        </w:rPr>
        <w:t xml:space="preserve"> </w:t>
      </w:r>
      <w:r w:rsidRPr="00170D79">
        <w:rPr>
          <w:rFonts w:ascii="ITC Avant Garde" w:eastAsia="Calibri" w:hAnsi="ITC Avant Garde" w:cs="Arial"/>
          <w:i/>
          <w:sz w:val="18"/>
          <w:szCs w:val="18"/>
          <w:u w:val="single"/>
        </w:rPr>
        <w:t>del Convenio vigente</w:t>
      </w:r>
      <w:r w:rsidRPr="00170D79">
        <w:rPr>
          <w:rFonts w:ascii="ITC Avant Garde" w:eastAsia="Calibri" w:hAnsi="ITC Avant Garde" w:cs="Arial"/>
          <w:i/>
          <w:sz w:val="18"/>
          <w:szCs w:val="18"/>
        </w:rPr>
        <w:t>.</w:t>
      </w:r>
    </w:p>
    <w:p w14:paraId="478C51BB" w14:textId="77777777" w:rsidR="00FB3352" w:rsidRPr="00170D79" w:rsidRDefault="00FB3352" w:rsidP="00E87D60">
      <w:pPr>
        <w:spacing w:after="0" w:line="276" w:lineRule="auto"/>
        <w:ind w:left="-284" w:right="615"/>
        <w:rPr>
          <w:rFonts w:ascii="ITC Avant Garde" w:eastAsia="Calibri" w:hAnsi="ITC Avant Garde" w:cs="Arial"/>
          <w:i/>
          <w:sz w:val="18"/>
          <w:szCs w:val="18"/>
        </w:rPr>
      </w:pPr>
      <w:r>
        <w:rPr>
          <w:rFonts w:ascii="ITC Avant Garde" w:eastAsia="Calibri" w:hAnsi="ITC Avant Garde" w:cs="Arial"/>
          <w:i/>
          <w:sz w:val="18"/>
          <w:szCs w:val="18"/>
        </w:rPr>
        <w:t>(…)”</w:t>
      </w:r>
    </w:p>
    <w:p w14:paraId="6D28437B" w14:textId="77777777" w:rsidR="00FB3352" w:rsidRPr="007464A9" w:rsidRDefault="00FB3352" w:rsidP="00E87D60">
      <w:pPr>
        <w:spacing w:after="0" w:line="276" w:lineRule="auto"/>
        <w:ind w:left="-284" w:right="615"/>
        <w:jc w:val="right"/>
        <w:rPr>
          <w:rFonts w:ascii="ITC Avant Garde" w:eastAsia="Calibri" w:hAnsi="ITC Avant Garde" w:cs="Arial"/>
          <w:i/>
          <w:sz w:val="18"/>
          <w:szCs w:val="18"/>
        </w:rPr>
      </w:pPr>
      <w:r w:rsidRPr="00684AB9">
        <w:rPr>
          <w:rFonts w:ascii="ITC Avant Garde" w:eastAsia="Calibri" w:hAnsi="ITC Avant Garde" w:cs="Arial"/>
          <w:sz w:val="18"/>
          <w:szCs w:val="18"/>
        </w:rPr>
        <w:t>Énfasis añadido</w:t>
      </w:r>
    </w:p>
    <w:p w14:paraId="37343E73" w14:textId="77777777" w:rsidR="00013C76" w:rsidRPr="005E5201" w:rsidRDefault="00013C76" w:rsidP="002A524D">
      <w:pPr>
        <w:spacing w:after="0" w:line="276" w:lineRule="auto"/>
        <w:ind w:left="-851" w:right="49"/>
        <w:rPr>
          <w:rFonts w:ascii="ITC Avant Garde" w:hAnsi="ITC Avant Garde"/>
          <w:b/>
          <w:color w:val="auto"/>
          <w:u w:val="single"/>
        </w:rPr>
      </w:pPr>
    </w:p>
    <w:p w14:paraId="7976834C" w14:textId="77777777" w:rsidR="00C853BD" w:rsidRPr="005E5201" w:rsidRDefault="00C853BD" w:rsidP="002A524D">
      <w:pPr>
        <w:spacing w:after="0" w:line="276" w:lineRule="auto"/>
        <w:ind w:left="-851" w:right="0" w:firstLine="0"/>
        <w:rPr>
          <w:rFonts w:ascii="ITC Avant Garde" w:hAnsi="ITC Avant Garde"/>
          <w:b/>
        </w:rPr>
      </w:pPr>
      <w:r w:rsidRPr="005000A5">
        <w:rPr>
          <w:rFonts w:ascii="ITC Avant Garde" w:hAnsi="ITC Avant Garde"/>
          <w:b/>
          <w:color w:val="auto"/>
          <w:u w:val="single"/>
        </w:rPr>
        <w:t xml:space="preserve">4.3.1.1 Garantías Aplicables al Esquema de </w:t>
      </w:r>
      <w:proofErr w:type="spellStart"/>
      <w:r w:rsidRPr="005000A5">
        <w:rPr>
          <w:rFonts w:ascii="ITC Avant Garde" w:hAnsi="ITC Avant Garde"/>
          <w:b/>
          <w:color w:val="auto"/>
          <w:u w:val="single"/>
        </w:rPr>
        <w:t>Pospago</w:t>
      </w:r>
      <w:proofErr w:type="spellEnd"/>
      <w:r>
        <w:rPr>
          <w:rFonts w:ascii="ITC Avant Garde" w:hAnsi="ITC Avant Garde"/>
          <w:b/>
          <w:color w:val="auto"/>
          <w:u w:val="single"/>
        </w:rPr>
        <w:t xml:space="preserve"> </w:t>
      </w:r>
    </w:p>
    <w:p w14:paraId="2B279331" w14:textId="58BBE647" w:rsidR="00C853BD" w:rsidRPr="005B36F9" w:rsidRDefault="00C853BD" w:rsidP="002A524D">
      <w:pPr>
        <w:spacing w:after="0" w:line="276" w:lineRule="auto"/>
        <w:ind w:left="-851" w:right="0" w:firstLine="0"/>
        <w:rPr>
          <w:rFonts w:ascii="ITC Avant Garde" w:hAnsi="ITC Avant Garde"/>
          <w:b/>
          <w:color w:val="auto"/>
        </w:rPr>
      </w:pPr>
      <w:r>
        <w:rPr>
          <w:rFonts w:ascii="ITC Avant Garde" w:hAnsi="ITC Avant Garde"/>
          <w:b/>
          <w:color w:val="auto"/>
        </w:rPr>
        <w:t>Televisa</w:t>
      </w:r>
      <w:r w:rsidR="00CA5843">
        <w:rPr>
          <w:rFonts w:ascii="ITC Avant Garde" w:hAnsi="ITC Avant Garde"/>
          <w:b/>
          <w:color w:val="auto"/>
        </w:rPr>
        <w:t>, CANIETI</w:t>
      </w:r>
      <w:r w:rsidRPr="005B36F9">
        <w:rPr>
          <w:rFonts w:ascii="ITC Avant Garde" w:hAnsi="ITC Avant Garde"/>
          <w:b/>
          <w:color w:val="auto"/>
        </w:rPr>
        <w:t>:</w:t>
      </w:r>
    </w:p>
    <w:p w14:paraId="538F648C" w14:textId="23A5C07E" w:rsidR="00C853BD" w:rsidRDefault="00C853BD" w:rsidP="00091C84">
      <w:pPr>
        <w:spacing w:line="276" w:lineRule="auto"/>
        <w:ind w:left="0" w:right="0"/>
        <w:rPr>
          <w:rFonts w:ascii="ITC Avant Garde" w:hAnsi="ITC Avant Garde"/>
        </w:rPr>
      </w:pPr>
    </w:p>
    <w:p w14:paraId="42B3F74D" w14:textId="4571E6EB" w:rsidR="00466BBB" w:rsidRDefault="00466BBB" w:rsidP="00091C84">
      <w:pPr>
        <w:spacing w:after="0" w:line="276" w:lineRule="auto"/>
        <w:ind w:left="-851" w:right="0"/>
        <w:rPr>
          <w:rFonts w:ascii="ITC Avant Garde" w:hAnsi="ITC Avant Garde"/>
          <w:color w:val="auto"/>
        </w:rPr>
      </w:pPr>
      <w:r>
        <w:rPr>
          <w:rFonts w:ascii="ITC Avant Garde" w:hAnsi="ITC Avant Garde"/>
          <w:color w:val="auto"/>
        </w:rPr>
        <w:t>Solicita</w:t>
      </w:r>
      <w:r w:rsidR="00CA5843">
        <w:rPr>
          <w:rFonts w:ascii="ITC Avant Garde" w:hAnsi="ITC Avant Garde"/>
          <w:color w:val="auto"/>
        </w:rPr>
        <w:t>n</w:t>
      </w:r>
      <w:r>
        <w:rPr>
          <w:rFonts w:ascii="ITC Avant Garde" w:hAnsi="ITC Avant Garde"/>
          <w:color w:val="auto"/>
        </w:rPr>
        <w:t xml:space="preserve"> que sean modificadas las siguientes condiciones para alinear el proceso con las mejores prácticas internacionales:</w:t>
      </w:r>
    </w:p>
    <w:p w14:paraId="0D2329E8" w14:textId="77777777" w:rsidR="00466BBB" w:rsidRDefault="00466BBB" w:rsidP="00091C84">
      <w:pPr>
        <w:spacing w:after="0" w:line="276" w:lineRule="auto"/>
        <w:ind w:left="0" w:right="0" w:firstLine="0"/>
        <w:rPr>
          <w:rFonts w:ascii="ITC Avant Garde" w:hAnsi="ITC Avant Garde"/>
          <w:color w:val="auto"/>
        </w:rPr>
      </w:pPr>
    </w:p>
    <w:p w14:paraId="190B5019" w14:textId="77777777" w:rsidR="00466BBB" w:rsidRDefault="00466BBB" w:rsidP="00091C84">
      <w:pPr>
        <w:pStyle w:val="Prrafodelista"/>
        <w:numPr>
          <w:ilvl w:val="0"/>
          <w:numId w:val="4"/>
        </w:numPr>
        <w:spacing w:after="0" w:line="276" w:lineRule="auto"/>
        <w:ind w:left="0" w:right="0"/>
        <w:rPr>
          <w:rFonts w:ascii="ITC Avant Garde" w:hAnsi="ITC Avant Garde"/>
          <w:color w:val="auto"/>
        </w:rPr>
      </w:pPr>
      <w:r>
        <w:rPr>
          <w:rFonts w:ascii="ITC Avant Garde" w:hAnsi="ITC Avant Garde"/>
          <w:color w:val="auto"/>
        </w:rPr>
        <w:t>Ligar la revisión del monto de la garantía a la facturación generada por el OMV y no a su consumo. Además, recomienda realizar dichas actualizaciones de forma anual para evitar que el OMV tenga que incurrir en gastos innecesarios y gastar demasiado tiempo en gestionar la renovación de las condiciones de la garantía.</w:t>
      </w:r>
    </w:p>
    <w:p w14:paraId="620C8601" w14:textId="77777777" w:rsidR="00466BBB" w:rsidRDefault="00466BBB" w:rsidP="00091C84">
      <w:pPr>
        <w:pStyle w:val="Prrafodelista"/>
        <w:numPr>
          <w:ilvl w:val="0"/>
          <w:numId w:val="4"/>
        </w:numPr>
        <w:spacing w:after="0" w:line="276" w:lineRule="auto"/>
        <w:ind w:left="0" w:right="0"/>
        <w:rPr>
          <w:rFonts w:ascii="ITC Avant Garde" w:hAnsi="ITC Avant Garde"/>
          <w:color w:val="auto"/>
        </w:rPr>
      </w:pPr>
      <w:r>
        <w:rPr>
          <w:rFonts w:ascii="ITC Avant Garde" w:hAnsi="ITC Avant Garde"/>
          <w:color w:val="auto"/>
        </w:rPr>
        <w:t xml:space="preserve">Solicita ampliar el plazo para aumentar o añadir fondos a la garantía a un mínimo de 30 días.  </w:t>
      </w:r>
    </w:p>
    <w:p w14:paraId="28D66B48" w14:textId="77777777" w:rsidR="00466BBB" w:rsidRDefault="00466BBB" w:rsidP="002A524D">
      <w:pPr>
        <w:spacing w:line="276" w:lineRule="auto"/>
        <w:ind w:left="-851" w:right="0"/>
        <w:rPr>
          <w:rFonts w:ascii="ITC Avant Garde" w:hAnsi="ITC Avant Garde"/>
        </w:rPr>
      </w:pPr>
    </w:p>
    <w:p w14:paraId="36106E22" w14:textId="77777777" w:rsidR="00B16513" w:rsidRDefault="00B16513" w:rsidP="002A524D">
      <w:pPr>
        <w:spacing w:after="0" w:line="276" w:lineRule="auto"/>
        <w:ind w:left="-851" w:right="0" w:firstLine="0"/>
        <w:rPr>
          <w:rFonts w:ascii="ITC Avant Garde" w:hAnsi="ITC Avant Garde"/>
          <w:b/>
          <w:color w:val="auto"/>
        </w:rPr>
      </w:pPr>
      <w:r w:rsidRPr="00343A4F">
        <w:rPr>
          <w:rFonts w:ascii="ITC Avant Garde" w:hAnsi="ITC Avant Garde"/>
          <w:b/>
          <w:color w:val="auto"/>
        </w:rPr>
        <w:t xml:space="preserve">Consideraciones del Instituto </w:t>
      </w:r>
    </w:p>
    <w:p w14:paraId="08B64801" w14:textId="6D2C4C91" w:rsidR="0049354D" w:rsidRDefault="0049354D" w:rsidP="002A524D">
      <w:pPr>
        <w:spacing w:after="0" w:line="276" w:lineRule="auto"/>
        <w:ind w:left="-851" w:right="0"/>
        <w:rPr>
          <w:rFonts w:ascii="ITC Avant Garde" w:hAnsi="ITC Avant Garde"/>
          <w:color w:val="auto"/>
        </w:rPr>
      </w:pPr>
      <w:r>
        <w:rPr>
          <w:rFonts w:ascii="ITC Avant Garde" w:hAnsi="ITC Avant Garde"/>
          <w:color w:val="auto"/>
        </w:rPr>
        <w:t>Se señala que el numeral en cuesti</w:t>
      </w:r>
      <w:r w:rsidR="00AA1253">
        <w:rPr>
          <w:rFonts w:ascii="ITC Avant Garde" w:hAnsi="ITC Avant Garde"/>
          <w:color w:val="auto"/>
        </w:rPr>
        <w:t>ón establece que Telcel notificará al OMV</w:t>
      </w:r>
      <w:r w:rsidR="00803DA2">
        <w:rPr>
          <w:rFonts w:ascii="ITC Avant Garde" w:hAnsi="ITC Avant Garde"/>
          <w:color w:val="auto"/>
        </w:rPr>
        <w:t xml:space="preserve"> la necesidad de ajustar la garantía, </w:t>
      </w:r>
      <w:r w:rsidR="002C2E1A">
        <w:rPr>
          <w:rFonts w:ascii="ITC Avant Garde" w:hAnsi="ITC Avant Garde"/>
          <w:color w:val="auto"/>
        </w:rPr>
        <w:t>la cual se realizará en observancia al consumo de los servicios</w:t>
      </w:r>
      <w:r w:rsidR="00803DA2">
        <w:rPr>
          <w:rFonts w:ascii="ITC Avant Garde" w:hAnsi="ITC Avant Garde"/>
          <w:color w:val="auto"/>
        </w:rPr>
        <w:t xml:space="preserve">: </w:t>
      </w:r>
    </w:p>
    <w:p w14:paraId="232BCBB7" w14:textId="5CDDC6DB" w:rsidR="0049354D" w:rsidRDefault="0049354D" w:rsidP="002A524D">
      <w:pPr>
        <w:spacing w:after="0" w:line="276" w:lineRule="auto"/>
        <w:ind w:left="-851" w:right="0"/>
        <w:rPr>
          <w:rFonts w:ascii="ITC Avant Garde" w:hAnsi="ITC Avant Garde"/>
          <w:color w:val="auto"/>
        </w:rPr>
      </w:pPr>
    </w:p>
    <w:p w14:paraId="3319CACC" w14:textId="77777777" w:rsidR="00F411E5" w:rsidRDefault="00AA1253" w:rsidP="00760B36">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 xml:space="preserve">“(…) </w:t>
      </w:r>
      <w:r w:rsidR="0049354D" w:rsidRPr="0049354D">
        <w:rPr>
          <w:rFonts w:ascii="ITC Avant Garde" w:eastAsia="Calibri" w:hAnsi="ITC Avant Garde" w:cs="Arial"/>
          <w:i/>
          <w:color w:val="auto"/>
          <w:sz w:val="18"/>
          <w:szCs w:val="18"/>
          <w:lang w:eastAsia="en-US"/>
        </w:rPr>
        <w:t xml:space="preserve">En caso que la proyección de demanda determinada en el Anexo III Dimensionamiento de la Oferta sea excedida por los consumos de los Servicios de la Oferta en cualquier trimestre en un porcentaje igual o superior al 10% (diez por ciento), </w:t>
      </w:r>
      <w:r w:rsidR="0049354D" w:rsidRPr="00AA1253">
        <w:rPr>
          <w:rFonts w:ascii="ITC Avant Garde" w:eastAsia="Calibri" w:hAnsi="ITC Avant Garde" w:cs="Arial"/>
          <w:i/>
          <w:color w:val="auto"/>
          <w:sz w:val="18"/>
          <w:szCs w:val="18"/>
          <w:u w:val="single"/>
          <w:lang w:eastAsia="en-US"/>
        </w:rPr>
        <w:t>Telcel notificará al OMV en el correo señalado en el numeral 17.1 del Convenio, la obligación de ajustar la Garantía en observancia al consumo efectivo de los Servicios</w:t>
      </w:r>
      <w:r w:rsidR="0049354D" w:rsidRPr="0049354D">
        <w:rPr>
          <w:rFonts w:ascii="ITC Avant Garde" w:eastAsia="Calibri" w:hAnsi="ITC Avant Garde" w:cs="Arial"/>
          <w:i/>
          <w:color w:val="auto"/>
          <w:sz w:val="18"/>
          <w:szCs w:val="18"/>
          <w:lang w:eastAsia="en-US"/>
        </w:rPr>
        <w:t>, y para ello, en el término de 3 (tres) días hábiles posteriores a la recepción del correo, el OMV deberá actualizar la información contenida en el Anexo III Dimensionamiento, con el fin de que Telcel realice el nuevo cálculo del monto de la Garantía, a fin de que éste refleje el valor real de las obligaciones de pago por los Servicios de la Oferta por parte del OMV.</w:t>
      </w:r>
    </w:p>
    <w:p w14:paraId="43229547" w14:textId="1F3AF01A" w:rsidR="0049354D" w:rsidRDefault="00F411E5" w:rsidP="00760B36">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 xml:space="preserve"> (…)”</w:t>
      </w:r>
    </w:p>
    <w:p w14:paraId="0DA66EB5" w14:textId="77777777" w:rsidR="00F411E5" w:rsidRPr="00105996" w:rsidRDefault="00F411E5" w:rsidP="00760B36">
      <w:pPr>
        <w:spacing w:after="0" w:line="276" w:lineRule="auto"/>
        <w:ind w:left="-284"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23EF2E69" w14:textId="77777777" w:rsidR="002C2E1A" w:rsidRDefault="002C2E1A" w:rsidP="002A524D">
      <w:pPr>
        <w:spacing w:after="0" w:line="276" w:lineRule="auto"/>
        <w:ind w:left="-851" w:right="615" w:firstLine="0"/>
        <w:rPr>
          <w:rFonts w:ascii="ITC Avant Garde" w:hAnsi="ITC Avant Garde"/>
          <w:color w:val="auto"/>
        </w:rPr>
      </w:pPr>
    </w:p>
    <w:p w14:paraId="44D45E56" w14:textId="52F6DA1E" w:rsidR="00F411E5" w:rsidRDefault="002C2E1A" w:rsidP="002C2E1A">
      <w:pPr>
        <w:spacing w:after="0" w:line="276" w:lineRule="auto"/>
        <w:ind w:left="-851" w:right="0"/>
        <w:rPr>
          <w:rFonts w:ascii="ITC Avant Garde" w:hAnsi="ITC Avant Garde"/>
          <w:color w:val="auto"/>
        </w:rPr>
      </w:pPr>
      <w:r>
        <w:rPr>
          <w:rFonts w:ascii="ITC Avant Garde" w:hAnsi="ITC Avant Garde"/>
          <w:color w:val="auto"/>
        </w:rPr>
        <w:t xml:space="preserve">Es importante precisar </w:t>
      </w:r>
      <w:r w:rsidRPr="002C2E1A">
        <w:rPr>
          <w:rFonts w:ascii="ITC Avant Garde" w:hAnsi="ITC Avant Garde"/>
          <w:color w:val="auto"/>
        </w:rPr>
        <w:t xml:space="preserve">que la facturación está relacionada </w:t>
      </w:r>
      <w:r>
        <w:rPr>
          <w:rFonts w:ascii="ITC Avant Garde" w:hAnsi="ITC Avant Garde"/>
          <w:color w:val="auto"/>
        </w:rPr>
        <w:t xml:space="preserve">directamente </w:t>
      </w:r>
      <w:r w:rsidRPr="002C2E1A">
        <w:rPr>
          <w:rFonts w:ascii="ITC Avant Garde" w:hAnsi="ITC Avant Garde"/>
          <w:color w:val="auto"/>
        </w:rPr>
        <w:t>con el consumo efectivo de los servicio</w:t>
      </w:r>
      <w:r>
        <w:rPr>
          <w:rFonts w:ascii="ITC Avant Garde" w:hAnsi="ITC Avant Garde"/>
          <w:color w:val="auto"/>
        </w:rPr>
        <w:t>s.</w:t>
      </w:r>
    </w:p>
    <w:p w14:paraId="631A935A" w14:textId="77777777" w:rsidR="002C2E1A" w:rsidRPr="002C2E1A" w:rsidRDefault="002C2E1A" w:rsidP="002C2E1A">
      <w:pPr>
        <w:spacing w:after="0" w:line="276" w:lineRule="auto"/>
        <w:ind w:left="-851" w:right="0"/>
        <w:rPr>
          <w:rFonts w:ascii="ITC Avant Garde" w:hAnsi="ITC Avant Garde"/>
          <w:color w:val="auto"/>
        </w:rPr>
      </w:pPr>
    </w:p>
    <w:p w14:paraId="3A2E262E" w14:textId="2358FEF5" w:rsidR="00B16513" w:rsidRDefault="00F411E5" w:rsidP="002A524D">
      <w:pPr>
        <w:spacing w:after="0" w:line="276" w:lineRule="auto"/>
        <w:ind w:left="-851" w:right="0"/>
        <w:rPr>
          <w:rFonts w:ascii="ITC Avant Garde" w:hAnsi="ITC Avant Garde"/>
          <w:color w:val="auto"/>
        </w:rPr>
      </w:pPr>
      <w:r>
        <w:rPr>
          <w:rFonts w:ascii="ITC Avant Garde" w:hAnsi="ITC Avant Garde"/>
          <w:color w:val="auto"/>
        </w:rPr>
        <w:t>Asimismo, el numeral también establece que la Garantía será</w:t>
      </w:r>
      <w:r w:rsidR="00B16513">
        <w:rPr>
          <w:rFonts w:ascii="ITC Avant Garde" w:hAnsi="ITC Avant Garde"/>
          <w:color w:val="auto"/>
        </w:rPr>
        <w:t xml:space="preserve"> calculada con base en la facturación de los últim</w:t>
      </w:r>
      <w:r w:rsidR="00105996">
        <w:rPr>
          <w:rFonts w:ascii="ITC Avant Garde" w:hAnsi="ITC Avant Garde"/>
          <w:color w:val="auto"/>
        </w:rPr>
        <w:t xml:space="preserve">os tres meses, tal como </w:t>
      </w:r>
      <w:r>
        <w:rPr>
          <w:rFonts w:ascii="ITC Avant Garde" w:hAnsi="ITC Avant Garde"/>
          <w:color w:val="auto"/>
        </w:rPr>
        <w:t>se muestra a continuación:</w:t>
      </w:r>
    </w:p>
    <w:p w14:paraId="177B82F6" w14:textId="77777777" w:rsidR="00B16513" w:rsidRDefault="00B16513" w:rsidP="002A524D">
      <w:pPr>
        <w:spacing w:after="0" w:line="276" w:lineRule="auto"/>
        <w:ind w:left="-851" w:right="0"/>
        <w:rPr>
          <w:rFonts w:ascii="ITC Avant Garde" w:hAnsi="ITC Avant Garde"/>
          <w:color w:val="auto"/>
        </w:rPr>
      </w:pPr>
    </w:p>
    <w:p w14:paraId="1CA347D3" w14:textId="77777777" w:rsidR="00F411E5" w:rsidRDefault="00B16513" w:rsidP="00760B36">
      <w:pPr>
        <w:spacing w:after="0" w:line="276" w:lineRule="auto"/>
        <w:ind w:left="-284" w:right="615" w:firstLine="0"/>
        <w:rPr>
          <w:rFonts w:ascii="ITC Avant Garde" w:eastAsia="Calibri" w:hAnsi="ITC Avant Garde" w:cs="Arial"/>
          <w:i/>
          <w:color w:val="auto"/>
          <w:sz w:val="18"/>
          <w:szCs w:val="18"/>
          <w:lang w:eastAsia="en-US"/>
        </w:rPr>
      </w:pPr>
      <w:r w:rsidRPr="00105996">
        <w:rPr>
          <w:rFonts w:ascii="ITC Avant Garde" w:eastAsia="Calibri" w:hAnsi="ITC Avant Garde" w:cs="Arial"/>
          <w:i/>
          <w:color w:val="auto"/>
          <w:sz w:val="18"/>
          <w:szCs w:val="18"/>
          <w:lang w:eastAsia="en-US"/>
        </w:rPr>
        <w:t>“</w:t>
      </w:r>
      <w:r w:rsidR="00F411E5">
        <w:rPr>
          <w:rFonts w:ascii="ITC Avant Garde" w:eastAsia="Calibri" w:hAnsi="ITC Avant Garde" w:cs="Arial"/>
          <w:i/>
          <w:color w:val="auto"/>
          <w:sz w:val="18"/>
          <w:szCs w:val="18"/>
          <w:lang w:eastAsia="en-US"/>
        </w:rPr>
        <w:t xml:space="preserve">(…) </w:t>
      </w:r>
      <w:r w:rsidRPr="00105996">
        <w:rPr>
          <w:rFonts w:ascii="ITC Avant Garde" w:eastAsia="Calibri" w:hAnsi="ITC Avant Garde" w:cs="Arial"/>
          <w:i/>
          <w:color w:val="auto"/>
          <w:sz w:val="18"/>
          <w:szCs w:val="18"/>
          <w:lang w:eastAsia="en-US"/>
        </w:rPr>
        <w:t xml:space="preserve">Con motivo de cada aniversario de la firma del presente Convenio, incluyendo el primero, </w:t>
      </w:r>
      <w:r w:rsidRPr="00DC0BDF">
        <w:rPr>
          <w:rFonts w:ascii="ITC Avant Garde" w:eastAsia="Calibri" w:hAnsi="ITC Avant Garde" w:cs="Arial"/>
          <w:i/>
          <w:color w:val="auto"/>
          <w:sz w:val="18"/>
          <w:szCs w:val="18"/>
          <w:u w:val="single"/>
          <w:lang w:eastAsia="en-US"/>
        </w:rPr>
        <w:t>el OMV deberá renovar y actualizar la Garantía por la cantidad equivalente al 120% (ciento veinte por ciento) del valor de los 3 (tres) últimos meses calendario de los Servicios de la Oferta del año inmediato anterior</w:t>
      </w:r>
      <w:r w:rsidRPr="00105996">
        <w:rPr>
          <w:rFonts w:ascii="ITC Avant Garde" w:eastAsia="Calibri" w:hAnsi="ITC Avant Garde" w:cs="Arial"/>
          <w:i/>
          <w:color w:val="auto"/>
          <w:sz w:val="18"/>
          <w:szCs w:val="18"/>
          <w:lang w:eastAsia="en-US"/>
        </w:rPr>
        <w:t xml:space="preserve">, conforme al Anexo III Dimensionamiento de la Oferta que ingresará al SEG para validación de Telcel. El OMV deberá realizar la constitución y entrega de la Garantía actualizada en favor de Telcel, dentro de los 10 (diez) días naturales posteriores a la fecha del aniversario </w:t>
      </w:r>
      <w:r w:rsidR="0049354D">
        <w:rPr>
          <w:rFonts w:ascii="ITC Avant Garde" w:eastAsia="Calibri" w:hAnsi="ITC Avant Garde" w:cs="Arial"/>
          <w:i/>
          <w:color w:val="auto"/>
          <w:sz w:val="18"/>
          <w:szCs w:val="18"/>
          <w:lang w:eastAsia="en-US"/>
        </w:rPr>
        <w:t>respectivo.</w:t>
      </w:r>
    </w:p>
    <w:p w14:paraId="785BDF72" w14:textId="6F919300" w:rsidR="00B16513" w:rsidRPr="00105996" w:rsidRDefault="00F411E5" w:rsidP="00760B36">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0049354D" w:rsidRPr="00105996">
        <w:rPr>
          <w:rFonts w:ascii="ITC Avant Garde" w:eastAsia="Calibri" w:hAnsi="ITC Avant Garde" w:cs="Arial"/>
          <w:i/>
          <w:color w:val="auto"/>
          <w:sz w:val="18"/>
          <w:szCs w:val="18"/>
          <w:lang w:eastAsia="en-US"/>
        </w:rPr>
        <w:t>“</w:t>
      </w:r>
    </w:p>
    <w:p w14:paraId="77980E93" w14:textId="3AB652CB" w:rsidR="00B16513" w:rsidRPr="00105996" w:rsidRDefault="00105996" w:rsidP="002A524D">
      <w:pPr>
        <w:spacing w:after="0" w:line="276" w:lineRule="auto"/>
        <w:ind w:left="-851"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7F9220E6" w14:textId="4ED1FF19" w:rsidR="00DC0BDF" w:rsidRDefault="002C2E1A" w:rsidP="002A524D">
      <w:pPr>
        <w:spacing w:line="276" w:lineRule="auto"/>
        <w:ind w:left="-851" w:right="0"/>
        <w:rPr>
          <w:rFonts w:ascii="ITC Avant Garde" w:hAnsi="ITC Avant Garde"/>
        </w:rPr>
      </w:pPr>
      <w:r>
        <w:rPr>
          <w:rFonts w:ascii="ITC Avant Garde" w:hAnsi="ITC Avant Garde"/>
        </w:rPr>
        <w:t xml:space="preserve">Es así que la garantía no se actualizará hasta que el consumo real lo requiera, así mismo la garantía tiene por objeto cubrir algún evento de </w:t>
      </w:r>
      <w:r w:rsidR="0004326A">
        <w:rPr>
          <w:rFonts w:ascii="ITC Avant Garde" w:hAnsi="ITC Avant Garde"/>
        </w:rPr>
        <w:t>incumplimiento de pago</w:t>
      </w:r>
      <w:r>
        <w:rPr>
          <w:rFonts w:ascii="ITC Avant Garde" w:hAnsi="ITC Avant Garde"/>
        </w:rPr>
        <w:t xml:space="preserve"> por el servicio prestado por lo que de actualizarse anualmente dicha garantía el objetivo de la misma no se cumpliría.</w:t>
      </w:r>
    </w:p>
    <w:p w14:paraId="01DC3129" w14:textId="18ADB6DD" w:rsidR="00DC0BDF" w:rsidRDefault="00DC0BDF" w:rsidP="002A524D">
      <w:pPr>
        <w:spacing w:line="276" w:lineRule="auto"/>
        <w:ind w:left="-851" w:right="0"/>
        <w:rPr>
          <w:rFonts w:ascii="ITC Avant Garde" w:hAnsi="ITC Avant Garde"/>
        </w:rPr>
      </w:pPr>
    </w:p>
    <w:p w14:paraId="22085A0F" w14:textId="5C51AC04" w:rsidR="003F3A52" w:rsidRPr="005E5201" w:rsidRDefault="003F3A52" w:rsidP="002A524D">
      <w:pPr>
        <w:spacing w:after="0" w:line="276" w:lineRule="auto"/>
        <w:ind w:left="-851" w:right="0" w:firstLine="0"/>
        <w:rPr>
          <w:rFonts w:ascii="ITC Avant Garde" w:hAnsi="ITC Avant Garde"/>
          <w:b/>
        </w:rPr>
      </w:pPr>
      <w:r>
        <w:rPr>
          <w:rFonts w:ascii="ITC Avant Garde" w:hAnsi="ITC Avant Garde"/>
          <w:b/>
          <w:color w:val="auto"/>
          <w:u w:val="single"/>
        </w:rPr>
        <w:t>4.4.1</w:t>
      </w:r>
      <w:r w:rsidR="00867211">
        <w:rPr>
          <w:rFonts w:ascii="ITC Avant Garde" w:hAnsi="ITC Avant Garde"/>
          <w:b/>
          <w:color w:val="auto"/>
          <w:u w:val="single"/>
        </w:rPr>
        <w:t xml:space="preserve"> Lugar y Forma de Pago de las Facturas</w:t>
      </w:r>
    </w:p>
    <w:p w14:paraId="3573B137" w14:textId="151426B8" w:rsidR="003F3A52" w:rsidRPr="005B36F9" w:rsidRDefault="003F3A52" w:rsidP="002A524D">
      <w:pPr>
        <w:spacing w:after="0" w:line="276" w:lineRule="auto"/>
        <w:ind w:left="-851" w:right="0" w:firstLine="0"/>
        <w:rPr>
          <w:rFonts w:ascii="ITC Avant Garde" w:hAnsi="ITC Avant Garde"/>
          <w:b/>
          <w:color w:val="auto"/>
        </w:rPr>
      </w:pPr>
      <w:r>
        <w:rPr>
          <w:rFonts w:ascii="ITC Avant Garde" w:hAnsi="ITC Avant Garde"/>
          <w:b/>
          <w:color w:val="auto"/>
        </w:rPr>
        <w:t>Axtel:</w:t>
      </w:r>
    </w:p>
    <w:p w14:paraId="32625490" w14:textId="33700470" w:rsidR="003F3A52" w:rsidRDefault="003F3A52" w:rsidP="002A524D">
      <w:pPr>
        <w:spacing w:after="0" w:line="276" w:lineRule="auto"/>
        <w:ind w:left="-851" w:right="0"/>
        <w:rPr>
          <w:rFonts w:ascii="ITC Avant Garde" w:hAnsi="ITC Avant Garde"/>
          <w:color w:val="auto"/>
        </w:rPr>
      </w:pPr>
      <w:r>
        <w:rPr>
          <w:rFonts w:ascii="ITC Avant Garde" w:hAnsi="ITC Avant Garde"/>
          <w:color w:val="auto"/>
        </w:rPr>
        <w:t>Señala que esta cláusula elimina por completo la posibilidad del OMV de pagar por los montos reconocidos y sin que se tenga que esperar a la resoluci</w:t>
      </w:r>
      <w:r w:rsidR="00867211">
        <w:rPr>
          <w:rFonts w:ascii="ITC Avant Garde" w:hAnsi="ITC Avant Garde"/>
          <w:color w:val="auto"/>
        </w:rPr>
        <w:t>ón del AEP, por lo que solicita la inclusión de la opción de “pago del monto reconocido”.</w:t>
      </w:r>
    </w:p>
    <w:p w14:paraId="6B67109B" w14:textId="7631D01D" w:rsidR="00592906" w:rsidRDefault="00592906" w:rsidP="002A524D">
      <w:pPr>
        <w:spacing w:after="0" w:line="276" w:lineRule="auto"/>
        <w:ind w:left="-851" w:right="0"/>
        <w:rPr>
          <w:rFonts w:ascii="ITC Avant Garde" w:hAnsi="ITC Avant Garde"/>
          <w:color w:val="auto"/>
        </w:rPr>
      </w:pPr>
    </w:p>
    <w:p w14:paraId="6D45C42F" w14:textId="77777777" w:rsidR="00592906" w:rsidRPr="00AB1984" w:rsidRDefault="00592906" w:rsidP="002A524D">
      <w:pPr>
        <w:spacing w:after="0" w:line="276" w:lineRule="auto"/>
        <w:ind w:left="-851" w:right="0" w:firstLine="0"/>
        <w:rPr>
          <w:rFonts w:ascii="ITC Avant Garde" w:hAnsi="ITC Avant Garde"/>
          <w:b/>
          <w:color w:val="auto"/>
        </w:rPr>
      </w:pPr>
      <w:r w:rsidRPr="00AB1984">
        <w:rPr>
          <w:rFonts w:ascii="ITC Avant Garde" w:hAnsi="ITC Avant Garde"/>
          <w:b/>
          <w:color w:val="auto"/>
        </w:rPr>
        <w:t xml:space="preserve">Consideraciones del Instituto </w:t>
      </w:r>
    </w:p>
    <w:p w14:paraId="3C4C671D" w14:textId="35810E98" w:rsidR="002B5E89" w:rsidRPr="00105996" w:rsidRDefault="00AB1984" w:rsidP="002C2E1A">
      <w:pPr>
        <w:spacing w:after="0" w:line="276" w:lineRule="auto"/>
        <w:ind w:left="-851" w:right="0"/>
        <w:rPr>
          <w:rFonts w:ascii="ITC Avant Garde" w:eastAsia="Calibri" w:hAnsi="ITC Avant Garde" w:cs="Arial"/>
          <w:color w:val="auto"/>
          <w:sz w:val="18"/>
          <w:szCs w:val="18"/>
          <w:lang w:eastAsia="en-US"/>
        </w:rPr>
      </w:pPr>
      <w:r w:rsidRPr="00AB1984">
        <w:rPr>
          <w:rFonts w:ascii="ITC Avant Garde" w:hAnsi="ITC Avant Garde"/>
          <w:color w:val="auto"/>
        </w:rPr>
        <w:t>Se señala</w:t>
      </w:r>
      <w:r>
        <w:rPr>
          <w:rFonts w:ascii="ITC Avant Garde" w:hAnsi="ITC Avant Garde"/>
          <w:color w:val="auto"/>
        </w:rPr>
        <w:t xml:space="preserve"> que el OMV tiene la opción de pagar el equivalente al promedio pagado de los 3 últimos meses facturados, por lo que el OMV no está obligado a pagar el tot</w:t>
      </w:r>
      <w:r w:rsidR="002C2E1A">
        <w:rPr>
          <w:rFonts w:ascii="ITC Avant Garde" w:hAnsi="ITC Avant Garde"/>
          <w:color w:val="auto"/>
        </w:rPr>
        <w:t>al de la factura no reconocida.</w:t>
      </w:r>
    </w:p>
    <w:p w14:paraId="185D8E9D" w14:textId="77777777" w:rsidR="002B5E89" w:rsidRPr="002B5E89" w:rsidRDefault="002B5E89" w:rsidP="00760B36">
      <w:pPr>
        <w:spacing w:after="0" w:line="276" w:lineRule="auto"/>
        <w:ind w:left="-284" w:right="615"/>
        <w:rPr>
          <w:rFonts w:ascii="ITC Avant Garde" w:eastAsia="Calibri" w:hAnsi="ITC Avant Garde" w:cs="Arial"/>
          <w:i/>
          <w:sz w:val="18"/>
          <w:szCs w:val="18"/>
        </w:rPr>
      </w:pPr>
    </w:p>
    <w:p w14:paraId="33C9B4E9" w14:textId="56315D2C" w:rsidR="006351A4" w:rsidRDefault="00C57F7E" w:rsidP="002C2E1A">
      <w:pPr>
        <w:spacing w:after="0" w:line="276" w:lineRule="auto"/>
        <w:ind w:left="-851" w:right="0"/>
        <w:rPr>
          <w:rFonts w:ascii="ITC Avant Garde" w:hAnsi="ITC Avant Garde"/>
          <w:color w:val="auto"/>
        </w:rPr>
      </w:pPr>
      <w:r>
        <w:rPr>
          <w:rFonts w:ascii="ITC Avant Garde" w:hAnsi="ITC Avant Garde"/>
          <w:color w:val="auto"/>
        </w:rPr>
        <w:lastRenderedPageBreak/>
        <w:t xml:space="preserve">Asimismo, la </w:t>
      </w:r>
      <w:r w:rsidR="005F75FB">
        <w:rPr>
          <w:rFonts w:ascii="ITC Avant Garde" w:hAnsi="ITC Avant Garde"/>
          <w:color w:val="auto"/>
        </w:rPr>
        <w:t>suspensión de los servicios por falta de pago no operará en caso de que exista una objeción durante un plazo de 30 días naturales</w:t>
      </w:r>
      <w:r w:rsidR="006351A4">
        <w:rPr>
          <w:rFonts w:ascii="ITC Avant Garde" w:hAnsi="ITC Avant Garde"/>
          <w:color w:val="auto"/>
        </w:rPr>
        <w:t>, tal</w:t>
      </w:r>
      <w:r w:rsidR="002C2E1A">
        <w:rPr>
          <w:rFonts w:ascii="ITC Avant Garde" w:hAnsi="ITC Avant Garde"/>
          <w:color w:val="auto"/>
        </w:rPr>
        <w:t xml:space="preserve"> como establece la cláusula 7.3.</w:t>
      </w:r>
    </w:p>
    <w:p w14:paraId="3ED05712" w14:textId="77777777" w:rsidR="002C2E1A" w:rsidRPr="002C2E1A" w:rsidRDefault="002C2E1A" w:rsidP="002C2E1A">
      <w:pPr>
        <w:spacing w:after="0" w:line="276" w:lineRule="auto"/>
        <w:ind w:left="-851" w:right="0"/>
        <w:rPr>
          <w:rFonts w:ascii="ITC Avant Garde" w:hAnsi="ITC Avant Garde"/>
          <w:color w:val="auto"/>
        </w:rPr>
      </w:pPr>
    </w:p>
    <w:p w14:paraId="3F29FAA1" w14:textId="75DCAB15" w:rsidR="006351A4" w:rsidRPr="006351A4" w:rsidRDefault="009E761E" w:rsidP="002A524D">
      <w:pPr>
        <w:spacing w:after="0" w:line="276" w:lineRule="auto"/>
        <w:ind w:left="-851" w:right="0"/>
        <w:rPr>
          <w:rFonts w:ascii="ITC Avant Garde" w:hAnsi="ITC Avant Garde"/>
          <w:color w:val="auto"/>
          <w:lang w:val="es-ES_tradnl"/>
        </w:rPr>
      </w:pPr>
      <w:r>
        <w:rPr>
          <w:rFonts w:ascii="ITC Avant Garde" w:hAnsi="ITC Avant Garde"/>
          <w:color w:val="auto"/>
          <w:lang w:val="es-ES_tradnl"/>
        </w:rPr>
        <w:t xml:space="preserve">Por lo anterior, se observa que la Oferta </w:t>
      </w:r>
      <w:r w:rsidR="002C2E1A">
        <w:rPr>
          <w:rFonts w:ascii="ITC Avant Garde" w:hAnsi="ITC Avant Garde"/>
          <w:color w:val="auto"/>
          <w:lang w:val="es-ES_tradnl"/>
        </w:rPr>
        <w:t>ofrece la posibilidad de pagar por los montos reconocidos, a través del promedio pagado por los últimos tres meses facturados.</w:t>
      </w:r>
    </w:p>
    <w:p w14:paraId="3609CC20" w14:textId="77777777" w:rsidR="00592906" w:rsidRDefault="00592906" w:rsidP="002A524D">
      <w:pPr>
        <w:spacing w:line="276" w:lineRule="auto"/>
        <w:ind w:left="-851" w:right="0"/>
        <w:rPr>
          <w:rFonts w:ascii="ITC Avant Garde" w:hAnsi="ITC Avant Garde"/>
        </w:rPr>
      </w:pPr>
    </w:p>
    <w:p w14:paraId="43281461" w14:textId="77777777" w:rsidR="006347F3" w:rsidRDefault="006347F3" w:rsidP="002A524D">
      <w:pPr>
        <w:spacing w:after="0" w:line="276" w:lineRule="auto"/>
        <w:ind w:left="-851" w:right="0" w:firstLine="0"/>
        <w:rPr>
          <w:rFonts w:ascii="ITC Avant Garde" w:hAnsi="ITC Avant Garde"/>
          <w:b/>
          <w:color w:val="auto"/>
          <w:u w:val="single"/>
        </w:rPr>
      </w:pPr>
      <w:r w:rsidRPr="005374F5">
        <w:rPr>
          <w:rFonts w:ascii="ITC Avant Garde" w:hAnsi="ITC Avant Garde"/>
          <w:b/>
          <w:color w:val="auto"/>
          <w:u w:val="single"/>
        </w:rPr>
        <w:t>5.2.1</w:t>
      </w:r>
    </w:p>
    <w:p w14:paraId="442102B8" w14:textId="6AF8F431" w:rsidR="006347F3" w:rsidRPr="005B36F9" w:rsidRDefault="006347F3" w:rsidP="002A524D">
      <w:pPr>
        <w:spacing w:after="0" w:line="276" w:lineRule="auto"/>
        <w:ind w:left="-851" w:right="0" w:firstLine="0"/>
        <w:rPr>
          <w:rFonts w:ascii="ITC Avant Garde" w:hAnsi="ITC Avant Garde"/>
          <w:b/>
          <w:color w:val="auto"/>
        </w:rPr>
      </w:pPr>
      <w:r w:rsidRPr="005374F5">
        <w:rPr>
          <w:rFonts w:ascii="ITC Avant Garde" w:hAnsi="ITC Avant Garde"/>
          <w:b/>
          <w:color w:val="auto"/>
        </w:rPr>
        <w:t>Televisa</w:t>
      </w:r>
      <w:r w:rsidR="00635A70">
        <w:rPr>
          <w:rFonts w:ascii="ITC Avant Garde" w:hAnsi="ITC Avant Garde"/>
          <w:b/>
          <w:color w:val="auto"/>
        </w:rPr>
        <w:t>, CANIETI</w:t>
      </w:r>
      <w:r w:rsidRPr="005374F5">
        <w:rPr>
          <w:rFonts w:ascii="ITC Avant Garde" w:hAnsi="ITC Avant Garde"/>
          <w:b/>
          <w:color w:val="auto"/>
        </w:rPr>
        <w:t>:</w:t>
      </w:r>
    </w:p>
    <w:p w14:paraId="41722855" w14:textId="6A8E672F" w:rsidR="006347F3" w:rsidRDefault="00CE153E" w:rsidP="002A524D">
      <w:pPr>
        <w:spacing w:after="0" w:line="276" w:lineRule="auto"/>
        <w:ind w:left="-851" w:right="0" w:firstLine="0"/>
        <w:rPr>
          <w:rFonts w:ascii="ITC Avant Garde" w:hAnsi="ITC Avant Garde"/>
          <w:color w:val="auto"/>
        </w:rPr>
      </w:pPr>
      <w:r>
        <w:rPr>
          <w:rFonts w:ascii="ITC Avant Garde" w:hAnsi="ITC Avant Garde"/>
          <w:color w:val="auto"/>
        </w:rPr>
        <w:t>Solicita</w:t>
      </w:r>
      <w:r w:rsidR="00635A70">
        <w:rPr>
          <w:rFonts w:ascii="ITC Avant Garde" w:hAnsi="ITC Avant Garde"/>
          <w:color w:val="auto"/>
        </w:rPr>
        <w:t>n</w:t>
      </w:r>
      <w:r>
        <w:rPr>
          <w:rFonts w:ascii="ITC Avant Garde" w:hAnsi="ITC Avant Garde"/>
          <w:color w:val="auto"/>
        </w:rPr>
        <w:t xml:space="preserve"> que</w:t>
      </w:r>
      <w:r w:rsidR="006347F3">
        <w:rPr>
          <w:rFonts w:ascii="ITC Avant Garde" w:hAnsi="ITC Avant Garde"/>
          <w:color w:val="auto"/>
        </w:rPr>
        <w:t xml:space="preserve"> la Oferta señale que el OMV se hará responsable de su parte de los gastos causados en la comercialización del servicio, el cual será proporcional al uso que hará de los elementos nuevos instalados para ello. </w:t>
      </w:r>
    </w:p>
    <w:p w14:paraId="53821666" w14:textId="77777777" w:rsidR="006347F3" w:rsidRDefault="006347F3" w:rsidP="002A524D">
      <w:pPr>
        <w:spacing w:after="0" w:line="276" w:lineRule="auto"/>
        <w:ind w:left="-851" w:right="0" w:firstLine="0"/>
        <w:rPr>
          <w:rFonts w:ascii="ITC Avant Garde" w:hAnsi="ITC Avant Garde"/>
          <w:color w:val="auto"/>
        </w:rPr>
      </w:pPr>
    </w:p>
    <w:p w14:paraId="4A3ED191" w14:textId="1FA26009" w:rsidR="00711E70" w:rsidRDefault="00C51635" w:rsidP="002A524D">
      <w:pPr>
        <w:spacing w:after="0" w:line="276" w:lineRule="auto"/>
        <w:ind w:left="-851" w:right="0" w:firstLine="0"/>
        <w:rPr>
          <w:rFonts w:ascii="ITC Avant Garde" w:hAnsi="ITC Avant Garde"/>
          <w:color w:val="auto"/>
        </w:rPr>
      </w:pPr>
      <w:r>
        <w:rPr>
          <w:rFonts w:ascii="ITC Avant Garde" w:hAnsi="ITC Avant Garde"/>
          <w:color w:val="auto"/>
        </w:rPr>
        <w:t>Indica</w:t>
      </w:r>
      <w:r w:rsidR="00635A70">
        <w:rPr>
          <w:rFonts w:ascii="ITC Avant Garde" w:hAnsi="ITC Avant Garde"/>
          <w:color w:val="auto"/>
        </w:rPr>
        <w:t>n</w:t>
      </w:r>
      <w:r w:rsidR="006347F3" w:rsidRPr="0037499E">
        <w:rPr>
          <w:rFonts w:ascii="ITC Avant Garde" w:hAnsi="ITC Avant Garde"/>
          <w:color w:val="auto"/>
        </w:rPr>
        <w:t xml:space="preserve"> que los gastos por la conexión de los elementos necesarios para la comercialización o reventa de los servicios ofrecidos por el AEP a cargo del OMV deben ser calculados con adherencia a los principios de causalidad y proporcionalidad. </w:t>
      </w:r>
    </w:p>
    <w:p w14:paraId="5D11C1BF" w14:textId="22B6102D" w:rsidR="00635A70" w:rsidRDefault="00635A70" w:rsidP="002A524D">
      <w:pPr>
        <w:spacing w:after="0" w:line="276" w:lineRule="auto"/>
        <w:ind w:left="-851" w:right="0" w:firstLine="0"/>
        <w:rPr>
          <w:rFonts w:ascii="ITC Avant Garde" w:hAnsi="ITC Avant Garde"/>
          <w:color w:val="auto"/>
        </w:rPr>
      </w:pPr>
    </w:p>
    <w:p w14:paraId="3D975ADA" w14:textId="772C6608" w:rsidR="00635A70" w:rsidRDefault="00635A70" w:rsidP="002A524D">
      <w:pPr>
        <w:spacing w:after="0" w:line="276" w:lineRule="auto"/>
        <w:ind w:left="-851" w:right="0" w:firstLine="0"/>
        <w:rPr>
          <w:rFonts w:ascii="ITC Avant Garde" w:hAnsi="ITC Avant Garde"/>
          <w:color w:val="auto"/>
        </w:rPr>
      </w:pPr>
      <w:r>
        <w:rPr>
          <w:rFonts w:ascii="ITC Avant Garde" w:hAnsi="ITC Avant Garde"/>
          <w:color w:val="auto"/>
        </w:rPr>
        <w:t>Televisa solicita que se defina un costo total de implementación para evitar que el AEP imponga barreras de entrada e incurra en prácticas abusivas.</w:t>
      </w:r>
    </w:p>
    <w:p w14:paraId="2A6C997B" w14:textId="77777777" w:rsidR="006347F3" w:rsidRDefault="006347F3" w:rsidP="002A524D">
      <w:pPr>
        <w:spacing w:after="0" w:line="276" w:lineRule="auto"/>
        <w:ind w:left="-851" w:right="0" w:firstLine="0"/>
        <w:rPr>
          <w:rFonts w:ascii="ITC Avant Garde" w:hAnsi="ITC Avant Garde"/>
          <w:color w:val="auto"/>
        </w:rPr>
      </w:pPr>
    </w:p>
    <w:p w14:paraId="2348CEB0" w14:textId="77777777" w:rsidR="006347F3" w:rsidRPr="002C026A" w:rsidRDefault="006347F3" w:rsidP="002A524D">
      <w:pPr>
        <w:spacing w:after="0" w:line="276" w:lineRule="auto"/>
        <w:ind w:left="-851" w:right="0" w:firstLine="0"/>
        <w:rPr>
          <w:rFonts w:ascii="ITC Avant Garde" w:hAnsi="ITC Avant Garde"/>
          <w:b/>
          <w:color w:val="auto"/>
        </w:rPr>
      </w:pPr>
      <w:r w:rsidRPr="002C026A">
        <w:rPr>
          <w:rFonts w:ascii="ITC Avant Garde" w:hAnsi="ITC Avant Garde"/>
          <w:b/>
          <w:color w:val="auto"/>
        </w:rPr>
        <w:t>Consideraciones del Instituto:</w:t>
      </w:r>
    </w:p>
    <w:p w14:paraId="75D1E1C2" w14:textId="231E0B68" w:rsidR="006347F3" w:rsidRPr="0004326A" w:rsidRDefault="006347F3" w:rsidP="0004326A">
      <w:pPr>
        <w:spacing w:after="0" w:line="276" w:lineRule="auto"/>
        <w:ind w:left="-851" w:right="0" w:firstLine="0"/>
        <w:rPr>
          <w:rFonts w:ascii="ITC Avant Garde" w:eastAsia="Calibri" w:hAnsi="ITC Avant Garde" w:cs="Arial"/>
          <w:color w:val="auto"/>
          <w:sz w:val="18"/>
          <w:szCs w:val="18"/>
          <w:lang w:eastAsia="en-US"/>
        </w:rPr>
      </w:pPr>
      <w:r w:rsidRPr="004C5938">
        <w:rPr>
          <w:rFonts w:ascii="ITC Avant Garde" w:hAnsi="ITC Avant Garde"/>
          <w:color w:val="auto"/>
        </w:rPr>
        <w:t>El modelo de negocios y la operación de</w:t>
      </w:r>
      <w:r>
        <w:rPr>
          <w:rFonts w:ascii="ITC Avant Garde" w:hAnsi="ITC Avant Garde"/>
          <w:color w:val="auto"/>
        </w:rPr>
        <w:t xml:space="preserve"> cada OMV tiene características particulares que no siempre</w:t>
      </w:r>
      <w:r w:rsidR="00E10B11">
        <w:rPr>
          <w:rFonts w:ascii="ITC Avant Garde" w:hAnsi="ITC Avant Garde"/>
          <w:color w:val="auto"/>
        </w:rPr>
        <w:t xml:space="preserve"> coinciden con las de otros OMV,</w:t>
      </w:r>
      <w:r>
        <w:rPr>
          <w:rFonts w:ascii="ITC Avant Garde" w:hAnsi="ITC Avant Garde"/>
          <w:color w:val="auto"/>
        </w:rPr>
        <w:t xml:space="preserve"> ya que esto depende tanto del tipo de OMV como de la infraestructura con la que</w:t>
      </w:r>
      <w:r w:rsidR="00E10B11">
        <w:rPr>
          <w:rFonts w:ascii="ITC Avant Garde" w:hAnsi="ITC Avant Garde"/>
          <w:color w:val="auto"/>
        </w:rPr>
        <w:t xml:space="preserve"> éste</w:t>
      </w:r>
      <w:r w:rsidR="0004326A">
        <w:rPr>
          <w:rFonts w:ascii="ITC Avant Garde" w:hAnsi="ITC Avant Garde"/>
          <w:color w:val="auto"/>
        </w:rPr>
        <w:t xml:space="preserve"> cuenta. Por lo anterior, no es posible determinar el costo de todos los escenarios posibles de integración, por lo que </w:t>
      </w:r>
      <w:r w:rsidRPr="0004326A">
        <w:rPr>
          <w:rFonts w:ascii="ITC Avant Garde" w:hAnsi="ITC Avant Garde"/>
          <w:color w:val="auto"/>
        </w:rPr>
        <w:t>es razonable que el OMV pague al AEP todos los gastos que se generen para la conexión de los elementos necesarios para la pres</w:t>
      </w:r>
      <w:r w:rsidR="0004326A">
        <w:rPr>
          <w:rFonts w:ascii="ITC Avant Garde" w:hAnsi="ITC Avant Garde"/>
          <w:color w:val="auto"/>
        </w:rPr>
        <w:t>tación del servicio</w:t>
      </w:r>
      <w:r w:rsidRPr="0004326A">
        <w:rPr>
          <w:rFonts w:ascii="ITC Avant Garde" w:hAnsi="ITC Avant Garde"/>
          <w:color w:val="auto"/>
        </w:rPr>
        <w:t>.</w:t>
      </w:r>
    </w:p>
    <w:p w14:paraId="564B0C91" w14:textId="4CC3F791" w:rsidR="00B2609D" w:rsidRDefault="00B2609D" w:rsidP="002A524D">
      <w:pPr>
        <w:spacing w:after="0" w:line="276" w:lineRule="auto"/>
        <w:ind w:left="-851" w:right="0" w:firstLine="0"/>
        <w:rPr>
          <w:rFonts w:ascii="ITC Avant Garde" w:hAnsi="ITC Avant Garde"/>
          <w:color w:val="auto"/>
        </w:rPr>
      </w:pPr>
    </w:p>
    <w:p w14:paraId="6EC92816" w14:textId="6CC112E7" w:rsidR="00B2609D" w:rsidRDefault="00B2609D" w:rsidP="002A524D">
      <w:pPr>
        <w:spacing w:after="0" w:line="276" w:lineRule="auto"/>
        <w:ind w:left="-851" w:right="0" w:firstLine="0"/>
        <w:rPr>
          <w:rFonts w:ascii="ITC Avant Garde" w:hAnsi="ITC Avant Garde"/>
          <w:b/>
          <w:color w:val="auto"/>
          <w:u w:val="single"/>
        </w:rPr>
      </w:pPr>
      <w:r w:rsidRPr="00B2609D">
        <w:rPr>
          <w:rFonts w:ascii="ITC Avant Garde" w:hAnsi="ITC Avant Garde"/>
          <w:b/>
          <w:color w:val="auto"/>
          <w:u w:val="single"/>
        </w:rPr>
        <w:t>CLÁUSULA DÉCIMA SEXTA. VIGENCIA</w:t>
      </w:r>
    </w:p>
    <w:p w14:paraId="45FF141D" w14:textId="2D6A1250" w:rsidR="00B2609D" w:rsidRDefault="00B2609D" w:rsidP="002A524D">
      <w:pPr>
        <w:spacing w:after="0" w:line="276" w:lineRule="auto"/>
        <w:ind w:left="-851" w:right="0" w:firstLine="0"/>
        <w:rPr>
          <w:rFonts w:ascii="ITC Avant Garde" w:hAnsi="ITC Avant Garde"/>
          <w:b/>
          <w:color w:val="auto"/>
        </w:rPr>
      </w:pPr>
      <w:r w:rsidRPr="00B2609D">
        <w:rPr>
          <w:rFonts w:ascii="ITC Avant Garde" w:hAnsi="ITC Avant Garde"/>
          <w:b/>
          <w:color w:val="auto"/>
        </w:rPr>
        <w:t>Telecomunicaciones 360:</w:t>
      </w:r>
    </w:p>
    <w:p w14:paraId="48FB1D6B" w14:textId="456E9953" w:rsidR="00591DAC" w:rsidRPr="00591DAC" w:rsidRDefault="00591DAC" w:rsidP="002A524D">
      <w:pPr>
        <w:spacing w:after="0" w:line="276" w:lineRule="auto"/>
        <w:ind w:left="-851" w:right="0" w:firstLine="0"/>
        <w:rPr>
          <w:rFonts w:ascii="ITC Avant Garde" w:hAnsi="ITC Avant Garde"/>
          <w:color w:val="auto"/>
        </w:rPr>
      </w:pPr>
      <w:r w:rsidRPr="00591DAC">
        <w:rPr>
          <w:rFonts w:ascii="ITC Avant Garde" w:hAnsi="ITC Avant Garde"/>
          <w:color w:val="auto"/>
        </w:rPr>
        <w:t xml:space="preserve">Señala que la redacción de la cláusula establece que la vigencia será a partir de su firma y hasta el 31 de diciembre del 2019, </w:t>
      </w:r>
      <w:r>
        <w:rPr>
          <w:rFonts w:ascii="ITC Avant Garde" w:hAnsi="ITC Avant Garde"/>
          <w:color w:val="auto"/>
        </w:rPr>
        <w:t xml:space="preserve">cuando lo correcto </w:t>
      </w:r>
      <w:r w:rsidR="00930889">
        <w:rPr>
          <w:rFonts w:ascii="ITC Avant Garde" w:hAnsi="ITC Avant Garde"/>
          <w:color w:val="auto"/>
        </w:rPr>
        <w:t xml:space="preserve">es que </w:t>
      </w:r>
      <w:r>
        <w:rPr>
          <w:rFonts w:ascii="ITC Avant Garde" w:hAnsi="ITC Avant Garde"/>
          <w:color w:val="auto"/>
        </w:rPr>
        <w:t>la vigencia ser</w:t>
      </w:r>
      <w:r w:rsidR="00930889">
        <w:rPr>
          <w:rFonts w:ascii="ITC Avant Garde" w:hAnsi="ITC Avant Garde"/>
          <w:color w:val="auto"/>
        </w:rPr>
        <w:t>á a partir de su firma y hasta el 31 de diciembre del 2020.</w:t>
      </w:r>
    </w:p>
    <w:p w14:paraId="41CE12E2" w14:textId="5114A21C" w:rsidR="00591DAC" w:rsidRDefault="00591DAC" w:rsidP="002A524D">
      <w:pPr>
        <w:spacing w:after="0" w:line="276" w:lineRule="auto"/>
        <w:ind w:left="-851" w:right="0" w:firstLine="0"/>
        <w:rPr>
          <w:rFonts w:ascii="ITC Avant Garde" w:hAnsi="ITC Avant Garde"/>
          <w:b/>
          <w:color w:val="auto"/>
        </w:rPr>
      </w:pPr>
    </w:p>
    <w:p w14:paraId="5B7BB075" w14:textId="77777777" w:rsidR="00591DAC" w:rsidRPr="002C026A" w:rsidRDefault="00591DAC" w:rsidP="002A524D">
      <w:pPr>
        <w:spacing w:after="0" w:line="276" w:lineRule="auto"/>
        <w:ind w:left="-851" w:right="0" w:firstLine="0"/>
        <w:rPr>
          <w:rFonts w:ascii="ITC Avant Garde" w:hAnsi="ITC Avant Garde"/>
          <w:b/>
          <w:color w:val="auto"/>
        </w:rPr>
      </w:pPr>
      <w:r w:rsidRPr="002C026A">
        <w:rPr>
          <w:rFonts w:ascii="ITC Avant Garde" w:hAnsi="ITC Avant Garde"/>
          <w:b/>
          <w:color w:val="auto"/>
        </w:rPr>
        <w:t>Consideraciones del Instituto:</w:t>
      </w:r>
    </w:p>
    <w:p w14:paraId="51ED93B7" w14:textId="7B4E3CB3" w:rsidR="00591DAC" w:rsidRDefault="00591DAC" w:rsidP="002A524D">
      <w:pPr>
        <w:spacing w:after="0" w:line="276" w:lineRule="auto"/>
        <w:ind w:left="-851" w:right="0" w:firstLine="0"/>
        <w:rPr>
          <w:rFonts w:ascii="ITC Avant Garde" w:hAnsi="ITC Avant Garde"/>
          <w:color w:val="auto"/>
        </w:rPr>
      </w:pPr>
      <w:r w:rsidRPr="00591DAC">
        <w:rPr>
          <w:rFonts w:ascii="ITC Avant Garde" w:hAnsi="ITC Avant Garde"/>
          <w:color w:val="auto"/>
        </w:rPr>
        <w:t>Con el fin de dar cumplimiento a lo establecido en la Medida Decimosexta de las Medidas Móviles refe</w:t>
      </w:r>
      <w:r>
        <w:rPr>
          <w:rFonts w:ascii="ITC Avant Garde" w:hAnsi="ITC Avant Garde"/>
          <w:color w:val="auto"/>
        </w:rPr>
        <w:t>rente a la vigencia del Convenio</w:t>
      </w:r>
      <w:r w:rsidRPr="00591DAC">
        <w:rPr>
          <w:rFonts w:ascii="ITC Avant Garde" w:hAnsi="ITC Avant Garde"/>
          <w:color w:val="auto"/>
        </w:rPr>
        <w:t xml:space="preserve">, </w:t>
      </w:r>
      <w:r>
        <w:rPr>
          <w:rFonts w:ascii="ITC Avant Garde" w:hAnsi="ITC Avant Garde"/>
          <w:color w:val="auto"/>
        </w:rPr>
        <w:t>en la cláusula en cuestión se precisa que la vigencia del Convenio será a partir de su firma y hasta el 31 de diciembre de 2020</w:t>
      </w:r>
      <w:r w:rsidR="0029302D">
        <w:rPr>
          <w:rFonts w:ascii="ITC Avant Garde" w:hAnsi="ITC Avant Garde"/>
          <w:color w:val="auto"/>
        </w:rPr>
        <w:t>:</w:t>
      </w:r>
    </w:p>
    <w:p w14:paraId="236A558A" w14:textId="5876887F" w:rsidR="00591DAC" w:rsidRDefault="00591DAC" w:rsidP="002A524D">
      <w:pPr>
        <w:spacing w:after="0" w:line="276" w:lineRule="auto"/>
        <w:ind w:left="-851" w:right="0" w:firstLine="0"/>
        <w:rPr>
          <w:rFonts w:ascii="ITC Avant Garde" w:hAnsi="ITC Avant Garde"/>
          <w:color w:val="auto"/>
        </w:rPr>
      </w:pPr>
    </w:p>
    <w:p w14:paraId="418DCA10" w14:textId="57374DB7" w:rsidR="00591DAC" w:rsidRPr="00591DAC" w:rsidRDefault="00591DAC" w:rsidP="00760B36">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591DAC">
        <w:rPr>
          <w:rFonts w:ascii="ITC Avant Garde" w:eastAsia="Calibri" w:hAnsi="ITC Avant Garde" w:cs="Arial"/>
          <w:i/>
          <w:color w:val="auto"/>
          <w:sz w:val="18"/>
          <w:szCs w:val="18"/>
          <w:lang w:eastAsia="en-US"/>
        </w:rPr>
        <w:t xml:space="preserve">CLÁUSULA DÉCIMA SEXTA. VIGENCIA. </w:t>
      </w:r>
    </w:p>
    <w:p w14:paraId="778D9F8D" w14:textId="77777777" w:rsidR="00591DAC" w:rsidRPr="00591DAC" w:rsidRDefault="00591DAC" w:rsidP="00760B36">
      <w:pPr>
        <w:spacing w:after="0" w:line="276" w:lineRule="auto"/>
        <w:ind w:left="-284" w:right="615" w:firstLine="0"/>
        <w:rPr>
          <w:rFonts w:ascii="ITC Avant Garde" w:eastAsia="Calibri" w:hAnsi="ITC Avant Garde" w:cs="Arial"/>
          <w:i/>
          <w:color w:val="auto"/>
          <w:sz w:val="18"/>
          <w:szCs w:val="18"/>
          <w:lang w:eastAsia="en-US"/>
        </w:rPr>
      </w:pPr>
    </w:p>
    <w:p w14:paraId="565F60D4" w14:textId="01959EA1" w:rsidR="00591DAC" w:rsidRDefault="00591DAC" w:rsidP="00760B36">
      <w:pPr>
        <w:spacing w:after="0" w:line="276" w:lineRule="auto"/>
        <w:ind w:left="-284" w:right="615" w:firstLine="0"/>
        <w:rPr>
          <w:rFonts w:ascii="ITC Avant Garde" w:eastAsia="Calibri" w:hAnsi="ITC Avant Garde" w:cs="Arial"/>
          <w:i/>
          <w:color w:val="auto"/>
          <w:sz w:val="18"/>
          <w:szCs w:val="18"/>
          <w:lang w:eastAsia="en-US"/>
        </w:rPr>
      </w:pPr>
      <w:r w:rsidRPr="00591DAC">
        <w:rPr>
          <w:rFonts w:ascii="ITC Avant Garde" w:eastAsia="Calibri" w:hAnsi="ITC Avant Garde" w:cs="Arial"/>
          <w:i/>
          <w:color w:val="auto"/>
          <w:sz w:val="18"/>
          <w:szCs w:val="18"/>
          <w:lang w:eastAsia="en-US"/>
        </w:rPr>
        <w:t xml:space="preserve">El Convenio tendrá una vigencia a partir de su firma hasta el 31 de diciembre de </w:t>
      </w:r>
      <w:r w:rsidRPr="00591DAC">
        <w:rPr>
          <w:rFonts w:ascii="ITC Avant Garde" w:eastAsia="Calibri" w:hAnsi="ITC Avant Garde" w:cs="Arial"/>
          <w:i/>
          <w:strike/>
          <w:color w:val="auto"/>
          <w:sz w:val="18"/>
          <w:szCs w:val="18"/>
          <w:lang w:eastAsia="en-US"/>
        </w:rPr>
        <w:t>2019</w:t>
      </w:r>
      <w:r>
        <w:rPr>
          <w:rFonts w:ascii="ITC Avant Garde" w:eastAsia="Calibri" w:hAnsi="ITC Avant Garde" w:cs="Arial"/>
          <w:i/>
          <w:color w:val="auto"/>
          <w:sz w:val="18"/>
          <w:szCs w:val="18"/>
          <w:lang w:eastAsia="en-US"/>
        </w:rPr>
        <w:t xml:space="preserve"> </w:t>
      </w:r>
      <w:r w:rsidRPr="00591DAC">
        <w:rPr>
          <w:rFonts w:ascii="ITC Avant Garde" w:eastAsia="Calibri" w:hAnsi="ITC Avant Garde" w:cs="Arial"/>
          <w:i/>
          <w:color w:val="auto"/>
          <w:sz w:val="18"/>
          <w:szCs w:val="18"/>
          <w:u w:val="single"/>
          <w:lang w:eastAsia="en-US"/>
        </w:rPr>
        <w:t>2020</w:t>
      </w:r>
      <w:r w:rsidRPr="00591DAC">
        <w:rPr>
          <w:rFonts w:ascii="ITC Avant Garde" w:eastAsia="Calibri" w:hAnsi="ITC Avant Garde" w:cs="Arial"/>
          <w:i/>
          <w:color w:val="auto"/>
          <w:sz w:val="18"/>
          <w:szCs w:val="18"/>
          <w:lang w:eastAsia="en-US"/>
        </w:rPr>
        <w:t>, sin perjuicio de que las partes puedan acordar una duración mayor, salvo que sea modificado, terminado anticipadamente o rescindido conforme a lo previsto en el Convenio y demás disposiciones aplicables, con lo cual Telcel cesará la prestación de los Servicios con el previo aviso al IFT y sin responsabilidad alguna a su cargo.</w:t>
      </w:r>
    </w:p>
    <w:p w14:paraId="63F3346B" w14:textId="52D4F77D" w:rsidR="00591DAC" w:rsidRDefault="00591DAC" w:rsidP="00760B36">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5EBDA909" w14:textId="77777777" w:rsidR="00591DAC" w:rsidRDefault="00591DAC" w:rsidP="00760B36">
      <w:pPr>
        <w:spacing w:after="0" w:line="276" w:lineRule="auto"/>
        <w:ind w:left="-284"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4F4128CA" w14:textId="77777777" w:rsidR="006347F3" w:rsidRDefault="006347F3" w:rsidP="002A524D">
      <w:pPr>
        <w:spacing w:line="276" w:lineRule="auto"/>
        <w:ind w:left="-851" w:right="0"/>
        <w:rPr>
          <w:rFonts w:ascii="ITC Avant Garde" w:hAnsi="ITC Avant Garde"/>
        </w:rPr>
      </w:pPr>
    </w:p>
    <w:p w14:paraId="5050DEBA" w14:textId="010F1209" w:rsidR="00135279" w:rsidRPr="0004326A" w:rsidRDefault="00135279" w:rsidP="002A524D">
      <w:pPr>
        <w:spacing w:after="0" w:line="276" w:lineRule="auto"/>
        <w:ind w:left="-851" w:right="49"/>
        <w:rPr>
          <w:rFonts w:ascii="ITC Avant Garde" w:hAnsi="ITC Avant Garde"/>
          <w:b/>
          <w:color w:val="auto"/>
          <w:u w:val="single"/>
        </w:rPr>
      </w:pPr>
      <w:r w:rsidRPr="0004326A">
        <w:rPr>
          <w:rFonts w:ascii="ITC Avant Garde" w:hAnsi="ITC Avant Garde"/>
          <w:b/>
          <w:color w:val="auto"/>
          <w:u w:val="single"/>
        </w:rPr>
        <w:t>ANEXO A Precios y Tarifas</w:t>
      </w:r>
    </w:p>
    <w:p w14:paraId="6B713D6A" w14:textId="158BA2D4" w:rsidR="00135279" w:rsidRPr="00CC72B9" w:rsidRDefault="00135279" w:rsidP="002A524D">
      <w:pPr>
        <w:spacing w:after="0" w:line="276" w:lineRule="auto"/>
        <w:ind w:left="-851" w:right="0" w:firstLine="0"/>
        <w:rPr>
          <w:rFonts w:ascii="ITC Avant Garde" w:hAnsi="ITC Avant Garde"/>
          <w:b/>
          <w:color w:val="auto"/>
        </w:rPr>
      </w:pPr>
      <w:r>
        <w:rPr>
          <w:rFonts w:ascii="ITC Avant Garde" w:hAnsi="ITC Avant Garde"/>
          <w:b/>
          <w:color w:val="auto"/>
        </w:rPr>
        <w:t>Televisa</w:t>
      </w:r>
      <w:r w:rsidR="007B18CE">
        <w:rPr>
          <w:rFonts w:ascii="ITC Avant Garde" w:hAnsi="ITC Avant Garde"/>
          <w:b/>
          <w:color w:val="auto"/>
        </w:rPr>
        <w:t>, CANIETI</w:t>
      </w:r>
      <w:r w:rsidRPr="00CC72B9">
        <w:rPr>
          <w:rFonts w:ascii="ITC Avant Garde" w:hAnsi="ITC Avant Garde"/>
          <w:b/>
          <w:color w:val="auto"/>
        </w:rPr>
        <w:t>:</w:t>
      </w:r>
    </w:p>
    <w:p w14:paraId="4003A429" w14:textId="77777777" w:rsidR="00970F8F" w:rsidRDefault="00135279" w:rsidP="002A524D">
      <w:pPr>
        <w:spacing w:line="276" w:lineRule="auto"/>
        <w:ind w:left="-851" w:right="0"/>
        <w:rPr>
          <w:rFonts w:ascii="ITC Avant Garde" w:hAnsi="ITC Avant Garde"/>
          <w:color w:val="auto"/>
        </w:rPr>
      </w:pPr>
      <w:r>
        <w:rPr>
          <w:rFonts w:ascii="ITC Avant Garde" w:hAnsi="ITC Avant Garde"/>
          <w:color w:val="auto"/>
        </w:rPr>
        <w:t>S</w:t>
      </w:r>
      <w:r w:rsidR="00BC5BCD">
        <w:rPr>
          <w:rFonts w:ascii="ITC Avant Garde" w:hAnsi="ITC Avant Garde"/>
          <w:color w:val="auto"/>
        </w:rPr>
        <w:t>eñala</w:t>
      </w:r>
      <w:r w:rsidR="007B18CE">
        <w:rPr>
          <w:rFonts w:ascii="ITC Avant Garde" w:hAnsi="ITC Avant Garde"/>
          <w:color w:val="auto"/>
        </w:rPr>
        <w:t>n</w:t>
      </w:r>
      <w:r w:rsidR="00BC5BCD">
        <w:rPr>
          <w:rFonts w:ascii="ITC Avant Garde" w:hAnsi="ITC Avant Garde"/>
          <w:color w:val="auto"/>
        </w:rPr>
        <w:t xml:space="preserve"> que las tarifas obtenidas mediante el modelo de costos no son lo suficientemente competitivas para que el OMV estructure ofertas comerciales que puedan </w:t>
      </w:r>
      <w:r w:rsidR="00436498">
        <w:rPr>
          <w:rFonts w:ascii="ITC Avant Garde" w:hAnsi="ITC Avant Garde"/>
          <w:color w:val="auto"/>
        </w:rPr>
        <w:t xml:space="preserve">competir con las del AEP. </w:t>
      </w:r>
    </w:p>
    <w:p w14:paraId="7DB0A28C" w14:textId="77777777" w:rsidR="00970F8F" w:rsidRDefault="00970F8F" w:rsidP="002A524D">
      <w:pPr>
        <w:spacing w:line="276" w:lineRule="auto"/>
        <w:ind w:left="-851" w:right="0"/>
        <w:rPr>
          <w:rFonts w:ascii="ITC Avant Garde" w:hAnsi="ITC Avant Garde"/>
          <w:color w:val="auto"/>
        </w:rPr>
      </w:pPr>
    </w:p>
    <w:p w14:paraId="2B7381CB" w14:textId="0C37FCD7" w:rsidR="00135279" w:rsidRDefault="00436498" w:rsidP="002A524D">
      <w:pPr>
        <w:spacing w:line="276" w:lineRule="auto"/>
        <w:ind w:left="-851" w:right="0"/>
        <w:rPr>
          <w:rFonts w:ascii="ITC Avant Garde" w:hAnsi="ITC Avant Garde"/>
          <w:color w:val="auto"/>
        </w:rPr>
      </w:pPr>
      <w:r>
        <w:rPr>
          <w:rFonts w:ascii="ITC Avant Garde" w:hAnsi="ITC Avant Garde"/>
          <w:color w:val="auto"/>
        </w:rPr>
        <w:t>Asimismo,</w:t>
      </w:r>
      <w:r w:rsidR="00BC5BCD">
        <w:rPr>
          <w:rFonts w:ascii="ITC Avant Garde" w:hAnsi="ITC Avant Garde"/>
          <w:color w:val="auto"/>
        </w:rPr>
        <w:t xml:space="preserve"> </w:t>
      </w:r>
      <w:r w:rsidR="00970F8F">
        <w:rPr>
          <w:rFonts w:ascii="ITC Avant Garde" w:hAnsi="ITC Avant Garde"/>
          <w:color w:val="auto"/>
        </w:rPr>
        <w:t xml:space="preserve">Televisa </w:t>
      </w:r>
      <w:r w:rsidR="00BC5BCD">
        <w:rPr>
          <w:rFonts w:ascii="ITC Avant Garde" w:hAnsi="ITC Avant Garde"/>
          <w:color w:val="auto"/>
        </w:rPr>
        <w:t>indica que no es posible replicar los paquetes que el AEP ofrece a sus clientes</w:t>
      </w:r>
      <w:r>
        <w:rPr>
          <w:rFonts w:ascii="ITC Avant Garde" w:hAnsi="ITC Avant Garde"/>
          <w:color w:val="auto"/>
        </w:rPr>
        <w:t xml:space="preserve"> debido a que no pude incluir los servicios de valor agregado que éste incluye en sus paquetes minoristas como redes sociales ilimitadas y Claro Video</w:t>
      </w:r>
      <w:r w:rsidR="00700C31">
        <w:rPr>
          <w:rFonts w:ascii="ITC Avant Garde" w:hAnsi="ITC Avant Garde"/>
          <w:color w:val="auto"/>
        </w:rPr>
        <w:t>, entre otras.</w:t>
      </w:r>
    </w:p>
    <w:p w14:paraId="102E7B2C" w14:textId="77777777" w:rsidR="005F30A8" w:rsidRDefault="005F30A8" w:rsidP="002A524D">
      <w:pPr>
        <w:spacing w:line="276" w:lineRule="auto"/>
        <w:ind w:left="-851" w:right="0"/>
        <w:rPr>
          <w:rFonts w:ascii="ITC Avant Garde" w:hAnsi="ITC Avant Garde"/>
          <w:color w:val="auto"/>
        </w:rPr>
      </w:pPr>
    </w:p>
    <w:p w14:paraId="2AA03122" w14:textId="775D69B3" w:rsidR="002E24EF" w:rsidRDefault="005D039E" w:rsidP="002A524D">
      <w:pPr>
        <w:spacing w:line="276" w:lineRule="auto"/>
        <w:ind w:left="-851" w:right="0"/>
        <w:rPr>
          <w:rFonts w:ascii="ITC Avant Garde" w:hAnsi="ITC Avant Garde"/>
          <w:color w:val="auto"/>
        </w:rPr>
      </w:pPr>
      <w:r>
        <w:rPr>
          <w:rFonts w:ascii="ITC Avant Garde" w:hAnsi="ITC Avant Garde"/>
          <w:color w:val="auto"/>
        </w:rPr>
        <w:t>Televisa r</w:t>
      </w:r>
      <w:r w:rsidR="00BC5BCD">
        <w:rPr>
          <w:rFonts w:ascii="ITC Avant Garde" w:hAnsi="ITC Avant Garde"/>
          <w:color w:val="auto"/>
        </w:rPr>
        <w:t>efiere que se deben eliminar los esquemas tarifarios atados a compromisos de volúmenes de tráfi</w:t>
      </w:r>
      <w:r w:rsidR="001C363E">
        <w:rPr>
          <w:rFonts w:ascii="ITC Avant Garde" w:hAnsi="ITC Avant Garde"/>
          <w:color w:val="auto"/>
        </w:rPr>
        <w:t>co o a periodos de contratación. Además, señala que las tarifas unitarias para minutos, mensajes cortos y datos obtenidas mediante el modelo de costos deberán considerarse como las tarifas aplicables a todos los OMV y</w:t>
      </w:r>
      <w:r w:rsidR="00BC5BCD">
        <w:rPr>
          <w:rFonts w:ascii="ITC Avant Garde" w:hAnsi="ITC Avant Garde"/>
          <w:color w:val="auto"/>
        </w:rPr>
        <w:t>, en caso de</w:t>
      </w:r>
      <w:r w:rsidR="005F30A8">
        <w:rPr>
          <w:rFonts w:ascii="ITC Avant Garde" w:hAnsi="ITC Avant Garde"/>
          <w:color w:val="auto"/>
        </w:rPr>
        <w:t xml:space="preserve"> que</w:t>
      </w:r>
      <w:r w:rsidR="00BC5BCD">
        <w:rPr>
          <w:rFonts w:ascii="ITC Avant Garde" w:hAnsi="ITC Avant Garde"/>
          <w:color w:val="auto"/>
        </w:rPr>
        <w:t xml:space="preserve"> algún OMV llegue a acuerdos más favorables con el AEP,</w:t>
      </w:r>
      <w:r w:rsidR="005F30A8">
        <w:rPr>
          <w:rFonts w:ascii="ITC Avant Garde" w:hAnsi="ITC Avant Garde"/>
          <w:color w:val="auto"/>
        </w:rPr>
        <w:t xml:space="preserve"> las tarifas deben ser públicas y aplicables a todos los OMV.</w:t>
      </w:r>
    </w:p>
    <w:p w14:paraId="4F83E225" w14:textId="77777777" w:rsidR="002E24EF" w:rsidRDefault="002E24EF" w:rsidP="002A524D">
      <w:pPr>
        <w:spacing w:line="276" w:lineRule="auto"/>
        <w:ind w:left="-851" w:right="0"/>
        <w:rPr>
          <w:rFonts w:ascii="ITC Avant Garde" w:hAnsi="ITC Avant Garde"/>
          <w:color w:val="auto"/>
        </w:rPr>
      </w:pPr>
    </w:p>
    <w:p w14:paraId="7C41E307" w14:textId="77777777" w:rsidR="002E24EF" w:rsidRDefault="002E24EF" w:rsidP="002A524D">
      <w:pPr>
        <w:spacing w:after="0" w:line="276" w:lineRule="auto"/>
        <w:ind w:left="-851" w:right="0" w:firstLine="0"/>
        <w:rPr>
          <w:rFonts w:ascii="ITC Avant Garde" w:hAnsi="ITC Avant Garde"/>
          <w:b/>
          <w:color w:val="auto"/>
        </w:rPr>
      </w:pPr>
      <w:r w:rsidRPr="00343A4F">
        <w:rPr>
          <w:rFonts w:ascii="ITC Avant Garde" w:hAnsi="ITC Avant Garde"/>
          <w:b/>
          <w:color w:val="auto"/>
        </w:rPr>
        <w:t xml:space="preserve">Consideraciones del Instituto </w:t>
      </w:r>
    </w:p>
    <w:p w14:paraId="19F68DFF" w14:textId="525E3240" w:rsidR="00A92773" w:rsidRDefault="002E24EF" w:rsidP="0004326A">
      <w:pPr>
        <w:spacing w:after="0" w:line="276" w:lineRule="auto"/>
        <w:ind w:left="-851" w:right="0" w:firstLine="0"/>
        <w:rPr>
          <w:rFonts w:ascii="ITC Avant Garde" w:eastAsia="Calibri" w:hAnsi="ITC Avant Garde" w:cs="Arial"/>
          <w:color w:val="auto"/>
          <w:sz w:val="18"/>
          <w:szCs w:val="18"/>
          <w:lang w:eastAsia="en-US"/>
        </w:rPr>
      </w:pPr>
      <w:r>
        <w:rPr>
          <w:rFonts w:ascii="ITC Avant Garde" w:hAnsi="ITC Avant Garde"/>
          <w:color w:val="auto"/>
        </w:rPr>
        <w:t xml:space="preserve">Se señala que, la definición de los esquemas tarifarios y los lineamientos metodológicos para la elaboración del modelo de costos utilizado por el Instituto para determinar las tarifas en caso de desacuerdos, excede el alcance de la presente consulta. Además, en términos de la Medida Sexagésima primera de las Medidas Móviles, Telcel y el </w:t>
      </w:r>
      <w:r w:rsidR="00354C90">
        <w:rPr>
          <w:rFonts w:ascii="ITC Avant Garde" w:hAnsi="ITC Avant Garde"/>
          <w:color w:val="auto"/>
        </w:rPr>
        <w:t>OMV</w:t>
      </w:r>
      <w:r>
        <w:rPr>
          <w:rFonts w:ascii="ITC Avant Garde" w:hAnsi="ITC Avant Garde"/>
          <w:color w:val="auto"/>
        </w:rPr>
        <w:t xml:space="preserve"> tienen la libertad de negociar las tarifas aplicables independientemente de</w:t>
      </w:r>
      <w:r w:rsidR="00B83624">
        <w:rPr>
          <w:rFonts w:ascii="ITC Avant Garde" w:hAnsi="ITC Avant Garde"/>
          <w:color w:val="auto"/>
        </w:rPr>
        <w:t xml:space="preserve"> las establecidas en la Oferta y las cuales se co</w:t>
      </w:r>
      <w:r w:rsidR="0004326A">
        <w:rPr>
          <w:rFonts w:ascii="ITC Avant Garde" w:hAnsi="ITC Avant Garde"/>
          <w:color w:val="auto"/>
        </w:rPr>
        <w:t>nsiderarán de carácter público.</w:t>
      </w:r>
    </w:p>
    <w:p w14:paraId="18767C9A" w14:textId="77777777" w:rsidR="00A92773" w:rsidRPr="00B83624" w:rsidRDefault="00A92773" w:rsidP="002A524D">
      <w:pPr>
        <w:spacing w:after="0" w:line="276" w:lineRule="auto"/>
        <w:ind w:left="-851" w:right="615" w:firstLine="0"/>
        <w:rPr>
          <w:rFonts w:ascii="ITC Avant Garde" w:eastAsia="Calibri" w:hAnsi="ITC Avant Garde" w:cs="Arial"/>
          <w:i/>
          <w:color w:val="auto"/>
          <w:sz w:val="18"/>
          <w:szCs w:val="18"/>
          <w:lang w:eastAsia="en-US"/>
        </w:rPr>
      </w:pPr>
    </w:p>
    <w:p w14:paraId="0B9A31A9" w14:textId="6EFAD336" w:rsidR="00A92773" w:rsidRDefault="00B83624" w:rsidP="0004326A">
      <w:pPr>
        <w:spacing w:after="0" w:line="276" w:lineRule="auto"/>
        <w:ind w:left="-851" w:right="49"/>
        <w:rPr>
          <w:rFonts w:ascii="ITC Avant Garde" w:eastAsia="Calibri" w:hAnsi="ITC Avant Garde" w:cs="Arial"/>
          <w:color w:val="auto"/>
          <w:sz w:val="18"/>
          <w:szCs w:val="18"/>
          <w:lang w:eastAsia="en-US"/>
        </w:rPr>
      </w:pPr>
      <w:r>
        <w:rPr>
          <w:rFonts w:ascii="ITC Avant Garde" w:hAnsi="ITC Avant Garde"/>
          <w:color w:val="auto"/>
        </w:rPr>
        <w:t>Asimismo, la cláusula décimo ter</w:t>
      </w:r>
      <w:r w:rsidR="00A92773">
        <w:rPr>
          <w:rFonts w:ascii="ITC Avant Garde" w:hAnsi="ITC Avant Garde"/>
          <w:color w:val="auto"/>
        </w:rPr>
        <w:t>cera establece que, en caso de que Telcel otorgue términos y condiciones distintos a otro OMV, entonces éste deberá hacer extensivos los mismos términos y condiciones a partir de la fecha de solicitud</w:t>
      </w:r>
      <w:r w:rsidR="0004326A">
        <w:rPr>
          <w:rFonts w:ascii="ITC Avant Garde" w:hAnsi="ITC Avant Garde"/>
          <w:color w:val="auto"/>
        </w:rPr>
        <w:t>.</w:t>
      </w:r>
    </w:p>
    <w:p w14:paraId="1D4E8FAC" w14:textId="77777777" w:rsidR="00B80FDA" w:rsidRDefault="00B80FDA" w:rsidP="002A524D">
      <w:pPr>
        <w:spacing w:after="0" w:line="276" w:lineRule="auto"/>
        <w:ind w:left="-851" w:right="615" w:firstLine="0"/>
        <w:jc w:val="right"/>
        <w:rPr>
          <w:rFonts w:ascii="ITC Avant Garde" w:eastAsia="Calibri" w:hAnsi="ITC Avant Garde" w:cs="Arial"/>
          <w:color w:val="auto"/>
          <w:sz w:val="18"/>
          <w:szCs w:val="18"/>
          <w:lang w:eastAsia="en-US"/>
        </w:rPr>
      </w:pPr>
    </w:p>
    <w:p w14:paraId="12E6C81A" w14:textId="75B25282" w:rsidR="00A92773" w:rsidRDefault="00B80FDA" w:rsidP="002A524D">
      <w:pPr>
        <w:spacing w:after="0" w:line="276" w:lineRule="auto"/>
        <w:ind w:left="-851" w:right="49"/>
        <w:rPr>
          <w:rFonts w:ascii="ITC Avant Garde" w:hAnsi="ITC Avant Garde"/>
          <w:color w:val="auto"/>
        </w:rPr>
      </w:pPr>
      <w:r>
        <w:rPr>
          <w:rFonts w:ascii="ITC Avant Garde" w:hAnsi="ITC Avant Garde"/>
          <w:color w:val="auto"/>
        </w:rPr>
        <w:lastRenderedPageBreak/>
        <w:t xml:space="preserve">Por lo anterior, </w:t>
      </w:r>
      <w:r w:rsidR="0004326A">
        <w:rPr>
          <w:rFonts w:ascii="ITC Avant Garde" w:hAnsi="ITC Avant Garde"/>
          <w:color w:val="auto"/>
        </w:rPr>
        <w:t>no se considera necesario modificar la oferta en los términos señalados</w:t>
      </w:r>
      <w:r>
        <w:rPr>
          <w:rFonts w:ascii="ITC Avant Garde" w:hAnsi="ITC Avant Garde"/>
          <w:color w:val="auto"/>
        </w:rPr>
        <w:t>.</w:t>
      </w:r>
    </w:p>
    <w:p w14:paraId="6FCDB205" w14:textId="5A3A0379" w:rsidR="00E3699C" w:rsidRDefault="00E3699C" w:rsidP="002A524D">
      <w:pPr>
        <w:spacing w:after="0" w:line="276" w:lineRule="auto"/>
        <w:ind w:left="-851" w:right="49"/>
        <w:rPr>
          <w:rFonts w:ascii="ITC Avant Garde" w:hAnsi="ITC Avant Garde"/>
          <w:color w:val="auto"/>
        </w:rPr>
      </w:pPr>
    </w:p>
    <w:p w14:paraId="15B44DA2" w14:textId="1A38D22A" w:rsidR="00E3699C" w:rsidRPr="0070112E" w:rsidRDefault="00E3699C" w:rsidP="002A524D">
      <w:pPr>
        <w:spacing w:after="0" w:line="276" w:lineRule="auto"/>
        <w:ind w:left="-851" w:right="0" w:firstLine="0"/>
        <w:rPr>
          <w:rFonts w:ascii="ITC Avant Garde" w:hAnsi="ITC Avant Garde"/>
          <w:b/>
          <w:color w:val="auto"/>
        </w:rPr>
      </w:pPr>
      <w:r w:rsidRPr="0070112E">
        <w:rPr>
          <w:rFonts w:ascii="ITC Avant Garde" w:hAnsi="ITC Avant Garde"/>
          <w:b/>
          <w:color w:val="auto"/>
        </w:rPr>
        <w:t>Axtel</w:t>
      </w:r>
      <w:r w:rsidR="005D039E">
        <w:rPr>
          <w:rFonts w:ascii="ITC Avant Garde" w:hAnsi="ITC Avant Garde"/>
          <w:b/>
          <w:color w:val="auto"/>
        </w:rPr>
        <w:t>, CANIETI</w:t>
      </w:r>
      <w:r w:rsidRPr="0070112E">
        <w:rPr>
          <w:rFonts w:ascii="ITC Avant Garde" w:hAnsi="ITC Avant Garde"/>
          <w:b/>
          <w:color w:val="auto"/>
        </w:rPr>
        <w:t>:</w:t>
      </w:r>
    </w:p>
    <w:p w14:paraId="4112F5BA" w14:textId="6CD01D72" w:rsidR="00E3699C" w:rsidRDefault="00E3699C" w:rsidP="002A524D">
      <w:pPr>
        <w:spacing w:after="0" w:line="276" w:lineRule="auto"/>
        <w:ind w:left="-851" w:right="49"/>
        <w:rPr>
          <w:rFonts w:ascii="ITC Avant Garde" w:hAnsi="ITC Avant Garde"/>
          <w:color w:val="auto"/>
        </w:rPr>
      </w:pPr>
      <w:r w:rsidRPr="0070112E">
        <w:rPr>
          <w:rFonts w:ascii="ITC Avant Garde" w:hAnsi="ITC Avant Garde"/>
          <w:color w:val="auto"/>
        </w:rPr>
        <w:t>Indica</w:t>
      </w:r>
      <w:r w:rsidR="009C6F72">
        <w:rPr>
          <w:rFonts w:ascii="ITC Avant Garde" w:hAnsi="ITC Avant Garde"/>
          <w:color w:val="auto"/>
        </w:rPr>
        <w:t>n</w:t>
      </w:r>
      <w:r w:rsidRPr="0070112E">
        <w:rPr>
          <w:rFonts w:ascii="ITC Avant Garde" w:hAnsi="ITC Avant Garde"/>
          <w:color w:val="auto"/>
        </w:rPr>
        <w:t xml:space="preserve"> que se deben incluir las tarifas y las condiciones que aplicarán al servicio de </w:t>
      </w:r>
      <w:proofErr w:type="spellStart"/>
      <w:r w:rsidRPr="0070112E">
        <w:rPr>
          <w:rFonts w:ascii="ITC Avant Garde" w:hAnsi="ITC Avant Garde"/>
          <w:color w:val="auto"/>
        </w:rPr>
        <w:t>IoT</w:t>
      </w:r>
      <w:proofErr w:type="spellEnd"/>
      <w:r w:rsidRPr="0070112E">
        <w:rPr>
          <w:rFonts w:ascii="ITC Avant Garde" w:hAnsi="ITC Avant Garde"/>
          <w:color w:val="auto"/>
        </w:rPr>
        <w:t xml:space="preserve"> </w:t>
      </w:r>
      <w:r w:rsidRPr="0070112E">
        <w:rPr>
          <w:rFonts w:cs="Arial"/>
        </w:rPr>
        <w:t>(</w:t>
      </w:r>
      <w:r w:rsidRPr="0070112E">
        <w:rPr>
          <w:rFonts w:ascii="ITC Avant Garde" w:hAnsi="ITC Avant Garde"/>
          <w:i/>
          <w:color w:val="auto"/>
        </w:rPr>
        <w:t xml:space="preserve">“Internet of </w:t>
      </w:r>
      <w:proofErr w:type="spellStart"/>
      <w:r w:rsidRPr="0070112E">
        <w:rPr>
          <w:rFonts w:ascii="ITC Avant Garde" w:hAnsi="ITC Avant Garde"/>
          <w:i/>
          <w:color w:val="auto"/>
        </w:rPr>
        <w:t>Things</w:t>
      </w:r>
      <w:proofErr w:type="spellEnd"/>
      <w:r w:rsidRPr="0070112E">
        <w:rPr>
          <w:rFonts w:ascii="ITC Avant Garde" w:hAnsi="ITC Avant Garde"/>
          <w:i/>
          <w:color w:val="auto"/>
        </w:rPr>
        <w:t>”)</w:t>
      </w:r>
      <w:r w:rsidRPr="0070112E">
        <w:rPr>
          <w:rFonts w:cs="Arial"/>
        </w:rPr>
        <w:t xml:space="preserve"> </w:t>
      </w:r>
      <w:r w:rsidRPr="0070112E">
        <w:rPr>
          <w:rFonts w:ascii="ITC Avant Garde" w:hAnsi="ITC Avant Garde"/>
          <w:color w:val="auto"/>
        </w:rPr>
        <w:t>y M2M (</w:t>
      </w:r>
      <w:r w:rsidRPr="0070112E">
        <w:rPr>
          <w:rFonts w:ascii="ITC Avant Garde" w:hAnsi="ITC Avant Garde"/>
          <w:i/>
          <w:color w:val="auto"/>
        </w:rPr>
        <w:t>“Machine to Machine”</w:t>
      </w:r>
      <w:r w:rsidRPr="0070112E">
        <w:rPr>
          <w:rFonts w:ascii="ITC Avant Garde" w:hAnsi="ITC Avant Garde"/>
          <w:color w:val="auto"/>
        </w:rPr>
        <w:t>) para cumplir con el principio de equivalencia de insumos.</w:t>
      </w:r>
    </w:p>
    <w:p w14:paraId="56B7FF33" w14:textId="05E40810" w:rsidR="00804A40" w:rsidRDefault="00804A40" w:rsidP="002A524D">
      <w:pPr>
        <w:spacing w:after="0" w:line="276" w:lineRule="auto"/>
        <w:ind w:left="-851" w:right="49"/>
        <w:rPr>
          <w:rFonts w:ascii="ITC Avant Garde" w:hAnsi="ITC Avant Garde"/>
          <w:color w:val="auto"/>
        </w:rPr>
      </w:pPr>
    </w:p>
    <w:p w14:paraId="5C869AE9" w14:textId="737C4E5D" w:rsidR="00804A40" w:rsidRDefault="00804A40" w:rsidP="002A524D">
      <w:pPr>
        <w:spacing w:after="0" w:line="276" w:lineRule="auto"/>
        <w:ind w:left="-851" w:right="0" w:firstLine="0"/>
        <w:rPr>
          <w:rFonts w:ascii="ITC Avant Garde" w:hAnsi="ITC Avant Garde"/>
          <w:b/>
          <w:color w:val="auto"/>
        </w:rPr>
      </w:pPr>
      <w:r w:rsidRPr="00343A4F">
        <w:rPr>
          <w:rFonts w:ascii="ITC Avant Garde" w:hAnsi="ITC Avant Garde"/>
          <w:b/>
          <w:color w:val="auto"/>
        </w:rPr>
        <w:t xml:space="preserve">Consideraciones del Instituto </w:t>
      </w:r>
    </w:p>
    <w:p w14:paraId="357B261D" w14:textId="6236E69C" w:rsidR="00CE34AE" w:rsidRDefault="00807BAD" w:rsidP="00F6717B">
      <w:pPr>
        <w:spacing w:after="0" w:line="276" w:lineRule="auto"/>
        <w:ind w:left="-851" w:right="49"/>
        <w:rPr>
          <w:rFonts w:ascii="ITC Avant Garde" w:eastAsia="Calibri" w:hAnsi="ITC Avant Garde" w:cs="Arial"/>
          <w:color w:val="auto"/>
          <w:sz w:val="18"/>
          <w:szCs w:val="18"/>
          <w:lang w:eastAsia="en-US"/>
        </w:rPr>
      </w:pPr>
      <w:r w:rsidRPr="00807BAD">
        <w:rPr>
          <w:rFonts w:ascii="ITC Avant Garde" w:hAnsi="ITC Avant Garde"/>
          <w:color w:val="auto"/>
        </w:rPr>
        <w:t xml:space="preserve">Se señala que la Medida Septuagésima Octava de las Medidas Móviles </w:t>
      </w:r>
      <w:r w:rsidR="002513C0">
        <w:rPr>
          <w:rFonts w:ascii="ITC Avant Garde" w:hAnsi="ITC Avant Garde"/>
          <w:color w:val="auto"/>
        </w:rPr>
        <w:t>establece que el AEP deberá implementar la equivalencia de insumos en la provisión de servicios mayoristas regulados</w:t>
      </w:r>
      <w:r w:rsidR="00CA3244">
        <w:rPr>
          <w:rFonts w:ascii="ITC Avant Garde" w:hAnsi="ITC Avant Garde"/>
          <w:color w:val="auto"/>
        </w:rPr>
        <w:t xml:space="preserve"> y que se verificará</w:t>
      </w:r>
      <w:r w:rsidR="00CE34AE">
        <w:rPr>
          <w:rFonts w:ascii="ITC Avant Garde" w:hAnsi="ITC Avant Garde"/>
          <w:color w:val="auto"/>
        </w:rPr>
        <w:t xml:space="preserve"> la no discriminación mediante los Indicadores clave de Desempeño (ICD)</w:t>
      </w:r>
      <w:r w:rsidR="00F6717B">
        <w:rPr>
          <w:rFonts w:ascii="ITC Avant Garde" w:hAnsi="ITC Avant Garde"/>
          <w:color w:val="auto"/>
        </w:rPr>
        <w:t>.</w:t>
      </w:r>
    </w:p>
    <w:p w14:paraId="3492F890" w14:textId="2FE15B87" w:rsidR="00A6610C" w:rsidRDefault="00A6610C" w:rsidP="002A524D">
      <w:pPr>
        <w:spacing w:after="0" w:line="276" w:lineRule="auto"/>
        <w:ind w:left="-851" w:right="615" w:firstLine="0"/>
        <w:jc w:val="right"/>
        <w:rPr>
          <w:rFonts w:ascii="ITC Avant Garde" w:eastAsia="Calibri" w:hAnsi="ITC Avant Garde" w:cs="Arial"/>
          <w:color w:val="auto"/>
          <w:sz w:val="18"/>
          <w:szCs w:val="18"/>
          <w:lang w:eastAsia="en-US"/>
        </w:rPr>
      </w:pPr>
    </w:p>
    <w:p w14:paraId="79FCC32A" w14:textId="15BB29F0" w:rsidR="001E2E57" w:rsidRDefault="00DA1773" w:rsidP="00F6717B">
      <w:pPr>
        <w:pStyle w:val="IFT1"/>
        <w:tabs>
          <w:tab w:val="left" w:pos="426"/>
        </w:tabs>
        <w:spacing w:after="0"/>
        <w:ind w:left="-851"/>
        <w:rPr>
          <w:rFonts w:cs="Arial"/>
        </w:rPr>
      </w:pPr>
      <w:r>
        <w:rPr>
          <w:rFonts w:cs="Arial"/>
        </w:rPr>
        <w:t>Por otra parte</w:t>
      </w:r>
      <w:r w:rsidR="00A6610C">
        <w:rPr>
          <w:rFonts w:cs="Arial"/>
        </w:rPr>
        <w:t xml:space="preserve">, en el </w:t>
      </w:r>
      <w:r w:rsidR="00C66597">
        <w:rPr>
          <w:rFonts w:cs="Arial"/>
        </w:rPr>
        <w:t xml:space="preserve">considerando segundo del </w:t>
      </w:r>
      <w:r w:rsidR="00A6610C">
        <w:rPr>
          <w:rFonts w:cs="Arial"/>
        </w:rPr>
        <w:t>Acuerdo de Indicadores Claves de Desempeño</w:t>
      </w:r>
      <w:r w:rsidR="003B56F4">
        <w:rPr>
          <w:rStyle w:val="Refdenotaalpie"/>
          <w:rFonts w:cs="Arial"/>
        </w:rPr>
        <w:footnoteReference w:id="4"/>
      </w:r>
      <w:r w:rsidR="00C66597">
        <w:rPr>
          <w:rFonts w:cs="Arial"/>
        </w:rPr>
        <w:t xml:space="preserve"> se establece que los ICD son métricas </w:t>
      </w:r>
      <w:r>
        <w:rPr>
          <w:rFonts w:cs="Arial"/>
        </w:rPr>
        <w:t xml:space="preserve">que </w:t>
      </w:r>
      <w:r w:rsidR="00C66597">
        <w:rPr>
          <w:rFonts w:cs="Arial"/>
        </w:rPr>
        <w:t>sirven como apoyo para monitorear el grado de implementació</w:t>
      </w:r>
      <w:r w:rsidR="00F6717B">
        <w:rPr>
          <w:rFonts w:cs="Arial"/>
        </w:rPr>
        <w:t>n de la equivalencia de insumos.</w:t>
      </w:r>
    </w:p>
    <w:p w14:paraId="484491B0" w14:textId="77777777" w:rsidR="00F6717B" w:rsidRDefault="00F6717B" w:rsidP="00F6717B">
      <w:pPr>
        <w:pStyle w:val="IFT1"/>
        <w:tabs>
          <w:tab w:val="left" w:pos="426"/>
        </w:tabs>
        <w:spacing w:after="0"/>
        <w:ind w:left="-851"/>
        <w:rPr>
          <w:rFonts w:cs="Arial"/>
        </w:rPr>
      </w:pPr>
    </w:p>
    <w:p w14:paraId="738127A0" w14:textId="13A38439" w:rsidR="00A6610C" w:rsidRPr="00DA1773" w:rsidRDefault="001C3C77" w:rsidP="002A524D">
      <w:pPr>
        <w:pStyle w:val="IFT1"/>
        <w:tabs>
          <w:tab w:val="left" w:pos="426"/>
        </w:tabs>
        <w:spacing w:after="0"/>
        <w:ind w:left="-851"/>
        <w:rPr>
          <w:rFonts w:cs="Arial"/>
        </w:rPr>
      </w:pPr>
      <w:r>
        <w:rPr>
          <w:rFonts w:cs="Arial"/>
        </w:rPr>
        <w:t>Asimismo, en el Acuerdo citado anteriormente se establecen los Indicadores Clave de Desempeño que deberá</w:t>
      </w:r>
      <w:r w:rsidR="00413478">
        <w:rPr>
          <w:rFonts w:cs="Arial"/>
        </w:rPr>
        <w:t xml:space="preserve"> reportar el AEP, por lo que es este el instrumento que se deberá utilizar para verificar la equivalencia de insumos.</w:t>
      </w:r>
    </w:p>
    <w:p w14:paraId="1CE49A7E" w14:textId="77777777" w:rsidR="00807BAD" w:rsidRDefault="00807BAD" w:rsidP="002A524D">
      <w:pPr>
        <w:spacing w:after="0" w:line="276" w:lineRule="auto"/>
        <w:ind w:left="-851" w:right="0" w:firstLine="0"/>
        <w:rPr>
          <w:rFonts w:ascii="ITC Avant Garde" w:hAnsi="ITC Avant Garde"/>
          <w:b/>
          <w:color w:val="auto"/>
        </w:rPr>
      </w:pPr>
    </w:p>
    <w:p w14:paraId="085A7AB2" w14:textId="75C28DC8" w:rsidR="00413478" w:rsidRDefault="00F6717B" w:rsidP="002A524D">
      <w:pPr>
        <w:pStyle w:val="IFT1"/>
        <w:tabs>
          <w:tab w:val="left" w:pos="426"/>
        </w:tabs>
        <w:spacing w:after="0"/>
        <w:ind w:left="-851"/>
        <w:rPr>
          <w:rFonts w:cs="Arial"/>
          <w:snapToGrid w:val="0"/>
        </w:rPr>
      </w:pPr>
      <w:r>
        <w:rPr>
          <w:rFonts w:cs="Arial"/>
        </w:rPr>
        <w:t>Respecto a las condiciones para la prestación del servicio</w:t>
      </w:r>
      <w:r w:rsidR="00413478">
        <w:rPr>
          <w:rFonts w:cs="Arial"/>
        </w:rPr>
        <w:t>, la O</w:t>
      </w:r>
      <w:r w:rsidR="00413478" w:rsidRPr="008B579D">
        <w:rPr>
          <w:rFonts w:cs="Arial"/>
        </w:rPr>
        <w:t xml:space="preserve">ferta contempla la prestación de servicios como </w:t>
      </w:r>
      <w:proofErr w:type="spellStart"/>
      <w:r w:rsidR="00413478" w:rsidRPr="008B579D">
        <w:rPr>
          <w:rFonts w:cs="Arial"/>
        </w:rPr>
        <w:t>IoT</w:t>
      </w:r>
      <w:proofErr w:type="spellEnd"/>
      <w:r w:rsidR="00413478" w:rsidRPr="008B579D">
        <w:rPr>
          <w:rFonts w:cs="Arial"/>
        </w:rPr>
        <w:t xml:space="preserve">, </w:t>
      </w:r>
      <w:r w:rsidR="00413478">
        <w:rPr>
          <w:rFonts w:cs="Arial"/>
        </w:rPr>
        <w:t>M2M</w:t>
      </w:r>
      <w:r w:rsidR="00413478" w:rsidRPr="008B579D">
        <w:rPr>
          <w:rFonts w:cs="Arial"/>
        </w:rPr>
        <w:t xml:space="preserve"> y servicios de internet en el hogar o </w:t>
      </w:r>
      <w:r w:rsidR="00413478" w:rsidRPr="008B579D">
        <w:rPr>
          <w:rFonts w:cs="Arial"/>
          <w:i/>
        </w:rPr>
        <w:t>“</w:t>
      </w:r>
      <w:proofErr w:type="spellStart"/>
      <w:r w:rsidR="00413478" w:rsidRPr="008B579D">
        <w:rPr>
          <w:rFonts w:cs="Arial"/>
          <w:i/>
        </w:rPr>
        <w:t>Fixed</w:t>
      </w:r>
      <w:proofErr w:type="spellEnd"/>
      <w:r w:rsidR="00413478" w:rsidRPr="008B579D">
        <w:rPr>
          <w:rFonts w:cs="Arial"/>
          <w:i/>
        </w:rPr>
        <w:t>-Wireless”</w:t>
      </w:r>
      <w:r w:rsidR="00413478" w:rsidRPr="008B579D">
        <w:rPr>
          <w:rFonts w:cs="Arial"/>
        </w:rPr>
        <w:t xml:space="preserve">, tal como establece </w:t>
      </w:r>
      <w:r w:rsidR="00413478" w:rsidRPr="008B579D">
        <w:rPr>
          <w:rFonts w:cs="Arial"/>
          <w:snapToGrid w:val="0"/>
        </w:rPr>
        <w:t>la definición de “Funcionalidades o aplicaciones para servicios de datos”:</w:t>
      </w:r>
    </w:p>
    <w:p w14:paraId="1221B7FD" w14:textId="77777777" w:rsidR="00413478" w:rsidRPr="00494069" w:rsidRDefault="00413478" w:rsidP="002A524D">
      <w:pPr>
        <w:pStyle w:val="IFT1"/>
        <w:tabs>
          <w:tab w:val="left" w:pos="426"/>
        </w:tabs>
        <w:spacing w:after="0"/>
        <w:ind w:left="-851"/>
        <w:rPr>
          <w:rFonts w:cs="Arial"/>
          <w:snapToGrid w:val="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5317"/>
      </w:tblGrid>
      <w:tr w:rsidR="00413478" w:rsidRPr="00494069" w14:paraId="2D00B309" w14:textId="77777777" w:rsidTr="00494069">
        <w:tc>
          <w:tcPr>
            <w:tcW w:w="2742" w:type="dxa"/>
          </w:tcPr>
          <w:p w14:paraId="329C16AA" w14:textId="77777777" w:rsidR="00413478" w:rsidRPr="00494069" w:rsidRDefault="00413478" w:rsidP="00494069">
            <w:pPr>
              <w:spacing w:after="0" w:line="276" w:lineRule="auto"/>
              <w:ind w:left="-250" w:right="612"/>
              <w:jc w:val="right"/>
              <w:rPr>
                <w:rFonts w:ascii="ITC Avant Garde" w:hAnsi="ITC Avant Garde" w:cs="Arial"/>
                <w:i/>
                <w:spacing w:val="-1"/>
                <w:sz w:val="18"/>
                <w:szCs w:val="18"/>
              </w:rPr>
            </w:pPr>
            <w:r w:rsidRPr="00494069">
              <w:rPr>
                <w:rFonts w:ascii="ITC Avant Garde" w:hAnsi="ITC Avant Garde" w:cs="Arial"/>
                <w:i/>
                <w:spacing w:val="-1"/>
                <w:sz w:val="18"/>
                <w:szCs w:val="18"/>
              </w:rPr>
              <w:t>“Funcionalidades o aplicaciones para servicios de datos:</w:t>
            </w:r>
          </w:p>
        </w:tc>
        <w:tc>
          <w:tcPr>
            <w:tcW w:w="5495" w:type="dxa"/>
          </w:tcPr>
          <w:p w14:paraId="291E429D" w14:textId="77777777" w:rsidR="00413478" w:rsidRPr="00494069" w:rsidRDefault="00413478" w:rsidP="00494069">
            <w:pPr>
              <w:spacing w:after="0" w:line="276" w:lineRule="auto"/>
              <w:ind w:left="-11" w:right="612"/>
              <w:rPr>
                <w:rFonts w:ascii="ITC Avant Garde" w:hAnsi="ITC Avant Garde" w:cs="Arial"/>
                <w:i/>
                <w:spacing w:val="-1"/>
                <w:sz w:val="18"/>
                <w:szCs w:val="18"/>
              </w:rPr>
            </w:pPr>
            <w:r w:rsidRPr="00494069">
              <w:rPr>
                <w:rFonts w:ascii="ITC Avant Garde" w:hAnsi="ITC Avant Garde" w:cs="Arial"/>
                <w:i/>
                <w:spacing w:val="-1"/>
                <w:sz w:val="18"/>
                <w:szCs w:val="18"/>
              </w:rPr>
              <w:t>Funcionalidades o aplicaciones para servicios de datos como son servicios Máquina a Máquina (M2M), Internet de las Cosas (</w:t>
            </w:r>
            <w:proofErr w:type="spellStart"/>
            <w:r w:rsidRPr="00494069">
              <w:rPr>
                <w:rFonts w:ascii="ITC Avant Garde" w:hAnsi="ITC Avant Garde" w:cs="Arial"/>
                <w:i/>
                <w:spacing w:val="-1"/>
                <w:sz w:val="18"/>
                <w:szCs w:val="18"/>
              </w:rPr>
              <w:t>IoT</w:t>
            </w:r>
            <w:proofErr w:type="spellEnd"/>
            <w:r w:rsidRPr="00494069">
              <w:rPr>
                <w:rFonts w:ascii="ITC Avant Garde" w:hAnsi="ITC Avant Garde" w:cs="Arial"/>
                <w:i/>
                <w:spacing w:val="-1"/>
                <w:sz w:val="18"/>
                <w:szCs w:val="18"/>
              </w:rPr>
              <w:t xml:space="preserve">) </w:t>
            </w:r>
            <w:r w:rsidRPr="00494069">
              <w:rPr>
                <w:rFonts w:ascii="ITC Avant Garde" w:hAnsi="ITC Avant Garde" w:cs="Arial"/>
                <w:i/>
                <w:spacing w:val="-1"/>
                <w:sz w:val="18"/>
                <w:szCs w:val="18"/>
                <w:u w:val="single"/>
              </w:rPr>
              <w:t>y/o servicios de internet en el hogar.</w:t>
            </w:r>
            <w:r w:rsidRPr="00494069">
              <w:rPr>
                <w:rFonts w:ascii="ITC Avant Garde" w:hAnsi="ITC Avant Garde" w:cs="Arial"/>
                <w:i/>
                <w:spacing w:val="-1"/>
                <w:sz w:val="18"/>
                <w:szCs w:val="18"/>
              </w:rPr>
              <w:t xml:space="preserve"> Las Partes reconocen que los funcionalidades o aplicaciones para servicios de datos como Internet de las cosas y/o Máquina a Máquina deberán apegarse, de manera no limitativa, a los estándares y recomendaciones de la GSMA. “</w:t>
            </w:r>
          </w:p>
          <w:p w14:paraId="08EE461F" w14:textId="77777777" w:rsidR="00413478" w:rsidRPr="00494069" w:rsidRDefault="00413478" w:rsidP="002A524D">
            <w:pPr>
              <w:spacing w:after="0" w:line="276" w:lineRule="auto"/>
              <w:ind w:left="-851" w:right="612"/>
              <w:jc w:val="right"/>
              <w:rPr>
                <w:rFonts w:ascii="ITC Avant Garde" w:hAnsi="ITC Avant Garde" w:cs="Arial"/>
                <w:spacing w:val="-1"/>
                <w:sz w:val="18"/>
                <w:szCs w:val="18"/>
              </w:rPr>
            </w:pPr>
            <w:r w:rsidRPr="00494069">
              <w:rPr>
                <w:rFonts w:ascii="ITC Avant Garde" w:hAnsi="ITC Avant Garde" w:cs="Arial"/>
                <w:spacing w:val="-1"/>
                <w:sz w:val="18"/>
                <w:szCs w:val="18"/>
              </w:rPr>
              <w:t>Énfasis añadido</w:t>
            </w:r>
          </w:p>
          <w:p w14:paraId="3804D8DF" w14:textId="77777777" w:rsidR="00413478" w:rsidRPr="00494069" w:rsidRDefault="00413478" w:rsidP="002A524D">
            <w:pPr>
              <w:spacing w:after="0" w:line="276" w:lineRule="auto"/>
              <w:ind w:left="-851" w:right="612"/>
              <w:rPr>
                <w:rFonts w:ascii="ITC Avant Garde" w:hAnsi="ITC Avant Garde" w:cs="Arial"/>
                <w:i/>
                <w:spacing w:val="-1"/>
                <w:sz w:val="18"/>
                <w:szCs w:val="18"/>
              </w:rPr>
            </w:pPr>
          </w:p>
        </w:tc>
      </w:tr>
    </w:tbl>
    <w:p w14:paraId="0EE139D0" w14:textId="77777777" w:rsidR="00413478" w:rsidRDefault="00413478" w:rsidP="002A524D">
      <w:pPr>
        <w:pStyle w:val="IFT1"/>
        <w:tabs>
          <w:tab w:val="left" w:pos="426"/>
        </w:tabs>
        <w:spacing w:after="0"/>
        <w:ind w:left="-851"/>
        <w:rPr>
          <w:rFonts w:cs="Arial"/>
        </w:rPr>
      </w:pPr>
      <w:r>
        <w:rPr>
          <w:rFonts w:cs="Arial"/>
        </w:rPr>
        <w:lastRenderedPageBreak/>
        <w:t>Asimismo, el numeral 6 “</w:t>
      </w:r>
      <w:r w:rsidRPr="001B1A62">
        <w:t>Funcionalidades o aplicaciones para datos</w:t>
      </w:r>
      <w:r>
        <w:t>” establece que las partes deberán acordar las condiciones y tarifas para la prestación de estos servicios</w:t>
      </w:r>
      <w:r>
        <w:rPr>
          <w:rFonts w:cs="Arial"/>
        </w:rPr>
        <w:t>:</w:t>
      </w:r>
    </w:p>
    <w:p w14:paraId="7173965C" w14:textId="77777777" w:rsidR="00413478" w:rsidRDefault="00413478" w:rsidP="002A524D">
      <w:pPr>
        <w:pStyle w:val="IFT1"/>
        <w:tabs>
          <w:tab w:val="left" w:pos="426"/>
        </w:tabs>
        <w:spacing w:after="0"/>
        <w:ind w:left="-851"/>
        <w:rPr>
          <w:rFonts w:cs="Arial"/>
        </w:rPr>
      </w:pPr>
    </w:p>
    <w:p w14:paraId="7A5C314B" w14:textId="77777777" w:rsidR="00413478" w:rsidRPr="00D57705" w:rsidRDefault="00413478" w:rsidP="00A90CB9">
      <w:pPr>
        <w:spacing w:after="0" w:line="276" w:lineRule="auto"/>
        <w:ind w:left="-284" w:right="615" w:firstLine="0"/>
        <w:rPr>
          <w:rFonts w:ascii="ITC Avant Garde" w:eastAsia="Calibri" w:hAnsi="ITC Avant Garde" w:cs="Arial"/>
          <w:i/>
          <w:color w:val="auto"/>
          <w:sz w:val="18"/>
          <w:szCs w:val="18"/>
          <w:lang w:eastAsia="en-US"/>
        </w:rPr>
      </w:pPr>
      <w:r w:rsidRPr="005704FE">
        <w:rPr>
          <w:rFonts w:ascii="ITC Avant Garde" w:eastAsia="Calibri" w:hAnsi="ITC Avant Garde" w:cs="Arial"/>
          <w:i/>
          <w:color w:val="auto"/>
          <w:sz w:val="18"/>
          <w:szCs w:val="18"/>
          <w:lang w:eastAsia="en-US"/>
        </w:rPr>
        <w:t>“</w:t>
      </w:r>
      <w:r w:rsidRPr="00D57705">
        <w:rPr>
          <w:rFonts w:ascii="ITC Avant Garde" w:eastAsia="Calibri" w:hAnsi="ITC Avant Garde" w:cs="Arial"/>
          <w:i/>
          <w:color w:val="auto"/>
          <w:sz w:val="18"/>
          <w:szCs w:val="18"/>
          <w:lang w:eastAsia="en-US"/>
        </w:rPr>
        <w:t>6. FUNCIONALIDADES O APLICACIONES PARA SERVICIOS DE DATOS.</w:t>
      </w:r>
    </w:p>
    <w:p w14:paraId="3DDBFD69" w14:textId="77777777" w:rsidR="00413478" w:rsidRPr="00D57705" w:rsidRDefault="00413478" w:rsidP="00A90CB9">
      <w:pPr>
        <w:spacing w:after="0" w:line="276" w:lineRule="auto"/>
        <w:ind w:left="-284" w:right="615" w:firstLine="0"/>
        <w:rPr>
          <w:rFonts w:ascii="ITC Avant Garde" w:eastAsia="Calibri" w:hAnsi="ITC Avant Garde" w:cs="Arial"/>
          <w:i/>
          <w:color w:val="auto"/>
          <w:sz w:val="18"/>
          <w:szCs w:val="18"/>
          <w:lang w:eastAsia="en-US"/>
        </w:rPr>
      </w:pPr>
    </w:p>
    <w:p w14:paraId="3B958607" w14:textId="77777777" w:rsidR="00413478" w:rsidRPr="00D57705" w:rsidRDefault="00413478" w:rsidP="00A90CB9">
      <w:pPr>
        <w:spacing w:after="0" w:line="276" w:lineRule="auto"/>
        <w:ind w:left="-284" w:right="615" w:firstLine="0"/>
        <w:rPr>
          <w:rFonts w:ascii="ITC Avant Garde" w:eastAsia="Calibri" w:hAnsi="ITC Avant Garde" w:cs="Arial"/>
          <w:i/>
          <w:color w:val="auto"/>
          <w:sz w:val="18"/>
          <w:szCs w:val="18"/>
          <w:lang w:eastAsia="en-US"/>
        </w:rPr>
      </w:pPr>
      <w:r w:rsidRPr="00D57705">
        <w:rPr>
          <w:rFonts w:ascii="ITC Avant Garde" w:eastAsia="Calibri" w:hAnsi="ITC Avant Garde" w:cs="Arial"/>
          <w:i/>
          <w:color w:val="auto"/>
          <w:sz w:val="18"/>
          <w:szCs w:val="18"/>
          <w:lang w:eastAsia="en-US"/>
        </w:rPr>
        <w:t>Las Partes acordarán las condiciones y las tarifas para la prestación de las Funcionalidades o Aplicaciones para Servicios de Datos que el OMV deberá pagar a Telcel por: uso de red (señalización), usuario activo, volumen diario/mensual y/o por la configuración necesaria para actualizar la ubicación permitida, en los servicios que así lo requieran.</w:t>
      </w:r>
    </w:p>
    <w:p w14:paraId="72438F0F" w14:textId="77777777" w:rsidR="00413478" w:rsidRPr="00D57705" w:rsidRDefault="00413478" w:rsidP="00A90CB9">
      <w:pPr>
        <w:spacing w:after="0" w:line="276" w:lineRule="auto"/>
        <w:ind w:left="-284" w:right="615" w:firstLine="0"/>
        <w:rPr>
          <w:rFonts w:ascii="ITC Avant Garde" w:eastAsia="Calibri" w:hAnsi="ITC Avant Garde" w:cs="Arial"/>
          <w:i/>
          <w:color w:val="auto"/>
          <w:sz w:val="18"/>
          <w:szCs w:val="18"/>
          <w:lang w:eastAsia="en-US"/>
        </w:rPr>
      </w:pPr>
    </w:p>
    <w:p w14:paraId="24D42E75" w14:textId="77777777" w:rsidR="00413478" w:rsidRPr="005704FE" w:rsidRDefault="00413478" w:rsidP="00A90CB9">
      <w:pPr>
        <w:spacing w:after="0" w:line="276" w:lineRule="auto"/>
        <w:ind w:left="-284" w:right="615" w:firstLine="0"/>
        <w:rPr>
          <w:rFonts w:ascii="ITC Avant Garde" w:eastAsia="Calibri" w:hAnsi="ITC Avant Garde" w:cs="Arial"/>
          <w:i/>
          <w:color w:val="auto"/>
          <w:sz w:val="18"/>
          <w:szCs w:val="18"/>
          <w:lang w:eastAsia="en-US"/>
        </w:rPr>
      </w:pPr>
      <w:r w:rsidRPr="00D57705">
        <w:rPr>
          <w:rFonts w:ascii="ITC Avant Garde" w:eastAsia="Calibri" w:hAnsi="ITC Avant Garde" w:cs="Arial"/>
          <w:i/>
          <w:color w:val="auto"/>
          <w:sz w:val="18"/>
          <w:szCs w:val="18"/>
          <w:lang w:eastAsia="en-US"/>
        </w:rPr>
        <w:t>El OMV de conformidad con las recomendaciones de la GSMA deberá indicar Rangos de IMSI, APN y/o PLMN específicos para la prestación del servicio correspondiente.</w:t>
      </w:r>
      <w:r w:rsidRPr="005704FE">
        <w:rPr>
          <w:rFonts w:ascii="ITC Avant Garde" w:eastAsia="Calibri" w:hAnsi="ITC Avant Garde" w:cs="Arial"/>
          <w:i/>
          <w:color w:val="auto"/>
          <w:sz w:val="18"/>
          <w:szCs w:val="18"/>
          <w:lang w:eastAsia="en-US"/>
        </w:rPr>
        <w:t xml:space="preserve"> “</w:t>
      </w:r>
    </w:p>
    <w:p w14:paraId="7B0709A7" w14:textId="77777777" w:rsidR="00413478" w:rsidRDefault="00413478" w:rsidP="002A524D">
      <w:pPr>
        <w:spacing w:after="0" w:line="276" w:lineRule="auto"/>
        <w:ind w:left="-851" w:right="612"/>
        <w:rPr>
          <w:rFonts w:ascii="ITC Avant Garde" w:hAnsi="ITC Avant Garde" w:cs="Arial"/>
          <w:i/>
          <w:spacing w:val="-1"/>
          <w:sz w:val="18"/>
          <w:szCs w:val="18"/>
        </w:rPr>
      </w:pPr>
    </w:p>
    <w:p w14:paraId="580A52FD" w14:textId="4621D558" w:rsidR="00413478" w:rsidRDefault="00413478" w:rsidP="002A524D">
      <w:pPr>
        <w:pStyle w:val="IFT1"/>
        <w:tabs>
          <w:tab w:val="left" w:pos="426"/>
        </w:tabs>
        <w:spacing w:after="0"/>
        <w:ind w:left="-851"/>
        <w:rPr>
          <w:rFonts w:cs="Arial"/>
        </w:rPr>
      </w:pPr>
      <w:r>
        <w:rPr>
          <w:rFonts w:cs="Arial"/>
          <w:snapToGrid w:val="0"/>
        </w:rPr>
        <w:t>Por lo anterior, la Oferta se mantiene en los mismos términos.</w:t>
      </w:r>
    </w:p>
    <w:p w14:paraId="1773BF85" w14:textId="0A3F8913" w:rsidR="007D41E5" w:rsidRDefault="007D41E5" w:rsidP="002A524D">
      <w:pPr>
        <w:spacing w:after="0" w:line="276" w:lineRule="auto"/>
        <w:ind w:left="-851" w:right="49"/>
        <w:rPr>
          <w:rFonts w:ascii="ITC Avant Garde" w:hAnsi="ITC Avant Garde"/>
          <w:color w:val="auto"/>
        </w:rPr>
      </w:pPr>
    </w:p>
    <w:p w14:paraId="59DB973F" w14:textId="1E218336" w:rsidR="007D41E5" w:rsidRDefault="007D41E5" w:rsidP="002A524D">
      <w:pPr>
        <w:spacing w:after="0" w:line="276" w:lineRule="auto"/>
        <w:ind w:left="-851" w:right="49"/>
        <w:rPr>
          <w:rFonts w:ascii="ITC Avant Garde" w:hAnsi="ITC Avant Garde"/>
          <w:b/>
          <w:color w:val="auto"/>
        </w:rPr>
      </w:pPr>
      <w:r w:rsidRPr="007D41E5">
        <w:rPr>
          <w:rFonts w:ascii="ITC Avant Garde" w:hAnsi="ITC Avant Garde"/>
          <w:b/>
          <w:color w:val="auto"/>
        </w:rPr>
        <w:t>ANEXO C ACUERDO DE PRESTACIÓN DE SERVICIOS DE GESTIÓN</w:t>
      </w:r>
    </w:p>
    <w:p w14:paraId="03092CB2" w14:textId="2595E497" w:rsidR="00F52DEB" w:rsidRPr="00F52DEB" w:rsidRDefault="00F52DEB" w:rsidP="002A524D">
      <w:pPr>
        <w:spacing w:after="0" w:line="276" w:lineRule="auto"/>
        <w:ind w:left="-851" w:right="0" w:firstLine="0"/>
        <w:rPr>
          <w:rFonts w:ascii="ITC Avant Garde" w:hAnsi="ITC Avant Garde"/>
          <w:b/>
          <w:color w:val="auto"/>
          <w:u w:val="single"/>
        </w:rPr>
      </w:pPr>
      <w:r>
        <w:rPr>
          <w:rFonts w:ascii="ITC Avant Garde" w:hAnsi="ITC Avant Garde"/>
          <w:b/>
          <w:color w:val="auto"/>
          <w:u w:val="single"/>
        </w:rPr>
        <w:t>V. E</w:t>
      </w:r>
      <w:r w:rsidRPr="00F52DEB">
        <w:rPr>
          <w:rFonts w:ascii="ITC Avant Garde" w:hAnsi="ITC Avant Garde"/>
          <w:b/>
          <w:color w:val="auto"/>
          <w:u w:val="single"/>
        </w:rPr>
        <w:t xml:space="preserve">ntrega </w:t>
      </w:r>
      <w:r>
        <w:rPr>
          <w:rFonts w:ascii="ITC Avant Garde" w:hAnsi="ITC Avant Garde"/>
          <w:b/>
          <w:color w:val="auto"/>
          <w:u w:val="single"/>
        </w:rPr>
        <w:t>de Información de Telcel al OMV</w:t>
      </w:r>
    </w:p>
    <w:p w14:paraId="770F8792" w14:textId="2E0859BF" w:rsidR="00F52DEB" w:rsidRDefault="00F52DEB" w:rsidP="002A524D">
      <w:pPr>
        <w:spacing w:after="0" w:line="276" w:lineRule="auto"/>
        <w:ind w:left="-851" w:right="49"/>
        <w:rPr>
          <w:rFonts w:ascii="ITC Avant Garde" w:hAnsi="ITC Avant Garde"/>
          <w:b/>
          <w:color w:val="auto"/>
        </w:rPr>
      </w:pPr>
      <w:r>
        <w:rPr>
          <w:rFonts w:ascii="ITC Avant Garde" w:hAnsi="ITC Avant Garde"/>
          <w:b/>
          <w:color w:val="auto"/>
        </w:rPr>
        <w:t>Axtel</w:t>
      </w:r>
      <w:r w:rsidR="00B35295">
        <w:rPr>
          <w:rFonts w:ascii="ITC Avant Garde" w:hAnsi="ITC Avant Garde"/>
          <w:b/>
          <w:color w:val="auto"/>
        </w:rPr>
        <w:t>, CANIETI</w:t>
      </w:r>
      <w:r>
        <w:rPr>
          <w:rFonts w:ascii="ITC Avant Garde" w:hAnsi="ITC Avant Garde"/>
          <w:b/>
          <w:color w:val="auto"/>
        </w:rPr>
        <w:t>:</w:t>
      </w:r>
    </w:p>
    <w:p w14:paraId="258E2DA4" w14:textId="3C3AD0F4" w:rsidR="00F52DEB" w:rsidRDefault="00F52DEB" w:rsidP="002A524D">
      <w:pPr>
        <w:pStyle w:val="IFT1"/>
        <w:tabs>
          <w:tab w:val="left" w:pos="426"/>
        </w:tabs>
        <w:spacing w:after="0"/>
        <w:ind w:left="-851"/>
      </w:pPr>
      <w:r>
        <w:t>Señala</w:t>
      </w:r>
      <w:r w:rsidR="00B35295">
        <w:t>n</w:t>
      </w:r>
      <w:r>
        <w:t xml:space="preserve"> que no se establecen herramientas digitales que garanticen la seguridad y la integridad de la información, ni la generación del acuse electrónico correspondiente.</w:t>
      </w:r>
    </w:p>
    <w:p w14:paraId="39BD8681" w14:textId="2CEBB3EE" w:rsidR="0095640A" w:rsidRDefault="0095640A" w:rsidP="002A524D">
      <w:pPr>
        <w:pStyle w:val="IFT1"/>
        <w:tabs>
          <w:tab w:val="left" w:pos="426"/>
        </w:tabs>
        <w:spacing w:after="0"/>
        <w:ind w:left="-851"/>
      </w:pPr>
    </w:p>
    <w:p w14:paraId="4B173025" w14:textId="77777777" w:rsidR="0095640A" w:rsidRDefault="0095640A" w:rsidP="002A524D">
      <w:pPr>
        <w:spacing w:after="0" w:line="276" w:lineRule="auto"/>
        <w:ind w:left="-851" w:right="49"/>
        <w:rPr>
          <w:rFonts w:ascii="ITC Avant Garde" w:hAnsi="ITC Avant Garde"/>
          <w:color w:val="auto"/>
          <w:lang w:val="es-ES_tradnl"/>
        </w:rPr>
      </w:pPr>
      <w:r w:rsidRPr="00343A4F">
        <w:rPr>
          <w:rFonts w:ascii="ITC Avant Garde" w:hAnsi="ITC Avant Garde"/>
          <w:b/>
          <w:color w:val="auto"/>
        </w:rPr>
        <w:t>Consideraciones del Instituto</w:t>
      </w:r>
    </w:p>
    <w:p w14:paraId="50C38DA6" w14:textId="23B3038D" w:rsidR="00366217" w:rsidRDefault="00366217" w:rsidP="002A524D">
      <w:pPr>
        <w:pStyle w:val="IFT1"/>
        <w:tabs>
          <w:tab w:val="left" w:pos="426"/>
        </w:tabs>
        <w:spacing w:after="0"/>
        <w:ind w:left="-851"/>
      </w:pPr>
      <w:r>
        <w:t>Se señala que el li</w:t>
      </w:r>
      <w:r w:rsidR="00634798">
        <w:t>neamiento cuarto transitorio</w:t>
      </w:r>
      <w:r>
        <w:t xml:space="preserve"> de los </w:t>
      </w:r>
      <w:r w:rsidR="00837839" w:rsidRPr="0038334D">
        <w:t>Lineamientos de Seguridad</w:t>
      </w:r>
      <w:r w:rsidR="00837839" w:rsidRPr="0038334D">
        <w:rPr>
          <w:vertAlign w:val="superscript"/>
        </w:rPr>
        <w:footnoteReference w:id="5"/>
      </w:r>
      <w:r>
        <w:t xml:space="preserve"> </w:t>
      </w:r>
      <w:r w:rsidR="00764712">
        <w:t xml:space="preserve">establece que </w:t>
      </w:r>
      <w:r w:rsidR="00634798">
        <w:t>tanto los</w:t>
      </w:r>
      <w:r w:rsidR="00764712" w:rsidRPr="00366217">
        <w:t xml:space="preserve"> concesionario</w:t>
      </w:r>
      <w:r w:rsidR="00634798">
        <w:t>s como</w:t>
      </w:r>
      <w:r w:rsidR="00764712" w:rsidRPr="00366217">
        <w:t xml:space="preserve"> autorizado</w:t>
      </w:r>
      <w:r w:rsidR="00634798">
        <w:t>s son</w:t>
      </w:r>
      <w:r w:rsidR="00764712" w:rsidRPr="00366217">
        <w:t xml:space="preserve"> responsable</w:t>
      </w:r>
      <w:r w:rsidR="00634798">
        <w:t>s</w:t>
      </w:r>
      <w:r w:rsidR="00764712" w:rsidRPr="00366217">
        <w:t xml:space="preserve"> de implementar la Plataforma Electrónica para atender los requerimientos de los </w:t>
      </w:r>
      <w:r w:rsidR="00F21EC8">
        <w:t>números geográficos que tienen asignados, tal como se muestra a continuación:</w:t>
      </w:r>
    </w:p>
    <w:p w14:paraId="7A851A37" w14:textId="0B22CCC8" w:rsidR="00634798" w:rsidRDefault="00634798" w:rsidP="002A524D">
      <w:pPr>
        <w:pStyle w:val="IFT1"/>
        <w:tabs>
          <w:tab w:val="left" w:pos="426"/>
        </w:tabs>
        <w:spacing w:after="0"/>
        <w:ind w:left="-851"/>
      </w:pPr>
    </w:p>
    <w:p w14:paraId="5116CA3B" w14:textId="7C5ECD96" w:rsidR="00634798" w:rsidRDefault="00634798" w:rsidP="00A90CB9">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roofErr w:type="gramStart"/>
      <w:r w:rsidRPr="00634798">
        <w:rPr>
          <w:rFonts w:ascii="ITC Avant Garde" w:eastAsia="Calibri" w:hAnsi="ITC Avant Garde" w:cs="Arial"/>
          <w:i/>
          <w:color w:val="auto"/>
          <w:sz w:val="18"/>
          <w:szCs w:val="18"/>
          <w:lang w:eastAsia="en-US"/>
        </w:rPr>
        <w:t>CUARTO.-</w:t>
      </w:r>
      <w:proofErr w:type="gramEnd"/>
      <w:r w:rsidRPr="00634798">
        <w:rPr>
          <w:rFonts w:ascii="ITC Avant Garde" w:eastAsia="Calibri" w:hAnsi="ITC Avant Garde" w:cs="Arial"/>
          <w:i/>
          <w:color w:val="auto"/>
          <w:sz w:val="18"/>
          <w:szCs w:val="18"/>
          <w:lang w:eastAsia="en-US"/>
        </w:rPr>
        <w:t xml:space="preserve"> Los Concesionarios y Autorizados deberán implementar la Plataforma Electrónica prevista en el lineamiento OCTAVO en un plazo de 24 meses contados a partir de la entrada en vigor del presente Acuerdo.</w:t>
      </w:r>
    </w:p>
    <w:p w14:paraId="5C01EBE7" w14:textId="48D4C17C" w:rsidR="00634798" w:rsidRDefault="00634798" w:rsidP="00A90CB9">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00125517">
        <w:rPr>
          <w:rFonts w:ascii="ITC Avant Garde" w:eastAsia="Calibri" w:hAnsi="ITC Avant Garde" w:cs="Arial"/>
          <w:i/>
          <w:color w:val="auto"/>
          <w:sz w:val="18"/>
          <w:szCs w:val="18"/>
          <w:lang w:eastAsia="en-US"/>
        </w:rPr>
        <w:t>”</w:t>
      </w:r>
    </w:p>
    <w:p w14:paraId="7081A0E9" w14:textId="7FC8F200" w:rsidR="00634798" w:rsidRDefault="00634798" w:rsidP="00A90CB9">
      <w:pPr>
        <w:spacing w:after="0" w:line="276" w:lineRule="auto"/>
        <w:ind w:left="-284" w:right="615" w:firstLine="0"/>
        <w:rPr>
          <w:rFonts w:ascii="ITC Avant Garde" w:eastAsia="Calibri" w:hAnsi="ITC Avant Garde" w:cs="Arial"/>
          <w:i/>
          <w:color w:val="auto"/>
          <w:sz w:val="18"/>
          <w:szCs w:val="18"/>
          <w:lang w:eastAsia="en-US"/>
        </w:rPr>
      </w:pPr>
    </w:p>
    <w:p w14:paraId="6923DA33" w14:textId="4F13CAB5" w:rsidR="00634798" w:rsidRPr="00366217" w:rsidRDefault="00634798" w:rsidP="003A1C8F">
      <w:pPr>
        <w:pStyle w:val="IFT1"/>
        <w:tabs>
          <w:tab w:val="left" w:pos="426"/>
        </w:tabs>
        <w:spacing w:after="0"/>
        <w:ind w:left="-851"/>
      </w:pPr>
      <w:r w:rsidRPr="00366217">
        <w:t>Asimis</w:t>
      </w:r>
      <w:r>
        <w:t xml:space="preserve">mo, el lineamiento octavo de los Lineamientos de Seguridad </w:t>
      </w:r>
      <w:r w:rsidRPr="00366217">
        <w:t>establece las características que deben cumplir estas plataformas</w:t>
      </w:r>
      <w:r>
        <w:t>:</w:t>
      </w:r>
    </w:p>
    <w:p w14:paraId="12D10659" w14:textId="6BDF2A95" w:rsidR="00F21EC8" w:rsidRDefault="00F21EC8" w:rsidP="00A90CB9">
      <w:pPr>
        <w:pStyle w:val="IFT1"/>
        <w:tabs>
          <w:tab w:val="left" w:pos="426"/>
        </w:tabs>
        <w:spacing w:after="0"/>
        <w:ind w:left="-284"/>
      </w:pPr>
    </w:p>
    <w:p w14:paraId="419C845A" w14:textId="2506B7FB" w:rsidR="00F21EC8" w:rsidRPr="00125517" w:rsidRDefault="00F21EC8" w:rsidP="00A90CB9">
      <w:pPr>
        <w:spacing w:after="0" w:line="276" w:lineRule="auto"/>
        <w:ind w:left="-284" w:right="615" w:firstLine="0"/>
        <w:rPr>
          <w:rFonts w:ascii="ITC Avant Garde" w:eastAsia="Calibri" w:hAnsi="ITC Avant Garde" w:cs="Arial"/>
          <w:i/>
          <w:color w:val="auto"/>
          <w:sz w:val="18"/>
          <w:szCs w:val="18"/>
          <w:lang w:eastAsia="en-US"/>
        </w:rPr>
      </w:pPr>
      <w:r w:rsidRPr="00125517">
        <w:rPr>
          <w:rFonts w:ascii="ITC Avant Garde" w:eastAsia="Calibri" w:hAnsi="ITC Avant Garde" w:cs="Arial"/>
          <w:i/>
          <w:color w:val="auto"/>
          <w:sz w:val="18"/>
          <w:szCs w:val="18"/>
          <w:lang w:eastAsia="en-US"/>
        </w:rPr>
        <w:t>“</w:t>
      </w:r>
      <w:proofErr w:type="gramStart"/>
      <w:r w:rsidRPr="00125517">
        <w:rPr>
          <w:rFonts w:ascii="ITC Avant Garde" w:eastAsia="Calibri" w:hAnsi="ITC Avant Garde" w:cs="Arial"/>
          <w:i/>
          <w:color w:val="auto"/>
          <w:sz w:val="18"/>
          <w:szCs w:val="18"/>
          <w:lang w:eastAsia="en-US"/>
        </w:rPr>
        <w:t>OCTAVO.-</w:t>
      </w:r>
      <w:proofErr w:type="gramEnd"/>
      <w:r w:rsidRPr="00125517">
        <w:rPr>
          <w:rFonts w:ascii="ITC Avant Garde" w:eastAsia="Calibri" w:hAnsi="ITC Avant Garde" w:cs="Arial"/>
          <w:i/>
          <w:color w:val="auto"/>
          <w:sz w:val="18"/>
          <w:szCs w:val="18"/>
          <w:lang w:eastAsia="en-US"/>
        </w:rPr>
        <w:t xml:space="preserve"> La o las Plataformas Electrónicas que los Concesionarios y Autorizados deberán utilizar para dar cumplimiento a los requerimientos electrónicos de localización geográfica en tiempo real de los equipos de comunicación móvil, así como de entrega </w:t>
      </w:r>
      <w:r w:rsidRPr="00125517">
        <w:rPr>
          <w:rFonts w:ascii="ITC Avant Garde" w:eastAsia="Calibri" w:hAnsi="ITC Avant Garde" w:cs="Arial"/>
          <w:i/>
          <w:color w:val="auto"/>
          <w:sz w:val="18"/>
          <w:szCs w:val="18"/>
          <w:lang w:eastAsia="en-US"/>
        </w:rPr>
        <w:lastRenderedPageBreak/>
        <w:t xml:space="preserve">de datos conservados por los Concesionarios y Autorizados, deberán contar con las siguientes características: </w:t>
      </w:r>
    </w:p>
    <w:p w14:paraId="0DCCED15" w14:textId="77777777" w:rsidR="00F21EC8" w:rsidRPr="00F21EC8" w:rsidRDefault="00F21EC8" w:rsidP="00A90CB9">
      <w:pPr>
        <w:spacing w:after="0" w:line="276" w:lineRule="auto"/>
        <w:ind w:left="-284" w:right="615" w:firstLine="0"/>
        <w:rPr>
          <w:rFonts w:ascii="ITC Avant Garde" w:eastAsia="Calibri" w:hAnsi="ITC Avant Garde" w:cs="Arial"/>
          <w:i/>
          <w:color w:val="auto"/>
          <w:sz w:val="18"/>
          <w:szCs w:val="18"/>
          <w:lang w:eastAsia="en-US"/>
        </w:rPr>
      </w:pPr>
    </w:p>
    <w:p w14:paraId="6B717D4E" w14:textId="209F6736" w:rsidR="00F21EC8" w:rsidRDefault="00F21EC8" w:rsidP="00A90CB9">
      <w:pPr>
        <w:pStyle w:val="Prrafodelista"/>
        <w:numPr>
          <w:ilvl w:val="0"/>
          <w:numId w:val="18"/>
        </w:numPr>
        <w:spacing w:after="0" w:line="276" w:lineRule="auto"/>
        <w:ind w:left="709" w:right="615"/>
        <w:rPr>
          <w:rFonts w:ascii="ITC Avant Garde" w:eastAsia="Calibri" w:hAnsi="ITC Avant Garde" w:cs="Arial"/>
          <w:i/>
          <w:color w:val="auto"/>
          <w:sz w:val="18"/>
          <w:szCs w:val="18"/>
          <w:lang w:eastAsia="en-US"/>
        </w:rPr>
      </w:pPr>
      <w:r w:rsidRPr="00125517">
        <w:rPr>
          <w:rFonts w:ascii="ITC Avant Garde" w:eastAsia="Calibri" w:hAnsi="ITC Avant Garde" w:cs="Arial"/>
          <w:i/>
          <w:color w:val="auto"/>
          <w:sz w:val="18"/>
          <w:szCs w:val="18"/>
          <w:u w:val="single"/>
          <w:lang w:eastAsia="en-US"/>
        </w:rPr>
        <w:t>Los Concesionarios y Autorizados deberán establecer Plataformas Electrónicas que garanticen la seguridad e integridad de la información</w:t>
      </w:r>
      <w:r w:rsidRPr="00125517">
        <w:rPr>
          <w:rFonts w:ascii="ITC Avant Garde" w:eastAsia="Calibri" w:hAnsi="ITC Avant Garde" w:cs="Arial"/>
          <w:i/>
          <w:color w:val="auto"/>
          <w:sz w:val="18"/>
          <w:szCs w:val="18"/>
          <w:lang w:eastAsia="en-US"/>
        </w:rPr>
        <w:t xml:space="preserve"> a efecto de proporcionar la información de localización geográfica en tiempo real y del registro de datos requerida por las Autoridades Designadas; en caso de que hayan convenido otros instrumentos o mecanismos con dichas autoridades, éstos deberán garantizar la seguridad e integridad de la información;</w:t>
      </w:r>
    </w:p>
    <w:p w14:paraId="1E473C64" w14:textId="254CCBDB" w:rsidR="00125517" w:rsidRPr="00125517" w:rsidRDefault="00125517" w:rsidP="00A90CB9">
      <w:pPr>
        <w:spacing w:after="0" w:line="276" w:lineRule="auto"/>
        <w:ind w:left="709"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314F3BCE" w14:textId="34512D6A" w:rsidR="00125517" w:rsidRDefault="00125517" w:rsidP="00A90CB9">
      <w:pPr>
        <w:pStyle w:val="Prrafodelista"/>
        <w:numPr>
          <w:ilvl w:val="0"/>
          <w:numId w:val="19"/>
        </w:numPr>
        <w:spacing w:after="0" w:line="276" w:lineRule="auto"/>
        <w:ind w:left="709" w:right="615"/>
        <w:rPr>
          <w:rFonts w:ascii="ITC Avant Garde" w:eastAsia="Calibri" w:hAnsi="ITC Avant Garde" w:cs="Arial"/>
          <w:i/>
          <w:color w:val="auto"/>
          <w:sz w:val="18"/>
          <w:szCs w:val="18"/>
          <w:lang w:eastAsia="en-US"/>
        </w:rPr>
      </w:pPr>
      <w:r w:rsidRPr="00125517">
        <w:rPr>
          <w:rFonts w:ascii="ITC Avant Garde" w:eastAsia="Calibri" w:hAnsi="ITC Avant Garde" w:cs="Arial"/>
          <w:i/>
          <w:color w:val="auto"/>
          <w:sz w:val="18"/>
          <w:szCs w:val="18"/>
          <w:u w:val="single"/>
          <w:lang w:eastAsia="en-US"/>
        </w:rPr>
        <w:t>Las Plataformas Electrónicas deberán proporcionar un acuse electrónico de recibo del requerimiento</w:t>
      </w:r>
      <w:r w:rsidRPr="00125517">
        <w:rPr>
          <w:rFonts w:ascii="ITC Avant Garde" w:eastAsia="Calibri" w:hAnsi="ITC Avant Garde" w:cs="Arial"/>
          <w:i/>
          <w:color w:val="auto"/>
          <w:sz w:val="18"/>
          <w:szCs w:val="18"/>
          <w:lang w:eastAsia="en-US"/>
        </w:rPr>
        <w:t xml:space="preserve"> donde se indicará claramente la fecha y hora de recepción, considerando como referencia el huso horario que corresponda al lugar de donde se emita el requerimiento;</w:t>
      </w:r>
    </w:p>
    <w:p w14:paraId="29481426" w14:textId="7B3AEC7D" w:rsidR="00125517" w:rsidRDefault="00125517" w:rsidP="00A90CB9">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6B3E312F" w14:textId="77777777" w:rsidR="00125517" w:rsidRDefault="00125517" w:rsidP="00A90CB9">
      <w:pPr>
        <w:spacing w:after="0" w:line="276" w:lineRule="auto"/>
        <w:ind w:left="-284"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11562D82" w14:textId="77777777" w:rsidR="00125517" w:rsidRDefault="00125517" w:rsidP="00A90CB9">
      <w:pPr>
        <w:pStyle w:val="IFT1"/>
        <w:tabs>
          <w:tab w:val="left" w:pos="426"/>
        </w:tabs>
        <w:spacing w:after="0"/>
        <w:ind w:left="-284"/>
      </w:pPr>
    </w:p>
    <w:p w14:paraId="08A3EA7C" w14:textId="51C8AEC2" w:rsidR="00366217" w:rsidRDefault="00125517" w:rsidP="002A524D">
      <w:pPr>
        <w:pStyle w:val="IFT1"/>
        <w:tabs>
          <w:tab w:val="left" w:pos="426"/>
        </w:tabs>
        <w:spacing w:after="0"/>
        <w:ind w:left="-851"/>
      </w:pPr>
      <w:r>
        <w:t>Por lo anterior, cada concesionario o autorizado es el responsable de implementar la Plataforma Electrónica a la que hace referencia el lineamiento octavo de los Lineamientos de Seguridad.</w:t>
      </w:r>
    </w:p>
    <w:p w14:paraId="4407D771" w14:textId="5D097FFA" w:rsidR="00431233" w:rsidRDefault="00431233" w:rsidP="002A524D">
      <w:pPr>
        <w:pStyle w:val="IFT1"/>
        <w:tabs>
          <w:tab w:val="left" w:pos="426"/>
        </w:tabs>
        <w:spacing w:after="0"/>
        <w:ind w:left="-851"/>
      </w:pPr>
    </w:p>
    <w:p w14:paraId="06680AF5" w14:textId="41502DEB" w:rsidR="00431233" w:rsidRPr="00837839" w:rsidRDefault="00431233" w:rsidP="002A524D">
      <w:pPr>
        <w:spacing w:after="0" w:line="276" w:lineRule="auto"/>
        <w:ind w:left="-851" w:right="49"/>
        <w:rPr>
          <w:rFonts w:ascii="ITC Avant Garde" w:hAnsi="ITC Avant Garde"/>
          <w:b/>
          <w:color w:val="auto"/>
        </w:rPr>
      </w:pPr>
      <w:r w:rsidRPr="00837839">
        <w:rPr>
          <w:rFonts w:ascii="ITC Avant Garde" w:hAnsi="ITC Avant Garde"/>
          <w:b/>
          <w:color w:val="auto"/>
        </w:rPr>
        <w:t>Axtel</w:t>
      </w:r>
      <w:r w:rsidR="004000E4">
        <w:rPr>
          <w:rFonts w:ascii="ITC Avant Garde" w:hAnsi="ITC Avant Garde"/>
          <w:b/>
          <w:color w:val="auto"/>
        </w:rPr>
        <w:t>, CANIETI</w:t>
      </w:r>
      <w:r w:rsidRPr="00837839">
        <w:rPr>
          <w:rFonts w:ascii="ITC Avant Garde" w:hAnsi="ITC Avant Garde"/>
          <w:b/>
          <w:color w:val="auto"/>
        </w:rPr>
        <w:t>:</w:t>
      </w:r>
    </w:p>
    <w:p w14:paraId="7CF6C9BB" w14:textId="16CF34F8" w:rsidR="00E12D79" w:rsidRDefault="00316391" w:rsidP="002A524D">
      <w:pPr>
        <w:pStyle w:val="IFT1"/>
        <w:tabs>
          <w:tab w:val="left" w:pos="426"/>
        </w:tabs>
        <w:spacing w:after="0"/>
        <w:ind w:left="-851"/>
      </w:pPr>
      <w:r>
        <w:t>I</w:t>
      </w:r>
      <w:r w:rsidR="00E12D79" w:rsidRPr="00837839">
        <w:t>ndica</w:t>
      </w:r>
      <w:r>
        <w:t>n</w:t>
      </w:r>
      <w:r w:rsidR="00E12D79" w:rsidRPr="00837839">
        <w:t xml:space="preserve"> que se deben señalar las condiciones técnicas que aplicarán tanto a los OMV revendedores como completos para no dejar condiciones a convenir posteriormente con el AEP.  Asimismo, </w:t>
      </w:r>
      <w:r w:rsidR="0014235D">
        <w:t xml:space="preserve">Axtel </w:t>
      </w:r>
      <w:r w:rsidR="00E12D79" w:rsidRPr="00837839">
        <w:t>señala que la Oferta debe contener los cobros específicos tanto a los OMV revendedores como completos.</w:t>
      </w:r>
    </w:p>
    <w:p w14:paraId="3BB39C9D" w14:textId="48856F19" w:rsidR="004000E4" w:rsidRDefault="004000E4" w:rsidP="002A524D">
      <w:pPr>
        <w:pStyle w:val="IFT1"/>
        <w:tabs>
          <w:tab w:val="left" w:pos="426"/>
        </w:tabs>
        <w:spacing w:after="0"/>
        <w:ind w:left="-851"/>
      </w:pPr>
    </w:p>
    <w:p w14:paraId="4203F91C" w14:textId="1E9DBF5B" w:rsidR="004000E4" w:rsidRDefault="004000E4" w:rsidP="002A524D">
      <w:pPr>
        <w:pStyle w:val="IFT1"/>
        <w:tabs>
          <w:tab w:val="left" w:pos="426"/>
        </w:tabs>
        <w:spacing w:after="0"/>
        <w:ind w:left="-851"/>
      </w:pPr>
      <w:r>
        <w:t>Por su parte, CANIETI refiere que en los casos en que el operador Host deba realizar algún desarrollo adicional específico para prestar el servicio a algún OMV, éste deberá ser puesto a consideración del OMV con el detalle y justificación necesarios para su aprobación</w:t>
      </w:r>
      <w:r w:rsidR="0032140A">
        <w:t>, siempre y cuando la solución o servicio similar no exista ni se preste a algún otro OMV:</w:t>
      </w:r>
    </w:p>
    <w:p w14:paraId="529121EB" w14:textId="68235699" w:rsidR="000626A0" w:rsidRDefault="000626A0" w:rsidP="002A524D">
      <w:pPr>
        <w:pStyle w:val="IFT1"/>
        <w:tabs>
          <w:tab w:val="left" w:pos="426"/>
        </w:tabs>
        <w:spacing w:after="0"/>
        <w:ind w:left="-851"/>
      </w:pPr>
    </w:p>
    <w:p w14:paraId="42868D7D" w14:textId="77777777" w:rsidR="000626A0" w:rsidRDefault="000626A0" w:rsidP="002A524D">
      <w:pPr>
        <w:spacing w:after="0" w:line="276" w:lineRule="auto"/>
        <w:ind w:left="-851" w:right="49"/>
        <w:rPr>
          <w:rFonts w:ascii="ITC Avant Garde" w:hAnsi="ITC Avant Garde"/>
          <w:color w:val="auto"/>
          <w:lang w:val="es-ES_tradnl"/>
        </w:rPr>
      </w:pPr>
      <w:r w:rsidRPr="00343A4F">
        <w:rPr>
          <w:rFonts w:ascii="ITC Avant Garde" w:hAnsi="ITC Avant Garde"/>
          <w:b/>
          <w:color w:val="auto"/>
        </w:rPr>
        <w:t>Consideraciones del Instituto</w:t>
      </w:r>
    </w:p>
    <w:p w14:paraId="3EEEBAEB" w14:textId="7AFF9001" w:rsidR="000626A0" w:rsidRDefault="00837839" w:rsidP="002A524D">
      <w:pPr>
        <w:spacing w:after="0" w:line="276" w:lineRule="auto"/>
        <w:ind w:left="-851" w:right="49"/>
        <w:rPr>
          <w:rFonts w:ascii="ITC Avant Garde" w:hAnsi="ITC Avant Garde"/>
          <w:color w:val="auto"/>
        </w:rPr>
      </w:pPr>
      <w:r>
        <w:rPr>
          <w:rFonts w:ascii="ITC Avant Garde" w:hAnsi="ITC Avant Garde"/>
          <w:color w:val="auto"/>
        </w:rPr>
        <w:t xml:space="preserve">Las condiciones técnicas para el cumplimiento de los </w:t>
      </w:r>
      <w:r w:rsidRPr="0038334D">
        <w:rPr>
          <w:rFonts w:ascii="ITC Avant Garde" w:hAnsi="ITC Avant Garde"/>
          <w:color w:val="auto"/>
        </w:rPr>
        <w:t>Lineamientos de Seguridad dependerán</w:t>
      </w:r>
      <w:r w:rsidR="000626A0" w:rsidRPr="0038334D">
        <w:rPr>
          <w:rFonts w:ascii="ITC Avant Garde" w:hAnsi="ITC Avant Garde"/>
          <w:color w:val="auto"/>
        </w:rPr>
        <w:t xml:space="preserve"> de la infraestructura con la que cuente cada OMV en base a su mode</w:t>
      </w:r>
      <w:r w:rsidR="000626A0">
        <w:rPr>
          <w:rFonts w:ascii="ITC Avant Garde" w:hAnsi="ITC Avant Garde"/>
          <w:color w:val="auto"/>
        </w:rPr>
        <w:t>lo de negocios, ya que pueden existir esquemas intermedios tal como establece el Anexo II de la Oferta</w:t>
      </w:r>
      <w:r w:rsidR="00F6717B">
        <w:rPr>
          <w:rFonts w:ascii="ITC Avant Garde" w:hAnsi="ITC Avant Garde"/>
          <w:color w:val="auto"/>
        </w:rPr>
        <w:t>, en los cuales el OMV podrá solicitar de manera específica</w:t>
      </w:r>
      <w:bookmarkStart w:id="0" w:name="_GoBack"/>
      <w:bookmarkEnd w:id="0"/>
      <w:r w:rsidR="00F6717B">
        <w:rPr>
          <w:rFonts w:ascii="ITC Avant Garde" w:hAnsi="ITC Avant Garde"/>
          <w:color w:val="auto"/>
        </w:rPr>
        <w:t xml:space="preserve"> los servicios que requiere</w:t>
      </w:r>
      <w:r w:rsidR="000626A0">
        <w:rPr>
          <w:rFonts w:ascii="ITC Avant Garde" w:hAnsi="ITC Avant Garde"/>
          <w:color w:val="auto"/>
        </w:rPr>
        <w:t>:</w:t>
      </w:r>
    </w:p>
    <w:p w14:paraId="6785A049" w14:textId="77777777" w:rsidR="000626A0" w:rsidRDefault="000626A0" w:rsidP="002A524D">
      <w:pPr>
        <w:spacing w:after="0" w:line="276" w:lineRule="auto"/>
        <w:ind w:left="-851" w:right="49"/>
        <w:rPr>
          <w:rFonts w:ascii="ITC Avant Garde" w:hAnsi="ITC Avant Garde"/>
          <w:color w:val="auto"/>
        </w:rPr>
      </w:pPr>
    </w:p>
    <w:p w14:paraId="0C630556" w14:textId="77777777" w:rsidR="000626A0" w:rsidRPr="0038334D" w:rsidRDefault="000626A0" w:rsidP="006C6EFE">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38334D">
        <w:rPr>
          <w:rFonts w:ascii="ITC Avant Garde" w:eastAsia="Calibri" w:hAnsi="ITC Avant Garde" w:cs="Arial"/>
          <w:i/>
          <w:color w:val="auto"/>
          <w:sz w:val="18"/>
          <w:szCs w:val="18"/>
          <w:u w:val="single"/>
          <w:lang w:eastAsia="en-US"/>
        </w:rPr>
        <w:t>Los requisitos detallados en el presente apartado, no se entenderán como una limitación para la operación de esquemas intermedios entre el Revendedor y el OMV Completo, para esos esquemas el OMV podrá solicitar de manera específica a Telcel los elementos necesarios y concretos para la correcta provisión del servicio por parte de Telcel.</w:t>
      </w:r>
      <w:r w:rsidRPr="0038334D">
        <w:rPr>
          <w:rFonts w:ascii="ITC Avant Garde" w:eastAsia="Calibri" w:hAnsi="ITC Avant Garde" w:cs="Arial"/>
          <w:i/>
          <w:color w:val="auto"/>
          <w:sz w:val="18"/>
          <w:szCs w:val="18"/>
          <w:lang w:eastAsia="en-US"/>
        </w:rPr>
        <w:t xml:space="preserve"> En caso de que el OMV </w:t>
      </w:r>
      <w:proofErr w:type="spellStart"/>
      <w:r w:rsidRPr="0038334D">
        <w:rPr>
          <w:rFonts w:ascii="ITC Avant Garde" w:eastAsia="Calibri" w:hAnsi="ITC Avant Garde" w:cs="Arial"/>
          <w:i/>
          <w:color w:val="auto"/>
          <w:sz w:val="18"/>
          <w:szCs w:val="18"/>
          <w:lang w:eastAsia="en-US"/>
        </w:rPr>
        <w:t>requisite</w:t>
      </w:r>
      <w:proofErr w:type="spellEnd"/>
      <w:r w:rsidRPr="0038334D">
        <w:rPr>
          <w:rFonts w:ascii="ITC Avant Garde" w:eastAsia="Calibri" w:hAnsi="ITC Avant Garde" w:cs="Arial"/>
          <w:i/>
          <w:color w:val="auto"/>
          <w:sz w:val="18"/>
          <w:szCs w:val="18"/>
          <w:lang w:eastAsia="en-US"/>
        </w:rPr>
        <w:t xml:space="preserve"> algún elemento que a su vez Telcel requiera el servicio de un </w:t>
      </w:r>
      <w:r w:rsidRPr="0038334D">
        <w:rPr>
          <w:rFonts w:ascii="ITC Avant Garde" w:eastAsia="Calibri" w:hAnsi="ITC Avant Garde" w:cs="Arial"/>
          <w:i/>
          <w:color w:val="auto"/>
          <w:sz w:val="18"/>
          <w:szCs w:val="18"/>
          <w:lang w:eastAsia="en-US"/>
        </w:rPr>
        <w:lastRenderedPageBreak/>
        <w:t xml:space="preserve">tercero, éste notificará al OMV los plazos y costos que se generen por la integración del elemento al esquema solicitado por el OMV, con lo anterior se asegura en todo momento que el OMV tendrá conocimiento de los tiempos, y en su caso, podrá realizar modificaciones al requerimiento. </w:t>
      </w:r>
    </w:p>
    <w:p w14:paraId="4DD06E89" w14:textId="77777777" w:rsidR="000626A0" w:rsidRPr="0038334D" w:rsidRDefault="000626A0" w:rsidP="006C6EFE">
      <w:pPr>
        <w:spacing w:after="0" w:line="276" w:lineRule="auto"/>
        <w:ind w:left="-284" w:right="615" w:firstLine="0"/>
        <w:rPr>
          <w:rFonts w:ascii="ITC Avant Garde" w:eastAsia="Calibri" w:hAnsi="ITC Avant Garde" w:cs="Arial"/>
          <w:i/>
          <w:color w:val="auto"/>
          <w:sz w:val="18"/>
          <w:szCs w:val="18"/>
          <w:lang w:eastAsia="en-US"/>
        </w:rPr>
      </w:pPr>
    </w:p>
    <w:p w14:paraId="502D63BF" w14:textId="77777777" w:rsidR="000626A0" w:rsidRDefault="000626A0" w:rsidP="006C6EFE">
      <w:pPr>
        <w:spacing w:after="0" w:line="276" w:lineRule="auto"/>
        <w:ind w:left="-284" w:right="615" w:firstLine="0"/>
        <w:rPr>
          <w:rFonts w:ascii="ITC Avant Garde" w:eastAsia="Calibri" w:hAnsi="ITC Avant Garde" w:cs="Arial"/>
          <w:i/>
          <w:color w:val="auto"/>
          <w:sz w:val="18"/>
          <w:szCs w:val="18"/>
          <w:lang w:eastAsia="en-US"/>
        </w:rPr>
      </w:pPr>
      <w:r w:rsidRPr="0038334D">
        <w:rPr>
          <w:rFonts w:ascii="ITC Avant Garde" w:eastAsia="Calibri" w:hAnsi="ITC Avant Garde" w:cs="Arial"/>
          <w:i/>
          <w:color w:val="auto"/>
          <w:sz w:val="18"/>
          <w:szCs w:val="18"/>
          <w:u w:val="single"/>
          <w:lang w:eastAsia="en-US"/>
        </w:rPr>
        <w:t>En caso de que el OMV así lo requiera y sea técnicamente factible por Telcel, éste podrá sugerir alguna solución alternativa para la integración del elemento solicitado por el OMV</w:t>
      </w:r>
      <w:r w:rsidRPr="0038334D">
        <w:rPr>
          <w:rFonts w:ascii="ITC Avant Garde" w:eastAsia="Calibri" w:hAnsi="ITC Avant Garde" w:cs="Arial"/>
          <w:i/>
          <w:color w:val="auto"/>
          <w:sz w:val="18"/>
          <w:szCs w:val="18"/>
          <w:lang w:eastAsia="en-US"/>
        </w:rPr>
        <w:t>, y así lograr la provisión del servicio en un plazo menor al señalado por el tercero.</w:t>
      </w:r>
      <w:r>
        <w:rPr>
          <w:rFonts w:ascii="ITC Avant Garde" w:eastAsia="Calibri" w:hAnsi="ITC Avant Garde" w:cs="Arial"/>
          <w:i/>
          <w:color w:val="auto"/>
          <w:sz w:val="18"/>
          <w:szCs w:val="18"/>
          <w:lang w:eastAsia="en-US"/>
        </w:rPr>
        <w:t>”</w:t>
      </w:r>
    </w:p>
    <w:p w14:paraId="78587864" w14:textId="77777777" w:rsidR="000626A0" w:rsidRDefault="000626A0" w:rsidP="006C6EFE">
      <w:pPr>
        <w:spacing w:after="0" w:line="276" w:lineRule="auto"/>
        <w:ind w:left="-284"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750F84A5" w14:textId="77777777" w:rsidR="000626A0" w:rsidRDefault="000626A0" w:rsidP="002A524D">
      <w:pPr>
        <w:spacing w:after="0" w:line="276" w:lineRule="auto"/>
        <w:ind w:left="-851" w:right="49"/>
        <w:rPr>
          <w:rFonts w:ascii="ITC Avant Garde" w:hAnsi="ITC Avant Garde"/>
          <w:color w:val="auto"/>
        </w:rPr>
      </w:pPr>
    </w:p>
    <w:p w14:paraId="3A790414" w14:textId="18FAB95F" w:rsidR="001F1D9A" w:rsidRDefault="001F1D9A" w:rsidP="002A524D">
      <w:pPr>
        <w:spacing w:after="0" w:line="276" w:lineRule="auto"/>
        <w:ind w:left="-851" w:right="49"/>
        <w:rPr>
          <w:rFonts w:ascii="ITC Avant Garde" w:hAnsi="ITC Avant Garde"/>
          <w:color w:val="auto"/>
        </w:rPr>
      </w:pPr>
      <w:r>
        <w:rPr>
          <w:rFonts w:ascii="ITC Avant Garde" w:hAnsi="ITC Avant Garde"/>
          <w:color w:val="auto"/>
        </w:rPr>
        <w:t>Por otra parte, la cláusula 5.1.9 establec</w:t>
      </w:r>
      <w:r w:rsidR="00316391">
        <w:rPr>
          <w:rFonts w:ascii="ITC Avant Garde" w:hAnsi="ITC Avant Garde"/>
          <w:color w:val="auto"/>
        </w:rPr>
        <w:t>e que Telcel</w:t>
      </w:r>
      <w:r w:rsidR="00316391" w:rsidRPr="00316391">
        <w:rPr>
          <w:rFonts w:ascii="ITC Avant Garde" w:hAnsi="ITC Avant Garde"/>
          <w:color w:val="auto"/>
        </w:rPr>
        <w:t xml:space="preserve"> señalará las facilidades técnicas que proporcionará al OMV Completo para que este de cumplimiento con las instancias de seguridad, procuración y administración de justicia</w:t>
      </w:r>
      <w:r w:rsidR="00AA11FC">
        <w:rPr>
          <w:rFonts w:ascii="ITC Avant Garde" w:hAnsi="ITC Avant Garde"/>
          <w:color w:val="auto"/>
        </w:rPr>
        <w:t>:</w:t>
      </w:r>
    </w:p>
    <w:p w14:paraId="1D398075" w14:textId="7AA46FC5" w:rsidR="001F1D9A" w:rsidRDefault="001F1D9A" w:rsidP="002A524D">
      <w:pPr>
        <w:spacing w:after="0" w:line="276" w:lineRule="auto"/>
        <w:ind w:left="-851" w:right="49"/>
        <w:rPr>
          <w:rFonts w:ascii="ITC Avant Garde" w:hAnsi="ITC Avant Garde"/>
          <w:color w:val="auto"/>
        </w:rPr>
      </w:pPr>
    </w:p>
    <w:p w14:paraId="1E73588D" w14:textId="14CCDE7C" w:rsidR="001F1D9A" w:rsidRDefault="001F1D9A" w:rsidP="006C6EFE">
      <w:pPr>
        <w:spacing w:after="0" w:line="276" w:lineRule="auto"/>
        <w:ind w:left="-284"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1F1D9A">
        <w:rPr>
          <w:rFonts w:ascii="ITC Avant Garde" w:eastAsia="Calibri" w:hAnsi="ITC Avant Garde" w:cs="Arial"/>
          <w:i/>
          <w:color w:val="auto"/>
          <w:sz w:val="18"/>
          <w:szCs w:val="18"/>
          <w:lang w:eastAsia="en-US"/>
        </w:rPr>
        <w:t xml:space="preserve">5.1.9 En términos del artículo18 fracción XVIII de los Lineamientos de OMV en caso de que el OMV no cuente con la infraestructura y los medios necesarios para dar cumplimiento a las disposiciones administrativas de carácter general respecto a la colaboración con las instancias de seguridad, procuración y administración de justicia incluyendo los Lineamientos de Seguridad y demás normatividad aplicable, Telcel y el OMV suscribirán el Anexo C “Acuerdo de Prestación de Servicios de Gestión”, en el cual se  establecerán los mecanismos para dar cumplimiento a dichas disposiciones,. </w:t>
      </w:r>
      <w:r w:rsidRPr="001F1D9A">
        <w:rPr>
          <w:rFonts w:ascii="ITC Avant Garde" w:eastAsia="Calibri" w:hAnsi="ITC Avant Garde" w:cs="Arial"/>
          <w:i/>
          <w:color w:val="auto"/>
          <w:sz w:val="18"/>
          <w:szCs w:val="18"/>
          <w:u w:val="single"/>
          <w:lang w:eastAsia="en-US"/>
        </w:rPr>
        <w:t>Ese Acuerdo entre las Partes se considerará el esquema de OMV de que se trate, pudiendo ser que en el caso de OMV revendedor Telcel proporcione al OMV toda la información respecto de la localización geográfica en tiempo real, y el registro y control de comunicaciones que se realicen desde cualquier tipo de línea, cuando éstas se generen por un Usuario Final del OMV, y en el caso de OMV Completo Telcel señale las facilidades técnicas que proporcionará al OMV para que dé cumplimiento con las instancias de seguridad, procuración y administración de justicia incluyendo los Lineamientos de Seguridad, los costos que se generen por el uso de la plataforma, serán a cargo del OMV</w:t>
      </w:r>
      <w:r w:rsidRPr="001F1D9A">
        <w:rPr>
          <w:rFonts w:ascii="ITC Avant Garde" w:eastAsia="Calibri" w:hAnsi="ITC Avant Garde" w:cs="Arial"/>
          <w:i/>
          <w:color w:val="auto"/>
          <w:sz w:val="18"/>
          <w:szCs w:val="18"/>
          <w:lang w:eastAsia="en-US"/>
        </w:rPr>
        <w:t>.</w:t>
      </w:r>
      <w:r w:rsidR="00AA11FC">
        <w:rPr>
          <w:rFonts w:ascii="ITC Avant Garde" w:eastAsia="Calibri" w:hAnsi="ITC Avant Garde" w:cs="Arial"/>
          <w:i/>
          <w:color w:val="auto"/>
          <w:sz w:val="18"/>
          <w:szCs w:val="18"/>
          <w:lang w:eastAsia="en-US"/>
        </w:rPr>
        <w:t>”</w:t>
      </w:r>
    </w:p>
    <w:p w14:paraId="1B0DE42C" w14:textId="77777777" w:rsidR="00AA11FC" w:rsidRDefault="00AA11FC" w:rsidP="006C6EFE">
      <w:pPr>
        <w:spacing w:after="0" w:line="276" w:lineRule="auto"/>
        <w:ind w:left="-284" w:right="615" w:firstLine="0"/>
        <w:jc w:val="right"/>
        <w:rPr>
          <w:rFonts w:ascii="ITC Avant Garde" w:eastAsia="Calibri" w:hAnsi="ITC Avant Garde" w:cs="Arial"/>
          <w:color w:val="auto"/>
          <w:sz w:val="18"/>
          <w:szCs w:val="18"/>
          <w:lang w:eastAsia="en-US"/>
        </w:rPr>
      </w:pPr>
      <w:r>
        <w:rPr>
          <w:rFonts w:ascii="ITC Avant Garde" w:eastAsia="Calibri" w:hAnsi="ITC Avant Garde" w:cs="Arial"/>
          <w:color w:val="auto"/>
          <w:sz w:val="18"/>
          <w:szCs w:val="18"/>
          <w:lang w:eastAsia="en-US"/>
        </w:rPr>
        <w:t>Énfasis añadido</w:t>
      </w:r>
    </w:p>
    <w:p w14:paraId="481C23DB" w14:textId="6DA19D2B" w:rsidR="00AA11FC" w:rsidRDefault="00AA11FC" w:rsidP="002A524D">
      <w:pPr>
        <w:spacing w:after="0" w:line="276" w:lineRule="auto"/>
        <w:ind w:left="-851" w:right="615"/>
        <w:rPr>
          <w:rFonts w:ascii="ITC Avant Garde" w:eastAsia="Calibri" w:hAnsi="ITC Avant Garde" w:cs="Arial"/>
          <w:i/>
          <w:color w:val="auto"/>
          <w:sz w:val="18"/>
          <w:szCs w:val="18"/>
          <w:lang w:eastAsia="en-US"/>
        </w:rPr>
      </w:pPr>
    </w:p>
    <w:p w14:paraId="4B7AFC8D" w14:textId="49A2BAC1" w:rsidR="00AA11FC" w:rsidRDefault="00AA11FC" w:rsidP="002A524D">
      <w:pPr>
        <w:spacing w:after="0" w:line="276" w:lineRule="auto"/>
        <w:ind w:left="-851" w:right="49"/>
        <w:rPr>
          <w:rFonts w:ascii="ITC Avant Garde" w:hAnsi="ITC Avant Garde"/>
          <w:color w:val="auto"/>
        </w:rPr>
      </w:pPr>
      <w:r>
        <w:rPr>
          <w:rFonts w:ascii="ITC Avant Garde" w:hAnsi="ITC Avant Garde"/>
          <w:color w:val="auto"/>
        </w:rPr>
        <w:t>Por lo anterior, no se puede</w:t>
      </w:r>
      <w:r w:rsidR="003A1C8F">
        <w:rPr>
          <w:rFonts w:ascii="ITC Avant Garde" w:hAnsi="ITC Avant Garde"/>
          <w:color w:val="auto"/>
        </w:rPr>
        <w:t>n</w:t>
      </w:r>
      <w:r>
        <w:rPr>
          <w:rFonts w:ascii="ITC Avant Garde" w:hAnsi="ITC Avant Garde"/>
          <w:color w:val="auto"/>
        </w:rPr>
        <w:t xml:space="preserve"> determinar de antemano las condiciones técnicas ya que estas deberán ser definidas en base a las necesidades y requerimientos del OMV, por lo que la Oferta se mantiene en los mismos términos.</w:t>
      </w:r>
    </w:p>
    <w:p w14:paraId="3137D5D9" w14:textId="4A2CB788" w:rsidR="00D7322A" w:rsidRDefault="00D7322A" w:rsidP="002A524D">
      <w:pPr>
        <w:pStyle w:val="IFT1"/>
        <w:tabs>
          <w:tab w:val="left" w:pos="426"/>
        </w:tabs>
        <w:spacing w:after="0"/>
        <w:ind w:left="-851"/>
      </w:pPr>
    </w:p>
    <w:p w14:paraId="524A8655" w14:textId="3C59D26C" w:rsidR="00D7322A" w:rsidRPr="00E84DE3" w:rsidRDefault="00D7322A" w:rsidP="002A524D">
      <w:pPr>
        <w:spacing w:after="0" w:line="276" w:lineRule="auto"/>
        <w:ind w:left="-851" w:right="0" w:firstLine="0"/>
        <w:rPr>
          <w:rFonts w:ascii="ITC Avant Garde" w:hAnsi="ITC Avant Garde"/>
          <w:b/>
          <w:color w:val="auto"/>
          <w:u w:val="single"/>
        </w:rPr>
      </w:pPr>
      <w:r w:rsidRPr="00E84DE3">
        <w:rPr>
          <w:rFonts w:ascii="ITC Avant Garde" w:hAnsi="ITC Avant Garde"/>
          <w:b/>
          <w:color w:val="auto"/>
          <w:u w:val="single"/>
        </w:rPr>
        <w:t xml:space="preserve">IX. Incumplimiento de Pago de las Contraprestaciones </w:t>
      </w:r>
    </w:p>
    <w:p w14:paraId="10103AC1" w14:textId="673AA387" w:rsidR="00D7322A" w:rsidRDefault="00D7322A" w:rsidP="002A524D">
      <w:pPr>
        <w:spacing w:after="0" w:line="276" w:lineRule="auto"/>
        <w:ind w:left="-851" w:right="49"/>
        <w:rPr>
          <w:rFonts w:ascii="ITC Avant Garde" w:hAnsi="ITC Avant Garde"/>
          <w:b/>
          <w:color w:val="auto"/>
        </w:rPr>
      </w:pPr>
      <w:r w:rsidRPr="00E84DE3">
        <w:rPr>
          <w:rFonts w:ascii="ITC Avant Garde" w:hAnsi="ITC Avant Garde"/>
          <w:b/>
          <w:color w:val="auto"/>
        </w:rPr>
        <w:t>Axtel:</w:t>
      </w:r>
    </w:p>
    <w:p w14:paraId="3089BE30" w14:textId="07E02CE5" w:rsidR="00D7322A" w:rsidRPr="003A1C8F" w:rsidRDefault="00E12D79" w:rsidP="002A524D">
      <w:pPr>
        <w:spacing w:after="0" w:line="276" w:lineRule="auto"/>
        <w:ind w:left="-851" w:right="49" w:firstLine="0"/>
        <w:rPr>
          <w:rFonts w:ascii="ITC Avant Garde" w:hAnsi="ITC Avant Garde"/>
          <w:color w:val="auto"/>
        </w:rPr>
      </w:pPr>
      <w:r w:rsidRPr="00E12D79">
        <w:rPr>
          <w:rFonts w:ascii="ITC Avant Garde" w:hAnsi="ITC Avant Garde"/>
          <w:color w:val="auto"/>
        </w:rPr>
        <w:t>Solicita eliminar la posibilidad de suspender los servicios por falta de pago e incluir en su lugar esquemas de garantía como la fianza.</w:t>
      </w:r>
      <w:r w:rsidRPr="003A1C8F">
        <w:rPr>
          <w:rFonts w:ascii="ITC Avant Garde" w:hAnsi="ITC Avant Garde"/>
          <w:color w:val="auto"/>
        </w:rPr>
        <w:t xml:space="preserve"> </w:t>
      </w:r>
      <w:r w:rsidR="00D7322A" w:rsidRPr="003A1C8F">
        <w:rPr>
          <w:rFonts w:ascii="ITC Avant Garde" w:hAnsi="ITC Avant Garde"/>
          <w:color w:val="auto"/>
        </w:rPr>
        <w:t>Además, señala que, al tratarse de una obligación regulatoria, el Instituto deberá definir las tarifas correspondientes.</w:t>
      </w:r>
    </w:p>
    <w:p w14:paraId="2A4FE5DE" w14:textId="29BCF8EA" w:rsidR="00D7322A" w:rsidRDefault="00D7322A" w:rsidP="002A524D">
      <w:pPr>
        <w:pStyle w:val="IFT1"/>
        <w:tabs>
          <w:tab w:val="left" w:pos="426"/>
        </w:tabs>
        <w:spacing w:after="0"/>
        <w:ind w:left="-851"/>
      </w:pPr>
    </w:p>
    <w:p w14:paraId="51A5FE47" w14:textId="0DDB1804" w:rsidR="00D7322A" w:rsidRDefault="00D7322A" w:rsidP="002A524D">
      <w:pPr>
        <w:pStyle w:val="IFT1"/>
        <w:tabs>
          <w:tab w:val="left" w:pos="426"/>
        </w:tabs>
        <w:spacing w:after="0"/>
        <w:ind w:left="-851"/>
        <w:rPr>
          <w:b/>
        </w:rPr>
      </w:pPr>
      <w:r w:rsidRPr="00343A4F">
        <w:rPr>
          <w:b/>
        </w:rPr>
        <w:t>Consideraciones del Instituto</w:t>
      </w:r>
    </w:p>
    <w:p w14:paraId="293502E8" w14:textId="5767FB90" w:rsidR="00D7322A" w:rsidRPr="00E84DE3" w:rsidRDefault="00D7322A" w:rsidP="002A524D">
      <w:pPr>
        <w:pStyle w:val="IFT1"/>
        <w:tabs>
          <w:tab w:val="left" w:pos="426"/>
        </w:tabs>
        <w:spacing w:after="0"/>
        <w:ind w:left="-851"/>
      </w:pPr>
      <w:r w:rsidRPr="00E84DE3">
        <w:t>Se señala que, toda vez que el Anexo C forma parte integral del Convenio</w:t>
      </w:r>
      <w:r w:rsidR="003E3326" w:rsidRPr="00E84DE3">
        <w:t>,</w:t>
      </w:r>
      <w:r w:rsidR="00E84DE3" w:rsidRPr="00E84DE3">
        <w:t xml:space="preserve"> se eliminó el numeral IX “Incumplimiento de pago de las contraprestaciones”</w:t>
      </w:r>
      <w:r w:rsidRPr="00E84DE3">
        <w:t xml:space="preserve"> </w:t>
      </w:r>
      <w:r w:rsidR="00E84DE3">
        <w:t>ya que esta condición se encuentra contenida en la cláusula</w:t>
      </w:r>
      <w:r w:rsidR="0054162E">
        <w:t xml:space="preserve"> 4.1.3 del C</w:t>
      </w:r>
      <w:r w:rsidR="00E84DE3">
        <w:t>onvenio.</w:t>
      </w:r>
    </w:p>
    <w:p w14:paraId="63590340" w14:textId="284FCD32" w:rsidR="00B83624" w:rsidRPr="00B248A4" w:rsidRDefault="00B83624" w:rsidP="002A524D">
      <w:pPr>
        <w:spacing w:after="0" w:line="276" w:lineRule="auto"/>
        <w:ind w:left="-851" w:right="0" w:firstLine="0"/>
        <w:rPr>
          <w:rFonts w:ascii="ITC Avant Garde" w:hAnsi="ITC Avant Garde"/>
          <w:b/>
          <w:color w:val="auto"/>
        </w:rPr>
      </w:pPr>
    </w:p>
    <w:p w14:paraId="60A4164E" w14:textId="7390051E" w:rsidR="007F3EE9" w:rsidRDefault="007F3EE9" w:rsidP="002A524D">
      <w:pPr>
        <w:spacing w:after="0" w:line="276" w:lineRule="auto"/>
        <w:ind w:left="-851" w:right="49"/>
        <w:rPr>
          <w:rFonts w:ascii="ITC Avant Garde" w:hAnsi="ITC Avant Garde"/>
          <w:b/>
          <w:color w:val="auto"/>
        </w:rPr>
      </w:pPr>
      <w:r>
        <w:rPr>
          <w:rFonts w:ascii="ITC Avant Garde" w:hAnsi="ITC Avant Garde"/>
          <w:b/>
          <w:color w:val="auto"/>
        </w:rPr>
        <w:lastRenderedPageBreak/>
        <w:t>Comentarios Generales</w:t>
      </w:r>
    </w:p>
    <w:p w14:paraId="772137F9" w14:textId="6727CC07" w:rsidR="001956D9" w:rsidRDefault="001956D9" w:rsidP="002A524D">
      <w:pPr>
        <w:spacing w:after="0" w:line="276" w:lineRule="auto"/>
        <w:ind w:left="-851" w:right="49"/>
        <w:rPr>
          <w:rFonts w:ascii="ITC Avant Garde" w:hAnsi="ITC Avant Garde"/>
          <w:b/>
          <w:color w:val="auto"/>
        </w:rPr>
      </w:pPr>
      <w:r>
        <w:rPr>
          <w:rFonts w:ascii="ITC Avant Garde" w:hAnsi="ITC Avant Garde"/>
          <w:b/>
          <w:color w:val="auto"/>
        </w:rPr>
        <w:t>Telefónica:</w:t>
      </w:r>
    </w:p>
    <w:p w14:paraId="7CCB28E4" w14:textId="5D057A27" w:rsidR="001956D9" w:rsidRDefault="001956D9" w:rsidP="002A524D">
      <w:pPr>
        <w:spacing w:after="0" w:line="276" w:lineRule="auto"/>
        <w:ind w:left="-851" w:right="49"/>
        <w:rPr>
          <w:rFonts w:ascii="ITC Avant Garde" w:hAnsi="ITC Avant Garde"/>
          <w:color w:val="auto"/>
        </w:rPr>
      </w:pPr>
      <w:r>
        <w:rPr>
          <w:rFonts w:ascii="ITC Avant Garde" w:hAnsi="ITC Avant Garde"/>
          <w:color w:val="auto"/>
        </w:rPr>
        <w:t xml:space="preserve">Señala que las condiciones técnicas del servicio mayorista no permiten replicar en igualdad de condiciones los servicios minoristas del AEP. Refiere que la falta de </w:t>
      </w:r>
      <w:proofErr w:type="spellStart"/>
      <w:r>
        <w:rPr>
          <w:rFonts w:ascii="ITC Avant Garde" w:hAnsi="ITC Avant Garde"/>
          <w:color w:val="auto"/>
        </w:rPr>
        <w:t>replicabilidad</w:t>
      </w:r>
      <w:proofErr w:type="spellEnd"/>
      <w:r>
        <w:rPr>
          <w:rFonts w:ascii="ITC Avant Garde" w:hAnsi="ITC Avant Garde"/>
          <w:color w:val="auto"/>
        </w:rPr>
        <w:t xml:space="preserve"> t</w:t>
      </w:r>
      <w:r w:rsidR="00291349">
        <w:rPr>
          <w:rFonts w:ascii="ITC Avant Garde" w:hAnsi="ITC Avant Garde"/>
          <w:color w:val="auto"/>
        </w:rPr>
        <w:t>écnica se evidencia en</w:t>
      </w:r>
      <w:r>
        <w:rPr>
          <w:rFonts w:ascii="ITC Avant Garde" w:hAnsi="ITC Avant Garde"/>
          <w:color w:val="auto"/>
        </w:rPr>
        <w:t xml:space="preserve"> el servicio de </w:t>
      </w:r>
      <w:r w:rsidR="00291349">
        <w:rPr>
          <w:rFonts w:ascii="ITC Avant Garde" w:hAnsi="ITC Avant Garde"/>
          <w:color w:val="auto"/>
        </w:rPr>
        <w:t>“Internet en tu Casa”, ya que indica que faltan los atributos técnicos necesarios para construir una oferta minorista de dicho servicio.</w:t>
      </w:r>
    </w:p>
    <w:p w14:paraId="5E848C2E" w14:textId="63EE73E0" w:rsidR="00080B99" w:rsidRDefault="00080B99" w:rsidP="002A524D">
      <w:pPr>
        <w:spacing w:after="0" w:line="276" w:lineRule="auto"/>
        <w:ind w:left="-851" w:right="49"/>
        <w:rPr>
          <w:rFonts w:ascii="ITC Avant Garde" w:hAnsi="ITC Avant Garde"/>
          <w:color w:val="auto"/>
        </w:rPr>
      </w:pPr>
    </w:p>
    <w:p w14:paraId="1ACC8121" w14:textId="77777777" w:rsidR="00080B99" w:rsidRDefault="00080B99" w:rsidP="002A524D">
      <w:pPr>
        <w:pStyle w:val="IFT1"/>
        <w:tabs>
          <w:tab w:val="left" w:pos="426"/>
        </w:tabs>
        <w:spacing w:after="0"/>
        <w:ind w:left="-851"/>
        <w:rPr>
          <w:b/>
        </w:rPr>
      </w:pPr>
      <w:r w:rsidRPr="00343A4F">
        <w:rPr>
          <w:b/>
        </w:rPr>
        <w:t>Consideraciones del Instituto</w:t>
      </w:r>
    </w:p>
    <w:p w14:paraId="5B2AE47A" w14:textId="15B75BD2" w:rsidR="003A1C8F" w:rsidRDefault="003A1C8F" w:rsidP="002A524D">
      <w:pPr>
        <w:spacing w:after="0" w:line="276" w:lineRule="auto"/>
        <w:ind w:left="-851" w:right="49"/>
        <w:rPr>
          <w:rFonts w:ascii="ITC Avant Garde" w:hAnsi="ITC Avant Garde"/>
          <w:color w:val="auto"/>
        </w:rPr>
      </w:pPr>
      <w:r>
        <w:rPr>
          <w:rFonts w:ascii="ITC Avant Garde" w:hAnsi="ITC Avant Garde"/>
          <w:color w:val="auto"/>
        </w:rPr>
        <w:t xml:space="preserve">La </w:t>
      </w:r>
      <w:proofErr w:type="spellStart"/>
      <w:r>
        <w:rPr>
          <w:rFonts w:ascii="ITC Avant Garde" w:hAnsi="ITC Avant Garde"/>
          <w:color w:val="auto"/>
        </w:rPr>
        <w:t>replicabilidad</w:t>
      </w:r>
      <w:proofErr w:type="spellEnd"/>
      <w:r>
        <w:rPr>
          <w:rFonts w:ascii="ITC Avant Garde" w:hAnsi="ITC Avant Garde"/>
          <w:color w:val="auto"/>
        </w:rPr>
        <w:t xml:space="preserve"> de los servicios minoristas del AEP excede el alcance de la Oferta. </w:t>
      </w:r>
    </w:p>
    <w:p w14:paraId="6998810B" w14:textId="7141DE18" w:rsidR="00056F91" w:rsidRDefault="003A1C8F" w:rsidP="002A524D">
      <w:pPr>
        <w:spacing w:after="0" w:line="276" w:lineRule="auto"/>
        <w:ind w:left="-851" w:right="49"/>
        <w:rPr>
          <w:rFonts w:ascii="ITC Avant Garde" w:hAnsi="ITC Avant Garde"/>
          <w:color w:val="auto"/>
          <w:lang w:val="es-ES"/>
        </w:rPr>
      </w:pPr>
      <w:r>
        <w:rPr>
          <w:rFonts w:ascii="ITC Avant Garde" w:hAnsi="ITC Avant Garde"/>
          <w:color w:val="auto"/>
        </w:rPr>
        <w:t>En este sentido en</w:t>
      </w:r>
      <w:r w:rsidR="0000403B">
        <w:rPr>
          <w:rFonts w:ascii="ITC Avant Garde" w:hAnsi="ITC Avant Garde"/>
          <w:color w:val="auto"/>
          <w:lang w:val="es-ES"/>
        </w:rPr>
        <w:t xml:space="preserve"> el Informe Trimestral del Cumplimiento a las Medidas y la Regulación Asimétrica impuestas al AEP (abril-junio 2019)</w:t>
      </w:r>
      <w:r w:rsidR="0000403B">
        <w:rPr>
          <w:rStyle w:val="Refdenotaalpie"/>
          <w:rFonts w:ascii="ITC Avant Garde" w:hAnsi="ITC Avant Garde"/>
          <w:color w:val="auto"/>
          <w:lang w:val="es-ES"/>
        </w:rPr>
        <w:footnoteReference w:id="6"/>
      </w:r>
      <w:r w:rsidR="00C01C3F">
        <w:rPr>
          <w:rFonts w:ascii="ITC Avant Garde" w:hAnsi="ITC Avant Garde"/>
          <w:color w:val="auto"/>
          <w:lang w:val="es-ES"/>
        </w:rPr>
        <w:t>,</w:t>
      </w:r>
      <w:r w:rsidR="00C72191">
        <w:rPr>
          <w:rFonts w:ascii="ITC Avant Garde" w:hAnsi="ITC Avant Garde"/>
          <w:color w:val="auto"/>
          <w:lang w:val="es-ES"/>
        </w:rPr>
        <w:t xml:space="preserve"> se indicó</w:t>
      </w:r>
      <w:r w:rsidR="00F47840">
        <w:rPr>
          <w:rFonts w:ascii="ITC Avant Garde" w:hAnsi="ITC Avant Garde"/>
          <w:color w:val="auto"/>
          <w:lang w:val="es-ES"/>
        </w:rPr>
        <w:t xml:space="preserve"> que los Planes Internet en tu casa fueron sometidos a aprobación del Instituto mediante folio de recepción de oficialía de partes 016766, y los cuales fueron autorizados mediante oficio IFT/221/UPR/142/2019. </w:t>
      </w:r>
      <w:r w:rsidR="00C72191">
        <w:rPr>
          <w:rFonts w:ascii="ITC Avant Garde" w:hAnsi="ITC Avant Garde"/>
          <w:color w:val="auto"/>
          <w:lang w:val="es-ES"/>
        </w:rPr>
        <w:t xml:space="preserve">Además, en este mismo documento se señala que se analizó la </w:t>
      </w:r>
      <w:proofErr w:type="spellStart"/>
      <w:r w:rsidR="00C72191">
        <w:rPr>
          <w:rFonts w:ascii="ITC Avant Garde" w:hAnsi="ITC Avant Garde"/>
          <w:color w:val="auto"/>
          <w:lang w:val="es-ES"/>
        </w:rPr>
        <w:t>replicabilidad</w:t>
      </w:r>
      <w:proofErr w:type="spellEnd"/>
      <w:r w:rsidR="00C72191">
        <w:rPr>
          <w:rFonts w:ascii="ITC Avant Garde" w:hAnsi="ITC Avant Garde"/>
          <w:color w:val="auto"/>
          <w:lang w:val="es-ES"/>
        </w:rPr>
        <w:t xml:space="preserve"> técnica, concluyendo que no existía inconveniente</w:t>
      </w:r>
      <w:r w:rsidR="00746B31">
        <w:rPr>
          <w:rFonts w:ascii="ITC Avant Garde" w:hAnsi="ITC Avant Garde"/>
          <w:color w:val="auto"/>
          <w:lang w:val="es-ES"/>
        </w:rPr>
        <w:t xml:space="preserve"> para autorizar las tarifas.</w:t>
      </w:r>
    </w:p>
    <w:p w14:paraId="50515824" w14:textId="655AABCB" w:rsidR="001956D9" w:rsidRPr="00203BF7" w:rsidRDefault="001956D9" w:rsidP="003A1C8F">
      <w:pPr>
        <w:spacing w:after="0" w:line="276" w:lineRule="auto"/>
        <w:ind w:left="0" w:right="49" w:firstLine="0"/>
        <w:rPr>
          <w:rFonts w:ascii="ITC Avant Garde" w:hAnsi="ITC Avant Garde"/>
          <w:b/>
          <w:color w:val="auto"/>
          <w:u w:val="single"/>
        </w:rPr>
      </w:pPr>
    </w:p>
    <w:p w14:paraId="11F898AA" w14:textId="4C7984C8" w:rsidR="007F3EE9" w:rsidRPr="00203BF7" w:rsidRDefault="007F3EE9" w:rsidP="002A524D">
      <w:pPr>
        <w:spacing w:after="0" w:line="276" w:lineRule="auto"/>
        <w:ind w:left="-851" w:right="0" w:firstLine="0"/>
        <w:rPr>
          <w:rFonts w:ascii="ITC Avant Garde" w:hAnsi="ITC Avant Garde"/>
          <w:b/>
          <w:color w:val="auto"/>
        </w:rPr>
      </w:pPr>
      <w:r>
        <w:rPr>
          <w:rFonts w:ascii="ITC Avant Garde" w:hAnsi="ITC Avant Garde"/>
          <w:b/>
          <w:color w:val="auto"/>
        </w:rPr>
        <w:t>Televisa</w:t>
      </w:r>
      <w:r w:rsidR="005508A0">
        <w:rPr>
          <w:rFonts w:ascii="ITC Avant Garde" w:hAnsi="ITC Avant Garde"/>
          <w:b/>
          <w:color w:val="auto"/>
        </w:rPr>
        <w:t>, CANIETI</w:t>
      </w:r>
      <w:r w:rsidRPr="00203BF7">
        <w:rPr>
          <w:rFonts w:ascii="ITC Avant Garde" w:hAnsi="ITC Avant Garde"/>
          <w:b/>
          <w:color w:val="auto"/>
        </w:rPr>
        <w:t>:</w:t>
      </w:r>
    </w:p>
    <w:p w14:paraId="6E996773" w14:textId="401F0A2B" w:rsidR="0069309C" w:rsidRDefault="0069309C" w:rsidP="002A524D">
      <w:pPr>
        <w:spacing w:after="0" w:line="276" w:lineRule="auto"/>
        <w:ind w:left="-851" w:right="0" w:firstLine="0"/>
        <w:rPr>
          <w:rFonts w:ascii="ITC Avant Garde" w:hAnsi="ITC Avant Garde"/>
          <w:color w:val="auto"/>
        </w:rPr>
      </w:pPr>
      <w:r>
        <w:rPr>
          <w:rFonts w:ascii="ITC Avant Garde" w:hAnsi="ITC Avant Garde"/>
          <w:color w:val="auto"/>
        </w:rPr>
        <w:t xml:space="preserve">Señala que las pruebas de </w:t>
      </w:r>
      <w:proofErr w:type="spellStart"/>
      <w:r>
        <w:rPr>
          <w:rFonts w:ascii="ITC Avant Garde" w:hAnsi="ITC Avant Garde"/>
          <w:color w:val="auto"/>
        </w:rPr>
        <w:t>replicabilidad</w:t>
      </w:r>
      <w:proofErr w:type="spellEnd"/>
      <w:r>
        <w:rPr>
          <w:rFonts w:ascii="ITC Avant Garde" w:hAnsi="ITC Avant Garde"/>
          <w:color w:val="auto"/>
        </w:rPr>
        <w:t xml:space="preserve"> económica deben realizarse de manera ex ante sobre las tarifas unitarias y sobre los paquetes. Además, indica que las pruebas de </w:t>
      </w:r>
      <w:proofErr w:type="spellStart"/>
      <w:r>
        <w:rPr>
          <w:rFonts w:ascii="ITC Avant Garde" w:hAnsi="ITC Avant Garde"/>
          <w:color w:val="auto"/>
        </w:rPr>
        <w:t>replicabilidad</w:t>
      </w:r>
      <w:proofErr w:type="spellEnd"/>
      <w:r>
        <w:rPr>
          <w:rFonts w:ascii="ITC Avant Garde" w:hAnsi="ITC Avant Garde"/>
          <w:color w:val="auto"/>
        </w:rPr>
        <w:t xml:space="preserve"> económica deben realizarse sobre todos los paquetes comerciales de manera individual, incluyendo las promociones del AEP, las cuales deberán ser aprobadas por el Instituto antes de su lanzamiento comercial. </w:t>
      </w:r>
    </w:p>
    <w:p w14:paraId="01D5E812" w14:textId="22F659F5" w:rsidR="004A5244" w:rsidRDefault="004A5244" w:rsidP="002A524D">
      <w:pPr>
        <w:spacing w:after="0" w:line="276" w:lineRule="auto"/>
        <w:ind w:left="-851" w:right="0" w:firstLine="0"/>
        <w:rPr>
          <w:rFonts w:ascii="ITC Avant Garde" w:hAnsi="ITC Avant Garde"/>
          <w:color w:val="auto"/>
        </w:rPr>
      </w:pPr>
    </w:p>
    <w:p w14:paraId="5FE5C120" w14:textId="13186EDF" w:rsidR="004A5244" w:rsidRPr="004A5244" w:rsidRDefault="004A5244" w:rsidP="002A524D">
      <w:pPr>
        <w:spacing w:after="0" w:line="276" w:lineRule="auto"/>
        <w:ind w:left="-851" w:right="0" w:firstLine="0"/>
        <w:rPr>
          <w:rFonts w:ascii="ITC Avant Garde" w:hAnsi="ITC Avant Garde"/>
          <w:b/>
          <w:color w:val="auto"/>
        </w:rPr>
      </w:pPr>
      <w:r w:rsidRPr="004A5244">
        <w:rPr>
          <w:rFonts w:ascii="ITC Avant Garde" w:hAnsi="ITC Avant Garde"/>
          <w:b/>
          <w:color w:val="auto"/>
        </w:rPr>
        <w:t>Telefónica:</w:t>
      </w:r>
    </w:p>
    <w:p w14:paraId="64B9E684" w14:textId="77777777" w:rsidR="00E2174A" w:rsidRDefault="004A5244" w:rsidP="002A524D">
      <w:pPr>
        <w:spacing w:line="276" w:lineRule="auto"/>
        <w:ind w:left="-851" w:right="0"/>
        <w:rPr>
          <w:rFonts w:ascii="ITC Avant Garde" w:hAnsi="ITC Avant Garde"/>
        </w:rPr>
      </w:pPr>
      <w:r>
        <w:rPr>
          <w:rFonts w:ascii="ITC Avant Garde" w:hAnsi="ITC Avant Garde"/>
        </w:rPr>
        <w:t xml:space="preserve">Indica que las tarifas mayoristas de OMV no permiten replicar económicamente las ofertas minoristas del AEP ni especializarse en nichos específicos de mercado ni en perfiles de consumo. </w:t>
      </w:r>
    </w:p>
    <w:p w14:paraId="1196C6AC" w14:textId="77777777" w:rsidR="00E2174A" w:rsidRDefault="00E2174A" w:rsidP="002A524D">
      <w:pPr>
        <w:spacing w:line="276" w:lineRule="auto"/>
        <w:ind w:left="-851" w:right="0"/>
        <w:rPr>
          <w:rFonts w:ascii="ITC Avant Garde" w:hAnsi="ITC Avant Garde"/>
        </w:rPr>
      </w:pPr>
    </w:p>
    <w:p w14:paraId="50ABA9C3" w14:textId="21620FE9" w:rsidR="00E2174A" w:rsidRDefault="004B4DCA" w:rsidP="002A524D">
      <w:pPr>
        <w:spacing w:line="276" w:lineRule="auto"/>
        <w:ind w:left="-851" w:right="0"/>
        <w:rPr>
          <w:rFonts w:ascii="ITC Avant Garde" w:hAnsi="ITC Avant Garde"/>
        </w:rPr>
      </w:pPr>
      <w:r>
        <w:rPr>
          <w:rFonts w:ascii="ITC Avant Garde" w:hAnsi="ITC Avant Garde"/>
        </w:rPr>
        <w:t>Refiere que los planes individuales del AEP que empaquetan llamadas ilimitadas, mensajes cortos y datos manifiestan indicios de no ser replicables económicamente.</w:t>
      </w:r>
      <w:r w:rsidR="00E2174A">
        <w:rPr>
          <w:rFonts w:ascii="ITC Avant Garde" w:hAnsi="ITC Avant Garde"/>
        </w:rPr>
        <w:t xml:space="preserve"> Además, señala que estos planes se vuelven menos replicables cuando se incluye un equipo terminal vinculado a un periodo de permanencia.</w:t>
      </w:r>
    </w:p>
    <w:p w14:paraId="4A091325" w14:textId="45BA50F3" w:rsidR="00FB3603" w:rsidRDefault="00FB3603" w:rsidP="002A524D">
      <w:pPr>
        <w:spacing w:line="276" w:lineRule="auto"/>
        <w:ind w:left="-851" w:right="0"/>
        <w:rPr>
          <w:rFonts w:ascii="ITC Avant Garde" w:hAnsi="ITC Avant Garde"/>
        </w:rPr>
      </w:pPr>
    </w:p>
    <w:p w14:paraId="17C04788" w14:textId="1D967453" w:rsidR="00FB3603" w:rsidRDefault="00E67B98" w:rsidP="002A524D">
      <w:pPr>
        <w:spacing w:line="276" w:lineRule="auto"/>
        <w:ind w:left="-851" w:right="0"/>
        <w:rPr>
          <w:rFonts w:ascii="ITC Avant Garde" w:hAnsi="ITC Avant Garde"/>
        </w:rPr>
      </w:pPr>
      <w:r>
        <w:rPr>
          <w:rFonts w:ascii="ITC Avant Garde" w:hAnsi="ITC Avant Garde"/>
        </w:rPr>
        <w:t>Asimismo, m</w:t>
      </w:r>
      <w:r w:rsidR="00FB3603">
        <w:rPr>
          <w:rFonts w:ascii="ITC Avant Garde" w:hAnsi="ITC Avant Garde"/>
        </w:rPr>
        <w:t xml:space="preserve">anifiesta que el servicio de </w:t>
      </w:r>
      <w:r>
        <w:rPr>
          <w:rFonts w:ascii="ITC Avant Garde" w:hAnsi="ITC Avant Garde"/>
        </w:rPr>
        <w:t>“</w:t>
      </w:r>
      <w:r w:rsidR="00FB3603">
        <w:rPr>
          <w:rFonts w:ascii="ITC Avant Garde" w:hAnsi="ITC Avant Garde"/>
        </w:rPr>
        <w:t>Internet en tu casa</w:t>
      </w:r>
      <w:r>
        <w:rPr>
          <w:rFonts w:ascii="ITC Avant Garde" w:hAnsi="ITC Avant Garde"/>
        </w:rPr>
        <w:t>”</w:t>
      </w:r>
      <w:r w:rsidR="00FB3603">
        <w:rPr>
          <w:rFonts w:ascii="ITC Avant Garde" w:hAnsi="ITC Avant Garde"/>
        </w:rPr>
        <w:t xml:space="preserve"> no es replicable económicamente</w:t>
      </w:r>
      <w:r>
        <w:rPr>
          <w:rFonts w:ascii="ITC Avant Garde" w:hAnsi="ITC Avant Garde"/>
        </w:rPr>
        <w:t>.</w:t>
      </w:r>
      <w:r w:rsidR="00FB3603">
        <w:rPr>
          <w:rFonts w:ascii="ITC Avant Garde" w:hAnsi="ITC Avant Garde"/>
        </w:rPr>
        <w:t xml:space="preserve"> </w:t>
      </w:r>
    </w:p>
    <w:p w14:paraId="16E7083B" w14:textId="77777777" w:rsidR="004A5244" w:rsidRDefault="004A5244" w:rsidP="002A524D">
      <w:pPr>
        <w:spacing w:line="276" w:lineRule="auto"/>
        <w:ind w:left="-851" w:right="0"/>
        <w:rPr>
          <w:rFonts w:ascii="ITC Avant Garde" w:hAnsi="ITC Avant Garde"/>
        </w:rPr>
      </w:pPr>
    </w:p>
    <w:p w14:paraId="0A49FCED" w14:textId="77777777" w:rsidR="00B92AE1" w:rsidRDefault="00B92AE1" w:rsidP="002A524D">
      <w:pPr>
        <w:spacing w:after="0" w:line="276" w:lineRule="auto"/>
        <w:ind w:left="-851" w:right="0" w:firstLine="0"/>
        <w:rPr>
          <w:rFonts w:ascii="ITC Avant Garde" w:hAnsi="ITC Avant Garde"/>
          <w:b/>
          <w:color w:val="auto"/>
        </w:rPr>
      </w:pPr>
      <w:r w:rsidRPr="00343A4F">
        <w:rPr>
          <w:rFonts w:ascii="ITC Avant Garde" w:hAnsi="ITC Avant Garde"/>
          <w:b/>
          <w:color w:val="auto"/>
        </w:rPr>
        <w:t xml:space="preserve">Consideraciones del Instituto </w:t>
      </w:r>
    </w:p>
    <w:p w14:paraId="0CB3CEFC" w14:textId="7C297C1C" w:rsidR="00410342" w:rsidRDefault="00181906" w:rsidP="00881A7B">
      <w:pPr>
        <w:spacing w:after="0" w:line="276" w:lineRule="auto"/>
        <w:ind w:left="-851" w:right="49"/>
        <w:rPr>
          <w:rFonts w:ascii="ITC Avant Garde" w:eastAsia="Calibri" w:hAnsi="ITC Avant Garde" w:cs="Arial"/>
          <w:color w:val="auto"/>
          <w:sz w:val="18"/>
          <w:szCs w:val="18"/>
          <w:lang w:eastAsia="en-US"/>
        </w:rPr>
      </w:pPr>
      <w:r>
        <w:rPr>
          <w:rFonts w:ascii="ITC Avant Garde" w:hAnsi="ITC Avant Garde"/>
          <w:color w:val="auto"/>
        </w:rPr>
        <w:lastRenderedPageBreak/>
        <w:t xml:space="preserve">Se señala que la definición de las pruebas de </w:t>
      </w:r>
      <w:proofErr w:type="spellStart"/>
      <w:r>
        <w:rPr>
          <w:rFonts w:ascii="ITC Avant Garde" w:hAnsi="ITC Avant Garde"/>
          <w:color w:val="auto"/>
        </w:rPr>
        <w:t>replicabilidad</w:t>
      </w:r>
      <w:proofErr w:type="spellEnd"/>
      <w:r>
        <w:rPr>
          <w:rFonts w:ascii="ITC Avant Garde" w:hAnsi="ITC Avant Garde"/>
          <w:color w:val="auto"/>
        </w:rPr>
        <w:t xml:space="preserve"> económica excede el alcance de la presente consulta. No obstante, se indica</w:t>
      </w:r>
      <w:r w:rsidR="002A6AD9">
        <w:rPr>
          <w:rFonts w:ascii="ITC Avant Garde" w:hAnsi="ITC Avant Garde"/>
          <w:color w:val="auto"/>
        </w:rPr>
        <w:t xml:space="preserve"> que la</w:t>
      </w:r>
      <w:r w:rsidR="00B92AE1">
        <w:rPr>
          <w:rFonts w:ascii="ITC Avant Garde" w:hAnsi="ITC Avant Garde"/>
          <w:color w:val="auto"/>
        </w:rPr>
        <w:t xml:space="preserve"> medida Sexagésima cuarta de las Medidas Móviles establece que el Instituto validará de manera ex post la </w:t>
      </w:r>
      <w:proofErr w:type="spellStart"/>
      <w:r w:rsidR="00B92AE1">
        <w:rPr>
          <w:rFonts w:ascii="ITC Avant Garde" w:hAnsi="ITC Avant Garde"/>
          <w:color w:val="auto"/>
        </w:rPr>
        <w:t>replicabilidad</w:t>
      </w:r>
      <w:proofErr w:type="spellEnd"/>
      <w:r w:rsidR="00B92AE1">
        <w:rPr>
          <w:rFonts w:ascii="ITC Avant Garde" w:hAnsi="ITC Avant Garde"/>
          <w:color w:val="auto"/>
        </w:rPr>
        <w:t xml:space="preserve"> económica de las tarifas de los servicios mayoristas regulados y, en caso de que estas no pasen la prueba, el AEP podrá modificar las tarifas de los servicios </w:t>
      </w:r>
      <w:r w:rsidR="002A6AD9">
        <w:rPr>
          <w:rFonts w:ascii="ITC Avant Garde" w:hAnsi="ITC Avant Garde"/>
          <w:color w:val="auto"/>
        </w:rPr>
        <w:t>mayoristas regulados o las del u</w:t>
      </w:r>
      <w:r w:rsidR="00881A7B">
        <w:rPr>
          <w:rFonts w:ascii="ITC Avant Garde" w:hAnsi="ITC Avant Garde"/>
          <w:color w:val="auto"/>
        </w:rPr>
        <w:t>suario final.</w:t>
      </w:r>
    </w:p>
    <w:p w14:paraId="5E79297B" w14:textId="77777777" w:rsidR="00B92AE1" w:rsidRPr="004C7577" w:rsidRDefault="00B92AE1" w:rsidP="00863618">
      <w:pPr>
        <w:spacing w:after="0" w:line="276" w:lineRule="auto"/>
        <w:ind w:left="-284" w:right="49"/>
        <w:rPr>
          <w:rFonts w:ascii="ITC Avant Garde" w:hAnsi="ITC Avant Garde"/>
          <w:color w:val="auto"/>
        </w:rPr>
      </w:pPr>
    </w:p>
    <w:p w14:paraId="568364E5" w14:textId="1E71237C" w:rsidR="00D65D5C" w:rsidRDefault="00D65D5C" w:rsidP="00881A7B">
      <w:pPr>
        <w:spacing w:after="0" w:line="276" w:lineRule="auto"/>
        <w:ind w:left="-851" w:right="49"/>
        <w:rPr>
          <w:rFonts w:ascii="ITC Avant Garde" w:eastAsia="Calibri" w:hAnsi="ITC Avant Garde" w:cs="Arial"/>
          <w:i/>
          <w:color w:val="auto"/>
          <w:sz w:val="18"/>
          <w:szCs w:val="18"/>
          <w:lang w:eastAsia="en-US"/>
        </w:rPr>
      </w:pPr>
      <w:r>
        <w:rPr>
          <w:rFonts w:ascii="ITC Avant Garde" w:hAnsi="ITC Avant Garde"/>
          <w:color w:val="auto"/>
        </w:rPr>
        <w:t>Asimismo</w:t>
      </w:r>
      <w:r w:rsidRPr="00D65D5C">
        <w:rPr>
          <w:rFonts w:ascii="ITC Avant Garde" w:hAnsi="ITC Avant Garde"/>
          <w:color w:val="auto"/>
        </w:rPr>
        <w:t xml:space="preserve">, el Acuerdo de </w:t>
      </w:r>
      <w:proofErr w:type="spellStart"/>
      <w:r w:rsidRPr="00D65D5C">
        <w:rPr>
          <w:rFonts w:ascii="ITC Avant Garde" w:hAnsi="ITC Avant Garde"/>
          <w:color w:val="auto"/>
        </w:rPr>
        <w:t>Replicabilidad</w:t>
      </w:r>
      <w:proofErr w:type="spellEnd"/>
      <w:r w:rsidRPr="00D65D5C">
        <w:rPr>
          <w:rFonts w:ascii="ITC Avant Garde" w:hAnsi="ITC Avant Garde"/>
          <w:color w:val="auto"/>
        </w:rPr>
        <w:t xml:space="preserve"> Económica</w:t>
      </w:r>
      <w:r>
        <w:rPr>
          <w:rStyle w:val="Refdenotaalpie"/>
          <w:rFonts w:ascii="ITC Avant Garde" w:hAnsi="ITC Avant Garde"/>
          <w:color w:val="auto"/>
        </w:rPr>
        <w:footnoteReference w:id="7"/>
      </w:r>
      <w:r w:rsidRPr="00D65D5C">
        <w:rPr>
          <w:rFonts w:ascii="ITC Avant Garde" w:hAnsi="ITC Avant Garde"/>
          <w:color w:val="auto"/>
        </w:rPr>
        <w:t xml:space="preserve"> establece </w:t>
      </w:r>
      <w:r>
        <w:rPr>
          <w:rFonts w:ascii="ITC Avant Garde" w:hAnsi="ITC Avant Garde"/>
          <w:color w:val="auto"/>
        </w:rPr>
        <w:t xml:space="preserve">que esta prueba se realizará de manera ex post cada tres meses, aplicándose de manera separada tanto a la cartera de Prepago como a la de </w:t>
      </w:r>
      <w:proofErr w:type="spellStart"/>
      <w:r>
        <w:rPr>
          <w:rFonts w:ascii="ITC Avant Garde" w:hAnsi="ITC Avant Garde"/>
          <w:color w:val="auto"/>
        </w:rPr>
        <w:t>Pospago</w:t>
      </w:r>
      <w:proofErr w:type="spellEnd"/>
      <w:r>
        <w:rPr>
          <w:rFonts w:ascii="ITC Avant Garde" w:hAnsi="ITC Avant Garde"/>
          <w:color w:val="auto"/>
        </w:rPr>
        <w:t>, a</w:t>
      </w:r>
      <w:r w:rsidR="00881A7B">
        <w:rPr>
          <w:rFonts w:ascii="ITC Avant Garde" w:hAnsi="ITC Avant Garde"/>
          <w:color w:val="auto"/>
        </w:rPr>
        <w:t>sí como a las ofertas insignia.</w:t>
      </w:r>
    </w:p>
    <w:p w14:paraId="7BDC1B58" w14:textId="77777777" w:rsidR="00D65D5C" w:rsidRDefault="00D65D5C" w:rsidP="002A524D">
      <w:pPr>
        <w:spacing w:after="0" w:line="276" w:lineRule="auto"/>
        <w:ind w:left="-851" w:right="49"/>
        <w:rPr>
          <w:rFonts w:ascii="ITC Avant Garde" w:hAnsi="ITC Avant Garde"/>
          <w:color w:val="auto"/>
          <w:highlight w:val="cyan"/>
        </w:rPr>
      </w:pPr>
    </w:p>
    <w:p w14:paraId="507BCB3B" w14:textId="172D57C6" w:rsidR="00A354D6" w:rsidRDefault="00A354D6" w:rsidP="002A524D">
      <w:pPr>
        <w:spacing w:after="0" w:line="276" w:lineRule="auto"/>
        <w:ind w:left="-851" w:right="49"/>
        <w:rPr>
          <w:rFonts w:ascii="ITC Avant Garde" w:hAnsi="ITC Avant Garde"/>
          <w:color w:val="auto"/>
        </w:rPr>
      </w:pPr>
      <w:r>
        <w:rPr>
          <w:rFonts w:ascii="ITC Avant Garde" w:hAnsi="ITC Avant Garde"/>
          <w:color w:val="auto"/>
        </w:rPr>
        <w:t>Asimismo</w:t>
      </w:r>
      <w:r>
        <w:rPr>
          <w:rFonts w:ascii="ITC Avant Garde" w:hAnsi="ITC Avant Garde"/>
          <w:color w:val="auto"/>
          <w:lang w:val="es-ES"/>
        </w:rPr>
        <w:t>, en el Informe Trimestral del Cumplimiento a las Medidas y la Regulación Asimétrica impuestas al AEP (abril-junio 2019)</w:t>
      </w:r>
      <w:r>
        <w:rPr>
          <w:rStyle w:val="Refdenotaalpie"/>
          <w:rFonts w:ascii="ITC Avant Garde" w:hAnsi="ITC Avant Garde"/>
          <w:color w:val="auto"/>
          <w:lang w:val="es-ES"/>
        </w:rPr>
        <w:footnoteReference w:id="8"/>
      </w:r>
      <w:r>
        <w:rPr>
          <w:rFonts w:ascii="ITC Avant Garde" w:hAnsi="ITC Avant Garde"/>
          <w:color w:val="auto"/>
          <w:lang w:val="es-ES"/>
        </w:rPr>
        <w:t>, se señalan las tarifas que fueron autorizados por el Instituto para los diferentes planes que fueron sometidos por el AEP</w:t>
      </w:r>
      <w:r w:rsidR="00A9485A">
        <w:rPr>
          <w:rFonts w:ascii="ITC Avant Garde" w:hAnsi="ITC Avant Garde"/>
          <w:color w:val="auto"/>
          <w:lang w:val="es-ES"/>
        </w:rPr>
        <w:t>, incluyendo los Planes Internet en tu casa.</w:t>
      </w:r>
    </w:p>
    <w:p w14:paraId="76D8D181" w14:textId="2A3918FE" w:rsidR="008C65DC" w:rsidRDefault="008C65DC" w:rsidP="00881A7B">
      <w:pPr>
        <w:spacing w:after="0" w:line="276" w:lineRule="auto"/>
        <w:ind w:left="0" w:right="49" w:firstLine="0"/>
        <w:rPr>
          <w:rFonts w:ascii="ITC Avant Garde" w:hAnsi="ITC Avant Garde"/>
          <w:color w:val="auto"/>
        </w:rPr>
      </w:pPr>
    </w:p>
    <w:p w14:paraId="1D3300F9" w14:textId="36E6D7F3" w:rsidR="008C65DC" w:rsidRPr="00203BF7" w:rsidRDefault="008C65DC" w:rsidP="002A524D">
      <w:pPr>
        <w:spacing w:after="0" w:line="276" w:lineRule="auto"/>
        <w:ind w:left="-851" w:right="0" w:firstLine="0"/>
        <w:rPr>
          <w:rFonts w:ascii="ITC Avant Garde" w:hAnsi="ITC Avant Garde"/>
          <w:b/>
          <w:color w:val="auto"/>
        </w:rPr>
      </w:pPr>
      <w:r>
        <w:rPr>
          <w:rFonts w:ascii="ITC Avant Garde" w:hAnsi="ITC Avant Garde"/>
          <w:b/>
          <w:color w:val="auto"/>
        </w:rPr>
        <w:t>Televisa</w:t>
      </w:r>
      <w:r w:rsidR="007903FE">
        <w:rPr>
          <w:rFonts w:ascii="ITC Avant Garde" w:hAnsi="ITC Avant Garde"/>
          <w:b/>
          <w:color w:val="auto"/>
        </w:rPr>
        <w:t>, CANIETI</w:t>
      </w:r>
      <w:r w:rsidRPr="00203BF7">
        <w:rPr>
          <w:rFonts w:ascii="ITC Avant Garde" w:hAnsi="ITC Avant Garde"/>
          <w:b/>
          <w:color w:val="auto"/>
        </w:rPr>
        <w:t>:</w:t>
      </w:r>
    </w:p>
    <w:p w14:paraId="2163E2C9" w14:textId="502C94E6" w:rsidR="008C65DC" w:rsidRDefault="008C65DC" w:rsidP="002A524D">
      <w:pPr>
        <w:spacing w:after="0" w:line="276" w:lineRule="auto"/>
        <w:ind w:left="-851" w:right="49"/>
        <w:rPr>
          <w:rFonts w:ascii="ITC Avant Garde" w:hAnsi="ITC Avant Garde"/>
          <w:color w:val="auto"/>
        </w:rPr>
      </w:pPr>
      <w:r>
        <w:rPr>
          <w:rFonts w:ascii="ITC Avant Garde" w:hAnsi="ITC Avant Garde"/>
          <w:color w:val="auto"/>
        </w:rPr>
        <w:t>Solicita</w:t>
      </w:r>
      <w:r w:rsidR="00C858B8">
        <w:rPr>
          <w:rFonts w:ascii="ITC Avant Garde" w:hAnsi="ITC Avant Garde"/>
          <w:color w:val="auto"/>
        </w:rPr>
        <w:t>n</w:t>
      </w:r>
      <w:r>
        <w:rPr>
          <w:rFonts w:ascii="ITC Avant Garde" w:hAnsi="ITC Avant Garde"/>
          <w:color w:val="auto"/>
        </w:rPr>
        <w:t xml:space="preserve"> la inclusión del servicio de “</w:t>
      </w:r>
      <w:proofErr w:type="spellStart"/>
      <w:r w:rsidRPr="008C65DC">
        <w:rPr>
          <w:rFonts w:ascii="ITC Avant Garde" w:hAnsi="ITC Avant Garde"/>
          <w:i/>
          <w:color w:val="auto"/>
        </w:rPr>
        <w:t>Fixed</w:t>
      </w:r>
      <w:proofErr w:type="spellEnd"/>
      <w:r w:rsidRPr="008C65DC">
        <w:rPr>
          <w:rFonts w:ascii="ITC Avant Garde" w:hAnsi="ITC Avant Garde"/>
          <w:i/>
          <w:color w:val="auto"/>
        </w:rPr>
        <w:t>-Wireless</w:t>
      </w:r>
      <w:r>
        <w:rPr>
          <w:rFonts w:ascii="ITC Avant Garde" w:hAnsi="ITC Avant Garde"/>
          <w:color w:val="auto"/>
        </w:rPr>
        <w:t>”</w:t>
      </w:r>
      <w:r w:rsidR="00FA007B">
        <w:rPr>
          <w:rFonts w:ascii="ITC Avant Garde" w:hAnsi="ITC Avant Garde"/>
          <w:color w:val="auto"/>
        </w:rPr>
        <w:t xml:space="preserve"> dentro de las Medidas Móviles como un servicio de la Oferta, el cual deberá incluir los procedimientos, tarifas y modulo dentro del modelo de costos</w:t>
      </w:r>
      <w:r w:rsidR="00914F58">
        <w:rPr>
          <w:rFonts w:ascii="ITC Avant Garde" w:hAnsi="ITC Avant Garde"/>
          <w:color w:val="auto"/>
        </w:rPr>
        <w:t xml:space="preserve"> con el fin de dar cumplimiento a los principios de </w:t>
      </w:r>
      <w:proofErr w:type="spellStart"/>
      <w:r w:rsidR="00914F58">
        <w:rPr>
          <w:rFonts w:ascii="ITC Avant Garde" w:hAnsi="ITC Avant Garde"/>
          <w:color w:val="auto"/>
        </w:rPr>
        <w:t>replicabilidad</w:t>
      </w:r>
      <w:proofErr w:type="spellEnd"/>
      <w:r w:rsidR="00914F58">
        <w:rPr>
          <w:rFonts w:ascii="ITC Avant Garde" w:hAnsi="ITC Avant Garde"/>
          <w:color w:val="auto"/>
        </w:rPr>
        <w:t xml:space="preserve"> económica, técnica y la equivalencia de insumos. </w:t>
      </w:r>
      <w:r w:rsidR="00F05CE1">
        <w:rPr>
          <w:rFonts w:ascii="ITC Avant Garde" w:hAnsi="ITC Avant Garde"/>
          <w:color w:val="auto"/>
        </w:rPr>
        <w:t xml:space="preserve">Asimismo, solicita que este servicio sea sometido a un test de </w:t>
      </w:r>
      <w:proofErr w:type="spellStart"/>
      <w:r w:rsidR="00F05CE1">
        <w:rPr>
          <w:rFonts w:ascii="ITC Avant Garde" w:hAnsi="ITC Avant Garde"/>
          <w:color w:val="auto"/>
        </w:rPr>
        <w:t>replicabilidad</w:t>
      </w:r>
      <w:proofErr w:type="spellEnd"/>
      <w:r w:rsidR="00F05CE1">
        <w:rPr>
          <w:rFonts w:ascii="ITC Avant Garde" w:hAnsi="ITC Avant Garde"/>
          <w:color w:val="auto"/>
        </w:rPr>
        <w:t xml:space="preserve"> comercial ex ante para ga</w:t>
      </w:r>
      <w:r w:rsidR="00DE7F1A">
        <w:rPr>
          <w:rFonts w:ascii="ITC Avant Garde" w:hAnsi="ITC Avant Garde"/>
          <w:color w:val="auto"/>
        </w:rPr>
        <w:t>rantizar que los concesionarios puedan replicarlo.</w:t>
      </w:r>
    </w:p>
    <w:p w14:paraId="1C470080" w14:textId="77777777" w:rsidR="00881A7B" w:rsidRDefault="00881A7B" w:rsidP="00881A7B">
      <w:pPr>
        <w:spacing w:after="0" w:line="276" w:lineRule="auto"/>
        <w:ind w:left="-851" w:right="0" w:firstLine="0"/>
        <w:rPr>
          <w:rFonts w:ascii="ITC Avant Garde" w:hAnsi="ITC Avant Garde"/>
          <w:b/>
          <w:color w:val="auto"/>
        </w:rPr>
      </w:pPr>
    </w:p>
    <w:p w14:paraId="7DE00960" w14:textId="06D45ED7" w:rsidR="00881A7B" w:rsidRDefault="00881A7B" w:rsidP="00881A7B">
      <w:pPr>
        <w:spacing w:after="0" w:line="276" w:lineRule="auto"/>
        <w:ind w:left="-851" w:right="0" w:firstLine="0"/>
        <w:rPr>
          <w:rFonts w:ascii="ITC Avant Garde" w:hAnsi="ITC Avant Garde"/>
          <w:b/>
          <w:color w:val="auto"/>
        </w:rPr>
      </w:pPr>
      <w:r w:rsidRPr="00343A4F">
        <w:rPr>
          <w:rFonts w:ascii="ITC Avant Garde" w:hAnsi="ITC Avant Garde"/>
          <w:b/>
          <w:color w:val="auto"/>
        </w:rPr>
        <w:t xml:space="preserve">Consideraciones del Instituto </w:t>
      </w:r>
    </w:p>
    <w:p w14:paraId="6A7D2FFE" w14:textId="6FDE5FAD" w:rsidR="00881A7B" w:rsidRDefault="00881A7B" w:rsidP="00881A7B">
      <w:pPr>
        <w:spacing w:after="0" w:line="276" w:lineRule="auto"/>
        <w:ind w:left="-851" w:right="0" w:firstLine="0"/>
        <w:rPr>
          <w:rFonts w:ascii="ITC Avant Garde" w:hAnsi="ITC Avant Garde"/>
          <w:b/>
          <w:color w:val="auto"/>
        </w:rPr>
      </w:pPr>
      <w:r>
        <w:rPr>
          <w:rFonts w:ascii="ITC Avant Garde" w:hAnsi="ITC Avant Garde"/>
          <w:color w:val="auto"/>
        </w:rPr>
        <w:t xml:space="preserve">Se señala que la definición de las pruebas de </w:t>
      </w:r>
      <w:proofErr w:type="spellStart"/>
      <w:r>
        <w:rPr>
          <w:rFonts w:ascii="ITC Avant Garde" w:hAnsi="ITC Avant Garde"/>
          <w:color w:val="auto"/>
        </w:rPr>
        <w:t>replicabilidad</w:t>
      </w:r>
      <w:proofErr w:type="spellEnd"/>
      <w:r>
        <w:rPr>
          <w:rFonts w:ascii="ITC Avant Garde" w:hAnsi="ITC Avant Garde"/>
          <w:color w:val="auto"/>
        </w:rPr>
        <w:t xml:space="preserve"> económica excede el alcance de la presente consulta.</w:t>
      </w:r>
    </w:p>
    <w:p w14:paraId="43C7F414" w14:textId="3F4D9104" w:rsidR="00881A7B" w:rsidRPr="005E5201" w:rsidRDefault="00881A7B" w:rsidP="00881A7B">
      <w:pPr>
        <w:spacing w:after="0" w:line="276" w:lineRule="auto"/>
        <w:ind w:left="-851" w:right="49"/>
        <w:rPr>
          <w:rFonts w:ascii="ITC Avant Garde" w:hAnsi="ITC Avant Garde"/>
          <w:b/>
          <w:color w:val="auto"/>
          <w:u w:val="single"/>
        </w:rPr>
      </w:pPr>
      <w:r>
        <w:rPr>
          <w:rFonts w:ascii="ITC Avant Garde" w:hAnsi="ITC Avant Garde"/>
          <w:color w:val="auto"/>
        </w:rPr>
        <w:t xml:space="preserve">Por lo que hace a la inclusión del servicio de </w:t>
      </w:r>
      <w:r>
        <w:rPr>
          <w:rFonts w:ascii="ITC Avant Garde" w:hAnsi="ITC Avant Garde"/>
          <w:color w:val="auto"/>
        </w:rPr>
        <w:t>“</w:t>
      </w:r>
      <w:proofErr w:type="spellStart"/>
      <w:r w:rsidRPr="008C65DC">
        <w:rPr>
          <w:rFonts w:ascii="ITC Avant Garde" w:hAnsi="ITC Avant Garde"/>
          <w:i/>
          <w:color w:val="auto"/>
        </w:rPr>
        <w:t>Fixed</w:t>
      </w:r>
      <w:proofErr w:type="spellEnd"/>
      <w:r w:rsidRPr="008C65DC">
        <w:rPr>
          <w:rFonts w:ascii="ITC Avant Garde" w:hAnsi="ITC Avant Garde"/>
          <w:i/>
          <w:color w:val="auto"/>
        </w:rPr>
        <w:t>-Wireless</w:t>
      </w:r>
      <w:r>
        <w:rPr>
          <w:rFonts w:ascii="ITC Avant Garde" w:hAnsi="ITC Avant Garde"/>
          <w:color w:val="auto"/>
        </w:rPr>
        <w:t>”</w:t>
      </w:r>
      <w:r>
        <w:rPr>
          <w:rFonts w:ascii="ITC Avant Garde" w:hAnsi="ITC Avant Garde"/>
          <w:color w:val="auto"/>
        </w:rPr>
        <w:t xml:space="preserve"> téngase por reproducido lo señalado en el </w:t>
      </w:r>
      <w:r>
        <w:rPr>
          <w:rFonts w:ascii="ITC Avant Garde" w:hAnsi="ITC Avant Garde"/>
          <w:b/>
          <w:color w:val="auto"/>
        </w:rPr>
        <w:t>ANEXO A Precios y Tarifas</w:t>
      </w:r>
      <w:r>
        <w:rPr>
          <w:rFonts w:ascii="ITC Avant Garde" w:hAnsi="ITC Avant Garde"/>
          <w:b/>
          <w:color w:val="auto"/>
        </w:rPr>
        <w:t>.</w:t>
      </w:r>
    </w:p>
    <w:p w14:paraId="59592880" w14:textId="10D59DE4" w:rsidR="00881A7B" w:rsidRDefault="00881A7B" w:rsidP="002A524D">
      <w:pPr>
        <w:spacing w:after="0" w:line="276" w:lineRule="auto"/>
        <w:ind w:left="-851" w:right="49"/>
        <w:rPr>
          <w:rFonts w:ascii="ITC Avant Garde" w:hAnsi="ITC Avant Garde"/>
          <w:color w:val="auto"/>
        </w:rPr>
      </w:pPr>
    </w:p>
    <w:p w14:paraId="76C39C7A" w14:textId="77777777" w:rsidR="00445E55" w:rsidRDefault="00445E55" w:rsidP="002A524D">
      <w:pPr>
        <w:spacing w:after="0" w:line="276" w:lineRule="auto"/>
        <w:ind w:left="-851" w:right="49"/>
        <w:rPr>
          <w:rFonts w:ascii="ITC Avant Garde" w:hAnsi="ITC Avant Garde"/>
          <w:color w:val="auto"/>
        </w:rPr>
      </w:pPr>
    </w:p>
    <w:p w14:paraId="32676BF8" w14:textId="2DFC218B" w:rsidR="00DE188D" w:rsidRDefault="00DE188D" w:rsidP="002A524D">
      <w:pPr>
        <w:pStyle w:val="IFT1"/>
        <w:tabs>
          <w:tab w:val="left" w:pos="426"/>
        </w:tabs>
        <w:spacing w:after="0"/>
        <w:ind w:left="-851"/>
        <w:rPr>
          <w:rFonts w:cs="Arial"/>
        </w:rPr>
      </w:pPr>
    </w:p>
    <w:p w14:paraId="2936AB31" w14:textId="6CCCBDAC" w:rsidR="00DE188D" w:rsidRDefault="00DE188D" w:rsidP="002A524D">
      <w:pPr>
        <w:spacing w:after="0" w:line="276" w:lineRule="auto"/>
        <w:ind w:left="-851" w:right="615"/>
        <w:rPr>
          <w:rFonts w:ascii="ITC Avant Garde" w:eastAsia="Calibri" w:hAnsi="ITC Avant Garde" w:cs="Arial"/>
          <w:i/>
          <w:sz w:val="18"/>
          <w:szCs w:val="18"/>
          <w:u w:val="single"/>
        </w:rPr>
      </w:pPr>
    </w:p>
    <w:sectPr w:rsidR="00DE188D" w:rsidSect="005E5201">
      <w:footerReference w:type="default" r:id="rId9"/>
      <w:pgSz w:w="12240" w:h="15840"/>
      <w:pgMar w:top="1417" w:right="1701" w:bottom="1417" w:left="241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9268A" w16cid:durableId="1DD9478A"/>
  <w16cid:commentId w16cid:paraId="46524846" w16cid:durableId="1DD9478B"/>
  <w16cid:commentId w16cid:paraId="7F440B07" w16cid:durableId="1DD9478C"/>
  <w16cid:commentId w16cid:paraId="14C00981" w16cid:durableId="1DD9478D"/>
  <w16cid:commentId w16cid:paraId="1AFF13EC" w16cid:durableId="1DD9478E"/>
  <w16cid:commentId w16cid:paraId="144641A8" w16cid:durableId="1DD9478F"/>
  <w16cid:commentId w16cid:paraId="7D54DE88" w16cid:durableId="1DD94790"/>
  <w16cid:commentId w16cid:paraId="21DFEC6C" w16cid:durableId="1E0B611C"/>
  <w16cid:commentId w16cid:paraId="29F40C8F" w16cid:durableId="1DD94791"/>
  <w16cid:commentId w16cid:paraId="78A87DD2" w16cid:durableId="1DD94792"/>
  <w16cid:commentId w16cid:paraId="394ADD52" w16cid:durableId="1DD94793"/>
  <w16cid:commentId w16cid:paraId="37BE0E9E" w16cid:durableId="1DD94794"/>
  <w16cid:commentId w16cid:paraId="0B621C89" w16cid:durableId="1D83D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05BB" w14:textId="77777777" w:rsidR="00B613C7" w:rsidRDefault="00B613C7" w:rsidP="00493685">
      <w:pPr>
        <w:spacing w:after="0" w:line="240" w:lineRule="auto"/>
      </w:pPr>
      <w:r>
        <w:separator/>
      </w:r>
    </w:p>
  </w:endnote>
  <w:endnote w:type="continuationSeparator" w:id="0">
    <w:p w14:paraId="3D7C6B6B" w14:textId="77777777" w:rsidR="00B613C7" w:rsidRDefault="00B613C7"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0000000000000000000"/>
    <w:charset w:val="00"/>
    <w:family w:val="roman"/>
    <w:notTrueType/>
    <w:pitch w:val="default"/>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731"/>
      <w:docPartObj>
        <w:docPartGallery w:val="Page Numbers (Bottom of Page)"/>
        <w:docPartUnique/>
      </w:docPartObj>
    </w:sdtPr>
    <w:sdtContent>
      <w:p w14:paraId="2C1FCB72" w14:textId="37E622E2" w:rsidR="002C2E1A" w:rsidRDefault="002C2E1A">
        <w:pPr>
          <w:pStyle w:val="Piedepgina"/>
          <w:jc w:val="right"/>
        </w:pPr>
        <w:r>
          <w:fldChar w:fldCharType="begin"/>
        </w:r>
        <w:r>
          <w:instrText>PAGE   \* MERGEFORMAT</w:instrText>
        </w:r>
        <w:r>
          <w:fldChar w:fldCharType="separate"/>
        </w:r>
        <w:r w:rsidR="00F6717B" w:rsidRPr="00F6717B">
          <w:rPr>
            <w:noProof/>
            <w:lang w:val="es-ES"/>
          </w:rPr>
          <w:t>20</w:t>
        </w:r>
        <w:r>
          <w:fldChar w:fldCharType="end"/>
        </w:r>
      </w:p>
    </w:sdtContent>
  </w:sdt>
  <w:p w14:paraId="17CF8DEA" w14:textId="77777777" w:rsidR="002C2E1A" w:rsidRDefault="002C2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F9D1A" w14:textId="77777777" w:rsidR="00B613C7" w:rsidRDefault="00B613C7" w:rsidP="00493685">
      <w:pPr>
        <w:spacing w:after="0" w:line="240" w:lineRule="auto"/>
      </w:pPr>
      <w:r>
        <w:separator/>
      </w:r>
    </w:p>
  </w:footnote>
  <w:footnote w:type="continuationSeparator" w:id="0">
    <w:p w14:paraId="23208755" w14:textId="77777777" w:rsidR="00B613C7" w:rsidRDefault="00B613C7" w:rsidP="00493685">
      <w:pPr>
        <w:spacing w:after="0" w:line="240" w:lineRule="auto"/>
      </w:pPr>
      <w:r>
        <w:continuationSeparator/>
      </w:r>
    </w:p>
  </w:footnote>
  <w:footnote w:id="1">
    <w:p w14:paraId="5D360625" w14:textId="0CA4C98C" w:rsidR="002C2E1A" w:rsidRPr="004D6BD0" w:rsidRDefault="002C2E1A" w:rsidP="00221F60">
      <w:pPr>
        <w:pStyle w:val="Textonotapie"/>
        <w:ind w:left="-851"/>
        <w:jc w:val="both"/>
      </w:pPr>
      <w:r>
        <w:rPr>
          <w:rStyle w:val="Refdenotaalpie"/>
        </w:rPr>
        <w:footnoteRef/>
      </w:r>
      <w:r>
        <w:t xml:space="preserve"> </w:t>
      </w:r>
      <w:r w:rsidRPr="004D6BD0">
        <w:rPr>
          <w:rFonts w:ascii="ITC Avant Garde" w:eastAsia="Avant Garde" w:hAnsi="ITC Avant Garde" w:cs="Avant Garde"/>
          <w:i/>
          <w:color w:val="000000"/>
          <w:sz w:val="18"/>
          <w:szCs w:val="18"/>
          <w:lang w:val="es-MX" w:eastAsia="es-MX"/>
        </w:rPr>
        <w:t>“RESOLUCIÓN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 MÉXICO, S.A.B. DE C.V., APLICABLES DEL 1° DE ENERO AL 31 DE DICIEMBRE DE 2019</w:t>
      </w:r>
      <w:r>
        <w:rPr>
          <w:rFonts w:ascii="ITC Avant Garde" w:eastAsia="Avant Garde" w:hAnsi="ITC Avant Garde" w:cs="Avant Garde"/>
          <w:i/>
          <w:color w:val="000000"/>
          <w:sz w:val="18"/>
          <w:szCs w:val="18"/>
          <w:lang w:val="es-MX" w:eastAsia="es-MX"/>
        </w:rPr>
        <w:t xml:space="preserve">”, </w:t>
      </w:r>
      <w:r>
        <w:rPr>
          <w:rFonts w:ascii="ITC Avant Garde" w:eastAsia="Avant Garde" w:hAnsi="ITC Avant Garde" w:cs="Avant Garde"/>
          <w:color w:val="000000"/>
          <w:sz w:val="18"/>
          <w:szCs w:val="18"/>
          <w:lang w:val="es-MX" w:eastAsia="es-MX"/>
        </w:rPr>
        <w:t>aprobada mediante Acuerdo P/IFT/EXT/111218/25</w:t>
      </w:r>
    </w:p>
  </w:footnote>
  <w:footnote w:id="2">
    <w:p w14:paraId="36306383" w14:textId="77777777" w:rsidR="002C2E1A" w:rsidRPr="00D65D5C" w:rsidRDefault="002C2E1A" w:rsidP="0042489D">
      <w:pPr>
        <w:pStyle w:val="Ttulo1"/>
        <w:spacing w:line="276" w:lineRule="auto"/>
        <w:ind w:left="-851" w:hanging="11"/>
        <w:jc w:val="both"/>
        <w:rPr>
          <w:rFonts w:ascii="ITC Avant Garde" w:eastAsia="Times New Roman" w:hAnsi="ITC Avant Garde" w:cs="Times New Roman"/>
          <w:i/>
          <w:color w:val="auto"/>
          <w:sz w:val="18"/>
          <w:szCs w:val="18"/>
          <w:lang w:val="es-ES" w:eastAsia="es-ES"/>
        </w:rPr>
      </w:pPr>
      <w:r w:rsidRPr="00D65D5C">
        <w:rPr>
          <w:rFonts w:ascii="ITC Avant Garde" w:eastAsia="Times New Roman" w:hAnsi="ITC Avant Garde" w:cs="Times New Roman"/>
          <w:i/>
          <w:color w:val="auto"/>
          <w:sz w:val="18"/>
          <w:szCs w:val="18"/>
          <w:vertAlign w:val="superscript"/>
          <w:lang w:val="es-ES" w:eastAsia="es-ES"/>
        </w:rPr>
        <w:footnoteRef/>
      </w:r>
      <w:r w:rsidRPr="00D65D5C">
        <w:rPr>
          <w:rFonts w:ascii="ITC Avant Garde" w:eastAsia="Times New Roman" w:hAnsi="ITC Avant Garde" w:cs="Times New Roman"/>
          <w:i/>
          <w:color w:val="auto"/>
          <w:sz w:val="18"/>
          <w:szCs w:val="18"/>
          <w:lang w:val="es-ES" w:eastAsia="es-ES"/>
        </w:rPr>
        <w:t xml:space="preserve"> </w:t>
      </w:r>
      <w:r>
        <w:rPr>
          <w:rFonts w:ascii="ITC Avant Garde" w:eastAsia="Times New Roman" w:hAnsi="ITC Avant Garde" w:cs="Times New Roman"/>
          <w:i/>
          <w:color w:val="auto"/>
          <w:sz w:val="18"/>
          <w:szCs w:val="18"/>
          <w:lang w:val="es-ES" w:eastAsia="es-ES"/>
        </w:rPr>
        <w:t>“</w:t>
      </w:r>
      <w:r w:rsidRPr="00D65D5C">
        <w:rPr>
          <w:rFonts w:ascii="ITC Avant Garde" w:eastAsia="Times New Roman" w:hAnsi="ITC Avant Garde" w:cs="Times New Roman"/>
          <w:i/>
          <w:color w:val="auto"/>
          <w:sz w:val="18"/>
          <w:szCs w:val="18"/>
          <w:lang w:val="es-ES" w:eastAsia="es-ES"/>
        </w:rPr>
        <w:t>METODOLOGÍA, TÉRMINOS Y CONDICIONES PARA LLEVAR A CABO LAS PRUEBAS DE REPLICABILIDAD ECONÓMICA APLICABLES A LOS SERVICIOS DEL AGENTE ECONÓMICO PREPONDERANTE EN TELECOMUNICACIONES A QUE SE REFIERE LA MEDIDA SEXAGÉSIMA CUARTA DEL ANEXO 1 DE LA RESOLUCIÓN DE FECHA 27 DE FEBRERO DE 2017 APROBADA MEDIAN</w:t>
      </w:r>
      <w:r>
        <w:rPr>
          <w:rFonts w:ascii="ITC Avant Garde" w:eastAsia="Times New Roman" w:hAnsi="ITC Avant Garde" w:cs="Times New Roman"/>
          <w:i/>
          <w:color w:val="auto"/>
          <w:sz w:val="18"/>
          <w:szCs w:val="18"/>
          <w:lang w:val="es-ES" w:eastAsia="es-ES"/>
        </w:rPr>
        <w:t xml:space="preserve">TE ACUERDO P/IFT/EXT/270217/119”, </w:t>
      </w:r>
      <w:r w:rsidRPr="004F6A9C">
        <w:rPr>
          <w:rFonts w:ascii="ITC Avant Garde" w:eastAsia="Times New Roman" w:hAnsi="ITC Avant Garde" w:cs="Times New Roman"/>
          <w:color w:val="auto"/>
          <w:sz w:val="18"/>
          <w:szCs w:val="18"/>
          <w:lang w:val="es-ES" w:eastAsia="es-ES"/>
        </w:rPr>
        <w:t>aprobado mediante Acuerdo P/IFT/120917/548.</w:t>
      </w:r>
    </w:p>
    <w:p w14:paraId="79666C48" w14:textId="77777777" w:rsidR="002C2E1A" w:rsidRPr="00D65D5C" w:rsidRDefault="002C2E1A" w:rsidP="0042489D">
      <w:pPr>
        <w:pStyle w:val="Textonotapie"/>
        <w:ind w:left="-851"/>
        <w:rPr>
          <w:lang w:val="es-MX"/>
        </w:rPr>
      </w:pPr>
    </w:p>
  </w:footnote>
  <w:footnote w:id="3">
    <w:p w14:paraId="6955023C" w14:textId="77777777" w:rsidR="002C2E1A" w:rsidRPr="0000403B" w:rsidRDefault="002C2E1A" w:rsidP="0042489D">
      <w:pPr>
        <w:pStyle w:val="Textonotapie"/>
        <w:ind w:left="-851"/>
      </w:pPr>
      <w:r>
        <w:rPr>
          <w:rStyle w:val="Refdenotaalpie"/>
        </w:rPr>
        <w:footnoteRef/>
      </w:r>
      <w:r>
        <w:t xml:space="preserve"> </w:t>
      </w:r>
      <w:hyperlink r:id="rId1" w:history="1">
        <w:r w:rsidRPr="0000403B">
          <w:rPr>
            <w:rStyle w:val="Hipervnculo"/>
            <w:rFonts w:ascii="ITC Avant Garde" w:hAnsi="ITC Avant Garde"/>
            <w:color w:val="auto"/>
            <w:sz w:val="18"/>
            <w:szCs w:val="18"/>
          </w:rPr>
          <w:t>http://rpc.ift.org.mx/rpc/pdfs/informes/38689_8180_191210125957.pdf</w:t>
        </w:r>
      </w:hyperlink>
    </w:p>
  </w:footnote>
  <w:footnote w:id="4">
    <w:p w14:paraId="4473398E" w14:textId="292B2B4C" w:rsidR="002C2E1A" w:rsidRPr="00C66597" w:rsidRDefault="002C2E1A" w:rsidP="00426AC9">
      <w:pPr>
        <w:pStyle w:val="Ttulo1"/>
        <w:ind w:left="-851" w:hanging="11"/>
        <w:jc w:val="both"/>
        <w:rPr>
          <w:rFonts w:ascii="ITC Avant Garde" w:hAnsi="ITC Avant Garde"/>
          <w:sz w:val="18"/>
          <w:szCs w:val="18"/>
        </w:rPr>
      </w:pPr>
      <w:r w:rsidRPr="003B56F4">
        <w:rPr>
          <w:rStyle w:val="Refdenotaalpie"/>
          <w:rFonts w:ascii="ITC Avant Garde" w:hAnsi="ITC Avant Garde"/>
          <w:sz w:val="18"/>
          <w:szCs w:val="18"/>
        </w:rPr>
        <w:footnoteRef/>
      </w:r>
      <w:r w:rsidRPr="003B56F4">
        <w:rPr>
          <w:rFonts w:ascii="ITC Avant Garde" w:hAnsi="ITC Avant Garde"/>
          <w:sz w:val="18"/>
          <w:szCs w:val="18"/>
        </w:rPr>
        <w:t xml:space="preserve"> </w:t>
      </w:r>
      <w:r w:rsidRPr="003B56F4">
        <w:rPr>
          <w:rFonts w:ascii="ITC Avant Garde" w:hAnsi="ITC Avant Garde"/>
          <w:i/>
          <w:sz w:val="18"/>
          <w:szCs w:val="18"/>
        </w:rPr>
        <w:t>ACUERDO MEDIANTE EL CUAL EL PLENO DEL INSTITUTO FEDERAL DE TELECOMUNICACIONES EMITE LOS INDICADORES CLAVE DE DESEMPEÑO A QUE SE REFIEREN LAS MEDIDAS SEPTUAGÉSIMA OCTAVA Y TRANSITORIA QUINTA DEL ANEXO 1 DE LA RESOLUCIÓN DE FECHA 27 DE FEBRERO DE 2017 APROBADA MEDIANTE ACUERDO P/IFT/EXT/270217/119 Y TÉRMINOS, FORMATOS Y PLAZOS PARA LA PRESENTACIÓN Y SEGUIMIEN</w:t>
      </w:r>
      <w:r>
        <w:rPr>
          <w:rFonts w:ascii="ITC Avant Garde" w:hAnsi="ITC Avant Garde"/>
          <w:i/>
          <w:sz w:val="18"/>
          <w:szCs w:val="18"/>
        </w:rPr>
        <w:t xml:space="preserve">TO DE LOS REPORTES DE DESEMPEÑO, </w:t>
      </w:r>
      <w:r>
        <w:rPr>
          <w:rFonts w:ascii="ITC Avant Garde" w:hAnsi="ITC Avant Garde"/>
          <w:sz w:val="18"/>
          <w:szCs w:val="18"/>
        </w:rPr>
        <w:t xml:space="preserve">aprobado mediante Acuerdo </w:t>
      </w:r>
      <w:r w:rsidRPr="00C66597">
        <w:rPr>
          <w:rFonts w:ascii="ITC Avant Garde" w:hAnsi="ITC Avant Garde"/>
          <w:sz w:val="18"/>
          <w:szCs w:val="18"/>
        </w:rPr>
        <w:t>P/IFT/150617/339</w:t>
      </w:r>
      <w:r>
        <w:rPr>
          <w:rFonts w:ascii="ITC Avant Garde" w:hAnsi="ITC Avant Garde"/>
          <w:sz w:val="18"/>
          <w:szCs w:val="18"/>
        </w:rPr>
        <w:t>.</w:t>
      </w:r>
    </w:p>
    <w:p w14:paraId="47923F09" w14:textId="3710971C" w:rsidR="002C2E1A" w:rsidRPr="003B56F4" w:rsidRDefault="002C2E1A" w:rsidP="00426AC9">
      <w:pPr>
        <w:pStyle w:val="Textonotapie"/>
        <w:ind w:firstLine="708"/>
        <w:rPr>
          <w:lang w:val="es-MX"/>
        </w:rPr>
      </w:pPr>
    </w:p>
  </w:footnote>
  <w:footnote w:id="5">
    <w:p w14:paraId="259C0F5E" w14:textId="77777777" w:rsidR="002C2E1A" w:rsidRPr="00C66597" w:rsidRDefault="002C2E1A" w:rsidP="00AB1A7E">
      <w:pPr>
        <w:ind w:left="-851"/>
        <w:rPr>
          <w:rFonts w:ascii="ITC Avant Garde" w:hAnsi="ITC Avant Garde"/>
          <w:i/>
          <w:sz w:val="18"/>
          <w:szCs w:val="18"/>
        </w:rPr>
      </w:pPr>
      <w:r w:rsidRPr="00C66597">
        <w:rPr>
          <w:rFonts w:ascii="ITC Avant Garde" w:eastAsia="Calibri" w:hAnsi="ITC Avant Garde" w:cs="Times New Roman"/>
          <w:i/>
          <w:sz w:val="18"/>
          <w:szCs w:val="18"/>
          <w:vertAlign w:val="superscript"/>
        </w:rPr>
        <w:footnoteRef/>
      </w:r>
      <w:r w:rsidRPr="00C66597">
        <w:rPr>
          <w:rFonts w:ascii="ITC Avant Garde" w:eastAsia="Calibri" w:hAnsi="ITC Avant Garde" w:cs="Times New Roman"/>
          <w:i/>
          <w:sz w:val="18"/>
          <w:szCs w:val="18"/>
        </w:rPr>
        <w:t xml:space="preserve"> “ACUERDO MEDIANTE EL CUAL EL PLENO DEL INSTITUTO FEDERAL DE TELECOMUNICACIONES EXPIDE LOS LINEAMIENTOS DE COLABORACIÓN EN MATERIA DE SEGURIDAD Y JUSTICIA Y MODIFICA EL PLAN TÉCNICO FUNDAMENTAL DE NUMERACIÓN”, </w:t>
      </w:r>
      <w:r>
        <w:rPr>
          <w:rFonts w:ascii="ITC Avant Garde" w:eastAsia="Calibri" w:hAnsi="ITC Avant Garde" w:cs="Times New Roman"/>
          <w:sz w:val="18"/>
          <w:szCs w:val="18"/>
        </w:rPr>
        <w:t>publicado en el Diario Oficial de la F</w:t>
      </w:r>
      <w:r w:rsidRPr="00C66597">
        <w:rPr>
          <w:rFonts w:ascii="ITC Avant Garde" w:eastAsia="Calibri" w:hAnsi="ITC Avant Garde" w:cs="Times New Roman"/>
          <w:sz w:val="18"/>
          <w:szCs w:val="18"/>
        </w:rPr>
        <w:t>ederación el 21 de junio de 1996.</w:t>
      </w:r>
    </w:p>
  </w:footnote>
  <w:footnote w:id="6">
    <w:p w14:paraId="6EF21107" w14:textId="33F150D6" w:rsidR="002C2E1A" w:rsidRPr="0000403B" w:rsidRDefault="002C2E1A" w:rsidP="00AB1A7E">
      <w:pPr>
        <w:pStyle w:val="Textonotapie"/>
        <w:ind w:left="-851"/>
      </w:pPr>
      <w:r>
        <w:rPr>
          <w:rStyle w:val="Refdenotaalpie"/>
        </w:rPr>
        <w:footnoteRef/>
      </w:r>
      <w:r>
        <w:t xml:space="preserve"> </w:t>
      </w:r>
      <w:hyperlink r:id="rId2" w:history="1">
        <w:r w:rsidRPr="0000403B">
          <w:rPr>
            <w:rStyle w:val="Hipervnculo"/>
            <w:rFonts w:ascii="ITC Avant Garde" w:hAnsi="ITC Avant Garde"/>
            <w:color w:val="auto"/>
            <w:sz w:val="18"/>
            <w:szCs w:val="18"/>
          </w:rPr>
          <w:t>http://rpc.ift.org.mx/rpc/pdfs/informes/38689_8180_191210125957.pdf</w:t>
        </w:r>
      </w:hyperlink>
    </w:p>
  </w:footnote>
  <w:footnote w:id="7">
    <w:p w14:paraId="7008E990" w14:textId="0DD15965" w:rsidR="002C2E1A" w:rsidRPr="00D65D5C" w:rsidRDefault="002C2E1A" w:rsidP="00863618">
      <w:pPr>
        <w:pStyle w:val="Ttulo1"/>
        <w:spacing w:line="276" w:lineRule="auto"/>
        <w:ind w:left="-851" w:hanging="11"/>
        <w:jc w:val="both"/>
        <w:rPr>
          <w:rFonts w:ascii="ITC Avant Garde" w:eastAsia="Times New Roman" w:hAnsi="ITC Avant Garde" w:cs="Times New Roman"/>
          <w:i/>
          <w:color w:val="auto"/>
          <w:sz w:val="18"/>
          <w:szCs w:val="18"/>
          <w:lang w:val="es-ES" w:eastAsia="es-ES"/>
        </w:rPr>
      </w:pPr>
      <w:r w:rsidRPr="00D65D5C">
        <w:rPr>
          <w:rFonts w:ascii="ITC Avant Garde" w:eastAsia="Times New Roman" w:hAnsi="ITC Avant Garde" w:cs="Times New Roman"/>
          <w:i/>
          <w:color w:val="auto"/>
          <w:sz w:val="18"/>
          <w:szCs w:val="18"/>
          <w:vertAlign w:val="superscript"/>
          <w:lang w:val="es-ES" w:eastAsia="es-ES"/>
        </w:rPr>
        <w:footnoteRef/>
      </w:r>
      <w:r w:rsidRPr="00D65D5C">
        <w:rPr>
          <w:rFonts w:ascii="ITC Avant Garde" w:eastAsia="Times New Roman" w:hAnsi="ITC Avant Garde" w:cs="Times New Roman"/>
          <w:i/>
          <w:color w:val="auto"/>
          <w:sz w:val="18"/>
          <w:szCs w:val="18"/>
          <w:lang w:val="es-ES" w:eastAsia="es-ES"/>
        </w:rPr>
        <w:t xml:space="preserve"> </w:t>
      </w:r>
      <w:r>
        <w:rPr>
          <w:rFonts w:ascii="ITC Avant Garde" w:eastAsia="Times New Roman" w:hAnsi="ITC Avant Garde" w:cs="Times New Roman"/>
          <w:i/>
          <w:color w:val="auto"/>
          <w:sz w:val="18"/>
          <w:szCs w:val="18"/>
          <w:lang w:val="es-ES" w:eastAsia="es-ES"/>
        </w:rPr>
        <w:t>“</w:t>
      </w:r>
      <w:r w:rsidRPr="00D65D5C">
        <w:rPr>
          <w:rFonts w:ascii="ITC Avant Garde" w:eastAsia="Times New Roman" w:hAnsi="ITC Avant Garde" w:cs="Times New Roman"/>
          <w:i/>
          <w:color w:val="auto"/>
          <w:sz w:val="18"/>
          <w:szCs w:val="18"/>
          <w:lang w:val="es-ES" w:eastAsia="es-ES"/>
        </w:rPr>
        <w:t>METODOLOGÍA, TÉRMINOS Y CONDICIONES PARA LLEVAR A CABO LAS PRUEBAS DE REPLICABILIDAD ECONÓMICA APLICABLES A LOS SERVICIOS DEL AGENTE ECONÓMICO PREPONDERANTE EN TELECOMUNICACIONES A QUE SE REFIERE LA MEDIDA SEXAGÉSIMA CUARTA DEL ANEXO 1 DE LA RESOLUCIÓN DE FECHA 27 DE FEBRERO DE 2017 APROBADA MEDIAN</w:t>
      </w:r>
      <w:r>
        <w:rPr>
          <w:rFonts w:ascii="ITC Avant Garde" w:eastAsia="Times New Roman" w:hAnsi="ITC Avant Garde" w:cs="Times New Roman"/>
          <w:i/>
          <w:color w:val="auto"/>
          <w:sz w:val="18"/>
          <w:szCs w:val="18"/>
          <w:lang w:val="es-ES" w:eastAsia="es-ES"/>
        </w:rPr>
        <w:t xml:space="preserve">TE ACUERDO P/IFT/EXT/270217/119”, </w:t>
      </w:r>
      <w:r w:rsidRPr="004F6A9C">
        <w:rPr>
          <w:rFonts w:ascii="ITC Avant Garde" w:eastAsia="Times New Roman" w:hAnsi="ITC Avant Garde" w:cs="Times New Roman"/>
          <w:color w:val="auto"/>
          <w:sz w:val="18"/>
          <w:szCs w:val="18"/>
          <w:lang w:val="es-ES" w:eastAsia="es-ES"/>
        </w:rPr>
        <w:t>aprobado mediante Acuerdo P/IFT/120917/548.</w:t>
      </w:r>
    </w:p>
    <w:p w14:paraId="5B0A6ED3" w14:textId="57B6A454" w:rsidR="002C2E1A" w:rsidRPr="00D65D5C" w:rsidRDefault="002C2E1A">
      <w:pPr>
        <w:pStyle w:val="Textonotapie"/>
        <w:rPr>
          <w:lang w:val="es-MX"/>
        </w:rPr>
      </w:pPr>
    </w:p>
  </w:footnote>
  <w:footnote w:id="8">
    <w:p w14:paraId="49777AAC" w14:textId="77777777" w:rsidR="002C2E1A" w:rsidRPr="0000403B" w:rsidRDefault="002C2E1A" w:rsidP="00AB1A7E">
      <w:pPr>
        <w:pStyle w:val="Textonotapie"/>
        <w:ind w:left="-709"/>
      </w:pPr>
      <w:r>
        <w:rPr>
          <w:rStyle w:val="Refdenotaalpie"/>
        </w:rPr>
        <w:footnoteRef/>
      </w:r>
      <w:r>
        <w:t xml:space="preserve"> </w:t>
      </w:r>
      <w:hyperlink r:id="rId3" w:history="1">
        <w:r w:rsidRPr="0000403B">
          <w:rPr>
            <w:rStyle w:val="Hipervnculo"/>
            <w:rFonts w:ascii="ITC Avant Garde" w:hAnsi="ITC Avant Garde"/>
            <w:color w:val="auto"/>
            <w:sz w:val="18"/>
            <w:szCs w:val="18"/>
          </w:rPr>
          <w:t>http://rpc.ift.org.mx/rpc/pdfs/informes/38689_8180_191210125957.pdf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1B94635"/>
    <w:multiLevelType w:val="hybridMultilevel"/>
    <w:tmpl w:val="2174BD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0304515C"/>
    <w:multiLevelType w:val="hybridMultilevel"/>
    <w:tmpl w:val="C41C0FCA"/>
    <w:lvl w:ilvl="0" w:tplc="87C2854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B25C2D"/>
    <w:multiLevelType w:val="hybridMultilevel"/>
    <w:tmpl w:val="0E3A1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922523"/>
    <w:multiLevelType w:val="hybridMultilevel"/>
    <w:tmpl w:val="C71E8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ED0C23"/>
    <w:multiLevelType w:val="hybridMultilevel"/>
    <w:tmpl w:val="8D5A3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73471"/>
    <w:multiLevelType w:val="hybridMultilevel"/>
    <w:tmpl w:val="2280D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4953D2"/>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9" w15:restartNumberingAfterBreak="0">
    <w:nsid w:val="25DE5C4B"/>
    <w:multiLevelType w:val="hybridMultilevel"/>
    <w:tmpl w:val="EAC429C4"/>
    <w:lvl w:ilvl="0" w:tplc="96861E9C">
      <w:start w:val="1"/>
      <w:numFmt w:val="upperRoman"/>
      <w:lvlText w:val="%1."/>
      <w:lvlJc w:val="right"/>
      <w:pPr>
        <w:ind w:left="654" w:hanging="360"/>
      </w:pPr>
      <w:rPr>
        <w:b/>
      </w:rPr>
    </w:lvl>
    <w:lvl w:ilvl="1" w:tplc="080A0019">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10" w15:restartNumberingAfterBreak="0">
    <w:nsid w:val="26B06F2A"/>
    <w:multiLevelType w:val="hybridMultilevel"/>
    <w:tmpl w:val="E0C47A3A"/>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11" w15:restartNumberingAfterBreak="0">
    <w:nsid w:val="27FD4A29"/>
    <w:multiLevelType w:val="hybridMultilevel"/>
    <w:tmpl w:val="53CC1648"/>
    <w:lvl w:ilvl="0" w:tplc="080A0003">
      <w:start w:val="1"/>
      <w:numFmt w:val="bullet"/>
      <w:lvlText w:val="o"/>
      <w:lvlJc w:val="left"/>
      <w:pPr>
        <w:ind w:left="3027" w:hanging="360"/>
      </w:pPr>
      <w:rPr>
        <w:rFonts w:ascii="Courier New" w:hAnsi="Courier New" w:cs="Courier New" w:hint="default"/>
      </w:rPr>
    </w:lvl>
    <w:lvl w:ilvl="1" w:tplc="080A0003">
      <w:start w:val="1"/>
      <w:numFmt w:val="bullet"/>
      <w:lvlText w:val="o"/>
      <w:lvlJc w:val="left"/>
      <w:pPr>
        <w:ind w:left="3747" w:hanging="360"/>
      </w:pPr>
      <w:rPr>
        <w:rFonts w:ascii="Courier New" w:hAnsi="Courier New" w:cs="Courier New" w:hint="default"/>
      </w:rPr>
    </w:lvl>
    <w:lvl w:ilvl="2" w:tplc="080A0005" w:tentative="1">
      <w:start w:val="1"/>
      <w:numFmt w:val="bullet"/>
      <w:lvlText w:val=""/>
      <w:lvlJc w:val="left"/>
      <w:pPr>
        <w:ind w:left="4467" w:hanging="360"/>
      </w:pPr>
      <w:rPr>
        <w:rFonts w:ascii="Wingdings" w:hAnsi="Wingdings" w:hint="default"/>
      </w:rPr>
    </w:lvl>
    <w:lvl w:ilvl="3" w:tplc="080A0001" w:tentative="1">
      <w:start w:val="1"/>
      <w:numFmt w:val="bullet"/>
      <w:lvlText w:val=""/>
      <w:lvlJc w:val="left"/>
      <w:pPr>
        <w:ind w:left="5187" w:hanging="360"/>
      </w:pPr>
      <w:rPr>
        <w:rFonts w:ascii="Symbol" w:hAnsi="Symbol" w:hint="default"/>
      </w:rPr>
    </w:lvl>
    <w:lvl w:ilvl="4" w:tplc="080A0003" w:tentative="1">
      <w:start w:val="1"/>
      <w:numFmt w:val="bullet"/>
      <w:lvlText w:val="o"/>
      <w:lvlJc w:val="left"/>
      <w:pPr>
        <w:ind w:left="5907" w:hanging="360"/>
      </w:pPr>
      <w:rPr>
        <w:rFonts w:ascii="Courier New" w:hAnsi="Courier New" w:cs="Courier New" w:hint="default"/>
      </w:rPr>
    </w:lvl>
    <w:lvl w:ilvl="5" w:tplc="080A0005" w:tentative="1">
      <w:start w:val="1"/>
      <w:numFmt w:val="bullet"/>
      <w:lvlText w:val=""/>
      <w:lvlJc w:val="left"/>
      <w:pPr>
        <w:ind w:left="6627" w:hanging="360"/>
      </w:pPr>
      <w:rPr>
        <w:rFonts w:ascii="Wingdings" w:hAnsi="Wingdings" w:hint="default"/>
      </w:rPr>
    </w:lvl>
    <w:lvl w:ilvl="6" w:tplc="080A0001" w:tentative="1">
      <w:start w:val="1"/>
      <w:numFmt w:val="bullet"/>
      <w:lvlText w:val=""/>
      <w:lvlJc w:val="left"/>
      <w:pPr>
        <w:ind w:left="7347" w:hanging="360"/>
      </w:pPr>
      <w:rPr>
        <w:rFonts w:ascii="Symbol" w:hAnsi="Symbol" w:hint="default"/>
      </w:rPr>
    </w:lvl>
    <w:lvl w:ilvl="7" w:tplc="080A0003" w:tentative="1">
      <w:start w:val="1"/>
      <w:numFmt w:val="bullet"/>
      <w:lvlText w:val="o"/>
      <w:lvlJc w:val="left"/>
      <w:pPr>
        <w:ind w:left="8067" w:hanging="360"/>
      </w:pPr>
      <w:rPr>
        <w:rFonts w:ascii="Courier New" w:hAnsi="Courier New" w:cs="Courier New" w:hint="default"/>
      </w:rPr>
    </w:lvl>
    <w:lvl w:ilvl="8" w:tplc="080A0005" w:tentative="1">
      <w:start w:val="1"/>
      <w:numFmt w:val="bullet"/>
      <w:lvlText w:val=""/>
      <w:lvlJc w:val="left"/>
      <w:pPr>
        <w:ind w:left="8787" w:hanging="360"/>
      </w:pPr>
      <w:rPr>
        <w:rFonts w:ascii="Wingdings" w:hAnsi="Wingdings" w:hint="default"/>
      </w:rPr>
    </w:lvl>
  </w:abstractNum>
  <w:abstractNum w:abstractNumId="12" w15:restartNumberingAfterBreak="0">
    <w:nsid w:val="2D280CB8"/>
    <w:multiLevelType w:val="hybridMultilevel"/>
    <w:tmpl w:val="56F2F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4F5981"/>
    <w:multiLevelType w:val="multilevel"/>
    <w:tmpl w:val="9EB4094C"/>
    <w:name w:val="ListBulletList"/>
    <w:lvl w:ilvl="0">
      <w:start w:val="1"/>
      <w:numFmt w:val="bullet"/>
      <w:lvlText w:val=""/>
      <w:lvlJc w:val="left"/>
      <w:pPr>
        <w:tabs>
          <w:tab w:val="num" w:pos="340"/>
        </w:tabs>
        <w:ind w:left="340" w:hanging="340"/>
      </w:pPr>
      <w:rPr>
        <w:rFonts w:ascii="Wingdings 2" w:hAnsi="Wingdings 2" w:hint="default"/>
        <w:color w:val="5F5F5F"/>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4" w15:restartNumberingAfterBreak="0">
    <w:nsid w:val="4B925474"/>
    <w:multiLevelType w:val="hybridMultilevel"/>
    <w:tmpl w:val="59FEF202"/>
    <w:lvl w:ilvl="0" w:tplc="5BA40A3A">
      <w:start w:val="3"/>
      <w:numFmt w:val="upperRoman"/>
      <w:lvlText w:val="%1."/>
      <w:lvlJc w:val="left"/>
      <w:pPr>
        <w:ind w:left="1287"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672136"/>
    <w:multiLevelType w:val="hybridMultilevel"/>
    <w:tmpl w:val="BD7CEA08"/>
    <w:lvl w:ilvl="0" w:tplc="3EF801CE">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6A360E"/>
    <w:multiLevelType w:val="hybridMultilevel"/>
    <w:tmpl w:val="EE945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783FC3"/>
    <w:multiLevelType w:val="multilevel"/>
    <w:tmpl w:val="16505A54"/>
    <w:lvl w:ilvl="0">
      <w:start w:val="3"/>
      <w:numFmt w:val="decimal"/>
      <w:lvlText w:val="%1."/>
      <w:lvlJc w:val="left"/>
      <w:pPr>
        <w:ind w:left="540" w:hanging="540"/>
      </w:pPr>
      <w:rPr>
        <w:rFonts w:eastAsia="Times New Roman" w:hint="default"/>
        <w:color w:val="000000"/>
      </w:rPr>
    </w:lvl>
    <w:lvl w:ilvl="1">
      <w:start w:val="2"/>
      <w:numFmt w:val="decimal"/>
      <w:lvlText w:val="%1.%2."/>
      <w:lvlJc w:val="left"/>
      <w:pPr>
        <w:ind w:left="720" w:hanging="720"/>
      </w:pPr>
      <w:rPr>
        <w:rFonts w:eastAsia="Times New Roman" w:hint="default"/>
        <w:color w:val="000000"/>
      </w:rPr>
    </w:lvl>
    <w:lvl w:ilvl="2">
      <w:start w:val="2"/>
      <w:numFmt w:val="decimal"/>
      <w:lvlText w:val="%1.%2.%3."/>
      <w:lvlJc w:val="left"/>
      <w:pPr>
        <w:ind w:left="1146" w:hanging="720"/>
      </w:pPr>
      <w:rPr>
        <w:rFonts w:eastAsia="Times New Roman" w:hint="default"/>
        <w:b/>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8" w15:restartNumberingAfterBreak="0">
    <w:nsid w:val="6AE06363"/>
    <w:multiLevelType w:val="hybridMultilevel"/>
    <w:tmpl w:val="C37AAEFC"/>
    <w:lvl w:ilvl="0" w:tplc="A09E6888">
      <w:start w:val="1"/>
      <w:numFmt w:val="upperRoman"/>
      <w:lvlText w:val="%1."/>
      <w:lvlJc w:val="left"/>
      <w:pPr>
        <w:ind w:left="1332" w:hanging="720"/>
      </w:pPr>
      <w:rPr>
        <w:rFonts w:hint="default"/>
      </w:rPr>
    </w:lvl>
    <w:lvl w:ilvl="1" w:tplc="080A0019" w:tentative="1">
      <w:start w:val="1"/>
      <w:numFmt w:val="lowerLetter"/>
      <w:lvlText w:val="%2."/>
      <w:lvlJc w:val="left"/>
      <w:pPr>
        <w:ind w:left="1692" w:hanging="360"/>
      </w:pPr>
    </w:lvl>
    <w:lvl w:ilvl="2" w:tplc="080A001B" w:tentative="1">
      <w:start w:val="1"/>
      <w:numFmt w:val="lowerRoman"/>
      <w:lvlText w:val="%3."/>
      <w:lvlJc w:val="right"/>
      <w:pPr>
        <w:ind w:left="2412" w:hanging="180"/>
      </w:pPr>
    </w:lvl>
    <w:lvl w:ilvl="3" w:tplc="080A000F" w:tentative="1">
      <w:start w:val="1"/>
      <w:numFmt w:val="decimal"/>
      <w:lvlText w:val="%4."/>
      <w:lvlJc w:val="left"/>
      <w:pPr>
        <w:ind w:left="3132" w:hanging="360"/>
      </w:pPr>
    </w:lvl>
    <w:lvl w:ilvl="4" w:tplc="080A0019" w:tentative="1">
      <w:start w:val="1"/>
      <w:numFmt w:val="lowerLetter"/>
      <w:lvlText w:val="%5."/>
      <w:lvlJc w:val="left"/>
      <w:pPr>
        <w:ind w:left="3852" w:hanging="360"/>
      </w:pPr>
    </w:lvl>
    <w:lvl w:ilvl="5" w:tplc="080A001B" w:tentative="1">
      <w:start w:val="1"/>
      <w:numFmt w:val="lowerRoman"/>
      <w:lvlText w:val="%6."/>
      <w:lvlJc w:val="right"/>
      <w:pPr>
        <w:ind w:left="4572" w:hanging="180"/>
      </w:pPr>
    </w:lvl>
    <w:lvl w:ilvl="6" w:tplc="080A000F" w:tentative="1">
      <w:start w:val="1"/>
      <w:numFmt w:val="decimal"/>
      <w:lvlText w:val="%7."/>
      <w:lvlJc w:val="left"/>
      <w:pPr>
        <w:ind w:left="5292" w:hanging="360"/>
      </w:pPr>
    </w:lvl>
    <w:lvl w:ilvl="7" w:tplc="080A0019" w:tentative="1">
      <w:start w:val="1"/>
      <w:numFmt w:val="lowerLetter"/>
      <w:lvlText w:val="%8."/>
      <w:lvlJc w:val="left"/>
      <w:pPr>
        <w:ind w:left="6012" w:hanging="360"/>
      </w:pPr>
    </w:lvl>
    <w:lvl w:ilvl="8" w:tplc="080A001B" w:tentative="1">
      <w:start w:val="1"/>
      <w:numFmt w:val="lowerRoman"/>
      <w:lvlText w:val="%9."/>
      <w:lvlJc w:val="right"/>
      <w:pPr>
        <w:ind w:left="6732" w:hanging="180"/>
      </w:pPr>
    </w:lvl>
  </w:abstractNum>
  <w:abstractNum w:abstractNumId="19" w15:restartNumberingAfterBreak="0">
    <w:nsid w:val="709F500C"/>
    <w:multiLevelType w:val="hybridMultilevel"/>
    <w:tmpl w:val="D250C592"/>
    <w:lvl w:ilvl="0" w:tplc="080A0013">
      <w:start w:val="1"/>
      <w:numFmt w:val="upperRoman"/>
      <w:lvlText w:val="%1."/>
      <w:lvlJc w:val="righ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0E3027A"/>
    <w:multiLevelType w:val="hybridMultilevel"/>
    <w:tmpl w:val="4F8C24C0"/>
    <w:lvl w:ilvl="0" w:tplc="0EDEE1C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1813A6C"/>
    <w:multiLevelType w:val="hybridMultilevel"/>
    <w:tmpl w:val="F56493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AD161D"/>
    <w:multiLevelType w:val="multilevel"/>
    <w:tmpl w:val="1E62F81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741232A8"/>
    <w:multiLevelType w:val="hybridMultilevel"/>
    <w:tmpl w:val="4A8C5642"/>
    <w:lvl w:ilvl="0" w:tplc="080A0017">
      <w:start w:val="1"/>
      <w:numFmt w:val="lowerLetter"/>
      <w:lvlText w:val="%1)"/>
      <w:lvlJc w:val="left"/>
      <w:pPr>
        <w:ind w:left="1277" w:hanging="360"/>
      </w:pPr>
    </w:lvl>
    <w:lvl w:ilvl="1" w:tplc="080A0019" w:tentative="1">
      <w:start w:val="1"/>
      <w:numFmt w:val="lowerLetter"/>
      <w:lvlText w:val="%2."/>
      <w:lvlJc w:val="left"/>
      <w:pPr>
        <w:ind w:left="1997" w:hanging="360"/>
      </w:pPr>
    </w:lvl>
    <w:lvl w:ilvl="2" w:tplc="080A001B" w:tentative="1">
      <w:start w:val="1"/>
      <w:numFmt w:val="lowerRoman"/>
      <w:lvlText w:val="%3."/>
      <w:lvlJc w:val="right"/>
      <w:pPr>
        <w:ind w:left="2717" w:hanging="180"/>
      </w:pPr>
    </w:lvl>
    <w:lvl w:ilvl="3" w:tplc="080A000F" w:tentative="1">
      <w:start w:val="1"/>
      <w:numFmt w:val="decimal"/>
      <w:lvlText w:val="%4."/>
      <w:lvlJc w:val="left"/>
      <w:pPr>
        <w:ind w:left="3437" w:hanging="360"/>
      </w:pPr>
    </w:lvl>
    <w:lvl w:ilvl="4" w:tplc="080A0019" w:tentative="1">
      <w:start w:val="1"/>
      <w:numFmt w:val="lowerLetter"/>
      <w:lvlText w:val="%5."/>
      <w:lvlJc w:val="left"/>
      <w:pPr>
        <w:ind w:left="4157" w:hanging="360"/>
      </w:pPr>
    </w:lvl>
    <w:lvl w:ilvl="5" w:tplc="080A001B" w:tentative="1">
      <w:start w:val="1"/>
      <w:numFmt w:val="lowerRoman"/>
      <w:lvlText w:val="%6."/>
      <w:lvlJc w:val="right"/>
      <w:pPr>
        <w:ind w:left="4877" w:hanging="180"/>
      </w:pPr>
    </w:lvl>
    <w:lvl w:ilvl="6" w:tplc="080A000F" w:tentative="1">
      <w:start w:val="1"/>
      <w:numFmt w:val="decimal"/>
      <w:lvlText w:val="%7."/>
      <w:lvlJc w:val="left"/>
      <w:pPr>
        <w:ind w:left="5597" w:hanging="360"/>
      </w:pPr>
    </w:lvl>
    <w:lvl w:ilvl="7" w:tplc="080A0019" w:tentative="1">
      <w:start w:val="1"/>
      <w:numFmt w:val="lowerLetter"/>
      <w:lvlText w:val="%8."/>
      <w:lvlJc w:val="left"/>
      <w:pPr>
        <w:ind w:left="6317" w:hanging="360"/>
      </w:pPr>
    </w:lvl>
    <w:lvl w:ilvl="8" w:tplc="080A001B" w:tentative="1">
      <w:start w:val="1"/>
      <w:numFmt w:val="lowerRoman"/>
      <w:lvlText w:val="%9."/>
      <w:lvlJc w:val="right"/>
      <w:pPr>
        <w:ind w:left="7037" w:hanging="180"/>
      </w:pPr>
    </w:lvl>
  </w:abstractNum>
  <w:abstractNum w:abstractNumId="24" w15:restartNumberingAfterBreak="0">
    <w:nsid w:val="7460510F"/>
    <w:multiLevelType w:val="hybridMultilevel"/>
    <w:tmpl w:val="0C00A656"/>
    <w:lvl w:ilvl="0" w:tplc="3EF801CE">
      <w:start w:val="1"/>
      <w:numFmt w:val="decimal"/>
      <w:lvlText w:val="%1.1"/>
      <w:lvlJc w:val="left"/>
      <w:pPr>
        <w:ind w:left="720" w:hanging="360"/>
      </w:pPr>
      <w:rPr>
        <w:rFonts w:hint="default"/>
      </w:rPr>
    </w:lvl>
    <w:lvl w:ilvl="1" w:tplc="4346592E">
      <w:start w:val="1"/>
      <w:numFmt w:val="decimal"/>
      <w:lvlText w:val="%2.1.1"/>
      <w:lvlJc w:val="left"/>
      <w:pPr>
        <w:ind w:left="1440" w:hanging="360"/>
      </w:pPr>
      <w:rPr>
        <w:rFonts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267EFA"/>
    <w:multiLevelType w:val="multilevel"/>
    <w:tmpl w:val="2794AE2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rPr>
    </w:lvl>
    <w:lvl w:ilvl="2">
      <w:start w:val="10"/>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5"/>
  </w:num>
  <w:num w:numId="2">
    <w:abstractNumId w:val="0"/>
  </w:num>
  <w:num w:numId="3">
    <w:abstractNumId w:val="2"/>
  </w:num>
  <w:num w:numId="4">
    <w:abstractNumId w:val="6"/>
  </w:num>
  <w:num w:numId="5">
    <w:abstractNumId w:val="12"/>
  </w:num>
  <w:num w:numId="6">
    <w:abstractNumId w:val="5"/>
  </w:num>
  <w:num w:numId="7">
    <w:abstractNumId w:val="7"/>
  </w:num>
  <w:num w:numId="8">
    <w:abstractNumId w:val="4"/>
  </w:num>
  <w:num w:numId="9">
    <w:abstractNumId w:val="16"/>
  </w:num>
  <w:num w:numId="10">
    <w:abstractNumId w:val="10"/>
  </w:num>
  <w:num w:numId="11">
    <w:abstractNumId w:val="19"/>
  </w:num>
  <w:num w:numId="12">
    <w:abstractNumId w:val="1"/>
  </w:num>
  <w:num w:numId="13">
    <w:abstractNumId w:val="22"/>
  </w:num>
  <w:num w:numId="14">
    <w:abstractNumId w:val="18"/>
  </w:num>
  <w:num w:numId="15">
    <w:abstractNumId w:val="21"/>
  </w:num>
  <w:num w:numId="16">
    <w:abstractNumId w:val="11"/>
  </w:num>
  <w:num w:numId="17">
    <w:abstractNumId w:val="23"/>
  </w:num>
  <w:num w:numId="18">
    <w:abstractNumId w:val="20"/>
  </w:num>
  <w:num w:numId="19">
    <w:abstractNumId w:val="14"/>
  </w:num>
  <w:num w:numId="20">
    <w:abstractNumId w:val="17"/>
  </w:num>
  <w:num w:numId="21">
    <w:abstractNumId w:val="15"/>
  </w:num>
  <w:num w:numId="22">
    <w:abstractNumId w:val="8"/>
  </w:num>
  <w:num w:numId="23">
    <w:abstractNumId w:val="24"/>
  </w:num>
  <w:num w:numId="24">
    <w:abstractNumId w:val="9"/>
  </w:num>
  <w:num w:numId="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SV"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654"/>
    <w:rsid w:val="000006E1"/>
    <w:rsid w:val="00000F63"/>
    <w:rsid w:val="00002499"/>
    <w:rsid w:val="000025BB"/>
    <w:rsid w:val="000028FD"/>
    <w:rsid w:val="00002981"/>
    <w:rsid w:val="00002ED7"/>
    <w:rsid w:val="0000372C"/>
    <w:rsid w:val="0000403B"/>
    <w:rsid w:val="000049A6"/>
    <w:rsid w:val="00004F6C"/>
    <w:rsid w:val="00005353"/>
    <w:rsid w:val="000074F3"/>
    <w:rsid w:val="000075FB"/>
    <w:rsid w:val="00007D66"/>
    <w:rsid w:val="00007DEB"/>
    <w:rsid w:val="000102D3"/>
    <w:rsid w:val="00010FAF"/>
    <w:rsid w:val="00010FC1"/>
    <w:rsid w:val="00011146"/>
    <w:rsid w:val="00011186"/>
    <w:rsid w:val="000117B8"/>
    <w:rsid w:val="000118E7"/>
    <w:rsid w:val="00011FD2"/>
    <w:rsid w:val="00011FF7"/>
    <w:rsid w:val="00012022"/>
    <w:rsid w:val="000120B1"/>
    <w:rsid w:val="000121FF"/>
    <w:rsid w:val="0001331B"/>
    <w:rsid w:val="00013361"/>
    <w:rsid w:val="00013BAC"/>
    <w:rsid w:val="00013C76"/>
    <w:rsid w:val="00013EC6"/>
    <w:rsid w:val="00014926"/>
    <w:rsid w:val="000149CF"/>
    <w:rsid w:val="00014D42"/>
    <w:rsid w:val="000154C3"/>
    <w:rsid w:val="00015889"/>
    <w:rsid w:val="00015958"/>
    <w:rsid w:val="00015EB9"/>
    <w:rsid w:val="0001660E"/>
    <w:rsid w:val="00016CB6"/>
    <w:rsid w:val="00017027"/>
    <w:rsid w:val="0001777E"/>
    <w:rsid w:val="0002034F"/>
    <w:rsid w:val="00021DD2"/>
    <w:rsid w:val="00021EB5"/>
    <w:rsid w:val="000223F9"/>
    <w:rsid w:val="00022BFC"/>
    <w:rsid w:val="00022E01"/>
    <w:rsid w:val="00023182"/>
    <w:rsid w:val="0002377D"/>
    <w:rsid w:val="00023880"/>
    <w:rsid w:val="000239D1"/>
    <w:rsid w:val="00023D38"/>
    <w:rsid w:val="00024A0F"/>
    <w:rsid w:val="00024B17"/>
    <w:rsid w:val="00024C29"/>
    <w:rsid w:val="000252EF"/>
    <w:rsid w:val="00025C43"/>
    <w:rsid w:val="00025D0F"/>
    <w:rsid w:val="0002608C"/>
    <w:rsid w:val="0002647D"/>
    <w:rsid w:val="00026C88"/>
    <w:rsid w:val="00026F99"/>
    <w:rsid w:val="000271BB"/>
    <w:rsid w:val="00030395"/>
    <w:rsid w:val="00030D40"/>
    <w:rsid w:val="00031153"/>
    <w:rsid w:val="000313D2"/>
    <w:rsid w:val="000318C7"/>
    <w:rsid w:val="00031A90"/>
    <w:rsid w:val="000338F4"/>
    <w:rsid w:val="00033962"/>
    <w:rsid w:val="00034189"/>
    <w:rsid w:val="000346C1"/>
    <w:rsid w:val="00034F2E"/>
    <w:rsid w:val="00035F7D"/>
    <w:rsid w:val="00036743"/>
    <w:rsid w:val="00036991"/>
    <w:rsid w:val="00036AD3"/>
    <w:rsid w:val="00036D35"/>
    <w:rsid w:val="00037219"/>
    <w:rsid w:val="00037DC7"/>
    <w:rsid w:val="000400AF"/>
    <w:rsid w:val="0004079A"/>
    <w:rsid w:val="00040829"/>
    <w:rsid w:val="000410EF"/>
    <w:rsid w:val="00041A70"/>
    <w:rsid w:val="00042086"/>
    <w:rsid w:val="0004238D"/>
    <w:rsid w:val="000426D2"/>
    <w:rsid w:val="000427ED"/>
    <w:rsid w:val="00042FC4"/>
    <w:rsid w:val="0004326A"/>
    <w:rsid w:val="00043301"/>
    <w:rsid w:val="0004358B"/>
    <w:rsid w:val="00044709"/>
    <w:rsid w:val="0004599A"/>
    <w:rsid w:val="00045A86"/>
    <w:rsid w:val="00045D23"/>
    <w:rsid w:val="00045FF3"/>
    <w:rsid w:val="0004645C"/>
    <w:rsid w:val="0004667E"/>
    <w:rsid w:val="00046703"/>
    <w:rsid w:val="00046B10"/>
    <w:rsid w:val="0004701C"/>
    <w:rsid w:val="00047282"/>
    <w:rsid w:val="000475CD"/>
    <w:rsid w:val="000475DB"/>
    <w:rsid w:val="00047716"/>
    <w:rsid w:val="00047749"/>
    <w:rsid w:val="0004775D"/>
    <w:rsid w:val="000479BC"/>
    <w:rsid w:val="00047CE4"/>
    <w:rsid w:val="000500CE"/>
    <w:rsid w:val="00050510"/>
    <w:rsid w:val="00050518"/>
    <w:rsid w:val="0005070B"/>
    <w:rsid w:val="00050DEB"/>
    <w:rsid w:val="000513E3"/>
    <w:rsid w:val="00051637"/>
    <w:rsid w:val="00051EE7"/>
    <w:rsid w:val="00051FEC"/>
    <w:rsid w:val="00052005"/>
    <w:rsid w:val="00052A87"/>
    <w:rsid w:val="00052E60"/>
    <w:rsid w:val="000532AA"/>
    <w:rsid w:val="00053445"/>
    <w:rsid w:val="000534CC"/>
    <w:rsid w:val="000534FC"/>
    <w:rsid w:val="00053A43"/>
    <w:rsid w:val="00054268"/>
    <w:rsid w:val="00054404"/>
    <w:rsid w:val="000551FF"/>
    <w:rsid w:val="0005536B"/>
    <w:rsid w:val="00055671"/>
    <w:rsid w:val="000557B1"/>
    <w:rsid w:val="00056381"/>
    <w:rsid w:val="00056469"/>
    <w:rsid w:val="00056649"/>
    <w:rsid w:val="0005664D"/>
    <w:rsid w:val="000569DC"/>
    <w:rsid w:val="00056AF9"/>
    <w:rsid w:val="00056DC9"/>
    <w:rsid w:val="00056F91"/>
    <w:rsid w:val="000579B5"/>
    <w:rsid w:val="00057EEA"/>
    <w:rsid w:val="00057EEB"/>
    <w:rsid w:val="00057EF2"/>
    <w:rsid w:val="0006007E"/>
    <w:rsid w:val="000602A1"/>
    <w:rsid w:val="00060EEF"/>
    <w:rsid w:val="000611EE"/>
    <w:rsid w:val="00061BCA"/>
    <w:rsid w:val="00061BFC"/>
    <w:rsid w:val="00062045"/>
    <w:rsid w:val="00062216"/>
    <w:rsid w:val="000624F5"/>
    <w:rsid w:val="000626A0"/>
    <w:rsid w:val="000627D7"/>
    <w:rsid w:val="00062BC4"/>
    <w:rsid w:val="000641E5"/>
    <w:rsid w:val="00064D53"/>
    <w:rsid w:val="000660A0"/>
    <w:rsid w:val="00066E87"/>
    <w:rsid w:val="00067B66"/>
    <w:rsid w:val="00067CCA"/>
    <w:rsid w:val="00067D53"/>
    <w:rsid w:val="00067F68"/>
    <w:rsid w:val="000702E6"/>
    <w:rsid w:val="0007031A"/>
    <w:rsid w:val="00070FF8"/>
    <w:rsid w:val="0007113B"/>
    <w:rsid w:val="000713B2"/>
    <w:rsid w:val="00071815"/>
    <w:rsid w:val="00072D92"/>
    <w:rsid w:val="00072DA7"/>
    <w:rsid w:val="000734D5"/>
    <w:rsid w:val="000740E0"/>
    <w:rsid w:val="00074422"/>
    <w:rsid w:val="0007444E"/>
    <w:rsid w:val="00074C2F"/>
    <w:rsid w:val="00075BCA"/>
    <w:rsid w:val="00076180"/>
    <w:rsid w:val="00076D97"/>
    <w:rsid w:val="00076DA6"/>
    <w:rsid w:val="00077081"/>
    <w:rsid w:val="0007752D"/>
    <w:rsid w:val="00077DE8"/>
    <w:rsid w:val="00077E39"/>
    <w:rsid w:val="0008007C"/>
    <w:rsid w:val="00080AD0"/>
    <w:rsid w:val="00080B99"/>
    <w:rsid w:val="00081CBE"/>
    <w:rsid w:val="00081CF3"/>
    <w:rsid w:val="00081DCB"/>
    <w:rsid w:val="00081F9A"/>
    <w:rsid w:val="00082A63"/>
    <w:rsid w:val="00082E6E"/>
    <w:rsid w:val="00083398"/>
    <w:rsid w:val="00083962"/>
    <w:rsid w:val="00083B36"/>
    <w:rsid w:val="00084072"/>
    <w:rsid w:val="000840DA"/>
    <w:rsid w:val="00085382"/>
    <w:rsid w:val="00085C21"/>
    <w:rsid w:val="000860A2"/>
    <w:rsid w:val="0008643B"/>
    <w:rsid w:val="000869C7"/>
    <w:rsid w:val="00086FC2"/>
    <w:rsid w:val="0008739D"/>
    <w:rsid w:val="00087545"/>
    <w:rsid w:val="00087B78"/>
    <w:rsid w:val="00090469"/>
    <w:rsid w:val="00090D7B"/>
    <w:rsid w:val="00091B17"/>
    <w:rsid w:val="00091C84"/>
    <w:rsid w:val="00091DAF"/>
    <w:rsid w:val="00092464"/>
    <w:rsid w:val="00093566"/>
    <w:rsid w:val="00093D2F"/>
    <w:rsid w:val="00093EC4"/>
    <w:rsid w:val="00094781"/>
    <w:rsid w:val="0009499D"/>
    <w:rsid w:val="0009533F"/>
    <w:rsid w:val="00095421"/>
    <w:rsid w:val="0009562E"/>
    <w:rsid w:val="000962FD"/>
    <w:rsid w:val="0009666B"/>
    <w:rsid w:val="00097866"/>
    <w:rsid w:val="000979DC"/>
    <w:rsid w:val="00097AE9"/>
    <w:rsid w:val="00097B7E"/>
    <w:rsid w:val="00097C1C"/>
    <w:rsid w:val="000A0137"/>
    <w:rsid w:val="000A0646"/>
    <w:rsid w:val="000A18EA"/>
    <w:rsid w:val="000A2D8A"/>
    <w:rsid w:val="000A2FE6"/>
    <w:rsid w:val="000A381D"/>
    <w:rsid w:val="000A3926"/>
    <w:rsid w:val="000A3F9A"/>
    <w:rsid w:val="000A4328"/>
    <w:rsid w:val="000A4462"/>
    <w:rsid w:val="000A44F6"/>
    <w:rsid w:val="000A59DD"/>
    <w:rsid w:val="000A5CB2"/>
    <w:rsid w:val="000A631B"/>
    <w:rsid w:val="000A70DC"/>
    <w:rsid w:val="000A7644"/>
    <w:rsid w:val="000B03AD"/>
    <w:rsid w:val="000B080B"/>
    <w:rsid w:val="000B0DDB"/>
    <w:rsid w:val="000B1667"/>
    <w:rsid w:val="000B239D"/>
    <w:rsid w:val="000B24A7"/>
    <w:rsid w:val="000B2C57"/>
    <w:rsid w:val="000B30D0"/>
    <w:rsid w:val="000B3495"/>
    <w:rsid w:val="000B3A7A"/>
    <w:rsid w:val="000B3F2D"/>
    <w:rsid w:val="000B40D2"/>
    <w:rsid w:val="000B435A"/>
    <w:rsid w:val="000B4616"/>
    <w:rsid w:val="000B4642"/>
    <w:rsid w:val="000B46AC"/>
    <w:rsid w:val="000B46CF"/>
    <w:rsid w:val="000B46EA"/>
    <w:rsid w:val="000B4F36"/>
    <w:rsid w:val="000B53BD"/>
    <w:rsid w:val="000B5810"/>
    <w:rsid w:val="000B5837"/>
    <w:rsid w:val="000B587E"/>
    <w:rsid w:val="000B5D25"/>
    <w:rsid w:val="000B652D"/>
    <w:rsid w:val="000B7A04"/>
    <w:rsid w:val="000C01BA"/>
    <w:rsid w:val="000C186F"/>
    <w:rsid w:val="000C18A7"/>
    <w:rsid w:val="000C191C"/>
    <w:rsid w:val="000C30F1"/>
    <w:rsid w:val="000C3B23"/>
    <w:rsid w:val="000C4AA9"/>
    <w:rsid w:val="000C5059"/>
    <w:rsid w:val="000C5C5C"/>
    <w:rsid w:val="000C66E3"/>
    <w:rsid w:val="000C67E4"/>
    <w:rsid w:val="000C718C"/>
    <w:rsid w:val="000C7230"/>
    <w:rsid w:val="000C7FF7"/>
    <w:rsid w:val="000D05D3"/>
    <w:rsid w:val="000D151D"/>
    <w:rsid w:val="000D1B51"/>
    <w:rsid w:val="000D1BEE"/>
    <w:rsid w:val="000D246C"/>
    <w:rsid w:val="000D24E3"/>
    <w:rsid w:val="000D25F9"/>
    <w:rsid w:val="000D2B22"/>
    <w:rsid w:val="000D2D00"/>
    <w:rsid w:val="000D31F9"/>
    <w:rsid w:val="000D3E6A"/>
    <w:rsid w:val="000D4068"/>
    <w:rsid w:val="000D4EC6"/>
    <w:rsid w:val="000D5105"/>
    <w:rsid w:val="000D51FD"/>
    <w:rsid w:val="000D57A7"/>
    <w:rsid w:val="000D5954"/>
    <w:rsid w:val="000D5F43"/>
    <w:rsid w:val="000D6C71"/>
    <w:rsid w:val="000D6D9E"/>
    <w:rsid w:val="000D7065"/>
    <w:rsid w:val="000D71E2"/>
    <w:rsid w:val="000E0663"/>
    <w:rsid w:val="000E106A"/>
    <w:rsid w:val="000E1D2F"/>
    <w:rsid w:val="000E1EAD"/>
    <w:rsid w:val="000E2212"/>
    <w:rsid w:val="000E223D"/>
    <w:rsid w:val="000E2576"/>
    <w:rsid w:val="000E2672"/>
    <w:rsid w:val="000E26A1"/>
    <w:rsid w:val="000E2AC3"/>
    <w:rsid w:val="000E2E08"/>
    <w:rsid w:val="000E32A8"/>
    <w:rsid w:val="000E353D"/>
    <w:rsid w:val="000E3E0E"/>
    <w:rsid w:val="000E3F90"/>
    <w:rsid w:val="000E47CD"/>
    <w:rsid w:val="000E4FE9"/>
    <w:rsid w:val="000E5B37"/>
    <w:rsid w:val="000E64F4"/>
    <w:rsid w:val="000E65E4"/>
    <w:rsid w:val="000E6A0C"/>
    <w:rsid w:val="000E6CCC"/>
    <w:rsid w:val="000E6FE7"/>
    <w:rsid w:val="000E7BE5"/>
    <w:rsid w:val="000F13C8"/>
    <w:rsid w:val="000F216A"/>
    <w:rsid w:val="000F22F2"/>
    <w:rsid w:val="000F23D0"/>
    <w:rsid w:val="000F23FD"/>
    <w:rsid w:val="000F25B0"/>
    <w:rsid w:val="000F2B7B"/>
    <w:rsid w:val="000F3095"/>
    <w:rsid w:val="000F3283"/>
    <w:rsid w:val="000F347C"/>
    <w:rsid w:val="000F39E4"/>
    <w:rsid w:val="000F3C05"/>
    <w:rsid w:val="000F4004"/>
    <w:rsid w:val="000F40ED"/>
    <w:rsid w:val="000F43AD"/>
    <w:rsid w:val="000F47F5"/>
    <w:rsid w:val="000F5734"/>
    <w:rsid w:val="000F5C39"/>
    <w:rsid w:val="000F5C83"/>
    <w:rsid w:val="000F6E14"/>
    <w:rsid w:val="000F76EE"/>
    <w:rsid w:val="000F77F9"/>
    <w:rsid w:val="000F7DAE"/>
    <w:rsid w:val="00100519"/>
    <w:rsid w:val="00102408"/>
    <w:rsid w:val="00102828"/>
    <w:rsid w:val="001035CC"/>
    <w:rsid w:val="00103C26"/>
    <w:rsid w:val="0010413E"/>
    <w:rsid w:val="00104EF2"/>
    <w:rsid w:val="00104F8C"/>
    <w:rsid w:val="00105207"/>
    <w:rsid w:val="0010540F"/>
    <w:rsid w:val="00105622"/>
    <w:rsid w:val="0010577B"/>
    <w:rsid w:val="00105896"/>
    <w:rsid w:val="00105996"/>
    <w:rsid w:val="00105BED"/>
    <w:rsid w:val="0010649B"/>
    <w:rsid w:val="0010698A"/>
    <w:rsid w:val="00106D8A"/>
    <w:rsid w:val="00107206"/>
    <w:rsid w:val="00107A7F"/>
    <w:rsid w:val="001102B3"/>
    <w:rsid w:val="00110BD3"/>
    <w:rsid w:val="00110D96"/>
    <w:rsid w:val="00110F3C"/>
    <w:rsid w:val="00111654"/>
    <w:rsid w:val="00111801"/>
    <w:rsid w:val="00111DD1"/>
    <w:rsid w:val="00111F64"/>
    <w:rsid w:val="001121F9"/>
    <w:rsid w:val="00112282"/>
    <w:rsid w:val="00112D38"/>
    <w:rsid w:val="00112DDF"/>
    <w:rsid w:val="001138E6"/>
    <w:rsid w:val="00114036"/>
    <w:rsid w:val="00114092"/>
    <w:rsid w:val="001144FF"/>
    <w:rsid w:val="00114CCB"/>
    <w:rsid w:val="00115117"/>
    <w:rsid w:val="00115579"/>
    <w:rsid w:val="00115FF1"/>
    <w:rsid w:val="00116D92"/>
    <w:rsid w:val="0011794D"/>
    <w:rsid w:val="00120D0A"/>
    <w:rsid w:val="001213A6"/>
    <w:rsid w:val="001214F2"/>
    <w:rsid w:val="00121796"/>
    <w:rsid w:val="00121889"/>
    <w:rsid w:val="0012200F"/>
    <w:rsid w:val="00122849"/>
    <w:rsid w:val="00122BDC"/>
    <w:rsid w:val="0012302F"/>
    <w:rsid w:val="00123378"/>
    <w:rsid w:val="0012374A"/>
    <w:rsid w:val="001239A7"/>
    <w:rsid w:val="00123B4F"/>
    <w:rsid w:val="00123CFC"/>
    <w:rsid w:val="001240DD"/>
    <w:rsid w:val="001241C1"/>
    <w:rsid w:val="0012443F"/>
    <w:rsid w:val="00124E0A"/>
    <w:rsid w:val="00124E68"/>
    <w:rsid w:val="00124E72"/>
    <w:rsid w:val="0012501E"/>
    <w:rsid w:val="00125517"/>
    <w:rsid w:val="00126B7B"/>
    <w:rsid w:val="00126E14"/>
    <w:rsid w:val="001275ED"/>
    <w:rsid w:val="00127741"/>
    <w:rsid w:val="0012784A"/>
    <w:rsid w:val="001278C3"/>
    <w:rsid w:val="00127BB4"/>
    <w:rsid w:val="00130169"/>
    <w:rsid w:val="00130481"/>
    <w:rsid w:val="0013049F"/>
    <w:rsid w:val="00130F75"/>
    <w:rsid w:val="0013172A"/>
    <w:rsid w:val="0013185B"/>
    <w:rsid w:val="001318EA"/>
    <w:rsid w:val="00131916"/>
    <w:rsid w:val="00132224"/>
    <w:rsid w:val="001323BC"/>
    <w:rsid w:val="00132D1A"/>
    <w:rsid w:val="00133669"/>
    <w:rsid w:val="00133A30"/>
    <w:rsid w:val="00133DEC"/>
    <w:rsid w:val="00135279"/>
    <w:rsid w:val="00135B8B"/>
    <w:rsid w:val="00136068"/>
    <w:rsid w:val="001368EC"/>
    <w:rsid w:val="00136D1D"/>
    <w:rsid w:val="001378A7"/>
    <w:rsid w:val="00141BA4"/>
    <w:rsid w:val="0014235D"/>
    <w:rsid w:val="00142B8F"/>
    <w:rsid w:val="00142BF6"/>
    <w:rsid w:val="00143024"/>
    <w:rsid w:val="00143996"/>
    <w:rsid w:val="00143A99"/>
    <w:rsid w:val="00145020"/>
    <w:rsid w:val="00145573"/>
    <w:rsid w:val="00145B79"/>
    <w:rsid w:val="00146A15"/>
    <w:rsid w:val="001475AC"/>
    <w:rsid w:val="00147EED"/>
    <w:rsid w:val="00151228"/>
    <w:rsid w:val="0015142D"/>
    <w:rsid w:val="0015149B"/>
    <w:rsid w:val="001523D2"/>
    <w:rsid w:val="00152517"/>
    <w:rsid w:val="00152D44"/>
    <w:rsid w:val="001532B7"/>
    <w:rsid w:val="001532BB"/>
    <w:rsid w:val="00153AE3"/>
    <w:rsid w:val="00153E95"/>
    <w:rsid w:val="00154285"/>
    <w:rsid w:val="001546E4"/>
    <w:rsid w:val="001547DD"/>
    <w:rsid w:val="001549AF"/>
    <w:rsid w:val="00154B61"/>
    <w:rsid w:val="00155155"/>
    <w:rsid w:val="0015580F"/>
    <w:rsid w:val="00155F3E"/>
    <w:rsid w:val="00156451"/>
    <w:rsid w:val="00156804"/>
    <w:rsid w:val="00157598"/>
    <w:rsid w:val="00157C35"/>
    <w:rsid w:val="00160E90"/>
    <w:rsid w:val="00160F50"/>
    <w:rsid w:val="00161A08"/>
    <w:rsid w:val="001632EF"/>
    <w:rsid w:val="001646A0"/>
    <w:rsid w:val="00164F64"/>
    <w:rsid w:val="00165B3B"/>
    <w:rsid w:val="00166A7B"/>
    <w:rsid w:val="00170BCA"/>
    <w:rsid w:val="00171215"/>
    <w:rsid w:val="00171D1A"/>
    <w:rsid w:val="00172482"/>
    <w:rsid w:val="00173372"/>
    <w:rsid w:val="00173460"/>
    <w:rsid w:val="00173747"/>
    <w:rsid w:val="00173A7A"/>
    <w:rsid w:val="001744B1"/>
    <w:rsid w:val="0017484C"/>
    <w:rsid w:val="00174C34"/>
    <w:rsid w:val="0017518D"/>
    <w:rsid w:val="0017613E"/>
    <w:rsid w:val="00176D5A"/>
    <w:rsid w:val="00177681"/>
    <w:rsid w:val="00177B38"/>
    <w:rsid w:val="00180209"/>
    <w:rsid w:val="00180690"/>
    <w:rsid w:val="001813B4"/>
    <w:rsid w:val="00181646"/>
    <w:rsid w:val="001817AE"/>
    <w:rsid w:val="00181847"/>
    <w:rsid w:val="00181906"/>
    <w:rsid w:val="00182545"/>
    <w:rsid w:val="00182D67"/>
    <w:rsid w:val="0018339C"/>
    <w:rsid w:val="00183694"/>
    <w:rsid w:val="00184791"/>
    <w:rsid w:val="00184811"/>
    <w:rsid w:val="00184EE0"/>
    <w:rsid w:val="00186326"/>
    <w:rsid w:val="0018652B"/>
    <w:rsid w:val="0018652E"/>
    <w:rsid w:val="0018654C"/>
    <w:rsid w:val="0018673E"/>
    <w:rsid w:val="00186BED"/>
    <w:rsid w:val="00187A70"/>
    <w:rsid w:val="0019000D"/>
    <w:rsid w:val="00190D5C"/>
    <w:rsid w:val="0019195F"/>
    <w:rsid w:val="00191A46"/>
    <w:rsid w:val="00191EC3"/>
    <w:rsid w:val="0019208E"/>
    <w:rsid w:val="001921F3"/>
    <w:rsid w:val="001929AB"/>
    <w:rsid w:val="00192F9F"/>
    <w:rsid w:val="00193095"/>
    <w:rsid w:val="00193A88"/>
    <w:rsid w:val="001945D8"/>
    <w:rsid w:val="00194FC8"/>
    <w:rsid w:val="0019566A"/>
    <w:rsid w:val="001956D9"/>
    <w:rsid w:val="001959A6"/>
    <w:rsid w:val="00195AF3"/>
    <w:rsid w:val="00195E3D"/>
    <w:rsid w:val="00196E1F"/>
    <w:rsid w:val="00196FAA"/>
    <w:rsid w:val="00197CD1"/>
    <w:rsid w:val="001A0303"/>
    <w:rsid w:val="001A04B7"/>
    <w:rsid w:val="001A06F0"/>
    <w:rsid w:val="001A0A83"/>
    <w:rsid w:val="001A0E2F"/>
    <w:rsid w:val="001A11A2"/>
    <w:rsid w:val="001A11C5"/>
    <w:rsid w:val="001A2F69"/>
    <w:rsid w:val="001A336D"/>
    <w:rsid w:val="001A3395"/>
    <w:rsid w:val="001A4642"/>
    <w:rsid w:val="001A5F2F"/>
    <w:rsid w:val="001A64F3"/>
    <w:rsid w:val="001A65DA"/>
    <w:rsid w:val="001A6C30"/>
    <w:rsid w:val="001A6CC9"/>
    <w:rsid w:val="001A6DE0"/>
    <w:rsid w:val="001A77EF"/>
    <w:rsid w:val="001A7828"/>
    <w:rsid w:val="001A7857"/>
    <w:rsid w:val="001A7FCB"/>
    <w:rsid w:val="001B03A4"/>
    <w:rsid w:val="001B073B"/>
    <w:rsid w:val="001B0940"/>
    <w:rsid w:val="001B0D9E"/>
    <w:rsid w:val="001B1955"/>
    <w:rsid w:val="001B2F10"/>
    <w:rsid w:val="001B3B8E"/>
    <w:rsid w:val="001B3C65"/>
    <w:rsid w:val="001B4318"/>
    <w:rsid w:val="001B560B"/>
    <w:rsid w:val="001B5F12"/>
    <w:rsid w:val="001B61C6"/>
    <w:rsid w:val="001B6ABE"/>
    <w:rsid w:val="001B6B9D"/>
    <w:rsid w:val="001B776D"/>
    <w:rsid w:val="001B78E6"/>
    <w:rsid w:val="001B7B33"/>
    <w:rsid w:val="001B7DD8"/>
    <w:rsid w:val="001C0572"/>
    <w:rsid w:val="001C0C62"/>
    <w:rsid w:val="001C0D45"/>
    <w:rsid w:val="001C13CD"/>
    <w:rsid w:val="001C1979"/>
    <w:rsid w:val="001C1FE5"/>
    <w:rsid w:val="001C24C9"/>
    <w:rsid w:val="001C2991"/>
    <w:rsid w:val="001C2B17"/>
    <w:rsid w:val="001C2DE2"/>
    <w:rsid w:val="001C2F8A"/>
    <w:rsid w:val="001C3238"/>
    <w:rsid w:val="001C363E"/>
    <w:rsid w:val="001C38A6"/>
    <w:rsid w:val="001C3C77"/>
    <w:rsid w:val="001C4228"/>
    <w:rsid w:val="001C4607"/>
    <w:rsid w:val="001C4DE6"/>
    <w:rsid w:val="001C5530"/>
    <w:rsid w:val="001C5553"/>
    <w:rsid w:val="001C6AD8"/>
    <w:rsid w:val="001C6D65"/>
    <w:rsid w:val="001C781F"/>
    <w:rsid w:val="001C7D24"/>
    <w:rsid w:val="001D0569"/>
    <w:rsid w:val="001D1731"/>
    <w:rsid w:val="001D1BA6"/>
    <w:rsid w:val="001D1FAF"/>
    <w:rsid w:val="001D279D"/>
    <w:rsid w:val="001D2D3A"/>
    <w:rsid w:val="001D2D8A"/>
    <w:rsid w:val="001D354A"/>
    <w:rsid w:val="001D476E"/>
    <w:rsid w:val="001D4F6E"/>
    <w:rsid w:val="001D50AC"/>
    <w:rsid w:val="001D5AEB"/>
    <w:rsid w:val="001D7A9C"/>
    <w:rsid w:val="001E0AA4"/>
    <w:rsid w:val="001E0C9C"/>
    <w:rsid w:val="001E0F46"/>
    <w:rsid w:val="001E1182"/>
    <w:rsid w:val="001E11B3"/>
    <w:rsid w:val="001E20F2"/>
    <w:rsid w:val="001E2E57"/>
    <w:rsid w:val="001E462C"/>
    <w:rsid w:val="001E51D3"/>
    <w:rsid w:val="001E5E2F"/>
    <w:rsid w:val="001E5E93"/>
    <w:rsid w:val="001E607F"/>
    <w:rsid w:val="001E6314"/>
    <w:rsid w:val="001E635C"/>
    <w:rsid w:val="001E673A"/>
    <w:rsid w:val="001F10C3"/>
    <w:rsid w:val="001F1121"/>
    <w:rsid w:val="001F1BCC"/>
    <w:rsid w:val="001F1D9A"/>
    <w:rsid w:val="001F2433"/>
    <w:rsid w:val="001F2635"/>
    <w:rsid w:val="001F33A2"/>
    <w:rsid w:val="001F3687"/>
    <w:rsid w:val="001F4098"/>
    <w:rsid w:val="001F48F6"/>
    <w:rsid w:val="001F4C39"/>
    <w:rsid w:val="001F5562"/>
    <w:rsid w:val="001F56CD"/>
    <w:rsid w:val="001F61B9"/>
    <w:rsid w:val="001F628F"/>
    <w:rsid w:val="001F6676"/>
    <w:rsid w:val="001F78C1"/>
    <w:rsid w:val="002000A2"/>
    <w:rsid w:val="002002F1"/>
    <w:rsid w:val="0020079B"/>
    <w:rsid w:val="00201EAD"/>
    <w:rsid w:val="0020202A"/>
    <w:rsid w:val="00202696"/>
    <w:rsid w:val="00202BEC"/>
    <w:rsid w:val="00202EFC"/>
    <w:rsid w:val="002038F5"/>
    <w:rsid w:val="002041A9"/>
    <w:rsid w:val="0020457B"/>
    <w:rsid w:val="0020547F"/>
    <w:rsid w:val="002056A3"/>
    <w:rsid w:val="00205A9D"/>
    <w:rsid w:val="00206023"/>
    <w:rsid w:val="00206D64"/>
    <w:rsid w:val="00206DF8"/>
    <w:rsid w:val="00207956"/>
    <w:rsid w:val="00207D97"/>
    <w:rsid w:val="00210148"/>
    <w:rsid w:val="002101FF"/>
    <w:rsid w:val="00210F65"/>
    <w:rsid w:val="002112F4"/>
    <w:rsid w:val="002114C3"/>
    <w:rsid w:val="0021194D"/>
    <w:rsid w:val="002125A3"/>
    <w:rsid w:val="00212D9D"/>
    <w:rsid w:val="0021380F"/>
    <w:rsid w:val="00214A6E"/>
    <w:rsid w:val="00214B2C"/>
    <w:rsid w:val="00214E2F"/>
    <w:rsid w:val="002157E9"/>
    <w:rsid w:val="002160DC"/>
    <w:rsid w:val="0021646E"/>
    <w:rsid w:val="002168E1"/>
    <w:rsid w:val="00216C22"/>
    <w:rsid w:val="002170E6"/>
    <w:rsid w:val="00217892"/>
    <w:rsid w:val="00217BEE"/>
    <w:rsid w:val="00217E09"/>
    <w:rsid w:val="00217E5D"/>
    <w:rsid w:val="00220623"/>
    <w:rsid w:val="00220AA3"/>
    <w:rsid w:val="00221122"/>
    <w:rsid w:val="002218EB"/>
    <w:rsid w:val="00221F39"/>
    <w:rsid w:val="00221F60"/>
    <w:rsid w:val="00222134"/>
    <w:rsid w:val="002221C0"/>
    <w:rsid w:val="00222B7F"/>
    <w:rsid w:val="00222C0C"/>
    <w:rsid w:val="00222E25"/>
    <w:rsid w:val="00224ED1"/>
    <w:rsid w:val="002258D1"/>
    <w:rsid w:val="0022799A"/>
    <w:rsid w:val="00227A48"/>
    <w:rsid w:val="0023025E"/>
    <w:rsid w:val="00230A60"/>
    <w:rsid w:val="0023115D"/>
    <w:rsid w:val="00231441"/>
    <w:rsid w:val="00231558"/>
    <w:rsid w:val="00231A96"/>
    <w:rsid w:val="00231C00"/>
    <w:rsid w:val="00231E1E"/>
    <w:rsid w:val="002340B9"/>
    <w:rsid w:val="00234A35"/>
    <w:rsid w:val="002351B6"/>
    <w:rsid w:val="002356FF"/>
    <w:rsid w:val="00237428"/>
    <w:rsid w:val="00237784"/>
    <w:rsid w:val="00237B45"/>
    <w:rsid w:val="00240574"/>
    <w:rsid w:val="00240781"/>
    <w:rsid w:val="00241391"/>
    <w:rsid w:val="00241474"/>
    <w:rsid w:val="002422E1"/>
    <w:rsid w:val="002427AB"/>
    <w:rsid w:val="00242A75"/>
    <w:rsid w:val="00243709"/>
    <w:rsid w:val="002439E1"/>
    <w:rsid w:val="00243FEA"/>
    <w:rsid w:val="002448ED"/>
    <w:rsid w:val="0024504B"/>
    <w:rsid w:val="002450EC"/>
    <w:rsid w:val="0024541E"/>
    <w:rsid w:val="00245509"/>
    <w:rsid w:val="00247051"/>
    <w:rsid w:val="0024739C"/>
    <w:rsid w:val="00247864"/>
    <w:rsid w:val="002506E4"/>
    <w:rsid w:val="002508A9"/>
    <w:rsid w:val="00250912"/>
    <w:rsid w:val="00250D0C"/>
    <w:rsid w:val="00250D72"/>
    <w:rsid w:val="002513C0"/>
    <w:rsid w:val="00252A34"/>
    <w:rsid w:val="00253075"/>
    <w:rsid w:val="00253519"/>
    <w:rsid w:val="00253DB4"/>
    <w:rsid w:val="00253DED"/>
    <w:rsid w:val="00254B5F"/>
    <w:rsid w:val="00254C9B"/>
    <w:rsid w:val="00254EC9"/>
    <w:rsid w:val="002551C4"/>
    <w:rsid w:val="002561F0"/>
    <w:rsid w:val="002562C4"/>
    <w:rsid w:val="002566F4"/>
    <w:rsid w:val="00256900"/>
    <w:rsid w:val="00256D40"/>
    <w:rsid w:val="00257C25"/>
    <w:rsid w:val="00257E2A"/>
    <w:rsid w:val="0026050E"/>
    <w:rsid w:val="00262859"/>
    <w:rsid w:val="00263A91"/>
    <w:rsid w:val="0026402D"/>
    <w:rsid w:val="00264351"/>
    <w:rsid w:val="002668B7"/>
    <w:rsid w:val="00266CE2"/>
    <w:rsid w:val="002702AE"/>
    <w:rsid w:val="002710E0"/>
    <w:rsid w:val="00271552"/>
    <w:rsid w:val="00271686"/>
    <w:rsid w:val="00271A36"/>
    <w:rsid w:val="00271B7F"/>
    <w:rsid w:val="0027218B"/>
    <w:rsid w:val="0027248F"/>
    <w:rsid w:val="002725D4"/>
    <w:rsid w:val="00272D78"/>
    <w:rsid w:val="00272EDE"/>
    <w:rsid w:val="002732E2"/>
    <w:rsid w:val="00273B26"/>
    <w:rsid w:val="00273EF6"/>
    <w:rsid w:val="002742E3"/>
    <w:rsid w:val="002746A9"/>
    <w:rsid w:val="002746EB"/>
    <w:rsid w:val="00274CEF"/>
    <w:rsid w:val="00275125"/>
    <w:rsid w:val="00276603"/>
    <w:rsid w:val="00276697"/>
    <w:rsid w:val="002771C3"/>
    <w:rsid w:val="00277614"/>
    <w:rsid w:val="00280421"/>
    <w:rsid w:val="00280780"/>
    <w:rsid w:val="00280C75"/>
    <w:rsid w:val="00281DFC"/>
    <w:rsid w:val="0028208B"/>
    <w:rsid w:val="002832EB"/>
    <w:rsid w:val="00284828"/>
    <w:rsid w:val="0028559B"/>
    <w:rsid w:val="0028567D"/>
    <w:rsid w:val="002856EC"/>
    <w:rsid w:val="00285760"/>
    <w:rsid w:val="00285A94"/>
    <w:rsid w:val="00286C6A"/>
    <w:rsid w:val="0028705A"/>
    <w:rsid w:val="0028789C"/>
    <w:rsid w:val="002878F1"/>
    <w:rsid w:val="002907B0"/>
    <w:rsid w:val="00291349"/>
    <w:rsid w:val="00291A24"/>
    <w:rsid w:val="00291AB7"/>
    <w:rsid w:val="0029262E"/>
    <w:rsid w:val="0029286F"/>
    <w:rsid w:val="002928B2"/>
    <w:rsid w:val="00292DCA"/>
    <w:rsid w:val="0029302D"/>
    <w:rsid w:val="00293A66"/>
    <w:rsid w:val="00293C6A"/>
    <w:rsid w:val="00294DDC"/>
    <w:rsid w:val="00294FCB"/>
    <w:rsid w:val="00295195"/>
    <w:rsid w:val="0029526D"/>
    <w:rsid w:val="00295449"/>
    <w:rsid w:val="002959C1"/>
    <w:rsid w:val="00295BB7"/>
    <w:rsid w:val="00295E35"/>
    <w:rsid w:val="00295F61"/>
    <w:rsid w:val="00296904"/>
    <w:rsid w:val="00296E04"/>
    <w:rsid w:val="0029742D"/>
    <w:rsid w:val="002977F4"/>
    <w:rsid w:val="00297CC6"/>
    <w:rsid w:val="002A0167"/>
    <w:rsid w:val="002A0455"/>
    <w:rsid w:val="002A0831"/>
    <w:rsid w:val="002A1891"/>
    <w:rsid w:val="002A1A41"/>
    <w:rsid w:val="002A27EA"/>
    <w:rsid w:val="002A355F"/>
    <w:rsid w:val="002A38B3"/>
    <w:rsid w:val="002A3FCE"/>
    <w:rsid w:val="002A41A0"/>
    <w:rsid w:val="002A48BC"/>
    <w:rsid w:val="002A4B71"/>
    <w:rsid w:val="002A524D"/>
    <w:rsid w:val="002A52F9"/>
    <w:rsid w:val="002A5312"/>
    <w:rsid w:val="002A5610"/>
    <w:rsid w:val="002A575D"/>
    <w:rsid w:val="002A5B98"/>
    <w:rsid w:val="002A5CCD"/>
    <w:rsid w:val="002A67C9"/>
    <w:rsid w:val="002A6ACE"/>
    <w:rsid w:val="002A6AD9"/>
    <w:rsid w:val="002A70BE"/>
    <w:rsid w:val="002A71BB"/>
    <w:rsid w:val="002A7903"/>
    <w:rsid w:val="002A7B8E"/>
    <w:rsid w:val="002A7E0A"/>
    <w:rsid w:val="002B016A"/>
    <w:rsid w:val="002B058F"/>
    <w:rsid w:val="002B1C11"/>
    <w:rsid w:val="002B1C47"/>
    <w:rsid w:val="002B1ECF"/>
    <w:rsid w:val="002B2933"/>
    <w:rsid w:val="002B37B2"/>
    <w:rsid w:val="002B4812"/>
    <w:rsid w:val="002B484D"/>
    <w:rsid w:val="002B4DAD"/>
    <w:rsid w:val="002B5DAC"/>
    <w:rsid w:val="002B5E89"/>
    <w:rsid w:val="002B64C9"/>
    <w:rsid w:val="002B65B5"/>
    <w:rsid w:val="002B68FA"/>
    <w:rsid w:val="002B6A90"/>
    <w:rsid w:val="002B6EEA"/>
    <w:rsid w:val="002B6F88"/>
    <w:rsid w:val="002B7671"/>
    <w:rsid w:val="002B79B8"/>
    <w:rsid w:val="002B7DF5"/>
    <w:rsid w:val="002B7F7A"/>
    <w:rsid w:val="002C026A"/>
    <w:rsid w:val="002C0AC7"/>
    <w:rsid w:val="002C14DB"/>
    <w:rsid w:val="002C1740"/>
    <w:rsid w:val="002C1D82"/>
    <w:rsid w:val="002C1E2F"/>
    <w:rsid w:val="002C2E1A"/>
    <w:rsid w:val="002C3451"/>
    <w:rsid w:val="002C34AE"/>
    <w:rsid w:val="002C375C"/>
    <w:rsid w:val="002C3A95"/>
    <w:rsid w:val="002C3EAC"/>
    <w:rsid w:val="002C433A"/>
    <w:rsid w:val="002C4488"/>
    <w:rsid w:val="002C4C54"/>
    <w:rsid w:val="002C50D0"/>
    <w:rsid w:val="002C6703"/>
    <w:rsid w:val="002C6811"/>
    <w:rsid w:val="002C7379"/>
    <w:rsid w:val="002C7D9F"/>
    <w:rsid w:val="002C7ECB"/>
    <w:rsid w:val="002C7F0F"/>
    <w:rsid w:val="002D06CE"/>
    <w:rsid w:val="002D083F"/>
    <w:rsid w:val="002D09FE"/>
    <w:rsid w:val="002D11D2"/>
    <w:rsid w:val="002D1C2C"/>
    <w:rsid w:val="002D2268"/>
    <w:rsid w:val="002D2818"/>
    <w:rsid w:val="002D3233"/>
    <w:rsid w:val="002D4522"/>
    <w:rsid w:val="002D4A1C"/>
    <w:rsid w:val="002D55B8"/>
    <w:rsid w:val="002D5A80"/>
    <w:rsid w:val="002D5FE4"/>
    <w:rsid w:val="002D6486"/>
    <w:rsid w:val="002D6606"/>
    <w:rsid w:val="002D75B1"/>
    <w:rsid w:val="002D76C9"/>
    <w:rsid w:val="002E06EC"/>
    <w:rsid w:val="002E0860"/>
    <w:rsid w:val="002E09C8"/>
    <w:rsid w:val="002E0CB1"/>
    <w:rsid w:val="002E144E"/>
    <w:rsid w:val="002E1DF9"/>
    <w:rsid w:val="002E23A9"/>
    <w:rsid w:val="002E24EF"/>
    <w:rsid w:val="002E2562"/>
    <w:rsid w:val="002E2868"/>
    <w:rsid w:val="002E2B95"/>
    <w:rsid w:val="002E2C9D"/>
    <w:rsid w:val="002E3889"/>
    <w:rsid w:val="002E4014"/>
    <w:rsid w:val="002E45B0"/>
    <w:rsid w:val="002E4AF1"/>
    <w:rsid w:val="002E4DC8"/>
    <w:rsid w:val="002E4F6E"/>
    <w:rsid w:val="002E5677"/>
    <w:rsid w:val="002E5C2E"/>
    <w:rsid w:val="002E5F5E"/>
    <w:rsid w:val="002E615F"/>
    <w:rsid w:val="002E61A3"/>
    <w:rsid w:val="002E62FE"/>
    <w:rsid w:val="002E673F"/>
    <w:rsid w:val="002E6853"/>
    <w:rsid w:val="002E6DE0"/>
    <w:rsid w:val="002E7322"/>
    <w:rsid w:val="002E76F2"/>
    <w:rsid w:val="002E7C5D"/>
    <w:rsid w:val="002E7D33"/>
    <w:rsid w:val="002F0087"/>
    <w:rsid w:val="002F06CB"/>
    <w:rsid w:val="002F074E"/>
    <w:rsid w:val="002F1284"/>
    <w:rsid w:val="002F1CC1"/>
    <w:rsid w:val="002F1EBC"/>
    <w:rsid w:val="002F339F"/>
    <w:rsid w:val="002F3457"/>
    <w:rsid w:val="002F355E"/>
    <w:rsid w:val="002F3CB2"/>
    <w:rsid w:val="002F4B7C"/>
    <w:rsid w:val="002F4FC7"/>
    <w:rsid w:val="002F6DDF"/>
    <w:rsid w:val="002F7130"/>
    <w:rsid w:val="002F71F0"/>
    <w:rsid w:val="002F72F8"/>
    <w:rsid w:val="002F7BB7"/>
    <w:rsid w:val="002F7D35"/>
    <w:rsid w:val="002F7F2F"/>
    <w:rsid w:val="0030018B"/>
    <w:rsid w:val="0030065D"/>
    <w:rsid w:val="003006F2"/>
    <w:rsid w:val="003007C6"/>
    <w:rsid w:val="003014DB"/>
    <w:rsid w:val="00301EA8"/>
    <w:rsid w:val="0030210E"/>
    <w:rsid w:val="0030245D"/>
    <w:rsid w:val="0030255E"/>
    <w:rsid w:val="003033BB"/>
    <w:rsid w:val="00303986"/>
    <w:rsid w:val="00303A59"/>
    <w:rsid w:val="003046CA"/>
    <w:rsid w:val="00304815"/>
    <w:rsid w:val="003051CB"/>
    <w:rsid w:val="003053DE"/>
    <w:rsid w:val="0030545A"/>
    <w:rsid w:val="0030549B"/>
    <w:rsid w:val="0030587E"/>
    <w:rsid w:val="00306025"/>
    <w:rsid w:val="00307709"/>
    <w:rsid w:val="00307B3C"/>
    <w:rsid w:val="00307CAA"/>
    <w:rsid w:val="00310A51"/>
    <w:rsid w:val="00310A79"/>
    <w:rsid w:val="00311861"/>
    <w:rsid w:val="00311C2C"/>
    <w:rsid w:val="003120D8"/>
    <w:rsid w:val="0031216F"/>
    <w:rsid w:val="00313105"/>
    <w:rsid w:val="003141BE"/>
    <w:rsid w:val="003141D7"/>
    <w:rsid w:val="003146CE"/>
    <w:rsid w:val="0031498B"/>
    <w:rsid w:val="00315149"/>
    <w:rsid w:val="003152E6"/>
    <w:rsid w:val="0031565E"/>
    <w:rsid w:val="003158CC"/>
    <w:rsid w:val="003158DC"/>
    <w:rsid w:val="00315CEB"/>
    <w:rsid w:val="00315E81"/>
    <w:rsid w:val="00316391"/>
    <w:rsid w:val="003163FF"/>
    <w:rsid w:val="0031757D"/>
    <w:rsid w:val="00317713"/>
    <w:rsid w:val="00317763"/>
    <w:rsid w:val="003203AE"/>
    <w:rsid w:val="0032140A"/>
    <w:rsid w:val="00321D9D"/>
    <w:rsid w:val="00322348"/>
    <w:rsid w:val="003225F8"/>
    <w:rsid w:val="00322EC6"/>
    <w:rsid w:val="0032300D"/>
    <w:rsid w:val="00323632"/>
    <w:rsid w:val="0032366D"/>
    <w:rsid w:val="00323C80"/>
    <w:rsid w:val="00323F4A"/>
    <w:rsid w:val="003243D8"/>
    <w:rsid w:val="003247FF"/>
    <w:rsid w:val="00324C88"/>
    <w:rsid w:val="00324E4C"/>
    <w:rsid w:val="00325E77"/>
    <w:rsid w:val="003260DF"/>
    <w:rsid w:val="00326E74"/>
    <w:rsid w:val="00327B44"/>
    <w:rsid w:val="003310CC"/>
    <w:rsid w:val="00331D98"/>
    <w:rsid w:val="003328AF"/>
    <w:rsid w:val="00332BF7"/>
    <w:rsid w:val="00333176"/>
    <w:rsid w:val="00333A7C"/>
    <w:rsid w:val="00333C87"/>
    <w:rsid w:val="00333EA0"/>
    <w:rsid w:val="00333ED4"/>
    <w:rsid w:val="003340CA"/>
    <w:rsid w:val="00334E2D"/>
    <w:rsid w:val="00334E75"/>
    <w:rsid w:val="0033532F"/>
    <w:rsid w:val="00335D50"/>
    <w:rsid w:val="00335E1A"/>
    <w:rsid w:val="00335E32"/>
    <w:rsid w:val="00335F0E"/>
    <w:rsid w:val="003367EB"/>
    <w:rsid w:val="00336A1C"/>
    <w:rsid w:val="00336D48"/>
    <w:rsid w:val="0033732E"/>
    <w:rsid w:val="00337894"/>
    <w:rsid w:val="00337CB5"/>
    <w:rsid w:val="00337D5D"/>
    <w:rsid w:val="00337FD0"/>
    <w:rsid w:val="0034000A"/>
    <w:rsid w:val="00340185"/>
    <w:rsid w:val="0034096C"/>
    <w:rsid w:val="0034195B"/>
    <w:rsid w:val="00341DBC"/>
    <w:rsid w:val="00342A96"/>
    <w:rsid w:val="00342C06"/>
    <w:rsid w:val="00342C6D"/>
    <w:rsid w:val="0034368A"/>
    <w:rsid w:val="00343A4F"/>
    <w:rsid w:val="00343D3E"/>
    <w:rsid w:val="00343EDB"/>
    <w:rsid w:val="00343FE3"/>
    <w:rsid w:val="0034470D"/>
    <w:rsid w:val="00344D7E"/>
    <w:rsid w:val="00344F53"/>
    <w:rsid w:val="003457A4"/>
    <w:rsid w:val="003459BB"/>
    <w:rsid w:val="00345D31"/>
    <w:rsid w:val="003461F9"/>
    <w:rsid w:val="003464E8"/>
    <w:rsid w:val="00346934"/>
    <w:rsid w:val="00347B01"/>
    <w:rsid w:val="00350010"/>
    <w:rsid w:val="00350666"/>
    <w:rsid w:val="00350AE0"/>
    <w:rsid w:val="00350D18"/>
    <w:rsid w:val="00351006"/>
    <w:rsid w:val="00351334"/>
    <w:rsid w:val="0035148F"/>
    <w:rsid w:val="00352184"/>
    <w:rsid w:val="00352A0E"/>
    <w:rsid w:val="00352EEF"/>
    <w:rsid w:val="00352FC2"/>
    <w:rsid w:val="003535F8"/>
    <w:rsid w:val="00353B69"/>
    <w:rsid w:val="00353C4C"/>
    <w:rsid w:val="00354744"/>
    <w:rsid w:val="00354A65"/>
    <w:rsid w:val="00354C90"/>
    <w:rsid w:val="00354D78"/>
    <w:rsid w:val="00355294"/>
    <w:rsid w:val="003558F7"/>
    <w:rsid w:val="00355E21"/>
    <w:rsid w:val="00355FE5"/>
    <w:rsid w:val="00356FBC"/>
    <w:rsid w:val="00357CEA"/>
    <w:rsid w:val="00357E91"/>
    <w:rsid w:val="003602B7"/>
    <w:rsid w:val="003602F1"/>
    <w:rsid w:val="003606A1"/>
    <w:rsid w:val="00360BE0"/>
    <w:rsid w:val="0036118B"/>
    <w:rsid w:val="00361B88"/>
    <w:rsid w:val="00362618"/>
    <w:rsid w:val="00363C01"/>
    <w:rsid w:val="00363D3E"/>
    <w:rsid w:val="00363E43"/>
    <w:rsid w:val="003648E4"/>
    <w:rsid w:val="00365296"/>
    <w:rsid w:val="00365566"/>
    <w:rsid w:val="00366217"/>
    <w:rsid w:val="00366228"/>
    <w:rsid w:val="003665A4"/>
    <w:rsid w:val="00366825"/>
    <w:rsid w:val="00366DFE"/>
    <w:rsid w:val="00366E31"/>
    <w:rsid w:val="0036712A"/>
    <w:rsid w:val="00367A01"/>
    <w:rsid w:val="00370391"/>
    <w:rsid w:val="00370CE1"/>
    <w:rsid w:val="003722E4"/>
    <w:rsid w:val="003726DF"/>
    <w:rsid w:val="0037286C"/>
    <w:rsid w:val="00372EB8"/>
    <w:rsid w:val="00373A37"/>
    <w:rsid w:val="00373BE9"/>
    <w:rsid w:val="00373FDF"/>
    <w:rsid w:val="00374359"/>
    <w:rsid w:val="003747E1"/>
    <w:rsid w:val="0037499E"/>
    <w:rsid w:val="00374D7E"/>
    <w:rsid w:val="00374DDC"/>
    <w:rsid w:val="00374FA6"/>
    <w:rsid w:val="00374FAA"/>
    <w:rsid w:val="003750A9"/>
    <w:rsid w:val="003761D3"/>
    <w:rsid w:val="00376750"/>
    <w:rsid w:val="00376DD6"/>
    <w:rsid w:val="00377BFA"/>
    <w:rsid w:val="00377DDF"/>
    <w:rsid w:val="00380A58"/>
    <w:rsid w:val="00380C08"/>
    <w:rsid w:val="00381577"/>
    <w:rsid w:val="0038166F"/>
    <w:rsid w:val="00381FE2"/>
    <w:rsid w:val="00382010"/>
    <w:rsid w:val="00382599"/>
    <w:rsid w:val="00382F0C"/>
    <w:rsid w:val="0038327C"/>
    <w:rsid w:val="0038334D"/>
    <w:rsid w:val="00383F45"/>
    <w:rsid w:val="00384310"/>
    <w:rsid w:val="0038454F"/>
    <w:rsid w:val="00384835"/>
    <w:rsid w:val="00384A18"/>
    <w:rsid w:val="00384A37"/>
    <w:rsid w:val="00385389"/>
    <w:rsid w:val="00385529"/>
    <w:rsid w:val="0038564B"/>
    <w:rsid w:val="00385913"/>
    <w:rsid w:val="003861D6"/>
    <w:rsid w:val="00386456"/>
    <w:rsid w:val="00386614"/>
    <w:rsid w:val="0038718B"/>
    <w:rsid w:val="00387FC3"/>
    <w:rsid w:val="0039034F"/>
    <w:rsid w:val="003908B0"/>
    <w:rsid w:val="00390E03"/>
    <w:rsid w:val="00390F37"/>
    <w:rsid w:val="003912EF"/>
    <w:rsid w:val="003918B1"/>
    <w:rsid w:val="003918D3"/>
    <w:rsid w:val="00392193"/>
    <w:rsid w:val="0039228A"/>
    <w:rsid w:val="00392711"/>
    <w:rsid w:val="003927A0"/>
    <w:rsid w:val="00392B8C"/>
    <w:rsid w:val="0039391C"/>
    <w:rsid w:val="00393E87"/>
    <w:rsid w:val="00393FEC"/>
    <w:rsid w:val="00395A83"/>
    <w:rsid w:val="00395D1B"/>
    <w:rsid w:val="00395D87"/>
    <w:rsid w:val="003A0208"/>
    <w:rsid w:val="003A1610"/>
    <w:rsid w:val="003A17EA"/>
    <w:rsid w:val="003A1ABA"/>
    <w:rsid w:val="003A1C8F"/>
    <w:rsid w:val="003A1D1D"/>
    <w:rsid w:val="003A1F99"/>
    <w:rsid w:val="003A2054"/>
    <w:rsid w:val="003A251C"/>
    <w:rsid w:val="003A2E35"/>
    <w:rsid w:val="003A3015"/>
    <w:rsid w:val="003A3583"/>
    <w:rsid w:val="003A3749"/>
    <w:rsid w:val="003A39F1"/>
    <w:rsid w:val="003A4377"/>
    <w:rsid w:val="003A4496"/>
    <w:rsid w:val="003A4568"/>
    <w:rsid w:val="003A4D98"/>
    <w:rsid w:val="003A4FC9"/>
    <w:rsid w:val="003A60A5"/>
    <w:rsid w:val="003A6710"/>
    <w:rsid w:val="003A69F1"/>
    <w:rsid w:val="003A6C97"/>
    <w:rsid w:val="003A6DE4"/>
    <w:rsid w:val="003A72B3"/>
    <w:rsid w:val="003A73DD"/>
    <w:rsid w:val="003A7E10"/>
    <w:rsid w:val="003A7FB4"/>
    <w:rsid w:val="003B07BE"/>
    <w:rsid w:val="003B16CA"/>
    <w:rsid w:val="003B2488"/>
    <w:rsid w:val="003B2CCD"/>
    <w:rsid w:val="003B343F"/>
    <w:rsid w:val="003B36E6"/>
    <w:rsid w:val="003B4034"/>
    <w:rsid w:val="003B56CC"/>
    <w:rsid w:val="003B56F4"/>
    <w:rsid w:val="003B5ACF"/>
    <w:rsid w:val="003B5CF5"/>
    <w:rsid w:val="003B5E47"/>
    <w:rsid w:val="003B62C6"/>
    <w:rsid w:val="003B6BEE"/>
    <w:rsid w:val="003B7045"/>
    <w:rsid w:val="003B75F5"/>
    <w:rsid w:val="003B7672"/>
    <w:rsid w:val="003B783E"/>
    <w:rsid w:val="003B7D21"/>
    <w:rsid w:val="003C1926"/>
    <w:rsid w:val="003C2D04"/>
    <w:rsid w:val="003C4331"/>
    <w:rsid w:val="003C5374"/>
    <w:rsid w:val="003C5557"/>
    <w:rsid w:val="003C678D"/>
    <w:rsid w:val="003C6815"/>
    <w:rsid w:val="003C6E8E"/>
    <w:rsid w:val="003C742D"/>
    <w:rsid w:val="003D004D"/>
    <w:rsid w:val="003D00F0"/>
    <w:rsid w:val="003D07B4"/>
    <w:rsid w:val="003D0922"/>
    <w:rsid w:val="003D0936"/>
    <w:rsid w:val="003D1EB1"/>
    <w:rsid w:val="003D1FA8"/>
    <w:rsid w:val="003D203A"/>
    <w:rsid w:val="003D215E"/>
    <w:rsid w:val="003D29C8"/>
    <w:rsid w:val="003D3458"/>
    <w:rsid w:val="003D3749"/>
    <w:rsid w:val="003D3931"/>
    <w:rsid w:val="003D3EA0"/>
    <w:rsid w:val="003D4A06"/>
    <w:rsid w:val="003D5155"/>
    <w:rsid w:val="003D52A8"/>
    <w:rsid w:val="003D5459"/>
    <w:rsid w:val="003D5965"/>
    <w:rsid w:val="003D5CC0"/>
    <w:rsid w:val="003D76A1"/>
    <w:rsid w:val="003D7F08"/>
    <w:rsid w:val="003E0258"/>
    <w:rsid w:val="003E034C"/>
    <w:rsid w:val="003E0B47"/>
    <w:rsid w:val="003E0D98"/>
    <w:rsid w:val="003E10D3"/>
    <w:rsid w:val="003E1D25"/>
    <w:rsid w:val="003E1D46"/>
    <w:rsid w:val="003E2685"/>
    <w:rsid w:val="003E28EA"/>
    <w:rsid w:val="003E293C"/>
    <w:rsid w:val="003E2BA4"/>
    <w:rsid w:val="003E2D3B"/>
    <w:rsid w:val="003E3326"/>
    <w:rsid w:val="003E3AA6"/>
    <w:rsid w:val="003E3E34"/>
    <w:rsid w:val="003E4A67"/>
    <w:rsid w:val="003E500C"/>
    <w:rsid w:val="003E5F07"/>
    <w:rsid w:val="003E74B1"/>
    <w:rsid w:val="003F031C"/>
    <w:rsid w:val="003F08F6"/>
    <w:rsid w:val="003F0A7E"/>
    <w:rsid w:val="003F109A"/>
    <w:rsid w:val="003F25A9"/>
    <w:rsid w:val="003F276D"/>
    <w:rsid w:val="003F305C"/>
    <w:rsid w:val="003F3995"/>
    <w:rsid w:val="003F3A52"/>
    <w:rsid w:val="003F3A5F"/>
    <w:rsid w:val="003F444A"/>
    <w:rsid w:val="003F4A0D"/>
    <w:rsid w:val="003F5926"/>
    <w:rsid w:val="003F59DD"/>
    <w:rsid w:val="003F6044"/>
    <w:rsid w:val="003F6159"/>
    <w:rsid w:val="003F62D3"/>
    <w:rsid w:val="003F6496"/>
    <w:rsid w:val="003F734F"/>
    <w:rsid w:val="003F7936"/>
    <w:rsid w:val="003F7C53"/>
    <w:rsid w:val="003F7F76"/>
    <w:rsid w:val="00400095"/>
    <w:rsid w:val="004000E4"/>
    <w:rsid w:val="0040024E"/>
    <w:rsid w:val="00400B78"/>
    <w:rsid w:val="00400E24"/>
    <w:rsid w:val="0040178A"/>
    <w:rsid w:val="00401C06"/>
    <w:rsid w:val="00401CDC"/>
    <w:rsid w:val="0040203F"/>
    <w:rsid w:val="00402FD6"/>
    <w:rsid w:val="00403461"/>
    <w:rsid w:val="00404D95"/>
    <w:rsid w:val="00404E07"/>
    <w:rsid w:val="00404E7F"/>
    <w:rsid w:val="00405279"/>
    <w:rsid w:val="004055AD"/>
    <w:rsid w:val="00405674"/>
    <w:rsid w:val="00405A85"/>
    <w:rsid w:val="00405CED"/>
    <w:rsid w:val="00405F8D"/>
    <w:rsid w:val="004062A9"/>
    <w:rsid w:val="00406831"/>
    <w:rsid w:val="00406DAD"/>
    <w:rsid w:val="00407A44"/>
    <w:rsid w:val="00407B24"/>
    <w:rsid w:val="00407EF7"/>
    <w:rsid w:val="00410342"/>
    <w:rsid w:val="00410A70"/>
    <w:rsid w:val="00410CB3"/>
    <w:rsid w:val="00411705"/>
    <w:rsid w:val="00411D3A"/>
    <w:rsid w:val="00412378"/>
    <w:rsid w:val="004127A6"/>
    <w:rsid w:val="0041297C"/>
    <w:rsid w:val="00412AEF"/>
    <w:rsid w:val="00412D46"/>
    <w:rsid w:val="00413478"/>
    <w:rsid w:val="00413693"/>
    <w:rsid w:val="004146CC"/>
    <w:rsid w:val="0041482D"/>
    <w:rsid w:val="0041506B"/>
    <w:rsid w:val="00415934"/>
    <w:rsid w:val="00415C8F"/>
    <w:rsid w:val="00415F23"/>
    <w:rsid w:val="004161EA"/>
    <w:rsid w:val="004164AC"/>
    <w:rsid w:val="00416618"/>
    <w:rsid w:val="00416664"/>
    <w:rsid w:val="00416A22"/>
    <w:rsid w:val="004171B1"/>
    <w:rsid w:val="004174A4"/>
    <w:rsid w:val="00417DDE"/>
    <w:rsid w:val="00420047"/>
    <w:rsid w:val="00420848"/>
    <w:rsid w:val="004210F9"/>
    <w:rsid w:val="0042112B"/>
    <w:rsid w:val="00422201"/>
    <w:rsid w:val="004225BE"/>
    <w:rsid w:val="00422A14"/>
    <w:rsid w:val="004232D8"/>
    <w:rsid w:val="004244C5"/>
    <w:rsid w:val="004245DD"/>
    <w:rsid w:val="0042489D"/>
    <w:rsid w:val="00424AB3"/>
    <w:rsid w:val="004250E1"/>
    <w:rsid w:val="0042514D"/>
    <w:rsid w:val="0042528A"/>
    <w:rsid w:val="00426811"/>
    <w:rsid w:val="00426AC9"/>
    <w:rsid w:val="0043012E"/>
    <w:rsid w:val="0043061B"/>
    <w:rsid w:val="00430C44"/>
    <w:rsid w:val="00431032"/>
    <w:rsid w:val="00431233"/>
    <w:rsid w:val="004315E5"/>
    <w:rsid w:val="00431F67"/>
    <w:rsid w:val="00431F9F"/>
    <w:rsid w:val="00431FD2"/>
    <w:rsid w:val="00432928"/>
    <w:rsid w:val="00432B9B"/>
    <w:rsid w:val="00432C0D"/>
    <w:rsid w:val="00432ECC"/>
    <w:rsid w:val="00433000"/>
    <w:rsid w:val="00433346"/>
    <w:rsid w:val="004338C4"/>
    <w:rsid w:val="00434B2C"/>
    <w:rsid w:val="00435BD5"/>
    <w:rsid w:val="00435D92"/>
    <w:rsid w:val="00436498"/>
    <w:rsid w:val="00436837"/>
    <w:rsid w:val="004377BA"/>
    <w:rsid w:val="00440430"/>
    <w:rsid w:val="00440A77"/>
    <w:rsid w:val="00440EF8"/>
    <w:rsid w:val="00441203"/>
    <w:rsid w:val="0044160B"/>
    <w:rsid w:val="00441776"/>
    <w:rsid w:val="00442091"/>
    <w:rsid w:val="004423AC"/>
    <w:rsid w:val="00442E40"/>
    <w:rsid w:val="004430DB"/>
    <w:rsid w:val="0044348D"/>
    <w:rsid w:val="00443958"/>
    <w:rsid w:val="0044395D"/>
    <w:rsid w:val="00443E15"/>
    <w:rsid w:val="00444990"/>
    <w:rsid w:val="00444E26"/>
    <w:rsid w:val="004455B6"/>
    <w:rsid w:val="004455C8"/>
    <w:rsid w:val="00445A23"/>
    <w:rsid w:val="00445E55"/>
    <w:rsid w:val="004461CF"/>
    <w:rsid w:val="0044659A"/>
    <w:rsid w:val="00446D69"/>
    <w:rsid w:val="00447742"/>
    <w:rsid w:val="004501D8"/>
    <w:rsid w:val="00450526"/>
    <w:rsid w:val="00450D00"/>
    <w:rsid w:val="00451DA7"/>
    <w:rsid w:val="00452085"/>
    <w:rsid w:val="00452433"/>
    <w:rsid w:val="0045279B"/>
    <w:rsid w:val="00455488"/>
    <w:rsid w:val="00455601"/>
    <w:rsid w:val="004560A0"/>
    <w:rsid w:val="00456437"/>
    <w:rsid w:val="004565FA"/>
    <w:rsid w:val="0045679C"/>
    <w:rsid w:val="00456AA1"/>
    <w:rsid w:val="00456B75"/>
    <w:rsid w:val="00456FDA"/>
    <w:rsid w:val="00460235"/>
    <w:rsid w:val="00460597"/>
    <w:rsid w:val="004605EB"/>
    <w:rsid w:val="00460E83"/>
    <w:rsid w:val="00461905"/>
    <w:rsid w:val="00461F3C"/>
    <w:rsid w:val="00462304"/>
    <w:rsid w:val="00462311"/>
    <w:rsid w:val="004626A8"/>
    <w:rsid w:val="0046294A"/>
    <w:rsid w:val="00463CD3"/>
    <w:rsid w:val="00463F35"/>
    <w:rsid w:val="00463F6E"/>
    <w:rsid w:val="004645FA"/>
    <w:rsid w:val="0046463F"/>
    <w:rsid w:val="00464910"/>
    <w:rsid w:val="00466BB7"/>
    <w:rsid w:val="00466BBB"/>
    <w:rsid w:val="004670A8"/>
    <w:rsid w:val="00467A1A"/>
    <w:rsid w:val="00467B04"/>
    <w:rsid w:val="00467ED4"/>
    <w:rsid w:val="004703A6"/>
    <w:rsid w:val="0047077B"/>
    <w:rsid w:val="004709B2"/>
    <w:rsid w:val="00470B0B"/>
    <w:rsid w:val="00470BE2"/>
    <w:rsid w:val="0047148D"/>
    <w:rsid w:val="00472550"/>
    <w:rsid w:val="00472630"/>
    <w:rsid w:val="00472780"/>
    <w:rsid w:val="00472A64"/>
    <w:rsid w:val="00472E6F"/>
    <w:rsid w:val="00473857"/>
    <w:rsid w:val="00473DF9"/>
    <w:rsid w:val="00474144"/>
    <w:rsid w:val="00474155"/>
    <w:rsid w:val="00474361"/>
    <w:rsid w:val="004749D6"/>
    <w:rsid w:val="00474E85"/>
    <w:rsid w:val="00474EA6"/>
    <w:rsid w:val="0047507D"/>
    <w:rsid w:val="00475107"/>
    <w:rsid w:val="00475645"/>
    <w:rsid w:val="00475994"/>
    <w:rsid w:val="00475E49"/>
    <w:rsid w:val="004763DA"/>
    <w:rsid w:val="00476734"/>
    <w:rsid w:val="00476CDA"/>
    <w:rsid w:val="00477D3B"/>
    <w:rsid w:val="004800B2"/>
    <w:rsid w:val="00480847"/>
    <w:rsid w:val="004813BE"/>
    <w:rsid w:val="0048337D"/>
    <w:rsid w:val="004845CC"/>
    <w:rsid w:val="00485214"/>
    <w:rsid w:val="00485452"/>
    <w:rsid w:val="00486055"/>
    <w:rsid w:val="004868CC"/>
    <w:rsid w:val="00487615"/>
    <w:rsid w:val="004879FB"/>
    <w:rsid w:val="00487B08"/>
    <w:rsid w:val="00487DF1"/>
    <w:rsid w:val="00487EA4"/>
    <w:rsid w:val="00490083"/>
    <w:rsid w:val="004909E7"/>
    <w:rsid w:val="0049122F"/>
    <w:rsid w:val="004912D6"/>
    <w:rsid w:val="004919B7"/>
    <w:rsid w:val="0049276E"/>
    <w:rsid w:val="00493001"/>
    <w:rsid w:val="0049354D"/>
    <w:rsid w:val="00493685"/>
    <w:rsid w:val="00493BA3"/>
    <w:rsid w:val="00493DC9"/>
    <w:rsid w:val="00494069"/>
    <w:rsid w:val="00494096"/>
    <w:rsid w:val="00494464"/>
    <w:rsid w:val="004953E0"/>
    <w:rsid w:val="00495B56"/>
    <w:rsid w:val="00495C6B"/>
    <w:rsid w:val="004962D3"/>
    <w:rsid w:val="004966B4"/>
    <w:rsid w:val="004967DB"/>
    <w:rsid w:val="0049711A"/>
    <w:rsid w:val="00497632"/>
    <w:rsid w:val="004A089B"/>
    <w:rsid w:val="004A0C49"/>
    <w:rsid w:val="004A0F1B"/>
    <w:rsid w:val="004A0F43"/>
    <w:rsid w:val="004A168A"/>
    <w:rsid w:val="004A232B"/>
    <w:rsid w:val="004A2486"/>
    <w:rsid w:val="004A2DF1"/>
    <w:rsid w:val="004A30A3"/>
    <w:rsid w:val="004A3202"/>
    <w:rsid w:val="004A4078"/>
    <w:rsid w:val="004A479E"/>
    <w:rsid w:val="004A4882"/>
    <w:rsid w:val="004A5244"/>
    <w:rsid w:val="004A58F1"/>
    <w:rsid w:val="004A59A7"/>
    <w:rsid w:val="004A624B"/>
    <w:rsid w:val="004A6501"/>
    <w:rsid w:val="004A72AC"/>
    <w:rsid w:val="004A73A8"/>
    <w:rsid w:val="004A74D2"/>
    <w:rsid w:val="004B06BB"/>
    <w:rsid w:val="004B07AC"/>
    <w:rsid w:val="004B124A"/>
    <w:rsid w:val="004B17E3"/>
    <w:rsid w:val="004B1D2E"/>
    <w:rsid w:val="004B1E82"/>
    <w:rsid w:val="004B1F46"/>
    <w:rsid w:val="004B24A5"/>
    <w:rsid w:val="004B268B"/>
    <w:rsid w:val="004B2AFF"/>
    <w:rsid w:val="004B300D"/>
    <w:rsid w:val="004B3884"/>
    <w:rsid w:val="004B4628"/>
    <w:rsid w:val="004B49AE"/>
    <w:rsid w:val="004B4DCA"/>
    <w:rsid w:val="004B50E4"/>
    <w:rsid w:val="004B5491"/>
    <w:rsid w:val="004B68CA"/>
    <w:rsid w:val="004B7E72"/>
    <w:rsid w:val="004C04DA"/>
    <w:rsid w:val="004C12AE"/>
    <w:rsid w:val="004C29F9"/>
    <w:rsid w:val="004C2EEC"/>
    <w:rsid w:val="004C321C"/>
    <w:rsid w:val="004C338D"/>
    <w:rsid w:val="004C3AA2"/>
    <w:rsid w:val="004C4C20"/>
    <w:rsid w:val="004C4EA8"/>
    <w:rsid w:val="004C51E7"/>
    <w:rsid w:val="004C5938"/>
    <w:rsid w:val="004C5960"/>
    <w:rsid w:val="004C5977"/>
    <w:rsid w:val="004C5D71"/>
    <w:rsid w:val="004C647F"/>
    <w:rsid w:val="004C65CF"/>
    <w:rsid w:val="004C6BDB"/>
    <w:rsid w:val="004C7048"/>
    <w:rsid w:val="004C7577"/>
    <w:rsid w:val="004C7F56"/>
    <w:rsid w:val="004D021A"/>
    <w:rsid w:val="004D1128"/>
    <w:rsid w:val="004D1155"/>
    <w:rsid w:val="004D15C4"/>
    <w:rsid w:val="004D1923"/>
    <w:rsid w:val="004D1F0C"/>
    <w:rsid w:val="004D2CDE"/>
    <w:rsid w:val="004D317E"/>
    <w:rsid w:val="004D327C"/>
    <w:rsid w:val="004D3EA0"/>
    <w:rsid w:val="004D4214"/>
    <w:rsid w:val="004D45ED"/>
    <w:rsid w:val="004D47C9"/>
    <w:rsid w:val="004D50D7"/>
    <w:rsid w:val="004D5451"/>
    <w:rsid w:val="004D5E34"/>
    <w:rsid w:val="004D6A4A"/>
    <w:rsid w:val="004D6BD0"/>
    <w:rsid w:val="004D7385"/>
    <w:rsid w:val="004D7623"/>
    <w:rsid w:val="004D7796"/>
    <w:rsid w:val="004D7CE3"/>
    <w:rsid w:val="004D7F94"/>
    <w:rsid w:val="004E0A17"/>
    <w:rsid w:val="004E1DFF"/>
    <w:rsid w:val="004E2586"/>
    <w:rsid w:val="004E2828"/>
    <w:rsid w:val="004E346B"/>
    <w:rsid w:val="004E361A"/>
    <w:rsid w:val="004E36F1"/>
    <w:rsid w:val="004E46AF"/>
    <w:rsid w:val="004E48E0"/>
    <w:rsid w:val="004E4B10"/>
    <w:rsid w:val="004E51D2"/>
    <w:rsid w:val="004E59F7"/>
    <w:rsid w:val="004E5B94"/>
    <w:rsid w:val="004E61B1"/>
    <w:rsid w:val="004E627F"/>
    <w:rsid w:val="004E647C"/>
    <w:rsid w:val="004E6A51"/>
    <w:rsid w:val="004E6AB0"/>
    <w:rsid w:val="004E7363"/>
    <w:rsid w:val="004E7A65"/>
    <w:rsid w:val="004F039B"/>
    <w:rsid w:val="004F0D68"/>
    <w:rsid w:val="004F10CB"/>
    <w:rsid w:val="004F127E"/>
    <w:rsid w:val="004F139A"/>
    <w:rsid w:val="004F1725"/>
    <w:rsid w:val="004F1BEC"/>
    <w:rsid w:val="004F1EA0"/>
    <w:rsid w:val="004F26E3"/>
    <w:rsid w:val="004F26F0"/>
    <w:rsid w:val="004F3310"/>
    <w:rsid w:val="004F3D93"/>
    <w:rsid w:val="004F43A9"/>
    <w:rsid w:val="004F6A9C"/>
    <w:rsid w:val="004F7124"/>
    <w:rsid w:val="004F7238"/>
    <w:rsid w:val="004F7573"/>
    <w:rsid w:val="004F79BB"/>
    <w:rsid w:val="004F7B34"/>
    <w:rsid w:val="004F7CC5"/>
    <w:rsid w:val="005000A5"/>
    <w:rsid w:val="00500100"/>
    <w:rsid w:val="00500315"/>
    <w:rsid w:val="005014D6"/>
    <w:rsid w:val="005016BA"/>
    <w:rsid w:val="00501E30"/>
    <w:rsid w:val="00502674"/>
    <w:rsid w:val="00502CF7"/>
    <w:rsid w:val="00502F82"/>
    <w:rsid w:val="0050310F"/>
    <w:rsid w:val="005041F9"/>
    <w:rsid w:val="00504EC8"/>
    <w:rsid w:val="00504FA5"/>
    <w:rsid w:val="0050524B"/>
    <w:rsid w:val="00505A4C"/>
    <w:rsid w:val="005060F4"/>
    <w:rsid w:val="0050625F"/>
    <w:rsid w:val="00506A05"/>
    <w:rsid w:val="00506EC6"/>
    <w:rsid w:val="00507513"/>
    <w:rsid w:val="005078D4"/>
    <w:rsid w:val="00507F62"/>
    <w:rsid w:val="005106BB"/>
    <w:rsid w:val="00510962"/>
    <w:rsid w:val="00511D8D"/>
    <w:rsid w:val="00512408"/>
    <w:rsid w:val="00512D60"/>
    <w:rsid w:val="00512E29"/>
    <w:rsid w:val="00514765"/>
    <w:rsid w:val="005150F0"/>
    <w:rsid w:val="00515E11"/>
    <w:rsid w:val="00515F51"/>
    <w:rsid w:val="00516C4B"/>
    <w:rsid w:val="00517930"/>
    <w:rsid w:val="005201A3"/>
    <w:rsid w:val="005202DF"/>
    <w:rsid w:val="0052134B"/>
    <w:rsid w:val="005219C2"/>
    <w:rsid w:val="00521E2E"/>
    <w:rsid w:val="00522091"/>
    <w:rsid w:val="00522158"/>
    <w:rsid w:val="00522DCF"/>
    <w:rsid w:val="00523100"/>
    <w:rsid w:val="0052352F"/>
    <w:rsid w:val="00523794"/>
    <w:rsid w:val="0052474C"/>
    <w:rsid w:val="00524FAB"/>
    <w:rsid w:val="00525751"/>
    <w:rsid w:val="0052576C"/>
    <w:rsid w:val="00525CBD"/>
    <w:rsid w:val="00525E2C"/>
    <w:rsid w:val="00526613"/>
    <w:rsid w:val="00526D9F"/>
    <w:rsid w:val="0053062A"/>
    <w:rsid w:val="00530CDE"/>
    <w:rsid w:val="005312F2"/>
    <w:rsid w:val="00531658"/>
    <w:rsid w:val="005318ED"/>
    <w:rsid w:val="00531C03"/>
    <w:rsid w:val="00531EC1"/>
    <w:rsid w:val="00532485"/>
    <w:rsid w:val="00532911"/>
    <w:rsid w:val="005330DF"/>
    <w:rsid w:val="00533751"/>
    <w:rsid w:val="00533D88"/>
    <w:rsid w:val="0053475C"/>
    <w:rsid w:val="0053526B"/>
    <w:rsid w:val="00535898"/>
    <w:rsid w:val="005363AD"/>
    <w:rsid w:val="00536401"/>
    <w:rsid w:val="00536DFD"/>
    <w:rsid w:val="00536FE3"/>
    <w:rsid w:val="00537395"/>
    <w:rsid w:val="005374F5"/>
    <w:rsid w:val="00537856"/>
    <w:rsid w:val="00537A83"/>
    <w:rsid w:val="00537D0D"/>
    <w:rsid w:val="00540386"/>
    <w:rsid w:val="005405ED"/>
    <w:rsid w:val="00540E23"/>
    <w:rsid w:val="0054162E"/>
    <w:rsid w:val="005420D9"/>
    <w:rsid w:val="005423B4"/>
    <w:rsid w:val="005435BE"/>
    <w:rsid w:val="0054426A"/>
    <w:rsid w:val="0054427B"/>
    <w:rsid w:val="005447EE"/>
    <w:rsid w:val="0054498D"/>
    <w:rsid w:val="00544A32"/>
    <w:rsid w:val="005454FF"/>
    <w:rsid w:val="00545BC0"/>
    <w:rsid w:val="00545CE7"/>
    <w:rsid w:val="00545EDF"/>
    <w:rsid w:val="00545F5C"/>
    <w:rsid w:val="005461E1"/>
    <w:rsid w:val="0054654B"/>
    <w:rsid w:val="00546978"/>
    <w:rsid w:val="0054734F"/>
    <w:rsid w:val="005475E3"/>
    <w:rsid w:val="005479B7"/>
    <w:rsid w:val="00547F30"/>
    <w:rsid w:val="005508A0"/>
    <w:rsid w:val="00550ED3"/>
    <w:rsid w:val="005514E2"/>
    <w:rsid w:val="0055177F"/>
    <w:rsid w:val="005518A9"/>
    <w:rsid w:val="0055196D"/>
    <w:rsid w:val="00553673"/>
    <w:rsid w:val="005538A6"/>
    <w:rsid w:val="0055510E"/>
    <w:rsid w:val="005554BC"/>
    <w:rsid w:val="00555EBB"/>
    <w:rsid w:val="005573DA"/>
    <w:rsid w:val="005577EF"/>
    <w:rsid w:val="005600F9"/>
    <w:rsid w:val="0056012C"/>
    <w:rsid w:val="00560132"/>
    <w:rsid w:val="0056039B"/>
    <w:rsid w:val="005606D7"/>
    <w:rsid w:val="005607B3"/>
    <w:rsid w:val="00560B50"/>
    <w:rsid w:val="00561A4F"/>
    <w:rsid w:val="00561C39"/>
    <w:rsid w:val="00561CEC"/>
    <w:rsid w:val="00561F86"/>
    <w:rsid w:val="00562362"/>
    <w:rsid w:val="0056244A"/>
    <w:rsid w:val="00562D59"/>
    <w:rsid w:val="00562D9A"/>
    <w:rsid w:val="00563652"/>
    <w:rsid w:val="00563734"/>
    <w:rsid w:val="00563DCE"/>
    <w:rsid w:val="005641AC"/>
    <w:rsid w:val="0056422A"/>
    <w:rsid w:val="005648AB"/>
    <w:rsid w:val="00564B24"/>
    <w:rsid w:val="00564E73"/>
    <w:rsid w:val="00564F21"/>
    <w:rsid w:val="00565491"/>
    <w:rsid w:val="0056551F"/>
    <w:rsid w:val="00565DB3"/>
    <w:rsid w:val="005661B9"/>
    <w:rsid w:val="00566239"/>
    <w:rsid w:val="00566F61"/>
    <w:rsid w:val="005674D8"/>
    <w:rsid w:val="00567800"/>
    <w:rsid w:val="00570149"/>
    <w:rsid w:val="005701CA"/>
    <w:rsid w:val="005704FE"/>
    <w:rsid w:val="00570E3A"/>
    <w:rsid w:val="005736AA"/>
    <w:rsid w:val="0057502A"/>
    <w:rsid w:val="00575049"/>
    <w:rsid w:val="00575349"/>
    <w:rsid w:val="00575A1F"/>
    <w:rsid w:val="00576E3E"/>
    <w:rsid w:val="005770D2"/>
    <w:rsid w:val="00580D17"/>
    <w:rsid w:val="00580FA6"/>
    <w:rsid w:val="005812E0"/>
    <w:rsid w:val="0058160F"/>
    <w:rsid w:val="00582FE8"/>
    <w:rsid w:val="005831A5"/>
    <w:rsid w:val="0058351D"/>
    <w:rsid w:val="00583623"/>
    <w:rsid w:val="005836B4"/>
    <w:rsid w:val="00583B6E"/>
    <w:rsid w:val="0058425C"/>
    <w:rsid w:val="005843E9"/>
    <w:rsid w:val="00584F2D"/>
    <w:rsid w:val="0058531C"/>
    <w:rsid w:val="005857DA"/>
    <w:rsid w:val="00585D7E"/>
    <w:rsid w:val="00586279"/>
    <w:rsid w:val="005871DE"/>
    <w:rsid w:val="0058797B"/>
    <w:rsid w:val="00590CF3"/>
    <w:rsid w:val="00590D4B"/>
    <w:rsid w:val="0059126A"/>
    <w:rsid w:val="00591300"/>
    <w:rsid w:val="0059155B"/>
    <w:rsid w:val="00591DAC"/>
    <w:rsid w:val="00592906"/>
    <w:rsid w:val="005939A3"/>
    <w:rsid w:val="005945A4"/>
    <w:rsid w:val="005954FA"/>
    <w:rsid w:val="0059556E"/>
    <w:rsid w:val="0059575D"/>
    <w:rsid w:val="005962F2"/>
    <w:rsid w:val="00596C31"/>
    <w:rsid w:val="005979F7"/>
    <w:rsid w:val="00597C08"/>
    <w:rsid w:val="00597C71"/>
    <w:rsid w:val="005A0159"/>
    <w:rsid w:val="005A0470"/>
    <w:rsid w:val="005A0F30"/>
    <w:rsid w:val="005A13C3"/>
    <w:rsid w:val="005A156C"/>
    <w:rsid w:val="005A227B"/>
    <w:rsid w:val="005A2C79"/>
    <w:rsid w:val="005A2C95"/>
    <w:rsid w:val="005A3124"/>
    <w:rsid w:val="005A34FE"/>
    <w:rsid w:val="005A3B0A"/>
    <w:rsid w:val="005A3D8E"/>
    <w:rsid w:val="005A4489"/>
    <w:rsid w:val="005A4824"/>
    <w:rsid w:val="005A4A67"/>
    <w:rsid w:val="005A4D22"/>
    <w:rsid w:val="005A5ACE"/>
    <w:rsid w:val="005A5D18"/>
    <w:rsid w:val="005A70C9"/>
    <w:rsid w:val="005A70D5"/>
    <w:rsid w:val="005A7600"/>
    <w:rsid w:val="005A7990"/>
    <w:rsid w:val="005A7BB3"/>
    <w:rsid w:val="005A7D7B"/>
    <w:rsid w:val="005A7F25"/>
    <w:rsid w:val="005B0016"/>
    <w:rsid w:val="005B0023"/>
    <w:rsid w:val="005B083D"/>
    <w:rsid w:val="005B0897"/>
    <w:rsid w:val="005B0C61"/>
    <w:rsid w:val="005B0CC4"/>
    <w:rsid w:val="005B0CCD"/>
    <w:rsid w:val="005B1077"/>
    <w:rsid w:val="005B1C1E"/>
    <w:rsid w:val="005B1E15"/>
    <w:rsid w:val="005B22DB"/>
    <w:rsid w:val="005B265A"/>
    <w:rsid w:val="005B27DE"/>
    <w:rsid w:val="005B2A79"/>
    <w:rsid w:val="005B2C43"/>
    <w:rsid w:val="005B35BE"/>
    <w:rsid w:val="005B36F9"/>
    <w:rsid w:val="005B384E"/>
    <w:rsid w:val="005B3C86"/>
    <w:rsid w:val="005B4B5E"/>
    <w:rsid w:val="005B6C1D"/>
    <w:rsid w:val="005B74B6"/>
    <w:rsid w:val="005B78EE"/>
    <w:rsid w:val="005B7955"/>
    <w:rsid w:val="005B7968"/>
    <w:rsid w:val="005C038E"/>
    <w:rsid w:val="005C0AF6"/>
    <w:rsid w:val="005C0C70"/>
    <w:rsid w:val="005C0D36"/>
    <w:rsid w:val="005C0D72"/>
    <w:rsid w:val="005C1E2A"/>
    <w:rsid w:val="005C2139"/>
    <w:rsid w:val="005C2456"/>
    <w:rsid w:val="005C2AF9"/>
    <w:rsid w:val="005C2CF0"/>
    <w:rsid w:val="005C2EA8"/>
    <w:rsid w:val="005C4B4F"/>
    <w:rsid w:val="005C5B1A"/>
    <w:rsid w:val="005C5DB7"/>
    <w:rsid w:val="005C616B"/>
    <w:rsid w:val="005C63EC"/>
    <w:rsid w:val="005C63F3"/>
    <w:rsid w:val="005C687D"/>
    <w:rsid w:val="005C6D2D"/>
    <w:rsid w:val="005C6E03"/>
    <w:rsid w:val="005D039E"/>
    <w:rsid w:val="005D0D0A"/>
    <w:rsid w:val="005D0FBC"/>
    <w:rsid w:val="005D1042"/>
    <w:rsid w:val="005D1171"/>
    <w:rsid w:val="005D1252"/>
    <w:rsid w:val="005D1811"/>
    <w:rsid w:val="005D200F"/>
    <w:rsid w:val="005D23BA"/>
    <w:rsid w:val="005D268B"/>
    <w:rsid w:val="005D35A8"/>
    <w:rsid w:val="005D3804"/>
    <w:rsid w:val="005D3E84"/>
    <w:rsid w:val="005D422D"/>
    <w:rsid w:val="005D42A4"/>
    <w:rsid w:val="005D46D5"/>
    <w:rsid w:val="005D5FAF"/>
    <w:rsid w:val="005D603A"/>
    <w:rsid w:val="005D61A6"/>
    <w:rsid w:val="005D6594"/>
    <w:rsid w:val="005D676C"/>
    <w:rsid w:val="005D6D23"/>
    <w:rsid w:val="005D7C9B"/>
    <w:rsid w:val="005E0252"/>
    <w:rsid w:val="005E0E40"/>
    <w:rsid w:val="005E1F27"/>
    <w:rsid w:val="005E1FF9"/>
    <w:rsid w:val="005E2364"/>
    <w:rsid w:val="005E2651"/>
    <w:rsid w:val="005E29F7"/>
    <w:rsid w:val="005E3815"/>
    <w:rsid w:val="005E3C1B"/>
    <w:rsid w:val="005E4522"/>
    <w:rsid w:val="005E4581"/>
    <w:rsid w:val="005E4C95"/>
    <w:rsid w:val="005E4EFB"/>
    <w:rsid w:val="005E4F8A"/>
    <w:rsid w:val="005E5080"/>
    <w:rsid w:val="005E5201"/>
    <w:rsid w:val="005E5B0C"/>
    <w:rsid w:val="005E5C35"/>
    <w:rsid w:val="005E64F2"/>
    <w:rsid w:val="005E65B8"/>
    <w:rsid w:val="005E66B1"/>
    <w:rsid w:val="005E676D"/>
    <w:rsid w:val="005E6A02"/>
    <w:rsid w:val="005E6E71"/>
    <w:rsid w:val="005E6E8C"/>
    <w:rsid w:val="005E72FC"/>
    <w:rsid w:val="005E75EF"/>
    <w:rsid w:val="005E77D6"/>
    <w:rsid w:val="005F025C"/>
    <w:rsid w:val="005F0809"/>
    <w:rsid w:val="005F0A9E"/>
    <w:rsid w:val="005F0AA6"/>
    <w:rsid w:val="005F0C02"/>
    <w:rsid w:val="005F0ED0"/>
    <w:rsid w:val="005F0F25"/>
    <w:rsid w:val="005F0FAA"/>
    <w:rsid w:val="005F0FBC"/>
    <w:rsid w:val="005F185D"/>
    <w:rsid w:val="005F18D6"/>
    <w:rsid w:val="005F1E25"/>
    <w:rsid w:val="005F20CE"/>
    <w:rsid w:val="005F22DA"/>
    <w:rsid w:val="005F2379"/>
    <w:rsid w:val="005F30A8"/>
    <w:rsid w:val="005F320B"/>
    <w:rsid w:val="005F3955"/>
    <w:rsid w:val="005F3C54"/>
    <w:rsid w:val="005F3D55"/>
    <w:rsid w:val="005F4323"/>
    <w:rsid w:val="005F4A3A"/>
    <w:rsid w:val="005F4B1D"/>
    <w:rsid w:val="005F5BAC"/>
    <w:rsid w:val="005F5C68"/>
    <w:rsid w:val="005F5E5B"/>
    <w:rsid w:val="005F6C0C"/>
    <w:rsid w:val="005F7268"/>
    <w:rsid w:val="005F73DD"/>
    <w:rsid w:val="005F75FB"/>
    <w:rsid w:val="006006F6"/>
    <w:rsid w:val="006007A0"/>
    <w:rsid w:val="00600E31"/>
    <w:rsid w:val="00600E4D"/>
    <w:rsid w:val="00602665"/>
    <w:rsid w:val="00603432"/>
    <w:rsid w:val="00604C63"/>
    <w:rsid w:val="006051D9"/>
    <w:rsid w:val="006055E0"/>
    <w:rsid w:val="00605E1F"/>
    <w:rsid w:val="00605FEF"/>
    <w:rsid w:val="00606296"/>
    <w:rsid w:val="00606A03"/>
    <w:rsid w:val="00606A0F"/>
    <w:rsid w:val="00606B4E"/>
    <w:rsid w:val="00606B90"/>
    <w:rsid w:val="00607983"/>
    <w:rsid w:val="00610396"/>
    <w:rsid w:val="00610611"/>
    <w:rsid w:val="00610D2B"/>
    <w:rsid w:val="00610F9E"/>
    <w:rsid w:val="0061285E"/>
    <w:rsid w:val="00612A1C"/>
    <w:rsid w:val="006136F4"/>
    <w:rsid w:val="006136FC"/>
    <w:rsid w:val="00613F1C"/>
    <w:rsid w:val="00614061"/>
    <w:rsid w:val="006144C5"/>
    <w:rsid w:val="00614ACF"/>
    <w:rsid w:val="00614D30"/>
    <w:rsid w:val="00614DD3"/>
    <w:rsid w:val="00615291"/>
    <w:rsid w:val="006158C1"/>
    <w:rsid w:val="00615D2B"/>
    <w:rsid w:val="00616000"/>
    <w:rsid w:val="006160CF"/>
    <w:rsid w:val="006163CD"/>
    <w:rsid w:val="00616B11"/>
    <w:rsid w:val="00617FA8"/>
    <w:rsid w:val="006217DF"/>
    <w:rsid w:val="00621D97"/>
    <w:rsid w:val="00621F81"/>
    <w:rsid w:val="00623045"/>
    <w:rsid w:val="00623633"/>
    <w:rsid w:val="00623F23"/>
    <w:rsid w:val="00624558"/>
    <w:rsid w:val="00624C75"/>
    <w:rsid w:val="00624F7E"/>
    <w:rsid w:val="00625DCC"/>
    <w:rsid w:val="006262A8"/>
    <w:rsid w:val="0062674A"/>
    <w:rsid w:val="00626EC3"/>
    <w:rsid w:val="006270DE"/>
    <w:rsid w:val="006279FF"/>
    <w:rsid w:val="00627BC7"/>
    <w:rsid w:val="006300F5"/>
    <w:rsid w:val="0063121F"/>
    <w:rsid w:val="00631456"/>
    <w:rsid w:val="00633539"/>
    <w:rsid w:val="00633749"/>
    <w:rsid w:val="006337F1"/>
    <w:rsid w:val="0063380B"/>
    <w:rsid w:val="00633EEB"/>
    <w:rsid w:val="00634253"/>
    <w:rsid w:val="00634364"/>
    <w:rsid w:val="00634798"/>
    <w:rsid w:val="006347F3"/>
    <w:rsid w:val="00634E07"/>
    <w:rsid w:val="00634E5A"/>
    <w:rsid w:val="006351A4"/>
    <w:rsid w:val="00635474"/>
    <w:rsid w:val="006359BF"/>
    <w:rsid w:val="00635A70"/>
    <w:rsid w:val="00635B8C"/>
    <w:rsid w:val="00635F57"/>
    <w:rsid w:val="00636219"/>
    <w:rsid w:val="00636906"/>
    <w:rsid w:val="006376ED"/>
    <w:rsid w:val="0063797D"/>
    <w:rsid w:val="00637D3F"/>
    <w:rsid w:val="00637E93"/>
    <w:rsid w:val="0064007B"/>
    <w:rsid w:val="00640A73"/>
    <w:rsid w:val="00641331"/>
    <w:rsid w:val="00641509"/>
    <w:rsid w:val="00641665"/>
    <w:rsid w:val="00642040"/>
    <w:rsid w:val="00642B75"/>
    <w:rsid w:val="00642C04"/>
    <w:rsid w:val="00642C58"/>
    <w:rsid w:val="00642FAD"/>
    <w:rsid w:val="0064323E"/>
    <w:rsid w:val="006438F5"/>
    <w:rsid w:val="00643C5D"/>
    <w:rsid w:val="00644C9C"/>
    <w:rsid w:val="00645C6F"/>
    <w:rsid w:val="00646551"/>
    <w:rsid w:val="00647068"/>
    <w:rsid w:val="0064782E"/>
    <w:rsid w:val="00650096"/>
    <w:rsid w:val="0065066B"/>
    <w:rsid w:val="0065093A"/>
    <w:rsid w:val="00650BC0"/>
    <w:rsid w:val="00650D31"/>
    <w:rsid w:val="0065133F"/>
    <w:rsid w:val="00651607"/>
    <w:rsid w:val="00651716"/>
    <w:rsid w:val="00651FAB"/>
    <w:rsid w:val="006520ED"/>
    <w:rsid w:val="006522D2"/>
    <w:rsid w:val="00652EF5"/>
    <w:rsid w:val="006540C9"/>
    <w:rsid w:val="00654567"/>
    <w:rsid w:val="00654894"/>
    <w:rsid w:val="006549C2"/>
    <w:rsid w:val="00654A12"/>
    <w:rsid w:val="00654E32"/>
    <w:rsid w:val="006551C8"/>
    <w:rsid w:val="006552AF"/>
    <w:rsid w:val="00655374"/>
    <w:rsid w:val="006554B7"/>
    <w:rsid w:val="006555A3"/>
    <w:rsid w:val="00655A75"/>
    <w:rsid w:val="00655EF8"/>
    <w:rsid w:val="00655F87"/>
    <w:rsid w:val="006569BA"/>
    <w:rsid w:val="00656D24"/>
    <w:rsid w:val="006570B7"/>
    <w:rsid w:val="006575A4"/>
    <w:rsid w:val="00657AD5"/>
    <w:rsid w:val="00657EC2"/>
    <w:rsid w:val="006602DA"/>
    <w:rsid w:val="006610E5"/>
    <w:rsid w:val="00661271"/>
    <w:rsid w:val="006613C5"/>
    <w:rsid w:val="006616D9"/>
    <w:rsid w:val="00661EC0"/>
    <w:rsid w:val="00662A96"/>
    <w:rsid w:val="00662CEF"/>
    <w:rsid w:val="00663000"/>
    <w:rsid w:val="00663DA7"/>
    <w:rsid w:val="00663E31"/>
    <w:rsid w:val="00663E94"/>
    <w:rsid w:val="006641CC"/>
    <w:rsid w:val="006645E3"/>
    <w:rsid w:val="00665A6A"/>
    <w:rsid w:val="00665AA2"/>
    <w:rsid w:val="0066709C"/>
    <w:rsid w:val="00667610"/>
    <w:rsid w:val="00667A94"/>
    <w:rsid w:val="0067021F"/>
    <w:rsid w:val="00670617"/>
    <w:rsid w:val="00670977"/>
    <w:rsid w:val="00670979"/>
    <w:rsid w:val="00670B76"/>
    <w:rsid w:val="00670C7B"/>
    <w:rsid w:val="00671BBC"/>
    <w:rsid w:val="00671EB0"/>
    <w:rsid w:val="00672082"/>
    <w:rsid w:val="006721E1"/>
    <w:rsid w:val="00672BD7"/>
    <w:rsid w:val="006732C7"/>
    <w:rsid w:val="0067369B"/>
    <w:rsid w:val="006738E8"/>
    <w:rsid w:val="00673CD5"/>
    <w:rsid w:val="00673ED7"/>
    <w:rsid w:val="0067515A"/>
    <w:rsid w:val="006751FC"/>
    <w:rsid w:val="00675895"/>
    <w:rsid w:val="006759AF"/>
    <w:rsid w:val="00675E9A"/>
    <w:rsid w:val="0067601C"/>
    <w:rsid w:val="006761D8"/>
    <w:rsid w:val="00676492"/>
    <w:rsid w:val="006764DC"/>
    <w:rsid w:val="0067653B"/>
    <w:rsid w:val="00676584"/>
    <w:rsid w:val="0067658F"/>
    <w:rsid w:val="006765A4"/>
    <w:rsid w:val="00676823"/>
    <w:rsid w:val="00676A5E"/>
    <w:rsid w:val="00676C3A"/>
    <w:rsid w:val="00676C8D"/>
    <w:rsid w:val="0067717E"/>
    <w:rsid w:val="006776ED"/>
    <w:rsid w:val="00677A1C"/>
    <w:rsid w:val="00677D20"/>
    <w:rsid w:val="0068006E"/>
    <w:rsid w:val="00680C7E"/>
    <w:rsid w:val="006826E6"/>
    <w:rsid w:val="0068292D"/>
    <w:rsid w:val="00682A19"/>
    <w:rsid w:val="00682F41"/>
    <w:rsid w:val="006830C1"/>
    <w:rsid w:val="006835E8"/>
    <w:rsid w:val="00684056"/>
    <w:rsid w:val="006843F9"/>
    <w:rsid w:val="00684BD3"/>
    <w:rsid w:val="006862B8"/>
    <w:rsid w:val="00687E40"/>
    <w:rsid w:val="006903D6"/>
    <w:rsid w:val="00690B0F"/>
    <w:rsid w:val="0069156F"/>
    <w:rsid w:val="00692226"/>
    <w:rsid w:val="00692297"/>
    <w:rsid w:val="0069247E"/>
    <w:rsid w:val="006926E6"/>
    <w:rsid w:val="0069309C"/>
    <w:rsid w:val="00693982"/>
    <w:rsid w:val="00694303"/>
    <w:rsid w:val="006943B3"/>
    <w:rsid w:val="006948D6"/>
    <w:rsid w:val="00694A02"/>
    <w:rsid w:val="00694FB6"/>
    <w:rsid w:val="00695418"/>
    <w:rsid w:val="006968B0"/>
    <w:rsid w:val="00696EE6"/>
    <w:rsid w:val="00697172"/>
    <w:rsid w:val="00697F2C"/>
    <w:rsid w:val="006A0378"/>
    <w:rsid w:val="006A03E5"/>
    <w:rsid w:val="006A0C29"/>
    <w:rsid w:val="006A0EB6"/>
    <w:rsid w:val="006A0F7A"/>
    <w:rsid w:val="006A20A0"/>
    <w:rsid w:val="006A31BA"/>
    <w:rsid w:val="006A33DE"/>
    <w:rsid w:val="006A41AA"/>
    <w:rsid w:val="006A4417"/>
    <w:rsid w:val="006A45CE"/>
    <w:rsid w:val="006A4D6E"/>
    <w:rsid w:val="006A514E"/>
    <w:rsid w:val="006A5EC2"/>
    <w:rsid w:val="006A5FAF"/>
    <w:rsid w:val="006A7394"/>
    <w:rsid w:val="006A7A64"/>
    <w:rsid w:val="006A7B0A"/>
    <w:rsid w:val="006A7FDE"/>
    <w:rsid w:val="006B02CB"/>
    <w:rsid w:val="006B0DB3"/>
    <w:rsid w:val="006B0F62"/>
    <w:rsid w:val="006B0FC0"/>
    <w:rsid w:val="006B14BB"/>
    <w:rsid w:val="006B18A2"/>
    <w:rsid w:val="006B2509"/>
    <w:rsid w:val="006B2BD9"/>
    <w:rsid w:val="006B2E67"/>
    <w:rsid w:val="006B31F1"/>
    <w:rsid w:val="006B32D3"/>
    <w:rsid w:val="006B3AAB"/>
    <w:rsid w:val="006B3B25"/>
    <w:rsid w:val="006B3FB1"/>
    <w:rsid w:val="006B477C"/>
    <w:rsid w:val="006B4E48"/>
    <w:rsid w:val="006B5074"/>
    <w:rsid w:val="006B585F"/>
    <w:rsid w:val="006B5D28"/>
    <w:rsid w:val="006B5E6B"/>
    <w:rsid w:val="006B68D9"/>
    <w:rsid w:val="006B6E59"/>
    <w:rsid w:val="006B7697"/>
    <w:rsid w:val="006B7994"/>
    <w:rsid w:val="006C04F6"/>
    <w:rsid w:val="006C051A"/>
    <w:rsid w:val="006C06C8"/>
    <w:rsid w:val="006C1381"/>
    <w:rsid w:val="006C152C"/>
    <w:rsid w:val="006C1D4A"/>
    <w:rsid w:val="006C1F2D"/>
    <w:rsid w:val="006C2EE1"/>
    <w:rsid w:val="006C2FEA"/>
    <w:rsid w:val="006C39F2"/>
    <w:rsid w:val="006C3B5E"/>
    <w:rsid w:val="006C3E65"/>
    <w:rsid w:val="006C47C3"/>
    <w:rsid w:val="006C49A3"/>
    <w:rsid w:val="006C4CC8"/>
    <w:rsid w:val="006C4E63"/>
    <w:rsid w:val="006C4E80"/>
    <w:rsid w:val="006C5444"/>
    <w:rsid w:val="006C6097"/>
    <w:rsid w:val="006C62B2"/>
    <w:rsid w:val="006C64D6"/>
    <w:rsid w:val="006C654A"/>
    <w:rsid w:val="006C675A"/>
    <w:rsid w:val="006C6972"/>
    <w:rsid w:val="006C6EFE"/>
    <w:rsid w:val="006C7C0E"/>
    <w:rsid w:val="006C7C21"/>
    <w:rsid w:val="006D0E13"/>
    <w:rsid w:val="006D0FCB"/>
    <w:rsid w:val="006D18F5"/>
    <w:rsid w:val="006D2408"/>
    <w:rsid w:val="006D27BA"/>
    <w:rsid w:val="006D3806"/>
    <w:rsid w:val="006D3D45"/>
    <w:rsid w:val="006D3E3C"/>
    <w:rsid w:val="006D435A"/>
    <w:rsid w:val="006D4416"/>
    <w:rsid w:val="006D4C22"/>
    <w:rsid w:val="006D5781"/>
    <w:rsid w:val="006D59CB"/>
    <w:rsid w:val="006D6189"/>
    <w:rsid w:val="006D62C4"/>
    <w:rsid w:val="006D704D"/>
    <w:rsid w:val="006D7263"/>
    <w:rsid w:val="006D72D6"/>
    <w:rsid w:val="006D72E7"/>
    <w:rsid w:val="006E0CD7"/>
    <w:rsid w:val="006E1597"/>
    <w:rsid w:val="006E25AC"/>
    <w:rsid w:val="006E28DD"/>
    <w:rsid w:val="006E3510"/>
    <w:rsid w:val="006E3C57"/>
    <w:rsid w:val="006E42A8"/>
    <w:rsid w:val="006E440D"/>
    <w:rsid w:val="006E4678"/>
    <w:rsid w:val="006E469C"/>
    <w:rsid w:val="006E5223"/>
    <w:rsid w:val="006E55B8"/>
    <w:rsid w:val="006E5922"/>
    <w:rsid w:val="006E5C82"/>
    <w:rsid w:val="006E657D"/>
    <w:rsid w:val="006E6CBC"/>
    <w:rsid w:val="006E6F98"/>
    <w:rsid w:val="006E7F30"/>
    <w:rsid w:val="006F0A2E"/>
    <w:rsid w:val="006F1011"/>
    <w:rsid w:val="006F10E4"/>
    <w:rsid w:val="006F3462"/>
    <w:rsid w:val="006F37F2"/>
    <w:rsid w:val="006F3F8F"/>
    <w:rsid w:val="006F40A1"/>
    <w:rsid w:val="006F4D51"/>
    <w:rsid w:val="006F50AF"/>
    <w:rsid w:val="006F51A0"/>
    <w:rsid w:val="006F5CB8"/>
    <w:rsid w:val="006F5FBB"/>
    <w:rsid w:val="006F6416"/>
    <w:rsid w:val="006F6553"/>
    <w:rsid w:val="006F6C3C"/>
    <w:rsid w:val="006F7E03"/>
    <w:rsid w:val="007001E9"/>
    <w:rsid w:val="00700273"/>
    <w:rsid w:val="00700B5E"/>
    <w:rsid w:val="00700C31"/>
    <w:rsid w:val="0070112E"/>
    <w:rsid w:val="007014FF"/>
    <w:rsid w:val="00701B38"/>
    <w:rsid w:val="00701D00"/>
    <w:rsid w:val="00702237"/>
    <w:rsid w:val="00704FB2"/>
    <w:rsid w:val="00705989"/>
    <w:rsid w:val="00705A88"/>
    <w:rsid w:val="00706DB4"/>
    <w:rsid w:val="00710AE8"/>
    <w:rsid w:val="00710D28"/>
    <w:rsid w:val="00711140"/>
    <w:rsid w:val="0071123F"/>
    <w:rsid w:val="00711E70"/>
    <w:rsid w:val="00712F80"/>
    <w:rsid w:val="00713635"/>
    <w:rsid w:val="00713B6C"/>
    <w:rsid w:val="00713DB7"/>
    <w:rsid w:val="00713FB6"/>
    <w:rsid w:val="00714605"/>
    <w:rsid w:val="0071511B"/>
    <w:rsid w:val="00715276"/>
    <w:rsid w:val="00715AE9"/>
    <w:rsid w:val="00716890"/>
    <w:rsid w:val="00716B63"/>
    <w:rsid w:val="0071727B"/>
    <w:rsid w:val="0071734E"/>
    <w:rsid w:val="00717369"/>
    <w:rsid w:val="00720775"/>
    <w:rsid w:val="00720D84"/>
    <w:rsid w:val="0072156C"/>
    <w:rsid w:val="00721BD9"/>
    <w:rsid w:val="00722848"/>
    <w:rsid w:val="007229F6"/>
    <w:rsid w:val="0072389C"/>
    <w:rsid w:val="007238E9"/>
    <w:rsid w:val="00723C8F"/>
    <w:rsid w:val="0072419D"/>
    <w:rsid w:val="0072427F"/>
    <w:rsid w:val="00724632"/>
    <w:rsid w:val="00724AC7"/>
    <w:rsid w:val="007259CF"/>
    <w:rsid w:val="0072603E"/>
    <w:rsid w:val="00726128"/>
    <w:rsid w:val="0072622F"/>
    <w:rsid w:val="00726486"/>
    <w:rsid w:val="0072652F"/>
    <w:rsid w:val="00726896"/>
    <w:rsid w:val="00726B0D"/>
    <w:rsid w:val="00726BA9"/>
    <w:rsid w:val="0072756C"/>
    <w:rsid w:val="00730458"/>
    <w:rsid w:val="00730E37"/>
    <w:rsid w:val="007310D9"/>
    <w:rsid w:val="0073212F"/>
    <w:rsid w:val="00732359"/>
    <w:rsid w:val="0073287A"/>
    <w:rsid w:val="00732FEE"/>
    <w:rsid w:val="00733943"/>
    <w:rsid w:val="007340E5"/>
    <w:rsid w:val="007343C9"/>
    <w:rsid w:val="00734659"/>
    <w:rsid w:val="00734718"/>
    <w:rsid w:val="00734C32"/>
    <w:rsid w:val="00734EE1"/>
    <w:rsid w:val="00735224"/>
    <w:rsid w:val="00735E4E"/>
    <w:rsid w:val="00735F36"/>
    <w:rsid w:val="0073766E"/>
    <w:rsid w:val="00737844"/>
    <w:rsid w:val="007379DC"/>
    <w:rsid w:val="00740431"/>
    <w:rsid w:val="007407F8"/>
    <w:rsid w:val="00740B17"/>
    <w:rsid w:val="0074179B"/>
    <w:rsid w:val="007418D6"/>
    <w:rsid w:val="0074240A"/>
    <w:rsid w:val="00742F04"/>
    <w:rsid w:val="007433D6"/>
    <w:rsid w:val="00743653"/>
    <w:rsid w:val="00743BE2"/>
    <w:rsid w:val="00743D35"/>
    <w:rsid w:val="007459F9"/>
    <w:rsid w:val="00746404"/>
    <w:rsid w:val="007467D2"/>
    <w:rsid w:val="00746B31"/>
    <w:rsid w:val="0074780B"/>
    <w:rsid w:val="00747D9E"/>
    <w:rsid w:val="007500AB"/>
    <w:rsid w:val="00750D45"/>
    <w:rsid w:val="00751457"/>
    <w:rsid w:val="00751493"/>
    <w:rsid w:val="007516F5"/>
    <w:rsid w:val="007525D4"/>
    <w:rsid w:val="007526E2"/>
    <w:rsid w:val="00752E32"/>
    <w:rsid w:val="0075347F"/>
    <w:rsid w:val="00753619"/>
    <w:rsid w:val="00753C1E"/>
    <w:rsid w:val="007548A1"/>
    <w:rsid w:val="00754CD2"/>
    <w:rsid w:val="0075598A"/>
    <w:rsid w:val="00755BCF"/>
    <w:rsid w:val="00755D57"/>
    <w:rsid w:val="00756652"/>
    <w:rsid w:val="007567D9"/>
    <w:rsid w:val="00756EAE"/>
    <w:rsid w:val="00757425"/>
    <w:rsid w:val="00757E44"/>
    <w:rsid w:val="007601EB"/>
    <w:rsid w:val="0076085E"/>
    <w:rsid w:val="00760ACC"/>
    <w:rsid w:val="00760B36"/>
    <w:rsid w:val="007614E1"/>
    <w:rsid w:val="00761DF3"/>
    <w:rsid w:val="00761E50"/>
    <w:rsid w:val="007627B0"/>
    <w:rsid w:val="007629B6"/>
    <w:rsid w:val="00762E91"/>
    <w:rsid w:val="0076343E"/>
    <w:rsid w:val="00763E6A"/>
    <w:rsid w:val="00764539"/>
    <w:rsid w:val="00764712"/>
    <w:rsid w:val="00764A2C"/>
    <w:rsid w:val="00764C2B"/>
    <w:rsid w:val="00764DD4"/>
    <w:rsid w:val="00765991"/>
    <w:rsid w:val="007660DA"/>
    <w:rsid w:val="0076614C"/>
    <w:rsid w:val="00766183"/>
    <w:rsid w:val="00766603"/>
    <w:rsid w:val="007670C5"/>
    <w:rsid w:val="00767491"/>
    <w:rsid w:val="00767B60"/>
    <w:rsid w:val="00767B61"/>
    <w:rsid w:val="00767DCC"/>
    <w:rsid w:val="00767F7A"/>
    <w:rsid w:val="007702AE"/>
    <w:rsid w:val="0077051C"/>
    <w:rsid w:val="00771EC4"/>
    <w:rsid w:val="00774037"/>
    <w:rsid w:val="0077410B"/>
    <w:rsid w:val="00774395"/>
    <w:rsid w:val="00774555"/>
    <w:rsid w:val="00774CD6"/>
    <w:rsid w:val="00774F37"/>
    <w:rsid w:val="007752B8"/>
    <w:rsid w:val="00776085"/>
    <w:rsid w:val="00776694"/>
    <w:rsid w:val="007766F6"/>
    <w:rsid w:val="007767A0"/>
    <w:rsid w:val="00776907"/>
    <w:rsid w:val="00776A94"/>
    <w:rsid w:val="00776DD1"/>
    <w:rsid w:val="007771F1"/>
    <w:rsid w:val="00777758"/>
    <w:rsid w:val="00777A84"/>
    <w:rsid w:val="00780182"/>
    <w:rsid w:val="0078035D"/>
    <w:rsid w:val="0078141F"/>
    <w:rsid w:val="007816C1"/>
    <w:rsid w:val="0078278F"/>
    <w:rsid w:val="00782A9C"/>
    <w:rsid w:val="00782DBD"/>
    <w:rsid w:val="00783320"/>
    <w:rsid w:val="00783AAD"/>
    <w:rsid w:val="007840AF"/>
    <w:rsid w:val="007848E8"/>
    <w:rsid w:val="00784BFD"/>
    <w:rsid w:val="0078503E"/>
    <w:rsid w:val="00785C21"/>
    <w:rsid w:val="00785D45"/>
    <w:rsid w:val="00787791"/>
    <w:rsid w:val="0078795A"/>
    <w:rsid w:val="00787CDB"/>
    <w:rsid w:val="00787EE3"/>
    <w:rsid w:val="00790323"/>
    <w:rsid w:val="007903BD"/>
    <w:rsid w:val="007903FE"/>
    <w:rsid w:val="00791C3F"/>
    <w:rsid w:val="00792E3A"/>
    <w:rsid w:val="007930BF"/>
    <w:rsid w:val="0079413F"/>
    <w:rsid w:val="00794221"/>
    <w:rsid w:val="00794527"/>
    <w:rsid w:val="0079473A"/>
    <w:rsid w:val="007947C9"/>
    <w:rsid w:val="00794C7D"/>
    <w:rsid w:val="0079665D"/>
    <w:rsid w:val="00796767"/>
    <w:rsid w:val="0079680A"/>
    <w:rsid w:val="00796C3A"/>
    <w:rsid w:val="00797824"/>
    <w:rsid w:val="007A068D"/>
    <w:rsid w:val="007A0FCA"/>
    <w:rsid w:val="007A1433"/>
    <w:rsid w:val="007A17B1"/>
    <w:rsid w:val="007A17E7"/>
    <w:rsid w:val="007A236F"/>
    <w:rsid w:val="007A2802"/>
    <w:rsid w:val="007A28DE"/>
    <w:rsid w:val="007A2C24"/>
    <w:rsid w:val="007A2E8C"/>
    <w:rsid w:val="007A2FC8"/>
    <w:rsid w:val="007A3347"/>
    <w:rsid w:val="007A464F"/>
    <w:rsid w:val="007A4E67"/>
    <w:rsid w:val="007A4EF4"/>
    <w:rsid w:val="007A5417"/>
    <w:rsid w:val="007A688C"/>
    <w:rsid w:val="007A70A3"/>
    <w:rsid w:val="007A70D6"/>
    <w:rsid w:val="007A7764"/>
    <w:rsid w:val="007B0E47"/>
    <w:rsid w:val="007B1608"/>
    <w:rsid w:val="007B18CE"/>
    <w:rsid w:val="007B1A17"/>
    <w:rsid w:val="007B2B08"/>
    <w:rsid w:val="007B31DC"/>
    <w:rsid w:val="007B338F"/>
    <w:rsid w:val="007B4671"/>
    <w:rsid w:val="007B49C8"/>
    <w:rsid w:val="007B53A6"/>
    <w:rsid w:val="007B55DB"/>
    <w:rsid w:val="007B5D3A"/>
    <w:rsid w:val="007B6511"/>
    <w:rsid w:val="007B6E91"/>
    <w:rsid w:val="007B73AB"/>
    <w:rsid w:val="007B7735"/>
    <w:rsid w:val="007B78DC"/>
    <w:rsid w:val="007B7A6A"/>
    <w:rsid w:val="007B7A88"/>
    <w:rsid w:val="007B7E52"/>
    <w:rsid w:val="007C013D"/>
    <w:rsid w:val="007C1162"/>
    <w:rsid w:val="007C172C"/>
    <w:rsid w:val="007C1E41"/>
    <w:rsid w:val="007C227F"/>
    <w:rsid w:val="007C2B54"/>
    <w:rsid w:val="007C3292"/>
    <w:rsid w:val="007C3939"/>
    <w:rsid w:val="007C3DD8"/>
    <w:rsid w:val="007C3F7D"/>
    <w:rsid w:val="007C40E7"/>
    <w:rsid w:val="007C4310"/>
    <w:rsid w:val="007C4975"/>
    <w:rsid w:val="007C4BF3"/>
    <w:rsid w:val="007C5AD7"/>
    <w:rsid w:val="007C7179"/>
    <w:rsid w:val="007C72A2"/>
    <w:rsid w:val="007C763E"/>
    <w:rsid w:val="007D0527"/>
    <w:rsid w:val="007D05A6"/>
    <w:rsid w:val="007D09C8"/>
    <w:rsid w:val="007D20DF"/>
    <w:rsid w:val="007D26E0"/>
    <w:rsid w:val="007D2BBE"/>
    <w:rsid w:val="007D2D32"/>
    <w:rsid w:val="007D3019"/>
    <w:rsid w:val="007D3220"/>
    <w:rsid w:val="007D36B5"/>
    <w:rsid w:val="007D3FC8"/>
    <w:rsid w:val="007D41E5"/>
    <w:rsid w:val="007D47D4"/>
    <w:rsid w:val="007D5396"/>
    <w:rsid w:val="007D57EC"/>
    <w:rsid w:val="007D5B30"/>
    <w:rsid w:val="007D5BCF"/>
    <w:rsid w:val="007D5CBD"/>
    <w:rsid w:val="007D5EAC"/>
    <w:rsid w:val="007D6112"/>
    <w:rsid w:val="007D6886"/>
    <w:rsid w:val="007D6A67"/>
    <w:rsid w:val="007D7377"/>
    <w:rsid w:val="007D75F9"/>
    <w:rsid w:val="007D7A78"/>
    <w:rsid w:val="007E0059"/>
    <w:rsid w:val="007E006A"/>
    <w:rsid w:val="007E0152"/>
    <w:rsid w:val="007E0215"/>
    <w:rsid w:val="007E155B"/>
    <w:rsid w:val="007E17BF"/>
    <w:rsid w:val="007E26C5"/>
    <w:rsid w:val="007E2911"/>
    <w:rsid w:val="007E2A9E"/>
    <w:rsid w:val="007E2E74"/>
    <w:rsid w:val="007E35AA"/>
    <w:rsid w:val="007E3D3B"/>
    <w:rsid w:val="007E3E5E"/>
    <w:rsid w:val="007E462F"/>
    <w:rsid w:val="007E4A42"/>
    <w:rsid w:val="007E6191"/>
    <w:rsid w:val="007E6C94"/>
    <w:rsid w:val="007E74E2"/>
    <w:rsid w:val="007E7663"/>
    <w:rsid w:val="007E7C1F"/>
    <w:rsid w:val="007E7D6E"/>
    <w:rsid w:val="007F0C5D"/>
    <w:rsid w:val="007F19D0"/>
    <w:rsid w:val="007F1DC9"/>
    <w:rsid w:val="007F1F42"/>
    <w:rsid w:val="007F23FF"/>
    <w:rsid w:val="007F2C37"/>
    <w:rsid w:val="007F3149"/>
    <w:rsid w:val="007F31BF"/>
    <w:rsid w:val="007F3EE9"/>
    <w:rsid w:val="007F465A"/>
    <w:rsid w:val="007F5FF4"/>
    <w:rsid w:val="007F625D"/>
    <w:rsid w:val="007F69AB"/>
    <w:rsid w:val="007F718C"/>
    <w:rsid w:val="008002EB"/>
    <w:rsid w:val="008008C1"/>
    <w:rsid w:val="00800C09"/>
    <w:rsid w:val="00800E39"/>
    <w:rsid w:val="0080150A"/>
    <w:rsid w:val="008015E0"/>
    <w:rsid w:val="00801C97"/>
    <w:rsid w:val="0080206D"/>
    <w:rsid w:val="00802252"/>
    <w:rsid w:val="00802408"/>
    <w:rsid w:val="00802758"/>
    <w:rsid w:val="00802E6D"/>
    <w:rsid w:val="008038FC"/>
    <w:rsid w:val="008039B6"/>
    <w:rsid w:val="00803DA2"/>
    <w:rsid w:val="00803E83"/>
    <w:rsid w:val="00804090"/>
    <w:rsid w:val="00804496"/>
    <w:rsid w:val="00804A40"/>
    <w:rsid w:val="00804AD4"/>
    <w:rsid w:val="00804E73"/>
    <w:rsid w:val="00804F1A"/>
    <w:rsid w:val="008053BD"/>
    <w:rsid w:val="0080577D"/>
    <w:rsid w:val="008060D0"/>
    <w:rsid w:val="00806705"/>
    <w:rsid w:val="00806CA9"/>
    <w:rsid w:val="00806CE3"/>
    <w:rsid w:val="00807267"/>
    <w:rsid w:val="00807310"/>
    <w:rsid w:val="00807BAD"/>
    <w:rsid w:val="00812559"/>
    <w:rsid w:val="00812E1E"/>
    <w:rsid w:val="008138FB"/>
    <w:rsid w:val="00813D0F"/>
    <w:rsid w:val="0081408A"/>
    <w:rsid w:val="00814444"/>
    <w:rsid w:val="00814A63"/>
    <w:rsid w:val="0081545B"/>
    <w:rsid w:val="00815465"/>
    <w:rsid w:val="00816448"/>
    <w:rsid w:val="008165F4"/>
    <w:rsid w:val="00816AE5"/>
    <w:rsid w:val="00817AE7"/>
    <w:rsid w:val="00817D79"/>
    <w:rsid w:val="0082015A"/>
    <w:rsid w:val="00820970"/>
    <w:rsid w:val="00820AC6"/>
    <w:rsid w:val="00820D61"/>
    <w:rsid w:val="00820DA5"/>
    <w:rsid w:val="00822C19"/>
    <w:rsid w:val="008237D0"/>
    <w:rsid w:val="00823BFA"/>
    <w:rsid w:val="0082414B"/>
    <w:rsid w:val="0082610F"/>
    <w:rsid w:val="00826115"/>
    <w:rsid w:val="00826259"/>
    <w:rsid w:val="00826397"/>
    <w:rsid w:val="00826438"/>
    <w:rsid w:val="00826B47"/>
    <w:rsid w:val="00827665"/>
    <w:rsid w:val="00827B67"/>
    <w:rsid w:val="00827D07"/>
    <w:rsid w:val="00827E0C"/>
    <w:rsid w:val="008309FC"/>
    <w:rsid w:val="00831567"/>
    <w:rsid w:val="008315A0"/>
    <w:rsid w:val="00831753"/>
    <w:rsid w:val="00831D5B"/>
    <w:rsid w:val="00831E2A"/>
    <w:rsid w:val="0083233C"/>
    <w:rsid w:val="00832401"/>
    <w:rsid w:val="00832A5F"/>
    <w:rsid w:val="00832F8B"/>
    <w:rsid w:val="00834593"/>
    <w:rsid w:val="00834706"/>
    <w:rsid w:val="00834CCF"/>
    <w:rsid w:val="00836212"/>
    <w:rsid w:val="00836944"/>
    <w:rsid w:val="00836E2B"/>
    <w:rsid w:val="008370C3"/>
    <w:rsid w:val="008370F8"/>
    <w:rsid w:val="0083740B"/>
    <w:rsid w:val="00837839"/>
    <w:rsid w:val="00840195"/>
    <w:rsid w:val="00840915"/>
    <w:rsid w:val="00840E9E"/>
    <w:rsid w:val="00840F00"/>
    <w:rsid w:val="008412BE"/>
    <w:rsid w:val="008439D9"/>
    <w:rsid w:val="008442E0"/>
    <w:rsid w:val="008447D0"/>
    <w:rsid w:val="008448ED"/>
    <w:rsid w:val="0084496E"/>
    <w:rsid w:val="00846CAB"/>
    <w:rsid w:val="00851188"/>
    <w:rsid w:val="008512D7"/>
    <w:rsid w:val="00851440"/>
    <w:rsid w:val="0085167E"/>
    <w:rsid w:val="00851D57"/>
    <w:rsid w:val="00851ECA"/>
    <w:rsid w:val="008521D3"/>
    <w:rsid w:val="00852838"/>
    <w:rsid w:val="00852FF0"/>
    <w:rsid w:val="0085369D"/>
    <w:rsid w:val="00853ED5"/>
    <w:rsid w:val="00854332"/>
    <w:rsid w:val="008543F0"/>
    <w:rsid w:val="0085469A"/>
    <w:rsid w:val="00854916"/>
    <w:rsid w:val="00854B67"/>
    <w:rsid w:val="00854C1E"/>
    <w:rsid w:val="0085515E"/>
    <w:rsid w:val="008554FE"/>
    <w:rsid w:val="00855563"/>
    <w:rsid w:val="008556A5"/>
    <w:rsid w:val="00855769"/>
    <w:rsid w:val="008568D7"/>
    <w:rsid w:val="00856A5E"/>
    <w:rsid w:val="00856CB3"/>
    <w:rsid w:val="00856FFD"/>
    <w:rsid w:val="00857929"/>
    <w:rsid w:val="00857992"/>
    <w:rsid w:val="0086074F"/>
    <w:rsid w:val="00860EE1"/>
    <w:rsid w:val="00861A23"/>
    <w:rsid w:val="00861FA6"/>
    <w:rsid w:val="00862628"/>
    <w:rsid w:val="0086312B"/>
    <w:rsid w:val="00863618"/>
    <w:rsid w:val="008641E7"/>
    <w:rsid w:val="008647FC"/>
    <w:rsid w:val="00864990"/>
    <w:rsid w:val="0086569E"/>
    <w:rsid w:val="008656E9"/>
    <w:rsid w:val="00865999"/>
    <w:rsid w:val="00867211"/>
    <w:rsid w:val="00867A79"/>
    <w:rsid w:val="00870E6F"/>
    <w:rsid w:val="00870EBF"/>
    <w:rsid w:val="00871AD5"/>
    <w:rsid w:val="00871B77"/>
    <w:rsid w:val="00871D62"/>
    <w:rsid w:val="00872187"/>
    <w:rsid w:val="008729E4"/>
    <w:rsid w:val="0087300A"/>
    <w:rsid w:val="00873194"/>
    <w:rsid w:val="00873ACC"/>
    <w:rsid w:val="008745A0"/>
    <w:rsid w:val="008748FB"/>
    <w:rsid w:val="00874B3A"/>
    <w:rsid w:val="00874CBE"/>
    <w:rsid w:val="00875195"/>
    <w:rsid w:val="00875484"/>
    <w:rsid w:val="0087578E"/>
    <w:rsid w:val="00876737"/>
    <w:rsid w:val="008768C2"/>
    <w:rsid w:val="0087719C"/>
    <w:rsid w:val="00877267"/>
    <w:rsid w:val="00880B5A"/>
    <w:rsid w:val="00880F91"/>
    <w:rsid w:val="0088174B"/>
    <w:rsid w:val="00881796"/>
    <w:rsid w:val="00881A7B"/>
    <w:rsid w:val="00881D2B"/>
    <w:rsid w:val="00881DA2"/>
    <w:rsid w:val="00881E0D"/>
    <w:rsid w:val="008824B8"/>
    <w:rsid w:val="008832D9"/>
    <w:rsid w:val="00884A2C"/>
    <w:rsid w:val="008850F5"/>
    <w:rsid w:val="008852F2"/>
    <w:rsid w:val="00885523"/>
    <w:rsid w:val="00885968"/>
    <w:rsid w:val="0088597B"/>
    <w:rsid w:val="00885BDD"/>
    <w:rsid w:val="00886533"/>
    <w:rsid w:val="00886592"/>
    <w:rsid w:val="00886848"/>
    <w:rsid w:val="008879CF"/>
    <w:rsid w:val="00890FB8"/>
    <w:rsid w:val="00891335"/>
    <w:rsid w:val="00891F39"/>
    <w:rsid w:val="00891F96"/>
    <w:rsid w:val="008926A9"/>
    <w:rsid w:val="008928D4"/>
    <w:rsid w:val="00893211"/>
    <w:rsid w:val="0089372D"/>
    <w:rsid w:val="008938A6"/>
    <w:rsid w:val="00894170"/>
    <w:rsid w:val="00894965"/>
    <w:rsid w:val="008954E4"/>
    <w:rsid w:val="00895A11"/>
    <w:rsid w:val="00895B10"/>
    <w:rsid w:val="0089635F"/>
    <w:rsid w:val="008967BE"/>
    <w:rsid w:val="008969F5"/>
    <w:rsid w:val="00896C55"/>
    <w:rsid w:val="00896C61"/>
    <w:rsid w:val="00897764"/>
    <w:rsid w:val="00897A87"/>
    <w:rsid w:val="008A02EE"/>
    <w:rsid w:val="008A0801"/>
    <w:rsid w:val="008A1544"/>
    <w:rsid w:val="008A1754"/>
    <w:rsid w:val="008A2BCC"/>
    <w:rsid w:val="008A2F57"/>
    <w:rsid w:val="008A37D2"/>
    <w:rsid w:val="008A3D8D"/>
    <w:rsid w:val="008A3DDC"/>
    <w:rsid w:val="008A4482"/>
    <w:rsid w:val="008A4D05"/>
    <w:rsid w:val="008A55D2"/>
    <w:rsid w:val="008A6014"/>
    <w:rsid w:val="008A75EA"/>
    <w:rsid w:val="008A7F0A"/>
    <w:rsid w:val="008B0240"/>
    <w:rsid w:val="008B051E"/>
    <w:rsid w:val="008B0662"/>
    <w:rsid w:val="008B0AAD"/>
    <w:rsid w:val="008B1523"/>
    <w:rsid w:val="008B1648"/>
    <w:rsid w:val="008B1B3B"/>
    <w:rsid w:val="008B2904"/>
    <w:rsid w:val="008B2C45"/>
    <w:rsid w:val="008B48DB"/>
    <w:rsid w:val="008B496B"/>
    <w:rsid w:val="008B4AA4"/>
    <w:rsid w:val="008B4FD6"/>
    <w:rsid w:val="008B508B"/>
    <w:rsid w:val="008B579D"/>
    <w:rsid w:val="008B5B27"/>
    <w:rsid w:val="008B6125"/>
    <w:rsid w:val="008B63A0"/>
    <w:rsid w:val="008B6721"/>
    <w:rsid w:val="008B74DD"/>
    <w:rsid w:val="008B77C5"/>
    <w:rsid w:val="008B7869"/>
    <w:rsid w:val="008B7B82"/>
    <w:rsid w:val="008C0079"/>
    <w:rsid w:val="008C0A51"/>
    <w:rsid w:val="008C0C3D"/>
    <w:rsid w:val="008C0E38"/>
    <w:rsid w:val="008C2218"/>
    <w:rsid w:val="008C295E"/>
    <w:rsid w:val="008C36A3"/>
    <w:rsid w:val="008C37E4"/>
    <w:rsid w:val="008C3C0B"/>
    <w:rsid w:val="008C3E93"/>
    <w:rsid w:val="008C4300"/>
    <w:rsid w:val="008C45F5"/>
    <w:rsid w:val="008C463F"/>
    <w:rsid w:val="008C499F"/>
    <w:rsid w:val="008C4BDF"/>
    <w:rsid w:val="008C515C"/>
    <w:rsid w:val="008C58B9"/>
    <w:rsid w:val="008C5B6B"/>
    <w:rsid w:val="008C60A2"/>
    <w:rsid w:val="008C65DC"/>
    <w:rsid w:val="008C6AAA"/>
    <w:rsid w:val="008C6B6B"/>
    <w:rsid w:val="008C7415"/>
    <w:rsid w:val="008C7439"/>
    <w:rsid w:val="008C79E5"/>
    <w:rsid w:val="008C7C52"/>
    <w:rsid w:val="008D0AB5"/>
    <w:rsid w:val="008D0CB8"/>
    <w:rsid w:val="008D0D0D"/>
    <w:rsid w:val="008D0E3A"/>
    <w:rsid w:val="008D16D0"/>
    <w:rsid w:val="008D1DE4"/>
    <w:rsid w:val="008D2188"/>
    <w:rsid w:val="008D2304"/>
    <w:rsid w:val="008D2482"/>
    <w:rsid w:val="008D278C"/>
    <w:rsid w:val="008D2D43"/>
    <w:rsid w:val="008D2FBB"/>
    <w:rsid w:val="008D32D3"/>
    <w:rsid w:val="008D3349"/>
    <w:rsid w:val="008D345A"/>
    <w:rsid w:val="008D36E8"/>
    <w:rsid w:val="008D3E7E"/>
    <w:rsid w:val="008D4321"/>
    <w:rsid w:val="008D4388"/>
    <w:rsid w:val="008D45E9"/>
    <w:rsid w:val="008D4C61"/>
    <w:rsid w:val="008D4EBE"/>
    <w:rsid w:val="008D53B7"/>
    <w:rsid w:val="008D5725"/>
    <w:rsid w:val="008D5D65"/>
    <w:rsid w:val="008D61CE"/>
    <w:rsid w:val="008D64C5"/>
    <w:rsid w:val="008D6C35"/>
    <w:rsid w:val="008D7EC8"/>
    <w:rsid w:val="008E0250"/>
    <w:rsid w:val="008E058E"/>
    <w:rsid w:val="008E1C32"/>
    <w:rsid w:val="008E27D0"/>
    <w:rsid w:val="008E2DB1"/>
    <w:rsid w:val="008E3071"/>
    <w:rsid w:val="008E476A"/>
    <w:rsid w:val="008E4912"/>
    <w:rsid w:val="008E5F21"/>
    <w:rsid w:val="008E61AF"/>
    <w:rsid w:val="008E69EE"/>
    <w:rsid w:val="008E6A63"/>
    <w:rsid w:val="008E6CF8"/>
    <w:rsid w:val="008E7437"/>
    <w:rsid w:val="008E7CFA"/>
    <w:rsid w:val="008F02D0"/>
    <w:rsid w:val="008F0CC0"/>
    <w:rsid w:val="008F0D7C"/>
    <w:rsid w:val="008F12C1"/>
    <w:rsid w:val="008F13D7"/>
    <w:rsid w:val="008F1CCF"/>
    <w:rsid w:val="008F20D8"/>
    <w:rsid w:val="008F21D7"/>
    <w:rsid w:val="008F2574"/>
    <w:rsid w:val="008F25C4"/>
    <w:rsid w:val="008F2CBB"/>
    <w:rsid w:val="008F31D9"/>
    <w:rsid w:val="008F341F"/>
    <w:rsid w:val="008F34A6"/>
    <w:rsid w:val="008F370D"/>
    <w:rsid w:val="008F38F4"/>
    <w:rsid w:val="008F4AA1"/>
    <w:rsid w:val="008F4D11"/>
    <w:rsid w:val="008F5B3D"/>
    <w:rsid w:val="008F5CE9"/>
    <w:rsid w:val="008F6B1D"/>
    <w:rsid w:val="00900D11"/>
    <w:rsid w:val="00900DC6"/>
    <w:rsid w:val="0090132B"/>
    <w:rsid w:val="0090287F"/>
    <w:rsid w:val="00902AAC"/>
    <w:rsid w:val="00902DF2"/>
    <w:rsid w:val="00902F38"/>
    <w:rsid w:val="00902FA1"/>
    <w:rsid w:val="00903410"/>
    <w:rsid w:val="0090383A"/>
    <w:rsid w:val="00903EBE"/>
    <w:rsid w:val="009046D2"/>
    <w:rsid w:val="00905402"/>
    <w:rsid w:val="009059D8"/>
    <w:rsid w:val="009063DB"/>
    <w:rsid w:val="0090715C"/>
    <w:rsid w:val="009074D4"/>
    <w:rsid w:val="00907C29"/>
    <w:rsid w:val="00907E56"/>
    <w:rsid w:val="00907E99"/>
    <w:rsid w:val="00907EA3"/>
    <w:rsid w:val="00910A06"/>
    <w:rsid w:val="009119A5"/>
    <w:rsid w:val="00912394"/>
    <w:rsid w:val="0091304E"/>
    <w:rsid w:val="009138DD"/>
    <w:rsid w:val="00913F2F"/>
    <w:rsid w:val="0091467C"/>
    <w:rsid w:val="00914ACD"/>
    <w:rsid w:val="00914F58"/>
    <w:rsid w:val="00914FC2"/>
    <w:rsid w:val="0091524F"/>
    <w:rsid w:val="009153EA"/>
    <w:rsid w:val="009154C0"/>
    <w:rsid w:val="00915B15"/>
    <w:rsid w:val="00915EE1"/>
    <w:rsid w:val="00916AF1"/>
    <w:rsid w:val="00916B7A"/>
    <w:rsid w:val="009176B3"/>
    <w:rsid w:val="009200AF"/>
    <w:rsid w:val="00920590"/>
    <w:rsid w:val="00920EAD"/>
    <w:rsid w:val="00921FCD"/>
    <w:rsid w:val="00924F1B"/>
    <w:rsid w:val="00924F5E"/>
    <w:rsid w:val="009252E5"/>
    <w:rsid w:val="00925A94"/>
    <w:rsid w:val="00926594"/>
    <w:rsid w:val="0092695B"/>
    <w:rsid w:val="00930889"/>
    <w:rsid w:val="00930A66"/>
    <w:rsid w:val="00930A6C"/>
    <w:rsid w:val="00930A91"/>
    <w:rsid w:val="00930EFB"/>
    <w:rsid w:val="00930EFC"/>
    <w:rsid w:val="00930F01"/>
    <w:rsid w:val="00931065"/>
    <w:rsid w:val="00931100"/>
    <w:rsid w:val="0093160A"/>
    <w:rsid w:val="00931763"/>
    <w:rsid w:val="0093223A"/>
    <w:rsid w:val="0093237F"/>
    <w:rsid w:val="009328A7"/>
    <w:rsid w:val="00932F92"/>
    <w:rsid w:val="009342A5"/>
    <w:rsid w:val="00934541"/>
    <w:rsid w:val="009347D5"/>
    <w:rsid w:val="009356EE"/>
    <w:rsid w:val="00935936"/>
    <w:rsid w:val="00935E30"/>
    <w:rsid w:val="00935FFF"/>
    <w:rsid w:val="0093646F"/>
    <w:rsid w:val="00936A93"/>
    <w:rsid w:val="009375E6"/>
    <w:rsid w:val="00937DA0"/>
    <w:rsid w:val="0094056F"/>
    <w:rsid w:val="0094066A"/>
    <w:rsid w:val="0094115F"/>
    <w:rsid w:val="00943E10"/>
    <w:rsid w:val="00944813"/>
    <w:rsid w:val="00944855"/>
    <w:rsid w:val="009448F1"/>
    <w:rsid w:val="00945E65"/>
    <w:rsid w:val="00946D0E"/>
    <w:rsid w:val="0094705A"/>
    <w:rsid w:val="009507AF"/>
    <w:rsid w:val="00950B92"/>
    <w:rsid w:val="009513FB"/>
    <w:rsid w:val="0095184D"/>
    <w:rsid w:val="009529C5"/>
    <w:rsid w:val="009529FE"/>
    <w:rsid w:val="00953139"/>
    <w:rsid w:val="009537D9"/>
    <w:rsid w:val="00953C3F"/>
    <w:rsid w:val="00954FA4"/>
    <w:rsid w:val="0095546E"/>
    <w:rsid w:val="00955B31"/>
    <w:rsid w:val="00955B80"/>
    <w:rsid w:val="009563C8"/>
    <w:rsid w:val="0095640A"/>
    <w:rsid w:val="00957203"/>
    <w:rsid w:val="00957CA8"/>
    <w:rsid w:val="00960401"/>
    <w:rsid w:val="00960B1C"/>
    <w:rsid w:val="00960C8B"/>
    <w:rsid w:val="0096129D"/>
    <w:rsid w:val="00961394"/>
    <w:rsid w:val="00961864"/>
    <w:rsid w:val="009618D8"/>
    <w:rsid w:val="0096255D"/>
    <w:rsid w:val="00962B42"/>
    <w:rsid w:val="00962B47"/>
    <w:rsid w:val="009631BF"/>
    <w:rsid w:val="009638A6"/>
    <w:rsid w:val="00963E11"/>
    <w:rsid w:val="0096403F"/>
    <w:rsid w:val="00964B4E"/>
    <w:rsid w:val="00966269"/>
    <w:rsid w:val="0096656D"/>
    <w:rsid w:val="009667DE"/>
    <w:rsid w:val="0096694A"/>
    <w:rsid w:val="00966D5B"/>
    <w:rsid w:val="00967040"/>
    <w:rsid w:val="00967EDC"/>
    <w:rsid w:val="00970F8F"/>
    <w:rsid w:val="00971798"/>
    <w:rsid w:val="00971B99"/>
    <w:rsid w:val="00971B9B"/>
    <w:rsid w:val="00971D90"/>
    <w:rsid w:val="00971E06"/>
    <w:rsid w:val="0097228E"/>
    <w:rsid w:val="00972349"/>
    <w:rsid w:val="00972551"/>
    <w:rsid w:val="0097271B"/>
    <w:rsid w:val="0097286D"/>
    <w:rsid w:val="00973212"/>
    <w:rsid w:val="009733F6"/>
    <w:rsid w:val="00973523"/>
    <w:rsid w:val="00973823"/>
    <w:rsid w:val="0097390B"/>
    <w:rsid w:val="00973C80"/>
    <w:rsid w:val="0097403A"/>
    <w:rsid w:val="009743D9"/>
    <w:rsid w:val="0097445D"/>
    <w:rsid w:val="00975A0B"/>
    <w:rsid w:val="00975B66"/>
    <w:rsid w:val="00975CD0"/>
    <w:rsid w:val="00976729"/>
    <w:rsid w:val="0097686A"/>
    <w:rsid w:val="00980170"/>
    <w:rsid w:val="00981087"/>
    <w:rsid w:val="00981326"/>
    <w:rsid w:val="00981616"/>
    <w:rsid w:val="009818EE"/>
    <w:rsid w:val="00981B05"/>
    <w:rsid w:val="00982D8E"/>
    <w:rsid w:val="00983BE8"/>
    <w:rsid w:val="00983CD6"/>
    <w:rsid w:val="00984902"/>
    <w:rsid w:val="009852C8"/>
    <w:rsid w:val="00985F3B"/>
    <w:rsid w:val="00986CA0"/>
    <w:rsid w:val="00990115"/>
    <w:rsid w:val="0099011B"/>
    <w:rsid w:val="00990B2C"/>
    <w:rsid w:val="0099177C"/>
    <w:rsid w:val="00991EBE"/>
    <w:rsid w:val="00991F66"/>
    <w:rsid w:val="0099207D"/>
    <w:rsid w:val="00992506"/>
    <w:rsid w:val="009928D9"/>
    <w:rsid w:val="009936C3"/>
    <w:rsid w:val="00993C93"/>
    <w:rsid w:val="00994065"/>
    <w:rsid w:val="00994E04"/>
    <w:rsid w:val="00995304"/>
    <w:rsid w:val="00995BA4"/>
    <w:rsid w:val="00995DC5"/>
    <w:rsid w:val="00996052"/>
    <w:rsid w:val="0099656A"/>
    <w:rsid w:val="009966C3"/>
    <w:rsid w:val="00996C4C"/>
    <w:rsid w:val="00996D6E"/>
    <w:rsid w:val="00996E34"/>
    <w:rsid w:val="00997231"/>
    <w:rsid w:val="0099759B"/>
    <w:rsid w:val="00997632"/>
    <w:rsid w:val="0099786F"/>
    <w:rsid w:val="00997D3E"/>
    <w:rsid w:val="009A0059"/>
    <w:rsid w:val="009A04FF"/>
    <w:rsid w:val="009A1664"/>
    <w:rsid w:val="009A1838"/>
    <w:rsid w:val="009A1E1E"/>
    <w:rsid w:val="009A25A4"/>
    <w:rsid w:val="009A26EE"/>
    <w:rsid w:val="009A2734"/>
    <w:rsid w:val="009A2805"/>
    <w:rsid w:val="009A2CF1"/>
    <w:rsid w:val="009A2E1D"/>
    <w:rsid w:val="009A36B3"/>
    <w:rsid w:val="009A3D09"/>
    <w:rsid w:val="009A449F"/>
    <w:rsid w:val="009A4527"/>
    <w:rsid w:val="009A45BF"/>
    <w:rsid w:val="009A45F7"/>
    <w:rsid w:val="009A4A20"/>
    <w:rsid w:val="009A4AF0"/>
    <w:rsid w:val="009A5B04"/>
    <w:rsid w:val="009A5FFB"/>
    <w:rsid w:val="009A608C"/>
    <w:rsid w:val="009A62EA"/>
    <w:rsid w:val="009A65EB"/>
    <w:rsid w:val="009A68E8"/>
    <w:rsid w:val="009B1302"/>
    <w:rsid w:val="009B136D"/>
    <w:rsid w:val="009B1E7E"/>
    <w:rsid w:val="009B1F0E"/>
    <w:rsid w:val="009B2320"/>
    <w:rsid w:val="009B5892"/>
    <w:rsid w:val="009B5958"/>
    <w:rsid w:val="009B597F"/>
    <w:rsid w:val="009B63D5"/>
    <w:rsid w:val="009B7180"/>
    <w:rsid w:val="009B76E5"/>
    <w:rsid w:val="009C0B95"/>
    <w:rsid w:val="009C0E18"/>
    <w:rsid w:val="009C0ECF"/>
    <w:rsid w:val="009C123B"/>
    <w:rsid w:val="009C192C"/>
    <w:rsid w:val="009C2177"/>
    <w:rsid w:val="009C231C"/>
    <w:rsid w:val="009C23F0"/>
    <w:rsid w:val="009C2A14"/>
    <w:rsid w:val="009C2BA0"/>
    <w:rsid w:val="009C2C83"/>
    <w:rsid w:val="009C31D6"/>
    <w:rsid w:val="009C31F2"/>
    <w:rsid w:val="009C356F"/>
    <w:rsid w:val="009C357B"/>
    <w:rsid w:val="009C367B"/>
    <w:rsid w:val="009C3903"/>
    <w:rsid w:val="009C3BF9"/>
    <w:rsid w:val="009C4FE5"/>
    <w:rsid w:val="009C61DB"/>
    <w:rsid w:val="009C6451"/>
    <w:rsid w:val="009C6F72"/>
    <w:rsid w:val="009D07C2"/>
    <w:rsid w:val="009D160D"/>
    <w:rsid w:val="009D2C65"/>
    <w:rsid w:val="009D2FB0"/>
    <w:rsid w:val="009D3358"/>
    <w:rsid w:val="009D38AE"/>
    <w:rsid w:val="009D38DA"/>
    <w:rsid w:val="009D39EF"/>
    <w:rsid w:val="009D5CAD"/>
    <w:rsid w:val="009D5FA2"/>
    <w:rsid w:val="009D64E3"/>
    <w:rsid w:val="009D6703"/>
    <w:rsid w:val="009D6713"/>
    <w:rsid w:val="009D6F74"/>
    <w:rsid w:val="009D74EB"/>
    <w:rsid w:val="009D7CC1"/>
    <w:rsid w:val="009D7E06"/>
    <w:rsid w:val="009D7E51"/>
    <w:rsid w:val="009E0444"/>
    <w:rsid w:val="009E04D2"/>
    <w:rsid w:val="009E0A3F"/>
    <w:rsid w:val="009E0D5C"/>
    <w:rsid w:val="009E1B8A"/>
    <w:rsid w:val="009E1C61"/>
    <w:rsid w:val="009E1E06"/>
    <w:rsid w:val="009E20E5"/>
    <w:rsid w:val="009E2317"/>
    <w:rsid w:val="009E360E"/>
    <w:rsid w:val="009E3733"/>
    <w:rsid w:val="009E3D70"/>
    <w:rsid w:val="009E3D91"/>
    <w:rsid w:val="009E3FCC"/>
    <w:rsid w:val="009E4507"/>
    <w:rsid w:val="009E461F"/>
    <w:rsid w:val="009E4F43"/>
    <w:rsid w:val="009E5252"/>
    <w:rsid w:val="009E55C8"/>
    <w:rsid w:val="009E5744"/>
    <w:rsid w:val="009E6DBD"/>
    <w:rsid w:val="009E761E"/>
    <w:rsid w:val="009F034C"/>
    <w:rsid w:val="009F0449"/>
    <w:rsid w:val="009F065A"/>
    <w:rsid w:val="009F10C3"/>
    <w:rsid w:val="009F1151"/>
    <w:rsid w:val="009F12B2"/>
    <w:rsid w:val="009F1314"/>
    <w:rsid w:val="009F15CB"/>
    <w:rsid w:val="009F1905"/>
    <w:rsid w:val="009F1ABA"/>
    <w:rsid w:val="009F23F9"/>
    <w:rsid w:val="009F3BED"/>
    <w:rsid w:val="009F5B63"/>
    <w:rsid w:val="009F6D92"/>
    <w:rsid w:val="009F7CC0"/>
    <w:rsid w:val="00A013E1"/>
    <w:rsid w:val="00A01693"/>
    <w:rsid w:val="00A01729"/>
    <w:rsid w:val="00A01B03"/>
    <w:rsid w:val="00A01B47"/>
    <w:rsid w:val="00A01DB4"/>
    <w:rsid w:val="00A0305E"/>
    <w:rsid w:val="00A0354D"/>
    <w:rsid w:val="00A05D55"/>
    <w:rsid w:val="00A0648D"/>
    <w:rsid w:val="00A06C7F"/>
    <w:rsid w:val="00A07557"/>
    <w:rsid w:val="00A0760D"/>
    <w:rsid w:val="00A076F3"/>
    <w:rsid w:val="00A10121"/>
    <w:rsid w:val="00A1042A"/>
    <w:rsid w:val="00A1047B"/>
    <w:rsid w:val="00A10F85"/>
    <w:rsid w:val="00A1143A"/>
    <w:rsid w:val="00A11E98"/>
    <w:rsid w:val="00A120C0"/>
    <w:rsid w:val="00A121AB"/>
    <w:rsid w:val="00A1309B"/>
    <w:rsid w:val="00A1309F"/>
    <w:rsid w:val="00A13141"/>
    <w:rsid w:val="00A13461"/>
    <w:rsid w:val="00A14B9B"/>
    <w:rsid w:val="00A14CB2"/>
    <w:rsid w:val="00A16E1E"/>
    <w:rsid w:val="00A1705C"/>
    <w:rsid w:val="00A176E2"/>
    <w:rsid w:val="00A17F86"/>
    <w:rsid w:val="00A208E0"/>
    <w:rsid w:val="00A20B72"/>
    <w:rsid w:val="00A21F35"/>
    <w:rsid w:val="00A2258E"/>
    <w:rsid w:val="00A225EE"/>
    <w:rsid w:val="00A22897"/>
    <w:rsid w:val="00A22DFE"/>
    <w:rsid w:val="00A22E58"/>
    <w:rsid w:val="00A236DB"/>
    <w:rsid w:val="00A23954"/>
    <w:rsid w:val="00A267F2"/>
    <w:rsid w:val="00A26BC2"/>
    <w:rsid w:val="00A26ED2"/>
    <w:rsid w:val="00A27434"/>
    <w:rsid w:val="00A276F2"/>
    <w:rsid w:val="00A317EF"/>
    <w:rsid w:val="00A324D0"/>
    <w:rsid w:val="00A3353E"/>
    <w:rsid w:val="00A336C6"/>
    <w:rsid w:val="00A345DB"/>
    <w:rsid w:val="00A345FE"/>
    <w:rsid w:val="00A348D5"/>
    <w:rsid w:val="00A34D2F"/>
    <w:rsid w:val="00A354D6"/>
    <w:rsid w:val="00A36106"/>
    <w:rsid w:val="00A3638A"/>
    <w:rsid w:val="00A364E6"/>
    <w:rsid w:val="00A36C1B"/>
    <w:rsid w:val="00A36CCF"/>
    <w:rsid w:val="00A375C4"/>
    <w:rsid w:val="00A37C28"/>
    <w:rsid w:val="00A407E7"/>
    <w:rsid w:val="00A4091E"/>
    <w:rsid w:val="00A40E76"/>
    <w:rsid w:val="00A41457"/>
    <w:rsid w:val="00A414C0"/>
    <w:rsid w:val="00A41C9B"/>
    <w:rsid w:val="00A41F05"/>
    <w:rsid w:val="00A42214"/>
    <w:rsid w:val="00A42E4C"/>
    <w:rsid w:val="00A42EA0"/>
    <w:rsid w:val="00A43BE3"/>
    <w:rsid w:val="00A44EDB"/>
    <w:rsid w:val="00A45013"/>
    <w:rsid w:val="00A45CA9"/>
    <w:rsid w:val="00A4663B"/>
    <w:rsid w:val="00A47D82"/>
    <w:rsid w:val="00A50099"/>
    <w:rsid w:val="00A502AB"/>
    <w:rsid w:val="00A5054B"/>
    <w:rsid w:val="00A5077A"/>
    <w:rsid w:val="00A51210"/>
    <w:rsid w:val="00A51243"/>
    <w:rsid w:val="00A51826"/>
    <w:rsid w:val="00A51FAF"/>
    <w:rsid w:val="00A5203F"/>
    <w:rsid w:val="00A524E1"/>
    <w:rsid w:val="00A526EB"/>
    <w:rsid w:val="00A529D7"/>
    <w:rsid w:val="00A529F5"/>
    <w:rsid w:val="00A5321A"/>
    <w:rsid w:val="00A53334"/>
    <w:rsid w:val="00A53AA8"/>
    <w:rsid w:val="00A53E29"/>
    <w:rsid w:val="00A54DC4"/>
    <w:rsid w:val="00A5502B"/>
    <w:rsid w:val="00A55BC8"/>
    <w:rsid w:val="00A55BF7"/>
    <w:rsid w:val="00A55E0B"/>
    <w:rsid w:val="00A566F0"/>
    <w:rsid w:val="00A569A4"/>
    <w:rsid w:val="00A56EF8"/>
    <w:rsid w:val="00A5713C"/>
    <w:rsid w:val="00A574FD"/>
    <w:rsid w:val="00A57AF8"/>
    <w:rsid w:val="00A60C12"/>
    <w:rsid w:val="00A614A7"/>
    <w:rsid w:val="00A62960"/>
    <w:rsid w:val="00A63102"/>
    <w:rsid w:val="00A6332F"/>
    <w:rsid w:val="00A647C5"/>
    <w:rsid w:val="00A64C58"/>
    <w:rsid w:val="00A64EC2"/>
    <w:rsid w:val="00A65DB6"/>
    <w:rsid w:val="00A6610C"/>
    <w:rsid w:val="00A664C2"/>
    <w:rsid w:val="00A66980"/>
    <w:rsid w:val="00A66A5E"/>
    <w:rsid w:val="00A66C26"/>
    <w:rsid w:val="00A66D5B"/>
    <w:rsid w:val="00A67D3F"/>
    <w:rsid w:val="00A7027B"/>
    <w:rsid w:val="00A70475"/>
    <w:rsid w:val="00A70B83"/>
    <w:rsid w:val="00A70FC2"/>
    <w:rsid w:val="00A712A1"/>
    <w:rsid w:val="00A71872"/>
    <w:rsid w:val="00A71AE7"/>
    <w:rsid w:val="00A72068"/>
    <w:rsid w:val="00A7227E"/>
    <w:rsid w:val="00A7232D"/>
    <w:rsid w:val="00A7263F"/>
    <w:rsid w:val="00A72EBA"/>
    <w:rsid w:val="00A745BA"/>
    <w:rsid w:val="00A747E4"/>
    <w:rsid w:val="00A74CE9"/>
    <w:rsid w:val="00A7534A"/>
    <w:rsid w:val="00A7537A"/>
    <w:rsid w:val="00A76128"/>
    <w:rsid w:val="00A81473"/>
    <w:rsid w:val="00A81BF5"/>
    <w:rsid w:val="00A81C52"/>
    <w:rsid w:val="00A822B1"/>
    <w:rsid w:val="00A82836"/>
    <w:rsid w:val="00A82BD8"/>
    <w:rsid w:val="00A83546"/>
    <w:rsid w:val="00A835AA"/>
    <w:rsid w:val="00A84123"/>
    <w:rsid w:val="00A844E9"/>
    <w:rsid w:val="00A849CA"/>
    <w:rsid w:val="00A86042"/>
    <w:rsid w:val="00A86183"/>
    <w:rsid w:val="00A8787D"/>
    <w:rsid w:val="00A87B9E"/>
    <w:rsid w:val="00A87C4D"/>
    <w:rsid w:val="00A87DB0"/>
    <w:rsid w:val="00A9003E"/>
    <w:rsid w:val="00A90CB9"/>
    <w:rsid w:val="00A91951"/>
    <w:rsid w:val="00A91A35"/>
    <w:rsid w:val="00A91AF0"/>
    <w:rsid w:val="00A9206A"/>
    <w:rsid w:val="00A92369"/>
    <w:rsid w:val="00A92681"/>
    <w:rsid w:val="00A926BE"/>
    <w:rsid w:val="00A92773"/>
    <w:rsid w:val="00A92902"/>
    <w:rsid w:val="00A92F8A"/>
    <w:rsid w:val="00A92FCD"/>
    <w:rsid w:val="00A9334E"/>
    <w:rsid w:val="00A93953"/>
    <w:rsid w:val="00A93C15"/>
    <w:rsid w:val="00A93EF8"/>
    <w:rsid w:val="00A9403F"/>
    <w:rsid w:val="00A944E0"/>
    <w:rsid w:val="00A9485A"/>
    <w:rsid w:val="00A95CCD"/>
    <w:rsid w:val="00A95D52"/>
    <w:rsid w:val="00A95E7C"/>
    <w:rsid w:val="00A9664F"/>
    <w:rsid w:val="00A96801"/>
    <w:rsid w:val="00A96A7B"/>
    <w:rsid w:val="00A96B18"/>
    <w:rsid w:val="00A96FA5"/>
    <w:rsid w:val="00A96FF2"/>
    <w:rsid w:val="00A97FEA"/>
    <w:rsid w:val="00AA0013"/>
    <w:rsid w:val="00AA027D"/>
    <w:rsid w:val="00AA02C2"/>
    <w:rsid w:val="00AA04C9"/>
    <w:rsid w:val="00AA0AF4"/>
    <w:rsid w:val="00AA11FC"/>
    <w:rsid w:val="00AA1253"/>
    <w:rsid w:val="00AA1E7D"/>
    <w:rsid w:val="00AA27D6"/>
    <w:rsid w:val="00AA46AD"/>
    <w:rsid w:val="00AA472F"/>
    <w:rsid w:val="00AA4874"/>
    <w:rsid w:val="00AA4A2F"/>
    <w:rsid w:val="00AA59F9"/>
    <w:rsid w:val="00AA5AE6"/>
    <w:rsid w:val="00AA70C4"/>
    <w:rsid w:val="00AA792F"/>
    <w:rsid w:val="00AB0423"/>
    <w:rsid w:val="00AB070A"/>
    <w:rsid w:val="00AB15A6"/>
    <w:rsid w:val="00AB1984"/>
    <w:rsid w:val="00AB1A7E"/>
    <w:rsid w:val="00AB1F30"/>
    <w:rsid w:val="00AB26C9"/>
    <w:rsid w:val="00AB2785"/>
    <w:rsid w:val="00AB2A36"/>
    <w:rsid w:val="00AB33A3"/>
    <w:rsid w:val="00AB3411"/>
    <w:rsid w:val="00AB34D7"/>
    <w:rsid w:val="00AB4179"/>
    <w:rsid w:val="00AB4943"/>
    <w:rsid w:val="00AB5A6B"/>
    <w:rsid w:val="00AB5CA1"/>
    <w:rsid w:val="00AB5CB3"/>
    <w:rsid w:val="00AB798D"/>
    <w:rsid w:val="00AC0D2A"/>
    <w:rsid w:val="00AC1A4D"/>
    <w:rsid w:val="00AC1D3B"/>
    <w:rsid w:val="00AC200A"/>
    <w:rsid w:val="00AC3419"/>
    <w:rsid w:val="00AC408E"/>
    <w:rsid w:val="00AC478D"/>
    <w:rsid w:val="00AC4DAD"/>
    <w:rsid w:val="00AC4ED3"/>
    <w:rsid w:val="00AC520E"/>
    <w:rsid w:val="00AC6402"/>
    <w:rsid w:val="00AC77A9"/>
    <w:rsid w:val="00AC7ADA"/>
    <w:rsid w:val="00AD02E0"/>
    <w:rsid w:val="00AD0C46"/>
    <w:rsid w:val="00AD0F27"/>
    <w:rsid w:val="00AD102E"/>
    <w:rsid w:val="00AD1CAC"/>
    <w:rsid w:val="00AD2626"/>
    <w:rsid w:val="00AD2744"/>
    <w:rsid w:val="00AD2980"/>
    <w:rsid w:val="00AD2BED"/>
    <w:rsid w:val="00AD2C08"/>
    <w:rsid w:val="00AD2F56"/>
    <w:rsid w:val="00AD3585"/>
    <w:rsid w:val="00AD3591"/>
    <w:rsid w:val="00AD3ED2"/>
    <w:rsid w:val="00AD4311"/>
    <w:rsid w:val="00AD454B"/>
    <w:rsid w:val="00AD47A0"/>
    <w:rsid w:val="00AD4A7E"/>
    <w:rsid w:val="00AD5821"/>
    <w:rsid w:val="00AD66BC"/>
    <w:rsid w:val="00AD6CFA"/>
    <w:rsid w:val="00AD6F19"/>
    <w:rsid w:val="00AD6F5F"/>
    <w:rsid w:val="00AD73C8"/>
    <w:rsid w:val="00AD7834"/>
    <w:rsid w:val="00AD7CDF"/>
    <w:rsid w:val="00AE04E4"/>
    <w:rsid w:val="00AE0AB7"/>
    <w:rsid w:val="00AE0B3F"/>
    <w:rsid w:val="00AE0B66"/>
    <w:rsid w:val="00AE11D6"/>
    <w:rsid w:val="00AE1406"/>
    <w:rsid w:val="00AE1A96"/>
    <w:rsid w:val="00AE2B57"/>
    <w:rsid w:val="00AE2E25"/>
    <w:rsid w:val="00AE30F9"/>
    <w:rsid w:val="00AE3270"/>
    <w:rsid w:val="00AE32ED"/>
    <w:rsid w:val="00AE365B"/>
    <w:rsid w:val="00AE379F"/>
    <w:rsid w:val="00AE397C"/>
    <w:rsid w:val="00AE46C4"/>
    <w:rsid w:val="00AE5E0F"/>
    <w:rsid w:val="00AE66E5"/>
    <w:rsid w:val="00AE6827"/>
    <w:rsid w:val="00AE6CAD"/>
    <w:rsid w:val="00AE7D04"/>
    <w:rsid w:val="00AE7D0F"/>
    <w:rsid w:val="00AE7FB0"/>
    <w:rsid w:val="00AF130F"/>
    <w:rsid w:val="00AF1380"/>
    <w:rsid w:val="00AF1EAF"/>
    <w:rsid w:val="00AF304F"/>
    <w:rsid w:val="00AF32BE"/>
    <w:rsid w:val="00AF341B"/>
    <w:rsid w:val="00AF37A3"/>
    <w:rsid w:val="00AF426F"/>
    <w:rsid w:val="00AF44E0"/>
    <w:rsid w:val="00AF4DA2"/>
    <w:rsid w:val="00AF586E"/>
    <w:rsid w:val="00AF58B6"/>
    <w:rsid w:val="00AF5A04"/>
    <w:rsid w:val="00AF6871"/>
    <w:rsid w:val="00AF755F"/>
    <w:rsid w:val="00AF761E"/>
    <w:rsid w:val="00AF7983"/>
    <w:rsid w:val="00AF7B16"/>
    <w:rsid w:val="00AF7C2C"/>
    <w:rsid w:val="00B0068D"/>
    <w:rsid w:val="00B00AB9"/>
    <w:rsid w:val="00B01326"/>
    <w:rsid w:val="00B01F26"/>
    <w:rsid w:val="00B02239"/>
    <w:rsid w:val="00B0275D"/>
    <w:rsid w:val="00B02BEC"/>
    <w:rsid w:val="00B0366F"/>
    <w:rsid w:val="00B04081"/>
    <w:rsid w:val="00B047EF"/>
    <w:rsid w:val="00B04873"/>
    <w:rsid w:val="00B04AE6"/>
    <w:rsid w:val="00B06926"/>
    <w:rsid w:val="00B06B3C"/>
    <w:rsid w:val="00B07E56"/>
    <w:rsid w:val="00B07F37"/>
    <w:rsid w:val="00B10774"/>
    <w:rsid w:val="00B10B14"/>
    <w:rsid w:val="00B112DD"/>
    <w:rsid w:val="00B11E3F"/>
    <w:rsid w:val="00B12419"/>
    <w:rsid w:val="00B124A2"/>
    <w:rsid w:val="00B12C3E"/>
    <w:rsid w:val="00B12E99"/>
    <w:rsid w:val="00B1310F"/>
    <w:rsid w:val="00B1354B"/>
    <w:rsid w:val="00B13906"/>
    <w:rsid w:val="00B1436A"/>
    <w:rsid w:val="00B14396"/>
    <w:rsid w:val="00B148CC"/>
    <w:rsid w:val="00B15103"/>
    <w:rsid w:val="00B16513"/>
    <w:rsid w:val="00B1663C"/>
    <w:rsid w:val="00B16716"/>
    <w:rsid w:val="00B16B35"/>
    <w:rsid w:val="00B16EA0"/>
    <w:rsid w:val="00B16F42"/>
    <w:rsid w:val="00B175EE"/>
    <w:rsid w:val="00B17814"/>
    <w:rsid w:val="00B17BB0"/>
    <w:rsid w:val="00B17BF4"/>
    <w:rsid w:val="00B2129A"/>
    <w:rsid w:val="00B2180D"/>
    <w:rsid w:val="00B21C4D"/>
    <w:rsid w:val="00B22AB2"/>
    <w:rsid w:val="00B23164"/>
    <w:rsid w:val="00B23184"/>
    <w:rsid w:val="00B23D3A"/>
    <w:rsid w:val="00B248A4"/>
    <w:rsid w:val="00B2513D"/>
    <w:rsid w:val="00B25651"/>
    <w:rsid w:val="00B259DE"/>
    <w:rsid w:val="00B25A82"/>
    <w:rsid w:val="00B25FCD"/>
    <w:rsid w:val="00B2609D"/>
    <w:rsid w:val="00B26B9C"/>
    <w:rsid w:val="00B26F24"/>
    <w:rsid w:val="00B270EB"/>
    <w:rsid w:val="00B271E3"/>
    <w:rsid w:val="00B27995"/>
    <w:rsid w:val="00B27BC1"/>
    <w:rsid w:val="00B27CA0"/>
    <w:rsid w:val="00B30616"/>
    <w:rsid w:val="00B30D80"/>
    <w:rsid w:val="00B30EB1"/>
    <w:rsid w:val="00B31628"/>
    <w:rsid w:val="00B31A08"/>
    <w:rsid w:val="00B31AE4"/>
    <w:rsid w:val="00B32209"/>
    <w:rsid w:val="00B329F2"/>
    <w:rsid w:val="00B32D63"/>
    <w:rsid w:val="00B331BD"/>
    <w:rsid w:val="00B34386"/>
    <w:rsid w:val="00B343AF"/>
    <w:rsid w:val="00B344A3"/>
    <w:rsid w:val="00B345F4"/>
    <w:rsid w:val="00B346EA"/>
    <w:rsid w:val="00B351B8"/>
    <w:rsid w:val="00B35295"/>
    <w:rsid w:val="00B3529C"/>
    <w:rsid w:val="00B352E8"/>
    <w:rsid w:val="00B358D9"/>
    <w:rsid w:val="00B36101"/>
    <w:rsid w:val="00B36790"/>
    <w:rsid w:val="00B367B5"/>
    <w:rsid w:val="00B36848"/>
    <w:rsid w:val="00B37166"/>
    <w:rsid w:val="00B37455"/>
    <w:rsid w:val="00B3745B"/>
    <w:rsid w:val="00B37557"/>
    <w:rsid w:val="00B37891"/>
    <w:rsid w:val="00B41A92"/>
    <w:rsid w:val="00B421E5"/>
    <w:rsid w:val="00B4266B"/>
    <w:rsid w:val="00B426EE"/>
    <w:rsid w:val="00B42840"/>
    <w:rsid w:val="00B42C0C"/>
    <w:rsid w:val="00B43A91"/>
    <w:rsid w:val="00B44260"/>
    <w:rsid w:val="00B443A6"/>
    <w:rsid w:val="00B44803"/>
    <w:rsid w:val="00B452D8"/>
    <w:rsid w:val="00B4561C"/>
    <w:rsid w:val="00B4562D"/>
    <w:rsid w:val="00B4570D"/>
    <w:rsid w:val="00B45D81"/>
    <w:rsid w:val="00B46086"/>
    <w:rsid w:val="00B46622"/>
    <w:rsid w:val="00B4689B"/>
    <w:rsid w:val="00B4757F"/>
    <w:rsid w:val="00B47674"/>
    <w:rsid w:val="00B47BCE"/>
    <w:rsid w:val="00B50D26"/>
    <w:rsid w:val="00B513EE"/>
    <w:rsid w:val="00B515F7"/>
    <w:rsid w:val="00B5185B"/>
    <w:rsid w:val="00B51C63"/>
    <w:rsid w:val="00B527D1"/>
    <w:rsid w:val="00B540E4"/>
    <w:rsid w:val="00B541AE"/>
    <w:rsid w:val="00B547C9"/>
    <w:rsid w:val="00B54F6E"/>
    <w:rsid w:val="00B5506A"/>
    <w:rsid w:val="00B55B76"/>
    <w:rsid w:val="00B56363"/>
    <w:rsid w:val="00B56A08"/>
    <w:rsid w:val="00B56D15"/>
    <w:rsid w:val="00B56FA6"/>
    <w:rsid w:val="00B57B37"/>
    <w:rsid w:val="00B57C1A"/>
    <w:rsid w:val="00B57D54"/>
    <w:rsid w:val="00B57FCF"/>
    <w:rsid w:val="00B60207"/>
    <w:rsid w:val="00B604CE"/>
    <w:rsid w:val="00B613C7"/>
    <w:rsid w:val="00B616D6"/>
    <w:rsid w:val="00B61B33"/>
    <w:rsid w:val="00B61B9F"/>
    <w:rsid w:val="00B62614"/>
    <w:rsid w:val="00B62850"/>
    <w:rsid w:val="00B62F5A"/>
    <w:rsid w:val="00B632C3"/>
    <w:rsid w:val="00B63ABC"/>
    <w:rsid w:val="00B64094"/>
    <w:rsid w:val="00B6412B"/>
    <w:rsid w:val="00B64211"/>
    <w:rsid w:val="00B64297"/>
    <w:rsid w:val="00B6453C"/>
    <w:rsid w:val="00B658BA"/>
    <w:rsid w:val="00B65B8A"/>
    <w:rsid w:val="00B65F92"/>
    <w:rsid w:val="00B65FD3"/>
    <w:rsid w:val="00B661ED"/>
    <w:rsid w:val="00B66661"/>
    <w:rsid w:val="00B66EDF"/>
    <w:rsid w:val="00B670A7"/>
    <w:rsid w:val="00B67A7F"/>
    <w:rsid w:val="00B704AE"/>
    <w:rsid w:val="00B707AB"/>
    <w:rsid w:val="00B70C34"/>
    <w:rsid w:val="00B71141"/>
    <w:rsid w:val="00B71C05"/>
    <w:rsid w:val="00B71D1C"/>
    <w:rsid w:val="00B71F47"/>
    <w:rsid w:val="00B724C6"/>
    <w:rsid w:val="00B72C7A"/>
    <w:rsid w:val="00B72DF4"/>
    <w:rsid w:val="00B73608"/>
    <w:rsid w:val="00B742EF"/>
    <w:rsid w:val="00B74583"/>
    <w:rsid w:val="00B76D67"/>
    <w:rsid w:val="00B77134"/>
    <w:rsid w:val="00B77398"/>
    <w:rsid w:val="00B77433"/>
    <w:rsid w:val="00B77436"/>
    <w:rsid w:val="00B776DB"/>
    <w:rsid w:val="00B77A50"/>
    <w:rsid w:val="00B77F7A"/>
    <w:rsid w:val="00B804B2"/>
    <w:rsid w:val="00B80923"/>
    <w:rsid w:val="00B80FDA"/>
    <w:rsid w:val="00B81C06"/>
    <w:rsid w:val="00B824E5"/>
    <w:rsid w:val="00B8297F"/>
    <w:rsid w:val="00B82C37"/>
    <w:rsid w:val="00B83624"/>
    <w:rsid w:val="00B8408E"/>
    <w:rsid w:val="00B840D4"/>
    <w:rsid w:val="00B844E0"/>
    <w:rsid w:val="00B8470E"/>
    <w:rsid w:val="00B84E01"/>
    <w:rsid w:val="00B85B31"/>
    <w:rsid w:val="00B86AD3"/>
    <w:rsid w:val="00B86B65"/>
    <w:rsid w:val="00B86E4D"/>
    <w:rsid w:val="00B86F3B"/>
    <w:rsid w:val="00B86FA5"/>
    <w:rsid w:val="00B87705"/>
    <w:rsid w:val="00B879C9"/>
    <w:rsid w:val="00B87FF8"/>
    <w:rsid w:val="00B90778"/>
    <w:rsid w:val="00B912FA"/>
    <w:rsid w:val="00B91642"/>
    <w:rsid w:val="00B91781"/>
    <w:rsid w:val="00B918AB"/>
    <w:rsid w:val="00B91C1B"/>
    <w:rsid w:val="00B92112"/>
    <w:rsid w:val="00B92AE1"/>
    <w:rsid w:val="00B92C61"/>
    <w:rsid w:val="00B92F64"/>
    <w:rsid w:val="00B93110"/>
    <w:rsid w:val="00B933DD"/>
    <w:rsid w:val="00B94762"/>
    <w:rsid w:val="00B95532"/>
    <w:rsid w:val="00B95BB7"/>
    <w:rsid w:val="00B95DEC"/>
    <w:rsid w:val="00B9709B"/>
    <w:rsid w:val="00B9723D"/>
    <w:rsid w:val="00B975E1"/>
    <w:rsid w:val="00B977CA"/>
    <w:rsid w:val="00B97EBB"/>
    <w:rsid w:val="00B97FDB"/>
    <w:rsid w:val="00BA0166"/>
    <w:rsid w:val="00BA0172"/>
    <w:rsid w:val="00BA075C"/>
    <w:rsid w:val="00BA1981"/>
    <w:rsid w:val="00BA1D6E"/>
    <w:rsid w:val="00BA2100"/>
    <w:rsid w:val="00BA21F8"/>
    <w:rsid w:val="00BA24AA"/>
    <w:rsid w:val="00BA2BBD"/>
    <w:rsid w:val="00BA39A8"/>
    <w:rsid w:val="00BA3C80"/>
    <w:rsid w:val="00BA4223"/>
    <w:rsid w:val="00BA4314"/>
    <w:rsid w:val="00BA516C"/>
    <w:rsid w:val="00BA56E3"/>
    <w:rsid w:val="00BA57C3"/>
    <w:rsid w:val="00BA5A57"/>
    <w:rsid w:val="00BA5C92"/>
    <w:rsid w:val="00BA60A4"/>
    <w:rsid w:val="00BA6A9A"/>
    <w:rsid w:val="00BA6CBB"/>
    <w:rsid w:val="00BA6D48"/>
    <w:rsid w:val="00BA6E02"/>
    <w:rsid w:val="00BA6F4E"/>
    <w:rsid w:val="00BA7435"/>
    <w:rsid w:val="00BA78EC"/>
    <w:rsid w:val="00BB0862"/>
    <w:rsid w:val="00BB163B"/>
    <w:rsid w:val="00BB24DA"/>
    <w:rsid w:val="00BB25D9"/>
    <w:rsid w:val="00BB2B9D"/>
    <w:rsid w:val="00BB2C74"/>
    <w:rsid w:val="00BB2EDC"/>
    <w:rsid w:val="00BB300E"/>
    <w:rsid w:val="00BB32F3"/>
    <w:rsid w:val="00BB383D"/>
    <w:rsid w:val="00BB3CE5"/>
    <w:rsid w:val="00BB3EA5"/>
    <w:rsid w:val="00BB43D0"/>
    <w:rsid w:val="00BB4A0A"/>
    <w:rsid w:val="00BB4C84"/>
    <w:rsid w:val="00BB55A2"/>
    <w:rsid w:val="00BB5A0E"/>
    <w:rsid w:val="00BB5A25"/>
    <w:rsid w:val="00BB5ACB"/>
    <w:rsid w:val="00BB608E"/>
    <w:rsid w:val="00BB681F"/>
    <w:rsid w:val="00BB6868"/>
    <w:rsid w:val="00BB6A48"/>
    <w:rsid w:val="00BB6B53"/>
    <w:rsid w:val="00BB6C41"/>
    <w:rsid w:val="00BB7669"/>
    <w:rsid w:val="00BB78F4"/>
    <w:rsid w:val="00BB7BEE"/>
    <w:rsid w:val="00BB7DB1"/>
    <w:rsid w:val="00BB7FB3"/>
    <w:rsid w:val="00BC005F"/>
    <w:rsid w:val="00BC0275"/>
    <w:rsid w:val="00BC051F"/>
    <w:rsid w:val="00BC0776"/>
    <w:rsid w:val="00BC08D3"/>
    <w:rsid w:val="00BC09A3"/>
    <w:rsid w:val="00BC0C4E"/>
    <w:rsid w:val="00BC0D8B"/>
    <w:rsid w:val="00BC0E40"/>
    <w:rsid w:val="00BC1450"/>
    <w:rsid w:val="00BC166A"/>
    <w:rsid w:val="00BC1755"/>
    <w:rsid w:val="00BC1D15"/>
    <w:rsid w:val="00BC1E1B"/>
    <w:rsid w:val="00BC2584"/>
    <w:rsid w:val="00BC2686"/>
    <w:rsid w:val="00BC2EFC"/>
    <w:rsid w:val="00BC324C"/>
    <w:rsid w:val="00BC341C"/>
    <w:rsid w:val="00BC3533"/>
    <w:rsid w:val="00BC369E"/>
    <w:rsid w:val="00BC4781"/>
    <w:rsid w:val="00BC48F3"/>
    <w:rsid w:val="00BC4AF9"/>
    <w:rsid w:val="00BC5548"/>
    <w:rsid w:val="00BC5BCD"/>
    <w:rsid w:val="00BC5DCE"/>
    <w:rsid w:val="00BC6D71"/>
    <w:rsid w:val="00BC7399"/>
    <w:rsid w:val="00BC7D9D"/>
    <w:rsid w:val="00BD0164"/>
    <w:rsid w:val="00BD0959"/>
    <w:rsid w:val="00BD0A1E"/>
    <w:rsid w:val="00BD0CC4"/>
    <w:rsid w:val="00BD0F95"/>
    <w:rsid w:val="00BD128A"/>
    <w:rsid w:val="00BD1403"/>
    <w:rsid w:val="00BD1E32"/>
    <w:rsid w:val="00BD2596"/>
    <w:rsid w:val="00BD2C1B"/>
    <w:rsid w:val="00BD31B8"/>
    <w:rsid w:val="00BD3408"/>
    <w:rsid w:val="00BD45A0"/>
    <w:rsid w:val="00BD4D81"/>
    <w:rsid w:val="00BD5502"/>
    <w:rsid w:val="00BD5801"/>
    <w:rsid w:val="00BD58E0"/>
    <w:rsid w:val="00BD5FB0"/>
    <w:rsid w:val="00BD60CB"/>
    <w:rsid w:val="00BD6B4C"/>
    <w:rsid w:val="00BD7477"/>
    <w:rsid w:val="00BD750C"/>
    <w:rsid w:val="00BD7AFE"/>
    <w:rsid w:val="00BD7D12"/>
    <w:rsid w:val="00BE0E74"/>
    <w:rsid w:val="00BE0E78"/>
    <w:rsid w:val="00BE197B"/>
    <w:rsid w:val="00BE1C7B"/>
    <w:rsid w:val="00BE1F7D"/>
    <w:rsid w:val="00BE24D3"/>
    <w:rsid w:val="00BE323E"/>
    <w:rsid w:val="00BE35EE"/>
    <w:rsid w:val="00BE3706"/>
    <w:rsid w:val="00BE39AA"/>
    <w:rsid w:val="00BE3A35"/>
    <w:rsid w:val="00BE3B56"/>
    <w:rsid w:val="00BE433B"/>
    <w:rsid w:val="00BE468A"/>
    <w:rsid w:val="00BE46D0"/>
    <w:rsid w:val="00BE4A90"/>
    <w:rsid w:val="00BE53BA"/>
    <w:rsid w:val="00BE6EDD"/>
    <w:rsid w:val="00BE7DE2"/>
    <w:rsid w:val="00BE7E7F"/>
    <w:rsid w:val="00BF02DC"/>
    <w:rsid w:val="00BF1106"/>
    <w:rsid w:val="00BF129D"/>
    <w:rsid w:val="00BF13DA"/>
    <w:rsid w:val="00BF16A8"/>
    <w:rsid w:val="00BF25F0"/>
    <w:rsid w:val="00BF2CD1"/>
    <w:rsid w:val="00BF4720"/>
    <w:rsid w:val="00BF50EF"/>
    <w:rsid w:val="00BF54DA"/>
    <w:rsid w:val="00BF6B90"/>
    <w:rsid w:val="00BF7C11"/>
    <w:rsid w:val="00BF7E27"/>
    <w:rsid w:val="00BF7EF3"/>
    <w:rsid w:val="00C01C3F"/>
    <w:rsid w:val="00C01C5C"/>
    <w:rsid w:val="00C01E01"/>
    <w:rsid w:val="00C02001"/>
    <w:rsid w:val="00C02613"/>
    <w:rsid w:val="00C03D4A"/>
    <w:rsid w:val="00C03E9E"/>
    <w:rsid w:val="00C042D4"/>
    <w:rsid w:val="00C045C4"/>
    <w:rsid w:val="00C048D8"/>
    <w:rsid w:val="00C0496B"/>
    <w:rsid w:val="00C04D2D"/>
    <w:rsid w:val="00C0527E"/>
    <w:rsid w:val="00C0570F"/>
    <w:rsid w:val="00C057C4"/>
    <w:rsid w:val="00C058B7"/>
    <w:rsid w:val="00C05E46"/>
    <w:rsid w:val="00C05E66"/>
    <w:rsid w:val="00C06541"/>
    <w:rsid w:val="00C068FF"/>
    <w:rsid w:val="00C069B6"/>
    <w:rsid w:val="00C06CE5"/>
    <w:rsid w:val="00C07438"/>
    <w:rsid w:val="00C07835"/>
    <w:rsid w:val="00C0789C"/>
    <w:rsid w:val="00C07D47"/>
    <w:rsid w:val="00C07F43"/>
    <w:rsid w:val="00C10267"/>
    <w:rsid w:val="00C10785"/>
    <w:rsid w:val="00C1105A"/>
    <w:rsid w:val="00C11CFC"/>
    <w:rsid w:val="00C11F32"/>
    <w:rsid w:val="00C12B77"/>
    <w:rsid w:val="00C13139"/>
    <w:rsid w:val="00C1333A"/>
    <w:rsid w:val="00C13923"/>
    <w:rsid w:val="00C13E68"/>
    <w:rsid w:val="00C140F9"/>
    <w:rsid w:val="00C15421"/>
    <w:rsid w:val="00C15436"/>
    <w:rsid w:val="00C15506"/>
    <w:rsid w:val="00C15942"/>
    <w:rsid w:val="00C15F24"/>
    <w:rsid w:val="00C16752"/>
    <w:rsid w:val="00C16D9B"/>
    <w:rsid w:val="00C177D3"/>
    <w:rsid w:val="00C17ABA"/>
    <w:rsid w:val="00C2009F"/>
    <w:rsid w:val="00C2071C"/>
    <w:rsid w:val="00C20D93"/>
    <w:rsid w:val="00C20E19"/>
    <w:rsid w:val="00C20FB3"/>
    <w:rsid w:val="00C2116F"/>
    <w:rsid w:val="00C214C9"/>
    <w:rsid w:val="00C21BB8"/>
    <w:rsid w:val="00C227F2"/>
    <w:rsid w:val="00C2297F"/>
    <w:rsid w:val="00C22CB9"/>
    <w:rsid w:val="00C235BF"/>
    <w:rsid w:val="00C24AF9"/>
    <w:rsid w:val="00C25131"/>
    <w:rsid w:val="00C25232"/>
    <w:rsid w:val="00C253FD"/>
    <w:rsid w:val="00C25D07"/>
    <w:rsid w:val="00C25F88"/>
    <w:rsid w:val="00C26123"/>
    <w:rsid w:val="00C26EF8"/>
    <w:rsid w:val="00C27223"/>
    <w:rsid w:val="00C27BAD"/>
    <w:rsid w:val="00C30207"/>
    <w:rsid w:val="00C30288"/>
    <w:rsid w:val="00C30CDE"/>
    <w:rsid w:val="00C3164D"/>
    <w:rsid w:val="00C31BE0"/>
    <w:rsid w:val="00C32A7B"/>
    <w:rsid w:val="00C32DB9"/>
    <w:rsid w:val="00C32E98"/>
    <w:rsid w:val="00C333E4"/>
    <w:rsid w:val="00C33688"/>
    <w:rsid w:val="00C34380"/>
    <w:rsid w:val="00C347F5"/>
    <w:rsid w:val="00C34E39"/>
    <w:rsid w:val="00C357F3"/>
    <w:rsid w:val="00C35BBA"/>
    <w:rsid w:val="00C35F1D"/>
    <w:rsid w:val="00C35FE5"/>
    <w:rsid w:val="00C365D3"/>
    <w:rsid w:val="00C3776B"/>
    <w:rsid w:val="00C37CC9"/>
    <w:rsid w:val="00C37D27"/>
    <w:rsid w:val="00C37E4B"/>
    <w:rsid w:val="00C4030B"/>
    <w:rsid w:val="00C40A9A"/>
    <w:rsid w:val="00C40D96"/>
    <w:rsid w:val="00C4150E"/>
    <w:rsid w:val="00C41B2F"/>
    <w:rsid w:val="00C41C71"/>
    <w:rsid w:val="00C4290C"/>
    <w:rsid w:val="00C430AB"/>
    <w:rsid w:val="00C43365"/>
    <w:rsid w:val="00C43C6A"/>
    <w:rsid w:val="00C43DB7"/>
    <w:rsid w:val="00C44CF8"/>
    <w:rsid w:val="00C45DB8"/>
    <w:rsid w:val="00C46121"/>
    <w:rsid w:val="00C46E1A"/>
    <w:rsid w:val="00C505B0"/>
    <w:rsid w:val="00C50977"/>
    <w:rsid w:val="00C509EB"/>
    <w:rsid w:val="00C50F5F"/>
    <w:rsid w:val="00C51256"/>
    <w:rsid w:val="00C513C7"/>
    <w:rsid w:val="00C51635"/>
    <w:rsid w:val="00C5198B"/>
    <w:rsid w:val="00C51A43"/>
    <w:rsid w:val="00C521C0"/>
    <w:rsid w:val="00C52709"/>
    <w:rsid w:val="00C5272E"/>
    <w:rsid w:val="00C528BB"/>
    <w:rsid w:val="00C531DC"/>
    <w:rsid w:val="00C55018"/>
    <w:rsid w:val="00C55C3C"/>
    <w:rsid w:val="00C55DF0"/>
    <w:rsid w:val="00C562A5"/>
    <w:rsid w:val="00C569A8"/>
    <w:rsid w:val="00C574BF"/>
    <w:rsid w:val="00C578D8"/>
    <w:rsid w:val="00C57F7E"/>
    <w:rsid w:val="00C600DC"/>
    <w:rsid w:val="00C608D3"/>
    <w:rsid w:val="00C6106C"/>
    <w:rsid w:val="00C61077"/>
    <w:rsid w:val="00C612F2"/>
    <w:rsid w:val="00C625C8"/>
    <w:rsid w:val="00C62B78"/>
    <w:rsid w:val="00C6359B"/>
    <w:rsid w:val="00C63D92"/>
    <w:rsid w:val="00C64025"/>
    <w:rsid w:val="00C641EC"/>
    <w:rsid w:val="00C64739"/>
    <w:rsid w:val="00C648E8"/>
    <w:rsid w:val="00C64CB7"/>
    <w:rsid w:val="00C65BC4"/>
    <w:rsid w:val="00C65C1C"/>
    <w:rsid w:val="00C66597"/>
    <w:rsid w:val="00C67151"/>
    <w:rsid w:val="00C673F7"/>
    <w:rsid w:val="00C702C5"/>
    <w:rsid w:val="00C70526"/>
    <w:rsid w:val="00C7076B"/>
    <w:rsid w:val="00C711FA"/>
    <w:rsid w:val="00C712FF"/>
    <w:rsid w:val="00C719FC"/>
    <w:rsid w:val="00C720DA"/>
    <w:rsid w:val="00C72191"/>
    <w:rsid w:val="00C72633"/>
    <w:rsid w:val="00C7429D"/>
    <w:rsid w:val="00C74DC7"/>
    <w:rsid w:val="00C75618"/>
    <w:rsid w:val="00C75CC5"/>
    <w:rsid w:val="00C75ED0"/>
    <w:rsid w:val="00C76E5F"/>
    <w:rsid w:val="00C77792"/>
    <w:rsid w:val="00C77AFC"/>
    <w:rsid w:val="00C800FD"/>
    <w:rsid w:val="00C8041E"/>
    <w:rsid w:val="00C80479"/>
    <w:rsid w:val="00C806DD"/>
    <w:rsid w:val="00C80798"/>
    <w:rsid w:val="00C81053"/>
    <w:rsid w:val="00C8168A"/>
    <w:rsid w:val="00C819C7"/>
    <w:rsid w:val="00C82779"/>
    <w:rsid w:val="00C831D8"/>
    <w:rsid w:val="00C833E7"/>
    <w:rsid w:val="00C83613"/>
    <w:rsid w:val="00C8365B"/>
    <w:rsid w:val="00C83E6D"/>
    <w:rsid w:val="00C84205"/>
    <w:rsid w:val="00C848A5"/>
    <w:rsid w:val="00C84EE1"/>
    <w:rsid w:val="00C84EFE"/>
    <w:rsid w:val="00C853BD"/>
    <w:rsid w:val="00C858B8"/>
    <w:rsid w:val="00C85948"/>
    <w:rsid w:val="00C85952"/>
    <w:rsid w:val="00C85B18"/>
    <w:rsid w:val="00C8684B"/>
    <w:rsid w:val="00C86ED0"/>
    <w:rsid w:val="00C870D1"/>
    <w:rsid w:val="00C876EF"/>
    <w:rsid w:val="00C87A53"/>
    <w:rsid w:val="00C87F46"/>
    <w:rsid w:val="00C90127"/>
    <w:rsid w:val="00C901EE"/>
    <w:rsid w:val="00C90A67"/>
    <w:rsid w:val="00C91B68"/>
    <w:rsid w:val="00C92056"/>
    <w:rsid w:val="00C923B3"/>
    <w:rsid w:val="00C92820"/>
    <w:rsid w:val="00C9400F"/>
    <w:rsid w:val="00C9477B"/>
    <w:rsid w:val="00C94A7A"/>
    <w:rsid w:val="00C9514C"/>
    <w:rsid w:val="00C95585"/>
    <w:rsid w:val="00C958AC"/>
    <w:rsid w:val="00C958BA"/>
    <w:rsid w:val="00C965D7"/>
    <w:rsid w:val="00C96A15"/>
    <w:rsid w:val="00C97CDD"/>
    <w:rsid w:val="00CA004F"/>
    <w:rsid w:val="00CA0ACF"/>
    <w:rsid w:val="00CA28FA"/>
    <w:rsid w:val="00CA295E"/>
    <w:rsid w:val="00CA2B7E"/>
    <w:rsid w:val="00CA3244"/>
    <w:rsid w:val="00CA391F"/>
    <w:rsid w:val="00CA3D26"/>
    <w:rsid w:val="00CA4E7E"/>
    <w:rsid w:val="00CA5512"/>
    <w:rsid w:val="00CA5739"/>
    <w:rsid w:val="00CA5843"/>
    <w:rsid w:val="00CA5B26"/>
    <w:rsid w:val="00CA5D66"/>
    <w:rsid w:val="00CA5EDF"/>
    <w:rsid w:val="00CA6515"/>
    <w:rsid w:val="00CA6566"/>
    <w:rsid w:val="00CA67F7"/>
    <w:rsid w:val="00CA70A4"/>
    <w:rsid w:val="00CA73A7"/>
    <w:rsid w:val="00CA7B14"/>
    <w:rsid w:val="00CA7CF3"/>
    <w:rsid w:val="00CA7FC7"/>
    <w:rsid w:val="00CB04EF"/>
    <w:rsid w:val="00CB11F8"/>
    <w:rsid w:val="00CB1308"/>
    <w:rsid w:val="00CB16F9"/>
    <w:rsid w:val="00CB1B4A"/>
    <w:rsid w:val="00CB1EE3"/>
    <w:rsid w:val="00CB2E8A"/>
    <w:rsid w:val="00CB2F42"/>
    <w:rsid w:val="00CB2F66"/>
    <w:rsid w:val="00CB3106"/>
    <w:rsid w:val="00CB423F"/>
    <w:rsid w:val="00CB43F2"/>
    <w:rsid w:val="00CB4587"/>
    <w:rsid w:val="00CB46DB"/>
    <w:rsid w:val="00CB5CAF"/>
    <w:rsid w:val="00CB6153"/>
    <w:rsid w:val="00CB6746"/>
    <w:rsid w:val="00CB6FD5"/>
    <w:rsid w:val="00CB70C4"/>
    <w:rsid w:val="00CB7632"/>
    <w:rsid w:val="00CB77C1"/>
    <w:rsid w:val="00CB7E02"/>
    <w:rsid w:val="00CC0407"/>
    <w:rsid w:val="00CC0670"/>
    <w:rsid w:val="00CC0A17"/>
    <w:rsid w:val="00CC0CFA"/>
    <w:rsid w:val="00CC0E2A"/>
    <w:rsid w:val="00CC206D"/>
    <w:rsid w:val="00CC24AA"/>
    <w:rsid w:val="00CC3A82"/>
    <w:rsid w:val="00CC3BD3"/>
    <w:rsid w:val="00CC4857"/>
    <w:rsid w:val="00CC48E9"/>
    <w:rsid w:val="00CC5564"/>
    <w:rsid w:val="00CC55EF"/>
    <w:rsid w:val="00CC5F56"/>
    <w:rsid w:val="00CC647A"/>
    <w:rsid w:val="00CC6714"/>
    <w:rsid w:val="00CC67C5"/>
    <w:rsid w:val="00CC6F63"/>
    <w:rsid w:val="00CC72B9"/>
    <w:rsid w:val="00CC7339"/>
    <w:rsid w:val="00CD0B8B"/>
    <w:rsid w:val="00CD131B"/>
    <w:rsid w:val="00CD1697"/>
    <w:rsid w:val="00CD1A2B"/>
    <w:rsid w:val="00CD1CB1"/>
    <w:rsid w:val="00CD1CBD"/>
    <w:rsid w:val="00CD225D"/>
    <w:rsid w:val="00CD2DF3"/>
    <w:rsid w:val="00CD4269"/>
    <w:rsid w:val="00CD4718"/>
    <w:rsid w:val="00CD4AB4"/>
    <w:rsid w:val="00CD53C9"/>
    <w:rsid w:val="00CD5574"/>
    <w:rsid w:val="00CD5893"/>
    <w:rsid w:val="00CD5B75"/>
    <w:rsid w:val="00CD5D2F"/>
    <w:rsid w:val="00CD64E0"/>
    <w:rsid w:val="00CD66DD"/>
    <w:rsid w:val="00CD6DED"/>
    <w:rsid w:val="00CD7350"/>
    <w:rsid w:val="00CD74DA"/>
    <w:rsid w:val="00CD7928"/>
    <w:rsid w:val="00CE02EA"/>
    <w:rsid w:val="00CE085A"/>
    <w:rsid w:val="00CE09DC"/>
    <w:rsid w:val="00CE0E44"/>
    <w:rsid w:val="00CE101F"/>
    <w:rsid w:val="00CE153E"/>
    <w:rsid w:val="00CE1CFC"/>
    <w:rsid w:val="00CE279A"/>
    <w:rsid w:val="00CE2EEE"/>
    <w:rsid w:val="00CE34AE"/>
    <w:rsid w:val="00CE34FE"/>
    <w:rsid w:val="00CE35B2"/>
    <w:rsid w:val="00CE40A2"/>
    <w:rsid w:val="00CE4144"/>
    <w:rsid w:val="00CE48BE"/>
    <w:rsid w:val="00CE4A00"/>
    <w:rsid w:val="00CE50AF"/>
    <w:rsid w:val="00CE58E1"/>
    <w:rsid w:val="00CE5E24"/>
    <w:rsid w:val="00CE6306"/>
    <w:rsid w:val="00CE6ADB"/>
    <w:rsid w:val="00CE745B"/>
    <w:rsid w:val="00CE74AD"/>
    <w:rsid w:val="00CE76D3"/>
    <w:rsid w:val="00CE7D0F"/>
    <w:rsid w:val="00CF0247"/>
    <w:rsid w:val="00CF04A0"/>
    <w:rsid w:val="00CF0855"/>
    <w:rsid w:val="00CF1A56"/>
    <w:rsid w:val="00CF275A"/>
    <w:rsid w:val="00CF2F08"/>
    <w:rsid w:val="00CF32E1"/>
    <w:rsid w:val="00CF417A"/>
    <w:rsid w:val="00CF41A7"/>
    <w:rsid w:val="00CF48D9"/>
    <w:rsid w:val="00CF53A8"/>
    <w:rsid w:val="00CF5B16"/>
    <w:rsid w:val="00CF6318"/>
    <w:rsid w:val="00CF6FC8"/>
    <w:rsid w:val="00CF704C"/>
    <w:rsid w:val="00D006AB"/>
    <w:rsid w:val="00D01716"/>
    <w:rsid w:val="00D01CAE"/>
    <w:rsid w:val="00D033BD"/>
    <w:rsid w:val="00D0346D"/>
    <w:rsid w:val="00D03698"/>
    <w:rsid w:val="00D03BC8"/>
    <w:rsid w:val="00D03F69"/>
    <w:rsid w:val="00D04318"/>
    <w:rsid w:val="00D048BD"/>
    <w:rsid w:val="00D048EA"/>
    <w:rsid w:val="00D05340"/>
    <w:rsid w:val="00D0555B"/>
    <w:rsid w:val="00D05839"/>
    <w:rsid w:val="00D05A45"/>
    <w:rsid w:val="00D05BDD"/>
    <w:rsid w:val="00D06101"/>
    <w:rsid w:val="00D06621"/>
    <w:rsid w:val="00D06822"/>
    <w:rsid w:val="00D06D0B"/>
    <w:rsid w:val="00D07230"/>
    <w:rsid w:val="00D07B3B"/>
    <w:rsid w:val="00D110FB"/>
    <w:rsid w:val="00D11BD2"/>
    <w:rsid w:val="00D1241C"/>
    <w:rsid w:val="00D12671"/>
    <w:rsid w:val="00D12B65"/>
    <w:rsid w:val="00D12DAE"/>
    <w:rsid w:val="00D12EAF"/>
    <w:rsid w:val="00D13FD7"/>
    <w:rsid w:val="00D1421B"/>
    <w:rsid w:val="00D14B0F"/>
    <w:rsid w:val="00D14D08"/>
    <w:rsid w:val="00D158E3"/>
    <w:rsid w:val="00D15C03"/>
    <w:rsid w:val="00D16316"/>
    <w:rsid w:val="00D173BF"/>
    <w:rsid w:val="00D173E8"/>
    <w:rsid w:val="00D17F2E"/>
    <w:rsid w:val="00D20517"/>
    <w:rsid w:val="00D20E2A"/>
    <w:rsid w:val="00D21401"/>
    <w:rsid w:val="00D21E5D"/>
    <w:rsid w:val="00D2221E"/>
    <w:rsid w:val="00D223B5"/>
    <w:rsid w:val="00D22775"/>
    <w:rsid w:val="00D22B3E"/>
    <w:rsid w:val="00D2316F"/>
    <w:rsid w:val="00D2373C"/>
    <w:rsid w:val="00D24344"/>
    <w:rsid w:val="00D24D8B"/>
    <w:rsid w:val="00D24DB6"/>
    <w:rsid w:val="00D25C98"/>
    <w:rsid w:val="00D25DD9"/>
    <w:rsid w:val="00D260C4"/>
    <w:rsid w:val="00D26540"/>
    <w:rsid w:val="00D267E7"/>
    <w:rsid w:val="00D272C5"/>
    <w:rsid w:val="00D2731A"/>
    <w:rsid w:val="00D27703"/>
    <w:rsid w:val="00D27742"/>
    <w:rsid w:val="00D27EFA"/>
    <w:rsid w:val="00D3001E"/>
    <w:rsid w:val="00D3063F"/>
    <w:rsid w:val="00D30723"/>
    <w:rsid w:val="00D3128F"/>
    <w:rsid w:val="00D326DD"/>
    <w:rsid w:val="00D35169"/>
    <w:rsid w:val="00D35C12"/>
    <w:rsid w:val="00D362BA"/>
    <w:rsid w:val="00D36E45"/>
    <w:rsid w:val="00D3742A"/>
    <w:rsid w:val="00D37E18"/>
    <w:rsid w:val="00D37FC4"/>
    <w:rsid w:val="00D4006D"/>
    <w:rsid w:val="00D400AF"/>
    <w:rsid w:val="00D401CD"/>
    <w:rsid w:val="00D40255"/>
    <w:rsid w:val="00D408E8"/>
    <w:rsid w:val="00D40FDA"/>
    <w:rsid w:val="00D4197D"/>
    <w:rsid w:val="00D41D16"/>
    <w:rsid w:val="00D4232F"/>
    <w:rsid w:val="00D42A22"/>
    <w:rsid w:val="00D42A72"/>
    <w:rsid w:val="00D43A38"/>
    <w:rsid w:val="00D43ACD"/>
    <w:rsid w:val="00D43B16"/>
    <w:rsid w:val="00D43EFC"/>
    <w:rsid w:val="00D43FB4"/>
    <w:rsid w:val="00D44461"/>
    <w:rsid w:val="00D44DFC"/>
    <w:rsid w:val="00D44E13"/>
    <w:rsid w:val="00D44E2F"/>
    <w:rsid w:val="00D450C5"/>
    <w:rsid w:val="00D45527"/>
    <w:rsid w:val="00D45631"/>
    <w:rsid w:val="00D45822"/>
    <w:rsid w:val="00D461AA"/>
    <w:rsid w:val="00D461E2"/>
    <w:rsid w:val="00D46F98"/>
    <w:rsid w:val="00D47639"/>
    <w:rsid w:val="00D47A23"/>
    <w:rsid w:val="00D47CF7"/>
    <w:rsid w:val="00D508C6"/>
    <w:rsid w:val="00D50C9A"/>
    <w:rsid w:val="00D5124F"/>
    <w:rsid w:val="00D51548"/>
    <w:rsid w:val="00D51D94"/>
    <w:rsid w:val="00D52132"/>
    <w:rsid w:val="00D52C33"/>
    <w:rsid w:val="00D52E98"/>
    <w:rsid w:val="00D53902"/>
    <w:rsid w:val="00D53D0A"/>
    <w:rsid w:val="00D53EDF"/>
    <w:rsid w:val="00D5408D"/>
    <w:rsid w:val="00D54629"/>
    <w:rsid w:val="00D54DB7"/>
    <w:rsid w:val="00D54F1C"/>
    <w:rsid w:val="00D5544E"/>
    <w:rsid w:val="00D55538"/>
    <w:rsid w:val="00D5554D"/>
    <w:rsid w:val="00D55AD0"/>
    <w:rsid w:val="00D5635C"/>
    <w:rsid w:val="00D56E3B"/>
    <w:rsid w:val="00D57594"/>
    <w:rsid w:val="00D575E1"/>
    <w:rsid w:val="00D57705"/>
    <w:rsid w:val="00D57F8E"/>
    <w:rsid w:val="00D604DC"/>
    <w:rsid w:val="00D60672"/>
    <w:rsid w:val="00D61A6D"/>
    <w:rsid w:val="00D61BF6"/>
    <w:rsid w:val="00D628F9"/>
    <w:rsid w:val="00D62F4C"/>
    <w:rsid w:val="00D635B2"/>
    <w:rsid w:val="00D636C6"/>
    <w:rsid w:val="00D63860"/>
    <w:rsid w:val="00D63CBA"/>
    <w:rsid w:val="00D647A3"/>
    <w:rsid w:val="00D647AC"/>
    <w:rsid w:val="00D651DB"/>
    <w:rsid w:val="00D65646"/>
    <w:rsid w:val="00D65D5C"/>
    <w:rsid w:val="00D6606A"/>
    <w:rsid w:val="00D66B01"/>
    <w:rsid w:val="00D677EE"/>
    <w:rsid w:val="00D7033D"/>
    <w:rsid w:val="00D7075F"/>
    <w:rsid w:val="00D70C4F"/>
    <w:rsid w:val="00D71083"/>
    <w:rsid w:val="00D7118D"/>
    <w:rsid w:val="00D71980"/>
    <w:rsid w:val="00D71FD9"/>
    <w:rsid w:val="00D72642"/>
    <w:rsid w:val="00D72A98"/>
    <w:rsid w:val="00D72DC5"/>
    <w:rsid w:val="00D73060"/>
    <w:rsid w:val="00D7322A"/>
    <w:rsid w:val="00D73527"/>
    <w:rsid w:val="00D735A7"/>
    <w:rsid w:val="00D73BAE"/>
    <w:rsid w:val="00D7407B"/>
    <w:rsid w:val="00D74416"/>
    <w:rsid w:val="00D748C5"/>
    <w:rsid w:val="00D74D4C"/>
    <w:rsid w:val="00D74F67"/>
    <w:rsid w:val="00D74F73"/>
    <w:rsid w:val="00D75548"/>
    <w:rsid w:val="00D75AE1"/>
    <w:rsid w:val="00D77BA4"/>
    <w:rsid w:val="00D77E38"/>
    <w:rsid w:val="00D81657"/>
    <w:rsid w:val="00D81BEE"/>
    <w:rsid w:val="00D81EA4"/>
    <w:rsid w:val="00D81EB9"/>
    <w:rsid w:val="00D82287"/>
    <w:rsid w:val="00D82A59"/>
    <w:rsid w:val="00D82B84"/>
    <w:rsid w:val="00D837CB"/>
    <w:rsid w:val="00D83AE3"/>
    <w:rsid w:val="00D84610"/>
    <w:rsid w:val="00D84977"/>
    <w:rsid w:val="00D84A39"/>
    <w:rsid w:val="00D8521A"/>
    <w:rsid w:val="00D85357"/>
    <w:rsid w:val="00D85561"/>
    <w:rsid w:val="00D857D4"/>
    <w:rsid w:val="00D85A95"/>
    <w:rsid w:val="00D87560"/>
    <w:rsid w:val="00D8792A"/>
    <w:rsid w:val="00D87CF7"/>
    <w:rsid w:val="00D90D99"/>
    <w:rsid w:val="00D9153A"/>
    <w:rsid w:val="00D9189B"/>
    <w:rsid w:val="00D91C72"/>
    <w:rsid w:val="00D91D88"/>
    <w:rsid w:val="00D92AAE"/>
    <w:rsid w:val="00D92BF5"/>
    <w:rsid w:val="00D937AD"/>
    <w:rsid w:val="00D93948"/>
    <w:rsid w:val="00D945F6"/>
    <w:rsid w:val="00D949F2"/>
    <w:rsid w:val="00D9541E"/>
    <w:rsid w:val="00D9547F"/>
    <w:rsid w:val="00D95568"/>
    <w:rsid w:val="00D95971"/>
    <w:rsid w:val="00DA0260"/>
    <w:rsid w:val="00DA046C"/>
    <w:rsid w:val="00DA0A6C"/>
    <w:rsid w:val="00DA0F6F"/>
    <w:rsid w:val="00DA0FFE"/>
    <w:rsid w:val="00DA1394"/>
    <w:rsid w:val="00DA1773"/>
    <w:rsid w:val="00DA1780"/>
    <w:rsid w:val="00DA185F"/>
    <w:rsid w:val="00DA1F63"/>
    <w:rsid w:val="00DA201C"/>
    <w:rsid w:val="00DA21FE"/>
    <w:rsid w:val="00DA2289"/>
    <w:rsid w:val="00DA296C"/>
    <w:rsid w:val="00DA2D4A"/>
    <w:rsid w:val="00DA2E0B"/>
    <w:rsid w:val="00DA3529"/>
    <w:rsid w:val="00DA3DB6"/>
    <w:rsid w:val="00DA42C2"/>
    <w:rsid w:val="00DA4876"/>
    <w:rsid w:val="00DA4C57"/>
    <w:rsid w:val="00DA4E40"/>
    <w:rsid w:val="00DA5E33"/>
    <w:rsid w:val="00DA5F81"/>
    <w:rsid w:val="00DA6233"/>
    <w:rsid w:val="00DA6EBA"/>
    <w:rsid w:val="00DA79D0"/>
    <w:rsid w:val="00DB03E4"/>
    <w:rsid w:val="00DB0B9B"/>
    <w:rsid w:val="00DB1198"/>
    <w:rsid w:val="00DB13A8"/>
    <w:rsid w:val="00DB1647"/>
    <w:rsid w:val="00DB17E6"/>
    <w:rsid w:val="00DB24A2"/>
    <w:rsid w:val="00DB26F2"/>
    <w:rsid w:val="00DB2708"/>
    <w:rsid w:val="00DB2F0A"/>
    <w:rsid w:val="00DB3473"/>
    <w:rsid w:val="00DB3A63"/>
    <w:rsid w:val="00DB5E1E"/>
    <w:rsid w:val="00DB6EAA"/>
    <w:rsid w:val="00DC0BDF"/>
    <w:rsid w:val="00DC0D3E"/>
    <w:rsid w:val="00DC16C1"/>
    <w:rsid w:val="00DC1BFB"/>
    <w:rsid w:val="00DC3492"/>
    <w:rsid w:val="00DC3582"/>
    <w:rsid w:val="00DC49A1"/>
    <w:rsid w:val="00DC59F0"/>
    <w:rsid w:val="00DC5B81"/>
    <w:rsid w:val="00DC65AB"/>
    <w:rsid w:val="00DC7004"/>
    <w:rsid w:val="00DC701C"/>
    <w:rsid w:val="00DC7195"/>
    <w:rsid w:val="00DC79E1"/>
    <w:rsid w:val="00DC7A18"/>
    <w:rsid w:val="00DC7B9F"/>
    <w:rsid w:val="00DD0342"/>
    <w:rsid w:val="00DD060C"/>
    <w:rsid w:val="00DD06C2"/>
    <w:rsid w:val="00DD075B"/>
    <w:rsid w:val="00DD111C"/>
    <w:rsid w:val="00DD13FA"/>
    <w:rsid w:val="00DD17AB"/>
    <w:rsid w:val="00DD194A"/>
    <w:rsid w:val="00DD2889"/>
    <w:rsid w:val="00DD2E8D"/>
    <w:rsid w:val="00DD36F6"/>
    <w:rsid w:val="00DD3E9E"/>
    <w:rsid w:val="00DD421A"/>
    <w:rsid w:val="00DD42FC"/>
    <w:rsid w:val="00DD4633"/>
    <w:rsid w:val="00DD46E1"/>
    <w:rsid w:val="00DD56A3"/>
    <w:rsid w:val="00DD5B72"/>
    <w:rsid w:val="00DD656D"/>
    <w:rsid w:val="00DD6FC3"/>
    <w:rsid w:val="00DD7458"/>
    <w:rsid w:val="00DD7A21"/>
    <w:rsid w:val="00DE0B42"/>
    <w:rsid w:val="00DE0CF3"/>
    <w:rsid w:val="00DE1802"/>
    <w:rsid w:val="00DE188D"/>
    <w:rsid w:val="00DE2335"/>
    <w:rsid w:val="00DE2962"/>
    <w:rsid w:val="00DE2BF5"/>
    <w:rsid w:val="00DE327C"/>
    <w:rsid w:val="00DE3758"/>
    <w:rsid w:val="00DE3ED1"/>
    <w:rsid w:val="00DE465D"/>
    <w:rsid w:val="00DE4A28"/>
    <w:rsid w:val="00DE4EF1"/>
    <w:rsid w:val="00DE5013"/>
    <w:rsid w:val="00DE51F2"/>
    <w:rsid w:val="00DE5239"/>
    <w:rsid w:val="00DE595A"/>
    <w:rsid w:val="00DE5D2F"/>
    <w:rsid w:val="00DE6A62"/>
    <w:rsid w:val="00DE794E"/>
    <w:rsid w:val="00DE7F1A"/>
    <w:rsid w:val="00DF0580"/>
    <w:rsid w:val="00DF0724"/>
    <w:rsid w:val="00DF1DCF"/>
    <w:rsid w:val="00DF29E7"/>
    <w:rsid w:val="00DF2DCF"/>
    <w:rsid w:val="00DF34D0"/>
    <w:rsid w:val="00DF3766"/>
    <w:rsid w:val="00DF3D7B"/>
    <w:rsid w:val="00DF401A"/>
    <w:rsid w:val="00DF4827"/>
    <w:rsid w:val="00DF490B"/>
    <w:rsid w:val="00DF4B5F"/>
    <w:rsid w:val="00DF4EE3"/>
    <w:rsid w:val="00DF5023"/>
    <w:rsid w:val="00DF533B"/>
    <w:rsid w:val="00DF55DD"/>
    <w:rsid w:val="00DF5689"/>
    <w:rsid w:val="00DF6158"/>
    <w:rsid w:val="00DF6AD0"/>
    <w:rsid w:val="00DF6BF7"/>
    <w:rsid w:val="00E001B8"/>
    <w:rsid w:val="00E00218"/>
    <w:rsid w:val="00E01101"/>
    <w:rsid w:val="00E01162"/>
    <w:rsid w:val="00E0153B"/>
    <w:rsid w:val="00E01692"/>
    <w:rsid w:val="00E0217C"/>
    <w:rsid w:val="00E02839"/>
    <w:rsid w:val="00E0283B"/>
    <w:rsid w:val="00E02875"/>
    <w:rsid w:val="00E038BA"/>
    <w:rsid w:val="00E03F29"/>
    <w:rsid w:val="00E04FA1"/>
    <w:rsid w:val="00E05285"/>
    <w:rsid w:val="00E05EDF"/>
    <w:rsid w:val="00E06B53"/>
    <w:rsid w:val="00E06C2F"/>
    <w:rsid w:val="00E06C8C"/>
    <w:rsid w:val="00E07387"/>
    <w:rsid w:val="00E0750E"/>
    <w:rsid w:val="00E102BC"/>
    <w:rsid w:val="00E103AE"/>
    <w:rsid w:val="00E10B11"/>
    <w:rsid w:val="00E10D05"/>
    <w:rsid w:val="00E10D93"/>
    <w:rsid w:val="00E115B1"/>
    <w:rsid w:val="00E119F9"/>
    <w:rsid w:val="00E12353"/>
    <w:rsid w:val="00E125CE"/>
    <w:rsid w:val="00E12D79"/>
    <w:rsid w:val="00E13397"/>
    <w:rsid w:val="00E13616"/>
    <w:rsid w:val="00E15441"/>
    <w:rsid w:val="00E161CE"/>
    <w:rsid w:val="00E1641B"/>
    <w:rsid w:val="00E167F2"/>
    <w:rsid w:val="00E167F4"/>
    <w:rsid w:val="00E17719"/>
    <w:rsid w:val="00E17871"/>
    <w:rsid w:val="00E17A06"/>
    <w:rsid w:val="00E17A48"/>
    <w:rsid w:val="00E201EA"/>
    <w:rsid w:val="00E2081A"/>
    <w:rsid w:val="00E20822"/>
    <w:rsid w:val="00E214A5"/>
    <w:rsid w:val="00E2174A"/>
    <w:rsid w:val="00E21F08"/>
    <w:rsid w:val="00E24096"/>
    <w:rsid w:val="00E241F6"/>
    <w:rsid w:val="00E24241"/>
    <w:rsid w:val="00E24297"/>
    <w:rsid w:val="00E243B6"/>
    <w:rsid w:val="00E24FBC"/>
    <w:rsid w:val="00E2507A"/>
    <w:rsid w:val="00E25AB3"/>
    <w:rsid w:val="00E26017"/>
    <w:rsid w:val="00E26B5D"/>
    <w:rsid w:val="00E27163"/>
    <w:rsid w:val="00E27566"/>
    <w:rsid w:val="00E276EA"/>
    <w:rsid w:val="00E27AFE"/>
    <w:rsid w:val="00E27BD1"/>
    <w:rsid w:val="00E30D71"/>
    <w:rsid w:val="00E30EA8"/>
    <w:rsid w:val="00E313C4"/>
    <w:rsid w:val="00E322F6"/>
    <w:rsid w:val="00E3235C"/>
    <w:rsid w:val="00E325CF"/>
    <w:rsid w:val="00E32604"/>
    <w:rsid w:val="00E3299F"/>
    <w:rsid w:val="00E32F8E"/>
    <w:rsid w:val="00E33284"/>
    <w:rsid w:val="00E333AF"/>
    <w:rsid w:val="00E3432C"/>
    <w:rsid w:val="00E346C8"/>
    <w:rsid w:val="00E348AE"/>
    <w:rsid w:val="00E3593E"/>
    <w:rsid w:val="00E35CF0"/>
    <w:rsid w:val="00E35FFB"/>
    <w:rsid w:val="00E364CB"/>
    <w:rsid w:val="00E36774"/>
    <w:rsid w:val="00E3699C"/>
    <w:rsid w:val="00E36FBF"/>
    <w:rsid w:val="00E375B0"/>
    <w:rsid w:val="00E378BD"/>
    <w:rsid w:val="00E37CD6"/>
    <w:rsid w:val="00E40C33"/>
    <w:rsid w:val="00E41149"/>
    <w:rsid w:val="00E4118F"/>
    <w:rsid w:val="00E415AE"/>
    <w:rsid w:val="00E41AE2"/>
    <w:rsid w:val="00E41F79"/>
    <w:rsid w:val="00E423B3"/>
    <w:rsid w:val="00E4242E"/>
    <w:rsid w:val="00E424E0"/>
    <w:rsid w:val="00E425B9"/>
    <w:rsid w:val="00E42BC2"/>
    <w:rsid w:val="00E42EAC"/>
    <w:rsid w:val="00E431C9"/>
    <w:rsid w:val="00E4400C"/>
    <w:rsid w:val="00E443C2"/>
    <w:rsid w:val="00E45043"/>
    <w:rsid w:val="00E45554"/>
    <w:rsid w:val="00E46F59"/>
    <w:rsid w:val="00E470E7"/>
    <w:rsid w:val="00E476AA"/>
    <w:rsid w:val="00E47799"/>
    <w:rsid w:val="00E47DF4"/>
    <w:rsid w:val="00E50217"/>
    <w:rsid w:val="00E50803"/>
    <w:rsid w:val="00E50A07"/>
    <w:rsid w:val="00E50BE7"/>
    <w:rsid w:val="00E51A73"/>
    <w:rsid w:val="00E51DC2"/>
    <w:rsid w:val="00E51EAE"/>
    <w:rsid w:val="00E522F7"/>
    <w:rsid w:val="00E5335C"/>
    <w:rsid w:val="00E54D7C"/>
    <w:rsid w:val="00E55BF8"/>
    <w:rsid w:val="00E55E0E"/>
    <w:rsid w:val="00E55FFB"/>
    <w:rsid w:val="00E56796"/>
    <w:rsid w:val="00E5691B"/>
    <w:rsid w:val="00E56C37"/>
    <w:rsid w:val="00E56F24"/>
    <w:rsid w:val="00E57262"/>
    <w:rsid w:val="00E57C46"/>
    <w:rsid w:val="00E60044"/>
    <w:rsid w:val="00E603B4"/>
    <w:rsid w:val="00E60CB0"/>
    <w:rsid w:val="00E61D00"/>
    <w:rsid w:val="00E622C3"/>
    <w:rsid w:val="00E62CB9"/>
    <w:rsid w:val="00E6322A"/>
    <w:rsid w:val="00E6335F"/>
    <w:rsid w:val="00E634EB"/>
    <w:rsid w:val="00E63713"/>
    <w:rsid w:val="00E63CBD"/>
    <w:rsid w:val="00E63D03"/>
    <w:rsid w:val="00E65C09"/>
    <w:rsid w:val="00E663D6"/>
    <w:rsid w:val="00E663DD"/>
    <w:rsid w:val="00E66C34"/>
    <w:rsid w:val="00E67B98"/>
    <w:rsid w:val="00E70081"/>
    <w:rsid w:val="00E709CC"/>
    <w:rsid w:val="00E71063"/>
    <w:rsid w:val="00E713AA"/>
    <w:rsid w:val="00E71B98"/>
    <w:rsid w:val="00E71BD6"/>
    <w:rsid w:val="00E722E5"/>
    <w:rsid w:val="00E724B2"/>
    <w:rsid w:val="00E72684"/>
    <w:rsid w:val="00E72692"/>
    <w:rsid w:val="00E72712"/>
    <w:rsid w:val="00E738E5"/>
    <w:rsid w:val="00E73AD4"/>
    <w:rsid w:val="00E73E4A"/>
    <w:rsid w:val="00E7410E"/>
    <w:rsid w:val="00E74195"/>
    <w:rsid w:val="00E7478C"/>
    <w:rsid w:val="00E748A2"/>
    <w:rsid w:val="00E748A4"/>
    <w:rsid w:val="00E74A6E"/>
    <w:rsid w:val="00E7525D"/>
    <w:rsid w:val="00E758E9"/>
    <w:rsid w:val="00E7602C"/>
    <w:rsid w:val="00E7621B"/>
    <w:rsid w:val="00E763AA"/>
    <w:rsid w:val="00E76642"/>
    <w:rsid w:val="00E76894"/>
    <w:rsid w:val="00E768A2"/>
    <w:rsid w:val="00E76C9F"/>
    <w:rsid w:val="00E76DFB"/>
    <w:rsid w:val="00E76F1C"/>
    <w:rsid w:val="00E77FDF"/>
    <w:rsid w:val="00E80802"/>
    <w:rsid w:val="00E80C9D"/>
    <w:rsid w:val="00E80DD0"/>
    <w:rsid w:val="00E80E1E"/>
    <w:rsid w:val="00E80F8E"/>
    <w:rsid w:val="00E84C28"/>
    <w:rsid w:val="00E84DE3"/>
    <w:rsid w:val="00E854F1"/>
    <w:rsid w:val="00E85509"/>
    <w:rsid w:val="00E85DB7"/>
    <w:rsid w:val="00E86404"/>
    <w:rsid w:val="00E871D0"/>
    <w:rsid w:val="00E87379"/>
    <w:rsid w:val="00E8740E"/>
    <w:rsid w:val="00E87C05"/>
    <w:rsid w:val="00E87D60"/>
    <w:rsid w:val="00E90E96"/>
    <w:rsid w:val="00E91533"/>
    <w:rsid w:val="00E92110"/>
    <w:rsid w:val="00E9287A"/>
    <w:rsid w:val="00E9460D"/>
    <w:rsid w:val="00E94660"/>
    <w:rsid w:val="00E94E05"/>
    <w:rsid w:val="00E951FC"/>
    <w:rsid w:val="00E95242"/>
    <w:rsid w:val="00E9542B"/>
    <w:rsid w:val="00E95BB5"/>
    <w:rsid w:val="00E95F6E"/>
    <w:rsid w:val="00E96FE8"/>
    <w:rsid w:val="00E97B24"/>
    <w:rsid w:val="00E97BEA"/>
    <w:rsid w:val="00E97E93"/>
    <w:rsid w:val="00EA0261"/>
    <w:rsid w:val="00EA03A7"/>
    <w:rsid w:val="00EA0B7F"/>
    <w:rsid w:val="00EA0D99"/>
    <w:rsid w:val="00EA107A"/>
    <w:rsid w:val="00EA10D9"/>
    <w:rsid w:val="00EA149A"/>
    <w:rsid w:val="00EA14C0"/>
    <w:rsid w:val="00EA29D4"/>
    <w:rsid w:val="00EA29F2"/>
    <w:rsid w:val="00EA2C15"/>
    <w:rsid w:val="00EA2CD3"/>
    <w:rsid w:val="00EA38B3"/>
    <w:rsid w:val="00EA38C4"/>
    <w:rsid w:val="00EA3C99"/>
    <w:rsid w:val="00EA4463"/>
    <w:rsid w:val="00EA45A9"/>
    <w:rsid w:val="00EA45FF"/>
    <w:rsid w:val="00EA4B72"/>
    <w:rsid w:val="00EA4DCA"/>
    <w:rsid w:val="00EA51A1"/>
    <w:rsid w:val="00EA5517"/>
    <w:rsid w:val="00EA5EC0"/>
    <w:rsid w:val="00EA610D"/>
    <w:rsid w:val="00EA622E"/>
    <w:rsid w:val="00EA6BE3"/>
    <w:rsid w:val="00EA7344"/>
    <w:rsid w:val="00EA7749"/>
    <w:rsid w:val="00EA78D4"/>
    <w:rsid w:val="00EA7B1F"/>
    <w:rsid w:val="00EA7D28"/>
    <w:rsid w:val="00EB0D97"/>
    <w:rsid w:val="00EB0EE4"/>
    <w:rsid w:val="00EB174E"/>
    <w:rsid w:val="00EB20E8"/>
    <w:rsid w:val="00EB2325"/>
    <w:rsid w:val="00EB27E8"/>
    <w:rsid w:val="00EB29FF"/>
    <w:rsid w:val="00EB2BB8"/>
    <w:rsid w:val="00EB4990"/>
    <w:rsid w:val="00EB5374"/>
    <w:rsid w:val="00EB53F8"/>
    <w:rsid w:val="00EB59E0"/>
    <w:rsid w:val="00EB5C28"/>
    <w:rsid w:val="00EB6795"/>
    <w:rsid w:val="00EB68AC"/>
    <w:rsid w:val="00EB6CED"/>
    <w:rsid w:val="00EC06DF"/>
    <w:rsid w:val="00EC0721"/>
    <w:rsid w:val="00EC0804"/>
    <w:rsid w:val="00EC0D6C"/>
    <w:rsid w:val="00EC1101"/>
    <w:rsid w:val="00EC114A"/>
    <w:rsid w:val="00EC18E0"/>
    <w:rsid w:val="00EC1F39"/>
    <w:rsid w:val="00EC2337"/>
    <w:rsid w:val="00EC2495"/>
    <w:rsid w:val="00EC254C"/>
    <w:rsid w:val="00EC266D"/>
    <w:rsid w:val="00EC390C"/>
    <w:rsid w:val="00EC3C07"/>
    <w:rsid w:val="00EC40CE"/>
    <w:rsid w:val="00EC4415"/>
    <w:rsid w:val="00EC45B6"/>
    <w:rsid w:val="00EC4D13"/>
    <w:rsid w:val="00EC4DAA"/>
    <w:rsid w:val="00EC4F13"/>
    <w:rsid w:val="00EC53BB"/>
    <w:rsid w:val="00EC54EC"/>
    <w:rsid w:val="00EC578A"/>
    <w:rsid w:val="00EC6436"/>
    <w:rsid w:val="00EC64D6"/>
    <w:rsid w:val="00EC67A0"/>
    <w:rsid w:val="00EC692E"/>
    <w:rsid w:val="00EC7138"/>
    <w:rsid w:val="00EC7185"/>
    <w:rsid w:val="00EC7534"/>
    <w:rsid w:val="00EC7752"/>
    <w:rsid w:val="00ED020C"/>
    <w:rsid w:val="00ED07D8"/>
    <w:rsid w:val="00ED0DAE"/>
    <w:rsid w:val="00ED1058"/>
    <w:rsid w:val="00ED1427"/>
    <w:rsid w:val="00ED194C"/>
    <w:rsid w:val="00ED3038"/>
    <w:rsid w:val="00ED31FF"/>
    <w:rsid w:val="00ED37D8"/>
    <w:rsid w:val="00ED3CD7"/>
    <w:rsid w:val="00ED412B"/>
    <w:rsid w:val="00ED57FE"/>
    <w:rsid w:val="00ED5DF4"/>
    <w:rsid w:val="00ED6834"/>
    <w:rsid w:val="00ED6B00"/>
    <w:rsid w:val="00ED712A"/>
    <w:rsid w:val="00ED73B9"/>
    <w:rsid w:val="00ED75CF"/>
    <w:rsid w:val="00ED7679"/>
    <w:rsid w:val="00ED7961"/>
    <w:rsid w:val="00ED79A9"/>
    <w:rsid w:val="00EE0823"/>
    <w:rsid w:val="00EE082F"/>
    <w:rsid w:val="00EE09A9"/>
    <w:rsid w:val="00EE17E3"/>
    <w:rsid w:val="00EE22A0"/>
    <w:rsid w:val="00EE2EDC"/>
    <w:rsid w:val="00EE33E6"/>
    <w:rsid w:val="00EE37D3"/>
    <w:rsid w:val="00EE3D59"/>
    <w:rsid w:val="00EE42A7"/>
    <w:rsid w:val="00EE4BD1"/>
    <w:rsid w:val="00EE4C8D"/>
    <w:rsid w:val="00EE4CD7"/>
    <w:rsid w:val="00EE50C5"/>
    <w:rsid w:val="00EE5D4B"/>
    <w:rsid w:val="00EE6186"/>
    <w:rsid w:val="00EE68E6"/>
    <w:rsid w:val="00EE6BEA"/>
    <w:rsid w:val="00EE6FCF"/>
    <w:rsid w:val="00EE72DC"/>
    <w:rsid w:val="00EE73C5"/>
    <w:rsid w:val="00EF01AC"/>
    <w:rsid w:val="00EF1EB8"/>
    <w:rsid w:val="00EF23C2"/>
    <w:rsid w:val="00EF23EE"/>
    <w:rsid w:val="00EF2D8F"/>
    <w:rsid w:val="00EF54EB"/>
    <w:rsid w:val="00EF55A5"/>
    <w:rsid w:val="00EF623C"/>
    <w:rsid w:val="00EF6CF2"/>
    <w:rsid w:val="00EF6D14"/>
    <w:rsid w:val="00EF6D65"/>
    <w:rsid w:val="00EF70A8"/>
    <w:rsid w:val="00EF7397"/>
    <w:rsid w:val="00EF7E76"/>
    <w:rsid w:val="00F00A1A"/>
    <w:rsid w:val="00F013D3"/>
    <w:rsid w:val="00F01B88"/>
    <w:rsid w:val="00F0265C"/>
    <w:rsid w:val="00F032B2"/>
    <w:rsid w:val="00F03EF4"/>
    <w:rsid w:val="00F042C4"/>
    <w:rsid w:val="00F05CE1"/>
    <w:rsid w:val="00F06613"/>
    <w:rsid w:val="00F06DA2"/>
    <w:rsid w:val="00F06FA3"/>
    <w:rsid w:val="00F070CB"/>
    <w:rsid w:val="00F07B6A"/>
    <w:rsid w:val="00F102C4"/>
    <w:rsid w:val="00F107C6"/>
    <w:rsid w:val="00F10909"/>
    <w:rsid w:val="00F116B5"/>
    <w:rsid w:val="00F11EBE"/>
    <w:rsid w:val="00F11F36"/>
    <w:rsid w:val="00F12A63"/>
    <w:rsid w:val="00F12AF0"/>
    <w:rsid w:val="00F12F4C"/>
    <w:rsid w:val="00F133AD"/>
    <w:rsid w:val="00F142B6"/>
    <w:rsid w:val="00F14305"/>
    <w:rsid w:val="00F143CA"/>
    <w:rsid w:val="00F15959"/>
    <w:rsid w:val="00F16C8B"/>
    <w:rsid w:val="00F16F9B"/>
    <w:rsid w:val="00F17244"/>
    <w:rsid w:val="00F17A2E"/>
    <w:rsid w:val="00F17B3C"/>
    <w:rsid w:val="00F20477"/>
    <w:rsid w:val="00F208D3"/>
    <w:rsid w:val="00F20B38"/>
    <w:rsid w:val="00F20D46"/>
    <w:rsid w:val="00F21266"/>
    <w:rsid w:val="00F217F7"/>
    <w:rsid w:val="00F219E7"/>
    <w:rsid w:val="00F21EC8"/>
    <w:rsid w:val="00F21FF9"/>
    <w:rsid w:val="00F22070"/>
    <w:rsid w:val="00F22A94"/>
    <w:rsid w:val="00F23339"/>
    <w:rsid w:val="00F24D82"/>
    <w:rsid w:val="00F252F6"/>
    <w:rsid w:val="00F25B2D"/>
    <w:rsid w:val="00F25ECF"/>
    <w:rsid w:val="00F26658"/>
    <w:rsid w:val="00F274E1"/>
    <w:rsid w:val="00F27E8F"/>
    <w:rsid w:val="00F301F3"/>
    <w:rsid w:val="00F3094C"/>
    <w:rsid w:val="00F30A99"/>
    <w:rsid w:val="00F30B72"/>
    <w:rsid w:val="00F30FB6"/>
    <w:rsid w:val="00F3132A"/>
    <w:rsid w:val="00F315EA"/>
    <w:rsid w:val="00F31C29"/>
    <w:rsid w:val="00F32784"/>
    <w:rsid w:val="00F32825"/>
    <w:rsid w:val="00F32857"/>
    <w:rsid w:val="00F3285D"/>
    <w:rsid w:val="00F32B4C"/>
    <w:rsid w:val="00F32C83"/>
    <w:rsid w:val="00F32CDF"/>
    <w:rsid w:val="00F32F79"/>
    <w:rsid w:val="00F330EB"/>
    <w:rsid w:val="00F33442"/>
    <w:rsid w:val="00F3359C"/>
    <w:rsid w:val="00F33E55"/>
    <w:rsid w:val="00F340BD"/>
    <w:rsid w:val="00F3469D"/>
    <w:rsid w:val="00F34B38"/>
    <w:rsid w:val="00F351F1"/>
    <w:rsid w:val="00F353FF"/>
    <w:rsid w:val="00F35706"/>
    <w:rsid w:val="00F35808"/>
    <w:rsid w:val="00F35873"/>
    <w:rsid w:val="00F35A65"/>
    <w:rsid w:val="00F374A5"/>
    <w:rsid w:val="00F374C6"/>
    <w:rsid w:val="00F37617"/>
    <w:rsid w:val="00F37A2F"/>
    <w:rsid w:val="00F410C8"/>
    <w:rsid w:val="00F4119B"/>
    <w:rsid w:val="00F411E5"/>
    <w:rsid w:val="00F421C1"/>
    <w:rsid w:val="00F423AF"/>
    <w:rsid w:val="00F42423"/>
    <w:rsid w:val="00F42DD0"/>
    <w:rsid w:val="00F43DB9"/>
    <w:rsid w:val="00F43E16"/>
    <w:rsid w:val="00F43E29"/>
    <w:rsid w:val="00F4447B"/>
    <w:rsid w:val="00F449F3"/>
    <w:rsid w:val="00F44F3C"/>
    <w:rsid w:val="00F450E3"/>
    <w:rsid w:val="00F45748"/>
    <w:rsid w:val="00F45F1E"/>
    <w:rsid w:val="00F47057"/>
    <w:rsid w:val="00F4761B"/>
    <w:rsid w:val="00F47775"/>
    <w:rsid w:val="00F47840"/>
    <w:rsid w:val="00F47843"/>
    <w:rsid w:val="00F47A5D"/>
    <w:rsid w:val="00F50FDA"/>
    <w:rsid w:val="00F51196"/>
    <w:rsid w:val="00F511F0"/>
    <w:rsid w:val="00F52904"/>
    <w:rsid w:val="00F52DEB"/>
    <w:rsid w:val="00F53316"/>
    <w:rsid w:val="00F537A6"/>
    <w:rsid w:val="00F53F23"/>
    <w:rsid w:val="00F54238"/>
    <w:rsid w:val="00F5450A"/>
    <w:rsid w:val="00F5451E"/>
    <w:rsid w:val="00F548D6"/>
    <w:rsid w:val="00F55242"/>
    <w:rsid w:val="00F557E6"/>
    <w:rsid w:val="00F55D04"/>
    <w:rsid w:val="00F570C6"/>
    <w:rsid w:val="00F570FA"/>
    <w:rsid w:val="00F6036F"/>
    <w:rsid w:val="00F60BE6"/>
    <w:rsid w:val="00F6149C"/>
    <w:rsid w:val="00F618DB"/>
    <w:rsid w:val="00F61D9D"/>
    <w:rsid w:val="00F61DD4"/>
    <w:rsid w:val="00F61F1E"/>
    <w:rsid w:val="00F639BA"/>
    <w:rsid w:val="00F639FC"/>
    <w:rsid w:val="00F63C89"/>
    <w:rsid w:val="00F64F4A"/>
    <w:rsid w:val="00F650E7"/>
    <w:rsid w:val="00F65423"/>
    <w:rsid w:val="00F6573D"/>
    <w:rsid w:val="00F65CFA"/>
    <w:rsid w:val="00F66015"/>
    <w:rsid w:val="00F6602F"/>
    <w:rsid w:val="00F66959"/>
    <w:rsid w:val="00F6717B"/>
    <w:rsid w:val="00F70B13"/>
    <w:rsid w:val="00F71332"/>
    <w:rsid w:val="00F71946"/>
    <w:rsid w:val="00F71B22"/>
    <w:rsid w:val="00F71E57"/>
    <w:rsid w:val="00F7233E"/>
    <w:rsid w:val="00F72413"/>
    <w:rsid w:val="00F72874"/>
    <w:rsid w:val="00F731AF"/>
    <w:rsid w:val="00F73470"/>
    <w:rsid w:val="00F7375E"/>
    <w:rsid w:val="00F73F02"/>
    <w:rsid w:val="00F74628"/>
    <w:rsid w:val="00F74A45"/>
    <w:rsid w:val="00F74D41"/>
    <w:rsid w:val="00F75FBD"/>
    <w:rsid w:val="00F7671F"/>
    <w:rsid w:val="00F76999"/>
    <w:rsid w:val="00F76C00"/>
    <w:rsid w:val="00F77090"/>
    <w:rsid w:val="00F7775A"/>
    <w:rsid w:val="00F77D7B"/>
    <w:rsid w:val="00F804EC"/>
    <w:rsid w:val="00F80E34"/>
    <w:rsid w:val="00F81818"/>
    <w:rsid w:val="00F81AA6"/>
    <w:rsid w:val="00F81D09"/>
    <w:rsid w:val="00F82023"/>
    <w:rsid w:val="00F83091"/>
    <w:rsid w:val="00F8454B"/>
    <w:rsid w:val="00F84A3D"/>
    <w:rsid w:val="00F84A4E"/>
    <w:rsid w:val="00F84FA1"/>
    <w:rsid w:val="00F85B6C"/>
    <w:rsid w:val="00F85C53"/>
    <w:rsid w:val="00F868F4"/>
    <w:rsid w:val="00F86A5C"/>
    <w:rsid w:val="00F86EA1"/>
    <w:rsid w:val="00F87465"/>
    <w:rsid w:val="00F87CBE"/>
    <w:rsid w:val="00F90C6D"/>
    <w:rsid w:val="00F91A8B"/>
    <w:rsid w:val="00F91EFB"/>
    <w:rsid w:val="00F9244B"/>
    <w:rsid w:val="00F930A7"/>
    <w:rsid w:val="00F94080"/>
    <w:rsid w:val="00F9420A"/>
    <w:rsid w:val="00F94224"/>
    <w:rsid w:val="00F9422F"/>
    <w:rsid w:val="00F945D7"/>
    <w:rsid w:val="00F94826"/>
    <w:rsid w:val="00F94C74"/>
    <w:rsid w:val="00F9582C"/>
    <w:rsid w:val="00F96416"/>
    <w:rsid w:val="00F96FDE"/>
    <w:rsid w:val="00F974A6"/>
    <w:rsid w:val="00F97E50"/>
    <w:rsid w:val="00FA007B"/>
    <w:rsid w:val="00FA020F"/>
    <w:rsid w:val="00FA02C1"/>
    <w:rsid w:val="00FA1160"/>
    <w:rsid w:val="00FA2F86"/>
    <w:rsid w:val="00FA30BF"/>
    <w:rsid w:val="00FA3394"/>
    <w:rsid w:val="00FA3480"/>
    <w:rsid w:val="00FA4128"/>
    <w:rsid w:val="00FA4D5A"/>
    <w:rsid w:val="00FA5300"/>
    <w:rsid w:val="00FA5A70"/>
    <w:rsid w:val="00FA6045"/>
    <w:rsid w:val="00FA73A0"/>
    <w:rsid w:val="00FB0740"/>
    <w:rsid w:val="00FB0E2B"/>
    <w:rsid w:val="00FB1245"/>
    <w:rsid w:val="00FB12DA"/>
    <w:rsid w:val="00FB18C9"/>
    <w:rsid w:val="00FB19F4"/>
    <w:rsid w:val="00FB1A31"/>
    <w:rsid w:val="00FB1DFC"/>
    <w:rsid w:val="00FB26F0"/>
    <w:rsid w:val="00FB3352"/>
    <w:rsid w:val="00FB3603"/>
    <w:rsid w:val="00FB5146"/>
    <w:rsid w:val="00FB52B2"/>
    <w:rsid w:val="00FB5C65"/>
    <w:rsid w:val="00FB60DF"/>
    <w:rsid w:val="00FB6623"/>
    <w:rsid w:val="00FB6C6B"/>
    <w:rsid w:val="00FB7168"/>
    <w:rsid w:val="00FB7266"/>
    <w:rsid w:val="00FB73F5"/>
    <w:rsid w:val="00FB746D"/>
    <w:rsid w:val="00FB7C82"/>
    <w:rsid w:val="00FC0017"/>
    <w:rsid w:val="00FC031A"/>
    <w:rsid w:val="00FC050D"/>
    <w:rsid w:val="00FC0B38"/>
    <w:rsid w:val="00FC0C44"/>
    <w:rsid w:val="00FC1DD3"/>
    <w:rsid w:val="00FC236B"/>
    <w:rsid w:val="00FC28DA"/>
    <w:rsid w:val="00FC293E"/>
    <w:rsid w:val="00FC3152"/>
    <w:rsid w:val="00FC35B2"/>
    <w:rsid w:val="00FC3BA8"/>
    <w:rsid w:val="00FC4BA0"/>
    <w:rsid w:val="00FC61E6"/>
    <w:rsid w:val="00FC62F0"/>
    <w:rsid w:val="00FC711D"/>
    <w:rsid w:val="00FC74FC"/>
    <w:rsid w:val="00FC7C50"/>
    <w:rsid w:val="00FC7D9F"/>
    <w:rsid w:val="00FD0049"/>
    <w:rsid w:val="00FD0549"/>
    <w:rsid w:val="00FD0851"/>
    <w:rsid w:val="00FD10B1"/>
    <w:rsid w:val="00FD2737"/>
    <w:rsid w:val="00FD2A58"/>
    <w:rsid w:val="00FD2DFC"/>
    <w:rsid w:val="00FD32BA"/>
    <w:rsid w:val="00FD438C"/>
    <w:rsid w:val="00FD4587"/>
    <w:rsid w:val="00FD4701"/>
    <w:rsid w:val="00FD51A9"/>
    <w:rsid w:val="00FD56D6"/>
    <w:rsid w:val="00FD5E6E"/>
    <w:rsid w:val="00FD5FEC"/>
    <w:rsid w:val="00FD60CF"/>
    <w:rsid w:val="00FD6A9E"/>
    <w:rsid w:val="00FD6B4C"/>
    <w:rsid w:val="00FD73F1"/>
    <w:rsid w:val="00FD782C"/>
    <w:rsid w:val="00FE03C4"/>
    <w:rsid w:val="00FE0BDF"/>
    <w:rsid w:val="00FE11EE"/>
    <w:rsid w:val="00FE216E"/>
    <w:rsid w:val="00FE2F4C"/>
    <w:rsid w:val="00FE44DF"/>
    <w:rsid w:val="00FE45BC"/>
    <w:rsid w:val="00FE4D25"/>
    <w:rsid w:val="00FE4D2E"/>
    <w:rsid w:val="00FE566C"/>
    <w:rsid w:val="00FE5AF8"/>
    <w:rsid w:val="00FE60B2"/>
    <w:rsid w:val="00FE613B"/>
    <w:rsid w:val="00FE65AB"/>
    <w:rsid w:val="00FE6702"/>
    <w:rsid w:val="00FE67A2"/>
    <w:rsid w:val="00FE78CA"/>
    <w:rsid w:val="00FE7C16"/>
    <w:rsid w:val="00FF0299"/>
    <w:rsid w:val="00FF0553"/>
    <w:rsid w:val="00FF0692"/>
    <w:rsid w:val="00FF06DA"/>
    <w:rsid w:val="00FF0C54"/>
    <w:rsid w:val="00FF1148"/>
    <w:rsid w:val="00FF1497"/>
    <w:rsid w:val="00FF22E3"/>
    <w:rsid w:val="00FF32E4"/>
    <w:rsid w:val="00FF4A4D"/>
    <w:rsid w:val="00FF4BF4"/>
    <w:rsid w:val="00FF533B"/>
    <w:rsid w:val="00FF5773"/>
    <w:rsid w:val="00FF6795"/>
    <w:rsid w:val="00FF7063"/>
    <w:rsid w:val="00FF72BF"/>
    <w:rsid w:val="00FF72CE"/>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B4EC89C6-069A-4260-A030-9510F6D1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Estilo0,CNBV Parrafo1,4 Viñ 1nivel,prueba1,Numeración 1,Romano,Romanos,Listas,lp1,Footnote,Bullet List,FooterText,numbered,List Paragraph1,Paragraphe de liste1,Bulletr List Paragraph,列出段落,列出段落1,Cuadros,Lista general,Párrafo de tabla"/>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Estilo0 Car,CNBV Parrafo1 Car,4 Viñ 1nivel Car,prueba1 Car,Numeración 1 Car,Romano Car,Romanos Car,Listas Car,lp1 Car,Footnote Car,Bullet List Car,FooterText Car,numbered Car,List Paragraph1 Car,Paragraphe de liste1 Car,列出段落 Car"/>
    <w:basedOn w:val="Fuentedeprrafopredeter"/>
    <w:link w:val="Prrafodelista"/>
    <w:uiPriority w:val="34"/>
    <w:qFormat/>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FootnoteRef,Footnote symbol,Footnote Reference/,Style 13,FR,Style 17,Appel note de bas de p + 11 pt,Italic,Appel note de bas de p1"/>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5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qFormat/>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paragraph" w:customStyle="1" w:styleId="Listavistosa-nfasis11">
    <w:name w:val="Lista vistosa - Énfasis 11"/>
    <w:basedOn w:val="Normal"/>
    <w:link w:val="Listavistosa-nfasis1Car"/>
    <w:uiPriority w:val="34"/>
    <w:qFormat/>
    <w:rsid w:val="00CC3BD3"/>
    <w:pPr>
      <w:spacing w:after="0" w:line="240" w:lineRule="auto"/>
      <w:ind w:left="708" w:right="0" w:firstLine="0"/>
      <w:jc w:val="left"/>
    </w:pPr>
    <w:rPr>
      <w:rFonts w:ascii="Arial" w:eastAsia="Calibri" w:hAnsi="Arial" w:cs="Times New Roman"/>
      <w:color w:val="auto"/>
      <w:sz w:val="24"/>
      <w:szCs w:val="24"/>
    </w:rPr>
  </w:style>
  <w:style w:type="character" w:customStyle="1" w:styleId="Listavistosa-nfasis1Car">
    <w:name w:val="Lista vistosa - Énfasis 1 Car"/>
    <w:link w:val="Listavistosa-nfasis11"/>
    <w:uiPriority w:val="34"/>
    <w:rsid w:val="00CC3BD3"/>
    <w:rPr>
      <w:rFonts w:ascii="Arial" w:eastAsia="Calibri" w:hAnsi="Arial" w:cs="Times New Roman"/>
      <w:sz w:val="24"/>
      <w:szCs w:val="24"/>
      <w:lang w:eastAsia="es-MX"/>
    </w:rPr>
  </w:style>
  <w:style w:type="paragraph" w:customStyle="1" w:styleId="Normal1">
    <w:name w:val="Normal1"/>
    <w:rsid w:val="00EA149A"/>
    <w:pPr>
      <w:spacing w:after="0" w:line="276" w:lineRule="auto"/>
    </w:pPr>
    <w:rPr>
      <w:rFonts w:ascii="Arial" w:eastAsia="Arial" w:hAnsi="Arial" w:cs="Arial"/>
      <w:color w:val="000000"/>
      <w:szCs w:val="24"/>
      <w:lang w:eastAsia="es-ES"/>
    </w:rPr>
  </w:style>
  <w:style w:type="paragraph" w:customStyle="1" w:styleId="Sombreadovistoso-nfasis31">
    <w:name w:val="Sombreado vistoso - Énfasis 31"/>
    <w:basedOn w:val="Normal"/>
    <w:uiPriority w:val="72"/>
    <w:qFormat/>
    <w:rsid w:val="005E5C35"/>
    <w:pPr>
      <w:widowControl w:val="0"/>
      <w:kinsoku w:val="0"/>
      <w:spacing w:after="0" w:line="240" w:lineRule="auto"/>
      <w:ind w:left="720" w:right="0" w:firstLine="0"/>
      <w:contextualSpacing/>
      <w:jc w:val="left"/>
    </w:pPr>
    <w:rPr>
      <w:rFonts w:ascii="Times New Roman" w:eastAsia="Times New Roman" w:hAnsi="Times New Roman" w:cs="Times New Roman"/>
      <w:color w:val="auto"/>
      <w:sz w:val="24"/>
      <w:szCs w:val="24"/>
      <w:lang w:val="en-US"/>
    </w:rPr>
  </w:style>
  <w:style w:type="paragraph" w:customStyle="1" w:styleId="Cuadrculamedia1-nfasis21">
    <w:name w:val="Cuadrícula media 1 - Énfasis 21"/>
    <w:basedOn w:val="Normal"/>
    <w:uiPriority w:val="34"/>
    <w:qFormat/>
    <w:rsid w:val="00CA2B7E"/>
    <w:pPr>
      <w:spacing w:after="0" w:line="240" w:lineRule="auto"/>
      <w:ind w:left="708" w:right="0" w:firstLine="0"/>
      <w:jc w:val="left"/>
    </w:pPr>
    <w:rPr>
      <w:rFonts w:ascii="Arial" w:eastAsia="Calibri" w:hAnsi="Arial" w:cs="Times New Roman"/>
      <w:color w:val="auto"/>
      <w:sz w:val="24"/>
      <w:szCs w:val="24"/>
    </w:rPr>
  </w:style>
  <w:style w:type="paragraph" w:styleId="Ttulo">
    <w:name w:val="Title"/>
    <w:basedOn w:val="Normal"/>
    <w:link w:val="TtuloCar"/>
    <w:qFormat/>
    <w:rsid w:val="0097445D"/>
    <w:pPr>
      <w:spacing w:after="0" w:line="240" w:lineRule="auto"/>
      <w:ind w:left="0" w:right="0" w:firstLine="0"/>
      <w:jc w:val="center"/>
    </w:pPr>
    <w:rPr>
      <w:rFonts w:ascii="Arial" w:eastAsia="Times New Roman" w:hAnsi="Arial" w:cs="Times New Roman"/>
      <w:b/>
      <w:color w:val="auto"/>
      <w:szCs w:val="20"/>
      <w:lang w:val="x-none" w:eastAsia="en-US"/>
    </w:rPr>
  </w:style>
  <w:style w:type="character" w:customStyle="1" w:styleId="TtuloCar">
    <w:name w:val="Título Car"/>
    <w:basedOn w:val="Fuentedeprrafopredeter"/>
    <w:link w:val="Ttulo"/>
    <w:rsid w:val="0097445D"/>
    <w:rPr>
      <w:rFonts w:ascii="Arial" w:eastAsia="Times New Roman" w:hAnsi="Arial" w:cs="Times New Roman"/>
      <w:b/>
      <w:szCs w:val="20"/>
      <w:lang w:val="x-none"/>
    </w:rPr>
  </w:style>
  <w:style w:type="character" w:styleId="Textoennegrita">
    <w:name w:val="Strong"/>
    <w:basedOn w:val="Fuentedeprrafopredeter"/>
    <w:uiPriority w:val="22"/>
    <w:qFormat/>
    <w:rsid w:val="00365296"/>
    <w:rPr>
      <w:b/>
      <w:bCs/>
    </w:rPr>
  </w:style>
  <w:style w:type="paragraph" w:styleId="Lista">
    <w:name w:val="List"/>
    <w:basedOn w:val="Normal"/>
    <w:uiPriority w:val="99"/>
    <w:unhideWhenUsed/>
    <w:rsid w:val="00B65B8A"/>
    <w:pPr>
      <w:ind w:left="283" w:hanging="283"/>
      <w:contextualSpacing/>
    </w:pPr>
  </w:style>
  <w:style w:type="paragraph" w:styleId="Lista2">
    <w:name w:val="List 2"/>
    <w:basedOn w:val="Normal"/>
    <w:uiPriority w:val="99"/>
    <w:unhideWhenUsed/>
    <w:rsid w:val="00B65B8A"/>
    <w:pPr>
      <w:ind w:left="566" w:hanging="283"/>
      <w:contextualSpacing/>
    </w:pPr>
  </w:style>
  <w:style w:type="paragraph" w:styleId="Saludo">
    <w:name w:val="Salutation"/>
    <w:basedOn w:val="Normal"/>
    <w:next w:val="Normal"/>
    <w:link w:val="SaludoCar"/>
    <w:uiPriority w:val="99"/>
    <w:unhideWhenUsed/>
    <w:rsid w:val="00B65B8A"/>
  </w:style>
  <w:style w:type="character" w:customStyle="1" w:styleId="SaludoCar">
    <w:name w:val="Saludo Car"/>
    <w:basedOn w:val="Fuentedeprrafopredeter"/>
    <w:link w:val="Saludo"/>
    <w:uiPriority w:val="99"/>
    <w:rsid w:val="00B65B8A"/>
    <w:rPr>
      <w:rFonts w:ascii="Avant Garde" w:eastAsia="Avant Garde" w:hAnsi="Avant Garde" w:cs="Avant Garde"/>
      <w:color w:val="000000"/>
      <w:lang w:eastAsia="es-MX"/>
    </w:rPr>
  </w:style>
  <w:style w:type="paragraph" w:styleId="Fecha">
    <w:name w:val="Date"/>
    <w:basedOn w:val="Normal"/>
    <w:next w:val="Normal"/>
    <w:link w:val="FechaCar"/>
    <w:uiPriority w:val="99"/>
    <w:unhideWhenUsed/>
    <w:rsid w:val="00B65B8A"/>
  </w:style>
  <w:style w:type="character" w:customStyle="1" w:styleId="FechaCar">
    <w:name w:val="Fecha Car"/>
    <w:basedOn w:val="Fuentedeprrafopredeter"/>
    <w:link w:val="Fecha"/>
    <w:uiPriority w:val="99"/>
    <w:rsid w:val="00B65B8A"/>
    <w:rPr>
      <w:rFonts w:ascii="Avant Garde" w:eastAsia="Avant Garde" w:hAnsi="Avant Garde" w:cs="Avant Garde"/>
      <w:color w:val="000000"/>
      <w:lang w:eastAsia="es-MX"/>
    </w:rPr>
  </w:style>
  <w:style w:type="paragraph" w:styleId="Continuarlista">
    <w:name w:val="List Continue"/>
    <w:basedOn w:val="Normal"/>
    <w:uiPriority w:val="99"/>
    <w:unhideWhenUsed/>
    <w:rsid w:val="00B65B8A"/>
    <w:pPr>
      <w:spacing w:after="120"/>
      <w:ind w:left="283"/>
      <w:contextualSpacing/>
    </w:pPr>
  </w:style>
  <w:style w:type="paragraph" w:styleId="Textoindependiente">
    <w:name w:val="Body Text"/>
    <w:basedOn w:val="Normal"/>
    <w:link w:val="TextoindependienteCar"/>
    <w:uiPriority w:val="99"/>
    <w:unhideWhenUsed/>
    <w:rsid w:val="00B65B8A"/>
    <w:pPr>
      <w:spacing w:after="120"/>
    </w:pPr>
  </w:style>
  <w:style w:type="character" w:customStyle="1" w:styleId="TextoindependienteCar">
    <w:name w:val="Texto independiente Car"/>
    <w:basedOn w:val="Fuentedeprrafopredeter"/>
    <w:link w:val="Textoindependiente"/>
    <w:uiPriority w:val="99"/>
    <w:rsid w:val="00B65B8A"/>
    <w:rPr>
      <w:rFonts w:ascii="Avant Garde" w:eastAsia="Avant Garde" w:hAnsi="Avant Garde" w:cs="Avant Garde"/>
      <w:color w:val="000000"/>
      <w:lang w:eastAsia="es-MX"/>
    </w:rPr>
  </w:style>
  <w:style w:type="paragraph" w:styleId="Sangradetextonormal">
    <w:name w:val="Body Text Indent"/>
    <w:basedOn w:val="Normal"/>
    <w:link w:val="SangradetextonormalCar"/>
    <w:uiPriority w:val="99"/>
    <w:semiHidden/>
    <w:unhideWhenUsed/>
    <w:rsid w:val="00B65B8A"/>
    <w:pPr>
      <w:spacing w:after="120"/>
      <w:ind w:left="283"/>
    </w:pPr>
  </w:style>
  <w:style w:type="character" w:customStyle="1" w:styleId="SangradetextonormalCar">
    <w:name w:val="Sangría de texto normal Car"/>
    <w:basedOn w:val="Fuentedeprrafopredeter"/>
    <w:link w:val="Sangradetextonormal"/>
    <w:uiPriority w:val="99"/>
    <w:semiHidden/>
    <w:rsid w:val="00B65B8A"/>
    <w:rPr>
      <w:rFonts w:ascii="Avant Garde" w:eastAsia="Avant Garde" w:hAnsi="Avant Garde" w:cs="Avant Garde"/>
      <w:color w:val="000000"/>
      <w:lang w:eastAsia="es-MX"/>
    </w:rPr>
  </w:style>
  <w:style w:type="paragraph" w:styleId="Textoindependienteprimerasangra2">
    <w:name w:val="Body Text First Indent 2"/>
    <w:basedOn w:val="Sangradetextonormal"/>
    <w:link w:val="Textoindependienteprimerasangra2Car"/>
    <w:uiPriority w:val="99"/>
    <w:unhideWhenUsed/>
    <w:rsid w:val="00B65B8A"/>
    <w:pPr>
      <w:spacing w:after="3"/>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65B8A"/>
    <w:rPr>
      <w:rFonts w:ascii="Avant Garde" w:eastAsia="Avant Garde" w:hAnsi="Avant Garde" w:cs="Avant Garde"/>
      <w:color w:val="000000"/>
      <w:lang w:eastAsia="es-MX"/>
    </w:rPr>
  </w:style>
  <w:style w:type="paragraph" w:customStyle="1" w:styleId="1BulletsPrimero">
    <w:name w:val="1 Bullets Primero"/>
    <w:basedOn w:val="Normal"/>
    <w:link w:val="1BulletsPrimeroCar"/>
    <w:autoRedefine/>
    <w:uiPriority w:val="3"/>
    <w:qFormat/>
    <w:rsid w:val="001E2E57"/>
    <w:pPr>
      <w:spacing w:before="60" w:after="60" w:line="276" w:lineRule="auto"/>
      <w:ind w:left="567" w:right="0" w:hanging="340"/>
    </w:pPr>
    <w:rPr>
      <w:rFonts w:ascii="ITC Avant Garde" w:eastAsiaTheme="minorHAnsi" w:hAnsi="ITC Avant Garde" w:cs="Arial"/>
      <w:color w:val="auto"/>
      <w:lang w:val="es-ES" w:eastAsia="es-ES"/>
    </w:rPr>
  </w:style>
  <w:style w:type="character" w:customStyle="1" w:styleId="1BulletsPrimeroCar">
    <w:name w:val="1 Bullets Primero Car"/>
    <w:basedOn w:val="Fuentedeprrafopredeter"/>
    <w:link w:val="1BulletsPrimero"/>
    <w:uiPriority w:val="3"/>
    <w:rsid w:val="001E2E57"/>
    <w:rPr>
      <w:rFonts w:ascii="ITC Avant Garde" w:hAnsi="ITC Avant Garde" w:cs="Arial"/>
      <w:lang w:val="es-ES" w:eastAsia="es-ES"/>
    </w:rPr>
  </w:style>
  <w:style w:type="paragraph" w:customStyle="1" w:styleId="Normalresolucion">
    <w:name w:val="Normal resolucion"/>
    <w:basedOn w:val="Texto"/>
    <w:link w:val="NormalresolucionChar"/>
    <w:qFormat/>
    <w:rsid w:val="00056F91"/>
    <w:pPr>
      <w:spacing w:before="240" w:after="120" w:line="240" w:lineRule="auto"/>
    </w:pPr>
    <w:rPr>
      <w:rFonts w:eastAsia="Times New Roman" w:cs="Arial"/>
      <w:color w:val="auto"/>
      <w:lang w:val="es-ES" w:eastAsia="es-ES"/>
    </w:rPr>
  </w:style>
  <w:style w:type="character" w:customStyle="1" w:styleId="NormalresolucionChar">
    <w:name w:val="Normal resolucion Char"/>
    <w:basedOn w:val="Fuentedeprrafopredeter"/>
    <w:link w:val="Normalresolucion"/>
    <w:rsid w:val="00056F91"/>
    <w:rPr>
      <w:rFonts w:ascii="ITC Avant Garde" w:eastAsia="Times New Roman" w:hAnsi="ITC Avant Garde"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rpc.ift.org.mx/rpc/pdfs/informes/38689_8180_191210125957.pdf" TargetMode="External"/><Relationship Id="rId2" Type="http://schemas.openxmlformats.org/officeDocument/2006/relationships/hyperlink" Target="http://rpc.ift.org.mx/rpc/pdfs/informes/38689_8180_191210125957.pdf" TargetMode="External"/><Relationship Id="rId1" Type="http://schemas.openxmlformats.org/officeDocument/2006/relationships/hyperlink" Target="http://rpc.ift.org.mx/rpc/pdfs/informes/38689_8180_19121012595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DF41-6E1E-4899-9B24-9FF454C2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6924</Words>
  <Characters>38087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Aragón</dc:creator>
  <cp:keywords/>
  <dc:description/>
  <cp:lastModifiedBy>Adriana Williams Hernandez</cp:lastModifiedBy>
  <cp:revision>9</cp:revision>
  <cp:lastPrinted>2014-12-10T22:16:00Z</cp:lastPrinted>
  <dcterms:created xsi:type="dcterms:W3CDTF">2020-01-20T21:07:00Z</dcterms:created>
  <dcterms:modified xsi:type="dcterms:W3CDTF">2020-01-20T21:53:00Z</dcterms:modified>
</cp:coreProperties>
</file>