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13B4F" w14:textId="77777777" w:rsidR="00A20C3F" w:rsidRDefault="00A20C3F" w:rsidP="00A20C3F">
      <w:pPr>
        <w:widowControl w:val="0"/>
        <w:spacing w:after="0"/>
        <w:ind w:left="142" w:right="425"/>
        <w:jc w:val="both"/>
        <w:rPr>
          <w:rFonts w:ascii="ITC Avant Garde" w:eastAsia="Times New Roman" w:hAnsi="ITC Avant Garde"/>
          <w:b/>
        </w:rPr>
      </w:pPr>
      <w:r w:rsidRPr="00072FE9">
        <w:rPr>
          <w:rFonts w:ascii="ITC Avant Garde" w:eastAsia="Times New Roman" w:hAnsi="ITC Avant Garde"/>
          <w:b/>
        </w:rPr>
        <w:t xml:space="preserve">ACUERDO MEDIANTE EL CUAL EL PLENO DEL INSTITUTO FEDERAL DE TELECOMUNICACIONES </w:t>
      </w:r>
      <w:r>
        <w:rPr>
          <w:rFonts w:ascii="ITC Avant Garde" w:eastAsia="Times New Roman" w:hAnsi="ITC Avant Garde"/>
          <w:b/>
        </w:rPr>
        <w:t xml:space="preserve">DETERMINA </w:t>
      </w:r>
      <w:r w:rsidRPr="00072FE9">
        <w:rPr>
          <w:rFonts w:ascii="ITC Avant Garde" w:eastAsia="Times New Roman" w:hAnsi="ITC Avant Garde"/>
          <w:b/>
        </w:rPr>
        <w:t>SOMETE</w:t>
      </w:r>
      <w:r>
        <w:rPr>
          <w:rFonts w:ascii="ITC Avant Garde" w:eastAsia="Times New Roman" w:hAnsi="ITC Avant Garde"/>
          <w:b/>
        </w:rPr>
        <w:t>R</w:t>
      </w:r>
      <w:r w:rsidRPr="00072FE9">
        <w:rPr>
          <w:rFonts w:ascii="ITC Avant Garde" w:eastAsia="Times New Roman" w:hAnsi="ITC Avant Garde"/>
          <w:b/>
        </w:rPr>
        <w:t xml:space="preserve"> A CONSULTA PÚBLICA EL ANTEPROYECTO DE </w:t>
      </w:r>
      <w:r w:rsidRPr="00D01E06">
        <w:rPr>
          <w:rFonts w:ascii="ITC Avant Garde" w:eastAsia="Times New Roman" w:hAnsi="ITC Avant Garde"/>
          <w:b/>
        </w:rPr>
        <w:t>LINEAMIENTOS PARA LA ENTREGA, INSCRIPCIÓN Y CONSULTA DE INFORMACIÓN PARA LA CONFORMACIÓN DEL SISTEMA NACIONAL DE INFORMACIÓN DE INFRAESTRUCTURA</w:t>
      </w:r>
    </w:p>
    <w:p w14:paraId="359D0D08" w14:textId="383F8301" w:rsidR="00A20C3F" w:rsidRDefault="00A20C3F" w:rsidP="00A20C3F">
      <w:pPr>
        <w:spacing w:after="0"/>
        <w:ind w:left="142" w:right="425"/>
        <w:jc w:val="center"/>
        <w:rPr>
          <w:rFonts w:ascii="ITC Avant Garde" w:hAnsi="ITC Avant Garde" w:cs="Arial"/>
          <w:b/>
          <w:bCs/>
        </w:rPr>
      </w:pPr>
    </w:p>
    <w:p w14:paraId="779196F9" w14:textId="77777777" w:rsidR="00D72D8A" w:rsidRDefault="00D72D8A" w:rsidP="00A20C3F">
      <w:pPr>
        <w:spacing w:after="0"/>
        <w:ind w:left="142" w:right="425"/>
        <w:jc w:val="center"/>
        <w:rPr>
          <w:rFonts w:ascii="ITC Avant Garde" w:hAnsi="ITC Avant Garde" w:cs="Arial"/>
          <w:b/>
          <w:bCs/>
        </w:rPr>
      </w:pPr>
    </w:p>
    <w:p w14:paraId="6509C2BF" w14:textId="77777777" w:rsidR="00A20C3F" w:rsidRPr="00AB103E" w:rsidRDefault="00A20C3F" w:rsidP="00A20C3F">
      <w:pPr>
        <w:spacing w:after="0"/>
        <w:ind w:left="142" w:right="425"/>
        <w:jc w:val="center"/>
        <w:rPr>
          <w:rFonts w:ascii="ITC Avant Garde" w:hAnsi="ITC Avant Garde" w:cs="Arial"/>
          <w:b/>
          <w:bCs/>
        </w:rPr>
      </w:pPr>
      <w:r w:rsidRPr="00072FE9">
        <w:rPr>
          <w:rFonts w:ascii="ITC Avant Garde" w:hAnsi="ITC Avant Garde" w:cs="Arial"/>
          <w:b/>
          <w:bCs/>
        </w:rPr>
        <w:t>A N T E C E D E N T E S</w:t>
      </w:r>
    </w:p>
    <w:p w14:paraId="285982CE" w14:textId="77777777" w:rsidR="00D72D8A" w:rsidRDefault="00D72D8A" w:rsidP="00A20C3F">
      <w:pPr>
        <w:widowControl w:val="0"/>
        <w:spacing w:after="0"/>
        <w:ind w:left="142" w:right="425"/>
        <w:jc w:val="both"/>
        <w:rPr>
          <w:rFonts w:ascii="ITC Avant Garde" w:eastAsia="Times New Roman" w:hAnsi="ITC Avant Garde"/>
        </w:rPr>
      </w:pPr>
    </w:p>
    <w:p w14:paraId="6AFF4736" w14:textId="77777777" w:rsidR="00A20C3F" w:rsidRPr="00072FE9" w:rsidRDefault="00A20C3F" w:rsidP="00A20C3F">
      <w:pPr>
        <w:pStyle w:val="Prrafodelista"/>
        <w:widowControl w:val="0"/>
        <w:numPr>
          <w:ilvl w:val="0"/>
          <w:numId w:val="41"/>
        </w:numPr>
        <w:spacing w:after="0"/>
        <w:ind w:left="851" w:right="425" w:hanging="567"/>
        <w:jc w:val="both"/>
        <w:rPr>
          <w:rFonts w:ascii="ITC Avant Garde" w:hAnsi="ITC Avant Garde" w:cs="Arial"/>
          <w:bCs/>
        </w:rPr>
      </w:pPr>
      <w:r w:rsidRPr="00072FE9">
        <w:rPr>
          <w:rFonts w:ascii="ITC Avant Garde" w:hAnsi="ITC Avant Garde" w:cs="Arial"/>
          <w:bCs/>
        </w:rPr>
        <w:t>El 11 de junio de 2013, se publicó en el Diario Oficial de la Federación (en lo sucesivo</w:t>
      </w:r>
      <w:r>
        <w:rPr>
          <w:rFonts w:ascii="ITC Avant Garde" w:hAnsi="ITC Avant Garde" w:cs="Arial"/>
          <w:bCs/>
        </w:rPr>
        <w:t xml:space="preserve">, </w:t>
      </w:r>
      <w:r w:rsidRPr="00072FE9">
        <w:rPr>
          <w:rFonts w:ascii="ITC Avant Garde" w:hAnsi="ITC Avant Garde" w:cs="Arial"/>
          <w:bCs/>
        </w:rPr>
        <w:t>“DOF”), el “</w:t>
      </w:r>
      <w:r w:rsidRPr="00072FE9">
        <w:rPr>
          <w:rFonts w:ascii="ITC Avant Garde" w:hAnsi="ITC Avant Garde" w:cs="Arial"/>
          <w:bCs/>
          <w:i/>
        </w:rPr>
        <w:t>DECRETO por el que se reforman y adicionan diversas disposiciones de los artículos 6o., 7o., 27, 28, 73, 78, 94 y 105 de la Constitución Política de los Estados Unidos Mexicanos, en materia de telecomunicaciones</w:t>
      </w:r>
      <w:r w:rsidRPr="00072FE9">
        <w:rPr>
          <w:rFonts w:ascii="ITC Avant Garde" w:hAnsi="ITC Avant Garde" w:cs="Arial"/>
          <w:bCs/>
        </w:rPr>
        <w:t>”, mediante el cual se creó al Instituto Federal de Telecomunicaciones (en lo sucesivo,  “Instituto”), como un órgano autónomo con personalidad jurídica y patrimonio propio, cuyo objeto es el desarrollo eficiente de la radiodifusión y las telecomunicaciones conforme a lo dispuesto en la propia Constitución Política de los Estados Unidos Mexicanos (en lo sucesivo,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5E5BC838" w14:textId="77777777" w:rsidR="00A20C3F" w:rsidRPr="00072FE9" w:rsidRDefault="00A20C3F" w:rsidP="00A20C3F">
      <w:pPr>
        <w:widowControl w:val="0"/>
        <w:spacing w:after="0"/>
        <w:ind w:left="142" w:right="425"/>
        <w:jc w:val="both"/>
        <w:rPr>
          <w:rFonts w:ascii="ITC Avant Garde" w:hAnsi="ITC Avant Garde" w:cs="Arial"/>
          <w:bCs/>
        </w:rPr>
      </w:pPr>
    </w:p>
    <w:p w14:paraId="021CF1E0" w14:textId="77777777" w:rsidR="00A20C3F" w:rsidRPr="00072FE9" w:rsidRDefault="00A20C3F" w:rsidP="00A20C3F">
      <w:pPr>
        <w:pStyle w:val="Prrafodelista"/>
        <w:widowControl w:val="0"/>
        <w:numPr>
          <w:ilvl w:val="0"/>
          <w:numId w:val="41"/>
        </w:numPr>
        <w:spacing w:after="0"/>
        <w:ind w:left="851" w:right="425" w:hanging="567"/>
        <w:jc w:val="both"/>
        <w:rPr>
          <w:rFonts w:ascii="ITC Avant Garde" w:eastAsia="Times New Roman" w:hAnsi="ITC Avant Garde"/>
        </w:rPr>
      </w:pPr>
      <w:r w:rsidRPr="00072FE9">
        <w:rPr>
          <w:rFonts w:ascii="ITC Avant Garde" w:eastAsia="Times New Roman" w:hAnsi="ITC Avant Garde"/>
        </w:rPr>
        <w:t xml:space="preserve">El 14 de julio de 2014, se publicó en el DOF el </w:t>
      </w:r>
      <w:r w:rsidRPr="00CA0315">
        <w:rPr>
          <w:rFonts w:ascii="ITC Avant Garde" w:eastAsia="Times New Roman" w:hAnsi="ITC Avant Garde"/>
          <w:i/>
        </w:rPr>
        <w:t xml:space="preserve">“DECRETO por el que se expiden la Ley Federal de Telecomunicaciones y Radiodifusión, y la Ley del Sistema Público de </w:t>
      </w:r>
      <w:r w:rsidRPr="00D06C1D">
        <w:rPr>
          <w:rFonts w:ascii="ITC Avant Garde" w:hAnsi="ITC Avant Garde" w:cs="Arial"/>
          <w:bCs/>
        </w:rPr>
        <w:t>Radiodifusión</w:t>
      </w:r>
      <w:r w:rsidRPr="00CA0315">
        <w:rPr>
          <w:rFonts w:ascii="ITC Avant Garde" w:eastAsia="Times New Roman" w:hAnsi="ITC Avant Garde"/>
          <w:i/>
        </w:rPr>
        <w:t xml:space="preserve"> del Estado Mexicano; y se reforman, adicionan y derogan diversas disposiciones en materia de telecomunicaciones y radiodifusión”</w:t>
      </w:r>
      <w:r w:rsidRPr="00072FE9">
        <w:rPr>
          <w:rFonts w:ascii="ITC Avant Garde" w:eastAsia="Times New Roman" w:hAnsi="ITC Avant Garde"/>
        </w:rPr>
        <w:t>, entrando en vigor la Ley Federal de Telecomunicaciones y Radiodifusión (en lo sucesivo</w:t>
      </w:r>
      <w:r>
        <w:rPr>
          <w:rFonts w:ascii="ITC Avant Garde" w:eastAsia="Times New Roman" w:hAnsi="ITC Avant Garde"/>
        </w:rPr>
        <w:t>,</w:t>
      </w:r>
      <w:r w:rsidRPr="00072FE9">
        <w:rPr>
          <w:rFonts w:ascii="ITC Avant Garde" w:eastAsia="Times New Roman" w:hAnsi="ITC Avant Garde"/>
        </w:rPr>
        <w:t xml:space="preserve">  “LFTR”) el 13 de agosto del 2014</w:t>
      </w:r>
      <w:r>
        <w:rPr>
          <w:rFonts w:ascii="ITC Avant Garde" w:eastAsia="Times New Roman" w:hAnsi="ITC Avant Garde"/>
        </w:rPr>
        <w:t xml:space="preserve">, </w:t>
      </w:r>
      <w:r w:rsidRPr="00EB29B0">
        <w:rPr>
          <w:rFonts w:ascii="ITC Avant Garde" w:eastAsia="Times New Roman" w:hAnsi="ITC Avant Garde"/>
        </w:rPr>
        <w:t xml:space="preserve">cuya última reforma fue publicada en el DOF el </w:t>
      </w:r>
      <w:r>
        <w:rPr>
          <w:rFonts w:ascii="ITC Avant Garde" w:eastAsia="Times New Roman" w:hAnsi="ITC Avant Garde"/>
        </w:rPr>
        <w:t>15</w:t>
      </w:r>
      <w:r w:rsidRPr="00EB29B0">
        <w:rPr>
          <w:rFonts w:ascii="ITC Avant Garde" w:eastAsia="Times New Roman" w:hAnsi="ITC Avant Garde"/>
        </w:rPr>
        <w:t xml:space="preserve"> de </w:t>
      </w:r>
      <w:r>
        <w:rPr>
          <w:rFonts w:ascii="ITC Avant Garde" w:eastAsia="Times New Roman" w:hAnsi="ITC Avant Garde"/>
        </w:rPr>
        <w:t>junio</w:t>
      </w:r>
      <w:r w:rsidRPr="00EB29B0">
        <w:rPr>
          <w:rFonts w:ascii="ITC Avant Garde" w:eastAsia="Times New Roman" w:hAnsi="ITC Avant Garde"/>
        </w:rPr>
        <w:t xml:space="preserve"> de 201</w:t>
      </w:r>
      <w:r>
        <w:rPr>
          <w:rFonts w:ascii="ITC Avant Garde" w:eastAsia="Times New Roman" w:hAnsi="ITC Avant Garde"/>
        </w:rPr>
        <w:t>8</w:t>
      </w:r>
      <w:r w:rsidRPr="00072FE9">
        <w:rPr>
          <w:rFonts w:ascii="ITC Avant Garde" w:eastAsia="Times New Roman" w:hAnsi="ITC Avant Garde"/>
        </w:rPr>
        <w:t>.</w:t>
      </w:r>
    </w:p>
    <w:p w14:paraId="2B77D693" w14:textId="77777777" w:rsidR="00A20C3F" w:rsidRDefault="00A20C3F" w:rsidP="00A20C3F">
      <w:pPr>
        <w:pStyle w:val="Prrafodelista"/>
        <w:ind w:left="142" w:right="425"/>
        <w:rPr>
          <w:rFonts w:ascii="ITC Avant Garde" w:eastAsia="Times New Roman" w:hAnsi="ITC Avant Garde"/>
        </w:rPr>
      </w:pPr>
    </w:p>
    <w:p w14:paraId="2F6F81B9" w14:textId="6FFBEDDA" w:rsidR="00A20C3F" w:rsidRDefault="00A20C3F" w:rsidP="00A20C3F">
      <w:pPr>
        <w:pStyle w:val="Prrafodelista"/>
        <w:widowControl w:val="0"/>
        <w:numPr>
          <w:ilvl w:val="0"/>
          <w:numId w:val="41"/>
        </w:numPr>
        <w:spacing w:after="0"/>
        <w:ind w:left="851" w:right="425" w:hanging="567"/>
        <w:jc w:val="both"/>
        <w:rPr>
          <w:rFonts w:ascii="ITC Avant Garde" w:hAnsi="ITC Avant Garde" w:cs="Arial"/>
          <w:bCs/>
        </w:rPr>
      </w:pPr>
      <w:r w:rsidRPr="00072FE9">
        <w:rPr>
          <w:rFonts w:ascii="ITC Avant Garde" w:hAnsi="ITC Avant Garde" w:cs="Arial"/>
          <w:bCs/>
        </w:rPr>
        <w:t xml:space="preserve">El 4 de septiembre de 2014, se publicó en el DOF el </w:t>
      </w:r>
      <w:r w:rsidRPr="00535304">
        <w:rPr>
          <w:rFonts w:ascii="ITC Avant Garde" w:hAnsi="ITC Avant Garde" w:cs="Arial"/>
          <w:bCs/>
          <w:i/>
        </w:rPr>
        <w:t>“ESTATUTO Orgánico del Instituto Federal de Telecomunicaciones"</w:t>
      </w:r>
      <w:r w:rsidRPr="00072FE9">
        <w:rPr>
          <w:rFonts w:ascii="ITC Avant Garde" w:hAnsi="ITC Avant Garde" w:cs="Arial"/>
          <w:bCs/>
        </w:rPr>
        <w:t xml:space="preserve">, </w:t>
      </w:r>
      <w:r>
        <w:rPr>
          <w:rFonts w:ascii="ITC Avant Garde" w:hAnsi="ITC Avant Garde" w:cs="Arial"/>
          <w:bCs/>
        </w:rPr>
        <w:t>mismo que entró</w:t>
      </w:r>
      <w:r w:rsidRPr="00072FE9">
        <w:rPr>
          <w:rFonts w:ascii="ITC Avant Garde" w:hAnsi="ITC Avant Garde" w:cs="Arial"/>
          <w:bCs/>
        </w:rPr>
        <w:t xml:space="preserve"> en vigor el 26 de septiembre de 2014, (en lo sucesivo, "Estatuto</w:t>
      </w:r>
      <w:r>
        <w:rPr>
          <w:rFonts w:ascii="ITC Avant Garde" w:hAnsi="ITC Avant Garde" w:cs="Arial"/>
          <w:bCs/>
        </w:rPr>
        <w:t xml:space="preserve"> Orgánico</w:t>
      </w:r>
      <w:r w:rsidRPr="00072FE9">
        <w:rPr>
          <w:rFonts w:ascii="ITC Avant Garde" w:hAnsi="ITC Avant Garde" w:cs="Arial"/>
          <w:bCs/>
        </w:rPr>
        <w:t>")</w:t>
      </w:r>
      <w:r>
        <w:rPr>
          <w:rFonts w:ascii="ITC Avant Garde" w:hAnsi="ITC Avant Garde" w:cs="Arial"/>
          <w:bCs/>
        </w:rPr>
        <w:t xml:space="preserve"> </w:t>
      </w:r>
      <w:r w:rsidRPr="007276E6">
        <w:rPr>
          <w:rFonts w:ascii="ITC Avant Garde" w:hAnsi="ITC Avant Garde" w:cs="Arial"/>
          <w:lang w:eastAsia="es-ES"/>
        </w:rPr>
        <w:t>cuya última modific</w:t>
      </w:r>
      <w:r>
        <w:rPr>
          <w:rFonts w:ascii="ITC Avant Garde" w:hAnsi="ITC Avant Garde" w:cs="Arial"/>
          <w:lang w:eastAsia="es-ES"/>
        </w:rPr>
        <w:t>ación fue publicada en el DOF 13</w:t>
      </w:r>
      <w:r w:rsidRPr="007276E6">
        <w:rPr>
          <w:rFonts w:ascii="ITC Avant Garde" w:hAnsi="ITC Avant Garde" w:cs="Arial"/>
          <w:lang w:eastAsia="es-ES"/>
        </w:rPr>
        <w:t xml:space="preserve"> de julio de 201</w:t>
      </w:r>
      <w:r>
        <w:rPr>
          <w:rFonts w:ascii="ITC Avant Garde" w:hAnsi="ITC Avant Garde" w:cs="Arial"/>
          <w:lang w:eastAsia="es-ES"/>
        </w:rPr>
        <w:t>8</w:t>
      </w:r>
      <w:r w:rsidRPr="00072FE9">
        <w:rPr>
          <w:rFonts w:ascii="ITC Avant Garde" w:hAnsi="ITC Avant Garde" w:cs="Arial"/>
          <w:bCs/>
        </w:rPr>
        <w:t>.</w:t>
      </w:r>
    </w:p>
    <w:p w14:paraId="79DDC73F" w14:textId="77777777" w:rsidR="00D72D8A" w:rsidRPr="00D72D8A" w:rsidRDefault="00D72D8A" w:rsidP="00D72D8A">
      <w:pPr>
        <w:pStyle w:val="Prrafodelista"/>
        <w:rPr>
          <w:rFonts w:ascii="ITC Avant Garde" w:hAnsi="ITC Avant Garde" w:cs="Arial"/>
          <w:bCs/>
        </w:rPr>
      </w:pPr>
    </w:p>
    <w:p w14:paraId="38083C61" w14:textId="7A81905C" w:rsidR="00D72D8A" w:rsidRPr="008907ED" w:rsidRDefault="00D72D8A" w:rsidP="00D72D8A">
      <w:pPr>
        <w:pStyle w:val="Antecedentes"/>
        <w:numPr>
          <w:ilvl w:val="0"/>
          <w:numId w:val="41"/>
        </w:numPr>
        <w:rPr>
          <w:sz w:val="22"/>
          <w:szCs w:val="22"/>
        </w:rPr>
      </w:pPr>
      <w:r>
        <w:rPr>
          <w:sz w:val="22"/>
          <w:szCs w:val="22"/>
        </w:rPr>
        <w:lastRenderedPageBreak/>
        <w:t>El</w:t>
      </w:r>
      <w:r w:rsidRPr="008907ED">
        <w:rPr>
          <w:sz w:val="22"/>
          <w:szCs w:val="22"/>
        </w:rPr>
        <w:t xml:space="preserve"> 25 de noviembre de 2015, el Pleno del Instituto en su XXVII Sesión Ordinaria emitió para opinión pública el </w:t>
      </w:r>
      <w:r w:rsidRPr="008907ED">
        <w:rPr>
          <w:i/>
          <w:sz w:val="22"/>
          <w:szCs w:val="22"/>
        </w:rPr>
        <w:t>“Anteproyecto de Lineamientos para la Entrega de Información por parte de los Concesionarios, Autorizados, Dependencias y Entidades de la Administración Pública Federal, del Distrito Federal, Estatal y Municipal y los Órganos Autónomos, para la Creación del Sistema Nacional de Información de Infraestructura”</w:t>
      </w:r>
      <w:r w:rsidRPr="008907ED">
        <w:rPr>
          <w:sz w:val="22"/>
          <w:szCs w:val="22"/>
        </w:rPr>
        <w:t>. La opinión pública se llevó a cabo del 25 de noviembre de 2015 al 22 de febrero del 2016.</w:t>
      </w:r>
    </w:p>
    <w:p w14:paraId="2EE0B830" w14:textId="0075CE64" w:rsidR="00D72D8A" w:rsidRPr="00D72D8A" w:rsidRDefault="00D72D8A" w:rsidP="00463DED">
      <w:pPr>
        <w:pStyle w:val="Antecedentes"/>
        <w:numPr>
          <w:ilvl w:val="0"/>
          <w:numId w:val="41"/>
        </w:numPr>
        <w:rPr>
          <w:sz w:val="22"/>
          <w:szCs w:val="22"/>
        </w:rPr>
      </w:pPr>
      <w:r>
        <w:rPr>
          <w:sz w:val="22"/>
          <w:szCs w:val="22"/>
        </w:rPr>
        <w:t>El</w:t>
      </w:r>
      <w:r w:rsidRPr="008907ED">
        <w:rPr>
          <w:sz w:val="22"/>
          <w:szCs w:val="22"/>
        </w:rPr>
        <w:t xml:space="preserve"> 1° de septiembre de 2016, mediante Acuerdo P/IFT/010916/461, el Pleno del Instituto en su XXVII Sesión Ordinaria emitió </w:t>
      </w:r>
      <w:r w:rsidRPr="00463DED">
        <w:rPr>
          <w:i/>
          <w:sz w:val="22"/>
          <w:szCs w:val="22"/>
        </w:rPr>
        <w:t>el “</w:t>
      </w:r>
      <w:r w:rsidR="00463DED" w:rsidRPr="00463DED">
        <w:rPr>
          <w:i/>
          <w:sz w:val="22"/>
          <w:szCs w:val="22"/>
        </w:rPr>
        <w:t>Acuerdo mediante el cual el Pleno del Instituto Federal de Telecomunicaciones determina someter a consulta pública el “Anteproyecto de Lineamientos para la entrega y acceso de información por parte de los concesionarios, autorizados, particulares, Instituciones Públicas, Universidades y Centros de Investigación, para la conformación del Sistema Nacional de Información de Infraestructura”</w:t>
      </w:r>
      <w:r w:rsidRPr="008907ED">
        <w:rPr>
          <w:sz w:val="22"/>
          <w:szCs w:val="22"/>
        </w:rPr>
        <w:t>. La consulta pública se llevó a cabo del 20 de septiembre</w:t>
      </w:r>
      <w:r w:rsidR="00463DED">
        <w:rPr>
          <w:sz w:val="22"/>
          <w:szCs w:val="22"/>
        </w:rPr>
        <w:t xml:space="preserve"> de 2016</w:t>
      </w:r>
      <w:r w:rsidRPr="008907ED">
        <w:rPr>
          <w:sz w:val="22"/>
          <w:szCs w:val="22"/>
        </w:rPr>
        <w:t xml:space="preserve"> al 31 de octubre del 2016.</w:t>
      </w:r>
    </w:p>
    <w:p w14:paraId="63D06927" w14:textId="48B2DCB5" w:rsidR="00A20C3F" w:rsidRDefault="00A20C3F" w:rsidP="00A20C3F">
      <w:pPr>
        <w:spacing w:after="0"/>
        <w:ind w:left="142" w:right="425"/>
        <w:rPr>
          <w:rFonts w:ascii="ITC Avant Garde" w:hAnsi="ITC Avant Garde" w:cs="Arial"/>
          <w:b/>
          <w:bCs/>
        </w:rPr>
      </w:pPr>
    </w:p>
    <w:p w14:paraId="10C9F961" w14:textId="77777777" w:rsidR="00944536" w:rsidRDefault="00944536" w:rsidP="00A20C3F">
      <w:pPr>
        <w:spacing w:after="0"/>
        <w:ind w:left="142" w:right="425"/>
        <w:rPr>
          <w:rFonts w:ascii="ITC Avant Garde" w:hAnsi="ITC Avant Garde" w:cs="Arial"/>
          <w:b/>
          <w:bCs/>
        </w:rPr>
      </w:pPr>
    </w:p>
    <w:p w14:paraId="4D5ED9EE" w14:textId="77777777" w:rsidR="00A20C3F" w:rsidRDefault="00A20C3F" w:rsidP="00A20C3F">
      <w:pPr>
        <w:spacing w:after="0"/>
        <w:ind w:left="142" w:right="425"/>
        <w:jc w:val="center"/>
        <w:rPr>
          <w:rFonts w:ascii="ITC Avant Garde" w:hAnsi="ITC Avant Garde" w:cs="Arial"/>
          <w:b/>
          <w:bCs/>
        </w:rPr>
      </w:pPr>
      <w:r w:rsidRPr="00072FE9">
        <w:rPr>
          <w:rFonts w:ascii="ITC Avant Garde" w:hAnsi="ITC Avant Garde" w:cs="Arial"/>
          <w:b/>
          <w:bCs/>
        </w:rPr>
        <w:t>CONSIDERANDO</w:t>
      </w:r>
    </w:p>
    <w:p w14:paraId="36220B30" w14:textId="77777777" w:rsidR="00463DED" w:rsidRPr="00D06C1D" w:rsidRDefault="00463DED" w:rsidP="00A20C3F">
      <w:pPr>
        <w:spacing w:after="0"/>
        <w:ind w:left="142" w:right="425"/>
        <w:jc w:val="both"/>
        <w:rPr>
          <w:rFonts w:ascii="ITC Avant Garde" w:hAnsi="ITC Avant Garde" w:cs="Arial"/>
          <w:b/>
          <w:bCs/>
          <w:sz w:val="18"/>
        </w:rPr>
      </w:pPr>
    </w:p>
    <w:p w14:paraId="5B3FF92E" w14:textId="77777777" w:rsidR="00A20C3F" w:rsidRPr="00072FE9" w:rsidRDefault="00A20C3F" w:rsidP="00A20C3F">
      <w:pPr>
        <w:spacing w:after="0"/>
        <w:ind w:left="142" w:right="425"/>
        <w:jc w:val="both"/>
        <w:rPr>
          <w:rFonts w:ascii="ITC Avant Garde" w:hAnsi="ITC Avant Garde" w:cs="Arial"/>
          <w:bCs/>
        </w:rPr>
      </w:pPr>
      <w:r w:rsidRPr="00072FE9">
        <w:rPr>
          <w:rFonts w:ascii="ITC Avant Garde" w:hAnsi="ITC Avant Garde" w:cs="Arial"/>
          <w:b/>
          <w:bCs/>
        </w:rPr>
        <w:t>PRIMERO. - Competencia del Instituto.</w:t>
      </w:r>
      <w:r w:rsidRPr="00072FE9">
        <w:rPr>
          <w:rFonts w:ascii="ITC Avant Garde" w:hAnsi="ITC Avant Garde" w:cs="Arial"/>
          <w:bCs/>
        </w:rPr>
        <w:t xml:space="preserve"> De conformidad con el artículo 28, </w:t>
      </w:r>
      <w:proofErr w:type="gramStart"/>
      <w:r w:rsidRPr="00072FE9">
        <w:rPr>
          <w:rFonts w:ascii="ITC Avant Garde" w:hAnsi="ITC Avant Garde" w:cs="Arial"/>
          <w:bCs/>
        </w:rPr>
        <w:t xml:space="preserve">párrafos </w:t>
      </w:r>
      <w:r>
        <w:rPr>
          <w:rFonts w:ascii="ITC Avant Garde" w:hAnsi="ITC Avant Garde" w:cs="Arial"/>
          <w:bCs/>
        </w:rPr>
        <w:t>d</w:t>
      </w:r>
      <w:r w:rsidRPr="00072FE9">
        <w:rPr>
          <w:rFonts w:ascii="ITC Avant Garde" w:hAnsi="ITC Avant Garde" w:cs="Arial"/>
          <w:bCs/>
        </w:rPr>
        <w:t>é</w:t>
      </w:r>
      <w:r>
        <w:rPr>
          <w:rFonts w:ascii="ITC Avant Garde" w:hAnsi="ITC Avant Garde" w:cs="Arial"/>
          <w:bCs/>
        </w:rPr>
        <w:t>cimo quinto</w:t>
      </w:r>
      <w:proofErr w:type="gramEnd"/>
      <w:r>
        <w:rPr>
          <w:rFonts w:ascii="ITC Avant Garde" w:hAnsi="ITC Avant Garde" w:cs="Arial"/>
          <w:bCs/>
        </w:rPr>
        <w:t xml:space="preserve"> y d</w:t>
      </w:r>
      <w:r w:rsidRPr="00072FE9">
        <w:rPr>
          <w:rFonts w:ascii="ITC Avant Garde" w:hAnsi="ITC Avant Garde" w:cs="Arial"/>
          <w:bCs/>
        </w:rPr>
        <w:t xml:space="preserve">écimo sexto de la Constitución, el Instituto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w:t>
      </w:r>
      <w:r>
        <w:rPr>
          <w:rFonts w:ascii="ITC Avant Garde" w:eastAsia="Times New Roman" w:hAnsi="ITC Avant Garde"/>
        </w:rPr>
        <w:t>Por su parte</w:t>
      </w:r>
      <w:r w:rsidRPr="00072FE9">
        <w:rPr>
          <w:rFonts w:ascii="ITC Avant Garde" w:eastAsia="Times New Roman" w:hAnsi="ITC Avant Garde"/>
        </w:rPr>
        <w:t xml:space="preserve">, la fracción IV del </w:t>
      </w:r>
      <w:r>
        <w:rPr>
          <w:rFonts w:ascii="ITC Avant Garde" w:eastAsia="Times New Roman" w:hAnsi="ITC Avant Garde"/>
        </w:rPr>
        <w:t>párrafo v</w:t>
      </w:r>
      <w:r w:rsidRPr="007A3E27">
        <w:rPr>
          <w:rFonts w:ascii="ITC Avant Garde" w:eastAsia="Times New Roman" w:hAnsi="ITC Avant Garde"/>
        </w:rPr>
        <w:t>igésimo</w:t>
      </w:r>
      <w:r w:rsidRPr="00072FE9">
        <w:rPr>
          <w:rFonts w:ascii="ITC Avant Garde" w:eastAsia="Times New Roman" w:hAnsi="ITC Avant Garde"/>
        </w:rPr>
        <w:t xml:space="preserve"> del mismo ordenamiento señala que el Instituto podrá emitir disposiciones administrativas de carácter general exclusivamente para el cumplimiento de su función regulatoria en el sector de su competencia.</w:t>
      </w:r>
    </w:p>
    <w:p w14:paraId="4047368C" w14:textId="77777777" w:rsidR="00A20C3F" w:rsidRPr="00072FE9" w:rsidRDefault="00A20C3F" w:rsidP="00A20C3F">
      <w:pPr>
        <w:spacing w:after="0"/>
        <w:ind w:left="142" w:right="425"/>
        <w:jc w:val="both"/>
        <w:rPr>
          <w:rFonts w:ascii="ITC Avant Garde" w:hAnsi="ITC Avant Garde" w:cs="Arial"/>
          <w:bCs/>
        </w:rPr>
      </w:pPr>
    </w:p>
    <w:p w14:paraId="070474BA" w14:textId="45A4B40F" w:rsidR="00A20C3F" w:rsidRDefault="00A20C3F" w:rsidP="00A20C3F">
      <w:pPr>
        <w:spacing w:after="0"/>
        <w:ind w:left="142" w:right="425"/>
        <w:jc w:val="both"/>
        <w:rPr>
          <w:rFonts w:ascii="ITC Avant Garde" w:hAnsi="ITC Avant Garde" w:cs="Arial"/>
          <w:bCs/>
        </w:rPr>
      </w:pPr>
      <w:r w:rsidRPr="00072FE9">
        <w:rPr>
          <w:rFonts w:ascii="ITC Avant Garde" w:hAnsi="ITC Avant Garde" w:cs="Arial"/>
          <w:bCs/>
        </w:rPr>
        <w:t>As</w:t>
      </w:r>
      <w:r>
        <w:rPr>
          <w:rFonts w:ascii="ITC Avant Garde" w:hAnsi="ITC Avant Garde" w:cs="Arial"/>
          <w:bCs/>
        </w:rPr>
        <w:t>i</w:t>
      </w:r>
      <w:r w:rsidRPr="00072FE9">
        <w:rPr>
          <w:rFonts w:ascii="ITC Avant Garde" w:hAnsi="ITC Avant Garde" w:cs="Arial"/>
          <w:bCs/>
        </w:rPr>
        <w:t xml:space="preserve">mismo, conforme a lo dispuesto en el artículo 7, </w:t>
      </w:r>
      <w:r w:rsidRPr="00564621">
        <w:rPr>
          <w:rFonts w:ascii="ITC Avant Garde" w:hAnsi="ITC Avant Garde" w:cs="Arial"/>
        </w:rPr>
        <w:t xml:space="preserve">párrafos primero, segundo y cuarto, </w:t>
      </w:r>
      <w:r>
        <w:rPr>
          <w:rFonts w:ascii="ITC Avant Garde" w:hAnsi="ITC Avant Garde" w:cs="Arial"/>
        </w:rPr>
        <w:t>15 fracción I</w:t>
      </w:r>
      <w:r w:rsidR="00463DED">
        <w:rPr>
          <w:rFonts w:ascii="ITC Avant Garde" w:hAnsi="ITC Avant Garde" w:cs="Arial"/>
        </w:rPr>
        <w:t xml:space="preserve"> </w:t>
      </w:r>
      <w:r w:rsidR="00463DED" w:rsidRPr="00463DED">
        <w:rPr>
          <w:rFonts w:ascii="ITC Avant Garde" w:hAnsi="ITC Avant Garde" w:cs="Arial"/>
        </w:rPr>
        <w:t>y LVI</w:t>
      </w:r>
      <w:r>
        <w:rPr>
          <w:rFonts w:ascii="ITC Avant Garde" w:hAnsi="ITC Avant Garde" w:cs="Arial"/>
        </w:rPr>
        <w:t xml:space="preserve"> de la </w:t>
      </w:r>
      <w:r>
        <w:rPr>
          <w:rFonts w:ascii="ITC Avant Garde" w:hAnsi="ITC Avant Garde" w:cs="Arial"/>
          <w:bCs/>
        </w:rPr>
        <w:t>LFT</w:t>
      </w:r>
      <w:r w:rsidRPr="00072FE9">
        <w:rPr>
          <w:rFonts w:ascii="ITC Avant Garde" w:hAnsi="ITC Avant Garde" w:cs="Arial"/>
          <w:bCs/>
        </w:rPr>
        <w:t>R</w:t>
      </w:r>
      <w:r>
        <w:rPr>
          <w:rFonts w:ascii="ITC Avant Garde" w:hAnsi="ITC Avant Garde" w:cs="Arial"/>
          <w:bCs/>
        </w:rPr>
        <w:t xml:space="preserve"> y 6º del Estatuto Orgánico,</w:t>
      </w:r>
      <w:r w:rsidRPr="00072FE9">
        <w:rPr>
          <w:rFonts w:ascii="ITC Avant Garde" w:hAnsi="ITC Avant Garde" w:cs="Arial"/>
          <w:bCs/>
        </w:rPr>
        <w:t xml:space="preserve"> el Instituto es un órgano público autónomo, independiente en sus decisiones y funcionamiento, con personalidad jurídica y patrimonio propios, tiene por objeto regular y promover la competencia y el desarrollo eficiente de las telecomunicaciones y la radiodifusión</w:t>
      </w:r>
      <w:r>
        <w:rPr>
          <w:rFonts w:ascii="ITC Avant Garde" w:hAnsi="ITC Avant Garde" w:cs="Arial"/>
          <w:bCs/>
        </w:rPr>
        <w:t xml:space="preserve">, </w:t>
      </w:r>
      <w:r w:rsidRPr="00072FE9">
        <w:rPr>
          <w:rFonts w:ascii="ITC Avant Garde" w:hAnsi="ITC Avant Garde" w:cs="Arial"/>
          <w:bCs/>
        </w:rPr>
        <w:t xml:space="preserve">en el ámbito de las atribuciones que </w:t>
      </w:r>
      <w:r>
        <w:rPr>
          <w:rFonts w:ascii="ITC Avant Garde" w:hAnsi="ITC Avant Garde" w:cs="Arial"/>
          <w:bCs/>
        </w:rPr>
        <w:t xml:space="preserve">le </w:t>
      </w:r>
      <w:r w:rsidRPr="00072FE9">
        <w:rPr>
          <w:rFonts w:ascii="ITC Avant Garde" w:hAnsi="ITC Avant Garde" w:cs="Arial"/>
          <w:bCs/>
        </w:rPr>
        <w:t xml:space="preserve">confiere la Constitución y en los términos que </w:t>
      </w:r>
      <w:r>
        <w:rPr>
          <w:rFonts w:ascii="ITC Avant Garde" w:hAnsi="ITC Avant Garde" w:cs="Arial"/>
          <w:bCs/>
        </w:rPr>
        <w:t>se fijan en la LFT</w:t>
      </w:r>
      <w:r w:rsidRPr="00072FE9">
        <w:rPr>
          <w:rFonts w:ascii="ITC Avant Garde" w:hAnsi="ITC Avant Garde" w:cs="Arial"/>
          <w:bCs/>
        </w:rPr>
        <w:t xml:space="preserve">R y demás disposiciones legales aplicables, por lo que tiene a su cargo la regulación, promoción y supervisión del uso, aprovechamiento y explotación del espectro radioeléctrico, los recursos orbitales, los servicios satelitales, las redes </w:t>
      </w:r>
      <w:r w:rsidRPr="00072FE9">
        <w:rPr>
          <w:rFonts w:ascii="ITC Avant Garde" w:hAnsi="ITC Avant Garde" w:cs="Arial"/>
          <w:bCs/>
        </w:rPr>
        <w:lastRenderedPageBreak/>
        <w:t>públicas de telecomunicaciones y la prestación de los servicios de radiodifusión y de telecomunicaciones, así como el acceso a la infraestructura activa y pasiva y otros insumos esenciales, sin perjuicio de las atribuciones que corresponden a otras autoridades en los términos de la legislación correspondiente</w:t>
      </w:r>
      <w:r>
        <w:rPr>
          <w:rFonts w:ascii="ITC Avant Garde" w:hAnsi="ITC Avant Garde" w:cs="Arial"/>
          <w:bCs/>
        </w:rPr>
        <w:t>.</w:t>
      </w:r>
    </w:p>
    <w:p w14:paraId="50FEAB35" w14:textId="77777777" w:rsidR="00A20C3F" w:rsidRDefault="00A20C3F" w:rsidP="00A20C3F">
      <w:pPr>
        <w:spacing w:after="0"/>
        <w:ind w:left="142" w:right="425"/>
        <w:jc w:val="both"/>
        <w:rPr>
          <w:rFonts w:ascii="ITC Avant Garde" w:hAnsi="ITC Avant Garde" w:cs="Arial"/>
          <w:bCs/>
        </w:rPr>
      </w:pPr>
    </w:p>
    <w:p w14:paraId="54FAED77" w14:textId="77777777" w:rsidR="00A20C3F" w:rsidRPr="002457CA" w:rsidRDefault="00A20C3F" w:rsidP="00A20C3F">
      <w:pPr>
        <w:spacing w:after="0"/>
        <w:ind w:left="142" w:right="425"/>
        <w:jc w:val="both"/>
        <w:rPr>
          <w:rFonts w:ascii="ITC Avant Garde" w:hAnsi="ITC Avant Garde" w:cs="Arial"/>
          <w:lang w:val="es-ES_tradnl"/>
        </w:rPr>
      </w:pPr>
      <w:r>
        <w:rPr>
          <w:rFonts w:ascii="ITC Avant Garde" w:hAnsi="ITC Avant Garde" w:cs="Arial"/>
          <w:bCs/>
        </w:rPr>
        <w:t xml:space="preserve">También el Instituto </w:t>
      </w:r>
      <w:r w:rsidRPr="002457CA">
        <w:rPr>
          <w:rFonts w:ascii="ITC Avant Garde" w:hAnsi="ITC Avant Garde" w:cs="Arial"/>
          <w:bCs/>
          <w:lang w:val="es-ES_tradnl"/>
        </w:rPr>
        <w:t xml:space="preserve">es la autoridad en materia de lineamientos técnicos relativos a la infraestructura y los equipos que se conecten a las redes de telecomunicaciones, así como en materia de homologación y evaluación de la conformidad de </w:t>
      </w:r>
      <w:r>
        <w:rPr>
          <w:rFonts w:ascii="ITC Avant Garde" w:hAnsi="ITC Avant Garde" w:cs="Arial"/>
          <w:bCs/>
          <w:lang w:val="es-ES_tradnl"/>
        </w:rPr>
        <w:t xml:space="preserve">dicha infraestructura y equipos, y </w:t>
      </w:r>
      <w:r w:rsidRPr="00B0564E">
        <w:rPr>
          <w:rFonts w:ascii="ITC Avant Garde" w:hAnsi="ITC Avant Garde" w:cs="Arial"/>
          <w:bCs/>
        </w:rPr>
        <w:t xml:space="preserve">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w:t>
      </w:r>
      <w:r>
        <w:rPr>
          <w:rFonts w:ascii="ITC Avant Garde" w:hAnsi="ITC Avant Garde" w:cs="Arial"/>
          <w:bCs/>
        </w:rPr>
        <w:t xml:space="preserve">supervisar el uso, aprovechamiento y explotación eficiente del espectro radioeléctrico, los recursos orbitales, los servicios satelitales, las redes de telecomunicaciones y la prestación de los servicios de radiodifusión y telecomunicaciones, el acceso a infraestructura activa, pasiva e insumos esenciales </w:t>
      </w:r>
      <w:r w:rsidRPr="00B0564E">
        <w:rPr>
          <w:rFonts w:ascii="ITC Avant Garde" w:hAnsi="ITC Avant Garde" w:cs="Arial"/>
          <w:bCs/>
        </w:rPr>
        <w:t xml:space="preserve">así como demás disposiciones para el cumplimiento de lo dispuesto en el multicitado ordenamiento. </w:t>
      </w:r>
    </w:p>
    <w:p w14:paraId="3974C692" w14:textId="77777777" w:rsidR="00A20C3F" w:rsidRPr="00944536" w:rsidRDefault="00A20C3F" w:rsidP="00A20C3F">
      <w:pPr>
        <w:spacing w:after="0"/>
        <w:ind w:left="142" w:right="425"/>
        <w:jc w:val="both"/>
        <w:rPr>
          <w:rFonts w:ascii="ITC Avant Garde" w:hAnsi="ITC Avant Garde" w:cs="Arial"/>
          <w:bCs/>
        </w:rPr>
      </w:pPr>
    </w:p>
    <w:p w14:paraId="7EE1CBF2" w14:textId="74BBFB72" w:rsidR="005E38E4" w:rsidRDefault="005E38E4" w:rsidP="005E38E4">
      <w:pPr>
        <w:spacing w:after="0"/>
        <w:ind w:left="142" w:right="425"/>
        <w:jc w:val="both"/>
        <w:rPr>
          <w:rFonts w:ascii="ITC Avant Garde" w:hAnsi="ITC Avant Garde"/>
        </w:rPr>
      </w:pPr>
      <w:r w:rsidRPr="005E38E4">
        <w:rPr>
          <w:rFonts w:ascii="ITC Avant Garde" w:hAnsi="ITC Avant Garde"/>
          <w:b/>
        </w:rPr>
        <w:t xml:space="preserve">SEGUNDO. Del Sistema Nacional de Información de Infraestructura. </w:t>
      </w:r>
      <w:r w:rsidR="007D43C6">
        <w:rPr>
          <w:rFonts w:ascii="ITC Avant Garde" w:hAnsi="ITC Avant Garde"/>
        </w:rPr>
        <w:t xml:space="preserve">En </w:t>
      </w:r>
      <w:r w:rsidRPr="005E38E4">
        <w:rPr>
          <w:rFonts w:ascii="ITC Avant Garde" w:hAnsi="ITC Avant Garde"/>
        </w:rPr>
        <w:t>la “</w:t>
      </w:r>
      <w:r w:rsidRPr="005E38E4">
        <w:rPr>
          <w:rFonts w:ascii="ITC Avant Garde" w:hAnsi="ITC Avant Garde"/>
          <w:i/>
        </w:rPr>
        <w:t>Iniciativa de Decreto por el que se expiden la Ley Federal de Telecomunicaciones y Radiodifusión</w:t>
      </w:r>
      <w:r w:rsidRPr="005E38E4">
        <w:rPr>
          <w:rFonts w:ascii="ITC Avant Garde" w:hAnsi="ITC Avant Garde"/>
        </w:rPr>
        <w:t xml:space="preserve">” se establece la necesidad de contar con un Sistema Nacional de Información de Infraestructura (en lo sucesivo, “SNII”), el cual estará a cargo del Instituto, con el objeto de contar con información sobre la ubicación, características, capacidad de la infraestructura en telecomunicaciones instalada en todo el país, para lo cual se deberá crear y mantener actualizada una base de datos nacional geo-referenciada que contenga los registros de </w:t>
      </w:r>
      <w:r w:rsidRPr="005E38E4">
        <w:rPr>
          <w:rFonts w:ascii="ITC Avant Garde" w:hAnsi="ITC Avant Garde" w:cs="Arial"/>
          <w:bCs/>
        </w:rPr>
        <w:t>infraestructura</w:t>
      </w:r>
      <w:r w:rsidRPr="005E38E4">
        <w:rPr>
          <w:rFonts w:ascii="ITC Avant Garde" w:hAnsi="ITC Avant Garde"/>
        </w:rPr>
        <w:t xml:space="preserve"> activa y medios de transmisión, de infraestructura pasiva y derechos de vía y sitios públicos.</w:t>
      </w:r>
    </w:p>
    <w:p w14:paraId="6FA08A36" w14:textId="77777777" w:rsidR="005E38E4" w:rsidRDefault="005E38E4" w:rsidP="005E38E4">
      <w:pPr>
        <w:spacing w:after="0"/>
        <w:ind w:left="142" w:right="425"/>
        <w:jc w:val="both"/>
      </w:pPr>
    </w:p>
    <w:p w14:paraId="14660BED" w14:textId="6AAA2A2A" w:rsidR="005E38E4" w:rsidRDefault="005E38E4" w:rsidP="005E38E4">
      <w:pPr>
        <w:spacing w:after="0"/>
        <w:ind w:left="142" w:right="425"/>
        <w:jc w:val="both"/>
        <w:rPr>
          <w:rFonts w:ascii="ITC Avant Garde" w:hAnsi="ITC Avant Garde"/>
        </w:rPr>
      </w:pPr>
      <w:r w:rsidRPr="005E38E4">
        <w:rPr>
          <w:rFonts w:ascii="ITC Avant Garde" w:hAnsi="ITC Avant Garde"/>
        </w:rPr>
        <w:t>En razón de ello, el Capítulo II del Título Séptimo de la LFTR, en sus artículos 181</w:t>
      </w:r>
      <w:r w:rsidR="007D43C6">
        <w:rPr>
          <w:rFonts w:ascii="ITC Avant Garde" w:hAnsi="ITC Avant Garde"/>
        </w:rPr>
        <w:t xml:space="preserve"> a </w:t>
      </w:r>
      <w:r w:rsidRPr="005E38E4">
        <w:rPr>
          <w:rFonts w:ascii="ITC Avant Garde" w:hAnsi="ITC Avant Garde"/>
        </w:rPr>
        <w:t xml:space="preserve">188 </w:t>
      </w:r>
      <w:r>
        <w:rPr>
          <w:rFonts w:ascii="ITC Avant Garde" w:hAnsi="ITC Avant Garde"/>
        </w:rPr>
        <w:t>dispone</w:t>
      </w:r>
      <w:r w:rsidRPr="005E38E4">
        <w:rPr>
          <w:rFonts w:ascii="ITC Avant Garde" w:hAnsi="ITC Avant Garde"/>
        </w:rPr>
        <w:t xml:space="preserve"> que el Instituto creará y mantendrá actualizada una base de datos nacional geo-referenciada que </w:t>
      </w:r>
      <w:r w:rsidRPr="005E38E4" w:rsidDel="00986179">
        <w:rPr>
          <w:rFonts w:ascii="ITC Avant Garde" w:hAnsi="ITC Avant Garde"/>
        </w:rPr>
        <w:t xml:space="preserve">contenga </w:t>
      </w:r>
      <w:r w:rsidRPr="005E38E4" w:rsidDel="00441FDE">
        <w:rPr>
          <w:rFonts w:ascii="ITC Avant Garde" w:hAnsi="ITC Avant Garde"/>
        </w:rPr>
        <w:t xml:space="preserve">la información de </w:t>
      </w:r>
      <w:r w:rsidRPr="005E38E4">
        <w:rPr>
          <w:rFonts w:ascii="ITC Avant Garde" w:hAnsi="ITC Avant Garde"/>
        </w:rPr>
        <w:t>los registros de infraestructura activa y medios de transmisión, de infraestructura pasiva y derec</w:t>
      </w:r>
      <w:r>
        <w:rPr>
          <w:rFonts w:ascii="ITC Avant Garde" w:hAnsi="ITC Avant Garde"/>
        </w:rPr>
        <w:t xml:space="preserve">hos de vía y de sitios públicos. </w:t>
      </w:r>
    </w:p>
    <w:p w14:paraId="6AAF8716" w14:textId="77777777" w:rsidR="005E38E4" w:rsidRDefault="005E38E4" w:rsidP="005E38E4">
      <w:pPr>
        <w:spacing w:after="0"/>
        <w:ind w:left="142" w:right="425"/>
        <w:jc w:val="both"/>
        <w:rPr>
          <w:rFonts w:ascii="ITC Avant Garde" w:hAnsi="ITC Avant Garde"/>
        </w:rPr>
      </w:pPr>
    </w:p>
    <w:p w14:paraId="6FB0EC65" w14:textId="30E5FC0E" w:rsidR="005E38E4" w:rsidRDefault="005E38E4" w:rsidP="005E38E4">
      <w:pPr>
        <w:spacing w:after="0"/>
        <w:ind w:left="142" w:right="425"/>
        <w:jc w:val="both"/>
        <w:rPr>
          <w:rFonts w:ascii="ITC Avant Garde" w:hAnsi="ITC Avant Garde"/>
        </w:rPr>
      </w:pPr>
      <w:r w:rsidRPr="005E38E4">
        <w:rPr>
          <w:rFonts w:ascii="ITC Avant Garde" w:hAnsi="ITC Avant Garde"/>
        </w:rPr>
        <w:t>Así mismo, establece que los concesionarios, autorizados,</w:t>
      </w:r>
      <w:r w:rsidRPr="005E38E4" w:rsidDel="005F38A9">
        <w:rPr>
          <w:rFonts w:ascii="ITC Avant Garde" w:hAnsi="ITC Avant Garde"/>
        </w:rPr>
        <w:t xml:space="preserve"> </w:t>
      </w:r>
      <w:r w:rsidRPr="005E38E4">
        <w:rPr>
          <w:rFonts w:ascii="ITC Avant Garde" w:hAnsi="ITC Avant Garde"/>
        </w:rPr>
        <w:t xml:space="preserve">dependencias y entidades de la Administración Pública Federal, estatal y municipal y los órganos autónomos y en general, todos los organismos e instituciones públicas deberán entregar al Instituto la información correspondiente. </w:t>
      </w:r>
    </w:p>
    <w:p w14:paraId="02036561" w14:textId="77777777" w:rsidR="005E38E4" w:rsidRPr="005E38E4" w:rsidRDefault="005E38E4" w:rsidP="005E38E4">
      <w:pPr>
        <w:spacing w:after="0"/>
        <w:ind w:left="142" w:right="425"/>
        <w:jc w:val="both"/>
        <w:rPr>
          <w:rFonts w:ascii="ITC Avant Garde" w:hAnsi="ITC Avant Garde"/>
        </w:rPr>
      </w:pPr>
    </w:p>
    <w:p w14:paraId="7169C9D6" w14:textId="1D2080E0" w:rsidR="005E38E4" w:rsidRDefault="005E38E4" w:rsidP="005E38E4">
      <w:pPr>
        <w:spacing w:after="0"/>
        <w:ind w:left="142" w:right="425"/>
        <w:jc w:val="both"/>
        <w:rPr>
          <w:rFonts w:ascii="ITC Avant Garde" w:hAnsi="ITC Avant Garde"/>
        </w:rPr>
      </w:pPr>
      <w:r w:rsidRPr="005E38E4">
        <w:rPr>
          <w:rFonts w:ascii="ITC Avant Garde" w:hAnsi="ITC Avant Garde"/>
        </w:rPr>
        <w:lastRenderedPageBreak/>
        <w:t xml:space="preserve">Finalmente, </w:t>
      </w:r>
      <w:r w:rsidR="007D43C6">
        <w:rPr>
          <w:rFonts w:ascii="ITC Avant Garde" w:hAnsi="ITC Avant Garde"/>
        </w:rPr>
        <w:t xml:space="preserve">también </w:t>
      </w:r>
      <w:r>
        <w:rPr>
          <w:rFonts w:ascii="ITC Avant Garde" w:hAnsi="ITC Avant Garde"/>
        </w:rPr>
        <w:t xml:space="preserve">se </w:t>
      </w:r>
      <w:r w:rsidR="007D43C6">
        <w:rPr>
          <w:rFonts w:ascii="ITC Avant Garde" w:hAnsi="ITC Avant Garde"/>
        </w:rPr>
        <w:t xml:space="preserve">señala </w:t>
      </w:r>
      <w:r w:rsidRPr="005E38E4">
        <w:rPr>
          <w:rFonts w:ascii="ITC Avant Garde" w:hAnsi="ITC Avant Garde"/>
        </w:rPr>
        <w:t>que los particulares que deseen poner a disposición de los concesionarios bienes inmuebles para la instalación de infraestructura, podrán solicitar al Instituto que su información sea inscrita en el SNII</w:t>
      </w:r>
      <w:r w:rsidRPr="005E38E4" w:rsidDel="00921171">
        <w:rPr>
          <w:rFonts w:ascii="ITC Avant Garde" w:hAnsi="ITC Avant Garde"/>
        </w:rPr>
        <w:t>.</w:t>
      </w:r>
    </w:p>
    <w:p w14:paraId="11C4D3DB" w14:textId="77777777" w:rsidR="005E38E4" w:rsidRPr="005E38E4" w:rsidRDefault="005E38E4" w:rsidP="005E38E4">
      <w:pPr>
        <w:spacing w:after="0"/>
        <w:ind w:left="142" w:right="425"/>
        <w:jc w:val="both"/>
        <w:rPr>
          <w:rFonts w:ascii="ITC Avant Garde" w:hAnsi="ITC Avant Garde"/>
        </w:rPr>
      </w:pPr>
    </w:p>
    <w:p w14:paraId="02710D5C" w14:textId="4C818CD8" w:rsidR="005E38E4" w:rsidRDefault="007D43C6" w:rsidP="005E38E4">
      <w:pPr>
        <w:spacing w:after="0"/>
        <w:ind w:left="142" w:right="425"/>
        <w:jc w:val="both"/>
        <w:rPr>
          <w:rFonts w:ascii="ITC Avant Garde" w:hAnsi="ITC Avant Garde"/>
        </w:rPr>
      </w:pPr>
      <w:r>
        <w:rPr>
          <w:rFonts w:ascii="ITC Avant Garde" w:hAnsi="ITC Avant Garde"/>
        </w:rPr>
        <w:t xml:space="preserve">Es por ello que </w:t>
      </w:r>
      <w:r w:rsidR="004D17F7">
        <w:rPr>
          <w:rFonts w:ascii="ITC Avant Garde" w:hAnsi="ITC Avant Garde"/>
        </w:rPr>
        <w:t>el Instituto somete a consulta pública el “</w:t>
      </w:r>
      <w:r w:rsidR="00665650" w:rsidRPr="004D17F7">
        <w:rPr>
          <w:rFonts w:ascii="ITC Avant Garde" w:eastAsia="Times New Roman" w:hAnsi="ITC Avant Garde"/>
          <w:i/>
        </w:rPr>
        <w:t>Anteproyecto de Lineamientos para la entrega</w:t>
      </w:r>
      <w:r w:rsidR="004D17F7" w:rsidRPr="004D17F7">
        <w:rPr>
          <w:rFonts w:ascii="ITC Avant Garde" w:eastAsia="Times New Roman" w:hAnsi="ITC Avant Garde"/>
          <w:i/>
        </w:rPr>
        <w:t xml:space="preserve">, </w:t>
      </w:r>
      <w:r w:rsidR="00665650" w:rsidRPr="004D17F7">
        <w:rPr>
          <w:rFonts w:ascii="ITC Avant Garde" w:eastAsia="Times New Roman" w:hAnsi="ITC Avant Garde"/>
          <w:i/>
        </w:rPr>
        <w:t>inscripción y consulta de información para la conformación del Sistema Nacional de Información de Infraestructura</w:t>
      </w:r>
      <w:r w:rsidR="004D17F7">
        <w:rPr>
          <w:rFonts w:ascii="ITC Avant Garde" w:eastAsia="Times New Roman" w:hAnsi="ITC Avant Garde"/>
          <w:i/>
        </w:rPr>
        <w:t xml:space="preserve">” </w:t>
      </w:r>
      <w:r w:rsidR="004D17F7">
        <w:rPr>
          <w:rFonts w:ascii="ITC Avant Garde" w:eastAsia="Times New Roman" w:hAnsi="ITC Avant Garde"/>
        </w:rPr>
        <w:t>(en lo sucesivo, “Anteproyecto de Lineamientos”)</w:t>
      </w:r>
      <w:r w:rsidR="005E38E4" w:rsidRPr="005E38E4">
        <w:rPr>
          <w:rFonts w:ascii="ITC Avant Garde" w:hAnsi="ITC Avant Garde"/>
        </w:rPr>
        <w:t xml:space="preserve">, a través de los cuales se define la información que deberá </w:t>
      </w:r>
      <w:r>
        <w:rPr>
          <w:rFonts w:ascii="ITC Avant Garde" w:hAnsi="ITC Avant Garde"/>
        </w:rPr>
        <w:t>contener</w:t>
      </w:r>
      <w:r w:rsidRPr="005E38E4">
        <w:rPr>
          <w:rFonts w:ascii="ITC Avant Garde" w:hAnsi="ITC Avant Garde"/>
        </w:rPr>
        <w:t xml:space="preserve"> </w:t>
      </w:r>
      <w:r w:rsidR="005E38E4" w:rsidRPr="005E38E4">
        <w:rPr>
          <w:rFonts w:ascii="ITC Avant Garde" w:hAnsi="ITC Avant Garde"/>
        </w:rPr>
        <w:t>el SNII</w:t>
      </w:r>
      <w:r>
        <w:rPr>
          <w:rFonts w:ascii="ITC Avant Garde" w:hAnsi="ITC Avant Garde"/>
        </w:rPr>
        <w:t>,</w:t>
      </w:r>
      <w:r w:rsidR="005E38E4" w:rsidRPr="005E38E4">
        <w:rPr>
          <w:rFonts w:ascii="ITC Avant Garde" w:hAnsi="ITC Avant Garde"/>
        </w:rPr>
        <w:t xml:space="preserve"> así como los términos y plazos para la entrega, inscripción y consulta de la información relativa a infraestructura activa, infraestructura pasiva, medios de transmisión, derechos de vía, sitios públicos y sitios privados, </w:t>
      </w:r>
      <w:r>
        <w:rPr>
          <w:rFonts w:ascii="ITC Avant Garde" w:hAnsi="ITC Avant Garde"/>
        </w:rPr>
        <w:t xml:space="preserve">según corresponda </w:t>
      </w:r>
      <w:r w:rsidR="005E38E4" w:rsidRPr="005E38E4">
        <w:rPr>
          <w:rFonts w:ascii="ITC Avant Garde" w:hAnsi="ITC Avant Garde"/>
        </w:rPr>
        <w:t>de los concesionarios, autorizados, autoridades de seguridad y procuración de justicia, instituciones públicas, universidades, centros de investigación públicos y, en su caso, de los particulares.</w:t>
      </w:r>
    </w:p>
    <w:p w14:paraId="1C873152" w14:textId="77777777" w:rsidR="004D17F7" w:rsidRPr="005E38E4" w:rsidRDefault="004D17F7" w:rsidP="005E38E4">
      <w:pPr>
        <w:spacing w:after="0"/>
        <w:ind w:left="142" w:right="425"/>
        <w:jc w:val="both"/>
        <w:rPr>
          <w:rFonts w:ascii="ITC Avant Garde" w:hAnsi="ITC Avant Garde"/>
        </w:rPr>
      </w:pPr>
    </w:p>
    <w:p w14:paraId="461A2437" w14:textId="0725FF82" w:rsidR="005E38E4" w:rsidRDefault="004D17F7" w:rsidP="005E38E4">
      <w:pPr>
        <w:spacing w:after="0"/>
        <w:ind w:left="142" w:right="425"/>
        <w:jc w:val="both"/>
        <w:rPr>
          <w:rFonts w:ascii="ITC Avant Garde" w:hAnsi="ITC Avant Garde"/>
        </w:rPr>
      </w:pPr>
      <w:r>
        <w:rPr>
          <w:rFonts w:ascii="ITC Avant Garde" w:hAnsi="ITC Avant Garde"/>
        </w:rPr>
        <w:t xml:space="preserve">El </w:t>
      </w:r>
      <w:r>
        <w:rPr>
          <w:rFonts w:ascii="ITC Avant Garde" w:eastAsia="Times New Roman" w:hAnsi="ITC Avant Garde"/>
        </w:rPr>
        <w:t>Anteproyecto de Lineamientos</w:t>
      </w:r>
      <w:r w:rsidR="005E38E4" w:rsidRPr="005E38E4">
        <w:rPr>
          <w:rFonts w:ascii="ITC Avant Garde" w:hAnsi="ITC Avant Garde"/>
        </w:rPr>
        <w:t xml:space="preserve"> además dispone, entre otras cosas, que el SNII garantice la capacidad de preservar la confidencialidad, integridad y disponibilidad de la información, por lo que se considera necesaria la solicitud de credenciales para la entrega y consulta de información por parte de los implicados, debiendo cumplir con distintos requisitos establecidos para tales efectos, entre ellos, el contar con la firma electrónica avanzada, instrumento que dará confiabilidad a los participantes del resguardo y manejo de la información.</w:t>
      </w:r>
    </w:p>
    <w:p w14:paraId="2A37299A" w14:textId="77777777" w:rsidR="004D17F7" w:rsidRPr="005E38E4" w:rsidRDefault="004D17F7" w:rsidP="005E38E4">
      <w:pPr>
        <w:spacing w:after="0"/>
        <w:ind w:left="142" w:right="425"/>
        <w:jc w:val="both"/>
        <w:rPr>
          <w:rFonts w:ascii="ITC Avant Garde" w:hAnsi="ITC Avant Garde"/>
        </w:rPr>
      </w:pPr>
    </w:p>
    <w:p w14:paraId="73EC28BF" w14:textId="4609B603" w:rsidR="005E38E4" w:rsidRDefault="005E38E4" w:rsidP="004D17F7">
      <w:pPr>
        <w:spacing w:after="0"/>
        <w:ind w:left="142" w:right="425"/>
        <w:jc w:val="both"/>
        <w:rPr>
          <w:rFonts w:ascii="ITC Avant Garde" w:eastAsia="ITC Avant Garde" w:hAnsi="ITC Avant Garde" w:cstheme="majorHAnsi"/>
        </w:rPr>
      </w:pPr>
      <w:r w:rsidRPr="004D17F7">
        <w:rPr>
          <w:rFonts w:ascii="ITC Avant Garde" w:eastAsia="ITC Avant Garde" w:hAnsi="ITC Avant Garde" w:cstheme="majorHAnsi"/>
        </w:rPr>
        <w:t xml:space="preserve">Aunado a ello, </w:t>
      </w:r>
      <w:r w:rsidR="004D17F7" w:rsidRPr="004D17F7">
        <w:rPr>
          <w:rFonts w:ascii="ITC Avant Garde" w:eastAsia="ITC Avant Garde" w:hAnsi="ITC Avant Garde" w:cstheme="majorHAnsi"/>
        </w:rPr>
        <w:t xml:space="preserve">dentro del </w:t>
      </w:r>
      <w:r w:rsidR="004D17F7" w:rsidRPr="004D17F7">
        <w:rPr>
          <w:rFonts w:ascii="ITC Avant Garde" w:eastAsia="Times New Roman" w:hAnsi="ITC Avant Garde" w:cstheme="majorHAnsi"/>
        </w:rPr>
        <w:t>Anteproyecto de Lineamientos</w:t>
      </w:r>
      <w:r w:rsidR="004D17F7" w:rsidRPr="004D17F7">
        <w:rPr>
          <w:rFonts w:ascii="ITC Avant Garde" w:eastAsia="ITC Avant Garde" w:hAnsi="ITC Avant Garde" w:cstheme="majorHAnsi"/>
        </w:rPr>
        <w:t xml:space="preserve"> se señalan</w:t>
      </w:r>
      <w:r w:rsidRPr="004D17F7">
        <w:rPr>
          <w:rFonts w:ascii="ITC Avant Garde" w:eastAsia="ITC Avant Garde" w:hAnsi="ITC Avant Garde" w:cstheme="majorHAnsi"/>
        </w:rPr>
        <w:t xml:space="preserve"> los participantes que tendrán acceso a la información, siempre y cuando cumplan con los requisitos dispuesto para tales fines. Lo anterior, con el fin de dar cumplimiento con lo señalado en el artículo 181 de la LFTR, que </w:t>
      </w:r>
      <w:r w:rsidR="004D17F7" w:rsidRPr="004D17F7">
        <w:rPr>
          <w:rFonts w:ascii="ITC Avant Garde" w:eastAsia="ITC Avant Garde" w:hAnsi="ITC Avant Garde" w:cstheme="majorHAnsi"/>
        </w:rPr>
        <w:t>dispone</w:t>
      </w:r>
      <w:r w:rsidRPr="004D17F7">
        <w:rPr>
          <w:rFonts w:ascii="ITC Avant Garde" w:eastAsia="ITC Avant Garde" w:hAnsi="ITC Avant Garde" w:cstheme="majorHAnsi"/>
        </w:rPr>
        <w:t xml:space="preserve"> que la información contenida en la base de datos será reservada en términos de la Ley Federal de Transparencia y Acceso a la Información Pública Gubernamental.</w:t>
      </w:r>
    </w:p>
    <w:p w14:paraId="7D98612F" w14:textId="77777777" w:rsidR="004D17F7" w:rsidRPr="004D17F7" w:rsidRDefault="004D17F7" w:rsidP="004D17F7">
      <w:pPr>
        <w:spacing w:after="0"/>
        <w:ind w:left="142" w:right="425"/>
        <w:jc w:val="both"/>
        <w:rPr>
          <w:rFonts w:ascii="ITC Avant Garde" w:eastAsia="ITC Avant Garde" w:hAnsi="ITC Avant Garde" w:cstheme="majorHAnsi"/>
        </w:rPr>
      </w:pPr>
    </w:p>
    <w:p w14:paraId="45E42544" w14:textId="6F0173E6" w:rsidR="005E38E4" w:rsidRDefault="007D43C6" w:rsidP="004D17F7">
      <w:pPr>
        <w:spacing w:after="0"/>
        <w:ind w:left="142" w:right="425"/>
        <w:jc w:val="both"/>
        <w:rPr>
          <w:rFonts w:ascii="ITC Avant Garde" w:eastAsia="ITC Avant Garde" w:hAnsi="ITC Avant Garde" w:cstheme="majorHAnsi"/>
        </w:rPr>
      </w:pPr>
      <w:r>
        <w:rPr>
          <w:rFonts w:ascii="ITC Avant Garde" w:eastAsia="ITC Avant Garde" w:hAnsi="ITC Avant Garde" w:cstheme="majorHAnsi"/>
        </w:rPr>
        <w:t xml:space="preserve">En atención </w:t>
      </w:r>
      <w:r w:rsidR="005E38E4" w:rsidRPr="004D17F7">
        <w:rPr>
          <w:rFonts w:ascii="ITC Avant Garde" w:eastAsia="ITC Avant Garde" w:hAnsi="ITC Avant Garde" w:cstheme="majorHAnsi"/>
        </w:rPr>
        <w:t>a lo dispuesto por la LFTR</w:t>
      </w:r>
      <w:r>
        <w:rPr>
          <w:rFonts w:ascii="ITC Avant Garde" w:eastAsia="ITC Avant Garde" w:hAnsi="ITC Avant Garde" w:cstheme="majorHAnsi"/>
        </w:rPr>
        <w:t xml:space="preserve"> respecto a </w:t>
      </w:r>
      <w:r w:rsidR="005E38E4" w:rsidRPr="004D17F7">
        <w:rPr>
          <w:rFonts w:ascii="ITC Avant Garde" w:eastAsia="ITC Avant Garde" w:hAnsi="ITC Avant Garde" w:cstheme="majorHAnsi"/>
        </w:rPr>
        <w:t>que la información deberá ser geo-referenciada</w:t>
      </w:r>
      <w:r>
        <w:rPr>
          <w:rFonts w:ascii="ITC Avant Garde" w:eastAsia="ITC Avant Garde" w:hAnsi="ITC Avant Garde" w:cstheme="majorHAnsi"/>
        </w:rPr>
        <w:t xml:space="preserve">, en el Anteproyecto de Lineamientos se especifica que la </w:t>
      </w:r>
      <w:r w:rsidR="005E38E4" w:rsidRPr="004D17F7">
        <w:rPr>
          <w:rFonts w:ascii="ITC Avant Garde" w:eastAsia="ITC Avant Garde" w:hAnsi="ITC Avant Garde" w:cstheme="majorHAnsi"/>
        </w:rPr>
        <w:t xml:space="preserve">información </w:t>
      </w:r>
      <w:r>
        <w:rPr>
          <w:rFonts w:ascii="ITC Avant Garde" w:eastAsia="ITC Avant Garde" w:hAnsi="ITC Avant Garde" w:cstheme="majorHAnsi"/>
        </w:rPr>
        <w:t xml:space="preserve">deberá ser presentada </w:t>
      </w:r>
      <w:r w:rsidR="005E38E4" w:rsidRPr="004D17F7">
        <w:rPr>
          <w:rFonts w:ascii="ITC Avant Garde" w:eastAsia="ITC Avant Garde" w:hAnsi="ITC Avant Garde" w:cstheme="majorHAnsi"/>
        </w:rPr>
        <w:t xml:space="preserve">a través de archivos vectoriales, permitiendo contar con información de infraestructura que podrá ser visualizada en un mapa del territorio nacional a través de puntos, trayectorias y polígonos que será de utilidad para </w:t>
      </w:r>
      <w:r>
        <w:rPr>
          <w:rFonts w:ascii="ITC Avant Garde" w:eastAsia="ITC Avant Garde" w:hAnsi="ITC Avant Garde" w:cstheme="majorHAnsi"/>
        </w:rPr>
        <w:t xml:space="preserve">efectos de </w:t>
      </w:r>
      <w:r w:rsidR="005E38E4" w:rsidRPr="004D17F7">
        <w:rPr>
          <w:rFonts w:ascii="ITC Avant Garde" w:eastAsia="ITC Avant Garde" w:hAnsi="ITC Avant Garde" w:cstheme="majorHAnsi"/>
        </w:rPr>
        <w:t xml:space="preserve">la compartición y despliegue de infraestructura. </w:t>
      </w:r>
      <w:r w:rsidR="000F4925">
        <w:rPr>
          <w:rFonts w:ascii="ITC Avant Garde" w:eastAsia="ITC Avant Garde" w:hAnsi="ITC Avant Garde" w:cstheme="majorHAnsi"/>
        </w:rPr>
        <w:t xml:space="preserve">En complemento a lo anterior, el Anteproyecto de Lineamientos </w:t>
      </w:r>
      <w:r w:rsidR="002334F3">
        <w:rPr>
          <w:rFonts w:ascii="ITC Avant Garde" w:eastAsia="ITC Avant Garde" w:hAnsi="ITC Avant Garde" w:cstheme="majorHAnsi"/>
        </w:rPr>
        <w:t xml:space="preserve">también </w:t>
      </w:r>
      <w:r w:rsidR="000F4925">
        <w:rPr>
          <w:rFonts w:ascii="ITC Avant Garde" w:eastAsia="ITC Avant Garde" w:hAnsi="ITC Avant Garde" w:cstheme="majorHAnsi"/>
        </w:rPr>
        <w:t xml:space="preserve">está acompañado, entre otros </w:t>
      </w:r>
      <w:r w:rsidR="002334F3">
        <w:rPr>
          <w:rFonts w:ascii="ITC Avant Garde" w:eastAsia="ITC Avant Garde" w:hAnsi="ITC Avant Garde" w:cstheme="majorHAnsi"/>
        </w:rPr>
        <w:t>documentos</w:t>
      </w:r>
      <w:r w:rsidR="000F4925">
        <w:rPr>
          <w:rFonts w:ascii="ITC Avant Garde" w:eastAsia="ITC Avant Garde" w:hAnsi="ITC Avant Garde" w:cstheme="majorHAnsi"/>
        </w:rPr>
        <w:t xml:space="preserve">, de </w:t>
      </w:r>
      <w:r w:rsidR="002334F3">
        <w:rPr>
          <w:rFonts w:ascii="ITC Avant Garde" w:eastAsia="ITC Avant Garde" w:hAnsi="ITC Avant Garde" w:cstheme="majorHAnsi"/>
        </w:rPr>
        <w:t>formatos de información donde se especifican los elementos de infraestructura con sus respectivos indicadores asociados, así como de un</w:t>
      </w:r>
      <w:r w:rsidR="000F4925">
        <w:rPr>
          <w:rFonts w:ascii="ITC Avant Garde" w:eastAsia="ITC Avant Garde" w:hAnsi="ITC Avant Garde" w:cstheme="majorHAnsi"/>
        </w:rPr>
        <w:t xml:space="preserve"> </w:t>
      </w:r>
      <w:r w:rsidR="000F4925">
        <w:rPr>
          <w:rFonts w:ascii="ITC Avant Garde" w:eastAsia="ITC Avant Garde" w:hAnsi="ITC Avant Garde" w:cstheme="majorHAnsi"/>
        </w:rPr>
        <w:lastRenderedPageBreak/>
        <w:t xml:space="preserve">“Diccionario de Datos” </w:t>
      </w:r>
      <w:r w:rsidR="002334F3">
        <w:rPr>
          <w:rFonts w:ascii="ITC Avant Garde" w:eastAsia="ITC Avant Garde" w:hAnsi="ITC Avant Garde" w:cstheme="majorHAnsi"/>
        </w:rPr>
        <w:t xml:space="preserve">donde se definen </w:t>
      </w:r>
      <w:r w:rsidR="002334F3" w:rsidRPr="002334F3">
        <w:rPr>
          <w:rFonts w:ascii="ITC Avant Garde" w:eastAsia="ITC Avant Garde" w:hAnsi="ITC Avant Garde" w:cstheme="majorHAnsi"/>
        </w:rPr>
        <w:t xml:space="preserve">cada </w:t>
      </w:r>
      <w:r w:rsidR="002334F3">
        <w:rPr>
          <w:rFonts w:ascii="ITC Avant Garde" w:eastAsia="ITC Avant Garde" w:hAnsi="ITC Avant Garde" w:cstheme="majorHAnsi"/>
        </w:rPr>
        <w:t>uno de estos e</w:t>
      </w:r>
      <w:r w:rsidR="002334F3" w:rsidRPr="002334F3">
        <w:rPr>
          <w:rFonts w:ascii="ITC Avant Garde" w:eastAsia="ITC Avant Garde" w:hAnsi="ITC Avant Garde" w:cstheme="majorHAnsi"/>
        </w:rPr>
        <w:t>lemento</w:t>
      </w:r>
      <w:r w:rsidR="002334F3">
        <w:rPr>
          <w:rFonts w:ascii="ITC Avant Garde" w:eastAsia="ITC Avant Garde" w:hAnsi="ITC Avant Garde" w:cstheme="majorHAnsi"/>
        </w:rPr>
        <w:t>s</w:t>
      </w:r>
      <w:r w:rsidR="002334F3" w:rsidRPr="002334F3">
        <w:rPr>
          <w:rFonts w:ascii="ITC Avant Garde" w:eastAsia="ITC Avant Garde" w:hAnsi="ITC Avant Garde" w:cstheme="majorHAnsi"/>
        </w:rPr>
        <w:t xml:space="preserve"> e </w:t>
      </w:r>
      <w:r w:rsidR="002334F3">
        <w:rPr>
          <w:rFonts w:ascii="ITC Avant Garde" w:eastAsia="ITC Avant Garde" w:hAnsi="ITC Avant Garde" w:cstheme="majorHAnsi"/>
        </w:rPr>
        <w:t>i</w:t>
      </w:r>
      <w:r w:rsidR="002334F3" w:rsidRPr="002334F3">
        <w:rPr>
          <w:rFonts w:ascii="ITC Avant Garde" w:eastAsia="ITC Avant Garde" w:hAnsi="ITC Avant Garde" w:cstheme="majorHAnsi"/>
        </w:rPr>
        <w:t>ndicador</w:t>
      </w:r>
      <w:r w:rsidR="002334F3">
        <w:rPr>
          <w:rFonts w:ascii="ITC Avant Garde" w:eastAsia="ITC Avant Garde" w:hAnsi="ITC Avant Garde" w:cstheme="majorHAnsi"/>
        </w:rPr>
        <w:t>es y</w:t>
      </w:r>
      <w:r w:rsidR="002334F3" w:rsidRPr="002334F3">
        <w:rPr>
          <w:rFonts w:ascii="ITC Avant Garde" w:eastAsia="ITC Avant Garde" w:hAnsi="ITC Avant Garde" w:cstheme="majorHAnsi"/>
        </w:rPr>
        <w:t xml:space="preserve"> la </w:t>
      </w:r>
      <w:r w:rsidR="002334F3">
        <w:rPr>
          <w:rFonts w:ascii="ITC Avant Garde" w:eastAsia="ITC Avant Garde" w:hAnsi="ITC Avant Garde" w:cstheme="majorHAnsi"/>
        </w:rPr>
        <w:t xml:space="preserve">frecuencia </w:t>
      </w:r>
      <w:r w:rsidR="002334F3" w:rsidRPr="002334F3">
        <w:rPr>
          <w:rFonts w:ascii="ITC Avant Garde" w:eastAsia="ITC Avant Garde" w:hAnsi="ITC Avant Garde" w:cstheme="majorHAnsi"/>
        </w:rPr>
        <w:t xml:space="preserve">de </w:t>
      </w:r>
      <w:r w:rsidR="002334F3">
        <w:rPr>
          <w:rFonts w:ascii="ITC Avant Garde" w:eastAsia="ITC Avant Garde" w:hAnsi="ITC Avant Garde" w:cstheme="majorHAnsi"/>
        </w:rPr>
        <w:t>a</w:t>
      </w:r>
      <w:r w:rsidR="002334F3" w:rsidRPr="002334F3">
        <w:rPr>
          <w:rFonts w:ascii="ITC Avant Garde" w:eastAsia="ITC Avant Garde" w:hAnsi="ITC Avant Garde" w:cstheme="majorHAnsi"/>
        </w:rPr>
        <w:t xml:space="preserve">ctualización </w:t>
      </w:r>
      <w:r w:rsidR="002334F3">
        <w:rPr>
          <w:rFonts w:ascii="ITC Avant Garde" w:eastAsia="ITC Avant Garde" w:hAnsi="ITC Avant Garde" w:cstheme="majorHAnsi"/>
        </w:rPr>
        <w:t xml:space="preserve">de </w:t>
      </w:r>
      <w:r w:rsidR="002334F3" w:rsidRPr="002334F3">
        <w:rPr>
          <w:rFonts w:ascii="ITC Avant Garde" w:eastAsia="ITC Avant Garde" w:hAnsi="ITC Avant Garde" w:cstheme="majorHAnsi"/>
        </w:rPr>
        <w:t>los datos registrados en el SNII</w:t>
      </w:r>
      <w:r w:rsidR="000F4925">
        <w:rPr>
          <w:rFonts w:ascii="ITC Avant Garde" w:eastAsia="ITC Avant Garde" w:hAnsi="ITC Avant Garde" w:cstheme="majorHAnsi"/>
        </w:rPr>
        <w:t xml:space="preserve">. </w:t>
      </w:r>
    </w:p>
    <w:p w14:paraId="2293254F" w14:textId="77777777" w:rsidR="004D17F7" w:rsidRPr="004D17F7" w:rsidRDefault="004D17F7" w:rsidP="004D17F7">
      <w:pPr>
        <w:spacing w:after="0"/>
        <w:ind w:left="142" w:right="425"/>
        <w:jc w:val="both"/>
        <w:rPr>
          <w:rFonts w:ascii="ITC Avant Garde" w:eastAsia="ITC Avant Garde" w:hAnsi="ITC Avant Garde" w:cstheme="majorHAnsi"/>
        </w:rPr>
      </w:pPr>
    </w:p>
    <w:p w14:paraId="5C768189" w14:textId="76DAA480" w:rsidR="005E38E4" w:rsidRDefault="005E38E4" w:rsidP="004D17F7">
      <w:pPr>
        <w:spacing w:after="0"/>
        <w:ind w:left="142" w:right="425"/>
        <w:jc w:val="both"/>
        <w:rPr>
          <w:rFonts w:ascii="ITC Avant Garde" w:eastAsia="ITC Avant Garde" w:hAnsi="ITC Avant Garde" w:cstheme="majorHAnsi"/>
        </w:rPr>
      </w:pPr>
      <w:r w:rsidRPr="004D17F7">
        <w:rPr>
          <w:rFonts w:ascii="ITC Avant Garde" w:eastAsia="ITC Avant Garde" w:hAnsi="ITC Avant Garde" w:cstheme="majorHAnsi"/>
        </w:rPr>
        <w:t xml:space="preserve">Por último, de conformidad con el artículo 176 de la LFTR, el SNII será parte del Registro Público de Telecomunicaciones. </w:t>
      </w:r>
    </w:p>
    <w:p w14:paraId="3CE5CBC5" w14:textId="77777777" w:rsidR="004D17F7" w:rsidRPr="004D17F7" w:rsidRDefault="004D17F7" w:rsidP="004D17F7">
      <w:pPr>
        <w:spacing w:after="0"/>
        <w:ind w:left="142" w:right="425"/>
        <w:jc w:val="both"/>
        <w:rPr>
          <w:rFonts w:ascii="ITC Avant Garde" w:eastAsia="ITC Avant Garde" w:hAnsi="ITC Avant Garde" w:cstheme="majorHAnsi"/>
        </w:rPr>
      </w:pPr>
    </w:p>
    <w:p w14:paraId="49544AD2" w14:textId="46761F39" w:rsidR="005E38E4" w:rsidRDefault="005E38E4" w:rsidP="004D17F7">
      <w:pPr>
        <w:spacing w:after="0"/>
        <w:ind w:left="142" w:right="425"/>
        <w:jc w:val="both"/>
        <w:rPr>
          <w:rFonts w:ascii="ITC Avant Garde" w:hAnsi="ITC Avant Garde"/>
        </w:rPr>
      </w:pPr>
      <w:r w:rsidRPr="004D17F7">
        <w:rPr>
          <w:rFonts w:ascii="ITC Avant Garde" w:hAnsi="ITC Avant Garde"/>
          <w:b/>
        </w:rPr>
        <w:t xml:space="preserve">TERCERO. Importancia del Sistema Nacional de Información de Infraestructura. </w:t>
      </w:r>
      <w:r w:rsidRPr="004D17F7">
        <w:rPr>
          <w:rFonts w:ascii="ITC Avant Garde" w:hAnsi="ITC Avant Garde"/>
        </w:rPr>
        <w:t>La ubicación, características, y capacidad de la infraestructura activa, medios de transmisión, infraestructura pasiva y derechos de vía existente, así como los sitios públicos y privados, resulta relevante para el desarrollo de diversas atribuciones</w:t>
      </w:r>
      <w:r w:rsidRPr="004D17F7" w:rsidDel="00417C76">
        <w:rPr>
          <w:rFonts w:ascii="ITC Avant Garde" w:hAnsi="ITC Avant Garde"/>
        </w:rPr>
        <w:t xml:space="preserve"> </w:t>
      </w:r>
      <w:r w:rsidRPr="004D17F7">
        <w:rPr>
          <w:rFonts w:ascii="ITC Avant Garde" w:hAnsi="ITC Avant Garde"/>
        </w:rPr>
        <w:t xml:space="preserve">del Instituto y para un mejor aprovechamiento de los recursos disponibles por parte de los concesionarios y/o autorizados. </w:t>
      </w:r>
    </w:p>
    <w:p w14:paraId="3C98A5E6" w14:textId="77777777" w:rsidR="004D17F7" w:rsidRPr="004D17F7" w:rsidRDefault="004D17F7" w:rsidP="004D17F7">
      <w:pPr>
        <w:spacing w:after="0"/>
        <w:ind w:left="142" w:right="425"/>
        <w:jc w:val="both"/>
        <w:rPr>
          <w:rFonts w:ascii="ITC Avant Garde" w:hAnsi="ITC Avant Garde"/>
        </w:rPr>
      </w:pPr>
    </w:p>
    <w:p w14:paraId="41C74344" w14:textId="370B0F60" w:rsidR="005E38E4" w:rsidRDefault="005E38E4" w:rsidP="004D17F7">
      <w:pPr>
        <w:spacing w:after="0"/>
        <w:ind w:left="142" w:right="425"/>
        <w:jc w:val="both"/>
        <w:rPr>
          <w:rFonts w:ascii="ITC Avant Garde" w:eastAsia="ITC Avant Garde" w:hAnsi="ITC Avant Garde" w:cstheme="majorHAnsi"/>
        </w:rPr>
      </w:pPr>
      <w:r w:rsidRPr="004D17F7">
        <w:rPr>
          <w:rFonts w:ascii="ITC Avant Garde" w:eastAsia="ITC Avant Garde" w:hAnsi="ITC Avant Garde" w:cstheme="majorHAnsi"/>
        </w:rPr>
        <w:t xml:space="preserve">Es por ello que la creación de una herramienta tecnológica </w:t>
      </w:r>
      <w:r w:rsidR="00955D4F">
        <w:rPr>
          <w:rFonts w:ascii="ITC Avant Garde" w:eastAsia="ITC Avant Garde" w:hAnsi="ITC Avant Garde" w:cstheme="majorHAnsi"/>
        </w:rPr>
        <w:t xml:space="preserve">que permita </w:t>
      </w:r>
      <w:r w:rsidRPr="004D17F7">
        <w:rPr>
          <w:rFonts w:ascii="ITC Avant Garde" w:eastAsia="ITC Avant Garde" w:hAnsi="ITC Avant Garde" w:cstheme="majorHAnsi"/>
        </w:rPr>
        <w:t xml:space="preserve">tanto el registro </w:t>
      </w:r>
      <w:r w:rsidR="00955D4F">
        <w:rPr>
          <w:rFonts w:ascii="ITC Avant Garde" w:eastAsia="ITC Avant Garde" w:hAnsi="ITC Avant Garde" w:cstheme="majorHAnsi"/>
        </w:rPr>
        <w:t xml:space="preserve">sistematizado de la información </w:t>
      </w:r>
      <w:r w:rsidRPr="004D17F7">
        <w:rPr>
          <w:rFonts w:ascii="ITC Avant Garde" w:eastAsia="ITC Avant Garde" w:hAnsi="ITC Avant Garde" w:cstheme="majorHAnsi"/>
        </w:rPr>
        <w:t xml:space="preserve">como la consulta de </w:t>
      </w:r>
      <w:r w:rsidR="00955D4F">
        <w:rPr>
          <w:rFonts w:ascii="ITC Avant Garde" w:eastAsia="ITC Avant Garde" w:hAnsi="ITC Avant Garde" w:cstheme="majorHAnsi"/>
        </w:rPr>
        <w:t xml:space="preserve">la misma, </w:t>
      </w:r>
      <w:r w:rsidRPr="004D17F7">
        <w:rPr>
          <w:rFonts w:ascii="ITC Avant Garde" w:eastAsia="ITC Avant Garde" w:hAnsi="ITC Avant Garde" w:cstheme="majorHAnsi"/>
        </w:rPr>
        <w:t>generará beneficios importantes en el desarrollo eficiente de los sectores de telecomunicaciones y radiodifusión</w:t>
      </w:r>
      <w:r w:rsidR="00955D4F">
        <w:rPr>
          <w:rFonts w:ascii="ITC Avant Garde" w:eastAsia="ITC Avant Garde" w:hAnsi="ITC Avant Garde" w:cstheme="majorHAnsi"/>
        </w:rPr>
        <w:t>, e</w:t>
      </w:r>
      <w:r w:rsidRPr="004D17F7">
        <w:rPr>
          <w:rFonts w:ascii="ITC Avant Garde" w:eastAsia="ITC Avant Garde" w:hAnsi="ITC Avant Garde" w:cstheme="majorHAnsi"/>
        </w:rPr>
        <w:t>n particular</w:t>
      </w:r>
      <w:r w:rsidR="00955D4F">
        <w:rPr>
          <w:rFonts w:ascii="ITC Avant Garde" w:eastAsia="ITC Avant Garde" w:hAnsi="ITC Avant Garde" w:cstheme="majorHAnsi"/>
        </w:rPr>
        <w:t xml:space="preserve"> asociado a los siguientes aspectos</w:t>
      </w:r>
      <w:r w:rsidRPr="004D17F7">
        <w:rPr>
          <w:rFonts w:ascii="ITC Avant Garde" w:eastAsia="ITC Avant Garde" w:hAnsi="ITC Avant Garde" w:cstheme="majorHAnsi"/>
        </w:rPr>
        <w:t>:</w:t>
      </w:r>
    </w:p>
    <w:p w14:paraId="23E4BD1D" w14:textId="77777777" w:rsidR="004D17F7" w:rsidRPr="004D17F7" w:rsidRDefault="004D17F7" w:rsidP="004D17F7">
      <w:pPr>
        <w:spacing w:after="0"/>
        <w:ind w:left="142" w:right="425"/>
        <w:jc w:val="both"/>
        <w:rPr>
          <w:rFonts w:ascii="ITC Avant Garde" w:eastAsia="ITC Avant Garde" w:hAnsi="ITC Avant Garde" w:cstheme="majorHAnsi"/>
        </w:rPr>
      </w:pPr>
    </w:p>
    <w:p w14:paraId="146C4D8A" w14:textId="77777777" w:rsidR="005E38E4" w:rsidRPr="00C614F4" w:rsidRDefault="005E38E4" w:rsidP="005E38E4">
      <w:pPr>
        <w:ind w:left="708"/>
        <w:jc w:val="both"/>
        <w:rPr>
          <w:rFonts w:ascii="ITC Avant Garde" w:hAnsi="ITC Avant Garde"/>
        </w:rPr>
      </w:pPr>
      <w:r>
        <w:rPr>
          <w:rFonts w:ascii="ITC Avant Garde" w:hAnsi="ITC Avant Garde"/>
        </w:rPr>
        <w:t>1</w:t>
      </w:r>
      <w:r w:rsidRPr="00C614F4">
        <w:rPr>
          <w:rFonts w:ascii="ITC Avant Garde" w:hAnsi="ITC Avant Garde"/>
        </w:rPr>
        <w:t>.</w:t>
      </w:r>
      <w:r w:rsidRPr="00C614F4">
        <w:rPr>
          <w:rFonts w:ascii="ITC Avant Garde" w:hAnsi="ITC Avant Garde"/>
        </w:rPr>
        <w:tab/>
        <w:t>Fomento a la competencia</w:t>
      </w:r>
      <w:r>
        <w:rPr>
          <w:rFonts w:ascii="ITC Avant Garde" w:hAnsi="ITC Avant Garde"/>
        </w:rPr>
        <w:t xml:space="preserve"> y </w:t>
      </w:r>
      <w:r w:rsidRPr="00D65EEA">
        <w:rPr>
          <w:rFonts w:ascii="ITC Avant Garde" w:hAnsi="ITC Avant Garde"/>
        </w:rPr>
        <w:t>libre concurrencia</w:t>
      </w:r>
      <w:r w:rsidRPr="00C614F4">
        <w:rPr>
          <w:rFonts w:ascii="ITC Avant Garde" w:hAnsi="ITC Avant Garde"/>
        </w:rPr>
        <w:t>:</w:t>
      </w:r>
    </w:p>
    <w:p w14:paraId="19E765B3" w14:textId="00E9D96F" w:rsidR="005E38E4" w:rsidRPr="00C614F4" w:rsidRDefault="005E38E4" w:rsidP="005E38E4">
      <w:pPr>
        <w:ind w:left="1418"/>
        <w:jc w:val="both"/>
        <w:rPr>
          <w:rFonts w:ascii="ITC Avant Garde" w:hAnsi="ITC Avant Garde"/>
        </w:rPr>
      </w:pPr>
      <w:r w:rsidRPr="00EE44F3">
        <w:rPr>
          <w:rFonts w:ascii="ITC Avant Garde" w:hAnsi="ITC Avant Garde"/>
        </w:rPr>
        <w:t>La información sobre la ubicación y capacidad de la infraestructura existente permitirá una mejor planeación para el despliegue de redes</w:t>
      </w:r>
      <w:r w:rsidR="00955D4F">
        <w:rPr>
          <w:rFonts w:ascii="ITC Avant Garde" w:hAnsi="ITC Avant Garde"/>
        </w:rPr>
        <w:t xml:space="preserve">, por </w:t>
      </w:r>
      <w:r w:rsidR="00BA0D67">
        <w:rPr>
          <w:rFonts w:ascii="ITC Avant Garde" w:hAnsi="ITC Avant Garde"/>
        </w:rPr>
        <w:t>ejemplo,</w:t>
      </w:r>
      <w:r w:rsidR="00955D4F">
        <w:rPr>
          <w:rFonts w:ascii="ITC Avant Garde" w:hAnsi="ITC Avant Garde"/>
        </w:rPr>
        <w:t xml:space="preserve"> a través de la promoción del uso de infraestructura existente,</w:t>
      </w:r>
      <w:r w:rsidRPr="00EE44F3">
        <w:rPr>
          <w:rFonts w:ascii="ITC Avant Garde" w:hAnsi="ITC Avant Garde"/>
        </w:rPr>
        <w:t xml:space="preserve"> y con ello prevenir</w:t>
      </w:r>
      <w:r w:rsidRPr="00EE44F3" w:rsidDel="00261A69">
        <w:rPr>
          <w:rFonts w:ascii="ITC Avant Garde" w:hAnsi="ITC Avant Garde"/>
        </w:rPr>
        <w:t xml:space="preserve"> </w:t>
      </w:r>
      <w:r w:rsidRPr="00EE44F3">
        <w:rPr>
          <w:rFonts w:ascii="ITC Avant Garde" w:hAnsi="ITC Avant Garde"/>
        </w:rPr>
        <w:t>y combatir las restricciones en los mercados, haciendo posible el establecimiento de medidas que eliminen las barreras de competencia y/o de libre concurrencia</w:t>
      </w:r>
      <w:r w:rsidRPr="00C614F4">
        <w:rPr>
          <w:rFonts w:ascii="ITC Avant Garde" w:hAnsi="ITC Avant Garde"/>
        </w:rPr>
        <w:t>.</w:t>
      </w:r>
      <w:r w:rsidR="00955D4F">
        <w:rPr>
          <w:rFonts w:ascii="ITC Avant Garde" w:hAnsi="ITC Avant Garde"/>
        </w:rPr>
        <w:t xml:space="preserve"> </w:t>
      </w:r>
    </w:p>
    <w:p w14:paraId="5D355134" w14:textId="77777777" w:rsidR="005E38E4" w:rsidRPr="00C614F4" w:rsidRDefault="005E38E4" w:rsidP="005E38E4">
      <w:pPr>
        <w:ind w:left="708"/>
        <w:jc w:val="both"/>
        <w:rPr>
          <w:rFonts w:ascii="ITC Avant Garde" w:hAnsi="ITC Avant Garde"/>
        </w:rPr>
      </w:pPr>
      <w:r>
        <w:rPr>
          <w:rFonts w:ascii="ITC Avant Garde" w:hAnsi="ITC Avant Garde"/>
        </w:rPr>
        <w:t>2</w:t>
      </w:r>
      <w:r w:rsidRPr="00C614F4">
        <w:rPr>
          <w:rFonts w:ascii="ITC Avant Garde" w:hAnsi="ITC Avant Garde"/>
        </w:rPr>
        <w:t>.</w:t>
      </w:r>
      <w:r w:rsidRPr="00C614F4">
        <w:rPr>
          <w:rFonts w:ascii="ITC Avant Garde" w:hAnsi="ITC Avant Garde"/>
        </w:rPr>
        <w:tab/>
        <w:t>Promoción de inversiones:</w:t>
      </w:r>
    </w:p>
    <w:p w14:paraId="6179152D" w14:textId="496AA32F" w:rsidR="005E38E4" w:rsidRPr="00C614F4" w:rsidRDefault="005E38E4" w:rsidP="005E38E4">
      <w:pPr>
        <w:ind w:left="1418"/>
        <w:jc w:val="both"/>
        <w:rPr>
          <w:rFonts w:ascii="ITC Avant Garde" w:hAnsi="ITC Avant Garde"/>
        </w:rPr>
      </w:pPr>
      <w:r>
        <w:rPr>
          <w:rFonts w:ascii="ITC Avant Garde" w:hAnsi="ITC Avant Garde"/>
        </w:rPr>
        <w:t>S</w:t>
      </w:r>
      <w:r w:rsidRPr="00EE44F3">
        <w:rPr>
          <w:rFonts w:ascii="ITC Avant Garde" w:hAnsi="ITC Avant Garde"/>
        </w:rPr>
        <w:t>i bien la información de infraestructura genera incentivos para una mayor compartición, también permite identificar oportunidades para el despliegue y la inversión en redes de telecomunicaciones y radiodifusión, así como el fomento a la innovación</w:t>
      </w:r>
      <w:r>
        <w:rPr>
          <w:rFonts w:ascii="ITC Avant Garde" w:hAnsi="ITC Avant Garde"/>
        </w:rPr>
        <w:t>.</w:t>
      </w:r>
      <w:r w:rsidR="00955D4F">
        <w:rPr>
          <w:rFonts w:ascii="ITC Avant Garde" w:hAnsi="ITC Avant Garde"/>
        </w:rPr>
        <w:t xml:space="preserve"> Con ello se fomenta </w:t>
      </w:r>
      <w:r w:rsidR="00955D4F" w:rsidRPr="00C614F4">
        <w:rPr>
          <w:rFonts w:ascii="ITC Avant Garde" w:hAnsi="ITC Avant Garde"/>
        </w:rPr>
        <w:t>la ampliación de la cobertura de servicios en regiones o localidades con baja penetración de telecomunicaciones o radiodifusión</w:t>
      </w:r>
      <w:r w:rsidR="00BA0D67">
        <w:rPr>
          <w:rFonts w:ascii="ITC Avant Garde" w:hAnsi="ITC Avant Garde"/>
        </w:rPr>
        <w:t>.</w:t>
      </w:r>
    </w:p>
    <w:p w14:paraId="7D2E3EA7" w14:textId="3E59AD9E" w:rsidR="005E38E4" w:rsidRPr="00C614F4" w:rsidRDefault="005E38E4" w:rsidP="005E38E4">
      <w:pPr>
        <w:ind w:left="708"/>
        <w:jc w:val="both"/>
        <w:rPr>
          <w:rFonts w:ascii="ITC Avant Garde" w:hAnsi="ITC Avant Garde"/>
        </w:rPr>
      </w:pPr>
      <w:r>
        <w:rPr>
          <w:rFonts w:ascii="ITC Avant Garde" w:hAnsi="ITC Avant Garde"/>
        </w:rPr>
        <w:t>3</w:t>
      </w:r>
      <w:r w:rsidRPr="00C614F4">
        <w:rPr>
          <w:rFonts w:ascii="ITC Avant Garde" w:hAnsi="ITC Avant Garde"/>
        </w:rPr>
        <w:t>.</w:t>
      </w:r>
      <w:r w:rsidRPr="00C614F4">
        <w:rPr>
          <w:rFonts w:ascii="ITC Avant Garde" w:hAnsi="ITC Avant Garde"/>
        </w:rPr>
        <w:tab/>
      </w:r>
      <w:r>
        <w:rPr>
          <w:rFonts w:ascii="ITC Avant Garde" w:hAnsi="ITC Avant Garde"/>
        </w:rPr>
        <w:t>Diseño de p</w:t>
      </w:r>
      <w:r w:rsidRPr="00C614F4">
        <w:rPr>
          <w:rFonts w:ascii="ITC Avant Garde" w:hAnsi="ITC Avant Garde"/>
        </w:rPr>
        <w:t>rospectiva regulatoria:</w:t>
      </w:r>
    </w:p>
    <w:p w14:paraId="72268EAA" w14:textId="1DCF099F" w:rsidR="005E38E4" w:rsidRPr="00C614F4" w:rsidRDefault="005E38E4" w:rsidP="005E38E4">
      <w:pPr>
        <w:ind w:left="1418"/>
        <w:jc w:val="both"/>
        <w:rPr>
          <w:rFonts w:ascii="ITC Avant Garde" w:hAnsi="ITC Avant Garde"/>
        </w:rPr>
      </w:pPr>
      <w:r w:rsidRPr="00EE44F3">
        <w:rPr>
          <w:rFonts w:ascii="ITC Avant Garde" w:hAnsi="ITC Avant Garde"/>
        </w:rPr>
        <w:t xml:space="preserve">A partir de la información de infraestructura de los diferentes actores se fortalecen diagnósticos, estudios e investigaciones en materia de telecomunicaciones y radiodifusión para el </w:t>
      </w:r>
      <w:r w:rsidR="00955D4F">
        <w:rPr>
          <w:rFonts w:ascii="ITC Avant Garde" w:hAnsi="ITC Avant Garde"/>
        </w:rPr>
        <w:t>diseño</w:t>
      </w:r>
      <w:r w:rsidR="00955D4F" w:rsidRPr="00EE44F3">
        <w:rPr>
          <w:rFonts w:ascii="ITC Avant Garde" w:hAnsi="ITC Avant Garde"/>
        </w:rPr>
        <w:t xml:space="preserve"> </w:t>
      </w:r>
      <w:r w:rsidRPr="00EE44F3">
        <w:rPr>
          <w:rFonts w:ascii="ITC Avant Garde" w:hAnsi="ITC Avant Garde"/>
        </w:rPr>
        <w:t xml:space="preserve">de </w:t>
      </w:r>
      <w:r w:rsidR="00955D4F">
        <w:rPr>
          <w:rFonts w:ascii="ITC Avant Garde" w:hAnsi="ITC Avant Garde"/>
        </w:rPr>
        <w:t xml:space="preserve">una mejor </w:t>
      </w:r>
      <w:r w:rsidRPr="00EE44F3">
        <w:rPr>
          <w:rFonts w:ascii="ITC Avant Garde" w:hAnsi="ITC Avant Garde"/>
        </w:rPr>
        <w:t>regulación.</w:t>
      </w:r>
    </w:p>
    <w:p w14:paraId="4C3C15A7" w14:textId="77777777" w:rsidR="005E38E4" w:rsidRPr="00C614F4" w:rsidRDefault="005E38E4" w:rsidP="005E38E4">
      <w:pPr>
        <w:ind w:left="708"/>
        <w:jc w:val="both"/>
        <w:rPr>
          <w:rFonts w:ascii="ITC Avant Garde" w:hAnsi="ITC Avant Garde"/>
        </w:rPr>
      </w:pPr>
      <w:r>
        <w:rPr>
          <w:rFonts w:ascii="ITC Avant Garde" w:hAnsi="ITC Avant Garde"/>
        </w:rPr>
        <w:lastRenderedPageBreak/>
        <w:t>4</w:t>
      </w:r>
      <w:r w:rsidRPr="00C614F4">
        <w:rPr>
          <w:rFonts w:ascii="ITC Avant Garde" w:hAnsi="ITC Avant Garde"/>
        </w:rPr>
        <w:t>.</w:t>
      </w:r>
      <w:r w:rsidRPr="00C614F4">
        <w:rPr>
          <w:rFonts w:ascii="ITC Avant Garde" w:hAnsi="ITC Avant Garde"/>
        </w:rPr>
        <w:tab/>
        <w:t>Generación de estadísticas:</w:t>
      </w:r>
    </w:p>
    <w:p w14:paraId="38179849" w14:textId="77777777" w:rsidR="005E38E4" w:rsidRPr="00C614F4" w:rsidRDefault="005E38E4" w:rsidP="005E38E4">
      <w:pPr>
        <w:ind w:left="1416"/>
        <w:jc w:val="both"/>
        <w:rPr>
          <w:rFonts w:ascii="ITC Avant Garde" w:hAnsi="ITC Avant Garde"/>
        </w:rPr>
      </w:pPr>
      <w:r w:rsidRPr="00C614F4">
        <w:rPr>
          <w:rFonts w:ascii="ITC Avant Garde" w:hAnsi="ITC Avant Garde"/>
        </w:rPr>
        <w:t>a.</w:t>
      </w:r>
      <w:r w:rsidRPr="00C614F4">
        <w:rPr>
          <w:rFonts w:ascii="ITC Avant Garde" w:hAnsi="ITC Avant Garde"/>
        </w:rPr>
        <w:tab/>
        <w:t>En la generación de reportes y análisis que permitan medir la evolución de los servicios de telecomunicaciones y radiodifusión.</w:t>
      </w:r>
    </w:p>
    <w:p w14:paraId="7C3A0294" w14:textId="77777777" w:rsidR="005E38E4" w:rsidRPr="00C614F4" w:rsidRDefault="005E38E4" w:rsidP="005E38E4">
      <w:pPr>
        <w:ind w:left="1416"/>
        <w:jc w:val="both"/>
        <w:rPr>
          <w:rFonts w:ascii="ITC Avant Garde" w:hAnsi="ITC Avant Garde"/>
        </w:rPr>
      </w:pPr>
      <w:r w:rsidRPr="00C614F4">
        <w:rPr>
          <w:rFonts w:ascii="ITC Avant Garde" w:hAnsi="ITC Avant Garde"/>
        </w:rPr>
        <w:t>b.</w:t>
      </w:r>
      <w:r w:rsidRPr="00C614F4">
        <w:rPr>
          <w:rFonts w:ascii="ITC Avant Garde" w:hAnsi="ITC Avant Garde"/>
        </w:rPr>
        <w:tab/>
        <w:t>En la generación de indicadores que permitan medir la eficiencia de las políticas, lineamientos y reglamentos establecidos por el Instituto.</w:t>
      </w:r>
    </w:p>
    <w:p w14:paraId="7E4C2FCD" w14:textId="2267DCFF" w:rsidR="005E38E4" w:rsidRDefault="005E38E4" w:rsidP="004D17F7">
      <w:pPr>
        <w:spacing w:after="0"/>
        <w:ind w:left="142" w:right="425"/>
        <w:jc w:val="both"/>
        <w:rPr>
          <w:rFonts w:ascii="ITC Avant Garde" w:eastAsia="ITC Avant Garde" w:hAnsi="ITC Avant Garde" w:cstheme="majorHAnsi"/>
        </w:rPr>
      </w:pPr>
      <w:r w:rsidRPr="004D17F7">
        <w:rPr>
          <w:rFonts w:ascii="ITC Avant Garde" w:eastAsia="ITC Avant Garde" w:hAnsi="ITC Avant Garde" w:cstheme="majorHAnsi"/>
        </w:rPr>
        <w:t xml:space="preserve">Finalmente, es relevante mencionar la </w:t>
      </w:r>
      <w:r w:rsidR="009C6873">
        <w:rPr>
          <w:rFonts w:ascii="ITC Avant Garde" w:eastAsia="ITC Avant Garde" w:hAnsi="ITC Avant Garde" w:cstheme="majorHAnsi"/>
        </w:rPr>
        <w:t xml:space="preserve">contribución </w:t>
      </w:r>
      <w:r w:rsidRPr="004D17F7">
        <w:rPr>
          <w:rFonts w:ascii="ITC Avant Garde" w:eastAsia="ITC Avant Garde" w:hAnsi="ITC Avant Garde" w:cstheme="majorHAnsi"/>
        </w:rPr>
        <w:t xml:space="preserve">que </w:t>
      </w:r>
      <w:r w:rsidR="009C6873">
        <w:rPr>
          <w:rFonts w:ascii="ITC Avant Garde" w:eastAsia="ITC Avant Garde" w:hAnsi="ITC Avant Garde" w:cstheme="majorHAnsi"/>
        </w:rPr>
        <w:t xml:space="preserve">un sistema de información sistematizado puede generar en el diseño de la política pública asociada al despliegue y compartición de </w:t>
      </w:r>
      <w:r w:rsidRPr="004D17F7">
        <w:rPr>
          <w:rFonts w:ascii="ITC Avant Garde" w:eastAsia="ITC Avant Garde" w:hAnsi="ITC Avant Garde" w:cstheme="majorHAnsi"/>
        </w:rPr>
        <w:t>infraestructura</w:t>
      </w:r>
      <w:r w:rsidR="009C6873">
        <w:rPr>
          <w:rFonts w:ascii="ITC Avant Garde" w:eastAsia="ITC Avant Garde" w:hAnsi="ITC Avant Garde" w:cstheme="majorHAnsi"/>
        </w:rPr>
        <w:t>, lo que a su vez</w:t>
      </w:r>
      <w:r w:rsidRPr="004D17F7">
        <w:rPr>
          <w:rFonts w:ascii="ITC Avant Garde" w:eastAsia="ITC Avant Garde" w:hAnsi="ITC Avant Garde" w:cstheme="majorHAnsi"/>
        </w:rPr>
        <w:t xml:space="preserve"> tiene </w:t>
      </w:r>
      <w:r w:rsidR="009C6873">
        <w:rPr>
          <w:rFonts w:ascii="ITC Avant Garde" w:eastAsia="ITC Avant Garde" w:hAnsi="ITC Avant Garde" w:cstheme="majorHAnsi"/>
        </w:rPr>
        <w:t xml:space="preserve">una importante relevancia </w:t>
      </w:r>
      <w:r w:rsidRPr="004D17F7">
        <w:rPr>
          <w:rFonts w:ascii="ITC Avant Garde" w:eastAsia="ITC Avant Garde" w:hAnsi="ITC Avant Garde" w:cstheme="majorHAnsi"/>
        </w:rPr>
        <w:t>sobre la conectividad. Dadas las condiciones desiguales en términos de penetración de servicios, en especial de banda ancha, que se presentan en el país, un sistema de información geo-referenciado permitirá diseñar e implementar esquemas de despliegue mejor focalizados con el fin de atender de manera más eficaz zonas donde actualmente no existen servicios, contribuyendo con ello a reducir la brecha digital.</w:t>
      </w:r>
    </w:p>
    <w:p w14:paraId="21803BF4" w14:textId="77777777" w:rsidR="006625E9" w:rsidRPr="004D17F7" w:rsidRDefault="006625E9" w:rsidP="004D17F7">
      <w:pPr>
        <w:spacing w:after="0"/>
        <w:ind w:left="142" w:right="425"/>
        <w:jc w:val="both"/>
        <w:rPr>
          <w:rFonts w:ascii="ITC Avant Garde" w:eastAsia="ITC Avant Garde" w:hAnsi="ITC Avant Garde" w:cstheme="majorHAnsi"/>
        </w:rPr>
      </w:pPr>
    </w:p>
    <w:p w14:paraId="71131B36" w14:textId="2AC80204" w:rsidR="005E38E4" w:rsidRDefault="005E38E4" w:rsidP="00BA0D67">
      <w:pPr>
        <w:spacing w:after="0"/>
        <w:ind w:left="142" w:right="425"/>
        <w:jc w:val="both"/>
        <w:rPr>
          <w:rFonts w:ascii="ITC Avant Garde" w:eastAsia="ITC Avant Garde" w:hAnsi="ITC Avant Garde" w:cstheme="majorHAnsi"/>
        </w:rPr>
      </w:pPr>
      <w:r w:rsidRPr="004D17F7">
        <w:rPr>
          <w:rFonts w:ascii="ITC Avant Garde" w:eastAsia="ITC Avant Garde" w:hAnsi="ITC Avant Garde" w:cstheme="majorHAnsi"/>
        </w:rPr>
        <w:t xml:space="preserve">Otro beneficio de la implementación del SNII, es que la información ahí contenida permitirá a las autoridades de seguridad y procuración de justicia contar con información para el ejercicio de sus atribuciones, una vez que cumplan con los requisitos dispuestos </w:t>
      </w:r>
      <w:r w:rsidR="006625E9">
        <w:rPr>
          <w:rFonts w:ascii="ITC Avant Garde" w:eastAsia="ITC Avant Garde" w:hAnsi="ITC Avant Garde" w:cstheme="majorHAnsi"/>
        </w:rPr>
        <w:t xml:space="preserve">dentro del </w:t>
      </w:r>
      <w:r w:rsidR="006625E9" w:rsidRPr="00BA0D67">
        <w:rPr>
          <w:rFonts w:ascii="ITC Avant Garde" w:eastAsia="ITC Avant Garde" w:hAnsi="ITC Avant Garde" w:cstheme="majorHAnsi"/>
        </w:rPr>
        <w:t>Anteproyecto de Lineamientos</w:t>
      </w:r>
      <w:r w:rsidRPr="004D17F7">
        <w:rPr>
          <w:rFonts w:ascii="ITC Avant Garde" w:eastAsia="ITC Avant Garde" w:hAnsi="ITC Avant Garde" w:cstheme="majorHAnsi"/>
        </w:rPr>
        <w:t xml:space="preserve">. Cabe señalar </w:t>
      </w:r>
      <w:r w:rsidR="009C6873">
        <w:rPr>
          <w:rFonts w:ascii="ITC Avant Garde" w:eastAsia="ITC Avant Garde" w:hAnsi="ITC Avant Garde" w:cstheme="majorHAnsi"/>
        </w:rPr>
        <w:t xml:space="preserve">además </w:t>
      </w:r>
      <w:r w:rsidRPr="004D17F7">
        <w:rPr>
          <w:rFonts w:ascii="ITC Avant Garde" w:eastAsia="ITC Avant Garde" w:hAnsi="ITC Avant Garde" w:cstheme="majorHAnsi"/>
        </w:rPr>
        <w:t>que, conforme a lo observado en la evidencia internacional, el SNII es uno de los pocos sistemas que contará con información relativa a infraestructura para el servicio de radiodifusión.</w:t>
      </w:r>
    </w:p>
    <w:p w14:paraId="7A532DF3" w14:textId="77777777" w:rsidR="006625E9" w:rsidRPr="004D17F7" w:rsidRDefault="006625E9" w:rsidP="004D17F7">
      <w:pPr>
        <w:spacing w:after="0"/>
        <w:ind w:left="142" w:right="425"/>
        <w:jc w:val="both"/>
        <w:rPr>
          <w:rFonts w:ascii="ITC Avant Garde" w:eastAsia="ITC Avant Garde" w:hAnsi="ITC Avant Garde" w:cstheme="majorHAnsi"/>
        </w:rPr>
      </w:pPr>
    </w:p>
    <w:p w14:paraId="7CE96A95" w14:textId="2D50B343" w:rsidR="00A20C3F" w:rsidRPr="00072FE9" w:rsidRDefault="00A20C3F" w:rsidP="00A20C3F">
      <w:pPr>
        <w:spacing w:after="0"/>
        <w:ind w:left="142" w:right="425"/>
        <w:jc w:val="both"/>
        <w:rPr>
          <w:rFonts w:ascii="ITC Avant Garde" w:hAnsi="ITC Avant Garde" w:cs="Arial"/>
          <w:bCs/>
        </w:rPr>
      </w:pPr>
      <w:r w:rsidRPr="00D06C1D">
        <w:rPr>
          <w:rFonts w:ascii="ITC Avant Garde" w:hAnsi="ITC Avant Garde" w:cs="Arial"/>
          <w:b/>
          <w:bCs/>
        </w:rPr>
        <w:t>TERCERO.-</w:t>
      </w:r>
      <w:r w:rsidRPr="00072FE9">
        <w:rPr>
          <w:rFonts w:ascii="ITC Avant Garde" w:hAnsi="ITC Avant Garde" w:cs="Arial"/>
          <w:bCs/>
        </w:rPr>
        <w:t xml:space="preserve"> </w:t>
      </w:r>
      <w:r w:rsidRPr="00072FE9">
        <w:rPr>
          <w:rFonts w:ascii="ITC Avant Garde" w:hAnsi="ITC Avant Garde" w:cs="Arial"/>
          <w:b/>
          <w:bCs/>
        </w:rPr>
        <w:t>Consulta Pública de</w:t>
      </w:r>
      <w:r w:rsidR="006625E9">
        <w:rPr>
          <w:rFonts w:ascii="ITC Avant Garde" w:hAnsi="ITC Avant Garde" w:cs="Arial"/>
          <w:b/>
          <w:bCs/>
        </w:rPr>
        <w:t xml:space="preserve">l </w:t>
      </w:r>
      <w:r w:rsidR="006625E9" w:rsidRPr="006625E9">
        <w:rPr>
          <w:rFonts w:ascii="ITC Avant Garde" w:hAnsi="ITC Avant Garde" w:cs="Arial"/>
          <w:b/>
          <w:bCs/>
        </w:rPr>
        <w:t>Anteproyecto de Lineamientos para la entrega, inscripción y consulta de información para la conformación del Sistema Nacional de Información de Infraestructura</w:t>
      </w:r>
      <w:r w:rsidRPr="00072FE9">
        <w:rPr>
          <w:rFonts w:ascii="ITC Avant Garde" w:eastAsia="Times New Roman" w:hAnsi="ITC Avant Garde"/>
          <w:b/>
        </w:rPr>
        <w:t>.-</w:t>
      </w:r>
      <w:r w:rsidRPr="00072FE9">
        <w:rPr>
          <w:rFonts w:ascii="ITC Avant Garde" w:eastAsia="Times New Roman" w:hAnsi="ITC Avant Garde"/>
        </w:rPr>
        <w:t xml:space="preserve"> </w:t>
      </w:r>
      <w:r>
        <w:rPr>
          <w:rFonts w:ascii="ITC Avant Garde" w:eastAsia="Times New Roman" w:hAnsi="ITC Avant Garde"/>
        </w:rPr>
        <w:t xml:space="preserve">El proceso de </w:t>
      </w:r>
      <w:r w:rsidRPr="00072FE9">
        <w:rPr>
          <w:rFonts w:ascii="ITC Avant Garde" w:hAnsi="ITC Avant Garde" w:cs="Arial"/>
          <w:bCs/>
        </w:rPr>
        <w:t xml:space="preserve">consulta pública tiene por objeto cumplir con los principios de transparencia y participación ciudadana con la finalidad de recabar comentarios </w:t>
      </w:r>
      <w:r>
        <w:rPr>
          <w:rFonts w:ascii="ITC Avant Garde" w:hAnsi="ITC Avant Garde" w:cs="Arial"/>
          <w:bCs/>
        </w:rPr>
        <w:t xml:space="preserve">y opiniones </w:t>
      </w:r>
      <w:r w:rsidRPr="00072FE9">
        <w:rPr>
          <w:rFonts w:ascii="ITC Avant Garde" w:hAnsi="ITC Avant Garde" w:cs="Arial"/>
          <w:bCs/>
        </w:rPr>
        <w:t xml:space="preserve">de la industria, </w:t>
      </w:r>
      <w:r>
        <w:rPr>
          <w:rFonts w:ascii="ITC Avant Garde" w:hAnsi="ITC Avant Garde" w:cs="Arial"/>
          <w:bCs/>
        </w:rPr>
        <w:t xml:space="preserve">académicos, </w:t>
      </w:r>
      <w:r w:rsidRPr="00072FE9">
        <w:rPr>
          <w:rFonts w:ascii="ITC Avant Garde" w:hAnsi="ITC Avant Garde" w:cs="Arial"/>
          <w:bCs/>
        </w:rPr>
        <w:t xml:space="preserve">de especialistas en la materia y del público en general, para ser analizados por este Instituto, y de resultar procedente, con ellos fortalecer los </w:t>
      </w:r>
      <w:r w:rsidR="006625E9">
        <w:rPr>
          <w:rFonts w:ascii="ITC Avant Garde" w:hAnsi="ITC Avant Garde" w:cs="Arial"/>
          <w:bCs/>
        </w:rPr>
        <w:t>l</w:t>
      </w:r>
      <w:r w:rsidRPr="00072FE9">
        <w:rPr>
          <w:rFonts w:ascii="ITC Avant Garde" w:hAnsi="ITC Avant Garde" w:cs="Arial"/>
          <w:bCs/>
        </w:rPr>
        <w:t xml:space="preserve">ineamientos </w:t>
      </w:r>
      <w:r>
        <w:rPr>
          <w:rFonts w:ascii="ITC Avant Garde" w:hAnsi="ITC Avant Garde" w:cs="Arial"/>
          <w:bCs/>
        </w:rPr>
        <w:t>que en su momento emita el Instituto</w:t>
      </w:r>
      <w:r w:rsidRPr="00072FE9">
        <w:rPr>
          <w:rFonts w:ascii="ITC Avant Garde" w:hAnsi="ITC Avant Garde" w:cs="Arial"/>
          <w:bCs/>
        </w:rPr>
        <w:t xml:space="preserve">. </w:t>
      </w:r>
    </w:p>
    <w:p w14:paraId="1E7062A3" w14:textId="77777777" w:rsidR="00944536" w:rsidRDefault="00944536" w:rsidP="00A20C3F">
      <w:pPr>
        <w:spacing w:after="0"/>
        <w:ind w:left="142" w:right="425"/>
        <w:jc w:val="both"/>
        <w:rPr>
          <w:rFonts w:ascii="ITC Avant Garde" w:eastAsia="ITC Avant Garde" w:hAnsi="ITC Avant Garde" w:cstheme="majorHAnsi"/>
        </w:rPr>
      </w:pPr>
    </w:p>
    <w:p w14:paraId="329F849C" w14:textId="339962CF" w:rsidR="00A20C3F" w:rsidRPr="006625E9" w:rsidRDefault="00A20C3F" w:rsidP="00A20C3F">
      <w:pPr>
        <w:spacing w:after="0"/>
        <w:ind w:left="142" w:right="425"/>
        <w:jc w:val="both"/>
        <w:rPr>
          <w:rFonts w:ascii="ITC Avant Garde" w:eastAsia="ITC Avant Garde" w:hAnsi="ITC Avant Garde" w:cstheme="majorHAnsi"/>
        </w:rPr>
      </w:pPr>
      <w:r w:rsidRPr="006625E9">
        <w:rPr>
          <w:rFonts w:ascii="ITC Avant Garde" w:eastAsia="ITC Avant Garde" w:hAnsi="ITC Avant Garde" w:cstheme="majorHAnsi"/>
        </w:rPr>
        <w:t xml:space="preserve">Es por </w:t>
      </w:r>
      <w:r w:rsidR="00B7300B">
        <w:rPr>
          <w:rFonts w:ascii="ITC Avant Garde" w:eastAsia="ITC Avant Garde" w:hAnsi="ITC Avant Garde" w:cstheme="majorHAnsi"/>
        </w:rPr>
        <w:t xml:space="preserve">lo anterior </w:t>
      </w:r>
      <w:r w:rsidRPr="006625E9">
        <w:rPr>
          <w:rFonts w:ascii="ITC Avant Garde" w:eastAsia="ITC Avant Garde" w:hAnsi="ITC Avant Garde" w:cstheme="majorHAnsi"/>
        </w:rPr>
        <w:t xml:space="preserve">que el Instituto considera relevante recibir observaciones, comentarios e </w:t>
      </w:r>
      <w:r w:rsidR="00B7300B">
        <w:rPr>
          <w:rFonts w:ascii="ITC Avant Garde" w:eastAsia="ITC Avant Garde" w:hAnsi="ITC Avant Garde" w:cstheme="majorHAnsi"/>
        </w:rPr>
        <w:t>información</w:t>
      </w:r>
      <w:r w:rsidR="00B7300B" w:rsidRPr="006625E9">
        <w:rPr>
          <w:rFonts w:ascii="ITC Avant Garde" w:eastAsia="ITC Avant Garde" w:hAnsi="ITC Avant Garde" w:cstheme="majorHAnsi"/>
        </w:rPr>
        <w:t xml:space="preserve"> </w:t>
      </w:r>
      <w:r w:rsidRPr="006625E9">
        <w:rPr>
          <w:rFonts w:ascii="ITC Avant Garde" w:eastAsia="ITC Avant Garde" w:hAnsi="ITC Avant Garde" w:cstheme="majorHAnsi"/>
        </w:rPr>
        <w:t xml:space="preserve">que los concesionarios o interesados pudieran </w:t>
      </w:r>
      <w:r w:rsidR="00B7300B">
        <w:rPr>
          <w:rFonts w:ascii="ITC Avant Garde" w:eastAsia="ITC Avant Garde" w:hAnsi="ITC Avant Garde" w:cstheme="majorHAnsi"/>
        </w:rPr>
        <w:t xml:space="preserve">aportar </w:t>
      </w:r>
      <w:r w:rsidRPr="006625E9">
        <w:rPr>
          <w:rFonts w:ascii="ITC Avant Garde" w:eastAsia="ITC Avant Garde" w:hAnsi="ITC Avant Garde" w:cstheme="majorHAnsi"/>
        </w:rPr>
        <w:t xml:space="preserve">de manera previa a </w:t>
      </w:r>
      <w:r w:rsidR="000F4925">
        <w:rPr>
          <w:rFonts w:ascii="ITC Avant Garde" w:eastAsia="ITC Avant Garde" w:hAnsi="ITC Avant Garde" w:cstheme="majorHAnsi"/>
        </w:rPr>
        <w:t>la</w:t>
      </w:r>
      <w:r w:rsidRPr="006625E9">
        <w:rPr>
          <w:rFonts w:ascii="ITC Avant Garde" w:eastAsia="ITC Avant Garde" w:hAnsi="ITC Avant Garde" w:cstheme="majorHAnsi"/>
        </w:rPr>
        <w:t xml:space="preserve"> aprobación y aplicación </w:t>
      </w:r>
      <w:r w:rsidR="000F4925">
        <w:rPr>
          <w:rFonts w:ascii="ITC Avant Garde" w:eastAsia="ITC Avant Garde" w:hAnsi="ITC Avant Garde" w:cstheme="majorHAnsi"/>
        </w:rPr>
        <w:t xml:space="preserve">de los lineamientos </w:t>
      </w:r>
      <w:r w:rsidRPr="006625E9">
        <w:rPr>
          <w:rFonts w:ascii="ITC Avant Garde" w:eastAsia="ITC Avant Garde" w:hAnsi="ITC Avant Garde" w:cstheme="majorHAnsi"/>
        </w:rPr>
        <w:t xml:space="preserve">por parte de la autoridad regulatoria, por lo que la consulta pública se convierte en </w:t>
      </w:r>
      <w:r w:rsidR="00B7300B">
        <w:rPr>
          <w:rFonts w:ascii="ITC Avant Garde" w:eastAsia="ITC Avant Garde" w:hAnsi="ITC Avant Garde" w:cstheme="majorHAnsi"/>
        </w:rPr>
        <w:t xml:space="preserve">un mecanismo </w:t>
      </w:r>
      <w:r w:rsidRPr="006625E9">
        <w:rPr>
          <w:rFonts w:ascii="ITC Avant Garde" w:eastAsia="ITC Avant Garde" w:hAnsi="ITC Avant Garde" w:cstheme="majorHAnsi"/>
        </w:rPr>
        <w:t>necesari</w:t>
      </w:r>
      <w:r w:rsidR="00B7300B">
        <w:rPr>
          <w:rFonts w:ascii="ITC Avant Garde" w:eastAsia="ITC Avant Garde" w:hAnsi="ITC Avant Garde" w:cstheme="majorHAnsi"/>
        </w:rPr>
        <w:t>o</w:t>
      </w:r>
      <w:r w:rsidRPr="006625E9">
        <w:rPr>
          <w:rFonts w:ascii="ITC Avant Garde" w:eastAsia="ITC Avant Garde" w:hAnsi="ITC Avant Garde" w:cstheme="majorHAnsi"/>
        </w:rPr>
        <w:t xml:space="preserve"> </w:t>
      </w:r>
      <w:r w:rsidR="00B7300B">
        <w:rPr>
          <w:rFonts w:ascii="ITC Avant Garde" w:eastAsia="ITC Avant Garde" w:hAnsi="ITC Avant Garde" w:cstheme="majorHAnsi"/>
        </w:rPr>
        <w:t xml:space="preserve">para fortalecer </w:t>
      </w:r>
      <w:r w:rsidRPr="006625E9">
        <w:rPr>
          <w:rFonts w:ascii="ITC Avant Garde" w:eastAsia="ITC Avant Garde" w:hAnsi="ITC Avant Garde" w:cstheme="majorHAnsi"/>
        </w:rPr>
        <w:t xml:space="preserve">el </w:t>
      </w:r>
      <w:r w:rsidR="000F4925">
        <w:rPr>
          <w:rFonts w:ascii="ITC Avant Garde" w:eastAsia="ITC Avant Garde" w:hAnsi="ITC Avant Garde" w:cstheme="majorHAnsi"/>
        </w:rPr>
        <w:t xml:space="preserve">contenido del </w:t>
      </w:r>
      <w:r w:rsidRPr="006625E9">
        <w:rPr>
          <w:rFonts w:ascii="ITC Avant Garde" w:eastAsia="ITC Avant Garde" w:hAnsi="ITC Avant Garde" w:cstheme="majorHAnsi"/>
        </w:rPr>
        <w:t>proyecto</w:t>
      </w:r>
      <w:r w:rsidR="000F4925">
        <w:rPr>
          <w:rFonts w:ascii="ITC Avant Garde" w:eastAsia="ITC Avant Garde" w:hAnsi="ITC Avant Garde" w:cstheme="majorHAnsi"/>
        </w:rPr>
        <w:t>, tal que</w:t>
      </w:r>
      <w:r w:rsidRPr="006625E9">
        <w:rPr>
          <w:rFonts w:ascii="ITC Avant Garde" w:eastAsia="ITC Avant Garde" w:hAnsi="ITC Avant Garde" w:cstheme="majorHAnsi"/>
        </w:rPr>
        <w:t xml:space="preserve"> permita el desarrollo del sector o del mercado de una manera más acertada. </w:t>
      </w:r>
    </w:p>
    <w:p w14:paraId="54C6A9B9" w14:textId="77777777" w:rsidR="00A20C3F" w:rsidRPr="00072FE9" w:rsidRDefault="00A20C3F" w:rsidP="00A20C3F">
      <w:pPr>
        <w:spacing w:after="0"/>
        <w:ind w:left="142" w:right="425"/>
        <w:jc w:val="both"/>
        <w:rPr>
          <w:rFonts w:ascii="ITC Avant Garde" w:eastAsia="Times New Roman" w:hAnsi="ITC Avant Garde"/>
        </w:rPr>
      </w:pPr>
      <w:r>
        <w:rPr>
          <w:rFonts w:ascii="ITC Avant Garde" w:eastAsia="Times New Roman" w:hAnsi="ITC Avant Garde"/>
          <w:bCs/>
        </w:rPr>
        <w:lastRenderedPageBreak/>
        <w:t>E</w:t>
      </w:r>
      <w:r w:rsidRPr="00072FE9">
        <w:rPr>
          <w:rFonts w:ascii="ITC Avant Garde" w:eastAsia="Times New Roman" w:hAnsi="ITC Avant Garde"/>
          <w:bCs/>
        </w:rPr>
        <w:t xml:space="preserve">llo sin perder de vista que ante la diversidad de intereses comerciales prevalecientes en la industria es el órgano regulador quien en última instancia está encargado de determinar las condiciones </w:t>
      </w:r>
      <w:r>
        <w:rPr>
          <w:rFonts w:ascii="ITC Avant Garde" w:eastAsia="Times New Roman" w:hAnsi="ITC Avant Garde"/>
          <w:bCs/>
        </w:rPr>
        <w:t>a incluir en los lineamientos,</w:t>
      </w:r>
      <w:r w:rsidRPr="00072FE9">
        <w:rPr>
          <w:rFonts w:ascii="ITC Avant Garde" w:eastAsia="Times New Roman" w:hAnsi="ITC Avant Garde"/>
          <w:bCs/>
        </w:rPr>
        <w:t xml:space="preserve"> evitando que se afecte la competencia y la libre concurrencia</w:t>
      </w:r>
      <w:r>
        <w:rPr>
          <w:rFonts w:ascii="ITC Avant Garde" w:eastAsia="Times New Roman" w:hAnsi="ITC Avant Garde"/>
          <w:bCs/>
        </w:rPr>
        <w:t>. E</w:t>
      </w:r>
      <w:r w:rsidRPr="00072FE9">
        <w:rPr>
          <w:rFonts w:ascii="ITC Avant Garde" w:hAnsi="ITC Avant Garde" w:cs="Arial"/>
          <w:bCs/>
        </w:rPr>
        <w:t>n ese sentido es conveniente señal</w:t>
      </w:r>
      <w:r>
        <w:rPr>
          <w:rFonts w:ascii="ITC Avant Garde" w:hAnsi="ITC Avant Garde" w:cs="Arial"/>
          <w:bCs/>
        </w:rPr>
        <w:t>ar que el artículo 51 de la LFT</w:t>
      </w:r>
      <w:r w:rsidRPr="00072FE9">
        <w:rPr>
          <w:rFonts w:ascii="ITC Avant Garde" w:hAnsi="ITC Avant Garde" w:cs="Arial"/>
          <w:bCs/>
        </w:rPr>
        <w:t xml:space="preserve">R establece la posibilidad de que el Instituto lleve a cabo consultas públicas </w:t>
      </w:r>
      <w:r>
        <w:rPr>
          <w:rFonts w:ascii="ITC Avant Garde" w:hAnsi="ITC Avant Garde" w:cs="Arial"/>
          <w:bCs/>
        </w:rPr>
        <w:t>para la emisión y modificación de reglas, lineamientos o disposiciones administrativas de carácter general</w:t>
      </w:r>
      <w:r w:rsidRPr="00072FE9">
        <w:rPr>
          <w:rFonts w:ascii="ITC Avant Garde" w:hAnsi="ITC Avant Garde" w:cs="Arial"/>
          <w:bCs/>
        </w:rPr>
        <w:t xml:space="preserve">, </w:t>
      </w:r>
      <w:r>
        <w:rPr>
          <w:rFonts w:ascii="ITC Avant Garde" w:hAnsi="ITC Avant Garde" w:cs="Arial"/>
          <w:bCs/>
        </w:rPr>
        <w:t xml:space="preserve">las cuales </w:t>
      </w:r>
      <w:r w:rsidRPr="00072FE9">
        <w:rPr>
          <w:rFonts w:ascii="ITC Avant Garde" w:hAnsi="ITC Avant Garde" w:cs="Arial"/>
          <w:bCs/>
        </w:rPr>
        <w:t>se realizarán bajo los principios de transparencia y participación ciudadana en los términos que determine el Pleno.</w:t>
      </w:r>
    </w:p>
    <w:p w14:paraId="6469F62C" w14:textId="77777777" w:rsidR="00A20C3F" w:rsidRPr="00944536" w:rsidRDefault="00A20C3F" w:rsidP="00A20C3F">
      <w:pPr>
        <w:spacing w:after="0"/>
        <w:ind w:left="142" w:right="425"/>
        <w:jc w:val="both"/>
        <w:rPr>
          <w:rFonts w:ascii="ITC Avant Garde" w:eastAsia="Times New Roman" w:hAnsi="ITC Avant Garde"/>
        </w:rPr>
      </w:pPr>
    </w:p>
    <w:p w14:paraId="5015D944" w14:textId="359749B7" w:rsidR="00A20C3F" w:rsidRPr="00072FE9" w:rsidRDefault="00A20C3F" w:rsidP="00A20C3F">
      <w:pPr>
        <w:spacing w:after="0"/>
        <w:ind w:left="142" w:right="425"/>
        <w:jc w:val="both"/>
        <w:rPr>
          <w:rFonts w:ascii="ITC Avant Garde" w:eastAsia="Times New Roman" w:hAnsi="ITC Avant Garde"/>
        </w:rPr>
      </w:pPr>
      <w:r w:rsidRPr="00072FE9">
        <w:rPr>
          <w:rFonts w:ascii="ITC Avant Garde" w:eastAsia="Times New Roman" w:hAnsi="ITC Avant Garde"/>
        </w:rPr>
        <w:t xml:space="preserve">Conforme a lo expuesto, se considera que </w:t>
      </w:r>
      <w:r w:rsidR="00665650">
        <w:rPr>
          <w:rFonts w:ascii="ITC Avant Garde" w:eastAsia="Times New Roman" w:hAnsi="ITC Avant Garde"/>
        </w:rPr>
        <w:t xml:space="preserve">el Anteproyecto de Lineamientos </w:t>
      </w:r>
      <w:r w:rsidRPr="00072FE9">
        <w:rPr>
          <w:rFonts w:ascii="ITC Avant Garde" w:eastAsia="Times New Roman" w:hAnsi="ITC Avant Garde"/>
        </w:rPr>
        <w:t xml:space="preserve">debe estar sujetos a un proceso de consulta pública por un periodo de 30 (treinta) días hábiles </w:t>
      </w:r>
      <w:r w:rsidRPr="0003799D">
        <w:rPr>
          <w:rFonts w:ascii="ITC Avant Garde" w:hAnsi="ITC Avant Garde" w:cs="Arial"/>
          <w:bCs/>
        </w:rPr>
        <w:t>contados a partir del día hábil siguiente al de su publicación en el portal de Internet del Instituto</w:t>
      </w:r>
      <w:r>
        <w:rPr>
          <w:rFonts w:ascii="ITC Avant Garde" w:hAnsi="ITC Avant Garde" w:cs="Arial"/>
          <w:bCs/>
        </w:rPr>
        <w:t>,</w:t>
      </w:r>
      <w:r w:rsidRPr="00072FE9">
        <w:rPr>
          <w:rFonts w:ascii="ITC Avant Garde" w:eastAsia="Times New Roman" w:hAnsi="ITC Avant Garde"/>
        </w:rPr>
        <w:t xml:space="preserve"> </w:t>
      </w:r>
      <w:r w:rsidR="000F4925">
        <w:rPr>
          <w:rFonts w:ascii="ITC Avant Garde" w:eastAsia="Times New Roman" w:hAnsi="ITC Avant Garde"/>
        </w:rPr>
        <w:t>con el objeto de</w:t>
      </w:r>
      <w:r w:rsidR="000F4925" w:rsidRPr="00072FE9">
        <w:rPr>
          <w:rFonts w:ascii="ITC Avant Garde" w:eastAsia="Times New Roman" w:hAnsi="ITC Avant Garde"/>
        </w:rPr>
        <w:t xml:space="preserve"> </w:t>
      </w:r>
      <w:r w:rsidRPr="00072FE9">
        <w:rPr>
          <w:rFonts w:ascii="ITC Avant Garde" w:eastAsia="Times New Roman" w:hAnsi="ITC Avant Garde"/>
        </w:rPr>
        <w:t xml:space="preserve">favorecer la transparencia y participación ciudadana </w:t>
      </w:r>
      <w:r w:rsidR="000F4925">
        <w:rPr>
          <w:rFonts w:ascii="ITC Avant Garde" w:eastAsia="Times New Roman" w:hAnsi="ITC Avant Garde"/>
        </w:rPr>
        <w:t xml:space="preserve">al permitir </w:t>
      </w:r>
      <w:r w:rsidRPr="00072FE9">
        <w:rPr>
          <w:rFonts w:ascii="ITC Avant Garde" w:eastAsia="Times New Roman" w:hAnsi="ITC Avant Garde"/>
        </w:rPr>
        <w:t>recibir los comentarios y opiniones de la industria, académicos, analistas y sociedad en general para llevar a cabo el despliegue de infraestructura, a efecto de dar cabal cumplimiento a lo establecido en el dispositivo legal señalado.</w:t>
      </w:r>
    </w:p>
    <w:p w14:paraId="713CD307" w14:textId="77777777" w:rsidR="00A20C3F" w:rsidRPr="00944536" w:rsidRDefault="00A20C3F" w:rsidP="00A20C3F">
      <w:pPr>
        <w:spacing w:after="0"/>
        <w:ind w:left="142" w:right="425"/>
        <w:jc w:val="both"/>
        <w:rPr>
          <w:rFonts w:ascii="ITC Avant Garde" w:eastAsia="Times New Roman" w:hAnsi="ITC Avant Garde"/>
        </w:rPr>
      </w:pPr>
    </w:p>
    <w:p w14:paraId="45789EC4" w14:textId="2BC1F691" w:rsidR="00A20C3F" w:rsidRPr="00072FE9" w:rsidRDefault="00A20C3F" w:rsidP="00A20C3F">
      <w:pPr>
        <w:spacing w:after="0"/>
        <w:ind w:left="142" w:right="425"/>
        <w:jc w:val="both"/>
        <w:rPr>
          <w:rFonts w:ascii="ITC Avant Garde" w:eastAsia="Times New Roman" w:hAnsi="ITC Avant Garde"/>
        </w:rPr>
      </w:pPr>
      <w:r w:rsidRPr="00072FE9">
        <w:rPr>
          <w:rFonts w:ascii="ITC Avant Garde" w:eastAsia="Times New Roman" w:hAnsi="ITC Avant Garde"/>
        </w:rPr>
        <w:t xml:space="preserve">Por lo anterior, con fundamento en lo dispuesto en los artículos 28, párrafos </w:t>
      </w:r>
      <w:r w:rsidRPr="007254C7">
        <w:rPr>
          <w:rFonts w:ascii="ITC Avant Garde" w:eastAsia="Times New Roman" w:hAnsi="ITC Avant Garde"/>
        </w:rPr>
        <w:t>décimo quinto y décimo sexto</w:t>
      </w:r>
      <w:r w:rsidRPr="00072FE9">
        <w:rPr>
          <w:rFonts w:ascii="ITC Avant Garde" w:eastAsia="Times New Roman" w:hAnsi="ITC Avant Garde"/>
        </w:rPr>
        <w:t xml:space="preserve"> de la Constitución Política de los Estados Unidos Mexicanos; 1, 2, 7, 15 fracciones</w:t>
      </w:r>
      <w:r w:rsidR="00665650">
        <w:rPr>
          <w:rFonts w:ascii="ITC Avant Garde" w:eastAsia="Times New Roman" w:hAnsi="ITC Avant Garde"/>
        </w:rPr>
        <w:t xml:space="preserve"> I, XI,</w:t>
      </w:r>
      <w:r w:rsidRPr="00072FE9">
        <w:rPr>
          <w:rFonts w:ascii="ITC Avant Garde" w:eastAsia="Times New Roman" w:hAnsi="ITC Avant Garde"/>
        </w:rPr>
        <w:t xml:space="preserve"> XL y LXIII</w:t>
      </w:r>
      <w:r w:rsidR="00665650">
        <w:rPr>
          <w:rFonts w:ascii="ITC Avant Garde" w:eastAsia="Times New Roman" w:hAnsi="ITC Avant Garde"/>
        </w:rPr>
        <w:t>,</w:t>
      </w:r>
      <w:r w:rsidRPr="00072FE9">
        <w:rPr>
          <w:rFonts w:ascii="ITC Avant Garde" w:eastAsia="Times New Roman" w:hAnsi="ITC Avant Garde"/>
        </w:rPr>
        <w:t xml:space="preserve"> </w:t>
      </w:r>
      <w:r w:rsidR="00665650" w:rsidRPr="00665650">
        <w:rPr>
          <w:rFonts w:ascii="ITC Avant Garde" w:eastAsia="Times New Roman" w:hAnsi="ITC Avant Garde"/>
        </w:rPr>
        <w:t>17 fracción I,</w:t>
      </w:r>
      <w:r w:rsidR="00665650" w:rsidRPr="00072FE9">
        <w:rPr>
          <w:rFonts w:ascii="ITC Avant Garde" w:eastAsia="Times New Roman" w:hAnsi="ITC Avant Garde"/>
        </w:rPr>
        <w:t xml:space="preserve"> </w:t>
      </w:r>
      <w:r w:rsidRPr="00072FE9">
        <w:rPr>
          <w:rFonts w:ascii="ITC Avant Garde" w:eastAsia="Times New Roman" w:hAnsi="ITC Avant Garde"/>
        </w:rPr>
        <w:t>51</w:t>
      </w:r>
      <w:r w:rsidR="00665650" w:rsidRPr="00665650">
        <w:rPr>
          <w:rFonts w:ascii="ITC Avant Garde" w:eastAsia="Times New Roman" w:hAnsi="ITC Avant Garde"/>
        </w:rPr>
        <w:t xml:space="preserve">, 147, 148, 149, 176,181, 182, 183, 184, 185, 186, 187, y 188 </w:t>
      </w:r>
      <w:r w:rsidRPr="00072FE9">
        <w:rPr>
          <w:rFonts w:ascii="ITC Avant Garde" w:eastAsia="Times New Roman" w:hAnsi="ITC Avant Garde"/>
        </w:rPr>
        <w:t xml:space="preserve">de la Ley Federal de Telecomunicaciones y Radiodifusión, y 1 y 4, fracción </w:t>
      </w:r>
      <w:r>
        <w:rPr>
          <w:rFonts w:ascii="ITC Avant Garde" w:eastAsia="Times New Roman" w:hAnsi="ITC Avant Garde"/>
        </w:rPr>
        <w:t>I</w:t>
      </w:r>
      <w:r w:rsidRPr="00072FE9">
        <w:rPr>
          <w:rFonts w:ascii="ITC Avant Garde" w:eastAsia="Times New Roman" w:hAnsi="ITC Avant Garde"/>
        </w:rPr>
        <w:t xml:space="preserve"> y 6 fracción XXXVII</w:t>
      </w:r>
      <w:r>
        <w:rPr>
          <w:rFonts w:ascii="ITC Avant Garde" w:eastAsia="Times New Roman" w:hAnsi="ITC Avant Garde"/>
        </w:rPr>
        <w:t>I</w:t>
      </w:r>
      <w:r w:rsidRPr="00072FE9">
        <w:rPr>
          <w:rFonts w:ascii="ITC Avant Garde" w:eastAsia="Times New Roman" w:hAnsi="ITC Avant Garde"/>
        </w:rPr>
        <w:t xml:space="preserve"> del Estatuto Orgánico del Instituto Federal de </w:t>
      </w:r>
      <w:r>
        <w:rPr>
          <w:rFonts w:ascii="ITC Avant Garde" w:eastAsia="Times New Roman" w:hAnsi="ITC Avant Garde"/>
        </w:rPr>
        <w:t>Telecomunicaciones, se expide el</w:t>
      </w:r>
      <w:r w:rsidRPr="00072FE9">
        <w:rPr>
          <w:rFonts w:ascii="ITC Avant Garde" w:eastAsia="Times New Roman" w:hAnsi="ITC Avant Garde"/>
        </w:rPr>
        <w:t xml:space="preserve"> siguiente:</w:t>
      </w:r>
    </w:p>
    <w:p w14:paraId="32CE9078" w14:textId="77777777" w:rsidR="00674165" w:rsidRDefault="00674165" w:rsidP="00A20C3F">
      <w:pPr>
        <w:spacing w:after="0"/>
        <w:ind w:left="142" w:right="425"/>
        <w:jc w:val="center"/>
        <w:rPr>
          <w:rFonts w:ascii="ITC Avant Garde" w:hAnsi="ITC Avant Garde" w:cs="Arial"/>
          <w:b/>
          <w:bCs/>
        </w:rPr>
      </w:pPr>
    </w:p>
    <w:p w14:paraId="636970BC" w14:textId="77777777" w:rsidR="00674165" w:rsidRDefault="00674165" w:rsidP="00A20C3F">
      <w:pPr>
        <w:spacing w:after="0"/>
        <w:ind w:left="142" w:right="425"/>
        <w:jc w:val="center"/>
        <w:rPr>
          <w:rFonts w:ascii="ITC Avant Garde" w:hAnsi="ITC Avant Garde" w:cs="Arial"/>
          <w:b/>
          <w:bCs/>
        </w:rPr>
      </w:pPr>
    </w:p>
    <w:p w14:paraId="6B31A772" w14:textId="5F5EAC31" w:rsidR="00A20C3F" w:rsidRDefault="00A20C3F" w:rsidP="00A20C3F">
      <w:pPr>
        <w:spacing w:after="0"/>
        <w:ind w:left="142" w:right="425"/>
        <w:jc w:val="center"/>
        <w:rPr>
          <w:rFonts w:ascii="ITC Avant Garde" w:hAnsi="ITC Avant Garde" w:cs="Arial"/>
          <w:b/>
          <w:bCs/>
        </w:rPr>
      </w:pPr>
      <w:r w:rsidRPr="00072FE9">
        <w:rPr>
          <w:rFonts w:ascii="ITC Avant Garde" w:hAnsi="ITC Avant Garde" w:cs="Arial"/>
          <w:b/>
          <w:bCs/>
        </w:rPr>
        <w:t>ACUERDO</w:t>
      </w:r>
    </w:p>
    <w:p w14:paraId="4E00B68E" w14:textId="77777777" w:rsidR="00944536" w:rsidRPr="00072FE9" w:rsidRDefault="00944536" w:rsidP="00A20C3F">
      <w:pPr>
        <w:spacing w:after="0"/>
        <w:ind w:left="142" w:right="425"/>
        <w:jc w:val="center"/>
        <w:rPr>
          <w:rFonts w:ascii="ITC Avant Garde" w:hAnsi="ITC Avant Garde" w:cs="Arial"/>
          <w:b/>
          <w:bCs/>
        </w:rPr>
      </w:pPr>
    </w:p>
    <w:p w14:paraId="6AF1A783" w14:textId="77777777" w:rsidR="00A20C3F" w:rsidRDefault="00A20C3F" w:rsidP="00A20C3F">
      <w:pPr>
        <w:spacing w:after="0"/>
        <w:ind w:left="142" w:right="425"/>
        <w:jc w:val="both"/>
        <w:rPr>
          <w:rFonts w:ascii="ITC Avant Garde" w:hAnsi="ITC Avant Garde" w:cs="Arial"/>
          <w:b/>
          <w:bCs/>
        </w:rPr>
      </w:pPr>
    </w:p>
    <w:p w14:paraId="53B44A65" w14:textId="6DD106E5" w:rsidR="00A20C3F" w:rsidRPr="00072FE9" w:rsidRDefault="00D83071" w:rsidP="00A20C3F">
      <w:pPr>
        <w:spacing w:after="0"/>
        <w:ind w:left="142" w:right="425"/>
        <w:jc w:val="both"/>
        <w:rPr>
          <w:rFonts w:ascii="ITC Avant Garde" w:hAnsi="ITC Avant Garde" w:cs="Arial"/>
          <w:bCs/>
        </w:rPr>
      </w:pPr>
      <w:r w:rsidRPr="00072FE9">
        <w:rPr>
          <w:rFonts w:ascii="ITC Avant Garde" w:hAnsi="ITC Avant Garde" w:cs="Arial"/>
          <w:b/>
          <w:bCs/>
        </w:rPr>
        <w:t>PRIMERO</w:t>
      </w:r>
      <w:r w:rsidRPr="00072FE9">
        <w:rPr>
          <w:rFonts w:ascii="ITC Avant Garde" w:hAnsi="ITC Avant Garde" w:cs="Arial"/>
          <w:bCs/>
        </w:rPr>
        <w:t>. -</w:t>
      </w:r>
      <w:r w:rsidR="00A20C3F" w:rsidRPr="00072FE9">
        <w:rPr>
          <w:rFonts w:ascii="ITC Avant Garde" w:hAnsi="ITC Avant Garde" w:cs="Arial"/>
          <w:bCs/>
        </w:rPr>
        <w:t xml:space="preserve"> Se </w:t>
      </w:r>
      <w:r w:rsidR="00A20C3F">
        <w:rPr>
          <w:rFonts w:ascii="ITC Avant Garde" w:hAnsi="ITC Avant Garde" w:cs="Arial"/>
          <w:bCs/>
        </w:rPr>
        <w:t>determina someter</w:t>
      </w:r>
      <w:r w:rsidR="00A20C3F" w:rsidRPr="00072FE9">
        <w:rPr>
          <w:rFonts w:ascii="ITC Avant Garde" w:hAnsi="ITC Avant Garde" w:cs="Arial"/>
          <w:bCs/>
        </w:rPr>
        <w:t xml:space="preserve"> a consulta pública, por un plazo de 30 (treinta) días hábiles contados a partir </w:t>
      </w:r>
      <w:r w:rsidR="00A20C3F" w:rsidRPr="0003799D">
        <w:rPr>
          <w:rFonts w:ascii="ITC Avant Garde" w:hAnsi="ITC Avant Garde" w:cs="Arial"/>
          <w:bCs/>
        </w:rPr>
        <w:t>del día hábil siguiente</w:t>
      </w:r>
      <w:r w:rsidR="00A20C3F" w:rsidRPr="00072FE9">
        <w:rPr>
          <w:rFonts w:ascii="ITC Avant Garde" w:hAnsi="ITC Avant Garde" w:cs="Arial"/>
          <w:bCs/>
        </w:rPr>
        <w:t xml:space="preserve"> </w:t>
      </w:r>
      <w:r w:rsidR="00A20C3F">
        <w:rPr>
          <w:rFonts w:ascii="ITC Avant Garde" w:hAnsi="ITC Avant Garde" w:cs="Arial"/>
          <w:bCs/>
        </w:rPr>
        <w:t xml:space="preserve">al </w:t>
      </w:r>
      <w:r w:rsidR="00A20C3F" w:rsidRPr="00072FE9">
        <w:rPr>
          <w:rFonts w:ascii="ITC Avant Garde" w:hAnsi="ITC Avant Garde" w:cs="Arial"/>
          <w:bCs/>
        </w:rPr>
        <w:t xml:space="preserve">de su publicación en el portal de Internet del Instituto Federal de Telecomunicaciones, el </w:t>
      </w:r>
      <w:r w:rsidR="00665650" w:rsidRPr="00665650">
        <w:rPr>
          <w:rFonts w:ascii="ITC Avant Garde" w:hAnsi="ITC Avant Garde" w:cs="Arial"/>
          <w:bCs/>
        </w:rPr>
        <w:t>Anteproyecto de Lineamientos para la entrega, inscripción y consulta de información para la conformación del Sistema Nacional de Información de Infraestructura</w:t>
      </w:r>
      <w:r w:rsidR="00A20C3F" w:rsidRPr="00072FE9">
        <w:rPr>
          <w:rFonts w:ascii="ITC Avant Garde" w:hAnsi="ITC Avant Garde" w:cs="Arial"/>
          <w:bCs/>
        </w:rPr>
        <w:t xml:space="preserve">.  </w:t>
      </w:r>
    </w:p>
    <w:p w14:paraId="4696DDA2" w14:textId="77777777" w:rsidR="00A20C3F" w:rsidRDefault="00A20C3F" w:rsidP="00A20C3F">
      <w:pPr>
        <w:spacing w:after="0"/>
        <w:ind w:left="142" w:right="425"/>
        <w:jc w:val="both"/>
        <w:rPr>
          <w:rFonts w:ascii="ITC Avant Garde" w:hAnsi="ITC Avant Garde" w:cs="Arial"/>
          <w:b/>
          <w:bCs/>
        </w:rPr>
      </w:pPr>
    </w:p>
    <w:p w14:paraId="24C15AA2" w14:textId="2868448B" w:rsidR="00A20C3F" w:rsidRDefault="00D83071" w:rsidP="00A20C3F">
      <w:pPr>
        <w:spacing w:after="0"/>
        <w:ind w:left="142" w:right="425"/>
        <w:jc w:val="both"/>
        <w:rPr>
          <w:rFonts w:ascii="ITC Avant Garde" w:hAnsi="ITC Avant Garde" w:cs="Arial"/>
          <w:bCs/>
        </w:rPr>
      </w:pPr>
      <w:r w:rsidRPr="00072FE9">
        <w:rPr>
          <w:rFonts w:ascii="ITC Avant Garde" w:hAnsi="ITC Avant Garde" w:cs="Arial"/>
          <w:b/>
          <w:bCs/>
        </w:rPr>
        <w:t>SEGUNDO</w:t>
      </w:r>
      <w:r w:rsidRPr="00072FE9">
        <w:rPr>
          <w:rFonts w:ascii="ITC Avant Garde" w:hAnsi="ITC Avant Garde" w:cs="Arial"/>
          <w:bCs/>
        </w:rPr>
        <w:t>. -</w:t>
      </w:r>
      <w:r w:rsidR="00A20C3F" w:rsidRPr="00072FE9">
        <w:rPr>
          <w:rFonts w:ascii="ITC Avant Garde" w:hAnsi="ITC Avant Garde" w:cs="Arial"/>
          <w:bCs/>
        </w:rPr>
        <w:t xml:space="preserve"> Se instruye a la Unidad de Política Regulatoria</w:t>
      </w:r>
      <w:r w:rsidR="00A20C3F">
        <w:rPr>
          <w:rFonts w:ascii="ITC Avant Garde" w:hAnsi="ITC Avant Garde" w:cs="Arial"/>
          <w:bCs/>
        </w:rPr>
        <w:t>, a través de la Dirección General de Compartición de Infraestructura,</w:t>
      </w:r>
      <w:r w:rsidR="00A20C3F" w:rsidRPr="00072FE9">
        <w:rPr>
          <w:rFonts w:ascii="ITC Avant Garde" w:hAnsi="ITC Avant Garde" w:cs="Arial"/>
          <w:bCs/>
        </w:rPr>
        <w:t xml:space="preserve"> a recibir y dar la atención que corresponda a las opiniones que sean vertidas en virtud de la consulta pública materia del presente Acuerdo.</w:t>
      </w:r>
    </w:p>
    <w:p w14:paraId="28BEB6F8" w14:textId="77777777" w:rsidR="00A20C3F" w:rsidRDefault="00A20C3F" w:rsidP="00A20C3F">
      <w:pPr>
        <w:spacing w:after="0"/>
        <w:ind w:left="142" w:right="425"/>
        <w:jc w:val="both"/>
        <w:rPr>
          <w:rFonts w:ascii="ITC Avant Garde" w:hAnsi="ITC Avant Garde" w:cs="Arial"/>
          <w:bCs/>
        </w:rPr>
      </w:pPr>
    </w:p>
    <w:p w14:paraId="377E11D3" w14:textId="5DE8EDAD" w:rsidR="00A20C3F" w:rsidRDefault="00D83071" w:rsidP="00A20C3F">
      <w:pPr>
        <w:spacing w:after="0"/>
        <w:ind w:left="142" w:right="425"/>
        <w:jc w:val="both"/>
        <w:rPr>
          <w:rFonts w:ascii="ITC Avant Garde" w:hAnsi="ITC Avant Garde" w:cs="Arial"/>
          <w:bCs/>
        </w:rPr>
      </w:pPr>
      <w:r w:rsidRPr="00072FE9">
        <w:rPr>
          <w:rFonts w:ascii="ITC Avant Garde" w:hAnsi="ITC Avant Garde" w:cs="Arial"/>
          <w:b/>
          <w:bCs/>
        </w:rPr>
        <w:lastRenderedPageBreak/>
        <w:t>TERCERO</w:t>
      </w:r>
      <w:r w:rsidRPr="00072FE9">
        <w:rPr>
          <w:rFonts w:ascii="ITC Avant Garde" w:hAnsi="ITC Avant Garde" w:cs="Arial"/>
          <w:bCs/>
        </w:rPr>
        <w:t>. -</w:t>
      </w:r>
      <w:r w:rsidR="00A20C3F" w:rsidRPr="00072FE9">
        <w:rPr>
          <w:rFonts w:ascii="ITC Avant Garde" w:hAnsi="ITC Avant Garde" w:cs="Arial"/>
          <w:bCs/>
        </w:rPr>
        <w:t xml:space="preserve"> Publíquese </w:t>
      </w:r>
      <w:r w:rsidR="00A20C3F">
        <w:rPr>
          <w:rFonts w:ascii="ITC Avant Garde" w:hAnsi="ITC Avant Garde" w:cs="Arial"/>
          <w:bCs/>
        </w:rPr>
        <w:t xml:space="preserve">el presente Acuerdo y </w:t>
      </w:r>
      <w:r w:rsidR="00A20C3F" w:rsidRPr="00072FE9">
        <w:rPr>
          <w:rFonts w:ascii="ITC Avant Garde" w:hAnsi="ITC Avant Garde" w:cs="Arial"/>
          <w:bCs/>
        </w:rPr>
        <w:t xml:space="preserve">el </w:t>
      </w:r>
      <w:r w:rsidR="00665650" w:rsidRPr="00665650">
        <w:rPr>
          <w:rFonts w:ascii="ITC Avant Garde" w:hAnsi="ITC Avant Garde" w:cs="Arial"/>
          <w:bCs/>
        </w:rPr>
        <w:t>Anteproyecto de Lineamientos para la entrega, inscripción y consulta de información para la conformación del Sistema Nacional de Información de Infraestructura</w:t>
      </w:r>
      <w:r w:rsidR="00A20C3F">
        <w:rPr>
          <w:rFonts w:ascii="ITC Avant Garde" w:hAnsi="ITC Avant Garde" w:cs="Arial"/>
          <w:bCs/>
        </w:rPr>
        <w:t xml:space="preserve"> </w:t>
      </w:r>
      <w:r w:rsidR="00A20C3F" w:rsidRPr="00072FE9">
        <w:rPr>
          <w:rFonts w:ascii="ITC Avant Garde" w:hAnsi="ITC Avant Garde" w:cs="Arial"/>
          <w:bCs/>
        </w:rPr>
        <w:t>en el portal de Internet del Instituto Federal de Telecomunicaciones.</w:t>
      </w:r>
    </w:p>
    <w:p w14:paraId="7A7E9B4C" w14:textId="1DD18072" w:rsidR="00A20C3F" w:rsidRDefault="00A20C3F" w:rsidP="00A20C3F">
      <w:pPr>
        <w:spacing w:after="0"/>
        <w:ind w:left="142" w:right="425"/>
        <w:jc w:val="both"/>
        <w:rPr>
          <w:rFonts w:ascii="ITC Avant Garde" w:hAnsi="ITC Avant Garde" w:cs="Arial"/>
          <w:bCs/>
        </w:rPr>
      </w:pPr>
    </w:p>
    <w:p w14:paraId="0939679D" w14:textId="7CDD4DF2" w:rsidR="00944536" w:rsidRDefault="00944536" w:rsidP="00A20C3F">
      <w:pPr>
        <w:spacing w:after="0"/>
        <w:ind w:left="142" w:right="425"/>
        <w:jc w:val="both"/>
        <w:rPr>
          <w:rFonts w:ascii="ITC Avant Garde" w:hAnsi="ITC Avant Garde" w:cs="Arial"/>
          <w:bCs/>
        </w:rPr>
      </w:pPr>
    </w:p>
    <w:p w14:paraId="510447D5" w14:textId="70F1F339" w:rsidR="00944536" w:rsidRDefault="00944536" w:rsidP="00A20C3F">
      <w:pPr>
        <w:spacing w:after="0"/>
        <w:ind w:left="142" w:right="425"/>
        <w:jc w:val="both"/>
        <w:rPr>
          <w:rFonts w:ascii="ITC Avant Garde" w:hAnsi="ITC Avant Garde" w:cs="Arial"/>
          <w:bCs/>
        </w:rPr>
      </w:pPr>
    </w:p>
    <w:p w14:paraId="0D0CBCC8" w14:textId="77777777" w:rsidR="00B83E86" w:rsidRDefault="00B83E86" w:rsidP="00A20C3F">
      <w:pPr>
        <w:spacing w:after="0"/>
        <w:ind w:left="142" w:right="425"/>
        <w:jc w:val="both"/>
        <w:rPr>
          <w:rFonts w:ascii="ITC Avant Garde" w:hAnsi="ITC Avant Garde" w:cs="Arial"/>
          <w:bCs/>
        </w:rPr>
      </w:pPr>
    </w:p>
    <w:p w14:paraId="08B83B3B" w14:textId="1FE23F38" w:rsidR="00944536" w:rsidRDefault="00944536" w:rsidP="00A20C3F">
      <w:pPr>
        <w:spacing w:after="0"/>
        <w:ind w:left="142" w:right="425"/>
        <w:jc w:val="both"/>
        <w:rPr>
          <w:rFonts w:ascii="ITC Avant Garde" w:hAnsi="ITC Avant Garde" w:cs="Arial"/>
          <w:bCs/>
        </w:rPr>
      </w:pPr>
    </w:p>
    <w:p w14:paraId="45A01D53" w14:textId="43F05C13" w:rsidR="00944536" w:rsidRDefault="00944536" w:rsidP="00A20C3F">
      <w:pPr>
        <w:spacing w:after="0"/>
        <w:ind w:left="142" w:right="425"/>
        <w:jc w:val="both"/>
        <w:rPr>
          <w:rFonts w:ascii="ITC Avant Garde" w:hAnsi="ITC Avant Garde" w:cs="Arial"/>
          <w:bCs/>
        </w:rPr>
      </w:pPr>
    </w:p>
    <w:p w14:paraId="770910A7" w14:textId="4A6EF3A5" w:rsidR="00944536" w:rsidRDefault="00944536" w:rsidP="00A20C3F">
      <w:pPr>
        <w:spacing w:after="0"/>
        <w:ind w:left="142" w:right="425"/>
        <w:jc w:val="both"/>
        <w:rPr>
          <w:rFonts w:ascii="ITC Avant Garde" w:hAnsi="ITC Avant Garde" w:cs="Arial"/>
          <w:bCs/>
        </w:rPr>
      </w:pPr>
    </w:p>
    <w:p w14:paraId="1D85D4DD" w14:textId="77777777" w:rsidR="00944536" w:rsidRDefault="00944536" w:rsidP="00A20C3F">
      <w:pPr>
        <w:spacing w:after="0"/>
        <w:ind w:left="142" w:right="425"/>
        <w:jc w:val="both"/>
        <w:rPr>
          <w:rFonts w:ascii="ITC Avant Garde" w:hAnsi="ITC Avant Garde" w:cs="Arial"/>
          <w:bCs/>
        </w:rPr>
      </w:pPr>
    </w:p>
    <w:p w14:paraId="6618B608" w14:textId="77777777" w:rsidR="00A20C3F" w:rsidRDefault="00A20C3F" w:rsidP="00A20C3F">
      <w:pPr>
        <w:spacing w:after="0" w:line="240" w:lineRule="auto"/>
        <w:jc w:val="both"/>
        <w:rPr>
          <w:rFonts w:ascii="ITC Avant Garde" w:hAnsi="ITC Avant Garde" w:cs="Arial"/>
          <w:bCs/>
        </w:rPr>
      </w:pPr>
    </w:p>
    <w:p w14:paraId="3A460B3A" w14:textId="77777777" w:rsidR="00A20C3F" w:rsidRPr="00EB29B0" w:rsidRDefault="00A20C3F" w:rsidP="00A20C3F">
      <w:pPr>
        <w:spacing w:after="0" w:line="240" w:lineRule="auto"/>
        <w:jc w:val="both"/>
        <w:rPr>
          <w:rFonts w:ascii="ITC Avant Garde" w:hAnsi="ITC Avant Garde" w:cs="Arial"/>
          <w:bCs/>
        </w:rPr>
      </w:pPr>
    </w:p>
    <w:p w14:paraId="2C29862A" w14:textId="77777777" w:rsidR="00A20C3F" w:rsidRPr="00AE4545" w:rsidRDefault="00A20C3F" w:rsidP="00A20C3F">
      <w:pPr>
        <w:adjustRightInd w:val="0"/>
        <w:spacing w:after="0" w:line="240" w:lineRule="auto"/>
        <w:jc w:val="center"/>
        <w:rPr>
          <w:rFonts w:ascii="ITC Avant Garde" w:eastAsia="Times New Roman" w:hAnsi="ITC Avant Garde" w:cs="Arial"/>
          <w:b/>
          <w:bCs/>
          <w:lang w:val="es-ES" w:eastAsia="es-ES"/>
        </w:rPr>
      </w:pPr>
      <w:r w:rsidRPr="00AE4545">
        <w:rPr>
          <w:rFonts w:ascii="ITC Avant Garde" w:eastAsia="Times New Roman" w:hAnsi="ITC Avant Garde" w:cs="Arial"/>
          <w:b/>
          <w:bCs/>
          <w:lang w:val="es-ES" w:eastAsia="es-ES"/>
        </w:rPr>
        <w:t>Gabriel Oswaldo Contreras Saldívar</w:t>
      </w:r>
    </w:p>
    <w:p w14:paraId="500CC7C8" w14:textId="77777777" w:rsidR="00A20C3F" w:rsidRPr="00AE4545" w:rsidRDefault="00A20C3F" w:rsidP="00A20C3F">
      <w:pPr>
        <w:adjustRightInd w:val="0"/>
        <w:spacing w:after="0" w:line="240" w:lineRule="auto"/>
        <w:jc w:val="center"/>
        <w:rPr>
          <w:rFonts w:ascii="ITC Avant Garde" w:eastAsia="Times New Roman" w:hAnsi="ITC Avant Garde" w:cs="Arial"/>
          <w:b/>
          <w:bCs/>
          <w:lang w:val="es-ES" w:eastAsia="es-ES"/>
        </w:rPr>
      </w:pPr>
      <w:r w:rsidRPr="00AE4545">
        <w:rPr>
          <w:rFonts w:ascii="ITC Avant Garde" w:eastAsia="Times New Roman" w:hAnsi="ITC Avant Garde" w:cs="Arial"/>
          <w:b/>
          <w:bCs/>
          <w:lang w:val="es-ES" w:eastAsia="es-ES"/>
        </w:rPr>
        <w:t>Comisionado Presidente</w:t>
      </w:r>
    </w:p>
    <w:tbl>
      <w:tblPr>
        <w:tblW w:w="10250" w:type="dxa"/>
        <w:jc w:val="center"/>
        <w:tblLook w:val="04A0" w:firstRow="1" w:lastRow="0" w:firstColumn="1" w:lastColumn="0" w:noHBand="0" w:noVBand="1"/>
      </w:tblPr>
      <w:tblGrid>
        <w:gridCol w:w="5262"/>
        <w:gridCol w:w="4988"/>
      </w:tblGrid>
      <w:tr w:rsidR="00A20C3F" w:rsidRPr="00AE4545" w14:paraId="29A60107" w14:textId="77777777" w:rsidTr="00B83E86">
        <w:trPr>
          <w:trHeight w:val="1615"/>
          <w:jc w:val="center"/>
        </w:trPr>
        <w:tc>
          <w:tcPr>
            <w:tcW w:w="5262" w:type="dxa"/>
          </w:tcPr>
          <w:p w14:paraId="15592B49"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18DE4B04" w14:textId="77777777"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22F09479" w14:textId="087520DE"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107AA0BF" w14:textId="77777777" w:rsidR="00B83E86" w:rsidRPr="00AE4545" w:rsidRDefault="00B83E86" w:rsidP="00DD2ADB">
            <w:pPr>
              <w:tabs>
                <w:tab w:val="left" w:pos="993"/>
              </w:tabs>
              <w:spacing w:after="0" w:line="240" w:lineRule="auto"/>
              <w:ind w:right="-1"/>
              <w:jc w:val="both"/>
              <w:rPr>
                <w:rFonts w:ascii="ITC Avant Garde" w:eastAsia="Times New Roman" w:hAnsi="ITC Avant Garde"/>
                <w:b/>
                <w:bCs/>
                <w:lang w:eastAsia="es-MX"/>
              </w:rPr>
            </w:pPr>
          </w:p>
          <w:p w14:paraId="027CAC65"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67579E5D" w14:textId="0E3F8900" w:rsidR="00A20C3F" w:rsidRPr="00AE4545" w:rsidRDefault="00A63E14" w:rsidP="00DD2ADB">
            <w:pPr>
              <w:tabs>
                <w:tab w:val="left" w:pos="993"/>
              </w:tabs>
              <w:spacing w:after="0" w:line="240" w:lineRule="auto"/>
              <w:ind w:right="-1"/>
              <w:jc w:val="center"/>
              <w:rPr>
                <w:rFonts w:ascii="ITC Avant Garde" w:eastAsia="Times New Roman" w:hAnsi="ITC Avant Garde"/>
                <w:b/>
                <w:bCs/>
                <w:lang w:eastAsia="es-MX"/>
              </w:rPr>
            </w:pPr>
            <w:r>
              <w:rPr>
                <w:rFonts w:ascii="ITC Avant Garde" w:eastAsia="Times New Roman" w:hAnsi="ITC Avant Garde"/>
                <w:b/>
                <w:bCs/>
                <w:lang w:eastAsia="es-MX"/>
              </w:rPr>
              <w:t>M</w:t>
            </w:r>
            <w:r w:rsidR="00A20C3F" w:rsidRPr="00AE4545">
              <w:rPr>
                <w:rFonts w:ascii="ITC Avant Garde" w:eastAsia="Times New Roman" w:hAnsi="ITC Avant Garde"/>
                <w:b/>
                <w:bCs/>
                <w:lang w:eastAsia="es-MX"/>
              </w:rPr>
              <w:t>aría Elena Estavillo Flores</w:t>
            </w:r>
          </w:p>
          <w:p w14:paraId="27634D10"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 xml:space="preserve">Comisionada </w:t>
            </w:r>
          </w:p>
        </w:tc>
        <w:tc>
          <w:tcPr>
            <w:tcW w:w="4988" w:type="dxa"/>
          </w:tcPr>
          <w:p w14:paraId="618CBF57" w14:textId="049CEB1C"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12F44D6B" w14:textId="61BBA190" w:rsidR="00B83E86" w:rsidRDefault="00B83E86" w:rsidP="00DD2ADB">
            <w:pPr>
              <w:tabs>
                <w:tab w:val="left" w:pos="993"/>
              </w:tabs>
              <w:spacing w:after="0" w:line="240" w:lineRule="auto"/>
              <w:ind w:right="-1"/>
              <w:jc w:val="both"/>
              <w:rPr>
                <w:rFonts w:ascii="ITC Avant Garde" w:eastAsia="Times New Roman" w:hAnsi="ITC Avant Garde"/>
                <w:b/>
                <w:bCs/>
                <w:lang w:eastAsia="es-MX"/>
              </w:rPr>
            </w:pPr>
          </w:p>
          <w:p w14:paraId="7631F890" w14:textId="77777777" w:rsidR="00B83E86" w:rsidRPr="00AE4545" w:rsidRDefault="00B83E86" w:rsidP="00DD2ADB">
            <w:pPr>
              <w:tabs>
                <w:tab w:val="left" w:pos="993"/>
              </w:tabs>
              <w:spacing w:after="0" w:line="240" w:lineRule="auto"/>
              <w:ind w:right="-1"/>
              <w:jc w:val="both"/>
              <w:rPr>
                <w:rFonts w:ascii="ITC Avant Garde" w:eastAsia="Times New Roman" w:hAnsi="ITC Avant Garde"/>
                <w:b/>
                <w:bCs/>
                <w:lang w:eastAsia="es-MX"/>
              </w:rPr>
            </w:pPr>
          </w:p>
          <w:p w14:paraId="6F9557AD" w14:textId="77777777"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4F517757" w14:textId="77777777"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01A6BA78"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Mario Germán Fromow Rangel</w:t>
            </w:r>
          </w:p>
          <w:p w14:paraId="744C2EA2"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 xml:space="preserve">Comisionado </w:t>
            </w:r>
          </w:p>
        </w:tc>
      </w:tr>
      <w:tr w:rsidR="00A20C3F" w:rsidRPr="00AE4545" w14:paraId="62AF0AA0" w14:textId="77777777" w:rsidTr="00B83E86">
        <w:trPr>
          <w:trHeight w:val="1518"/>
          <w:jc w:val="center"/>
        </w:trPr>
        <w:tc>
          <w:tcPr>
            <w:tcW w:w="5262" w:type="dxa"/>
          </w:tcPr>
          <w:p w14:paraId="60823871"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7EBC2B27" w14:textId="5380F34F"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1502FA9D" w14:textId="77777777" w:rsidR="00B83E86" w:rsidRDefault="00B83E86" w:rsidP="00DD2ADB">
            <w:pPr>
              <w:tabs>
                <w:tab w:val="left" w:pos="993"/>
              </w:tabs>
              <w:spacing w:after="0" w:line="240" w:lineRule="auto"/>
              <w:ind w:right="-1"/>
              <w:jc w:val="both"/>
              <w:rPr>
                <w:rFonts w:ascii="ITC Avant Garde" w:eastAsia="Times New Roman" w:hAnsi="ITC Avant Garde"/>
                <w:b/>
                <w:bCs/>
                <w:lang w:eastAsia="es-MX"/>
              </w:rPr>
            </w:pPr>
          </w:p>
          <w:p w14:paraId="13D06AC9"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5951CBB4"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32009048"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Adolfo Cuevas Teja</w:t>
            </w:r>
          </w:p>
          <w:p w14:paraId="5AABF677"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Comisionado</w:t>
            </w:r>
          </w:p>
        </w:tc>
        <w:tc>
          <w:tcPr>
            <w:tcW w:w="4988" w:type="dxa"/>
          </w:tcPr>
          <w:p w14:paraId="121B2B0B"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374F097B" w14:textId="7CAB92C3"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5D2A3734" w14:textId="77777777" w:rsidR="00B83E86" w:rsidRPr="00AE4545" w:rsidRDefault="00B83E86" w:rsidP="00DD2ADB">
            <w:pPr>
              <w:tabs>
                <w:tab w:val="left" w:pos="993"/>
              </w:tabs>
              <w:spacing w:after="0" w:line="240" w:lineRule="auto"/>
              <w:ind w:right="-1"/>
              <w:jc w:val="both"/>
              <w:rPr>
                <w:rFonts w:ascii="ITC Avant Garde" w:eastAsia="Times New Roman" w:hAnsi="ITC Avant Garde"/>
                <w:b/>
                <w:bCs/>
                <w:lang w:eastAsia="es-MX"/>
              </w:rPr>
            </w:pPr>
          </w:p>
          <w:p w14:paraId="6E2B8E45" w14:textId="77777777" w:rsidR="00A20C3F" w:rsidRDefault="00A20C3F" w:rsidP="00DD2ADB">
            <w:pPr>
              <w:tabs>
                <w:tab w:val="left" w:pos="993"/>
              </w:tabs>
              <w:spacing w:after="0" w:line="240" w:lineRule="auto"/>
              <w:ind w:right="-1"/>
              <w:jc w:val="both"/>
              <w:rPr>
                <w:rFonts w:ascii="ITC Avant Garde" w:eastAsia="Times New Roman" w:hAnsi="ITC Avant Garde"/>
                <w:b/>
                <w:bCs/>
                <w:lang w:eastAsia="es-MX"/>
              </w:rPr>
            </w:pPr>
          </w:p>
          <w:p w14:paraId="013CBBFF" w14:textId="77777777" w:rsidR="00A20C3F" w:rsidRPr="00AE4545" w:rsidRDefault="00A20C3F" w:rsidP="00DD2ADB">
            <w:pPr>
              <w:tabs>
                <w:tab w:val="left" w:pos="993"/>
              </w:tabs>
              <w:spacing w:after="0" w:line="240" w:lineRule="auto"/>
              <w:ind w:right="-1"/>
              <w:jc w:val="both"/>
              <w:rPr>
                <w:rFonts w:ascii="ITC Avant Garde" w:eastAsia="Times New Roman" w:hAnsi="ITC Avant Garde"/>
                <w:b/>
                <w:bCs/>
                <w:lang w:eastAsia="es-MX"/>
              </w:rPr>
            </w:pPr>
          </w:p>
          <w:p w14:paraId="1204D140"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Javier Juárez Mojica</w:t>
            </w:r>
          </w:p>
          <w:p w14:paraId="5DDC2CC9"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Comisionado</w:t>
            </w:r>
          </w:p>
        </w:tc>
      </w:tr>
      <w:tr w:rsidR="00A20C3F" w:rsidRPr="00AE4545" w14:paraId="1FC2E489" w14:textId="77777777" w:rsidTr="00B83E86">
        <w:trPr>
          <w:trHeight w:val="1664"/>
          <w:jc w:val="center"/>
        </w:trPr>
        <w:tc>
          <w:tcPr>
            <w:tcW w:w="5262" w:type="dxa"/>
          </w:tcPr>
          <w:p w14:paraId="703777FC"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1B02F2EA" w14:textId="77777777" w:rsidR="00A20C3F"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5B2DB1EE" w14:textId="77777777" w:rsidR="00A20C3F"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030FD6C6" w14:textId="2BBB85C1" w:rsidR="00A20C3F"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54071441" w14:textId="77777777" w:rsidR="00B83E86" w:rsidRDefault="00B83E86" w:rsidP="00DD2ADB">
            <w:pPr>
              <w:tabs>
                <w:tab w:val="left" w:pos="993"/>
              </w:tabs>
              <w:spacing w:after="0" w:line="240" w:lineRule="auto"/>
              <w:ind w:right="-1"/>
              <w:jc w:val="center"/>
              <w:rPr>
                <w:rFonts w:ascii="ITC Avant Garde" w:eastAsia="Times New Roman" w:hAnsi="ITC Avant Garde"/>
                <w:b/>
                <w:bCs/>
                <w:lang w:eastAsia="es-MX"/>
              </w:rPr>
            </w:pPr>
          </w:p>
          <w:p w14:paraId="064CED5B"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 xml:space="preserve"> </w:t>
            </w:r>
            <w:r w:rsidRPr="00AE4545">
              <w:rPr>
                <w:rFonts w:ascii="ITC Avant Garde" w:eastAsia="Times New Roman" w:hAnsi="ITC Avant Garde"/>
                <w:b/>
                <w:bCs/>
                <w:lang w:val="es-ES" w:eastAsia="es-MX"/>
              </w:rPr>
              <w:t xml:space="preserve">Arturo Robles Rovalo </w:t>
            </w:r>
          </w:p>
          <w:p w14:paraId="503A6FE9"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Comisionado</w:t>
            </w:r>
          </w:p>
        </w:tc>
        <w:tc>
          <w:tcPr>
            <w:tcW w:w="4988" w:type="dxa"/>
          </w:tcPr>
          <w:p w14:paraId="6CE40BCB"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03A555E6" w14:textId="77777777" w:rsidR="00A20C3F"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78DD0270" w14:textId="1DA11AC3" w:rsidR="00A20C3F"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488C7864" w14:textId="77777777" w:rsidR="00B83E86" w:rsidRDefault="00B83E86" w:rsidP="00DD2ADB">
            <w:pPr>
              <w:tabs>
                <w:tab w:val="left" w:pos="993"/>
              </w:tabs>
              <w:spacing w:after="0" w:line="240" w:lineRule="auto"/>
              <w:ind w:right="-1"/>
              <w:jc w:val="center"/>
              <w:rPr>
                <w:rFonts w:ascii="ITC Avant Garde" w:eastAsia="Times New Roman" w:hAnsi="ITC Avant Garde"/>
                <w:b/>
                <w:bCs/>
                <w:lang w:eastAsia="es-MX"/>
              </w:rPr>
            </w:pPr>
          </w:p>
          <w:p w14:paraId="6C07F54C"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p>
          <w:p w14:paraId="085A5D8C"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Sóstenes Díaz González</w:t>
            </w:r>
          </w:p>
          <w:p w14:paraId="0DC37DEF" w14:textId="77777777" w:rsidR="00A20C3F" w:rsidRPr="00AE4545" w:rsidRDefault="00A20C3F" w:rsidP="00DD2ADB">
            <w:pPr>
              <w:tabs>
                <w:tab w:val="left" w:pos="993"/>
              </w:tabs>
              <w:spacing w:after="0" w:line="240" w:lineRule="auto"/>
              <w:ind w:right="-1"/>
              <w:jc w:val="center"/>
              <w:rPr>
                <w:rFonts w:ascii="ITC Avant Garde" w:eastAsia="Times New Roman" w:hAnsi="ITC Avant Garde"/>
                <w:b/>
                <w:bCs/>
                <w:lang w:eastAsia="es-MX"/>
              </w:rPr>
            </w:pPr>
            <w:r w:rsidRPr="00AE4545">
              <w:rPr>
                <w:rFonts w:ascii="ITC Avant Garde" w:eastAsia="Times New Roman" w:hAnsi="ITC Avant Garde"/>
                <w:b/>
                <w:bCs/>
                <w:lang w:eastAsia="es-MX"/>
              </w:rPr>
              <w:t>Comisionado</w:t>
            </w:r>
          </w:p>
        </w:tc>
      </w:tr>
    </w:tbl>
    <w:p w14:paraId="38A45191" w14:textId="2D6A4905" w:rsidR="005B399C" w:rsidRDefault="005B399C" w:rsidP="00A20C3F"/>
    <w:p w14:paraId="2A1CF678" w14:textId="77777777" w:rsidR="00B83E86" w:rsidRDefault="00B83E86" w:rsidP="00B83E86">
      <w:pPr>
        <w:pStyle w:val="Prrafodelista"/>
        <w:spacing w:after="0" w:line="240" w:lineRule="auto"/>
        <w:ind w:left="0"/>
        <w:jc w:val="both"/>
        <w:rPr>
          <w:rFonts w:ascii="ITC Avant Garde" w:hAnsi="ITC Avant Garde"/>
          <w:sz w:val="14"/>
          <w:lang w:val="es-ES"/>
        </w:rPr>
      </w:pPr>
    </w:p>
    <w:p w14:paraId="618016C9" w14:textId="5D101595" w:rsidR="00B83E86" w:rsidRPr="00A20C3F" w:rsidRDefault="00B83E86" w:rsidP="00B83E86">
      <w:pPr>
        <w:pStyle w:val="Prrafodelista"/>
        <w:spacing w:after="0" w:line="240" w:lineRule="auto"/>
        <w:ind w:left="0"/>
        <w:jc w:val="both"/>
      </w:pPr>
      <w:r w:rsidRPr="00B83E86">
        <w:rPr>
          <w:rFonts w:ascii="ITC Avant Garde" w:hAnsi="ITC Avant Garde"/>
          <w:sz w:val="14"/>
          <w:lang w:val="es-ES"/>
        </w:rPr>
        <w:t xml:space="preserve">El presente Acuerdo fue aprobado por el Pleno del Instituto Federal de Telecomunicaciones en su XXXI Sesión Ordinaria celebrada el 22 de octubre de 2018, por </w:t>
      </w:r>
      <w:r w:rsidRPr="00B83E86">
        <w:rPr>
          <w:rFonts w:ascii="ITC Avant Garde" w:hAnsi="ITC Avant Garde"/>
          <w:bCs/>
          <w:sz w:val="14"/>
          <w:lang w:val="es-ES"/>
        </w:rPr>
        <w:t>unanimidad</w:t>
      </w:r>
      <w:r w:rsidRPr="00B83E86">
        <w:rPr>
          <w:rFonts w:ascii="ITC Avant Garde" w:hAnsi="ITC Avant Garde"/>
          <w:sz w:val="14"/>
          <w:lang w:val="es-ES"/>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P/IFT/221018/641.</w:t>
      </w:r>
      <w:bookmarkStart w:id="0" w:name="_GoBack"/>
      <w:bookmarkEnd w:id="0"/>
    </w:p>
    <w:sectPr w:rsidR="00B83E86" w:rsidRPr="00A20C3F" w:rsidSect="00944536">
      <w:headerReference w:type="even" r:id="rId11"/>
      <w:headerReference w:type="default" r:id="rId12"/>
      <w:footerReference w:type="default" r:id="rId13"/>
      <w:headerReference w:type="first" r:id="rId14"/>
      <w:pgSz w:w="12240" w:h="15840"/>
      <w:pgMar w:top="1985"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EB959" w14:textId="77777777" w:rsidR="00B82361" w:rsidRDefault="00B82361" w:rsidP="005D10A5">
      <w:pPr>
        <w:spacing w:after="0" w:line="240" w:lineRule="auto"/>
      </w:pPr>
      <w:r>
        <w:separator/>
      </w:r>
    </w:p>
  </w:endnote>
  <w:endnote w:type="continuationSeparator" w:id="0">
    <w:p w14:paraId="25559B3B" w14:textId="77777777" w:rsidR="00B82361" w:rsidRDefault="00B82361" w:rsidP="005D10A5">
      <w:pPr>
        <w:spacing w:after="0" w:line="240" w:lineRule="auto"/>
      </w:pPr>
      <w:r>
        <w:continuationSeparator/>
      </w:r>
    </w:p>
  </w:endnote>
  <w:endnote w:type="continuationNotice" w:id="1">
    <w:p w14:paraId="523AB6BB" w14:textId="77777777" w:rsidR="00B82361" w:rsidRDefault="00B82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50637"/>
      <w:docPartObj>
        <w:docPartGallery w:val="Page Numbers (Bottom of Page)"/>
        <w:docPartUnique/>
      </w:docPartObj>
    </w:sdtPr>
    <w:sdtEndPr/>
    <w:sdtContent>
      <w:p w14:paraId="4064513E" w14:textId="490A15BE" w:rsidR="009D7D7A" w:rsidRDefault="009D7D7A" w:rsidP="00944536">
        <w:pPr>
          <w:pStyle w:val="Piedepgina"/>
          <w:jc w:val="right"/>
        </w:pPr>
        <w:r>
          <w:fldChar w:fldCharType="begin"/>
        </w:r>
        <w:r>
          <w:instrText>PAGE   \* MERGEFORMAT</w:instrText>
        </w:r>
        <w:r>
          <w:fldChar w:fldCharType="separate"/>
        </w:r>
        <w:r w:rsidR="00B83E86" w:rsidRPr="00B83E86">
          <w:rPr>
            <w:noProof/>
            <w:lang w:val="es-ES"/>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DEA1D" w14:textId="77777777" w:rsidR="00B82361" w:rsidRDefault="00B82361" w:rsidP="005D10A5">
      <w:pPr>
        <w:spacing w:after="0" w:line="240" w:lineRule="auto"/>
      </w:pPr>
      <w:r>
        <w:separator/>
      </w:r>
    </w:p>
  </w:footnote>
  <w:footnote w:type="continuationSeparator" w:id="0">
    <w:p w14:paraId="281B73E0" w14:textId="77777777" w:rsidR="00B82361" w:rsidRDefault="00B82361" w:rsidP="005D10A5">
      <w:pPr>
        <w:spacing w:after="0" w:line="240" w:lineRule="auto"/>
      </w:pPr>
      <w:r>
        <w:continuationSeparator/>
      </w:r>
    </w:p>
  </w:footnote>
  <w:footnote w:type="continuationNotice" w:id="1">
    <w:p w14:paraId="6CFA9D24" w14:textId="77777777" w:rsidR="00B82361" w:rsidRDefault="00B82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749D" w14:textId="77777777" w:rsidR="009D7D7A" w:rsidRDefault="00B83E86">
    <w:pPr>
      <w:pStyle w:val="Encabezado"/>
    </w:pPr>
    <w:r>
      <w:rPr>
        <w:noProof/>
        <w:lang w:eastAsia="es-MX"/>
      </w:rPr>
      <w:pict w14:anchorId="25E7F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5901" w14:textId="77777777" w:rsidR="009D7D7A" w:rsidRDefault="009D7D7A" w:rsidP="005B399C">
    <w:pPr>
      <w:pStyle w:val="Encabezado"/>
      <w:tabs>
        <w:tab w:val="clear" w:pos="4419"/>
        <w:tab w:val="clear" w:pos="8838"/>
        <w:tab w:val="left" w:pos="773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5057" w14:textId="77777777" w:rsidR="009D7D7A" w:rsidRDefault="00B83E86">
    <w:pPr>
      <w:pStyle w:val="Encabezado"/>
    </w:pPr>
    <w:r>
      <w:rPr>
        <w:noProof/>
        <w:lang w:eastAsia="es-MX"/>
      </w:rPr>
      <w:pict w14:anchorId="4FBF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4F9"/>
    <w:multiLevelType w:val="hybridMultilevel"/>
    <w:tmpl w:val="A0BA7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F61C4"/>
    <w:multiLevelType w:val="hybridMultilevel"/>
    <w:tmpl w:val="AA4482D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957DC8"/>
    <w:multiLevelType w:val="hybridMultilevel"/>
    <w:tmpl w:val="6E6EFA2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089B617A"/>
    <w:multiLevelType w:val="hybridMultilevel"/>
    <w:tmpl w:val="A790B85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0C1A6C99"/>
    <w:multiLevelType w:val="hybridMultilevel"/>
    <w:tmpl w:val="E326D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D3718A"/>
    <w:multiLevelType w:val="hybridMultilevel"/>
    <w:tmpl w:val="C52A7856"/>
    <w:lvl w:ilvl="0" w:tplc="B91033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52A71"/>
    <w:multiLevelType w:val="multilevel"/>
    <w:tmpl w:val="080A001F"/>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192A11C3"/>
    <w:multiLevelType w:val="hybridMultilevel"/>
    <w:tmpl w:val="1818C73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1B802ED9"/>
    <w:multiLevelType w:val="hybridMultilevel"/>
    <w:tmpl w:val="0DC24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C3813"/>
    <w:multiLevelType w:val="hybridMultilevel"/>
    <w:tmpl w:val="BA9C7B5A"/>
    <w:lvl w:ilvl="0" w:tplc="A2E49176">
      <w:start w:val="1"/>
      <w:numFmt w:val="decimal"/>
      <w:pStyle w:val="Nprimero"/>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0E34ECE"/>
    <w:multiLevelType w:val="hybridMultilevel"/>
    <w:tmpl w:val="39A252D2"/>
    <w:lvl w:ilvl="0" w:tplc="DAA6CFD0">
      <w:start w:val="1"/>
      <w:numFmt w:val="lowerLetter"/>
      <w:pStyle w:val="Lsegunda"/>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15:restartNumberingAfterBreak="0">
    <w:nsid w:val="23DA094A"/>
    <w:multiLevelType w:val="hybridMultilevel"/>
    <w:tmpl w:val="F82EB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95030A"/>
    <w:multiLevelType w:val="hybridMultilevel"/>
    <w:tmpl w:val="A8AC79CA"/>
    <w:lvl w:ilvl="0" w:tplc="79FACE3A">
      <w:start w:val="1"/>
      <w:numFmt w:val="upperRoman"/>
      <w:lvlText w:val="%1."/>
      <w:lvlJc w:val="right"/>
      <w:pPr>
        <w:ind w:left="1077" w:hanging="360"/>
      </w:pPr>
      <w:rPr>
        <w:i w:val="0"/>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264D1D35"/>
    <w:multiLevelType w:val="hybridMultilevel"/>
    <w:tmpl w:val="BDCEFACC"/>
    <w:lvl w:ilvl="0" w:tplc="79FACE3A">
      <w:start w:val="1"/>
      <w:numFmt w:val="upperRoman"/>
      <w:lvlText w:val="%1."/>
      <w:lvlJc w:val="right"/>
      <w:pPr>
        <w:ind w:left="1077" w:hanging="360"/>
      </w:pPr>
      <w:rPr>
        <w:i w:val="0"/>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26BC30B9"/>
    <w:multiLevelType w:val="hybridMultilevel"/>
    <w:tmpl w:val="C0AE6EE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2A5248D9"/>
    <w:multiLevelType w:val="hybridMultilevel"/>
    <w:tmpl w:val="0ABAFED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DD05D5"/>
    <w:multiLevelType w:val="hybridMultilevel"/>
    <w:tmpl w:val="D6342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711640"/>
    <w:multiLevelType w:val="hybridMultilevel"/>
    <w:tmpl w:val="9164190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33E75F56"/>
    <w:multiLevelType w:val="hybridMultilevel"/>
    <w:tmpl w:val="493AA81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9" w15:restartNumberingAfterBreak="0">
    <w:nsid w:val="35F412D5"/>
    <w:multiLevelType w:val="hybridMultilevel"/>
    <w:tmpl w:val="63BA4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40064C"/>
    <w:multiLevelType w:val="hybridMultilevel"/>
    <w:tmpl w:val="7084D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4A337D"/>
    <w:multiLevelType w:val="multilevel"/>
    <w:tmpl w:val="F1C0FDF6"/>
    <w:lvl w:ilvl="0">
      <w:start w:val="5"/>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7256CB"/>
    <w:multiLevelType w:val="hybridMultilevel"/>
    <w:tmpl w:val="E96451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845917"/>
    <w:multiLevelType w:val="hybridMultilevel"/>
    <w:tmpl w:val="46AA5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C07CDE"/>
    <w:multiLevelType w:val="hybridMultilevel"/>
    <w:tmpl w:val="EF7AE006"/>
    <w:styleLink w:val="1ai"/>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4B54BA"/>
    <w:multiLevelType w:val="hybridMultilevel"/>
    <w:tmpl w:val="649E6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A97474"/>
    <w:multiLevelType w:val="hybridMultilevel"/>
    <w:tmpl w:val="032631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AE263B"/>
    <w:multiLevelType w:val="hybridMultilevel"/>
    <w:tmpl w:val="97ECCAF6"/>
    <w:lvl w:ilvl="0" w:tplc="E822F298">
      <w:numFmt w:val="bullet"/>
      <w:lvlText w:val="•"/>
      <w:lvlJc w:val="left"/>
      <w:pPr>
        <w:ind w:left="1425" w:hanging="705"/>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98756FC"/>
    <w:multiLevelType w:val="multilevel"/>
    <w:tmpl w:val="08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9" w15:restartNumberingAfterBreak="0">
    <w:nsid w:val="5C5C10C2"/>
    <w:multiLevelType w:val="hybridMultilevel"/>
    <w:tmpl w:val="27264F9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0" w15:restartNumberingAfterBreak="0">
    <w:nsid w:val="5EB62E7F"/>
    <w:multiLevelType w:val="hybridMultilevel"/>
    <w:tmpl w:val="6E80B2D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5FDD6260"/>
    <w:multiLevelType w:val="hybridMultilevel"/>
    <w:tmpl w:val="AFE8C62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2" w15:restartNumberingAfterBreak="0">
    <w:nsid w:val="640A1B73"/>
    <w:multiLevelType w:val="hybridMultilevel"/>
    <w:tmpl w:val="82F44A96"/>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3" w15:restartNumberingAfterBreak="0">
    <w:nsid w:val="66910E11"/>
    <w:multiLevelType w:val="hybridMultilevel"/>
    <w:tmpl w:val="9DCE68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0E5CBF"/>
    <w:multiLevelType w:val="hybridMultilevel"/>
    <w:tmpl w:val="A15A6E44"/>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23B11D8"/>
    <w:multiLevelType w:val="hybridMultilevel"/>
    <w:tmpl w:val="D908A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713C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203344"/>
    <w:multiLevelType w:val="hybridMultilevel"/>
    <w:tmpl w:val="F27AFB90"/>
    <w:lvl w:ilvl="0" w:tplc="83D4C06C">
      <w:start w:val="1"/>
      <w:numFmt w:val="upperRoman"/>
      <w:pStyle w:val="Antecedentes"/>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A184323"/>
    <w:multiLevelType w:val="hybridMultilevel"/>
    <w:tmpl w:val="92AA06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BCF0123"/>
    <w:multiLevelType w:val="hybridMultilevel"/>
    <w:tmpl w:val="337470A6"/>
    <w:lvl w:ilvl="0" w:tplc="DE702A6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15:restartNumberingAfterBreak="0">
    <w:nsid w:val="7CB916FF"/>
    <w:multiLevelType w:val="hybridMultilevel"/>
    <w:tmpl w:val="DD64E2A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1" w15:restartNumberingAfterBreak="0">
    <w:nsid w:val="7CE0767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9"/>
  </w:num>
  <w:num w:numId="4">
    <w:abstractNumId w:val="10"/>
  </w:num>
  <w:num w:numId="5">
    <w:abstractNumId w:val="23"/>
  </w:num>
  <w:num w:numId="6">
    <w:abstractNumId w:val="26"/>
  </w:num>
  <w:num w:numId="7">
    <w:abstractNumId w:val="34"/>
  </w:num>
  <w:num w:numId="8">
    <w:abstractNumId w:val="20"/>
  </w:num>
  <w:num w:numId="9">
    <w:abstractNumId w:val="22"/>
  </w:num>
  <w:num w:numId="10">
    <w:abstractNumId w:val="0"/>
  </w:num>
  <w:num w:numId="11">
    <w:abstractNumId w:val="33"/>
  </w:num>
  <w:num w:numId="12">
    <w:abstractNumId w:val="16"/>
  </w:num>
  <w:num w:numId="13">
    <w:abstractNumId w:val="38"/>
  </w:num>
  <w:num w:numId="14">
    <w:abstractNumId w:val="32"/>
  </w:num>
  <w:num w:numId="15">
    <w:abstractNumId w:val="18"/>
  </w:num>
  <w:num w:numId="16">
    <w:abstractNumId w:val="30"/>
  </w:num>
  <w:num w:numId="17">
    <w:abstractNumId w:val="14"/>
  </w:num>
  <w:num w:numId="18">
    <w:abstractNumId w:val="21"/>
  </w:num>
  <w:num w:numId="19">
    <w:abstractNumId w:val="19"/>
  </w:num>
  <w:num w:numId="20">
    <w:abstractNumId w:val="2"/>
  </w:num>
  <w:num w:numId="21">
    <w:abstractNumId w:val="29"/>
  </w:num>
  <w:num w:numId="22">
    <w:abstractNumId w:val="3"/>
  </w:num>
  <w:num w:numId="23">
    <w:abstractNumId w:val="13"/>
  </w:num>
  <w:num w:numId="24">
    <w:abstractNumId w:val="1"/>
  </w:num>
  <w:num w:numId="25">
    <w:abstractNumId w:val="39"/>
  </w:num>
  <w:num w:numId="26">
    <w:abstractNumId w:val="4"/>
  </w:num>
  <w:num w:numId="27">
    <w:abstractNumId w:val="25"/>
  </w:num>
  <w:num w:numId="28">
    <w:abstractNumId w:val="8"/>
  </w:num>
  <w:num w:numId="29">
    <w:abstractNumId w:val="11"/>
  </w:num>
  <w:num w:numId="30">
    <w:abstractNumId w:val="6"/>
  </w:num>
  <w:num w:numId="31">
    <w:abstractNumId w:val="27"/>
  </w:num>
  <w:num w:numId="32">
    <w:abstractNumId w:val="7"/>
  </w:num>
  <w:num w:numId="33">
    <w:abstractNumId w:val="15"/>
  </w:num>
  <w:num w:numId="34">
    <w:abstractNumId w:val="40"/>
  </w:num>
  <w:num w:numId="35">
    <w:abstractNumId w:val="17"/>
  </w:num>
  <w:num w:numId="36">
    <w:abstractNumId w:val="31"/>
  </w:num>
  <w:num w:numId="37">
    <w:abstractNumId w:val="35"/>
  </w:num>
  <w:num w:numId="38">
    <w:abstractNumId w:val="41"/>
  </w:num>
  <w:num w:numId="39">
    <w:abstractNumId w:val="36"/>
  </w:num>
  <w:num w:numId="40">
    <w:abstractNumId w:val="28"/>
  </w:num>
  <w:num w:numId="41">
    <w:abstractNumId w:val="5"/>
  </w:num>
  <w:num w:numId="42">
    <w:abstractNumId w:val="3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A5"/>
    <w:rsid w:val="00000CAF"/>
    <w:rsid w:val="0001087B"/>
    <w:rsid w:val="000109BC"/>
    <w:rsid w:val="00010C0B"/>
    <w:rsid w:val="0001219D"/>
    <w:rsid w:val="00016161"/>
    <w:rsid w:val="000164E9"/>
    <w:rsid w:val="00016878"/>
    <w:rsid w:val="00016D22"/>
    <w:rsid w:val="00017485"/>
    <w:rsid w:val="00017D1C"/>
    <w:rsid w:val="00026AF1"/>
    <w:rsid w:val="0002739B"/>
    <w:rsid w:val="00027743"/>
    <w:rsid w:val="00033987"/>
    <w:rsid w:val="00036143"/>
    <w:rsid w:val="00043AEC"/>
    <w:rsid w:val="00044B74"/>
    <w:rsid w:val="00055BEF"/>
    <w:rsid w:val="00062989"/>
    <w:rsid w:val="0006656C"/>
    <w:rsid w:val="000711BF"/>
    <w:rsid w:val="00072766"/>
    <w:rsid w:val="00075011"/>
    <w:rsid w:val="00076248"/>
    <w:rsid w:val="000820C1"/>
    <w:rsid w:val="00093804"/>
    <w:rsid w:val="00093CEA"/>
    <w:rsid w:val="00095066"/>
    <w:rsid w:val="000A39D6"/>
    <w:rsid w:val="000A7D42"/>
    <w:rsid w:val="000B3117"/>
    <w:rsid w:val="000C37D5"/>
    <w:rsid w:val="000C62A4"/>
    <w:rsid w:val="000C6A72"/>
    <w:rsid w:val="000C6F69"/>
    <w:rsid w:val="000D412A"/>
    <w:rsid w:val="000E4ED8"/>
    <w:rsid w:val="000E583A"/>
    <w:rsid w:val="000E78B9"/>
    <w:rsid w:val="000F4925"/>
    <w:rsid w:val="000F4D2A"/>
    <w:rsid w:val="0010049A"/>
    <w:rsid w:val="001115DE"/>
    <w:rsid w:val="001162EB"/>
    <w:rsid w:val="001171E3"/>
    <w:rsid w:val="0012066F"/>
    <w:rsid w:val="00130603"/>
    <w:rsid w:val="00135FFE"/>
    <w:rsid w:val="00136A6D"/>
    <w:rsid w:val="0014338A"/>
    <w:rsid w:val="0014638B"/>
    <w:rsid w:val="00150A4C"/>
    <w:rsid w:val="001556DE"/>
    <w:rsid w:val="0016337E"/>
    <w:rsid w:val="0016435A"/>
    <w:rsid w:val="001646D8"/>
    <w:rsid w:val="00165C3C"/>
    <w:rsid w:val="00167D08"/>
    <w:rsid w:val="001735EE"/>
    <w:rsid w:val="00173CF0"/>
    <w:rsid w:val="00177E3E"/>
    <w:rsid w:val="0019371B"/>
    <w:rsid w:val="00195A72"/>
    <w:rsid w:val="00197486"/>
    <w:rsid w:val="001A658C"/>
    <w:rsid w:val="001B1EBA"/>
    <w:rsid w:val="001B2203"/>
    <w:rsid w:val="001B404E"/>
    <w:rsid w:val="001E39F4"/>
    <w:rsid w:val="001E57CF"/>
    <w:rsid w:val="001E57F8"/>
    <w:rsid w:val="001F318A"/>
    <w:rsid w:val="00201EEA"/>
    <w:rsid w:val="00206831"/>
    <w:rsid w:val="0021091B"/>
    <w:rsid w:val="00216476"/>
    <w:rsid w:val="002241F8"/>
    <w:rsid w:val="00224D46"/>
    <w:rsid w:val="00225C18"/>
    <w:rsid w:val="00231100"/>
    <w:rsid w:val="002323D3"/>
    <w:rsid w:val="002334F3"/>
    <w:rsid w:val="00233CFE"/>
    <w:rsid w:val="00234E2A"/>
    <w:rsid w:val="00235F7C"/>
    <w:rsid w:val="00236834"/>
    <w:rsid w:val="00240E00"/>
    <w:rsid w:val="0024126E"/>
    <w:rsid w:val="00243EDF"/>
    <w:rsid w:val="00244B02"/>
    <w:rsid w:val="002515CD"/>
    <w:rsid w:val="00260584"/>
    <w:rsid w:val="002642E3"/>
    <w:rsid w:val="00264463"/>
    <w:rsid w:val="002649E2"/>
    <w:rsid w:val="00271515"/>
    <w:rsid w:val="00272BB6"/>
    <w:rsid w:val="00280A6D"/>
    <w:rsid w:val="0028214D"/>
    <w:rsid w:val="0028444E"/>
    <w:rsid w:val="002865CD"/>
    <w:rsid w:val="00296981"/>
    <w:rsid w:val="002A0B58"/>
    <w:rsid w:val="002A1C0B"/>
    <w:rsid w:val="002A3888"/>
    <w:rsid w:val="002A762D"/>
    <w:rsid w:val="002B1CCC"/>
    <w:rsid w:val="002B1EA7"/>
    <w:rsid w:val="002C3D1E"/>
    <w:rsid w:val="002C4228"/>
    <w:rsid w:val="002C7040"/>
    <w:rsid w:val="002D376D"/>
    <w:rsid w:val="002D5576"/>
    <w:rsid w:val="002E6B9D"/>
    <w:rsid w:val="002E6D57"/>
    <w:rsid w:val="002F3CD9"/>
    <w:rsid w:val="002F3DB4"/>
    <w:rsid w:val="002F41E3"/>
    <w:rsid w:val="002F5A5D"/>
    <w:rsid w:val="00301B96"/>
    <w:rsid w:val="00302A70"/>
    <w:rsid w:val="00310755"/>
    <w:rsid w:val="00311799"/>
    <w:rsid w:val="003129D8"/>
    <w:rsid w:val="00314E03"/>
    <w:rsid w:val="00316CAF"/>
    <w:rsid w:val="00317A75"/>
    <w:rsid w:val="00317B24"/>
    <w:rsid w:val="003258CE"/>
    <w:rsid w:val="00326EC5"/>
    <w:rsid w:val="00327DCD"/>
    <w:rsid w:val="00333771"/>
    <w:rsid w:val="00341E82"/>
    <w:rsid w:val="0034245B"/>
    <w:rsid w:val="00344069"/>
    <w:rsid w:val="003507D2"/>
    <w:rsid w:val="00351134"/>
    <w:rsid w:val="00351E14"/>
    <w:rsid w:val="00353894"/>
    <w:rsid w:val="00363EBF"/>
    <w:rsid w:val="00367BC6"/>
    <w:rsid w:val="0037237D"/>
    <w:rsid w:val="00373625"/>
    <w:rsid w:val="00373EED"/>
    <w:rsid w:val="00374C79"/>
    <w:rsid w:val="003811E8"/>
    <w:rsid w:val="00383902"/>
    <w:rsid w:val="0038648F"/>
    <w:rsid w:val="003877A2"/>
    <w:rsid w:val="00390708"/>
    <w:rsid w:val="00392664"/>
    <w:rsid w:val="003A1666"/>
    <w:rsid w:val="003A233C"/>
    <w:rsid w:val="003A3F09"/>
    <w:rsid w:val="003A496A"/>
    <w:rsid w:val="003A7370"/>
    <w:rsid w:val="003B2D4E"/>
    <w:rsid w:val="003B463A"/>
    <w:rsid w:val="003B4668"/>
    <w:rsid w:val="003C4658"/>
    <w:rsid w:val="003C4F46"/>
    <w:rsid w:val="003C7748"/>
    <w:rsid w:val="003D14C2"/>
    <w:rsid w:val="003D3892"/>
    <w:rsid w:val="003E1C0C"/>
    <w:rsid w:val="003E2B1D"/>
    <w:rsid w:val="003E5433"/>
    <w:rsid w:val="003E73CB"/>
    <w:rsid w:val="003E76EE"/>
    <w:rsid w:val="003E7C2D"/>
    <w:rsid w:val="003F01E4"/>
    <w:rsid w:val="003F0DEA"/>
    <w:rsid w:val="003F24E3"/>
    <w:rsid w:val="003F7CE6"/>
    <w:rsid w:val="00401086"/>
    <w:rsid w:val="00410A9C"/>
    <w:rsid w:val="004172F9"/>
    <w:rsid w:val="00417F7B"/>
    <w:rsid w:val="0042040D"/>
    <w:rsid w:val="00421CF6"/>
    <w:rsid w:val="0042671E"/>
    <w:rsid w:val="00432C56"/>
    <w:rsid w:val="00433875"/>
    <w:rsid w:val="00434AAD"/>
    <w:rsid w:val="00446C74"/>
    <w:rsid w:val="0045122B"/>
    <w:rsid w:val="004523CD"/>
    <w:rsid w:val="00454101"/>
    <w:rsid w:val="00456DA7"/>
    <w:rsid w:val="0046098D"/>
    <w:rsid w:val="00461A38"/>
    <w:rsid w:val="00463DED"/>
    <w:rsid w:val="00473D17"/>
    <w:rsid w:val="004805BA"/>
    <w:rsid w:val="004865EB"/>
    <w:rsid w:val="004876E5"/>
    <w:rsid w:val="004A0128"/>
    <w:rsid w:val="004A2CB5"/>
    <w:rsid w:val="004A626F"/>
    <w:rsid w:val="004B31E7"/>
    <w:rsid w:val="004B3D60"/>
    <w:rsid w:val="004C2F92"/>
    <w:rsid w:val="004C6D71"/>
    <w:rsid w:val="004D0919"/>
    <w:rsid w:val="004D17F7"/>
    <w:rsid w:val="004D2AE4"/>
    <w:rsid w:val="004D5B14"/>
    <w:rsid w:val="004E17A2"/>
    <w:rsid w:val="004E276E"/>
    <w:rsid w:val="004E671D"/>
    <w:rsid w:val="004F3102"/>
    <w:rsid w:val="004F5AE9"/>
    <w:rsid w:val="00505824"/>
    <w:rsid w:val="00505D44"/>
    <w:rsid w:val="00512727"/>
    <w:rsid w:val="0051333A"/>
    <w:rsid w:val="0052047E"/>
    <w:rsid w:val="005274E7"/>
    <w:rsid w:val="005320D1"/>
    <w:rsid w:val="0053301A"/>
    <w:rsid w:val="005361C6"/>
    <w:rsid w:val="005374C9"/>
    <w:rsid w:val="00546887"/>
    <w:rsid w:val="00563B03"/>
    <w:rsid w:val="005665D4"/>
    <w:rsid w:val="0056773D"/>
    <w:rsid w:val="00581480"/>
    <w:rsid w:val="00581B07"/>
    <w:rsid w:val="00586B39"/>
    <w:rsid w:val="00586B66"/>
    <w:rsid w:val="00591DAB"/>
    <w:rsid w:val="0059296D"/>
    <w:rsid w:val="00596D77"/>
    <w:rsid w:val="00597259"/>
    <w:rsid w:val="005A0E7D"/>
    <w:rsid w:val="005A17A3"/>
    <w:rsid w:val="005A289B"/>
    <w:rsid w:val="005A4F08"/>
    <w:rsid w:val="005B09C0"/>
    <w:rsid w:val="005B399C"/>
    <w:rsid w:val="005B4212"/>
    <w:rsid w:val="005C785F"/>
    <w:rsid w:val="005D10A5"/>
    <w:rsid w:val="005D49A8"/>
    <w:rsid w:val="005E38E4"/>
    <w:rsid w:val="005E4DB6"/>
    <w:rsid w:val="00602345"/>
    <w:rsid w:val="006038C0"/>
    <w:rsid w:val="00605B33"/>
    <w:rsid w:val="00616BBA"/>
    <w:rsid w:val="00620063"/>
    <w:rsid w:val="00621ED2"/>
    <w:rsid w:val="00623528"/>
    <w:rsid w:val="00627A57"/>
    <w:rsid w:val="00632467"/>
    <w:rsid w:val="0063450A"/>
    <w:rsid w:val="00636EA3"/>
    <w:rsid w:val="0064364F"/>
    <w:rsid w:val="0064416C"/>
    <w:rsid w:val="00645625"/>
    <w:rsid w:val="0064765A"/>
    <w:rsid w:val="00647FA3"/>
    <w:rsid w:val="0065061C"/>
    <w:rsid w:val="006625E9"/>
    <w:rsid w:val="006654D9"/>
    <w:rsid w:val="00665650"/>
    <w:rsid w:val="00666B65"/>
    <w:rsid w:val="00671AA6"/>
    <w:rsid w:val="006735A9"/>
    <w:rsid w:val="00674165"/>
    <w:rsid w:val="00676AAE"/>
    <w:rsid w:val="0069050A"/>
    <w:rsid w:val="00692D5C"/>
    <w:rsid w:val="006936BC"/>
    <w:rsid w:val="006A04A6"/>
    <w:rsid w:val="006A0B55"/>
    <w:rsid w:val="006B13DF"/>
    <w:rsid w:val="006B1AF4"/>
    <w:rsid w:val="006B6871"/>
    <w:rsid w:val="006B6B33"/>
    <w:rsid w:val="006C253C"/>
    <w:rsid w:val="006C3084"/>
    <w:rsid w:val="006E07E6"/>
    <w:rsid w:val="006E2494"/>
    <w:rsid w:val="006E52CB"/>
    <w:rsid w:val="006E7E20"/>
    <w:rsid w:val="00706FA4"/>
    <w:rsid w:val="007125E3"/>
    <w:rsid w:val="0071638B"/>
    <w:rsid w:val="00716D8B"/>
    <w:rsid w:val="00720597"/>
    <w:rsid w:val="0073433F"/>
    <w:rsid w:val="00734997"/>
    <w:rsid w:val="007355A1"/>
    <w:rsid w:val="007371C0"/>
    <w:rsid w:val="00741953"/>
    <w:rsid w:val="00743A20"/>
    <w:rsid w:val="00745488"/>
    <w:rsid w:val="00745859"/>
    <w:rsid w:val="0074599F"/>
    <w:rsid w:val="00746ACA"/>
    <w:rsid w:val="00752CFF"/>
    <w:rsid w:val="0075573B"/>
    <w:rsid w:val="00755748"/>
    <w:rsid w:val="0075734B"/>
    <w:rsid w:val="0076497B"/>
    <w:rsid w:val="007735DD"/>
    <w:rsid w:val="0078336E"/>
    <w:rsid w:val="007847DB"/>
    <w:rsid w:val="0078529F"/>
    <w:rsid w:val="007919CF"/>
    <w:rsid w:val="00795B58"/>
    <w:rsid w:val="007A06CD"/>
    <w:rsid w:val="007A62BA"/>
    <w:rsid w:val="007B76F5"/>
    <w:rsid w:val="007C3A9C"/>
    <w:rsid w:val="007D43C6"/>
    <w:rsid w:val="007E5E7C"/>
    <w:rsid w:val="007F416B"/>
    <w:rsid w:val="008031C1"/>
    <w:rsid w:val="00805A8E"/>
    <w:rsid w:val="008175FE"/>
    <w:rsid w:val="0082104B"/>
    <w:rsid w:val="00824780"/>
    <w:rsid w:val="0083219A"/>
    <w:rsid w:val="008425D8"/>
    <w:rsid w:val="00842A19"/>
    <w:rsid w:val="008438AE"/>
    <w:rsid w:val="00844B2F"/>
    <w:rsid w:val="00854C6F"/>
    <w:rsid w:val="0086111F"/>
    <w:rsid w:val="00861E7B"/>
    <w:rsid w:val="00864FFA"/>
    <w:rsid w:val="008657A2"/>
    <w:rsid w:val="00866716"/>
    <w:rsid w:val="008808D0"/>
    <w:rsid w:val="00881A3F"/>
    <w:rsid w:val="008821D9"/>
    <w:rsid w:val="00890500"/>
    <w:rsid w:val="008A38E2"/>
    <w:rsid w:val="008A3F87"/>
    <w:rsid w:val="008B1196"/>
    <w:rsid w:val="008C067E"/>
    <w:rsid w:val="008C0F9D"/>
    <w:rsid w:val="008C7911"/>
    <w:rsid w:val="008D1FBA"/>
    <w:rsid w:val="008D2C33"/>
    <w:rsid w:val="008D2CBA"/>
    <w:rsid w:val="008D35F9"/>
    <w:rsid w:val="008E0199"/>
    <w:rsid w:val="008E63A7"/>
    <w:rsid w:val="008E732A"/>
    <w:rsid w:val="008E7967"/>
    <w:rsid w:val="008F07C9"/>
    <w:rsid w:val="008F2529"/>
    <w:rsid w:val="00902966"/>
    <w:rsid w:val="0090530E"/>
    <w:rsid w:val="00906BE1"/>
    <w:rsid w:val="00917F96"/>
    <w:rsid w:val="00922ABB"/>
    <w:rsid w:val="009237DF"/>
    <w:rsid w:val="00934542"/>
    <w:rsid w:val="00934EC8"/>
    <w:rsid w:val="0093570D"/>
    <w:rsid w:val="0093579D"/>
    <w:rsid w:val="009437DA"/>
    <w:rsid w:val="00944536"/>
    <w:rsid w:val="00944C7A"/>
    <w:rsid w:val="00946BF2"/>
    <w:rsid w:val="009477F0"/>
    <w:rsid w:val="00955D4F"/>
    <w:rsid w:val="009648C3"/>
    <w:rsid w:val="00967158"/>
    <w:rsid w:val="00967587"/>
    <w:rsid w:val="00974D60"/>
    <w:rsid w:val="00983233"/>
    <w:rsid w:val="00983C57"/>
    <w:rsid w:val="00990EC7"/>
    <w:rsid w:val="00991873"/>
    <w:rsid w:val="009968A8"/>
    <w:rsid w:val="009A02CF"/>
    <w:rsid w:val="009A2DBA"/>
    <w:rsid w:val="009A40AA"/>
    <w:rsid w:val="009B30F6"/>
    <w:rsid w:val="009C6873"/>
    <w:rsid w:val="009D7D7A"/>
    <w:rsid w:val="009E2A96"/>
    <w:rsid w:val="009E2F2D"/>
    <w:rsid w:val="009E37AE"/>
    <w:rsid w:val="009E65AC"/>
    <w:rsid w:val="009F00D7"/>
    <w:rsid w:val="009F15C8"/>
    <w:rsid w:val="009F3AE3"/>
    <w:rsid w:val="009F4D76"/>
    <w:rsid w:val="00A016D8"/>
    <w:rsid w:val="00A100B3"/>
    <w:rsid w:val="00A17798"/>
    <w:rsid w:val="00A204AB"/>
    <w:rsid w:val="00A20C3F"/>
    <w:rsid w:val="00A22B67"/>
    <w:rsid w:val="00A25822"/>
    <w:rsid w:val="00A30560"/>
    <w:rsid w:val="00A30670"/>
    <w:rsid w:val="00A40CA6"/>
    <w:rsid w:val="00A434B8"/>
    <w:rsid w:val="00A55240"/>
    <w:rsid w:val="00A612D3"/>
    <w:rsid w:val="00A63B05"/>
    <w:rsid w:val="00A63E14"/>
    <w:rsid w:val="00A65309"/>
    <w:rsid w:val="00A72CCF"/>
    <w:rsid w:val="00A756ED"/>
    <w:rsid w:val="00A828D8"/>
    <w:rsid w:val="00A84B91"/>
    <w:rsid w:val="00A940F1"/>
    <w:rsid w:val="00AA2E81"/>
    <w:rsid w:val="00AA384A"/>
    <w:rsid w:val="00AA5886"/>
    <w:rsid w:val="00AB4B70"/>
    <w:rsid w:val="00AB5017"/>
    <w:rsid w:val="00AB58FB"/>
    <w:rsid w:val="00AB64F0"/>
    <w:rsid w:val="00AC1C13"/>
    <w:rsid w:val="00AC451F"/>
    <w:rsid w:val="00AC4DDF"/>
    <w:rsid w:val="00AC7F25"/>
    <w:rsid w:val="00AD0D2D"/>
    <w:rsid w:val="00AD1F3F"/>
    <w:rsid w:val="00AE23AF"/>
    <w:rsid w:val="00AE2DFF"/>
    <w:rsid w:val="00AF19FD"/>
    <w:rsid w:val="00B03862"/>
    <w:rsid w:val="00B04043"/>
    <w:rsid w:val="00B07DB3"/>
    <w:rsid w:val="00B07E51"/>
    <w:rsid w:val="00B128CB"/>
    <w:rsid w:val="00B16B40"/>
    <w:rsid w:val="00B24946"/>
    <w:rsid w:val="00B271EF"/>
    <w:rsid w:val="00B41E2C"/>
    <w:rsid w:val="00B4299A"/>
    <w:rsid w:val="00B430A0"/>
    <w:rsid w:val="00B46521"/>
    <w:rsid w:val="00B571EC"/>
    <w:rsid w:val="00B57399"/>
    <w:rsid w:val="00B61CE3"/>
    <w:rsid w:val="00B62D7C"/>
    <w:rsid w:val="00B71862"/>
    <w:rsid w:val="00B7300B"/>
    <w:rsid w:val="00B742EB"/>
    <w:rsid w:val="00B8143D"/>
    <w:rsid w:val="00B81584"/>
    <w:rsid w:val="00B82361"/>
    <w:rsid w:val="00B83E86"/>
    <w:rsid w:val="00B84294"/>
    <w:rsid w:val="00B942E7"/>
    <w:rsid w:val="00BA0D67"/>
    <w:rsid w:val="00BA1BDD"/>
    <w:rsid w:val="00BA3510"/>
    <w:rsid w:val="00BA3BC3"/>
    <w:rsid w:val="00BB07B0"/>
    <w:rsid w:val="00BC556C"/>
    <w:rsid w:val="00BD2B2D"/>
    <w:rsid w:val="00BE0ADA"/>
    <w:rsid w:val="00BE4BA4"/>
    <w:rsid w:val="00BE5D6A"/>
    <w:rsid w:val="00BE66D2"/>
    <w:rsid w:val="00BE7ECC"/>
    <w:rsid w:val="00C0170B"/>
    <w:rsid w:val="00C01F66"/>
    <w:rsid w:val="00C03B09"/>
    <w:rsid w:val="00C07F59"/>
    <w:rsid w:val="00C127E9"/>
    <w:rsid w:val="00C146DA"/>
    <w:rsid w:val="00C2446B"/>
    <w:rsid w:val="00C25DFF"/>
    <w:rsid w:val="00C2606A"/>
    <w:rsid w:val="00C3253D"/>
    <w:rsid w:val="00C33B27"/>
    <w:rsid w:val="00C3565F"/>
    <w:rsid w:val="00C44607"/>
    <w:rsid w:val="00C452A8"/>
    <w:rsid w:val="00C46ECF"/>
    <w:rsid w:val="00C477FB"/>
    <w:rsid w:val="00C51CF8"/>
    <w:rsid w:val="00C574F0"/>
    <w:rsid w:val="00C57F56"/>
    <w:rsid w:val="00C604D7"/>
    <w:rsid w:val="00C60628"/>
    <w:rsid w:val="00C63404"/>
    <w:rsid w:val="00C63FC8"/>
    <w:rsid w:val="00C6598E"/>
    <w:rsid w:val="00C7180F"/>
    <w:rsid w:val="00C71A18"/>
    <w:rsid w:val="00C72685"/>
    <w:rsid w:val="00C74555"/>
    <w:rsid w:val="00C8063E"/>
    <w:rsid w:val="00C81479"/>
    <w:rsid w:val="00C8179E"/>
    <w:rsid w:val="00CB2960"/>
    <w:rsid w:val="00CB3199"/>
    <w:rsid w:val="00CB3BCD"/>
    <w:rsid w:val="00CB71D1"/>
    <w:rsid w:val="00CC0665"/>
    <w:rsid w:val="00CC0CF5"/>
    <w:rsid w:val="00CC0D9C"/>
    <w:rsid w:val="00CC531B"/>
    <w:rsid w:val="00CC6C02"/>
    <w:rsid w:val="00CD0D72"/>
    <w:rsid w:val="00CD7B33"/>
    <w:rsid w:val="00CE3C93"/>
    <w:rsid w:val="00CF1DA7"/>
    <w:rsid w:val="00CF30B8"/>
    <w:rsid w:val="00D200C3"/>
    <w:rsid w:val="00D21EBD"/>
    <w:rsid w:val="00D22C45"/>
    <w:rsid w:val="00D260D7"/>
    <w:rsid w:val="00D3487B"/>
    <w:rsid w:val="00D44196"/>
    <w:rsid w:val="00D45A73"/>
    <w:rsid w:val="00D45F95"/>
    <w:rsid w:val="00D46950"/>
    <w:rsid w:val="00D53139"/>
    <w:rsid w:val="00D55874"/>
    <w:rsid w:val="00D60DB8"/>
    <w:rsid w:val="00D61EE9"/>
    <w:rsid w:val="00D72D8A"/>
    <w:rsid w:val="00D82CD5"/>
    <w:rsid w:val="00D83071"/>
    <w:rsid w:val="00D91B60"/>
    <w:rsid w:val="00D964E0"/>
    <w:rsid w:val="00D9662F"/>
    <w:rsid w:val="00D9684F"/>
    <w:rsid w:val="00DA0069"/>
    <w:rsid w:val="00DB295F"/>
    <w:rsid w:val="00DB650B"/>
    <w:rsid w:val="00DC0537"/>
    <w:rsid w:val="00DC6C71"/>
    <w:rsid w:val="00DD2ADB"/>
    <w:rsid w:val="00DE16CF"/>
    <w:rsid w:val="00DF66AE"/>
    <w:rsid w:val="00E003D3"/>
    <w:rsid w:val="00E147D2"/>
    <w:rsid w:val="00E147DE"/>
    <w:rsid w:val="00E15413"/>
    <w:rsid w:val="00E173D9"/>
    <w:rsid w:val="00E20519"/>
    <w:rsid w:val="00E24C06"/>
    <w:rsid w:val="00E252BE"/>
    <w:rsid w:val="00E30723"/>
    <w:rsid w:val="00E3200D"/>
    <w:rsid w:val="00E55544"/>
    <w:rsid w:val="00E55E97"/>
    <w:rsid w:val="00E7301B"/>
    <w:rsid w:val="00E73396"/>
    <w:rsid w:val="00E73911"/>
    <w:rsid w:val="00E760A9"/>
    <w:rsid w:val="00E878D6"/>
    <w:rsid w:val="00E90854"/>
    <w:rsid w:val="00E90E7E"/>
    <w:rsid w:val="00E9489C"/>
    <w:rsid w:val="00E952F9"/>
    <w:rsid w:val="00EA52A2"/>
    <w:rsid w:val="00EA6A11"/>
    <w:rsid w:val="00EB0A2B"/>
    <w:rsid w:val="00EB16BB"/>
    <w:rsid w:val="00EC1066"/>
    <w:rsid w:val="00EC1D4A"/>
    <w:rsid w:val="00EC48ED"/>
    <w:rsid w:val="00EC685E"/>
    <w:rsid w:val="00EC770B"/>
    <w:rsid w:val="00ED459B"/>
    <w:rsid w:val="00ED7727"/>
    <w:rsid w:val="00EE5AD1"/>
    <w:rsid w:val="00EF6DB7"/>
    <w:rsid w:val="00F06BD7"/>
    <w:rsid w:val="00F10D69"/>
    <w:rsid w:val="00F1454E"/>
    <w:rsid w:val="00F22BE1"/>
    <w:rsid w:val="00F23789"/>
    <w:rsid w:val="00F26D98"/>
    <w:rsid w:val="00F31427"/>
    <w:rsid w:val="00F467DF"/>
    <w:rsid w:val="00F546A0"/>
    <w:rsid w:val="00F54F3C"/>
    <w:rsid w:val="00F576A8"/>
    <w:rsid w:val="00F57A58"/>
    <w:rsid w:val="00F57C21"/>
    <w:rsid w:val="00F61763"/>
    <w:rsid w:val="00F61B37"/>
    <w:rsid w:val="00F6233B"/>
    <w:rsid w:val="00F65C95"/>
    <w:rsid w:val="00F727D4"/>
    <w:rsid w:val="00F74DEC"/>
    <w:rsid w:val="00F77861"/>
    <w:rsid w:val="00F84D1A"/>
    <w:rsid w:val="00FA532F"/>
    <w:rsid w:val="00FA7A94"/>
    <w:rsid w:val="00FB0D67"/>
    <w:rsid w:val="00FB27CB"/>
    <w:rsid w:val="00FB365D"/>
    <w:rsid w:val="00FB3C99"/>
    <w:rsid w:val="00FB62C8"/>
    <w:rsid w:val="00FC0182"/>
    <w:rsid w:val="00FC1DCF"/>
    <w:rsid w:val="00FC69F7"/>
    <w:rsid w:val="00FD153B"/>
    <w:rsid w:val="00FD394C"/>
    <w:rsid w:val="00FF1A67"/>
    <w:rsid w:val="00FF5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A68196"/>
  <w15:chartTrackingRefBased/>
  <w15:docId w15:val="{4509757B-19C3-4E2F-93C9-17284B26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0A5"/>
    <w:pPr>
      <w:spacing w:after="200" w:line="276" w:lineRule="auto"/>
    </w:pPr>
    <w:rPr>
      <w:rFonts w:ascii="Calibri" w:eastAsia="MS Mincho" w:hAnsi="Calibri" w:cs="Times New Roman"/>
    </w:rPr>
  </w:style>
  <w:style w:type="paragraph" w:styleId="Ttulo1">
    <w:name w:val="heading 1"/>
    <w:aliases w:val="h1"/>
    <w:basedOn w:val="Normal"/>
    <w:next w:val="Normal"/>
    <w:link w:val="Ttulo1Car"/>
    <w:uiPriority w:val="9"/>
    <w:qFormat/>
    <w:rsid w:val="005D10A5"/>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qFormat/>
    <w:rsid w:val="005D10A5"/>
    <w:pPr>
      <w:keepNext/>
      <w:jc w:val="center"/>
      <w:outlineLvl w:val="1"/>
    </w:pPr>
    <w:rPr>
      <w:rFonts w:ascii="ITC Avant Garde" w:eastAsia="Times New Roman" w:hAnsi="ITC Avant Garde"/>
      <w:b/>
      <w:szCs w:val="20"/>
    </w:rPr>
  </w:style>
  <w:style w:type="paragraph" w:styleId="Ttulo3">
    <w:name w:val="heading 3"/>
    <w:aliases w:val="h3"/>
    <w:basedOn w:val="Normal"/>
    <w:next w:val="Normal"/>
    <w:link w:val="Ttulo3Car"/>
    <w:uiPriority w:val="9"/>
    <w:rsid w:val="005D10A5"/>
    <w:pPr>
      <w:keepNext/>
      <w:spacing w:after="0" w:line="240" w:lineRule="auto"/>
      <w:ind w:left="2630"/>
      <w:jc w:val="both"/>
      <w:outlineLvl w:val="2"/>
    </w:pPr>
    <w:rPr>
      <w:rFonts w:ascii="Arial" w:eastAsia="Times New Roman" w:hAnsi="Arial"/>
      <w:b/>
      <w:bCs/>
      <w:szCs w:val="20"/>
    </w:rPr>
  </w:style>
  <w:style w:type="paragraph" w:styleId="Ttulo4">
    <w:name w:val="heading 4"/>
    <w:basedOn w:val="Normal"/>
    <w:next w:val="Normal"/>
    <w:link w:val="Ttulo4Car"/>
    <w:uiPriority w:val="9"/>
    <w:rsid w:val="005D10A5"/>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rsid w:val="005D10A5"/>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rsid w:val="005D10A5"/>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rsid w:val="005D10A5"/>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rsid w:val="005D10A5"/>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rsid w:val="005D10A5"/>
    <w:pPr>
      <w:spacing w:before="240" w:after="60" w:line="240" w:lineRule="auto"/>
      <w:jc w:val="both"/>
      <w:outlineLvl w:val="8"/>
    </w:pPr>
    <w:rPr>
      <w:rFonts w:ascii="Arial" w:eastAsia="Times New Roman"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5D10A5"/>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5D10A5"/>
    <w:rPr>
      <w:rFonts w:ascii="ITC Avant Garde" w:eastAsia="Times New Roman" w:hAnsi="ITC Avant Garde" w:cs="Times New Roman"/>
      <w:b/>
      <w:szCs w:val="20"/>
    </w:rPr>
  </w:style>
  <w:style w:type="character" w:customStyle="1" w:styleId="Ttulo3Car">
    <w:name w:val="Título 3 Car"/>
    <w:aliases w:val="h3 Car"/>
    <w:basedOn w:val="Fuentedeprrafopredeter"/>
    <w:link w:val="Ttulo3"/>
    <w:uiPriority w:val="9"/>
    <w:rsid w:val="005D10A5"/>
    <w:rPr>
      <w:rFonts w:ascii="Arial" w:eastAsia="Times New Roman" w:hAnsi="Arial" w:cs="Times New Roman"/>
      <w:b/>
      <w:bCs/>
      <w:szCs w:val="20"/>
    </w:rPr>
  </w:style>
  <w:style w:type="character" w:customStyle="1" w:styleId="Ttulo4Car">
    <w:name w:val="Título 4 Car"/>
    <w:basedOn w:val="Fuentedeprrafopredeter"/>
    <w:link w:val="Ttulo4"/>
    <w:uiPriority w:val="9"/>
    <w:rsid w:val="005D10A5"/>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5D10A5"/>
    <w:rPr>
      <w:rFonts w:ascii="Arial" w:eastAsia="Times New Roman" w:hAnsi="Arial" w:cs="Times New Roman"/>
      <w:b/>
      <w:sz w:val="20"/>
      <w:szCs w:val="20"/>
    </w:rPr>
  </w:style>
  <w:style w:type="character" w:customStyle="1" w:styleId="Ttulo6Car">
    <w:name w:val="Título 6 Car"/>
    <w:basedOn w:val="Fuentedeprrafopredeter"/>
    <w:link w:val="Ttulo6"/>
    <w:rsid w:val="005D10A5"/>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5D10A5"/>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5D10A5"/>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5D10A5"/>
    <w:rPr>
      <w:rFonts w:ascii="Arial" w:eastAsia="Times New Roman" w:hAnsi="Arial" w:cs="Times New Roman"/>
      <w:lang w:eastAsia="es-ES"/>
    </w:rPr>
  </w:style>
  <w:style w:type="paragraph" w:styleId="Encabezado">
    <w:name w:val="header"/>
    <w:basedOn w:val="Normal"/>
    <w:link w:val="EncabezadoCar"/>
    <w:uiPriority w:val="99"/>
    <w:unhideWhenUsed/>
    <w:rsid w:val="005D10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0A5"/>
    <w:rPr>
      <w:rFonts w:ascii="Calibri" w:eastAsia="MS Mincho" w:hAnsi="Calibri" w:cs="Times New Roman"/>
    </w:rPr>
  </w:style>
  <w:style w:type="paragraph" w:styleId="Piedepgina">
    <w:name w:val="footer"/>
    <w:basedOn w:val="Normal"/>
    <w:link w:val="PiedepginaCar"/>
    <w:uiPriority w:val="99"/>
    <w:unhideWhenUsed/>
    <w:rsid w:val="005D10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0A5"/>
    <w:rPr>
      <w:rFonts w:ascii="Calibri" w:eastAsia="MS Mincho" w:hAnsi="Calibri" w:cs="Times New Roman"/>
    </w:rPr>
  </w:style>
  <w:style w:type="paragraph" w:styleId="NormalWeb">
    <w:name w:val="Normal (Web)"/>
    <w:basedOn w:val="Normal"/>
    <w:uiPriority w:val="99"/>
    <w:unhideWhenUsed/>
    <w:rsid w:val="005D10A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5D10A5"/>
    <w:pPr>
      <w:autoSpaceDE w:val="0"/>
      <w:autoSpaceDN w:val="0"/>
      <w:adjustRightInd w:val="0"/>
      <w:spacing w:after="0" w:line="240" w:lineRule="auto"/>
    </w:pPr>
    <w:rPr>
      <w:rFonts w:ascii="Tahoma" w:eastAsia="MS Mincho" w:hAnsi="Tahoma" w:cs="Tahoma"/>
      <w:color w:val="000000"/>
      <w:sz w:val="24"/>
      <w:szCs w:val="24"/>
      <w:lang w:eastAsia="es-MX"/>
    </w:rPr>
  </w:style>
  <w:style w:type="table" w:styleId="Tablaconcuadrcula">
    <w:name w:val="Table Grid"/>
    <w:basedOn w:val="Tablanormal"/>
    <w:uiPriority w:val="39"/>
    <w:rsid w:val="005D10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5D10A5"/>
    <w:pPr>
      <w:ind w:left="720"/>
      <w:contextualSpacing/>
    </w:pPr>
  </w:style>
  <w:style w:type="paragraph" w:styleId="Textodeglobo">
    <w:name w:val="Balloon Text"/>
    <w:basedOn w:val="Normal"/>
    <w:link w:val="TextodegloboCar"/>
    <w:uiPriority w:val="99"/>
    <w:unhideWhenUsed/>
    <w:rsid w:val="005D10A5"/>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rsid w:val="005D10A5"/>
    <w:rPr>
      <w:rFonts w:ascii="Tahoma" w:eastAsia="MS Mincho" w:hAnsi="Tahoma" w:cs="Times New Roman"/>
      <w:sz w:val="16"/>
      <w:szCs w:val="16"/>
    </w:rPr>
  </w:style>
  <w:style w:type="paragraph" w:styleId="Textoindependiente">
    <w:name w:val="Body Text"/>
    <w:aliases w:val="IFT cita calibri,IFT cita"/>
    <w:basedOn w:val="Cita"/>
    <w:link w:val="TextoindependienteCar"/>
    <w:rsid w:val="005D10A5"/>
    <w:pPr>
      <w:spacing w:after="0" w:line="240" w:lineRule="auto"/>
      <w:ind w:left="708"/>
    </w:pPr>
    <w:rPr>
      <w:szCs w:val="20"/>
    </w:rPr>
  </w:style>
  <w:style w:type="character" w:customStyle="1" w:styleId="TextoindependienteCar">
    <w:name w:val="Texto independiente Car"/>
    <w:aliases w:val="IFT cita calibri Car,IFT cita Car"/>
    <w:basedOn w:val="Fuentedeprrafopredeter"/>
    <w:link w:val="Textoindependiente"/>
    <w:rsid w:val="005D10A5"/>
    <w:rPr>
      <w:rFonts w:ascii="ITC Avant Garde" w:eastAsia="Times New Roman" w:hAnsi="ITC Avant Garde" w:cs="Arial"/>
      <w:i/>
      <w:color w:val="000000"/>
      <w:sz w:val="18"/>
      <w:szCs w:val="20"/>
      <w:lang w:val="es-ES"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5D10A5"/>
    <w:pPr>
      <w:contextualSpacing/>
    </w:pPr>
    <w:rPr>
      <w:rFonts w:ascii="ITC Avant Garde" w:hAnsi="ITC Avant Garde"/>
      <w:sz w:val="18"/>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D10A5"/>
    <w:rPr>
      <w:rFonts w:ascii="ITC Avant Garde" w:eastAsia="MS Mincho" w:hAnsi="ITC Avant Garde" w:cs="Times New Roman"/>
      <w:sz w:val="18"/>
      <w:szCs w:val="20"/>
    </w:rPr>
  </w:style>
  <w:style w:type="character" w:styleId="Refdenotaalpie">
    <w:name w:val="footnote reference"/>
    <w:aliases w:val="Ref,de nota al pie,(NECG) Footnote Reference,o,fr,Style 3,Appel note de bas de p,Style 12,Style 124,Ref. de nota al pie 2,Footnote Reference Superscript,Style 6"/>
    <w:uiPriority w:val="99"/>
    <w:unhideWhenUsed/>
    <w:qFormat/>
    <w:rsid w:val="005D10A5"/>
    <w:rPr>
      <w:vertAlign w:val="superscript"/>
    </w:rPr>
  </w:style>
  <w:style w:type="paragraph" w:styleId="Sinespaciado">
    <w:name w:val="No Spacing"/>
    <w:uiPriority w:val="1"/>
    <w:qFormat/>
    <w:rsid w:val="005D10A5"/>
    <w:pPr>
      <w:spacing w:after="0" w:line="240" w:lineRule="auto"/>
    </w:pPr>
    <w:rPr>
      <w:rFonts w:ascii="Calibri" w:eastAsia="MS Mincho" w:hAnsi="Calibri" w:cs="Times New Roman"/>
    </w:rPr>
  </w:style>
  <w:style w:type="character" w:styleId="Hipervnculo">
    <w:name w:val="Hyperlink"/>
    <w:uiPriority w:val="99"/>
    <w:unhideWhenUsed/>
    <w:rsid w:val="005D10A5"/>
    <w:rPr>
      <w:color w:val="0000FF"/>
      <w:u w:val="single"/>
    </w:rPr>
  </w:style>
  <w:style w:type="character" w:styleId="Refdecomentario">
    <w:name w:val="annotation reference"/>
    <w:uiPriority w:val="99"/>
    <w:unhideWhenUsed/>
    <w:rsid w:val="005D10A5"/>
    <w:rPr>
      <w:sz w:val="16"/>
      <w:szCs w:val="16"/>
    </w:rPr>
  </w:style>
  <w:style w:type="paragraph" w:styleId="Textocomentario">
    <w:name w:val="annotation text"/>
    <w:basedOn w:val="Normal"/>
    <w:link w:val="TextocomentarioCar"/>
    <w:uiPriority w:val="99"/>
    <w:unhideWhenUsed/>
    <w:rsid w:val="005D10A5"/>
    <w:pPr>
      <w:spacing w:line="240" w:lineRule="auto"/>
    </w:pPr>
    <w:rPr>
      <w:rFonts w:eastAsia="Times New Roman"/>
      <w:sz w:val="20"/>
      <w:szCs w:val="20"/>
    </w:rPr>
  </w:style>
  <w:style w:type="character" w:customStyle="1" w:styleId="TextocomentarioCar">
    <w:name w:val="Texto comentario Car"/>
    <w:basedOn w:val="Fuentedeprrafopredeter"/>
    <w:link w:val="Textocomentario"/>
    <w:uiPriority w:val="99"/>
    <w:rsid w:val="005D10A5"/>
    <w:rPr>
      <w:rFonts w:ascii="Calibri" w:eastAsia="Times New Roman" w:hAnsi="Calibri" w:cs="Times New Roman"/>
      <w:sz w:val="20"/>
      <w:szCs w:val="20"/>
    </w:rPr>
  </w:style>
  <w:style w:type="paragraph" w:customStyle="1" w:styleId="IFTnormal">
    <w:name w:val="IFT normal"/>
    <w:basedOn w:val="Normal"/>
    <w:link w:val="IFTnormalCar"/>
    <w:qFormat/>
    <w:rsid w:val="005D10A5"/>
    <w:pPr>
      <w:jc w:val="both"/>
    </w:pPr>
    <w:rPr>
      <w:rFonts w:ascii="ITC Avant Garde" w:hAnsi="ITC Avant Garde" w:cs="Calibri"/>
      <w:bCs/>
    </w:rPr>
  </w:style>
  <w:style w:type="paragraph" w:customStyle="1" w:styleId="NumeracinIFT">
    <w:name w:val="Numeración IFT"/>
    <w:basedOn w:val="Prrafodelista"/>
    <w:link w:val="NumeracinIFTCar"/>
    <w:qFormat/>
    <w:rsid w:val="005D10A5"/>
    <w:pPr>
      <w:ind w:left="1571" w:hanging="360"/>
      <w:jc w:val="both"/>
    </w:pPr>
    <w:rPr>
      <w:rFonts w:ascii="ITC Avant Garde" w:eastAsia="Times New Roman" w:hAnsi="ITC Avant Garde"/>
      <w:iCs/>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5D10A5"/>
    <w:rPr>
      <w:rFonts w:ascii="Calibri" w:eastAsia="MS Mincho" w:hAnsi="Calibri" w:cs="Times New Roman"/>
    </w:rPr>
  </w:style>
  <w:style w:type="character" w:customStyle="1" w:styleId="NumeracinIFTCar">
    <w:name w:val="Numeración IFT Car"/>
    <w:link w:val="NumeracinIFT"/>
    <w:rsid w:val="005D10A5"/>
    <w:rPr>
      <w:rFonts w:ascii="ITC Avant Garde" w:eastAsia="Times New Roman" w:hAnsi="ITC Avant Garde" w:cs="Times New Roman"/>
      <w:iCs/>
    </w:rPr>
  </w:style>
  <w:style w:type="paragraph" w:styleId="Textoindependiente3">
    <w:name w:val="Body Text 3"/>
    <w:basedOn w:val="Normal"/>
    <w:link w:val="Textoindependiente3Car"/>
    <w:unhideWhenUsed/>
    <w:rsid w:val="005D10A5"/>
    <w:pPr>
      <w:spacing w:after="120"/>
    </w:pPr>
    <w:rPr>
      <w:sz w:val="16"/>
      <w:szCs w:val="16"/>
    </w:rPr>
  </w:style>
  <w:style w:type="character" w:customStyle="1" w:styleId="Textoindependiente3Car">
    <w:name w:val="Texto independiente 3 Car"/>
    <w:basedOn w:val="Fuentedeprrafopredeter"/>
    <w:link w:val="Textoindependiente3"/>
    <w:rsid w:val="005D10A5"/>
    <w:rPr>
      <w:rFonts w:ascii="Calibri" w:eastAsia="MS Mincho" w:hAnsi="Calibri" w:cs="Times New Roman"/>
      <w:sz w:val="16"/>
      <w:szCs w:val="16"/>
    </w:rPr>
  </w:style>
  <w:style w:type="paragraph" w:styleId="Listaconvietas">
    <w:name w:val="List Bullet"/>
    <w:aliases w:val="Bullets texto"/>
    <w:basedOn w:val="Normal"/>
    <w:uiPriority w:val="99"/>
    <w:unhideWhenUsed/>
    <w:qFormat/>
    <w:rsid w:val="005D10A5"/>
    <w:pPr>
      <w:ind w:left="720" w:hanging="360"/>
      <w:contextualSpacing/>
    </w:pPr>
  </w:style>
  <w:style w:type="paragraph" w:styleId="Descripcin">
    <w:name w:val="caption"/>
    <w:next w:val="Normal"/>
    <w:link w:val="DescripcinCar"/>
    <w:rsid w:val="005D10A5"/>
    <w:pPr>
      <w:keepNext/>
      <w:tabs>
        <w:tab w:val="left" w:pos="2041"/>
      </w:tabs>
      <w:spacing w:line="280" w:lineRule="atLeast"/>
    </w:pPr>
    <w:rPr>
      <w:rFonts w:ascii="Arial" w:eastAsia="MS Mincho" w:hAnsi="Arial" w:cs="Times New Roman"/>
      <w:bCs/>
      <w:i/>
      <w:sz w:val="18"/>
      <w:szCs w:val="18"/>
      <w:lang w:val="en-GB"/>
    </w:rPr>
  </w:style>
  <w:style w:type="paragraph" w:styleId="Asuntodelcomentario">
    <w:name w:val="annotation subject"/>
    <w:basedOn w:val="Textocomentario"/>
    <w:next w:val="Textocomentario"/>
    <w:link w:val="AsuntodelcomentarioCar"/>
    <w:uiPriority w:val="99"/>
    <w:unhideWhenUsed/>
    <w:rsid w:val="005D10A5"/>
    <w:rPr>
      <w:b/>
      <w:bCs/>
    </w:rPr>
  </w:style>
  <w:style w:type="character" w:customStyle="1" w:styleId="AsuntodelcomentarioCar">
    <w:name w:val="Asunto del comentario Car"/>
    <w:basedOn w:val="TextocomentarioCar"/>
    <w:link w:val="Asuntodelcomentario"/>
    <w:uiPriority w:val="99"/>
    <w:rsid w:val="005D10A5"/>
    <w:rPr>
      <w:rFonts w:ascii="Calibri" w:eastAsia="Times New Roman" w:hAnsi="Calibri" w:cs="Times New Roman"/>
      <w:b/>
      <w:bCs/>
      <w:sz w:val="20"/>
      <w:szCs w:val="20"/>
    </w:rPr>
  </w:style>
  <w:style w:type="paragraph" w:styleId="Listaconvietas2">
    <w:name w:val="List Bullet 2"/>
    <w:basedOn w:val="Normal"/>
    <w:link w:val="Listaconvietas2Car"/>
    <w:uiPriority w:val="99"/>
    <w:unhideWhenUsed/>
    <w:rsid w:val="005D10A5"/>
    <w:pPr>
      <w:ind w:left="1077" w:hanging="360"/>
      <w:contextualSpacing/>
    </w:pPr>
  </w:style>
  <w:style w:type="paragraph" w:styleId="Cita">
    <w:name w:val="Quote"/>
    <w:aliases w:val="Bullets cita"/>
    <w:basedOn w:val="Citaift"/>
    <w:next w:val="Normal"/>
    <w:link w:val="CitaCar"/>
    <w:uiPriority w:val="29"/>
    <w:qFormat/>
    <w:rsid w:val="005D10A5"/>
    <w:pPr>
      <w:ind w:left="1571" w:hanging="360"/>
    </w:pPr>
    <w:rPr>
      <w:lang w:val="es-ES"/>
    </w:rPr>
  </w:style>
  <w:style w:type="character" w:customStyle="1" w:styleId="CitaCar">
    <w:name w:val="Cita Car"/>
    <w:aliases w:val="Bullets cita Car"/>
    <w:basedOn w:val="Fuentedeprrafopredeter"/>
    <w:link w:val="Cita"/>
    <w:uiPriority w:val="29"/>
    <w:rsid w:val="005D10A5"/>
    <w:rPr>
      <w:rFonts w:ascii="ITC Avant Garde" w:eastAsia="Times New Roman" w:hAnsi="ITC Avant Garde" w:cs="Arial"/>
      <w:i/>
      <w:color w:val="000000"/>
      <w:sz w:val="18"/>
      <w:szCs w:val="18"/>
      <w:lang w:val="es-ES" w:eastAsia="es-ES"/>
    </w:rPr>
  </w:style>
  <w:style w:type="paragraph" w:customStyle="1" w:styleId="Prrafodelista1">
    <w:name w:val="Párrafo de lista1"/>
    <w:basedOn w:val="Normal"/>
    <w:rsid w:val="005D10A5"/>
    <w:pPr>
      <w:ind w:left="720"/>
      <w:contextualSpacing/>
    </w:pPr>
    <w:rPr>
      <w:rFonts w:eastAsia="Times New Roman"/>
    </w:rPr>
  </w:style>
  <w:style w:type="character" w:styleId="Textoennegrita">
    <w:name w:val="Strong"/>
    <w:rsid w:val="005D10A5"/>
    <w:rPr>
      <w:b/>
      <w:bCs/>
    </w:rPr>
  </w:style>
  <w:style w:type="character" w:styleId="CitaHTML">
    <w:name w:val="HTML Cite"/>
    <w:uiPriority w:val="99"/>
    <w:semiHidden/>
    <w:unhideWhenUsed/>
    <w:rsid w:val="005D10A5"/>
    <w:rPr>
      <w:i/>
      <w:iCs/>
    </w:rPr>
  </w:style>
  <w:style w:type="paragraph" w:styleId="Revisin">
    <w:name w:val="Revision"/>
    <w:hidden/>
    <w:uiPriority w:val="99"/>
    <w:semiHidden/>
    <w:rsid w:val="005D10A5"/>
    <w:pPr>
      <w:spacing w:after="0" w:line="240" w:lineRule="auto"/>
    </w:pPr>
    <w:rPr>
      <w:rFonts w:ascii="Calibri" w:eastAsia="MS Mincho" w:hAnsi="Calibri" w:cs="Times New Roman"/>
    </w:rPr>
  </w:style>
  <w:style w:type="paragraph" w:customStyle="1" w:styleId="Prrafodelista11">
    <w:name w:val="Párrafo de lista11"/>
    <w:basedOn w:val="Normal"/>
    <w:rsid w:val="005D10A5"/>
    <w:pPr>
      <w:ind w:left="720"/>
      <w:contextualSpacing/>
    </w:pPr>
    <w:rPr>
      <w:rFonts w:eastAsia="Times New Roman"/>
    </w:rPr>
  </w:style>
  <w:style w:type="paragraph" w:styleId="Sangradetextonormal">
    <w:name w:val="Body Text Indent"/>
    <w:basedOn w:val="Normal"/>
    <w:link w:val="SangradetextonormalCar"/>
    <w:uiPriority w:val="99"/>
    <w:unhideWhenUsed/>
    <w:rsid w:val="005D10A5"/>
    <w:pPr>
      <w:spacing w:after="120"/>
      <w:ind w:left="283"/>
    </w:pPr>
  </w:style>
  <w:style w:type="character" w:customStyle="1" w:styleId="SangradetextonormalCar">
    <w:name w:val="Sangría de texto normal Car"/>
    <w:basedOn w:val="Fuentedeprrafopredeter"/>
    <w:link w:val="Sangradetextonormal"/>
    <w:uiPriority w:val="99"/>
    <w:rsid w:val="005D10A5"/>
    <w:rPr>
      <w:rFonts w:ascii="Calibri" w:eastAsia="MS Mincho" w:hAnsi="Calibri" w:cs="Times New Roman"/>
    </w:rPr>
  </w:style>
  <w:style w:type="character" w:styleId="Nmerodepgina">
    <w:name w:val="page number"/>
    <w:rsid w:val="005D10A5"/>
  </w:style>
  <w:style w:type="paragraph" w:styleId="Ttulo">
    <w:name w:val="Title"/>
    <w:basedOn w:val="Normal"/>
    <w:link w:val="TtuloCar"/>
    <w:rsid w:val="005D10A5"/>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5D10A5"/>
    <w:rPr>
      <w:rFonts w:ascii="Arial" w:eastAsia="Times New Roman" w:hAnsi="Arial" w:cs="Times New Roman"/>
      <w:b/>
      <w:szCs w:val="20"/>
    </w:rPr>
  </w:style>
  <w:style w:type="paragraph" w:styleId="Sangra2detindependiente">
    <w:name w:val="Body Text Indent 2"/>
    <w:basedOn w:val="Normal"/>
    <w:link w:val="Sangra2detindependienteCar"/>
    <w:rsid w:val="005D10A5"/>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5D10A5"/>
    <w:rPr>
      <w:rFonts w:ascii="Arial" w:eastAsia="Times New Roman" w:hAnsi="Arial" w:cs="Times New Roman"/>
      <w:szCs w:val="20"/>
    </w:rPr>
  </w:style>
  <w:style w:type="paragraph" w:styleId="Subttulo">
    <w:name w:val="Subtitle"/>
    <w:basedOn w:val="Normal"/>
    <w:link w:val="SubttuloCar"/>
    <w:rsid w:val="005D10A5"/>
    <w:pPr>
      <w:spacing w:after="0" w:line="230" w:lineRule="auto"/>
      <w:ind w:left="4253"/>
      <w:jc w:val="both"/>
    </w:pPr>
    <w:rPr>
      <w:rFonts w:ascii="Arial" w:eastAsia="Times New Roman" w:hAnsi="Arial"/>
      <w:b/>
      <w:szCs w:val="24"/>
      <w:lang w:eastAsia="es-ES"/>
    </w:rPr>
  </w:style>
  <w:style w:type="character" w:customStyle="1" w:styleId="SubttuloCar">
    <w:name w:val="Subtítulo Car"/>
    <w:basedOn w:val="Fuentedeprrafopredeter"/>
    <w:link w:val="Subttulo"/>
    <w:rsid w:val="005D10A5"/>
    <w:rPr>
      <w:rFonts w:ascii="Arial" w:eastAsia="Times New Roman" w:hAnsi="Arial" w:cs="Times New Roman"/>
      <w:b/>
      <w:szCs w:val="24"/>
      <w:lang w:eastAsia="es-ES"/>
    </w:rPr>
  </w:style>
  <w:style w:type="paragraph" w:styleId="Textoindependiente2">
    <w:name w:val="Body Text 2"/>
    <w:basedOn w:val="Normal"/>
    <w:link w:val="Textoindependiente2Car"/>
    <w:rsid w:val="005D10A5"/>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5D10A5"/>
    <w:rPr>
      <w:rFonts w:ascii="Arial" w:eastAsia="Times New Roman" w:hAnsi="Arial" w:cs="Times New Roman"/>
      <w:szCs w:val="20"/>
      <w:lang w:eastAsia="es-ES"/>
    </w:rPr>
  </w:style>
  <w:style w:type="paragraph" w:styleId="Sangra3detindependiente">
    <w:name w:val="Body Text Indent 3"/>
    <w:basedOn w:val="Normal"/>
    <w:link w:val="Sangra3detindependienteCar"/>
    <w:rsid w:val="005D10A5"/>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5D10A5"/>
    <w:rPr>
      <w:rFonts w:ascii="Arial" w:eastAsia="Times New Roman" w:hAnsi="Arial" w:cs="Times New Roman"/>
      <w:i/>
      <w:sz w:val="20"/>
      <w:szCs w:val="20"/>
      <w:lang w:eastAsia="es-ES"/>
    </w:rPr>
  </w:style>
  <w:style w:type="paragraph" w:styleId="Textosinformato">
    <w:name w:val="Plain Text"/>
    <w:basedOn w:val="Normal"/>
    <w:link w:val="TextosinformatoCar"/>
    <w:rsid w:val="005D10A5"/>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5D10A5"/>
    <w:rPr>
      <w:rFonts w:ascii="Courier New" w:eastAsia="Times New Roman" w:hAnsi="Courier New" w:cs="Times New Roman"/>
      <w:sz w:val="20"/>
      <w:szCs w:val="20"/>
      <w:lang w:eastAsia="es-ES"/>
    </w:rPr>
  </w:style>
  <w:style w:type="paragraph" w:styleId="Textodebloque">
    <w:name w:val="Block Text"/>
    <w:basedOn w:val="Normal"/>
    <w:rsid w:val="005D10A5"/>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5D10A5"/>
    <w:rPr>
      <w:color w:val="800080"/>
      <w:u w:val="single"/>
    </w:rPr>
  </w:style>
  <w:style w:type="paragraph" w:styleId="Lista">
    <w:name w:val="List"/>
    <w:basedOn w:val="Normal"/>
    <w:rsid w:val="005D10A5"/>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5D10A5"/>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5D10A5"/>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5D10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es-ES" w:eastAsia="es-ES"/>
    </w:rPr>
  </w:style>
  <w:style w:type="character" w:customStyle="1" w:styleId="EncabezadodemensajeCar">
    <w:name w:val="Encabezado de mensaje Car"/>
    <w:basedOn w:val="Fuentedeprrafopredeter"/>
    <w:link w:val="Encabezadodemensaje"/>
    <w:rsid w:val="005D10A5"/>
    <w:rPr>
      <w:rFonts w:ascii="Arial" w:eastAsia="Times New Roman" w:hAnsi="Arial" w:cs="Times New Roman"/>
      <w:sz w:val="24"/>
      <w:szCs w:val="24"/>
      <w:shd w:val="pct20" w:color="auto" w:fill="auto"/>
      <w:lang w:val="es-ES" w:eastAsia="es-ES"/>
    </w:rPr>
  </w:style>
  <w:style w:type="paragraph" w:styleId="Saludo">
    <w:name w:val="Salutation"/>
    <w:basedOn w:val="Normal"/>
    <w:next w:val="Normal"/>
    <w:link w:val="SaludoCar"/>
    <w:rsid w:val="005D10A5"/>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5D10A5"/>
    <w:rPr>
      <w:rFonts w:ascii="Times New Roman" w:eastAsia="Times New Roman" w:hAnsi="Times New Roman" w:cs="Times New Roman"/>
      <w:sz w:val="24"/>
      <w:szCs w:val="24"/>
      <w:lang w:val="es-ES" w:eastAsia="es-ES"/>
    </w:rPr>
  </w:style>
  <w:style w:type="paragraph" w:styleId="Continuarlista">
    <w:name w:val="List Continue"/>
    <w:basedOn w:val="Normal"/>
    <w:rsid w:val="005D10A5"/>
    <w:pPr>
      <w:spacing w:after="120" w:line="240" w:lineRule="auto"/>
      <w:ind w:left="283"/>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5D10A5"/>
    <w:pPr>
      <w:spacing w:after="120"/>
      <w:ind w:left="0" w:firstLine="210"/>
      <w:jc w:val="left"/>
    </w:pPr>
    <w:rPr>
      <w:rFonts w:ascii="Times New Roman" w:hAnsi="Times New Roman"/>
      <w:i w:val="0"/>
      <w:iCs/>
      <w:sz w:val="24"/>
      <w:szCs w:val="24"/>
    </w:rPr>
  </w:style>
  <w:style w:type="character" w:customStyle="1" w:styleId="TextoindependienteprimerasangraCar">
    <w:name w:val="Texto independiente primera sangría Car"/>
    <w:basedOn w:val="TextoindependienteCar"/>
    <w:link w:val="Textoindependienteprimerasangra"/>
    <w:rsid w:val="005D10A5"/>
    <w:rPr>
      <w:rFonts w:ascii="Times New Roman" w:eastAsia="Times New Roman" w:hAnsi="Times New Roman" w:cs="Arial"/>
      <w:i w:val="0"/>
      <w:iCs/>
      <w:color w:val="000000"/>
      <w:sz w:val="24"/>
      <w:szCs w:val="24"/>
      <w:lang w:val="es-ES" w:eastAsia="es-ES"/>
    </w:rPr>
  </w:style>
  <w:style w:type="paragraph" w:styleId="Textoindependienteprimerasangra2">
    <w:name w:val="Body Text First Indent 2"/>
    <w:basedOn w:val="Sangradetextonormal"/>
    <w:link w:val="Textoindependienteprimerasangra2Car"/>
    <w:rsid w:val="005D10A5"/>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5D10A5"/>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rsid w:val="005D10A5"/>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basedOn w:val="Fuentedeprrafopredeter"/>
    <w:link w:val="Mapadeldocumento"/>
    <w:rsid w:val="005D10A5"/>
    <w:rPr>
      <w:rFonts w:ascii="Tahoma" w:eastAsia="Times New Roman" w:hAnsi="Tahoma" w:cs="Times New Roman"/>
      <w:sz w:val="20"/>
      <w:szCs w:val="20"/>
      <w:shd w:val="clear" w:color="auto" w:fill="000080"/>
      <w:lang w:val="es-ES" w:eastAsia="es-ES"/>
    </w:rPr>
  </w:style>
  <w:style w:type="paragraph" w:styleId="Listaconnmeros">
    <w:name w:val="List Number"/>
    <w:basedOn w:val="Normal"/>
    <w:uiPriority w:val="99"/>
    <w:rsid w:val="005D10A5"/>
    <w:pPr>
      <w:tabs>
        <w:tab w:val="num" w:pos="360"/>
      </w:tabs>
      <w:spacing w:after="240" w:line="320" w:lineRule="atLeast"/>
      <w:ind w:left="360" w:hanging="360"/>
      <w:contextualSpacing/>
      <w:jc w:val="both"/>
    </w:pPr>
    <w:rPr>
      <w:rFonts w:ascii="Times New Roman" w:hAnsi="Times New Roman"/>
      <w:lang w:val="es-ES"/>
    </w:rPr>
  </w:style>
  <w:style w:type="character" w:customStyle="1" w:styleId="Listaconvietas2Car">
    <w:name w:val="Lista con viñetas 2 Car"/>
    <w:link w:val="Listaconvietas2"/>
    <w:uiPriority w:val="99"/>
    <w:rsid w:val="005D10A5"/>
    <w:rPr>
      <w:rFonts w:ascii="Calibri" w:eastAsia="MS Mincho" w:hAnsi="Calibri" w:cs="Times New Roman"/>
    </w:rPr>
  </w:style>
  <w:style w:type="numbering" w:styleId="1ai">
    <w:name w:val="Outline List 1"/>
    <w:basedOn w:val="Sinlista"/>
    <w:uiPriority w:val="99"/>
    <w:unhideWhenUsed/>
    <w:rsid w:val="005D10A5"/>
    <w:pPr>
      <w:numPr>
        <w:numId w:val="1"/>
      </w:numPr>
    </w:pPr>
  </w:style>
  <w:style w:type="paragraph" w:styleId="TDC2">
    <w:name w:val="toc 2"/>
    <w:basedOn w:val="TDC1"/>
    <w:next w:val="Normal"/>
    <w:autoRedefine/>
    <w:uiPriority w:val="39"/>
    <w:unhideWhenUsed/>
    <w:rsid w:val="005D10A5"/>
    <w:pPr>
      <w:keepNext w:val="0"/>
      <w:spacing w:before="0"/>
    </w:pPr>
    <w:rPr>
      <w:b w:val="0"/>
      <w:noProof/>
    </w:rPr>
  </w:style>
  <w:style w:type="paragraph" w:styleId="TDC1">
    <w:name w:val="toc 1"/>
    <w:basedOn w:val="Normal"/>
    <w:next w:val="Normal"/>
    <w:autoRedefine/>
    <w:uiPriority w:val="39"/>
    <w:unhideWhenUsed/>
    <w:rsid w:val="005D10A5"/>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5D10A5"/>
    <w:rPr>
      <w:sz w:val="20"/>
    </w:rPr>
  </w:style>
  <w:style w:type="paragraph" w:styleId="TDC4">
    <w:name w:val="toc 4"/>
    <w:basedOn w:val="TDC3"/>
    <w:next w:val="Normal"/>
    <w:autoRedefine/>
    <w:uiPriority w:val="39"/>
    <w:unhideWhenUsed/>
    <w:rsid w:val="005D10A5"/>
  </w:style>
  <w:style w:type="table" w:styleId="Tablaclsica2">
    <w:name w:val="Table Classic 2"/>
    <w:basedOn w:val="Tablanormal"/>
    <w:rsid w:val="005D10A5"/>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5D10A5"/>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5D10A5"/>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Sombreadomedio2-nfasis11">
    <w:name w:val="Sombreado medio 2 - Énfasis 11"/>
    <w:basedOn w:val="Tablanormal"/>
    <w:uiPriority w:val="64"/>
    <w:rsid w:val="005D10A5"/>
    <w:pPr>
      <w:spacing w:after="0" w:line="240" w:lineRule="auto"/>
    </w:pPr>
    <w:rPr>
      <w:rFonts w:ascii="Calibri" w:eastAsia="MS Mincho"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notaalfinal">
    <w:name w:val="endnote text"/>
    <w:basedOn w:val="Normal"/>
    <w:link w:val="TextonotaalfinalCar"/>
    <w:uiPriority w:val="99"/>
    <w:semiHidden/>
    <w:unhideWhenUsed/>
    <w:rsid w:val="005D10A5"/>
    <w:rPr>
      <w:sz w:val="20"/>
      <w:szCs w:val="20"/>
    </w:rPr>
  </w:style>
  <w:style w:type="character" w:customStyle="1" w:styleId="TextonotaalfinalCar">
    <w:name w:val="Texto nota al final Car"/>
    <w:basedOn w:val="Fuentedeprrafopredeter"/>
    <w:link w:val="Textonotaalfinal"/>
    <w:uiPriority w:val="99"/>
    <w:semiHidden/>
    <w:rsid w:val="005D10A5"/>
    <w:rPr>
      <w:rFonts w:ascii="Calibri" w:eastAsia="MS Mincho" w:hAnsi="Calibri" w:cs="Times New Roman"/>
      <w:sz w:val="20"/>
      <w:szCs w:val="20"/>
    </w:rPr>
  </w:style>
  <w:style w:type="character" w:styleId="Refdenotaalfinal">
    <w:name w:val="endnote reference"/>
    <w:uiPriority w:val="99"/>
    <w:semiHidden/>
    <w:unhideWhenUsed/>
    <w:rsid w:val="005D10A5"/>
    <w:rPr>
      <w:vertAlign w:val="superscript"/>
    </w:rPr>
  </w:style>
  <w:style w:type="character" w:customStyle="1" w:styleId="DescripcinCar">
    <w:name w:val="Descripción Car"/>
    <w:link w:val="Descripcin"/>
    <w:rsid w:val="005D10A5"/>
    <w:rPr>
      <w:rFonts w:ascii="Arial" w:eastAsia="MS Mincho" w:hAnsi="Arial" w:cs="Times New Roman"/>
      <w:bCs/>
      <w:i/>
      <w:sz w:val="18"/>
      <w:szCs w:val="18"/>
      <w:lang w:val="en-GB"/>
    </w:rPr>
  </w:style>
  <w:style w:type="character" w:styleId="Textodelmarcadordeposicin">
    <w:name w:val="Placeholder Text"/>
    <w:uiPriority w:val="99"/>
    <w:semiHidden/>
    <w:rsid w:val="005D10A5"/>
    <w:rPr>
      <w:color w:val="808080"/>
    </w:rPr>
  </w:style>
  <w:style w:type="paragraph" w:styleId="TtuloTDC">
    <w:name w:val="TOC Heading"/>
    <w:basedOn w:val="Ttulo1"/>
    <w:next w:val="Normal"/>
    <w:uiPriority w:val="39"/>
    <w:unhideWhenUsed/>
    <w:qFormat/>
    <w:rsid w:val="005D10A5"/>
    <w:pPr>
      <w:spacing w:before="240" w:line="259" w:lineRule="auto"/>
      <w:outlineLvl w:val="9"/>
    </w:pPr>
    <w:rPr>
      <w:rFonts w:ascii="Calibri Light" w:hAnsi="Calibri Light"/>
      <w:b w:val="0"/>
      <w:bCs w:val="0"/>
      <w:color w:val="2E74B5"/>
      <w:sz w:val="32"/>
      <w:szCs w:val="32"/>
    </w:rPr>
  </w:style>
  <w:style w:type="paragraph" w:customStyle="1" w:styleId="Citaift">
    <w:name w:val="Cita ift"/>
    <w:basedOn w:val="Normal"/>
    <w:link w:val="CitaiftCar"/>
    <w:qFormat/>
    <w:rsid w:val="005D10A5"/>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D10A5"/>
    <w:rPr>
      <w:rFonts w:ascii="ITC Avant Garde" w:eastAsia="Times New Roman" w:hAnsi="ITC Avant Garde" w:cs="Arial"/>
      <w:i/>
      <w:color w:val="000000"/>
      <w:sz w:val="18"/>
      <w:szCs w:val="18"/>
      <w:lang w:eastAsia="es-ES"/>
    </w:rPr>
  </w:style>
  <w:style w:type="paragraph" w:customStyle="1" w:styleId="ApartadoSub">
    <w:name w:val="ApartadoSub"/>
    <w:basedOn w:val="Normal"/>
    <w:qFormat/>
    <w:rsid w:val="005D10A5"/>
    <w:pPr>
      <w:jc w:val="both"/>
    </w:pPr>
    <w:rPr>
      <w:rFonts w:ascii="ITC Avant Garde" w:hAnsi="ITC Avant Garde"/>
      <w:b/>
      <w:u w:val="single"/>
    </w:rPr>
  </w:style>
  <w:style w:type="paragraph" w:styleId="HTMLconformatoprevio">
    <w:name w:val="HTML Preformatted"/>
    <w:basedOn w:val="Normal"/>
    <w:link w:val="HTMLconformatoprevioCar"/>
    <w:uiPriority w:val="99"/>
    <w:unhideWhenUsed/>
    <w:rsid w:val="005D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D10A5"/>
    <w:rPr>
      <w:rFonts w:ascii="Courier New" w:eastAsia="Times New Roman" w:hAnsi="Courier New" w:cs="Courier New"/>
      <w:sz w:val="20"/>
      <w:szCs w:val="20"/>
      <w:lang w:eastAsia="es-MX"/>
    </w:rPr>
  </w:style>
  <w:style w:type="paragraph" w:customStyle="1" w:styleId="Listamulticolor-nfasis11">
    <w:name w:val="Lista multicolor - Énfasis 11"/>
    <w:basedOn w:val="Normal"/>
    <w:link w:val="Listamulticolor-nfasis1Car"/>
    <w:uiPriority w:val="34"/>
    <w:rsid w:val="005D10A5"/>
    <w:pPr>
      <w:ind w:left="720"/>
      <w:contextualSpacing/>
    </w:pPr>
  </w:style>
  <w:style w:type="character" w:customStyle="1" w:styleId="Listamulticolor-nfasis1Car">
    <w:name w:val="Lista multicolor - Énfasis 1 Car"/>
    <w:link w:val="Listamulticolor-nfasis11"/>
    <w:uiPriority w:val="34"/>
    <w:rsid w:val="005D10A5"/>
    <w:rPr>
      <w:rFonts w:ascii="Calibri" w:eastAsia="MS Mincho" w:hAnsi="Calibri" w:cs="Times New Roman"/>
    </w:rPr>
  </w:style>
  <w:style w:type="paragraph" w:customStyle="1" w:styleId="PuntosC4">
    <w:name w:val="PuntosC4"/>
    <w:basedOn w:val="Normal"/>
    <w:link w:val="PuntosC4Car"/>
    <w:rsid w:val="005D10A5"/>
    <w:pPr>
      <w:ind w:left="792"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5D10A5"/>
    <w:pPr>
      <w:ind w:left="1800" w:hanging="360"/>
      <w:contextualSpacing/>
      <w:outlineLvl w:val="1"/>
    </w:pPr>
    <w:rPr>
      <w:rFonts w:cs="Arial"/>
      <w:bCs w:val="0"/>
      <w:color w:val="000000"/>
      <w:lang w:val="es-ES_tradnl" w:eastAsia="es-ES"/>
    </w:rPr>
  </w:style>
  <w:style w:type="paragraph" w:customStyle="1" w:styleId="Titulo1">
    <w:name w:val="Titulo 1"/>
    <w:basedOn w:val="Prrafodelista"/>
    <w:next w:val="Normal"/>
    <w:qFormat/>
    <w:rsid w:val="005D10A5"/>
    <w:pPr>
      <w:adjustRightInd w:val="0"/>
      <w:ind w:left="0"/>
      <w:jc w:val="both"/>
    </w:pPr>
    <w:rPr>
      <w:rFonts w:ascii="ITC Avant Garde" w:eastAsia="Times New Roman" w:hAnsi="ITC Avant Garde" w:cs="Arial"/>
      <w:b/>
      <w:bCs/>
      <w:color w:val="000000"/>
      <w:lang w:val="es-ES" w:eastAsia="es-ES"/>
    </w:rPr>
  </w:style>
  <w:style w:type="paragraph" w:customStyle="1" w:styleId="PuntosC5">
    <w:name w:val="PuntosC5"/>
    <w:basedOn w:val="PuntosC4"/>
    <w:link w:val="PuntosC5Car"/>
    <w:qFormat/>
    <w:rsid w:val="005D10A5"/>
  </w:style>
  <w:style w:type="paragraph" w:customStyle="1" w:styleId="Niv2C4">
    <w:name w:val="Niv2C4"/>
    <w:basedOn w:val="Subttulo"/>
    <w:rsid w:val="005D10A5"/>
    <w:pPr>
      <w:spacing w:after="200" w:line="276" w:lineRule="auto"/>
      <w:ind w:left="1224" w:hanging="504"/>
    </w:pPr>
    <w:rPr>
      <w:rFonts w:ascii="ITC Avant Garde" w:eastAsia="Calibri" w:hAnsi="ITC Avant Garde"/>
      <w:szCs w:val="22"/>
      <w:lang w:eastAsia="en-US"/>
    </w:rPr>
  </w:style>
  <w:style w:type="character" w:customStyle="1" w:styleId="PuntosC4Car">
    <w:name w:val="PuntosC4 Car"/>
    <w:basedOn w:val="Fuentedeprrafopredeter"/>
    <w:link w:val="PuntosC4"/>
    <w:rsid w:val="005D10A5"/>
    <w:rPr>
      <w:rFonts w:ascii="ITC Avant Garde" w:eastAsia="Times New Roman" w:hAnsi="ITC Avant Garde" w:cs="Arial"/>
      <w:b/>
      <w:iCs/>
    </w:rPr>
  </w:style>
  <w:style w:type="character" w:customStyle="1" w:styleId="PuntosC5Car">
    <w:name w:val="PuntosC5 Car"/>
    <w:basedOn w:val="PuntosC4Car"/>
    <w:link w:val="PuntosC5"/>
    <w:rsid w:val="005D10A5"/>
    <w:rPr>
      <w:rFonts w:ascii="ITC Avant Garde" w:eastAsia="Times New Roman" w:hAnsi="ITC Avant Garde" w:cs="Arial"/>
      <w:b/>
      <w:iCs/>
    </w:rPr>
  </w:style>
  <w:style w:type="paragraph" w:customStyle="1" w:styleId="Niv3C4">
    <w:name w:val="Niv3C4"/>
    <w:basedOn w:val="Subttulo"/>
    <w:rsid w:val="005D10A5"/>
    <w:pPr>
      <w:spacing w:after="200" w:line="276" w:lineRule="auto"/>
      <w:ind w:left="1728" w:hanging="648"/>
    </w:pPr>
    <w:rPr>
      <w:rFonts w:ascii="ITC Avant Garde" w:eastAsia="Calibri" w:hAnsi="ITC Avant Garde"/>
      <w:szCs w:val="22"/>
      <w:lang w:eastAsia="en-US"/>
    </w:rPr>
  </w:style>
  <w:style w:type="paragraph" w:customStyle="1" w:styleId="TxtListado">
    <w:name w:val="TxtListado"/>
    <w:basedOn w:val="Normal"/>
    <w:qFormat/>
    <w:rsid w:val="005D10A5"/>
    <w:rPr>
      <w:rFonts w:ascii="ITC Avant Garde" w:hAnsi="ITC Avant Garde"/>
      <w:sz w:val="20"/>
      <w:szCs w:val="20"/>
      <w:lang w:eastAsia="es-ES"/>
    </w:rPr>
  </w:style>
  <w:style w:type="paragraph" w:customStyle="1" w:styleId="TituloCondiciones">
    <w:name w:val="TituloCondiciones"/>
    <w:basedOn w:val="Prrafodelista"/>
    <w:qFormat/>
    <w:rsid w:val="005D10A5"/>
    <w:pPr>
      <w:ind w:hanging="360"/>
      <w:jc w:val="both"/>
    </w:pPr>
    <w:rPr>
      <w:rFonts w:ascii="ITC Avant Garde" w:hAnsi="ITC Avant Garde"/>
      <w:b/>
    </w:rPr>
  </w:style>
  <w:style w:type="paragraph" w:customStyle="1" w:styleId="CondicionesFinales">
    <w:name w:val="CondicionesFinales"/>
    <w:basedOn w:val="Citaift"/>
    <w:qFormat/>
    <w:rsid w:val="005D10A5"/>
    <w:rPr>
      <w:bCs/>
      <w:i w:val="0"/>
      <w:sz w:val="22"/>
      <w:szCs w:val="22"/>
      <w:lang w:val="es-ES_tradnl"/>
    </w:rPr>
  </w:style>
  <w:style w:type="paragraph" w:customStyle="1" w:styleId="Texto">
    <w:name w:val="Texto"/>
    <w:basedOn w:val="Normal"/>
    <w:link w:val="TextoCar"/>
    <w:rsid w:val="005D10A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10A5"/>
    <w:rPr>
      <w:rFonts w:ascii="Arial" w:eastAsia="Times New Roman" w:hAnsi="Arial" w:cs="Arial"/>
      <w:sz w:val="18"/>
      <w:szCs w:val="20"/>
      <w:lang w:val="es-ES" w:eastAsia="es-ES"/>
    </w:rPr>
  </w:style>
  <w:style w:type="character" w:customStyle="1" w:styleId="IFTnormalCar">
    <w:name w:val="IFT normal Car"/>
    <w:basedOn w:val="Fuentedeprrafopredeter"/>
    <w:link w:val="IFTnormal"/>
    <w:qFormat/>
    <w:rsid w:val="005D10A5"/>
    <w:rPr>
      <w:rFonts w:ascii="ITC Avant Garde" w:eastAsia="MS Mincho" w:hAnsi="ITC Avant Garde" w:cs="Calibri"/>
      <w:bCs/>
    </w:rPr>
  </w:style>
  <w:style w:type="paragraph" w:customStyle="1" w:styleId="Numeracion2">
    <w:name w:val="Numeracion2"/>
    <w:basedOn w:val="IFTnormal"/>
    <w:link w:val="Numeracion2Car"/>
    <w:rsid w:val="005D10A5"/>
    <w:pPr>
      <w:ind w:left="1440" w:hanging="360"/>
    </w:pPr>
  </w:style>
  <w:style w:type="character" w:customStyle="1" w:styleId="Numeracion2Car">
    <w:name w:val="Numeracion2 Car"/>
    <w:basedOn w:val="IFTnormalCar"/>
    <w:link w:val="Numeracion2"/>
    <w:rsid w:val="005D10A5"/>
    <w:rPr>
      <w:rFonts w:ascii="ITC Avant Garde" w:eastAsia="MS Mincho" w:hAnsi="ITC Avant Garde" w:cs="Calibri"/>
      <w:bCs/>
    </w:rPr>
  </w:style>
  <w:style w:type="table" w:customStyle="1" w:styleId="Tablaconcuadrcula1">
    <w:name w:val="Tabla con cuadrícula1"/>
    <w:basedOn w:val="Tablanormal"/>
    <w:next w:val="Tablaconcuadrcula"/>
    <w:uiPriority w:val="39"/>
    <w:rsid w:val="005D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5D10A5"/>
  </w:style>
  <w:style w:type="paragraph" w:customStyle="1" w:styleId="TtuloIFT">
    <w:name w:val="Título IFT"/>
    <w:basedOn w:val="Ttulo1"/>
    <w:link w:val="TtuloIFTCar"/>
    <w:qFormat/>
    <w:rsid w:val="005D10A5"/>
    <w:pPr>
      <w:keepNext w:val="0"/>
      <w:keepLines w:val="0"/>
      <w:spacing w:before="0" w:after="200"/>
      <w:jc w:val="both"/>
    </w:pPr>
    <w:rPr>
      <w:rFonts w:ascii="ITC Avant Garde" w:eastAsia="Calibri" w:hAnsi="ITC Avant Garde" w:cs="Arial"/>
      <w:bCs w:val="0"/>
      <w:color w:val="000000"/>
      <w:sz w:val="22"/>
      <w:szCs w:val="22"/>
      <w:lang w:val="es-ES" w:eastAsia="es-ES"/>
    </w:rPr>
  </w:style>
  <w:style w:type="character" w:customStyle="1" w:styleId="TtuloIFTCar">
    <w:name w:val="Título IFT Car"/>
    <w:link w:val="TtuloIFT"/>
    <w:rsid w:val="005D10A5"/>
    <w:rPr>
      <w:rFonts w:ascii="ITC Avant Garde" w:eastAsia="Calibri" w:hAnsi="ITC Avant Garde" w:cs="Arial"/>
      <w:b/>
      <w:color w:val="000000"/>
      <w:lang w:val="es-ES" w:eastAsia="es-ES"/>
    </w:rPr>
  </w:style>
  <w:style w:type="character" w:customStyle="1" w:styleId="AAACar">
    <w:name w:val="AAA Car"/>
    <w:basedOn w:val="Fuentedeprrafopredeter"/>
    <w:link w:val="AAA"/>
    <w:locked/>
    <w:rsid w:val="005D10A5"/>
    <w:rPr>
      <w:rFonts w:ascii="ITC Avant Garde" w:hAnsi="ITC Avant Garde"/>
    </w:rPr>
  </w:style>
  <w:style w:type="paragraph" w:customStyle="1" w:styleId="AAA">
    <w:name w:val="AAA"/>
    <w:basedOn w:val="Normal"/>
    <w:link w:val="AAACar"/>
    <w:qFormat/>
    <w:rsid w:val="005D10A5"/>
    <w:pPr>
      <w:ind w:left="720" w:hanging="360"/>
      <w:jc w:val="both"/>
    </w:pPr>
    <w:rPr>
      <w:rFonts w:ascii="ITC Avant Garde" w:eastAsiaTheme="minorHAnsi" w:hAnsi="ITC Avant Garde" w:cstheme="minorBidi"/>
    </w:rPr>
  </w:style>
  <w:style w:type="paragraph" w:customStyle="1" w:styleId="BBB">
    <w:name w:val="BBB"/>
    <w:basedOn w:val="IFTnormal"/>
    <w:link w:val="BBBCar"/>
    <w:qFormat/>
    <w:rsid w:val="005D10A5"/>
    <w:pPr>
      <w:ind w:left="720"/>
    </w:pPr>
  </w:style>
  <w:style w:type="paragraph" w:customStyle="1" w:styleId="Nprimero">
    <w:name w:val="N. primero"/>
    <w:basedOn w:val="IFTnormal"/>
    <w:link w:val="NprimeroCar"/>
    <w:qFormat/>
    <w:rsid w:val="005D10A5"/>
    <w:pPr>
      <w:numPr>
        <w:numId w:val="3"/>
      </w:numPr>
    </w:pPr>
  </w:style>
  <w:style w:type="character" w:customStyle="1" w:styleId="BBBCar">
    <w:name w:val="BBB Car"/>
    <w:basedOn w:val="IFTnormalCar"/>
    <w:link w:val="BBB"/>
    <w:rsid w:val="005D10A5"/>
    <w:rPr>
      <w:rFonts w:ascii="ITC Avant Garde" w:eastAsia="MS Mincho" w:hAnsi="ITC Avant Garde" w:cs="Calibri"/>
      <w:bCs/>
    </w:rPr>
  </w:style>
  <w:style w:type="paragraph" w:customStyle="1" w:styleId="Lsegunda">
    <w:name w:val="L. segunda"/>
    <w:basedOn w:val="IFTnormal"/>
    <w:link w:val="LsegundaCar"/>
    <w:qFormat/>
    <w:rsid w:val="005D10A5"/>
    <w:pPr>
      <w:numPr>
        <w:numId w:val="4"/>
      </w:numPr>
    </w:pPr>
  </w:style>
  <w:style w:type="character" w:customStyle="1" w:styleId="NprimeroCar">
    <w:name w:val="N. primero Car"/>
    <w:basedOn w:val="IFTnormalCar"/>
    <w:link w:val="Nprimero"/>
    <w:rsid w:val="005D10A5"/>
    <w:rPr>
      <w:rFonts w:ascii="ITC Avant Garde" w:eastAsia="MS Mincho" w:hAnsi="ITC Avant Garde" w:cs="Calibri"/>
      <w:bCs/>
    </w:rPr>
  </w:style>
  <w:style w:type="character" w:customStyle="1" w:styleId="LsegundaCar">
    <w:name w:val="L. segunda Car"/>
    <w:basedOn w:val="IFTnormalCar"/>
    <w:link w:val="Lsegunda"/>
    <w:rsid w:val="005D10A5"/>
    <w:rPr>
      <w:rFonts w:ascii="ITC Avant Garde" w:eastAsia="MS Mincho" w:hAnsi="ITC Avant Garde" w:cs="Calibri"/>
      <w:bCs/>
    </w:rPr>
  </w:style>
  <w:style w:type="paragraph" w:customStyle="1" w:styleId="Predeterminado">
    <w:name w:val="Predeterminado"/>
    <w:rsid w:val="005D10A5"/>
    <w:pPr>
      <w:tabs>
        <w:tab w:val="left" w:pos="720"/>
      </w:tabs>
      <w:suppressAutoHyphens/>
      <w:spacing w:after="200" w:line="276" w:lineRule="auto"/>
    </w:pPr>
    <w:rPr>
      <w:rFonts w:ascii="Calibri" w:eastAsia="MS Mincho" w:hAnsi="Calibri" w:cs="Times New Roman"/>
      <w:color w:val="00000A"/>
      <w:lang w:val="en-US"/>
    </w:rPr>
  </w:style>
  <w:style w:type="character" w:customStyle="1" w:styleId="Ancladenotaalpie">
    <w:name w:val="Ancla de nota al pie"/>
    <w:rsid w:val="005D10A5"/>
    <w:rPr>
      <w:vertAlign w:val="superscript"/>
    </w:rPr>
  </w:style>
  <w:style w:type="character" w:customStyle="1" w:styleId="Ttulo40">
    <w:name w:val="Título #4_"/>
    <w:link w:val="Ttulo41"/>
    <w:uiPriority w:val="99"/>
    <w:rsid w:val="005D10A5"/>
    <w:rPr>
      <w:rFonts w:ascii="Arial" w:eastAsia="Arial" w:hAnsi="Arial" w:cs="Arial"/>
      <w:b/>
      <w:bCs/>
      <w:sz w:val="21"/>
      <w:szCs w:val="21"/>
      <w:shd w:val="clear" w:color="auto" w:fill="FFFFFF"/>
    </w:rPr>
  </w:style>
  <w:style w:type="paragraph" w:customStyle="1" w:styleId="Ttulo41">
    <w:name w:val="Título #4"/>
    <w:basedOn w:val="Normal"/>
    <w:link w:val="Ttulo40"/>
    <w:uiPriority w:val="99"/>
    <w:rsid w:val="005D10A5"/>
    <w:pPr>
      <w:widowControl w:val="0"/>
      <w:shd w:val="clear" w:color="auto" w:fill="FFFFFF"/>
      <w:spacing w:before="1020" w:after="300" w:line="0" w:lineRule="atLeast"/>
      <w:ind w:hanging="420"/>
      <w:jc w:val="both"/>
      <w:outlineLvl w:val="3"/>
    </w:pPr>
    <w:rPr>
      <w:rFonts w:ascii="Arial" w:eastAsia="Arial" w:hAnsi="Arial" w:cs="Arial"/>
      <w:b/>
      <w:bCs/>
      <w:sz w:val="21"/>
      <w:szCs w:val="21"/>
    </w:rPr>
  </w:style>
  <w:style w:type="table" w:customStyle="1" w:styleId="Tablaconcuadrcula2">
    <w:name w:val="Tabla con cuadrícula2"/>
    <w:basedOn w:val="Tablanormal"/>
    <w:next w:val="Tablaconcuadrcula"/>
    <w:uiPriority w:val="39"/>
    <w:rsid w:val="005D10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5D10A5"/>
    <w:pPr>
      <w:keepNext w:val="0"/>
      <w:keepLines w:val="0"/>
      <w:spacing w:before="240" w:after="240"/>
      <w:jc w:val="both"/>
    </w:pPr>
    <w:rPr>
      <w:rFonts w:ascii="ITC Avant Garde" w:eastAsia="Calibri" w:hAnsi="ITC Avant Garde" w:cs="Arial"/>
      <w:bCs w:val="0"/>
      <w:color w:val="000000"/>
      <w:sz w:val="22"/>
      <w:szCs w:val="22"/>
      <w:lang w:val="es-ES" w:eastAsia="es-ES"/>
    </w:rPr>
  </w:style>
  <w:style w:type="character" w:customStyle="1" w:styleId="1TitPrinCar">
    <w:name w:val="1TitPrin Car"/>
    <w:link w:val="1TitPrin"/>
    <w:rsid w:val="005D10A5"/>
    <w:rPr>
      <w:rFonts w:ascii="ITC Avant Garde" w:eastAsia="Calibri" w:hAnsi="ITC Avant Garde" w:cs="Arial"/>
      <w:b/>
      <w:color w:val="000000"/>
      <w:lang w:val="es-ES" w:eastAsia="es-ES"/>
    </w:rPr>
  </w:style>
  <w:style w:type="paragraph" w:customStyle="1" w:styleId="T2IFT">
    <w:name w:val="T2 IFT"/>
    <w:basedOn w:val="Normal"/>
    <w:link w:val="T2IFTCar"/>
    <w:autoRedefine/>
    <w:qFormat/>
    <w:rsid w:val="005D10A5"/>
    <w:pPr>
      <w:tabs>
        <w:tab w:val="num" w:pos="360"/>
        <w:tab w:val="num" w:pos="2160"/>
      </w:tabs>
      <w:outlineLvl w:val="1"/>
    </w:pPr>
    <w:rPr>
      <w:rFonts w:ascii="ITC Avant Garde" w:eastAsia="Calibri" w:hAnsi="ITC Avant Garde"/>
      <w:b/>
    </w:rPr>
  </w:style>
  <w:style w:type="character" w:customStyle="1" w:styleId="T2IFTCar">
    <w:name w:val="T2 IFT Car"/>
    <w:basedOn w:val="Fuentedeprrafopredeter"/>
    <w:link w:val="T2IFT"/>
    <w:rsid w:val="005D10A5"/>
    <w:rPr>
      <w:rFonts w:ascii="ITC Avant Garde" w:eastAsia="Calibri" w:hAnsi="ITC Avant Garde" w:cs="Times New Roman"/>
      <w:b/>
    </w:rPr>
  </w:style>
  <w:style w:type="paragraph" w:customStyle="1" w:styleId="Notaalpie">
    <w:name w:val="Nota al pie"/>
    <w:basedOn w:val="Textonotapie"/>
    <w:link w:val="NotaalpieCar"/>
    <w:qFormat/>
    <w:rsid w:val="005D10A5"/>
    <w:pPr>
      <w:spacing w:line="288" w:lineRule="auto"/>
      <w:contextualSpacing w:val="0"/>
    </w:pPr>
    <w:rPr>
      <w:rFonts w:eastAsia="Calibri"/>
      <w:color w:val="595959"/>
      <w:sz w:val="16"/>
      <w:szCs w:val="14"/>
      <w:lang w:val="es-ES" w:eastAsia="es-ES"/>
    </w:rPr>
  </w:style>
  <w:style w:type="character" w:customStyle="1" w:styleId="NotaalpieCar">
    <w:name w:val="Nota al pie Car"/>
    <w:basedOn w:val="TextonotapieCar"/>
    <w:link w:val="Notaalpie"/>
    <w:rsid w:val="005D10A5"/>
    <w:rPr>
      <w:rFonts w:ascii="ITC Avant Garde" w:eastAsia="Calibri" w:hAnsi="ITC Avant Garde" w:cs="Times New Roman"/>
      <w:color w:val="595959"/>
      <w:sz w:val="16"/>
      <w:szCs w:val="14"/>
      <w:lang w:val="es-ES" w:eastAsia="es-ES"/>
    </w:rPr>
  </w:style>
  <w:style w:type="table" w:styleId="Tabladecuadrcula4-nfasis6">
    <w:name w:val="Grid Table 4 Accent 6"/>
    <w:basedOn w:val="Tablanormal"/>
    <w:uiPriority w:val="49"/>
    <w:rsid w:val="005D10A5"/>
    <w:pPr>
      <w:spacing w:after="0" w:line="240" w:lineRule="auto"/>
    </w:pPr>
    <w:rPr>
      <w:rFonts w:ascii="Calibri" w:eastAsia="MS Mincho" w:hAnsi="Calibri"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1">
    <w:name w:val="Grid Table 4 Accent 1"/>
    <w:basedOn w:val="Tablanormal"/>
    <w:uiPriority w:val="49"/>
    <w:rsid w:val="00AD1F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ntecedentes">
    <w:name w:val="Antecedentes"/>
    <w:basedOn w:val="Normal"/>
    <w:link w:val="AntecedentesCar"/>
    <w:rsid w:val="00D72D8A"/>
    <w:pPr>
      <w:numPr>
        <w:numId w:val="42"/>
      </w:numPr>
      <w:jc w:val="both"/>
    </w:pPr>
    <w:rPr>
      <w:rFonts w:ascii="ITC Avant Garde" w:eastAsia="Times New Roman" w:hAnsi="ITC Avant Garde" w:cs="Arial"/>
      <w:bCs/>
      <w:sz w:val="20"/>
      <w:szCs w:val="20"/>
      <w:lang w:val="es-EC" w:eastAsia="es-MX"/>
    </w:rPr>
  </w:style>
  <w:style w:type="character" w:customStyle="1" w:styleId="AntecedentesCar">
    <w:name w:val="Antecedentes Car"/>
    <w:basedOn w:val="Fuentedeprrafopredeter"/>
    <w:link w:val="Antecedentes"/>
    <w:rsid w:val="00D72D8A"/>
    <w:rPr>
      <w:rFonts w:ascii="ITC Avant Garde" w:eastAsia="Times New Roman" w:hAnsi="ITC Avant Garde" w:cs="Arial"/>
      <w:bCs/>
      <w:sz w:val="20"/>
      <w:szCs w:val="20"/>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09813">
      <w:bodyDiv w:val="1"/>
      <w:marLeft w:val="0"/>
      <w:marRight w:val="0"/>
      <w:marTop w:val="0"/>
      <w:marBottom w:val="0"/>
      <w:divBdr>
        <w:top w:val="none" w:sz="0" w:space="0" w:color="auto"/>
        <w:left w:val="none" w:sz="0" w:space="0" w:color="auto"/>
        <w:bottom w:val="none" w:sz="0" w:space="0" w:color="auto"/>
        <w:right w:val="none" w:sz="0" w:space="0" w:color="auto"/>
      </w:divBdr>
    </w:div>
    <w:div w:id="132797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3A2D-6232-423B-BC80-AF8264A6C340}">
  <ds:schemaRefs>
    <ds:schemaRef ds:uri="http://schemas.microsoft.com/sharepoint/v3/contenttype/forms"/>
  </ds:schemaRefs>
</ds:datastoreItem>
</file>

<file path=customXml/itemProps2.xml><?xml version="1.0" encoding="utf-8"?>
<ds:datastoreItem xmlns:ds="http://schemas.openxmlformats.org/officeDocument/2006/customXml" ds:itemID="{6E66A60D-A4F6-4627-957D-E33578E1C784}">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17AEBC7-F80B-4937-9E0E-5A916705F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7A2E3C-6D9D-46F8-AC6D-390E56A8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2873</Words>
  <Characters>15802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Lizde Ortiz Angeles</dc:creator>
  <cp:keywords/>
  <dc:description/>
  <cp:lastModifiedBy>Karen Beatriz Martinez Munguia</cp:lastModifiedBy>
  <cp:revision>6</cp:revision>
  <cp:lastPrinted>2018-10-23T16:13:00Z</cp:lastPrinted>
  <dcterms:created xsi:type="dcterms:W3CDTF">2018-10-04T00:33:00Z</dcterms:created>
  <dcterms:modified xsi:type="dcterms:W3CDTF">2018-10-23T17:09:00Z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