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4BEB" w:rsidRPr="00EB29B0" w:rsidRDefault="007C4BEB" w:rsidP="00A33196">
      <w:pPr>
        <w:pStyle w:val="Ttulo1"/>
        <w:spacing w:before="0"/>
        <w:jc w:val="both"/>
        <w:rPr>
          <w:rFonts w:ascii="ITC Avant Garde" w:hAnsi="ITC Avant Garde"/>
          <w:b/>
          <w:color w:val="auto"/>
          <w:sz w:val="22"/>
          <w:szCs w:val="22"/>
        </w:rPr>
      </w:pPr>
      <w:r w:rsidRPr="00EB29B0">
        <w:rPr>
          <w:rFonts w:ascii="ITC Avant Garde" w:hAnsi="ITC Avant Garde"/>
          <w:b/>
          <w:color w:val="auto"/>
          <w:sz w:val="22"/>
          <w:szCs w:val="22"/>
        </w:rPr>
        <w:t xml:space="preserve">ACUERDO MEDIANTE EL CUAL EL PLENO DEL INSTITUTO FEDERAL DE TELECOMUNICACIONES </w:t>
      </w:r>
      <w:r w:rsidR="00060DAB" w:rsidRPr="00EB29B0">
        <w:rPr>
          <w:rFonts w:ascii="ITC Avant Garde" w:hAnsi="ITC Avant Garde"/>
          <w:b/>
          <w:color w:val="auto"/>
          <w:sz w:val="22"/>
          <w:szCs w:val="22"/>
        </w:rPr>
        <w:t xml:space="preserve">DETERMINA </w:t>
      </w:r>
      <w:r w:rsidRPr="00EB29B0">
        <w:rPr>
          <w:rFonts w:ascii="ITC Avant Garde" w:hAnsi="ITC Avant Garde"/>
          <w:b/>
          <w:color w:val="auto"/>
          <w:sz w:val="22"/>
          <w:szCs w:val="22"/>
        </w:rPr>
        <w:t>SOMETE</w:t>
      </w:r>
      <w:r w:rsidR="00060DAB" w:rsidRPr="00EB29B0">
        <w:rPr>
          <w:rFonts w:ascii="ITC Avant Garde" w:hAnsi="ITC Avant Garde"/>
          <w:b/>
          <w:color w:val="auto"/>
          <w:sz w:val="22"/>
          <w:szCs w:val="22"/>
        </w:rPr>
        <w:t>R</w:t>
      </w:r>
      <w:r w:rsidRPr="00EB29B0">
        <w:rPr>
          <w:rFonts w:ascii="ITC Avant Garde" w:hAnsi="ITC Avant Garde"/>
          <w:b/>
          <w:color w:val="auto"/>
          <w:sz w:val="22"/>
          <w:szCs w:val="22"/>
        </w:rPr>
        <w:t xml:space="preserve"> A CONSULTA PÚBLICA </w:t>
      </w:r>
      <w:r w:rsidR="009B5494">
        <w:rPr>
          <w:rFonts w:ascii="ITC Avant Garde" w:hAnsi="ITC Avant Garde"/>
          <w:b/>
          <w:color w:val="auto"/>
          <w:sz w:val="22"/>
          <w:szCs w:val="22"/>
        </w:rPr>
        <w:t xml:space="preserve">EL </w:t>
      </w:r>
      <w:r w:rsidR="00330D40">
        <w:rPr>
          <w:rFonts w:ascii="ITC Avant Garde" w:hAnsi="ITC Avant Garde"/>
          <w:b/>
          <w:color w:val="auto"/>
          <w:sz w:val="22"/>
          <w:szCs w:val="22"/>
        </w:rPr>
        <w:t xml:space="preserve">MODELO DE COSTOS INTEGRAL DE LA RED DE ACCESO FIJA Y </w:t>
      </w:r>
      <w:r w:rsidR="00754181">
        <w:rPr>
          <w:rFonts w:ascii="ITC Avant Garde" w:hAnsi="ITC Avant Garde"/>
          <w:b/>
          <w:color w:val="auto"/>
          <w:sz w:val="22"/>
          <w:szCs w:val="22"/>
        </w:rPr>
        <w:t xml:space="preserve">EL </w:t>
      </w:r>
      <w:r w:rsidR="009B5494">
        <w:rPr>
          <w:rFonts w:ascii="ITC Avant Garde" w:hAnsi="ITC Avant Garde"/>
          <w:b/>
          <w:color w:val="auto"/>
          <w:sz w:val="22"/>
          <w:szCs w:val="22"/>
        </w:rPr>
        <w:t>MODELO DE COSTOS EVITADOS PARA DETERMINAR LAS TARIFAS DE LOS SERVICIOS DE COMPARTICIÓN DE INFRAESTRUCT</w:t>
      </w:r>
      <w:r w:rsidR="00221A7F">
        <w:rPr>
          <w:rFonts w:ascii="ITC Avant Garde" w:hAnsi="ITC Avant Garde"/>
          <w:b/>
          <w:color w:val="auto"/>
          <w:sz w:val="22"/>
          <w:szCs w:val="22"/>
        </w:rPr>
        <w:t>U</w:t>
      </w:r>
      <w:r w:rsidR="009B5494">
        <w:rPr>
          <w:rFonts w:ascii="ITC Avant Garde" w:hAnsi="ITC Avant Garde"/>
          <w:b/>
          <w:color w:val="auto"/>
          <w:sz w:val="22"/>
          <w:szCs w:val="22"/>
        </w:rPr>
        <w:t xml:space="preserve">RA </w:t>
      </w:r>
      <w:r w:rsidR="00221A7F">
        <w:rPr>
          <w:rFonts w:ascii="ITC Avant Garde" w:hAnsi="ITC Avant Garde"/>
          <w:b/>
          <w:color w:val="auto"/>
          <w:sz w:val="22"/>
          <w:szCs w:val="22"/>
        </w:rPr>
        <w:t xml:space="preserve">FIJA </w:t>
      </w:r>
      <w:r w:rsidR="009B5494">
        <w:rPr>
          <w:rFonts w:ascii="ITC Avant Garde" w:hAnsi="ITC Avant Garde"/>
          <w:b/>
          <w:color w:val="auto"/>
          <w:sz w:val="22"/>
          <w:szCs w:val="22"/>
        </w:rPr>
        <w:t xml:space="preserve">Y </w:t>
      </w:r>
      <w:r w:rsidR="00754181">
        <w:rPr>
          <w:rFonts w:ascii="ITC Avant Garde" w:hAnsi="ITC Avant Garde"/>
          <w:b/>
          <w:color w:val="auto"/>
          <w:sz w:val="22"/>
          <w:szCs w:val="22"/>
        </w:rPr>
        <w:t xml:space="preserve">LOS SERVICIOS DE </w:t>
      </w:r>
      <w:r w:rsidR="009B5494">
        <w:rPr>
          <w:rFonts w:ascii="ITC Avant Garde" w:hAnsi="ITC Avant Garde"/>
          <w:b/>
          <w:color w:val="auto"/>
          <w:sz w:val="22"/>
          <w:szCs w:val="22"/>
        </w:rPr>
        <w:t>DESAGREGACIÓN</w:t>
      </w:r>
      <w:r w:rsidR="00754181">
        <w:rPr>
          <w:rFonts w:ascii="ITC Avant Garde" w:hAnsi="ITC Avant Garde"/>
          <w:b/>
          <w:color w:val="auto"/>
          <w:sz w:val="22"/>
          <w:szCs w:val="22"/>
        </w:rPr>
        <w:t xml:space="preserve"> DE LA RED LOCAL DEL AGENTE ECONÓMICO PREPONDERANTE EN EL SECTOR DE LAS TELECOMUNICACIONES</w:t>
      </w:r>
    </w:p>
    <w:p w:rsidR="00274117" w:rsidRPr="00EB29B0" w:rsidRDefault="00274117" w:rsidP="00A33196">
      <w:pPr>
        <w:widowControl w:val="0"/>
        <w:spacing w:after="0"/>
        <w:jc w:val="both"/>
        <w:rPr>
          <w:rFonts w:ascii="ITC Avant Garde" w:eastAsia="Times New Roman" w:hAnsi="ITC Avant Garde"/>
          <w:szCs w:val="20"/>
        </w:rPr>
      </w:pPr>
    </w:p>
    <w:p w:rsidR="007C4BEB" w:rsidRDefault="003E0E84" w:rsidP="00A33196">
      <w:pPr>
        <w:widowControl w:val="0"/>
        <w:spacing w:after="0"/>
        <w:jc w:val="center"/>
        <w:rPr>
          <w:rFonts w:ascii="ITC Avant Garde" w:eastAsia="Times New Roman" w:hAnsi="ITC Avant Garde"/>
          <w:b/>
          <w:szCs w:val="20"/>
        </w:rPr>
      </w:pPr>
      <w:r w:rsidRPr="00EB29B0">
        <w:rPr>
          <w:rFonts w:ascii="ITC Avant Garde" w:eastAsia="Times New Roman" w:hAnsi="ITC Avant Garde"/>
          <w:b/>
          <w:szCs w:val="20"/>
        </w:rPr>
        <w:t>ANTECEDENTES</w:t>
      </w:r>
    </w:p>
    <w:p w:rsidR="009A0009" w:rsidRPr="00EB29B0" w:rsidRDefault="009A0009" w:rsidP="00A33196">
      <w:pPr>
        <w:widowControl w:val="0"/>
        <w:spacing w:after="0"/>
        <w:jc w:val="center"/>
        <w:rPr>
          <w:rFonts w:ascii="ITC Avant Garde" w:eastAsia="Times New Roman" w:hAnsi="ITC Avant Garde"/>
          <w:b/>
          <w:szCs w:val="20"/>
        </w:rPr>
      </w:pPr>
    </w:p>
    <w:p w:rsidR="007C4BEB" w:rsidRPr="00EB29B0" w:rsidRDefault="007C4BEB" w:rsidP="00A33196">
      <w:pPr>
        <w:widowControl w:val="0"/>
        <w:numPr>
          <w:ilvl w:val="0"/>
          <w:numId w:val="2"/>
        </w:numPr>
        <w:spacing w:after="0"/>
        <w:contextualSpacing/>
        <w:jc w:val="both"/>
        <w:rPr>
          <w:rFonts w:ascii="ITC Avant Garde" w:hAnsi="ITC Avant Garde"/>
        </w:rPr>
      </w:pPr>
      <w:r w:rsidRPr="00EB29B0">
        <w:rPr>
          <w:rFonts w:ascii="ITC Avant Garde" w:eastAsia="Times New Roman" w:hAnsi="ITC Avant Garde"/>
        </w:rPr>
        <w:t>El 11 de junio de 2013, se publicó en el Diario Oficial de la Federación (</w:t>
      </w:r>
      <w:r w:rsidR="0097205C" w:rsidRPr="00EB29B0">
        <w:rPr>
          <w:rFonts w:ascii="ITC Avant Garde" w:eastAsia="Times New Roman" w:hAnsi="ITC Avant Garde"/>
        </w:rPr>
        <w:t>en lo sucesivo, “</w:t>
      </w:r>
      <w:r w:rsidRPr="00EB29B0">
        <w:rPr>
          <w:rFonts w:ascii="ITC Avant Garde" w:eastAsia="Times New Roman" w:hAnsi="ITC Avant Garde"/>
        </w:rPr>
        <w:t>DOF</w:t>
      </w:r>
      <w:r w:rsidR="0097205C" w:rsidRPr="00EB29B0">
        <w:rPr>
          <w:rFonts w:ascii="ITC Avant Garde" w:eastAsia="Times New Roman" w:hAnsi="ITC Avant Garde"/>
        </w:rPr>
        <w:t>”</w:t>
      </w:r>
      <w:r w:rsidRPr="00EB29B0">
        <w:rPr>
          <w:rFonts w:ascii="ITC Avant Garde" w:eastAsia="Times New Roman" w:hAnsi="ITC Avant Garde"/>
        </w:rPr>
        <w:t>), el “</w:t>
      </w:r>
      <w:r w:rsidRPr="00EB29B0">
        <w:rPr>
          <w:rFonts w:ascii="ITC Avant Garde" w:eastAsia="Times New Roman" w:hAnsi="ITC Avant Garde"/>
          <w:i/>
        </w:rPr>
        <w:t>DECRETO por el que se reforman y adicionan diversas disposiciones de los artículos 6o., 7o., 27, 28, 73, 78, 94 y 105 de la Constitución Política de los Estados Unidos Mexicanos, en materia de telecomunicaciones</w:t>
      </w:r>
      <w:r w:rsidRPr="00EB29B0">
        <w:rPr>
          <w:rFonts w:ascii="ITC Avant Garde" w:eastAsia="Times New Roman" w:hAnsi="ITC Avant Garde"/>
        </w:rPr>
        <w:t>” (</w:t>
      </w:r>
      <w:r w:rsidR="0097205C" w:rsidRPr="00EB29B0">
        <w:rPr>
          <w:rFonts w:ascii="ITC Avant Garde" w:eastAsia="Times New Roman" w:hAnsi="ITC Avant Garde"/>
        </w:rPr>
        <w:t>en lo sucesivo, “</w:t>
      </w:r>
      <w:r w:rsidRPr="00EB29B0">
        <w:rPr>
          <w:rFonts w:ascii="ITC Avant Garde" w:eastAsia="Times New Roman" w:hAnsi="ITC Avant Garde"/>
        </w:rPr>
        <w:t>Decreto</w:t>
      </w:r>
      <w:r w:rsidR="0097205C" w:rsidRPr="00EB29B0">
        <w:rPr>
          <w:rFonts w:ascii="ITC Avant Garde" w:eastAsia="Times New Roman" w:hAnsi="ITC Avant Garde"/>
        </w:rPr>
        <w:t>”</w:t>
      </w:r>
      <w:r w:rsidRPr="00EB29B0">
        <w:rPr>
          <w:rFonts w:ascii="ITC Avant Garde" w:eastAsia="Times New Roman" w:hAnsi="ITC Avant Garde"/>
        </w:rPr>
        <w:t>), mediante el cual se creó al Instituto Federal de Telecomunicaciones (</w:t>
      </w:r>
      <w:r w:rsidR="0097205C" w:rsidRPr="00EB29B0">
        <w:rPr>
          <w:rFonts w:ascii="ITC Avant Garde" w:eastAsia="Times New Roman" w:hAnsi="ITC Avant Garde"/>
        </w:rPr>
        <w:t>en lo sucesivo, “</w:t>
      </w:r>
      <w:r w:rsidRPr="00EB29B0">
        <w:rPr>
          <w:rFonts w:ascii="ITC Avant Garde" w:eastAsia="Times New Roman" w:hAnsi="ITC Avant Garde"/>
        </w:rPr>
        <w:t>Instituto</w:t>
      </w:r>
      <w:r w:rsidR="0097205C" w:rsidRPr="00EB29B0">
        <w:rPr>
          <w:rFonts w:ascii="ITC Avant Garde" w:eastAsia="Times New Roman" w:hAnsi="ITC Avant Garde"/>
        </w:rPr>
        <w:t>”</w:t>
      </w:r>
      <w:r w:rsidRPr="00EB29B0">
        <w:rPr>
          <w:rFonts w:ascii="ITC Avant Garde" w:eastAsia="Times New Roman" w:hAnsi="ITC Avant Garde"/>
        </w:rPr>
        <w:t>), como un órgano autónomo con personalidad jurídica y patrimonio propio, cuyo objeto es el desarrollo eficiente de la radiodifusión y las telecomunicaciones conforme a lo dispuesto en la propia Constitución Política de los Estados Unidos Mexicanos (</w:t>
      </w:r>
      <w:r w:rsidR="0097205C" w:rsidRPr="00EB29B0">
        <w:rPr>
          <w:rFonts w:ascii="ITC Avant Garde" w:eastAsia="Times New Roman" w:hAnsi="ITC Avant Garde"/>
        </w:rPr>
        <w:t>en lo sucesivo, “</w:t>
      </w:r>
      <w:r w:rsidRPr="00EB29B0">
        <w:rPr>
          <w:rFonts w:ascii="ITC Avant Garde" w:eastAsia="Times New Roman" w:hAnsi="ITC Avant Garde"/>
        </w:rPr>
        <w:t>Constitución</w:t>
      </w:r>
      <w:r w:rsidR="0097205C" w:rsidRPr="00EB29B0">
        <w:rPr>
          <w:rFonts w:ascii="ITC Avant Garde" w:eastAsia="Times New Roman" w:hAnsi="ITC Avant Garde"/>
        </w:rPr>
        <w:t>”</w:t>
      </w:r>
      <w:r w:rsidRPr="00EB29B0">
        <w:rPr>
          <w:rFonts w:ascii="ITC Avant Garde" w:eastAsia="Times New Roman" w:hAnsi="ITC Avant Garde"/>
        </w:rPr>
        <w:t>)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rsidR="007C4BEB" w:rsidRDefault="007C4BEB" w:rsidP="00A33196">
      <w:pPr>
        <w:spacing w:after="0"/>
        <w:ind w:left="720"/>
        <w:contextualSpacing/>
        <w:rPr>
          <w:rFonts w:ascii="ITC Avant Garde" w:eastAsia="Times New Roman" w:hAnsi="ITC Avant Garde"/>
        </w:rPr>
      </w:pPr>
    </w:p>
    <w:p w:rsidR="007C4BEB" w:rsidRDefault="007C4BEB" w:rsidP="00A33196">
      <w:pPr>
        <w:widowControl w:val="0"/>
        <w:numPr>
          <w:ilvl w:val="0"/>
          <w:numId w:val="2"/>
        </w:numPr>
        <w:spacing w:after="0"/>
        <w:contextualSpacing/>
        <w:jc w:val="both"/>
        <w:rPr>
          <w:rFonts w:ascii="ITC Avant Garde" w:eastAsia="Times New Roman" w:hAnsi="ITC Avant Garde"/>
        </w:rPr>
      </w:pPr>
      <w:r w:rsidRPr="00EB29B0">
        <w:rPr>
          <w:rFonts w:ascii="ITC Avant Garde" w:eastAsia="Times New Roman" w:hAnsi="ITC Avant Garde"/>
        </w:rPr>
        <w:t>El 6 de marzo de 2014, el Pleno del Instituto en su V Sesión Extraordinaria, aprobó mediante Acuerdo P/IFT/EXT/060314/76 la "</w:t>
      </w:r>
      <w:r w:rsidR="00467E9D" w:rsidRPr="00EB29B0">
        <w:rPr>
          <w:rFonts w:ascii="ITC Avant Garde" w:eastAsia="Times New Roman" w:hAnsi="ITC Avant Garde"/>
          <w:i/>
        </w:rPr>
        <w:t xml:space="preserve">Resolución mediante la cual el Pleno del Instituto Federal de Telecomunicaciones determina al grupo de interés económico del que forman parte América Móvil, S.A.B. de C.V., Teléfonos de México, S.A.B. de C.V., Teléfonos </w:t>
      </w:r>
      <w:r w:rsidR="00C644E3" w:rsidRPr="00EB29B0">
        <w:rPr>
          <w:rFonts w:ascii="ITC Avant Garde" w:eastAsia="Times New Roman" w:hAnsi="ITC Avant Garde"/>
          <w:i/>
        </w:rPr>
        <w:t>d</w:t>
      </w:r>
      <w:r w:rsidR="00467E9D" w:rsidRPr="00EB29B0">
        <w:rPr>
          <w:rFonts w:ascii="ITC Avant Garde" w:eastAsia="Times New Roman" w:hAnsi="ITC Avant Garde"/>
          <w:i/>
        </w:rPr>
        <w:t xml:space="preserve">el Noroeste, S.A. </w:t>
      </w:r>
      <w:r w:rsidR="00C644E3" w:rsidRPr="00EB29B0">
        <w:rPr>
          <w:rFonts w:ascii="ITC Avant Garde" w:eastAsia="Times New Roman" w:hAnsi="ITC Avant Garde"/>
          <w:i/>
        </w:rPr>
        <w:t>d</w:t>
      </w:r>
      <w:r w:rsidR="00467E9D" w:rsidRPr="00EB29B0">
        <w:rPr>
          <w:rFonts w:ascii="ITC Avant Garde" w:eastAsia="Times New Roman" w:hAnsi="ITC Avant Garde"/>
          <w:i/>
        </w:rPr>
        <w:t xml:space="preserve">e C.V., Radiomóvil Dipsa, S.A.B. </w:t>
      </w:r>
      <w:r w:rsidR="00C644E3" w:rsidRPr="00EB29B0">
        <w:rPr>
          <w:rFonts w:ascii="ITC Avant Garde" w:eastAsia="Times New Roman" w:hAnsi="ITC Avant Garde"/>
          <w:i/>
        </w:rPr>
        <w:t>d</w:t>
      </w:r>
      <w:r w:rsidR="00467E9D" w:rsidRPr="00EB29B0">
        <w:rPr>
          <w:rFonts w:ascii="ITC Avant Garde" w:eastAsia="Times New Roman" w:hAnsi="ITC Avant Garde"/>
          <w:i/>
        </w:rPr>
        <w:t xml:space="preserve">e C.V., Grupo Carso, S.A.B. </w:t>
      </w:r>
      <w:r w:rsidR="00C644E3" w:rsidRPr="00EB29B0">
        <w:rPr>
          <w:rFonts w:ascii="ITC Avant Garde" w:eastAsia="Times New Roman" w:hAnsi="ITC Avant Garde"/>
          <w:i/>
        </w:rPr>
        <w:t>d</w:t>
      </w:r>
      <w:r w:rsidR="00467E9D" w:rsidRPr="00EB29B0">
        <w:rPr>
          <w:rFonts w:ascii="ITC Avant Garde" w:eastAsia="Times New Roman" w:hAnsi="ITC Avant Garde"/>
          <w:i/>
        </w:rPr>
        <w:t xml:space="preserve">e C.V., </w:t>
      </w:r>
      <w:r w:rsidR="00C644E3" w:rsidRPr="00EB29B0">
        <w:rPr>
          <w:rFonts w:ascii="ITC Avant Garde" w:eastAsia="Times New Roman" w:hAnsi="ITC Avant Garde"/>
          <w:i/>
        </w:rPr>
        <w:t>y</w:t>
      </w:r>
      <w:r w:rsidR="00467E9D" w:rsidRPr="00EB29B0">
        <w:rPr>
          <w:rFonts w:ascii="ITC Avant Garde" w:eastAsia="Times New Roman" w:hAnsi="ITC Avant Garde"/>
          <w:i/>
        </w:rPr>
        <w:t xml:space="preserve"> Grupo Financiero Inbursa, S.A.B. </w:t>
      </w:r>
      <w:r w:rsidR="00C644E3" w:rsidRPr="00EB29B0">
        <w:rPr>
          <w:rFonts w:ascii="ITC Avant Garde" w:eastAsia="Times New Roman" w:hAnsi="ITC Avant Garde"/>
          <w:i/>
        </w:rPr>
        <w:t>d</w:t>
      </w:r>
      <w:r w:rsidR="00467E9D" w:rsidRPr="00EB29B0">
        <w:rPr>
          <w:rFonts w:ascii="ITC Avant Garde" w:eastAsia="Times New Roman" w:hAnsi="ITC Avant Garde"/>
          <w:i/>
        </w:rPr>
        <w:t xml:space="preserve">e C.V., </w:t>
      </w:r>
      <w:r w:rsidR="00C644E3" w:rsidRPr="00EB29B0">
        <w:rPr>
          <w:rFonts w:ascii="ITC Avant Garde" w:eastAsia="Times New Roman" w:hAnsi="ITC Avant Garde"/>
          <w:i/>
        </w:rPr>
        <w:t>c</w:t>
      </w:r>
      <w:r w:rsidR="00467E9D" w:rsidRPr="00EB29B0">
        <w:rPr>
          <w:rFonts w:ascii="ITC Avant Garde" w:eastAsia="Times New Roman" w:hAnsi="ITC Avant Garde"/>
          <w:i/>
        </w:rPr>
        <w:t xml:space="preserve">omo Agente Económico Preponderante </w:t>
      </w:r>
      <w:r w:rsidR="00C644E3" w:rsidRPr="00EB29B0">
        <w:rPr>
          <w:rFonts w:ascii="ITC Avant Garde" w:eastAsia="Times New Roman" w:hAnsi="ITC Avant Garde"/>
          <w:i/>
        </w:rPr>
        <w:t>en el sector de telecomunicaciones y le impone l</w:t>
      </w:r>
      <w:r w:rsidR="00467E9D" w:rsidRPr="00EB29B0">
        <w:rPr>
          <w:rFonts w:ascii="ITC Avant Garde" w:eastAsia="Times New Roman" w:hAnsi="ITC Avant Garde"/>
          <w:i/>
        </w:rPr>
        <w:t xml:space="preserve">as Medidas </w:t>
      </w:r>
      <w:r w:rsidR="00C644E3" w:rsidRPr="00EB29B0">
        <w:rPr>
          <w:rFonts w:ascii="ITC Avant Garde" w:eastAsia="Times New Roman" w:hAnsi="ITC Avant Garde"/>
          <w:i/>
        </w:rPr>
        <w:t>necesarias para evitar que se afecte la competencia y la libre concurrencia</w:t>
      </w:r>
      <w:r w:rsidRPr="00EB29B0">
        <w:rPr>
          <w:rFonts w:ascii="ITC Avant Garde" w:eastAsia="Times New Roman" w:hAnsi="ITC Avant Garde"/>
        </w:rPr>
        <w:t>." (</w:t>
      </w:r>
      <w:r w:rsidR="0097205C" w:rsidRPr="00EB29B0">
        <w:rPr>
          <w:rFonts w:ascii="ITC Avant Garde" w:eastAsia="Times New Roman" w:hAnsi="ITC Avant Garde"/>
        </w:rPr>
        <w:t>en lo sucesivo, “</w:t>
      </w:r>
      <w:r w:rsidRPr="00EB29B0">
        <w:rPr>
          <w:rFonts w:ascii="ITC Avant Garde" w:eastAsia="Times New Roman" w:hAnsi="ITC Avant Garde"/>
        </w:rPr>
        <w:t>Resolución AEP</w:t>
      </w:r>
      <w:r w:rsidR="0097205C" w:rsidRPr="00EB29B0">
        <w:rPr>
          <w:rFonts w:ascii="ITC Avant Garde" w:eastAsia="Times New Roman" w:hAnsi="ITC Avant Garde"/>
        </w:rPr>
        <w:t>”</w:t>
      </w:r>
      <w:r w:rsidRPr="00EB29B0">
        <w:rPr>
          <w:rFonts w:ascii="ITC Avant Garde" w:eastAsia="Times New Roman" w:hAnsi="ITC Avant Garde"/>
        </w:rPr>
        <w:t>).</w:t>
      </w:r>
    </w:p>
    <w:p w:rsidR="009A0009" w:rsidRDefault="009A0009" w:rsidP="00274117">
      <w:pPr>
        <w:pStyle w:val="Prrafodelista"/>
        <w:spacing w:after="0" w:line="240" w:lineRule="auto"/>
        <w:rPr>
          <w:rFonts w:ascii="ITC Avant Garde" w:eastAsia="Times New Roman" w:hAnsi="ITC Avant Garde"/>
        </w:rPr>
      </w:pPr>
    </w:p>
    <w:p w:rsidR="007C4BEB" w:rsidRDefault="007C4BEB" w:rsidP="00692A8E">
      <w:pPr>
        <w:widowControl w:val="0"/>
        <w:spacing w:after="0"/>
        <w:ind w:left="1080"/>
        <w:contextualSpacing/>
        <w:jc w:val="both"/>
        <w:rPr>
          <w:rFonts w:ascii="ITC Avant Garde" w:eastAsia="Times New Roman" w:hAnsi="ITC Avant Garde"/>
        </w:rPr>
      </w:pPr>
      <w:r w:rsidRPr="00EB29B0">
        <w:rPr>
          <w:rFonts w:ascii="ITC Avant Garde" w:eastAsia="Times New Roman" w:hAnsi="ITC Avant Garde"/>
        </w:rPr>
        <w:t>En la Resolución AEP el Pleno del Instituto emitió Anexo 2 denominado “</w:t>
      </w:r>
      <w:r w:rsidR="00C644E3" w:rsidRPr="00EB29B0">
        <w:rPr>
          <w:rFonts w:ascii="ITC Avant Garde" w:eastAsia="Times New Roman" w:hAnsi="ITC Avant Garde"/>
          <w:i/>
        </w:rPr>
        <w:t xml:space="preserve">Medidas relacionadas con información, oferta y calidad de servicios, acuerdos en exclusiva, limitaciones al uso de equipos terminales entre redes, </w:t>
      </w:r>
      <w:r w:rsidR="00C644E3" w:rsidRPr="00EB29B0">
        <w:rPr>
          <w:rFonts w:ascii="ITC Avant Garde" w:eastAsia="Times New Roman" w:hAnsi="ITC Avant Garde"/>
          <w:i/>
        </w:rPr>
        <w:lastRenderedPageBreak/>
        <w:t>regulación asimétrica en tarifas e infraestructura de red, incluyendo la desagregación de sus elementos esenciales y, en su caso, la separación contable, funcional o estructural al agente económico preponderante en los servicios de telecomunicaciones fijos</w:t>
      </w:r>
      <w:r w:rsidRPr="00EB29B0">
        <w:rPr>
          <w:rFonts w:ascii="ITC Avant Garde" w:eastAsia="Times New Roman" w:hAnsi="ITC Avant Garde"/>
        </w:rPr>
        <w:t>”.</w:t>
      </w:r>
    </w:p>
    <w:p w:rsidR="002E45EC" w:rsidRPr="00171F82" w:rsidRDefault="002E45EC" w:rsidP="002E45EC">
      <w:pPr>
        <w:pStyle w:val="NumeracinIFT"/>
        <w:spacing w:before="240"/>
        <w:ind w:left="1071" w:firstLine="0"/>
        <w:contextualSpacing w:val="0"/>
      </w:pPr>
      <w:r>
        <w:t xml:space="preserve">De igual forma, la Resolución AEP contienen </w:t>
      </w:r>
      <w:r w:rsidRPr="00171F82">
        <w:t xml:space="preserve">el Anexo 3 denominado </w:t>
      </w:r>
      <w:r w:rsidRPr="00171F82">
        <w:rPr>
          <w:i/>
        </w:rPr>
        <w:t>“</w:t>
      </w:r>
      <w:r>
        <w:rPr>
          <w:i/>
        </w:rPr>
        <w:t>M</w:t>
      </w:r>
      <w:r w:rsidRPr="00171F82">
        <w:rPr>
          <w:i/>
        </w:rPr>
        <w:t>edidas que permiten la desagregación efectiva de la red local del agente económico preponderante en telecomunicaciones de manera que otros concesionarios de telecomunicaciones puedan acceder, entre otros, a los medios físicos, técnicos y lógicos de conexión entre cualquier punto terminal de la red pública de telecomunicaciones y el punto de acceso a la red local perteneciente a dicho agente”</w:t>
      </w:r>
      <w:r w:rsidRPr="00171F82">
        <w:t>.</w:t>
      </w:r>
    </w:p>
    <w:p w:rsidR="0083122A" w:rsidRPr="00EB29B0" w:rsidRDefault="007C4BEB" w:rsidP="00BB01CA">
      <w:pPr>
        <w:pStyle w:val="Prrafodelista"/>
        <w:numPr>
          <w:ilvl w:val="0"/>
          <w:numId w:val="2"/>
        </w:numPr>
        <w:spacing w:after="0"/>
        <w:jc w:val="both"/>
        <w:rPr>
          <w:rFonts w:ascii="ITC Avant Garde" w:eastAsia="Times New Roman" w:hAnsi="ITC Avant Garde"/>
          <w:sz w:val="22"/>
          <w:szCs w:val="22"/>
          <w:lang w:val="es-MX" w:eastAsia="en-US"/>
        </w:rPr>
      </w:pPr>
      <w:r w:rsidRPr="00EB29B0">
        <w:rPr>
          <w:rFonts w:ascii="ITC Avant Garde" w:eastAsia="Times New Roman" w:hAnsi="ITC Avant Garde"/>
          <w:sz w:val="22"/>
          <w:szCs w:val="22"/>
        </w:rPr>
        <w:t>El 14 de julio de 2014, se publicó en el DOF el “</w:t>
      </w:r>
      <w:r w:rsidRPr="00EB29B0">
        <w:rPr>
          <w:rFonts w:ascii="ITC Avant Garde" w:eastAsia="Times New Roman" w:hAnsi="ITC Avant Garde"/>
          <w:i/>
          <w:sz w:val="22"/>
          <w:szCs w:val="22"/>
        </w:rPr>
        <w:t xml:space="preserve">DECRETO por el que se expiden la Ley Federal de Telecomunicaciones y Radiodifusión, y la Ley del Sistema Público de Radiodifusión del Estado Mexicano; y se reforman, adicionan y derogan diversas disposiciones en materia de telecomunicaciones y radiodifusión” </w:t>
      </w:r>
      <w:r w:rsidRPr="00EB29B0">
        <w:rPr>
          <w:rFonts w:ascii="ITC Avant Garde" w:eastAsia="Times New Roman" w:hAnsi="ITC Avant Garde"/>
          <w:sz w:val="22"/>
          <w:szCs w:val="22"/>
        </w:rPr>
        <w:t>(</w:t>
      </w:r>
      <w:r w:rsidR="000B58C5" w:rsidRPr="00EB29B0">
        <w:rPr>
          <w:rFonts w:ascii="ITC Avant Garde" w:eastAsia="Times New Roman" w:hAnsi="ITC Avant Garde"/>
          <w:sz w:val="22"/>
          <w:szCs w:val="22"/>
        </w:rPr>
        <w:t>en lo sucesivo,</w:t>
      </w:r>
      <w:r w:rsidR="00FF11FF">
        <w:rPr>
          <w:rFonts w:ascii="ITC Avant Garde" w:eastAsia="Times New Roman" w:hAnsi="ITC Avant Garde"/>
          <w:sz w:val="22"/>
          <w:szCs w:val="22"/>
          <w:lang w:val="es-MX"/>
        </w:rPr>
        <w:t xml:space="preserve"> </w:t>
      </w:r>
      <w:r w:rsidR="000B58C5" w:rsidRPr="00EB29B0">
        <w:rPr>
          <w:rFonts w:ascii="ITC Avant Garde" w:eastAsia="Times New Roman" w:hAnsi="ITC Avant Garde"/>
          <w:sz w:val="22"/>
          <w:szCs w:val="22"/>
        </w:rPr>
        <w:t>“</w:t>
      </w:r>
      <w:r w:rsidRPr="00EB29B0">
        <w:rPr>
          <w:rFonts w:ascii="ITC Avant Garde" w:eastAsia="Times New Roman" w:hAnsi="ITC Avant Garde"/>
          <w:sz w:val="22"/>
          <w:szCs w:val="22"/>
        </w:rPr>
        <w:t>Decreto de Ley</w:t>
      </w:r>
      <w:r w:rsidR="000B58C5" w:rsidRPr="00EB29B0">
        <w:rPr>
          <w:rFonts w:ascii="ITC Avant Garde" w:eastAsia="Times New Roman" w:hAnsi="ITC Avant Garde"/>
          <w:sz w:val="22"/>
          <w:szCs w:val="22"/>
        </w:rPr>
        <w:t>”</w:t>
      </w:r>
      <w:r w:rsidRPr="00EB29B0">
        <w:rPr>
          <w:rFonts w:ascii="ITC Avant Garde" w:eastAsia="Times New Roman" w:hAnsi="ITC Avant Garde"/>
          <w:sz w:val="22"/>
          <w:szCs w:val="22"/>
        </w:rPr>
        <w:t>), entrando en vigor la Ley Federal de Telecomunicaciones y Radiodifusión (</w:t>
      </w:r>
      <w:r w:rsidR="000B58C5" w:rsidRPr="00EB29B0">
        <w:rPr>
          <w:rFonts w:ascii="ITC Avant Garde" w:eastAsia="Times New Roman" w:hAnsi="ITC Avant Garde"/>
          <w:sz w:val="22"/>
          <w:szCs w:val="22"/>
        </w:rPr>
        <w:t>en lo sucesivo, “LFTR”</w:t>
      </w:r>
      <w:r w:rsidRPr="00EB29B0">
        <w:rPr>
          <w:rFonts w:ascii="ITC Avant Garde" w:eastAsia="Times New Roman" w:hAnsi="ITC Avant Garde"/>
          <w:sz w:val="22"/>
          <w:szCs w:val="22"/>
        </w:rPr>
        <w:t>) el 13 de agosto del 2014</w:t>
      </w:r>
      <w:r w:rsidR="0083122A" w:rsidRPr="00EB29B0">
        <w:rPr>
          <w:rFonts w:ascii="ITC Avant Garde" w:eastAsia="Times New Roman" w:hAnsi="ITC Avant Garde"/>
          <w:sz w:val="22"/>
          <w:szCs w:val="22"/>
        </w:rPr>
        <w:t xml:space="preserve">, </w:t>
      </w:r>
      <w:r w:rsidR="0083122A" w:rsidRPr="00EB29B0">
        <w:rPr>
          <w:rFonts w:ascii="ITC Avant Garde" w:eastAsia="Times New Roman" w:hAnsi="ITC Avant Garde"/>
          <w:sz w:val="22"/>
          <w:szCs w:val="22"/>
          <w:lang w:val="es-MX" w:eastAsia="en-US"/>
        </w:rPr>
        <w:t xml:space="preserve">cuya última reforma fue publicada en el DOF el </w:t>
      </w:r>
      <w:r w:rsidR="007276E6">
        <w:rPr>
          <w:rFonts w:ascii="ITC Avant Garde" w:eastAsia="Times New Roman" w:hAnsi="ITC Avant Garde"/>
          <w:sz w:val="22"/>
          <w:szCs w:val="22"/>
          <w:lang w:val="es-MX" w:eastAsia="en-US"/>
        </w:rPr>
        <w:t>15</w:t>
      </w:r>
      <w:r w:rsidR="007276E6" w:rsidRPr="00EB29B0">
        <w:rPr>
          <w:rFonts w:ascii="ITC Avant Garde" w:eastAsia="Times New Roman" w:hAnsi="ITC Avant Garde"/>
          <w:sz w:val="22"/>
          <w:szCs w:val="22"/>
          <w:lang w:val="es-MX" w:eastAsia="en-US"/>
        </w:rPr>
        <w:t xml:space="preserve"> de </w:t>
      </w:r>
      <w:r w:rsidR="007276E6">
        <w:rPr>
          <w:rFonts w:ascii="ITC Avant Garde" w:eastAsia="Times New Roman" w:hAnsi="ITC Avant Garde"/>
          <w:sz w:val="22"/>
          <w:szCs w:val="22"/>
          <w:lang w:val="es-MX" w:eastAsia="en-US"/>
        </w:rPr>
        <w:t>junio</w:t>
      </w:r>
      <w:r w:rsidR="007276E6" w:rsidRPr="00EB29B0">
        <w:rPr>
          <w:rFonts w:ascii="ITC Avant Garde" w:eastAsia="Times New Roman" w:hAnsi="ITC Avant Garde"/>
          <w:sz w:val="22"/>
          <w:szCs w:val="22"/>
          <w:lang w:val="es-MX" w:eastAsia="en-US"/>
        </w:rPr>
        <w:t xml:space="preserve"> de 201</w:t>
      </w:r>
      <w:r w:rsidR="007276E6">
        <w:rPr>
          <w:rFonts w:ascii="ITC Avant Garde" w:eastAsia="Times New Roman" w:hAnsi="ITC Avant Garde"/>
          <w:sz w:val="22"/>
          <w:szCs w:val="22"/>
          <w:lang w:val="es-MX" w:eastAsia="en-US"/>
        </w:rPr>
        <w:t>8</w:t>
      </w:r>
      <w:r w:rsidR="0083122A" w:rsidRPr="00EB29B0">
        <w:rPr>
          <w:rFonts w:ascii="ITC Avant Garde" w:eastAsia="Times New Roman" w:hAnsi="ITC Avant Garde"/>
          <w:sz w:val="22"/>
          <w:szCs w:val="22"/>
          <w:lang w:val="es-MX" w:eastAsia="en-US"/>
        </w:rPr>
        <w:t>.</w:t>
      </w:r>
    </w:p>
    <w:p w:rsidR="007C4BEB" w:rsidRPr="00EB29B0" w:rsidRDefault="007C4BEB" w:rsidP="0083122A">
      <w:pPr>
        <w:widowControl w:val="0"/>
        <w:spacing w:after="0"/>
        <w:ind w:left="1080"/>
        <w:contextualSpacing/>
        <w:jc w:val="both"/>
        <w:rPr>
          <w:rFonts w:ascii="ITC Avant Garde" w:eastAsia="Times New Roman" w:hAnsi="ITC Avant Garde"/>
        </w:rPr>
      </w:pPr>
    </w:p>
    <w:p w:rsidR="00BB01CA" w:rsidRPr="007276E6" w:rsidRDefault="0095084C" w:rsidP="00BB01CA">
      <w:pPr>
        <w:pStyle w:val="Prrafodelista"/>
        <w:numPr>
          <w:ilvl w:val="0"/>
          <w:numId w:val="2"/>
        </w:numPr>
        <w:spacing w:after="0"/>
        <w:jc w:val="both"/>
        <w:rPr>
          <w:rFonts w:ascii="ITC Avant Garde" w:hAnsi="ITC Avant Garde" w:cs="Arial"/>
          <w:sz w:val="22"/>
          <w:szCs w:val="22"/>
          <w:lang w:eastAsia="es-ES"/>
        </w:rPr>
      </w:pPr>
      <w:r w:rsidRPr="00EB29B0">
        <w:rPr>
          <w:rFonts w:ascii="ITC Avant Garde" w:hAnsi="ITC Avant Garde" w:cs="Arial"/>
          <w:sz w:val="22"/>
          <w:szCs w:val="22"/>
          <w:lang w:eastAsia="es-ES"/>
        </w:rPr>
        <w:t>El 4 de septiembre de 2014 se publicó en el DOF el “</w:t>
      </w:r>
      <w:r w:rsidRPr="00EB29B0">
        <w:rPr>
          <w:rFonts w:ascii="ITC Avant Garde" w:hAnsi="ITC Avant Garde" w:cs="Arial"/>
          <w:i/>
          <w:sz w:val="22"/>
          <w:szCs w:val="22"/>
          <w:lang w:eastAsia="es-ES"/>
        </w:rPr>
        <w:t>ESTATUTO Orgánico del Instituto Federal de Telecomunicaciones”</w:t>
      </w:r>
      <w:r w:rsidRPr="00EB29B0">
        <w:rPr>
          <w:rFonts w:ascii="ITC Avant Garde" w:hAnsi="ITC Avant Garde" w:cs="Arial"/>
          <w:sz w:val="22"/>
          <w:szCs w:val="22"/>
          <w:lang w:eastAsia="es-ES"/>
        </w:rPr>
        <w:t xml:space="preserve">, mismo que entró en vigor el 26 de septiembre de 2014, </w:t>
      </w:r>
      <w:r w:rsidR="00BB01CA" w:rsidRPr="007276E6">
        <w:rPr>
          <w:rFonts w:ascii="ITC Avant Garde" w:hAnsi="ITC Avant Garde" w:cs="Arial"/>
          <w:sz w:val="22"/>
          <w:szCs w:val="22"/>
          <w:lang w:eastAsia="es-ES"/>
        </w:rPr>
        <w:t>cuya última modific</w:t>
      </w:r>
      <w:r w:rsidR="00C27174">
        <w:rPr>
          <w:rFonts w:ascii="ITC Avant Garde" w:hAnsi="ITC Avant Garde" w:cs="Arial"/>
          <w:sz w:val="22"/>
          <w:szCs w:val="22"/>
          <w:lang w:eastAsia="es-ES"/>
        </w:rPr>
        <w:t>ación fue publicada en el DOF 13</w:t>
      </w:r>
      <w:r w:rsidR="00BB01CA" w:rsidRPr="007276E6">
        <w:rPr>
          <w:rFonts w:ascii="ITC Avant Garde" w:hAnsi="ITC Avant Garde" w:cs="Arial"/>
          <w:sz w:val="22"/>
          <w:szCs w:val="22"/>
          <w:lang w:eastAsia="es-ES"/>
        </w:rPr>
        <w:t xml:space="preserve"> de julio de 201</w:t>
      </w:r>
      <w:r w:rsidR="00C27174">
        <w:rPr>
          <w:rFonts w:ascii="ITC Avant Garde" w:hAnsi="ITC Avant Garde" w:cs="Arial"/>
          <w:sz w:val="22"/>
          <w:szCs w:val="22"/>
          <w:lang w:val="es-MX" w:eastAsia="es-ES"/>
        </w:rPr>
        <w:t>8</w:t>
      </w:r>
      <w:r w:rsidR="00BB01CA" w:rsidRPr="007276E6">
        <w:rPr>
          <w:rFonts w:ascii="ITC Avant Garde" w:hAnsi="ITC Avant Garde" w:cs="Arial"/>
          <w:sz w:val="22"/>
          <w:szCs w:val="22"/>
          <w:lang w:eastAsia="es-ES"/>
        </w:rPr>
        <w:t>.</w:t>
      </w:r>
    </w:p>
    <w:p w:rsidR="0095084C" w:rsidRPr="00EB29B0" w:rsidRDefault="0095084C" w:rsidP="000D3CF9">
      <w:pPr>
        <w:widowControl w:val="0"/>
        <w:spacing w:after="0"/>
        <w:ind w:left="1080"/>
        <w:contextualSpacing/>
        <w:jc w:val="both"/>
        <w:rPr>
          <w:rFonts w:ascii="ITC Avant Garde" w:eastAsia="Times New Roman" w:hAnsi="ITC Avant Garde"/>
        </w:rPr>
      </w:pPr>
    </w:p>
    <w:p w:rsidR="00766C39" w:rsidRPr="00EB29B0" w:rsidRDefault="00766C39" w:rsidP="00A33196">
      <w:pPr>
        <w:widowControl w:val="0"/>
        <w:numPr>
          <w:ilvl w:val="0"/>
          <w:numId w:val="2"/>
        </w:numPr>
        <w:spacing w:after="0"/>
        <w:contextualSpacing/>
        <w:jc w:val="both"/>
        <w:rPr>
          <w:rFonts w:ascii="ITC Avant Garde" w:eastAsia="Times New Roman" w:hAnsi="ITC Avant Garde"/>
        </w:rPr>
      </w:pPr>
      <w:r w:rsidRPr="00EB29B0">
        <w:rPr>
          <w:rFonts w:ascii="ITC Avant Garde" w:eastAsia="Times New Roman" w:hAnsi="ITC Avant Garde"/>
        </w:rPr>
        <w:t xml:space="preserve">El 27 de febrero de 2017 el Pleno del Instituto, en su IV Sesión Extraordinaria aprobó </w:t>
      </w:r>
      <w:r w:rsidR="000B58C5" w:rsidRPr="00EB29B0">
        <w:rPr>
          <w:rFonts w:ascii="ITC Avant Garde" w:eastAsia="Times New Roman" w:hAnsi="ITC Avant Garde"/>
        </w:rPr>
        <w:t xml:space="preserve">mediante Acuerdo P/IFT/EXT/270217/119 </w:t>
      </w:r>
      <w:r w:rsidRPr="00EB29B0">
        <w:rPr>
          <w:rFonts w:ascii="ITC Avant Garde" w:eastAsia="Times New Roman" w:hAnsi="ITC Avant Garde"/>
        </w:rPr>
        <w:t>la “</w:t>
      </w:r>
      <w:r w:rsidR="00CA25BB" w:rsidRPr="00EB29B0">
        <w:rPr>
          <w:rFonts w:ascii="ITC Avant Garde" w:eastAsia="Times New Roman" w:hAnsi="ITC Avant Garde"/>
          <w:i/>
        </w:rPr>
        <w:t xml:space="preserve">Resolución mediante la cual el Pleno del Instituto Federal de Telecomunicaciones suprime, modifica y adiciona las Medidas impuestas al Agente Económico Preponderante en el sector de telecomunicaciones mediante Resolución de fecha 6 de marzo de 2014, aprobada mediante Acuerdo </w:t>
      </w:r>
      <w:r w:rsidR="000B58C5" w:rsidRPr="00EB29B0">
        <w:rPr>
          <w:rFonts w:ascii="ITC Avant Garde" w:eastAsia="Times New Roman" w:hAnsi="ITC Avant Garde"/>
          <w:i/>
        </w:rPr>
        <w:t>P/IFT/EXT/060314/7</w:t>
      </w:r>
      <w:r w:rsidR="007276E6">
        <w:rPr>
          <w:rFonts w:ascii="ITC Avant Garde" w:eastAsia="Times New Roman" w:hAnsi="ITC Avant Garde"/>
          <w:i/>
        </w:rPr>
        <w:t>6</w:t>
      </w:r>
      <w:r w:rsidR="000B58C5" w:rsidRPr="00EB29B0">
        <w:rPr>
          <w:rFonts w:ascii="ITC Avant Garde" w:eastAsia="Times New Roman" w:hAnsi="ITC Avant Garde"/>
          <w:i/>
        </w:rPr>
        <w:t>”</w:t>
      </w:r>
      <w:r w:rsidRPr="00EB29B0">
        <w:rPr>
          <w:rFonts w:ascii="ITC Avant Garde" w:eastAsia="Times New Roman" w:hAnsi="ITC Avant Garde"/>
        </w:rPr>
        <w:t xml:space="preserve"> (en lo sucesivo, “Re</w:t>
      </w:r>
      <w:r w:rsidR="00DE6247">
        <w:rPr>
          <w:rFonts w:ascii="ITC Avant Garde" w:eastAsia="Times New Roman" w:hAnsi="ITC Avant Garde"/>
        </w:rPr>
        <w:t>solución</w:t>
      </w:r>
      <w:r w:rsidRPr="00EB29B0">
        <w:rPr>
          <w:rFonts w:ascii="ITC Avant Garde" w:eastAsia="Times New Roman" w:hAnsi="ITC Avant Garde"/>
        </w:rPr>
        <w:t xml:space="preserve"> </w:t>
      </w:r>
      <w:r w:rsidR="00A33196" w:rsidRPr="00EB29B0">
        <w:rPr>
          <w:rFonts w:ascii="ITC Avant Garde" w:eastAsia="Times New Roman" w:hAnsi="ITC Avant Garde"/>
        </w:rPr>
        <w:t>Bienal</w:t>
      </w:r>
      <w:r w:rsidRPr="00EB29B0">
        <w:rPr>
          <w:rFonts w:ascii="ITC Avant Garde" w:eastAsia="Times New Roman" w:hAnsi="ITC Avant Garde"/>
        </w:rPr>
        <w:t>”).</w:t>
      </w:r>
    </w:p>
    <w:p w:rsidR="009A0009" w:rsidRDefault="009A0009" w:rsidP="00A33196">
      <w:pPr>
        <w:widowControl w:val="0"/>
        <w:spacing w:after="0"/>
        <w:ind w:left="1080"/>
        <w:contextualSpacing/>
        <w:jc w:val="both"/>
        <w:rPr>
          <w:rFonts w:ascii="ITC Avant Garde" w:eastAsia="Times New Roman" w:hAnsi="ITC Avant Garde"/>
        </w:rPr>
      </w:pPr>
    </w:p>
    <w:p w:rsidR="005753EC" w:rsidRPr="00EB29B0" w:rsidRDefault="00190B27" w:rsidP="00A33196">
      <w:pPr>
        <w:widowControl w:val="0"/>
        <w:spacing w:after="0"/>
        <w:ind w:left="1080"/>
        <w:contextualSpacing/>
        <w:jc w:val="both"/>
        <w:rPr>
          <w:rFonts w:ascii="ITC Avant Garde" w:eastAsia="Times New Roman" w:hAnsi="ITC Avant Garde"/>
        </w:rPr>
      </w:pPr>
      <w:r w:rsidRPr="00EB29B0">
        <w:rPr>
          <w:rFonts w:ascii="ITC Avant Garde" w:eastAsia="Times New Roman" w:hAnsi="ITC Avant Garde"/>
        </w:rPr>
        <w:t xml:space="preserve">Asimismo, </w:t>
      </w:r>
      <w:r w:rsidR="005753EC" w:rsidRPr="00EB29B0">
        <w:rPr>
          <w:rFonts w:ascii="ITC Avant Garde" w:eastAsia="Times New Roman" w:hAnsi="ITC Avant Garde"/>
        </w:rPr>
        <w:t>en la Resolución Bienal</w:t>
      </w:r>
      <w:r w:rsidR="008471A1" w:rsidRPr="00EB29B0">
        <w:rPr>
          <w:rFonts w:ascii="ITC Avant Garde" w:eastAsia="Times New Roman" w:hAnsi="ITC Avant Garde"/>
        </w:rPr>
        <w:t>,</w:t>
      </w:r>
      <w:r w:rsidR="005753EC" w:rsidRPr="00EB29B0">
        <w:rPr>
          <w:rFonts w:ascii="ITC Avant Garde" w:eastAsia="Times New Roman" w:hAnsi="ITC Avant Garde"/>
        </w:rPr>
        <w:t xml:space="preserve"> el Pleno del Instituto emitió el Anexo 2 en el que se modifican las Medidas </w:t>
      </w:r>
      <w:r w:rsidR="00C54156" w:rsidRPr="00EB29B0">
        <w:rPr>
          <w:rFonts w:ascii="ITC Avant Garde" w:eastAsia="Times New Roman" w:hAnsi="ITC Avant Garde"/>
        </w:rPr>
        <w:t xml:space="preserve">Tercera, primer párrafo, incisos 5), 9), 22), 23), 24), 30), 31), y último párrafo, Cuarta, Quinta, Sexta, Octava, Undécima, Duodécima, Decimotercera, Decimoquinta, Decimosexta, Decimoséptima, </w:t>
      </w:r>
      <w:r w:rsidR="00C54156" w:rsidRPr="00EB29B0">
        <w:rPr>
          <w:rFonts w:ascii="ITC Avant Garde" w:eastAsia="Times New Roman" w:hAnsi="ITC Avant Garde"/>
        </w:rPr>
        <w:lastRenderedPageBreak/>
        <w:t xml:space="preserve">Decimoctava, Decimonovena, Vigésima, Vigésima Segunda, Vigésima Tercera </w:t>
      </w:r>
      <w:r w:rsidR="00D62EFF" w:rsidRPr="00EB29B0">
        <w:rPr>
          <w:rFonts w:ascii="ITC Avant Garde" w:eastAsia="Times New Roman" w:hAnsi="ITC Avant Garde"/>
        </w:rPr>
        <w:t>primer p</w:t>
      </w:r>
      <w:r w:rsidR="00C54156" w:rsidRPr="00EB29B0">
        <w:rPr>
          <w:rFonts w:ascii="ITC Avant Garde" w:eastAsia="Times New Roman" w:hAnsi="ITC Avant Garde"/>
        </w:rPr>
        <w:t>árrafo, Vigésima Sexta, Trigésima Quinta, Trigésima Sexta, Trigésima Séptima, Trigésima Octava, Trigésima Novena, Cuadragésima Primera, Cuadragésima Segunda, Cuadragésima Tercera, Cuadragésima Cuarta, Quincuagésima Tercera y Sexagésima; se adicionan las Medidas Tercera, Incisos 0), 3.1), 11.1), 12.1), 19.1), 19.2), 20.1), 20.2) Y 24.1), Séptima, segundo párrafo, Sexagésima Cuarta, Sexagésima Quinta, Sexagésima Sexta, Sexagésima Séptima, Sexagésima Octava, Sexagésima Novena, Septuagésima y Septuagésima Primera, y se suprime la Medida Tercera,</w:t>
      </w:r>
      <w:r w:rsidR="005753EC" w:rsidRPr="00EB29B0">
        <w:rPr>
          <w:rFonts w:ascii="ITC Avant Garde" w:eastAsia="Times New Roman" w:hAnsi="ITC Avant Garde"/>
        </w:rPr>
        <w:t xml:space="preserve"> incisos 3), 13), 14), 15), 18), 19) y 29) del Anexo 2 de la Resolución AEP.</w:t>
      </w:r>
    </w:p>
    <w:p w:rsidR="005753EC" w:rsidRPr="00EB29B0" w:rsidRDefault="005753EC" w:rsidP="00A33196">
      <w:pPr>
        <w:widowControl w:val="0"/>
        <w:spacing w:after="0"/>
        <w:ind w:left="1080"/>
        <w:contextualSpacing/>
        <w:jc w:val="both"/>
        <w:rPr>
          <w:rFonts w:ascii="ITC Avant Garde" w:eastAsia="Times New Roman" w:hAnsi="ITC Avant Garde"/>
        </w:rPr>
      </w:pPr>
    </w:p>
    <w:p w:rsidR="00190B27" w:rsidRDefault="005753EC" w:rsidP="00A33196">
      <w:pPr>
        <w:widowControl w:val="0"/>
        <w:spacing w:after="0"/>
        <w:ind w:left="1080"/>
        <w:contextualSpacing/>
        <w:jc w:val="both"/>
        <w:rPr>
          <w:rFonts w:ascii="ITC Avant Garde" w:eastAsia="Times New Roman" w:hAnsi="ITC Avant Garde"/>
        </w:rPr>
      </w:pPr>
      <w:r w:rsidRPr="00EB29B0">
        <w:rPr>
          <w:rFonts w:ascii="ITC Avant Garde" w:eastAsia="Times New Roman" w:hAnsi="ITC Avant Garde"/>
        </w:rPr>
        <w:t>Para efectos del presente Acuerdo se le denominará de manera integral “Medidas Fijas” a las emitidas como parte del Anexo 2 de la Resolución AEP, así como a las modificaciones realizadas como parte del Anexo 2 de la Resolución Bienal.</w:t>
      </w:r>
    </w:p>
    <w:p w:rsidR="00775C92" w:rsidRDefault="00775C92" w:rsidP="00A33196">
      <w:pPr>
        <w:widowControl w:val="0"/>
        <w:spacing w:after="0"/>
        <w:ind w:left="1080"/>
        <w:contextualSpacing/>
        <w:jc w:val="both"/>
        <w:rPr>
          <w:rFonts w:ascii="ITC Avant Garde" w:eastAsia="Times New Roman" w:hAnsi="ITC Avant Garde"/>
        </w:rPr>
      </w:pPr>
    </w:p>
    <w:p w:rsidR="00775C92" w:rsidRDefault="00775C92" w:rsidP="00775C92">
      <w:pPr>
        <w:widowControl w:val="0"/>
        <w:spacing w:after="0"/>
        <w:ind w:left="1080"/>
        <w:contextualSpacing/>
        <w:jc w:val="both"/>
        <w:rPr>
          <w:rFonts w:ascii="ITC Avant Garde" w:eastAsia="Times New Roman" w:hAnsi="ITC Avant Garde"/>
        </w:rPr>
      </w:pPr>
      <w:r w:rsidRPr="00775C92">
        <w:rPr>
          <w:rFonts w:ascii="ITC Avant Garde" w:eastAsia="Times New Roman" w:hAnsi="ITC Avant Garde"/>
        </w:rPr>
        <w:t xml:space="preserve">De igual forma, en la Resolución Bienal </w:t>
      </w:r>
      <w:r w:rsidRPr="00EB29B0">
        <w:rPr>
          <w:rFonts w:ascii="ITC Avant Garde" w:eastAsia="Times New Roman" w:hAnsi="ITC Avant Garde"/>
        </w:rPr>
        <w:t>el Pleno</w:t>
      </w:r>
      <w:r>
        <w:rPr>
          <w:rFonts w:ascii="ITC Avant Garde" w:eastAsia="Times New Roman" w:hAnsi="ITC Avant Garde"/>
        </w:rPr>
        <w:t xml:space="preserve"> del Instituto emitió el Anexo 3</w:t>
      </w:r>
      <w:r w:rsidRPr="00EB29B0">
        <w:rPr>
          <w:rFonts w:ascii="ITC Avant Garde" w:eastAsia="Times New Roman" w:hAnsi="ITC Avant Garde"/>
        </w:rPr>
        <w:t xml:space="preserve"> en el que</w:t>
      </w:r>
      <w:r>
        <w:rPr>
          <w:rFonts w:ascii="ITC Avant Garde" w:eastAsia="Times New Roman" w:hAnsi="ITC Avant Garde"/>
        </w:rPr>
        <w:t xml:space="preserve"> s</w:t>
      </w:r>
      <w:r w:rsidRPr="00775C92">
        <w:rPr>
          <w:rFonts w:ascii="ITC Avant Garde" w:eastAsia="Times New Roman" w:hAnsi="ITC Avant Garde"/>
        </w:rPr>
        <w:t xml:space="preserve">e modifican las medidas segunda, tercera, primer párrafo, incisos 4), 14), 15) y último párrafo, cuarta, quinta, undécima, decimosexta, decimoctava, vigésima, vigésima quinta, vigésima sexta, vigésima séptima, primer párrafo, vigésima novena, trigésima, trigésima primera, trigésima tercera, trigésima cuarta, trigésima sexta, segundo párrafo, trigésima novena y cuadragésima primera; se adicionan las medidas tercera, incisos 1.1), 2.1), 3.1), 4.1), 5.1), 6.1), 7.1), 7.2), 7.3),14.1) y 15.1) y cuadragésima sexta a quincuagésima primera, y se suprimen las medidas tercera, incisos 6), 7) y 17), todas ellas del anexo 3 </w:t>
      </w:r>
      <w:r>
        <w:rPr>
          <w:rFonts w:ascii="ITC Avant Garde" w:eastAsia="Times New Roman" w:hAnsi="ITC Avant Garde"/>
        </w:rPr>
        <w:t>de la Resolución AEP.</w:t>
      </w:r>
    </w:p>
    <w:p w:rsidR="00775C92" w:rsidRDefault="00775C92" w:rsidP="00775C92">
      <w:pPr>
        <w:widowControl w:val="0"/>
        <w:spacing w:after="0"/>
        <w:ind w:left="1080"/>
        <w:contextualSpacing/>
        <w:jc w:val="both"/>
        <w:rPr>
          <w:rFonts w:ascii="ITC Avant Garde" w:eastAsia="Times New Roman" w:hAnsi="ITC Avant Garde"/>
        </w:rPr>
      </w:pPr>
    </w:p>
    <w:p w:rsidR="00775C92" w:rsidRDefault="00775C92" w:rsidP="00775C92">
      <w:pPr>
        <w:widowControl w:val="0"/>
        <w:spacing w:after="0"/>
        <w:ind w:left="1080"/>
        <w:contextualSpacing/>
        <w:jc w:val="both"/>
        <w:rPr>
          <w:rFonts w:ascii="ITC Avant Garde" w:eastAsia="Times New Roman" w:hAnsi="ITC Avant Garde"/>
        </w:rPr>
      </w:pPr>
      <w:r w:rsidRPr="00EB29B0">
        <w:rPr>
          <w:rFonts w:ascii="ITC Avant Garde" w:eastAsia="Times New Roman" w:hAnsi="ITC Avant Garde"/>
        </w:rPr>
        <w:t>Para efectos del presente Acuerdo se le denominará d</w:t>
      </w:r>
      <w:r>
        <w:rPr>
          <w:rFonts w:ascii="ITC Avant Garde" w:eastAsia="Times New Roman" w:hAnsi="ITC Avant Garde"/>
        </w:rPr>
        <w:t>e manera integral “Medidas de Desagregación</w:t>
      </w:r>
      <w:r w:rsidRPr="00EB29B0">
        <w:rPr>
          <w:rFonts w:ascii="ITC Avant Garde" w:eastAsia="Times New Roman" w:hAnsi="ITC Avant Garde"/>
        </w:rPr>
        <w:t>” a las</w:t>
      </w:r>
      <w:r>
        <w:rPr>
          <w:rFonts w:ascii="ITC Avant Garde" w:eastAsia="Times New Roman" w:hAnsi="ITC Avant Garde"/>
        </w:rPr>
        <w:t xml:space="preserve"> emitidas como parte del Anexo 3</w:t>
      </w:r>
      <w:r w:rsidRPr="00EB29B0">
        <w:rPr>
          <w:rFonts w:ascii="ITC Avant Garde" w:eastAsia="Times New Roman" w:hAnsi="ITC Avant Garde"/>
        </w:rPr>
        <w:t xml:space="preserve"> de la Resolución AEP, así como a las modificaciones r</w:t>
      </w:r>
      <w:r>
        <w:rPr>
          <w:rFonts w:ascii="ITC Avant Garde" w:eastAsia="Times New Roman" w:hAnsi="ITC Avant Garde"/>
        </w:rPr>
        <w:t>ealizadas como parte del Anexo 3</w:t>
      </w:r>
      <w:r w:rsidRPr="00EB29B0">
        <w:rPr>
          <w:rFonts w:ascii="ITC Avant Garde" w:eastAsia="Times New Roman" w:hAnsi="ITC Avant Garde"/>
        </w:rPr>
        <w:t xml:space="preserve"> de la Resolución Bienal.</w:t>
      </w:r>
    </w:p>
    <w:p w:rsidR="008D7719" w:rsidRPr="009A0009" w:rsidRDefault="008D7719" w:rsidP="00B416F3">
      <w:pPr>
        <w:widowControl w:val="0"/>
        <w:spacing w:after="0"/>
        <w:ind w:left="1080"/>
        <w:contextualSpacing/>
        <w:jc w:val="both"/>
        <w:rPr>
          <w:rFonts w:ascii="ITC Avant Garde" w:eastAsia="Times New Roman" w:hAnsi="ITC Avant Garde"/>
          <w:sz w:val="18"/>
        </w:rPr>
      </w:pPr>
    </w:p>
    <w:p w:rsidR="007C4BEB" w:rsidRDefault="007C4BEB" w:rsidP="00A33196">
      <w:pPr>
        <w:spacing w:after="0"/>
        <w:jc w:val="center"/>
        <w:rPr>
          <w:rFonts w:ascii="ITC Avant Garde" w:hAnsi="ITC Avant Garde" w:cs="Arial"/>
          <w:b/>
          <w:bCs/>
        </w:rPr>
      </w:pPr>
      <w:r w:rsidRPr="00EB29B0">
        <w:rPr>
          <w:rFonts w:ascii="ITC Avant Garde" w:hAnsi="ITC Avant Garde" w:cs="Arial"/>
          <w:b/>
          <w:bCs/>
        </w:rPr>
        <w:t>CONSIDERANDO</w:t>
      </w:r>
    </w:p>
    <w:p w:rsidR="0018779C" w:rsidRPr="00EB29B0" w:rsidRDefault="0018779C" w:rsidP="00A33196">
      <w:pPr>
        <w:spacing w:after="0"/>
        <w:jc w:val="center"/>
        <w:rPr>
          <w:rFonts w:ascii="ITC Avant Garde" w:hAnsi="ITC Avant Garde" w:cs="Arial"/>
          <w:b/>
          <w:bCs/>
        </w:rPr>
      </w:pPr>
    </w:p>
    <w:p w:rsidR="007C4BEB" w:rsidRPr="00EB29B0" w:rsidRDefault="002F49AF" w:rsidP="00A33196">
      <w:pPr>
        <w:spacing w:after="0"/>
        <w:jc w:val="both"/>
        <w:rPr>
          <w:rFonts w:ascii="ITC Avant Garde" w:hAnsi="ITC Avant Garde" w:cs="Arial"/>
          <w:bCs/>
        </w:rPr>
      </w:pPr>
      <w:r w:rsidRPr="00EB29B0">
        <w:rPr>
          <w:rFonts w:ascii="ITC Avant Garde" w:hAnsi="ITC Avant Garde" w:cs="Arial"/>
          <w:b/>
          <w:bCs/>
        </w:rPr>
        <w:t>PRIMERO. -</w:t>
      </w:r>
      <w:r w:rsidR="007C4BEB" w:rsidRPr="00EB29B0">
        <w:rPr>
          <w:rFonts w:ascii="ITC Avant Garde" w:hAnsi="ITC Avant Garde" w:cs="Arial"/>
          <w:b/>
          <w:bCs/>
        </w:rPr>
        <w:t xml:space="preserve"> Competencia del Instituto.</w:t>
      </w:r>
      <w:r w:rsidR="007C4BEB" w:rsidRPr="00EB29B0">
        <w:rPr>
          <w:rFonts w:ascii="ITC Avant Garde" w:hAnsi="ITC Avant Garde" w:cs="Arial"/>
          <w:bCs/>
        </w:rPr>
        <w:t xml:space="preserve"> De conformidad con el artículo 28, párrafos décimo quinto y décimo sexto de la Constitución, el Instituto tiene a su cargo la regulación, promoción y supervisión del uso, aprovechamiento y explotación del espectro radioeléctrico, las redes y la prestación de los servicios de radiodifusión y telecomunic</w:t>
      </w:r>
      <w:r w:rsidR="00EF790E" w:rsidRPr="00EB29B0">
        <w:rPr>
          <w:rFonts w:ascii="ITC Avant Garde" w:hAnsi="ITC Avant Garde" w:cs="Arial"/>
          <w:bCs/>
        </w:rPr>
        <w:t>aciones, así como del acceso a i</w:t>
      </w:r>
      <w:r w:rsidR="007C4BEB" w:rsidRPr="00EB29B0">
        <w:rPr>
          <w:rFonts w:ascii="ITC Avant Garde" w:hAnsi="ITC Avant Garde" w:cs="Arial"/>
          <w:bCs/>
        </w:rPr>
        <w:t xml:space="preserve">nfraestructura activa, pasiva y otros </w:t>
      </w:r>
      <w:r w:rsidR="007C4BEB" w:rsidRPr="00EB29B0">
        <w:rPr>
          <w:rFonts w:ascii="ITC Avant Garde" w:hAnsi="ITC Avant Garde" w:cs="Arial"/>
          <w:bCs/>
        </w:rPr>
        <w:lastRenderedPageBreak/>
        <w:t>insumos esenciales. Asimismo, es autoridad en materia de competencia económica de los sectores de radiodifusión y telecomunicaciones, por lo que en éstos regulará de forma asimétrica a los participantes con el objeto de eliminar eficazmente las barreras a la competencia y la libre concurrencia; impondrá límites a la concentración nacional y regional de frecuencias, al concesionamiento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w:t>
      </w:r>
    </w:p>
    <w:p w:rsidR="007C4BEB" w:rsidRDefault="007C4BEB" w:rsidP="00A33196">
      <w:pPr>
        <w:widowControl w:val="0"/>
        <w:spacing w:after="0"/>
        <w:jc w:val="both"/>
        <w:rPr>
          <w:rFonts w:ascii="ITC Avant Garde" w:eastAsia="Times New Roman" w:hAnsi="ITC Avant Garde"/>
        </w:rPr>
      </w:pPr>
    </w:p>
    <w:p w:rsidR="00B746C3" w:rsidRDefault="00B746C3" w:rsidP="00A33196">
      <w:pPr>
        <w:spacing w:after="0"/>
        <w:jc w:val="both"/>
        <w:rPr>
          <w:rFonts w:ascii="ITC Avant Garde" w:hAnsi="ITC Avant Garde" w:cs="Arial"/>
          <w:bCs/>
        </w:rPr>
      </w:pPr>
      <w:r w:rsidRPr="00B746C3">
        <w:rPr>
          <w:rFonts w:ascii="ITC Avant Garde" w:hAnsi="ITC Avant Garde" w:cs="Arial"/>
          <w:bCs/>
        </w:rPr>
        <w:t xml:space="preserve">De igual forma, la fracción IV del párrafo Vigésimo del artículo 28 de </w:t>
      </w:r>
      <w:r>
        <w:rPr>
          <w:rFonts w:ascii="ITC Avant Garde" w:hAnsi="ITC Avant Garde" w:cs="Arial"/>
          <w:bCs/>
        </w:rPr>
        <w:t xml:space="preserve">la Constitución, señala que el </w:t>
      </w:r>
      <w:r w:rsidRPr="00B746C3">
        <w:rPr>
          <w:rFonts w:ascii="ITC Avant Garde" w:hAnsi="ITC Avant Garde" w:cs="Arial"/>
          <w:bCs/>
        </w:rPr>
        <w:t>Instituto podrá e</w:t>
      </w:r>
      <w:r>
        <w:rPr>
          <w:rFonts w:ascii="ITC Avant Garde" w:hAnsi="ITC Avant Garde" w:cs="Arial"/>
          <w:bCs/>
        </w:rPr>
        <w:t>mitir disposiciones administrati</w:t>
      </w:r>
      <w:r w:rsidRPr="00B746C3">
        <w:rPr>
          <w:rFonts w:ascii="ITC Avant Garde" w:hAnsi="ITC Avant Garde" w:cs="Arial"/>
          <w:bCs/>
        </w:rPr>
        <w:t>vas de carácter general exclusivamente para el cumplimiento de su f</w:t>
      </w:r>
      <w:r>
        <w:rPr>
          <w:rFonts w:ascii="ITC Avant Garde" w:hAnsi="ITC Avant Garde" w:cs="Arial"/>
          <w:bCs/>
        </w:rPr>
        <w:t>unción</w:t>
      </w:r>
      <w:r w:rsidRPr="00B746C3">
        <w:rPr>
          <w:rFonts w:ascii="ITC Avant Garde" w:hAnsi="ITC Avant Garde" w:cs="Arial"/>
          <w:bCs/>
        </w:rPr>
        <w:t xml:space="preserve"> regulatoria en el </w:t>
      </w:r>
      <w:r w:rsidR="00822C9E">
        <w:rPr>
          <w:rFonts w:ascii="ITC Avant Garde" w:hAnsi="ITC Avant Garde" w:cs="Arial"/>
          <w:bCs/>
        </w:rPr>
        <w:t>ámbito</w:t>
      </w:r>
      <w:r w:rsidR="00822C9E" w:rsidRPr="00B746C3">
        <w:rPr>
          <w:rFonts w:ascii="ITC Avant Garde" w:hAnsi="ITC Avant Garde" w:cs="Arial"/>
          <w:bCs/>
        </w:rPr>
        <w:t xml:space="preserve"> </w:t>
      </w:r>
      <w:r w:rsidRPr="00B746C3">
        <w:rPr>
          <w:rFonts w:ascii="ITC Avant Garde" w:hAnsi="ITC Avant Garde" w:cs="Arial"/>
          <w:bCs/>
        </w:rPr>
        <w:t xml:space="preserve">de su competencia. En ese sentido, el Pleno del Instituto, conforme a lo establecido por los artículos </w:t>
      </w:r>
      <w:r w:rsidR="00B104E2">
        <w:rPr>
          <w:rFonts w:ascii="ITC Avant Garde" w:hAnsi="ITC Avant Garde" w:cs="Arial"/>
          <w:bCs/>
        </w:rPr>
        <w:t xml:space="preserve">15 fracción I de la Ley y 6° de </w:t>
      </w:r>
      <w:r w:rsidRPr="00B746C3">
        <w:rPr>
          <w:rFonts w:ascii="ITC Avant Garde" w:hAnsi="ITC Avant Garde" w:cs="Arial"/>
          <w:bCs/>
        </w:rPr>
        <w:t xml:space="preserve">su Estatuto Orgánico, tiene la atribución de expedir disposiciones. </w:t>
      </w:r>
      <w:r w:rsidR="00B104E2" w:rsidRPr="00B746C3">
        <w:rPr>
          <w:rFonts w:ascii="ITC Avant Garde" w:hAnsi="ITC Avant Garde" w:cs="Arial"/>
          <w:bCs/>
        </w:rPr>
        <w:t>administrativas</w:t>
      </w:r>
      <w:r w:rsidRPr="00B746C3">
        <w:rPr>
          <w:rFonts w:ascii="ITC Avant Garde" w:hAnsi="ITC Avant Garde" w:cs="Arial"/>
          <w:bCs/>
        </w:rPr>
        <w:t xml:space="preserve"> de carácte</w:t>
      </w:r>
      <w:r w:rsidR="00B104E2">
        <w:rPr>
          <w:rFonts w:ascii="ITC Avant Garde" w:eastAsia="ITC Avant Garde" w:hAnsi="ITC Avant Garde" w:cs="ITC Avant Garde"/>
          <w:bCs/>
        </w:rPr>
        <w:t>r</w:t>
      </w:r>
      <w:r w:rsidRPr="00B746C3">
        <w:rPr>
          <w:rFonts w:ascii="ITC Avant Garde" w:hAnsi="ITC Avant Garde" w:cs="Arial"/>
          <w:bCs/>
        </w:rPr>
        <w:t xml:space="preserve"> general, plan</w:t>
      </w:r>
      <w:r w:rsidR="00B104E2">
        <w:rPr>
          <w:rFonts w:ascii="ITC Avant Garde" w:hAnsi="ITC Avant Garde" w:cs="Arial"/>
          <w:bCs/>
        </w:rPr>
        <w:t>es técnic</w:t>
      </w:r>
      <w:r w:rsidRPr="00B746C3">
        <w:rPr>
          <w:rFonts w:ascii="ITC Avant Garde" w:hAnsi="ITC Avant Garde" w:cs="Arial"/>
          <w:bCs/>
        </w:rPr>
        <w:t xml:space="preserve">os fundamentales, lineamientos, </w:t>
      </w:r>
      <w:r w:rsidR="00952628">
        <w:rPr>
          <w:rFonts w:ascii="ITC Avant Garde" w:hAnsi="ITC Avant Garde" w:cs="Arial"/>
          <w:bCs/>
        </w:rPr>
        <w:t>m</w:t>
      </w:r>
      <w:r w:rsidRPr="00B746C3">
        <w:rPr>
          <w:rFonts w:ascii="ITC Avant Garde" w:hAnsi="ITC Avant Garde" w:cs="Arial"/>
          <w:bCs/>
        </w:rPr>
        <w:t xml:space="preserve">odelos de </w:t>
      </w:r>
      <w:r w:rsidR="00952628">
        <w:rPr>
          <w:rFonts w:ascii="ITC Avant Garde" w:hAnsi="ITC Avant Garde" w:cs="Arial"/>
          <w:bCs/>
        </w:rPr>
        <w:t>c</w:t>
      </w:r>
      <w:r w:rsidRPr="00B746C3">
        <w:rPr>
          <w:rFonts w:ascii="ITC Avant Garde" w:hAnsi="ITC Avant Garde" w:cs="Arial"/>
          <w:bCs/>
        </w:rPr>
        <w:t xml:space="preserve">ostos, </w:t>
      </w:r>
      <w:r w:rsidR="00B104E2">
        <w:rPr>
          <w:rFonts w:ascii="ITC Avant Garde" w:hAnsi="ITC Avant Garde" w:cs="Arial"/>
          <w:bCs/>
        </w:rPr>
        <w:t xml:space="preserve">procedimientos de evaluación de </w:t>
      </w:r>
      <w:r w:rsidRPr="00B746C3">
        <w:rPr>
          <w:rFonts w:ascii="ITC Avant Garde" w:hAnsi="ITC Avant Garde" w:cs="Arial"/>
          <w:bCs/>
        </w:rPr>
        <w:t>la</w:t>
      </w:r>
      <w:r>
        <w:rPr>
          <w:rFonts w:ascii="ITC Avant Garde" w:hAnsi="ITC Avant Garde" w:cs="Arial"/>
          <w:bCs/>
        </w:rPr>
        <w:t xml:space="preserve"> </w:t>
      </w:r>
      <w:r w:rsidR="00B104E2">
        <w:rPr>
          <w:rFonts w:ascii="ITC Avant Garde" w:hAnsi="ITC Avant Garde" w:cs="Arial"/>
          <w:bCs/>
        </w:rPr>
        <w:t>conformidad, pro</w:t>
      </w:r>
      <w:r w:rsidRPr="00B746C3">
        <w:rPr>
          <w:rFonts w:ascii="ITC Avant Garde" w:hAnsi="ITC Avant Garde" w:cs="Arial"/>
          <w:bCs/>
        </w:rPr>
        <w:t xml:space="preserve">cedimientos de homologación y certificación y ordenamientos </w:t>
      </w:r>
      <w:r w:rsidR="00B104E2">
        <w:rPr>
          <w:rFonts w:ascii="ITC Avant Garde" w:hAnsi="ITC Avant Garde" w:cs="Arial"/>
          <w:bCs/>
        </w:rPr>
        <w:t>técnicos en materia de telecomu</w:t>
      </w:r>
      <w:r w:rsidRPr="00B746C3">
        <w:rPr>
          <w:rFonts w:ascii="ITC Avant Garde" w:hAnsi="ITC Avant Garde" w:cs="Arial"/>
          <w:bCs/>
        </w:rPr>
        <w:t>nicaciones y radiodifusión, así como demás disposi</w:t>
      </w:r>
      <w:r w:rsidR="00B104E2">
        <w:rPr>
          <w:rFonts w:ascii="ITC Avant Garde" w:hAnsi="ITC Avant Garde" w:cs="Arial"/>
          <w:bCs/>
        </w:rPr>
        <w:t>ciones para el cumplim</w:t>
      </w:r>
      <w:r w:rsidRPr="00B746C3">
        <w:rPr>
          <w:rFonts w:ascii="ITC Avant Garde" w:hAnsi="ITC Avant Garde" w:cs="Arial"/>
          <w:bCs/>
        </w:rPr>
        <w:t>iento de lo dispuesto en la Ley.</w:t>
      </w:r>
    </w:p>
    <w:p w:rsidR="00B746C3" w:rsidRDefault="00B746C3" w:rsidP="00A33196">
      <w:pPr>
        <w:spacing w:after="0"/>
        <w:jc w:val="both"/>
        <w:rPr>
          <w:rFonts w:ascii="ITC Avant Garde" w:hAnsi="ITC Avant Garde" w:cs="Arial"/>
          <w:bCs/>
        </w:rPr>
      </w:pPr>
    </w:p>
    <w:p w:rsidR="007C4BEB" w:rsidRDefault="00B104E2" w:rsidP="00A33196">
      <w:pPr>
        <w:spacing w:after="0"/>
        <w:jc w:val="both"/>
        <w:rPr>
          <w:rFonts w:ascii="ITC Avant Garde" w:hAnsi="ITC Avant Garde" w:cs="Arial"/>
          <w:bCs/>
        </w:rPr>
      </w:pPr>
      <w:r>
        <w:rPr>
          <w:rFonts w:ascii="ITC Avant Garde" w:hAnsi="ITC Avant Garde" w:cs="Arial"/>
          <w:bCs/>
        </w:rPr>
        <w:t>Por otra parte, e</w:t>
      </w:r>
      <w:r w:rsidR="008E3097" w:rsidRPr="00EB29B0">
        <w:rPr>
          <w:rFonts w:ascii="ITC Avant Garde" w:hAnsi="ITC Avant Garde" w:cs="Arial"/>
          <w:bCs/>
        </w:rPr>
        <w:t>n</w:t>
      </w:r>
      <w:r w:rsidR="007C4BEB" w:rsidRPr="00EB29B0">
        <w:rPr>
          <w:rFonts w:ascii="ITC Avant Garde" w:hAnsi="ITC Avant Garde" w:cs="Arial"/>
          <w:bCs/>
        </w:rPr>
        <w:t xml:space="preserve"> cumplimiento a lo establecido en el artículo Octavo transitorio, fracción III del Decreto y mediante la Resolución AEP, el Instituto determinó la existencia de</w:t>
      </w:r>
      <w:r w:rsidR="008E3097" w:rsidRPr="00EB29B0">
        <w:rPr>
          <w:rFonts w:ascii="ITC Avant Garde" w:hAnsi="ITC Avant Garde" w:cs="Arial"/>
          <w:bCs/>
        </w:rPr>
        <w:t xml:space="preserve">l Agente Económico </w:t>
      </w:r>
      <w:r w:rsidR="007C4BEB" w:rsidRPr="00EB29B0">
        <w:rPr>
          <w:rFonts w:ascii="ITC Avant Garde" w:hAnsi="ITC Avant Garde" w:cs="Arial"/>
          <w:bCs/>
        </w:rPr>
        <w:t>Preponderante</w:t>
      </w:r>
      <w:r>
        <w:rPr>
          <w:rFonts w:ascii="ITC Avant Garde" w:hAnsi="ITC Avant Garde" w:cs="Arial"/>
          <w:bCs/>
        </w:rPr>
        <w:t xml:space="preserve"> (en lo sucesivo “AEP”)</w:t>
      </w:r>
      <w:r w:rsidR="007C4BEB" w:rsidRPr="00EB29B0">
        <w:rPr>
          <w:rFonts w:ascii="ITC Avant Garde" w:hAnsi="ITC Avant Garde" w:cs="Arial"/>
          <w:bCs/>
        </w:rPr>
        <w:t xml:space="preserve"> en </w:t>
      </w:r>
      <w:r w:rsidR="008E3097" w:rsidRPr="00EB29B0">
        <w:rPr>
          <w:rFonts w:ascii="ITC Avant Garde" w:hAnsi="ITC Avant Garde" w:cs="Arial"/>
          <w:bCs/>
        </w:rPr>
        <w:t>el sector</w:t>
      </w:r>
      <w:r w:rsidR="007C4BEB" w:rsidRPr="00EB29B0">
        <w:rPr>
          <w:rFonts w:ascii="ITC Avant Garde" w:hAnsi="ITC Avant Garde" w:cs="Arial"/>
          <w:bCs/>
        </w:rPr>
        <w:t xml:space="preserve"> de telecomunicaciones, e impuso las medidas necesarias para evitar que se afecte la competencia y la libre concurrencia y, con ello, a los usuarios finales. Dichas medidas incluyen</w:t>
      </w:r>
      <w:r>
        <w:rPr>
          <w:rFonts w:ascii="ITC Avant Garde" w:hAnsi="ITC Avant Garde" w:cs="Arial"/>
          <w:bCs/>
        </w:rPr>
        <w:t xml:space="preserve">, </w:t>
      </w:r>
      <w:r w:rsidR="00C22B66" w:rsidRPr="00EB29B0">
        <w:rPr>
          <w:rFonts w:ascii="ITC Avant Garde" w:hAnsi="ITC Avant Garde" w:cs="Arial"/>
          <w:bCs/>
        </w:rPr>
        <w:t>las</w:t>
      </w:r>
      <w:r w:rsidR="007C4BEB" w:rsidRPr="00EB29B0">
        <w:rPr>
          <w:rFonts w:ascii="ITC Avant Garde" w:hAnsi="ITC Avant Garde" w:cs="Arial"/>
          <w:bCs/>
        </w:rPr>
        <w:t xml:space="preserve"> Medidas Fijas </w:t>
      </w:r>
      <w:r>
        <w:rPr>
          <w:rFonts w:ascii="ITC Avant Garde" w:hAnsi="ITC Avant Garde" w:cs="Arial"/>
          <w:bCs/>
        </w:rPr>
        <w:t xml:space="preserve">y las Medidas de Desagregación </w:t>
      </w:r>
      <w:r w:rsidR="007C4BEB" w:rsidRPr="00EB29B0">
        <w:rPr>
          <w:rFonts w:ascii="ITC Avant Garde" w:hAnsi="ITC Avant Garde" w:cs="Arial"/>
          <w:bCs/>
        </w:rPr>
        <w:t>mismas que están relacionadas con información, oferta y calidad de servicios, acuerdos en exclusiva, uso de equipos entre redes, regulación asimétrica en tarifas e infraestructuras de red, incluyendo la desagregación de sus elementos esenciales y, en su caso, la separación contable, funcional o estructural de dichos agentes.</w:t>
      </w:r>
    </w:p>
    <w:p w:rsidR="002F49AF" w:rsidRPr="00EB29B0" w:rsidRDefault="002F49AF" w:rsidP="00A33196">
      <w:pPr>
        <w:spacing w:after="0"/>
        <w:jc w:val="both"/>
        <w:rPr>
          <w:rFonts w:ascii="ITC Avant Garde" w:hAnsi="ITC Avant Garde" w:cs="Arial"/>
          <w:bCs/>
        </w:rPr>
      </w:pPr>
    </w:p>
    <w:p w:rsidR="00514A8F" w:rsidRPr="00EB29B0" w:rsidRDefault="00F9106B" w:rsidP="00A33196">
      <w:pPr>
        <w:spacing w:after="0"/>
        <w:jc w:val="both"/>
        <w:rPr>
          <w:rFonts w:ascii="ITC Avant Garde" w:hAnsi="ITC Avant Garde" w:cs="Arial"/>
          <w:bCs/>
        </w:rPr>
      </w:pPr>
      <w:r w:rsidRPr="00EB29B0">
        <w:rPr>
          <w:rFonts w:ascii="ITC Avant Garde" w:hAnsi="ITC Avant Garde" w:cs="Arial"/>
          <w:bCs/>
        </w:rPr>
        <w:t xml:space="preserve">La Resolución AEP y sus </w:t>
      </w:r>
      <w:r w:rsidR="00BC30D1" w:rsidRPr="00EB29B0">
        <w:rPr>
          <w:rFonts w:ascii="ITC Avant Garde" w:hAnsi="ITC Avant Garde" w:cs="Arial"/>
          <w:bCs/>
        </w:rPr>
        <w:t xml:space="preserve">Anexos (las </w:t>
      </w:r>
      <w:r w:rsidR="00C22B66" w:rsidRPr="00EB29B0">
        <w:rPr>
          <w:rFonts w:ascii="ITC Avant Garde" w:hAnsi="ITC Avant Garde" w:cs="Arial"/>
          <w:bCs/>
        </w:rPr>
        <w:t>Medidas</w:t>
      </w:r>
      <w:r w:rsidR="00514A8F" w:rsidRPr="00EB29B0">
        <w:rPr>
          <w:rFonts w:ascii="ITC Avant Garde" w:hAnsi="ITC Avant Garde" w:cs="Arial"/>
          <w:bCs/>
        </w:rPr>
        <w:t xml:space="preserve"> </w:t>
      </w:r>
      <w:r w:rsidR="00C22B66" w:rsidRPr="00EB29B0">
        <w:rPr>
          <w:rFonts w:ascii="ITC Avant Garde" w:hAnsi="ITC Avant Garde" w:cs="Arial"/>
          <w:bCs/>
        </w:rPr>
        <w:t>Fijas</w:t>
      </w:r>
      <w:r w:rsidR="00B104E2">
        <w:rPr>
          <w:rFonts w:ascii="ITC Avant Garde" w:hAnsi="ITC Avant Garde" w:cs="Arial"/>
          <w:bCs/>
        </w:rPr>
        <w:t xml:space="preserve"> y de Desagregación</w:t>
      </w:r>
      <w:r w:rsidR="00BC30D1" w:rsidRPr="00EB29B0">
        <w:rPr>
          <w:rFonts w:ascii="ITC Avant Garde" w:hAnsi="ITC Avant Garde" w:cs="Arial"/>
          <w:bCs/>
        </w:rPr>
        <w:t>)</w:t>
      </w:r>
      <w:r w:rsidR="00514A8F" w:rsidRPr="00EB29B0">
        <w:rPr>
          <w:rFonts w:ascii="ITC Avant Garde" w:hAnsi="ITC Avant Garde" w:cs="Arial"/>
          <w:bCs/>
        </w:rPr>
        <w:t xml:space="preserve"> fueron objeto de un proceso de Revisión </w:t>
      </w:r>
      <w:r w:rsidR="00A33196" w:rsidRPr="00EB29B0">
        <w:rPr>
          <w:rFonts w:ascii="ITC Avant Garde" w:hAnsi="ITC Avant Garde" w:cs="Arial"/>
          <w:bCs/>
        </w:rPr>
        <w:t>Bienal</w:t>
      </w:r>
      <w:r w:rsidR="00514A8F" w:rsidRPr="00EB29B0">
        <w:rPr>
          <w:rFonts w:ascii="ITC Avant Garde" w:hAnsi="ITC Avant Garde" w:cs="Arial"/>
          <w:bCs/>
        </w:rPr>
        <w:t xml:space="preserve"> </w:t>
      </w:r>
      <w:r w:rsidR="00BC30D1" w:rsidRPr="00EB29B0">
        <w:rPr>
          <w:rFonts w:ascii="ITC Avant Garde" w:hAnsi="ITC Avant Garde" w:cs="Arial"/>
          <w:bCs/>
        </w:rPr>
        <w:t xml:space="preserve">por parte del Pleno del Instituto, </w:t>
      </w:r>
      <w:r w:rsidR="00514A8F" w:rsidRPr="00EB29B0">
        <w:rPr>
          <w:rFonts w:ascii="ITC Avant Garde" w:hAnsi="ITC Avant Garde" w:cs="Arial"/>
          <w:bCs/>
        </w:rPr>
        <w:t>con el objeto de</w:t>
      </w:r>
      <w:r w:rsidR="00BC30D1" w:rsidRPr="00EB29B0">
        <w:rPr>
          <w:rFonts w:ascii="ITC Avant Garde" w:hAnsi="ITC Avant Garde" w:cs="Arial"/>
          <w:bCs/>
        </w:rPr>
        <w:t xml:space="preserve"> adecuarlos</w:t>
      </w:r>
      <w:r w:rsidR="00514A8F" w:rsidRPr="00EB29B0">
        <w:rPr>
          <w:rFonts w:ascii="ITC Avant Garde" w:hAnsi="ITC Avant Garde" w:cs="Arial"/>
          <w:bCs/>
        </w:rPr>
        <w:t xml:space="preserve"> al contexto actual del sector</w:t>
      </w:r>
      <w:r w:rsidR="00BC30D1" w:rsidRPr="00EB29B0">
        <w:rPr>
          <w:rFonts w:ascii="ITC Avant Garde" w:hAnsi="ITC Avant Garde" w:cs="Arial"/>
          <w:bCs/>
        </w:rPr>
        <w:t xml:space="preserve"> de telecomunicaciones nacional, tal y como se menciona en el antecedente V de</w:t>
      </w:r>
      <w:r w:rsidR="00FF11FF">
        <w:rPr>
          <w:rFonts w:ascii="ITC Avant Garde" w:hAnsi="ITC Avant Garde" w:cs="Arial"/>
          <w:bCs/>
        </w:rPr>
        <w:t>l presente Acuerdo</w:t>
      </w:r>
      <w:r w:rsidR="00BC30D1" w:rsidRPr="00EB29B0">
        <w:rPr>
          <w:rFonts w:ascii="ITC Avant Garde" w:hAnsi="ITC Avant Garde" w:cs="Arial"/>
          <w:bCs/>
        </w:rPr>
        <w:t>.</w:t>
      </w:r>
    </w:p>
    <w:p w:rsidR="002F49AF" w:rsidRPr="00EB29B0" w:rsidRDefault="002F49AF" w:rsidP="00A33196">
      <w:pPr>
        <w:spacing w:after="0"/>
        <w:jc w:val="both"/>
        <w:rPr>
          <w:rFonts w:ascii="ITC Avant Garde" w:hAnsi="ITC Avant Garde" w:cs="Arial"/>
          <w:bCs/>
        </w:rPr>
      </w:pPr>
    </w:p>
    <w:p w:rsidR="00A17827" w:rsidRDefault="002F49AF" w:rsidP="006423DD">
      <w:pPr>
        <w:spacing w:after="0"/>
        <w:jc w:val="both"/>
        <w:rPr>
          <w:rFonts w:ascii="ITC Avant Garde" w:hAnsi="ITC Avant Garde" w:cs="Arial"/>
          <w:bCs/>
        </w:rPr>
      </w:pPr>
      <w:r w:rsidRPr="00EB29B0">
        <w:rPr>
          <w:rFonts w:ascii="ITC Avant Garde" w:hAnsi="ITC Avant Garde" w:cs="Arial"/>
          <w:b/>
          <w:bCs/>
        </w:rPr>
        <w:lastRenderedPageBreak/>
        <w:t>SEGUNDO</w:t>
      </w:r>
      <w:r w:rsidRPr="00EB29B0">
        <w:rPr>
          <w:rFonts w:ascii="ITC Avant Garde" w:hAnsi="ITC Avant Garde" w:cs="Arial"/>
          <w:bCs/>
        </w:rPr>
        <w:t>. -</w:t>
      </w:r>
      <w:r w:rsidR="00AB7EEE" w:rsidRPr="00EB29B0">
        <w:rPr>
          <w:rFonts w:ascii="ITC Avant Garde" w:hAnsi="ITC Avant Garde" w:cs="Arial"/>
          <w:bCs/>
        </w:rPr>
        <w:t xml:space="preserve"> </w:t>
      </w:r>
      <w:r w:rsidR="00B104E2">
        <w:rPr>
          <w:rFonts w:ascii="ITC Avant Garde" w:hAnsi="ITC Avant Garde" w:cs="Arial"/>
          <w:b/>
          <w:bCs/>
        </w:rPr>
        <w:t>Determinación de las tarifas con base en un Modelo de Costos.</w:t>
      </w:r>
      <w:r w:rsidR="00B263FA" w:rsidRPr="00EB29B0">
        <w:rPr>
          <w:rFonts w:ascii="ITC Avant Garde" w:hAnsi="ITC Avant Garde" w:cs="Arial"/>
          <w:b/>
          <w:bCs/>
        </w:rPr>
        <w:t xml:space="preserve"> </w:t>
      </w:r>
      <w:r w:rsidR="006423DD" w:rsidRPr="006423DD">
        <w:rPr>
          <w:rFonts w:ascii="ITC Avant Garde" w:hAnsi="ITC Avant Garde" w:cs="Arial"/>
          <w:bCs/>
        </w:rPr>
        <w:t>En la Reso</w:t>
      </w:r>
      <w:r w:rsidR="00F02E47">
        <w:rPr>
          <w:rFonts w:ascii="ITC Avant Garde" w:hAnsi="ITC Avant Garde" w:cs="Arial"/>
          <w:bCs/>
        </w:rPr>
        <w:t>lución de AEP,</w:t>
      </w:r>
      <w:r w:rsidR="00CE7719">
        <w:rPr>
          <w:rFonts w:ascii="ITC Avant Garde" w:hAnsi="ITC Avant Garde" w:cs="Arial"/>
          <w:bCs/>
        </w:rPr>
        <w:t xml:space="preserve"> en las Medidas </w:t>
      </w:r>
      <w:r w:rsidR="006423DD" w:rsidRPr="006423DD">
        <w:rPr>
          <w:rFonts w:ascii="ITC Avant Garde" w:hAnsi="ITC Avant Garde" w:cs="Arial"/>
          <w:bCs/>
        </w:rPr>
        <w:t xml:space="preserve">Fijas y </w:t>
      </w:r>
      <w:r w:rsidR="007F26E0">
        <w:rPr>
          <w:rFonts w:ascii="ITC Avant Garde" w:hAnsi="ITC Avant Garde" w:cs="Arial"/>
          <w:bCs/>
        </w:rPr>
        <w:t xml:space="preserve">en las Medidas de </w:t>
      </w:r>
      <w:r w:rsidR="006423DD" w:rsidRPr="006423DD">
        <w:rPr>
          <w:rFonts w:ascii="ITC Avant Garde" w:hAnsi="ITC Avant Garde" w:cs="Arial"/>
          <w:bCs/>
        </w:rPr>
        <w:t xml:space="preserve">Desagregación se determinaron distintos servicios de telecomunicaciones </w:t>
      </w:r>
      <w:r w:rsidR="00822C9E">
        <w:rPr>
          <w:rFonts w:ascii="ITC Avant Garde" w:hAnsi="ITC Avant Garde" w:cs="Arial"/>
          <w:bCs/>
        </w:rPr>
        <w:t xml:space="preserve">que serían sujeto a regulación asimétrica, incluyendo las tarifas, </w:t>
      </w:r>
      <w:r w:rsidR="006423DD" w:rsidRPr="006423DD">
        <w:rPr>
          <w:rFonts w:ascii="ITC Avant Garde" w:hAnsi="ITC Avant Garde" w:cs="Arial"/>
          <w:bCs/>
        </w:rPr>
        <w:t xml:space="preserve">como el de acceso y uso compartido de </w:t>
      </w:r>
      <w:r w:rsidR="00822C9E">
        <w:rPr>
          <w:rFonts w:ascii="ITC Avant Garde" w:hAnsi="ITC Avant Garde" w:cs="Arial"/>
          <w:bCs/>
        </w:rPr>
        <w:t xml:space="preserve">diversos elementos de </w:t>
      </w:r>
      <w:r w:rsidR="006423DD" w:rsidRPr="006423DD">
        <w:rPr>
          <w:rFonts w:ascii="ITC Avant Garde" w:hAnsi="ITC Avant Garde" w:cs="Arial"/>
          <w:bCs/>
        </w:rPr>
        <w:t xml:space="preserve">infraestructura pasiva, </w:t>
      </w:r>
      <w:r w:rsidR="00822C9E">
        <w:rPr>
          <w:rFonts w:ascii="ITC Avant Garde" w:hAnsi="ITC Avant Garde" w:cs="Arial"/>
          <w:bCs/>
        </w:rPr>
        <w:t xml:space="preserve">y </w:t>
      </w:r>
      <w:r w:rsidR="006423DD" w:rsidRPr="006423DD">
        <w:rPr>
          <w:rFonts w:ascii="ITC Avant Garde" w:hAnsi="ITC Avant Garde" w:cs="Arial"/>
          <w:bCs/>
        </w:rPr>
        <w:t>de desagregación efectiva de la red local</w:t>
      </w:r>
      <w:r w:rsidR="00822C9E">
        <w:rPr>
          <w:rFonts w:ascii="ITC Avant Garde" w:hAnsi="ITC Avant Garde" w:cs="Arial"/>
          <w:bCs/>
        </w:rPr>
        <w:t>.</w:t>
      </w:r>
    </w:p>
    <w:p w:rsidR="0076056E" w:rsidRPr="006423DD" w:rsidRDefault="0076056E" w:rsidP="006423DD">
      <w:pPr>
        <w:spacing w:after="0"/>
        <w:jc w:val="both"/>
        <w:rPr>
          <w:rFonts w:ascii="ITC Avant Garde" w:hAnsi="ITC Avant Garde" w:cs="Arial"/>
          <w:bCs/>
        </w:rPr>
      </w:pPr>
    </w:p>
    <w:p w:rsidR="00286D78" w:rsidRDefault="006423DD" w:rsidP="006423DD">
      <w:pPr>
        <w:spacing w:after="0"/>
        <w:jc w:val="both"/>
        <w:rPr>
          <w:rFonts w:ascii="ITC Avant Garde" w:hAnsi="ITC Avant Garde" w:cs="Arial"/>
          <w:bCs/>
        </w:rPr>
      </w:pPr>
      <w:r w:rsidRPr="006423DD">
        <w:rPr>
          <w:rFonts w:ascii="ITC Avant Garde" w:hAnsi="ITC Avant Garde" w:cs="Arial"/>
          <w:bCs/>
        </w:rPr>
        <w:t>Ahora bien, la su</w:t>
      </w:r>
      <w:r w:rsidR="002B4D55">
        <w:rPr>
          <w:rFonts w:ascii="ITC Avant Garde" w:hAnsi="ITC Avant Garde" w:cs="Arial"/>
          <w:bCs/>
        </w:rPr>
        <w:t xml:space="preserve">pervisión del órgano regulador </w:t>
      </w:r>
      <w:r w:rsidRPr="006423DD">
        <w:rPr>
          <w:rFonts w:ascii="ITC Avant Garde" w:hAnsi="ITC Avant Garde" w:cs="Arial"/>
          <w:bCs/>
        </w:rPr>
        <w:t xml:space="preserve">tiene el propósito de que </w:t>
      </w:r>
      <w:r w:rsidR="00822C9E">
        <w:rPr>
          <w:rFonts w:ascii="ITC Avant Garde" w:hAnsi="ITC Avant Garde" w:cs="Arial"/>
          <w:bCs/>
        </w:rPr>
        <w:t xml:space="preserve">el AEP preste </w:t>
      </w:r>
      <w:r w:rsidRPr="006423DD">
        <w:rPr>
          <w:rFonts w:ascii="ITC Avant Garde" w:hAnsi="ITC Avant Garde" w:cs="Arial"/>
          <w:bCs/>
        </w:rPr>
        <w:t xml:space="preserve">esos servicios </w:t>
      </w:r>
      <w:r>
        <w:rPr>
          <w:rFonts w:ascii="ITC Avant Garde" w:hAnsi="ITC Avant Garde" w:cs="Arial"/>
          <w:bCs/>
        </w:rPr>
        <w:t xml:space="preserve">mayoristas </w:t>
      </w:r>
      <w:r w:rsidR="00822C9E">
        <w:rPr>
          <w:rFonts w:ascii="ITC Avant Garde" w:hAnsi="ITC Avant Garde" w:cs="Arial"/>
          <w:bCs/>
        </w:rPr>
        <w:t>en condiciones no discriminatorias</w:t>
      </w:r>
      <w:r>
        <w:rPr>
          <w:rFonts w:ascii="ITC Avant Garde" w:hAnsi="ITC Avant Garde" w:cs="Arial"/>
          <w:bCs/>
        </w:rPr>
        <w:t xml:space="preserve">, </w:t>
      </w:r>
      <w:r w:rsidR="00822C9E">
        <w:rPr>
          <w:rFonts w:ascii="ITC Avant Garde" w:hAnsi="ITC Avant Garde" w:cs="Arial"/>
          <w:bCs/>
        </w:rPr>
        <w:t xml:space="preserve">con el fin de </w:t>
      </w:r>
      <w:r>
        <w:rPr>
          <w:rFonts w:ascii="ITC Avant Garde" w:hAnsi="ITC Avant Garde" w:cs="Arial"/>
          <w:bCs/>
        </w:rPr>
        <w:t>promov</w:t>
      </w:r>
      <w:r w:rsidR="00822C9E">
        <w:rPr>
          <w:rFonts w:ascii="ITC Avant Garde" w:hAnsi="ITC Avant Garde" w:cs="Arial"/>
          <w:bCs/>
        </w:rPr>
        <w:t>er</w:t>
      </w:r>
      <w:r>
        <w:rPr>
          <w:rFonts w:ascii="ITC Avant Garde" w:hAnsi="ITC Avant Garde" w:cs="Arial"/>
          <w:bCs/>
        </w:rPr>
        <w:t xml:space="preserve"> la competencia</w:t>
      </w:r>
      <w:r w:rsidR="00822C9E">
        <w:rPr>
          <w:rFonts w:ascii="ITC Avant Garde" w:hAnsi="ITC Avant Garde" w:cs="Arial"/>
          <w:bCs/>
        </w:rPr>
        <w:t>, la libre concurrencia</w:t>
      </w:r>
      <w:r>
        <w:rPr>
          <w:rFonts w:ascii="ITC Avant Garde" w:hAnsi="ITC Avant Garde" w:cs="Arial"/>
          <w:bCs/>
        </w:rPr>
        <w:t xml:space="preserve"> y el desarrollo </w:t>
      </w:r>
      <w:r w:rsidR="00822C9E">
        <w:rPr>
          <w:rFonts w:ascii="ITC Avant Garde" w:hAnsi="ITC Avant Garde" w:cs="Arial"/>
          <w:bCs/>
        </w:rPr>
        <w:t xml:space="preserve">eficiente </w:t>
      </w:r>
      <w:r>
        <w:rPr>
          <w:rFonts w:ascii="ITC Avant Garde" w:hAnsi="ITC Avant Garde" w:cs="Arial"/>
          <w:bCs/>
        </w:rPr>
        <w:t>de la industria.</w:t>
      </w:r>
    </w:p>
    <w:p w:rsidR="006423DD" w:rsidRDefault="006423DD" w:rsidP="006423DD">
      <w:pPr>
        <w:spacing w:after="0"/>
        <w:jc w:val="both"/>
        <w:rPr>
          <w:rFonts w:ascii="ITC Avant Garde" w:hAnsi="ITC Avant Garde" w:cs="Arial"/>
          <w:bCs/>
        </w:rPr>
      </w:pPr>
    </w:p>
    <w:p w:rsidR="00FF122B" w:rsidRDefault="002B4D55" w:rsidP="005F7B6C">
      <w:pPr>
        <w:spacing w:after="0"/>
        <w:jc w:val="both"/>
        <w:rPr>
          <w:rFonts w:ascii="ITC Avant Garde" w:hAnsi="ITC Avant Garde" w:cs="Arial"/>
          <w:bCs/>
        </w:rPr>
      </w:pPr>
      <w:r>
        <w:rPr>
          <w:rFonts w:ascii="ITC Avant Garde" w:eastAsia="ITC Avant Garde" w:hAnsi="ITC Avant Garde" w:cs="ITC Avant Garde"/>
          <w:bCs/>
        </w:rPr>
        <w:t>E</w:t>
      </w:r>
      <w:r w:rsidR="006423DD" w:rsidRPr="006423DD">
        <w:rPr>
          <w:rFonts w:ascii="ITC Avant Garde" w:hAnsi="ITC Avant Garde" w:cs="Arial"/>
          <w:bCs/>
        </w:rPr>
        <w:t>n ese sentido, con la finalidad de alcanzar los objetivos que establece la Ley, el Instituto cuenta</w:t>
      </w:r>
      <w:r w:rsidR="00822C9E">
        <w:rPr>
          <w:rFonts w:ascii="ITC Avant Garde" w:hAnsi="ITC Avant Garde" w:cs="Arial"/>
          <w:bCs/>
        </w:rPr>
        <w:t>, entre otras</w:t>
      </w:r>
      <w:r w:rsidR="006423DD" w:rsidRPr="006423DD">
        <w:rPr>
          <w:rFonts w:ascii="ITC Avant Garde" w:hAnsi="ITC Avant Garde" w:cs="Arial"/>
          <w:bCs/>
        </w:rPr>
        <w:t xml:space="preserve"> atribuci</w:t>
      </w:r>
      <w:r w:rsidR="00822C9E">
        <w:rPr>
          <w:rFonts w:ascii="ITC Avant Garde" w:hAnsi="ITC Avant Garde" w:cs="Arial"/>
          <w:bCs/>
        </w:rPr>
        <w:t>ones,</w:t>
      </w:r>
      <w:r w:rsidR="006423DD" w:rsidRPr="006423DD">
        <w:rPr>
          <w:rFonts w:ascii="ITC Avant Garde" w:hAnsi="ITC Avant Garde" w:cs="Arial"/>
          <w:bCs/>
        </w:rPr>
        <w:t xml:space="preserve"> </w:t>
      </w:r>
      <w:r w:rsidR="00822C9E">
        <w:rPr>
          <w:rFonts w:ascii="ITC Avant Garde" w:hAnsi="ITC Avant Garde" w:cs="Arial"/>
          <w:bCs/>
        </w:rPr>
        <w:t xml:space="preserve">con la de emitir </w:t>
      </w:r>
      <w:r w:rsidR="000A3629">
        <w:rPr>
          <w:rFonts w:ascii="ITC Avant Garde" w:hAnsi="ITC Avant Garde" w:cs="Arial"/>
          <w:bCs/>
        </w:rPr>
        <w:t>m</w:t>
      </w:r>
      <w:r w:rsidR="006423DD" w:rsidRPr="006423DD">
        <w:rPr>
          <w:rFonts w:ascii="ITC Avant Garde" w:hAnsi="ITC Avant Garde" w:cs="Arial"/>
          <w:bCs/>
        </w:rPr>
        <w:t xml:space="preserve">odelos de </w:t>
      </w:r>
      <w:r w:rsidR="000A3629">
        <w:rPr>
          <w:rFonts w:ascii="ITC Avant Garde" w:hAnsi="ITC Avant Garde" w:cs="Arial"/>
          <w:bCs/>
        </w:rPr>
        <w:t>c</w:t>
      </w:r>
      <w:r w:rsidR="006423DD" w:rsidRPr="002F1EEA">
        <w:rPr>
          <w:rFonts w:ascii="ITC Avant Garde" w:hAnsi="ITC Avant Garde" w:cs="Arial"/>
          <w:bCs/>
        </w:rPr>
        <w:t>ostos</w:t>
      </w:r>
      <w:r w:rsidR="00822C9E">
        <w:rPr>
          <w:rFonts w:ascii="ITC Avant Garde" w:hAnsi="ITC Avant Garde" w:cs="Arial"/>
          <w:bCs/>
        </w:rPr>
        <w:t>.</w:t>
      </w:r>
      <w:r w:rsidR="006423DD" w:rsidRPr="002F1EEA">
        <w:rPr>
          <w:rFonts w:ascii="ITC Avant Garde" w:hAnsi="ITC Avant Garde" w:cs="Arial"/>
          <w:bCs/>
        </w:rPr>
        <w:t xml:space="preserve"> </w:t>
      </w:r>
      <w:r w:rsidR="00822C9E">
        <w:rPr>
          <w:rFonts w:ascii="ITC Avant Garde" w:hAnsi="ITC Avant Garde" w:cs="Arial"/>
          <w:bCs/>
        </w:rPr>
        <w:t xml:space="preserve">En el caso particular de la </w:t>
      </w:r>
      <w:r w:rsidR="006423DD" w:rsidRPr="002F1EEA">
        <w:rPr>
          <w:rFonts w:ascii="ITC Avant Garde" w:hAnsi="ITC Avant Garde" w:cs="Arial"/>
          <w:bCs/>
        </w:rPr>
        <w:t>determina</w:t>
      </w:r>
      <w:r w:rsidR="00822C9E">
        <w:rPr>
          <w:rFonts w:ascii="ITC Avant Garde" w:hAnsi="ITC Avant Garde" w:cs="Arial"/>
          <w:bCs/>
        </w:rPr>
        <w:t>ción de</w:t>
      </w:r>
      <w:r w:rsidR="006423DD" w:rsidRPr="002F1EEA">
        <w:rPr>
          <w:rFonts w:ascii="ITC Avant Garde" w:hAnsi="ITC Avant Garde" w:cs="Arial"/>
          <w:bCs/>
        </w:rPr>
        <w:t xml:space="preserve"> l</w:t>
      </w:r>
      <w:r w:rsidR="00F02E47">
        <w:rPr>
          <w:rFonts w:ascii="ITC Avant Garde" w:hAnsi="ITC Avant Garde" w:cs="Arial"/>
          <w:bCs/>
        </w:rPr>
        <w:t xml:space="preserve">as tarifas aplicables para los </w:t>
      </w:r>
      <w:r w:rsidR="00CE7719" w:rsidRPr="002F1EEA">
        <w:rPr>
          <w:rFonts w:ascii="ITC Avant Garde" w:hAnsi="ITC Avant Garde" w:cs="Arial"/>
          <w:bCs/>
        </w:rPr>
        <w:t>servicio</w:t>
      </w:r>
      <w:r w:rsidR="00F02E47">
        <w:rPr>
          <w:rFonts w:ascii="ITC Avant Garde" w:hAnsi="ITC Avant Garde" w:cs="Arial"/>
          <w:bCs/>
        </w:rPr>
        <w:t>s</w:t>
      </w:r>
      <w:r w:rsidR="00CE7719" w:rsidRPr="002F1EEA">
        <w:rPr>
          <w:rFonts w:ascii="ITC Avant Garde" w:hAnsi="ITC Avant Garde" w:cs="Arial"/>
          <w:bCs/>
        </w:rPr>
        <w:t xml:space="preserve"> de </w:t>
      </w:r>
      <w:r w:rsidR="00F02E47">
        <w:rPr>
          <w:rFonts w:ascii="ITC Avant Garde" w:hAnsi="ITC Avant Garde" w:cs="Arial"/>
          <w:bCs/>
        </w:rPr>
        <w:t>acceso y uso compartido de infraestructura p</w:t>
      </w:r>
      <w:r w:rsidR="002F1EEA" w:rsidRPr="002F1EEA">
        <w:rPr>
          <w:rFonts w:ascii="ITC Avant Garde" w:hAnsi="ITC Avant Garde" w:cs="Arial"/>
          <w:bCs/>
        </w:rPr>
        <w:t>asiva</w:t>
      </w:r>
      <w:r w:rsidR="002F1EEA">
        <w:rPr>
          <w:rFonts w:ascii="ITC Avant Garde" w:hAnsi="ITC Avant Garde" w:cs="Arial"/>
          <w:bCs/>
        </w:rPr>
        <w:t xml:space="preserve">, así como para los </w:t>
      </w:r>
      <w:r w:rsidR="006423DD" w:rsidRPr="006423DD">
        <w:rPr>
          <w:rFonts w:ascii="ITC Avant Garde" w:hAnsi="ITC Avant Garde" w:cs="Arial"/>
          <w:bCs/>
        </w:rPr>
        <w:t>servicios de desagregación</w:t>
      </w:r>
      <w:r w:rsidR="000911C2">
        <w:rPr>
          <w:rFonts w:ascii="ITC Avant Garde" w:hAnsi="ITC Avant Garde" w:cs="Arial"/>
          <w:bCs/>
        </w:rPr>
        <w:t xml:space="preserve">, </w:t>
      </w:r>
      <w:r w:rsidR="00F02E47">
        <w:rPr>
          <w:rFonts w:ascii="ITC Avant Garde" w:eastAsia="ITC Avant Garde" w:hAnsi="ITC Avant Garde" w:cs="ITC Avant Garde"/>
          <w:bCs/>
        </w:rPr>
        <w:t xml:space="preserve">la Medida </w:t>
      </w:r>
      <w:r w:rsidR="007F26E0">
        <w:rPr>
          <w:rFonts w:ascii="ITC Avant Garde" w:eastAsia="ITC Avant Garde" w:hAnsi="ITC Avant Garde" w:cs="ITC Avant Garde"/>
          <w:bCs/>
        </w:rPr>
        <w:t xml:space="preserve">Trigésima Novena </w:t>
      </w:r>
      <w:r w:rsidR="00F02E47">
        <w:rPr>
          <w:rFonts w:ascii="ITC Avant Garde" w:eastAsia="ITC Avant Garde" w:hAnsi="ITC Avant Garde" w:cs="ITC Avant Garde"/>
          <w:bCs/>
        </w:rPr>
        <w:t xml:space="preserve">de las Medidas Fijas y </w:t>
      </w:r>
      <w:r w:rsidR="000911C2">
        <w:rPr>
          <w:rFonts w:ascii="ITC Avant Garde" w:eastAsia="ITC Avant Garde" w:hAnsi="ITC Avant Garde" w:cs="ITC Avant Garde"/>
          <w:bCs/>
        </w:rPr>
        <w:t xml:space="preserve">la Medida </w:t>
      </w:r>
      <w:r w:rsidR="00F02E47">
        <w:rPr>
          <w:rFonts w:ascii="ITC Avant Garde" w:eastAsia="ITC Avant Garde" w:hAnsi="ITC Avant Garde" w:cs="ITC Avant Garde"/>
          <w:bCs/>
        </w:rPr>
        <w:t xml:space="preserve">Cuarta de las Medidas de Desagregación establecen las </w:t>
      </w:r>
      <w:r w:rsidR="007F26E0">
        <w:rPr>
          <w:rFonts w:ascii="ITC Avant Garde" w:eastAsia="ITC Avant Garde" w:hAnsi="ITC Avant Garde" w:cs="ITC Avant Garde"/>
          <w:bCs/>
        </w:rPr>
        <w:t xml:space="preserve">respectivas </w:t>
      </w:r>
      <w:r w:rsidR="00F02E47">
        <w:rPr>
          <w:rFonts w:ascii="ITC Avant Garde" w:eastAsia="ITC Avant Garde" w:hAnsi="ITC Avant Garde" w:cs="ITC Avant Garde"/>
          <w:bCs/>
        </w:rPr>
        <w:t xml:space="preserve">metodologías que el Instituto deberá utilizar para la determinación de las tarifas de los servicios </w:t>
      </w:r>
      <w:r w:rsidR="000A3629" w:rsidRPr="006423DD">
        <w:rPr>
          <w:rFonts w:ascii="ITC Avant Garde" w:hAnsi="ITC Avant Garde" w:cs="Arial"/>
          <w:bCs/>
        </w:rPr>
        <w:t xml:space="preserve">de acceso y uso compartido de </w:t>
      </w:r>
      <w:r w:rsidR="000A3629">
        <w:rPr>
          <w:rFonts w:ascii="ITC Avant Garde" w:hAnsi="ITC Avant Garde" w:cs="Arial"/>
          <w:bCs/>
        </w:rPr>
        <w:t xml:space="preserve">diversos elementos de </w:t>
      </w:r>
      <w:r w:rsidR="000A3629" w:rsidRPr="006423DD">
        <w:rPr>
          <w:rFonts w:ascii="ITC Avant Garde" w:hAnsi="ITC Avant Garde" w:cs="Arial"/>
          <w:bCs/>
        </w:rPr>
        <w:t xml:space="preserve">infraestructura pasiva, </w:t>
      </w:r>
      <w:r w:rsidR="000A3629">
        <w:rPr>
          <w:rFonts w:ascii="ITC Avant Garde" w:hAnsi="ITC Avant Garde" w:cs="Arial"/>
          <w:bCs/>
        </w:rPr>
        <w:t xml:space="preserve">y </w:t>
      </w:r>
      <w:r w:rsidR="000A3629" w:rsidRPr="006423DD">
        <w:rPr>
          <w:rFonts w:ascii="ITC Avant Garde" w:hAnsi="ITC Avant Garde" w:cs="Arial"/>
          <w:bCs/>
        </w:rPr>
        <w:t>de desagregación efectiva de la red local</w:t>
      </w:r>
      <w:r w:rsidR="000A3629">
        <w:rPr>
          <w:rFonts w:ascii="ITC Avant Garde" w:hAnsi="ITC Avant Garde" w:cs="Arial"/>
          <w:bCs/>
        </w:rPr>
        <w:t>.</w:t>
      </w:r>
    </w:p>
    <w:p w:rsidR="000A3629" w:rsidRDefault="000A3629" w:rsidP="005F7B6C">
      <w:pPr>
        <w:spacing w:after="0"/>
        <w:jc w:val="both"/>
        <w:rPr>
          <w:rFonts w:ascii="ITC Avant Garde" w:hAnsi="ITC Avant Garde" w:cs="Arial"/>
          <w:bCs/>
        </w:rPr>
      </w:pPr>
    </w:p>
    <w:p w:rsidR="00CC603A" w:rsidRDefault="00FF122B" w:rsidP="005F7B6C">
      <w:pPr>
        <w:spacing w:after="0"/>
        <w:jc w:val="both"/>
        <w:rPr>
          <w:rFonts w:ascii="ITC Avant Garde" w:hAnsi="ITC Avant Garde" w:cs="Arial"/>
          <w:bCs/>
        </w:rPr>
      </w:pPr>
      <w:r>
        <w:rPr>
          <w:rFonts w:ascii="ITC Avant Garde" w:hAnsi="ITC Avant Garde" w:cs="Arial"/>
          <w:bCs/>
        </w:rPr>
        <w:t>En consistencia con dichas disposiciones y dada la naturaleza de los servicios</w:t>
      </w:r>
      <w:r w:rsidR="0076056E">
        <w:rPr>
          <w:rFonts w:ascii="ITC Avant Garde" w:hAnsi="ITC Avant Garde" w:cs="Arial"/>
          <w:bCs/>
        </w:rPr>
        <w:t xml:space="preserve"> de </w:t>
      </w:r>
      <w:r w:rsidR="00EA6A64">
        <w:rPr>
          <w:rFonts w:ascii="ITC Avant Garde" w:hAnsi="ITC Avant Garde" w:cs="Arial"/>
          <w:bCs/>
        </w:rPr>
        <w:t>acceso y uso compartido de infraestructura pasiva</w:t>
      </w:r>
      <w:r w:rsidR="0076056E">
        <w:rPr>
          <w:rFonts w:ascii="ITC Avant Garde" w:hAnsi="ITC Avant Garde" w:cs="Arial"/>
          <w:bCs/>
        </w:rPr>
        <w:t xml:space="preserve"> y </w:t>
      </w:r>
      <w:r w:rsidR="007F26E0">
        <w:rPr>
          <w:rFonts w:ascii="ITC Avant Garde" w:hAnsi="ITC Avant Garde" w:cs="Arial"/>
          <w:bCs/>
        </w:rPr>
        <w:t xml:space="preserve">de </w:t>
      </w:r>
      <w:r w:rsidR="0076056E">
        <w:rPr>
          <w:rFonts w:ascii="ITC Avant Garde" w:hAnsi="ITC Avant Garde" w:cs="Arial"/>
          <w:bCs/>
        </w:rPr>
        <w:t>desagregación</w:t>
      </w:r>
      <w:r w:rsidR="00EA6A64">
        <w:rPr>
          <w:rFonts w:ascii="ITC Avant Garde" w:hAnsi="ITC Avant Garde" w:cs="Arial"/>
          <w:bCs/>
        </w:rPr>
        <w:t xml:space="preserve"> del AEP</w:t>
      </w:r>
      <w:r>
        <w:rPr>
          <w:rFonts w:ascii="ITC Avant Garde" w:hAnsi="ITC Avant Garde" w:cs="Arial"/>
          <w:bCs/>
        </w:rPr>
        <w:t xml:space="preserve">, así como de las metodologías </w:t>
      </w:r>
      <w:r w:rsidR="0076056E">
        <w:rPr>
          <w:rFonts w:ascii="ITC Avant Garde" w:hAnsi="ITC Avant Garde" w:cs="Arial"/>
          <w:bCs/>
        </w:rPr>
        <w:t>establecidas en las Medidas Fijas y Medidas de Desagregación mediante las cuales se deben determinar las tarifas aplicables a tales servicios,</w:t>
      </w:r>
      <w:r w:rsidR="00075C3C">
        <w:rPr>
          <w:rFonts w:ascii="ITC Avant Garde" w:hAnsi="ITC Avant Garde" w:cs="Arial"/>
          <w:bCs/>
        </w:rPr>
        <w:t xml:space="preserve"> el Instituto</w:t>
      </w:r>
      <w:r w:rsidR="00CC603A">
        <w:rPr>
          <w:rFonts w:ascii="ITC Avant Garde" w:hAnsi="ITC Avant Garde" w:cs="Arial"/>
          <w:bCs/>
        </w:rPr>
        <w:t xml:space="preserve">, </w:t>
      </w:r>
      <w:r w:rsidR="00CC603A" w:rsidRPr="005F7B6C">
        <w:rPr>
          <w:rFonts w:ascii="ITC Avant Garde" w:hAnsi="ITC Avant Garde" w:cs="Arial"/>
          <w:bCs/>
        </w:rPr>
        <w:t>con el fin de cont</w:t>
      </w:r>
      <w:r w:rsidR="00CC603A">
        <w:rPr>
          <w:rFonts w:ascii="ITC Avant Garde" w:hAnsi="ITC Avant Garde" w:cs="Arial"/>
          <w:bCs/>
        </w:rPr>
        <w:t>ar con h</w:t>
      </w:r>
      <w:r w:rsidR="00CC603A" w:rsidRPr="005F7B6C">
        <w:rPr>
          <w:rFonts w:ascii="ITC Avant Garde" w:hAnsi="ITC Avant Garde" w:cs="Arial"/>
          <w:bCs/>
        </w:rPr>
        <w:t>erramienta</w:t>
      </w:r>
      <w:r w:rsidR="00CC603A">
        <w:rPr>
          <w:rFonts w:ascii="ITC Avant Garde" w:hAnsi="ITC Avant Garde" w:cs="Arial"/>
          <w:bCs/>
        </w:rPr>
        <w:t>s</w:t>
      </w:r>
      <w:r w:rsidR="00CC603A" w:rsidRPr="005F7B6C">
        <w:rPr>
          <w:rFonts w:ascii="ITC Avant Garde" w:hAnsi="ITC Avant Garde" w:cs="Arial"/>
          <w:bCs/>
        </w:rPr>
        <w:t xml:space="preserve"> formal</w:t>
      </w:r>
      <w:r w:rsidR="00CC603A">
        <w:rPr>
          <w:rFonts w:ascii="ITC Avant Garde" w:hAnsi="ITC Avant Garde" w:cs="Arial"/>
          <w:bCs/>
        </w:rPr>
        <w:t>es</w:t>
      </w:r>
      <w:r w:rsidR="00CC603A" w:rsidRPr="005F7B6C">
        <w:rPr>
          <w:rFonts w:ascii="ITC Avant Garde" w:hAnsi="ITC Avant Garde" w:cs="Arial"/>
          <w:bCs/>
        </w:rPr>
        <w:t xml:space="preserve"> que lo pueda</w:t>
      </w:r>
      <w:r w:rsidR="00CC603A">
        <w:rPr>
          <w:rFonts w:ascii="ITC Avant Garde" w:hAnsi="ITC Avant Garde" w:cs="Arial"/>
          <w:bCs/>
        </w:rPr>
        <w:t>n</w:t>
      </w:r>
      <w:r w:rsidR="00CC603A" w:rsidRPr="005F7B6C">
        <w:rPr>
          <w:rFonts w:ascii="ITC Avant Garde" w:hAnsi="ITC Avant Garde" w:cs="Arial"/>
          <w:bCs/>
        </w:rPr>
        <w:t xml:space="preserve"> auxiliar </w:t>
      </w:r>
      <w:r w:rsidR="00CC603A">
        <w:rPr>
          <w:rFonts w:ascii="ITC Avant Garde" w:eastAsia="ITC Avant Garde" w:hAnsi="ITC Avant Garde" w:cs="ITC Avant Garde"/>
          <w:bCs/>
        </w:rPr>
        <w:t>en</w:t>
      </w:r>
      <w:r w:rsidR="00EA6A64">
        <w:rPr>
          <w:rFonts w:ascii="ITC Avant Garde" w:hAnsi="ITC Avant Garde" w:cs="Arial"/>
          <w:bCs/>
        </w:rPr>
        <w:t xml:space="preserve"> la determinación </w:t>
      </w:r>
      <w:r w:rsidR="000911C2">
        <w:rPr>
          <w:rFonts w:ascii="ITC Avant Garde" w:hAnsi="ITC Avant Garde" w:cs="Arial"/>
          <w:bCs/>
        </w:rPr>
        <w:t>de dichas</w:t>
      </w:r>
      <w:r w:rsidR="00EA6A64">
        <w:rPr>
          <w:rFonts w:ascii="ITC Avant Garde" w:hAnsi="ITC Avant Garde" w:cs="Arial"/>
          <w:bCs/>
        </w:rPr>
        <w:t xml:space="preserve"> </w:t>
      </w:r>
      <w:r w:rsidR="000911C2">
        <w:rPr>
          <w:rFonts w:ascii="ITC Avant Garde" w:hAnsi="ITC Avant Garde" w:cs="Arial"/>
          <w:bCs/>
        </w:rPr>
        <w:t>tarifas</w:t>
      </w:r>
      <w:r w:rsidR="00EA6A64">
        <w:rPr>
          <w:rFonts w:ascii="ITC Avant Garde" w:hAnsi="ITC Avant Garde" w:cs="Arial"/>
          <w:bCs/>
        </w:rPr>
        <w:t xml:space="preserve">, </w:t>
      </w:r>
      <w:r w:rsidR="00CC603A">
        <w:rPr>
          <w:rFonts w:ascii="ITC Avant Garde" w:hAnsi="ITC Avant Garde" w:cs="Arial"/>
          <w:bCs/>
        </w:rPr>
        <w:t>elaboró los</w:t>
      </w:r>
      <w:r w:rsidR="00075C3C">
        <w:rPr>
          <w:rFonts w:ascii="ITC Avant Garde" w:hAnsi="ITC Avant Garde" w:cs="Arial"/>
          <w:bCs/>
        </w:rPr>
        <w:t xml:space="preserve"> </w:t>
      </w:r>
      <w:r w:rsidR="00CC603A">
        <w:rPr>
          <w:rFonts w:ascii="ITC Avant Garde" w:hAnsi="ITC Avant Garde" w:cs="Arial"/>
          <w:bCs/>
        </w:rPr>
        <w:t xml:space="preserve">siguientes </w:t>
      </w:r>
      <w:r w:rsidR="00D9003C">
        <w:rPr>
          <w:rFonts w:ascii="ITC Avant Garde" w:hAnsi="ITC Avant Garde" w:cs="Arial"/>
          <w:bCs/>
        </w:rPr>
        <w:t>modelos de costos (denominados de manera conjunta “</w:t>
      </w:r>
      <w:r w:rsidR="00CC603A">
        <w:rPr>
          <w:rFonts w:ascii="ITC Avant Garde" w:hAnsi="ITC Avant Garde" w:cs="Arial"/>
          <w:bCs/>
        </w:rPr>
        <w:t>Modelos de Costos</w:t>
      </w:r>
      <w:r w:rsidR="00D9003C">
        <w:rPr>
          <w:rFonts w:ascii="ITC Avant Garde" w:hAnsi="ITC Avant Garde" w:cs="Arial"/>
          <w:bCs/>
        </w:rPr>
        <w:t>”)</w:t>
      </w:r>
      <w:r w:rsidR="00CC603A">
        <w:rPr>
          <w:rFonts w:ascii="ITC Avant Garde" w:hAnsi="ITC Avant Garde" w:cs="Arial"/>
          <w:bCs/>
        </w:rPr>
        <w:t>:</w:t>
      </w:r>
    </w:p>
    <w:p w:rsidR="00CC603A" w:rsidRDefault="00CC603A" w:rsidP="005F7B6C">
      <w:pPr>
        <w:spacing w:after="0"/>
        <w:jc w:val="both"/>
        <w:rPr>
          <w:rFonts w:ascii="ITC Avant Garde" w:hAnsi="ITC Avant Garde" w:cs="Arial"/>
          <w:bCs/>
        </w:rPr>
      </w:pPr>
    </w:p>
    <w:p w:rsidR="00CC603A" w:rsidRPr="007F26E0" w:rsidRDefault="00CC603A" w:rsidP="00CC603A">
      <w:pPr>
        <w:pStyle w:val="Prrafodelista"/>
        <w:numPr>
          <w:ilvl w:val="0"/>
          <w:numId w:val="10"/>
        </w:numPr>
        <w:spacing w:after="0"/>
        <w:jc w:val="both"/>
        <w:rPr>
          <w:rFonts w:ascii="ITC Avant Garde" w:hAnsi="ITC Avant Garde" w:cs="Arial"/>
          <w:bCs/>
          <w:sz w:val="22"/>
          <w:szCs w:val="22"/>
        </w:rPr>
      </w:pPr>
      <w:r w:rsidRPr="007F26E0">
        <w:rPr>
          <w:rFonts w:ascii="ITC Avant Garde" w:hAnsi="ITC Avant Garde" w:cs="Arial"/>
          <w:bCs/>
          <w:sz w:val="22"/>
          <w:szCs w:val="22"/>
        </w:rPr>
        <w:t>Modelo de Costos Integral de la Red de Acceso Fija</w:t>
      </w:r>
      <w:r w:rsidRPr="007F26E0">
        <w:rPr>
          <w:rFonts w:ascii="ITC Avant Garde" w:hAnsi="ITC Avant Garde" w:cs="Arial"/>
          <w:bCs/>
          <w:sz w:val="22"/>
          <w:szCs w:val="22"/>
          <w:lang w:val="es-MX"/>
        </w:rPr>
        <w:t>.</w:t>
      </w:r>
    </w:p>
    <w:p w:rsidR="00CC603A" w:rsidRPr="007F26E0" w:rsidRDefault="00CC603A" w:rsidP="00CC603A">
      <w:pPr>
        <w:pStyle w:val="Prrafodelista"/>
        <w:numPr>
          <w:ilvl w:val="0"/>
          <w:numId w:val="10"/>
        </w:numPr>
        <w:spacing w:after="0"/>
        <w:jc w:val="both"/>
        <w:rPr>
          <w:rFonts w:ascii="ITC Avant Garde" w:hAnsi="ITC Avant Garde" w:cs="Arial"/>
          <w:bCs/>
          <w:sz w:val="22"/>
          <w:szCs w:val="22"/>
        </w:rPr>
      </w:pPr>
      <w:r w:rsidRPr="007F26E0">
        <w:rPr>
          <w:rFonts w:ascii="ITC Avant Garde" w:hAnsi="ITC Avant Garde" w:cs="Arial"/>
          <w:bCs/>
          <w:sz w:val="22"/>
          <w:szCs w:val="22"/>
          <w:lang w:val="es-MX"/>
        </w:rPr>
        <w:t>Modelo de Costos Evitados para Servicios de Desagregación.</w:t>
      </w:r>
    </w:p>
    <w:p w:rsidR="00CC603A" w:rsidRDefault="00CC603A" w:rsidP="005F7B6C">
      <w:pPr>
        <w:spacing w:after="0"/>
        <w:jc w:val="both"/>
        <w:rPr>
          <w:rFonts w:ascii="ITC Avant Garde" w:hAnsi="ITC Avant Garde" w:cs="Arial"/>
          <w:bCs/>
          <w:lang w:val="x-none"/>
        </w:rPr>
      </w:pPr>
    </w:p>
    <w:p w:rsidR="00CC603A" w:rsidRDefault="00CC603A" w:rsidP="00EA6A64">
      <w:pPr>
        <w:spacing w:after="0"/>
        <w:jc w:val="both"/>
        <w:rPr>
          <w:rFonts w:ascii="ITC Avant Garde" w:hAnsi="ITC Avant Garde" w:cs="Arial"/>
          <w:bCs/>
        </w:rPr>
      </w:pPr>
      <w:r>
        <w:rPr>
          <w:rFonts w:ascii="ITC Avant Garde" w:hAnsi="ITC Avant Garde" w:cs="Arial"/>
          <w:bCs/>
        </w:rPr>
        <w:t xml:space="preserve">Cabe destacar que, </w:t>
      </w:r>
      <w:r w:rsidR="007F26E0">
        <w:rPr>
          <w:rFonts w:ascii="ITC Avant Garde" w:hAnsi="ITC Avant Garde" w:cs="Arial"/>
          <w:bCs/>
        </w:rPr>
        <w:t xml:space="preserve">de acuerdo con lo dispuesto por </w:t>
      </w:r>
      <w:r>
        <w:rPr>
          <w:rFonts w:ascii="ITC Avant Garde" w:hAnsi="ITC Avant Garde" w:cs="Arial"/>
          <w:bCs/>
        </w:rPr>
        <w:t>la Medida Trigésima Novena de las Medidas Fijas y</w:t>
      </w:r>
      <w:r w:rsidR="007F26E0">
        <w:rPr>
          <w:rFonts w:ascii="ITC Avant Garde" w:hAnsi="ITC Avant Garde" w:cs="Arial"/>
          <w:bCs/>
        </w:rPr>
        <w:t xml:space="preserve"> por la</w:t>
      </w:r>
      <w:r>
        <w:rPr>
          <w:rFonts w:ascii="ITC Avant Garde" w:hAnsi="ITC Avant Garde" w:cs="Arial"/>
          <w:bCs/>
        </w:rPr>
        <w:t xml:space="preserve"> Medida Trigésima Novena </w:t>
      </w:r>
      <w:r w:rsidR="00EA6A64">
        <w:rPr>
          <w:rFonts w:ascii="ITC Avant Garde" w:hAnsi="ITC Avant Garde" w:cs="Arial"/>
          <w:bCs/>
        </w:rPr>
        <w:t>de las Medidas de D</w:t>
      </w:r>
      <w:r>
        <w:rPr>
          <w:rFonts w:ascii="ITC Avant Garde" w:hAnsi="ITC Avant Garde" w:cs="Arial"/>
          <w:bCs/>
        </w:rPr>
        <w:t xml:space="preserve">esagregación, el </w:t>
      </w:r>
      <w:r w:rsidRPr="00CC603A">
        <w:rPr>
          <w:rFonts w:ascii="ITC Avant Garde" w:hAnsi="ITC Avant Garde" w:cs="Arial"/>
          <w:bCs/>
        </w:rPr>
        <w:t>Modelo de Costos Integral de la Red de Acceso Fija</w:t>
      </w:r>
      <w:r>
        <w:rPr>
          <w:rFonts w:ascii="ITC Avant Garde" w:hAnsi="ITC Avant Garde" w:cs="Arial"/>
          <w:bCs/>
        </w:rPr>
        <w:t xml:space="preserve"> se elaboró bajo una metodología de costos incrementales promedio de largo plazo con el objeto de determinar, principalmente, las tarifas de los servicios de compartición de infraestructura asociadas a ductos, pozos y postes, así como las </w:t>
      </w:r>
      <w:r w:rsidR="00EA6A64">
        <w:rPr>
          <w:rFonts w:ascii="ITC Avant Garde" w:hAnsi="ITC Avant Garde" w:cs="Arial"/>
          <w:bCs/>
        </w:rPr>
        <w:t>correspondientes a</w:t>
      </w:r>
      <w:r>
        <w:rPr>
          <w:rFonts w:ascii="ITC Avant Garde" w:hAnsi="ITC Avant Garde" w:cs="Arial"/>
          <w:bCs/>
        </w:rPr>
        <w:t xml:space="preserve"> los servicios </w:t>
      </w:r>
      <w:r w:rsidR="00EA6A64" w:rsidRPr="00EA6A64">
        <w:rPr>
          <w:rFonts w:ascii="ITC Avant Garde" w:hAnsi="ITC Avant Garde" w:cs="Arial"/>
          <w:bCs/>
        </w:rPr>
        <w:t xml:space="preserve">de desagregación </w:t>
      </w:r>
      <w:r w:rsidR="00EA6A64" w:rsidRPr="00EA6A64">
        <w:rPr>
          <w:rFonts w:ascii="ITC Avant Garde" w:hAnsi="ITC Avant Garde" w:cs="Arial"/>
          <w:bCs/>
        </w:rPr>
        <w:lastRenderedPageBreak/>
        <w:t>total y</w:t>
      </w:r>
      <w:r w:rsidR="00EA6A64">
        <w:rPr>
          <w:rFonts w:ascii="ITC Avant Garde" w:hAnsi="ITC Avant Garde" w:cs="Arial"/>
          <w:bCs/>
        </w:rPr>
        <w:t xml:space="preserve"> </w:t>
      </w:r>
      <w:r w:rsidR="00EA6A64" w:rsidRPr="00EA6A64">
        <w:rPr>
          <w:rFonts w:ascii="ITC Avant Garde" w:hAnsi="ITC Avant Garde" w:cs="Arial"/>
          <w:bCs/>
        </w:rPr>
        <w:t xml:space="preserve">compartida del bucle, sub-bucle local, </w:t>
      </w:r>
      <w:r w:rsidR="00A6607E">
        <w:rPr>
          <w:rFonts w:ascii="ITC Avant Garde" w:hAnsi="ITC Avant Garde" w:cs="Arial"/>
          <w:bCs/>
        </w:rPr>
        <w:t>de la red del AEP</w:t>
      </w:r>
      <w:r w:rsidR="000911C2">
        <w:rPr>
          <w:rFonts w:ascii="ITC Avant Garde" w:hAnsi="ITC Avant Garde" w:cs="Arial"/>
          <w:bCs/>
        </w:rPr>
        <w:t>, inclusive haciendo la distinción cuando el acceso se realiza a través de cobre como de fibra óptica</w:t>
      </w:r>
      <w:r>
        <w:rPr>
          <w:rFonts w:ascii="ITC Avant Garde" w:hAnsi="ITC Avant Garde" w:cs="Arial"/>
          <w:bCs/>
        </w:rPr>
        <w:t>.</w:t>
      </w:r>
    </w:p>
    <w:p w:rsidR="00CC603A" w:rsidRDefault="00CC603A" w:rsidP="00D1027F">
      <w:pPr>
        <w:spacing w:after="0"/>
        <w:jc w:val="both"/>
        <w:rPr>
          <w:rFonts w:ascii="ITC Avant Garde" w:hAnsi="ITC Avant Garde" w:cs="Arial"/>
          <w:bCs/>
        </w:rPr>
      </w:pPr>
    </w:p>
    <w:p w:rsidR="00CC603A" w:rsidRDefault="00CC603A" w:rsidP="00D1027F">
      <w:pPr>
        <w:spacing w:after="0"/>
        <w:jc w:val="both"/>
        <w:rPr>
          <w:rFonts w:ascii="ITC Avant Garde" w:hAnsi="ITC Avant Garde" w:cs="Arial"/>
          <w:bCs/>
        </w:rPr>
      </w:pPr>
      <w:r>
        <w:rPr>
          <w:rFonts w:ascii="ITC Avant Garde" w:hAnsi="ITC Avant Garde" w:cs="Arial"/>
          <w:bCs/>
        </w:rPr>
        <w:t xml:space="preserve">En complemento, conforme a la Medida Trigésima Novena de las Medidas de Desagregación, el Modelo de Costos Evitados para Servicios de Desagregación se desarrolló con el objeto de determinar, los niveles tarifarios </w:t>
      </w:r>
      <w:r w:rsidR="000911C2">
        <w:rPr>
          <w:rFonts w:ascii="ITC Avant Garde" w:hAnsi="ITC Avant Garde" w:cs="Arial"/>
          <w:bCs/>
        </w:rPr>
        <w:t>de las diferentes modalidades de</w:t>
      </w:r>
      <w:r w:rsidR="00EA6A64">
        <w:rPr>
          <w:rFonts w:ascii="ITC Avant Garde" w:hAnsi="ITC Avant Garde" w:cs="Arial"/>
          <w:bCs/>
        </w:rPr>
        <w:t xml:space="preserve"> </w:t>
      </w:r>
      <w:r>
        <w:rPr>
          <w:rFonts w:ascii="ITC Avant Garde" w:hAnsi="ITC Avant Garde" w:cs="Arial"/>
          <w:bCs/>
        </w:rPr>
        <w:t>l</w:t>
      </w:r>
      <w:r w:rsidR="00EA6A64">
        <w:rPr>
          <w:rFonts w:ascii="ITC Avant Garde" w:hAnsi="ITC Avant Garde" w:cs="Arial"/>
          <w:bCs/>
        </w:rPr>
        <w:t>os</w:t>
      </w:r>
      <w:r>
        <w:rPr>
          <w:rFonts w:ascii="ITC Avant Garde" w:hAnsi="ITC Avant Garde" w:cs="Arial"/>
          <w:bCs/>
        </w:rPr>
        <w:t xml:space="preserve"> servicio</w:t>
      </w:r>
      <w:r w:rsidR="00EA6A64">
        <w:rPr>
          <w:rFonts w:ascii="ITC Avant Garde" w:hAnsi="ITC Avant Garde" w:cs="Arial"/>
          <w:bCs/>
        </w:rPr>
        <w:t>s</w:t>
      </w:r>
      <w:r>
        <w:rPr>
          <w:rFonts w:ascii="ITC Avant Garde" w:hAnsi="ITC Avant Garde" w:cs="Arial"/>
          <w:bCs/>
        </w:rPr>
        <w:t xml:space="preserve"> de reventa, </w:t>
      </w:r>
      <w:r w:rsidR="00D07A1D">
        <w:rPr>
          <w:rFonts w:ascii="ITC Avant Garde" w:hAnsi="ITC Avant Garde" w:cs="Arial"/>
          <w:bCs/>
        </w:rPr>
        <w:t xml:space="preserve">incluyendo el </w:t>
      </w:r>
      <w:r w:rsidR="007F26E0">
        <w:rPr>
          <w:rFonts w:ascii="ITC Avant Garde" w:hAnsi="ITC Avant Garde" w:cs="Arial"/>
          <w:bCs/>
        </w:rPr>
        <w:t>servicio de reventa mayorista de línea telefónica</w:t>
      </w:r>
      <w:r w:rsidR="00D07A1D">
        <w:rPr>
          <w:rFonts w:ascii="ITC Avant Garde" w:hAnsi="ITC Avant Garde" w:cs="Arial"/>
          <w:bCs/>
        </w:rPr>
        <w:t xml:space="preserve"> autorizado por el Instituto</w:t>
      </w:r>
      <w:r w:rsidR="005D61D0" w:rsidRPr="005D61D0">
        <w:rPr>
          <w:rFonts w:ascii="ITC Avant Garde" w:eastAsia="Times New Roman" w:hAnsi="ITC Avant Garde"/>
        </w:rPr>
        <w:t xml:space="preserve"> </w:t>
      </w:r>
      <w:r w:rsidR="005D61D0">
        <w:rPr>
          <w:rFonts w:ascii="ITC Avant Garde" w:eastAsia="Times New Roman" w:hAnsi="ITC Avant Garde"/>
        </w:rPr>
        <w:t>el 22 de marzo de 2018,</w:t>
      </w:r>
      <w:r w:rsidR="00D07A1D">
        <w:rPr>
          <w:rFonts w:ascii="ITC Avant Garde" w:hAnsi="ITC Avant Garde" w:cs="Arial"/>
          <w:bCs/>
        </w:rPr>
        <w:t xml:space="preserve"> </w:t>
      </w:r>
      <w:r w:rsidR="00D80466">
        <w:rPr>
          <w:rFonts w:ascii="ITC Avant Garde" w:hAnsi="ITC Avant Garde" w:cs="Arial"/>
          <w:bCs/>
        </w:rPr>
        <w:t xml:space="preserve">mediante Acuerdo </w:t>
      </w:r>
      <w:r w:rsidR="00D80466" w:rsidRPr="009B5494">
        <w:rPr>
          <w:rFonts w:ascii="ITC Avant Garde" w:eastAsia="Times New Roman" w:hAnsi="ITC Avant Garde"/>
        </w:rPr>
        <w:t>P/IFT/220318/243</w:t>
      </w:r>
      <w:r w:rsidR="005D61D0">
        <w:rPr>
          <w:rStyle w:val="Refdenotaalpie"/>
          <w:rFonts w:ascii="ITC Avant Garde" w:eastAsia="Times New Roman" w:hAnsi="ITC Avant Garde"/>
        </w:rPr>
        <w:footnoteReference w:id="1"/>
      </w:r>
      <w:r w:rsidR="00645156">
        <w:rPr>
          <w:rFonts w:ascii="ITC Avant Garde" w:hAnsi="ITC Avant Garde" w:cs="Arial"/>
          <w:bCs/>
        </w:rPr>
        <w:t>, así como del</w:t>
      </w:r>
      <w:r>
        <w:rPr>
          <w:rFonts w:ascii="ITC Avant Garde" w:hAnsi="ITC Avant Garde" w:cs="Arial"/>
          <w:bCs/>
        </w:rPr>
        <w:t xml:space="preserve"> servicio de acceso indirecto al bucle local</w:t>
      </w:r>
      <w:r w:rsidR="00645156">
        <w:rPr>
          <w:rFonts w:ascii="ITC Avant Garde" w:hAnsi="ITC Avant Garde" w:cs="Arial"/>
          <w:bCs/>
        </w:rPr>
        <w:t xml:space="preserve"> </w:t>
      </w:r>
      <w:r w:rsidR="00A6607E">
        <w:rPr>
          <w:rFonts w:ascii="ITC Avant Garde" w:hAnsi="ITC Avant Garde" w:cs="Arial"/>
          <w:bCs/>
        </w:rPr>
        <w:t>del AEP</w:t>
      </w:r>
      <w:r>
        <w:rPr>
          <w:rFonts w:ascii="ITC Avant Garde" w:hAnsi="ITC Avant Garde" w:cs="Arial"/>
          <w:bCs/>
        </w:rPr>
        <w:t>.</w:t>
      </w:r>
    </w:p>
    <w:p w:rsidR="00CC603A" w:rsidRDefault="00CC603A" w:rsidP="00D1027F">
      <w:pPr>
        <w:spacing w:after="0"/>
        <w:jc w:val="both"/>
        <w:rPr>
          <w:rFonts w:ascii="ITC Avant Garde" w:hAnsi="ITC Avant Garde" w:cs="Arial"/>
          <w:bCs/>
        </w:rPr>
      </w:pPr>
    </w:p>
    <w:p w:rsidR="005F7B6C" w:rsidRPr="005F7B6C" w:rsidRDefault="00D1027F" w:rsidP="000911C2">
      <w:pPr>
        <w:spacing w:after="0"/>
        <w:jc w:val="both"/>
        <w:rPr>
          <w:rFonts w:ascii="ITC Avant Garde" w:hAnsi="ITC Avant Garde" w:cs="Arial"/>
          <w:bCs/>
        </w:rPr>
      </w:pPr>
      <w:r>
        <w:rPr>
          <w:rFonts w:ascii="ITC Avant Garde" w:hAnsi="ITC Avant Garde" w:cs="Arial"/>
          <w:bCs/>
        </w:rPr>
        <w:t>En este orden de id</w:t>
      </w:r>
      <w:r w:rsidR="005F7B6C" w:rsidRPr="005F7B6C">
        <w:rPr>
          <w:rFonts w:ascii="ITC Avant Garde" w:hAnsi="ITC Avant Garde" w:cs="Arial"/>
          <w:bCs/>
        </w:rPr>
        <w:t>eas, este Instituto consid</w:t>
      </w:r>
      <w:r>
        <w:rPr>
          <w:rFonts w:ascii="ITC Avant Garde" w:hAnsi="ITC Avant Garde" w:cs="Arial"/>
          <w:bCs/>
        </w:rPr>
        <w:t>era de la mayor relevancia some</w:t>
      </w:r>
      <w:r w:rsidR="005F7B6C" w:rsidRPr="005F7B6C">
        <w:rPr>
          <w:rFonts w:ascii="ITC Avant Garde" w:hAnsi="ITC Avant Garde" w:cs="Arial"/>
          <w:bCs/>
        </w:rPr>
        <w:t xml:space="preserve">ter a un proceso de consulta pública los </w:t>
      </w:r>
      <w:r w:rsidR="00EA6A64">
        <w:rPr>
          <w:rFonts w:ascii="ITC Avant Garde" w:hAnsi="ITC Avant Garde" w:cs="Arial"/>
          <w:bCs/>
        </w:rPr>
        <w:t xml:space="preserve">citados </w:t>
      </w:r>
      <w:r w:rsidR="005F7B6C" w:rsidRPr="00D9003C">
        <w:rPr>
          <w:rFonts w:ascii="ITC Avant Garde" w:hAnsi="ITC Avant Garde" w:cs="Arial"/>
          <w:bCs/>
        </w:rPr>
        <w:t>Modelos de Costos</w:t>
      </w:r>
      <w:r w:rsidR="005F7B6C" w:rsidRPr="005F7B6C">
        <w:rPr>
          <w:rFonts w:ascii="ITC Avant Garde" w:hAnsi="ITC Avant Garde" w:cs="Arial"/>
          <w:bCs/>
        </w:rPr>
        <w:t xml:space="preserve">, con la finalidad de recabar comentarios </w:t>
      </w:r>
      <w:r w:rsidR="00931FA9">
        <w:rPr>
          <w:rFonts w:ascii="ITC Avant Garde" w:hAnsi="ITC Avant Garde" w:cs="Arial"/>
          <w:bCs/>
        </w:rPr>
        <w:t xml:space="preserve">y opiniones </w:t>
      </w:r>
      <w:r w:rsidR="005F7B6C" w:rsidRPr="005F7B6C">
        <w:rPr>
          <w:rFonts w:ascii="ITC Avant Garde" w:hAnsi="ITC Avant Garde" w:cs="Arial"/>
          <w:bCs/>
        </w:rPr>
        <w:t>de la industria</w:t>
      </w:r>
      <w:r w:rsidR="00931FA9">
        <w:rPr>
          <w:rFonts w:ascii="ITC Avant Garde" w:hAnsi="ITC Avant Garde" w:cs="Arial"/>
          <w:bCs/>
        </w:rPr>
        <w:t>, académicos,</w:t>
      </w:r>
      <w:r w:rsidR="005F7B6C" w:rsidRPr="005F7B6C">
        <w:rPr>
          <w:rFonts w:ascii="ITC Avant Garde" w:hAnsi="ITC Avant Garde" w:cs="Arial"/>
          <w:bCs/>
        </w:rPr>
        <w:t xml:space="preserve"> los concesionarios, permisionarios y autorizados,</w:t>
      </w:r>
      <w:r>
        <w:rPr>
          <w:rFonts w:ascii="ITC Avant Garde" w:hAnsi="ITC Avant Garde" w:cs="Arial"/>
          <w:bCs/>
        </w:rPr>
        <w:t xml:space="preserve"> y en su caso, d</w:t>
      </w:r>
      <w:r w:rsidR="005F7B6C" w:rsidRPr="005F7B6C">
        <w:rPr>
          <w:rFonts w:ascii="ITC Avant Garde" w:hAnsi="ITC Avant Garde" w:cs="Arial"/>
          <w:bCs/>
        </w:rPr>
        <w:t xml:space="preserve">e especialistas en la materia y del público en general, para ser analizados y, de resultar procedente, fortalecer </w:t>
      </w:r>
      <w:r w:rsidR="000911C2">
        <w:rPr>
          <w:rFonts w:ascii="ITC Avant Garde" w:hAnsi="ITC Avant Garde" w:cs="Arial"/>
          <w:bCs/>
        </w:rPr>
        <w:t>dich</w:t>
      </w:r>
      <w:r w:rsidR="005F7B6C" w:rsidRPr="005F7B6C">
        <w:rPr>
          <w:rFonts w:ascii="ITC Avant Garde" w:hAnsi="ITC Avant Garde" w:cs="Arial"/>
          <w:bCs/>
        </w:rPr>
        <w:t xml:space="preserve">os </w:t>
      </w:r>
      <w:r w:rsidR="000911C2">
        <w:rPr>
          <w:rFonts w:ascii="ITC Avant Garde" w:hAnsi="ITC Avant Garde" w:cs="Arial"/>
          <w:bCs/>
        </w:rPr>
        <w:t>m</w:t>
      </w:r>
      <w:r w:rsidR="005F7B6C" w:rsidRPr="005F7B6C">
        <w:rPr>
          <w:rFonts w:ascii="ITC Avant Garde" w:hAnsi="ITC Avant Garde" w:cs="Arial"/>
          <w:bCs/>
        </w:rPr>
        <w:t>odelos.</w:t>
      </w:r>
      <w:r w:rsidR="000911C2">
        <w:rPr>
          <w:rFonts w:ascii="ITC Avant Garde" w:hAnsi="ITC Avant Garde" w:cs="Arial"/>
          <w:bCs/>
        </w:rPr>
        <w:t xml:space="preserve"> Asimismo, la consulta pública contribuirá a </w:t>
      </w:r>
      <w:r w:rsidR="000911C2" w:rsidRPr="005F7B6C">
        <w:rPr>
          <w:rFonts w:ascii="ITC Avant Garde" w:hAnsi="ITC Avant Garde" w:cs="Arial"/>
          <w:bCs/>
        </w:rPr>
        <w:t xml:space="preserve">fortalecer la transparencia de las resoluciones </w:t>
      </w:r>
      <w:r w:rsidR="000911C2">
        <w:rPr>
          <w:rFonts w:ascii="ITC Avant Garde" w:hAnsi="ITC Avant Garde" w:cs="Arial"/>
          <w:bCs/>
        </w:rPr>
        <w:t xml:space="preserve">cuando sean utilizadas estas herramientas </w:t>
      </w:r>
      <w:r w:rsidR="000911C2" w:rsidRPr="005F7B6C">
        <w:rPr>
          <w:rFonts w:ascii="ITC Avant Garde" w:hAnsi="ITC Avant Garde" w:cs="Arial"/>
          <w:bCs/>
        </w:rPr>
        <w:t xml:space="preserve">para la determinación de las tarifas por la prestación de los servicios antes referidos. </w:t>
      </w:r>
    </w:p>
    <w:p w:rsidR="006423DD" w:rsidRDefault="006423DD" w:rsidP="006423DD">
      <w:pPr>
        <w:spacing w:after="0"/>
        <w:jc w:val="both"/>
        <w:rPr>
          <w:rFonts w:ascii="ITC Avant Garde" w:hAnsi="ITC Avant Garde" w:cs="Arial"/>
          <w:bCs/>
        </w:rPr>
      </w:pPr>
    </w:p>
    <w:p w:rsidR="005F7B6C" w:rsidRPr="005F7B6C" w:rsidRDefault="005F7B6C" w:rsidP="005F7B6C">
      <w:pPr>
        <w:spacing w:after="0"/>
        <w:jc w:val="both"/>
        <w:rPr>
          <w:rFonts w:ascii="ITC Avant Garde" w:hAnsi="ITC Avant Garde" w:cs="Arial"/>
          <w:bCs/>
        </w:rPr>
      </w:pPr>
      <w:r w:rsidRPr="005F7B6C">
        <w:rPr>
          <w:rFonts w:ascii="ITC Avant Garde" w:hAnsi="ITC Avant Garde" w:cs="Arial"/>
          <w:bCs/>
        </w:rPr>
        <w:t>Es deci</w:t>
      </w:r>
      <w:r w:rsidR="00D1027F">
        <w:rPr>
          <w:rFonts w:ascii="ITC Avant Garde" w:hAnsi="ITC Avant Garde" w:cs="Arial"/>
          <w:bCs/>
        </w:rPr>
        <w:t xml:space="preserve">r, no obstante que </w:t>
      </w:r>
      <w:r w:rsidR="00EA6A64">
        <w:rPr>
          <w:rFonts w:ascii="ITC Avant Garde" w:hAnsi="ITC Avant Garde" w:cs="Arial"/>
          <w:bCs/>
        </w:rPr>
        <w:t xml:space="preserve">un </w:t>
      </w:r>
      <w:r w:rsidR="00D1027F" w:rsidRPr="00D9003C">
        <w:rPr>
          <w:rFonts w:ascii="ITC Avant Garde" w:hAnsi="ITC Avant Garde" w:cs="Arial"/>
          <w:bCs/>
        </w:rPr>
        <w:t xml:space="preserve">Modelo de </w:t>
      </w:r>
      <w:r w:rsidRPr="00D9003C">
        <w:rPr>
          <w:rFonts w:ascii="ITC Avant Garde" w:hAnsi="ITC Avant Garde" w:cs="Arial"/>
          <w:bCs/>
        </w:rPr>
        <w:t>Costos</w:t>
      </w:r>
      <w:r w:rsidRPr="005F7B6C">
        <w:rPr>
          <w:rFonts w:ascii="ITC Avant Garde" w:hAnsi="ITC Avant Garde" w:cs="Arial"/>
          <w:bCs/>
        </w:rPr>
        <w:t xml:space="preserve"> es, como tal, una herramienta de trabajo que tien</w:t>
      </w:r>
      <w:r w:rsidR="00D1027F">
        <w:rPr>
          <w:rFonts w:ascii="ITC Avant Garde" w:eastAsia="ITC Avant Garde" w:hAnsi="ITC Avant Garde" w:cs="ITC Avant Garde"/>
          <w:bCs/>
        </w:rPr>
        <w:t>e</w:t>
      </w:r>
      <w:r w:rsidRPr="005F7B6C">
        <w:rPr>
          <w:rFonts w:ascii="ITC Avant Garde" w:hAnsi="ITC Avant Garde" w:cs="Arial"/>
          <w:bCs/>
        </w:rPr>
        <w:t xml:space="preserve"> la autoridad y por lo tant</w:t>
      </w:r>
      <w:r w:rsidR="00D1027F">
        <w:rPr>
          <w:rFonts w:ascii="ITC Avant Garde" w:eastAsia="ITC Avant Garde" w:hAnsi="ITC Avant Garde" w:cs="ITC Avant Garde"/>
          <w:bCs/>
        </w:rPr>
        <w:t>o</w:t>
      </w:r>
      <w:r w:rsidR="00D1027F">
        <w:rPr>
          <w:rFonts w:ascii="ITC Avant Garde" w:hAnsi="ITC Avant Garde" w:cs="Arial"/>
          <w:bCs/>
        </w:rPr>
        <w:t xml:space="preserve"> no in</w:t>
      </w:r>
      <w:r w:rsidRPr="005F7B6C">
        <w:rPr>
          <w:rFonts w:ascii="ITC Avant Garde" w:hAnsi="ITC Avant Garde" w:cs="Arial"/>
          <w:bCs/>
        </w:rPr>
        <w:t>cide directament</w:t>
      </w:r>
      <w:r w:rsidR="00D1027F">
        <w:rPr>
          <w:rFonts w:ascii="ITC Avant Garde" w:hAnsi="ITC Avant Garde" w:cs="Arial"/>
          <w:bCs/>
        </w:rPr>
        <w:t>e en un procedimiento en lo in</w:t>
      </w:r>
      <w:r w:rsidRPr="005F7B6C">
        <w:rPr>
          <w:rFonts w:ascii="ITC Avant Garde" w:hAnsi="ITC Avant Garde" w:cs="Arial"/>
          <w:bCs/>
        </w:rPr>
        <w:t>dividual, se estima de la mayor relevancia que, previo a su emisión y en su momento aplica</w:t>
      </w:r>
      <w:r w:rsidR="00D1027F">
        <w:rPr>
          <w:rFonts w:ascii="ITC Avant Garde" w:hAnsi="ITC Avant Garde" w:cs="Arial"/>
          <w:bCs/>
        </w:rPr>
        <w:t>ción a un determinado caso en concreto, la autoridad tenga c</w:t>
      </w:r>
      <w:r w:rsidRPr="005F7B6C">
        <w:rPr>
          <w:rFonts w:ascii="ITC Avant Garde" w:hAnsi="ITC Avant Garde" w:cs="Arial"/>
          <w:bCs/>
        </w:rPr>
        <w:t>onocimiento de las inquietudes de los regulados a efecto de que, de forma simplemente informativa, se pueda allegar de comentarios o sugerencias que permita</w:t>
      </w:r>
      <w:r w:rsidR="00D1027F">
        <w:rPr>
          <w:rFonts w:ascii="ITC Avant Garde" w:hAnsi="ITC Avant Garde" w:cs="Arial"/>
          <w:bCs/>
        </w:rPr>
        <w:t xml:space="preserve">n fortalecer </w:t>
      </w:r>
      <w:r w:rsidR="000911C2">
        <w:rPr>
          <w:rFonts w:ascii="ITC Avant Garde" w:hAnsi="ITC Avant Garde" w:cs="Arial"/>
          <w:bCs/>
        </w:rPr>
        <w:t xml:space="preserve">los modelos </w:t>
      </w:r>
      <w:r w:rsidRPr="005F7B6C">
        <w:rPr>
          <w:rFonts w:ascii="ITC Avant Garde" w:hAnsi="ITC Avant Garde" w:cs="Arial"/>
          <w:bCs/>
        </w:rPr>
        <w:t xml:space="preserve">para lograr </w:t>
      </w:r>
      <w:r w:rsidR="009162FC">
        <w:rPr>
          <w:rFonts w:ascii="ITC Avant Garde" w:hAnsi="ITC Avant Garde" w:cs="Arial"/>
          <w:bCs/>
        </w:rPr>
        <w:t xml:space="preserve">los fines </w:t>
      </w:r>
      <w:r w:rsidRPr="005F7B6C">
        <w:rPr>
          <w:rFonts w:ascii="ITC Avant Garde" w:hAnsi="ITC Avant Garde" w:cs="Arial"/>
          <w:bCs/>
        </w:rPr>
        <w:t>de la Ley.</w:t>
      </w:r>
    </w:p>
    <w:p w:rsidR="002F49AF" w:rsidRPr="006423DD" w:rsidRDefault="002F49AF" w:rsidP="006423DD">
      <w:pPr>
        <w:spacing w:after="0"/>
        <w:jc w:val="both"/>
        <w:rPr>
          <w:rFonts w:ascii="ITC Avant Garde" w:hAnsi="ITC Avant Garde" w:cs="Arial"/>
          <w:bCs/>
        </w:rPr>
      </w:pPr>
    </w:p>
    <w:p w:rsidR="003B7210" w:rsidRDefault="002F49AF" w:rsidP="003B7210">
      <w:pPr>
        <w:spacing w:after="0"/>
        <w:jc w:val="both"/>
        <w:rPr>
          <w:rFonts w:ascii="ITC Avant Garde" w:hAnsi="ITC Avant Garde" w:cs="Arial"/>
          <w:bCs/>
        </w:rPr>
      </w:pPr>
      <w:r w:rsidRPr="00EB29B0">
        <w:rPr>
          <w:rFonts w:ascii="ITC Avant Garde" w:hAnsi="ITC Avant Garde" w:cs="Arial"/>
          <w:b/>
          <w:bCs/>
        </w:rPr>
        <w:t>TERCERO</w:t>
      </w:r>
      <w:r w:rsidRPr="00EB29B0">
        <w:rPr>
          <w:rFonts w:ascii="ITC Avant Garde" w:hAnsi="ITC Avant Garde" w:cs="Arial"/>
          <w:bCs/>
        </w:rPr>
        <w:t>. -</w:t>
      </w:r>
      <w:r w:rsidR="007C69A8" w:rsidRPr="00EB29B0">
        <w:rPr>
          <w:rFonts w:ascii="ITC Avant Garde" w:hAnsi="ITC Avant Garde" w:cs="Arial"/>
          <w:bCs/>
        </w:rPr>
        <w:t xml:space="preserve"> </w:t>
      </w:r>
      <w:r w:rsidR="007C69A8" w:rsidRPr="00EB29B0">
        <w:rPr>
          <w:rFonts w:ascii="ITC Avant Garde" w:hAnsi="ITC Avant Garde" w:cs="Arial"/>
          <w:b/>
          <w:bCs/>
        </w:rPr>
        <w:t xml:space="preserve">Consulta Pública de </w:t>
      </w:r>
      <w:r w:rsidR="00D1027F">
        <w:rPr>
          <w:rFonts w:ascii="ITC Avant Garde" w:hAnsi="ITC Avant Garde" w:cs="Arial"/>
          <w:b/>
          <w:bCs/>
        </w:rPr>
        <w:t>los Modelos de Costos.</w:t>
      </w:r>
      <w:r w:rsidR="00F921E7">
        <w:rPr>
          <w:rFonts w:ascii="ITC Avant Garde" w:eastAsia="Times New Roman" w:hAnsi="ITC Avant Garde"/>
          <w:b/>
          <w:szCs w:val="20"/>
        </w:rPr>
        <w:t xml:space="preserve"> </w:t>
      </w:r>
      <w:r w:rsidR="003B7210">
        <w:rPr>
          <w:rFonts w:ascii="ITC Avant Garde" w:hAnsi="ITC Avant Garde" w:cs="Arial"/>
          <w:bCs/>
        </w:rPr>
        <w:t>E</w:t>
      </w:r>
      <w:r w:rsidR="003B7210" w:rsidRPr="00064024">
        <w:rPr>
          <w:rFonts w:ascii="ITC Avant Garde" w:hAnsi="ITC Avant Garde" w:cs="Arial"/>
          <w:bCs/>
        </w:rPr>
        <w:t>l artículo 51 de la Ley establece la posibilidad de que el</w:t>
      </w:r>
      <w:r w:rsidR="003B7210">
        <w:rPr>
          <w:rFonts w:ascii="ITC Avant Garde" w:hAnsi="ITC Avant Garde" w:cs="Arial"/>
          <w:bCs/>
        </w:rPr>
        <w:t xml:space="preserve"> Instituto lleve a cabo consultas públicas en </w:t>
      </w:r>
      <w:r w:rsidR="003B7210" w:rsidRPr="00064024">
        <w:rPr>
          <w:rFonts w:ascii="ITC Avant Garde" w:hAnsi="ITC Avant Garde" w:cs="Arial"/>
          <w:bCs/>
        </w:rPr>
        <w:t>cualquier caso que el Pleno determine</w:t>
      </w:r>
      <w:r w:rsidR="003B7210">
        <w:rPr>
          <w:rFonts w:ascii="ITC Avant Garde" w:hAnsi="ITC Avant Garde" w:cs="Arial"/>
          <w:bCs/>
        </w:rPr>
        <w:t>, las cuales se realizarán</w:t>
      </w:r>
      <w:r w:rsidR="003B7210" w:rsidRPr="00064024">
        <w:rPr>
          <w:rFonts w:ascii="ITC Avant Garde" w:hAnsi="ITC Avant Garde" w:cs="Arial"/>
          <w:bCs/>
        </w:rPr>
        <w:t xml:space="preserve"> bajo los principios de transparencia y participación ciudadana en los términos que determine el Pleno.</w:t>
      </w:r>
      <w:r w:rsidR="003B7210">
        <w:rPr>
          <w:rFonts w:ascii="ITC Avant Garde" w:hAnsi="ITC Avant Garde" w:cs="Arial"/>
          <w:bCs/>
        </w:rPr>
        <w:t xml:space="preserve"> </w:t>
      </w:r>
    </w:p>
    <w:p w:rsidR="00692A8E" w:rsidRDefault="00692A8E" w:rsidP="003B7210">
      <w:pPr>
        <w:spacing w:after="0"/>
        <w:jc w:val="both"/>
        <w:rPr>
          <w:rFonts w:ascii="ITC Avant Garde" w:hAnsi="ITC Avant Garde" w:cs="Arial"/>
          <w:bCs/>
        </w:rPr>
      </w:pPr>
    </w:p>
    <w:p w:rsidR="00674014" w:rsidRDefault="00DF5820" w:rsidP="00064024">
      <w:pPr>
        <w:spacing w:after="0"/>
        <w:jc w:val="both"/>
        <w:rPr>
          <w:rFonts w:ascii="ITC Avant Garde" w:hAnsi="ITC Avant Garde" w:cs="Arial"/>
          <w:bCs/>
        </w:rPr>
      </w:pPr>
      <w:r>
        <w:rPr>
          <w:rFonts w:ascii="ITC Avant Garde" w:hAnsi="ITC Avant Garde" w:cs="Arial"/>
          <w:bCs/>
        </w:rPr>
        <w:t>La</w:t>
      </w:r>
      <w:r w:rsidR="003B7210">
        <w:rPr>
          <w:rFonts w:ascii="ITC Avant Garde" w:hAnsi="ITC Avant Garde" w:cs="Arial"/>
          <w:bCs/>
        </w:rPr>
        <w:t>s</w:t>
      </w:r>
      <w:r>
        <w:rPr>
          <w:rFonts w:ascii="ITC Avant Garde" w:hAnsi="ITC Avant Garde" w:cs="Arial"/>
          <w:bCs/>
        </w:rPr>
        <w:t xml:space="preserve"> consulta</w:t>
      </w:r>
      <w:r w:rsidR="005779F2">
        <w:rPr>
          <w:rFonts w:ascii="ITC Avant Garde" w:hAnsi="ITC Avant Garde" w:cs="Arial"/>
          <w:bCs/>
        </w:rPr>
        <w:t>s</w:t>
      </w:r>
      <w:r>
        <w:rPr>
          <w:rFonts w:ascii="ITC Avant Garde" w:hAnsi="ITC Avant Garde" w:cs="Arial"/>
          <w:bCs/>
        </w:rPr>
        <w:t xml:space="preserve"> pública</w:t>
      </w:r>
      <w:r w:rsidR="003B7210">
        <w:rPr>
          <w:rFonts w:ascii="ITC Avant Garde" w:hAnsi="ITC Avant Garde" w:cs="Arial"/>
          <w:bCs/>
        </w:rPr>
        <w:t>s</w:t>
      </w:r>
      <w:r>
        <w:rPr>
          <w:rFonts w:ascii="ITC Avant Garde" w:hAnsi="ITC Avant Garde" w:cs="Arial"/>
          <w:bCs/>
        </w:rPr>
        <w:t xml:space="preserve"> tiene</w:t>
      </w:r>
      <w:r w:rsidR="003B7210">
        <w:rPr>
          <w:rFonts w:ascii="ITC Avant Garde" w:hAnsi="ITC Avant Garde" w:cs="Arial"/>
          <w:bCs/>
        </w:rPr>
        <w:t>n</w:t>
      </w:r>
      <w:r>
        <w:rPr>
          <w:rFonts w:ascii="ITC Avant Garde" w:hAnsi="ITC Avant Garde" w:cs="Arial"/>
          <w:bCs/>
        </w:rPr>
        <w:t xml:space="preserve"> </w:t>
      </w:r>
      <w:r w:rsidR="00064024" w:rsidRPr="00064024">
        <w:rPr>
          <w:rFonts w:ascii="ITC Avant Garde" w:hAnsi="ITC Avant Garde" w:cs="Arial"/>
          <w:bCs/>
        </w:rPr>
        <w:t>por objeto cumplir con los</w:t>
      </w:r>
      <w:r>
        <w:rPr>
          <w:rFonts w:ascii="ITC Avant Garde" w:hAnsi="ITC Avant Garde" w:cs="Arial"/>
          <w:bCs/>
        </w:rPr>
        <w:t xml:space="preserve"> principios de transparencia y participación ciudadan</w:t>
      </w:r>
      <w:r w:rsidR="00064024" w:rsidRPr="00064024">
        <w:rPr>
          <w:rFonts w:ascii="ITC Avant Garde" w:hAnsi="ITC Avant Garde" w:cs="Arial"/>
          <w:bCs/>
        </w:rPr>
        <w:t>a por parte del Instituto, con</w:t>
      </w:r>
      <w:r>
        <w:rPr>
          <w:rFonts w:ascii="ITC Avant Garde" w:hAnsi="ITC Avant Garde" w:cs="Arial"/>
          <w:bCs/>
        </w:rPr>
        <w:t xml:space="preserve"> l</w:t>
      </w:r>
      <w:r w:rsidR="00064024" w:rsidRPr="00064024">
        <w:rPr>
          <w:rFonts w:ascii="ITC Avant Garde" w:hAnsi="ITC Avant Garde" w:cs="Arial"/>
          <w:bCs/>
        </w:rPr>
        <w:t xml:space="preserve">a finalidad de recabar comentarios </w:t>
      </w:r>
      <w:r w:rsidR="00931FA9">
        <w:rPr>
          <w:rFonts w:ascii="ITC Avant Garde" w:hAnsi="ITC Avant Garde" w:cs="Arial"/>
          <w:bCs/>
        </w:rPr>
        <w:t xml:space="preserve">y opiniones </w:t>
      </w:r>
      <w:r w:rsidR="00064024" w:rsidRPr="00064024">
        <w:rPr>
          <w:rFonts w:ascii="ITC Avant Garde" w:hAnsi="ITC Avant Garde" w:cs="Arial"/>
          <w:bCs/>
        </w:rPr>
        <w:t xml:space="preserve">de la industria, </w:t>
      </w:r>
      <w:r w:rsidR="00931FA9">
        <w:rPr>
          <w:rFonts w:ascii="ITC Avant Garde" w:hAnsi="ITC Avant Garde" w:cs="Arial"/>
          <w:bCs/>
        </w:rPr>
        <w:t xml:space="preserve">académicos, </w:t>
      </w:r>
      <w:r w:rsidR="00064024" w:rsidRPr="00064024">
        <w:rPr>
          <w:rFonts w:ascii="ITC Avant Garde" w:hAnsi="ITC Avant Garde" w:cs="Arial"/>
          <w:bCs/>
        </w:rPr>
        <w:t xml:space="preserve">de especialistas en la materia y del público en general, </w:t>
      </w:r>
      <w:r>
        <w:rPr>
          <w:rFonts w:ascii="ITC Avant Garde" w:hAnsi="ITC Avant Garde" w:cs="Arial"/>
          <w:bCs/>
        </w:rPr>
        <w:t xml:space="preserve">mismos que </w:t>
      </w:r>
      <w:r w:rsidR="003B7210">
        <w:rPr>
          <w:rFonts w:ascii="ITC Avant Garde" w:hAnsi="ITC Avant Garde" w:cs="Arial"/>
          <w:bCs/>
        </w:rPr>
        <w:t>son</w:t>
      </w:r>
      <w:r w:rsidR="00064024" w:rsidRPr="00064024">
        <w:rPr>
          <w:rFonts w:ascii="ITC Avant Garde" w:hAnsi="ITC Avant Garde" w:cs="Arial"/>
          <w:bCs/>
        </w:rPr>
        <w:t xml:space="preserve"> analizados por este Instituto, y de resultar procedente, con ellos</w:t>
      </w:r>
      <w:r>
        <w:rPr>
          <w:rFonts w:ascii="ITC Avant Garde" w:hAnsi="ITC Avant Garde" w:cs="Arial"/>
          <w:bCs/>
        </w:rPr>
        <w:t xml:space="preserve"> </w:t>
      </w:r>
      <w:r w:rsidR="00064024" w:rsidRPr="00064024">
        <w:rPr>
          <w:rFonts w:ascii="ITC Avant Garde" w:hAnsi="ITC Avant Garde" w:cs="Arial"/>
          <w:bCs/>
        </w:rPr>
        <w:t xml:space="preserve">fortalecer </w:t>
      </w:r>
      <w:r w:rsidR="009162FC">
        <w:rPr>
          <w:rFonts w:ascii="ITC Avant Garde" w:hAnsi="ITC Avant Garde" w:cs="Arial"/>
          <w:bCs/>
        </w:rPr>
        <w:t xml:space="preserve">las resoluciones </w:t>
      </w:r>
      <w:r w:rsidR="003B7210">
        <w:rPr>
          <w:rFonts w:ascii="ITC Avant Garde" w:hAnsi="ITC Avant Garde" w:cs="Arial"/>
          <w:bCs/>
        </w:rPr>
        <w:t>que emita el Pleno</w:t>
      </w:r>
      <w:r w:rsidR="00692A8E">
        <w:rPr>
          <w:rFonts w:ascii="ITC Avant Garde" w:hAnsi="ITC Avant Garde" w:cs="Arial"/>
          <w:bCs/>
        </w:rPr>
        <w:t xml:space="preserve"> </w:t>
      </w:r>
      <w:r w:rsidR="009162FC">
        <w:rPr>
          <w:rFonts w:ascii="ITC Avant Garde" w:hAnsi="ITC Avant Garde" w:cs="Arial"/>
          <w:bCs/>
        </w:rPr>
        <w:t>del Instituto</w:t>
      </w:r>
      <w:r w:rsidR="00064024" w:rsidRPr="00064024">
        <w:rPr>
          <w:rFonts w:ascii="ITC Avant Garde" w:hAnsi="ITC Avant Garde" w:cs="Arial"/>
          <w:bCs/>
        </w:rPr>
        <w:t>.</w:t>
      </w:r>
    </w:p>
    <w:p w:rsidR="00064024" w:rsidRDefault="00064024" w:rsidP="00064024">
      <w:pPr>
        <w:spacing w:after="0"/>
        <w:jc w:val="both"/>
        <w:rPr>
          <w:rFonts w:ascii="ITC Avant Garde" w:hAnsi="ITC Avant Garde" w:cs="Arial"/>
          <w:bCs/>
        </w:rPr>
      </w:pPr>
    </w:p>
    <w:p w:rsidR="00064024" w:rsidRDefault="00064024" w:rsidP="00064024">
      <w:pPr>
        <w:spacing w:after="0"/>
        <w:jc w:val="both"/>
        <w:rPr>
          <w:rFonts w:ascii="ITC Avant Garde" w:hAnsi="ITC Avant Garde" w:cs="Arial"/>
          <w:bCs/>
        </w:rPr>
      </w:pPr>
      <w:r w:rsidRPr="00064024">
        <w:rPr>
          <w:rFonts w:ascii="ITC Avant Garde" w:hAnsi="ITC Avant Garde" w:cs="Arial"/>
          <w:bCs/>
        </w:rPr>
        <w:t xml:space="preserve">Las consultas públicas </w:t>
      </w:r>
      <w:r w:rsidR="003B7210">
        <w:rPr>
          <w:rFonts w:ascii="ITC Avant Garde" w:hAnsi="ITC Avant Garde" w:cs="Arial"/>
          <w:bCs/>
        </w:rPr>
        <w:t>de</w:t>
      </w:r>
      <w:r w:rsidR="003B7210" w:rsidRPr="00064024">
        <w:rPr>
          <w:rFonts w:ascii="ITC Avant Garde" w:hAnsi="ITC Avant Garde" w:cs="Arial"/>
          <w:bCs/>
        </w:rPr>
        <w:t xml:space="preserve"> </w:t>
      </w:r>
      <w:r w:rsidRPr="00D9003C">
        <w:rPr>
          <w:rFonts w:ascii="ITC Avant Garde" w:hAnsi="ITC Avant Garde" w:cs="Arial"/>
          <w:bCs/>
        </w:rPr>
        <w:t>Modelos de Costos</w:t>
      </w:r>
      <w:r w:rsidRPr="00064024">
        <w:rPr>
          <w:rFonts w:ascii="ITC Avant Garde" w:hAnsi="ITC Avant Garde" w:cs="Arial"/>
          <w:bCs/>
        </w:rPr>
        <w:t xml:space="preserve"> </w:t>
      </w:r>
      <w:r w:rsidR="003B7210">
        <w:rPr>
          <w:rFonts w:ascii="ITC Avant Garde" w:hAnsi="ITC Avant Garde" w:cs="Arial"/>
          <w:bCs/>
        </w:rPr>
        <w:t xml:space="preserve">para determinar tarifas de servicios mayoristas </w:t>
      </w:r>
      <w:r w:rsidR="00DF5820">
        <w:rPr>
          <w:rFonts w:ascii="ITC Avant Garde" w:hAnsi="ITC Avant Garde" w:cs="Arial"/>
          <w:bCs/>
        </w:rPr>
        <w:t xml:space="preserve">son </w:t>
      </w:r>
      <w:r w:rsidR="003B7210">
        <w:rPr>
          <w:rFonts w:ascii="ITC Avant Garde" w:hAnsi="ITC Avant Garde" w:cs="Arial"/>
          <w:bCs/>
        </w:rPr>
        <w:t xml:space="preserve">mecanismos </w:t>
      </w:r>
      <w:r w:rsidR="00DF5820">
        <w:rPr>
          <w:rFonts w:ascii="ITC Avant Garde" w:hAnsi="ITC Avant Garde" w:cs="Arial"/>
          <w:bCs/>
        </w:rPr>
        <w:t>que h</w:t>
      </w:r>
      <w:r w:rsidRPr="00064024">
        <w:rPr>
          <w:rFonts w:ascii="ITC Avant Garde" w:hAnsi="ITC Avant Garde" w:cs="Arial"/>
          <w:bCs/>
        </w:rPr>
        <w:t>an implementado autoridades regulatorias de diversos países con la finalidad de brindar t</w:t>
      </w:r>
      <w:r w:rsidR="00AF1C4C">
        <w:rPr>
          <w:rFonts w:ascii="ITC Avant Garde" w:hAnsi="ITC Avant Garde" w:cs="Arial"/>
          <w:bCs/>
        </w:rPr>
        <w:t>ransparencia, recibir retroalimentac</w:t>
      </w:r>
      <w:r w:rsidRPr="00064024">
        <w:rPr>
          <w:rFonts w:ascii="ITC Avant Garde" w:hAnsi="ITC Avant Garde" w:cs="Arial"/>
          <w:bCs/>
        </w:rPr>
        <w:t>ión d</w:t>
      </w:r>
      <w:r w:rsidR="00AF1C4C">
        <w:rPr>
          <w:rFonts w:ascii="ITC Avant Garde" w:hAnsi="ITC Avant Garde" w:cs="Arial"/>
          <w:bCs/>
        </w:rPr>
        <w:t xml:space="preserve">e la industria y de los agentes </w:t>
      </w:r>
      <w:r w:rsidRPr="00064024">
        <w:rPr>
          <w:rFonts w:ascii="ITC Avant Garde" w:hAnsi="ITC Avant Garde" w:cs="Arial"/>
          <w:bCs/>
        </w:rPr>
        <w:t>económicos interesados, así</w:t>
      </w:r>
      <w:r w:rsidR="00AF1C4C">
        <w:rPr>
          <w:rFonts w:ascii="ITC Avant Garde" w:hAnsi="ITC Avant Garde" w:cs="Arial"/>
          <w:bCs/>
        </w:rPr>
        <w:t xml:space="preserve"> </w:t>
      </w:r>
      <w:r w:rsidRPr="00064024">
        <w:rPr>
          <w:rFonts w:ascii="ITC Avant Garde" w:hAnsi="ITC Avant Garde" w:cs="Arial"/>
          <w:bCs/>
        </w:rPr>
        <w:t>como perfeccionar su diseño y operación.</w:t>
      </w:r>
    </w:p>
    <w:p w:rsidR="00064024" w:rsidRDefault="00064024" w:rsidP="00064024">
      <w:pPr>
        <w:spacing w:after="0"/>
        <w:jc w:val="both"/>
        <w:rPr>
          <w:rFonts w:ascii="ITC Avant Garde" w:hAnsi="ITC Avant Garde" w:cs="Arial"/>
          <w:bCs/>
        </w:rPr>
      </w:pPr>
    </w:p>
    <w:p w:rsidR="00064024" w:rsidRDefault="00064024" w:rsidP="00D9003C">
      <w:pPr>
        <w:spacing w:after="0"/>
        <w:jc w:val="both"/>
        <w:rPr>
          <w:rFonts w:ascii="ITC Avant Garde" w:hAnsi="ITC Avant Garde" w:cs="Arial"/>
          <w:bCs/>
        </w:rPr>
      </w:pPr>
      <w:r w:rsidRPr="00064024">
        <w:rPr>
          <w:rFonts w:ascii="ITC Avant Garde" w:hAnsi="ITC Avant Garde" w:cs="Arial"/>
          <w:bCs/>
        </w:rPr>
        <w:t xml:space="preserve">Una consulta pública </w:t>
      </w:r>
      <w:r w:rsidR="003B7210">
        <w:rPr>
          <w:rFonts w:ascii="ITC Avant Garde" w:hAnsi="ITC Avant Garde" w:cs="Arial"/>
          <w:bCs/>
        </w:rPr>
        <w:t xml:space="preserve">de este tipo </w:t>
      </w:r>
      <w:r w:rsidRPr="00064024">
        <w:rPr>
          <w:rFonts w:ascii="ITC Avant Garde" w:hAnsi="ITC Avant Garde" w:cs="Arial"/>
          <w:bCs/>
        </w:rPr>
        <w:t>implica la publicación de los principios, supuestos, variables y</w:t>
      </w:r>
      <w:r w:rsidRPr="00064024">
        <w:t xml:space="preserve"> </w:t>
      </w:r>
      <w:r w:rsidRPr="00064024">
        <w:rPr>
          <w:rFonts w:ascii="ITC Avant Garde" w:hAnsi="ITC Avant Garde" w:cs="Arial"/>
          <w:bCs/>
        </w:rPr>
        <w:t>parámetros que forman parte de</w:t>
      </w:r>
      <w:r w:rsidR="00AF1C4C">
        <w:rPr>
          <w:rFonts w:ascii="ITC Avant Garde" w:hAnsi="ITC Avant Garde" w:cs="Arial"/>
          <w:bCs/>
        </w:rPr>
        <w:t xml:space="preserve"> lo</w:t>
      </w:r>
      <w:r w:rsidRPr="00064024">
        <w:rPr>
          <w:rFonts w:ascii="ITC Avant Garde" w:hAnsi="ITC Avant Garde" w:cs="Arial"/>
          <w:bCs/>
        </w:rPr>
        <w:t xml:space="preserve">s </w:t>
      </w:r>
      <w:r w:rsidRPr="00D9003C">
        <w:rPr>
          <w:rFonts w:ascii="ITC Avant Garde" w:hAnsi="ITC Avant Garde" w:cs="Arial"/>
          <w:bCs/>
        </w:rPr>
        <w:t>Modelos de Costos</w:t>
      </w:r>
      <w:r w:rsidR="00D9003C">
        <w:rPr>
          <w:rFonts w:ascii="ITC Avant Garde" w:hAnsi="ITC Avant Garde" w:cs="Arial"/>
          <w:bCs/>
        </w:rPr>
        <w:t>, ya que al no contar l</w:t>
      </w:r>
      <w:r w:rsidRPr="00064024">
        <w:rPr>
          <w:rFonts w:ascii="ITC Avant Garde" w:hAnsi="ITC Avant Garde" w:cs="Arial"/>
          <w:bCs/>
        </w:rPr>
        <w:t xml:space="preserve">as autoridades regulatorias </w:t>
      </w:r>
      <w:r w:rsidR="00D9003C">
        <w:rPr>
          <w:rFonts w:ascii="ITC Avant Garde" w:hAnsi="ITC Avant Garde" w:cs="Arial"/>
          <w:bCs/>
        </w:rPr>
        <w:t xml:space="preserve">con </w:t>
      </w:r>
      <w:r w:rsidRPr="00064024">
        <w:rPr>
          <w:rFonts w:ascii="ITC Avant Garde" w:hAnsi="ITC Avant Garde" w:cs="Arial"/>
          <w:bCs/>
        </w:rPr>
        <w:t xml:space="preserve">información perfecta y completa respecto a </w:t>
      </w:r>
      <w:r w:rsidR="00D9003C">
        <w:rPr>
          <w:rFonts w:ascii="ITC Avant Garde" w:hAnsi="ITC Avant Garde" w:cs="Arial"/>
          <w:bCs/>
        </w:rPr>
        <w:t>estos elementos</w:t>
      </w:r>
      <w:r w:rsidRPr="00064024">
        <w:rPr>
          <w:rFonts w:ascii="ITC Avant Garde" w:hAnsi="ITC Avant Garde" w:cs="Arial"/>
          <w:bCs/>
        </w:rPr>
        <w:t xml:space="preserve">, </w:t>
      </w:r>
      <w:r w:rsidR="00AF1C4C">
        <w:rPr>
          <w:rFonts w:ascii="ITC Avant Garde" w:hAnsi="ITC Avant Garde" w:cs="Arial"/>
          <w:bCs/>
        </w:rPr>
        <w:t>la consulta pública se conv</w:t>
      </w:r>
      <w:r w:rsidRPr="00064024">
        <w:rPr>
          <w:rFonts w:ascii="ITC Avant Garde" w:hAnsi="ITC Avant Garde" w:cs="Arial"/>
          <w:bCs/>
        </w:rPr>
        <w:t xml:space="preserve">ierte en </w:t>
      </w:r>
      <w:r w:rsidR="00D9003C">
        <w:rPr>
          <w:rFonts w:ascii="ITC Avant Garde" w:hAnsi="ITC Avant Garde" w:cs="Arial"/>
          <w:bCs/>
        </w:rPr>
        <w:t xml:space="preserve">un medio importante para </w:t>
      </w:r>
      <w:r w:rsidR="00AF1C4C">
        <w:rPr>
          <w:rFonts w:ascii="ITC Avant Garde" w:hAnsi="ITC Avant Garde" w:cs="Arial"/>
          <w:bCs/>
        </w:rPr>
        <w:t xml:space="preserve">reducir </w:t>
      </w:r>
      <w:r w:rsidRPr="00064024">
        <w:rPr>
          <w:rFonts w:ascii="ITC Avant Garde" w:hAnsi="ITC Avant Garde" w:cs="Arial"/>
          <w:bCs/>
        </w:rPr>
        <w:t xml:space="preserve">el margen de error, y asegura que los supuestos reflejen la realidad del sector o del mercado de una manera más acertada. </w:t>
      </w:r>
    </w:p>
    <w:p w:rsidR="00AF1C4C" w:rsidRPr="00064024" w:rsidRDefault="00AF1C4C" w:rsidP="00064024">
      <w:pPr>
        <w:spacing w:after="0"/>
        <w:jc w:val="both"/>
        <w:rPr>
          <w:rFonts w:ascii="ITC Avant Garde" w:hAnsi="ITC Avant Garde" w:cs="Arial"/>
          <w:bCs/>
        </w:rPr>
      </w:pPr>
    </w:p>
    <w:p w:rsidR="00064024" w:rsidRDefault="00064024" w:rsidP="00064024">
      <w:pPr>
        <w:spacing w:after="0"/>
        <w:jc w:val="both"/>
        <w:rPr>
          <w:rFonts w:ascii="ITC Avant Garde" w:hAnsi="ITC Avant Garde" w:cs="Arial"/>
          <w:bCs/>
        </w:rPr>
      </w:pPr>
      <w:r w:rsidRPr="00064024">
        <w:rPr>
          <w:rFonts w:ascii="ITC Avant Garde" w:hAnsi="ITC Avant Garde" w:cs="Arial"/>
          <w:bCs/>
        </w:rPr>
        <w:t xml:space="preserve">En este sentido, la presente </w:t>
      </w:r>
      <w:r w:rsidR="00D9003C">
        <w:rPr>
          <w:rFonts w:ascii="ITC Avant Garde" w:hAnsi="ITC Avant Garde" w:cs="Arial"/>
          <w:bCs/>
        </w:rPr>
        <w:t>c</w:t>
      </w:r>
      <w:r w:rsidRPr="00064024">
        <w:rPr>
          <w:rFonts w:ascii="ITC Avant Garde" w:hAnsi="ITC Avant Garde" w:cs="Arial"/>
          <w:bCs/>
        </w:rPr>
        <w:t xml:space="preserve">onsulta </w:t>
      </w:r>
      <w:r w:rsidR="00D9003C">
        <w:rPr>
          <w:rFonts w:ascii="ITC Avant Garde" w:hAnsi="ITC Avant Garde" w:cs="Arial"/>
          <w:bCs/>
        </w:rPr>
        <w:t>p</w:t>
      </w:r>
      <w:r w:rsidRPr="00064024">
        <w:rPr>
          <w:rFonts w:ascii="ITC Avant Garde" w:hAnsi="ITC Avant Garde" w:cs="Arial"/>
          <w:bCs/>
        </w:rPr>
        <w:t>ública tiene como objeto de análisis todas las cuestiones relacionadas con:</w:t>
      </w:r>
    </w:p>
    <w:p w:rsidR="00064024" w:rsidRDefault="00064024" w:rsidP="00064024">
      <w:pPr>
        <w:spacing w:after="0"/>
        <w:jc w:val="both"/>
        <w:rPr>
          <w:rFonts w:ascii="ITC Avant Garde" w:hAnsi="ITC Avant Garde" w:cs="Arial"/>
          <w:bCs/>
        </w:rPr>
      </w:pPr>
    </w:p>
    <w:p w:rsidR="00064024" w:rsidRPr="00064024" w:rsidRDefault="00064024" w:rsidP="00064024">
      <w:pPr>
        <w:spacing w:after="0"/>
        <w:jc w:val="both"/>
        <w:rPr>
          <w:rFonts w:ascii="ITC Avant Garde" w:hAnsi="ITC Avant Garde" w:cs="Arial"/>
          <w:bCs/>
        </w:rPr>
      </w:pPr>
      <w:r w:rsidRPr="00064024">
        <w:rPr>
          <w:rFonts w:ascii="ITC Avant Garde" w:hAnsi="ITC Avant Garde" w:cs="Arial"/>
          <w:bCs/>
        </w:rPr>
        <w:t>•</w:t>
      </w:r>
      <w:r w:rsidRPr="00064024">
        <w:rPr>
          <w:rFonts w:ascii="ITC Avant Garde" w:hAnsi="ITC Avant Garde" w:cs="Arial"/>
          <w:bCs/>
        </w:rPr>
        <w:tab/>
        <w:t xml:space="preserve">La estructura, arquitectura y algoritmos utilizados en los </w:t>
      </w:r>
      <w:r w:rsidRPr="00D9003C">
        <w:rPr>
          <w:rFonts w:ascii="ITC Avant Garde" w:hAnsi="ITC Avant Garde" w:cs="Arial"/>
          <w:bCs/>
        </w:rPr>
        <w:t>Modelos de Costos</w:t>
      </w:r>
    </w:p>
    <w:p w:rsidR="00064024" w:rsidRDefault="00064024" w:rsidP="00064024">
      <w:pPr>
        <w:spacing w:after="0"/>
        <w:jc w:val="both"/>
        <w:rPr>
          <w:rFonts w:ascii="ITC Avant Garde" w:hAnsi="ITC Avant Garde" w:cs="Arial"/>
          <w:bCs/>
        </w:rPr>
      </w:pPr>
      <w:r w:rsidRPr="00064024">
        <w:rPr>
          <w:rFonts w:ascii="ITC Avant Garde" w:hAnsi="ITC Avant Garde" w:cs="Arial"/>
          <w:bCs/>
        </w:rPr>
        <w:t>•</w:t>
      </w:r>
      <w:r w:rsidRPr="00064024">
        <w:rPr>
          <w:rFonts w:ascii="ITC Avant Garde" w:hAnsi="ITC Avant Garde" w:cs="Arial"/>
          <w:bCs/>
        </w:rPr>
        <w:tab/>
        <w:t xml:space="preserve">Los parámetros de entrada de los </w:t>
      </w:r>
      <w:r w:rsidRPr="00D9003C">
        <w:rPr>
          <w:rFonts w:ascii="ITC Avant Garde" w:hAnsi="ITC Avant Garde" w:cs="Arial"/>
          <w:bCs/>
        </w:rPr>
        <w:t>Modelos de Costos</w:t>
      </w:r>
      <w:r w:rsidRPr="00064024">
        <w:rPr>
          <w:rFonts w:ascii="ITC Avant Garde" w:hAnsi="ITC Avant Garde" w:cs="Arial"/>
          <w:bCs/>
        </w:rPr>
        <w:t>.</w:t>
      </w:r>
    </w:p>
    <w:p w:rsidR="00064024" w:rsidRDefault="00064024" w:rsidP="00064024">
      <w:pPr>
        <w:spacing w:after="0"/>
        <w:jc w:val="both"/>
        <w:rPr>
          <w:rFonts w:ascii="ITC Avant Garde" w:hAnsi="ITC Avant Garde" w:cs="Arial"/>
          <w:bCs/>
        </w:rPr>
      </w:pPr>
    </w:p>
    <w:p w:rsidR="00064024" w:rsidRDefault="00064024" w:rsidP="00064024">
      <w:pPr>
        <w:spacing w:after="0"/>
        <w:jc w:val="both"/>
        <w:rPr>
          <w:rFonts w:ascii="ITC Avant Garde" w:hAnsi="ITC Avant Garde" w:cs="Arial"/>
          <w:bCs/>
        </w:rPr>
      </w:pPr>
      <w:r w:rsidRPr="00064024">
        <w:rPr>
          <w:rFonts w:ascii="ITC Avant Garde" w:hAnsi="ITC Avant Garde" w:cs="Arial"/>
          <w:bCs/>
        </w:rPr>
        <w:t>Los Modelos de Costos estarán disponibles al público en general en formato de hoja de cálculo para facilitar la comprensión de los principios de diseño desarrollados a lo largo del documento y aportar una transparencia total a los principales actores del mercado en cuanto a su construcción. Asimi</w:t>
      </w:r>
      <w:r w:rsidR="00AF1C4C">
        <w:rPr>
          <w:rFonts w:ascii="ITC Avant Garde" w:hAnsi="ITC Avant Garde" w:cs="Arial"/>
          <w:bCs/>
        </w:rPr>
        <w:t>smo, ofrece a los participantes</w:t>
      </w:r>
      <w:r w:rsidRPr="00064024">
        <w:rPr>
          <w:rFonts w:ascii="ITC Avant Garde" w:hAnsi="ITC Avant Garde" w:cs="Arial"/>
          <w:bCs/>
        </w:rPr>
        <w:t xml:space="preserve"> la posibilidad de incorporar sus comentarios, tanto a los principios de diseño utilizados, como a los parámetros específicos empleados en su construcción, sustentando debidamente sus argumentos. </w:t>
      </w:r>
    </w:p>
    <w:p w:rsidR="002F49AF" w:rsidRDefault="002F49AF" w:rsidP="00064024">
      <w:pPr>
        <w:spacing w:after="0"/>
        <w:jc w:val="both"/>
        <w:rPr>
          <w:rFonts w:ascii="ITC Avant Garde" w:hAnsi="ITC Avant Garde" w:cs="Arial"/>
          <w:bCs/>
        </w:rPr>
      </w:pPr>
    </w:p>
    <w:p w:rsidR="00064024" w:rsidRPr="00064024" w:rsidRDefault="00064024" w:rsidP="00064024">
      <w:pPr>
        <w:spacing w:after="0"/>
        <w:jc w:val="both"/>
        <w:rPr>
          <w:rFonts w:ascii="ITC Avant Garde" w:hAnsi="ITC Avant Garde" w:cs="Arial"/>
          <w:bCs/>
        </w:rPr>
      </w:pPr>
      <w:r w:rsidRPr="00064024">
        <w:rPr>
          <w:rFonts w:ascii="ITC Avant Garde" w:hAnsi="ITC Avant Garde" w:cs="Arial"/>
          <w:bCs/>
        </w:rPr>
        <w:t xml:space="preserve">La información y comentarios vertidos por los participantes durante la </w:t>
      </w:r>
      <w:r w:rsidR="00D9003C">
        <w:rPr>
          <w:rFonts w:ascii="ITC Avant Garde" w:hAnsi="ITC Avant Garde" w:cs="Arial"/>
          <w:bCs/>
        </w:rPr>
        <w:t>c</w:t>
      </w:r>
      <w:r w:rsidRPr="00064024">
        <w:rPr>
          <w:rFonts w:ascii="ITC Avant Garde" w:hAnsi="ITC Avant Garde" w:cs="Arial"/>
          <w:bCs/>
        </w:rPr>
        <w:t xml:space="preserve">onsulta </w:t>
      </w:r>
      <w:r w:rsidR="00D9003C">
        <w:rPr>
          <w:rFonts w:ascii="ITC Avant Garde" w:hAnsi="ITC Avant Garde" w:cs="Arial"/>
          <w:bCs/>
        </w:rPr>
        <w:t>p</w:t>
      </w:r>
      <w:r w:rsidRPr="00064024">
        <w:rPr>
          <w:rFonts w:ascii="ITC Avant Garde" w:hAnsi="ITC Avant Garde" w:cs="Arial"/>
          <w:bCs/>
        </w:rPr>
        <w:t>ública, permitirán realizar la fase de calibración final de los Modelos</w:t>
      </w:r>
      <w:r w:rsidR="00D9003C">
        <w:rPr>
          <w:rFonts w:ascii="ITC Avant Garde" w:hAnsi="ITC Avant Garde" w:cs="Arial"/>
          <w:bCs/>
        </w:rPr>
        <w:t xml:space="preserve"> de Costos y con ello robustecer, en su caso, los elementos asociados a los mismos</w:t>
      </w:r>
      <w:r w:rsidRPr="00064024">
        <w:rPr>
          <w:rFonts w:ascii="ITC Avant Garde" w:hAnsi="ITC Avant Garde" w:cs="Arial"/>
          <w:bCs/>
        </w:rPr>
        <w:t>.</w:t>
      </w:r>
    </w:p>
    <w:p w:rsidR="00064024" w:rsidRDefault="00064024" w:rsidP="00064024">
      <w:pPr>
        <w:spacing w:after="0"/>
        <w:jc w:val="both"/>
        <w:rPr>
          <w:rFonts w:ascii="ITC Avant Garde" w:hAnsi="ITC Avant Garde" w:cs="Arial"/>
          <w:bCs/>
        </w:rPr>
      </w:pPr>
    </w:p>
    <w:p w:rsidR="00064024" w:rsidRDefault="00AF202E" w:rsidP="00064024">
      <w:pPr>
        <w:spacing w:after="0"/>
        <w:jc w:val="both"/>
        <w:rPr>
          <w:rFonts w:ascii="ITC Avant Garde" w:hAnsi="ITC Avant Garde" w:cs="Arial"/>
          <w:bCs/>
        </w:rPr>
      </w:pPr>
      <w:r>
        <w:rPr>
          <w:rFonts w:ascii="ITC Avant Garde" w:hAnsi="ITC Avant Garde" w:cs="Arial"/>
          <w:bCs/>
        </w:rPr>
        <w:t>L</w:t>
      </w:r>
      <w:r w:rsidR="00064024" w:rsidRPr="00064024">
        <w:rPr>
          <w:rFonts w:ascii="ITC Avant Garde" w:hAnsi="ITC Avant Garde" w:cs="Arial"/>
          <w:bCs/>
        </w:rPr>
        <w:t xml:space="preserve">os Modelos de Costos muestran resultados de las tarifas por la prestación de los servicios mayoristas a partir de la estructura de los parámetros predeterminados por el Instituto, con el fin de que sirvan como referencia a los interesados, sin entenderse con ello que se trata de tarifas definitivas. Como se mencionó con anterioridad, el objetivo de la </w:t>
      </w:r>
      <w:r w:rsidR="000A3629" w:rsidRPr="000A3629">
        <w:rPr>
          <w:rFonts w:ascii="ITC Avant Garde" w:hAnsi="ITC Avant Garde" w:cs="Arial"/>
          <w:bCs/>
        </w:rPr>
        <w:t>consulta p</w:t>
      </w:r>
      <w:r w:rsidR="00064024" w:rsidRPr="000A3629">
        <w:rPr>
          <w:rFonts w:ascii="ITC Avant Garde" w:hAnsi="ITC Avant Garde" w:cs="Arial"/>
          <w:bCs/>
        </w:rPr>
        <w:t>ública</w:t>
      </w:r>
      <w:r w:rsidR="00064024" w:rsidRPr="00064024">
        <w:rPr>
          <w:rFonts w:ascii="ITC Avant Garde" w:hAnsi="ITC Avant Garde" w:cs="Arial"/>
          <w:bCs/>
        </w:rPr>
        <w:t xml:space="preserve"> es el análisis de los Modelos de Costos, por lo que los resultados podrían modificarse derivado de</w:t>
      </w:r>
      <w:r w:rsidR="00064024">
        <w:rPr>
          <w:rFonts w:ascii="ITC Avant Garde" w:hAnsi="ITC Avant Garde" w:cs="Arial"/>
          <w:bCs/>
        </w:rPr>
        <w:t xml:space="preserve"> c</w:t>
      </w:r>
      <w:r>
        <w:rPr>
          <w:rFonts w:ascii="ITC Avant Garde" w:hAnsi="ITC Avant Garde" w:cs="Arial"/>
          <w:bCs/>
        </w:rPr>
        <w:t>ircunstancias particular</w:t>
      </w:r>
      <w:r w:rsidR="00064024" w:rsidRPr="00064024">
        <w:rPr>
          <w:rFonts w:ascii="ITC Avant Garde" w:hAnsi="ITC Avant Garde" w:cs="Arial"/>
          <w:bCs/>
        </w:rPr>
        <w:t>es a cada caso y si el Instituto considera procedent</w:t>
      </w:r>
      <w:r w:rsidR="00064024">
        <w:rPr>
          <w:rFonts w:ascii="ITC Avant Garde" w:hAnsi="ITC Avant Garde" w:cs="Arial"/>
          <w:bCs/>
        </w:rPr>
        <w:t>e realizar algún ajuste a partir de comentarios vertidos a través de</w:t>
      </w:r>
      <w:r w:rsidR="00D9003C">
        <w:rPr>
          <w:rFonts w:ascii="ITC Avant Garde" w:hAnsi="ITC Avant Garde" w:cs="Arial"/>
          <w:bCs/>
        </w:rPr>
        <w:t xml:space="preserve"> dicho mecanismo</w:t>
      </w:r>
      <w:r w:rsidR="00064024">
        <w:rPr>
          <w:rFonts w:ascii="ITC Avant Garde" w:hAnsi="ITC Avant Garde" w:cs="Arial"/>
          <w:bCs/>
        </w:rPr>
        <w:t xml:space="preserve"> la consulta pública.</w:t>
      </w:r>
    </w:p>
    <w:p w:rsidR="00064024" w:rsidRDefault="00064024" w:rsidP="00064024">
      <w:pPr>
        <w:spacing w:after="0"/>
        <w:jc w:val="both"/>
        <w:rPr>
          <w:rFonts w:ascii="ITC Avant Garde" w:hAnsi="ITC Avant Garde" w:cs="Arial"/>
          <w:bCs/>
        </w:rPr>
      </w:pPr>
    </w:p>
    <w:p w:rsidR="00064024" w:rsidRDefault="00064024" w:rsidP="00064024">
      <w:pPr>
        <w:spacing w:after="0"/>
        <w:jc w:val="both"/>
        <w:rPr>
          <w:rFonts w:ascii="ITC Avant Garde" w:hAnsi="ITC Avant Garde" w:cs="Arial"/>
          <w:bCs/>
        </w:rPr>
      </w:pPr>
      <w:r w:rsidRPr="00064024">
        <w:rPr>
          <w:rFonts w:ascii="ITC Avant Garde" w:hAnsi="ITC Avant Garde" w:cs="Arial"/>
          <w:bCs/>
        </w:rPr>
        <w:t xml:space="preserve">Como </w:t>
      </w:r>
      <w:r w:rsidR="00AF202E">
        <w:rPr>
          <w:rFonts w:ascii="ITC Avant Garde" w:hAnsi="ITC Avant Garde" w:cs="Arial"/>
          <w:bCs/>
        </w:rPr>
        <w:t xml:space="preserve">parte de este procedimiento, se </w:t>
      </w:r>
      <w:r w:rsidRPr="00064024">
        <w:rPr>
          <w:rFonts w:ascii="ITC Avant Garde" w:hAnsi="ITC Avant Garde" w:cs="Arial"/>
          <w:bCs/>
        </w:rPr>
        <w:t>insiste en la necesidad de que el Instituto tenga conocimiento de las opiniones de los integrantes de la industria derivado de que son ellos quienes intervienen en la operación de las redes públicas de telecomunicaciones, prestación y comercialización de los servic</w:t>
      </w:r>
      <w:r w:rsidR="00AF202E">
        <w:rPr>
          <w:rFonts w:ascii="ITC Avant Garde" w:hAnsi="ITC Avant Garde" w:cs="Arial"/>
          <w:bCs/>
        </w:rPr>
        <w:t>ios; ello sin perder de vista qu</w:t>
      </w:r>
      <w:r w:rsidRPr="00064024">
        <w:rPr>
          <w:rFonts w:ascii="ITC Avant Garde" w:hAnsi="ITC Avant Garde" w:cs="Arial"/>
          <w:bCs/>
        </w:rPr>
        <w:t>e ante la diversidad de intereses c</w:t>
      </w:r>
      <w:r w:rsidR="00AF202E">
        <w:rPr>
          <w:rFonts w:ascii="ITC Avant Garde" w:hAnsi="ITC Avant Garde" w:cs="Arial"/>
          <w:bCs/>
        </w:rPr>
        <w:t xml:space="preserve">omerciales prevalecientes en la </w:t>
      </w:r>
      <w:r w:rsidRPr="00064024">
        <w:rPr>
          <w:rFonts w:ascii="ITC Avant Garde" w:hAnsi="ITC Avant Garde" w:cs="Arial"/>
          <w:bCs/>
        </w:rPr>
        <w:t>industria es el órgano regulador quien en última instancia está encargado de determinar las</w:t>
      </w:r>
      <w:r w:rsidR="00AF202E">
        <w:rPr>
          <w:rFonts w:ascii="ITC Avant Garde" w:hAnsi="ITC Avant Garde" w:cs="Arial"/>
          <w:bCs/>
        </w:rPr>
        <w:t xml:space="preserve"> </w:t>
      </w:r>
      <w:r w:rsidRPr="00064024">
        <w:rPr>
          <w:rFonts w:ascii="ITC Avant Garde" w:hAnsi="ITC Avant Garde" w:cs="Arial"/>
          <w:bCs/>
        </w:rPr>
        <w:t>condiciones bajo las cuales se deberán de prestar los servicios evitando que se afecte la competencia y la libre concurrencia,</w:t>
      </w:r>
    </w:p>
    <w:p w:rsidR="00064024" w:rsidRDefault="00064024" w:rsidP="00064024">
      <w:pPr>
        <w:spacing w:after="0"/>
        <w:jc w:val="both"/>
        <w:rPr>
          <w:rFonts w:ascii="ITC Avant Garde" w:hAnsi="ITC Avant Garde" w:cs="Arial"/>
          <w:bCs/>
        </w:rPr>
      </w:pPr>
    </w:p>
    <w:p w:rsidR="00F969A7" w:rsidRDefault="00AF202E" w:rsidP="00A33196">
      <w:pPr>
        <w:spacing w:after="0"/>
        <w:jc w:val="both"/>
        <w:rPr>
          <w:rFonts w:ascii="ITC Avant Garde" w:hAnsi="ITC Avant Garde" w:cs="Arial"/>
          <w:bCs/>
        </w:rPr>
      </w:pPr>
      <w:r>
        <w:rPr>
          <w:rFonts w:ascii="ITC Avant Garde" w:hAnsi="ITC Avant Garde" w:cs="Arial"/>
          <w:bCs/>
        </w:rPr>
        <w:t xml:space="preserve">Conforme </w:t>
      </w:r>
      <w:r w:rsidR="00064024" w:rsidRPr="00064024">
        <w:rPr>
          <w:rFonts w:ascii="ITC Avant Garde" w:hAnsi="ITC Avant Garde" w:cs="Arial"/>
          <w:bCs/>
        </w:rPr>
        <w:t>a lo expu</w:t>
      </w:r>
      <w:r>
        <w:rPr>
          <w:rFonts w:ascii="ITC Avant Garde" w:hAnsi="ITC Avant Garde" w:cs="Arial"/>
          <w:bCs/>
        </w:rPr>
        <w:t xml:space="preserve">esto, se considera que </w:t>
      </w:r>
      <w:r w:rsidR="00D9003C">
        <w:rPr>
          <w:rFonts w:ascii="ITC Avant Garde" w:hAnsi="ITC Avant Garde" w:cs="Arial"/>
          <w:bCs/>
        </w:rPr>
        <w:t>los</w:t>
      </w:r>
      <w:r>
        <w:rPr>
          <w:rFonts w:ascii="ITC Avant Garde" w:hAnsi="ITC Avant Garde" w:cs="Arial"/>
          <w:bCs/>
        </w:rPr>
        <w:t xml:space="preserve"> Modelo</w:t>
      </w:r>
      <w:r w:rsidR="00064024" w:rsidRPr="00064024">
        <w:rPr>
          <w:rFonts w:ascii="ITC Avant Garde" w:hAnsi="ITC Avant Garde" w:cs="Arial"/>
          <w:bCs/>
        </w:rPr>
        <w:t xml:space="preserve"> de Costos deben estar sujetos a un proceso de consulta pública por un</w:t>
      </w:r>
      <w:r w:rsidR="00C211C5">
        <w:rPr>
          <w:rFonts w:ascii="ITC Avant Garde" w:hAnsi="ITC Avant Garde" w:cs="Arial"/>
          <w:bCs/>
        </w:rPr>
        <w:t xml:space="preserve"> </w:t>
      </w:r>
      <w:r w:rsidR="00064024" w:rsidRPr="00064024">
        <w:rPr>
          <w:rFonts w:ascii="ITC Avant Garde" w:hAnsi="ITC Avant Garde" w:cs="Arial"/>
          <w:bCs/>
        </w:rPr>
        <w:t xml:space="preserve">periodo de 30 (treinta) días </w:t>
      </w:r>
      <w:r w:rsidR="00D9003C">
        <w:rPr>
          <w:rFonts w:ascii="ITC Avant Garde" w:hAnsi="ITC Avant Garde" w:cs="Arial"/>
          <w:bCs/>
        </w:rPr>
        <w:t>naturales</w:t>
      </w:r>
      <w:r w:rsidR="00D07A1D">
        <w:rPr>
          <w:rFonts w:ascii="ITC Avant Garde" w:hAnsi="ITC Avant Garde" w:cs="Arial"/>
          <w:bCs/>
        </w:rPr>
        <w:t>,</w:t>
      </w:r>
      <w:r w:rsidR="00D9003C" w:rsidRPr="00064024">
        <w:rPr>
          <w:rFonts w:ascii="ITC Avant Garde" w:hAnsi="ITC Avant Garde" w:cs="Arial"/>
          <w:bCs/>
        </w:rPr>
        <w:t xml:space="preserve"> </w:t>
      </w:r>
      <w:r w:rsidR="00D07A1D">
        <w:rPr>
          <w:rFonts w:ascii="ITC Avant Garde" w:hAnsi="ITC Avant Garde" w:cs="Arial"/>
          <w:bCs/>
        </w:rPr>
        <w:t xml:space="preserve">a fin de </w:t>
      </w:r>
      <w:r w:rsidR="00064024" w:rsidRPr="00064024">
        <w:rPr>
          <w:rFonts w:ascii="ITC Avant Garde" w:hAnsi="ITC Avant Garde" w:cs="Arial"/>
          <w:bCs/>
        </w:rPr>
        <w:t>favorecer la transpar</w:t>
      </w:r>
      <w:r w:rsidR="00C211C5">
        <w:rPr>
          <w:rFonts w:ascii="ITC Avant Garde" w:hAnsi="ITC Avant Garde" w:cs="Arial"/>
          <w:bCs/>
        </w:rPr>
        <w:t xml:space="preserve">encia y participación ciudadana </w:t>
      </w:r>
      <w:r w:rsidR="00D07A1D">
        <w:rPr>
          <w:rFonts w:ascii="ITC Avant Garde" w:hAnsi="ITC Avant Garde" w:cs="Arial"/>
          <w:bCs/>
        </w:rPr>
        <w:t xml:space="preserve">al permitir </w:t>
      </w:r>
      <w:r w:rsidR="00064024" w:rsidRPr="00064024">
        <w:rPr>
          <w:rFonts w:ascii="ITC Avant Garde" w:hAnsi="ITC Avant Garde" w:cs="Arial"/>
          <w:bCs/>
        </w:rPr>
        <w:t>recibir comentarios y opiniones de la industria, académicos, analistas y sociedad en gene</w:t>
      </w:r>
      <w:r w:rsidR="00C211C5">
        <w:rPr>
          <w:rFonts w:ascii="ITC Avant Garde" w:hAnsi="ITC Avant Garde" w:cs="Arial"/>
          <w:bCs/>
        </w:rPr>
        <w:t xml:space="preserve">ral para </w:t>
      </w:r>
      <w:r w:rsidR="00D9003C">
        <w:rPr>
          <w:rFonts w:ascii="ITC Avant Garde" w:hAnsi="ITC Avant Garde" w:cs="Arial"/>
          <w:bCs/>
        </w:rPr>
        <w:t xml:space="preserve">determinar de la mejor manera las tarifas </w:t>
      </w:r>
      <w:r w:rsidR="00D07A1D">
        <w:rPr>
          <w:rFonts w:ascii="ITC Avant Garde" w:hAnsi="ITC Avant Garde" w:cs="Arial"/>
          <w:bCs/>
        </w:rPr>
        <w:t>de</w:t>
      </w:r>
      <w:r w:rsidR="00D9003C">
        <w:rPr>
          <w:rFonts w:ascii="ITC Avant Garde" w:hAnsi="ITC Avant Garde" w:cs="Arial"/>
          <w:bCs/>
        </w:rPr>
        <w:t xml:space="preserve"> los servicios mayoristas previstos tanto en las Medidas Fijas como en </w:t>
      </w:r>
      <w:r w:rsidR="00F969A7">
        <w:rPr>
          <w:rFonts w:ascii="ITC Avant Garde" w:hAnsi="ITC Avant Garde" w:cs="Arial"/>
          <w:bCs/>
        </w:rPr>
        <w:t>las Medidas de Desagregación.</w:t>
      </w:r>
    </w:p>
    <w:p w:rsidR="00674014" w:rsidRPr="00EB29B0" w:rsidRDefault="00F969A7" w:rsidP="00A33196">
      <w:pPr>
        <w:spacing w:after="0"/>
        <w:jc w:val="both"/>
        <w:rPr>
          <w:rFonts w:ascii="ITC Avant Garde" w:eastAsia="Times New Roman" w:hAnsi="ITC Avant Garde"/>
          <w:szCs w:val="20"/>
        </w:rPr>
      </w:pPr>
      <w:r w:rsidRPr="00EB29B0">
        <w:rPr>
          <w:rFonts w:ascii="ITC Avant Garde" w:eastAsia="Times New Roman" w:hAnsi="ITC Avant Garde"/>
          <w:szCs w:val="20"/>
        </w:rPr>
        <w:t xml:space="preserve"> </w:t>
      </w:r>
    </w:p>
    <w:p w:rsidR="00674014" w:rsidRDefault="00674014" w:rsidP="00A33196">
      <w:pPr>
        <w:spacing w:after="0"/>
        <w:jc w:val="both"/>
        <w:rPr>
          <w:rFonts w:ascii="ITC Avant Garde" w:hAnsi="ITC Avant Garde" w:cs="Arial"/>
          <w:bCs/>
        </w:rPr>
      </w:pPr>
      <w:r w:rsidRPr="00EB29B0">
        <w:rPr>
          <w:rFonts w:ascii="ITC Avant Garde" w:hAnsi="ITC Avant Garde" w:cs="Arial"/>
          <w:bCs/>
        </w:rPr>
        <w:t>Por lo anterior, con fundamento en lo dispuesto en los artículos 28, párrafos décimo quinto y décimo sexto de la Constitución Política de los Estados Unidos Mexicanos; 1, 2, 7, 15 fracciones XL y LXIII</w:t>
      </w:r>
      <w:r w:rsidR="003545B6" w:rsidRPr="00EB29B0">
        <w:rPr>
          <w:rFonts w:ascii="ITC Avant Garde" w:hAnsi="ITC Avant Garde" w:cs="Arial"/>
          <w:bCs/>
        </w:rPr>
        <w:t>,</w:t>
      </w:r>
      <w:r w:rsidR="00931FA9">
        <w:rPr>
          <w:rFonts w:ascii="ITC Avant Garde" w:hAnsi="ITC Avant Garde" w:cs="Arial"/>
          <w:bCs/>
        </w:rPr>
        <w:t xml:space="preserve"> y</w:t>
      </w:r>
      <w:r w:rsidRPr="00EB29B0">
        <w:rPr>
          <w:rFonts w:ascii="ITC Avant Garde" w:hAnsi="ITC Avant Garde" w:cs="Arial"/>
          <w:bCs/>
        </w:rPr>
        <w:t xml:space="preserve"> 51</w:t>
      </w:r>
      <w:r w:rsidR="003545B6" w:rsidRPr="00EB29B0">
        <w:rPr>
          <w:rFonts w:ascii="ITC Avant Garde" w:hAnsi="ITC Avant Garde" w:cs="Arial"/>
          <w:bCs/>
        </w:rPr>
        <w:t xml:space="preserve"> </w:t>
      </w:r>
      <w:r w:rsidRPr="00EB29B0">
        <w:rPr>
          <w:rFonts w:ascii="ITC Avant Garde" w:hAnsi="ITC Avant Garde" w:cs="Arial"/>
          <w:bCs/>
        </w:rPr>
        <w:t xml:space="preserve">de la Ley Federal de Telecomunicaciones y Radiodifusión, y 1 y 4, fracción </w:t>
      </w:r>
      <w:r w:rsidR="00773C99">
        <w:rPr>
          <w:rFonts w:ascii="ITC Avant Garde" w:hAnsi="ITC Avant Garde" w:cs="Arial"/>
          <w:bCs/>
        </w:rPr>
        <w:t>I</w:t>
      </w:r>
      <w:r w:rsidRPr="00EB29B0">
        <w:rPr>
          <w:rFonts w:ascii="ITC Avant Garde" w:hAnsi="ITC Avant Garde" w:cs="Arial"/>
          <w:bCs/>
        </w:rPr>
        <w:t xml:space="preserve"> y 6 fracción XXXVII</w:t>
      </w:r>
      <w:r w:rsidR="003545B6" w:rsidRPr="00EB29B0">
        <w:rPr>
          <w:rFonts w:ascii="ITC Avant Garde" w:hAnsi="ITC Avant Garde" w:cs="Arial"/>
          <w:bCs/>
        </w:rPr>
        <w:t>I</w:t>
      </w:r>
      <w:r w:rsidRPr="00EB29B0">
        <w:rPr>
          <w:rFonts w:ascii="ITC Avant Garde" w:hAnsi="ITC Avant Garde" w:cs="Arial"/>
          <w:bCs/>
        </w:rPr>
        <w:t xml:space="preserve"> del Estatuto Orgánico del Instituto Federal de Telecomunicaciones, se expide</w:t>
      </w:r>
      <w:r w:rsidR="003545B6" w:rsidRPr="00EB29B0">
        <w:rPr>
          <w:rFonts w:ascii="ITC Avant Garde" w:hAnsi="ITC Avant Garde" w:cs="Arial"/>
          <w:bCs/>
        </w:rPr>
        <w:t>n</w:t>
      </w:r>
      <w:r w:rsidRPr="00EB29B0">
        <w:rPr>
          <w:rFonts w:ascii="ITC Avant Garde" w:hAnsi="ITC Avant Garde" w:cs="Arial"/>
          <w:bCs/>
        </w:rPr>
        <w:t xml:space="preserve"> </w:t>
      </w:r>
      <w:r w:rsidR="003545B6" w:rsidRPr="00EB29B0">
        <w:rPr>
          <w:rFonts w:ascii="ITC Avant Garde" w:hAnsi="ITC Avant Garde" w:cs="Arial"/>
          <w:bCs/>
        </w:rPr>
        <w:t>los</w:t>
      </w:r>
      <w:r w:rsidRPr="00EB29B0">
        <w:rPr>
          <w:rFonts w:ascii="ITC Avant Garde" w:hAnsi="ITC Avant Garde" w:cs="Arial"/>
          <w:bCs/>
        </w:rPr>
        <w:t xml:space="preserve"> siguiente</w:t>
      </w:r>
      <w:r w:rsidR="003545B6" w:rsidRPr="00EB29B0">
        <w:rPr>
          <w:rFonts w:ascii="ITC Avant Garde" w:hAnsi="ITC Avant Garde" w:cs="Arial"/>
          <w:bCs/>
        </w:rPr>
        <w:t>s</w:t>
      </w:r>
      <w:r w:rsidRPr="00EB29B0">
        <w:rPr>
          <w:rFonts w:ascii="ITC Avant Garde" w:hAnsi="ITC Avant Garde" w:cs="Arial"/>
          <w:bCs/>
        </w:rPr>
        <w:t>:</w:t>
      </w:r>
    </w:p>
    <w:p w:rsidR="002F49AF" w:rsidRPr="00EB29B0" w:rsidRDefault="002F49AF" w:rsidP="00A33196">
      <w:pPr>
        <w:spacing w:after="0"/>
        <w:jc w:val="both"/>
        <w:rPr>
          <w:rFonts w:ascii="ITC Avant Garde" w:hAnsi="ITC Avant Garde" w:cs="Arial"/>
          <w:bCs/>
        </w:rPr>
      </w:pPr>
    </w:p>
    <w:p w:rsidR="005B5F22" w:rsidRDefault="00D17822" w:rsidP="00F00F2B">
      <w:pPr>
        <w:spacing w:after="0"/>
        <w:jc w:val="center"/>
        <w:rPr>
          <w:rFonts w:ascii="ITC Avant Garde" w:hAnsi="ITC Avant Garde" w:cs="Arial"/>
          <w:b/>
          <w:bCs/>
        </w:rPr>
      </w:pPr>
      <w:r w:rsidRPr="00EB29B0">
        <w:rPr>
          <w:rFonts w:ascii="ITC Avant Garde" w:hAnsi="ITC Avant Garde" w:cs="Arial"/>
          <w:b/>
          <w:bCs/>
        </w:rPr>
        <w:t>ACUERDO</w:t>
      </w:r>
      <w:r w:rsidR="003545B6" w:rsidRPr="00EB29B0">
        <w:rPr>
          <w:rFonts w:ascii="ITC Avant Garde" w:hAnsi="ITC Avant Garde" w:cs="Arial"/>
          <w:b/>
          <w:bCs/>
        </w:rPr>
        <w:t>S</w:t>
      </w:r>
    </w:p>
    <w:p w:rsidR="00F376E6" w:rsidRPr="00F00F2B" w:rsidRDefault="00F376E6" w:rsidP="00F00F2B">
      <w:pPr>
        <w:spacing w:after="0"/>
        <w:jc w:val="center"/>
        <w:rPr>
          <w:rFonts w:ascii="ITC Avant Garde" w:hAnsi="ITC Avant Garde" w:cs="Arial"/>
          <w:b/>
          <w:bCs/>
        </w:rPr>
      </w:pPr>
    </w:p>
    <w:p w:rsidR="00F02E47" w:rsidRPr="00F00F2B" w:rsidRDefault="002F49AF" w:rsidP="00F00F2B">
      <w:pPr>
        <w:spacing w:after="0"/>
        <w:jc w:val="both"/>
        <w:rPr>
          <w:rFonts w:ascii="ITC Avant Garde" w:hAnsi="ITC Avant Garde" w:cs="Arial"/>
          <w:bCs/>
        </w:rPr>
      </w:pPr>
      <w:r w:rsidRPr="00F00F2B">
        <w:rPr>
          <w:rFonts w:ascii="ITC Avant Garde" w:hAnsi="ITC Avant Garde" w:cs="Arial"/>
          <w:b/>
          <w:bCs/>
        </w:rPr>
        <w:t>PRIMERO</w:t>
      </w:r>
      <w:r w:rsidRPr="00F00F2B">
        <w:rPr>
          <w:rFonts w:ascii="ITC Avant Garde" w:hAnsi="ITC Avant Garde" w:cs="Arial"/>
          <w:bCs/>
        </w:rPr>
        <w:t>. -</w:t>
      </w:r>
      <w:r w:rsidR="00060DAB" w:rsidRPr="00F00F2B">
        <w:rPr>
          <w:rFonts w:ascii="ITC Avant Garde" w:hAnsi="ITC Avant Garde" w:cs="Arial"/>
          <w:bCs/>
        </w:rPr>
        <w:t xml:space="preserve"> </w:t>
      </w:r>
      <w:r w:rsidR="003545B6" w:rsidRPr="00F00F2B">
        <w:rPr>
          <w:rFonts w:ascii="ITC Avant Garde" w:hAnsi="ITC Avant Garde" w:cs="Arial"/>
          <w:bCs/>
        </w:rPr>
        <w:t xml:space="preserve">Se </w:t>
      </w:r>
      <w:r w:rsidR="000A4B52" w:rsidRPr="00F00F2B">
        <w:rPr>
          <w:rFonts w:ascii="ITC Avant Garde" w:hAnsi="ITC Avant Garde" w:cs="Arial"/>
          <w:bCs/>
        </w:rPr>
        <w:t>determina</w:t>
      </w:r>
      <w:r w:rsidR="003545B6" w:rsidRPr="00F00F2B">
        <w:rPr>
          <w:rFonts w:ascii="ITC Avant Garde" w:hAnsi="ITC Avant Garde" w:cs="Arial"/>
          <w:bCs/>
        </w:rPr>
        <w:t xml:space="preserve"> someter a consulta pública, por un plazo de 30 (treinta) días </w:t>
      </w:r>
      <w:r w:rsidR="00D07A1D">
        <w:rPr>
          <w:rFonts w:ascii="ITC Avant Garde" w:hAnsi="ITC Avant Garde" w:cs="Arial"/>
          <w:bCs/>
        </w:rPr>
        <w:t>naturales</w:t>
      </w:r>
      <w:r w:rsidR="00D07A1D" w:rsidRPr="00F00F2B">
        <w:rPr>
          <w:rFonts w:ascii="ITC Avant Garde" w:hAnsi="ITC Avant Garde" w:cs="Arial"/>
          <w:bCs/>
        </w:rPr>
        <w:t xml:space="preserve"> </w:t>
      </w:r>
      <w:r w:rsidR="003545B6" w:rsidRPr="00F00F2B">
        <w:rPr>
          <w:rFonts w:ascii="ITC Avant Garde" w:hAnsi="ITC Avant Garde" w:cs="Arial"/>
          <w:bCs/>
        </w:rPr>
        <w:t xml:space="preserve">contados a partir del día hábil siguiente al de su publicación en el portal de Internet del Instituto Federal de Telecomunicaciones, </w:t>
      </w:r>
      <w:r w:rsidR="00F00F2B" w:rsidRPr="00F00F2B">
        <w:rPr>
          <w:rFonts w:ascii="ITC Avant Garde" w:hAnsi="ITC Avant Garde" w:cs="Arial"/>
          <w:bCs/>
        </w:rPr>
        <w:t>el Modelo de Costos Integral de la Red de Acceso Fija y el Modelo de Costos Evitados para Servicios de Desagregación.</w:t>
      </w:r>
    </w:p>
    <w:p w:rsidR="00EB4B6E" w:rsidRPr="00F00F2B" w:rsidRDefault="00EB4B6E" w:rsidP="00A33196">
      <w:pPr>
        <w:widowControl w:val="0"/>
        <w:spacing w:after="0"/>
        <w:jc w:val="both"/>
        <w:rPr>
          <w:rFonts w:ascii="ITC Avant Garde" w:hAnsi="ITC Avant Garde" w:cs="Arial"/>
          <w:bCs/>
        </w:rPr>
      </w:pPr>
    </w:p>
    <w:p w:rsidR="00864BEB" w:rsidRPr="00F00F2B" w:rsidRDefault="002F49AF" w:rsidP="00A33196">
      <w:pPr>
        <w:spacing w:after="0"/>
        <w:jc w:val="both"/>
        <w:rPr>
          <w:rFonts w:ascii="ITC Avant Garde" w:hAnsi="ITC Avant Garde" w:cs="Arial"/>
          <w:bCs/>
        </w:rPr>
      </w:pPr>
      <w:r w:rsidRPr="00F00F2B">
        <w:rPr>
          <w:rFonts w:ascii="ITC Avant Garde" w:hAnsi="ITC Avant Garde" w:cs="Arial"/>
          <w:b/>
          <w:bCs/>
        </w:rPr>
        <w:t>SEGUNDO</w:t>
      </w:r>
      <w:r w:rsidRPr="00F00F2B">
        <w:rPr>
          <w:rFonts w:ascii="ITC Avant Garde" w:hAnsi="ITC Avant Garde" w:cs="Arial"/>
          <w:bCs/>
        </w:rPr>
        <w:t>. -</w:t>
      </w:r>
      <w:r w:rsidR="0042271F" w:rsidRPr="00F00F2B">
        <w:rPr>
          <w:rFonts w:ascii="ITC Avant Garde" w:hAnsi="ITC Avant Garde" w:cs="Arial"/>
          <w:bCs/>
        </w:rPr>
        <w:t xml:space="preserve"> Se instruye a la Unidad de Política Regulatoria </w:t>
      </w:r>
      <w:r w:rsidR="000A3629">
        <w:rPr>
          <w:rFonts w:ascii="ITC Avant Garde" w:hAnsi="ITC Avant Garde" w:cs="Arial"/>
          <w:bCs/>
        </w:rPr>
        <w:t xml:space="preserve">a través de la Dirección General de Compartición de Infraestructura </w:t>
      </w:r>
      <w:r w:rsidR="0042271F" w:rsidRPr="00F00F2B">
        <w:rPr>
          <w:rFonts w:ascii="ITC Avant Garde" w:hAnsi="ITC Avant Garde" w:cs="Arial"/>
          <w:bCs/>
        </w:rPr>
        <w:t>a recibir y dar la atención que corresponda a las opiniones que sean vertidas en virtud de la consulta pública</w:t>
      </w:r>
      <w:r w:rsidR="005B5F22" w:rsidRPr="00F00F2B">
        <w:rPr>
          <w:rFonts w:ascii="ITC Avant Garde" w:hAnsi="ITC Avant Garde" w:cs="Arial"/>
          <w:bCs/>
        </w:rPr>
        <w:t xml:space="preserve"> materia del presente Acuerdo.</w:t>
      </w:r>
    </w:p>
    <w:p w:rsidR="00864BEB" w:rsidRPr="00EB29B0" w:rsidRDefault="002F49AF" w:rsidP="00A33196">
      <w:pPr>
        <w:spacing w:after="0"/>
        <w:jc w:val="both"/>
        <w:rPr>
          <w:rFonts w:ascii="ITC Avant Garde" w:hAnsi="ITC Avant Garde" w:cs="Arial"/>
          <w:bCs/>
        </w:rPr>
      </w:pPr>
      <w:r w:rsidRPr="00F00F2B">
        <w:rPr>
          <w:rFonts w:ascii="ITC Avant Garde" w:hAnsi="ITC Avant Garde" w:cs="Arial"/>
          <w:b/>
          <w:bCs/>
        </w:rPr>
        <w:t>TERCERO</w:t>
      </w:r>
      <w:r w:rsidRPr="00F00F2B">
        <w:rPr>
          <w:rFonts w:ascii="ITC Avant Garde" w:hAnsi="ITC Avant Garde" w:cs="Arial"/>
          <w:bCs/>
        </w:rPr>
        <w:t>. -</w:t>
      </w:r>
      <w:r w:rsidR="0042271F" w:rsidRPr="00F00F2B">
        <w:rPr>
          <w:rFonts w:ascii="ITC Avant Garde" w:hAnsi="ITC Avant Garde" w:cs="Arial"/>
          <w:bCs/>
        </w:rPr>
        <w:t xml:space="preserve"> Publíquese</w:t>
      </w:r>
      <w:r w:rsidR="003252F8" w:rsidRPr="00F00F2B">
        <w:rPr>
          <w:rFonts w:ascii="ITC Avant Garde" w:hAnsi="ITC Avant Garde" w:cs="Arial"/>
          <w:bCs/>
        </w:rPr>
        <w:t xml:space="preserve"> </w:t>
      </w:r>
      <w:r w:rsidR="00124FFC" w:rsidRPr="00F00F2B">
        <w:rPr>
          <w:rFonts w:ascii="ITC Avant Garde" w:hAnsi="ITC Avant Garde" w:cs="Arial"/>
          <w:bCs/>
        </w:rPr>
        <w:t>el presente Acuerdo</w:t>
      </w:r>
      <w:r w:rsidR="00931FA9">
        <w:rPr>
          <w:rFonts w:ascii="ITC Avant Garde" w:hAnsi="ITC Avant Garde" w:cs="Arial"/>
          <w:bCs/>
        </w:rPr>
        <w:t xml:space="preserve">, </w:t>
      </w:r>
      <w:r w:rsidR="00931FA9" w:rsidRPr="00F00F2B">
        <w:rPr>
          <w:rFonts w:ascii="ITC Avant Garde" w:hAnsi="ITC Avant Garde" w:cs="Arial"/>
          <w:bCs/>
        </w:rPr>
        <w:t>el Modelo de Costos Integral de la Red de Acceso Fija y el Modelo de Costos Evitados para Servicios de Desagregación</w:t>
      </w:r>
      <w:r w:rsidR="00124FFC" w:rsidRPr="00F00F2B">
        <w:rPr>
          <w:rFonts w:ascii="ITC Avant Garde" w:hAnsi="ITC Avant Garde" w:cs="Arial"/>
          <w:bCs/>
        </w:rPr>
        <w:t xml:space="preserve"> </w:t>
      </w:r>
      <w:r w:rsidR="0042271F" w:rsidRPr="00F00F2B">
        <w:rPr>
          <w:rFonts w:ascii="ITC Avant Garde" w:hAnsi="ITC Avant Garde" w:cs="Arial"/>
          <w:bCs/>
        </w:rPr>
        <w:t xml:space="preserve">en </w:t>
      </w:r>
      <w:r w:rsidR="005B5F22" w:rsidRPr="00F00F2B">
        <w:rPr>
          <w:rFonts w:ascii="ITC Avant Garde" w:hAnsi="ITC Avant Garde" w:cs="Arial"/>
          <w:bCs/>
        </w:rPr>
        <w:t>el portal</w:t>
      </w:r>
      <w:r w:rsidR="0042271F" w:rsidRPr="00F00F2B">
        <w:rPr>
          <w:rFonts w:ascii="ITC Avant Garde" w:hAnsi="ITC Avant Garde" w:cs="Arial"/>
          <w:bCs/>
        </w:rPr>
        <w:t xml:space="preserve"> de Internet del Instituto</w:t>
      </w:r>
      <w:r w:rsidR="00671F9E" w:rsidRPr="00F00F2B">
        <w:rPr>
          <w:rFonts w:ascii="ITC Avant Garde" w:hAnsi="ITC Avant Garde" w:cs="Arial"/>
          <w:bCs/>
        </w:rPr>
        <w:t xml:space="preserve"> Federal de Telecomunicaciones</w:t>
      </w:r>
      <w:r w:rsidR="0042271F" w:rsidRPr="00F00F2B">
        <w:rPr>
          <w:rFonts w:ascii="ITC Avant Garde" w:hAnsi="ITC Avant Garde" w:cs="Arial"/>
          <w:bCs/>
        </w:rPr>
        <w:t>.</w:t>
      </w:r>
    </w:p>
    <w:p w:rsidR="00BB4ADA" w:rsidRPr="00EB29B0" w:rsidRDefault="00BB4ADA" w:rsidP="00AE4545">
      <w:pPr>
        <w:spacing w:after="0" w:line="240" w:lineRule="auto"/>
        <w:jc w:val="both"/>
        <w:rPr>
          <w:rFonts w:ascii="ITC Avant Garde" w:hAnsi="ITC Avant Garde" w:cs="Arial"/>
          <w:bCs/>
        </w:rPr>
      </w:pPr>
    </w:p>
    <w:p w:rsidR="0042271F" w:rsidRPr="00EB29B0" w:rsidRDefault="0042271F" w:rsidP="00AE4545">
      <w:pPr>
        <w:spacing w:after="0" w:line="240" w:lineRule="auto"/>
        <w:jc w:val="both"/>
        <w:rPr>
          <w:rFonts w:ascii="ITC Avant Garde" w:hAnsi="ITC Avant Garde" w:cs="Arial"/>
          <w:bCs/>
        </w:rPr>
      </w:pPr>
    </w:p>
    <w:p w:rsidR="00AE4545" w:rsidRDefault="00AE4545" w:rsidP="00AE4545">
      <w:pPr>
        <w:spacing w:after="0" w:line="240" w:lineRule="auto"/>
        <w:jc w:val="both"/>
        <w:rPr>
          <w:rFonts w:ascii="ITC Avant Garde" w:hAnsi="ITC Avant Garde" w:cs="Arial"/>
          <w:bCs/>
        </w:rPr>
      </w:pPr>
    </w:p>
    <w:p w:rsidR="00AE4545" w:rsidRDefault="00AE4545" w:rsidP="00AE4545">
      <w:pPr>
        <w:spacing w:after="0" w:line="240" w:lineRule="auto"/>
        <w:jc w:val="both"/>
        <w:rPr>
          <w:rFonts w:ascii="ITC Avant Garde" w:hAnsi="ITC Avant Garde" w:cs="Arial"/>
          <w:bCs/>
        </w:rPr>
      </w:pPr>
    </w:p>
    <w:p w:rsidR="002F49AF" w:rsidRDefault="002F49AF" w:rsidP="00AE4545">
      <w:pPr>
        <w:spacing w:after="0" w:line="240" w:lineRule="auto"/>
        <w:jc w:val="both"/>
        <w:rPr>
          <w:rFonts w:ascii="ITC Avant Garde" w:hAnsi="ITC Avant Garde" w:cs="Arial"/>
          <w:bCs/>
        </w:rPr>
      </w:pPr>
    </w:p>
    <w:p w:rsidR="002F49AF" w:rsidRDefault="002F49AF" w:rsidP="00AE4545">
      <w:pPr>
        <w:spacing w:after="0" w:line="240" w:lineRule="auto"/>
        <w:jc w:val="both"/>
        <w:rPr>
          <w:rFonts w:ascii="ITC Avant Garde" w:hAnsi="ITC Avant Garde" w:cs="Arial"/>
          <w:bCs/>
        </w:rPr>
      </w:pPr>
    </w:p>
    <w:p w:rsidR="002F49AF" w:rsidRDefault="002F49AF" w:rsidP="00AE4545">
      <w:pPr>
        <w:spacing w:after="0" w:line="240" w:lineRule="auto"/>
        <w:jc w:val="both"/>
        <w:rPr>
          <w:rFonts w:ascii="ITC Avant Garde" w:hAnsi="ITC Avant Garde" w:cs="Arial"/>
          <w:bCs/>
        </w:rPr>
      </w:pPr>
    </w:p>
    <w:p w:rsidR="002F49AF" w:rsidRDefault="002F49AF" w:rsidP="00AE4545">
      <w:pPr>
        <w:spacing w:after="0" w:line="240" w:lineRule="auto"/>
        <w:jc w:val="both"/>
        <w:rPr>
          <w:rFonts w:ascii="ITC Avant Garde" w:hAnsi="ITC Avant Garde" w:cs="Arial"/>
          <w:bCs/>
        </w:rPr>
      </w:pPr>
    </w:p>
    <w:p w:rsidR="002F49AF" w:rsidRDefault="002F49AF" w:rsidP="00AE4545">
      <w:pPr>
        <w:spacing w:after="0" w:line="240" w:lineRule="auto"/>
        <w:jc w:val="both"/>
        <w:rPr>
          <w:rFonts w:ascii="ITC Avant Garde" w:hAnsi="ITC Avant Garde" w:cs="Arial"/>
          <w:bCs/>
        </w:rPr>
      </w:pPr>
    </w:p>
    <w:p w:rsidR="002F49AF" w:rsidRDefault="002F49AF" w:rsidP="00AE4545">
      <w:pPr>
        <w:spacing w:after="0" w:line="240" w:lineRule="auto"/>
        <w:jc w:val="both"/>
        <w:rPr>
          <w:rFonts w:ascii="ITC Avant Garde" w:hAnsi="ITC Avant Garde" w:cs="Arial"/>
          <w:bCs/>
        </w:rPr>
      </w:pPr>
    </w:p>
    <w:p w:rsidR="000A4B52" w:rsidRDefault="000A4B52" w:rsidP="00AE4545">
      <w:pPr>
        <w:spacing w:after="0" w:line="240" w:lineRule="auto"/>
        <w:jc w:val="both"/>
        <w:rPr>
          <w:rFonts w:ascii="ITC Avant Garde" w:hAnsi="ITC Avant Garde" w:cs="Arial"/>
          <w:bCs/>
        </w:rPr>
      </w:pPr>
    </w:p>
    <w:p w:rsidR="00990197" w:rsidRPr="00EB29B0" w:rsidRDefault="00990197" w:rsidP="00AE4545">
      <w:pPr>
        <w:spacing w:after="0" w:line="240" w:lineRule="auto"/>
        <w:jc w:val="both"/>
        <w:rPr>
          <w:rFonts w:ascii="ITC Avant Garde" w:hAnsi="ITC Avant Garde" w:cs="Arial"/>
          <w:bCs/>
        </w:rPr>
      </w:pPr>
    </w:p>
    <w:p w:rsidR="000A4B52" w:rsidRPr="00AE4545" w:rsidRDefault="000A4B52" w:rsidP="00AE4545">
      <w:pPr>
        <w:adjustRightInd w:val="0"/>
        <w:spacing w:after="0" w:line="240" w:lineRule="auto"/>
        <w:jc w:val="center"/>
        <w:rPr>
          <w:rFonts w:ascii="ITC Avant Garde" w:eastAsia="Times New Roman" w:hAnsi="ITC Avant Garde" w:cs="Arial"/>
          <w:b/>
          <w:bCs/>
          <w:lang w:val="es-ES" w:eastAsia="es-ES"/>
        </w:rPr>
      </w:pPr>
      <w:r w:rsidRPr="00AE4545">
        <w:rPr>
          <w:rFonts w:ascii="ITC Avant Garde" w:eastAsia="Times New Roman" w:hAnsi="ITC Avant Garde" w:cs="Arial"/>
          <w:b/>
          <w:bCs/>
          <w:lang w:val="es-ES" w:eastAsia="es-ES"/>
        </w:rPr>
        <w:t>Gabriel Oswaldo Contreras Saldívar</w:t>
      </w:r>
    </w:p>
    <w:p w:rsidR="000A4B52" w:rsidRPr="00AE4545" w:rsidRDefault="000A4B52" w:rsidP="00AE4545">
      <w:pPr>
        <w:adjustRightInd w:val="0"/>
        <w:spacing w:after="0" w:line="240" w:lineRule="auto"/>
        <w:jc w:val="center"/>
        <w:rPr>
          <w:rFonts w:ascii="ITC Avant Garde" w:eastAsia="Times New Roman" w:hAnsi="ITC Avant Garde" w:cs="Arial"/>
          <w:b/>
          <w:bCs/>
          <w:lang w:val="es-ES" w:eastAsia="es-ES"/>
        </w:rPr>
      </w:pPr>
      <w:r w:rsidRPr="00AE4545">
        <w:rPr>
          <w:rFonts w:ascii="ITC Avant Garde" w:eastAsia="Times New Roman" w:hAnsi="ITC Avant Garde" w:cs="Arial"/>
          <w:b/>
          <w:bCs/>
          <w:lang w:val="es-ES" w:eastAsia="es-ES"/>
        </w:rPr>
        <w:t>Comisionado Presidente</w:t>
      </w:r>
    </w:p>
    <w:tbl>
      <w:tblPr>
        <w:tblW w:w="9423" w:type="dxa"/>
        <w:tblLook w:val="04A0" w:firstRow="1" w:lastRow="0" w:firstColumn="1" w:lastColumn="0" w:noHBand="0" w:noVBand="1"/>
      </w:tblPr>
      <w:tblGrid>
        <w:gridCol w:w="4395"/>
        <w:gridCol w:w="5028"/>
      </w:tblGrid>
      <w:tr w:rsidR="000A4B52" w:rsidRPr="00AE4545" w:rsidTr="00930ED0">
        <w:trPr>
          <w:trHeight w:val="1623"/>
        </w:trPr>
        <w:tc>
          <w:tcPr>
            <w:tcW w:w="4395" w:type="dxa"/>
          </w:tcPr>
          <w:p w:rsidR="000A4B52" w:rsidRPr="00AE4545" w:rsidRDefault="000A4B52" w:rsidP="00AE4545">
            <w:pPr>
              <w:tabs>
                <w:tab w:val="left" w:pos="993"/>
              </w:tabs>
              <w:spacing w:after="0" w:line="240" w:lineRule="auto"/>
              <w:ind w:right="-1"/>
              <w:jc w:val="both"/>
              <w:rPr>
                <w:rFonts w:ascii="ITC Avant Garde" w:eastAsia="Times New Roman" w:hAnsi="ITC Avant Garde"/>
                <w:b/>
                <w:bCs/>
                <w:lang w:eastAsia="es-MX"/>
              </w:rPr>
            </w:pPr>
          </w:p>
          <w:p w:rsidR="000A4B52" w:rsidRDefault="000A4B52" w:rsidP="00AE4545">
            <w:pPr>
              <w:tabs>
                <w:tab w:val="left" w:pos="993"/>
              </w:tabs>
              <w:spacing w:after="0" w:line="240" w:lineRule="auto"/>
              <w:ind w:right="-1"/>
              <w:jc w:val="both"/>
              <w:rPr>
                <w:rFonts w:ascii="ITC Avant Garde" w:eastAsia="Times New Roman" w:hAnsi="ITC Avant Garde"/>
                <w:b/>
                <w:bCs/>
                <w:lang w:eastAsia="es-MX"/>
              </w:rPr>
            </w:pPr>
          </w:p>
          <w:p w:rsidR="00AE4545" w:rsidRPr="00AE4545" w:rsidRDefault="00AE4545" w:rsidP="00AE4545">
            <w:pPr>
              <w:tabs>
                <w:tab w:val="left" w:pos="993"/>
              </w:tabs>
              <w:spacing w:after="0" w:line="240" w:lineRule="auto"/>
              <w:ind w:right="-1"/>
              <w:jc w:val="both"/>
              <w:rPr>
                <w:rFonts w:ascii="ITC Avant Garde" w:eastAsia="Times New Roman" w:hAnsi="ITC Avant Garde"/>
                <w:b/>
                <w:bCs/>
                <w:lang w:eastAsia="es-MX"/>
              </w:rPr>
            </w:pPr>
          </w:p>
          <w:p w:rsidR="000A4B52" w:rsidRPr="00AE4545" w:rsidRDefault="000A4B52" w:rsidP="00AE4545">
            <w:pPr>
              <w:tabs>
                <w:tab w:val="left" w:pos="993"/>
              </w:tabs>
              <w:spacing w:after="0" w:line="240" w:lineRule="auto"/>
              <w:ind w:right="-1"/>
              <w:jc w:val="both"/>
              <w:rPr>
                <w:rFonts w:ascii="ITC Avant Garde" w:eastAsia="Times New Roman" w:hAnsi="ITC Avant Garde"/>
                <w:b/>
                <w:bCs/>
                <w:lang w:eastAsia="es-MX"/>
              </w:rPr>
            </w:pPr>
          </w:p>
          <w:p w:rsidR="000A4B52" w:rsidRPr="00AE4545" w:rsidRDefault="000A4B52" w:rsidP="00AE4545">
            <w:pPr>
              <w:tabs>
                <w:tab w:val="left" w:pos="993"/>
              </w:tabs>
              <w:spacing w:after="0" w:line="240" w:lineRule="auto"/>
              <w:ind w:right="-1"/>
              <w:jc w:val="both"/>
              <w:rPr>
                <w:rFonts w:ascii="ITC Avant Garde" w:eastAsia="Times New Roman" w:hAnsi="ITC Avant Garde"/>
                <w:b/>
                <w:bCs/>
                <w:lang w:eastAsia="es-MX"/>
              </w:rPr>
            </w:pPr>
          </w:p>
          <w:p w:rsidR="000A4B52" w:rsidRPr="00AE4545" w:rsidRDefault="000A4B52" w:rsidP="00AE4545">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María Elena Estavillo Flores</w:t>
            </w:r>
          </w:p>
          <w:p w:rsidR="000A4B52" w:rsidRPr="00AE4545" w:rsidRDefault="000A4B52" w:rsidP="00AE4545">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 xml:space="preserve">Comisionada </w:t>
            </w:r>
          </w:p>
        </w:tc>
        <w:tc>
          <w:tcPr>
            <w:tcW w:w="5028" w:type="dxa"/>
          </w:tcPr>
          <w:p w:rsidR="000A4B52" w:rsidRPr="00AE4545" w:rsidRDefault="000A4B52" w:rsidP="00AE4545">
            <w:pPr>
              <w:tabs>
                <w:tab w:val="left" w:pos="993"/>
              </w:tabs>
              <w:spacing w:after="0" w:line="240" w:lineRule="auto"/>
              <w:ind w:right="-1"/>
              <w:jc w:val="both"/>
              <w:rPr>
                <w:rFonts w:ascii="ITC Avant Garde" w:eastAsia="Times New Roman" w:hAnsi="ITC Avant Garde"/>
                <w:b/>
                <w:bCs/>
                <w:lang w:eastAsia="es-MX"/>
              </w:rPr>
            </w:pPr>
          </w:p>
          <w:p w:rsidR="000A4B52" w:rsidRPr="00AE4545" w:rsidRDefault="000A4B52" w:rsidP="00AE4545">
            <w:pPr>
              <w:tabs>
                <w:tab w:val="left" w:pos="993"/>
              </w:tabs>
              <w:spacing w:after="0" w:line="240" w:lineRule="auto"/>
              <w:ind w:right="-1"/>
              <w:jc w:val="both"/>
              <w:rPr>
                <w:rFonts w:ascii="ITC Avant Garde" w:eastAsia="Times New Roman" w:hAnsi="ITC Avant Garde"/>
                <w:b/>
                <w:bCs/>
                <w:lang w:eastAsia="es-MX"/>
              </w:rPr>
            </w:pPr>
          </w:p>
          <w:p w:rsidR="000A4B52" w:rsidRDefault="000A4B52" w:rsidP="00AE4545">
            <w:pPr>
              <w:tabs>
                <w:tab w:val="left" w:pos="993"/>
              </w:tabs>
              <w:spacing w:after="0" w:line="240" w:lineRule="auto"/>
              <w:ind w:right="-1"/>
              <w:jc w:val="both"/>
              <w:rPr>
                <w:rFonts w:ascii="ITC Avant Garde" w:eastAsia="Times New Roman" w:hAnsi="ITC Avant Garde"/>
                <w:b/>
                <w:bCs/>
                <w:lang w:eastAsia="es-MX"/>
              </w:rPr>
            </w:pPr>
          </w:p>
          <w:p w:rsidR="00AE4545" w:rsidRDefault="00AE4545" w:rsidP="00AE4545">
            <w:pPr>
              <w:tabs>
                <w:tab w:val="left" w:pos="993"/>
              </w:tabs>
              <w:spacing w:after="0" w:line="240" w:lineRule="auto"/>
              <w:ind w:right="-1"/>
              <w:jc w:val="both"/>
              <w:rPr>
                <w:rFonts w:ascii="ITC Avant Garde" w:eastAsia="Times New Roman" w:hAnsi="ITC Avant Garde"/>
                <w:b/>
                <w:bCs/>
                <w:lang w:eastAsia="es-MX"/>
              </w:rPr>
            </w:pPr>
          </w:p>
          <w:p w:rsidR="00AE4545" w:rsidRPr="00AE4545" w:rsidRDefault="00AE4545" w:rsidP="00AE4545">
            <w:pPr>
              <w:tabs>
                <w:tab w:val="left" w:pos="993"/>
              </w:tabs>
              <w:spacing w:after="0" w:line="240" w:lineRule="auto"/>
              <w:ind w:right="-1"/>
              <w:jc w:val="both"/>
              <w:rPr>
                <w:rFonts w:ascii="ITC Avant Garde" w:eastAsia="Times New Roman" w:hAnsi="ITC Avant Garde"/>
                <w:b/>
                <w:bCs/>
                <w:lang w:eastAsia="es-MX"/>
              </w:rPr>
            </w:pPr>
          </w:p>
          <w:p w:rsidR="000A4B52" w:rsidRPr="00AE4545" w:rsidRDefault="000A4B52" w:rsidP="00AE4545">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Mario Germán Fromow Rangel</w:t>
            </w:r>
          </w:p>
          <w:p w:rsidR="000A4B52" w:rsidRPr="00AE4545" w:rsidRDefault="000A4B52" w:rsidP="00AE4545">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 xml:space="preserve">Comisionado </w:t>
            </w:r>
          </w:p>
        </w:tc>
      </w:tr>
      <w:tr w:rsidR="000A4B52" w:rsidRPr="00AE4545" w:rsidTr="00930ED0">
        <w:trPr>
          <w:trHeight w:val="1739"/>
        </w:trPr>
        <w:tc>
          <w:tcPr>
            <w:tcW w:w="4395" w:type="dxa"/>
          </w:tcPr>
          <w:p w:rsidR="000A4B52" w:rsidRPr="00AE4545" w:rsidRDefault="000A4B52" w:rsidP="00AE4545">
            <w:pPr>
              <w:tabs>
                <w:tab w:val="left" w:pos="993"/>
              </w:tabs>
              <w:spacing w:after="0" w:line="240" w:lineRule="auto"/>
              <w:ind w:right="-1"/>
              <w:jc w:val="both"/>
              <w:rPr>
                <w:rFonts w:ascii="ITC Avant Garde" w:eastAsia="Times New Roman" w:hAnsi="ITC Avant Garde"/>
                <w:b/>
                <w:bCs/>
                <w:lang w:eastAsia="es-MX"/>
              </w:rPr>
            </w:pPr>
          </w:p>
          <w:p w:rsidR="000A4B52" w:rsidRDefault="000A4B52" w:rsidP="00AE4545">
            <w:pPr>
              <w:tabs>
                <w:tab w:val="left" w:pos="993"/>
              </w:tabs>
              <w:spacing w:after="0" w:line="240" w:lineRule="auto"/>
              <w:ind w:right="-1"/>
              <w:jc w:val="both"/>
              <w:rPr>
                <w:rFonts w:ascii="ITC Avant Garde" w:eastAsia="Times New Roman" w:hAnsi="ITC Avant Garde"/>
                <w:b/>
                <w:bCs/>
                <w:lang w:eastAsia="es-MX"/>
              </w:rPr>
            </w:pPr>
          </w:p>
          <w:p w:rsidR="00AE4545" w:rsidRPr="00AE4545" w:rsidRDefault="00AE4545" w:rsidP="00AE4545">
            <w:pPr>
              <w:tabs>
                <w:tab w:val="left" w:pos="993"/>
              </w:tabs>
              <w:spacing w:after="0" w:line="240" w:lineRule="auto"/>
              <w:ind w:right="-1"/>
              <w:jc w:val="both"/>
              <w:rPr>
                <w:rFonts w:ascii="ITC Avant Garde" w:eastAsia="Times New Roman" w:hAnsi="ITC Avant Garde"/>
                <w:b/>
                <w:bCs/>
                <w:lang w:eastAsia="es-MX"/>
              </w:rPr>
            </w:pPr>
          </w:p>
          <w:p w:rsidR="000A4B52" w:rsidRPr="00AE4545" w:rsidRDefault="000A4B52" w:rsidP="00AE4545">
            <w:pPr>
              <w:tabs>
                <w:tab w:val="left" w:pos="993"/>
              </w:tabs>
              <w:spacing w:after="0" w:line="240" w:lineRule="auto"/>
              <w:ind w:right="-1"/>
              <w:jc w:val="both"/>
              <w:rPr>
                <w:rFonts w:ascii="ITC Avant Garde" w:eastAsia="Times New Roman" w:hAnsi="ITC Avant Garde"/>
                <w:b/>
                <w:bCs/>
                <w:lang w:eastAsia="es-MX"/>
              </w:rPr>
            </w:pPr>
          </w:p>
          <w:p w:rsidR="000A4B52" w:rsidRPr="00AE4545" w:rsidRDefault="000A4B52" w:rsidP="00AE4545">
            <w:pPr>
              <w:tabs>
                <w:tab w:val="left" w:pos="993"/>
              </w:tabs>
              <w:spacing w:after="0" w:line="240" w:lineRule="auto"/>
              <w:ind w:right="-1"/>
              <w:jc w:val="both"/>
              <w:rPr>
                <w:rFonts w:ascii="ITC Avant Garde" w:eastAsia="Times New Roman" w:hAnsi="ITC Avant Garde"/>
                <w:b/>
                <w:bCs/>
                <w:lang w:eastAsia="es-MX"/>
              </w:rPr>
            </w:pPr>
          </w:p>
          <w:p w:rsidR="000A4B52" w:rsidRPr="00AE4545" w:rsidRDefault="000A4B52" w:rsidP="00AE4545">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Adolfo Cuevas Teja</w:t>
            </w:r>
          </w:p>
          <w:p w:rsidR="000A4B52" w:rsidRPr="00AE4545" w:rsidRDefault="000A4B52" w:rsidP="00AE4545">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Comisionado</w:t>
            </w:r>
          </w:p>
        </w:tc>
        <w:tc>
          <w:tcPr>
            <w:tcW w:w="5028" w:type="dxa"/>
          </w:tcPr>
          <w:p w:rsidR="000A4B52" w:rsidRPr="00AE4545" w:rsidRDefault="000A4B52" w:rsidP="00AE4545">
            <w:pPr>
              <w:tabs>
                <w:tab w:val="left" w:pos="993"/>
              </w:tabs>
              <w:spacing w:after="0" w:line="240" w:lineRule="auto"/>
              <w:ind w:right="-1"/>
              <w:jc w:val="both"/>
              <w:rPr>
                <w:rFonts w:ascii="ITC Avant Garde" w:eastAsia="Times New Roman" w:hAnsi="ITC Avant Garde"/>
                <w:b/>
                <w:bCs/>
                <w:lang w:eastAsia="es-MX"/>
              </w:rPr>
            </w:pPr>
          </w:p>
          <w:p w:rsidR="000A4B52" w:rsidRPr="00AE4545" w:rsidRDefault="000A4B52" w:rsidP="00AE4545">
            <w:pPr>
              <w:tabs>
                <w:tab w:val="left" w:pos="993"/>
              </w:tabs>
              <w:spacing w:after="0" w:line="240" w:lineRule="auto"/>
              <w:ind w:right="-1"/>
              <w:jc w:val="both"/>
              <w:rPr>
                <w:rFonts w:ascii="ITC Avant Garde" w:eastAsia="Times New Roman" w:hAnsi="ITC Avant Garde"/>
                <w:b/>
                <w:bCs/>
                <w:lang w:eastAsia="es-MX"/>
              </w:rPr>
            </w:pPr>
          </w:p>
          <w:p w:rsidR="000A4B52" w:rsidRDefault="000A4B52" w:rsidP="00AE4545">
            <w:pPr>
              <w:tabs>
                <w:tab w:val="left" w:pos="993"/>
              </w:tabs>
              <w:spacing w:after="0" w:line="240" w:lineRule="auto"/>
              <w:ind w:right="-1"/>
              <w:jc w:val="both"/>
              <w:rPr>
                <w:rFonts w:ascii="ITC Avant Garde" w:eastAsia="Times New Roman" w:hAnsi="ITC Avant Garde"/>
                <w:b/>
                <w:bCs/>
                <w:lang w:eastAsia="es-MX"/>
              </w:rPr>
            </w:pPr>
          </w:p>
          <w:p w:rsidR="00AE4545" w:rsidRPr="00AE4545" w:rsidRDefault="00AE4545" w:rsidP="00AE4545">
            <w:pPr>
              <w:tabs>
                <w:tab w:val="left" w:pos="993"/>
              </w:tabs>
              <w:spacing w:after="0" w:line="240" w:lineRule="auto"/>
              <w:ind w:right="-1"/>
              <w:jc w:val="both"/>
              <w:rPr>
                <w:rFonts w:ascii="ITC Avant Garde" w:eastAsia="Times New Roman" w:hAnsi="ITC Avant Garde"/>
                <w:b/>
                <w:bCs/>
                <w:lang w:eastAsia="es-MX"/>
              </w:rPr>
            </w:pPr>
          </w:p>
          <w:p w:rsidR="000A4B52" w:rsidRPr="00AE4545" w:rsidRDefault="000A4B52" w:rsidP="00AE4545">
            <w:pPr>
              <w:tabs>
                <w:tab w:val="left" w:pos="993"/>
              </w:tabs>
              <w:spacing w:after="0" w:line="240" w:lineRule="auto"/>
              <w:ind w:right="-1"/>
              <w:jc w:val="both"/>
              <w:rPr>
                <w:rFonts w:ascii="ITC Avant Garde" w:eastAsia="Times New Roman" w:hAnsi="ITC Avant Garde"/>
                <w:b/>
                <w:bCs/>
                <w:lang w:eastAsia="es-MX"/>
              </w:rPr>
            </w:pPr>
          </w:p>
          <w:p w:rsidR="000A4B52" w:rsidRPr="00AE4545" w:rsidRDefault="000A4B52" w:rsidP="00AE4545">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Javier Juárez Mojica</w:t>
            </w:r>
          </w:p>
          <w:p w:rsidR="000A4B52" w:rsidRPr="00AE4545" w:rsidRDefault="000A4B52" w:rsidP="00AE4545">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Comisionado</w:t>
            </w:r>
          </w:p>
        </w:tc>
      </w:tr>
      <w:tr w:rsidR="000A4B52" w:rsidRPr="00AE4545" w:rsidTr="00930ED0">
        <w:trPr>
          <w:trHeight w:val="1672"/>
        </w:trPr>
        <w:tc>
          <w:tcPr>
            <w:tcW w:w="4395" w:type="dxa"/>
          </w:tcPr>
          <w:p w:rsidR="000A4B52" w:rsidRPr="00910D74" w:rsidRDefault="000A4B52" w:rsidP="00AE4545">
            <w:pPr>
              <w:tabs>
                <w:tab w:val="left" w:pos="993"/>
              </w:tabs>
              <w:spacing w:after="0" w:line="240" w:lineRule="auto"/>
              <w:ind w:right="-1"/>
              <w:jc w:val="center"/>
              <w:rPr>
                <w:rFonts w:ascii="ITC Avant Garde" w:eastAsia="Times New Roman" w:hAnsi="ITC Avant Garde"/>
                <w:b/>
                <w:bCs/>
                <w:sz w:val="18"/>
                <w:lang w:eastAsia="es-MX"/>
              </w:rPr>
            </w:pPr>
          </w:p>
          <w:p w:rsidR="000A4B52" w:rsidRDefault="000A4B52" w:rsidP="00AE4545">
            <w:pPr>
              <w:tabs>
                <w:tab w:val="left" w:pos="993"/>
              </w:tabs>
              <w:spacing w:after="0" w:line="240" w:lineRule="auto"/>
              <w:ind w:right="-1"/>
              <w:jc w:val="center"/>
              <w:rPr>
                <w:rFonts w:ascii="ITC Avant Garde" w:eastAsia="Times New Roman" w:hAnsi="ITC Avant Garde"/>
                <w:b/>
                <w:bCs/>
                <w:lang w:eastAsia="es-MX"/>
              </w:rPr>
            </w:pPr>
          </w:p>
          <w:p w:rsidR="00AE4545" w:rsidRDefault="00AE4545" w:rsidP="00AE4545">
            <w:pPr>
              <w:tabs>
                <w:tab w:val="left" w:pos="993"/>
              </w:tabs>
              <w:spacing w:after="0" w:line="240" w:lineRule="auto"/>
              <w:ind w:right="-1"/>
              <w:jc w:val="center"/>
              <w:rPr>
                <w:rFonts w:ascii="ITC Avant Garde" w:eastAsia="Times New Roman" w:hAnsi="ITC Avant Garde"/>
                <w:b/>
                <w:bCs/>
                <w:lang w:eastAsia="es-MX"/>
              </w:rPr>
            </w:pPr>
          </w:p>
          <w:p w:rsidR="00AE4545" w:rsidRDefault="00AE4545" w:rsidP="00AE4545">
            <w:pPr>
              <w:tabs>
                <w:tab w:val="left" w:pos="993"/>
              </w:tabs>
              <w:spacing w:after="0" w:line="240" w:lineRule="auto"/>
              <w:ind w:right="-1"/>
              <w:jc w:val="center"/>
              <w:rPr>
                <w:rFonts w:ascii="ITC Avant Garde" w:eastAsia="Times New Roman" w:hAnsi="ITC Avant Garde"/>
                <w:b/>
                <w:bCs/>
                <w:lang w:eastAsia="es-MX"/>
              </w:rPr>
            </w:pPr>
          </w:p>
          <w:p w:rsidR="00AE4545" w:rsidRPr="00910D74" w:rsidRDefault="00AE4545" w:rsidP="00AE4545">
            <w:pPr>
              <w:tabs>
                <w:tab w:val="left" w:pos="993"/>
              </w:tabs>
              <w:spacing w:after="0" w:line="240" w:lineRule="auto"/>
              <w:ind w:right="-1"/>
              <w:jc w:val="center"/>
              <w:rPr>
                <w:rFonts w:ascii="ITC Avant Garde" w:eastAsia="Times New Roman" w:hAnsi="ITC Avant Garde"/>
                <w:b/>
                <w:bCs/>
                <w:sz w:val="18"/>
                <w:lang w:eastAsia="es-MX"/>
              </w:rPr>
            </w:pPr>
          </w:p>
          <w:p w:rsidR="000A4B52" w:rsidRPr="00AE4545" w:rsidRDefault="000A4B52" w:rsidP="00AE4545">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 xml:space="preserve"> </w:t>
            </w:r>
            <w:r w:rsidRPr="00AE4545">
              <w:rPr>
                <w:rFonts w:ascii="ITC Avant Garde" w:eastAsia="Times New Roman" w:hAnsi="ITC Avant Garde"/>
                <w:b/>
                <w:bCs/>
                <w:lang w:val="es-ES" w:eastAsia="es-MX"/>
              </w:rPr>
              <w:t xml:space="preserve">Arturo Robles Rovalo </w:t>
            </w:r>
          </w:p>
          <w:p w:rsidR="000A4B52" w:rsidRPr="00AE4545" w:rsidRDefault="000A4B52" w:rsidP="00AE4545">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Comisionado</w:t>
            </w:r>
          </w:p>
        </w:tc>
        <w:tc>
          <w:tcPr>
            <w:tcW w:w="5028" w:type="dxa"/>
          </w:tcPr>
          <w:p w:rsidR="000A4B52" w:rsidRPr="00910D74" w:rsidRDefault="000A4B52" w:rsidP="00AE4545">
            <w:pPr>
              <w:tabs>
                <w:tab w:val="left" w:pos="993"/>
              </w:tabs>
              <w:spacing w:after="0" w:line="240" w:lineRule="auto"/>
              <w:ind w:right="-1"/>
              <w:jc w:val="center"/>
              <w:rPr>
                <w:rFonts w:ascii="ITC Avant Garde" w:eastAsia="Times New Roman" w:hAnsi="ITC Avant Garde"/>
                <w:b/>
                <w:bCs/>
                <w:sz w:val="18"/>
                <w:lang w:eastAsia="es-MX"/>
              </w:rPr>
            </w:pPr>
          </w:p>
          <w:p w:rsidR="000A4B52" w:rsidRDefault="000A4B52" w:rsidP="00AE4545">
            <w:pPr>
              <w:tabs>
                <w:tab w:val="left" w:pos="993"/>
              </w:tabs>
              <w:spacing w:after="0" w:line="240" w:lineRule="auto"/>
              <w:ind w:right="-1"/>
              <w:jc w:val="center"/>
              <w:rPr>
                <w:rFonts w:ascii="ITC Avant Garde" w:eastAsia="Times New Roman" w:hAnsi="ITC Avant Garde"/>
                <w:b/>
                <w:bCs/>
                <w:lang w:eastAsia="es-MX"/>
              </w:rPr>
            </w:pPr>
          </w:p>
          <w:p w:rsidR="00AE4545" w:rsidRDefault="00AE4545" w:rsidP="00AE4545">
            <w:pPr>
              <w:tabs>
                <w:tab w:val="left" w:pos="993"/>
              </w:tabs>
              <w:spacing w:after="0" w:line="240" w:lineRule="auto"/>
              <w:ind w:right="-1"/>
              <w:jc w:val="center"/>
              <w:rPr>
                <w:rFonts w:ascii="ITC Avant Garde" w:eastAsia="Times New Roman" w:hAnsi="ITC Avant Garde"/>
                <w:b/>
                <w:bCs/>
                <w:lang w:eastAsia="es-MX"/>
              </w:rPr>
            </w:pPr>
          </w:p>
          <w:p w:rsidR="00AE4545" w:rsidRPr="00910D74" w:rsidRDefault="00AE4545" w:rsidP="00AE4545">
            <w:pPr>
              <w:tabs>
                <w:tab w:val="left" w:pos="993"/>
              </w:tabs>
              <w:spacing w:after="0" w:line="240" w:lineRule="auto"/>
              <w:ind w:right="-1"/>
              <w:jc w:val="center"/>
              <w:rPr>
                <w:rFonts w:ascii="ITC Avant Garde" w:eastAsia="Times New Roman" w:hAnsi="ITC Avant Garde"/>
                <w:b/>
                <w:bCs/>
                <w:sz w:val="18"/>
                <w:lang w:eastAsia="es-MX"/>
              </w:rPr>
            </w:pPr>
          </w:p>
          <w:p w:rsidR="000A4B52" w:rsidRPr="00AE4545" w:rsidRDefault="000A4B52" w:rsidP="00AE4545">
            <w:pPr>
              <w:tabs>
                <w:tab w:val="left" w:pos="993"/>
              </w:tabs>
              <w:spacing w:after="0" w:line="240" w:lineRule="auto"/>
              <w:ind w:right="-1"/>
              <w:jc w:val="center"/>
              <w:rPr>
                <w:rFonts w:ascii="ITC Avant Garde" w:eastAsia="Times New Roman" w:hAnsi="ITC Avant Garde"/>
                <w:b/>
                <w:bCs/>
                <w:lang w:eastAsia="es-MX"/>
              </w:rPr>
            </w:pPr>
          </w:p>
          <w:p w:rsidR="000A4B52" w:rsidRPr="00AE4545" w:rsidRDefault="000A4B52" w:rsidP="00AE4545">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Sóstenes Díaz González</w:t>
            </w:r>
          </w:p>
          <w:p w:rsidR="000A4B52" w:rsidRPr="00AE4545" w:rsidRDefault="000A4B52" w:rsidP="00AE4545">
            <w:pPr>
              <w:tabs>
                <w:tab w:val="left" w:pos="993"/>
              </w:tabs>
              <w:spacing w:after="0" w:line="240" w:lineRule="auto"/>
              <w:ind w:right="-1"/>
              <w:jc w:val="center"/>
              <w:rPr>
                <w:rFonts w:ascii="ITC Avant Garde" w:eastAsia="Times New Roman" w:hAnsi="ITC Avant Garde"/>
                <w:b/>
                <w:bCs/>
                <w:lang w:eastAsia="es-MX"/>
              </w:rPr>
            </w:pPr>
            <w:r w:rsidRPr="00AE4545">
              <w:rPr>
                <w:rFonts w:ascii="ITC Avant Garde" w:eastAsia="Times New Roman" w:hAnsi="ITC Avant Garde"/>
                <w:b/>
                <w:bCs/>
                <w:lang w:eastAsia="es-MX"/>
              </w:rPr>
              <w:t>Comisionado</w:t>
            </w:r>
          </w:p>
        </w:tc>
      </w:tr>
    </w:tbl>
    <w:p w:rsidR="00AE4545" w:rsidRDefault="00AE4545" w:rsidP="00AE4545">
      <w:pPr>
        <w:spacing w:after="0" w:line="240" w:lineRule="auto"/>
        <w:jc w:val="both"/>
        <w:rPr>
          <w:rFonts w:ascii="ITC Avant Garde" w:hAnsi="ITC Avant Garde"/>
          <w:sz w:val="14"/>
          <w:szCs w:val="14"/>
          <w:lang w:val="es-ES" w:eastAsia="es-ES"/>
        </w:rPr>
      </w:pPr>
    </w:p>
    <w:p w:rsidR="002F49AF" w:rsidRDefault="002F49AF" w:rsidP="00AE4545">
      <w:pPr>
        <w:spacing w:after="0" w:line="240" w:lineRule="auto"/>
        <w:jc w:val="both"/>
        <w:rPr>
          <w:rFonts w:ascii="ITC Avant Garde" w:hAnsi="ITC Avant Garde"/>
          <w:sz w:val="14"/>
          <w:szCs w:val="14"/>
          <w:lang w:val="es-ES" w:eastAsia="es-ES"/>
        </w:rPr>
      </w:pPr>
    </w:p>
    <w:p w:rsidR="002F49AF" w:rsidRDefault="002F49AF" w:rsidP="00AE4545">
      <w:pPr>
        <w:spacing w:after="0" w:line="240" w:lineRule="auto"/>
        <w:jc w:val="both"/>
        <w:rPr>
          <w:rFonts w:ascii="ITC Avant Garde" w:hAnsi="ITC Avant Garde"/>
          <w:sz w:val="14"/>
          <w:szCs w:val="14"/>
          <w:lang w:val="es-ES" w:eastAsia="es-ES"/>
        </w:rPr>
      </w:pPr>
    </w:p>
    <w:p w:rsidR="002F49AF" w:rsidRDefault="002F49AF" w:rsidP="00AE4545">
      <w:pPr>
        <w:spacing w:after="0" w:line="240" w:lineRule="auto"/>
        <w:jc w:val="both"/>
        <w:rPr>
          <w:rFonts w:ascii="ITC Avant Garde" w:hAnsi="ITC Avant Garde"/>
          <w:sz w:val="14"/>
          <w:szCs w:val="14"/>
          <w:lang w:val="es-ES" w:eastAsia="es-ES"/>
        </w:rPr>
      </w:pPr>
      <w:bookmarkStart w:id="0" w:name="_GoBack"/>
      <w:bookmarkEnd w:id="0"/>
      <w:r w:rsidRPr="002F49AF">
        <w:rPr>
          <w:rFonts w:ascii="ITC Avant Garde" w:hAnsi="ITC Avant Garde"/>
          <w:sz w:val="14"/>
          <w:lang w:val="es-ES"/>
        </w:rPr>
        <w:t xml:space="preserve">El presente Acuerdo fue aprobado por el Pleno del Instituto Federal de Telecomunicaciones en su III Sesión Extraordinaria celebrada el 5 de octubre de 2018, </w:t>
      </w:r>
      <w:r w:rsidRPr="002F49AF">
        <w:rPr>
          <w:rFonts w:ascii="ITC Avant Garde" w:hAnsi="ITC Avant Garde"/>
          <w:bCs/>
          <w:sz w:val="14"/>
          <w:lang w:val="es-ES"/>
        </w:rPr>
        <w:t xml:space="preserve">por unanimidad </w:t>
      </w:r>
      <w:r w:rsidRPr="002F49AF">
        <w:rPr>
          <w:rFonts w:ascii="ITC Avant Garde" w:hAnsi="ITC Avant Garde"/>
          <w:sz w:val="14"/>
          <w:lang w:val="es-ES"/>
        </w:rPr>
        <w:t>de votos de los Comisionados Gabriel Oswaldo Contreras Saldívar, María Elena Estavillo Flores, Mario Germán Fromow Rangel, Adolfo Cuevas Teja, Javier Juárez Mojica, Arturo Robles Rovalo y Sóstenes Díaz González;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P/IFT/EXT/051018/20.</w:t>
      </w:r>
    </w:p>
    <w:sectPr w:rsidR="002F49AF" w:rsidSect="002F49AF">
      <w:headerReference w:type="even" r:id="rId8"/>
      <w:footerReference w:type="default" r:id="rId9"/>
      <w:headerReference w:type="first" r:id="rId10"/>
      <w:pgSz w:w="12240" w:h="15840" w:code="1"/>
      <w:pgMar w:top="2269"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5D1F" w:rsidRDefault="00CF5D1F" w:rsidP="009B28E6">
      <w:pPr>
        <w:spacing w:after="0" w:line="240" w:lineRule="auto"/>
      </w:pPr>
      <w:r>
        <w:separator/>
      </w:r>
    </w:p>
  </w:endnote>
  <w:endnote w:type="continuationSeparator" w:id="0">
    <w:p w:rsidR="00CF5D1F" w:rsidRDefault="00CF5D1F" w:rsidP="009B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ITC Avant Garde">
    <w:altName w:val="ITC Avant Garde Book Oblique"/>
    <w:panose1 w:val="020B0402020203020304"/>
    <w:charset w:val="00"/>
    <w:family w:val="swiss"/>
    <w:pitch w:val="variable"/>
    <w:sig w:usb0="00000007" w:usb1="00000000" w:usb2="00000000" w:usb3="00000000" w:csb0="00000093"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4220318"/>
      <w:docPartObj>
        <w:docPartGallery w:val="Page Numbers (Bottom of Page)"/>
        <w:docPartUnique/>
      </w:docPartObj>
    </w:sdtPr>
    <w:sdtEndPr>
      <w:rPr>
        <w:rFonts w:ascii="ITC Avant Garde" w:hAnsi="ITC Avant Garde"/>
        <w:sz w:val="20"/>
        <w:szCs w:val="20"/>
      </w:rPr>
    </w:sdtEndPr>
    <w:sdtContent>
      <w:p w:rsidR="00DB623B" w:rsidRPr="00AE4545" w:rsidRDefault="00DB623B">
        <w:pPr>
          <w:pStyle w:val="Piedepgina"/>
          <w:jc w:val="right"/>
          <w:rPr>
            <w:rFonts w:ascii="ITC Avant Garde" w:hAnsi="ITC Avant Garde"/>
            <w:sz w:val="20"/>
            <w:szCs w:val="20"/>
          </w:rPr>
        </w:pPr>
        <w:r w:rsidRPr="00AE4545">
          <w:rPr>
            <w:rFonts w:ascii="ITC Avant Garde" w:hAnsi="ITC Avant Garde"/>
            <w:sz w:val="20"/>
            <w:szCs w:val="20"/>
          </w:rPr>
          <w:fldChar w:fldCharType="begin"/>
        </w:r>
        <w:r w:rsidRPr="00AE4545">
          <w:rPr>
            <w:rFonts w:ascii="ITC Avant Garde" w:hAnsi="ITC Avant Garde"/>
            <w:sz w:val="20"/>
            <w:szCs w:val="20"/>
          </w:rPr>
          <w:instrText>PAGE   \* MERGEFORMAT</w:instrText>
        </w:r>
        <w:r w:rsidRPr="00AE4545">
          <w:rPr>
            <w:rFonts w:ascii="ITC Avant Garde" w:hAnsi="ITC Avant Garde"/>
            <w:sz w:val="20"/>
            <w:szCs w:val="20"/>
          </w:rPr>
          <w:fldChar w:fldCharType="separate"/>
        </w:r>
        <w:r w:rsidR="00910D74" w:rsidRPr="00910D74">
          <w:rPr>
            <w:rFonts w:ascii="ITC Avant Garde" w:hAnsi="ITC Avant Garde"/>
            <w:noProof/>
            <w:sz w:val="20"/>
            <w:szCs w:val="20"/>
            <w:lang w:val="es-ES"/>
          </w:rPr>
          <w:t>8</w:t>
        </w:r>
        <w:r w:rsidRPr="00AE4545">
          <w:rPr>
            <w:rFonts w:ascii="ITC Avant Garde" w:hAnsi="ITC Avant Garde"/>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5D1F" w:rsidRDefault="00CF5D1F" w:rsidP="009B28E6">
      <w:pPr>
        <w:spacing w:after="0" w:line="240" w:lineRule="auto"/>
      </w:pPr>
      <w:r>
        <w:separator/>
      </w:r>
    </w:p>
  </w:footnote>
  <w:footnote w:type="continuationSeparator" w:id="0">
    <w:p w:rsidR="00CF5D1F" w:rsidRDefault="00CF5D1F" w:rsidP="009B28E6">
      <w:pPr>
        <w:spacing w:after="0" w:line="240" w:lineRule="auto"/>
      </w:pPr>
      <w:r>
        <w:continuationSeparator/>
      </w:r>
    </w:p>
  </w:footnote>
  <w:footnote w:id="1">
    <w:p w:rsidR="005D61D0" w:rsidRPr="007F4517" w:rsidRDefault="005D61D0" w:rsidP="005D61D0">
      <w:pPr>
        <w:pStyle w:val="Textonotapie"/>
        <w:jc w:val="both"/>
        <w:rPr>
          <w:rFonts w:ascii="ITC Avant Garde" w:hAnsi="ITC Avant Garde"/>
          <w:sz w:val="16"/>
          <w:szCs w:val="16"/>
          <w:lang w:val="es-MX" w:eastAsia="en-US"/>
        </w:rPr>
      </w:pPr>
      <w:r w:rsidRPr="005D61D0">
        <w:rPr>
          <w:rStyle w:val="Refdenotaalpie"/>
          <w:rFonts w:ascii="ITC Avant Garde" w:hAnsi="ITC Avant Garde"/>
          <w:sz w:val="16"/>
          <w:szCs w:val="16"/>
        </w:rPr>
        <w:footnoteRef/>
      </w:r>
      <w:r w:rsidRPr="005D61D0">
        <w:rPr>
          <w:rFonts w:ascii="ITC Avant Garde" w:hAnsi="ITC Avant Garde"/>
          <w:sz w:val="16"/>
          <w:szCs w:val="16"/>
          <w:lang w:val="es-MX" w:eastAsia="en-US"/>
        </w:rPr>
        <w:t xml:space="preserve"> </w:t>
      </w:r>
      <w:r w:rsidRPr="007F4517">
        <w:rPr>
          <w:rFonts w:ascii="ITC Avant Garde" w:hAnsi="ITC Avant Garde"/>
          <w:sz w:val="16"/>
          <w:szCs w:val="16"/>
          <w:lang w:val="es-MX" w:eastAsia="en-US"/>
        </w:rPr>
        <w:t>Acuerdo P/IFT/220318/243 denominado “</w:t>
      </w:r>
      <w:r w:rsidRPr="007F4517">
        <w:rPr>
          <w:rFonts w:ascii="ITC Avant Garde" w:hAnsi="ITC Avant Garde"/>
          <w:i/>
          <w:sz w:val="16"/>
          <w:szCs w:val="16"/>
          <w:lang w:val="es-MX" w:eastAsia="en-US"/>
        </w:rPr>
        <w:t>Resolución mediante la cual el Pleno del Instituto Federal de Telecomunicaciones modifica y aprueba las tarifas del servicio de reventa mayorista de línea telefónica de la Oferta de Referencia de la Desagregación Efectiva de la Red Local del Agente Económico Preponderante</w:t>
      </w:r>
      <w:r w:rsidRPr="007F4517">
        <w:rPr>
          <w:rFonts w:ascii="ITC Avant Garde" w:hAnsi="ITC Avant Garde"/>
          <w:sz w:val="16"/>
          <w:szCs w:val="16"/>
          <w:lang w:val="es-MX" w:eastAsia="en-US"/>
        </w:rPr>
        <w:t>”.</w:t>
      </w:r>
      <w:r w:rsidRPr="007F4517">
        <w:rPr>
          <w:sz w:val="16"/>
          <w:szCs w:val="16"/>
        </w:rPr>
        <w:t xml:space="preserve"> </w:t>
      </w:r>
      <w:hyperlink r:id="rId1" w:history="1">
        <w:r w:rsidRPr="007F4517">
          <w:rPr>
            <w:rStyle w:val="Hipervnculo"/>
            <w:rFonts w:ascii="ITC Avant Garde" w:hAnsi="ITC Avant Garde"/>
            <w:sz w:val="16"/>
            <w:szCs w:val="16"/>
            <w:lang w:val="es-MX" w:eastAsia="en-US"/>
          </w:rPr>
          <w:t>http://www.ift.org.mx/sites/default/files/conocenos/pleno/sesiones/acuerdoliga/pift220318243.pdf</w:t>
        </w:r>
      </w:hyperlink>
    </w:p>
    <w:p w:rsidR="005D61D0" w:rsidRPr="005D61D0" w:rsidRDefault="005D61D0">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23B" w:rsidRDefault="00910D74">
    <w:pPr>
      <w:pStyle w:val="Encabezado"/>
    </w:pPr>
    <w:r>
      <w:rPr>
        <w:noProof/>
        <w:lang w:eastAsia="es-MX"/>
      </w:rPr>
      <w:pict w14:anchorId="364B07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23B" w:rsidRDefault="00910D74">
    <w:pPr>
      <w:pStyle w:val="Encabezado"/>
    </w:pPr>
    <w:r>
      <w:rPr>
        <w:noProof/>
        <w:lang w:eastAsia="es-MX"/>
      </w:rPr>
      <w:pict w14:anchorId="776D7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772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796414"/>
    <w:multiLevelType w:val="hybridMultilevel"/>
    <w:tmpl w:val="3EFA81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0ED3718A"/>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B2075A"/>
    <w:multiLevelType w:val="hybridMultilevel"/>
    <w:tmpl w:val="E4D8DC0E"/>
    <w:lvl w:ilvl="0" w:tplc="080A0013">
      <w:start w:val="1"/>
      <w:numFmt w:val="upperRoman"/>
      <w:lvlText w:val="%1."/>
      <w:lvlJc w:val="right"/>
      <w:pPr>
        <w:ind w:left="720" w:hanging="360"/>
      </w:pPr>
      <w:rPr>
        <w:rFonts w:hint="default"/>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471EF5"/>
    <w:multiLevelType w:val="hybridMultilevel"/>
    <w:tmpl w:val="052267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8CF0054"/>
    <w:multiLevelType w:val="hybridMultilevel"/>
    <w:tmpl w:val="89481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E23488D"/>
    <w:multiLevelType w:val="hybridMultilevel"/>
    <w:tmpl w:val="408CA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3D18B1"/>
    <w:multiLevelType w:val="hybridMultilevel"/>
    <w:tmpl w:val="85A69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7522131"/>
    <w:multiLevelType w:val="hybridMultilevel"/>
    <w:tmpl w:val="959CF63E"/>
    <w:lvl w:ilvl="0" w:tplc="CE924A3A">
      <w:start w:val="1"/>
      <w:numFmt w:val="upperRoman"/>
      <w:lvlText w:val="%1.-"/>
      <w:lvlJc w:val="left"/>
      <w:pPr>
        <w:tabs>
          <w:tab w:val="num" w:pos="680"/>
        </w:tabs>
        <w:ind w:left="680" w:hanging="680"/>
      </w:pPr>
      <w:rPr>
        <w:rFonts w:ascii="Arial" w:hAnsi="Arial" w:hint="default"/>
        <w:b/>
        <w:i w:val="0"/>
        <w:sz w:val="22"/>
      </w:rPr>
    </w:lvl>
    <w:lvl w:ilvl="1" w:tplc="0A188804">
      <w:start w:val="1"/>
      <w:numFmt w:val="upperLetter"/>
      <w:lvlText w:val="%2."/>
      <w:lvlJc w:val="left"/>
      <w:pPr>
        <w:tabs>
          <w:tab w:val="num" w:pos="1440"/>
        </w:tabs>
        <w:ind w:left="1440" w:hanging="360"/>
      </w:pPr>
      <w:rPr>
        <w:rFonts w:hint="default"/>
        <w:b/>
      </w:rPr>
    </w:lvl>
    <w:lvl w:ilvl="2" w:tplc="080A0019">
      <w:start w:val="1"/>
      <w:numFmt w:val="lowerLetter"/>
      <w:lvlText w:val="%3."/>
      <w:lvlJc w:val="left"/>
      <w:pPr>
        <w:tabs>
          <w:tab w:val="num" w:pos="2160"/>
        </w:tabs>
        <w:ind w:left="2160" w:hanging="180"/>
      </w:pPr>
    </w:lvl>
    <w:lvl w:ilvl="3" w:tplc="0C0A000F">
      <w:start w:val="1"/>
      <w:numFmt w:val="decimal"/>
      <w:lvlText w:val="%4."/>
      <w:lvlJc w:val="left"/>
      <w:pPr>
        <w:tabs>
          <w:tab w:val="num" w:pos="2880"/>
        </w:tabs>
        <w:ind w:left="2880" w:hanging="360"/>
      </w:pPr>
    </w:lvl>
    <w:lvl w:ilvl="4" w:tplc="B1663A24">
      <w:start w:val="1"/>
      <w:numFmt w:val="lowerLetter"/>
      <w:lvlText w:val="%5."/>
      <w:lvlJc w:val="left"/>
      <w:pPr>
        <w:tabs>
          <w:tab w:val="num" w:pos="3600"/>
        </w:tabs>
        <w:ind w:left="3600" w:hanging="360"/>
      </w:pPr>
      <w:rPr>
        <w:i w:val="0"/>
      </w:rPr>
    </w:lvl>
    <w:lvl w:ilvl="5" w:tplc="0C0A001B">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63D53491"/>
    <w:multiLevelType w:val="hybridMultilevel"/>
    <w:tmpl w:val="BFC09F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9"/>
  </w:num>
  <w:num w:numId="4">
    <w:abstractNumId w:val="1"/>
  </w:num>
  <w:num w:numId="5">
    <w:abstractNumId w:val="6"/>
  </w:num>
  <w:num w:numId="6">
    <w:abstractNumId w:val="7"/>
  </w:num>
  <w:num w:numId="7">
    <w:abstractNumId w:val="5"/>
  </w:num>
  <w:num w:numId="8">
    <w:abstractNumId w:val="3"/>
  </w:num>
  <w:num w:numId="9">
    <w:abstractNumId w:val="8"/>
  </w:num>
  <w:num w:numId="1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8E6"/>
    <w:rsid w:val="0000098C"/>
    <w:rsid w:val="00001872"/>
    <w:rsid w:val="00002FE3"/>
    <w:rsid w:val="00003187"/>
    <w:rsid w:val="00003706"/>
    <w:rsid w:val="0000457C"/>
    <w:rsid w:val="00005335"/>
    <w:rsid w:val="00005AFB"/>
    <w:rsid w:val="000073BF"/>
    <w:rsid w:val="00010A22"/>
    <w:rsid w:val="00010FC3"/>
    <w:rsid w:val="00012BBE"/>
    <w:rsid w:val="00014BF9"/>
    <w:rsid w:val="000158D7"/>
    <w:rsid w:val="000162A3"/>
    <w:rsid w:val="000177E6"/>
    <w:rsid w:val="00020AB3"/>
    <w:rsid w:val="00023BC4"/>
    <w:rsid w:val="00026F55"/>
    <w:rsid w:val="000277EE"/>
    <w:rsid w:val="00027A90"/>
    <w:rsid w:val="000304C3"/>
    <w:rsid w:val="000304FF"/>
    <w:rsid w:val="00030A73"/>
    <w:rsid w:val="000310FF"/>
    <w:rsid w:val="00031882"/>
    <w:rsid w:val="00032A87"/>
    <w:rsid w:val="00032E90"/>
    <w:rsid w:val="0003559D"/>
    <w:rsid w:val="00036970"/>
    <w:rsid w:val="0003799D"/>
    <w:rsid w:val="00040406"/>
    <w:rsid w:val="000404B0"/>
    <w:rsid w:val="00040A27"/>
    <w:rsid w:val="00042593"/>
    <w:rsid w:val="00044E8D"/>
    <w:rsid w:val="0004573A"/>
    <w:rsid w:val="00045DC7"/>
    <w:rsid w:val="00050A33"/>
    <w:rsid w:val="00050BD1"/>
    <w:rsid w:val="000537B3"/>
    <w:rsid w:val="00053F1A"/>
    <w:rsid w:val="00054349"/>
    <w:rsid w:val="00054863"/>
    <w:rsid w:val="000571B3"/>
    <w:rsid w:val="0005788E"/>
    <w:rsid w:val="00057A6D"/>
    <w:rsid w:val="00060DAB"/>
    <w:rsid w:val="00060DAF"/>
    <w:rsid w:val="00062FFC"/>
    <w:rsid w:val="00063C2E"/>
    <w:rsid w:val="00064024"/>
    <w:rsid w:val="0006502B"/>
    <w:rsid w:val="0006598F"/>
    <w:rsid w:val="000665C1"/>
    <w:rsid w:val="00066945"/>
    <w:rsid w:val="00066D0C"/>
    <w:rsid w:val="000749EE"/>
    <w:rsid w:val="000758D2"/>
    <w:rsid w:val="00075C3C"/>
    <w:rsid w:val="00075FCD"/>
    <w:rsid w:val="00077880"/>
    <w:rsid w:val="000810A2"/>
    <w:rsid w:val="0008186D"/>
    <w:rsid w:val="000826C8"/>
    <w:rsid w:val="00083B34"/>
    <w:rsid w:val="000845D2"/>
    <w:rsid w:val="00084B34"/>
    <w:rsid w:val="00086D08"/>
    <w:rsid w:val="00087728"/>
    <w:rsid w:val="0009114F"/>
    <w:rsid w:val="000911C2"/>
    <w:rsid w:val="00091B9C"/>
    <w:rsid w:val="00092AC3"/>
    <w:rsid w:val="00092B31"/>
    <w:rsid w:val="00092F62"/>
    <w:rsid w:val="00093E5C"/>
    <w:rsid w:val="00094E74"/>
    <w:rsid w:val="00095C61"/>
    <w:rsid w:val="00097A31"/>
    <w:rsid w:val="00097A55"/>
    <w:rsid w:val="000A17AE"/>
    <w:rsid w:val="000A1F12"/>
    <w:rsid w:val="000A220A"/>
    <w:rsid w:val="000A2D10"/>
    <w:rsid w:val="000A3629"/>
    <w:rsid w:val="000A4626"/>
    <w:rsid w:val="000A480D"/>
    <w:rsid w:val="000A4B52"/>
    <w:rsid w:val="000A4FF6"/>
    <w:rsid w:val="000A54BA"/>
    <w:rsid w:val="000A5AEC"/>
    <w:rsid w:val="000A7976"/>
    <w:rsid w:val="000B0072"/>
    <w:rsid w:val="000B0130"/>
    <w:rsid w:val="000B3A09"/>
    <w:rsid w:val="000B4430"/>
    <w:rsid w:val="000B55E8"/>
    <w:rsid w:val="000B5728"/>
    <w:rsid w:val="000B58C5"/>
    <w:rsid w:val="000B7ADF"/>
    <w:rsid w:val="000C1D7A"/>
    <w:rsid w:val="000C2BA6"/>
    <w:rsid w:val="000C42C9"/>
    <w:rsid w:val="000C43CA"/>
    <w:rsid w:val="000C5720"/>
    <w:rsid w:val="000C58E0"/>
    <w:rsid w:val="000C773A"/>
    <w:rsid w:val="000C77C5"/>
    <w:rsid w:val="000D0A36"/>
    <w:rsid w:val="000D2394"/>
    <w:rsid w:val="000D326F"/>
    <w:rsid w:val="000D3CF9"/>
    <w:rsid w:val="000D719C"/>
    <w:rsid w:val="000D7E15"/>
    <w:rsid w:val="000E0BAA"/>
    <w:rsid w:val="000E0DF7"/>
    <w:rsid w:val="000E2375"/>
    <w:rsid w:val="000E3B3C"/>
    <w:rsid w:val="000E4D9D"/>
    <w:rsid w:val="000E4EB3"/>
    <w:rsid w:val="000E574A"/>
    <w:rsid w:val="000E58B8"/>
    <w:rsid w:val="000E59C3"/>
    <w:rsid w:val="000E60BB"/>
    <w:rsid w:val="000E6FE0"/>
    <w:rsid w:val="000E7645"/>
    <w:rsid w:val="000E7EF3"/>
    <w:rsid w:val="000F11ED"/>
    <w:rsid w:val="000F1460"/>
    <w:rsid w:val="000F19E9"/>
    <w:rsid w:val="000F27A4"/>
    <w:rsid w:val="000F36C9"/>
    <w:rsid w:val="000F4085"/>
    <w:rsid w:val="000F4570"/>
    <w:rsid w:val="000F7E5E"/>
    <w:rsid w:val="00100714"/>
    <w:rsid w:val="0010184A"/>
    <w:rsid w:val="00101CA1"/>
    <w:rsid w:val="00101DC6"/>
    <w:rsid w:val="0010272C"/>
    <w:rsid w:val="00104A8D"/>
    <w:rsid w:val="0010685C"/>
    <w:rsid w:val="001068F5"/>
    <w:rsid w:val="0011128D"/>
    <w:rsid w:val="0011148C"/>
    <w:rsid w:val="0011201D"/>
    <w:rsid w:val="00116AE9"/>
    <w:rsid w:val="001171CF"/>
    <w:rsid w:val="001200FA"/>
    <w:rsid w:val="0012111B"/>
    <w:rsid w:val="00122CDE"/>
    <w:rsid w:val="00123B6A"/>
    <w:rsid w:val="00124A18"/>
    <w:rsid w:val="00124FFC"/>
    <w:rsid w:val="001257ED"/>
    <w:rsid w:val="001259B9"/>
    <w:rsid w:val="00126F5D"/>
    <w:rsid w:val="00126F75"/>
    <w:rsid w:val="00130AB1"/>
    <w:rsid w:val="00131804"/>
    <w:rsid w:val="001346BE"/>
    <w:rsid w:val="00134E32"/>
    <w:rsid w:val="00134E6B"/>
    <w:rsid w:val="001357B4"/>
    <w:rsid w:val="001413C9"/>
    <w:rsid w:val="00142211"/>
    <w:rsid w:val="00143480"/>
    <w:rsid w:val="001437BC"/>
    <w:rsid w:val="00143E83"/>
    <w:rsid w:val="00146691"/>
    <w:rsid w:val="00147CE8"/>
    <w:rsid w:val="00152778"/>
    <w:rsid w:val="00152D9C"/>
    <w:rsid w:val="00153CD3"/>
    <w:rsid w:val="001547C5"/>
    <w:rsid w:val="001552E6"/>
    <w:rsid w:val="0015565C"/>
    <w:rsid w:val="00156D64"/>
    <w:rsid w:val="001613A7"/>
    <w:rsid w:val="00163615"/>
    <w:rsid w:val="001662DB"/>
    <w:rsid w:val="001703EA"/>
    <w:rsid w:val="00170BDD"/>
    <w:rsid w:val="001712EF"/>
    <w:rsid w:val="00172237"/>
    <w:rsid w:val="00172599"/>
    <w:rsid w:val="001732C4"/>
    <w:rsid w:val="0017395D"/>
    <w:rsid w:val="00174598"/>
    <w:rsid w:val="00176372"/>
    <w:rsid w:val="00180800"/>
    <w:rsid w:val="001808F9"/>
    <w:rsid w:val="001812B8"/>
    <w:rsid w:val="001816B7"/>
    <w:rsid w:val="00181859"/>
    <w:rsid w:val="00181867"/>
    <w:rsid w:val="00182CED"/>
    <w:rsid w:val="00183A02"/>
    <w:rsid w:val="00186A9C"/>
    <w:rsid w:val="0018779C"/>
    <w:rsid w:val="0018797E"/>
    <w:rsid w:val="00190B27"/>
    <w:rsid w:val="00192CEF"/>
    <w:rsid w:val="00194B1A"/>
    <w:rsid w:val="00195B5A"/>
    <w:rsid w:val="00196DA3"/>
    <w:rsid w:val="001A0BB7"/>
    <w:rsid w:val="001A1138"/>
    <w:rsid w:val="001A26BB"/>
    <w:rsid w:val="001A2CFD"/>
    <w:rsid w:val="001A3EA3"/>
    <w:rsid w:val="001A69B2"/>
    <w:rsid w:val="001B137F"/>
    <w:rsid w:val="001B3139"/>
    <w:rsid w:val="001B4962"/>
    <w:rsid w:val="001B6D9D"/>
    <w:rsid w:val="001B75DB"/>
    <w:rsid w:val="001B7F37"/>
    <w:rsid w:val="001C1FA0"/>
    <w:rsid w:val="001C20C6"/>
    <w:rsid w:val="001C21E2"/>
    <w:rsid w:val="001C2D14"/>
    <w:rsid w:val="001C4CC8"/>
    <w:rsid w:val="001C7658"/>
    <w:rsid w:val="001D2DC8"/>
    <w:rsid w:val="001D5D08"/>
    <w:rsid w:val="001D5DD6"/>
    <w:rsid w:val="001D700F"/>
    <w:rsid w:val="001E01B4"/>
    <w:rsid w:val="001E0204"/>
    <w:rsid w:val="001E027C"/>
    <w:rsid w:val="001E027E"/>
    <w:rsid w:val="001E1E7F"/>
    <w:rsid w:val="001E239C"/>
    <w:rsid w:val="001E24C7"/>
    <w:rsid w:val="001E2F6B"/>
    <w:rsid w:val="001E4756"/>
    <w:rsid w:val="001E58E0"/>
    <w:rsid w:val="001F1B8F"/>
    <w:rsid w:val="001F2EC5"/>
    <w:rsid w:val="001F2F80"/>
    <w:rsid w:val="001F3BAA"/>
    <w:rsid w:val="001F3EF8"/>
    <w:rsid w:val="001F46EC"/>
    <w:rsid w:val="001F5C5E"/>
    <w:rsid w:val="001F5E34"/>
    <w:rsid w:val="001F6AF9"/>
    <w:rsid w:val="001F78E4"/>
    <w:rsid w:val="00201A31"/>
    <w:rsid w:val="002026B1"/>
    <w:rsid w:val="0020346B"/>
    <w:rsid w:val="00203518"/>
    <w:rsid w:val="00205136"/>
    <w:rsid w:val="00205BED"/>
    <w:rsid w:val="00206B25"/>
    <w:rsid w:val="00206E5F"/>
    <w:rsid w:val="00207639"/>
    <w:rsid w:val="002121F1"/>
    <w:rsid w:val="00212DB1"/>
    <w:rsid w:val="00217B21"/>
    <w:rsid w:val="00217D2F"/>
    <w:rsid w:val="00220641"/>
    <w:rsid w:val="0022128B"/>
    <w:rsid w:val="00221A7F"/>
    <w:rsid w:val="002246B1"/>
    <w:rsid w:val="00225E4F"/>
    <w:rsid w:val="00226034"/>
    <w:rsid w:val="0023173E"/>
    <w:rsid w:val="002345B6"/>
    <w:rsid w:val="002356B2"/>
    <w:rsid w:val="002356EC"/>
    <w:rsid w:val="002421D3"/>
    <w:rsid w:val="00242F1C"/>
    <w:rsid w:val="00243E90"/>
    <w:rsid w:val="00244144"/>
    <w:rsid w:val="00244327"/>
    <w:rsid w:val="002443D4"/>
    <w:rsid w:val="002447AE"/>
    <w:rsid w:val="002449A3"/>
    <w:rsid w:val="00244CDC"/>
    <w:rsid w:val="00245FEA"/>
    <w:rsid w:val="0024638B"/>
    <w:rsid w:val="00247157"/>
    <w:rsid w:val="00250AAE"/>
    <w:rsid w:val="00251567"/>
    <w:rsid w:val="002563E4"/>
    <w:rsid w:val="00256796"/>
    <w:rsid w:val="00256B36"/>
    <w:rsid w:val="002606D2"/>
    <w:rsid w:val="00260CC2"/>
    <w:rsid w:val="00261B02"/>
    <w:rsid w:val="00261B5B"/>
    <w:rsid w:val="00264DA7"/>
    <w:rsid w:val="00265632"/>
    <w:rsid w:val="00266AF9"/>
    <w:rsid w:val="0027105F"/>
    <w:rsid w:val="00273294"/>
    <w:rsid w:val="00273A55"/>
    <w:rsid w:val="00274117"/>
    <w:rsid w:val="00274186"/>
    <w:rsid w:val="002750A8"/>
    <w:rsid w:val="002774BB"/>
    <w:rsid w:val="002809A3"/>
    <w:rsid w:val="00281276"/>
    <w:rsid w:val="00281330"/>
    <w:rsid w:val="002823AB"/>
    <w:rsid w:val="00282939"/>
    <w:rsid w:val="00283E0C"/>
    <w:rsid w:val="00284F1A"/>
    <w:rsid w:val="00286CCA"/>
    <w:rsid w:val="00286D78"/>
    <w:rsid w:val="00286F3B"/>
    <w:rsid w:val="0029190A"/>
    <w:rsid w:val="00292775"/>
    <w:rsid w:val="00293469"/>
    <w:rsid w:val="002938E3"/>
    <w:rsid w:val="0029594B"/>
    <w:rsid w:val="00296D85"/>
    <w:rsid w:val="00296FBD"/>
    <w:rsid w:val="002A0623"/>
    <w:rsid w:val="002A078E"/>
    <w:rsid w:val="002A1F29"/>
    <w:rsid w:val="002A25C7"/>
    <w:rsid w:val="002A2D06"/>
    <w:rsid w:val="002A2E1E"/>
    <w:rsid w:val="002A3A61"/>
    <w:rsid w:val="002A4E7D"/>
    <w:rsid w:val="002A5971"/>
    <w:rsid w:val="002A722E"/>
    <w:rsid w:val="002A784E"/>
    <w:rsid w:val="002A78C8"/>
    <w:rsid w:val="002B1426"/>
    <w:rsid w:val="002B1E9C"/>
    <w:rsid w:val="002B22E8"/>
    <w:rsid w:val="002B2DC5"/>
    <w:rsid w:val="002B4D55"/>
    <w:rsid w:val="002B58C3"/>
    <w:rsid w:val="002B6C30"/>
    <w:rsid w:val="002B780D"/>
    <w:rsid w:val="002B7B6E"/>
    <w:rsid w:val="002C120A"/>
    <w:rsid w:val="002C1B3E"/>
    <w:rsid w:val="002C3ABE"/>
    <w:rsid w:val="002C4529"/>
    <w:rsid w:val="002C4963"/>
    <w:rsid w:val="002C56D3"/>
    <w:rsid w:val="002C5B51"/>
    <w:rsid w:val="002C62C0"/>
    <w:rsid w:val="002C7500"/>
    <w:rsid w:val="002C7B6E"/>
    <w:rsid w:val="002C7CA1"/>
    <w:rsid w:val="002D126C"/>
    <w:rsid w:val="002D4223"/>
    <w:rsid w:val="002D430B"/>
    <w:rsid w:val="002D4E3D"/>
    <w:rsid w:val="002D52EE"/>
    <w:rsid w:val="002D5A70"/>
    <w:rsid w:val="002D614B"/>
    <w:rsid w:val="002E0266"/>
    <w:rsid w:val="002E1321"/>
    <w:rsid w:val="002E2EE8"/>
    <w:rsid w:val="002E3282"/>
    <w:rsid w:val="002E45EC"/>
    <w:rsid w:val="002E4670"/>
    <w:rsid w:val="002E5689"/>
    <w:rsid w:val="002E628B"/>
    <w:rsid w:val="002E67BD"/>
    <w:rsid w:val="002E6F67"/>
    <w:rsid w:val="002F1EEA"/>
    <w:rsid w:val="002F2081"/>
    <w:rsid w:val="002F3B5D"/>
    <w:rsid w:val="002F3C82"/>
    <w:rsid w:val="002F49AF"/>
    <w:rsid w:val="00301729"/>
    <w:rsid w:val="003031EC"/>
    <w:rsid w:val="00303B9E"/>
    <w:rsid w:val="00304EB7"/>
    <w:rsid w:val="00310DD7"/>
    <w:rsid w:val="00311CA4"/>
    <w:rsid w:val="0031424B"/>
    <w:rsid w:val="00314A26"/>
    <w:rsid w:val="003152B2"/>
    <w:rsid w:val="00315328"/>
    <w:rsid w:val="003159B4"/>
    <w:rsid w:val="00315B54"/>
    <w:rsid w:val="00316C4E"/>
    <w:rsid w:val="00317EFD"/>
    <w:rsid w:val="003209BB"/>
    <w:rsid w:val="00321BBA"/>
    <w:rsid w:val="003238FD"/>
    <w:rsid w:val="003252F8"/>
    <w:rsid w:val="00325641"/>
    <w:rsid w:val="00325F15"/>
    <w:rsid w:val="00327F4A"/>
    <w:rsid w:val="003308D3"/>
    <w:rsid w:val="00330D40"/>
    <w:rsid w:val="00332BD3"/>
    <w:rsid w:val="00333FB5"/>
    <w:rsid w:val="00335355"/>
    <w:rsid w:val="00336404"/>
    <w:rsid w:val="00337EF8"/>
    <w:rsid w:val="00341904"/>
    <w:rsid w:val="003431F9"/>
    <w:rsid w:val="0034486A"/>
    <w:rsid w:val="00347591"/>
    <w:rsid w:val="00350AE9"/>
    <w:rsid w:val="00350CA5"/>
    <w:rsid w:val="00351620"/>
    <w:rsid w:val="00352AA9"/>
    <w:rsid w:val="0035449A"/>
    <w:rsid w:val="003545B6"/>
    <w:rsid w:val="00356466"/>
    <w:rsid w:val="003568BE"/>
    <w:rsid w:val="00360E15"/>
    <w:rsid w:val="003648FB"/>
    <w:rsid w:val="00364994"/>
    <w:rsid w:val="0036536F"/>
    <w:rsid w:val="00367547"/>
    <w:rsid w:val="003675CF"/>
    <w:rsid w:val="00370B0E"/>
    <w:rsid w:val="00372C01"/>
    <w:rsid w:val="00372FC7"/>
    <w:rsid w:val="00373244"/>
    <w:rsid w:val="003748D4"/>
    <w:rsid w:val="00374AFE"/>
    <w:rsid w:val="0037522B"/>
    <w:rsid w:val="003763CE"/>
    <w:rsid w:val="00376D84"/>
    <w:rsid w:val="00377CD9"/>
    <w:rsid w:val="00381A64"/>
    <w:rsid w:val="003822BE"/>
    <w:rsid w:val="00382A04"/>
    <w:rsid w:val="0038397B"/>
    <w:rsid w:val="00383BC1"/>
    <w:rsid w:val="00383BC3"/>
    <w:rsid w:val="0038430A"/>
    <w:rsid w:val="003872BE"/>
    <w:rsid w:val="0039150D"/>
    <w:rsid w:val="00391BFA"/>
    <w:rsid w:val="0039258A"/>
    <w:rsid w:val="00392926"/>
    <w:rsid w:val="003942BF"/>
    <w:rsid w:val="00394364"/>
    <w:rsid w:val="00394B08"/>
    <w:rsid w:val="003952DB"/>
    <w:rsid w:val="003958A3"/>
    <w:rsid w:val="003958E2"/>
    <w:rsid w:val="00395C0F"/>
    <w:rsid w:val="00397DBF"/>
    <w:rsid w:val="003A00B7"/>
    <w:rsid w:val="003A05B3"/>
    <w:rsid w:val="003A0801"/>
    <w:rsid w:val="003A0E77"/>
    <w:rsid w:val="003A0E7E"/>
    <w:rsid w:val="003A1514"/>
    <w:rsid w:val="003A15D2"/>
    <w:rsid w:val="003A1D24"/>
    <w:rsid w:val="003A2218"/>
    <w:rsid w:val="003A2A92"/>
    <w:rsid w:val="003A2BE0"/>
    <w:rsid w:val="003A2D9C"/>
    <w:rsid w:val="003A4B8B"/>
    <w:rsid w:val="003A762C"/>
    <w:rsid w:val="003A7DB0"/>
    <w:rsid w:val="003B0A77"/>
    <w:rsid w:val="003B0EF6"/>
    <w:rsid w:val="003B0FDA"/>
    <w:rsid w:val="003B1514"/>
    <w:rsid w:val="003B251B"/>
    <w:rsid w:val="003B2B95"/>
    <w:rsid w:val="003B3480"/>
    <w:rsid w:val="003B6E1C"/>
    <w:rsid w:val="003B7210"/>
    <w:rsid w:val="003B726D"/>
    <w:rsid w:val="003B7777"/>
    <w:rsid w:val="003B7D20"/>
    <w:rsid w:val="003C02A6"/>
    <w:rsid w:val="003C12A4"/>
    <w:rsid w:val="003C2DB3"/>
    <w:rsid w:val="003C3D80"/>
    <w:rsid w:val="003C7B69"/>
    <w:rsid w:val="003D0022"/>
    <w:rsid w:val="003D2E8A"/>
    <w:rsid w:val="003D3A10"/>
    <w:rsid w:val="003D4278"/>
    <w:rsid w:val="003D4BFB"/>
    <w:rsid w:val="003D605B"/>
    <w:rsid w:val="003D6391"/>
    <w:rsid w:val="003D7D13"/>
    <w:rsid w:val="003E0879"/>
    <w:rsid w:val="003E0E84"/>
    <w:rsid w:val="003E0EF5"/>
    <w:rsid w:val="003E1F58"/>
    <w:rsid w:val="003E2359"/>
    <w:rsid w:val="003E27AB"/>
    <w:rsid w:val="003E2A7B"/>
    <w:rsid w:val="003E2CB6"/>
    <w:rsid w:val="003E355D"/>
    <w:rsid w:val="003E35F8"/>
    <w:rsid w:val="003E4868"/>
    <w:rsid w:val="003E555B"/>
    <w:rsid w:val="003E576C"/>
    <w:rsid w:val="003E6033"/>
    <w:rsid w:val="003E62C5"/>
    <w:rsid w:val="003E6CC1"/>
    <w:rsid w:val="003F04AA"/>
    <w:rsid w:val="003F0959"/>
    <w:rsid w:val="003F1B6C"/>
    <w:rsid w:val="003F2098"/>
    <w:rsid w:val="003F25B1"/>
    <w:rsid w:val="003F38DC"/>
    <w:rsid w:val="003F7F72"/>
    <w:rsid w:val="0040114D"/>
    <w:rsid w:val="0040217C"/>
    <w:rsid w:val="004022F0"/>
    <w:rsid w:val="00402457"/>
    <w:rsid w:val="00402A9F"/>
    <w:rsid w:val="00403B61"/>
    <w:rsid w:val="00404C75"/>
    <w:rsid w:val="00404E02"/>
    <w:rsid w:val="00405A72"/>
    <w:rsid w:val="00406087"/>
    <w:rsid w:val="00406439"/>
    <w:rsid w:val="00406841"/>
    <w:rsid w:val="0041128E"/>
    <w:rsid w:val="00412349"/>
    <w:rsid w:val="00413644"/>
    <w:rsid w:val="00413C52"/>
    <w:rsid w:val="00413CD8"/>
    <w:rsid w:val="004152C8"/>
    <w:rsid w:val="004165F4"/>
    <w:rsid w:val="0041673F"/>
    <w:rsid w:val="004168B1"/>
    <w:rsid w:val="00421107"/>
    <w:rsid w:val="00421DC7"/>
    <w:rsid w:val="00421FE3"/>
    <w:rsid w:val="004220F4"/>
    <w:rsid w:val="00422550"/>
    <w:rsid w:val="0042271F"/>
    <w:rsid w:val="00423FA3"/>
    <w:rsid w:val="00431DFC"/>
    <w:rsid w:val="004320AF"/>
    <w:rsid w:val="00432DEC"/>
    <w:rsid w:val="00433E8B"/>
    <w:rsid w:val="00435200"/>
    <w:rsid w:val="00435D72"/>
    <w:rsid w:val="00437E42"/>
    <w:rsid w:val="00440F82"/>
    <w:rsid w:val="00441229"/>
    <w:rsid w:val="00444F31"/>
    <w:rsid w:val="00446932"/>
    <w:rsid w:val="00450C54"/>
    <w:rsid w:val="004516E5"/>
    <w:rsid w:val="00451C31"/>
    <w:rsid w:val="00452A50"/>
    <w:rsid w:val="004539D8"/>
    <w:rsid w:val="0045520E"/>
    <w:rsid w:val="00455393"/>
    <w:rsid w:val="00457098"/>
    <w:rsid w:val="004607DF"/>
    <w:rsid w:val="00460E4B"/>
    <w:rsid w:val="00464292"/>
    <w:rsid w:val="00467E9D"/>
    <w:rsid w:val="00470A5F"/>
    <w:rsid w:val="00471E8C"/>
    <w:rsid w:val="004727D7"/>
    <w:rsid w:val="00474B08"/>
    <w:rsid w:val="004754E3"/>
    <w:rsid w:val="004756EF"/>
    <w:rsid w:val="00476C05"/>
    <w:rsid w:val="00477837"/>
    <w:rsid w:val="00481737"/>
    <w:rsid w:val="00482810"/>
    <w:rsid w:val="004828EF"/>
    <w:rsid w:val="00487294"/>
    <w:rsid w:val="00487473"/>
    <w:rsid w:val="0049053E"/>
    <w:rsid w:val="00491689"/>
    <w:rsid w:val="00491CE2"/>
    <w:rsid w:val="00491F4B"/>
    <w:rsid w:val="00492E52"/>
    <w:rsid w:val="00493256"/>
    <w:rsid w:val="00494103"/>
    <w:rsid w:val="00494863"/>
    <w:rsid w:val="004A0B95"/>
    <w:rsid w:val="004A3087"/>
    <w:rsid w:val="004A3A20"/>
    <w:rsid w:val="004A3C18"/>
    <w:rsid w:val="004A7254"/>
    <w:rsid w:val="004A7D1C"/>
    <w:rsid w:val="004B1927"/>
    <w:rsid w:val="004B2A14"/>
    <w:rsid w:val="004B3892"/>
    <w:rsid w:val="004B3EEC"/>
    <w:rsid w:val="004B62C3"/>
    <w:rsid w:val="004B6411"/>
    <w:rsid w:val="004B765F"/>
    <w:rsid w:val="004C00A2"/>
    <w:rsid w:val="004C1409"/>
    <w:rsid w:val="004C3207"/>
    <w:rsid w:val="004D00A0"/>
    <w:rsid w:val="004D2287"/>
    <w:rsid w:val="004D269F"/>
    <w:rsid w:val="004D2B4D"/>
    <w:rsid w:val="004D2F6D"/>
    <w:rsid w:val="004D3DC7"/>
    <w:rsid w:val="004D4B67"/>
    <w:rsid w:val="004D4E98"/>
    <w:rsid w:val="004D60D0"/>
    <w:rsid w:val="004D7DAB"/>
    <w:rsid w:val="004D7E80"/>
    <w:rsid w:val="004E1978"/>
    <w:rsid w:val="004E2E70"/>
    <w:rsid w:val="004E3AC4"/>
    <w:rsid w:val="004E3B71"/>
    <w:rsid w:val="004E3D14"/>
    <w:rsid w:val="004E3F4F"/>
    <w:rsid w:val="004E42D8"/>
    <w:rsid w:val="004E542E"/>
    <w:rsid w:val="004E7F3E"/>
    <w:rsid w:val="004F0072"/>
    <w:rsid w:val="004F0640"/>
    <w:rsid w:val="004F3418"/>
    <w:rsid w:val="004F3CA3"/>
    <w:rsid w:val="004F631B"/>
    <w:rsid w:val="004F693D"/>
    <w:rsid w:val="004F77A4"/>
    <w:rsid w:val="004F78CA"/>
    <w:rsid w:val="00501741"/>
    <w:rsid w:val="00501A3F"/>
    <w:rsid w:val="005037BC"/>
    <w:rsid w:val="005042E1"/>
    <w:rsid w:val="005053F2"/>
    <w:rsid w:val="005060A5"/>
    <w:rsid w:val="005063BD"/>
    <w:rsid w:val="0051003D"/>
    <w:rsid w:val="005100D2"/>
    <w:rsid w:val="00510B74"/>
    <w:rsid w:val="0051108D"/>
    <w:rsid w:val="0051200F"/>
    <w:rsid w:val="005128C7"/>
    <w:rsid w:val="0051324A"/>
    <w:rsid w:val="00513315"/>
    <w:rsid w:val="0051365D"/>
    <w:rsid w:val="00514724"/>
    <w:rsid w:val="00514A8F"/>
    <w:rsid w:val="00516282"/>
    <w:rsid w:val="005165AF"/>
    <w:rsid w:val="00516C75"/>
    <w:rsid w:val="005173FB"/>
    <w:rsid w:val="00520364"/>
    <w:rsid w:val="005203FA"/>
    <w:rsid w:val="00523120"/>
    <w:rsid w:val="00524DC8"/>
    <w:rsid w:val="00525DD4"/>
    <w:rsid w:val="00526E89"/>
    <w:rsid w:val="005300A3"/>
    <w:rsid w:val="005305BB"/>
    <w:rsid w:val="00530D19"/>
    <w:rsid w:val="005332A9"/>
    <w:rsid w:val="00534939"/>
    <w:rsid w:val="00537E19"/>
    <w:rsid w:val="005402A6"/>
    <w:rsid w:val="00541615"/>
    <w:rsid w:val="0054191D"/>
    <w:rsid w:val="005425BF"/>
    <w:rsid w:val="00544289"/>
    <w:rsid w:val="005444E3"/>
    <w:rsid w:val="005466A2"/>
    <w:rsid w:val="00547860"/>
    <w:rsid w:val="005503FE"/>
    <w:rsid w:val="00550E3C"/>
    <w:rsid w:val="0055205F"/>
    <w:rsid w:val="0055241F"/>
    <w:rsid w:val="00553652"/>
    <w:rsid w:val="0055446D"/>
    <w:rsid w:val="005553D2"/>
    <w:rsid w:val="005559CC"/>
    <w:rsid w:val="00556DF3"/>
    <w:rsid w:val="00556F18"/>
    <w:rsid w:val="00560D05"/>
    <w:rsid w:val="0056192B"/>
    <w:rsid w:val="0056212B"/>
    <w:rsid w:val="005622CF"/>
    <w:rsid w:val="00563F70"/>
    <w:rsid w:val="00571BAA"/>
    <w:rsid w:val="00571FAC"/>
    <w:rsid w:val="005735A7"/>
    <w:rsid w:val="005753EC"/>
    <w:rsid w:val="00575F17"/>
    <w:rsid w:val="00575F83"/>
    <w:rsid w:val="005779F2"/>
    <w:rsid w:val="0058038F"/>
    <w:rsid w:val="00580F51"/>
    <w:rsid w:val="00585871"/>
    <w:rsid w:val="00585E83"/>
    <w:rsid w:val="00586432"/>
    <w:rsid w:val="00590C76"/>
    <w:rsid w:val="00591EB7"/>
    <w:rsid w:val="00593D0B"/>
    <w:rsid w:val="00594024"/>
    <w:rsid w:val="005A168D"/>
    <w:rsid w:val="005A284C"/>
    <w:rsid w:val="005A3CEC"/>
    <w:rsid w:val="005A3FDC"/>
    <w:rsid w:val="005A4455"/>
    <w:rsid w:val="005A4D65"/>
    <w:rsid w:val="005A4F01"/>
    <w:rsid w:val="005B07E3"/>
    <w:rsid w:val="005B227B"/>
    <w:rsid w:val="005B2432"/>
    <w:rsid w:val="005B289F"/>
    <w:rsid w:val="005B5A9C"/>
    <w:rsid w:val="005B5DAD"/>
    <w:rsid w:val="005B5F22"/>
    <w:rsid w:val="005B7309"/>
    <w:rsid w:val="005B7587"/>
    <w:rsid w:val="005C1ABF"/>
    <w:rsid w:val="005C76B2"/>
    <w:rsid w:val="005D09B9"/>
    <w:rsid w:val="005D1B1D"/>
    <w:rsid w:val="005D3703"/>
    <w:rsid w:val="005D3918"/>
    <w:rsid w:val="005D4C67"/>
    <w:rsid w:val="005D5CC2"/>
    <w:rsid w:val="005D61D0"/>
    <w:rsid w:val="005D62EB"/>
    <w:rsid w:val="005D6344"/>
    <w:rsid w:val="005D6687"/>
    <w:rsid w:val="005D70F4"/>
    <w:rsid w:val="005D74A3"/>
    <w:rsid w:val="005E18D2"/>
    <w:rsid w:val="005E2CCB"/>
    <w:rsid w:val="005E2E1E"/>
    <w:rsid w:val="005E33ED"/>
    <w:rsid w:val="005E3820"/>
    <w:rsid w:val="005E5174"/>
    <w:rsid w:val="005E55A3"/>
    <w:rsid w:val="005E7ABE"/>
    <w:rsid w:val="005E7C23"/>
    <w:rsid w:val="005E7CAA"/>
    <w:rsid w:val="005F0A6A"/>
    <w:rsid w:val="005F23DA"/>
    <w:rsid w:val="005F2A1E"/>
    <w:rsid w:val="005F3D20"/>
    <w:rsid w:val="005F4912"/>
    <w:rsid w:val="005F579A"/>
    <w:rsid w:val="005F6320"/>
    <w:rsid w:val="005F7B6C"/>
    <w:rsid w:val="00602438"/>
    <w:rsid w:val="00603078"/>
    <w:rsid w:val="00603651"/>
    <w:rsid w:val="006043B2"/>
    <w:rsid w:val="00604489"/>
    <w:rsid w:val="006060CD"/>
    <w:rsid w:val="00612A6A"/>
    <w:rsid w:val="0061334D"/>
    <w:rsid w:val="00613AE7"/>
    <w:rsid w:val="00613CB0"/>
    <w:rsid w:val="00614187"/>
    <w:rsid w:val="006147B4"/>
    <w:rsid w:val="00615791"/>
    <w:rsid w:val="00620694"/>
    <w:rsid w:val="0062078B"/>
    <w:rsid w:val="00623063"/>
    <w:rsid w:val="0062330B"/>
    <w:rsid w:val="0062595C"/>
    <w:rsid w:val="00625A03"/>
    <w:rsid w:val="0062621C"/>
    <w:rsid w:val="00626B4C"/>
    <w:rsid w:val="0062772E"/>
    <w:rsid w:val="00631C0C"/>
    <w:rsid w:val="006321AA"/>
    <w:rsid w:val="00632544"/>
    <w:rsid w:val="00632C43"/>
    <w:rsid w:val="00634FDF"/>
    <w:rsid w:val="00635FA8"/>
    <w:rsid w:val="00636171"/>
    <w:rsid w:val="00636E5F"/>
    <w:rsid w:val="006374AB"/>
    <w:rsid w:val="0063757F"/>
    <w:rsid w:val="006377CA"/>
    <w:rsid w:val="0064010B"/>
    <w:rsid w:val="00640510"/>
    <w:rsid w:val="006423DD"/>
    <w:rsid w:val="00642F46"/>
    <w:rsid w:val="00645156"/>
    <w:rsid w:val="00645BED"/>
    <w:rsid w:val="0064639F"/>
    <w:rsid w:val="00646F45"/>
    <w:rsid w:val="00650C06"/>
    <w:rsid w:val="006523AE"/>
    <w:rsid w:val="00654670"/>
    <w:rsid w:val="00655AA0"/>
    <w:rsid w:val="0065617E"/>
    <w:rsid w:val="00656DBB"/>
    <w:rsid w:val="00660149"/>
    <w:rsid w:val="0066190D"/>
    <w:rsid w:val="00661D3A"/>
    <w:rsid w:val="0066354E"/>
    <w:rsid w:val="00664523"/>
    <w:rsid w:val="00664670"/>
    <w:rsid w:val="00665780"/>
    <w:rsid w:val="00670993"/>
    <w:rsid w:val="00671F9E"/>
    <w:rsid w:val="0067267B"/>
    <w:rsid w:val="00674014"/>
    <w:rsid w:val="00674AE3"/>
    <w:rsid w:val="00675ACB"/>
    <w:rsid w:val="006760A4"/>
    <w:rsid w:val="00676375"/>
    <w:rsid w:val="0068177B"/>
    <w:rsid w:val="006831D0"/>
    <w:rsid w:val="0068396A"/>
    <w:rsid w:val="00684AFA"/>
    <w:rsid w:val="00685899"/>
    <w:rsid w:val="006873FC"/>
    <w:rsid w:val="00687753"/>
    <w:rsid w:val="0069187E"/>
    <w:rsid w:val="00692781"/>
    <w:rsid w:val="00692A8E"/>
    <w:rsid w:val="0069418C"/>
    <w:rsid w:val="00694E04"/>
    <w:rsid w:val="006958A0"/>
    <w:rsid w:val="006964BF"/>
    <w:rsid w:val="006967AB"/>
    <w:rsid w:val="006A1B6C"/>
    <w:rsid w:val="006A3086"/>
    <w:rsid w:val="006A3202"/>
    <w:rsid w:val="006A5098"/>
    <w:rsid w:val="006A7509"/>
    <w:rsid w:val="006A7743"/>
    <w:rsid w:val="006B0B20"/>
    <w:rsid w:val="006B1D5E"/>
    <w:rsid w:val="006B5501"/>
    <w:rsid w:val="006B693E"/>
    <w:rsid w:val="006B7A58"/>
    <w:rsid w:val="006C49D9"/>
    <w:rsid w:val="006C4A27"/>
    <w:rsid w:val="006C5710"/>
    <w:rsid w:val="006C69F6"/>
    <w:rsid w:val="006D0462"/>
    <w:rsid w:val="006D0911"/>
    <w:rsid w:val="006D0BCA"/>
    <w:rsid w:val="006D0D91"/>
    <w:rsid w:val="006D2833"/>
    <w:rsid w:val="006D5936"/>
    <w:rsid w:val="006D5F59"/>
    <w:rsid w:val="006D6F73"/>
    <w:rsid w:val="006E17C4"/>
    <w:rsid w:val="006E19A4"/>
    <w:rsid w:val="006E4096"/>
    <w:rsid w:val="006E48AE"/>
    <w:rsid w:val="006E57C1"/>
    <w:rsid w:val="006E7B96"/>
    <w:rsid w:val="006F2FDF"/>
    <w:rsid w:val="006F434E"/>
    <w:rsid w:val="006F6560"/>
    <w:rsid w:val="006F6726"/>
    <w:rsid w:val="006F6A4E"/>
    <w:rsid w:val="006F6D62"/>
    <w:rsid w:val="006F6F9C"/>
    <w:rsid w:val="006F77E9"/>
    <w:rsid w:val="007019B3"/>
    <w:rsid w:val="00702A81"/>
    <w:rsid w:val="0070305C"/>
    <w:rsid w:val="00703789"/>
    <w:rsid w:val="00704632"/>
    <w:rsid w:val="007048F7"/>
    <w:rsid w:val="00704EF6"/>
    <w:rsid w:val="00705A8E"/>
    <w:rsid w:val="00706065"/>
    <w:rsid w:val="0070791B"/>
    <w:rsid w:val="0070792A"/>
    <w:rsid w:val="00710690"/>
    <w:rsid w:val="00710BF0"/>
    <w:rsid w:val="00711431"/>
    <w:rsid w:val="0071174C"/>
    <w:rsid w:val="007119EC"/>
    <w:rsid w:val="007120D3"/>
    <w:rsid w:val="007129C1"/>
    <w:rsid w:val="00712C09"/>
    <w:rsid w:val="007130B1"/>
    <w:rsid w:val="0071480E"/>
    <w:rsid w:val="007175F1"/>
    <w:rsid w:val="007208BB"/>
    <w:rsid w:val="00721727"/>
    <w:rsid w:val="00721EC3"/>
    <w:rsid w:val="0072366D"/>
    <w:rsid w:val="0072394C"/>
    <w:rsid w:val="007244CA"/>
    <w:rsid w:val="007276E6"/>
    <w:rsid w:val="00727941"/>
    <w:rsid w:val="00727ECD"/>
    <w:rsid w:val="0073182E"/>
    <w:rsid w:val="0073215C"/>
    <w:rsid w:val="00732616"/>
    <w:rsid w:val="00734791"/>
    <w:rsid w:val="0073570A"/>
    <w:rsid w:val="00735B37"/>
    <w:rsid w:val="00735E48"/>
    <w:rsid w:val="00737DB4"/>
    <w:rsid w:val="00740EC5"/>
    <w:rsid w:val="00741337"/>
    <w:rsid w:val="00742AC6"/>
    <w:rsid w:val="0074321E"/>
    <w:rsid w:val="00743690"/>
    <w:rsid w:val="00743F93"/>
    <w:rsid w:val="0074510F"/>
    <w:rsid w:val="0074513D"/>
    <w:rsid w:val="00751AE3"/>
    <w:rsid w:val="00752D78"/>
    <w:rsid w:val="00754181"/>
    <w:rsid w:val="0075447D"/>
    <w:rsid w:val="00754596"/>
    <w:rsid w:val="00755D07"/>
    <w:rsid w:val="007562EF"/>
    <w:rsid w:val="007566C2"/>
    <w:rsid w:val="00757858"/>
    <w:rsid w:val="00760508"/>
    <w:rsid w:val="0076056E"/>
    <w:rsid w:val="00760B5D"/>
    <w:rsid w:val="00762050"/>
    <w:rsid w:val="007622D5"/>
    <w:rsid w:val="00763768"/>
    <w:rsid w:val="00763D0C"/>
    <w:rsid w:val="007648E2"/>
    <w:rsid w:val="007650C9"/>
    <w:rsid w:val="007658F6"/>
    <w:rsid w:val="00765F1F"/>
    <w:rsid w:val="007668EB"/>
    <w:rsid w:val="00766C39"/>
    <w:rsid w:val="007714CA"/>
    <w:rsid w:val="00771BBF"/>
    <w:rsid w:val="00771EDF"/>
    <w:rsid w:val="00771F1E"/>
    <w:rsid w:val="00772305"/>
    <w:rsid w:val="00772433"/>
    <w:rsid w:val="007724E7"/>
    <w:rsid w:val="0077301F"/>
    <w:rsid w:val="00773C99"/>
    <w:rsid w:val="00775397"/>
    <w:rsid w:val="00775C92"/>
    <w:rsid w:val="00776A8C"/>
    <w:rsid w:val="007802E1"/>
    <w:rsid w:val="00781685"/>
    <w:rsid w:val="007823F7"/>
    <w:rsid w:val="007825FF"/>
    <w:rsid w:val="00782AB2"/>
    <w:rsid w:val="00783DB6"/>
    <w:rsid w:val="007870FA"/>
    <w:rsid w:val="00787B20"/>
    <w:rsid w:val="00790010"/>
    <w:rsid w:val="0079478A"/>
    <w:rsid w:val="007957CF"/>
    <w:rsid w:val="00797681"/>
    <w:rsid w:val="007978B2"/>
    <w:rsid w:val="00797CB6"/>
    <w:rsid w:val="007A1426"/>
    <w:rsid w:val="007A1607"/>
    <w:rsid w:val="007A2F20"/>
    <w:rsid w:val="007A3434"/>
    <w:rsid w:val="007A3DD3"/>
    <w:rsid w:val="007A493F"/>
    <w:rsid w:val="007A5556"/>
    <w:rsid w:val="007A795A"/>
    <w:rsid w:val="007A7A1B"/>
    <w:rsid w:val="007B1121"/>
    <w:rsid w:val="007B1D0F"/>
    <w:rsid w:val="007B3F8C"/>
    <w:rsid w:val="007B4F22"/>
    <w:rsid w:val="007C02C2"/>
    <w:rsid w:val="007C1BA4"/>
    <w:rsid w:val="007C3242"/>
    <w:rsid w:val="007C364E"/>
    <w:rsid w:val="007C4BEB"/>
    <w:rsid w:val="007C631B"/>
    <w:rsid w:val="007C69A8"/>
    <w:rsid w:val="007C6DAC"/>
    <w:rsid w:val="007C6F3D"/>
    <w:rsid w:val="007D05E1"/>
    <w:rsid w:val="007D12F9"/>
    <w:rsid w:val="007D1451"/>
    <w:rsid w:val="007D1627"/>
    <w:rsid w:val="007D7B96"/>
    <w:rsid w:val="007E174F"/>
    <w:rsid w:val="007E2405"/>
    <w:rsid w:val="007E2621"/>
    <w:rsid w:val="007E2718"/>
    <w:rsid w:val="007E362E"/>
    <w:rsid w:val="007E41D8"/>
    <w:rsid w:val="007E57AD"/>
    <w:rsid w:val="007F0471"/>
    <w:rsid w:val="007F26E0"/>
    <w:rsid w:val="007F32DC"/>
    <w:rsid w:val="007F4517"/>
    <w:rsid w:val="007F4E61"/>
    <w:rsid w:val="007F5851"/>
    <w:rsid w:val="007F6B1D"/>
    <w:rsid w:val="0080174E"/>
    <w:rsid w:val="008018C6"/>
    <w:rsid w:val="00801E84"/>
    <w:rsid w:val="00802F2E"/>
    <w:rsid w:val="00807B53"/>
    <w:rsid w:val="0081111A"/>
    <w:rsid w:val="00811656"/>
    <w:rsid w:val="00811E1B"/>
    <w:rsid w:val="008172D0"/>
    <w:rsid w:val="008201E9"/>
    <w:rsid w:val="0082239B"/>
    <w:rsid w:val="00822A35"/>
    <w:rsid w:val="00822C9E"/>
    <w:rsid w:val="00823AEF"/>
    <w:rsid w:val="00824C11"/>
    <w:rsid w:val="008302D5"/>
    <w:rsid w:val="008302FF"/>
    <w:rsid w:val="00830343"/>
    <w:rsid w:val="0083074C"/>
    <w:rsid w:val="00830DC9"/>
    <w:rsid w:val="0083122A"/>
    <w:rsid w:val="00831A25"/>
    <w:rsid w:val="00832725"/>
    <w:rsid w:val="008338B6"/>
    <w:rsid w:val="00835E2B"/>
    <w:rsid w:val="008366F9"/>
    <w:rsid w:val="00836AFC"/>
    <w:rsid w:val="00837E93"/>
    <w:rsid w:val="00840702"/>
    <w:rsid w:val="0084194E"/>
    <w:rsid w:val="008457C8"/>
    <w:rsid w:val="008469CB"/>
    <w:rsid w:val="008471A1"/>
    <w:rsid w:val="00847C89"/>
    <w:rsid w:val="008539E9"/>
    <w:rsid w:val="00853D33"/>
    <w:rsid w:val="00853F40"/>
    <w:rsid w:val="00854BDB"/>
    <w:rsid w:val="00855613"/>
    <w:rsid w:val="008577EC"/>
    <w:rsid w:val="00860E82"/>
    <w:rsid w:val="00860FA9"/>
    <w:rsid w:val="00862719"/>
    <w:rsid w:val="00864BEB"/>
    <w:rsid w:val="00865667"/>
    <w:rsid w:val="0086718A"/>
    <w:rsid w:val="00870CFF"/>
    <w:rsid w:val="008751B6"/>
    <w:rsid w:val="008757C8"/>
    <w:rsid w:val="00875E6F"/>
    <w:rsid w:val="0087709B"/>
    <w:rsid w:val="00883582"/>
    <w:rsid w:val="008836E7"/>
    <w:rsid w:val="00883C6A"/>
    <w:rsid w:val="00885A50"/>
    <w:rsid w:val="00886496"/>
    <w:rsid w:val="00886F18"/>
    <w:rsid w:val="00890834"/>
    <w:rsid w:val="00891745"/>
    <w:rsid w:val="00892758"/>
    <w:rsid w:val="00896216"/>
    <w:rsid w:val="00897322"/>
    <w:rsid w:val="00897581"/>
    <w:rsid w:val="008A328E"/>
    <w:rsid w:val="008A51C8"/>
    <w:rsid w:val="008A52E3"/>
    <w:rsid w:val="008A6EC8"/>
    <w:rsid w:val="008A7F86"/>
    <w:rsid w:val="008B3E3A"/>
    <w:rsid w:val="008B4C5C"/>
    <w:rsid w:val="008B561F"/>
    <w:rsid w:val="008B5715"/>
    <w:rsid w:val="008B5B4F"/>
    <w:rsid w:val="008B61D9"/>
    <w:rsid w:val="008C150C"/>
    <w:rsid w:val="008C2C44"/>
    <w:rsid w:val="008C4D0E"/>
    <w:rsid w:val="008C5CAC"/>
    <w:rsid w:val="008D148F"/>
    <w:rsid w:val="008D2F42"/>
    <w:rsid w:val="008D3AE5"/>
    <w:rsid w:val="008D3DCF"/>
    <w:rsid w:val="008D4D08"/>
    <w:rsid w:val="008D534F"/>
    <w:rsid w:val="008D555D"/>
    <w:rsid w:val="008D74F9"/>
    <w:rsid w:val="008D7719"/>
    <w:rsid w:val="008E058A"/>
    <w:rsid w:val="008E162A"/>
    <w:rsid w:val="008E1C9B"/>
    <w:rsid w:val="008E1D68"/>
    <w:rsid w:val="008E21DC"/>
    <w:rsid w:val="008E24F9"/>
    <w:rsid w:val="008E3097"/>
    <w:rsid w:val="008E32E5"/>
    <w:rsid w:val="008E40AE"/>
    <w:rsid w:val="008E417D"/>
    <w:rsid w:val="008E54A5"/>
    <w:rsid w:val="008E69E6"/>
    <w:rsid w:val="008E75DD"/>
    <w:rsid w:val="008E7868"/>
    <w:rsid w:val="008E78A3"/>
    <w:rsid w:val="008E7DBF"/>
    <w:rsid w:val="008F05A7"/>
    <w:rsid w:val="008F099E"/>
    <w:rsid w:val="008F16A2"/>
    <w:rsid w:val="008F2F69"/>
    <w:rsid w:val="008F45A5"/>
    <w:rsid w:val="008F4DCE"/>
    <w:rsid w:val="008F6D06"/>
    <w:rsid w:val="00900E05"/>
    <w:rsid w:val="00903582"/>
    <w:rsid w:val="00903975"/>
    <w:rsid w:val="00903A7B"/>
    <w:rsid w:val="00904DB0"/>
    <w:rsid w:val="009055F4"/>
    <w:rsid w:val="009071CE"/>
    <w:rsid w:val="00910D74"/>
    <w:rsid w:val="00914DCF"/>
    <w:rsid w:val="009162FC"/>
    <w:rsid w:val="00916E8F"/>
    <w:rsid w:val="00917A24"/>
    <w:rsid w:val="0092276D"/>
    <w:rsid w:val="00922C14"/>
    <w:rsid w:val="009236F1"/>
    <w:rsid w:val="00923A3C"/>
    <w:rsid w:val="00923B8F"/>
    <w:rsid w:val="00924D09"/>
    <w:rsid w:val="00930D54"/>
    <w:rsid w:val="00930ED0"/>
    <w:rsid w:val="00931FA9"/>
    <w:rsid w:val="0093203E"/>
    <w:rsid w:val="009323BE"/>
    <w:rsid w:val="009331A4"/>
    <w:rsid w:val="00935032"/>
    <w:rsid w:val="00936EE9"/>
    <w:rsid w:val="00940833"/>
    <w:rsid w:val="009409AB"/>
    <w:rsid w:val="00941A7C"/>
    <w:rsid w:val="009426F6"/>
    <w:rsid w:val="009432CD"/>
    <w:rsid w:val="00944EF0"/>
    <w:rsid w:val="00944F9A"/>
    <w:rsid w:val="00947B17"/>
    <w:rsid w:val="0095084C"/>
    <w:rsid w:val="00952628"/>
    <w:rsid w:val="0095303A"/>
    <w:rsid w:val="009534AA"/>
    <w:rsid w:val="00953ADE"/>
    <w:rsid w:val="009547E1"/>
    <w:rsid w:val="009551C9"/>
    <w:rsid w:val="00957DB5"/>
    <w:rsid w:val="00960655"/>
    <w:rsid w:val="0096499E"/>
    <w:rsid w:val="00964C2D"/>
    <w:rsid w:val="00965116"/>
    <w:rsid w:val="0096517A"/>
    <w:rsid w:val="00965984"/>
    <w:rsid w:val="00966206"/>
    <w:rsid w:val="009703FC"/>
    <w:rsid w:val="00970601"/>
    <w:rsid w:val="00970C48"/>
    <w:rsid w:val="00971035"/>
    <w:rsid w:val="0097205C"/>
    <w:rsid w:val="0097236A"/>
    <w:rsid w:val="00973080"/>
    <w:rsid w:val="009736B9"/>
    <w:rsid w:val="0097558F"/>
    <w:rsid w:val="009777BB"/>
    <w:rsid w:val="00977BE9"/>
    <w:rsid w:val="00980378"/>
    <w:rsid w:val="00982F87"/>
    <w:rsid w:val="00984187"/>
    <w:rsid w:val="00984A53"/>
    <w:rsid w:val="00985D49"/>
    <w:rsid w:val="009864DB"/>
    <w:rsid w:val="009866E2"/>
    <w:rsid w:val="009874B6"/>
    <w:rsid w:val="009878AF"/>
    <w:rsid w:val="00990197"/>
    <w:rsid w:val="0099055B"/>
    <w:rsid w:val="0099187B"/>
    <w:rsid w:val="00991DE1"/>
    <w:rsid w:val="0099201D"/>
    <w:rsid w:val="00992B16"/>
    <w:rsid w:val="00992CA2"/>
    <w:rsid w:val="0099300B"/>
    <w:rsid w:val="00994137"/>
    <w:rsid w:val="0099455D"/>
    <w:rsid w:val="00995967"/>
    <w:rsid w:val="00997384"/>
    <w:rsid w:val="009A0009"/>
    <w:rsid w:val="009A06D6"/>
    <w:rsid w:val="009A104B"/>
    <w:rsid w:val="009A2F48"/>
    <w:rsid w:val="009A4118"/>
    <w:rsid w:val="009A6A42"/>
    <w:rsid w:val="009A72ED"/>
    <w:rsid w:val="009B03E5"/>
    <w:rsid w:val="009B0BED"/>
    <w:rsid w:val="009B1AD9"/>
    <w:rsid w:val="009B28E6"/>
    <w:rsid w:val="009B2990"/>
    <w:rsid w:val="009B2E1D"/>
    <w:rsid w:val="009B313D"/>
    <w:rsid w:val="009B5494"/>
    <w:rsid w:val="009B7BEE"/>
    <w:rsid w:val="009C1F4D"/>
    <w:rsid w:val="009C2A63"/>
    <w:rsid w:val="009C34F7"/>
    <w:rsid w:val="009C3CCF"/>
    <w:rsid w:val="009C5F92"/>
    <w:rsid w:val="009C6776"/>
    <w:rsid w:val="009C7850"/>
    <w:rsid w:val="009D068F"/>
    <w:rsid w:val="009D4FFC"/>
    <w:rsid w:val="009D50C3"/>
    <w:rsid w:val="009D5598"/>
    <w:rsid w:val="009D5A7A"/>
    <w:rsid w:val="009D7E93"/>
    <w:rsid w:val="009E30AA"/>
    <w:rsid w:val="009E73FD"/>
    <w:rsid w:val="009E7BC9"/>
    <w:rsid w:val="009F3F60"/>
    <w:rsid w:val="009F7177"/>
    <w:rsid w:val="009F7201"/>
    <w:rsid w:val="009F733D"/>
    <w:rsid w:val="009F7F1F"/>
    <w:rsid w:val="00A025FD"/>
    <w:rsid w:val="00A027F9"/>
    <w:rsid w:val="00A059C8"/>
    <w:rsid w:val="00A06CE1"/>
    <w:rsid w:val="00A1325F"/>
    <w:rsid w:val="00A14743"/>
    <w:rsid w:val="00A1516A"/>
    <w:rsid w:val="00A15AF0"/>
    <w:rsid w:val="00A16F61"/>
    <w:rsid w:val="00A17827"/>
    <w:rsid w:val="00A17EF9"/>
    <w:rsid w:val="00A2223B"/>
    <w:rsid w:val="00A24A8C"/>
    <w:rsid w:val="00A25ABA"/>
    <w:rsid w:val="00A270BB"/>
    <w:rsid w:val="00A2728E"/>
    <w:rsid w:val="00A27308"/>
    <w:rsid w:val="00A3058C"/>
    <w:rsid w:val="00A30A38"/>
    <w:rsid w:val="00A31FA1"/>
    <w:rsid w:val="00A326B7"/>
    <w:rsid w:val="00A32ABB"/>
    <w:rsid w:val="00A33196"/>
    <w:rsid w:val="00A3332D"/>
    <w:rsid w:val="00A33F3A"/>
    <w:rsid w:val="00A33FAB"/>
    <w:rsid w:val="00A34017"/>
    <w:rsid w:val="00A3414E"/>
    <w:rsid w:val="00A345FF"/>
    <w:rsid w:val="00A356C2"/>
    <w:rsid w:val="00A41216"/>
    <w:rsid w:val="00A43851"/>
    <w:rsid w:val="00A439DD"/>
    <w:rsid w:val="00A455E7"/>
    <w:rsid w:val="00A46938"/>
    <w:rsid w:val="00A4788C"/>
    <w:rsid w:val="00A5264F"/>
    <w:rsid w:val="00A5286D"/>
    <w:rsid w:val="00A5347D"/>
    <w:rsid w:val="00A53CDD"/>
    <w:rsid w:val="00A54628"/>
    <w:rsid w:val="00A57828"/>
    <w:rsid w:val="00A643D9"/>
    <w:rsid w:val="00A64B00"/>
    <w:rsid w:val="00A64BA9"/>
    <w:rsid w:val="00A64D3D"/>
    <w:rsid w:val="00A64FE6"/>
    <w:rsid w:val="00A652BD"/>
    <w:rsid w:val="00A6607E"/>
    <w:rsid w:val="00A66FF2"/>
    <w:rsid w:val="00A6747B"/>
    <w:rsid w:val="00A674D3"/>
    <w:rsid w:val="00A67B78"/>
    <w:rsid w:val="00A67BBA"/>
    <w:rsid w:val="00A7082E"/>
    <w:rsid w:val="00A70DFD"/>
    <w:rsid w:val="00A70E02"/>
    <w:rsid w:val="00A71730"/>
    <w:rsid w:val="00A71CCF"/>
    <w:rsid w:val="00A77776"/>
    <w:rsid w:val="00A80FCC"/>
    <w:rsid w:val="00A84001"/>
    <w:rsid w:val="00A854E3"/>
    <w:rsid w:val="00A8668C"/>
    <w:rsid w:val="00A8718E"/>
    <w:rsid w:val="00A90460"/>
    <w:rsid w:val="00A90D8C"/>
    <w:rsid w:val="00A92CBE"/>
    <w:rsid w:val="00A939C6"/>
    <w:rsid w:val="00AA1757"/>
    <w:rsid w:val="00AA19FF"/>
    <w:rsid w:val="00AA1B77"/>
    <w:rsid w:val="00AA2782"/>
    <w:rsid w:val="00AA29D4"/>
    <w:rsid w:val="00AA2B33"/>
    <w:rsid w:val="00AA453A"/>
    <w:rsid w:val="00AA4BBC"/>
    <w:rsid w:val="00AA6620"/>
    <w:rsid w:val="00AA6C7D"/>
    <w:rsid w:val="00AA73E6"/>
    <w:rsid w:val="00AA7DE4"/>
    <w:rsid w:val="00AB559A"/>
    <w:rsid w:val="00AB5AFE"/>
    <w:rsid w:val="00AB7E5B"/>
    <w:rsid w:val="00AB7EEE"/>
    <w:rsid w:val="00AC045C"/>
    <w:rsid w:val="00AC06F2"/>
    <w:rsid w:val="00AC0BAD"/>
    <w:rsid w:val="00AC0C5C"/>
    <w:rsid w:val="00AC1C1A"/>
    <w:rsid w:val="00AC2C16"/>
    <w:rsid w:val="00AC2C9A"/>
    <w:rsid w:val="00AC2CF6"/>
    <w:rsid w:val="00AC4C7B"/>
    <w:rsid w:val="00AC543A"/>
    <w:rsid w:val="00AC6A41"/>
    <w:rsid w:val="00AC7FC4"/>
    <w:rsid w:val="00AD0082"/>
    <w:rsid w:val="00AD0DA2"/>
    <w:rsid w:val="00AD1276"/>
    <w:rsid w:val="00AD171C"/>
    <w:rsid w:val="00AD40D0"/>
    <w:rsid w:val="00AD4546"/>
    <w:rsid w:val="00AD65A3"/>
    <w:rsid w:val="00AD6B35"/>
    <w:rsid w:val="00AD7FC9"/>
    <w:rsid w:val="00AE16CF"/>
    <w:rsid w:val="00AE1BDA"/>
    <w:rsid w:val="00AE1EA7"/>
    <w:rsid w:val="00AE272A"/>
    <w:rsid w:val="00AE4545"/>
    <w:rsid w:val="00AE47FD"/>
    <w:rsid w:val="00AE4BB9"/>
    <w:rsid w:val="00AE55F3"/>
    <w:rsid w:val="00AE58FF"/>
    <w:rsid w:val="00AE7279"/>
    <w:rsid w:val="00AE7419"/>
    <w:rsid w:val="00AE7DC4"/>
    <w:rsid w:val="00AF07D9"/>
    <w:rsid w:val="00AF121D"/>
    <w:rsid w:val="00AF1C4C"/>
    <w:rsid w:val="00AF202E"/>
    <w:rsid w:val="00AF2A13"/>
    <w:rsid w:val="00AF4FB5"/>
    <w:rsid w:val="00AF5A51"/>
    <w:rsid w:val="00AF5BBA"/>
    <w:rsid w:val="00AF5C2B"/>
    <w:rsid w:val="00AF71A0"/>
    <w:rsid w:val="00B012A1"/>
    <w:rsid w:val="00B02595"/>
    <w:rsid w:val="00B031BC"/>
    <w:rsid w:val="00B041C4"/>
    <w:rsid w:val="00B04910"/>
    <w:rsid w:val="00B04F36"/>
    <w:rsid w:val="00B10481"/>
    <w:rsid w:val="00B104E2"/>
    <w:rsid w:val="00B12EA8"/>
    <w:rsid w:val="00B13F3D"/>
    <w:rsid w:val="00B14BF7"/>
    <w:rsid w:val="00B16F50"/>
    <w:rsid w:val="00B17A71"/>
    <w:rsid w:val="00B2074D"/>
    <w:rsid w:val="00B20E20"/>
    <w:rsid w:val="00B21594"/>
    <w:rsid w:val="00B22072"/>
    <w:rsid w:val="00B24B67"/>
    <w:rsid w:val="00B260F0"/>
    <w:rsid w:val="00B263FA"/>
    <w:rsid w:val="00B264BE"/>
    <w:rsid w:val="00B27914"/>
    <w:rsid w:val="00B27988"/>
    <w:rsid w:val="00B32598"/>
    <w:rsid w:val="00B32638"/>
    <w:rsid w:val="00B32931"/>
    <w:rsid w:val="00B32E06"/>
    <w:rsid w:val="00B34975"/>
    <w:rsid w:val="00B349E1"/>
    <w:rsid w:val="00B3590C"/>
    <w:rsid w:val="00B409F8"/>
    <w:rsid w:val="00B4140E"/>
    <w:rsid w:val="00B416F3"/>
    <w:rsid w:val="00B41906"/>
    <w:rsid w:val="00B43340"/>
    <w:rsid w:val="00B43519"/>
    <w:rsid w:val="00B4392B"/>
    <w:rsid w:val="00B43C7E"/>
    <w:rsid w:val="00B44E06"/>
    <w:rsid w:val="00B4506E"/>
    <w:rsid w:val="00B474E0"/>
    <w:rsid w:val="00B478F9"/>
    <w:rsid w:val="00B5083F"/>
    <w:rsid w:val="00B526A0"/>
    <w:rsid w:val="00B5271E"/>
    <w:rsid w:val="00B5351D"/>
    <w:rsid w:val="00B538B8"/>
    <w:rsid w:val="00B53E92"/>
    <w:rsid w:val="00B54442"/>
    <w:rsid w:val="00B5466C"/>
    <w:rsid w:val="00B54BAF"/>
    <w:rsid w:val="00B54ED1"/>
    <w:rsid w:val="00B55139"/>
    <w:rsid w:val="00B562EE"/>
    <w:rsid w:val="00B56517"/>
    <w:rsid w:val="00B6065E"/>
    <w:rsid w:val="00B60ECC"/>
    <w:rsid w:val="00B616F1"/>
    <w:rsid w:val="00B61783"/>
    <w:rsid w:val="00B628D1"/>
    <w:rsid w:val="00B6340B"/>
    <w:rsid w:val="00B6431A"/>
    <w:rsid w:val="00B64C94"/>
    <w:rsid w:val="00B65019"/>
    <w:rsid w:val="00B72A05"/>
    <w:rsid w:val="00B7350E"/>
    <w:rsid w:val="00B746C3"/>
    <w:rsid w:val="00B74D43"/>
    <w:rsid w:val="00B75283"/>
    <w:rsid w:val="00B760A2"/>
    <w:rsid w:val="00B76EA1"/>
    <w:rsid w:val="00B77674"/>
    <w:rsid w:val="00B81E30"/>
    <w:rsid w:val="00B821BC"/>
    <w:rsid w:val="00B82861"/>
    <w:rsid w:val="00B83559"/>
    <w:rsid w:val="00B85282"/>
    <w:rsid w:val="00B85BE1"/>
    <w:rsid w:val="00B86477"/>
    <w:rsid w:val="00B86B8B"/>
    <w:rsid w:val="00B90361"/>
    <w:rsid w:val="00B90845"/>
    <w:rsid w:val="00B908B4"/>
    <w:rsid w:val="00B9184A"/>
    <w:rsid w:val="00B92A6A"/>
    <w:rsid w:val="00B93842"/>
    <w:rsid w:val="00B96C6C"/>
    <w:rsid w:val="00BA0ECD"/>
    <w:rsid w:val="00BA2C79"/>
    <w:rsid w:val="00BA4B7A"/>
    <w:rsid w:val="00BA5234"/>
    <w:rsid w:val="00BA7700"/>
    <w:rsid w:val="00BA78BD"/>
    <w:rsid w:val="00BB01CA"/>
    <w:rsid w:val="00BB11DA"/>
    <w:rsid w:val="00BB178A"/>
    <w:rsid w:val="00BB187E"/>
    <w:rsid w:val="00BB27C4"/>
    <w:rsid w:val="00BB2CB7"/>
    <w:rsid w:val="00BB4ADA"/>
    <w:rsid w:val="00BB5C7E"/>
    <w:rsid w:val="00BB5CD9"/>
    <w:rsid w:val="00BB6A64"/>
    <w:rsid w:val="00BB7D0B"/>
    <w:rsid w:val="00BC2DC8"/>
    <w:rsid w:val="00BC30D1"/>
    <w:rsid w:val="00BC5446"/>
    <w:rsid w:val="00BC726C"/>
    <w:rsid w:val="00BC7520"/>
    <w:rsid w:val="00BD07EE"/>
    <w:rsid w:val="00BD3F4E"/>
    <w:rsid w:val="00BD44B0"/>
    <w:rsid w:val="00BD5097"/>
    <w:rsid w:val="00BD51DC"/>
    <w:rsid w:val="00BD54B1"/>
    <w:rsid w:val="00BD584C"/>
    <w:rsid w:val="00BD7C16"/>
    <w:rsid w:val="00BD7F32"/>
    <w:rsid w:val="00BE4F7B"/>
    <w:rsid w:val="00BE5701"/>
    <w:rsid w:val="00BE5C44"/>
    <w:rsid w:val="00BE6C19"/>
    <w:rsid w:val="00BF0EC2"/>
    <w:rsid w:val="00BF12F9"/>
    <w:rsid w:val="00BF1ADE"/>
    <w:rsid w:val="00BF3B4E"/>
    <w:rsid w:val="00BF4629"/>
    <w:rsid w:val="00BF4D62"/>
    <w:rsid w:val="00C00CBB"/>
    <w:rsid w:val="00C01A56"/>
    <w:rsid w:val="00C034DB"/>
    <w:rsid w:val="00C03AB7"/>
    <w:rsid w:val="00C03F0F"/>
    <w:rsid w:val="00C04474"/>
    <w:rsid w:val="00C04A36"/>
    <w:rsid w:val="00C06AD0"/>
    <w:rsid w:val="00C12082"/>
    <w:rsid w:val="00C130F0"/>
    <w:rsid w:val="00C13A97"/>
    <w:rsid w:val="00C13DAD"/>
    <w:rsid w:val="00C15493"/>
    <w:rsid w:val="00C16441"/>
    <w:rsid w:val="00C167B9"/>
    <w:rsid w:val="00C200DE"/>
    <w:rsid w:val="00C20229"/>
    <w:rsid w:val="00C211C5"/>
    <w:rsid w:val="00C211E0"/>
    <w:rsid w:val="00C21F54"/>
    <w:rsid w:val="00C22B66"/>
    <w:rsid w:val="00C24DE2"/>
    <w:rsid w:val="00C27174"/>
    <w:rsid w:val="00C30983"/>
    <w:rsid w:val="00C31845"/>
    <w:rsid w:val="00C31B75"/>
    <w:rsid w:val="00C32396"/>
    <w:rsid w:val="00C3270C"/>
    <w:rsid w:val="00C33373"/>
    <w:rsid w:val="00C33D3B"/>
    <w:rsid w:val="00C34526"/>
    <w:rsid w:val="00C34E6B"/>
    <w:rsid w:val="00C3607A"/>
    <w:rsid w:val="00C3787B"/>
    <w:rsid w:val="00C379E9"/>
    <w:rsid w:val="00C410B3"/>
    <w:rsid w:val="00C4291F"/>
    <w:rsid w:val="00C44604"/>
    <w:rsid w:val="00C4496F"/>
    <w:rsid w:val="00C459B5"/>
    <w:rsid w:val="00C45DA9"/>
    <w:rsid w:val="00C4694E"/>
    <w:rsid w:val="00C471D2"/>
    <w:rsid w:val="00C50596"/>
    <w:rsid w:val="00C51A1C"/>
    <w:rsid w:val="00C52108"/>
    <w:rsid w:val="00C54156"/>
    <w:rsid w:val="00C56CCB"/>
    <w:rsid w:val="00C60B94"/>
    <w:rsid w:val="00C60FF1"/>
    <w:rsid w:val="00C62939"/>
    <w:rsid w:val="00C6384C"/>
    <w:rsid w:val="00C63CBE"/>
    <w:rsid w:val="00C644E3"/>
    <w:rsid w:val="00C6499D"/>
    <w:rsid w:val="00C70756"/>
    <w:rsid w:val="00C707B3"/>
    <w:rsid w:val="00C768B8"/>
    <w:rsid w:val="00C77948"/>
    <w:rsid w:val="00C81254"/>
    <w:rsid w:val="00C82A66"/>
    <w:rsid w:val="00C8343B"/>
    <w:rsid w:val="00C839C0"/>
    <w:rsid w:val="00C83F90"/>
    <w:rsid w:val="00C84620"/>
    <w:rsid w:val="00C85B23"/>
    <w:rsid w:val="00C86B77"/>
    <w:rsid w:val="00C90CFE"/>
    <w:rsid w:val="00C91677"/>
    <w:rsid w:val="00C92572"/>
    <w:rsid w:val="00C92673"/>
    <w:rsid w:val="00C92C33"/>
    <w:rsid w:val="00C955F9"/>
    <w:rsid w:val="00C96110"/>
    <w:rsid w:val="00CA15C8"/>
    <w:rsid w:val="00CA231B"/>
    <w:rsid w:val="00CA25BB"/>
    <w:rsid w:val="00CA2A5A"/>
    <w:rsid w:val="00CA35DB"/>
    <w:rsid w:val="00CA3E08"/>
    <w:rsid w:val="00CA4146"/>
    <w:rsid w:val="00CA437B"/>
    <w:rsid w:val="00CA4FB7"/>
    <w:rsid w:val="00CA6184"/>
    <w:rsid w:val="00CA7074"/>
    <w:rsid w:val="00CA7DE2"/>
    <w:rsid w:val="00CB0FC8"/>
    <w:rsid w:val="00CB11B1"/>
    <w:rsid w:val="00CB193D"/>
    <w:rsid w:val="00CB30C3"/>
    <w:rsid w:val="00CB3689"/>
    <w:rsid w:val="00CB46D8"/>
    <w:rsid w:val="00CB4E64"/>
    <w:rsid w:val="00CB5597"/>
    <w:rsid w:val="00CB57A4"/>
    <w:rsid w:val="00CB5D74"/>
    <w:rsid w:val="00CB6095"/>
    <w:rsid w:val="00CB61F4"/>
    <w:rsid w:val="00CB669B"/>
    <w:rsid w:val="00CC08A8"/>
    <w:rsid w:val="00CC18B8"/>
    <w:rsid w:val="00CC278D"/>
    <w:rsid w:val="00CC3D6C"/>
    <w:rsid w:val="00CC48CB"/>
    <w:rsid w:val="00CC53D5"/>
    <w:rsid w:val="00CC5B8C"/>
    <w:rsid w:val="00CC603A"/>
    <w:rsid w:val="00CC6314"/>
    <w:rsid w:val="00CC6C46"/>
    <w:rsid w:val="00CC718B"/>
    <w:rsid w:val="00CC7191"/>
    <w:rsid w:val="00CD0204"/>
    <w:rsid w:val="00CD1C98"/>
    <w:rsid w:val="00CD3FE7"/>
    <w:rsid w:val="00CD4D2B"/>
    <w:rsid w:val="00CD5C65"/>
    <w:rsid w:val="00CD6B0E"/>
    <w:rsid w:val="00CD760F"/>
    <w:rsid w:val="00CE05E3"/>
    <w:rsid w:val="00CE1208"/>
    <w:rsid w:val="00CE24C3"/>
    <w:rsid w:val="00CE41B7"/>
    <w:rsid w:val="00CE479D"/>
    <w:rsid w:val="00CE5FEE"/>
    <w:rsid w:val="00CE6146"/>
    <w:rsid w:val="00CE7282"/>
    <w:rsid w:val="00CE735C"/>
    <w:rsid w:val="00CE7719"/>
    <w:rsid w:val="00CF1CCE"/>
    <w:rsid w:val="00CF1E02"/>
    <w:rsid w:val="00CF2355"/>
    <w:rsid w:val="00CF2443"/>
    <w:rsid w:val="00CF4ED6"/>
    <w:rsid w:val="00CF5D1F"/>
    <w:rsid w:val="00CF6D8B"/>
    <w:rsid w:val="00CF7CD7"/>
    <w:rsid w:val="00CF7F4D"/>
    <w:rsid w:val="00D00851"/>
    <w:rsid w:val="00D01477"/>
    <w:rsid w:val="00D03187"/>
    <w:rsid w:val="00D05EE6"/>
    <w:rsid w:val="00D0756B"/>
    <w:rsid w:val="00D0770D"/>
    <w:rsid w:val="00D07A1D"/>
    <w:rsid w:val="00D07EC4"/>
    <w:rsid w:val="00D10130"/>
    <w:rsid w:val="00D10239"/>
    <w:rsid w:val="00D1027F"/>
    <w:rsid w:val="00D1093B"/>
    <w:rsid w:val="00D11B91"/>
    <w:rsid w:val="00D11C94"/>
    <w:rsid w:val="00D13DB0"/>
    <w:rsid w:val="00D140BD"/>
    <w:rsid w:val="00D15779"/>
    <w:rsid w:val="00D17822"/>
    <w:rsid w:val="00D1789E"/>
    <w:rsid w:val="00D200B1"/>
    <w:rsid w:val="00D2028D"/>
    <w:rsid w:val="00D210D2"/>
    <w:rsid w:val="00D226B3"/>
    <w:rsid w:val="00D250C5"/>
    <w:rsid w:val="00D26EA3"/>
    <w:rsid w:val="00D3014D"/>
    <w:rsid w:val="00D31B4A"/>
    <w:rsid w:val="00D325EE"/>
    <w:rsid w:val="00D344B9"/>
    <w:rsid w:val="00D3551D"/>
    <w:rsid w:val="00D3574C"/>
    <w:rsid w:val="00D35D96"/>
    <w:rsid w:val="00D361BA"/>
    <w:rsid w:val="00D362DA"/>
    <w:rsid w:val="00D372E6"/>
    <w:rsid w:val="00D37C4A"/>
    <w:rsid w:val="00D41779"/>
    <w:rsid w:val="00D418B0"/>
    <w:rsid w:val="00D41FB6"/>
    <w:rsid w:val="00D42435"/>
    <w:rsid w:val="00D455EF"/>
    <w:rsid w:val="00D45CD9"/>
    <w:rsid w:val="00D46420"/>
    <w:rsid w:val="00D46539"/>
    <w:rsid w:val="00D474D2"/>
    <w:rsid w:val="00D475D5"/>
    <w:rsid w:val="00D50869"/>
    <w:rsid w:val="00D50EFC"/>
    <w:rsid w:val="00D5303F"/>
    <w:rsid w:val="00D53CD7"/>
    <w:rsid w:val="00D55E2A"/>
    <w:rsid w:val="00D56557"/>
    <w:rsid w:val="00D57636"/>
    <w:rsid w:val="00D616A1"/>
    <w:rsid w:val="00D61C8C"/>
    <w:rsid w:val="00D61E96"/>
    <w:rsid w:val="00D61FD4"/>
    <w:rsid w:val="00D62098"/>
    <w:rsid w:val="00D626FB"/>
    <w:rsid w:val="00D62E05"/>
    <w:rsid w:val="00D62EFF"/>
    <w:rsid w:val="00D634B9"/>
    <w:rsid w:val="00D63DA6"/>
    <w:rsid w:val="00D6467B"/>
    <w:rsid w:val="00D6525E"/>
    <w:rsid w:val="00D65893"/>
    <w:rsid w:val="00D658F2"/>
    <w:rsid w:val="00D6681A"/>
    <w:rsid w:val="00D67174"/>
    <w:rsid w:val="00D67742"/>
    <w:rsid w:val="00D70CDD"/>
    <w:rsid w:val="00D71770"/>
    <w:rsid w:val="00D73642"/>
    <w:rsid w:val="00D73F32"/>
    <w:rsid w:val="00D743F1"/>
    <w:rsid w:val="00D74712"/>
    <w:rsid w:val="00D74740"/>
    <w:rsid w:val="00D757A9"/>
    <w:rsid w:val="00D75E04"/>
    <w:rsid w:val="00D76536"/>
    <w:rsid w:val="00D76F83"/>
    <w:rsid w:val="00D80466"/>
    <w:rsid w:val="00D8374A"/>
    <w:rsid w:val="00D83750"/>
    <w:rsid w:val="00D8390F"/>
    <w:rsid w:val="00D8442A"/>
    <w:rsid w:val="00D8544A"/>
    <w:rsid w:val="00D860F4"/>
    <w:rsid w:val="00D86620"/>
    <w:rsid w:val="00D87E4B"/>
    <w:rsid w:val="00D9003C"/>
    <w:rsid w:val="00D91219"/>
    <w:rsid w:val="00D93402"/>
    <w:rsid w:val="00D94387"/>
    <w:rsid w:val="00D952C6"/>
    <w:rsid w:val="00D95D9F"/>
    <w:rsid w:val="00D9653C"/>
    <w:rsid w:val="00D96FA3"/>
    <w:rsid w:val="00D970C6"/>
    <w:rsid w:val="00D97822"/>
    <w:rsid w:val="00D97A9A"/>
    <w:rsid w:val="00DA0A33"/>
    <w:rsid w:val="00DA0DBE"/>
    <w:rsid w:val="00DA1297"/>
    <w:rsid w:val="00DA1A14"/>
    <w:rsid w:val="00DA2FEB"/>
    <w:rsid w:val="00DA69AA"/>
    <w:rsid w:val="00DA6AAE"/>
    <w:rsid w:val="00DA7E40"/>
    <w:rsid w:val="00DA7FF7"/>
    <w:rsid w:val="00DB0AB5"/>
    <w:rsid w:val="00DB0DEC"/>
    <w:rsid w:val="00DB4E99"/>
    <w:rsid w:val="00DB623B"/>
    <w:rsid w:val="00DB7104"/>
    <w:rsid w:val="00DB7B53"/>
    <w:rsid w:val="00DB7E1A"/>
    <w:rsid w:val="00DC1638"/>
    <w:rsid w:val="00DC32AA"/>
    <w:rsid w:val="00DC3BFE"/>
    <w:rsid w:val="00DC5195"/>
    <w:rsid w:val="00DC6B3C"/>
    <w:rsid w:val="00DC7A37"/>
    <w:rsid w:val="00DD0A98"/>
    <w:rsid w:val="00DD461F"/>
    <w:rsid w:val="00DD4C85"/>
    <w:rsid w:val="00DD55E6"/>
    <w:rsid w:val="00DD5B64"/>
    <w:rsid w:val="00DD662A"/>
    <w:rsid w:val="00DD6967"/>
    <w:rsid w:val="00DE0A9F"/>
    <w:rsid w:val="00DE473D"/>
    <w:rsid w:val="00DE4DD4"/>
    <w:rsid w:val="00DE6247"/>
    <w:rsid w:val="00DE69E6"/>
    <w:rsid w:val="00DE789E"/>
    <w:rsid w:val="00DE7D2B"/>
    <w:rsid w:val="00DF06B4"/>
    <w:rsid w:val="00DF0ABD"/>
    <w:rsid w:val="00DF157F"/>
    <w:rsid w:val="00DF24B3"/>
    <w:rsid w:val="00DF5750"/>
    <w:rsid w:val="00DF5820"/>
    <w:rsid w:val="00DF6CCC"/>
    <w:rsid w:val="00DF7B00"/>
    <w:rsid w:val="00E01605"/>
    <w:rsid w:val="00E03F08"/>
    <w:rsid w:val="00E0454B"/>
    <w:rsid w:val="00E0486B"/>
    <w:rsid w:val="00E0617D"/>
    <w:rsid w:val="00E06916"/>
    <w:rsid w:val="00E06E06"/>
    <w:rsid w:val="00E07745"/>
    <w:rsid w:val="00E1056C"/>
    <w:rsid w:val="00E10CD9"/>
    <w:rsid w:val="00E11BF2"/>
    <w:rsid w:val="00E125B9"/>
    <w:rsid w:val="00E16021"/>
    <w:rsid w:val="00E17339"/>
    <w:rsid w:val="00E20797"/>
    <w:rsid w:val="00E20980"/>
    <w:rsid w:val="00E20BE8"/>
    <w:rsid w:val="00E20F00"/>
    <w:rsid w:val="00E21600"/>
    <w:rsid w:val="00E22042"/>
    <w:rsid w:val="00E24DB0"/>
    <w:rsid w:val="00E24F58"/>
    <w:rsid w:val="00E25618"/>
    <w:rsid w:val="00E30EDD"/>
    <w:rsid w:val="00E31102"/>
    <w:rsid w:val="00E3180A"/>
    <w:rsid w:val="00E31A8E"/>
    <w:rsid w:val="00E31D47"/>
    <w:rsid w:val="00E34357"/>
    <w:rsid w:val="00E34CB0"/>
    <w:rsid w:val="00E34CF0"/>
    <w:rsid w:val="00E36AB7"/>
    <w:rsid w:val="00E37781"/>
    <w:rsid w:val="00E37CA6"/>
    <w:rsid w:val="00E37D33"/>
    <w:rsid w:val="00E42D0C"/>
    <w:rsid w:val="00E42D31"/>
    <w:rsid w:val="00E43AD8"/>
    <w:rsid w:val="00E4403D"/>
    <w:rsid w:val="00E46BB6"/>
    <w:rsid w:val="00E51511"/>
    <w:rsid w:val="00E5157D"/>
    <w:rsid w:val="00E54817"/>
    <w:rsid w:val="00E548AF"/>
    <w:rsid w:val="00E54C2C"/>
    <w:rsid w:val="00E55A84"/>
    <w:rsid w:val="00E600D0"/>
    <w:rsid w:val="00E60BA7"/>
    <w:rsid w:val="00E623EE"/>
    <w:rsid w:val="00E65008"/>
    <w:rsid w:val="00E65D71"/>
    <w:rsid w:val="00E67EB2"/>
    <w:rsid w:val="00E67FD3"/>
    <w:rsid w:val="00E745D3"/>
    <w:rsid w:val="00E762D1"/>
    <w:rsid w:val="00E772A1"/>
    <w:rsid w:val="00E7743D"/>
    <w:rsid w:val="00E776AF"/>
    <w:rsid w:val="00E77804"/>
    <w:rsid w:val="00E77B5F"/>
    <w:rsid w:val="00E77BD8"/>
    <w:rsid w:val="00E80586"/>
    <w:rsid w:val="00E835D7"/>
    <w:rsid w:val="00E85217"/>
    <w:rsid w:val="00E85D4C"/>
    <w:rsid w:val="00E85EF0"/>
    <w:rsid w:val="00E86374"/>
    <w:rsid w:val="00E868DA"/>
    <w:rsid w:val="00E91972"/>
    <w:rsid w:val="00E925A6"/>
    <w:rsid w:val="00E9300B"/>
    <w:rsid w:val="00E93D63"/>
    <w:rsid w:val="00E93EEB"/>
    <w:rsid w:val="00E94A9F"/>
    <w:rsid w:val="00E94C8E"/>
    <w:rsid w:val="00E95891"/>
    <w:rsid w:val="00E95EC0"/>
    <w:rsid w:val="00EA0832"/>
    <w:rsid w:val="00EA1EFD"/>
    <w:rsid w:val="00EA30FF"/>
    <w:rsid w:val="00EA3622"/>
    <w:rsid w:val="00EA4445"/>
    <w:rsid w:val="00EA5573"/>
    <w:rsid w:val="00EA5B11"/>
    <w:rsid w:val="00EA5E34"/>
    <w:rsid w:val="00EA655A"/>
    <w:rsid w:val="00EA6A64"/>
    <w:rsid w:val="00EA6D1B"/>
    <w:rsid w:val="00EA73E5"/>
    <w:rsid w:val="00EA7D9C"/>
    <w:rsid w:val="00EB0C61"/>
    <w:rsid w:val="00EB1FA6"/>
    <w:rsid w:val="00EB22B4"/>
    <w:rsid w:val="00EB29B0"/>
    <w:rsid w:val="00EB4B6E"/>
    <w:rsid w:val="00EB4C03"/>
    <w:rsid w:val="00EB5429"/>
    <w:rsid w:val="00EB5591"/>
    <w:rsid w:val="00EB66A1"/>
    <w:rsid w:val="00EB6FD0"/>
    <w:rsid w:val="00EB75ED"/>
    <w:rsid w:val="00EB7B0A"/>
    <w:rsid w:val="00EC40CA"/>
    <w:rsid w:val="00EC46C4"/>
    <w:rsid w:val="00EC4A87"/>
    <w:rsid w:val="00EC4B01"/>
    <w:rsid w:val="00EC5E67"/>
    <w:rsid w:val="00EC6307"/>
    <w:rsid w:val="00EC7AE5"/>
    <w:rsid w:val="00ED20A9"/>
    <w:rsid w:val="00ED223B"/>
    <w:rsid w:val="00ED2405"/>
    <w:rsid w:val="00ED2432"/>
    <w:rsid w:val="00ED3010"/>
    <w:rsid w:val="00ED4A41"/>
    <w:rsid w:val="00ED621A"/>
    <w:rsid w:val="00ED73F1"/>
    <w:rsid w:val="00EE16F4"/>
    <w:rsid w:val="00EE1867"/>
    <w:rsid w:val="00EE346A"/>
    <w:rsid w:val="00EE3F65"/>
    <w:rsid w:val="00EE3FB0"/>
    <w:rsid w:val="00EE68DB"/>
    <w:rsid w:val="00EF1626"/>
    <w:rsid w:val="00EF1AFF"/>
    <w:rsid w:val="00EF3024"/>
    <w:rsid w:val="00EF30E9"/>
    <w:rsid w:val="00EF3A01"/>
    <w:rsid w:val="00EF472F"/>
    <w:rsid w:val="00EF5AF7"/>
    <w:rsid w:val="00EF6212"/>
    <w:rsid w:val="00EF6F46"/>
    <w:rsid w:val="00EF790E"/>
    <w:rsid w:val="00F00F2B"/>
    <w:rsid w:val="00F01482"/>
    <w:rsid w:val="00F02E47"/>
    <w:rsid w:val="00F0360B"/>
    <w:rsid w:val="00F04679"/>
    <w:rsid w:val="00F06A6A"/>
    <w:rsid w:val="00F104DB"/>
    <w:rsid w:val="00F10E17"/>
    <w:rsid w:val="00F11CBD"/>
    <w:rsid w:val="00F12259"/>
    <w:rsid w:val="00F1282F"/>
    <w:rsid w:val="00F1286D"/>
    <w:rsid w:val="00F1292B"/>
    <w:rsid w:val="00F12CCE"/>
    <w:rsid w:val="00F12CEC"/>
    <w:rsid w:val="00F12E54"/>
    <w:rsid w:val="00F171AD"/>
    <w:rsid w:val="00F17497"/>
    <w:rsid w:val="00F17F88"/>
    <w:rsid w:val="00F22745"/>
    <w:rsid w:val="00F22891"/>
    <w:rsid w:val="00F2319A"/>
    <w:rsid w:val="00F25096"/>
    <w:rsid w:val="00F25EA5"/>
    <w:rsid w:val="00F25F2A"/>
    <w:rsid w:val="00F27993"/>
    <w:rsid w:val="00F307EA"/>
    <w:rsid w:val="00F31DC3"/>
    <w:rsid w:val="00F33729"/>
    <w:rsid w:val="00F340DA"/>
    <w:rsid w:val="00F34129"/>
    <w:rsid w:val="00F350B7"/>
    <w:rsid w:val="00F35875"/>
    <w:rsid w:val="00F37260"/>
    <w:rsid w:val="00F376E6"/>
    <w:rsid w:val="00F401D9"/>
    <w:rsid w:val="00F40616"/>
    <w:rsid w:val="00F41873"/>
    <w:rsid w:val="00F4347E"/>
    <w:rsid w:val="00F43496"/>
    <w:rsid w:val="00F436AB"/>
    <w:rsid w:val="00F453BD"/>
    <w:rsid w:val="00F47356"/>
    <w:rsid w:val="00F47965"/>
    <w:rsid w:val="00F47C27"/>
    <w:rsid w:val="00F511E7"/>
    <w:rsid w:val="00F526C4"/>
    <w:rsid w:val="00F52A7E"/>
    <w:rsid w:val="00F54219"/>
    <w:rsid w:val="00F55800"/>
    <w:rsid w:val="00F55B89"/>
    <w:rsid w:val="00F56574"/>
    <w:rsid w:val="00F63AD3"/>
    <w:rsid w:val="00F63E57"/>
    <w:rsid w:val="00F64454"/>
    <w:rsid w:val="00F64E9E"/>
    <w:rsid w:val="00F65296"/>
    <w:rsid w:val="00F70921"/>
    <w:rsid w:val="00F70C6C"/>
    <w:rsid w:val="00F70F8D"/>
    <w:rsid w:val="00F73A4C"/>
    <w:rsid w:val="00F741CC"/>
    <w:rsid w:val="00F75AD0"/>
    <w:rsid w:val="00F76550"/>
    <w:rsid w:val="00F7774E"/>
    <w:rsid w:val="00F77E15"/>
    <w:rsid w:val="00F8083C"/>
    <w:rsid w:val="00F816EF"/>
    <w:rsid w:val="00F83686"/>
    <w:rsid w:val="00F83A04"/>
    <w:rsid w:val="00F841F0"/>
    <w:rsid w:val="00F86CBE"/>
    <w:rsid w:val="00F90E00"/>
    <w:rsid w:val="00F9106B"/>
    <w:rsid w:val="00F91213"/>
    <w:rsid w:val="00F9135C"/>
    <w:rsid w:val="00F919F7"/>
    <w:rsid w:val="00F91FFB"/>
    <w:rsid w:val="00F921E7"/>
    <w:rsid w:val="00F92584"/>
    <w:rsid w:val="00F942D1"/>
    <w:rsid w:val="00F95410"/>
    <w:rsid w:val="00F95760"/>
    <w:rsid w:val="00F969A7"/>
    <w:rsid w:val="00F97943"/>
    <w:rsid w:val="00FA06E2"/>
    <w:rsid w:val="00FA1429"/>
    <w:rsid w:val="00FA18A6"/>
    <w:rsid w:val="00FA1C03"/>
    <w:rsid w:val="00FA2EB1"/>
    <w:rsid w:val="00FA35C7"/>
    <w:rsid w:val="00FA4741"/>
    <w:rsid w:val="00FA4A35"/>
    <w:rsid w:val="00FA53F3"/>
    <w:rsid w:val="00FB04F0"/>
    <w:rsid w:val="00FB08C9"/>
    <w:rsid w:val="00FB0FD9"/>
    <w:rsid w:val="00FB1508"/>
    <w:rsid w:val="00FB1953"/>
    <w:rsid w:val="00FB3D7C"/>
    <w:rsid w:val="00FB5E63"/>
    <w:rsid w:val="00FB605E"/>
    <w:rsid w:val="00FB6990"/>
    <w:rsid w:val="00FC27F3"/>
    <w:rsid w:val="00FC2B3D"/>
    <w:rsid w:val="00FC2F6B"/>
    <w:rsid w:val="00FC3650"/>
    <w:rsid w:val="00FC3A27"/>
    <w:rsid w:val="00FC3F6A"/>
    <w:rsid w:val="00FC4326"/>
    <w:rsid w:val="00FC4B0E"/>
    <w:rsid w:val="00FC533D"/>
    <w:rsid w:val="00FC5EBD"/>
    <w:rsid w:val="00FC7479"/>
    <w:rsid w:val="00FC755F"/>
    <w:rsid w:val="00FC7B35"/>
    <w:rsid w:val="00FD0103"/>
    <w:rsid w:val="00FD3197"/>
    <w:rsid w:val="00FD3B42"/>
    <w:rsid w:val="00FD4212"/>
    <w:rsid w:val="00FD73AF"/>
    <w:rsid w:val="00FE0AC2"/>
    <w:rsid w:val="00FE2B49"/>
    <w:rsid w:val="00FE4850"/>
    <w:rsid w:val="00FE4EDA"/>
    <w:rsid w:val="00FF11FF"/>
    <w:rsid w:val="00FF122B"/>
    <w:rsid w:val="00FF144B"/>
    <w:rsid w:val="00FF2BD9"/>
    <w:rsid w:val="00FF2E84"/>
    <w:rsid w:val="00FF3E80"/>
    <w:rsid w:val="00FF4A35"/>
    <w:rsid w:val="00FF51F9"/>
    <w:rsid w:val="00FF62D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EA9EFB"/>
  <w15:docId w15:val="{E537CBC4-ECDA-4B4A-9261-84D43907F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4C7"/>
    <w:pPr>
      <w:spacing w:after="200" w:line="276" w:lineRule="auto"/>
    </w:pPr>
    <w:rPr>
      <w:sz w:val="22"/>
      <w:szCs w:val="22"/>
      <w:lang w:eastAsia="en-US"/>
    </w:rPr>
  </w:style>
  <w:style w:type="paragraph" w:styleId="Ttulo1">
    <w:name w:val="heading 1"/>
    <w:basedOn w:val="Normal"/>
    <w:next w:val="Normal"/>
    <w:link w:val="Ttulo1Car"/>
    <w:uiPriority w:val="9"/>
    <w:qFormat/>
    <w:rsid w:val="005416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h2"/>
    <w:basedOn w:val="Normal"/>
    <w:next w:val="Normal"/>
    <w:link w:val="Ttulo2Car"/>
    <w:uiPriority w:val="9"/>
    <w:qFormat/>
    <w:rsid w:val="009B28E6"/>
    <w:pPr>
      <w:keepNext/>
      <w:spacing w:after="0" w:line="240" w:lineRule="auto"/>
      <w:ind w:firstLine="2835"/>
      <w:jc w:val="both"/>
      <w:outlineLvl w:val="1"/>
    </w:pPr>
    <w:rPr>
      <w:rFonts w:ascii="Arial" w:eastAsia="Times New Roman" w:hAnsi="Arial"/>
      <w:b/>
      <w:sz w:val="24"/>
      <w:szCs w:val="20"/>
      <w:lang w:eastAsia="es-ES"/>
    </w:rPr>
  </w:style>
  <w:style w:type="paragraph" w:styleId="Ttulo7">
    <w:name w:val="heading 7"/>
    <w:basedOn w:val="Normal"/>
    <w:next w:val="Normal"/>
    <w:link w:val="Ttulo7Car"/>
    <w:qFormat/>
    <w:rsid w:val="009B28E6"/>
    <w:pPr>
      <w:keepNext/>
      <w:spacing w:after="0" w:line="240" w:lineRule="auto"/>
      <w:outlineLvl w:val="6"/>
    </w:pPr>
    <w:rPr>
      <w:rFonts w:ascii="Arial" w:eastAsia="Times New Roman" w:hAnsi="Arial"/>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2 Car"/>
    <w:link w:val="Ttulo2"/>
    <w:uiPriority w:val="9"/>
    <w:rsid w:val="009B28E6"/>
    <w:rPr>
      <w:rFonts w:ascii="Arial" w:eastAsia="Times New Roman" w:hAnsi="Arial" w:cs="Times New Roman"/>
      <w:b/>
      <w:sz w:val="24"/>
      <w:szCs w:val="20"/>
      <w:lang w:eastAsia="es-ES"/>
    </w:rPr>
  </w:style>
  <w:style w:type="character" w:customStyle="1" w:styleId="Ttulo7Car">
    <w:name w:val="Título 7 Car"/>
    <w:link w:val="Ttulo7"/>
    <w:rsid w:val="009B28E6"/>
    <w:rPr>
      <w:rFonts w:ascii="Arial" w:eastAsia="Times New Roman" w:hAnsi="Arial" w:cs="Times New Roman"/>
      <w:sz w:val="24"/>
      <w:szCs w:val="20"/>
      <w:lang w:eastAsia="es-ES"/>
    </w:rPr>
  </w:style>
  <w:style w:type="paragraph" w:styleId="Encabezado">
    <w:name w:val="header"/>
    <w:basedOn w:val="Normal"/>
    <w:link w:val="EncabezadoCar"/>
    <w:uiPriority w:val="99"/>
    <w:unhideWhenUsed/>
    <w:rsid w:val="009B28E6"/>
    <w:pPr>
      <w:tabs>
        <w:tab w:val="center" w:pos="4419"/>
        <w:tab w:val="right" w:pos="8838"/>
      </w:tabs>
      <w:spacing w:after="0" w:line="240" w:lineRule="auto"/>
    </w:pPr>
  </w:style>
  <w:style w:type="character" w:customStyle="1" w:styleId="EncabezadoCar">
    <w:name w:val="Encabezado Car"/>
    <w:link w:val="Encabezado"/>
    <w:uiPriority w:val="99"/>
    <w:rsid w:val="009B28E6"/>
    <w:rPr>
      <w:rFonts w:ascii="Calibri" w:eastAsia="Calibri" w:hAnsi="Calibri" w:cs="Times New Roman"/>
    </w:rPr>
  </w:style>
  <w:style w:type="paragraph" w:styleId="Piedepgina">
    <w:name w:val="footer"/>
    <w:basedOn w:val="Normal"/>
    <w:link w:val="PiedepginaCar"/>
    <w:uiPriority w:val="99"/>
    <w:unhideWhenUsed/>
    <w:rsid w:val="009B28E6"/>
    <w:pPr>
      <w:tabs>
        <w:tab w:val="center" w:pos="4419"/>
        <w:tab w:val="right" w:pos="8838"/>
      </w:tabs>
      <w:spacing w:after="0" w:line="240" w:lineRule="auto"/>
    </w:pPr>
  </w:style>
  <w:style w:type="character" w:customStyle="1" w:styleId="PiedepginaCar">
    <w:name w:val="Pie de página Car"/>
    <w:link w:val="Piedepgina"/>
    <w:uiPriority w:val="99"/>
    <w:rsid w:val="009B28E6"/>
    <w:rPr>
      <w:rFonts w:ascii="Calibri" w:eastAsia="Calibri" w:hAnsi="Calibri" w:cs="Times New Roman"/>
    </w:rPr>
  </w:style>
  <w:style w:type="paragraph" w:customStyle="1" w:styleId="estilo30">
    <w:name w:val="estilo30"/>
    <w:basedOn w:val="Normal"/>
    <w:rsid w:val="009B28E6"/>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eyenda">
    <w:name w:val="Leyenda"/>
    <w:basedOn w:val="Sangra3detindependiente"/>
    <w:rsid w:val="009B28E6"/>
  </w:style>
  <w:style w:type="paragraph" w:styleId="Prrafodelista">
    <w:name w:val="List Paragraph"/>
    <w:aliases w:val="prueba1"/>
    <w:basedOn w:val="Normal"/>
    <w:link w:val="PrrafodelistaCar"/>
    <w:uiPriority w:val="34"/>
    <w:qFormat/>
    <w:rsid w:val="009B28E6"/>
    <w:pPr>
      <w:ind w:left="720"/>
      <w:contextualSpacing/>
    </w:pPr>
    <w:rPr>
      <w:sz w:val="20"/>
      <w:szCs w:val="20"/>
      <w:lang w:val="x-none" w:eastAsia="x-none"/>
    </w:rPr>
  </w:style>
  <w:style w:type="character" w:customStyle="1" w:styleId="PrrafodelistaCar">
    <w:name w:val="Párrafo de lista Car"/>
    <w:aliases w:val="prueba1 Car"/>
    <w:link w:val="Prrafodelista"/>
    <w:uiPriority w:val="34"/>
    <w:qFormat/>
    <w:locked/>
    <w:rsid w:val="009B28E6"/>
    <w:rPr>
      <w:rFonts w:ascii="Calibri" w:eastAsia="Calibri" w:hAnsi="Calibri" w:cs="Times New Roman"/>
    </w:rPr>
  </w:style>
  <w:style w:type="character" w:styleId="Refdenotaalpie">
    <w:name w:val="footnote reference"/>
    <w:aliases w:val="(NECG) Footnote Reference,o,fr,Style 3,Appel note de bas de p,Style 12,Style 124,Ref,de nota al pie,Ref. de nota al pie 2"/>
    <w:uiPriority w:val="99"/>
    <w:qFormat/>
    <w:rsid w:val="009B28E6"/>
    <w:rPr>
      <w:vertAlign w:val="superscript"/>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qFormat/>
    <w:rsid w:val="009B28E6"/>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link w:val="Textonotapie"/>
    <w:rsid w:val="009B28E6"/>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9B28E6"/>
    <w:pPr>
      <w:spacing w:after="120"/>
    </w:pPr>
    <w:rPr>
      <w:sz w:val="16"/>
      <w:szCs w:val="16"/>
    </w:rPr>
  </w:style>
  <w:style w:type="character" w:customStyle="1" w:styleId="Textoindependiente3Car">
    <w:name w:val="Texto independiente 3 Car"/>
    <w:link w:val="Textoindependiente3"/>
    <w:uiPriority w:val="99"/>
    <w:semiHidden/>
    <w:rsid w:val="009B28E6"/>
    <w:rPr>
      <w:rFonts w:ascii="Calibri" w:eastAsia="Calibri" w:hAnsi="Calibri" w:cs="Times New Roman"/>
      <w:sz w:val="16"/>
      <w:szCs w:val="16"/>
    </w:rPr>
  </w:style>
  <w:style w:type="paragraph" w:styleId="Sangra3detindependiente">
    <w:name w:val="Body Text Indent 3"/>
    <w:basedOn w:val="Normal"/>
    <w:link w:val="Sangra3detindependienteCar"/>
    <w:uiPriority w:val="99"/>
    <w:semiHidden/>
    <w:unhideWhenUsed/>
    <w:rsid w:val="009B28E6"/>
    <w:pPr>
      <w:spacing w:after="120"/>
      <w:ind w:left="283"/>
    </w:pPr>
    <w:rPr>
      <w:sz w:val="16"/>
      <w:szCs w:val="16"/>
    </w:rPr>
  </w:style>
  <w:style w:type="character" w:customStyle="1" w:styleId="Sangra3detindependienteCar">
    <w:name w:val="Sangría 3 de t. independiente Car"/>
    <w:link w:val="Sangra3detindependiente"/>
    <w:uiPriority w:val="99"/>
    <w:semiHidden/>
    <w:rsid w:val="009B28E6"/>
    <w:rPr>
      <w:rFonts w:ascii="Calibri" w:eastAsia="Calibri" w:hAnsi="Calibri" w:cs="Times New Roman"/>
      <w:sz w:val="16"/>
      <w:szCs w:val="16"/>
    </w:rPr>
  </w:style>
  <w:style w:type="character" w:styleId="Hipervnculo">
    <w:name w:val="Hyperlink"/>
    <w:uiPriority w:val="99"/>
    <w:unhideWhenUsed/>
    <w:rsid w:val="000C2BA6"/>
    <w:rPr>
      <w:color w:val="0563C1"/>
      <w:u w:val="single"/>
    </w:rPr>
  </w:style>
  <w:style w:type="paragraph" w:customStyle="1" w:styleId="Texto">
    <w:name w:val="Texto"/>
    <w:basedOn w:val="Normal"/>
    <w:link w:val="TextoCar"/>
    <w:rsid w:val="000C2BA6"/>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0C2BA6"/>
    <w:pPr>
      <w:tabs>
        <w:tab w:val="left" w:pos="720"/>
      </w:tabs>
      <w:spacing w:after="101" w:line="216" w:lineRule="exact"/>
      <w:ind w:left="720" w:hanging="432"/>
      <w:jc w:val="both"/>
    </w:pPr>
    <w:rPr>
      <w:rFonts w:ascii="Arial" w:eastAsia="Times New Roman" w:hAnsi="Arial"/>
      <w:sz w:val="18"/>
      <w:szCs w:val="18"/>
      <w:lang w:val="es-ES" w:eastAsia="es-ES"/>
    </w:rPr>
  </w:style>
  <w:style w:type="paragraph" w:customStyle="1" w:styleId="INCISO">
    <w:name w:val="INCISO"/>
    <w:basedOn w:val="Normal"/>
    <w:rsid w:val="000C2BA6"/>
    <w:pPr>
      <w:spacing w:after="101" w:line="216" w:lineRule="exact"/>
      <w:ind w:left="1080" w:hanging="360"/>
      <w:jc w:val="both"/>
    </w:pPr>
    <w:rPr>
      <w:rFonts w:ascii="Arial" w:eastAsia="Times New Roman" w:hAnsi="Arial" w:cs="Arial"/>
      <w:sz w:val="18"/>
      <w:szCs w:val="18"/>
      <w:lang w:val="es-ES" w:eastAsia="es-MX"/>
    </w:rPr>
  </w:style>
  <w:style w:type="character" w:customStyle="1" w:styleId="TextoCar">
    <w:name w:val="Texto Car"/>
    <w:link w:val="Texto"/>
    <w:locked/>
    <w:rsid w:val="000C2BA6"/>
    <w:rPr>
      <w:rFonts w:ascii="Arial" w:eastAsia="Times New Roman" w:hAnsi="Arial" w:cs="Arial"/>
      <w:sz w:val="18"/>
      <w:szCs w:val="20"/>
      <w:lang w:val="es-ES" w:eastAsia="es-ES"/>
    </w:rPr>
  </w:style>
  <w:style w:type="character" w:customStyle="1" w:styleId="ROMANOSCar">
    <w:name w:val="ROMANOS Car"/>
    <w:link w:val="ROMANOS"/>
    <w:locked/>
    <w:rsid w:val="000C2BA6"/>
    <w:rPr>
      <w:rFonts w:ascii="Arial" w:eastAsia="Times New Roman" w:hAnsi="Arial" w:cs="Arial"/>
      <w:sz w:val="18"/>
      <w:szCs w:val="18"/>
      <w:lang w:val="es-ES" w:eastAsia="es-ES"/>
    </w:rPr>
  </w:style>
  <w:style w:type="paragraph" w:styleId="Textoindependiente">
    <w:name w:val="Body Text"/>
    <w:basedOn w:val="Normal"/>
    <w:link w:val="TextoindependienteCar"/>
    <w:uiPriority w:val="99"/>
    <w:semiHidden/>
    <w:unhideWhenUsed/>
    <w:rsid w:val="00464292"/>
    <w:pPr>
      <w:spacing w:after="120"/>
    </w:pPr>
  </w:style>
  <w:style w:type="character" w:customStyle="1" w:styleId="TextoindependienteCar">
    <w:name w:val="Texto independiente Car"/>
    <w:link w:val="Textoindependiente"/>
    <w:uiPriority w:val="99"/>
    <w:semiHidden/>
    <w:rsid w:val="00464292"/>
    <w:rPr>
      <w:rFonts w:ascii="Calibri" w:eastAsia="Calibri" w:hAnsi="Calibri" w:cs="Times New Roman"/>
    </w:rPr>
  </w:style>
  <w:style w:type="character" w:customStyle="1" w:styleId="apple-converted-space">
    <w:name w:val="apple-converted-space"/>
    <w:rsid w:val="00464292"/>
  </w:style>
  <w:style w:type="character" w:styleId="Hipervnculovisitado">
    <w:name w:val="FollowedHyperlink"/>
    <w:uiPriority w:val="99"/>
    <w:semiHidden/>
    <w:unhideWhenUsed/>
    <w:rsid w:val="008A328E"/>
    <w:rPr>
      <w:color w:val="954F72"/>
      <w:u w:val="single"/>
    </w:rPr>
  </w:style>
  <w:style w:type="paragraph" w:styleId="Textodeglobo">
    <w:name w:val="Balloon Text"/>
    <w:basedOn w:val="Normal"/>
    <w:link w:val="TextodegloboCar"/>
    <w:uiPriority w:val="99"/>
    <w:semiHidden/>
    <w:unhideWhenUsed/>
    <w:rsid w:val="00CB368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CB3689"/>
    <w:rPr>
      <w:rFonts w:ascii="Segoe UI" w:hAnsi="Segoe UI" w:cs="Segoe UI"/>
      <w:sz w:val="18"/>
      <w:szCs w:val="18"/>
      <w:lang w:eastAsia="en-US"/>
    </w:rPr>
  </w:style>
  <w:style w:type="character" w:styleId="Refdecomentario">
    <w:name w:val="annotation reference"/>
    <w:uiPriority w:val="99"/>
    <w:unhideWhenUsed/>
    <w:rsid w:val="005E5174"/>
    <w:rPr>
      <w:sz w:val="16"/>
      <w:szCs w:val="16"/>
    </w:rPr>
  </w:style>
  <w:style w:type="paragraph" w:styleId="Textocomentario">
    <w:name w:val="annotation text"/>
    <w:basedOn w:val="Normal"/>
    <w:link w:val="TextocomentarioCar"/>
    <w:uiPriority w:val="99"/>
    <w:unhideWhenUsed/>
    <w:rsid w:val="005E5174"/>
    <w:rPr>
      <w:sz w:val="20"/>
      <w:szCs w:val="20"/>
    </w:rPr>
  </w:style>
  <w:style w:type="character" w:customStyle="1" w:styleId="TextocomentarioCar">
    <w:name w:val="Texto comentario Car"/>
    <w:link w:val="Textocomentario"/>
    <w:uiPriority w:val="99"/>
    <w:rsid w:val="005E5174"/>
    <w:rPr>
      <w:lang w:eastAsia="en-US"/>
    </w:rPr>
  </w:style>
  <w:style w:type="paragraph" w:styleId="Asuntodelcomentario">
    <w:name w:val="annotation subject"/>
    <w:basedOn w:val="Textocomentario"/>
    <w:next w:val="Textocomentario"/>
    <w:link w:val="AsuntodelcomentarioCar"/>
    <w:uiPriority w:val="99"/>
    <w:semiHidden/>
    <w:unhideWhenUsed/>
    <w:rsid w:val="005E5174"/>
    <w:rPr>
      <w:b/>
      <w:bCs/>
    </w:rPr>
  </w:style>
  <w:style w:type="character" w:customStyle="1" w:styleId="AsuntodelcomentarioCar">
    <w:name w:val="Asunto del comentario Car"/>
    <w:link w:val="Asuntodelcomentario"/>
    <w:uiPriority w:val="99"/>
    <w:semiHidden/>
    <w:rsid w:val="005E5174"/>
    <w:rPr>
      <w:b/>
      <w:bCs/>
      <w:lang w:eastAsia="en-US"/>
    </w:rPr>
  </w:style>
  <w:style w:type="paragraph" w:styleId="Listaconvietas">
    <w:name w:val="List Bullet"/>
    <w:basedOn w:val="Normal"/>
    <w:uiPriority w:val="99"/>
    <w:qFormat/>
    <w:rsid w:val="00405A72"/>
    <w:pPr>
      <w:numPr>
        <w:numId w:val="1"/>
      </w:numPr>
      <w:spacing w:after="0" w:line="240" w:lineRule="auto"/>
      <w:contextualSpacing/>
      <w:jc w:val="both"/>
    </w:pPr>
    <w:rPr>
      <w:rFonts w:ascii="Arial" w:eastAsia="Times New Roman" w:hAnsi="Arial"/>
      <w:szCs w:val="24"/>
      <w:lang w:eastAsia="es-ES"/>
    </w:rPr>
  </w:style>
  <w:style w:type="paragraph" w:customStyle="1" w:styleId="Default">
    <w:name w:val="Default"/>
    <w:rsid w:val="009777BB"/>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152778"/>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Sombreadoclaro1">
    <w:name w:val="Sombreado claro1"/>
    <w:basedOn w:val="Tablanormal"/>
    <w:uiPriority w:val="60"/>
    <w:rsid w:val="00BC7520"/>
    <w:rPr>
      <w:rFonts w:asciiTheme="minorHAnsi" w:eastAsiaTheme="minorHAnsi" w:hAnsiTheme="minorHAnsi" w:cstheme="minorBidi"/>
      <w:color w:val="000000" w:themeColor="text1" w:themeShade="BF"/>
      <w:sz w:val="22"/>
      <w:szCs w:val="22"/>
      <w:lang w:val="es-E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n">
    <w:name w:val="Revision"/>
    <w:hidden/>
    <w:uiPriority w:val="99"/>
    <w:semiHidden/>
    <w:rsid w:val="00DF157F"/>
    <w:rPr>
      <w:sz w:val="22"/>
      <w:szCs w:val="22"/>
      <w:lang w:eastAsia="en-US"/>
    </w:rPr>
  </w:style>
  <w:style w:type="character" w:customStyle="1" w:styleId="Ttulo1Car">
    <w:name w:val="Título 1 Car"/>
    <w:basedOn w:val="Fuentedeprrafopredeter"/>
    <w:link w:val="Ttulo1"/>
    <w:uiPriority w:val="9"/>
    <w:rsid w:val="00541615"/>
    <w:rPr>
      <w:rFonts w:asciiTheme="majorHAnsi" w:eastAsiaTheme="majorEastAsia" w:hAnsiTheme="majorHAnsi" w:cstheme="majorBidi"/>
      <w:color w:val="2E74B5" w:themeColor="accent1" w:themeShade="BF"/>
      <w:sz w:val="32"/>
      <w:szCs w:val="32"/>
      <w:lang w:eastAsia="en-US"/>
    </w:rPr>
  </w:style>
  <w:style w:type="paragraph" w:customStyle="1" w:styleId="Citaift">
    <w:name w:val="Cita ift"/>
    <w:basedOn w:val="Normal"/>
    <w:link w:val="CitaiftCar"/>
    <w:qFormat/>
    <w:rsid w:val="00D0756B"/>
    <w:pPr>
      <w:adjustRightInd w:val="0"/>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D0756B"/>
    <w:rPr>
      <w:rFonts w:ascii="ITC Avant Garde" w:eastAsia="Times New Roman" w:hAnsi="ITC Avant Garde" w:cs="Arial"/>
      <w:i/>
      <w:color w:val="000000"/>
      <w:sz w:val="18"/>
      <w:szCs w:val="18"/>
      <w:lang w:eastAsia="es-ES"/>
    </w:rPr>
  </w:style>
  <w:style w:type="paragraph" w:customStyle="1" w:styleId="NumeracinIFT">
    <w:name w:val="Numeración IFT"/>
    <w:basedOn w:val="Prrafodelista"/>
    <w:link w:val="NumeracinIFTCar"/>
    <w:qFormat/>
    <w:rsid w:val="002E45EC"/>
    <w:pPr>
      <w:ind w:left="1571" w:hanging="360"/>
      <w:jc w:val="both"/>
    </w:pPr>
    <w:rPr>
      <w:rFonts w:ascii="ITC Avant Garde" w:eastAsia="Times New Roman" w:hAnsi="ITC Avant Garde"/>
      <w:iCs/>
      <w:sz w:val="22"/>
      <w:szCs w:val="22"/>
      <w:lang w:val="es-MX" w:eastAsia="en-US"/>
    </w:rPr>
  </w:style>
  <w:style w:type="character" w:customStyle="1" w:styleId="NumeracinIFTCar">
    <w:name w:val="Numeración IFT Car"/>
    <w:link w:val="NumeracinIFT"/>
    <w:rsid w:val="002E45EC"/>
    <w:rPr>
      <w:rFonts w:ascii="ITC Avant Garde" w:eastAsia="Times New Roman" w:hAnsi="ITC Avant Garde"/>
      <w:i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51412">
      <w:bodyDiv w:val="1"/>
      <w:marLeft w:val="0"/>
      <w:marRight w:val="0"/>
      <w:marTop w:val="0"/>
      <w:marBottom w:val="0"/>
      <w:divBdr>
        <w:top w:val="none" w:sz="0" w:space="0" w:color="auto"/>
        <w:left w:val="none" w:sz="0" w:space="0" w:color="auto"/>
        <w:bottom w:val="none" w:sz="0" w:space="0" w:color="auto"/>
        <w:right w:val="none" w:sz="0" w:space="0" w:color="auto"/>
      </w:divBdr>
    </w:div>
    <w:div w:id="87315848">
      <w:bodyDiv w:val="1"/>
      <w:marLeft w:val="0"/>
      <w:marRight w:val="0"/>
      <w:marTop w:val="0"/>
      <w:marBottom w:val="0"/>
      <w:divBdr>
        <w:top w:val="none" w:sz="0" w:space="0" w:color="auto"/>
        <w:left w:val="none" w:sz="0" w:space="0" w:color="auto"/>
        <w:bottom w:val="none" w:sz="0" w:space="0" w:color="auto"/>
        <w:right w:val="none" w:sz="0" w:space="0" w:color="auto"/>
      </w:divBdr>
    </w:div>
    <w:div w:id="386270668">
      <w:bodyDiv w:val="1"/>
      <w:marLeft w:val="0"/>
      <w:marRight w:val="0"/>
      <w:marTop w:val="0"/>
      <w:marBottom w:val="0"/>
      <w:divBdr>
        <w:top w:val="none" w:sz="0" w:space="0" w:color="auto"/>
        <w:left w:val="none" w:sz="0" w:space="0" w:color="auto"/>
        <w:bottom w:val="none" w:sz="0" w:space="0" w:color="auto"/>
        <w:right w:val="none" w:sz="0" w:space="0" w:color="auto"/>
      </w:divBdr>
    </w:div>
    <w:div w:id="545143668">
      <w:bodyDiv w:val="1"/>
      <w:marLeft w:val="0"/>
      <w:marRight w:val="0"/>
      <w:marTop w:val="0"/>
      <w:marBottom w:val="0"/>
      <w:divBdr>
        <w:top w:val="none" w:sz="0" w:space="0" w:color="auto"/>
        <w:left w:val="none" w:sz="0" w:space="0" w:color="auto"/>
        <w:bottom w:val="none" w:sz="0" w:space="0" w:color="auto"/>
        <w:right w:val="none" w:sz="0" w:space="0" w:color="auto"/>
      </w:divBdr>
    </w:div>
    <w:div w:id="564219818">
      <w:bodyDiv w:val="1"/>
      <w:marLeft w:val="0"/>
      <w:marRight w:val="0"/>
      <w:marTop w:val="0"/>
      <w:marBottom w:val="0"/>
      <w:divBdr>
        <w:top w:val="none" w:sz="0" w:space="0" w:color="auto"/>
        <w:left w:val="none" w:sz="0" w:space="0" w:color="auto"/>
        <w:bottom w:val="none" w:sz="0" w:space="0" w:color="auto"/>
        <w:right w:val="none" w:sz="0" w:space="0" w:color="auto"/>
      </w:divBdr>
    </w:div>
    <w:div w:id="686441961">
      <w:bodyDiv w:val="1"/>
      <w:marLeft w:val="0"/>
      <w:marRight w:val="0"/>
      <w:marTop w:val="0"/>
      <w:marBottom w:val="0"/>
      <w:divBdr>
        <w:top w:val="none" w:sz="0" w:space="0" w:color="auto"/>
        <w:left w:val="none" w:sz="0" w:space="0" w:color="auto"/>
        <w:bottom w:val="none" w:sz="0" w:space="0" w:color="auto"/>
        <w:right w:val="none" w:sz="0" w:space="0" w:color="auto"/>
      </w:divBdr>
      <w:divsChild>
        <w:div w:id="1635215538">
          <w:marLeft w:val="0"/>
          <w:marRight w:val="0"/>
          <w:marTop w:val="240"/>
          <w:marBottom w:val="0"/>
          <w:divBdr>
            <w:top w:val="none" w:sz="0" w:space="0" w:color="auto"/>
            <w:left w:val="none" w:sz="0" w:space="0" w:color="auto"/>
            <w:bottom w:val="none" w:sz="0" w:space="0" w:color="auto"/>
            <w:right w:val="none" w:sz="0" w:space="0" w:color="auto"/>
          </w:divBdr>
          <w:divsChild>
            <w:div w:id="450325151">
              <w:marLeft w:val="0"/>
              <w:marRight w:val="0"/>
              <w:marTop w:val="0"/>
              <w:marBottom w:val="0"/>
              <w:divBdr>
                <w:top w:val="none" w:sz="0" w:space="0" w:color="auto"/>
                <w:left w:val="none" w:sz="0" w:space="0" w:color="auto"/>
                <w:bottom w:val="none" w:sz="0" w:space="0" w:color="auto"/>
                <w:right w:val="none" w:sz="0" w:space="0" w:color="auto"/>
              </w:divBdr>
              <w:divsChild>
                <w:div w:id="1966348954">
                  <w:marLeft w:val="0"/>
                  <w:marRight w:val="0"/>
                  <w:marTop w:val="0"/>
                  <w:marBottom w:val="0"/>
                  <w:divBdr>
                    <w:top w:val="none" w:sz="0" w:space="0" w:color="auto"/>
                    <w:left w:val="none" w:sz="0" w:space="0" w:color="auto"/>
                    <w:bottom w:val="none" w:sz="0" w:space="0" w:color="auto"/>
                    <w:right w:val="none" w:sz="0" w:space="0" w:color="auto"/>
                  </w:divBdr>
                  <w:divsChild>
                    <w:div w:id="393430956">
                      <w:marLeft w:val="1008"/>
                      <w:marRight w:val="0"/>
                      <w:marTop w:val="0"/>
                      <w:marBottom w:val="101"/>
                      <w:divBdr>
                        <w:top w:val="none" w:sz="0" w:space="0" w:color="auto"/>
                        <w:left w:val="none" w:sz="0" w:space="0" w:color="auto"/>
                        <w:bottom w:val="none" w:sz="0" w:space="0" w:color="auto"/>
                        <w:right w:val="none" w:sz="0" w:space="0" w:color="auto"/>
                      </w:divBdr>
                    </w:div>
                    <w:div w:id="477961869">
                      <w:marLeft w:val="1008"/>
                      <w:marRight w:val="0"/>
                      <w:marTop w:val="0"/>
                      <w:marBottom w:val="101"/>
                      <w:divBdr>
                        <w:top w:val="none" w:sz="0" w:space="0" w:color="auto"/>
                        <w:left w:val="none" w:sz="0" w:space="0" w:color="auto"/>
                        <w:bottom w:val="none" w:sz="0" w:space="0" w:color="auto"/>
                        <w:right w:val="none" w:sz="0" w:space="0" w:color="auto"/>
                      </w:divBdr>
                    </w:div>
                    <w:div w:id="528881280">
                      <w:marLeft w:val="1008"/>
                      <w:marRight w:val="0"/>
                      <w:marTop w:val="0"/>
                      <w:marBottom w:val="101"/>
                      <w:divBdr>
                        <w:top w:val="none" w:sz="0" w:space="0" w:color="auto"/>
                        <w:left w:val="none" w:sz="0" w:space="0" w:color="auto"/>
                        <w:bottom w:val="none" w:sz="0" w:space="0" w:color="auto"/>
                        <w:right w:val="none" w:sz="0" w:space="0" w:color="auto"/>
                      </w:divBdr>
                    </w:div>
                    <w:div w:id="616302158">
                      <w:marLeft w:val="1008"/>
                      <w:marRight w:val="0"/>
                      <w:marTop w:val="0"/>
                      <w:marBottom w:val="101"/>
                      <w:divBdr>
                        <w:top w:val="none" w:sz="0" w:space="0" w:color="auto"/>
                        <w:left w:val="none" w:sz="0" w:space="0" w:color="auto"/>
                        <w:bottom w:val="none" w:sz="0" w:space="0" w:color="auto"/>
                        <w:right w:val="none" w:sz="0" w:space="0" w:color="auto"/>
                      </w:divBdr>
                    </w:div>
                    <w:div w:id="634257470">
                      <w:marLeft w:val="1008"/>
                      <w:marRight w:val="0"/>
                      <w:marTop w:val="0"/>
                      <w:marBottom w:val="101"/>
                      <w:divBdr>
                        <w:top w:val="none" w:sz="0" w:space="0" w:color="auto"/>
                        <w:left w:val="none" w:sz="0" w:space="0" w:color="auto"/>
                        <w:bottom w:val="none" w:sz="0" w:space="0" w:color="auto"/>
                        <w:right w:val="none" w:sz="0" w:space="0" w:color="auto"/>
                      </w:divBdr>
                    </w:div>
                    <w:div w:id="746732823">
                      <w:marLeft w:val="1008"/>
                      <w:marRight w:val="0"/>
                      <w:marTop w:val="0"/>
                      <w:marBottom w:val="101"/>
                      <w:divBdr>
                        <w:top w:val="none" w:sz="0" w:space="0" w:color="auto"/>
                        <w:left w:val="none" w:sz="0" w:space="0" w:color="auto"/>
                        <w:bottom w:val="none" w:sz="0" w:space="0" w:color="auto"/>
                        <w:right w:val="none" w:sz="0" w:space="0" w:color="auto"/>
                      </w:divBdr>
                    </w:div>
                    <w:div w:id="761293196">
                      <w:marLeft w:val="1008"/>
                      <w:marRight w:val="0"/>
                      <w:marTop w:val="0"/>
                      <w:marBottom w:val="101"/>
                      <w:divBdr>
                        <w:top w:val="none" w:sz="0" w:space="0" w:color="auto"/>
                        <w:left w:val="none" w:sz="0" w:space="0" w:color="auto"/>
                        <w:bottom w:val="none" w:sz="0" w:space="0" w:color="auto"/>
                        <w:right w:val="none" w:sz="0" w:space="0" w:color="auto"/>
                      </w:divBdr>
                    </w:div>
                    <w:div w:id="761295648">
                      <w:marLeft w:val="1008"/>
                      <w:marRight w:val="0"/>
                      <w:marTop w:val="0"/>
                      <w:marBottom w:val="101"/>
                      <w:divBdr>
                        <w:top w:val="none" w:sz="0" w:space="0" w:color="auto"/>
                        <w:left w:val="none" w:sz="0" w:space="0" w:color="auto"/>
                        <w:bottom w:val="none" w:sz="0" w:space="0" w:color="auto"/>
                        <w:right w:val="none" w:sz="0" w:space="0" w:color="auto"/>
                      </w:divBdr>
                    </w:div>
                    <w:div w:id="780951206">
                      <w:marLeft w:val="1008"/>
                      <w:marRight w:val="0"/>
                      <w:marTop w:val="0"/>
                      <w:marBottom w:val="101"/>
                      <w:divBdr>
                        <w:top w:val="none" w:sz="0" w:space="0" w:color="auto"/>
                        <w:left w:val="none" w:sz="0" w:space="0" w:color="auto"/>
                        <w:bottom w:val="none" w:sz="0" w:space="0" w:color="auto"/>
                        <w:right w:val="none" w:sz="0" w:space="0" w:color="auto"/>
                      </w:divBdr>
                    </w:div>
                    <w:div w:id="826480111">
                      <w:marLeft w:val="1008"/>
                      <w:marRight w:val="0"/>
                      <w:marTop w:val="0"/>
                      <w:marBottom w:val="101"/>
                      <w:divBdr>
                        <w:top w:val="none" w:sz="0" w:space="0" w:color="auto"/>
                        <w:left w:val="none" w:sz="0" w:space="0" w:color="auto"/>
                        <w:bottom w:val="none" w:sz="0" w:space="0" w:color="auto"/>
                        <w:right w:val="none" w:sz="0" w:space="0" w:color="auto"/>
                      </w:divBdr>
                    </w:div>
                    <w:div w:id="1079257398">
                      <w:marLeft w:val="1008"/>
                      <w:marRight w:val="0"/>
                      <w:marTop w:val="0"/>
                      <w:marBottom w:val="101"/>
                      <w:divBdr>
                        <w:top w:val="none" w:sz="0" w:space="0" w:color="auto"/>
                        <w:left w:val="none" w:sz="0" w:space="0" w:color="auto"/>
                        <w:bottom w:val="none" w:sz="0" w:space="0" w:color="auto"/>
                        <w:right w:val="none" w:sz="0" w:space="0" w:color="auto"/>
                      </w:divBdr>
                    </w:div>
                    <w:div w:id="1282805111">
                      <w:marLeft w:val="1008"/>
                      <w:marRight w:val="0"/>
                      <w:marTop w:val="0"/>
                      <w:marBottom w:val="101"/>
                      <w:divBdr>
                        <w:top w:val="none" w:sz="0" w:space="0" w:color="auto"/>
                        <w:left w:val="none" w:sz="0" w:space="0" w:color="auto"/>
                        <w:bottom w:val="none" w:sz="0" w:space="0" w:color="auto"/>
                        <w:right w:val="none" w:sz="0" w:space="0" w:color="auto"/>
                      </w:divBdr>
                    </w:div>
                    <w:div w:id="1286153093">
                      <w:marLeft w:val="1008"/>
                      <w:marRight w:val="0"/>
                      <w:marTop w:val="0"/>
                      <w:marBottom w:val="101"/>
                      <w:divBdr>
                        <w:top w:val="none" w:sz="0" w:space="0" w:color="auto"/>
                        <w:left w:val="none" w:sz="0" w:space="0" w:color="auto"/>
                        <w:bottom w:val="none" w:sz="0" w:space="0" w:color="auto"/>
                        <w:right w:val="none" w:sz="0" w:space="0" w:color="auto"/>
                      </w:divBdr>
                    </w:div>
                    <w:div w:id="1351641517">
                      <w:marLeft w:val="0"/>
                      <w:marRight w:val="0"/>
                      <w:marTop w:val="0"/>
                      <w:marBottom w:val="101"/>
                      <w:divBdr>
                        <w:top w:val="none" w:sz="0" w:space="0" w:color="auto"/>
                        <w:left w:val="none" w:sz="0" w:space="0" w:color="auto"/>
                        <w:bottom w:val="none" w:sz="0" w:space="0" w:color="auto"/>
                        <w:right w:val="none" w:sz="0" w:space="0" w:color="auto"/>
                      </w:divBdr>
                    </w:div>
                    <w:div w:id="1352296164">
                      <w:marLeft w:val="1008"/>
                      <w:marRight w:val="0"/>
                      <w:marTop w:val="0"/>
                      <w:marBottom w:val="101"/>
                      <w:divBdr>
                        <w:top w:val="none" w:sz="0" w:space="0" w:color="auto"/>
                        <w:left w:val="none" w:sz="0" w:space="0" w:color="auto"/>
                        <w:bottom w:val="none" w:sz="0" w:space="0" w:color="auto"/>
                        <w:right w:val="none" w:sz="0" w:space="0" w:color="auto"/>
                      </w:divBdr>
                    </w:div>
                    <w:div w:id="1487823570">
                      <w:marLeft w:val="1008"/>
                      <w:marRight w:val="0"/>
                      <w:marTop w:val="0"/>
                      <w:marBottom w:val="101"/>
                      <w:divBdr>
                        <w:top w:val="none" w:sz="0" w:space="0" w:color="auto"/>
                        <w:left w:val="none" w:sz="0" w:space="0" w:color="auto"/>
                        <w:bottom w:val="none" w:sz="0" w:space="0" w:color="auto"/>
                        <w:right w:val="none" w:sz="0" w:space="0" w:color="auto"/>
                      </w:divBdr>
                    </w:div>
                    <w:div w:id="1507596374">
                      <w:marLeft w:val="1008"/>
                      <w:marRight w:val="0"/>
                      <w:marTop w:val="0"/>
                      <w:marBottom w:val="101"/>
                      <w:divBdr>
                        <w:top w:val="none" w:sz="0" w:space="0" w:color="auto"/>
                        <w:left w:val="none" w:sz="0" w:space="0" w:color="auto"/>
                        <w:bottom w:val="none" w:sz="0" w:space="0" w:color="auto"/>
                        <w:right w:val="none" w:sz="0" w:space="0" w:color="auto"/>
                      </w:divBdr>
                    </w:div>
                    <w:div w:id="1988900971">
                      <w:marLeft w:val="1008"/>
                      <w:marRight w:val="0"/>
                      <w:marTop w:val="0"/>
                      <w:marBottom w:val="101"/>
                      <w:divBdr>
                        <w:top w:val="none" w:sz="0" w:space="0" w:color="auto"/>
                        <w:left w:val="none" w:sz="0" w:space="0" w:color="auto"/>
                        <w:bottom w:val="none" w:sz="0" w:space="0" w:color="auto"/>
                        <w:right w:val="none" w:sz="0" w:space="0" w:color="auto"/>
                      </w:divBdr>
                    </w:div>
                    <w:div w:id="2043548525">
                      <w:marLeft w:val="100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42095971">
      <w:bodyDiv w:val="1"/>
      <w:marLeft w:val="0"/>
      <w:marRight w:val="0"/>
      <w:marTop w:val="0"/>
      <w:marBottom w:val="0"/>
      <w:divBdr>
        <w:top w:val="none" w:sz="0" w:space="0" w:color="auto"/>
        <w:left w:val="none" w:sz="0" w:space="0" w:color="auto"/>
        <w:bottom w:val="none" w:sz="0" w:space="0" w:color="auto"/>
        <w:right w:val="none" w:sz="0" w:space="0" w:color="auto"/>
      </w:divBdr>
      <w:divsChild>
        <w:div w:id="1794905944">
          <w:marLeft w:val="0"/>
          <w:marRight w:val="0"/>
          <w:marTop w:val="0"/>
          <w:marBottom w:val="80"/>
          <w:divBdr>
            <w:top w:val="none" w:sz="0" w:space="0" w:color="auto"/>
            <w:left w:val="none" w:sz="0" w:space="0" w:color="auto"/>
            <w:bottom w:val="none" w:sz="0" w:space="0" w:color="auto"/>
            <w:right w:val="none" w:sz="0" w:space="0" w:color="auto"/>
          </w:divBdr>
        </w:div>
        <w:div w:id="283974099">
          <w:marLeft w:val="0"/>
          <w:marRight w:val="0"/>
          <w:marTop w:val="0"/>
          <w:marBottom w:val="80"/>
          <w:divBdr>
            <w:top w:val="none" w:sz="0" w:space="0" w:color="auto"/>
            <w:left w:val="none" w:sz="0" w:space="0" w:color="auto"/>
            <w:bottom w:val="none" w:sz="0" w:space="0" w:color="auto"/>
            <w:right w:val="none" w:sz="0" w:space="0" w:color="auto"/>
          </w:divBdr>
        </w:div>
      </w:divsChild>
    </w:div>
    <w:div w:id="1072388736">
      <w:bodyDiv w:val="1"/>
      <w:marLeft w:val="0"/>
      <w:marRight w:val="0"/>
      <w:marTop w:val="0"/>
      <w:marBottom w:val="0"/>
      <w:divBdr>
        <w:top w:val="none" w:sz="0" w:space="0" w:color="auto"/>
        <w:left w:val="none" w:sz="0" w:space="0" w:color="auto"/>
        <w:bottom w:val="none" w:sz="0" w:space="0" w:color="auto"/>
        <w:right w:val="none" w:sz="0" w:space="0" w:color="auto"/>
      </w:divBdr>
    </w:div>
    <w:div w:id="1177616851">
      <w:bodyDiv w:val="1"/>
      <w:marLeft w:val="0"/>
      <w:marRight w:val="0"/>
      <w:marTop w:val="0"/>
      <w:marBottom w:val="0"/>
      <w:divBdr>
        <w:top w:val="none" w:sz="0" w:space="0" w:color="auto"/>
        <w:left w:val="none" w:sz="0" w:space="0" w:color="auto"/>
        <w:bottom w:val="none" w:sz="0" w:space="0" w:color="auto"/>
        <w:right w:val="none" w:sz="0" w:space="0" w:color="auto"/>
      </w:divBdr>
    </w:div>
    <w:div w:id="1212502197">
      <w:bodyDiv w:val="1"/>
      <w:marLeft w:val="0"/>
      <w:marRight w:val="0"/>
      <w:marTop w:val="0"/>
      <w:marBottom w:val="0"/>
      <w:divBdr>
        <w:top w:val="none" w:sz="0" w:space="0" w:color="auto"/>
        <w:left w:val="none" w:sz="0" w:space="0" w:color="auto"/>
        <w:bottom w:val="none" w:sz="0" w:space="0" w:color="auto"/>
        <w:right w:val="none" w:sz="0" w:space="0" w:color="auto"/>
      </w:divBdr>
    </w:div>
    <w:div w:id="1226186514">
      <w:bodyDiv w:val="1"/>
      <w:marLeft w:val="0"/>
      <w:marRight w:val="0"/>
      <w:marTop w:val="0"/>
      <w:marBottom w:val="0"/>
      <w:divBdr>
        <w:top w:val="none" w:sz="0" w:space="0" w:color="auto"/>
        <w:left w:val="none" w:sz="0" w:space="0" w:color="auto"/>
        <w:bottom w:val="none" w:sz="0" w:space="0" w:color="auto"/>
        <w:right w:val="none" w:sz="0" w:space="0" w:color="auto"/>
      </w:divBdr>
    </w:div>
    <w:div w:id="1245648406">
      <w:bodyDiv w:val="1"/>
      <w:marLeft w:val="0"/>
      <w:marRight w:val="0"/>
      <w:marTop w:val="0"/>
      <w:marBottom w:val="0"/>
      <w:divBdr>
        <w:top w:val="none" w:sz="0" w:space="0" w:color="auto"/>
        <w:left w:val="none" w:sz="0" w:space="0" w:color="auto"/>
        <w:bottom w:val="none" w:sz="0" w:space="0" w:color="auto"/>
        <w:right w:val="none" w:sz="0" w:space="0" w:color="auto"/>
      </w:divBdr>
    </w:div>
    <w:div w:id="1389377948">
      <w:bodyDiv w:val="1"/>
      <w:marLeft w:val="0"/>
      <w:marRight w:val="0"/>
      <w:marTop w:val="0"/>
      <w:marBottom w:val="0"/>
      <w:divBdr>
        <w:top w:val="none" w:sz="0" w:space="0" w:color="auto"/>
        <w:left w:val="none" w:sz="0" w:space="0" w:color="auto"/>
        <w:bottom w:val="none" w:sz="0" w:space="0" w:color="auto"/>
        <w:right w:val="none" w:sz="0" w:space="0" w:color="auto"/>
      </w:divBdr>
      <w:divsChild>
        <w:div w:id="1557475833">
          <w:marLeft w:val="0"/>
          <w:marRight w:val="0"/>
          <w:marTop w:val="0"/>
          <w:marBottom w:val="80"/>
          <w:divBdr>
            <w:top w:val="none" w:sz="0" w:space="0" w:color="auto"/>
            <w:left w:val="none" w:sz="0" w:space="0" w:color="auto"/>
            <w:bottom w:val="none" w:sz="0" w:space="0" w:color="auto"/>
            <w:right w:val="none" w:sz="0" w:space="0" w:color="auto"/>
          </w:divBdr>
        </w:div>
        <w:div w:id="976254793">
          <w:marLeft w:val="0"/>
          <w:marRight w:val="0"/>
          <w:marTop w:val="0"/>
          <w:marBottom w:val="80"/>
          <w:divBdr>
            <w:top w:val="none" w:sz="0" w:space="0" w:color="auto"/>
            <w:left w:val="none" w:sz="0" w:space="0" w:color="auto"/>
            <w:bottom w:val="none" w:sz="0" w:space="0" w:color="auto"/>
            <w:right w:val="none" w:sz="0" w:space="0" w:color="auto"/>
          </w:divBdr>
        </w:div>
      </w:divsChild>
    </w:div>
    <w:div w:id="1432897219">
      <w:bodyDiv w:val="1"/>
      <w:marLeft w:val="0"/>
      <w:marRight w:val="0"/>
      <w:marTop w:val="0"/>
      <w:marBottom w:val="0"/>
      <w:divBdr>
        <w:top w:val="none" w:sz="0" w:space="0" w:color="auto"/>
        <w:left w:val="none" w:sz="0" w:space="0" w:color="auto"/>
        <w:bottom w:val="none" w:sz="0" w:space="0" w:color="auto"/>
        <w:right w:val="none" w:sz="0" w:space="0" w:color="auto"/>
      </w:divBdr>
      <w:divsChild>
        <w:div w:id="669068253">
          <w:marLeft w:val="0"/>
          <w:marRight w:val="0"/>
          <w:marTop w:val="240"/>
          <w:marBottom w:val="0"/>
          <w:divBdr>
            <w:top w:val="none" w:sz="0" w:space="0" w:color="auto"/>
            <w:left w:val="none" w:sz="0" w:space="0" w:color="auto"/>
            <w:bottom w:val="none" w:sz="0" w:space="0" w:color="auto"/>
            <w:right w:val="none" w:sz="0" w:space="0" w:color="auto"/>
          </w:divBdr>
          <w:divsChild>
            <w:div w:id="601302772">
              <w:marLeft w:val="0"/>
              <w:marRight w:val="0"/>
              <w:marTop w:val="0"/>
              <w:marBottom w:val="0"/>
              <w:divBdr>
                <w:top w:val="none" w:sz="0" w:space="0" w:color="auto"/>
                <w:left w:val="none" w:sz="0" w:space="0" w:color="auto"/>
                <w:bottom w:val="none" w:sz="0" w:space="0" w:color="auto"/>
                <w:right w:val="none" w:sz="0" w:space="0" w:color="auto"/>
              </w:divBdr>
              <w:divsChild>
                <w:div w:id="1390030946">
                  <w:marLeft w:val="0"/>
                  <w:marRight w:val="0"/>
                  <w:marTop w:val="0"/>
                  <w:marBottom w:val="0"/>
                  <w:divBdr>
                    <w:top w:val="none" w:sz="0" w:space="0" w:color="auto"/>
                    <w:left w:val="none" w:sz="0" w:space="0" w:color="auto"/>
                    <w:bottom w:val="none" w:sz="0" w:space="0" w:color="auto"/>
                    <w:right w:val="none" w:sz="0" w:space="0" w:color="auto"/>
                  </w:divBdr>
                  <w:divsChild>
                    <w:div w:id="109400469">
                      <w:marLeft w:val="0"/>
                      <w:marRight w:val="0"/>
                      <w:marTop w:val="0"/>
                      <w:marBottom w:val="101"/>
                      <w:divBdr>
                        <w:top w:val="none" w:sz="0" w:space="0" w:color="auto"/>
                        <w:left w:val="none" w:sz="0" w:space="0" w:color="auto"/>
                        <w:bottom w:val="none" w:sz="0" w:space="0" w:color="auto"/>
                        <w:right w:val="none" w:sz="0" w:space="0" w:color="auto"/>
                      </w:divBdr>
                    </w:div>
                    <w:div w:id="359549322">
                      <w:marLeft w:val="288"/>
                      <w:marRight w:val="0"/>
                      <w:marTop w:val="0"/>
                      <w:marBottom w:val="50"/>
                      <w:divBdr>
                        <w:top w:val="none" w:sz="0" w:space="0" w:color="auto"/>
                        <w:left w:val="none" w:sz="0" w:space="0" w:color="auto"/>
                        <w:bottom w:val="none" w:sz="0" w:space="0" w:color="auto"/>
                        <w:right w:val="none" w:sz="0" w:space="0" w:color="auto"/>
                      </w:divBdr>
                    </w:div>
                    <w:div w:id="508450520">
                      <w:marLeft w:val="288"/>
                      <w:marRight w:val="0"/>
                      <w:marTop w:val="0"/>
                      <w:marBottom w:val="101"/>
                      <w:divBdr>
                        <w:top w:val="none" w:sz="0" w:space="0" w:color="auto"/>
                        <w:left w:val="none" w:sz="0" w:space="0" w:color="auto"/>
                        <w:bottom w:val="none" w:sz="0" w:space="0" w:color="auto"/>
                        <w:right w:val="none" w:sz="0" w:space="0" w:color="auto"/>
                      </w:divBdr>
                    </w:div>
                    <w:div w:id="548493374">
                      <w:marLeft w:val="0"/>
                      <w:marRight w:val="0"/>
                      <w:marTop w:val="0"/>
                      <w:marBottom w:val="101"/>
                      <w:divBdr>
                        <w:top w:val="none" w:sz="0" w:space="0" w:color="auto"/>
                        <w:left w:val="none" w:sz="0" w:space="0" w:color="auto"/>
                        <w:bottom w:val="none" w:sz="0" w:space="0" w:color="auto"/>
                        <w:right w:val="none" w:sz="0" w:space="0" w:color="auto"/>
                      </w:divBdr>
                    </w:div>
                    <w:div w:id="576936208">
                      <w:marLeft w:val="0"/>
                      <w:marRight w:val="0"/>
                      <w:marTop w:val="0"/>
                      <w:marBottom w:val="50"/>
                      <w:divBdr>
                        <w:top w:val="none" w:sz="0" w:space="0" w:color="auto"/>
                        <w:left w:val="none" w:sz="0" w:space="0" w:color="auto"/>
                        <w:bottom w:val="none" w:sz="0" w:space="0" w:color="auto"/>
                        <w:right w:val="none" w:sz="0" w:space="0" w:color="auto"/>
                      </w:divBdr>
                    </w:div>
                    <w:div w:id="740982221">
                      <w:marLeft w:val="288"/>
                      <w:marRight w:val="0"/>
                      <w:marTop w:val="0"/>
                      <w:marBottom w:val="50"/>
                      <w:divBdr>
                        <w:top w:val="none" w:sz="0" w:space="0" w:color="auto"/>
                        <w:left w:val="none" w:sz="0" w:space="0" w:color="auto"/>
                        <w:bottom w:val="none" w:sz="0" w:space="0" w:color="auto"/>
                        <w:right w:val="none" w:sz="0" w:space="0" w:color="auto"/>
                      </w:divBdr>
                    </w:div>
                    <w:div w:id="742265979">
                      <w:marLeft w:val="0"/>
                      <w:marRight w:val="0"/>
                      <w:marTop w:val="0"/>
                      <w:marBottom w:val="101"/>
                      <w:divBdr>
                        <w:top w:val="none" w:sz="0" w:space="0" w:color="auto"/>
                        <w:left w:val="none" w:sz="0" w:space="0" w:color="auto"/>
                        <w:bottom w:val="none" w:sz="0" w:space="0" w:color="auto"/>
                        <w:right w:val="none" w:sz="0" w:space="0" w:color="auto"/>
                      </w:divBdr>
                    </w:div>
                    <w:div w:id="757756509">
                      <w:marLeft w:val="0"/>
                      <w:marRight w:val="0"/>
                      <w:marTop w:val="0"/>
                      <w:marBottom w:val="101"/>
                      <w:divBdr>
                        <w:top w:val="none" w:sz="0" w:space="0" w:color="auto"/>
                        <w:left w:val="none" w:sz="0" w:space="0" w:color="auto"/>
                        <w:bottom w:val="none" w:sz="0" w:space="0" w:color="auto"/>
                        <w:right w:val="none" w:sz="0" w:space="0" w:color="auto"/>
                      </w:divBdr>
                    </w:div>
                    <w:div w:id="790440357">
                      <w:marLeft w:val="288"/>
                      <w:marRight w:val="0"/>
                      <w:marTop w:val="0"/>
                      <w:marBottom w:val="50"/>
                      <w:divBdr>
                        <w:top w:val="none" w:sz="0" w:space="0" w:color="auto"/>
                        <w:left w:val="none" w:sz="0" w:space="0" w:color="auto"/>
                        <w:bottom w:val="none" w:sz="0" w:space="0" w:color="auto"/>
                        <w:right w:val="none" w:sz="0" w:space="0" w:color="auto"/>
                      </w:divBdr>
                    </w:div>
                    <w:div w:id="949552900">
                      <w:marLeft w:val="288"/>
                      <w:marRight w:val="0"/>
                      <w:marTop w:val="0"/>
                      <w:marBottom w:val="101"/>
                      <w:divBdr>
                        <w:top w:val="none" w:sz="0" w:space="0" w:color="auto"/>
                        <w:left w:val="none" w:sz="0" w:space="0" w:color="auto"/>
                        <w:bottom w:val="none" w:sz="0" w:space="0" w:color="auto"/>
                        <w:right w:val="none" w:sz="0" w:space="0" w:color="auto"/>
                      </w:divBdr>
                    </w:div>
                    <w:div w:id="1059668606">
                      <w:marLeft w:val="288"/>
                      <w:marRight w:val="0"/>
                      <w:marTop w:val="0"/>
                      <w:marBottom w:val="101"/>
                      <w:divBdr>
                        <w:top w:val="none" w:sz="0" w:space="0" w:color="auto"/>
                        <w:left w:val="none" w:sz="0" w:space="0" w:color="auto"/>
                        <w:bottom w:val="none" w:sz="0" w:space="0" w:color="auto"/>
                        <w:right w:val="none" w:sz="0" w:space="0" w:color="auto"/>
                      </w:divBdr>
                    </w:div>
                    <w:div w:id="1104611384">
                      <w:marLeft w:val="288"/>
                      <w:marRight w:val="0"/>
                      <w:marTop w:val="0"/>
                      <w:marBottom w:val="50"/>
                      <w:divBdr>
                        <w:top w:val="none" w:sz="0" w:space="0" w:color="auto"/>
                        <w:left w:val="none" w:sz="0" w:space="0" w:color="auto"/>
                        <w:bottom w:val="none" w:sz="0" w:space="0" w:color="auto"/>
                        <w:right w:val="none" w:sz="0" w:space="0" w:color="auto"/>
                      </w:divBdr>
                    </w:div>
                    <w:div w:id="1116021251">
                      <w:marLeft w:val="288"/>
                      <w:marRight w:val="0"/>
                      <w:marTop w:val="0"/>
                      <w:marBottom w:val="101"/>
                      <w:divBdr>
                        <w:top w:val="none" w:sz="0" w:space="0" w:color="auto"/>
                        <w:left w:val="none" w:sz="0" w:space="0" w:color="auto"/>
                        <w:bottom w:val="none" w:sz="0" w:space="0" w:color="auto"/>
                        <w:right w:val="none" w:sz="0" w:space="0" w:color="auto"/>
                      </w:divBdr>
                    </w:div>
                    <w:div w:id="1157526653">
                      <w:marLeft w:val="288"/>
                      <w:marRight w:val="0"/>
                      <w:marTop w:val="0"/>
                      <w:marBottom w:val="50"/>
                      <w:divBdr>
                        <w:top w:val="none" w:sz="0" w:space="0" w:color="auto"/>
                        <w:left w:val="none" w:sz="0" w:space="0" w:color="auto"/>
                        <w:bottom w:val="none" w:sz="0" w:space="0" w:color="auto"/>
                        <w:right w:val="none" w:sz="0" w:space="0" w:color="auto"/>
                      </w:divBdr>
                    </w:div>
                    <w:div w:id="1179853847">
                      <w:marLeft w:val="0"/>
                      <w:marRight w:val="0"/>
                      <w:marTop w:val="0"/>
                      <w:marBottom w:val="50"/>
                      <w:divBdr>
                        <w:top w:val="none" w:sz="0" w:space="0" w:color="auto"/>
                        <w:left w:val="none" w:sz="0" w:space="0" w:color="auto"/>
                        <w:bottom w:val="none" w:sz="0" w:space="0" w:color="auto"/>
                        <w:right w:val="none" w:sz="0" w:space="0" w:color="auto"/>
                      </w:divBdr>
                    </w:div>
                    <w:div w:id="1272854443">
                      <w:marLeft w:val="0"/>
                      <w:marRight w:val="0"/>
                      <w:marTop w:val="0"/>
                      <w:marBottom w:val="101"/>
                      <w:divBdr>
                        <w:top w:val="none" w:sz="0" w:space="0" w:color="auto"/>
                        <w:left w:val="none" w:sz="0" w:space="0" w:color="auto"/>
                        <w:bottom w:val="none" w:sz="0" w:space="0" w:color="auto"/>
                        <w:right w:val="none" w:sz="0" w:space="0" w:color="auto"/>
                      </w:divBdr>
                    </w:div>
                    <w:div w:id="1284463667">
                      <w:marLeft w:val="288"/>
                      <w:marRight w:val="0"/>
                      <w:marTop w:val="0"/>
                      <w:marBottom w:val="50"/>
                      <w:divBdr>
                        <w:top w:val="none" w:sz="0" w:space="0" w:color="auto"/>
                        <w:left w:val="none" w:sz="0" w:space="0" w:color="auto"/>
                        <w:bottom w:val="none" w:sz="0" w:space="0" w:color="auto"/>
                        <w:right w:val="none" w:sz="0" w:space="0" w:color="auto"/>
                      </w:divBdr>
                    </w:div>
                    <w:div w:id="1354956801">
                      <w:marLeft w:val="288"/>
                      <w:marRight w:val="0"/>
                      <w:marTop w:val="0"/>
                      <w:marBottom w:val="101"/>
                      <w:divBdr>
                        <w:top w:val="none" w:sz="0" w:space="0" w:color="auto"/>
                        <w:left w:val="none" w:sz="0" w:space="0" w:color="auto"/>
                        <w:bottom w:val="none" w:sz="0" w:space="0" w:color="auto"/>
                        <w:right w:val="none" w:sz="0" w:space="0" w:color="auto"/>
                      </w:divBdr>
                    </w:div>
                    <w:div w:id="1363943666">
                      <w:marLeft w:val="288"/>
                      <w:marRight w:val="0"/>
                      <w:marTop w:val="0"/>
                      <w:marBottom w:val="50"/>
                      <w:divBdr>
                        <w:top w:val="none" w:sz="0" w:space="0" w:color="auto"/>
                        <w:left w:val="none" w:sz="0" w:space="0" w:color="auto"/>
                        <w:bottom w:val="none" w:sz="0" w:space="0" w:color="auto"/>
                        <w:right w:val="none" w:sz="0" w:space="0" w:color="auto"/>
                      </w:divBdr>
                    </w:div>
                    <w:div w:id="1558131394">
                      <w:marLeft w:val="288"/>
                      <w:marRight w:val="0"/>
                      <w:marTop w:val="0"/>
                      <w:marBottom w:val="101"/>
                      <w:divBdr>
                        <w:top w:val="none" w:sz="0" w:space="0" w:color="auto"/>
                        <w:left w:val="none" w:sz="0" w:space="0" w:color="auto"/>
                        <w:bottom w:val="none" w:sz="0" w:space="0" w:color="auto"/>
                        <w:right w:val="none" w:sz="0" w:space="0" w:color="auto"/>
                      </w:divBdr>
                    </w:div>
                    <w:div w:id="1721127366">
                      <w:marLeft w:val="288"/>
                      <w:marRight w:val="0"/>
                      <w:marTop w:val="0"/>
                      <w:marBottom w:val="101"/>
                      <w:divBdr>
                        <w:top w:val="none" w:sz="0" w:space="0" w:color="auto"/>
                        <w:left w:val="none" w:sz="0" w:space="0" w:color="auto"/>
                        <w:bottom w:val="none" w:sz="0" w:space="0" w:color="auto"/>
                        <w:right w:val="none" w:sz="0" w:space="0" w:color="auto"/>
                      </w:divBdr>
                    </w:div>
                    <w:div w:id="1808468487">
                      <w:marLeft w:val="0"/>
                      <w:marRight w:val="0"/>
                      <w:marTop w:val="0"/>
                      <w:marBottom w:val="101"/>
                      <w:divBdr>
                        <w:top w:val="none" w:sz="0" w:space="0" w:color="auto"/>
                        <w:left w:val="none" w:sz="0" w:space="0" w:color="auto"/>
                        <w:bottom w:val="none" w:sz="0" w:space="0" w:color="auto"/>
                        <w:right w:val="none" w:sz="0" w:space="0" w:color="auto"/>
                      </w:divBdr>
                    </w:div>
                    <w:div w:id="1934437378">
                      <w:marLeft w:val="0"/>
                      <w:marRight w:val="0"/>
                      <w:marTop w:val="0"/>
                      <w:marBottom w:val="101"/>
                      <w:divBdr>
                        <w:top w:val="none" w:sz="0" w:space="0" w:color="auto"/>
                        <w:left w:val="none" w:sz="0" w:space="0" w:color="auto"/>
                        <w:bottom w:val="none" w:sz="0" w:space="0" w:color="auto"/>
                        <w:right w:val="none" w:sz="0" w:space="0" w:color="auto"/>
                      </w:divBdr>
                    </w:div>
                    <w:div w:id="1987858178">
                      <w:marLeft w:val="288"/>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 w:id="1811482603">
      <w:bodyDiv w:val="1"/>
      <w:marLeft w:val="0"/>
      <w:marRight w:val="0"/>
      <w:marTop w:val="0"/>
      <w:marBottom w:val="0"/>
      <w:divBdr>
        <w:top w:val="none" w:sz="0" w:space="0" w:color="auto"/>
        <w:left w:val="none" w:sz="0" w:space="0" w:color="auto"/>
        <w:bottom w:val="none" w:sz="0" w:space="0" w:color="auto"/>
        <w:right w:val="none" w:sz="0" w:space="0" w:color="auto"/>
      </w:divBdr>
    </w:div>
    <w:div w:id="1898012926">
      <w:bodyDiv w:val="1"/>
      <w:marLeft w:val="0"/>
      <w:marRight w:val="0"/>
      <w:marTop w:val="0"/>
      <w:marBottom w:val="0"/>
      <w:divBdr>
        <w:top w:val="none" w:sz="0" w:space="0" w:color="auto"/>
        <w:left w:val="none" w:sz="0" w:space="0" w:color="auto"/>
        <w:bottom w:val="none" w:sz="0" w:space="0" w:color="auto"/>
        <w:right w:val="none" w:sz="0" w:space="0" w:color="auto"/>
      </w:divBdr>
    </w:div>
    <w:div w:id="1979139313">
      <w:bodyDiv w:val="1"/>
      <w:marLeft w:val="0"/>
      <w:marRight w:val="0"/>
      <w:marTop w:val="0"/>
      <w:marBottom w:val="0"/>
      <w:divBdr>
        <w:top w:val="none" w:sz="0" w:space="0" w:color="auto"/>
        <w:left w:val="none" w:sz="0" w:space="0" w:color="auto"/>
        <w:bottom w:val="none" w:sz="0" w:space="0" w:color="auto"/>
        <w:right w:val="none" w:sz="0" w:space="0" w:color="auto"/>
      </w:divBdr>
    </w:div>
    <w:div w:id="2097897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ift.org.mx/sites/default/files/conocenos/pleno/sesiones/acuerdoliga/pift22031824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BECA8-2D6E-4CD5-8BE7-AFFD927F1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3189</Words>
  <Characters>17545</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20693</CharactersWithSpaces>
  <SharedDoc>false</SharedDoc>
  <HLinks>
    <vt:vector size="66" baseType="variant">
      <vt:variant>
        <vt:i4>2162726</vt:i4>
      </vt:variant>
      <vt:variant>
        <vt:i4>30</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27</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24</vt:i4>
      </vt:variant>
      <vt:variant>
        <vt:i4>0</vt:i4>
      </vt:variant>
      <vt:variant>
        <vt:i4>5</vt:i4>
      </vt:variant>
      <vt:variant>
        <vt:lpwstr>http://207.248.177.30/regulaciones/scd_expediente_3.asp?ID=10/0492/051110</vt:lpwstr>
      </vt:variant>
      <vt:variant>
        <vt:lpwstr/>
      </vt:variant>
      <vt:variant>
        <vt:i4>7929958</vt:i4>
      </vt:variant>
      <vt:variant>
        <vt:i4>21</vt:i4>
      </vt:variant>
      <vt:variant>
        <vt:i4>0</vt:i4>
      </vt:variant>
      <vt:variant>
        <vt:i4>5</vt:i4>
      </vt:variant>
      <vt:variant>
        <vt:lpwstr>http://www.ift.org.mx/iftweb/industria-intermedia/consulta-publica-de-los-modelos-de-costos-de-servicios-de-interconexion-fijos-y-moviles/</vt:lpwstr>
      </vt:variant>
      <vt:variant>
        <vt:lpwstr/>
      </vt:variant>
      <vt:variant>
        <vt:i4>2162726</vt:i4>
      </vt:variant>
      <vt:variant>
        <vt:i4>18</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15</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12</vt:i4>
      </vt:variant>
      <vt:variant>
        <vt:i4>0</vt:i4>
      </vt:variant>
      <vt:variant>
        <vt:i4>5</vt:i4>
      </vt:variant>
      <vt:variant>
        <vt:lpwstr>http://207.248.177.30/regulaciones/scd_expediente_3.asp?ID=10/0492/051110</vt:lpwstr>
      </vt:variant>
      <vt:variant>
        <vt:lpwstr/>
      </vt:variant>
      <vt:variant>
        <vt:i4>8323133</vt:i4>
      </vt:variant>
      <vt:variant>
        <vt:i4>9</vt:i4>
      </vt:variant>
      <vt:variant>
        <vt:i4>0</vt:i4>
      </vt:variant>
      <vt:variant>
        <vt:i4>5</vt:i4>
      </vt:variant>
      <vt:variant>
        <vt:lpwstr>http://www.ift.org.mx/iftweb/wp-content/uploads/2014/03/Anexo_1_Moviles.pdf</vt:lpwstr>
      </vt:variant>
      <vt:variant>
        <vt:lpwstr/>
      </vt:variant>
      <vt:variant>
        <vt:i4>2162726</vt:i4>
      </vt:variant>
      <vt:variant>
        <vt:i4>6</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3</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0</vt:i4>
      </vt:variant>
      <vt:variant>
        <vt:i4>0</vt:i4>
      </vt:variant>
      <vt:variant>
        <vt:i4>5</vt:i4>
      </vt:variant>
      <vt:variant>
        <vt:lpwstr>http://207.248.177.30/regulaciones/scd_expediente_3.asp?ID=10/0492/051110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IFT</dc:creator>
  <cp:keywords/>
  <cp:lastModifiedBy>Karen Beatriz Martinez Munguia</cp:lastModifiedBy>
  <cp:revision>8</cp:revision>
  <cp:lastPrinted>2018-10-09T15:05:00Z</cp:lastPrinted>
  <dcterms:created xsi:type="dcterms:W3CDTF">2018-09-21T18:50:00Z</dcterms:created>
  <dcterms:modified xsi:type="dcterms:W3CDTF">2018-10-09T15:07:00Z</dcterms:modified>
</cp:coreProperties>
</file>