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F65DC" w14:textId="77777777" w:rsidR="00BD2046" w:rsidRDefault="00BD2046" w:rsidP="001A2EAC">
      <w:pPr>
        <w:spacing w:after="120" w:line="240" w:lineRule="auto"/>
        <w:jc w:val="both"/>
        <w:rPr>
          <w:rFonts w:ascii="ITC Avant Garde" w:hAnsi="ITC Avant Garde"/>
          <w:b/>
          <w:i/>
        </w:rPr>
      </w:pPr>
      <w:r w:rsidRPr="001A2EAC">
        <w:rPr>
          <w:rFonts w:ascii="ITC Avant Garde" w:hAnsi="ITC Avant Garde"/>
          <w:b/>
          <w:i/>
        </w:rPr>
        <w:t>INFORME</w:t>
      </w:r>
      <w:r w:rsidR="00C7401F" w:rsidRPr="001A2EAC">
        <w:rPr>
          <w:rFonts w:ascii="ITC Avant Garde" w:hAnsi="ITC Avant Garde"/>
          <w:b/>
          <w:i/>
        </w:rPr>
        <w:t xml:space="preserve"> </w:t>
      </w:r>
      <w:r w:rsidR="00B072EA" w:rsidRPr="001A2EAC">
        <w:rPr>
          <w:rFonts w:ascii="ITC Avant Garde" w:hAnsi="ITC Avant Garde"/>
          <w:b/>
          <w:i/>
        </w:rPr>
        <w:t>q</w:t>
      </w:r>
      <w:r w:rsidRPr="001A2EAC">
        <w:rPr>
          <w:rFonts w:ascii="ITC Avant Garde" w:hAnsi="ITC Avant Garde"/>
          <w:b/>
          <w:i/>
        </w:rPr>
        <w:t>ue presenta</w:t>
      </w:r>
      <w:r w:rsidR="00995B37">
        <w:rPr>
          <w:rFonts w:ascii="ITC Avant Garde" w:hAnsi="ITC Avant Garde"/>
          <w:b/>
          <w:i/>
        </w:rPr>
        <w:t xml:space="preserve"> el resumen de</w:t>
      </w:r>
      <w:r w:rsidRPr="001A2EAC">
        <w:rPr>
          <w:rFonts w:ascii="ITC Avant Garde" w:hAnsi="ITC Avant Garde"/>
          <w:b/>
          <w:i/>
        </w:rPr>
        <w:t xml:space="preserve"> los comentarios recibid</w:t>
      </w:r>
      <w:r w:rsidR="003F71F6" w:rsidRPr="001A2EAC">
        <w:rPr>
          <w:rFonts w:ascii="ITC Avant Garde" w:hAnsi="ITC Avant Garde"/>
          <w:b/>
          <w:i/>
        </w:rPr>
        <w:t>o</w:t>
      </w:r>
      <w:r w:rsidRPr="001A2EAC">
        <w:rPr>
          <w:rFonts w:ascii="ITC Avant Garde" w:hAnsi="ITC Avant Garde"/>
          <w:b/>
          <w:i/>
        </w:rPr>
        <w:t xml:space="preserve">s durante la consulta pública del “Anteproyecto de </w:t>
      </w:r>
      <w:r w:rsidR="000F38D9" w:rsidRPr="001A2EAC">
        <w:rPr>
          <w:rFonts w:ascii="ITC Avant Garde" w:hAnsi="ITC Avant Garde"/>
          <w:b/>
          <w:i/>
        </w:rPr>
        <w:t>Lineamientos para la presentación de denuncias de prácticas monopólicas y concentraciones ilícitas en los sectores de telecomunicaciones y radiodifusión, ante la Autoridad Investigadora del Instituto Federal de Telecomunicaciones, a través de medios electrónicos</w:t>
      </w:r>
      <w:r w:rsidRPr="001A2EAC">
        <w:rPr>
          <w:rFonts w:ascii="ITC Avant Garde" w:hAnsi="ITC Avant Garde"/>
          <w:b/>
          <w:i/>
        </w:rPr>
        <w:t>”</w:t>
      </w:r>
      <w:r w:rsidR="00995B37">
        <w:rPr>
          <w:rFonts w:ascii="ITC Avant Garde" w:hAnsi="ITC Avant Garde"/>
          <w:b/>
          <w:i/>
        </w:rPr>
        <w:t>, así como las consideraciones de la Autoridad Investigadora a los mismos.</w:t>
      </w:r>
      <w:r w:rsidRPr="001A2EAC">
        <w:rPr>
          <w:rFonts w:ascii="ITC Avant Garde" w:hAnsi="ITC Avant Garde"/>
          <w:b/>
          <w:i/>
        </w:rPr>
        <w:t xml:space="preserve"> </w:t>
      </w:r>
    </w:p>
    <w:p w14:paraId="20D29757" w14:textId="77777777" w:rsidR="00BD2046" w:rsidRPr="005F7866" w:rsidRDefault="00BD2046" w:rsidP="009329B5">
      <w:pPr>
        <w:pStyle w:val="Ttulo1"/>
        <w:spacing w:before="0" w:after="120" w:line="240" w:lineRule="auto"/>
        <w:jc w:val="both"/>
        <w:rPr>
          <w:color w:val="000000" w:themeColor="text1"/>
          <w:sz w:val="22"/>
          <w:szCs w:val="22"/>
        </w:rPr>
      </w:pPr>
      <w:r w:rsidRPr="005F7866">
        <w:rPr>
          <w:rFonts w:ascii="ITC Avant Garde" w:hAnsi="ITC Avant Garde"/>
          <w:b/>
          <w:smallCaps/>
          <w:color w:val="000000" w:themeColor="text1"/>
          <w:sz w:val="22"/>
          <w:szCs w:val="22"/>
        </w:rPr>
        <w:t>Presentación</w:t>
      </w:r>
    </w:p>
    <w:p w14:paraId="4A049FF3" w14:textId="6AC7CB19" w:rsidR="00DB6927" w:rsidRPr="009B7C1F" w:rsidRDefault="0059001A" w:rsidP="009329B5">
      <w:pPr>
        <w:spacing w:after="120" w:line="247" w:lineRule="auto"/>
        <w:jc w:val="both"/>
        <w:rPr>
          <w:rFonts w:ascii="ITC Avant Garde" w:hAnsi="ITC Avant Garde"/>
          <w:color w:val="000000" w:themeColor="text1"/>
        </w:rPr>
      </w:pPr>
      <w:r w:rsidRPr="005F7866">
        <w:rPr>
          <w:rFonts w:ascii="ITC Avant Garde" w:hAnsi="ITC Avant Garde"/>
        </w:rPr>
        <w:t xml:space="preserve">En la Ciudad de México a </w:t>
      </w:r>
      <w:r w:rsidRPr="00032D15">
        <w:rPr>
          <w:rFonts w:ascii="ITC Avant Garde" w:hAnsi="ITC Avant Garde"/>
        </w:rPr>
        <w:t xml:space="preserve">los </w:t>
      </w:r>
      <w:r w:rsidR="00B32F12" w:rsidRPr="00032D15">
        <w:rPr>
          <w:rFonts w:ascii="ITC Avant Garde" w:hAnsi="ITC Avant Garde"/>
        </w:rPr>
        <w:t>veinticuatro</w:t>
      </w:r>
      <w:r w:rsidRPr="00032D15">
        <w:rPr>
          <w:rFonts w:ascii="ITC Avant Garde" w:hAnsi="ITC Avant Garde"/>
        </w:rPr>
        <w:t xml:space="preserve"> días del mes de </w:t>
      </w:r>
      <w:r w:rsidR="00B32F12" w:rsidRPr="00032D15">
        <w:rPr>
          <w:rFonts w:ascii="ITC Avant Garde" w:hAnsi="ITC Avant Garde"/>
        </w:rPr>
        <w:t>agosto</w:t>
      </w:r>
      <w:r w:rsidRPr="00032D15">
        <w:rPr>
          <w:rFonts w:ascii="ITC Avant Garde" w:hAnsi="ITC Avant Garde"/>
        </w:rPr>
        <w:t xml:space="preserve"> de dos mil </w:t>
      </w:r>
      <w:r w:rsidR="00E722B6" w:rsidRPr="00032D15">
        <w:rPr>
          <w:rFonts w:ascii="ITC Avant Garde" w:hAnsi="ITC Avant Garde"/>
        </w:rPr>
        <w:t>dieciocho</w:t>
      </w:r>
      <w:r w:rsidRPr="005F7866">
        <w:rPr>
          <w:rFonts w:ascii="ITC Avant Garde" w:hAnsi="ITC Avant Garde"/>
        </w:rPr>
        <w:t xml:space="preserve">, </w:t>
      </w:r>
      <w:r w:rsidR="00B32F12">
        <w:rPr>
          <w:rFonts w:ascii="ITC Avant Garde" w:hAnsi="ITC Avant Garde"/>
        </w:rPr>
        <w:t>la Autoridad Investigadora</w:t>
      </w:r>
      <w:r w:rsidR="00BD2046" w:rsidRPr="005F7866">
        <w:rPr>
          <w:rFonts w:ascii="ITC Avant Garde" w:hAnsi="ITC Avant Garde"/>
        </w:rPr>
        <w:t xml:space="preserve"> del Instituto Federal de Telecomunicaciones</w:t>
      </w:r>
      <w:r w:rsidRPr="005F7866">
        <w:rPr>
          <w:rFonts w:ascii="ITC Avant Garde" w:hAnsi="ITC Avant Garde"/>
        </w:rPr>
        <w:t>,</w:t>
      </w:r>
      <w:r w:rsidR="00995B37">
        <w:rPr>
          <w:rFonts w:ascii="ITC Avant Garde" w:hAnsi="ITC Avant Garde"/>
        </w:rPr>
        <w:t xml:space="preserve"> por conducto de la Dirección General de Prácticas Monopólicas y Concentraciones Ilícitas, </w:t>
      </w:r>
      <w:r w:rsidR="00BD2046" w:rsidRPr="005F7866">
        <w:rPr>
          <w:rFonts w:ascii="ITC Avant Garde" w:hAnsi="ITC Avant Garde"/>
        </w:rPr>
        <w:t xml:space="preserve">presenta </w:t>
      </w:r>
      <w:r w:rsidRPr="005F7866">
        <w:rPr>
          <w:rFonts w:ascii="ITC Avant Garde" w:hAnsi="ITC Avant Garde"/>
        </w:rPr>
        <w:t>e</w:t>
      </w:r>
      <w:r w:rsidR="0027281F">
        <w:rPr>
          <w:rFonts w:ascii="ITC Avant Garde" w:hAnsi="ITC Avant Garde"/>
        </w:rPr>
        <w:t>l</w:t>
      </w:r>
      <w:r w:rsidRPr="005F7866">
        <w:rPr>
          <w:rFonts w:ascii="ITC Avant Garde" w:hAnsi="ITC Avant Garde"/>
        </w:rPr>
        <w:t xml:space="preserve"> siguiente i</w:t>
      </w:r>
      <w:r w:rsidR="00BD2046" w:rsidRPr="005F7866">
        <w:rPr>
          <w:rFonts w:ascii="ITC Avant Garde" w:hAnsi="ITC Avant Garde"/>
        </w:rPr>
        <w:t>nforme que contiene un resumen de los comentario</w:t>
      </w:r>
      <w:r w:rsidR="003F71F6" w:rsidRPr="005F7866">
        <w:rPr>
          <w:rFonts w:ascii="ITC Avant Garde" w:hAnsi="ITC Avant Garde"/>
        </w:rPr>
        <w:t xml:space="preserve">s </w:t>
      </w:r>
      <w:r w:rsidR="00BD2046" w:rsidRPr="005F7866">
        <w:rPr>
          <w:rFonts w:ascii="ITC Avant Garde" w:hAnsi="ITC Avant Garde"/>
        </w:rPr>
        <w:t>recibid</w:t>
      </w:r>
      <w:r w:rsidR="003F71F6" w:rsidRPr="005F7866">
        <w:rPr>
          <w:rFonts w:ascii="ITC Avant Garde" w:hAnsi="ITC Avant Garde"/>
        </w:rPr>
        <w:t>o</w:t>
      </w:r>
      <w:r w:rsidR="00BD2046" w:rsidRPr="005F7866">
        <w:rPr>
          <w:rFonts w:ascii="ITC Avant Garde" w:hAnsi="ITC Avant Garde"/>
        </w:rPr>
        <w:t>s</w:t>
      </w:r>
      <w:r w:rsidR="00995B37">
        <w:rPr>
          <w:rFonts w:ascii="ITC Avant Garde" w:hAnsi="ITC Avant Garde"/>
        </w:rPr>
        <w:t xml:space="preserve"> durante la consulta pública del</w:t>
      </w:r>
      <w:r w:rsidR="00A25F0F">
        <w:rPr>
          <w:rFonts w:ascii="ITC Avant Garde" w:hAnsi="ITC Avant Garde"/>
        </w:rPr>
        <w:t xml:space="preserve"> </w:t>
      </w:r>
      <w:r w:rsidR="000F38D9" w:rsidRPr="000F38D9">
        <w:rPr>
          <w:rFonts w:ascii="ITC Avant Garde" w:hAnsi="ITC Avant Garde"/>
        </w:rPr>
        <w:t>Anteproyecto de Lineamientos para la presentación de denuncias de prácticas monopólicas y concentraciones ilícitas en los sectores de telecomunicaciones y radiodifusión, ante la Autoridad Investigadora del Instituto Federal de Telecomunicaciones, a través de medios electrónicos</w:t>
      </w:r>
      <w:r w:rsidR="000F38D9">
        <w:rPr>
          <w:rFonts w:ascii="ITC Avant Garde" w:hAnsi="ITC Avant Garde"/>
        </w:rPr>
        <w:t>,</w:t>
      </w:r>
      <w:r w:rsidR="000F38D9" w:rsidRPr="000F38D9">
        <w:rPr>
          <w:rFonts w:ascii="ITC Avant Garde" w:hAnsi="ITC Avant Garde"/>
          <w:b/>
        </w:rPr>
        <w:t xml:space="preserve"> </w:t>
      </w:r>
      <w:r w:rsidR="000F38D9" w:rsidRPr="000F38D9">
        <w:rPr>
          <w:rFonts w:ascii="ITC Avant Garde" w:hAnsi="ITC Avant Garde"/>
        </w:rPr>
        <w:t>a</w:t>
      </w:r>
      <w:r w:rsidR="00BD2046" w:rsidRPr="005F7866">
        <w:rPr>
          <w:rFonts w:ascii="ITC Avant Garde" w:hAnsi="ITC Avant Garde"/>
        </w:rPr>
        <w:t>sí como sus</w:t>
      </w:r>
      <w:r w:rsidRPr="005F7866">
        <w:rPr>
          <w:rFonts w:ascii="ITC Avant Garde" w:hAnsi="ITC Avant Garde"/>
        </w:rPr>
        <w:t xml:space="preserve"> respectivas</w:t>
      </w:r>
      <w:r w:rsidR="00BD2046" w:rsidRPr="005F7866">
        <w:rPr>
          <w:rFonts w:ascii="ITC Avant Garde" w:hAnsi="ITC Avant Garde"/>
        </w:rPr>
        <w:t xml:space="preserve"> consideraciones</w:t>
      </w:r>
      <w:r w:rsidR="006E0A9C">
        <w:rPr>
          <w:rFonts w:ascii="ITC Avant Garde" w:hAnsi="ITC Avant Garde"/>
        </w:rPr>
        <w:t>, que se emite d</w:t>
      </w:r>
      <w:r w:rsidR="004755BF" w:rsidRPr="004755BF">
        <w:rPr>
          <w:rFonts w:ascii="ITC Avant Garde" w:hAnsi="ITC Avant Garde"/>
        </w:rPr>
        <w:t>e conformidad con lo dispuesto en los artículos 138, fracción II</w:t>
      </w:r>
      <w:r w:rsidR="001A2EAC">
        <w:rPr>
          <w:rFonts w:ascii="ITC Avant Garde" w:hAnsi="ITC Avant Garde"/>
        </w:rPr>
        <w:t>,</w:t>
      </w:r>
      <w:r w:rsidR="004755BF" w:rsidRPr="004755BF">
        <w:rPr>
          <w:rFonts w:ascii="ITC Avant Garde" w:hAnsi="ITC Avant Garde"/>
        </w:rPr>
        <w:t xml:space="preserve"> de la Ley Federal de Competencia Económica</w:t>
      </w:r>
      <w:r w:rsidR="00462605">
        <w:rPr>
          <w:rFonts w:ascii="ITC Avant Garde" w:hAnsi="ITC Avant Garde"/>
        </w:rPr>
        <w:t>,</w:t>
      </w:r>
      <w:r w:rsidR="004755BF" w:rsidRPr="004755BF">
        <w:rPr>
          <w:rFonts w:ascii="ITC Avant Garde" w:hAnsi="ITC Avant Garde"/>
        </w:rPr>
        <w:t xml:space="preserve"> </w:t>
      </w:r>
      <w:r w:rsidR="004755BF" w:rsidRPr="00E753DD">
        <w:rPr>
          <w:rFonts w:ascii="ITC Avant Garde" w:hAnsi="ITC Avant Garde"/>
        </w:rPr>
        <w:t xml:space="preserve">4, fracción </w:t>
      </w:r>
      <w:r w:rsidR="000B6ABD" w:rsidRPr="00E753DD">
        <w:rPr>
          <w:rFonts w:ascii="ITC Avant Garde" w:hAnsi="ITC Avant Garde"/>
        </w:rPr>
        <w:t>V</w:t>
      </w:r>
      <w:r w:rsidR="004755BF" w:rsidRPr="00E753DD">
        <w:rPr>
          <w:rFonts w:ascii="ITC Avant Garde" w:hAnsi="ITC Avant Garde"/>
        </w:rPr>
        <w:t>I</w:t>
      </w:r>
      <w:r w:rsidR="00A25F0F">
        <w:rPr>
          <w:rFonts w:ascii="ITC Avant Garde" w:hAnsi="ITC Avant Garde"/>
        </w:rPr>
        <w:t>,</w:t>
      </w:r>
      <w:r w:rsidR="004755BF" w:rsidRPr="00E753DD">
        <w:rPr>
          <w:rFonts w:ascii="ITC Avant Garde" w:hAnsi="ITC Avant Garde"/>
        </w:rPr>
        <w:t xml:space="preserve"> y 6</w:t>
      </w:r>
      <w:r w:rsidR="000B6ABD" w:rsidRPr="00E753DD">
        <w:rPr>
          <w:rFonts w:ascii="ITC Avant Garde" w:hAnsi="ITC Avant Garde"/>
        </w:rPr>
        <w:t>2</w:t>
      </w:r>
      <w:r w:rsidR="00237816" w:rsidRPr="00E753DD">
        <w:rPr>
          <w:rFonts w:ascii="ITC Avant Garde" w:hAnsi="ITC Avant Garde"/>
        </w:rPr>
        <w:t>,</w:t>
      </w:r>
      <w:r w:rsidR="004755BF" w:rsidRPr="00E753DD">
        <w:rPr>
          <w:rFonts w:ascii="ITC Avant Garde" w:hAnsi="ITC Avant Garde"/>
        </w:rPr>
        <w:t xml:space="preserve"> fracción</w:t>
      </w:r>
      <w:r w:rsidR="004755BF" w:rsidRPr="004755BF">
        <w:rPr>
          <w:rFonts w:ascii="ITC Avant Garde" w:hAnsi="ITC Avant Garde"/>
        </w:rPr>
        <w:t xml:space="preserve"> X</w:t>
      </w:r>
      <w:r w:rsidR="000B6ABD">
        <w:rPr>
          <w:rFonts w:ascii="ITC Avant Garde" w:hAnsi="ITC Avant Garde"/>
        </w:rPr>
        <w:t>LVI</w:t>
      </w:r>
      <w:r w:rsidR="004755BF" w:rsidRPr="004755BF">
        <w:rPr>
          <w:rFonts w:ascii="ITC Avant Garde" w:hAnsi="ITC Avant Garde"/>
        </w:rPr>
        <w:t>I</w:t>
      </w:r>
      <w:r w:rsidR="001A2EAC">
        <w:rPr>
          <w:rFonts w:ascii="ITC Avant Garde" w:hAnsi="ITC Avant Garde"/>
        </w:rPr>
        <w:t>,</w:t>
      </w:r>
      <w:r w:rsidR="004755BF" w:rsidRPr="004755BF">
        <w:rPr>
          <w:rFonts w:ascii="ITC Avant Garde" w:hAnsi="ITC Avant Garde"/>
        </w:rPr>
        <w:t xml:space="preserve"> del Estatuto Orgánico del Instituto Federal de Telecomunicaciones</w:t>
      </w:r>
      <w:r w:rsidR="000B6ABD">
        <w:rPr>
          <w:rFonts w:ascii="ITC Avant Garde" w:hAnsi="ITC Avant Garde"/>
        </w:rPr>
        <w:t>.</w:t>
      </w:r>
    </w:p>
    <w:p w14:paraId="2E7901B9" w14:textId="77777777" w:rsidR="00DB6927" w:rsidRPr="005F7866" w:rsidRDefault="00DB6927" w:rsidP="009329B5">
      <w:pPr>
        <w:pStyle w:val="Ttulo1"/>
        <w:spacing w:before="0" w:after="120" w:line="240" w:lineRule="auto"/>
        <w:jc w:val="both"/>
        <w:rPr>
          <w:rFonts w:ascii="ITC Avant Garde" w:hAnsi="ITC Avant Garde"/>
          <w:b/>
          <w:smallCaps/>
          <w:color w:val="000000" w:themeColor="text1"/>
          <w:sz w:val="22"/>
          <w:szCs w:val="22"/>
        </w:rPr>
      </w:pPr>
      <w:r w:rsidRPr="005F7866">
        <w:rPr>
          <w:rFonts w:ascii="ITC Avant Garde" w:hAnsi="ITC Avant Garde"/>
          <w:b/>
          <w:smallCaps/>
          <w:color w:val="000000" w:themeColor="text1"/>
          <w:sz w:val="22"/>
          <w:szCs w:val="22"/>
        </w:rPr>
        <w:t xml:space="preserve">Glosario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520"/>
      </w:tblGrid>
      <w:tr w:rsidR="00905564" w:rsidRPr="005F7866" w14:paraId="28867D7F" w14:textId="77777777" w:rsidTr="00905564">
        <w:trPr>
          <w:trHeight w:val="77"/>
        </w:trPr>
        <w:tc>
          <w:tcPr>
            <w:tcW w:w="1668" w:type="dxa"/>
            <w:shd w:val="clear" w:color="auto" w:fill="538135" w:themeFill="accent6" w:themeFillShade="BF"/>
          </w:tcPr>
          <w:p w14:paraId="0EB0814E" w14:textId="77777777" w:rsidR="00905564" w:rsidRPr="005F7866" w:rsidRDefault="00905564" w:rsidP="00032D15">
            <w:pPr>
              <w:autoSpaceDE w:val="0"/>
              <w:autoSpaceDN w:val="0"/>
              <w:adjustRightInd w:val="0"/>
              <w:spacing w:after="120" w:line="240" w:lineRule="auto"/>
              <w:jc w:val="center"/>
              <w:rPr>
                <w:rFonts w:ascii="ITC Avant Garde" w:hAnsi="ITC Avant Garde" w:cs="ITC Avant Garde"/>
                <w:b/>
                <w:smallCaps/>
                <w:color w:val="FFFFFF" w:themeColor="background1"/>
                <w:sz w:val="18"/>
                <w:szCs w:val="18"/>
              </w:rPr>
            </w:pPr>
            <w:r w:rsidRPr="005F7866">
              <w:rPr>
                <w:rFonts w:ascii="ITC Avant Garde" w:hAnsi="ITC Avant Garde" w:cs="ITC Avant Garde"/>
                <w:b/>
                <w:smallCaps/>
                <w:color w:val="FFFFFF" w:themeColor="background1"/>
                <w:sz w:val="18"/>
                <w:szCs w:val="18"/>
              </w:rPr>
              <w:t>Concepto</w:t>
            </w:r>
          </w:p>
        </w:tc>
        <w:tc>
          <w:tcPr>
            <w:tcW w:w="8520" w:type="dxa"/>
            <w:shd w:val="clear" w:color="auto" w:fill="538135" w:themeFill="accent6" w:themeFillShade="BF"/>
          </w:tcPr>
          <w:p w14:paraId="245D40AA" w14:textId="77777777" w:rsidR="00905564" w:rsidRPr="005F7866" w:rsidRDefault="00905564" w:rsidP="00032D15">
            <w:pPr>
              <w:autoSpaceDE w:val="0"/>
              <w:autoSpaceDN w:val="0"/>
              <w:adjustRightInd w:val="0"/>
              <w:spacing w:after="120" w:line="240" w:lineRule="auto"/>
              <w:jc w:val="center"/>
              <w:rPr>
                <w:rFonts w:ascii="ITC Avant Garde" w:hAnsi="ITC Avant Garde" w:cs="ITC Avant Garde"/>
                <w:b/>
                <w:smallCaps/>
                <w:color w:val="FFFFFF" w:themeColor="background1"/>
                <w:sz w:val="18"/>
                <w:szCs w:val="18"/>
              </w:rPr>
            </w:pPr>
            <w:r w:rsidRPr="005F7866">
              <w:rPr>
                <w:rFonts w:ascii="ITC Avant Garde" w:hAnsi="ITC Avant Garde" w:cs="ITC Avant Garde"/>
                <w:b/>
                <w:smallCaps/>
                <w:color w:val="FFFFFF" w:themeColor="background1"/>
                <w:sz w:val="18"/>
                <w:szCs w:val="18"/>
              </w:rPr>
              <w:t>Significado</w:t>
            </w:r>
          </w:p>
        </w:tc>
      </w:tr>
      <w:tr w:rsidR="00D603D6" w:rsidRPr="009B33A2" w14:paraId="4A4839C6" w14:textId="77777777" w:rsidTr="00485D76">
        <w:trPr>
          <w:trHeight w:val="77"/>
        </w:trPr>
        <w:tc>
          <w:tcPr>
            <w:tcW w:w="1668" w:type="dxa"/>
            <w:shd w:val="clear" w:color="auto" w:fill="A8D08D" w:themeFill="accent6" w:themeFillTint="99"/>
          </w:tcPr>
          <w:p w14:paraId="4A892C68" w14:textId="77777777" w:rsidR="00D603D6" w:rsidRPr="00657E00" w:rsidRDefault="00D603D6" w:rsidP="00032D15">
            <w:pPr>
              <w:autoSpaceDE w:val="0"/>
              <w:autoSpaceDN w:val="0"/>
              <w:adjustRightInd w:val="0"/>
              <w:spacing w:after="120" w:line="240" w:lineRule="auto"/>
              <w:rPr>
                <w:rFonts w:ascii="ITC Avant Garde" w:hAnsi="ITC Avant Garde" w:cs="ITC Avant Garde"/>
                <w:color w:val="000000"/>
                <w:sz w:val="18"/>
                <w:szCs w:val="18"/>
              </w:rPr>
            </w:pPr>
            <w:r w:rsidRPr="00657E00">
              <w:rPr>
                <w:rFonts w:ascii="ITC Avant Garde" w:hAnsi="ITC Avant Garde" w:cs="ITC Avant Garde"/>
                <w:color w:val="000000"/>
                <w:sz w:val="18"/>
                <w:szCs w:val="18"/>
              </w:rPr>
              <w:t>AI</w:t>
            </w:r>
          </w:p>
        </w:tc>
        <w:tc>
          <w:tcPr>
            <w:tcW w:w="8520" w:type="dxa"/>
            <w:shd w:val="clear" w:color="auto" w:fill="A8D08D" w:themeFill="accent6" w:themeFillTint="99"/>
          </w:tcPr>
          <w:p w14:paraId="0B795F43" w14:textId="77777777" w:rsidR="00D603D6" w:rsidRPr="00657E00" w:rsidRDefault="00D603D6" w:rsidP="00032D15">
            <w:pPr>
              <w:autoSpaceDE w:val="0"/>
              <w:autoSpaceDN w:val="0"/>
              <w:adjustRightInd w:val="0"/>
              <w:spacing w:after="120" w:line="240" w:lineRule="auto"/>
              <w:jc w:val="both"/>
              <w:rPr>
                <w:rFonts w:ascii="ITC Avant Garde" w:hAnsi="ITC Avant Garde" w:cs="ITC Avant Garde"/>
                <w:color w:val="000000"/>
                <w:sz w:val="18"/>
                <w:szCs w:val="18"/>
              </w:rPr>
            </w:pPr>
            <w:r w:rsidRPr="00657E00">
              <w:rPr>
                <w:rFonts w:ascii="ITC Avant Garde" w:hAnsi="ITC Avant Garde" w:cs="ITC Avant Garde"/>
                <w:color w:val="000000"/>
                <w:sz w:val="18"/>
                <w:szCs w:val="18"/>
              </w:rPr>
              <w:t>Autoridad Investigadora del Instituto Federal de Telecomunicaciones</w:t>
            </w:r>
          </w:p>
        </w:tc>
      </w:tr>
      <w:tr w:rsidR="00B34A77" w:rsidRPr="009B33A2" w14:paraId="3E77549F" w14:textId="77777777" w:rsidTr="00B34A77">
        <w:trPr>
          <w:trHeight w:val="77"/>
        </w:trPr>
        <w:tc>
          <w:tcPr>
            <w:tcW w:w="1668" w:type="dxa"/>
            <w:shd w:val="clear" w:color="auto" w:fill="E2EFD9" w:themeFill="accent6" w:themeFillTint="33"/>
          </w:tcPr>
          <w:p w14:paraId="4FDD2FC1" w14:textId="1EE33220" w:rsidR="00B34A77" w:rsidRPr="00657E00" w:rsidRDefault="00B34A77" w:rsidP="00032D15">
            <w:pPr>
              <w:autoSpaceDE w:val="0"/>
              <w:autoSpaceDN w:val="0"/>
              <w:adjustRightInd w:val="0"/>
              <w:spacing w:after="120" w:line="240" w:lineRule="auto"/>
              <w:rPr>
                <w:rFonts w:ascii="ITC Avant Garde" w:hAnsi="ITC Avant Garde" w:cs="ITC Avant Garde"/>
                <w:color w:val="000000"/>
                <w:sz w:val="18"/>
                <w:szCs w:val="18"/>
              </w:rPr>
            </w:pPr>
            <w:r>
              <w:rPr>
                <w:rFonts w:ascii="ITC Avant Garde" w:hAnsi="ITC Avant Garde" w:cs="ITC Avant Garde"/>
                <w:color w:val="000000"/>
                <w:sz w:val="18"/>
                <w:szCs w:val="18"/>
              </w:rPr>
              <w:t>Guía</w:t>
            </w:r>
          </w:p>
        </w:tc>
        <w:tc>
          <w:tcPr>
            <w:tcW w:w="8520" w:type="dxa"/>
            <w:shd w:val="clear" w:color="auto" w:fill="E2EFD9" w:themeFill="accent6" w:themeFillTint="33"/>
          </w:tcPr>
          <w:p w14:paraId="737DDC3F" w14:textId="05A21F08" w:rsidR="00B34A77" w:rsidRPr="00657E00" w:rsidRDefault="00B34A77" w:rsidP="00032D15">
            <w:pPr>
              <w:autoSpaceDE w:val="0"/>
              <w:autoSpaceDN w:val="0"/>
              <w:adjustRightInd w:val="0"/>
              <w:spacing w:after="120" w:line="240" w:lineRule="auto"/>
              <w:jc w:val="both"/>
              <w:rPr>
                <w:rFonts w:ascii="ITC Avant Garde" w:hAnsi="ITC Avant Garde" w:cs="ITC Avant Garde"/>
                <w:color w:val="000000"/>
                <w:sz w:val="18"/>
                <w:szCs w:val="18"/>
              </w:rPr>
            </w:pPr>
            <w:r w:rsidRPr="00FC7850">
              <w:rPr>
                <w:rFonts w:ascii="ITC Avant Garde" w:hAnsi="ITC Avant Garde"/>
                <w:sz w:val="18"/>
                <w:szCs w:val="18"/>
              </w:rPr>
              <w:t>Guía para la presentación de denuncias de prácticas monopólicas y concentraciones ilícitas en los sectores de telecomunicaciones y radiodifusión</w:t>
            </w:r>
            <w:r w:rsidR="00E2299D">
              <w:rPr>
                <w:rFonts w:ascii="ITC Avant Garde" w:hAnsi="ITC Avant Garde"/>
                <w:sz w:val="18"/>
                <w:szCs w:val="18"/>
              </w:rPr>
              <w:t xml:space="preserve"> emitida por el Pleno del Instituto Federal de Telecomunicaciones</w:t>
            </w:r>
          </w:p>
        </w:tc>
      </w:tr>
      <w:tr w:rsidR="004D382D" w:rsidRPr="005F7866" w14:paraId="050E71ED" w14:textId="77777777" w:rsidTr="00E55AF7">
        <w:trPr>
          <w:trHeight w:val="77"/>
        </w:trPr>
        <w:tc>
          <w:tcPr>
            <w:tcW w:w="1668" w:type="dxa"/>
            <w:shd w:val="clear" w:color="auto" w:fill="A8D08D" w:themeFill="accent6" w:themeFillTint="99"/>
          </w:tcPr>
          <w:p w14:paraId="02F63BCC" w14:textId="77777777" w:rsidR="004D382D" w:rsidRPr="005F7866" w:rsidRDefault="004D382D" w:rsidP="00032D15">
            <w:pPr>
              <w:autoSpaceDE w:val="0"/>
              <w:autoSpaceDN w:val="0"/>
              <w:adjustRightInd w:val="0"/>
              <w:spacing w:after="120" w:line="240" w:lineRule="auto"/>
              <w:rPr>
                <w:rFonts w:ascii="ITC Avant Garde" w:hAnsi="ITC Avant Garde" w:cs="ITC Avant Garde"/>
                <w:color w:val="000000"/>
                <w:sz w:val="18"/>
                <w:szCs w:val="18"/>
              </w:rPr>
            </w:pPr>
            <w:r w:rsidRPr="005F7866">
              <w:rPr>
                <w:rFonts w:ascii="ITC Avant Garde" w:hAnsi="ITC Avant Garde" w:cs="ITC Avant Garde"/>
                <w:color w:val="000000"/>
                <w:sz w:val="18"/>
                <w:szCs w:val="18"/>
              </w:rPr>
              <w:t>Anteproyecto</w:t>
            </w:r>
            <w:r w:rsidR="00B34A77">
              <w:rPr>
                <w:rFonts w:ascii="ITC Avant Garde" w:hAnsi="ITC Avant Garde" w:cs="ITC Avant Garde"/>
                <w:color w:val="000000"/>
                <w:sz w:val="18"/>
                <w:szCs w:val="18"/>
              </w:rPr>
              <w:t xml:space="preserve"> de Lineamientos</w:t>
            </w:r>
          </w:p>
        </w:tc>
        <w:tc>
          <w:tcPr>
            <w:tcW w:w="8520" w:type="dxa"/>
            <w:shd w:val="clear" w:color="auto" w:fill="A8D08D" w:themeFill="accent6" w:themeFillTint="99"/>
          </w:tcPr>
          <w:p w14:paraId="3B60A108" w14:textId="77777777" w:rsidR="004D382D" w:rsidRPr="000F38D9" w:rsidRDefault="003E7FA4" w:rsidP="00032D15">
            <w:pPr>
              <w:autoSpaceDE w:val="0"/>
              <w:autoSpaceDN w:val="0"/>
              <w:adjustRightInd w:val="0"/>
              <w:spacing w:after="120" w:line="240" w:lineRule="auto"/>
              <w:jc w:val="both"/>
              <w:rPr>
                <w:rFonts w:ascii="ITC Avant Garde" w:hAnsi="ITC Avant Garde"/>
                <w:sz w:val="18"/>
                <w:szCs w:val="18"/>
              </w:rPr>
            </w:pPr>
            <w:r w:rsidRPr="000F38D9">
              <w:rPr>
                <w:rFonts w:ascii="ITC Avant Garde" w:hAnsi="ITC Avant Garde"/>
                <w:sz w:val="18"/>
                <w:szCs w:val="18"/>
              </w:rPr>
              <w:t xml:space="preserve">Anteproyecto de </w:t>
            </w:r>
            <w:r w:rsidR="000F38D9" w:rsidRPr="000F38D9">
              <w:rPr>
                <w:rFonts w:ascii="ITC Avant Garde" w:hAnsi="ITC Avant Garde"/>
                <w:sz w:val="18"/>
                <w:szCs w:val="18"/>
              </w:rPr>
              <w:t>Lineamientos para la presentación de denuncias de prácticas monopólicas y concentraciones ilícitas en los sectores de telecomunicaciones y radiodifusión, ante la Autoridad Investigadora del Instituto Federal de Telecomunicaciones, a través de medios electrónicos</w:t>
            </w:r>
          </w:p>
        </w:tc>
      </w:tr>
      <w:tr w:rsidR="00414EB4" w:rsidRPr="005F7866" w14:paraId="6D258048" w14:textId="77777777" w:rsidTr="00E55AF7">
        <w:trPr>
          <w:trHeight w:val="77"/>
        </w:trPr>
        <w:tc>
          <w:tcPr>
            <w:tcW w:w="1668" w:type="dxa"/>
            <w:shd w:val="clear" w:color="auto" w:fill="E2EFD9" w:themeFill="accent6" w:themeFillTint="33"/>
          </w:tcPr>
          <w:p w14:paraId="16353631" w14:textId="77777777" w:rsidR="00414EB4" w:rsidRPr="005F7866" w:rsidRDefault="00414EB4" w:rsidP="00032D15">
            <w:pPr>
              <w:autoSpaceDE w:val="0"/>
              <w:autoSpaceDN w:val="0"/>
              <w:adjustRightInd w:val="0"/>
              <w:spacing w:after="120" w:line="240" w:lineRule="auto"/>
              <w:rPr>
                <w:rFonts w:ascii="ITC Avant Garde" w:hAnsi="ITC Avant Garde" w:cs="ITC Avant Garde"/>
                <w:color w:val="000000"/>
                <w:sz w:val="18"/>
                <w:szCs w:val="18"/>
              </w:rPr>
            </w:pPr>
            <w:r w:rsidRPr="007445C0">
              <w:rPr>
                <w:rFonts w:ascii="ITC Avant Garde" w:hAnsi="ITC Avant Garde"/>
                <w:sz w:val="18"/>
                <w:szCs w:val="18"/>
              </w:rPr>
              <w:t>AT&amp;T</w:t>
            </w:r>
          </w:p>
        </w:tc>
        <w:tc>
          <w:tcPr>
            <w:tcW w:w="8520" w:type="dxa"/>
            <w:shd w:val="clear" w:color="auto" w:fill="E2EFD9" w:themeFill="accent6" w:themeFillTint="33"/>
          </w:tcPr>
          <w:p w14:paraId="126CA5E8" w14:textId="77777777" w:rsidR="00414EB4" w:rsidRPr="000F38D9" w:rsidRDefault="00414EB4" w:rsidP="00032D15">
            <w:pPr>
              <w:autoSpaceDE w:val="0"/>
              <w:autoSpaceDN w:val="0"/>
              <w:adjustRightInd w:val="0"/>
              <w:spacing w:after="120" w:line="240" w:lineRule="auto"/>
              <w:jc w:val="both"/>
              <w:rPr>
                <w:rFonts w:ascii="ITC Avant Garde" w:hAnsi="ITC Avant Garde"/>
                <w:sz w:val="18"/>
                <w:szCs w:val="18"/>
              </w:rPr>
            </w:pPr>
            <w:r w:rsidRPr="007445C0">
              <w:rPr>
                <w:rFonts w:ascii="ITC Avant Garde" w:hAnsi="ITC Avant Garde"/>
                <w:sz w:val="18"/>
                <w:szCs w:val="18"/>
              </w:rPr>
              <w:t>AT&amp;T Comunicaciones Digitales, S. de R.L. de C.V., Grupo AT&amp;T Cellular, S. de R.L. de C.V., AT&amp;T Norte, S. de R.L. de C.V., AT&amp;T Comercialización Móvil, S. de R.L. de C.V. y AT&amp;T Desarrollo en Comunicaciones de México, S. de R.L. de C.V.</w:t>
            </w:r>
          </w:p>
        </w:tc>
      </w:tr>
      <w:tr w:rsidR="00BF0146" w:rsidRPr="005F7866" w14:paraId="2D40370F" w14:textId="77777777" w:rsidTr="00E55AF7">
        <w:trPr>
          <w:trHeight w:val="77"/>
        </w:trPr>
        <w:tc>
          <w:tcPr>
            <w:tcW w:w="1668" w:type="dxa"/>
            <w:shd w:val="clear" w:color="auto" w:fill="A8D08D" w:themeFill="accent6" w:themeFillTint="99"/>
          </w:tcPr>
          <w:p w14:paraId="52B7438A" w14:textId="77777777" w:rsidR="00BF0146" w:rsidRDefault="00BF0146" w:rsidP="00032D15">
            <w:pPr>
              <w:autoSpaceDE w:val="0"/>
              <w:autoSpaceDN w:val="0"/>
              <w:adjustRightInd w:val="0"/>
              <w:spacing w:after="120" w:line="240" w:lineRule="auto"/>
              <w:rPr>
                <w:rFonts w:ascii="ITC Avant Garde" w:hAnsi="ITC Avant Garde" w:cs="ITC Avant Garde"/>
                <w:color w:val="000000"/>
                <w:sz w:val="18"/>
                <w:szCs w:val="18"/>
              </w:rPr>
            </w:pPr>
            <w:r>
              <w:rPr>
                <w:rFonts w:ascii="ITC Avant Garde" w:hAnsi="ITC Avant Garde" w:cs="ITC Avant Garde"/>
                <w:color w:val="000000"/>
                <w:sz w:val="18"/>
                <w:szCs w:val="18"/>
              </w:rPr>
              <w:t>Bestphone</w:t>
            </w:r>
            <w:r w:rsidR="00455F8B">
              <w:rPr>
                <w:rFonts w:ascii="ITC Avant Garde" w:hAnsi="ITC Avant Garde" w:cs="ITC Avant Garde"/>
                <w:color w:val="000000"/>
                <w:sz w:val="18"/>
                <w:szCs w:val="18"/>
              </w:rPr>
              <w:t xml:space="preserve"> y otros</w:t>
            </w:r>
          </w:p>
        </w:tc>
        <w:tc>
          <w:tcPr>
            <w:tcW w:w="8520" w:type="dxa"/>
            <w:shd w:val="clear" w:color="auto" w:fill="A8D08D" w:themeFill="accent6" w:themeFillTint="99"/>
          </w:tcPr>
          <w:p w14:paraId="5BA6E8DC" w14:textId="378D1DFE" w:rsidR="00BF0146" w:rsidRPr="007445C0" w:rsidRDefault="00BF0146" w:rsidP="00032D15">
            <w:pPr>
              <w:autoSpaceDE w:val="0"/>
              <w:autoSpaceDN w:val="0"/>
              <w:adjustRightInd w:val="0"/>
              <w:spacing w:after="120" w:line="240" w:lineRule="auto"/>
              <w:rPr>
                <w:rFonts w:ascii="ITC Avant Garde" w:hAnsi="ITC Avant Garde"/>
                <w:sz w:val="18"/>
                <w:szCs w:val="18"/>
              </w:rPr>
            </w:pPr>
            <w:r w:rsidRPr="00BF0146">
              <w:rPr>
                <w:rFonts w:ascii="ITC Avant Garde" w:hAnsi="ITC Avant Garde"/>
                <w:sz w:val="18"/>
                <w:szCs w:val="18"/>
              </w:rPr>
              <w:t>Bestphone, S.A. de C.V., Operbes, S.A. de C.V., Cable y Comunicación de Campeche, S.A. de C.V., Cablemas Telecomunicaciones, S.A. de C.V., Cablevisión Red, S.A. de C.V.,</w:t>
            </w:r>
            <w:r w:rsidR="00A47CEB">
              <w:rPr>
                <w:rFonts w:ascii="ITC Avant Garde" w:hAnsi="ITC Avant Garde"/>
                <w:sz w:val="18"/>
                <w:szCs w:val="18"/>
              </w:rPr>
              <w:t xml:space="preserve"> </w:t>
            </w:r>
            <w:r w:rsidRPr="00BF0146">
              <w:rPr>
                <w:rFonts w:ascii="ITC Avant Garde" w:hAnsi="ITC Avant Garde"/>
                <w:sz w:val="18"/>
                <w:szCs w:val="18"/>
              </w:rPr>
              <w:t>México Red de Telecomunicaciones, S. de R.L. de C.V., Tele Azteca, S.A. de C.V., Televisión Internacional, S.A. de C.V., T</w:t>
            </w:r>
            <w:r w:rsidR="001B147A">
              <w:rPr>
                <w:rFonts w:ascii="ITC Avant Garde" w:hAnsi="ITC Avant Garde"/>
                <w:sz w:val="18"/>
                <w:szCs w:val="18"/>
              </w:rPr>
              <w:t>V</w:t>
            </w:r>
            <w:r w:rsidRPr="00BF0146">
              <w:rPr>
                <w:rFonts w:ascii="ITC Avant Garde" w:hAnsi="ITC Avant Garde"/>
                <w:sz w:val="18"/>
                <w:szCs w:val="18"/>
              </w:rPr>
              <w:t xml:space="preserve"> Cable de Oriente, S.A. de C.V. y Cablevisión, S.A. de C.V.</w:t>
            </w:r>
          </w:p>
        </w:tc>
      </w:tr>
      <w:tr w:rsidR="00DB6927" w:rsidRPr="005F7866" w14:paraId="6F0478AE" w14:textId="77777777" w:rsidTr="006159ED">
        <w:trPr>
          <w:trHeight w:val="77"/>
        </w:trPr>
        <w:tc>
          <w:tcPr>
            <w:tcW w:w="1668" w:type="dxa"/>
            <w:shd w:val="clear" w:color="auto" w:fill="E2EFD9" w:themeFill="accent6" w:themeFillTint="33"/>
          </w:tcPr>
          <w:p w14:paraId="5D8FBD2C" w14:textId="77777777" w:rsidR="00DB6927" w:rsidRPr="005F7866" w:rsidRDefault="004D382D" w:rsidP="00032D15">
            <w:pPr>
              <w:autoSpaceDE w:val="0"/>
              <w:autoSpaceDN w:val="0"/>
              <w:adjustRightInd w:val="0"/>
              <w:spacing w:after="120" w:line="240" w:lineRule="auto"/>
              <w:rPr>
                <w:rFonts w:ascii="ITC Avant Garde" w:hAnsi="ITC Avant Garde" w:cs="ITC Avant Garde"/>
                <w:color w:val="000000"/>
                <w:sz w:val="18"/>
                <w:szCs w:val="18"/>
              </w:rPr>
            </w:pPr>
            <w:r w:rsidRPr="005F7866">
              <w:rPr>
                <w:rFonts w:ascii="ITC Avant Garde" w:hAnsi="ITC Avant Garde" w:cs="ITC Avant Garde"/>
                <w:color w:val="000000"/>
                <w:sz w:val="18"/>
                <w:szCs w:val="18"/>
              </w:rPr>
              <w:t>Disposiciones Regulatorias</w:t>
            </w:r>
          </w:p>
        </w:tc>
        <w:tc>
          <w:tcPr>
            <w:tcW w:w="8520" w:type="dxa"/>
            <w:shd w:val="clear" w:color="auto" w:fill="E2EFD9" w:themeFill="accent6" w:themeFillTint="33"/>
          </w:tcPr>
          <w:p w14:paraId="6E5932F3" w14:textId="77777777" w:rsidR="00DB6927" w:rsidRPr="005F7866" w:rsidRDefault="004D382D" w:rsidP="00032D15">
            <w:pPr>
              <w:autoSpaceDE w:val="0"/>
              <w:autoSpaceDN w:val="0"/>
              <w:adjustRightInd w:val="0"/>
              <w:spacing w:after="120" w:line="240" w:lineRule="auto"/>
              <w:jc w:val="both"/>
              <w:rPr>
                <w:rFonts w:ascii="ITC Avant Garde" w:hAnsi="ITC Avant Garde" w:cs="ITC Avant Garde"/>
                <w:color w:val="000000"/>
                <w:sz w:val="18"/>
                <w:szCs w:val="18"/>
              </w:rPr>
            </w:pPr>
            <w:r w:rsidRPr="005F7866">
              <w:rPr>
                <w:rFonts w:ascii="ITC Avant Garde" w:hAnsi="ITC Avant Garde" w:cs="ITC Avant Garde"/>
                <w:color w:val="000000"/>
                <w:sz w:val="18"/>
                <w:szCs w:val="18"/>
              </w:rPr>
              <w:t>Disposiciones Regulatorias de la Ley Federal de Competencia Económica para los sectores de telecomunicaciones y radiodifusión</w:t>
            </w:r>
          </w:p>
        </w:tc>
      </w:tr>
      <w:tr w:rsidR="003E77AA" w:rsidRPr="005F7866" w14:paraId="0B61B632" w14:textId="77777777" w:rsidTr="00E55AF7">
        <w:trPr>
          <w:trHeight w:val="77"/>
        </w:trPr>
        <w:tc>
          <w:tcPr>
            <w:tcW w:w="1668" w:type="dxa"/>
            <w:shd w:val="clear" w:color="auto" w:fill="A8D08D" w:themeFill="accent6" w:themeFillTint="99"/>
          </w:tcPr>
          <w:p w14:paraId="42DD501C" w14:textId="77777777" w:rsidR="003E77AA" w:rsidRPr="005F7866" w:rsidRDefault="003E77AA" w:rsidP="00032D15">
            <w:pPr>
              <w:autoSpaceDE w:val="0"/>
              <w:autoSpaceDN w:val="0"/>
              <w:adjustRightInd w:val="0"/>
              <w:spacing w:after="120" w:line="240" w:lineRule="auto"/>
              <w:rPr>
                <w:rFonts w:ascii="ITC Avant Garde" w:hAnsi="ITC Avant Garde" w:cs="ITC Avant Garde"/>
                <w:color w:val="000000"/>
                <w:sz w:val="18"/>
                <w:szCs w:val="18"/>
              </w:rPr>
            </w:pPr>
            <w:r w:rsidRPr="005F7866">
              <w:rPr>
                <w:rFonts w:ascii="ITC Avant Garde" w:hAnsi="ITC Avant Garde" w:cs="ITC Avant Garde"/>
                <w:color w:val="000000"/>
                <w:sz w:val="18"/>
                <w:szCs w:val="18"/>
              </w:rPr>
              <w:t>Instituto</w:t>
            </w:r>
          </w:p>
        </w:tc>
        <w:tc>
          <w:tcPr>
            <w:tcW w:w="8520" w:type="dxa"/>
            <w:shd w:val="clear" w:color="auto" w:fill="A8D08D" w:themeFill="accent6" w:themeFillTint="99"/>
          </w:tcPr>
          <w:p w14:paraId="3F5718DD" w14:textId="77777777" w:rsidR="003E77AA" w:rsidRPr="005F7866" w:rsidRDefault="003E77AA" w:rsidP="00032D15">
            <w:pPr>
              <w:autoSpaceDE w:val="0"/>
              <w:autoSpaceDN w:val="0"/>
              <w:adjustRightInd w:val="0"/>
              <w:spacing w:after="120" w:line="240" w:lineRule="auto"/>
              <w:jc w:val="both"/>
              <w:rPr>
                <w:rFonts w:ascii="ITC Avant Garde" w:hAnsi="ITC Avant Garde" w:cs="ITC Avant Garde"/>
                <w:color w:val="000000"/>
                <w:sz w:val="18"/>
                <w:szCs w:val="18"/>
              </w:rPr>
            </w:pPr>
            <w:r w:rsidRPr="005F7866">
              <w:rPr>
                <w:rFonts w:ascii="ITC Avant Garde" w:hAnsi="ITC Avant Garde" w:cs="ITC Avant Garde"/>
                <w:color w:val="000000"/>
                <w:sz w:val="18"/>
                <w:szCs w:val="18"/>
              </w:rPr>
              <w:t>Instituto Federal de Telecomunicaciones</w:t>
            </w:r>
          </w:p>
        </w:tc>
      </w:tr>
      <w:tr w:rsidR="00DB6927" w:rsidRPr="005F7866" w14:paraId="16340CA7" w14:textId="77777777" w:rsidTr="00E55AF7">
        <w:trPr>
          <w:trHeight w:val="77"/>
        </w:trPr>
        <w:tc>
          <w:tcPr>
            <w:tcW w:w="1668" w:type="dxa"/>
            <w:shd w:val="clear" w:color="auto" w:fill="E2EFD9" w:themeFill="accent6" w:themeFillTint="33"/>
          </w:tcPr>
          <w:p w14:paraId="3E9762D2" w14:textId="77777777" w:rsidR="00DB6927" w:rsidRPr="005F7866" w:rsidRDefault="00DB6927" w:rsidP="00032D15">
            <w:pPr>
              <w:autoSpaceDE w:val="0"/>
              <w:autoSpaceDN w:val="0"/>
              <w:adjustRightInd w:val="0"/>
              <w:spacing w:after="120" w:line="240" w:lineRule="auto"/>
              <w:rPr>
                <w:rFonts w:ascii="ITC Avant Garde" w:hAnsi="ITC Avant Garde" w:cs="ITC Avant Garde"/>
                <w:color w:val="000000"/>
                <w:sz w:val="18"/>
                <w:szCs w:val="18"/>
              </w:rPr>
            </w:pPr>
            <w:r w:rsidRPr="005F7866">
              <w:rPr>
                <w:rFonts w:ascii="ITC Avant Garde" w:hAnsi="ITC Avant Garde" w:cs="ITC Avant Garde"/>
                <w:color w:val="000000"/>
                <w:sz w:val="18"/>
                <w:szCs w:val="18"/>
              </w:rPr>
              <w:t xml:space="preserve">LFCE </w:t>
            </w:r>
          </w:p>
        </w:tc>
        <w:tc>
          <w:tcPr>
            <w:tcW w:w="8520" w:type="dxa"/>
            <w:shd w:val="clear" w:color="auto" w:fill="E2EFD9" w:themeFill="accent6" w:themeFillTint="33"/>
          </w:tcPr>
          <w:p w14:paraId="50B6F724" w14:textId="77777777" w:rsidR="00DB6927" w:rsidRPr="005F7866" w:rsidRDefault="00DB6927" w:rsidP="00032D15">
            <w:pPr>
              <w:autoSpaceDE w:val="0"/>
              <w:autoSpaceDN w:val="0"/>
              <w:adjustRightInd w:val="0"/>
              <w:spacing w:after="120" w:line="240" w:lineRule="auto"/>
              <w:jc w:val="both"/>
              <w:rPr>
                <w:rFonts w:ascii="ITC Avant Garde" w:hAnsi="ITC Avant Garde" w:cs="ITC Avant Garde"/>
                <w:color w:val="000000"/>
                <w:sz w:val="18"/>
                <w:szCs w:val="18"/>
              </w:rPr>
            </w:pPr>
            <w:r w:rsidRPr="005F7866">
              <w:rPr>
                <w:rFonts w:ascii="ITC Avant Garde" w:hAnsi="ITC Avant Garde" w:cs="ITC Avant Garde"/>
                <w:color w:val="000000"/>
                <w:sz w:val="18"/>
                <w:szCs w:val="18"/>
              </w:rPr>
              <w:t>Ley Federal de Competencia Económica</w:t>
            </w:r>
          </w:p>
        </w:tc>
      </w:tr>
      <w:tr w:rsidR="00D603D6" w:rsidRPr="009B33A2" w14:paraId="5F5006CF" w14:textId="77777777" w:rsidTr="006159ED">
        <w:trPr>
          <w:trHeight w:val="77"/>
        </w:trPr>
        <w:tc>
          <w:tcPr>
            <w:tcW w:w="1668" w:type="dxa"/>
            <w:shd w:val="clear" w:color="auto" w:fill="A8D08D" w:themeFill="accent6" w:themeFillTint="99"/>
          </w:tcPr>
          <w:p w14:paraId="5E4336CD" w14:textId="77777777" w:rsidR="00D603D6" w:rsidRPr="00657E00" w:rsidRDefault="00D603D6" w:rsidP="00032D15">
            <w:pPr>
              <w:autoSpaceDE w:val="0"/>
              <w:autoSpaceDN w:val="0"/>
              <w:adjustRightInd w:val="0"/>
              <w:spacing w:after="120" w:line="240" w:lineRule="auto"/>
              <w:rPr>
                <w:rFonts w:ascii="ITC Avant Garde" w:hAnsi="ITC Avant Garde" w:cs="ITC Avant Garde"/>
                <w:color w:val="000000"/>
                <w:sz w:val="18"/>
                <w:szCs w:val="18"/>
              </w:rPr>
            </w:pPr>
            <w:r>
              <w:rPr>
                <w:rFonts w:ascii="ITC Avant Garde" w:hAnsi="ITC Avant Garde" w:cs="ITC Avant Garde"/>
                <w:color w:val="000000"/>
                <w:sz w:val="18"/>
                <w:szCs w:val="18"/>
              </w:rPr>
              <w:t>Pleno</w:t>
            </w:r>
          </w:p>
        </w:tc>
        <w:tc>
          <w:tcPr>
            <w:tcW w:w="8520" w:type="dxa"/>
            <w:shd w:val="clear" w:color="auto" w:fill="A8D08D" w:themeFill="accent6" w:themeFillTint="99"/>
          </w:tcPr>
          <w:p w14:paraId="539A3E2C" w14:textId="77777777" w:rsidR="00D603D6" w:rsidRPr="00657E00" w:rsidRDefault="00D603D6" w:rsidP="00032D15">
            <w:pPr>
              <w:autoSpaceDE w:val="0"/>
              <w:autoSpaceDN w:val="0"/>
              <w:adjustRightInd w:val="0"/>
              <w:spacing w:after="120" w:line="240" w:lineRule="auto"/>
              <w:jc w:val="both"/>
              <w:rPr>
                <w:rFonts w:ascii="ITC Avant Garde" w:hAnsi="ITC Avant Garde" w:cs="ITC Avant Garde"/>
                <w:color w:val="000000"/>
                <w:sz w:val="18"/>
                <w:szCs w:val="18"/>
              </w:rPr>
            </w:pPr>
            <w:r>
              <w:rPr>
                <w:rFonts w:ascii="ITC Avant Garde" w:hAnsi="ITC Avant Garde" w:cs="ITC Avant Garde"/>
                <w:color w:val="000000"/>
                <w:sz w:val="18"/>
                <w:szCs w:val="18"/>
              </w:rPr>
              <w:t>Pleno del Instituto Federal de Telecomunicaciones</w:t>
            </w:r>
          </w:p>
        </w:tc>
      </w:tr>
      <w:tr w:rsidR="000548BD" w:rsidRPr="005F7866" w14:paraId="66E19346" w14:textId="77777777" w:rsidTr="006159ED">
        <w:trPr>
          <w:trHeight w:val="77"/>
        </w:trPr>
        <w:tc>
          <w:tcPr>
            <w:tcW w:w="1668" w:type="dxa"/>
            <w:shd w:val="clear" w:color="auto" w:fill="E2EFD9" w:themeFill="accent6" w:themeFillTint="33"/>
          </w:tcPr>
          <w:p w14:paraId="1C221176" w14:textId="77777777" w:rsidR="000548BD" w:rsidRPr="000548BD" w:rsidRDefault="000548BD" w:rsidP="00032D15">
            <w:pPr>
              <w:autoSpaceDE w:val="0"/>
              <w:autoSpaceDN w:val="0"/>
              <w:adjustRightInd w:val="0"/>
              <w:spacing w:after="120" w:line="240" w:lineRule="auto"/>
              <w:rPr>
                <w:rFonts w:ascii="ITC Avant Garde" w:hAnsi="ITC Avant Garde" w:cs="ITC Avant Garde"/>
                <w:color w:val="000000"/>
                <w:sz w:val="18"/>
                <w:szCs w:val="18"/>
              </w:rPr>
            </w:pPr>
            <w:r w:rsidRPr="00F84D32">
              <w:rPr>
                <w:rFonts w:ascii="ITC Avant Garde" w:hAnsi="ITC Avant Garde"/>
                <w:sz w:val="18"/>
                <w:szCs w:val="18"/>
              </w:rPr>
              <w:t>SAT</w:t>
            </w:r>
          </w:p>
        </w:tc>
        <w:tc>
          <w:tcPr>
            <w:tcW w:w="8520" w:type="dxa"/>
            <w:shd w:val="clear" w:color="auto" w:fill="E2EFD9" w:themeFill="accent6" w:themeFillTint="33"/>
          </w:tcPr>
          <w:p w14:paraId="6204A2AC" w14:textId="77777777" w:rsidR="000548BD" w:rsidRPr="000548BD" w:rsidRDefault="000548BD" w:rsidP="00032D15">
            <w:pPr>
              <w:autoSpaceDE w:val="0"/>
              <w:autoSpaceDN w:val="0"/>
              <w:adjustRightInd w:val="0"/>
              <w:spacing w:after="120" w:line="240" w:lineRule="auto"/>
              <w:jc w:val="both"/>
              <w:rPr>
                <w:rFonts w:ascii="ITC Avant Garde" w:hAnsi="ITC Avant Garde"/>
                <w:sz w:val="18"/>
                <w:szCs w:val="18"/>
              </w:rPr>
            </w:pPr>
            <w:r w:rsidRPr="00F84D32">
              <w:rPr>
                <w:rFonts w:ascii="ITC Avant Garde" w:hAnsi="ITC Avant Garde"/>
                <w:sz w:val="18"/>
                <w:szCs w:val="18"/>
              </w:rPr>
              <w:t>Servicio de Administración Tributaria, autoridad certificadora en México para emitir certificados digitales en los términos de los artículos 23 y 28 de la Ley de Firma Electrónica Avanzada</w:t>
            </w:r>
          </w:p>
        </w:tc>
      </w:tr>
      <w:tr w:rsidR="00352340" w:rsidRPr="005F7866" w14:paraId="00D2CAE6" w14:textId="77777777" w:rsidTr="00E55AF7">
        <w:trPr>
          <w:trHeight w:val="77"/>
        </w:trPr>
        <w:tc>
          <w:tcPr>
            <w:tcW w:w="1668" w:type="dxa"/>
            <w:shd w:val="clear" w:color="auto" w:fill="E2EFD9" w:themeFill="accent6" w:themeFillTint="33"/>
          </w:tcPr>
          <w:p w14:paraId="76DBC8C1" w14:textId="77777777" w:rsidR="00352340" w:rsidRPr="002F79F7" w:rsidRDefault="00352340" w:rsidP="00032D15">
            <w:pPr>
              <w:autoSpaceDE w:val="0"/>
              <w:autoSpaceDN w:val="0"/>
              <w:adjustRightInd w:val="0"/>
              <w:spacing w:after="120" w:line="240" w:lineRule="auto"/>
              <w:rPr>
                <w:rFonts w:ascii="ITC Avant Garde" w:hAnsi="ITC Avant Garde" w:cs="ITC Avant Garde"/>
                <w:color w:val="000000"/>
                <w:sz w:val="18"/>
                <w:szCs w:val="18"/>
              </w:rPr>
            </w:pPr>
            <w:r w:rsidRPr="002F79F7">
              <w:rPr>
                <w:rFonts w:ascii="ITC Avant Garde" w:hAnsi="ITC Avant Garde"/>
                <w:sz w:val="18"/>
                <w:szCs w:val="18"/>
              </w:rPr>
              <w:lastRenderedPageBreak/>
              <w:t>SEPDAI</w:t>
            </w:r>
          </w:p>
        </w:tc>
        <w:tc>
          <w:tcPr>
            <w:tcW w:w="8520" w:type="dxa"/>
            <w:shd w:val="clear" w:color="auto" w:fill="E2EFD9" w:themeFill="accent6" w:themeFillTint="33"/>
          </w:tcPr>
          <w:p w14:paraId="68B19CA1" w14:textId="77777777" w:rsidR="00352340" w:rsidRPr="002F79F7" w:rsidRDefault="00352340" w:rsidP="00032D15">
            <w:pPr>
              <w:autoSpaceDE w:val="0"/>
              <w:autoSpaceDN w:val="0"/>
              <w:adjustRightInd w:val="0"/>
              <w:spacing w:after="120" w:line="240" w:lineRule="auto"/>
              <w:jc w:val="both"/>
              <w:rPr>
                <w:rFonts w:ascii="ITC Avant Garde" w:hAnsi="ITC Avant Garde"/>
                <w:sz w:val="18"/>
                <w:szCs w:val="18"/>
              </w:rPr>
            </w:pPr>
            <w:r w:rsidRPr="002F79F7">
              <w:rPr>
                <w:rFonts w:ascii="ITC Avant Garde" w:hAnsi="ITC Avant Garde"/>
                <w:sz w:val="18"/>
                <w:szCs w:val="18"/>
              </w:rPr>
              <w:t xml:space="preserve">Sistema Electrónico de Presentación de Denuncias ante la </w:t>
            </w:r>
            <w:r>
              <w:rPr>
                <w:rFonts w:ascii="ITC Avant Garde" w:hAnsi="ITC Avant Garde"/>
                <w:sz w:val="18"/>
                <w:szCs w:val="18"/>
              </w:rPr>
              <w:t>AI</w:t>
            </w:r>
            <w:r w:rsidRPr="002F79F7">
              <w:rPr>
                <w:rFonts w:ascii="ITC Avant Garde" w:hAnsi="ITC Avant Garde"/>
                <w:sz w:val="18"/>
                <w:szCs w:val="18"/>
              </w:rPr>
              <w:t xml:space="preserve">. Medio electrónico </w:t>
            </w:r>
            <w:r w:rsidR="00D51FDE">
              <w:rPr>
                <w:rFonts w:ascii="ITC Avant Garde" w:hAnsi="ITC Avant Garde"/>
                <w:sz w:val="18"/>
                <w:szCs w:val="18"/>
              </w:rPr>
              <w:t xml:space="preserve">que estará </w:t>
            </w:r>
            <w:r w:rsidRPr="002F79F7">
              <w:rPr>
                <w:rFonts w:ascii="ITC Avant Garde" w:hAnsi="ITC Avant Garde"/>
                <w:sz w:val="18"/>
                <w:szCs w:val="18"/>
              </w:rPr>
              <w:t xml:space="preserve">disponible en el micrositio de Internet de la </w:t>
            </w:r>
            <w:r>
              <w:rPr>
                <w:rFonts w:ascii="ITC Avant Garde" w:hAnsi="ITC Avant Garde"/>
                <w:sz w:val="18"/>
                <w:szCs w:val="18"/>
              </w:rPr>
              <w:t>AI</w:t>
            </w:r>
            <w:r w:rsidRPr="002F79F7">
              <w:rPr>
                <w:rFonts w:ascii="ITC Avant Garde" w:hAnsi="ITC Avant Garde"/>
                <w:sz w:val="18"/>
                <w:szCs w:val="18"/>
              </w:rPr>
              <w:t xml:space="preserve">, dentro del Portal de Internet del Instituto, mediante el cual se </w:t>
            </w:r>
            <w:r w:rsidR="00D51FDE">
              <w:rPr>
                <w:rFonts w:ascii="ITC Avant Garde" w:hAnsi="ITC Avant Garde"/>
                <w:sz w:val="18"/>
                <w:szCs w:val="18"/>
              </w:rPr>
              <w:t>podrá</w:t>
            </w:r>
            <w:r w:rsidR="00D51FDE" w:rsidRPr="002F79F7">
              <w:rPr>
                <w:rFonts w:ascii="ITC Avant Garde" w:hAnsi="ITC Avant Garde"/>
                <w:sz w:val="18"/>
                <w:szCs w:val="18"/>
              </w:rPr>
              <w:t xml:space="preserve"> </w:t>
            </w:r>
            <w:r w:rsidRPr="002F79F7">
              <w:rPr>
                <w:rFonts w:ascii="ITC Avant Garde" w:hAnsi="ITC Avant Garde"/>
                <w:sz w:val="18"/>
                <w:szCs w:val="18"/>
              </w:rPr>
              <w:t xml:space="preserve">presentar una denuncia por la probable comisión de conductas anticompetitivas y notificar las actuaciones de la </w:t>
            </w:r>
            <w:r>
              <w:rPr>
                <w:rFonts w:ascii="ITC Avant Garde" w:hAnsi="ITC Avant Garde"/>
                <w:sz w:val="18"/>
                <w:szCs w:val="18"/>
              </w:rPr>
              <w:t>AI</w:t>
            </w:r>
            <w:r w:rsidRPr="002F79F7">
              <w:rPr>
                <w:rFonts w:ascii="ITC Avant Garde" w:hAnsi="ITC Avant Garde"/>
                <w:sz w:val="18"/>
                <w:szCs w:val="18"/>
              </w:rPr>
              <w:t xml:space="preserve"> previstas en </w:t>
            </w:r>
            <w:r w:rsidR="00F22B9C">
              <w:rPr>
                <w:rFonts w:ascii="ITC Avant Garde" w:hAnsi="ITC Avant Garde"/>
                <w:sz w:val="18"/>
                <w:szCs w:val="18"/>
              </w:rPr>
              <w:t xml:space="preserve">el </w:t>
            </w:r>
            <w:r w:rsidR="00F22B9C" w:rsidRPr="00F22B9C">
              <w:rPr>
                <w:rFonts w:ascii="ITC Avant Garde" w:hAnsi="ITC Avant Garde"/>
                <w:sz w:val="18"/>
                <w:szCs w:val="18"/>
              </w:rPr>
              <w:t>Anteproyecto de Lineamientos</w:t>
            </w:r>
            <w:r w:rsidR="00F22B9C">
              <w:rPr>
                <w:rFonts w:ascii="ITC Avant Garde" w:hAnsi="ITC Avant Garde"/>
                <w:sz w:val="18"/>
                <w:szCs w:val="18"/>
              </w:rPr>
              <w:t>.</w:t>
            </w:r>
          </w:p>
        </w:tc>
      </w:tr>
      <w:tr w:rsidR="00DA570C" w:rsidRPr="005F7866" w14:paraId="3CF109B1" w14:textId="77777777" w:rsidTr="006159ED">
        <w:trPr>
          <w:trHeight w:val="77"/>
        </w:trPr>
        <w:tc>
          <w:tcPr>
            <w:tcW w:w="1668" w:type="dxa"/>
            <w:shd w:val="clear" w:color="auto" w:fill="A8D08D" w:themeFill="accent6" w:themeFillTint="99"/>
          </w:tcPr>
          <w:p w14:paraId="31BE7714" w14:textId="77777777" w:rsidR="00DA570C" w:rsidRPr="002F79F7" w:rsidRDefault="00DA570C" w:rsidP="00032D15">
            <w:pPr>
              <w:autoSpaceDE w:val="0"/>
              <w:autoSpaceDN w:val="0"/>
              <w:adjustRightInd w:val="0"/>
              <w:spacing w:after="120" w:line="240" w:lineRule="auto"/>
              <w:rPr>
                <w:rFonts w:ascii="ITC Avant Garde" w:hAnsi="ITC Avant Garde"/>
                <w:sz w:val="18"/>
                <w:szCs w:val="18"/>
              </w:rPr>
            </w:pPr>
            <w:r w:rsidRPr="00BF0146">
              <w:rPr>
                <w:rFonts w:ascii="ITC Avant Garde" w:hAnsi="ITC Avant Garde" w:cs="ITC Avant Garde"/>
                <w:color w:val="000000"/>
                <w:sz w:val="18"/>
                <w:szCs w:val="18"/>
              </w:rPr>
              <w:t>Telefónica</w:t>
            </w:r>
          </w:p>
        </w:tc>
        <w:tc>
          <w:tcPr>
            <w:tcW w:w="8520" w:type="dxa"/>
            <w:shd w:val="clear" w:color="auto" w:fill="A8D08D" w:themeFill="accent6" w:themeFillTint="99"/>
          </w:tcPr>
          <w:p w14:paraId="72EB0378" w14:textId="77777777" w:rsidR="00DA570C" w:rsidRPr="002F79F7" w:rsidRDefault="00DA570C" w:rsidP="00032D15">
            <w:pPr>
              <w:autoSpaceDE w:val="0"/>
              <w:autoSpaceDN w:val="0"/>
              <w:adjustRightInd w:val="0"/>
              <w:spacing w:after="120" w:line="240" w:lineRule="auto"/>
              <w:jc w:val="both"/>
              <w:rPr>
                <w:rFonts w:ascii="ITC Avant Garde" w:hAnsi="ITC Avant Garde"/>
                <w:sz w:val="18"/>
                <w:szCs w:val="18"/>
              </w:rPr>
            </w:pPr>
            <w:r w:rsidRPr="009C49F5">
              <w:rPr>
                <w:rFonts w:ascii="ITC Avant Garde" w:hAnsi="ITC Avant Garde"/>
                <w:sz w:val="18"/>
                <w:szCs w:val="18"/>
              </w:rPr>
              <w:t>Pegaso PCS, S.A. de C.V.</w:t>
            </w:r>
          </w:p>
        </w:tc>
      </w:tr>
    </w:tbl>
    <w:p w14:paraId="060DAD89" w14:textId="77777777" w:rsidR="00EB52A7" w:rsidRPr="005F7866" w:rsidRDefault="00661D1D" w:rsidP="00661D1D">
      <w:pPr>
        <w:tabs>
          <w:tab w:val="left" w:pos="4035"/>
        </w:tabs>
        <w:spacing w:after="0" w:line="247" w:lineRule="auto"/>
        <w:jc w:val="both"/>
        <w:rPr>
          <w:rFonts w:ascii="ITC Avant Garde" w:hAnsi="ITC Avant Garde"/>
        </w:rPr>
      </w:pPr>
      <w:r w:rsidRPr="005F7866">
        <w:rPr>
          <w:rFonts w:ascii="ITC Avant Garde" w:hAnsi="ITC Avant Garde"/>
        </w:rPr>
        <w:tab/>
      </w:r>
    </w:p>
    <w:p w14:paraId="55C71944" w14:textId="77777777" w:rsidR="00387E53" w:rsidRPr="005F7866" w:rsidRDefault="00387E53" w:rsidP="00112F26">
      <w:pPr>
        <w:pStyle w:val="Ttulo1"/>
        <w:spacing w:before="0" w:after="120" w:line="240" w:lineRule="auto"/>
        <w:jc w:val="both"/>
        <w:rPr>
          <w:rFonts w:ascii="ITC Avant Garde" w:hAnsi="ITC Avant Garde"/>
          <w:b/>
          <w:smallCaps/>
          <w:color w:val="000000" w:themeColor="text1"/>
          <w:sz w:val="22"/>
          <w:szCs w:val="22"/>
        </w:rPr>
      </w:pPr>
      <w:r w:rsidRPr="005F7866">
        <w:rPr>
          <w:rFonts w:ascii="ITC Avant Garde" w:hAnsi="ITC Avant Garde"/>
          <w:b/>
          <w:smallCaps/>
          <w:color w:val="000000" w:themeColor="text1"/>
          <w:sz w:val="22"/>
          <w:szCs w:val="22"/>
        </w:rPr>
        <w:t>1. Antecedentes</w:t>
      </w:r>
    </w:p>
    <w:p w14:paraId="52211DE5" w14:textId="3226F6A7" w:rsidR="000F38D9" w:rsidRDefault="00387E53" w:rsidP="00112F26">
      <w:pPr>
        <w:spacing w:after="120" w:line="240" w:lineRule="auto"/>
        <w:jc w:val="both"/>
        <w:rPr>
          <w:rFonts w:ascii="ITC Avant Garde" w:hAnsi="ITC Avant Garde"/>
        </w:rPr>
      </w:pPr>
      <w:r w:rsidRPr="005F7866">
        <w:rPr>
          <w:rFonts w:ascii="ITC Avant Garde" w:hAnsi="ITC Avant Garde"/>
        </w:rPr>
        <w:t xml:space="preserve">El </w:t>
      </w:r>
      <w:r w:rsidR="00961746" w:rsidRPr="005F7866">
        <w:rPr>
          <w:rFonts w:ascii="ITC Avant Garde" w:hAnsi="ITC Avant Garde"/>
        </w:rPr>
        <w:t>I</w:t>
      </w:r>
      <w:r w:rsidRPr="005F7866">
        <w:rPr>
          <w:rFonts w:ascii="ITC Avant Garde" w:hAnsi="ITC Avant Garde"/>
        </w:rPr>
        <w:t>nstituto</w:t>
      </w:r>
      <w:r w:rsidR="00AB2D34" w:rsidRPr="005F7866">
        <w:rPr>
          <w:rFonts w:ascii="ITC Avant Garde" w:hAnsi="ITC Avant Garde"/>
        </w:rPr>
        <w:t>, con fundamento en los artículos 28</w:t>
      </w:r>
      <w:r w:rsidR="00D51FDE">
        <w:rPr>
          <w:rFonts w:ascii="ITC Avant Garde" w:hAnsi="ITC Avant Garde"/>
        </w:rPr>
        <w:t>,</w:t>
      </w:r>
      <w:r w:rsidR="00AB2D34" w:rsidRPr="005F7866">
        <w:rPr>
          <w:rFonts w:ascii="ITC Avant Garde" w:hAnsi="ITC Avant Garde"/>
        </w:rPr>
        <w:t xml:space="preserve"> </w:t>
      </w:r>
      <w:r w:rsidR="00AB2D34" w:rsidRPr="005F7866">
        <w:rPr>
          <w:rFonts w:ascii="ITC Avant Garde" w:hAnsi="ITC Avant Garde"/>
          <w:bCs/>
          <w:lang w:val="es-ES_tradnl"/>
        </w:rPr>
        <w:t>párrafos décimo quinto, décimo sexto y vigésimo, fracción IV</w:t>
      </w:r>
      <w:r w:rsidR="00D51FDE">
        <w:rPr>
          <w:rFonts w:ascii="ITC Avant Garde" w:hAnsi="ITC Avant Garde"/>
          <w:bCs/>
          <w:lang w:val="es-ES_tradnl"/>
        </w:rPr>
        <w:t>,</w:t>
      </w:r>
      <w:r w:rsidR="00AB2D34" w:rsidRPr="005F7866">
        <w:rPr>
          <w:rFonts w:ascii="ITC Avant Garde" w:hAnsi="ITC Avant Garde"/>
        </w:rPr>
        <w:t xml:space="preserve"> de la Constitución</w:t>
      </w:r>
      <w:r w:rsidR="00462605">
        <w:rPr>
          <w:rFonts w:ascii="ITC Avant Garde" w:hAnsi="ITC Avant Garde"/>
        </w:rPr>
        <w:t xml:space="preserve"> Política de los Estados Unidos Mexicanos</w:t>
      </w:r>
      <w:r w:rsidR="00AB2D34" w:rsidRPr="005F7866">
        <w:rPr>
          <w:rFonts w:ascii="ITC Avant Garde" w:hAnsi="ITC Avant Garde"/>
        </w:rPr>
        <w:t>; 7</w:t>
      </w:r>
      <w:r w:rsidR="00D51FDE">
        <w:rPr>
          <w:rFonts w:ascii="ITC Avant Garde" w:hAnsi="ITC Avant Garde"/>
        </w:rPr>
        <w:t>, párrafos primero y tercero,</w:t>
      </w:r>
      <w:r w:rsidR="00AB2D34" w:rsidRPr="005F7866">
        <w:rPr>
          <w:rFonts w:ascii="ITC Avant Garde" w:hAnsi="ITC Avant Garde"/>
        </w:rPr>
        <w:t xml:space="preserve"> </w:t>
      </w:r>
      <w:r w:rsidR="00AB2D34" w:rsidRPr="005F7866">
        <w:rPr>
          <w:rFonts w:ascii="ITC Avant Garde" w:hAnsi="ITC Avant Garde"/>
          <w:bCs/>
          <w:lang w:val="es-ES_tradnl"/>
        </w:rPr>
        <w:t>y 15</w:t>
      </w:r>
      <w:r w:rsidR="00A16ECC">
        <w:rPr>
          <w:rFonts w:ascii="ITC Avant Garde" w:hAnsi="ITC Avant Garde"/>
          <w:bCs/>
          <w:lang w:val="es-ES_tradnl"/>
        </w:rPr>
        <w:t>,</w:t>
      </w:r>
      <w:r w:rsidR="00AB2D34" w:rsidRPr="005F7866">
        <w:rPr>
          <w:rFonts w:ascii="ITC Avant Garde" w:hAnsi="ITC Avant Garde"/>
          <w:bCs/>
          <w:lang w:val="es-ES_tradnl"/>
        </w:rPr>
        <w:t xml:space="preserve"> fracción XVIII</w:t>
      </w:r>
      <w:r w:rsidR="00A16ECC">
        <w:rPr>
          <w:rFonts w:ascii="ITC Avant Garde" w:hAnsi="ITC Avant Garde"/>
          <w:bCs/>
          <w:lang w:val="es-ES_tradnl"/>
        </w:rPr>
        <w:t>,</w:t>
      </w:r>
      <w:r w:rsidR="00AB2D34" w:rsidRPr="005F7866">
        <w:rPr>
          <w:rFonts w:ascii="ITC Avant Garde" w:hAnsi="ITC Avant Garde"/>
        </w:rPr>
        <w:t xml:space="preserve"> de la</w:t>
      </w:r>
      <w:r w:rsidR="00462605" w:rsidRPr="00462605">
        <w:t xml:space="preserve"> </w:t>
      </w:r>
      <w:r w:rsidR="00462605" w:rsidRPr="00462605">
        <w:rPr>
          <w:rFonts w:ascii="ITC Avant Garde" w:hAnsi="ITC Avant Garde"/>
        </w:rPr>
        <w:t>Ley Federal de Telecomunicaciones y Radiodifusión</w:t>
      </w:r>
      <w:r w:rsidR="00AB2D34" w:rsidRPr="005F7866">
        <w:rPr>
          <w:rFonts w:ascii="ITC Avant Garde" w:hAnsi="ITC Avant Garde"/>
        </w:rPr>
        <w:t>; 5</w:t>
      </w:r>
      <w:r w:rsidR="00A16ECC">
        <w:rPr>
          <w:rFonts w:ascii="ITC Avant Garde" w:hAnsi="ITC Avant Garde"/>
        </w:rPr>
        <w:t>,</w:t>
      </w:r>
      <w:r w:rsidR="00AB2D34" w:rsidRPr="005F7866">
        <w:rPr>
          <w:rFonts w:ascii="ITC Avant Garde" w:hAnsi="ITC Avant Garde"/>
        </w:rPr>
        <w:t xml:space="preserve"> párrafo primero, </w:t>
      </w:r>
      <w:r w:rsidR="00AB2D34" w:rsidRPr="008A5289">
        <w:rPr>
          <w:rFonts w:ascii="ITC Avant Garde" w:hAnsi="ITC Avant Garde"/>
        </w:rPr>
        <w:t>12</w:t>
      </w:r>
      <w:r w:rsidR="00A16ECC">
        <w:rPr>
          <w:rFonts w:ascii="ITC Avant Garde" w:hAnsi="ITC Avant Garde"/>
        </w:rPr>
        <w:t>,</w:t>
      </w:r>
      <w:r w:rsidR="00AB2D34" w:rsidRPr="008A5289">
        <w:rPr>
          <w:rFonts w:ascii="ITC Avant Garde" w:hAnsi="ITC Avant Garde"/>
        </w:rPr>
        <w:t xml:space="preserve"> fracción XXII, párrafo tercero, inciso </w:t>
      </w:r>
      <w:r w:rsidR="009C49F5">
        <w:rPr>
          <w:rFonts w:ascii="ITC Avant Garde" w:hAnsi="ITC Avant Garde"/>
        </w:rPr>
        <w:t>b</w:t>
      </w:r>
      <w:r w:rsidR="00AB2D34" w:rsidRPr="008A5289">
        <w:rPr>
          <w:rFonts w:ascii="ITC Avant Garde" w:hAnsi="ITC Avant Garde"/>
        </w:rPr>
        <w:t>)</w:t>
      </w:r>
      <w:r w:rsidR="00D51FDE">
        <w:rPr>
          <w:rFonts w:ascii="ITC Avant Garde" w:hAnsi="ITC Avant Garde"/>
        </w:rPr>
        <w:t>,</w:t>
      </w:r>
      <w:r w:rsidR="00AB2D34" w:rsidRPr="005F7866">
        <w:rPr>
          <w:rFonts w:ascii="ITC Avant Garde" w:hAnsi="ITC Avant Garde"/>
        </w:rPr>
        <w:t xml:space="preserve"> y 138 de la LFCE; </w:t>
      </w:r>
      <w:r w:rsidR="00485D76" w:rsidRPr="007D3EA1">
        <w:rPr>
          <w:rFonts w:ascii="ITC Avant Garde" w:hAnsi="ITC Avant Garde"/>
          <w:bCs/>
          <w:lang w:val="es-ES_tradnl"/>
        </w:rPr>
        <w:t xml:space="preserve">187 </w:t>
      </w:r>
      <w:r w:rsidR="00DE1FB3">
        <w:rPr>
          <w:rFonts w:ascii="ITC Avant Garde" w:hAnsi="ITC Avant Garde"/>
          <w:bCs/>
          <w:lang w:val="es-ES_tradnl"/>
        </w:rPr>
        <w:t xml:space="preserve">de </w:t>
      </w:r>
      <w:r w:rsidR="00485D76" w:rsidRPr="007D3EA1">
        <w:rPr>
          <w:rFonts w:ascii="ITC Avant Garde" w:hAnsi="ITC Avant Garde"/>
        </w:rPr>
        <w:t>las Disposiciones Regulatorias</w:t>
      </w:r>
      <w:r w:rsidR="00D51FDE">
        <w:rPr>
          <w:rFonts w:ascii="ITC Avant Garde" w:hAnsi="ITC Avant Garde"/>
        </w:rPr>
        <w:t>,</w:t>
      </w:r>
      <w:r w:rsidR="00A16ECC">
        <w:rPr>
          <w:rFonts w:ascii="ITC Avant Garde" w:hAnsi="ITC Avant Garde"/>
        </w:rPr>
        <w:t xml:space="preserve"> así como</w:t>
      </w:r>
      <w:r w:rsidR="00AB2D34" w:rsidRPr="005F7866">
        <w:rPr>
          <w:rFonts w:ascii="ITC Avant Garde" w:hAnsi="ITC Avant Garde"/>
        </w:rPr>
        <w:t xml:space="preserve"> </w:t>
      </w:r>
      <w:r w:rsidR="00AB2D34" w:rsidRPr="005F7866">
        <w:rPr>
          <w:rFonts w:ascii="ITC Avant Garde" w:hAnsi="ITC Avant Garde"/>
          <w:bCs/>
          <w:lang w:val="es-ES_tradnl"/>
        </w:rPr>
        <w:t>1</w:t>
      </w:r>
      <w:r w:rsidR="00A16ECC">
        <w:rPr>
          <w:rFonts w:ascii="ITC Avant Garde" w:hAnsi="ITC Avant Garde"/>
          <w:bCs/>
          <w:lang w:val="es-ES_tradnl"/>
        </w:rPr>
        <w:t>,</w:t>
      </w:r>
      <w:r w:rsidR="00AB2D34" w:rsidRPr="005F7866">
        <w:rPr>
          <w:rFonts w:ascii="ITC Avant Garde" w:hAnsi="ITC Avant Garde"/>
          <w:bCs/>
          <w:lang w:val="es-ES_tradnl"/>
        </w:rPr>
        <w:t xml:space="preserve"> párrafos primero y tercero</w:t>
      </w:r>
      <w:r w:rsidR="00A16ECC">
        <w:rPr>
          <w:rFonts w:ascii="ITC Avant Garde" w:hAnsi="ITC Avant Garde"/>
          <w:bCs/>
          <w:lang w:val="es-ES_tradnl"/>
        </w:rPr>
        <w:t>,</w:t>
      </w:r>
      <w:r w:rsidR="00C20305">
        <w:rPr>
          <w:rFonts w:ascii="ITC Avant Garde" w:hAnsi="ITC Avant Garde"/>
          <w:bCs/>
          <w:lang w:val="es-ES_tradnl"/>
        </w:rPr>
        <w:t xml:space="preserve"> </w:t>
      </w:r>
      <w:r w:rsidR="00AB2D34" w:rsidRPr="005F7866">
        <w:rPr>
          <w:rFonts w:ascii="ITC Avant Garde" w:hAnsi="ITC Avant Garde"/>
        </w:rPr>
        <w:t>del Estatuto Orgánico</w:t>
      </w:r>
      <w:r w:rsidR="00462605" w:rsidRPr="00462605">
        <w:rPr>
          <w:rFonts w:ascii="ITC Avant Garde" w:hAnsi="ITC Avant Garde"/>
        </w:rPr>
        <w:t xml:space="preserve"> </w:t>
      </w:r>
      <w:r w:rsidR="00462605" w:rsidRPr="004755BF">
        <w:rPr>
          <w:rFonts w:ascii="ITC Avant Garde" w:hAnsi="ITC Avant Garde"/>
        </w:rPr>
        <w:t>del Instituto Federal de Telecomunicaciones</w:t>
      </w:r>
      <w:r w:rsidR="00462605">
        <w:rPr>
          <w:rFonts w:ascii="ITC Avant Garde" w:hAnsi="ITC Avant Garde"/>
        </w:rPr>
        <w:t xml:space="preserve"> </w:t>
      </w:r>
      <w:r w:rsidR="00AB2D34" w:rsidRPr="005F7866">
        <w:rPr>
          <w:rFonts w:ascii="ITC Avant Garde" w:hAnsi="ITC Avant Garde"/>
        </w:rPr>
        <w:t xml:space="preserve">, </w:t>
      </w:r>
      <w:r w:rsidRPr="005F7866">
        <w:rPr>
          <w:rFonts w:ascii="ITC Avant Garde" w:hAnsi="ITC Avant Garde"/>
        </w:rPr>
        <w:t xml:space="preserve">es competente para emitir </w:t>
      </w:r>
      <w:r w:rsidR="000F38D9">
        <w:rPr>
          <w:rFonts w:ascii="ITC Avant Garde" w:hAnsi="ITC Avant Garde"/>
        </w:rPr>
        <w:t>lineamientos con el objeto de</w:t>
      </w:r>
      <w:r w:rsidR="009C49F5">
        <w:rPr>
          <w:rFonts w:ascii="ITC Avant Garde" w:hAnsi="ITC Avant Garde"/>
        </w:rPr>
        <w:t xml:space="preserve"> </w:t>
      </w:r>
      <w:r w:rsidR="000F38D9" w:rsidRPr="00BC73D5">
        <w:rPr>
          <w:rFonts w:ascii="ITC Avant Garde" w:hAnsi="ITC Avant Garde"/>
        </w:rPr>
        <w:t>establecer los términos</w:t>
      </w:r>
      <w:r w:rsidR="00D51FDE">
        <w:rPr>
          <w:rFonts w:ascii="ITC Avant Garde" w:hAnsi="ITC Avant Garde"/>
        </w:rPr>
        <w:t xml:space="preserve"> </w:t>
      </w:r>
      <w:r w:rsidR="000F38D9" w:rsidRPr="00BC73D5">
        <w:rPr>
          <w:rFonts w:ascii="ITC Avant Garde" w:hAnsi="ITC Avant Garde"/>
        </w:rPr>
        <w:t>aplicables a la presentación de denuncias de prácticas monopólicas y concentraciones ilícitas en los sectores de telecomunicaciones y radiodifusión, ante la AI, a través de medios electrónicos</w:t>
      </w:r>
      <w:r w:rsidR="000F38D9">
        <w:rPr>
          <w:rFonts w:ascii="ITC Avant Garde" w:hAnsi="ITC Avant Garde"/>
        </w:rPr>
        <w:t xml:space="preserve">. </w:t>
      </w:r>
    </w:p>
    <w:p w14:paraId="5B84AC03" w14:textId="77777777" w:rsidR="00387E53" w:rsidRPr="005F7866" w:rsidRDefault="00387E53" w:rsidP="00112F26">
      <w:pPr>
        <w:spacing w:after="120" w:line="240" w:lineRule="auto"/>
        <w:jc w:val="both"/>
        <w:rPr>
          <w:rFonts w:ascii="ITC Avant Garde" w:hAnsi="ITC Avant Garde"/>
        </w:rPr>
      </w:pPr>
      <w:r w:rsidRPr="005F7866">
        <w:rPr>
          <w:rFonts w:ascii="ITC Avant Garde" w:hAnsi="ITC Avant Garde"/>
        </w:rPr>
        <w:t xml:space="preserve">Para efectos de </w:t>
      </w:r>
      <w:r w:rsidR="00880943">
        <w:rPr>
          <w:rFonts w:ascii="ITC Avant Garde" w:hAnsi="ITC Avant Garde"/>
        </w:rPr>
        <w:t>lo anterior</w:t>
      </w:r>
      <w:r w:rsidRPr="005F7866">
        <w:rPr>
          <w:rFonts w:ascii="ITC Avant Garde" w:hAnsi="ITC Avant Garde"/>
        </w:rPr>
        <w:t>, el Instituto ha realizado lo siguiente:</w:t>
      </w:r>
    </w:p>
    <w:p w14:paraId="0BC7D66B" w14:textId="4DD67B35" w:rsidR="00D211A9" w:rsidRPr="00310B54" w:rsidRDefault="00310B54" w:rsidP="00112F26">
      <w:pPr>
        <w:pStyle w:val="Prrafodelista"/>
        <w:numPr>
          <w:ilvl w:val="0"/>
          <w:numId w:val="3"/>
        </w:numPr>
        <w:spacing w:after="120" w:line="240" w:lineRule="auto"/>
        <w:contextualSpacing w:val="0"/>
        <w:jc w:val="both"/>
        <w:rPr>
          <w:rFonts w:ascii="ITC Avant Garde" w:hAnsi="ITC Avant Garde"/>
          <w:lang w:val="es-MX"/>
        </w:rPr>
      </w:pPr>
      <w:r>
        <w:rPr>
          <w:rFonts w:ascii="ITC Avant Garde" w:hAnsi="ITC Avant Garde"/>
          <w:lang w:val="es-MX"/>
        </w:rPr>
        <w:t>La AI elaboró el Anteproyecto de Lineamientos y e</w:t>
      </w:r>
      <w:r w:rsidR="00387E53" w:rsidRPr="00310B54">
        <w:rPr>
          <w:rFonts w:ascii="ITC Avant Garde" w:hAnsi="ITC Avant Garde"/>
          <w:lang w:val="es-MX"/>
        </w:rPr>
        <w:t xml:space="preserve">l </w:t>
      </w:r>
      <w:r w:rsidR="009C49F5" w:rsidRPr="00310B54">
        <w:rPr>
          <w:rFonts w:ascii="ITC Avant Garde" w:hAnsi="ITC Avant Garde"/>
          <w:lang w:val="es-MX"/>
        </w:rPr>
        <w:t>veintisiete de abril de dos mil dieciocho</w:t>
      </w:r>
      <w:r w:rsidR="00387E53" w:rsidRPr="00310B54">
        <w:rPr>
          <w:rFonts w:ascii="ITC Avant Garde" w:hAnsi="ITC Avant Garde"/>
          <w:lang w:val="es-MX"/>
        </w:rPr>
        <w:t xml:space="preserve">, presentó a consideración del Pleno un proyecto de </w:t>
      </w:r>
      <w:r w:rsidR="00E567E6" w:rsidRPr="00310B54">
        <w:rPr>
          <w:rFonts w:ascii="ITC Avant Garde" w:hAnsi="ITC Avant Garde"/>
          <w:lang w:val="es-MX"/>
        </w:rPr>
        <w:t>a</w:t>
      </w:r>
      <w:r w:rsidR="00387E53" w:rsidRPr="00310B54">
        <w:rPr>
          <w:rFonts w:ascii="ITC Avant Garde" w:hAnsi="ITC Avant Garde"/>
          <w:lang w:val="es-MX"/>
        </w:rPr>
        <w:t>cuerdo para someter a consulta pública el Anteproyecto</w:t>
      </w:r>
      <w:r>
        <w:rPr>
          <w:rFonts w:ascii="ITC Avant Garde" w:hAnsi="ITC Avant Garde"/>
          <w:lang w:val="es-MX"/>
        </w:rPr>
        <w:t xml:space="preserve"> de Lineamientos referido</w:t>
      </w:r>
      <w:r w:rsidR="00387E53" w:rsidRPr="00310B54">
        <w:rPr>
          <w:rFonts w:ascii="ITC Avant Garde" w:hAnsi="ITC Avant Garde"/>
          <w:lang w:val="es-MX"/>
        </w:rPr>
        <w:t xml:space="preserve">. </w:t>
      </w:r>
    </w:p>
    <w:p w14:paraId="0C798CDC" w14:textId="77777777" w:rsidR="00387E53" w:rsidRPr="005F7866" w:rsidRDefault="00EB62DD" w:rsidP="00112F26">
      <w:pPr>
        <w:pStyle w:val="Prrafodelista"/>
        <w:numPr>
          <w:ilvl w:val="0"/>
          <w:numId w:val="3"/>
        </w:numPr>
        <w:spacing w:after="120" w:line="240" w:lineRule="auto"/>
        <w:ind w:left="714" w:hanging="357"/>
        <w:contextualSpacing w:val="0"/>
        <w:jc w:val="both"/>
        <w:rPr>
          <w:rFonts w:ascii="ITC Avant Garde" w:hAnsi="ITC Avant Garde"/>
          <w:lang w:val="es-MX"/>
        </w:rPr>
      </w:pPr>
      <w:r w:rsidRPr="005F7866">
        <w:rPr>
          <w:rFonts w:ascii="ITC Avant Garde" w:hAnsi="ITC Avant Garde"/>
          <w:lang w:val="es-MX"/>
        </w:rPr>
        <w:t xml:space="preserve">El </w:t>
      </w:r>
      <w:r w:rsidR="006C495A">
        <w:rPr>
          <w:rFonts w:ascii="ITC Avant Garde" w:hAnsi="ITC Avant Garde"/>
          <w:lang w:val="es-MX"/>
        </w:rPr>
        <w:t>nueve de mayo</w:t>
      </w:r>
      <w:r w:rsidR="00387E53" w:rsidRPr="005F7866">
        <w:rPr>
          <w:rFonts w:ascii="ITC Avant Garde" w:hAnsi="ITC Avant Garde"/>
          <w:lang w:val="es-MX"/>
        </w:rPr>
        <w:t xml:space="preserve"> de</w:t>
      </w:r>
      <w:r w:rsidR="00AB4A8D" w:rsidRPr="005F7866">
        <w:rPr>
          <w:rFonts w:ascii="ITC Avant Garde" w:hAnsi="ITC Avant Garde"/>
          <w:lang w:val="es-MX"/>
        </w:rPr>
        <w:t xml:space="preserve"> dos mil </w:t>
      </w:r>
      <w:r w:rsidR="006C495A">
        <w:rPr>
          <w:rFonts w:ascii="ITC Avant Garde" w:hAnsi="ITC Avant Garde"/>
          <w:lang w:val="es-MX"/>
        </w:rPr>
        <w:t>dieciocho</w:t>
      </w:r>
      <w:r w:rsidR="00387E53" w:rsidRPr="005F7866">
        <w:rPr>
          <w:rFonts w:ascii="ITC Avant Garde" w:hAnsi="ITC Avant Garde"/>
          <w:lang w:val="es-MX"/>
        </w:rPr>
        <w:t xml:space="preserve">, mediante Acuerdo </w:t>
      </w:r>
      <w:r w:rsidRPr="00350B85">
        <w:rPr>
          <w:rFonts w:ascii="ITC Avant Garde" w:hAnsi="ITC Avant Garde"/>
          <w:lang w:val="es-MX"/>
        </w:rPr>
        <w:t>P/IFT/</w:t>
      </w:r>
      <w:r w:rsidR="004C6C74">
        <w:rPr>
          <w:rFonts w:ascii="ITC Avant Garde" w:hAnsi="ITC Avant Garde"/>
          <w:lang w:val="es-MX"/>
        </w:rPr>
        <w:t>090518/339</w:t>
      </w:r>
      <w:r w:rsidR="00387E53" w:rsidRPr="005F7866">
        <w:rPr>
          <w:rFonts w:ascii="ITC Avant Garde" w:hAnsi="ITC Avant Garde"/>
          <w:lang w:val="es-MX"/>
        </w:rPr>
        <w:t xml:space="preserve">, </w:t>
      </w:r>
      <w:r w:rsidR="00E35957" w:rsidRPr="005F7866">
        <w:rPr>
          <w:rFonts w:ascii="ITC Avant Garde" w:hAnsi="ITC Avant Garde"/>
          <w:color w:val="000000" w:themeColor="text1"/>
          <w:lang w:eastAsia="es-MX"/>
        </w:rPr>
        <w:t>en su XVII Sesión Ordinaria</w:t>
      </w:r>
      <w:r w:rsidR="00E35957" w:rsidRPr="005F7866">
        <w:rPr>
          <w:rFonts w:ascii="ITC Avant Garde" w:hAnsi="ITC Avant Garde"/>
          <w:color w:val="000000" w:themeColor="text1"/>
          <w:lang w:val="es-MX" w:eastAsia="es-MX"/>
        </w:rPr>
        <w:t xml:space="preserve"> </w:t>
      </w:r>
      <w:r w:rsidR="00387E53" w:rsidRPr="005F7866">
        <w:rPr>
          <w:rFonts w:ascii="ITC Avant Garde" w:hAnsi="ITC Avant Garde"/>
          <w:lang w:val="es-MX"/>
        </w:rPr>
        <w:t>el Pleno acordó someter a consult</w:t>
      </w:r>
      <w:r w:rsidR="00A52FF3">
        <w:rPr>
          <w:rFonts w:ascii="ITC Avant Garde" w:hAnsi="ITC Avant Garde"/>
          <w:lang w:val="es-MX"/>
        </w:rPr>
        <w:t xml:space="preserve">a pública el Anteproyecto, </w:t>
      </w:r>
      <w:r w:rsidR="00B46E9C">
        <w:rPr>
          <w:rFonts w:ascii="ITC Avant Garde" w:hAnsi="ITC Avant Garde"/>
          <w:lang w:val="es-MX"/>
        </w:rPr>
        <w:t xml:space="preserve">el cual </w:t>
      </w:r>
      <w:r w:rsidR="00A52FF3">
        <w:rPr>
          <w:rFonts w:ascii="ITC Avant Garde" w:hAnsi="ITC Avant Garde"/>
          <w:lang w:val="es-MX"/>
        </w:rPr>
        <w:t>señala</w:t>
      </w:r>
      <w:r w:rsidR="00387E53" w:rsidRPr="005F7866">
        <w:rPr>
          <w:rFonts w:ascii="ITC Avant Garde" w:hAnsi="ITC Avant Garde"/>
          <w:lang w:val="es-MX"/>
        </w:rPr>
        <w:t>:</w:t>
      </w:r>
    </w:p>
    <w:p w14:paraId="2E1D7A10" w14:textId="77777777" w:rsidR="004C6C74" w:rsidRPr="004C6C74" w:rsidRDefault="004C6C74" w:rsidP="00112F26">
      <w:pPr>
        <w:pStyle w:val="Default"/>
        <w:spacing w:after="120"/>
        <w:ind w:left="709" w:right="724"/>
        <w:jc w:val="both"/>
        <w:rPr>
          <w:rFonts w:ascii="ITC Avant Garde" w:hAnsi="ITC Avant Garde"/>
          <w:bCs/>
          <w:i/>
          <w:sz w:val="18"/>
          <w:szCs w:val="18"/>
        </w:rPr>
      </w:pPr>
      <w:r w:rsidRPr="004C6C74">
        <w:rPr>
          <w:rFonts w:ascii="ITC Avant Garde" w:hAnsi="ITC Avant Garde"/>
          <w:b/>
          <w:bCs/>
          <w:i/>
          <w:sz w:val="18"/>
          <w:szCs w:val="18"/>
        </w:rPr>
        <w:t>PRIMERO</w:t>
      </w:r>
      <w:r w:rsidRPr="004C6C74">
        <w:rPr>
          <w:rFonts w:ascii="ITC Avant Garde" w:hAnsi="ITC Avant Garde"/>
          <w:bCs/>
          <w:i/>
          <w:sz w:val="18"/>
          <w:szCs w:val="18"/>
        </w:rPr>
        <w:t>. Se determina someter a consulta pública el “ANTEPROYECTO DE LINEAMIENTOS PARA LA PRESENTACIÓN DE DENUNCIAS DE PRÁCTICAS MONOPÓLICAS Y CONCENTRACIONES ILÍCITAS EN LOS SECTORES DE TELECOMUNICACIONES Y RADIODIFUSIÓN, ANTE LA AUTORIDAD INVESTIGADORA DEL INSTITUTO FEDERAL DE TELECOMUNICACIONES, A TRAVÉS DE MEDIOS ELECTRÓNICOS” (Anexo Único), por un periodo de treinta días hábiles, contados a partir del día hábil siguiente a aquél en que se publique el extracto en el Diario Oficial de la Federación.</w:t>
      </w:r>
    </w:p>
    <w:p w14:paraId="3BE07CBF" w14:textId="77777777" w:rsidR="00D603D6" w:rsidRDefault="00D603D6" w:rsidP="00112F26">
      <w:pPr>
        <w:pStyle w:val="Default"/>
        <w:spacing w:after="120"/>
        <w:ind w:left="709" w:right="724"/>
        <w:jc w:val="both"/>
        <w:rPr>
          <w:rFonts w:ascii="ITC Avant Garde" w:hAnsi="ITC Avant Garde"/>
          <w:bCs/>
          <w:i/>
          <w:sz w:val="18"/>
          <w:szCs w:val="18"/>
        </w:rPr>
      </w:pPr>
    </w:p>
    <w:p w14:paraId="2E1E896C" w14:textId="77777777" w:rsidR="00D603D6" w:rsidRPr="0073461C" w:rsidRDefault="007730FF" w:rsidP="00112F26">
      <w:pPr>
        <w:spacing w:after="120" w:line="240" w:lineRule="auto"/>
        <w:ind w:left="709" w:right="724"/>
        <w:jc w:val="both"/>
        <w:rPr>
          <w:rFonts w:ascii="ITC Avant Garde" w:hAnsi="ITC Avant Garde"/>
          <w:sz w:val="18"/>
        </w:rPr>
      </w:pPr>
      <w:r>
        <w:rPr>
          <w:rFonts w:ascii="ITC Avant Garde" w:hAnsi="ITC Avant Garde"/>
          <w:sz w:val="18"/>
        </w:rPr>
        <w:t>[</w:t>
      </w:r>
      <w:r w:rsidR="00D603D6" w:rsidRPr="0073461C">
        <w:rPr>
          <w:rFonts w:ascii="ITC Avant Garde" w:hAnsi="ITC Avant Garde"/>
          <w:sz w:val="18"/>
        </w:rPr>
        <w:t>…</w:t>
      </w:r>
      <w:r>
        <w:rPr>
          <w:rFonts w:ascii="ITC Avant Garde" w:hAnsi="ITC Avant Garde"/>
          <w:sz w:val="18"/>
        </w:rPr>
        <w:t>]</w:t>
      </w:r>
    </w:p>
    <w:p w14:paraId="648ACC7F" w14:textId="77777777" w:rsidR="00D603D6" w:rsidRPr="00E95F95" w:rsidRDefault="00D603D6" w:rsidP="00112F26">
      <w:pPr>
        <w:spacing w:after="120" w:line="240" w:lineRule="auto"/>
        <w:ind w:left="709" w:right="724"/>
        <w:jc w:val="both"/>
        <w:rPr>
          <w:rFonts w:ascii="ITC Avant Garde" w:hAnsi="ITC Avant Garde"/>
          <w:i/>
          <w:sz w:val="18"/>
          <w:szCs w:val="18"/>
        </w:rPr>
      </w:pPr>
    </w:p>
    <w:p w14:paraId="3BD4234A" w14:textId="77777777" w:rsidR="00D603D6" w:rsidRPr="004C6C74" w:rsidRDefault="00D603D6" w:rsidP="00112F26">
      <w:pPr>
        <w:spacing w:after="120" w:line="240" w:lineRule="auto"/>
        <w:ind w:left="709" w:right="866"/>
        <w:jc w:val="both"/>
        <w:rPr>
          <w:rFonts w:ascii="ITC Avant Garde" w:hAnsi="ITC Avant Garde"/>
          <w:i/>
          <w:sz w:val="18"/>
          <w:szCs w:val="18"/>
        </w:rPr>
      </w:pPr>
      <w:r w:rsidRPr="004C6C74">
        <w:rPr>
          <w:rFonts w:ascii="ITC Avant Garde" w:hAnsi="ITC Avant Garde" w:cs="Tahoma"/>
          <w:bCs/>
          <w:i/>
          <w:color w:val="000000"/>
          <w:sz w:val="18"/>
          <w:szCs w:val="18"/>
          <w:lang w:eastAsia="es-MX"/>
        </w:rPr>
        <w:t>T</w:t>
      </w:r>
      <w:r w:rsidRPr="004C6C74">
        <w:rPr>
          <w:rFonts w:ascii="ITC Avant Garde" w:hAnsi="ITC Avant Garde" w:cs="Tahoma"/>
          <w:b/>
          <w:bCs/>
          <w:i/>
          <w:color w:val="000000"/>
          <w:sz w:val="18"/>
          <w:szCs w:val="18"/>
          <w:lang w:eastAsia="es-MX"/>
        </w:rPr>
        <w:t>ERCERO</w:t>
      </w:r>
      <w:r w:rsidR="004C6C74" w:rsidRPr="004C6C74">
        <w:rPr>
          <w:rFonts w:ascii="ITC Avant Garde" w:hAnsi="ITC Avant Garde" w:cs="Tahoma"/>
          <w:b/>
          <w:bCs/>
          <w:i/>
          <w:color w:val="000000"/>
          <w:sz w:val="18"/>
          <w:szCs w:val="18"/>
          <w:lang w:eastAsia="es-MX"/>
        </w:rPr>
        <w:t>.</w:t>
      </w:r>
      <w:r w:rsidR="004C6C74" w:rsidRPr="004C6C74">
        <w:rPr>
          <w:rFonts w:ascii="ITC Avant Garde" w:hAnsi="ITC Avant Garde" w:cs="Tahoma"/>
          <w:bCs/>
          <w:i/>
          <w:color w:val="000000"/>
          <w:sz w:val="18"/>
          <w:szCs w:val="18"/>
          <w:lang w:eastAsia="es-MX"/>
        </w:rPr>
        <w:t xml:space="preserve"> La Autoridad Investigadora del Instituto, en su calidad de área proponente, ejecutará y procesará la consulta pública materia del presente Acuerdo</w:t>
      </w:r>
      <w:r w:rsidRPr="004C6C74">
        <w:rPr>
          <w:rFonts w:ascii="ITC Avant Garde" w:hAnsi="ITC Avant Garde" w:cs="Tahoma"/>
          <w:bCs/>
          <w:i/>
          <w:color w:val="000000"/>
          <w:sz w:val="18"/>
          <w:szCs w:val="18"/>
          <w:lang w:eastAsia="es-MX"/>
        </w:rPr>
        <w:t>.</w:t>
      </w:r>
      <w:r w:rsidR="00B46E9C" w:rsidRPr="004C6C74">
        <w:rPr>
          <w:rFonts w:ascii="ITC Avant Garde" w:hAnsi="ITC Avant Garde" w:cs="Tahoma"/>
          <w:bCs/>
          <w:i/>
          <w:color w:val="000000"/>
          <w:sz w:val="18"/>
          <w:szCs w:val="18"/>
          <w:lang w:eastAsia="es-MX"/>
        </w:rPr>
        <w:t>”</w:t>
      </w:r>
    </w:p>
    <w:p w14:paraId="545AB116" w14:textId="77777777" w:rsidR="00387E53" w:rsidRPr="005F7866" w:rsidRDefault="0032264E" w:rsidP="00112F26">
      <w:pPr>
        <w:spacing w:after="120" w:line="240" w:lineRule="auto"/>
        <w:jc w:val="both"/>
        <w:rPr>
          <w:rFonts w:ascii="ITC Avant Garde" w:hAnsi="ITC Avant Garde"/>
        </w:rPr>
      </w:pPr>
      <w:r>
        <w:rPr>
          <w:rFonts w:ascii="ITC Avant Garde" w:hAnsi="ITC Avant Garde"/>
        </w:rPr>
        <w:t xml:space="preserve">Dicha </w:t>
      </w:r>
      <w:r w:rsidR="00387E53" w:rsidRPr="005F7866">
        <w:rPr>
          <w:rFonts w:ascii="ITC Avant Garde" w:hAnsi="ITC Avant Garde"/>
        </w:rPr>
        <w:t xml:space="preserve">consulta pública se llevó a cabo por un periodo de treinta días hábiles, </w:t>
      </w:r>
      <w:r w:rsidR="00E847CC" w:rsidRPr="005F7866">
        <w:rPr>
          <w:rFonts w:ascii="ITC Avant Garde" w:hAnsi="ITC Avant Garde"/>
        </w:rPr>
        <w:t xml:space="preserve">mismo </w:t>
      </w:r>
      <w:r w:rsidR="00387E53" w:rsidRPr="005F7866">
        <w:rPr>
          <w:rFonts w:ascii="ITC Avant Garde" w:hAnsi="ITC Avant Garde"/>
        </w:rPr>
        <w:t xml:space="preserve">que transcurrió del </w:t>
      </w:r>
      <w:r w:rsidR="00775811">
        <w:rPr>
          <w:rFonts w:ascii="ITC Avant Garde" w:hAnsi="ITC Avant Garde"/>
        </w:rPr>
        <w:t>veintiuno de mayo al veintinueve de junio de dos mil dieciocho.</w:t>
      </w:r>
      <w:r w:rsidR="003C6D3A" w:rsidRPr="005F7866">
        <w:rPr>
          <w:rFonts w:ascii="ITC Avant Garde" w:hAnsi="ITC Avant Garde"/>
        </w:rPr>
        <w:t xml:space="preserve"> </w:t>
      </w:r>
    </w:p>
    <w:p w14:paraId="364885B7" w14:textId="659A3FDC" w:rsidR="00D603D6" w:rsidRDefault="00D603D6" w:rsidP="00112F26">
      <w:pPr>
        <w:spacing w:after="120" w:line="240" w:lineRule="auto"/>
        <w:jc w:val="both"/>
        <w:rPr>
          <w:rFonts w:ascii="ITC Avant Garde" w:hAnsi="ITC Avant Garde"/>
        </w:rPr>
      </w:pPr>
      <w:r w:rsidRPr="00D603D6">
        <w:rPr>
          <w:rFonts w:ascii="ITC Avant Garde" w:hAnsi="ITC Avant Garde"/>
        </w:rPr>
        <w:t xml:space="preserve">La AI, en </w:t>
      </w:r>
      <w:r w:rsidR="00462605">
        <w:rPr>
          <w:rFonts w:ascii="ITC Avant Garde" w:hAnsi="ITC Avant Garde"/>
        </w:rPr>
        <w:t>atención</w:t>
      </w:r>
      <w:r w:rsidR="00462605" w:rsidRPr="00D603D6">
        <w:rPr>
          <w:rFonts w:ascii="ITC Avant Garde" w:hAnsi="ITC Avant Garde"/>
        </w:rPr>
        <w:t xml:space="preserve"> </w:t>
      </w:r>
      <w:r w:rsidRPr="00D603D6">
        <w:rPr>
          <w:rFonts w:ascii="ITC Avant Garde" w:hAnsi="ITC Avant Garde"/>
        </w:rPr>
        <w:t xml:space="preserve">al </w:t>
      </w:r>
      <w:r w:rsidR="0032264E">
        <w:rPr>
          <w:rFonts w:ascii="ITC Avant Garde" w:hAnsi="ITC Avant Garde"/>
        </w:rPr>
        <w:t>acuerdo</w:t>
      </w:r>
      <w:r w:rsidRPr="00D603D6">
        <w:rPr>
          <w:rFonts w:ascii="ITC Avant Garde" w:hAnsi="ITC Avant Garde"/>
        </w:rPr>
        <w:t xml:space="preserve"> Tercer</w:t>
      </w:r>
      <w:r w:rsidR="00684DCF">
        <w:rPr>
          <w:rFonts w:ascii="ITC Avant Garde" w:hAnsi="ITC Avant Garde"/>
        </w:rPr>
        <w:t>o</w:t>
      </w:r>
      <w:r w:rsidRPr="00D603D6">
        <w:rPr>
          <w:rFonts w:ascii="ITC Avant Garde" w:hAnsi="ITC Avant Garde"/>
        </w:rPr>
        <w:t xml:space="preserve"> del Acuerdo P/IFT/</w:t>
      </w:r>
      <w:r w:rsidR="00B86AFE" w:rsidRPr="005471EF">
        <w:rPr>
          <w:rFonts w:ascii="ITC Avant Garde" w:hAnsi="ITC Avant Garde"/>
        </w:rPr>
        <w:t>090518/33</w:t>
      </w:r>
      <w:r w:rsidR="007445C0">
        <w:rPr>
          <w:rFonts w:ascii="ITC Avant Garde" w:hAnsi="ITC Avant Garde"/>
        </w:rPr>
        <w:t>9</w:t>
      </w:r>
      <w:r w:rsidRPr="00D603D6">
        <w:rPr>
          <w:rFonts w:ascii="ITC Avant Garde" w:hAnsi="ITC Avant Garde"/>
        </w:rPr>
        <w:t>, se encargó de realizar la recepción y recopilación de los comentarios y aportaciones realizad</w:t>
      </w:r>
      <w:r w:rsidR="006F5036">
        <w:rPr>
          <w:rFonts w:ascii="ITC Avant Garde" w:hAnsi="ITC Avant Garde"/>
        </w:rPr>
        <w:t>o</w:t>
      </w:r>
      <w:r w:rsidRPr="00D603D6">
        <w:rPr>
          <w:rFonts w:ascii="ITC Avant Garde" w:hAnsi="ITC Avant Garde"/>
        </w:rPr>
        <w:t>s durante el periodo de consulta pública.</w:t>
      </w:r>
    </w:p>
    <w:p w14:paraId="173E8677" w14:textId="77777777" w:rsidR="006D290C" w:rsidRPr="005F7866" w:rsidRDefault="006D290C" w:rsidP="00112F26">
      <w:pPr>
        <w:pStyle w:val="Ttulo1"/>
        <w:spacing w:before="0" w:after="120" w:line="240" w:lineRule="auto"/>
        <w:jc w:val="both"/>
        <w:rPr>
          <w:rFonts w:ascii="ITC Avant Garde" w:hAnsi="ITC Avant Garde"/>
          <w:b/>
          <w:smallCaps/>
          <w:color w:val="000000" w:themeColor="text1"/>
          <w:sz w:val="22"/>
          <w:szCs w:val="22"/>
        </w:rPr>
      </w:pPr>
      <w:r w:rsidRPr="005F7866">
        <w:rPr>
          <w:rFonts w:ascii="ITC Avant Garde" w:hAnsi="ITC Avant Garde"/>
          <w:b/>
          <w:smallCaps/>
          <w:color w:val="000000" w:themeColor="text1"/>
          <w:sz w:val="22"/>
          <w:szCs w:val="22"/>
        </w:rPr>
        <w:lastRenderedPageBreak/>
        <w:t xml:space="preserve">2. </w:t>
      </w:r>
      <w:r w:rsidR="00C20305">
        <w:rPr>
          <w:rFonts w:ascii="ITC Avant Garde" w:hAnsi="ITC Avant Garde"/>
          <w:b/>
          <w:color w:val="000000" w:themeColor="text1"/>
          <w:sz w:val="22"/>
          <w:szCs w:val="22"/>
        </w:rPr>
        <w:t>P</w:t>
      </w:r>
      <w:r w:rsidR="00C20305">
        <w:rPr>
          <w:rFonts w:ascii="ITC Avant Garde" w:hAnsi="ITC Avant Garde"/>
          <w:b/>
          <w:smallCaps/>
          <w:color w:val="000000" w:themeColor="text1"/>
          <w:sz w:val="22"/>
          <w:szCs w:val="22"/>
        </w:rPr>
        <w:t xml:space="preserve">ublicación del </w:t>
      </w:r>
      <w:r w:rsidR="0032264E">
        <w:rPr>
          <w:rFonts w:ascii="ITC Avant Garde" w:hAnsi="ITC Avant Garde"/>
          <w:b/>
          <w:smallCaps/>
          <w:color w:val="000000" w:themeColor="text1"/>
          <w:sz w:val="22"/>
          <w:szCs w:val="22"/>
        </w:rPr>
        <w:t>I</w:t>
      </w:r>
      <w:r w:rsidR="00C20305">
        <w:rPr>
          <w:rFonts w:ascii="ITC Avant Garde" w:hAnsi="ITC Avant Garde"/>
          <w:b/>
          <w:smallCaps/>
          <w:color w:val="000000" w:themeColor="text1"/>
          <w:sz w:val="22"/>
          <w:szCs w:val="22"/>
        </w:rPr>
        <w:t>nforme</w:t>
      </w:r>
    </w:p>
    <w:p w14:paraId="54B9338F" w14:textId="02DA1E9D" w:rsidR="006D290C" w:rsidRPr="005F7866" w:rsidRDefault="00310B54" w:rsidP="00112F26">
      <w:pPr>
        <w:spacing w:after="120" w:line="240" w:lineRule="auto"/>
        <w:jc w:val="both"/>
        <w:rPr>
          <w:rFonts w:ascii="ITC Avant Garde" w:hAnsi="ITC Avant Garde"/>
        </w:rPr>
      </w:pPr>
      <w:r>
        <w:rPr>
          <w:rFonts w:ascii="ITC Avant Garde" w:hAnsi="ITC Avant Garde"/>
        </w:rPr>
        <w:t>D</w:t>
      </w:r>
      <w:r w:rsidR="00A52FF3" w:rsidRPr="00A52FF3">
        <w:rPr>
          <w:rFonts w:ascii="ITC Avant Garde" w:hAnsi="ITC Avant Garde"/>
        </w:rPr>
        <w:t>e conformidad con</w:t>
      </w:r>
      <w:r>
        <w:rPr>
          <w:rFonts w:ascii="ITC Avant Garde" w:hAnsi="ITC Avant Garde"/>
        </w:rPr>
        <w:t xml:space="preserve"> el artículo 138, fracción II de la LFCE, la AI</w:t>
      </w:r>
      <w:r w:rsidR="00A52FF3" w:rsidRPr="00A52FF3">
        <w:rPr>
          <w:rFonts w:ascii="ITC Avant Garde" w:hAnsi="ITC Avant Garde"/>
        </w:rPr>
        <w:t xml:space="preserve"> </w:t>
      </w:r>
      <w:r w:rsidR="006E0A9C">
        <w:rPr>
          <w:rFonts w:ascii="ITC Avant Garde" w:hAnsi="ITC Avant Garde"/>
        </w:rPr>
        <w:t>emite</w:t>
      </w:r>
      <w:r w:rsidR="00A52FF3" w:rsidRPr="00A52FF3">
        <w:rPr>
          <w:rFonts w:ascii="ITC Avant Garde" w:hAnsi="ITC Avant Garde"/>
        </w:rPr>
        <w:t xml:space="preserve"> este i</w:t>
      </w:r>
      <w:r w:rsidR="00D603D6">
        <w:rPr>
          <w:rFonts w:ascii="ITC Avant Garde" w:hAnsi="ITC Avant Garde"/>
        </w:rPr>
        <w:t xml:space="preserve">nforme para su difusión general, el cual </w:t>
      </w:r>
      <w:r w:rsidR="006D290C" w:rsidRPr="005F7866">
        <w:rPr>
          <w:rFonts w:ascii="ITC Avant Garde" w:hAnsi="ITC Avant Garde"/>
        </w:rPr>
        <w:t>deberá publicarse en el sitio de Internet del Instituto</w:t>
      </w:r>
      <w:r>
        <w:rPr>
          <w:rFonts w:ascii="ITC Avant Garde" w:hAnsi="ITC Avant Garde"/>
        </w:rPr>
        <w:t>.</w:t>
      </w:r>
    </w:p>
    <w:p w14:paraId="5FFBD4DB" w14:textId="77777777" w:rsidR="006D290C" w:rsidRPr="005F7866" w:rsidRDefault="006D290C" w:rsidP="00112F26">
      <w:pPr>
        <w:spacing w:after="120" w:line="240" w:lineRule="auto"/>
        <w:jc w:val="both"/>
        <w:rPr>
          <w:rFonts w:ascii="ITC Avant Garde" w:hAnsi="ITC Avant Garde"/>
        </w:rPr>
      </w:pPr>
      <w:r w:rsidRPr="005F7866">
        <w:rPr>
          <w:rFonts w:ascii="ITC Avant Garde" w:hAnsi="ITC Avant Garde"/>
        </w:rPr>
        <w:t xml:space="preserve">A partir de la publicación del informe, </w:t>
      </w:r>
      <w:r w:rsidR="008F4A32" w:rsidRPr="005F7866">
        <w:rPr>
          <w:rFonts w:ascii="ITC Avant Garde" w:hAnsi="ITC Avant Garde"/>
        </w:rPr>
        <w:t>de conformidad con</w:t>
      </w:r>
      <w:r w:rsidR="0092617D" w:rsidRPr="005F7866">
        <w:rPr>
          <w:rFonts w:ascii="ITC Avant Garde" w:hAnsi="ITC Avant Garde"/>
        </w:rPr>
        <w:t xml:space="preserve"> lo dispuesto en</w:t>
      </w:r>
      <w:r w:rsidR="008F4A32" w:rsidRPr="005F7866">
        <w:rPr>
          <w:rFonts w:ascii="ITC Avant Garde" w:hAnsi="ITC Avant Garde"/>
        </w:rPr>
        <w:t xml:space="preserve"> el artículo 1</w:t>
      </w:r>
      <w:r w:rsidR="00A56C3E" w:rsidRPr="005F7866">
        <w:rPr>
          <w:rFonts w:ascii="ITC Avant Garde" w:hAnsi="ITC Avant Garde"/>
        </w:rPr>
        <w:t>38</w:t>
      </w:r>
      <w:r w:rsidR="008F4A32" w:rsidRPr="005F7866">
        <w:rPr>
          <w:rFonts w:ascii="ITC Avant Garde" w:hAnsi="ITC Avant Garde"/>
        </w:rPr>
        <w:t>, fracción III</w:t>
      </w:r>
      <w:r w:rsidR="00CA41FF">
        <w:rPr>
          <w:rFonts w:ascii="ITC Avant Garde" w:hAnsi="ITC Avant Garde"/>
        </w:rPr>
        <w:t>,</w:t>
      </w:r>
      <w:r w:rsidR="008F4A32" w:rsidRPr="005F7866">
        <w:rPr>
          <w:rFonts w:ascii="ITC Avant Garde" w:hAnsi="ITC Avant Garde"/>
        </w:rPr>
        <w:t xml:space="preserve"> de la LFCE, </w:t>
      </w:r>
      <w:r w:rsidRPr="005F7866">
        <w:rPr>
          <w:rFonts w:ascii="ITC Avant Garde" w:hAnsi="ITC Avant Garde"/>
        </w:rPr>
        <w:t>el Instituto cuenta c</w:t>
      </w:r>
      <w:r w:rsidR="001846F3" w:rsidRPr="005F7866">
        <w:rPr>
          <w:rFonts w:ascii="ITC Avant Garde" w:hAnsi="ITC Avant Garde"/>
        </w:rPr>
        <w:t xml:space="preserve">on </w:t>
      </w:r>
      <w:r w:rsidR="008401A3" w:rsidRPr="005F7866">
        <w:rPr>
          <w:rFonts w:ascii="ITC Avant Garde" w:hAnsi="ITC Avant Garde"/>
        </w:rPr>
        <w:t xml:space="preserve">sesenta </w:t>
      </w:r>
      <w:r w:rsidR="001846F3" w:rsidRPr="005F7866">
        <w:rPr>
          <w:rFonts w:ascii="ITC Avant Garde" w:hAnsi="ITC Avant Garde"/>
        </w:rPr>
        <w:t>días hábiles para expedir l</w:t>
      </w:r>
      <w:r w:rsidR="00E24E19">
        <w:rPr>
          <w:rFonts w:ascii="ITC Avant Garde" w:hAnsi="ITC Avant Garde"/>
        </w:rPr>
        <w:t>os lineamientos</w:t>
      </w:r>
      <w:r w:rsidRPr="005F7866">
        <w:rPr>
          <w:rFonts w:ascii="ITC Avant Garde" w:hAnsi="ITC Avant Garde"/>
        </w:rPr>
        <w:t xml:space="preserve"> correspondient</w:t>
      </w:r>
      <w:r w:rsidR="00E60408">
        <w:rPr>
          <w:rFonts w:ascii="ITC Avant Garde" w:hAnsi="ITC Avant Garde"/>
        </w:rPr>
        <w:t>e</w:t>
      </w:r>
      <w:r w:rsidR="00E24E19">
        <w:rPr>
          <w:rFonts w:ascii="ITC Avant Garde" w:hAnsi="ITC Avant Garde"/>
        </w:rPr>
        <w:t>s</w:t>
      </w:r>
      <w:r w:rsidR="00E60408">
        <w:rPr>
          <w:rFonts w:ascii="ITC Avant Garde" w:hAnsi="ITC Avant Garde"/>
        </w:rPr>
        <w:t>.</w:t>
      </w:r>
    </w:p>
    <w:p w14:paraId="5B21C294" w14:textId="77777777" w:rsidR="006D290C" w:rsidRPr="005F7866" w:rsidRDefault="006D290C" w:rsidP="00112F26">
      <w:pPr>
        <w:pStyle w:val="Ttulo1"/>
        <w:spacing w:before="0" w:after="120" w:line="240" w:lineRule="auto"/>
        <w:jc w:val="both"/>
        <w:rPr>
          <w:rFonts w:ascii="ITC Avant Garde" w:hAnsi="ITC Avant Garde"/>
          <w:b/>
          <w:smallCaps/>
          <w:color w:val="000000" w:themeColor="text1"/>
          <w:sz w:val="22"/>
          <w:szCs w:val="22"/>
        </w:rPr>
      </w:pPr>
      <w:r w:rsidRPr="005F7866">
        <w:rPr>
          <w:rFonts w:ascii="ITC Avant Garde" w:hAnsi="ITC Avant Garde"/>
          <w:b/>
          <w:smallCaps/>
          <w:color w:val="000000" w:themeColor="text1"/>
          <w:sz w:val="22"/>
          <w:szCs w:val="22"/>
        </w:rPr>
        <w:t xml:space="preserve">3. </w:t>
      </w:r>
      <w:r w:rsidR="00A56C3E" w:rsidRPr="005F7866">
        <w:rPr>
          <w:rFonts w:ascii="ITC Avant Garde" w:hAnsi="ITC Avant Garde"/>
          <w:b/>
          <w:smallCaps/>
          <w:color w:val="000000" w:themeColor="text1"/>
          <w:sz w:val="22"/>
          <w:szCs w:val="22"/>
        </w:rPr>
        <w:t>Estructura del Informe</w:t>
      </w:r>
    </w:p>
    <w:p w14:paraId="39328C9F" w14:textId="77777777" w:rsidR="006D290C" w:rsidRPr="005F7866" w:rsidRDefault="006D290C" w:rsidP="00112F26">
      <w:pPr>
        <w:spacing w:after="120" w:line="240" w:lineRule="auto"/>
        <w:jc w:val="both"/>
        <w:rPr>
          <w:rFonts w:ascii="ITC Avant Garde" w:hAnsi="ITC Avant Garde"/>
        </w:rPr>
      </w:pPr>
      <w:r w:rsidRPr="005F7866">
        <w:rPr>
          <w:rFonts w:ascii="ITC Avant Garde" w:hAnsi="ITC Avant Garde"/>
        </w:rPr>
        <w:t>La revisión y la evaluación de los comentarios</w:t>
      </w:r>
      <w:r w:rsidR="008401A3" w:rsidRPr="005F7866">
        <w:rPr>
          <w:rFonts w:ascii="ITC Avant Garde" w:hAnsi="ITC Avant Garde"/>
        </w:rPr>
        <w:t xml:space="preserve"> </w:t>
      </w:r>
      <w:r w:rsidRPr="005F7866">
        <w:rPr>
          <w:rFonts w:ascii="ITC Avant Garde" w:hAnsi="ITC Avant Garde"/>
        </w:rPr>
        <w:t>recibid</w:t>
      </w:r>
      <w:r w:rsidR="000B00AB" w:rsidRPr="005F7866">
        <w:rPr>
          <w:rFonts w:ascii="ITC Avant Garde" w:hAnsi="ITC Avant Garde"/>
        </w:rPr>
        <w:t>o</w:t>
      </w:r>
      <w:r w:rsidRPr="005F7866">
        <w:rPr>
          <w:rFonts w:ascii="ITC Avant Garde" w:hAnsi="ITC Avant Garde"/>
        </w:rPr>
        <w:t xml:space="preserve">s se </w:t>
      </w:r>
      <w:r w:rsidR="00A56C3E" w:rsidRPr="005F7866">
        <w:rPr>
          <w:rFonts w:ascii="ITC Avant Garde" w:hAnsi="ITC Avant Garde"/>
        </w:rPr>
        <w:t>realizaron</w:t>
      </w:r>
      <w:r w:rsidRPr="005F7866">
        <w:rPr>
          <w:rFonts w:ascii="ITC Avant Garde" w:hAnsi="ITC Avant Garde"/>
        </w:rPr>
        <w:t xml:space="preserve"> </w:t>
      </w:r>
      <w:r w:rsidR="00A56C3E" w:rsidRPr="005F7866">
        <w:rPr>
          <w:rFonts w:ascii="ITC Avant Garde" w:hAnsi="ITC Avant Garde"/>
        </w:rPr>
        <w:t>bajo la siguiente estructura</w:t>
      </w:r>
      <w:r w:rsidRPr="005F7866">
        <w:rPr>
          <w:rFonts w:ascii="ITC Avant Garde" w:hAnsi="ITC Avant Garde"/>
        </w:rPr>
        <w:t>:</w:t>
      </w:r>
    </w:p>
    <w:p w14:paraId="634975F8" w14:textId="2C0463B0" w:rsidR="006D290C" w:rsidRPr="005F7866" w:rsidRDefault="002C3FC9" w:rsidP="00112F26">
      <w:pPr>
        <w:pStyle w:val="Prrafodelista"/>
        <w:numPr>
          <w:ilvl w:val="0"/>
          <w:numId w:val="2"/>
        </w:numPr>
        <w:spacing w:after="120" w:line="240" w:lineRule="auto"/>
        <w:contextualSpacing w:val="0"/>
        <w:jc w:val="both"/>
        <w:rPr>
          <w:rFonts w:ascii="ITC Avant Garde" w:hAnsi="ITC Avant Garde"/>
        </w:rPr>
      </w:pPr>
      <w:r w:rsidRPr="005F7866">
        <w:rPr>
          <w:rFonts w:ascii="ITC Avant Garde" w:hAnsi="ITC Avant Garde"/>
        </w:rPr>
        <w:t xml:space="preserve">Identificación de las secciones y apartados </w:t>
      </w:r>
      <w:r w:rsidR="006D290C" w:rsidRPr="005F7866">
        <w:rPr>
          <w:rFonts w:ascii="ITC Avant Garde" w:hAnsi="ITC Avant Garde"/>
        </w:rPr>
        <w:t>del Anteproyecto</w:t>
      </w:r>
      <w:r w:rsidR="00A0707F">
        <w:rPr>
          <w:rFonts w:ascii="ITC Avant Garde" w:hAnsi="ITC Avant Garde"/>
          <w:lang w:val="es-MX"/>
        </w:rPr>
        <w:t xml:space="preserve"> de Lineamientos</w:t>
      </w:r>
      <w:r w:rsidR="006D290C" w:rsidRPr="005F7866">
        <w:rPr>
          <w:rFonts w:ascii="ITC Avant Garde" w:hAnsi="ITC Avant Garde"/>
        </w:rPr>
        <w:t xml:space="preserve"> sobre los que se recibieron comentarios en el periodo de consulta pública; </w:t>
      </w:r>
    </w:p>
    <w:p w14:paraId="143F8C81" w14:textId="282A5332" w:rsidR="006D290C" w:rsidRPr="005F7866" w:rsidRDefault="006D290C" w:rsidP="00112F26">
      <w:pPr>
        <w:pStyle w:val="Prrafodelista"/>
        <w:numPr>
          <w:ilvl w:val="0"/>
          <w:numId w:val="2"/>
        </w:numPr>
        <w:spacing w:after="120" w:line="240" w:lineRule="auto"/>
        <w:contextualSpacing w:val="0"/>
        <w:jc w:val="both"/>
        <w:rPr>
          <w:rFonts w:ascii="ITC Avant Garde" w:hAnsi="ITC Avant Garde"/>
        </w:rPr>
      </w:pPr>
      <w:r w:rsidRPr="005F7866">
        <w:rPr>
          <w:rFonts w:ascii="ITC Avant Garde" w:hAnsi="ITC Avant Garde"/>
        </w:rPr>
        <w:t>Agrupación de los comentarios relacionados entre sí</w:t>
      </w:r>
      <w:r w:rsidR="00462605">
        <w:rPr>
          <w:rFonts w:ascii="ITC Avant Garde" w:hAnsi="ITC Avant Garde"/>
          <w:lang w:val="es-MX"/>
        </w:rPr>
        <w:t>, y</w:t>
      </w:r>
      <w:r w:rsidRPr="005F7866">
        <w:rPr>
          <w:rFonts w:ascii="ITC Avant Garde" w:hAnsi="ITC Avant Garde"/>
        </w:rPr>
        <w:t xml:space="preserve"> </w:t>
      </w:r>
    </w:p>
    <w:p w14:paraId="7BF1267B" w14:textId="52AE2A80" w:rsidR="0007184A" w:rsidRPr="00462605" w:rsidRDefault="006D290C" w:rsidP="00462605">
      <w:pPr>
        <w:pStyle w:val="Prrafodelista"/>
        <w:numPr>
          <w:ilvl w:val="0"/>
          <w:numId w:val="2"/>
        </w:numPr>
        <w:spacing w:after="120" w:line="240" w:lineRule="auto"/>
        <w:contextualSpacing w:val="0"/>
        <w:jc w:val="both"/>
        <w:rPr>
          <w:rFonts w:ascii="ITC Avant Garde" w:hAnsi="ITC Avant Garde"/>
        </w:rPr>
      </w:pPr>
      <w:r w:rsidRPr="00462605">
        <w:rPr>
          <w:rFonts w:ascii="ITC Avant Garde" w:hAnsi="ITC Avant Garde"/>
        </w:rPr>
        <w:t>Análisis de los comentarios y</w:t>
      </w:r>
      <w:r w:rsidR="00462605" w:rsidRPr="00462605">
        <w:rPr>
          <w:rFonts w:ascii="ITC Avant Garde" w:hAnsi="ITC Avant Garde"/>
          <w:lang w:val="es-MX"/>
        </w:rPr>
        <w:t xml:space="preserve"> </w:t>
      </w:r>
      <w:r w:rsidR="00462605">
        <w:rPr>
          <w:rFonts w:ascii="ITC Avant Garde" w:hAnsi="ITC Avant Garde"/>
          <w:lang w:val="es-MX"/>
        </w:rPr>
        <w:t>e</w:t>
      </w:r>
      <w:r w:rsidR="002C3FC9" w:rsidRPr="00462605">
        <w:rPr>
          <w:rFonts w:ascii="ITC Avant Garde" w:hAnsi="ITC Avant Garde"/>
        </w:rPr>
        <w:t>laboración de</w:t>
      </w:r>
      <w:r w:rsidRPr="00462605">
        <w:rPr>
          <w:rFonts w:ascii="ITC Avant Garde" w:hAnsi="ITC Avant Garde"/>
        </w:rPr>
        <w:t xml:space="preserve"> las consideraciones sobre cada comentario o grupo de comentarios.</w:t>
      </w:r>
    </w:p>
    <w:p w14:paraId="6D5E30BF" w14:textId="1ACED8E5" w:rsidR="00A21A2F" w:rsidRPr="005F7866" w:rsidRDefault="00A21A2F" w:rsidP="00112F26">
      <w:pPr>
        <w:pStyle w:val="Ttulo1"/>
        <w:spacing w:before="0" w:after="120" w:line="240" w:lineRule="auto"/>
        <w:jc w:val="both"/>
        <w:rPr>
          <w:rFonts w:ascii="ITC Avant Garde" w:hAnsi="ITC Avant Garde"/>
          <w:b/>
          <w:smallCaps/>
          <w:color w:val="000000" w:themeColor="text1"/>
          <w:sz w:val="22"/>
          <w:szCs w:val="22"/>
        </w:rPr>
      </w:pPr>
      <w:r w:rsidRPr="005F7866">
        <w:rPr>
          <w:rFonts w:ascii="ITC Avant Garde" w:hAnsi="ITC Avant Garde"/>
          <w:b/>
          <w:smallCaps/>
          <w:color w:val="000000" w:themeColor="text1"/>
          <w:sz w:val="22"/>
          <w:szCs w:val="22"/>
        </w:rPr>
        <w:t>4.</w:t>
      </w:r>
      <w:r w:rsidR="000071E8">
        <w:rPr>
          <w:rFonts w:ascii="ITC Avant Garde" w:hAnsi="ITC Avant Garde"/>
          <w:b/>
          <w:smallCaps/>
          <w:color w:val="000000" w:themeColor="text1"/>
          <w:sz w:val="22"/>
          <w:szCs w:val="22"/>
        </w:rPr>
        <w:t xml:space="preserve"> </w:t>
      </w:r>
      <w:r w:rsidR="00EA4FDE">
        <w:rPr>
          <w:rFonts w:ascii="ITC Avant Garde" w:hAnsi="ITC Avant Garde"/>
          <w:b/>
          <w:smallCaps/>
          <w:color w:val="000000" w:themeColor="text1"/>
          <w:sz w:val="22"/>
          <w:szCs w:val="22"/>
        </w:rPr>
        <w:t xml:space="preserve">Escritos </w:t>
      </w:r>
      <w:r w:rsidRPr="005F7866">
        <w:rPr>
          <w:rFonts w:ascii="ITC Avant Garde" w:hAnsi="ITC Avant Garde"/>
          <w:b/>
          <w:smallCaps/>
          <w:color w:val="000000" w:themeColor="text1"/>
          <w:sz w:val="22"/>
          <w:szCs w:val="22"/>
        </w:rPr>
        <w:t>recibid</w:t>
      </w:r>
      <w:r w:rsidR="00310B54">
        <w:rPr>
          <w:rFonts w:ascii="ITC Avant Garde" w:hAnsi="ITC Avant Garde"/>
          <w:b/>
          <w:smallCaps/>
          <w:color w:val="000000" w:themeColor="text1"/>
          <w:sz w:val="22"/>
          <w:szCs w:val="22"/>
        </w:rPr>
        <w:t>o</w:t>
      </w:r>
      <w:r w:rsidRPr="005F7866">
        <w:rPr>
          <w:rFonts w:ascii="ITC Avant Garde" w:hAnsi="ITC Avant Garde"/>
          <w:b/>
          <w:smallCaps/>
          <w:color w:val="000000" w:themeColor="text1"/>
          <w:sz w:val="22"/>
          <w:szCs w:val="22"/>
        </w:rPr>
        <w:t>s durante la consulta pública</w:t>
      </w:r>
    </w:p>
    <w:p w14:paraId="5180F729" w14:textId="35690024" w:rsidR="00A21A2F" w:rsidRPr="005F7866" w:rsidRDefault="00A56C3E" w:rsidP="00112F26">
      <w:pPr>
        <w:spacing w:after="120" w:line="240" w:lineRule="auto"/>
        <w:jc w:val="both"/>
        <w:rPr>
          <w:rFonts w:ascii="ITC Avant Garde" w:hAnsi="ITC Avant Garde"/>
        </w:rPr>
      </w:pPr>
      <w:r w:rsidRPr="005F7866">
        <w:rPr>
          <w:rFonts w:ascii="ITC Avant Garde" w:hAnsi="ITC Avant Garde"/>
        </w:rPr>
        <w:t xml:space="preserve">En el siguiente cuadro </w:t>
      </w:r>
      <w:r w:rsidR="00305E41" w:rsidRPr="005F7866">
        <w:rPr>
          <w:rFonts w:ascii="ITC Avant Garde" w:hAnsi="ITC Avant Garde"/>
        </w:rPr>
        <w:t xml:space="preserve">se </w:t>
      </w:r>
      <w:r w:rsidR="00EA4FDE">
        <w:rPr>
          <w:rFonts w:ascii="ITC Avant Garde" w:hAnsi="ITC Avant Garde"/>
        </w:rPr>
        <w:t xml:space="preserve">presenta </w:t>
      </w:r>
      <w:r w:rsidR="00AD756B">
        <w:rPr>
          <w:rFonts w:ascii="ITC Avant Garde" w:hAnsi="ITC Avant Garde"/>
        </w:rPr>
        <w:t xml:space="preserve">información </w:t>
      </w:r>
      <w:r w:rsidR="00EA4FDE">
        <w:rPr>
          <w:rFonts w:ascii="ITC Avant Garde" w:hAnsi="ITC Avant Garde"/>
        </w:rPr>
        <w:t xml:space="preserve">general </w:t>
      </w:r>
      <w:r w:rsidR="00AD756B">
        <w:rPr>
          <w:rFonts w:ascii="ITC Avant Garde" w:hAnsi="ITC Avant Garde"/>
        </w:rPr>
        <w:t xml:space="preserve">relacionada con los </w:t>
      </w:r>
      <w:r w:rsidR="00EA4FDE">
        <w:rPr>
          <w:rFonts w:ascii="ITC Avant Garde" w:hAnsi="ITC Avant Garde"/>
        </w:rPr>
        <w:t xml:space="preserve">escritos </w:t>
      </w:r>
      <w:r w:rsidR="00AD756B">
        <w:rPr>
          <w:rFonts w:ascii="ITC Avant Garde" w:hAnsi="ITC Avant Garde"/>
        </w:rPr>
        <w:t xml:space="preserve">recibidos </w:t>
      </w:r>
      <w:r w:rsidR="00305E41" w:rsidRPr="005F7866">
        <w:rPr>
          <w:rFonts w:ascii="ITC Avant Garde" w:hAnsi="ITC Avant Garde"/>
        </w:rPr>
        <w:t>durante la consulta pública:</w:t>
      </w:r>
    </w:p>
    <w:tbl>
      <w:tblPr>
        <w:tblStyle w:val="Tablaconcuadrcula"/>
        <w:tblW w:w="0" w:type="auto"/>
        <w:jc w:val="center"/>
        <w:tblLook w:val="04A0" w:firstRow="1" w:lastRow="0" w:firstColumn="1" w:lastColumn="0" w:noHBand="0" w:noVBand="1"/>
      </w:tblPr>
      <w:tblGrid>
        <w:gridCol w:w="3522"/>
        <w:gridCol w:w="2028"/>
        <w:gridCol w:w="2180"/>
        <w:gridCol w:w="2340"/>
      </w:tblGrid>
      <w:tr w:rsidR="00AD756B" w:rsidRPr="005F7866" w14:paraId="5D53EBAA" w14:textId="77777777" w:rsidTr="00305E41">
        <w:trPr>
          <w:tblHeader/>
          <w:jc w:val="center"/>
        </w:trPr>
        <w:tc>
          <w:tcPr>
            <w:tcW w:w="0" w:type="auto"/>
            <w:shd w:val="clear" w:color="auto" w:fill="538135" w:themeFill="accent6" w:themeFillShade="BF"/>
            <w:vAlign w:val="center"/>
          </w:tcPr>
          <w:p w14:paraId="5B96CFC3" w14:textId="77777777" w:rsidR="00AD756B" w:rsidRPr="005F7866" w:rsidRDefault="00AD756B" w:rsidP="00791B32">
            <w:pPr>
              <w:spacing w:after="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Persona(s) que presenta(n) comentarios</w:t>
            </w:r>
          </w:p>
        </w:tc>
        <w:tc>
          <w:tcPr>
            <w:tcW w:w="0" w:type="auto"/>
            <w:shd w:val="clear" w:color="auto" w:fill="538135" w:themeFill="accent6" w:themeFillShade="BF"/>
            <w:vAlign w:val="center"/>
          </w:tcPr>
          <w:p w14:paraId="43AD4CF2" w14:textId="77777777" w:rsidR="00AD756B" w:rsidRPr="005F7866" w:rsidRDefault="00AD756B">
            <w:pPr>
              <w:spacing w:after="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Sector</w:t>
            </w:r>
          </w:p>
        </w:tc>
        <w:tc>
          <w:tcPr>
            <w:tcW w:w="0" w:type="auto"/>
            <w:shd w:val="clear" w:color="auto" w:fill="538135" w:themeFill="accent6" w:themeFillShade="BF"/>
            <w:vAlign w:val="center"/>
          </w:tcPr>
          <w:p w14:paraId="6A6DC956" w14:textId="77777777" w:rsidR="00AD756B" w:rsidRPr="005F7866" w:rsidRDefault="00AD756B">
            <w:pPr>
              <w:spacing w:after="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Fecha de presentación</w:t>
            </w:r>
          </w:p>
        </w:tc>
        <w:tc>
          <w:tcPr>
            <w:tcW w:w="0" w:type="auto"/>
            <w:shd w:val="clear" w:color="auto" w:fill="538135" w:themeFill="accent6" w:themeFillShade="BF"/>
            <w:vAlign w:val="center"/>
          </w:tcPr>
          <w:p w14:paraId="10D1D7E3" w14:textId="77777777" w:rsidR="00AD756B" w:rsidRPr="005F7866" w:rsidRDefault="00AD756B">
            <w:pPr>
              <w:spacing w:after="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Formato de presentación</w:t>
            </w:r>
          </w:p>
        </w:tc>
      </w:tr>
      <w:tr w:rsidR="00AD756B" w:rsidRPr="005F7866" w14:paraId="25C5E323" w14:textId="77777777" w:rsidTr="00305E41">
        <w:trPr>
          <w:jc w:val="center"/>
        </w:trPr>
        <w:tc>
          <w:tcPr>
            <w:tcW w:w="0" w:type="auto"/>
            <w:shd w:val="clear" w:color="auto" w:fill="E2EFD9" w:themeFill="accent6" w:themeFillTint="33"/>
            <w:vAlign w:val="center"/>
          </w:tcPr>
          <w:p w14:paraId="7784CE8B" w14:textId="77777777" w:rsidR="00AD756B" w:rsidRPr="007445C0" w:rsidRDefault="00AD756B" w:rsidP="00BF0146">
            <w:pPr>
              <w:numPr>
                <w:ilvl w:val="0"/>
                <w:numId w:val="1"/>
              </w:numPr>
              <w:jc w:val="both"/>
              <w:rPr>
                <w:rFonts w:ascii="ITC Avant Garde" w:hAnsi="ITC Avant Garde"/>
                <w:sz w:val="18"/>
                <w:szCs w:val="18"/>
              </w:rPr>
            </w:pPr>
            <w:r w:rsidRPr="005F7866">
              <w:rPr>
                <w:rFonts w:ascii="ITC Avant Garde" w:hAnsi="ITC Avant Garde"/>
                <w:sz w:val="18"/>
                <w:szCs w:val="18"/>
              </w:rPr>
              <w:t xml:space="preserve"> </w:t>
            </w:r>
            <w:r>
              <w:rPr>
                <w:rFonts w:ascii="ITC Avant Garde" w:hAnsi="ITC Avant Garde"/>
                <w:sz w:val="18"/>
                <w:szCs w:val="18"/>
              </w:rPr>
              <w:t>Bestphone y otros</w:t>
            </w:r>
          </w:p>
        </w:tc>
        <w:tc>
          <w:tcPr>
            <w:tcW w:w="0" w:type="auto"/>
            <w:shd w:val="clear" w:color="auto" w:fill="E2EFD9" w:themeFill="accent6" w:themeFillTint="33"/>
            <w:vAlign w:val="center"/>
          </w:tcPr>
          <w:p w14:paraId="3CF49904" w14:textId="77777777" w:rsidR="00AD756B" w:rsidRPr="005F7866" w:rsidRDefault="00AD756B">
            <w:pPr>
              <w:spacing w:after="0" w:line="240" w:lineRule="auto"/>
              <w:rPr>
                <w:rFonts w:ascii="ITC Avant Garde" w:hAnsi="ITC Avant Garde"/>
                <w:sz w:val="18"/>
                <w:szCs w:val="18"/>
              </w:rPr>
            </w:pPr>
            <w:r w:rsidRPr="005F7866">
              <w:rPr>
                <w:rFonts w:ascii="ITC Avant Garde" w:hAnsi="ITC Avant Garde"/>
                <w:sz w:val="18"/>
                <w:szCs w:val="18"/>
              </w:rPr>
              <w:t xml:space="preserve">Telecomunicaciones </w:t>
            </w:r>
          </w:p>
        </w:tc>
        <w:tc>
          <w:tcPr>
            <w:tcW w:w="0" w:type="auto"/>
            <w:shd w:val="clear" w:color="auto" w:fill="E2EFD9" w:themeFill="accent6" w:themeFillTint="33"/>
            <w:vAlign w:val="center"/>
          </w:tcPr>
          <w:p w14:paraId="0E9F054C" w14:textId="77777777" w:rsidR="00AD756B" w:rsidRPr="005F7866" w:rsidRDefault="00AD756B" w:rsidP="007445C0">
            <w:pPr>
              <w:spacing w:after="0" w:line="240" w:lineRule="auto"/>
              <w:jc w:val="center"/>
              <w:rPr>
                <w:rFonts w:ascii="ITC Avant Garde" w:hAnsi="ITC Avant Garde"/>
                <w:sz w:val="18"/>
                <w:szCs w:val="18"/>
              </w:rPr>
            </w:pPr>
            <w:r w:rsidRPr="005F7866">
              <w:rPr>
                <w:rFonts w:ascii="ITC Avant Garde" w:hAnsi="ITC Avant Garde"/>
                <w:sz w:val="18"/>
                <w:szCs w:val="18"/>
              </w:rPr>
              <w:t>2</w:t>
            </w:r>
            <w:r>
              <w:rPr>
                <w:rFonts w:ascii="ITC Avant Garde" w:hAnsi="ITC Avant Garde"/>
                <w:sz w:val="18"/>
                <w:szCs w:val="18"/>
              </w:rPr>
              <w:t>9</w:t>
            </w:r>
            <w:r w:rsidRPr="005F7866">
              <w:rPr>
                <w:rFonts w:ascii="ITC Avant Garde" w:hAnsi="ITC Avant Garde"/>
                <w:sz w:val="18"/>
                <w:szCs w:val="18"/>
              </w:rPr>
              <w:t>/</w:t>
            </w:r>
            <w:r>
              <w:rPr>
                <w:rFonts w:ascii="ITC Avant Garde" w:hAnsi="ITC Avant Garde"/>
                <w:sz w:val="18"/>
                <w:szCs w:val="18"/>
              </w:rPr>
              <w:t>06</w:t>
            </w:r>
            <w:r w:rsidRPr="005F7866">
              <w:rPr>
                <w:rFonts w:ascii="ITC Avant Garde" w:hAnsi="ITC Avant Garde"/>
                <w:sz w:val="18"/>
                <w:szCs w:val="18"/>
              </w:rPr>
              <w:t>/201</w:t>
            </w:r>
            <w:r>
              <w:rPr>
                <w:rFonts w:ascii="ITC Avant Garde" w:hAnsi="ITC Avant Garde"/>
                <w:sz w:val="18"/>
                <w:szCs w:val="18"/>
              </w:rPr>
              <w:t>8</w:t>
            </w:r>
          </w:p>
        </w:tc>
        <w:tc>
          <w:tcPr>
            <w:tcW w:w="0" w:type="auto"/>
            <w:shd w:val="clear" w:color="auto" w:fill="E2EFD9" w:themeFill="accent6" w:themeFillTint="33"/>
            <w:vAlign w:val="center"/>
          </w:tcPr>
          <w:p w14:paraId="059AFC18" w14:textId="77777777" w:rsidR="00AD756B" w:rsidRPr="005F7866" w:rsidRDefault="00AD756B" w:rsidP="00E60408">
            <w:pPr>
              <w:spacing w:after="0" w:line="240" w:lineRule="auto"/>
              <w:jc w:val="center"/>
              <w:rPr>
                <w:rFonts w:ascii="ITC Avant Garde" w:hAnsi="ITC Avant Garde"/>
                <w:sz w:val="18"/>
                <w:szCs w:val="18"/>
              </w:rPr>
            </w:pPr>
            <w:r w:rsidRPr="005F7866">
              <w:rPr>
                <w:rFonts w:ascii="ITC Avant Garde" w:hAnsi="ITC Avant Garde"/>
                <w:sz w:val="18"/>
                <w:szCs w:val="18"/>
              </w:rPr>
              <w:t>Correo electrónico</w:t>
            </w:r>
          </w:p>
        </w:tc>
      </w:tr>
      <w:tr w:rsidR="00AD756B" w:rsidRPr="005F7866" w14:paraId="0E97FBA3" w14:textId="77777777" w:rsidTr="00305E41">
        <w:trPr>
          <w:trHeight w:val="655"/>
          <w:jc w:val="center"/>
        </w:trPr>
        <w:tc>
          <w:tcPr>
            <w:tcW w:w="0" w:type="auto"/>
            <w:shd w:val="clear" w:color="auto" w:fill="C5E0B3" w:themeFill="accent6" w:themeFillTint="66"/>
            <w:vAlign w:val="center"/>
          </w:tcPr>
          <w:p w14:paraId="33A774F5" w14:textId="77777777" w:rsidR="00AD756B" w:rsidRPr="005F7866" w:rsidRDefault="00AD756B" w:rsidP="00791B32">
            <w:pPr>
              <w:numPr>
                <w:ilvl w:val="0"/>
                <w:numId w:val="1"/>
              </w:numPr>
              <w:spacing w:after="0" w:line="240" w:lineRule="auto"/>
              <w:jc w:val="both"/>
              <w:rPr>
                <w:rFonts w:ascii="ITC Avant Garde" w:hAnsi="ITC Avant Garde"/>
                <w:sz w:val="18"/>
                <w:szCs w:val="18"/>
              </w:rPr>
            </w:pPr>
            <w:r>
              <w:rPr>
                <w:rFonts w:ascii="ITC Avant Garde" w:hAnsi="ITC Avant Garde"/>
                <w:sz w:val="18"/>
                <w:szCs w:val="18"/>
              </w:rPr>
              <w:t>Telefónica</w:t>
            </w:r>
          </w:p>
        </w:tc>
        <w:tc>
          <w:tcPr>
            <w:tcW w:w="0" w:type="auto"/>
            <w:shd w:val="clear" w:color="auto" w:fill="C5E0B3" w:themeFill="accent6" w:themeFillTint="66"/>
            <w:vAlign w:val="center"/>
          </w:tcPr>
          <w:p w14:paraId="3A3E9A2B" w14:textId="77777777" w:rsidR="00AD756B" w:rsidRPr="005F7866" w:rsidRDefault="00AD756B">
            <w:pPr>
              <w:spacing w:after="0" w:line="240" w:lineRule="auto"/>
              <w:rPr>
                <w:rFonts w:ascii="ITC Avant Garde" w:hAnsi="ITC Avant Garde"/>
                <w:sz w:val="18"/>
                <w:szCs w:val="18"/>
              </w:rPr>
            </w:pPr>
            <w:r>
              <w:rPr>
                <w:rFonts w:ascii="ITC Avant Garde" w:hAnsi="ITC Avant Garde"/>
                <w:sz w:val="18"/>
                <w:szCs w:val="18"/>
              </w:rPr>
              <w:t>Telecomunicaciones</w:t>
            </w:r>
          </w:p>
        </w:tc>
        <w:tc>
          <w:tcPr>
            <w:tcW w:w="0" w:type="auto"/>
            <w:shd w:val="clear" w:color="auto" w:fill="C5E0B3" w:themeFill="accent6" w:themeFillTint="66"/>
            <w:vAlign w:val="center"/>
          </w:tcPr>
          <w:p w14:paraId="0EAD422F" w14:textId="77777777" w:rsidR="00AD756B" w:rsidRPr="005F7866" w:rsidRDefault="00AD756B">
            <w:pPr>
              <w:spacing w:after="0" w:line="240" w:lineRule="auto"/>
              <w:jc w:val="center"/>
              <w:rPr>
                <w:rFonts w:ascii="ITC Avant Garde" w:hAnsi="ITC Avant Garde"/>
                <w:sz w:val="18"/>
                <w:szCs w:val="18"/>
              </w:rPr>
            </w:pPr>
            <w:r>
              <w:rPr>
                <w:rFonts w:ascii="ITC Avant Garde" w:hAnsi="ITC Avant Garde"/>
                <w:sz w:val="18"/>
                <w:szCs w:val="18"/>
              </w:rPr>
              <w:t>29/06/2018</w:t>
            </w:r>
          </w:p>
        </w:tc>
        <w:tc>
          <w:tcPr>
            <w:tcW w:w="0" w:type="auto"/>
            <w:shd w:val="clear" w:color="auto" w:fill="C5E0B3" w:themeFill="accent6" w:themeFillTint="66"/>
            <w:vAlign w:val="center"/>
          </w:tcPr>
          <w:p w14:paraId="27D0C165" w14:textId="77777777" w:rsidR="00AD756B" w:rsidRPr="005F7866" w:rsidRDefault="00AD756B">
            <w:pPr>
              <w:spacing w:after="0" w:line="240" w:lineRule="auto"/>
              <w:jc w:val="center"/>
              <w:rPr>
                <w:rFonts w:ascii="ITC Avant Garde" w:hAnsi="ITC Avant Garde"/>
                <w:sz w:val="18"/>
                <w:szCs w:val="18"/>
              </w:rPr>
            </w:pPr>
            <w:r>
              <w:rPr>
                <w:rFonts w:ascii="ITC Avant Garde" w:hAnsi="ITC Avant Garde"/>
                <w:sz w:val="18"/>
                <w:szCs w:val="18"/>
              </w:rPr>
              <w:t>Correo electrónico</w:t>
            </w:r>
          </w:p>
        </w:tc>
      </w:tr>
      <w:tr w:rsidR="00AD756B" w:rsidRPr="005F7866" w14:paraId="7A88E3E4" w14:textId="77777777" w:rsidTr="00F22B9C">
        <w:trPr>
          <w:trHeight w:val="655"/>
          <w:jc w:val="center"/>
        </w:trPr>
        <w:tc>
          <w:tcPr>
            <w:tcW w:w="0" w:type="auto"/>
            <w:shd w:val="clear" w:color="auto" w:fill="E2EFD9" w:themeFill="accent6" w:themeFillTint="33"/>
            <w:vAlign w:val="center"/>
          </w:tcPr>
          <w:p w14:paraId="779D5BAD" w14:textId="77777777" w:rsidR="00AD756B" w:rsidRPr="007445C0" w:rsidRDefault="00AD756B" w:rsidP="00BF0146">
            <w:pPr>
              <w:numPr>
                <w:ilvl w:val="0"/>
                <w:numId w:val="1"/>
              </w:numPr>
              <w:jc w:val="both"/>
              <w:rPr>
                <w:rFonts w:ascii="ITC Avant Garde" w:hAnsi="ITC Avant Garde"/>
                <w:sz w:val="18"/>
                <w:szCs w:val="18"/>
              </w:rPr>
            </w:pPr>
            <w:r w:rsidRPr="007445C0">
              <w:rPr>
                <w:rFonts w:ascii="ITC Avant Garde" w:hAnsi="ITC Avant Garde"/>
                <w:sz w:val="18"/>
                <w:szCs w:val="18"/>
              </w:rPr>
              <w:t xml:space="preserve">AT&amp;T </w:t>
            </w:r>
          </w:p>
        </w:tc>
        <w:tc>
          <w:tcPr>
            <w:tcW w:w="0" w:type="auto"/>
            <w:shd w:val="clear" w:color="auto" w:fill="E2EFD9" w:themeFill="accent6" w:themeFillTint="33"/>
            <w:vAlign w:val="center"/>
          </w:tcPr>
          <w:p w14:paraId="6AD2F647" w14:textId="77777777" w:rsidR="00AD756B" w:rsidRDefault="00AD756B">
            <w:pPr>
              <w:spacing w:after="0" w:line="240" w:lineRule="auto"/>
              <w:rPr>
                <w:rFonts w:ascii="ITC Avant Garde" w:hAnsi="ITC Avant Garde"/>
                <w:sz w:val="18"/>
                <w:szCs w:val="18"/>
              </w:rPr>
            </w:pPr>
            <w:r>
              <w:rPr>
                <w:rFonts w:ascii="ITC Avant Garde" w:hAnsi="ITC Avant Garde"/>
                <w:sz w:val="18"/>
                <w:szCs w:val="18"/>
              </w:rPr>
              <w:t>Telecomunicaciones</w:t>
            </w:r>
          </w:p>
        </w:tc>
        <w:tc>
          <w:tcPr>
            <w:tcW w:w="0" w:type="auto"/>
            <w:shd w:val="clear" w:color="auto" w:fill="E2EFD9" w:themeFill="accent6" w:themeFillTint="33"/>
            <w:vAlign w:val="center"/>
          </w:tcPr>
          <w:p w14:paraId="3A3EFA81" w14:textId="77777777" w:rsidR="00AD756B" w:rsidRPr="005F7866" w:rsidRDefault="00AD756B">
            <w:pPr>
              <w:spacing w:after="0" w:line="240" w:lineRule="auto"/>
              <w:jc w:val="center"/>
              <w:rPr>
                <w:rFonts w:ascii="ITC Avant Garde" w:hAnsi="ITC Avant Garde"/>
                <w:sz w:val="18"/>
                <w:szCs w:val="18"/>
              </w:rPr>
            </w:pPr>
            <w:r>
              <w:rPr>
                <w:rFonts w:ascii="ITC Avant Garde" w:hAnsi="ITC Avant Garde"/>
                <w:sz w:val="18"/>
                <w:szCs w:val="18"/>
              </w:rPr>
              <w:t>29/06/2018</w:t>
            </w:r>
          </w:p>
        </w:tc>
        <w:tc>
          <w:tcPr>
            <w:tcW w:w="0" w:type="auto"/>
            <w:shd w:val="clear" w:color="auto" w:fill="E2EFD9" w:themeFill="accent6" w:themeFillTint="33"/>
            <w:vAlign w:val="center"/>
          </w:tcPr>
          <w:p w14:paraId="1D1CF252" w14:textId="77777777" w:rsidR="00AD756B" w:rsidRPr="005F7866" w:rsidRDefault="00AD756B">
            <w:pPr>
              <w:spacing w:after="0" w:line="240" w:lineRule="auto"/>
              <w:jc w:val="center"/>
              <w:rPr>
                <w:rFonts w:ascii="ITC Avant Garde" w:hAnsi="ITC Avant Garde"/>
                <w:sz w:val="18"/>
                <w:szCs w:val="18"/>
              </w:rPr>
            </w:pPr>
            <w:r>
              <w:rPr>
                <w:rFonts w:ascii="ITC Avant Garde" w:hAnsi="ITC Avant Garde"/>
                <w:sz w:val="18"/>
                <w:szCs w:val="18"/>
              </w:rPr>
              <w:t>Correo electrónico</w:t>
            </w:r>
          </w:p>
        </w:tc>
      </w:tr>
      <w:tr w:rsidR="00AD756B" w:rsidRPr="005F7866" w14:paraId="03C0F644" w14:textId="77777777" w:rsidTr="00305E41">
        <w:trPr>
          <w:trHeight w:val="655"/>
          <w:jc w:val="center"/>
        </w:trPr>
        <w:tc>
          <w:tcPr>
            <w:tcW w:w="0" w:type="auto"/>
            <w:shd w:val="clear" w:color="auto" w:fill="C5E0B3" w:themeFill="accent6" w:themeFillTint="66"/>
            <w:vAlign w:val="center"/>
          </w:tcPr>
          <w:p w14:paraId="709B9331" w14:textId="77777777" w:rsidR="00AD756B" w:rsidRDefault="00AD756B" w:rsidP="007445C0">
            <w:pPr>
              <w:numPr>
                <w:ilvl w:val="0"/>
                <w:numId w:val="1"/>
              </w:numPr>
              <w:spacing w:after="0" w:line="240" w:lineRule="auto"/>
              <w:jc w:val="both"/>
              <w:rPr>
                <w:rFonts w:ascii="ITC Avant Garde" w:hAnsi="ITC Avant Garde"/>
                <w:sz w:val="18"/>
                <w:szCs w:val="18"/>
              </w:rPr>
            </w:pPr>
            <w:r w:rsidRPr="005F7866">
              <w:rPr>
                <w:rFonts w:ascii="ITC Avant Garde" w:hAnsi="ITC Avant Garde"/>
                <w:sz w:val="18"/>
                <w:szCs w:val="18"/>
              </w:rPr>
              <w:t>C</w:t>
            </w:r>
            <w:r>
              <w:rPr>
                <w:rFonts w:ascii="ITC Avant Garde" w:hAnsi="ITC Avant Garde"/>
                <w:sz w:val="18"/>
                <w:szCs w:val="18"/>
              </w:rPr>
              <w:t>arlos Mora Villalpando</w:t>
            </w:r>
          </w:p>
        </w:tc>
        <w:tc>
          <w:tcPr>
            <w:tcW w:w="0" w:type="auto"/>
            <w:shd w:val="clear" w:color="auto" w:fill="C5E0B3" w:themeFill="accent6" w:themeFillTint="66"/>
            <w:vAlign w:val="center"/>
          </w:tcPr>
          <w:p w14:paraId="1B6AB843" w14:textId="77777777" w:rsidR="00AD756B" w:rsidRDefault="00AD756B" w:rsidP="007445C0">
            <w:pPr>
              <w:spacing w:after="0" w:line="240" w:lineRule="auto"/>
              <w:rPr>
                <w:rFonts w:ascii="ITC Avant Garde" w:hAnsi="ITC Avant Garde"/>
                <w:sz w:val="18"/>
                <w:szCs w:val="18"/>
              </w:rPr>
            </w:pPr>
            <w:r>
              <w:rPr>
                <w:rFonts w:ascii="ITC Avant Garde" w:hAnsi="ITC Avant Garde"/>
                <w:sz w:val="18"/>
                <w:szCs w:val="18"/>
              </w:rPr>
              <w:t>No aplica</w:t>
            </w:r>
          </w:p>
        </w:tc>
        <w:tc>
          <w:tcPr>
            <w:tcW w:w="0" w:type="auto"/>
            <w:shd w:val="clear" w:color="auto" w:fill="C5E0B3" w:themeFill="accent6" w:themeFillTint="66"/>
            <w:vAlign w:val="center"/>
          </w:tcPr>
          <w:p w14:paraId="682BA6BF" w14:textId="77777777" w:rsidR="00AD756B" w:rsidRPr="005F7866" w:rsidRDefault="00AD756B" w:rsidP="00D81F7B">
            <w:pPr>
              <w:spacing w:after="0" w:line="240" w:lineRule="auto"/>
              <w:jc w:val="center"/>
              <w:rPr>
                <w:rFonts w:ascii="ITC Avant Garde" w:hAnsi="ITC Avant Garde"/>
                <w:sz w:val="18"/>
                <w:szCs w:val="18"/>
              </w:rPr>
            </w:pPr>
            <w:r w:rsidRPr="005F7866">
              <w:rPr>
                <w:rFonts w:ascii="ITC Avant Garde" w:hAnsi="ITC Avant Garde"/>
                <w:sz w:val="18"/>
                <w:szCs w:val="18"/>
              </w:rPr>
              <w:t>2</w:t>
            </w:r>
            <w:r>
              <w:rPr>
                <w:rFonts w:ascii="ITC Avant Garde" w:hAnsi="ITC Avant Garde"/>
                <w:sz w:val="18"/>
                <w:szCs w:val="18"/>
              </w:rPr>
              <w:t>9</w:t>
            </w:r>
            <w:r w:rsidRPr="005F7866">
              <w:rPr>
                <w:rFonts w:ascii="ITC Avant Garde" w:hAnsi="ITC Avant Garde"/>
                <w:sz w:val="18"/>
                <w:szCs w:val="18"/>
              </w:rPr>
              <w:t>/</w:t>
            </w:r>
            <w:r>
              <w:rPr>
                <w:rFonts w:ascii="ITC Avant Garde" w:hAnsi="ITC Avant Garde"/>
                <w:sz w:val="18"/>
                <w:szCs w:val="18"/>
              </w:rPr>
              <w:t>06</w:t>
            </w:r>
            <w:r w:rsidRPr="005F7866">
              <w:rPr>
                <w:rFonts w:ascii="ITC Avant Garde" w:hAnsi="ITC Avant Garde"/>
                <w:sz w:val="18"/>
                <w:szCs w:val="18"/>
              </w:rPr>
              <w:t>/201</w:t>
            </w:r>
            <w:r>
              <w:rPr>
                <w:rFonts w:ascii="ITC Avant Garde" w:hAnsi="ITC Avant Garde"/>
                <w:sz w:val="18"/>
                <w:szCs w:val="18"/>
              </w:rPr>
              <w:t>8</w:t>
            </w:r>
          </w:p>
        </w:tc>
        <w:tc>
          <w:tcPr>
            <w:tcW w:w="0" w:type="auto"/>
            <w:shd w:val="clear" w:color="auto" w:fill="C5E0B3" w:themeFill="accent6" w:themeFillTint="66"/>
            <w:vAlign w:val="center"/>
          </w:tcPr>
          <w:p w14:paraId="6DA8E75E" w14:textId="77777777" w:rsidR="00AD756B" w:rsidRDefault="00AD756B" w:rsidP="007445C0">
            <w:pPr>
              <w:spacing w:after="0" w:line="240" w:lineRule="auto"/>
              <w:jc w:val="center"/>
              <w:rPr>
                <w:rFonts w:ascii="ITC Avant Garde" w:hAnsi="ITC Avant Garde"/>
                <w:sz w:val="18"/>
                <w:szCs w:val="18"/>
              </w:rPr>
            </w:pPr>
            <w:r w:rsidRPr="005F7866">
              <w:rPr>
                <w:rFonts w:ascii="ITC Avant Garde" w:hAnsi="ITC Avant Garde"/>
                <w:sz w:val="18"/>
                <w:szCs w:val="18"/>
              </w:rPr>
              <w:t>Correo electrónico</w:t>
            </w:r>
          </w:p>
        </w:tc>
      </w:tr>
    </w:tbl>
    <w:p w14:paraId="1CB43E96" w14:textId="77777777" w:rsidR="009545DB" w:rsidRPr="005F7866" w:rsidRDefault="009545DB" w:rsidP="00A21A2F">
      <w:pPr>
        <w:spacing w:after="0" w:line="240" w:lineRule="auto"/>
        <w:jc w:val="both"/>
        <w:rPr>
          <w:rFonts w:ascii="ITC Avant Garde" w:hAnsi="ITC Avant Garde"/>
        </w:rPr>
      </w:pPr>
    </w:p>
    <w:p w14:paraId="49D1B697" w14:textId="77777777" w:rsidR="002C3FC9" w:rsidRPr="005F7866" w:rsidRDefault="00262FBE" w:rsidP="005131DE">
      <w:pPr>
        <w:spacing w:after="120" w:line="247" w:lineRule="auto"/>
        <w:jc w:val="both"/>
        <w:rPr>
          <w:rFonts w:ascii="ITC Avant Garde" w:hAnsi="ITC Avant Garde"/>
        </w:rPr>
      </w:pPr>
      <w:r w:rsidRPr="005F7866">
        <w:rPr>
          <w:rFonts w:ascii="ITC Avant Garde" w:hAnsi="ITC Avant Garde"/>
        </w:rPr>
        <w:t>Todos los escritos fueron presentados dentro del periodo de consulta pública y su contenido se encuentra relacionado con el Anteproyecto</w:t>
      </w:r>
      <w:r w:rsidR="00BD6A79">
        <w:rPr>
          <w:rFonts w:ascii="ITC Avant Garde" w:hAnsi="ITC Avant Garde"/>
        </w:rPr>
        <w:t xml:space="preserve"> de Lineamientos</w:t>
      </w:r>
      <w:r w:rsidRPr="005F7866">
        <w:rPr>
          <w:rFonts w:ascii="ITC Avant Garde" w:hAnsi="ITC Avant Garde"/>
        </w:rPr>
        <w:t xml:space="preserve">, por lo que es procedente considerarlos en </w:t>
      </w:r>
      <w:r w:rsidR="00FD6180" w:rsidRPr="005F7866">
        <w:rPr>
          <w:rFonts w:ascii="ITC Avant Garde" w:hAnsi="ITC Avant Garde"/>
        </w:rPr>
        <w:t xml:space="preserve">el presente </w:t>
      </w:r>
      <w:r w:rsidR="00E567E6" w:rsidRPr="005F7866">
        <w:rPr>
          <w:rFonts w:ascii="ITC Avant Garde" w:hAnsi="ITC Avant Garde"/>
        </w:rPr>
        <w:t>i</w:t>
      </w:r>
      <w:r w:rsidRPr="005F7866">
        <w:rPr>
          <w:rFonts w:ascii="ITC Avant Garde" w:hAnsi="ITC Avant Garde"/>
        </w:rPr>
        <w:t>nforme.</w:t>
      </w:r>
    </w:p>
    <w:p w14:paraId="0D569E3E" w14:textId="01D8BF31" w:rsidR="00262FBE" w:rsidRPr="005F7866" w:rsidRDefault="00262FBE" w:rsidP="005131DE">
      <w:pPr>
        <w:pStyle w:val="Ttulo1"/>
        <w:spacing w:before="0" w:after="120" w:line="240" w:lineRule="auto"/>
        <w:jc w:val="both"/>
        <w:rPr>
          <w:rFonts w:ascii="ITC Avant Garde" w:hAnsi="ITC Avant Garde"/>
          <w:b/>
          <w:smallCaps/>
          <w:color w:val="000000" w:themeColor="text1"/>
          <w:sz w:val="22"/>
          <w:szCs w:val="22"/>
        </w:rPr>
      </w:pPr>
      <w:r w:rsidRPr="005F7866">
        <w:rPr>
          <w:rFonts w:ascii="ITC Avant Garde" w:hAnsi="ITC Avant Garde"/>
          <w:b/>
          <w:smallCaps/>
          <w:color w:val="000000" w:themeColor="text1"/>
          <w:sz w:val="22"/>
          <w:szCs w:val="22"/>
        </w:rPr>
        <w:t xml:space="preserve">5. </w:t>
      </w:r>
      <w:r w:rsidR="005977B8" w:rsidRPr="005F7866">
        <w:rPr>
          <w:rFonts w:ascii="ITC Avant Garde" w:hAnsi="ITC Avant Garde"/>
          <w:b/>
          <w:smallCaps/>
          <w:color w:val="000000" w:themeColor="text1"/>
          <w:sz w:val="22"/>
          <w:szCs w:val="22"/>
        </w:rPr>
        <w:t>Apartados</w:t>
      </w:r>
      <w:r w:rsidRPr="005F7866">
        <w:rPr>
          <w:rFonts w:ascii="ITC Avant Garde" w:hAnsi="ITC Avant Garde"/>
          <w:b/>
          <w:smallCaps/>
          <w:color w:val="000000" w:themeColor="text1"/>
          <w:sz w:val="22"/>
          <w:szCs w:val="22"/>
        </w:rPr>
        <w:t xml:space="preserve"> sobre los que se recibieron comentarios</w:t>
      </w:r>
      <w:r w:rsidR="00AF092C" w:rsidRPr="005F7866">
        <w:rPr>
          <w:rFonts w:ascii="ITC Avant Garde" w:hAnsi="ITC Avant Garde"/>
          <w:b/>
          <w:smallCaps/>
          <w:color w:val="000000" w:themeColor="text1"/>
          <w:sz w:val="22"/>
          <w:szCs w:val="22"/>
        </w:rPr>
        <w:t xml:space="preserve"> al Anteproyecto</w:t>
      </w:r>
      <w:r w:rsidR="00A0707F">
        <w:rPr>
          <w:rFonts w:ascii="ITC Avant Garde" w:hAnsi="ITC Avant Garde"/>
          <w:b/>
          <w:smallCaps/>
          <w:color w:val="000000" w:themeColor="text1"/>
          <w:sz w:val="22"/>
          <w:szCs w:val="22"/>
        </w:rPr>
        <w:t xml:space="preserve"> de Lineamientos</w:t>
      </w:r>
    </w:p>
    <w:p w14:paraId="4F016CC4" w14:textId="1634200F" w:rsidR="00262FBE" w:rsidRDefault="00F01F3D" w:rsidP="005131DE">
      <w:pPr>
        <w:spacing w:after="120" w:line="247" w:lineRule="auto"/>
        <w:jc w:val="both"/>
        <w:rPr>
          <w:rFonts w:ascii="ITC Avant Garde" w:hAnsi="ITC Avant Garde"/>
        </w:rPr>
      </w:pPr>
      <w:r w:rsidRPr="005F7866">
        <w:rPr>
          <w:rFonts w:ascii="ITC Avant Garde" w:hAnsi="ITC Avant Garde"/>
        </w:rPr>
        <w:t>En total se recibieron</w:t>
      </w:r>
      <w:r w:rsidR="00E847CC" w:rsidRPr="005F7866">
        <w:rPr>
          <w:rFonts w:ascii="ITC Avant Garde" w:hAnsi="ITC Avant Garde"/>
        </w:rPr>
        <w:t xml:space="preserve"> </w:t>
      </w:r>
      <w:r w:rsidR="00AD756B">
        <w:rPr>
          <w:rFonts w:ascii="ITC Avant Garde" w:hAnsi="ITC Avant Garde"/>
        </w:rPr>
        <w:t>treinta y dos</w:t>
      </w:r>
      <w:r w:rsidR="00AD756B" w:rsidRPr="00037FA5">
        <w:rPr>
          <w:rFonts w:ascii="ITC Avant Garde" w:hAnsi="ITC Avant Garde"/>
        </w:rPr>
        <w:t xml:space="preserve"> </w:t>
      </w:r>
      <w:r w:rsidRPr="00037FA5">
        <w:rPr>
          <w:rFonts w:ascii="ITC Avant Garde" w:hAnsi="ITC Avant Garde"/>
        </w:rPr>
        <w:t>comentarios</w:t>
      </w:r>
      <w:r w:rsidRPr="00E61932">
        <w:rPr>
          <w:rFonts w:ascii="ITC Avant Garde" w:hAnsi="ITC Avant Garde"/>
        </w:rPr>
        <w:t xml:space="preserve"> </w:t>
      </w:r>
      <w:r w:rsidR="00511D3C">
        <w:rPr>
          <w:rFonts w:ascii="ITC Avant Garde" w:hAnsi="ITC Avant Garde"/>
        </w:rPr>
        <w:t>respecto de los tres títulos del Anteproyecto</w:t>
      </w:r>
      <w:r w:rsidR="00BD6A79">
        <w:rPr>
          <w:rFonts w:ascii="ITC Avant Garde" w:hAnsi="ITC Avant Garde"/>
        </w:rPr>
        <w:t xml:space="preserve"> de Lineamientos</w:t>
      </w:r>
      <w:r w:rsidR="00640D07" w:rsidRPr="00E61932">
        <w:rPr>
          <w:rFonts w:ascii="ITC Avant Garde" w:hAnsi="ITC Avant Garde"/>
        </w:rPr>
        <w:t>,</w:t>
      </w:r>
      <w:r w:rsidR="00E334DD" w:rsidRPr="005F7866">
        <w:rPr>
          <w:rFonts w:ascii="ITC Avant Garde" w:hAnsi="ITC Avant Garde"/>
        </w:rPr>
        <w:t xml:space="preserve"> los cuales se refieren a continuación</w:t>
      </w:r>
      <w:r w:rsidR="005131DE">
        <w:rPr>
          <w:rFonts w:ascii="ITC Avant Garde" w:hAnsi="ITC Avant Garde"/>
        </w:rPr>
        <w:t xml:space="preserve">: </w:t>
      </w:r>
    </w:p>
    <w:tbl>
      <w:tblPr>
        <w:tblStyle w:val="Tablaconcuadrcula2"/>
        <w:tblW w:w="0" w:type="auto"/>
        <w:tblLayout w:type="fixed"/>
        <w:tblLook w:val="04A0" w:firstRow="1" w:lastRow="0" w:firstColumn="1" w:lastColumn="0" w:noHBand="0" w:noVBand="1"/>
      </w:tblPr>
      <w:tblGrid>
        <w:gridCol w:w="1980"/>
        <w:gridCol w:w="1559"/>
        <w:gridCol w:w="6531"/>
      </w:tblGrid>
      <w:tr w:rsidR="000531C6" w:rsidRPr="000531C6" w14:paraId="1D9F540C" w14:textId="77777777" w:rsidTr="00C43007">
        <w:trPr>
          <w:trHeight w:val="908"/>
        </w:trPr>
        <w:tc>
          <w:tcPr>
            <w:tcW w:w="1980" w:type="dxa"/>
            <w:shd w:val="clear" w:color="auto" w:fill="538135" w:themeFill="accent6" w:themeFillShade="BF"/>
          </w:tcPr>
          <w:p w14:paraId="47645FFF" w14:textId="77777777" w:rsidR="000531C6" w:rsidRPr="003A3110" w:rsidRDefault="000531C6" w:rsidP="000071E8">
            <w:pPr>
              <w:spacing w:after="120" w:line="240" w:lineRule="auto"/>
              <w:jc w:val="center"/>
              <w:rPr>
                <w:rFonts w:ascii="ITC Avant Garde" w:hAnsi="ITC Avant Garde"/>
                <w:b/>
                <w:color w:val="FFFFFF" w:themeColor="background1"/>
                <w:sz w:val="18"/>
                <w:szCs w:val="18"/>
              </w:rPr>
            </w:pPr>
            <w:r w:rsidRPr="003A3110">
              <w:rPr>
                <w:rFonts w:ascii="ITC Avant Garde" w:hAnsi="ITC Avant Garde"/>
                <w:b/>
                <w:color w:val="FFFFFF" w:themeColor="background1"/>
                <w:sz w:val="18"/>
                <w:szCs w:val="18"/>
              </w:rPr>
              <w:t>Apartado del Anteproyecto de Lineamientos</w:t>
            </w:r>
          </w:p>
        </w:tc>
        <w:tc>
          <w:tcPr>
            <w:tcW w:w="1559" w:type="dxa"/>
            <w:shd w:val="clear" w:color="auto" w:fill="538135" w:themeFill="accent6" w:themeFillShade="BF"/>
          </w:tcPr>
          <w:p w14:paraId="70C39028" w14:textId="77777777" w:rsidR="000531C6" w:rsidRPr="003A3110" w:rsidRDefault="000531C6" w:rsidP="000071E8">
            <w:pPr>
              <w:spacing w:after="120" w:line="240" w:lineRule="auto"/>
              <w:jc w:val="center"/>
              <w:rPr>
                <w:rFonts w:ascii="ITC Avant Garde" w:hAnsi="ITC Avant Garde"/>
                <w:b/>
                <w:color w:val="FFFFFF" w:themeColor="background1"/>
                <w:sz w:val="18"/>
                <w:szCs w:val="18"/>
              </w:rPr>
            </w:pPr>
            <w:r w:rsidRPr="003A3110">
              <w:rPr>
                <w:rFonts w:ascii="ITC Avant Garde" w:hAnsi="ITC Avant Garde"/>
                <w:b/>
                <w:color w:val="FFFFFF" w:themeColor="background1"/>
                <w:sz w:val="18"/>
                <w:szCs w:val="18"/>
              </w:rPr>
              <w:t>Número de comentarios recibidos</w:t>
            </w:r>
          </w:p>
        </w:tc>
        <w:tc>
          <w:tcPr>
            <w:tcW w:w="6531" w:type="dxa"/>
            <w:shd w:val="clear" w:color="auto" w:fill="538135" w:themeFill="accent6" w:themeFillShade="BF"/>
          </w:tcPr>
          <w:p w14:paraId="30C35FA7" w14:textId="77777777" w:rsidR="000531C6" w:rsidRPr="003A3110" w:rsidRDefault="000531C6" w:rsidP="000071E8">
            <w:pPr>
              <w:spacing w:after="120" w:line="240" w:lineRule="auto"/>
              <w:jc w:val="center"/>
              <w:rPr>
                <w:rFonts w:ascii="ITC Avant Garde" w:hAnsi="ITC Avant Garde"/>
                <w:b/>
                <w:color w:val="FFFFFF" w:themeColor="background1"/>
                <w:sz w:val="18"/>
                <w:szCs w:val="18"/>
              </w:rPr>
            </w:pPr>
          </w:p>
          <w:p w14:paraId="197E4EBC" w14:textId="5E0CEBEA" w:rsidR="000531C6" w:rsidRPr="003A3110" w:rsidRDefault="000531C6" w:rsidP="000071E8">
            <w:pPr>
              <w:spacing w:after="120" w:line="240" w:lineRule="auto"/>
              <w:jc w:val="center"/>
              <w:rPr>
                <w:rFonts w:ascii="ITC Avant Garde" w:hAnsi="ITC Avant Garde"/>
                <w:b/>
                <w:color w:val="FFFFFF" w:themeColor="background1"/>
                <w:sz w:val="18"/>
                <w:szCs w:val="18"/>
              </w:rPr>
            </w:pPr>
            <w:r w:rsidRPr="003A3110">
              <w:rPr>
                <w:rFonts w:ascii="ITC Avant Garde" w:hAnsi="ITC Avant Garde"/>
                <w:b/>
                <w:color w:val="FFFFFF" w:themeColor="background1"/>
                <w:sz w:val="18"/>
                <w:szCs w:val="18"/>
              </w:rPr>
              <w:t xml:space="preserve">Resumen de los comentarios recibidos </w:t>
            </w:r>
          </w:p>
        </w:tc>
      </w:tr>
      <w:tr w:rsidR="00E03511" w:rsidRPr="00875A1B" w14:paraId="7F85C06B" w14:textId="77777777" w:rsidTr="00C43007">
        <w:tc>
          <w:tcPr>
            <w:tcW w:w="1980" w:type="dxa"/>
            <w:vMerge w:val="restart"/>
            <w:shd w:val="clear" w:color="auto" w:fill="E2EFD9" w:themeFill="accent6" w:themeFillTint="33"/>
          </w:tcPr>
          <w:p w14:paraId="04680A5C" w14:textId="77777777" w:rsidR="000531C6" w:rsidRPr="00875A1B" w:rsidRDefault="000531C6" w:rsidP="00C43007">
            <w:pPr>
              <w:spacing w:after="120" w:line="240" w:lineRule="auto"/>
              <w:jc w:val="both"/>
              <w:rPr>
                <w:rFonts w:ascii="ITC Avant Garde" w:hAnsi="ITC Avant Garde"/>
                <w:sz w:val="18"/>
                <w:szCs w:val="18"/>
              </w:rPr>
            </w:pPr>
            <w:r w:rsidRPr="00875A1B">
              <w:rPr>
                <w:rFonts w:ascii="ITC Avant Garde" w:hAnsi="ITC Avant Garde"/>
                <w:sz w:val="18"/>
                <w:szCs w:val="18"/>
              </w:rPr>
              <w:lastRenderedPageBreak/>
              <w:t>1. Título primero. Disposiciones generales</w:t>
            </w:r>
          </w:p>
        </w:tc>
        <w:tc>
          <w:tcPr>
            <w:tcW w:w="1559" w:type="dxa"/>
            <w:vMerge w:val="restart"/>
            <w:shd w:val="clear" w:color="auto" w:fill="E2EFD9" w:themeFill="accent6" w:themeFillTint="33"/>
          </w:tcPr>
          <w:p w14:paraId="26620F2A" w14:textId="77777777" w:rsidR="000531C6" w:rsidRPr="00875A1B" w:rsidRDefault="000531C6" w:rsidP="000071E8">
            <w:pPr>
              <w:spacing w:after="120" w:line="240" w:lineRule="auto"/>
              <w:jc w:val="center"/>
              <w:rPr>
                <w:rFonts w:ascii="ITC Avant Garde" w:hAnsi="ITC Avant Garde"/>
                <w:sz w:val="18"/>
                <w:szCs w:val="18"/>
              </w:rPr>
            </w:pPr>
            <w:r w:rsidRPr="00875A1B">
              <w:rPr>
                <w:rFonts w:ascii="ITC Avant Garde" w:hAnsi="ITC Avant Garde"/>
                <w:sz w:val="18"/>
                <w:szCs w:val="18"/>
              </w:rPr>
              <w:t>6</w:t>
            </w:r>
          </w:p>
        </w:tc>
        <w:tc>
          <w:tcPr>
            <w:tcW w:w="6531" w:type="dxa"/>
            <w:shd w:val="clear" w:color="auto" w:fill="E2EFD9" w:themeFill="accent6" w:themeFillTint="33"/>
          </w:tcPr>
          <w:p w14:paraId="1AEC8A63" w14:textId="77777777" w:rsidR="000531C6" w:rsidRPr="00875A1B" w:rsidRDefault="000531C6" w:rsidP="000071E8">
            <w:pPr>
              <w:spacing w:after="120" w:line="240" w:lineRule="auto"/>
              <w:jc w:val="both"/>
              <w:rPr>
                <w:rFonts w:ascii="ITC Avant Garde" w:hAnsi="ITC Avant Garde"/>
                <w:sz w:val="18"/>
                <w:szCs w:val="18"/>
              </w:rPr>
            </w:pPr>
            <w:r w:rsidRPr="00044BE4">
              <w:rPr>
                <w:rFonts w:ascii="ITC Avant Garde" w:hAnsi="ITC Avant Garde"/>
                <w:sz w:val="18"/>
                <w:szCs w:val="18"/>
              </w:rPr>
              <w:t>Debería indicarse la supletoriedad de los Lineamientos.</w:t>
            </w:r>
          </w:p>
        </w:tc>
      </w:tr>
      <w:tr w:rsidR="00E03511" w:rsidRPr="00875A1B" w14:paraId="5F88200D" w14:textId="77777777" w:rsidTr="00C43007">
        <w:tc>
          <w:tcPr>
            <w:tcW w:w="1980" w:type="dxa"/>
            <w:vMerge/>
            <w:shd w:val="clear" w:color="auto" w:fill="E2EFD9" w:themeFill="accent6" w:themeFillTint="33"/>
          </w:tcPr>
          <w:p w14:paraId="4933BB83" w14:textId="77777777" w:rsidR="000531C6" w:rsidRPr="00875A1B" w:rsidRDefault="000531C6" w:rsidP="000071E8">
            <w:pPr>
              <w:spacing w:after="120" w:line="240" w:lineRule="auto"/>
              <w:rPr>
                <w:rFonts w:ascii="ITC Avant Garde" w:hAnsi="ITC Avant Garde"/>
                <w:sz w:val="18"/>
                <w:szCs w:val="18"/>
              </w:rPr>
            </w:pPr>
          </w:p>
        </w:tc>
        <w:tc>
          <w:tcPr>
            <w:tcW w:w="1559" w:type="dxa"/>
            <w:vMerge/>
            <w:shd w:val="clear" w:color="auto" w:fill="E2EFD9" w:themeFill="accent6" w:themeFillTint="33"/>
          </w:tcPr>
          <w:p w14:paraId="60AD6721" w14:textId="77777777" w:rsidR="000531C6" w:rsidRPr="00875A1B" w:rsidRDefault="000531C6" w:rsidP="000071E8">
            <w:pPr>
              <w:spacing w:after="120" w:line="240" w:lineRule="auto"/>
              <w:jc w:val="center"/>
              <w:rPr>
                <w:rFonts w:ascii="ITC Avant Garde" w:hAnsi="ITC Avant Garde"/>
                <w:sz w:val="18"/>
                <w:szCs w:val="18"/>
              </w:rPr>
            </w:pPr>
          </w:p>
        </w:tc>
        <w:tc>
          <w:tcPr>
            <w:tcW w:w="6531" w:type="dxa"/>
            <w:shd w:val="clear" w:color="auto" w:fill="E2EFD9" w:themeFill="accent6" w:themeFillTint="33"/>
          </w:tcPr>
          <w:p w14:paraId="775A5552" w14:textId="77777777" w:rsidR="000531C6" w:rsidRPr="00875A1B" w:rsidRDefault="000531C6" w:rsidP="000071E8">
            <w:pPr>
              <w:spacing w:after="120" w:line="240" w:lineRule="auto"/>
              <w:jc w:val="both"/>
              <w:rPr>
                <w:rFonts w:ascii="ITC Avant Garde" w:hAnsi="ITC Avant Garde"/>
                <w:sz w:val="18"/>
                <w:szCs w:val="18"/>
              </w:rPr>
            </w:pPr>
            <w:r>
              <w:rPr>
                <w:rFonts w:ascii="ITC Avant Garde" w:hAnsi="ITC Avant Garde"/>
                <w:sz w:val="18"/>
                <w:szCs w:val="18"/>
              </w:rPr>
              <w:t>En razón de que no se ha definido el término SEPDAI, se sugiere una redacción en la que se contemple dicha situación.</w:t>
            </w:r>
          </w:p>
        </w:tc>
      </w:tr>
      <w:tr w:rsidR="00E03511" w:rsidRPr="00875A1B" w14:paraId="521D1665" w14:textId="77777777" w:rsidTr="00C43007">
        <w:tc>
          <w:tcPr>
            <w:tcW w:w="1980" w:type="dxa"/>
            <w:vMerge/>
            <w:shd w:val="clear" w:color="auto" w:fill="E2EFD9" w:themeFill="accent6" w:themeFillTint="33"/>
          </w:tcPr>
          <w:p w14:paraId="044276E8" w14:textId="77777777" w:rsidR="000531C6" w:rsidRPr="00875A1B" w:rsidRDefault="000531C6" w:rsidP="000071E8">
            <w:pPr>
              <w:spacing w:after="120" w:line="240" w:lineRule="auto"/>
              <w:rPr>
                <w:rFonts w:ascii="ITC Avant Garde" w:hAnsi="ITC Avant Garde"/>
                <w:sz w:val="18"/>
                <w:szCs w:val="18"/>
              </w:rPr>
            </w:pPr>
          </w:p>
        </w:tc>
        <w:tc>
          <w:tcPr>
            <w:tcW w:w="1559" w:type="dxa"/>
            <w:vMerge/>
            <w:shd w:val="clear" w:color="auto" w:fill="E2EFD9" w:themeFill="accent6" w:themeFillTint="33"/>
          </w:tcPr>
          <w:p w14:paraId="04D85024" w14:textId="77777777" w:rsidR="000531C6" w:rsidRPr="00875A1B" w:rsidRDefault="000531C6" w:rsidP="000071E8">
            <w:pPr>
              <w:spacing w:after="120" w:line="240" w:lineRule="auto"/>
              <w:jc w:val="center"/>
              <w:rPr>
                <w:rFonts w:ascii="ITC Avant Garde" w:hAnsi="ITC Avant Garde"/>
                <w:sz w:val="18"/>
                <w:szCs w:val="18"/>
              </w:rPr>
            </w:pPr>
          </w:p>
        </w:tc>
        <w:tc>
          <w:tcPr>
            <w:tcW w:w="6531" w:type="dxa"/>
            <w:shd w:val="clear" w:color="auto" w:fill="E2EFD9" w:themeFill="accent6" w:themeFillTint="33"/>
          </w:tcPr>
          <w:p w14:paraId="79872ED8" w14:textId="77777777" w:rsidR="000531C6" w:rsidRPr="00875A1B" w:rsidRDefault="000531C6" w:rsidP="000071E8">
            <w:pPr>
              <w:spacing w:after="120" w:line="240" w:lineRule="auto"/>
              <w:jc w:val="both"/>
              <w:rPr>
                <w:rFonts w:ascii="ITC Avant Garde" w:hAnsi="ITC Avant Garde"/>
                <w:sz w:val="18"/>
                <w:szCs w:val="18"/>
              </w:rPr>
            </w:pPr>
            <w:r w:rsidRPr="00044BE4">
              <w:rPr>
                <w:rFonts w:ascii="ITC Avant Garde" w:hAnsi="ITC Avant Garde"/>
                <w:sz w:val="18"/>
                <w:szCs w:val="18"/>
              </w:rPr>
              <w:t>No son todas las personas, pues sólo podrán hacer uso de ese medio aquellas que tengan una firma electrónica ante el SAT.</w:t>
            </w:r>
          </w:p>
        </w:tc>
      </w:tr>
      <w:tr w:rsidR="00E03511" w:rsidRPr="00875A1B" w14:paraId="17D8B727" w14:textId="77777777" w:rsidTr="00C43007">
        <w:tc>
          <w:tcPr>
            <w:tcW w:w="1980" w:type="dxa"/>
            <w:vMerge/>
            <w:shd w:val="clear" w:color="auto" w:fill="E2EFD9" w:themeFill="accent6" w:themeFillTint="33"/>
          </w:tcPr>
          <w:p w14:paraId="40F0F955" w14:textId="77777777" w:rsidR="000531C6" w:rsidRPr="00875A1B" w:rsidRDefault="000531C6" w:rsidP="000071E8">
            <w:pPr>
              <w:spacing w:after="120" w:line="240" w:lineRule="auto"/>
              <w:rPr>
                <w:rFonts w:ascii="ITC Avant Garde" w:hAnsi="ITC Avant Garde"/>
                <w:sz w:val="18"/>
                <w:szCs w:val="18"/>
              </w:rPr>
            </w:pPr>
          </w:p>
        </w:tc>
        <w:tc>
          <w:tcPr>
            <w:tcW w:w="1559" w:type="dxa"/>
            <w:vMerge/>
            <w:shd w:val="clear" w:color="auto" w:fill="E2EFD9" w:themeFill="accent6" w:themeFillTint="33"/>
          </w:tcPr>
          <w:p w14:paraId="779A0725" w14:textId="77777777" w:rsidR="000531C6" w:rsidRPr="00875A1B" w:rsidRDefault="000531C6" w:rsidP="000071E8">
            <w:pPr>
              <w:spacing w:after="120" w:line="240" w:lineRule="auto"/>
              <w:jc w:val="center"/>
              <w:rPr>
                <w:rFonts w:ascii="ITC Avant Garde" w:hAnsi="ITC Avant Garde"/>
                <w:sz w:val="18"/>
                <w:szCs w:val="18"/>
              </w:rPr>
            </w:pPr>
          </w:p>
        </w:tc>
        <w:tc>
          <w:tcPr>
            <w:tcW w:w="6531" w:type="dxa"/>
            <w:shd w:val="clear" w:color="auto" w:fill="E2EFD9" w:themeFill="accent6" w:themeFillTint="33"/>
          </w:tcPr>
          <w:p w14:paraId="07EF5D17" w14:textId="29364437" w:rsidR="000531C6" w:rsidRDefault="000531C6" w:rsidP="000071E8">
            <w:pPr>
              <w:spacing w:after="120" w:line="240" w:lineRule="auto"/>
              <w:jc w:val="both"/>
              <w:rPr>
                <w:rFonts w:ascii="ITC Avant Garde" w:hAnsi="ITC Avant Garde"/>
                <w:sz w:val="18"/>
                <w:szCs w:val="18"/>
              </w:rPr>
            </w:pPr>
            <w:r>
              <w:rPr>
                <w:rFonts w:ascii="ITC Avant Garde" w:hAnsi="ITC Avant Garde"/>
                <w:sz w:val="18"/>
                <w:szCs w:val="18"/>
              </w:rPr>
              <w:t xml:space="preserve">No se indica la forma en que se deberá crear la contraseña ni ante qué autoridad del Instituto. Tampoco se indica la forma en que será registrada la firma electrónica del SAT ante el </w:t>
            </w:r>
            <w:r w:rsidR="007234B6">
              <w:rPr>
                <w:rFonts w:ascii="ITC Avant Garde" w:hAnsi="ITC Avant Garde"/>
                <w:sz w:val="18"/>
                <w:szCs w:val="18"/>
              </w:rPr>
              <w:t>Instituto</w:t>
            </w:r>
            <w:r>
              <w:rPr>
                <w:rFonts w:ascii="ITC Avant Garde" w:hAnsi="ITC Avant Garde"/>
                <w:sz w:val="18"/>
                <w:szCs w:val="18"/>
              </w:rPr>
              <w:t>, ni la vigencia de la firma y contraseña.</w:t>
            </w:r>
          </w:p>
          <w:p w14:paraId="04D2F9C6" w14:textId="77777777" w:rsidR="000531C6" w:rsidRPr="00044BE4" w:rsidRDefault="000531C6" w:rsidP="000071E8">
            <w:pPr>
              <w:spacing w:after="120" w:line="240" w:lineRule="auto"/>
              <w:jc w:val="both"/>
              <w:rPr>
                <w:rFonts w:ascii="ITC Avant Garde" w:hAnsi="ITC Avant Garde"/>
                <w:sz w:val="18"/>
                <w:szCs w:val="18"/>
              </w:rPr>
            </w:pPr>
            <w:r>
              <w:rPr>
                <w:rFonts w:ascii="ITC Avant Garde" w:hAnsi="ITC Avant Garde"/>
                <w:sz w:val="18"/>
                <w:szCs w:val="18"/>
              </w:rPr>
              <w:t xml:space="preserve">Se </w:t>
            </w:r>
            <w:r w:rsidRPr="00044BE4">
              <w:rPr>
                <w:rFonts w:ascii="ITC Avant Garde" w:hAnsi="ITC Avant Garde"/>
                <w:sz w:val="18"/>
                <w:szCs w:val="18"/>
              </w:rPr>
              <w:t>sugiere que en lugar de la firma electrónica, se dé la opción de crear una clave de acceso (usuario) diversa a dicha firma.</w:t>
            </w:r>
          </w:p>
          <w:p w14:paraId="2CC4E02C" w14:textId="77777777" w:rsidR="000531C6" w:rsidRPr="00875A1B" w:rsidRDefault="000531C6" w:rsidP="000071E8">
            <w:pPr>
              <w:spacing w:after="120" w:line="240" w:lineRule="auto"/>
              <w:jc w:val="both"/>
              <w:rPr>
                <w:rFonts w:ascii="ITC Avant Garde" w:hAnsi="ITC Avant Garde"/>
                <w:sz w:val="18"/>
                <w:szCs w:val="18"/>
              </w:rPr>
            </w:pPr>
            <w:r w:rsidRPr="00044BE4">
              <w:rPr>
                <w:rFonts w:ascii="ITC Avant Garde" w:hAnsi="ITC Avant Garde"/>
                <w:sz w:val="18"/>
                <w:szCs w:val="18"/>
              </w:rPr>
              <w:t>Se sugiere especificar para el caso de perso</w:t>
            </w:r>
            <w:r>
              <w:rPr>
                <w:rFonts w:ascii="ITC Avant Garde" w:hAnsi="ITC Avant Garde"/>
                <w:sz w:val="18"/>
                <w:szCs w:val="18"/>
              </w:rPr>
              <w:t>nas morales si con una so</w:t>
            </w:r>
            <w:r w:rsidRPr="00044BE4">
              <w:rPr>
                <w:rFonts w:ascii="ITC Avant Garde" w:hAnsi="ITC Avant Garde"/>
                <w:sz w:val="18"/>
                <w:szCs w:val="18"/>
              </w:rPr>
              <w:t>la contraseña pueden utilizarla indistintamente cualquier autorizado o apoderado, o si cada uno de estos requiere de un</w:t>
            </w:r>
            <w:r>
              <w:rPr>
                <w:rFonts w:ascii="ITC Avant Garde" w:hAnsi="ITC Avant Garde"/>
                <w:sz w:val="18"/>
                <w:szCs w:val="18"/>
              </w:rPr>
              <w:t>a contraseña y clave de acceso.</w:t>
            </w:r>
          </w:p>
        </w:tc>
      </w:tr>
      <w:tr w:rsidR="00E03511" w:rsidRPr="00875A1B" w14:paraId="08FAE18C" w14:textId="77777777" w:rsidTr="00C43007">
        <w:tc>
          <w:tcPr>
            <w:tcW w:w="1980" w:type="dxa"/>
            <w:vMerge/>
            <w:shd w:val="clear" w:color="auto" w:fill="E2EFD9" w:themeFill="accent6" w:themeFillTint="33"/>
          </w:tcPr>
          <w:p w14:paraId="6FF70B5D" w14:textId="77777777" w:rsidR="000531C6" w:rsidRPr="00875A1B" w:rsidRDefault="000531C6" w:rsidP="000071E8">
            <w:pPr>
              <w:spacing w:after="120" w:line="240" w:lineRule="auto"/>
              <w:rPr>
                <w:rFonts w:ascii="ITC Avant Garde" w:hAnsi="ITC Avant Garde"/>
                <w:sz w:val="18"/>
                <w:szCs w:val="18"/>
              </w:rPr>
            </w:pPr>
          </w:p>
        </w:tc>
        <w:tc>
          <w:tcPr>
            <w:tcW w:w="1559" w:type="dxa"/>
            <w:vMerge/>
            <w:shd w:val="clear" w:color="auto" w:fill="E2EFD9" w:themeFill="accent6" w:themeFillTint="33"/>
          </w:tcPr>
          <w:p w14:paraId="737BD177" w14:textId="77777777" w:rsidR="000531C6" w:rsidRPr="00875A1B" w:rsidRDefault="000531C6" w:rsidP="000071E8">
            <w:pPr>
              <w:spacing w:after="120" w:line="240" w:lineRule="auto"/>
              <w:jc w:val="center"/>
              <w:rPr>
                <w:rFonts w:ascii="ITC Avant Garde" w:hAnsi="ITC Avant Garde"/>
                <w:sz w:val="18"/>
                <w:szCs w:val="18"/>
              </w:rPr>
            </w:pPr>
          </w:p>
        </w:tc>
        <w:tc>
          <w:tcPr>
            <w:tcW w:w="6531" w:type="dxa"/>
            <w:shd w:val="clear" w:color="auto" w:fill="E2EFD9" w:themeFill="accent6" w:themeFillTint="33"/>
          </w:tcPr>
          <w:p w14:paraId="701FA49C" w14:textId="77777777" w:rsidR="000531C6" w:rsidRPr="00875A1B" w:rsidRDefault="000531C6" w:rsidP="000071E8">
            <w:pPr>
              <w:spacing w:after="120" w:line="240" w:lineRule="auto"/>
              <w:jc w:val="both"/>
              <w:rPr>
                <w:rFonts w:ascii="ITC Avant Garde" w:hAnsi="ITC Avant Garde"/>
                <w:sz w:val="18"/>
                <w:szCs w:val="18"/>
              </w:rPr>
            </w:pPr>
            <w:r w:rsidRPr="00044BE4">
              <w:rPr>
                <w:rFonts w:ascii="ITC Avant Garde" w:hAnsi="ITC Avant Garde"/>
                <w:sz w:val="18"/>
                <w:szCs w:val="18"/>
              </w:rPr>
              <w:t xml:space="preserve">Al ser un documento de carácter meramente informativo, se considera que no debería ser considerado en </w:t>
            </w:r>
            <w:r>
              <w:rPr>
                <w:rFonts w:ascii="ITC Avant Garde" w:hAnsi="ITC Avant Garde"/>
                <w:sz w:val="18"/>
                <w:szCs w:val="18"/>
              </w:rPr>
              <w:t>el Anteproyecto de</w:t>
            </w:r>
            <w:r w:rsidRPr="00044BE4">
              <w:rPr>
                <w:rFonts w:ascii="ITC Avant Garde" w:hAnsi="ITC Avant Garde"/>
                <w:sz w:val="18"/>
                <w:szCs w:val="18"/>
              </w:rPr>
              <w:t xml:space="preserve"> Lineamientos por no tener ninguna eficacia jurídica y por ende no ser vinculante ni obligatoria.</w:t>
            </w:r>
          </w:p>
        </w:tc>
      </w:tr>
      <w:tr w:rsidR="00E03511" w:rsidRPr="00875A1B" w14:paraId="4EEF9C93" w14:textId="77777777" w:rsidTr="00C43007">
        <w:tc>
          <w:tcPr>
            <w:tcW w:w="1980" w:type="dxa"/>
            <w:vMerge/>
            <w:shd w:val="clear" w:color="auto" w:fill="E2EFD9" w:themeFill="accent6" w:themeFillTint="33"/>
          </w:tcPr>
          <w:p w14:paraId="1BAB687E" w14:textId="77777777" w:rsidR="000531C6" w:rsidRPr="00875A1B" w:rsidRDefault="000531C6" w:rsidP="000071E8">
            <w:pPr>
              <w:spacing w:after="120" w:line="240" w:lineRule="auto"/>
              <w:rPr>
                <w:rFonts w:ascii="ITC Avant Garde" w:hAnsi="ITC Avant Garde"/>
                <w:sz w:val="18"/>
                <w:szCs w:val="18"/>
              </w:rPr>
            </w:pPr>
          </w:p>
        </w:tc>
        <w:tc>
          <w:tcPr>
            <w:tcW w:w="1559" w:type="dxa"/>
            <w:vMerge/>
            <w:shd w:val="clear" w:color="auto" w:fill="E2EFD9" w:themeFill="accent6" w:themeFillTint="33"/>
          </w:tcPr>
          <w:p w14:paraId="19D458D5" w14:textId="77777777" w:rsidR="000531C6" w:rsidRPr="00875A1B" w:rsidRDefault="000531C6" w:rsidP="000071E8">
            <w:pPr>
              <w:spacing w:after="120" w:line="240" w:lineRule="auto"/>
              <w:jc w:val="center"/>
              <w:rPr>
                <w:rFonts w:ascii="ITC Avant Garde" w:hAnsi="ITC Avant Garde"/>
                <w:sz w:val="18"/>
                <w:szCs w:val="18"/>
              </w:rPr>
            </w:pPr>
          </w:p>
        </w:tc>
        <w:tc>
          <w:tcPr>
            <w:tcW w:w="6531" w:type="dxa"/>
            <w:shd w:val="clear" w:color="auto" w:fill="E2EFD9" w:themeFill="accent6" w:themeFillTint="33"/>
          </w:tcPr>
          <w:p w14:paraId="0260998E" w14:textId="77777777" w:rsidR="000531C6" w:rsidRPr="00875A1B" w:rsidRDefault="000531C6" w:rsidP="000071E8">
            <w:pPr>
              <w:spacing w:after="120" w:line="240" w:lineRule="auto"/>
              <w:jc w:val="both"/>
              <w:rPr>
                <w:rFonts w:ascii="ITC Avant Garde" w:hAnsi="ITC Avant Garde"/>
                <w:sz w:val="18"/>
                <w:szCs w:val="18"/>
              </w:rPr>
            </w:pPr>
            <w:r w:rsidRPr="00044BE4">
              <w:rPr>
                <w:rFonts w:ascii="ITC Avant Garde" w:hAnsi="ITC Avant Garde"/>
                <w:sz w:val="18"/>
                <w:szCs w:val="18"/>
              </w:rPr>
              <w:t>Podría precisarse que en el sistema también se podrán consultar las actuaciones que integren el expediente, particularmente, aquellos escritos (incluida la denuncia) presentados por la denunciante y los acuerdos respectivos.</w:t>
            </w:r>
          </w:p>
        </w:tc>
      </w:tr>
      <w:tr w:rsidR="000531C6" w:rsidRPr="00875A1B" w14:paraId="103CD6D2" w14:textId="77777777" w:rsidTr="00C43007">
        <w:tc>
          <w:tcPr>
            <w:tcW w:w="1980" w:type="dxa"/>
            <w:vMerge w:val="restart"/>
            <w:shd w:val="clear" w:color="auto" w:fill="C5E0B3" w:themeFill="accent6" w:themeFillTint="66"/>
          </w:tcPr>
          <w:p w14:paraId="595691E3" w14:textId="77777777" w:rsidR="000531C6" w:rsidRPr="00875A1B" w:rsidRDefault="000531C6" w:rsidP="00C43007">
            <w:pPr>
              <w:spacing w:after="120" w:line="240" w:lineRule="auto"/>
              <w:jc w:val="both"/>
              <w:rPr>
                <w:rFonts w:ascii="ITC Avant Garde" w:hAnsi="ITC Avant Garde"/>
                <w:sz w:val="18"/>
                <w:szCs w:val="18"/>
              </w:rPr>
            </w:pPr>
            <w:r w:rsidRPr="00875A1B">
              <w:rPr>
                <w:rFonts w:ascii="ITC Avant Garde" w:hAnsi="ITC Avant Garde"/>
                <w:sz w:val="18"/>
                <w:szCs w:val="18"/>
              </w:rPr>
              <w:t>2. Título segundo. Del funcionamiento del SEPDAI</w:t>
            </w:r>
          </w:p>
        </w:tc>
        <w:tc>
          <w:tcPr>
            <w:tcW w:w="1559" w:type="dxa"/>
            <w:vMerge w:val="restart"/>
            <w:shd w:val="clear" w:color="auto" w:fill="C5E0B3" w:themeFill="accent6" w:themeFillTint="66"/>
          </w:tcPr>
          <w:p w14:paraId="6927A42E" w14:textId="77777777" w:rsidR="000531C6" w:rsidRPr="00875A1B" w:rsidRDefault="000531C6" w:rsidP="000071E8">
            <w:pPr>
              <w:spacing w:after="120" w:line="240" w:lineRule="auto"/>
              <w:jc w:val="center"/>
              <w:rPr>
                <w:rFonts w:ascii="ITC Avant Garde" w:hAnsi="ITC Avant Garde"/>
                <w:sz w:val="18"/>
                <w:szCs w:val="18"/>
              </w:rPr>
            </w:pPr>
            <w:r>
              <w:rPr>
                <w:rFonts w:ascii="ITC Avant Garde" w:hAnsi="ITC Avant Garde"/>
                <w:sz w:val="18"/>
                <w:szCs w:val="18"/>
              </w:rPr>
              <w:t>24</w:t>
            </w:r>
          </w:p>
        </w:tc>
        <w:tc>
          <w:tcPr>
            <w:tcW w:w="6531" w:type="dxa"/>
            <w:shd w:val="clear" w:color="auto" w:fill="C5E0B3" w:themeFill="accent6" w:themeFillTint="66"/>
          </w:tcPr>
          <w:p w14:paraId="30D25613" w14:textId="77777777" w:rsidR="000531C6" w:rsidRPr="00875A1B" w:rsidRDefault="000531C6" w:rsidP="000071E8">
            <w:pPr>
              <w:spacing w:after="120" w:line="240" w:lineRule="auto"/>
              <w:jc w:val="both"/>
              <w:rPr>
                <w:rFonts w:ascii="ITC Avant Garde" w:hAnsi="ITC Avant Garde"/>
                <w:sz w:val="18"/>
                <w:szCs w:val="18"/>
              </w:rPr>
            </w:pPr>
            <w:r w:rsidRPr="005F6244">
              <w:rPr>
                <w:rFonts w:ascii="ITC Avant Garde" w:hAnsi="ITC Avant Garde"/>
                <w:sz w:val="18"/>
                <w:szCs w:val="18"/>
              </w:rPr>
              <w:t>No son todas las personas, pues sólo podrán hacer uso de ese medio aquellas que tengan una firma electrónica ante el SAT.</w:t>
            </w:r>
            <w:r>
              <w:rPr>
                <w:rFonts w:ascii="ITC Avant Garde" w:hAnsi="ITC Avant Garde"/>
                <w:sz w:val="18"/>
                <w:szCs w:val="18"/>
              </w:rPr>
              <w:t xml:space="preserve"> </w:t>
            </w:r>
            <w:r w:rsidRPr="005F6244">
              <w:rPr>
                <w:rFonts w:ascii="ITC Avant Garde" w:hAnsi="ITC Avant Garde"/>
                <w:sz w:val="18"/>
                <w:szCs w:val="18"/>
              </w:rPr>
              <w:t>Especificar “</w:t>
            </w:r>
            <w:r w:rsidRPr="00A06729">
              <w:rPr>
                <w:rFonts w:ascii="ITC Avant Garde" w:hAnsi="ITC Avant Garde"/>
                <w:i/>
                <w:sz w:val="18"/>
                <w:szCs w:val="18"/>
              </w:rPr>
              <w:t>persona física o moral</w:t>
            </w:r>
            <w:r>
              <w:rPr>
                <w:rFonts w:ascii="ITC Avant Garde" w:hAnsi="ITC Avant Garde"/>
                <w:sz w:val="18"/>
                <w:szCs w:val="18"/>
              </w:rPr>
              <w:t xml:space="preserve">”. </w:t>
            </w:r>
            <w:r w:rsidRPr="005F6244">
              <w:rPr>
                <w:rFonts w:ascii="ITC Avant Garde" w:hAnsi="ITC Avant Garde"/>
                <w:sz w:val="18"/>
                <w:szCs w:val="18"/>
              </w:rPr>
              <w:t>Especificar que puede ser en días y hor</w:t>
            </w:r>
            <w:r>
              <w:rPr>
                <w:rFonts w:ascii="ITC Avant Garde" w:hAnsi="ITC Avant Garde"/>
                <w:sz w:val="18"/>
                <w:szCs w:val="18"/>
              </w:rPr>
              <w:t>as inhábiles para el Instituto.</w:t>
            </w:r>
          </w:p>
        </w:tc>
      </w:tr>
      <w:tr w:rsidR="000531C6" w:rsidRPr="00875A1B" w14:paraId="2B7FEF47" w14:textId="77777777" w:rsidTr="00C43007">
        <w:tc>
          <w:tcPr>
            <w:tcW w:w="1980" w:type="dxa"/>
            <w:vMerge/>
            <w:shd w:val="clear" w:color="auto" w:fill="C5E0B3" w:themeFill="accent6" w:themeFillTint="66"/>
          </w:tcPr>
          <w:p w14:paraId="0909E772" w14:textId="77777777" w:rsidR="000531C6" w:rsidRPr="00875A1B" w:rsidRDefault="000531C6" w:rsidP="000071E8">
            <w:pPr>
              <w:spacing w:after="120" w:line="240" w:lineRule="auto"/>
              <w:rPr>
                <w:rFonts w:ascii="ITC Avant Garde" w:hAnsi="ITC Avant Garde"/>
                <w:sz w:val="18"/>
                <w:szCs w:val="18"/>
              </w:rPr>
            </w:pPr>
          </w:p>
        </w:tc>
        <w:tc>
          <w:tcPr>
            <w:tcW w:w="1559" w:type="dxa"/>
            <w:vMerge/>
            <w:shd w:val="clear" w:color="auto" w:fill="C5E0B3" w:themeFill="accent6" w:themeFillTint="66"/>
          </w:tcPr>
          <w:p w14:paraId="5C00B9E2" w14:textId="77777777" w:rsidR="000531C6" w:rsidRPr="00875A1B" w:rsidRDefault="000531C6" w:rsidP="000071E8">
            <w:pPr>
              <w:spacing w:after="120" w:line="240" w:lineRule="auto"/>
              <w:jc w:val="center"/>
              <w:rPr>
                <w:rFonts w:ascii="ITC Avant Garde" w:hAnsi="ITC Avant Garde"/>
                <w:sz w:val="18"/>
                <w:szCs w:val="18"/>
              </w:rPr>
            </w:pPr>
          </w:p>
        </w:tc>
        <w:tc>
          <w:tcPr>
            <w:tcW w:w="6531" w:type="dxa"/>
            <w:shd w:val="clear" w:color="auto" w:fill="C5E0B3" w:themeFill="accent6" w:themeFillTint="66"/>
          </w:tcPr>
          <w:p w14:paraId="22E7F928" w14:textId="77777777" w:rsidR="000531C6" w:rsidRPr="005F6244" w:rsidRDefault="000531C6" w:rsidP="000071E8">
            <w:pPr>
              <w:spacing w:after="120" w:line="240" w:lineRule="auto"/>
              <w:jc w:val="both"/>
              <w:rPr>
                <w:rFonts w:ascii="ITC Avant Garde" w:hAnsi="ITC Avant Garde"/>
                <w:sz w:val="18"/>
                <w:szCs w:val="18"/>
              </w:rPr>
            </w:pPr>
            <w:r w:rsidRPr="005F6244">
              <w:rPr>
                <w:rFonts w:ascii="ITC Avant Garde" w:hAnsi="ITC Avant Garde"/>
                <w:sz w:val="18"/>
                <w:szCs w:val="18"/>
              </w:rPr>
              <w:t>Al ser un documento de carácter meramen</w:t>
            </w:r>
            <w:r>
              <w:rPr>
                <w:rFonts w:ascii="ITC Avant Garde" w:hAnsi="ITC Avant Garde"/>
                <w:sz w:val="18"/>
                <w:szCs w:val="18"/>
              </w:rPr>
              <w:t>te informativo, se considera que</w:t>
            </w:r>
            <w:r w:rsidRPr="005F6244">
              <w:rPr>
                <w:rFonts w:ascii="ITC Avant Garde" w:hAnsi="ITC Avant Garde"/>
                <w:sz w:val="18"/>
                <w:szCs w:val="18"/>
              </w:rPr>
              <w:t xml:space="preserve"> no debería ser </w:t>
            </w:r>
            <w:r>
              <w:rPr>
                <w:rFonts w:ascii="ITC Avant Garde" w:hAnsi="ITC Avant Garde"/>
                <w:sz w:val="18"/>
                <w:szCs w:val="18"/>
              </w:rPr>
              <w:t>referido</w:t>
            </w:r>
            <w:r w:rsidRPr="005F6244">
              <w:rPr>
                <w:rFonts w:ascii="ITC Avant Garde" w:hAnsi="ITC Avant Garde"/>
                <w:sz w:val="18"/>
                <w:szCs w:val="18"/>
              </w:rPr>
              <w:t xml:space="preserve"> en los Lineamientos por no tener ninguna eficacia jurídica y por ende no ser vinculante ni obligatoria.</w:t>
            </w:r>
          </w:p>
          <w:p w14:paraId="384E3625" w14:textId="77777777" w:rsidR="000531C6" w:rsidRDefault="000531C6" w:rsidP="000071E8">
            <w:pPr>
              <w:spacing w:after="120" w:line="240" w:lineRule="auto"/>
              <w:jc w:val="both"/>
              <w:rPr>
                <w:rFonts w:ascii="ITC Avant Garde" w:hAnsi="ITC Avant Garde"/>
                <w:sz w:val="18"/>
                <w:szCs w:val="18"/>
              </w:rPr>
            </w:pPr>
            <w:r w:rsidRPr="005F6244">
              <w:rPr>
                <w:rFonts w:ascii="ITC Avant Garde" w:hAnsi="ITC Avant Garde"/>
                <w:sz w:val="18"/>
                <w:szCs w:val="18"/>
              </w:rPr>
              <w:t>Debería precisarse que la alerta debería ser enviada al correo proporcionado con al menos un día de anticipación para que las partes puedan estar al pendiente en el SEPDAI de que recibirán una notificación por ese medio, asimilando un poco es</w:t>
            </w:r>
            <w:r>
              <w:rPr>
                <w:rFonts w:ascii="ITC Avant Garde" w:hAnsi="ITC Avant Garde"/>
                <w:sz w:val="18"/>
                <w:szCs w:val="18"/>
              </w:rPr>
              <w:t>ta medida a la de un citatorio.</w:t>
            </w:r>
          </w:p>
        </w:tc>
      </w:tr>
      <w:tr w:rsidR="000531C6" w:rsidRPr="00875A1B" w14:paraId="086854F6" w14:textId="77777777" w:rsidTr="00C43007">
        <w:tc>
          <w:tcPr>
            <w:tcW w:w="1980" w:type="dxa"/>
            <w:vMerge/>
            <w:shd w:val="clear" w:color="auto" w:fill="C5E0B3" w:themeFill="accent6" w:themeFillTint="66"/>
          </w:tcPr>
          <w:p w14:paraId="660B355B" w14:textId="77777777" w:rsidR="000531C6" w:rsidRPr="00875A1B" w:rsidRDefault="000531C6" w:rsidP="000071E8">
            <w:pPr>
              <w:spacing w:after="120" w:line="240" w:lineRule="auto"/>
              <w:rPr>
                <w:rFonts w:ascii="ITC Avant Garde" w:hAnsi="ITC Avant Garde"/>
                <w:sz w:val="18"/>
                <w:szCs w:val="18"/>
              </w:rPr>
            </w:pPr>
          </w:p>
        </w:tc>
        <w:tc>
          <w:tcPr>
            <w:tcW w:w="1559" w:type="dxa"/>
            <w:vMerge/>
            <w:shd w:val="clear" w:color="auto" w:fill="C5E0B3" w:themeFill="accent6" w:themeFillTint="66"/>
          </w:tcPr>
          <w:p w14:paraId="570AD799" w14:textId="77777777" w:rsidR="000531C6" w:rsidRPr="00875A1B" w:rsidRDefault="000531C6" w:rsidP="000071E8">
            <w:pPr>
              <w:spacing w:after="120" w:line="240" w:lineRule="auto"/>
              <w:jc w:val="center"/>
              <w:rPr>
                <w:rFonts w:ascii="ITC Avant Garde" w:hAnsi="ITC Avant Garde"/>
                <w:sz w:val="18"/>
                <w:szCs w:val="18"/>
              </w:rPr>
            </w:pPr>
          </w:p>
        </w:tc>
        <w:tc>
          <w:tcPr>
            <w:tcW w:w="6531" w:type="dxa"/>
            <w:shd w:val="clear" w:color="auto" w:fill="C5E0B3" w:themeFill="accent6" w:themeFillTint="66"/>
          </w:tcPr>
          <w:p w14:paraId="55FDE5DE" w14:textId="77777777" w:rsidR="000531C6" w:rsidRDefault="000531C6" w:rsidP="000071E8">
            <w:pPr>
              <w:spacing w:after="120" w:line="240" w:lineRule="auto"/>
              <w:jc w:val="both"/>
              <w:rPr>
                <w:rFonts w:ascii="ITC Avant Garde" w:hAnsi="ITC Avant Garde"/>
                <w:sz w:val="18"/>
                <w:szCs w:val="18"/>
              </w:rPr>
            </w:pPr>
            <w:r w:rsidRPr="005F6244">
              <w:rPr>
                <w:rFonts w:ascii="ITC Avant Garde" w:hAnsi="ITC Avant Garde"/>
                <w:sz w:val="18"/>
                <w:szCs w:val="18"/>
              </w:rPr>
              <w:t>En razón de que la Guía no es vinculante para el Institutito, y con el objetivo de evitar que los posibles denunciantes confundan los requisitos obligatorios del artículo 68 con las recomendaciones de la Guía, y con ello demoren la presentación de una denuncia, se sugiere señalar que se consulte el artículo 68 de la ley, y solo como apoyo no vinculante las recome</w:t>
            </w:r>
            <w:r>
              <w:rPr>
                <w:rFonts w:ascii="ITC Avant Garde" w:hAnsi="ITC Avant Garde"/>
                <w:sz w:val="18"/>
                <w:szCs w:val="18"/>
              </w:rPr>
              <w:t>ndaciones contenidas en la Guía, para lo cual se propone un cambio de redacción.</w:t>
            </w:r>
          </w:p>
        </w:tc>
      </w:tr>
      <w:tr w:rsidR="000531C6" w:rsidRPr="00875A1B" w14:paraId="3F75E8B0" w14:textId="77777777" w:rsidTr="00C43007">
        <w:tc>
          <w:tcPr>
            <w:tcW w:w="1980" w:type="dxa"/>
            <w:vMerge/>
            <w:shd w:val="clear" w:color="auto" w:fill="C5E0B3" w:themeFill="accent6" w:themeFillTint="66"/>
          </w:tcPr>
          <w:p w14:paraId="259016A5" w14:textId="77777777" w:rsidR="000531C6" w:rsidRPr="00875A1B" w:rsidRDefault="000531C6" w:rsidP="000071E8">
            <w:pPr>
              <w:spacing w:after="120" w:line="240" w:lineRule="auto"/>
              <w:rPr>
                <w:rFonts w:ascii="ITC Avant Garde" w:hAnsi="ITC Avant Garde"/>
                <w:sz w:val="18"/>
                <w:szCs w:val="18"/>
              </w:rPr>
            </w:pPr>
          </w:p>
        </w:tc>
        <w:tc>
          <w:tcPr>
            <w:tcW w:w="1559" w:type="dxa"/>
            <w:vMerge/>
            <w:shd w:val="clear" w:color="auto" w:fill="C5E0B3" w:themeFill="accent6" w:themeFillTint="66"/>
          </w:tcPr>
          <w:p w14:paraId="23C1710A" w14:textId="77777777" w:rsidR="000531C6" w:rsidRPr="00875A1B" w:rsidRDefault="000531C6" w:rsidP="000071E8">
            <w:pPr>
              <w:spacing w:after="120" w:line="240" w:lineRule="auto"/>
              <w:jc w:val="center"/>
              <w:rPr>
                <w:rFonts w:ascii="ITC Avant Garde" w:hAnsi="ITC Avant Garde"/>
                <w:sz w:val="18"/>
                <w:szCs w:val="18"/>
              </w:rPr>
            </w:pPr>
          </w:p>
        </w:tc>
        <w:tc>
          <w:tcPr>
            <w:tcW w:w="6531" w:type="dxa"/>
            <w:shd w:val="clear" w:color="auto" w:fill="C5E0B3" w:themeFill="accent6" w:themeFillTint="66"/>
          </w:tcPr>
          <w:p w14:paraId="4F1A4FD8" w14:textId="77777777" w:rsidR="000531C6" w:rsidRDefault="000531C6" w:rsidP="000071E8">
            <w:pPr>
              <w:spacing w:after="120" w:line="240" w:lineRule="auto"/>
              <w:jc w:val="both"/>
              <w:rPr>
                <w:rFonts w:ascii="ITC Avant Garde" w:hAnsi="ITC Avant Garde"/>
                <w:sz w:val="18"/>
                <w:szCs w:val="18"/>
              </w:rPr>
            </w:pPr>
            <w:r w:rsidRPr="005F6244">
              <w:rPr>
                <w:rFonts w:ascii="ITC Avant Garde" w:hAnsi="ITC Avant Garde"/>
                <w:sz w:val="18"/>
                <w:szCs w:val="18"/>
              </w:rPr>
              <w:t>Se podría solicitar que también se indique el número de expediente.</w:t>
            </w:r>
          </w:p>
        </w:tc>
      </w:tr>
      <w:tr w:rsidR="000531C6" w:rsidRPr="00875A1B" w14:paraId="72A8C147" w14:textId="77777777" w:rsidTr="00C43007">
        <w:tc>
          <w:tcPr>
            <w:tcW w:w="1980" w:type="dxa"/>
            <w:vMerge/>
            <w:shd w:val="clear" w:color="auto" w:fill="C5E0B3" w:themeFill="accent6" w:themeFillTint="66"/>
          </w:tcPr>
          <w:p w14:paraId="296C6BE6" w14:textId="77777777" w:rsidR="000531C6" w:rsidRPr="00875A1B" w:rsidRDefault="000531C6" w:rsidP="000071E8">
            <w:pPr>
              <w:spacing w:after="120" w:line="240" w:lineRule="auto"/>
              <w:rPr>
                <w:rFonts w:ascii="ITC Avant Garde" w:hAnsi="ITC Avant Garde"/>
                <w:sz w:val="18"/>
                <w:szCs w:val="18"/>
              </w:rPr>
            </w:pPr>
          </w:p>
        </w:tc>
        <w:tc>
          <w:tcPr>
            <w:tcW w:w="1559" w:type="dxa"/>
            <w:vMerge/>
            <w:shd w:val="clear" w:color="auto" w:fill="C5E0B3" w:themeFill="accent6" w:themeFillTint="66"/>
          </w:tcPr>
          <w:p w14:paraId="3F7426BA" w14:textId="77777777" w:rsidR="000531C6" w:rsidRPr="00875A1B" w:rsidRDefault="000531C6" w:rsidP="000071E8">
            <w:pPr>
              <w:spacing w:after="120" w:line="240" w:lineRule="auto"/>
              <w:jc w:val="center"/>
              <w:rPr>
                <w:rFonts w:ascii="ITC Avant Garde" w:hAnsi="ITC Avant Garde"/>
                <w:sz w:val="18"/>
                <w:szCs w:val="18"/>
              </w:rPr>
            </w:pPr>
          </w:p>
        </w:tc>
        <w:tc>
          <w:tcPr>
            <w:tcW w:w="6531" w:type="dxa"/>
            <w:shd w:val="clear" w:color="auto" w:fill="C5E0B3" w:themeFill="accent6" w:themeFillTint="66"/>
          </w:tcPr>
          <w:p w14:paraId="65FE950B" w14:textId="21EA6EB9" w:rsidR="000531C6" w:rsidRDefault="000531C6" w:rsidP="008318E6">
            <w:pPr>
              <w:spacing w:after="120" w:line="240" w:lineRule="auto"/>
              <w:jc w:val="both"/>
              <w:rPr>
                <w:rFonts w:ascii="ITC Avant Garde" w:hAnsi="ITC Avant Garde"/>
                <w:sz w:val="18"/>
                <w:szCs w:val="18"/>
              </w:rPr>
            </w:pPr>
            <w:r w:rsidRPr="005F6244">
              <w:rPr>
                <w:rFonts w:ascii="ITC Avant Garde" w:hAnsi="ITC Avant Garde"/>
                <w:sz w:val="18"/>
                <w:szCs w:val="18"/>
              </w:rPr>
              <w:t xml:space="preserve">Se debería precisar a la autoridad ante la cual se turnará el asunto, en estos casos, a la </w:t>
            </w:r>
            <w:r w:rsidR="008318E6">
              <w:rPr>
                <w:rFonts w:ascii="ITC Avant Garde" w:hAnsi="ITC Avant Garde"/>
                <w:sz w:val="18"/>
                <w:szCs w:val="18"/>
              </w:rPr>
              <w:t>AI</w:t>
            </w:r>
            <w:r w:rsidRPr="005F6244">
              <w:rPr>
                <w:rFonts w:ascii="ITC Avant Garde" w:hAnsi="ITC Avant Garde"/>
                <w:sz w:val="18"/>
                <w:szCs w:val="18"/>
              </w:rPr>
              <w:t>.</w:t>
            </w:r>
          </w:p>
        </w:tc>
      </w:tr>
      <w:tr w:rsidR="000531C6" w:rsidRPr="00875A1B" w14:paraId="4EC86813" w14:textId="77777777" w:rsidTr="00C43007">
        <w:tc>
          <w:tcPr>
            <w:tcW w:w="1980" w:type="dxa"/>
            <w:vMerge/>
            <w:shd w:val="clear" w:color="auto" w:fill="C5E0B3" w:themeFill="accent6" w:themeFillTint="66"/>
          </w:tcPr>
          <w:p w14:paraId="4F0BAB6A" w14:textId="77777777" w:rsidR="000531C6" w:rsidRPr="00875A1B" w:rsidRDefault="000531C6" w:rsidP="000071E8">
            <w:pPr>
              <w:spacing w:after="120" w:line="240" w:lineRule="auto"/>
              <w:rPr>
                <w:rFonts w:ascii="ITC Avant Garde" w:hAnsi="ITC Avant Garde"/>
                <w:sz w:val="18"/>
                <w:szCs w:val="18"/>
              </w:rPr>
            </w:pPr>
          </w:p>
        </w:tc>
        <w:tc>
          <w:tcPr>
            <w:tcW w:w="1559" w:type="dxa"/>
            <w:vMerge/>
            <w:shd w:val="clear" w:color="auto" w:fill="C5E0B3" w:themeFill="accent6" w:themeFillTint="66"/>
          </w:tcPr>
          <w:p w14:paraId="0DBBEDA2" w14:textId="77777777" w:rsidR="000531C6" w:rsidRPr="00875A1B" w:rsidRDefault="000531C6" w:rsidP="000071E8">
            <w:pPr>
              <w:spacing w:after="120" w:line="240" w:lineRule="auto"/>
              <w:jc w:val="center"/>
              <w:rPr>
                <w:rFonts w:ascii="ITC Avant Garde" w:hAnsi="ITC Avant Garde"/>
                <w:sz w:val="18"/>
                <w:szCs w:val="18"/>
              </w:rPr>
            </w:pPr>
          </w:p>
        </w:tc>
        <w:tc>
          <w:tcPr>
            <w:tcW w:w="6531" w:type="dxa"/>
            <w:shd w:val="clear" w:color="auto" w:fill="C5E0B3" w:themeFill="accent6" w:themeFillTint="66"/>
          </w:tcPr>
          <w:p w14:paraId="7D981772" w14:textId="77777777" w:rsidR="000531C6" w:rsidRDefault="000531C6" w:rsidP="000071E8">
            <w:pPr>
              <w:spacing w:after="120" w:line="240" w:lineRule="auto"/>
              <w:jc w:val="both"/>
              <w:rPr>
                <w:rFonts w:ascii="ITC Avant Garde" w:hAnsi="ITC Avant Garde"/>
                <w:sz w:val="18"/>
                <w:szCs w:val="18"/>
              </w:rPr>
            </w:pPr>
            <w:r w:rsidRPr="005F6244">
              <w:rPr>
                <w:rFonts w:ascii="ITC Avant Garde" w:hAnsi="ITC Avant Garde"/>
                <w:sz w:val="18"/>
                <w:szCs w:val="18"/>
              </w:rPr>
              <w:t>Se sugiere que el Instituto implemente un "</w:t>
            </w:r>
            <w:r w:rsidRPr="008318E6">
              <w:rPr>
                <w:rFonts w:ascii="ITC Avant Garde" w:hAnsi="ITC Avant Garde"/>
                <w:i/>
                <w:sz w:val="18"/>
                <w:szCs w:val="18"/>
              </w:rPr>
              <w:t>Registro público de poderes notariales</w:t>
            </w:r>
            <w:r w:rsidRPr="005F6244">
              <w:rPr>
                <w:rFonts w:ascii="ITC Avant Garde" w:hAnsi="ITC Avant Garde"/>
                <w:sz w:val="18"/>
                <w:szCs w:val="18"/>
              </w:rPr>
              <w:t>" para evitar prevenciones.</w:t>
            </w:r>
          </w:p>
        </w:tc>
      </w:tr>
      <w:tr w:rsidR="000531C6" w:rsidRPr="00875A1B" w14:paraId="59B439D3" w14:textId="77777777" w:rsidTr="00C43007">
        <w:tc>
          <w:tcPr>
            <w:tcW w:w="1980" w:type="dxa"/>
            <w:vMerge/>
            <w:shd w:val="clear" w:color="auto" w:fill="C5E0B3" w:themeFill="accent6" w:themeFillTint="66"/>
          </w:tcPr>
          <w:p w14:paraId="794D7DE3" w14:textId="77777777" w:rsidR="000531C6" w:rsidRPr="00875A1B" w:rsidRDefault="000531C6" w:rsidP="000071E8">
            <w:pPr>
              <w:spacing w:after="120" w:line="240" w:lineRule="auto"/>
              <w:rPr>
                <w:rFonts w:ascii="ITC Avant Garde" w:hAnsi="ITC Avant Garde"/>
                <w:sz w:val="18"/>
                <w:szCs w:val="18"/>
              </w:rPr>
            </w:pPr>
          </w:p>
        </w:tc>
        <w:tc>
          <w:tcPr>
            <w:tcW w:w="1559" w:type="dxa"/>
            <w:vMerge/>
            <w:shd w:val="clear" w:color="auto" w:fill="C5E0B3" w:themeFill="accent6" w:themeFillTint="66"/>
          </w:tcPr>
          <w:p w14:paraId="2CE35744" w14:textId="77777777" w:rsidR="000531C6" w:rsidRPr="00875A1B" w:rsidRDefault="000531C6" w:rsidP="000071E8">
            <w:pPr>
              <w:spacing w:after="120" w:line="240" w:lineRule="auto"/>
              <w:jc w:val="center"/>
              <w:rPr>
                <w:rFonts w:ascii="ITC Avant Garde" w:hAnsi="ITC Avant Garde"/>
                <w:sz w:val="18"/>
                <w:szCs w:val="18"/>
              </w:rPr>
            </w:pPr>
          </w:p>
        </w:tc>
        <w:tc>
          <w:tcPr>
            <w:tcW w:w="6531" w:type="dxa"/>
            <w:shd w:val="clear" w:color="auto" w:fill="C5E0B3" w:themeFill="accent6" w:themeFillTint="66"/>
          </w:tcPr>
          <w:p w14:paraId="28979177" w14:textId="77777777" w:rsidR="000531C6" w:rsidRPr="00E64759" w:rsidRDefault="000531C6" w:rsidP="000071E8">
            <w:pPr>
              <w:spacing w:after="120" w:line="240" w:lineRule="auto"/>
              <w:jc w:val="both"/>
              <w:rPr>
                <w:rFonts w:ascii="ITC Avant Garde" w:hAnsi="ITC Avant Garde"/>
                <w:sz w:val="18"/>
                <w:szCs w:val="18"/>
              </w:rPr>
            </w:pPr>
            <w:r w:rsidRPr="00E64759">
              <w:rPr>
                <w:rFonts w:ascii="ITC Avant Garde" w:hAnsi="ITC Avant Garde"/>
                <w:sz w:val="18"/>
                <w:szCs w:val="18"/>
              </w:rPr>
              <w:t>Pareciera sugerirse que toda denuncia que se presente a través del SEPDAI le recaerá un acuerdo de prevención a fin de que, al menos, se presente el documento original con el que la persona física firmante acredite su personalidad para actuar como representante de una persona jurídica.</w:t>
            </w:r>
          </w:p>
        </w:tc>
      </w:tr>
      <w:tr w:rsidR="000531C6" w:rsidRPr="00875A1B" w14:paraId="53BE3FC3" w14:textId="77777777" w:rsidTr="00C43007">
        <w:tc>
          <w:tcPr>
            <w:tcW w:w="1980" w:type="dxa"/>
            <w:vMerge/>
            <w:shd w:val="clear" w:color="auto" w:fill="C5E0B3" w:themeFill="accent6" w:themeFillTint="66"/>
          </w:tcPr>
          <w:p w14:paraId="721B4B4F" w14:textId="77777777" w:rsidR="000531C6" w:rsidRPr="00875A1B" w:rsidRDefault="000531C6" w:rsidP="000071E8">
            <w:pPr>
              <w:spacing w:after="120" w:line="240" w:lineRule="auto"/>
              <w:rPr>
                <w:rFonts w:ascii="ITC Avant Garde" w:hAnsi="ITC Avant Garde"/>
                <w:sz w:val="18"/>
                <w:szCs w:val="18"/>
              </w:rPr>
            </w:pPr>
          </w:p>
        </w:tc>
        <w:tc>
          <w:tcPr>
            <w:tcW w:w="1559" w:type="dxa"/>
            <w:vMerge/>
            <w:shd w:val="clear" w:color="auto" w:fill="C5E0B3" w:themeFill="accent6" w:themeFillTint="66"/>
          </w:tcPr>
          <w:p w14:paraId="1C2518FA" w14:textId="77777777" w:rsidR="000531C6" w:rsidRPr="00875A1B" w:rsidRDefault="000531C6" w:rsidP="000071E8">
            <w:pPr>
              <w:spacing w:after="120" w:line="240" w:lineRule="auto"/>
              <w:jc w:val="center"/>
              <w:rPr>
                <w:rFonts w:ascii="ITC Avant Garde" w:hAnsi="ITC Avant Garde"/>
                <w:sz w:val="18"/>
                <w:szCs w:val="18"/>
              </w:rPr>
            </w:pPr>
          </w:p>
        </w:tc>
        <w:tc>
          <w:tcPr>
            <w:tcW w:w="6531" w:type="dxa"/>
            <w:shd w:val="clear" w:color="auto" w:fill="C5E0B3" w:themeFill="accent6" w:themeFillTint="66"/>
          </w:tcPr>
          <w:p w14:paraId="563BEB49" w14:textId="77777777" w:rsidR="000531C6" w:rsidRPr="00E64759" w:rsidRDefault="000531C6" w:rsidP="000071E8">
            <w:pPr>
              <w:spacing w:after="120" w:line="240" w:lineRule="auto"/>
              <w:jc w:val="both"/>
              <w:rPr>
                <w:rFonts w:ascii="ITC Avant Garde" w:hAnsi="ITC Avant Garde"/>
                <w:sz w:val="18"/>
                <w:szCs w:val="18"/>
              </w:rPr>
            </w:pPr>
            <w:r w:rsidRPr="00E64759">
              <w:rPr>
                <w:rFonts w:ascii="ITC Avant Garde" w:hAnsi="ITC Avant Garde"/>
                <w:sz w:val="18"/>
                <w:szCs w:val="18"/>
              </w:rPr>
              <w:t>La Autoridad Investigadora de ese Instituto debería de tomar en consideración los Poderes debidamente registrados ante el Registro Público de Concesiones, lo anterior, toda vez que, si bien es cierto que se debe de acreditar personalidad por cada investigación que se inicia, es poco práctico estar presentado original o copias certificadas por cada uno de ellos.</w:t>
            </w:r>
          </w:p>
        </w:tc>
      </w:tr>
      <w:tr w:rsidR="000531C6" w:rsidRPr="00875A1B" w14:paraId="3893A236" w14:textId="77777777" w:rsidTr="00C43007">
        <w:tc>
          <w:tcPr>
            <w:tcW w:w="1980" w:type="dxa"/>
            <w:vMerge/>
            <w:shd w:val="clear" w:color="auto" w:fill="C5E0B3" w:themeFill="accent6" w:themeFillTint="66"/>
          </w:tcPr>
          <w:p w14:paraId="44A0F96D" w14:textId="77777777" w:rsidR="000531C6" w:rsidRPr="00875A1B" w:rsidRDefault="000531C6" w:rsidP="000071E8">
            <w:pPr>
              <w:spacing w:after="120" w:line="240" w:lineRule="auto"/>
              <w:rPr>
                <w:rFonts w:ascii="ITC Avant Garde" w:hAnsi="ITC Avant Garde"/>
                <w:sz w:val="18"/>
                <w:szCs w:val="18"/>
              </w:rPr>
            </w:pPr>
          </w:p>
        </w:tc>
        <w:tc>
          <w:tcPr>
            <w:tcW w:w="1559" w:type="dxa"/>
            <w:vMerge/>
            <w:shd w:val="clear" w:color="auto" w:fill="C5E0B3" w:themeFill="accent6" w:themeFillTint="66"/>
          </w:tcPr>
          <w:p w14:paraId="6E8D9F6A" w14:textId="77777777" w:rsidR="000531C6" w:rsidRPr="00875A1B" w:rsidRDefault="000531C6" w:rsidP="000071E8">
            <w:pPr>
              <w:spacing w:after="120" w:line="240" w:lineRule="auto"/>
              <w:jc w:val="center"/>
              <w:rPr>
                <w:rFonts w:ascii="ITC Avant Garde" w:hAnsi="ITC Avant Garde"/>
                <w:sz w:val="18"/>
                <w:szCs w:val="18"/>
              </w:rPr>
            </w:pPr>
          </w:p>
        </w:tc>
        <w:tc>
          <w:tcPr>
            <w:tcW w:w="6531" w:type="dxa"/>
            <w:shd w:val="clear" w:color="auto" w:fill="C5E0B3" w:themeFill="accent6" w:themeFillTint="66"/>
          </w:tcPr>
          <w:p w14:paraId="4A299706" w14:textId="77777777" w:rsidR="000531C6" w:rsidRPr="00E64759" w:rsidRDefault="000531C6" w:rsidP="000071E8">
            <w:pPr>
              <w:spacing w:after="120" w:line="240" w:lineRule="auto"/>
              <w:jc w:val="both"/>
              <w:rPr>
                <w:rFonts w:ascii="ITC Avant Garde" w:hAnsi="ITC Avant Garde"/>
                <w:sz w:val="18"/>
                <w:szCs w:val="18"/>
              </w:rPr>
            </w:pPr>
            <w:r w:rsidRPr="00E64759">
              <w:rPr>
                <w:rFonts w:ascii="ITC Avant Garde" w:hAnsi="ITC Avant Garde"/>
                <w:sz w:val="18"/>
                <w:szCs w:val="18"/>
              </w:rPr>
              <w:t>A fin de brindar seguridad jurídica al denunciante, se considera necesario establecer que las alertas que se envíen a través del SEPDAI, podrán considerarse recibidas en el día en que se hayan enviado únicamente cuando sean recibidas en el correo electrónico dentro del lapso referido en el segundo párrafo del artículo 115 de la LFCE y que, en caso contrario, se entenderá que la alerta se envió al día siguiente a aquél en que fue recibida vía correo electrónico, por lo cual, además, se deberá entender que la notificación se tendrá por practicada al día siguiente de su envío.</w:t>
            </w:r>
          </w:p>
        </w:tc>
      </w:tr>
      <w:tr w:rsidR="000531C6" w:rsidRPr="00875A1B" w14:paraId="6C993BB9" w14:textId="77777777" w:rsidTr="00C43007">
        <w:tc>
          <w:tcPr>
            <w:tcW w:w="1980" w:type="dxa"/>
            <w:vMerge/>
            <w:shd w:val="clear" w:color="auto" w:fill="C5E0B3" w:themeFill="accent6" w:themeFillTint="66"/>
          </w:tcPr>
          <w:p w14:paraId="12C2D413" w14:textId="77777777" w:rsidR="000531C6" w:rsidRPr="00875A1B" w:rsidRDefault="000531C6" w:rsidP="000071E8">
            <w:pPr>
              <w:spacing w:after="120" w:line="240" w:lineRule="auto"/>
              <w:rPr>
                <w:rFonts w:ascii="ITC Avant Garde" w:hAnsi="ITC Avant Garde"/>
                <w:sz w:val="18"/>
                <w:szCs w:val="18"/>
              </w:rPr>
            </w:pPr>
          </w:p>
        </w:tc>
        <w:tc>
          <w:tcPr>
            <w:tcW w:w="1559" w:type="dxa"/>
            <w:vMerge/>
            <w:shd w:val="clear" w:color="auto" w:fill="C5E0B3" w:themeFill="accent6" w:themeFillTint="66"/>
          </w:tcPr>
          <w:p w14:paraId="574EAA4D" w14:textId="77777777" w:rsidR="000531C6" w:rsidRPr="00875A1B" w:rsidRDefault="000531C6" w:rsidP="000071E8">
            <w:pPr>
              <w:spacing w:after="120" w:line="240" w:lineRule="auto"/>
              <w:jc w:val="center"/>
              <w:rPr>
                <w:rFonts w:ascii="ITC Avant Garde" w:hAnsi="ITC Avant Garde"/>
                <w:sz w:val="18"/>
                <w:szCs w:val="18"/>
              </w:rPr>
            </w:pPr>
          </w:p>
        </w:tc>
        <w:tc>
          <w:tcPr>
            <w:tcW w:w="6531" w:type="dxa"/>
            <w:shd w:val="clear" w:color="auto" w:fill="C5E0B3" w:themeFill="accent6" w:themeFillTint="66"/>
          </w:tcPr>
          <w:p w14:paraId="7FE83E29" w14:textId="77777777" w:rsidR="000531C6" w:rsidRDefault="000531C6" w:rsidP="000071E8">
            <w:pPr>
              <w:spacing w:after="120" w:line="240" w:lineRule="auto"/>
              <w:jc w:val="both"/>
              <w:rPr>
                <w:rFonts w:ascii="ITC Avant Garde" w:hAnsi="ITC Avant Garde"/>
                <w:sz w:val="18"/>
                <w:szCs w:val="18"/>
              </w:rPr>
            </w:pPr>
            <w:r w:rsidRPr="00E64759">
              <w:rPr>
                <w:rFonts w:ascii="ITC Avant Garde" w:hAnsi="ITC Avant Garde"/>
                <w:sz w:val="18"/>
                <w:szCs w:val="18"/>
              </w:rPr>
              <w:t xml:space="preserve">Las notificaciones se entienden practicadas desde que están disponibles en el SEPDAI lo que no resulta acorde al artículo 16 Constitucional pues las notificaciones deben surtir sus efectos una vez que se hayan hecho del conocimiento del gobernado. </w:t>
            </w:r>
          </w:p>
          <w:p w14:paraId="0BA5A435" w14:textId="77777777" w:rsidR="000531C6" w:rsidRPr="00E64759" w:rsidRDefault="000531C6" w:rsidP="000071E8">
            <w:pPr>
              <w:spacing w:after="120" w:line="240" w:lineRule="auto"/>
              <w:jc w:val="both"/>
              <w:rPr>
                <w:rFonts w:ascii="ITC Avant Garde" w:hAnsi="ITC Avant Garde"/>
                <w:sz w:val="18"/>
                <w:szCs w:val="18"/>
              </w:rPr>
            </w:pPr>
            <w:r w:rsidRPr="00E64759">
              <w:rPr>
                <w:rFonts w:ascii="ITC Avant Garde" w:hAnsi="ITC Avant Garde"/>
                <w:sz w:val="18"/>
                <w:szCs w:val="18"/>
              </w:rPr>
              <w:t>El hecho de que se notifique también de manera personal el acto, tampoco subsana la deficiencia, pues para términos de ley, la disponibilidad en SEPDAI es la que determina la eficacia de la notificación.</w:t>
            </w:r>
          </w:p>
        </w:tc>
      </w:tr>
      <w:tr w:rsidR="000531C6" w:rsidRPr="00875A1B" w14:paraId="51CD570E" w14:textId="77777777" w:rsidTr="00C43007">
        <w:tc>
          <w:tcPr>
            <w:tcW w:w="1980" w:type="dxa"/>
            <w:vMerge/>
            <w:shd w:val="clear" w:color="auto" w:fill="C5E0B3" w:themeFill="accent6" w:themeFillTint="66"/>
          </w:tcPr>
          <w:p w14:paraId="4D952A6F" w14:textId="77777777" w:rsidR="000531C6" w:rsidRPr="00875A1B" w:rsidRDefault="000531C6" w:rsidP="000071E8">
            <w:pPr>
              <w:spacing w:after="120" w:line="240" w:lineRule="auto"/>
              <w:rPr>
                <w:rFonts w:ascii="ITC Avant Garde" w:hAnsi="ITC Avant Garde"/>
                <w:sz w:val="18"/>
                <w:szCs w:val="18"/>
              </w:rPr>
            </w:pPr>
          </w:p>
        </w:tc>
        <w:tc>
          <w:tcPr>
            <w:tcW w:w="1559" w:type="dxa"/>
            <w:vMerge/>
            <w:shd w:val="clear" w:color="auto" w:fill="C5E0B3" w:themeFill="accent6" w:themeFillTint="66"/>
          </w:tcPr>
          <w:p w14:paraId="6E89B279" w14:textId="77777777" w:rsidR="000531C6" w:rsidRPr="00875A1B" w:rsidRDefault="000531C6" w:rsidP="000071E8">
            <w:pPr>
              <w:spacing w:after="120" w:line="240" w:lineRule="auto"/>
              <w:jc w:val="center"/>
              <w:rPr>
                <w:rFonts w:ascii="ITC Avant Garde" w:hAnsi="ITC Avant Garde"/>
                <w:sz w:val="18"/>
                <w:szCs w:val="18"/>
              </w:rPr>
            </w:pPr>
          </w:p>
        </w:tc>
        <w:tc>
          <w:tcPr>
            <w:tcW w:w="6531" w:type="dxa"/>
            <w:shd w:val="clear" w:color="auto" w:fill="C5E0B3" w:themeFill="accent6" w:themeFillTint="66"/>
          </w:tcPr>
          <w:p w14:paraId="3390B71B" w14:textId="77777777" w:rsidR="000531C6" w:rsidRPr="00E64759" w:rsidRDefault="000531C6" w:rsidP="000071E8">
            <w:pPr>
              <w:spacing w:after="120" w:line="240" w:lineRule="auto"/>
              <w:jc w:val="both"/>
              <w:rPr>
                <w:rFonts w:ascii="ITC Avant Garde" w:hAnsi="ITC Avant Garde"/>
                <w:sz w:val="18"/>
                <w:szCs w:val="18"/>
              </w:rPr>
            </w:pPr>
            <w:r w:rsidRPr="00E64759">
              <w:rPr>
                <w:rFonts w:ascii="ITC Avant Garde" w:hAnsi="ITC Avant Garde"/>
                <w:sz w:val="18"/>
                <w:szCs w:val="18"/>
              </w:rPr>
              <w:t>Debería precisarse que la alerta debería ser enviada con al menos un día de anticipación para que las partes puedan estar al pendiente en el SEPDAI de que recibirán una notificación por ese medio, asimilando un poco esta medida a la de un citatorio.</w:t>
            </w:r>
          </w:p>
        </w:tc>
      </w:tr>
      <w:tr w:rsidR="000531C6" w:rsidRPr="00875A1B" w14:paraId="323750FE" w14:textId="77777777" w:rsidTr="00C43007">
        <w:tc>
          <w:tcPr>
            <w:tcW w:w="1980" w:type="dxa"/>
            <w:vMerge/>
            <w:shd w:val="clear" w:color="auto" w:fill="C5E0B3" w:themeFill="accent6" w:themeFillTint="66"/>
          </w:tcPr>
          <w:p w14:paraId="4D91A288" w14:textId="77777777" w:rsidR="000531C6" w:rsidRPr="00875A1B" w:rsidRDefault="000531C6" w:rsidP="000071E8">
            <w:pPr>
              <w:spacing w:after="120" w:line="240" w:lineRule="auto"/>
              <w:rPr>
                <w:rFonts w:ascii="ITC Avant Garde" w:hAnsi="ITC Avant Garde"/>
                <w:sz w:val="18"/>
                <w:szCs w:val="18"/>
              </w:rPr>
            </w:pPr>
          </w:p>
        </w:tc>
        <w:tc>
          <w:tcPr>
            <w:tcW w:w="1559" w:type="dxa"/>
            <w:vMerge/>
            <w:shd w:val="clear" w:color="auto" w:fill="C5E0B3" w:themeFill="accent6" w:themeFillTint="66"/>
          </w:tcPr>
          <w:p w14:paraId="67150B34" w14:textId="77777777" w:rsidR="000531C6" w:rsidRPr="00875A1B" w:rsidRDefault="000531C6" w:rsidP="000071E8">
            <w:pPr>
              <w:spacing w:after="120" w:line="240" w:lineRule="auto"/>
              <w:jc w:val="center"/>
              <w:rPr>
                <w:rFonts w:ascii="ITC Avant Garde" w:hAnsi="ITC Avant Garde"/>
                <w:sz w:val="18"/>
                <w:szCs w:val="18"/>
              </w:rPr>
            </w:pPr>
          </w:p>
        </w:tc>
        <w:tc>
          <w:tcPr>
            <w:tcW w:w="6531" w:type="dxa"/>
            <w:shd w:val="clear" w:color="auto" w:fill="C5E0B3" w:themeFill="accent6" w:themeFillTint="66"/>
          </w:tcPr>
          <w:p w14:paraId="2D5BB4E4" w14:textId="77777777" w:rsidR="000531C6" w:rsidRPr="00E64759" w:rsidRDefault="000531C6" w:rsidP="000071E8">
            <w:pPr>
              <w:spacing w:after="120" w:line="240" w:lineRule="auto"/>
              <w:jc w:val="both"/>
              <w:rPr>
                <w:rFonts w:ascii="ITC Avant Garde" w:hAnsi="ITC Avant Garde"/>
                <w:sz w:val="18"/>
                <w:szCs w:val="18"/>
              </w:rPr>
            </w:pPr>
            <w:r w:rsidRPr="00E64759">
              <w:rPr>
                <w:rFonts w:ascii="ITC Avant Garde" w:hAnsi="ITC Avant Garde"/>
                <w:sz w:val="18"/>
                <w:szCs w:val="18"/>
              </w:rPr>
              <w:t xml:space="preserve">Especificar a partir de cuándo se debe tener por realizada la notificación, si una vez que se encuentre disponible en el SEPDAI o hasta en tanto se notifique personalmente. </w:t>
            </w:r>
          </w:p>
        </w:tc>
      </w:tr>
      <w:tr w:rsidR="000531C6" w:rsidRPr="00875A1B" w14:paraId="2F03B6B4" w14:textId="77777777" w:rsidTr="00C43007">
        <w:tc>
          <w:tcPr>
            <w:tcW w:w="1980" w:type="dxa"/>
            <w:vMerge/>
            <w:shd w:val="clear" w:color="auto" w:fill="C5E0B3" w:themeFill="accent6" w:themeFillTint="66"/>
          </w:tcPr>
          <w:p w14:paraId="0F2AE2AA" w14:textId="77777777" w:rsidR="000531C6" w:rsidRPr="00875A1B" w:rsidRDefault="000531C6" w:rsidP="000071E8">
            <w:pPr>
              <w:spacing w:after="120" w:line="240" w:lineRule="auto"/>
              <w:rPr>
                <w:rFonts w:ascii="ITC Avant Garde" w:hAnsi="ITC Avant Garde"/>
                <w:sz w:val="18"/>
                <w:szCs w:val="18"/>
              </w:rPr>
            </w:pPr>
          </w:p>
        </w:tc>
        <w:tc>
          <w:tcPr>
            <w:tcW w:w="1559" w:type="dxa"/>
            <w:vMerge/>
            <w:shd w:val="clear" w:color="auto" w:fill="C5E0B3" w:themeFill="accent6" w:themeFillTint="66"/>
          </w:tcPr>
          <w:p w14:paraId="7B4644AF" w14:textId="77777777" w:rsidR="000531C6" w:rsidRPr="00875A1B" w:rsidRDefault="000531C6" w:rsidP="000071E8">
            <w:pPr>
              <w:spacing w:after="120" w:line="240" w:lineRule="auto"/>
              <w:jc w:val="center"/>
              <w:rPr>
                <w:rFonts w:ascii="ITC Avant Garde" w:hAnsi="ITC Avant Garde"/>
                <w:sz w:val="18"/>
                <w:szCs w:val="18"/>
              </w:rPr>
            </w:pPr>
          </w:p>
        </w:tc>
        <w:tc>
          <w:tcPr>
            <w:tcW w:w="6531" w:type="dxa"/>
            <w:shd w:val="clear" w:color="auto" w:fill="C5E0B3" w:themeFill="accent6" w:themeFillTint="66"/>
          </w:tcPr>
          <w:p w14:paraId="51C5DEDD" w14:textId="77777777" w:rsidR="000531C6" w:rsidRPr="00E64759" w:rsidRDefault="000531C6" w:rsidP="000071E8">
            <w:pPr>
              <w:spacing w:after="120" w:line="240" w:lineRule="auto"/>
              <w:jc w:val="both"/>
              <w:rPr>
                <w:rFonts w:ascii="ITC Avant Garde" w:hAnsi="ITC Avant Garde"/>
                <w:sz w:val="18"/>
                <w:szCs w:val="18"/>
              </w:rPr>
            </w:pPr>
            <w:r w:rsidRPr="00E64759">
              <w:rPr>
                <w:rFonts w:ascii="ITC Avant Garde" w:hAnsi="ITC Avant Garde"/>
                <w:sz w:val="18"/>
                <w:szCs w:val="18"/>
              </w:rPr>
              <w:t>No existe certeza de los horarios en que estarán disponibles los archivos en el SEPDAI por lo que se debería prever un mecanismo por el cual emita al denunciante una constancia de notificación al momento de que éste descargue el acuerdo objeto de notificación, indicando el día y hora en el cual se tuvo por notificado.</w:t>
            </w:r>
          </w:p>
        </w:tc>
      </w:tr>
      <w:tr w:rsidR="000531C6" w:rsidRPr="00875A1B" w14:paraId="48FB37DA" w14:textId="77777777" w:rsidTr="00C43007">
        <w:tc>
          <w:tcPr>
            <w:tcW w:w="1980" w:type="dxa"/>
            <w:vMerge/>
            <w:shd w:val="clear" w:color="auto" w:fill="C5E0B3" w:themeFill="accent6" w:themeFillTint="66"/>
          </w:tcPr>
          <w:p w14:paraId="3C84D8E1" w14:textId="77777777" w:rsidR="000531C6" w:rsidRPr="00875A1B" w:rsidRDefault="000531C6" w:rsidP="000071E8">
            <w:pPr>
              <w:spacing w:after="120" w:line="240" w:lineRule="auto"/>
              <w:rPr>
                <w:rFonts w:ascii="ITC Avant Garde" w:hAnsi="ITC Avant Garde"/>
                <w:sz w:val="18"/>
                <w:szCs w:val="18"/>
              </w:rPr>
            </w:pPr>
          </w:p>
        </w:tc>
        <w:tc>
          <w:tcPr>
            <w:tcW w:w="1559" w:type="dxa"/>
            <w:vMerge/>
            <w:shd w:val="clear" w:color="auto" w:fill="C5E0B3" w:themeFill="accent6" w:themeFillTint="66"/>
          </w:tcPr>
          <w:p w14:paraId="4F810023" w14:textId="77777777" w:rsidR="000531C6" w:rsidRPr="00405D09" w:rsidRDefault="000531C6" w:rsidP="000071E8">
            <w:pPr>
              <w:spacing w:after="120" w:line="240" w:lineRule="auto"/>
              <w:jc w:val="center"/>
              <w:rPr>
                <w:rFonts w:ascii="ITC Avant Garde" w:hAnsi="ITC Avant Garde"/>
                <w:sz w:val="18"/>
                <w:szCs w:val="18"/>
                <w:highlight w:val="green"/>
              </w:rPr>
            </w:pPr>
          </w:p>
        </w:tc>
        <w:tc>
          <w:tcPr>
            <w:tcW w:w="6531" w:type="dxa"/>
            <w:shd w:val="clear" w:color="auto" w:fill="C5E0B3" w:themeFill="accent6" w:themeFillTint="66"/>
          </w:tcPr>
          <w:p w14:paraId="22EF14BC" w14:textId="77777777" w:rsidR="000531C6" w:rsidRPr="00E64759" w:rsidRDefault="000531C6" w:rsidP="000071E8">
            <w:pPr>
              <w:spacing w:after="120" w:line="240" w:lineRule="auto"/>
              <w:jc w:val="both"/>
              <w:rPr>
                <w:rFonts w:ascii="ITC Avant Garde" w:hAnsi="ITC Avant Garde"/>
                <w:sz w:val="18"/>
                <w:szCs w:val="18"/>
              </w:rPr>
            </w:pPr>
            <w:r w:rsidRPr="00E64759">
              <w:rPr>
                <w:rFonts w:ascii="ITC Avant Garde" w:hAnsi="ITC Avant Garde"/>
                <w:sz w:val="18"/>
                <w:szCs w:val="18"/>
              </w:rPr>
              <w:t>Se sugiere una propuesta de redacción al artículo 9 del Anteproyecto de Lineamientos.</w:t>
            </w:r>
          </w:p>
        </w:tc>
      </w:tr>
      <w:tr w:rsidR="000531C6" w:rsidRPr="00875A1B" w14:paraId="1CE2A43D" w14:textId="77777777" w:rsidTr="00C43007">
        <w:tc>
          <w:tcPr>
            <w:tcW w:w="1980" w:type="dxa"/>
            <w:vMerge/>
            <w:shd w:val="clear" w:color="auto" w:fill="C5E0B3" w:themeFill="accent6" w:themeFillTint="66"/>
          </w:tcPr>
          <w:p w14:paraId="689A91F1" w14:textId="77777777" w:rsidR="000531C6" w:rsidRPr="00875A1B" w:rsidRDefault="000531C6" w:rsidP="000071E8">
            <w:pPr>
              <w:spacing w:after="120" w:line="240" w:lineRule="auto"/>
              <w:rPr>
                <w:rFonts w:ascii="ITC Avant Garde" w:hAnsi="ITC Avant Garde"/>
                <w:sz w:val="18"/>
                <w:szCs w:val="18"/>
              </w:rPr>
            </w:pPr>
          </w:p>
        </w:tc>
        <w:tc>
          <w:tcPr>
            <w:tcW w:w="1559" w:type="dxa"/>
            <w:vMerge/>
            <w:shd w:val="clear" w:color="auto" w:fill="C5E0B3" w:themeFill="accent6" w:themeFillTint="66"/>
          </w:tcPr>
          <w:p w14:paraId="0CDDAC09" w14:textId="77777777" w:rsidR="000531C6" w:rsidRPr="00875A1B" w:rsidRDefault="000531C6" w:rsidP="000071E8">
            <w:pPr>
              <w:spacing w:after="120" w:line="240" w:lineRule="auto"/>
              <w:jc w:val="center"/>
              <w:rPr>
                <w:rFonts w:ascii="ITC Avant Garde" w:hAnsi="ITC Avant Garde"/>
                <w:sz w:val="18"/>
                <w:szCs w:val="18"/>
              </w:rPr>
            </w:pPr>
          </w:p>
        </w:tc>
        <w:tc>
          <w:tcPr>
            <w:tcW w:w="6531" w:type="dxa"/>
            <w:shd w:val="clear" w:color="auto" w:fill="C5E0B3" w:themeFill="accent6" w:themeFillTint="66"/>
          </w:tcPr>
          <w:p w14:paraId="2F1D94CF" w14:textId="77777777" w:rsidR="000531C6" w:rsidRPr="00E64759" w:rsidRDefault="000531C6" w:rsidP="000071E8">
            <w:pPr>
              <w:spacing w:after="120" w:line="240" w:lineRule="auto"/>
              <w:jc w:val="both"/>
              <w:rPr>
                <w:rFonts w:ascii="ITC Avant Garde" w:hAnsi="ITC Avant Garde"/>
                <w:sz w:val="18"/>
                <w:szCs w:val="18"/>
              </w:rPr>
            </w:pPr>
            <w:r w:rsidRPr="00E64759">
              <w:rPr>
                <w:rFonts w:ascii="ITC Avant Garde" w:hAnsi="ITC Avant Garde"/>
                <w:sz w:val="18"/>
                <w:szCs w:val="18"/>
              </w:rPr>
              <w:t>La previsión para las notificaciones y el surtimiento de efectos a través del SEPDAI, no tiene sustento jurídico, por lo que podría generar nulidad de las actuaciones.</w:t>
            </w:r>
          </w:p>
        </w:tc>
      </w:tr>
      <w:tr w:rsidR="000531C6" w:rsidRPr="00875A1B" w14:paraId="2541E5C5" w14:textId="77777777" w:rsidTr="00C43007">
        <w:tc>
          <w:tcPr>
            <w:tcW w:w="1980" w:type="dxa"/>
            <w:vMerge/>
            <w:shd w:val="clear" w:color="auto" w:fill="C5E0B3" w:themeFill="accent6" w:themeFillTint="66"/>
          </w:tcPr>
          <w:p w14:paraId="3DC3863C" w14:textId="77777777" w:rsidR="000531C6" w:rsidRPr="00875A1B" w:rsidRDefault="000531C6" w:rsidP="000071E8">
            <w:pPr>
              <w:spacing w:after="120" w:line="240" w:lineRule="auto"/>
              <w:rPr>
                <w:rFonts w:ascii="ITC Avant Garde" w:hAnsi="ITC Avant Garde"/>
                <w:sz w:val="18"/>
                <w:szCs w:val="18"/>
              </w:rPr>
            </w:pPr>
          </w:p>
        </w:tc>
        <w:tc>
          <w:tcPr>
            <w:tcW w:w="1559" w:type="dxa"/>
            <w:vMerge/>
            <w:shd w:val="clear" w:color="auto" w:fill="C5E0B3" w:themeFill="accent6" w:themeFillTint="66"/>
          </w:tcPr>
          <w:p w14:paraId="11018FFB" w14:textId="77777777" w:rsidR="000531C6" w:rsidRPr="00875A1B" w:rsidRDefault="000531C6" w:rsidP="000071E8">
            <w:pPr>
              <w:spacing w:after="120" w:line="240" w:lineRule="auto"/>
              <w:jc w:val="center"/>
              <w:rPr>
                <w:rFonts w:ascii="ITC Avant Garde" w:hAnsi="ITC Avant Garde"/>
                <w:sz w:val="18"/>
                <w:szCs w:val="18"/>
              </w:rPr>
            </w:pPr>
          </w:p>
        </w:tc>
        <w:tc>
          <w:tcPr>
            <w:tcW w:w="6531" w:type="dxa"/>
            <w:shd w:val="clear" w:color="auto" w:fill="C5E0B3" w:themeFill="accent6" w:themeFillTint="66"/>
          </w:tcPr>
          <w:p w14:paraId="03FD3E0B" w14:textId="77777777" w:rsidR="000531C6" w:rsidRPr="00E64759" w:rsidRDefault="000531C6" w:rsidP="000071E8">
            <w:pPr>
              <w:spacing w:after="120" w:line="240" w:lineRule="auto"/>
              <w:jc w:val="both"/>
              <w:rPr>
                <w:rFonts w:ascii="ITC Avant Garde" w:hAnsi="ITC Avant Garde"/>
                <w:sz w:val="18"/>
                <w:szCs w:val="18"/>
              </w:rPr>
            </w:pPr>
            <w:r w:rsidRPr="00E64759">
              <w:rPr>
                <w:rFonts w:ascii="ITC Avant Garde" w:hAnsi="ITC Avant Garde"/>
                <w:sz w:val="18"/>
                <w:szCs w:val="18"/>
              </w:rPr>
              <w:t>Debería precisarse que el plazo “</w:t>
            </w:r>
            <w:r w:rsidRPr="007234B6">
              <w:rPr>
                <w:rFonts w:ascii="ITC Avant Garde" w:hAnsi="ITC Avant Garde"/>
                <w:i/>
                <w:sz w:val="18"/>
                <w:szCs w:val="18"/>
              </w:rPr>
              <w:t>es de 15 días</w:t>
            </w:r>
            <w:r w:rsidRPr="00E64759">
              <w:rPr>
                <w:rFonts w:ascii="ITC Avant Garde" w:hAnsi="ITC Avant Garde"/>
                <w:sz w:val="18"/>
                <w:szCs w:val="18"/>
              </w:rPr>
              <w:t>”, pues de subsistir la redacción propuesta, la autoridad podría arbitrariamente otorgar cuantos días determinara y que no fueran suficientes para el desahogo, para lo cual se propone redacción.</w:t>
            </w:r>
          </w:p>
        </w:tc>
      </w:tr>
      <w:tr w:rsidR="000531C6" w:rsidRPr="00875A1B" w14:paraId="3C6EFA6D" w14:textId="77777777" w:rsidTr="00C43007">
        <w:tc>
          <w:tcPr>
            <w:tcW w:w="1980" w:type="dxa"/>
            <w:vMerge/>
            <w:shd w:val="clear" w:color="auto" w:fill="C5E0B3" w:themeFill="accent6" w:themeFillTint="66"/>
          </w:tcPr>
          <w:p w14:paraId="6C186BC3" w14:textId="77777777" w:rsidR="000531C6" w:rsidRPr="00875A1B" w:rsidRDefault="000531C6" w:rsidP="000071E8">
            <w:pPr>
              <w:spacing w:after="120" w:line="240" w:lineRule="auto"/>
              <w:rPr>
                <w:rFonts w:ascii="ITC Avant Garde" w:hAnsi="ITC Avant Garde"/>
                <w:sz w:val="18"/>
                <w:szCs w:val="18"/>
              </w:rPr>
            </w:pPr>
          </w:p>
        </w:tc>
        <w:tc>
          <w:tcPr>
            <w:tcW w:w="1559" w:type="dxa"/>
            <w:vMerge/>
            <w:shd w:val="clear" w:color="auto" w:fill="C5E0B3" w:themeFill="accent6" w:themeFillTint="66"/>
          </w:tcPr>
          <w:p w14:paraId="7FEB16B1" w14:textId="77777777" w:rsidR="000531C6" w:rsidRPr="00875A1B" w:rsidRDefault="000531C6" w:rsidP="000071E8">
            <w:pPr>
              <w:spacing w:after="120" w:line="240" w:lineRule="auto"/>
              <w:jc w:val="center"/>
              <w:rPr>
                <w:rFonts w:ascii="ITC Avant Garde" w:hAnsi="ITC Avant Garde"/>
                <w:sz w:val="18"/>
                <w:szCs w:val="18"/>
              </w:rPr>
            </w:pPr>
          </w:p>
        </w:tc>
        <w:tc>
          <w:tcPr>
            <w:tcW w:w="6531" w:type="dxa"/>
            <w:shd w:val="clear" w:color="auto" w:fill="C5E0B3" w:themeFill="accent6" w:themeFillTint="66"/>
          </w:tcPr>
          <w:p w14:paraId="78D27211" w14:textId="77777777" w:rsidR="000531C6" w:rsidRPr="00E64759" w:rsidRDefault="000531C6" w:rsidP="000071E8">
            <w:pPr>
              <w:spacing w:after="120" w:line="240" w:lineRule="auto"/>
              <w:jc w:val="both"/>
              <w:rPr>
                <w:rFonts w:ascii="ITC Avant Garde" w:hAnsi="ITC Avant Garde"/>
                <w:sz w:val="18"/>
                <w:szCs w:val="18"/>
              </w:rPr>
            </w:pPr>
            <w:r w:rsidRPr="00E64759">
              <w:rPr>
                <w:rFonts w:ascii="ITC Avant Garde" w:hAnsi="ITC Avant Garde"/>
                <w:sz w:val="18"/>
                <w:szCs w:val="18"/>
              </w:rPr>
              <w:t xml:space="preserve">No se prevé plazo para que la autoridad investigadora emita orden de inicio de investigación, deseche la denuncia o prevenga al denunciante conforme al artículo 69 de la LFCE. </w:t>
            </w:r>
          </w:p>
        </w:tc>
      </w:tr>
      <w:tr w:rsidR="000531C6" w:rsidRPr="00875A1B" w14:paraId="19E63905" w14:textId="77777777" w:rsidTr="00C43007">
        <w:tc>
          <w:tcPr>
            <w:tcW w:w="1980" w:type="dxa"/>
            <w:vMerge/>
            <w:shd w:val="clear" w:color="auto" w:fill="C5E0B3" w:themeFill="accent6" w:themeFillTint="66"/>
          </w:tcPr>
          <w:p w14:paraId="0889F201" w14:textId="77777777" w:rsidR="000531C6" w:rsidRPr="00875A1B" w:rsidRDefault="000531C6" w:rsidP="000071E8">
            <w:pPr>
              <w:spacing w:after="120" w:line="240" w:lineRule="auto"/>
              <w:rPr>
                <w:rFonts w:ascii="ITC Avant Garde" w:hAnsi="ITC Avant Garde"/>
                <w:sz w:val="18"/>
                <w:szCs w:val="18"/>
              </w:rPr>
            </w:pPr>
          </w:p>
        </w:tc>
        <w:tc>
          <w:tcPr>
            <w:tcW w:w="1559" w:type="dxa"/>
            <w:vMerge/>
            <w:shd w:val="clear" w:color="auto" w:fill="C5E0B3" w:themeFill="accent6" w:themeFillTint="66"/>
          </w:tcPr>
          <w:p w14:paraId="2F15D200" w14:textId="77777777" w:rsidR="000531C6" w:rsidRPr="00875A1B" w:rsidRDefault="000531C6" w:rsidP="000071E8">
            <w:pPr>
              <w:spacing w:after="120" w:line="240" w:lineRule="auto"/>
              <w:jc w:val="center"/>
              <w:rPr>
                <w:rFonts w:ascii="ITC Avant Garde" w:hAnsi="ITC Avant Garde"/>
                <w:sz w:val="18"/>
                <w:szCs w:val="18"/>
              </w:rPr>
            </w:pPr>
          </w:p>
        </w:tc>
        <w:tc>
          <w:tcPr>
            <w:tcW w:w="6531" w:type="dxa"/>
            <w:shd w:val="clear" w:color="auto" w:fill="C5E0B3" w:themeFill="accent6" w:themeFillTint="66"/>
          </w:tcPr>
          <w:p w14:paraId="73262855" w14:textId="77777777" w:rsidR="000531C6" w:rsidRPr="00E64759" w:rsidRDefault="000531C6" w:rsidP="000071E8">
            <w:pPr>
              <w:spacing w:after="120" w:line="240" w:lineRule="auto"/>
              <w:jc w:val="both"/>
              <w:rPr>
                <w:rFonts w:ascii="ITC Avant Garde" w:hAnsi="ITC Avant Garde"/>
                <w:sz w:val="18"/>
                <w:szCs w:val="18"/>
              </w:rPr>
            </w:pPr>
            <w:r w:rsidRPr="00E64759">
              <w:rPr>
                <w:rFonts w:ascii="ITC Avant Garde" w:hAnsi="ITC Avant Garde"/>
                <w:sz w:val="18"/>
                <w:szCs w:val="18"/>
              </w:rPr>
              <w:t>Se sugiere señalar el fundamento para solicitar y conceder la ampliación del plazo.</w:t>
            </w:r>
          </w:p>
        </w:tc>
      </w:tr>
      <w:tr w:rsidR="000531C6" w:rsidRPr="00875A1B" w14:paraId="6BAF55D6" w14:textId="77777777" w:rsidTr="00C43007">
        <w:tc>
          <w:tcPr>
            <w:tcW w:w="1980" w:type="dxa"/>
            <w:vMerge/>
            <w:shd w:val="clear" w:color="auto" w:fill="C5E0B3" w:themeFill="accent6" w:themeFillTint="66"/>
          </w:tcPr>
          <w:p w14:paraId="30263D46" w14:textId="77777777" w:rsidR="000531C6" w:rsidRPr="00875A1B" w:rsidRDefault="000531C6" w:rsidP="000071E8">
            <w:pPr>
              <w:spacing w:after="120" w:line="240" w:lineRule="auto"/>
              <w:rPr>
                <w:rFonts w:ascii="ITC Avant Garde" w:hAnsi="ITC Avant Garde"/>
                <w:sz w:val="18"/>
                <w:szCs w:val="18"/>
              </w:rPr>
            </w:pPr>
          </w:p>
        </w:tc>
        <w:tc>
          <w:tcPr>
            <w:tcW w:w="1559" w:type="dxa"/>
            <w:vMerge/>
            <w:shd w:val="clear" w:color="auto" w:fill="C5E0B3" w:themeFill="accent6" w:themeFillTint="66"/>
          </w:tcPr>
          <w:p w14:paraId="460972B5" w14:textId="77777777" w:rsidR="000531C6" w:rsidRPr="00875A1B" w:rsidRDefault="000531C6" w:rsidP="000071E8">
            <w:pPr>
              <w:spacing w:after="120" w:line="240" w:lineRule="auto"/>
              <w:jc w:val="center"/>
              <w:rPr>
                <w:rFonts w:ascii="ITC Avant Garde" w:hAnsi="ITC Avant Garde"/>
                <w:sz w:val="18"/>
                <w:szCs w:val="18"/>
              </w:rPr>
            </w:pPr>
          </w:p>
        </w:tc>
        <w:tc>
          <w:tcPr>
            <w:tcW w:w="6531" w:type="dxa"/>
            <w:shd w:val="clear" w:color="auto" w:fill="C5E0B3" w:themeFill="accent6" w:themeFillTint="66"/>
          </w:tcPr>
          <w:p w14:paraId="73826025" w14:textId="77777777" w:rsidR="000531C6" w:rsidRPr="00E64759" w:rsidRDefault="000531C6" w:rsidP="000071E8">
            <w:pPr>
              <w:spacing w:after="120" w:line="240" w:lineRule="auto"/>
              <w:jc w:val="both"/>
              <w:rPr>
                <w:rFonts w:ascii="ITC Avant Garde" w:hAnsi="ITC Avant Garde"/>
                <w:sz w:val="18"/>
                <w:szCs w:val="18"/>
              </w:rPr>
            </w:pPr>
            <w:r w:rsidRPr="00E64759">
              <w:rPr>
                <w:rFonts w:ascii="ITC Avant Garde" w:hAnsi="ITC Avant Garde"/>
                <w:sz w:val="18"/>
                <w:szCs w:val="18"/>
              </w:rPr>
              <w:t>Debería ser la misma información a la que se refiere el artículo 6 del proyecto.</w:t>
            </w:r>
          </w:p>
        </w:tc>
      </w:tr>
      <w:tr w:rsidR="000531C6" w:rsidRPr="00875A1B" w14:paraId="436C2CEB" w14:textId="77777777" w:rsidTr="00C43007">
        <w:tc>
          <w:tcPr>
            <w:tcW w:w="1980" w:type="dxa"/>
            <w:vMerge/>
            <w:shd w:val="clear" w:color="auto" w:fill="C5E0B3" w:themeFill="accent6" w:themeFillTint="66"/>
          </w:tcPr>
          <w:p w14:paraId="407CF03F" w14:textId="77777777" w:rsidR="000531C6" w:rsidRPr="00875A1B" w:rsidRDefault="000531C6" w:rsidP="000071E8">
            <w:pPr>
              <w:spacing w:after="120" w:line="240" w:lineRule="auto"/>
              <w:rPr>
                <w:rFonts w:ascii="ITC Avant Garde" w:hAnsi="ITC Avant Garde"/>
                <w:sz w:val="18"/>
                <w:szCs w:val="18"/>
              </w:rPr>
            </w:pPr>
          </w:p>
        </w:tc>
        <w:tc>
          <w:tcPr>
            <w:tcW w:w="1559" w:type="dxa"/>
            <w:vMerge/>
            <w:shd w:val="clear" w:color="auto" w:fill="C5E0B3" w:themeFill="accent6" w:themeFillTint="66"/>
          </w:tcPr>
          <w:p w14:paraId="14198452" w14:textId="77777777" w:rsidR="000531C6" w:rsidRPr="00875A1B" w:rsidRDefault="000531C6" w:rsidP="000071E8">
            <w:pPr>
              <w:spacing w:after="120" w:line="240" w:lineRule="auto"/>
              <w:jc w:val="center"/>
              <w:rPr>
                <w:rFonts w:ascii="ITC Avant Garde" w:hAnsi="ITC Avant Garde"/>
                <w:sz w:val="18"/>
                <w:szCs w:val="18"/>
              </w:rPr>
            </w:pPr>
          </w:p>
        </w:tc>
        <w:tc>
          <w:tcPr>
            <w:tcW w:w="6531" w:type="dxa"/>
            <w:shd w:val="clear" w:color="auto" w:fill="C5E0B3" w:themeFill="accent6" w:themeFillTint="66"/>
          </w:tcPr>
          <w:p w14:paraId="31F5F2B1" w14:textId="77777777" w:rsidR="000531C6" w:rsidRPr="00E64759" w:rsidRDefault="000531C6" w:rsidP="000071E8">
            <w:pPr>
              <w:spacing w:after="120" w:line="240" w:lineRule="auto"/>
              <w:jc w:val="both"/>
              <w:rPr>
                <w:rFonts w:ascii="ITC Avant Garde" w:hAnsi="ITC Avant Garde"/>
                <w:sz w:val="18"/>
                <w:szCs w:val="18"/>
              </w:rPr>
            </w:pPr>
            <w:r w:rsidRPr="00E64759">
              <w:rPr>
                <w:rFonts w:ascii="ITC Avant Garde" w:hAnsi="ITC Avant Garde"/>
                <w:sz w:val="18"/>
                <w:szCs w:val="18"/>
              </w:rPr>
              <w:t>Adicionar fecha del acuerdo y número de acuerdo, mismo que deberá estar referido en el acuse de recepción del acuerdo.</w:t>
            </w:r>
          </w:p>
        </w:tc>
      </w:tr>
      <w:tr w:rsidR="000531C6" w:rsidRPr="00875A1B" w14:paraId="5B09382E" w14:textId="77777777" w:rsidTr="00C43007">
        <w:tc>
          <w:tcPr>
            <w:tcW w:w="1980" w:type="dxa"/>
            <w:vMerge/>
            <w:shd w:val="clear" w:color="auto" w:fill="C5E0B3" w:themeFill="accent6" w:themeFillTint="66"/>
          </w:tcPr>
          <w:p w14:paraId="28040B30" w14:textId="77777777" w:rsidR="000531C6" w:rsidRPr="00875A1B" w:rsidRDefault="000531C6" w:rsidP="000071E8">
            <w:pPr>
              <w:spacing w:after="120" w:line="240" w:lineRule="auto"/>
              <w:rPr>
                <w:rFonts w:ascii="ITC Avant Garde" w:hAnsi="ITC Avant Garde"/>
                <w:sz w:val="18"/>
                <w:szCs w:val="18"/>
              </w:rPr>
            </w:pPr>
          </w:p>
        </w:tc>
        <w:tc>
          <w:tcPr>
            <w:tcW w:w="1559" w:type="dxa"/>
            <w:vMerge/>
            <w:shd w:val="clear" w:color="auto" w:fill="C5E0B3" w:themeFill="accent6" w:themeFillTint="66"/>
          </w:tcPr>
          <w:p w14:paraId="3E2E05C8" w14:textId="77777777" w:rsidR="000531C6" w:rsidRPr="00875A1B" w:rsidRDefault="000531C6" w:rsidP="000071E8">
            <w:pPr>
              <w:spacing w:after="120" w:line="240" w:lineRule="auto"/>
              <w:jc w:val="center"/>
              <w:rPr>
                <w:rFonts w:ascii="ITC Avant Garde" w:hAnsi="ITC Avant Garde"/>
                <w:sz w:val="18"/>
                <w:szCs w:val="18"/>
              </w:rPr>
            </w:pPr>
          </w:p>
        </w:tc>
        <w:tc>
          <w:tcPr>
            <w:tcW w:w="6531" w:type="dxa"/>
            <w:shd w:val="clear" w:color="auto" w:fill="C5E0B3" w:themeFill="accent6" w:themeFillTint="66"/>
          </w:tcPr>
          <w:p w14:paraId="06A09F3A" w14:textId="77777777" w:rsidR="000531C6" w:rsidRPr="00E64759" w:rsidRDefault="000531C6" w:rsidP="000071E8">
            <w:pPr>
              <w:spacing w:after="120" w:line="240" w:lineRule="auto"/>
              <w:jc w:val="both"/>
              <w:rPr>
                <w:rFonts w:ascii="ITC Avant Garde" w:hAnsi="ITC Avant Garde"/>
                <w:sz w:val="18"/>
                <w:szCs w:val="18"/>
              </w:rPr>
            </w:pPr>
            <w:r w:rsidRPr="00E64759">
              <w:rPr>
                <w:rFonts w:ascii="ITC Avant Garde" w:hAnsi="ITC Avant Garde"/>
                <w:sz w:val="18"/>
                <w:szCs w:val="18"/>
              </w:rPr>
              <w:t>Precisar que el sistema estará en funcionamiento y “</w:t>
            </w:r>
            <w:r w:rsidRPr="007234B6">
              <w:rPr>
                <w:rFonts w:ascii="ITC Avant Garde" w:hAnsi="ITC Avant Garde"/>
                <w:i/>
                <w:sz w:val="18"/>
                <w:szCs w:val="18"/>
              </w:rPr>
              <w:t>podrán ingresar quienes hayan gestionado su acceso</w:t>
            </w:r>
            <w:r w:rsidRPr="00E64759">
              <w:rPr>
                <w:rFonts w:ascii="ITC Avant Garde" w:hAnsi="ITC Avant Garde"/>
                <w:sz w:val="18"/>
                <w:szCs w:val="18"/>
              </w:rPr>
              <w:t>” incluso en días y horas inhábiles del Instituto.</w:t>
            </w:r>
          </w:p>
        </w:tc>
      </w:tr>
      <w:tr w:rsidR="000531C6" w:rsidRPr="00875A1B" w14:paraId="13BC2697" w14:textId="77777777" w:rsidTr="00C43007">
        <w:tc>
          <w:tcPr>
            <w:tcW w:w="1980" w:type="dxa"/>
            <w:vMerge/>
            <w:shd w:val="clear" w:color="auto" w:fill="C5E0B3" w:themeFill="accent6" w:themeFillTint="66"/>
          </w:tcPr>
          <w:p w14:paraId="0BBD1AD3" w14:textId="77777777" w:rsidR="000531C6" w:rsidRPr="00875A1B" w:rsidRDefault="000531C6" w:rsidP="000071E8">
            <w:pPr>
              <w:spacing w:after="120" w:line="240" w:lineRule="auto"/>
              <w:rPr>
                <w:rFonts w:ascii="ITC Avant Garde" w:hAnsi="ITC Avant Garde"/>
                <w:sz w:val="18"/>
                <w:szCs w:val="18"/>
              </w:rPr>
            </w:pPr>
          </w:p>
        </w:tc>
        <w:tc>
          <w:tcPr>
            <w:tcW w:w="1559" w:type="dxa"/>
            <w:vMerge/>
            <w:shd w:val="clear" w:color="auto" w:fill="C5E0B3" w:themeFill="accent6" w:themeFillTint="66"/>
          </w:tcPr>
          <w:p w14:paraId="70BAC985" w14:textId="77777777" w:rsidR="000531C6" w:rsidRPr="00877343" w:rsidRDefault="000531C6" w:rsidP="000071E8">
            <w:pPr>
              <w:spacing w:after="120" w:line="240" w:lineRule="auto"/>
              <w:jc w:val="center"/>
              <w:rPr>
                <w:rFonts w:ascii="ITC Avant Garde" w:hAnsi="ITC Avant Garde"/>
                <w:sz w:val="18"/>
                <w:szCs w:val="18"/>
                <w:highlight w:val="green"/>
              </w:rPr>
            </w:pPr>
          </w:p>
        </w:tc>
        <w:tc>
          <w:tcPr>
            <w:tcW w:w="6531" w:type="dxa"/>
            <w:shd w:val="clear" w:color="auto" w:fill="C5E0B3" w:themeFill="accent6" w:themeFillTint="66"/>
          </w:tcPr>
          <w:p w14:paraId="48D1EE59" w14:textId="77777777" w:rsidR="000531C6" w:rsidRPr="00E64759" w:rsidRDefault="000531C6" w:rsidP="000071E8">
            <w:pPr>
              <w:spacing w:after="120" w:line="240" w:lineRule="auto"/>
              <w:jc w:val="both"/>
              <w:rPr>
                <w:rFonts w:ascii="ITC Avant Garde" w:hAnsi="ITC Avant Garde"/>
                <w:sz w:val="18"/>
                <w:szCs w:val="18"/>
              </w:rPr>
            </w:pPr>
            <w:r w:rsidRPr="00E64759">
              <w:rPr>
                <w:rFonts w:ascii="ITC Avant Garde" w:hAnsi="ITC Avant Garde"/>
                <w:sz w:val="18"/>
                <w:szCs w:val="18"/>
              </w:rPr>
              <w:t>Debería indicarse algún número de teléfono para preguntas y sugerencias en cuanto a las fallas del sistema, que sea permanente y consultable en todo momento.</w:t>
            </w:r>
          </w:p>
          <w:p w14:paraId="38B1B010" w14:textId="5DC02CBC" w:rsidR="000531C6" w:rsidRPr="00E64759" w:rsidRDefault="000531C6" w:rsidP="000071E8">
            <w:pPr>
              <w:spacing w:after="120" w:line="240" w:lineRule="auto"/>
              <w:jc w:val="both"/>
              <w:rPr>
                <w:rFonts w:ascii="ITC Avant Garde" w:hAnsi="ITC Avant Garde"/>
                <w:sz w:val="18"/>
                <w:szCs w:val="18"/>
              </w:rPr>
            </w:pPr>
            <w:r w:rsidRPr="00E64759">
              <w:rPr>
                <w:rFonts w:ascii="ITC Avant Garde" w:hAnsi="ITC Avant Garde"/>
                <w:sz w:val="18"/>
                <w:szCs w:val="18"/>
              </w:rPr>
              <w:t>Se sugiere aclarar que los días previstos en dicho artículo son días hábiles en términos del artí</w:t>
            </w:r>
            <w:r w:rsidR="007234B6">
              <w:rPr>
                <w:rFonts w:ascii="ITC Avant Garde" w:hAnsi="ITC Avant Garde"/>
                <w:sz w:val="18"/>
                <w:szCs w:val="18"/>
              </w:rPr>
              <w:t>culo 113 de la LFCE.</w:t>
            </w:r>
          </w:p>
        </w:tc>
      </w:tr>
      <w:tr w:rsidR="000531C6" w:rsidRPr="00875A1B" w14:paraId="427D9B77" w14:textId="77777777" w:rsidTr="00C43007">
        <w:tc>
          <w:tcPr>
            <w:tcW w:w="1980" w:type="dxa"/>
            <w:vMerge/>
            <w:shd w:val="clear" w:color="auto" w:fill="C5E0B3" w:themeFill="accent6" w:themeFillTint="66"/>
          </w:tcPr>
          <w:p w14:paraId="34211AFD" w14:textId="77777777" w:rsidR="000531C6" w:rsidRPr="00875A1B" w:rsidRDefault="000531C6" w:rsidP="000071E8">
            <w:pPr>
              <w:spacing w:after="120" w:line="240" w:lineRule="auto"/>
              <w:rPr>
                <w:rFonts w:ascii="ITC Avant Garde" w:hAnsi="ITC Avant Garde"/>
                <w:sz w:val="18"/>
                <w:szCs w:val="18"/>
              </w:rPr>
            </w:pPr>
          </w:p>
        </w:tc>
        <w:tc>
          <w:tcPr>
            <w:tcW w:w="1559" w:type="dxa"/>
            <w:vMerge/>
            <w:shd w:val="clear" w:color="auto" w:fill="C5E0B3" w:themeFill="accent6" w:themeFillTint="66"/>
          </w:tcPr>
          <w:p w14:paraId="75153539" w14:textId="77777777" w:rsidR="000531C6" w:rsidRPr="00875A1B" w:rsidRDefault="000531C6" w:rsidP="000071E8">
            <w:pPr>
              <w:spacing w:after="120" w:line="240" w:lineRule="auto"/>
              <w:jc w:val="center"/>
              <w:rPr>
                <w:rFonts w:ascii="ITC Avant Garde" w:hAnsi="ITC Avant Garde"/>
                <w:sz w:val="18"/>
                <w:szCs w:val="18"/>
              </w:rPr>
            </w:pPr>
          </w:p>
        </w:tc>
        <w:tc>
          <w:tcPr>
            <w:tcW w:w="6531" w:type="dxa"/>
            <w:shd w:val="clear" w:color="auto" w:fill="C5E0B3" w:themeFill="accent6" w:themeFillTint="66"/>
          </w:tcPr>
          <w:p w14:paraId="49A7B954" w14:textId="3B398CC4" w:rsidR="000531C6" w:rsidRPr="00E64759" w:rsidRDefault="000531C6" w:rsidP="000071E8">
            <w:pPr>
              <w:spacing w:after="120" w:line="240" w:lineRule="auto"/>
              <w:jc w:val="both"/>
              <w:rPr>
                <w:rFonts w:ascii="ITC Avant Garde" w:hAnsi="ITC Avant Garde"/>
                <w:sz w:val="18"/>
                <w:szCs w:val="18"/>
              </w:rPr>
            </w:pPr>
            <w:r w:rsidRPr="00E64759">
              <w:rPr>
                <w:rFonts w:ascii="ITC Avant Garde" w:hAnsi="ITC Avant Garde"/>
                <w:sz w:val="18"/>
                <w:szCs w:val="18"/>
              </w:rPr>
              <w:t>A fin de brindar seguridad jurídica al denunciante, se considera necesario establecer que el Instituto estará obligado a enviar un correo electrónico al denunciante en el que se deje constancia de la existencia de una falla en el SEPDAI, a fin de que el denunciante esté en posibilidad de contar con algún documento que le permita acreditar dicha circunstancia. En este sentido, se sugiere agregar algunas aclaraciones a la redacción del Anteproyecto</w:t>
            </w:r>
            <w:r w:rsidR="008318E6">
              <w:rPr>
                <w:rFonts w:ascii="ITC Avant Garde" w:hAnsi="ITC Avant Garde"/>
                <w:sz w:val="18"/>
                <w:szCs w:val="18"/>
              </w:rPr>
              <w:t xml:space="preserve"> de Lineamientos</w:t>
            </w:r>
            <w:r w:rsidRPr="00E64759">
              <w:rPr>
                <w:rFonts w:ascii="ITC Avant Garde" w:hAnsi="ITC Avant Garde"/>
                <w:sz w:val="18"/>
                <w:szCs w:val="18"/>
              </w:rPr>
              <w:t>.</w:t>
            </w:r>
          </w:p>
        </w:tc>
      </w:tr>
      <w:tr w:rsidR="000531C6" w:rsidRPr="00875A1B" w14:paraId="6C60DE48" w14:textId="77777777" w:rsidTr="00C43007">
        <w:tc>
          <w:tcPr>
            <w:tcW w:w="1980" w:type="dxa"/>
            <w:vMerge/>
            <w:shd w:val="clear" w:color="auto" w:fill="C5E0B3" w:themeFill="accent6" w:themeFillTint="66"/>
          </w:tcPr>
          <w:p w14:paraId="67C1F6CD" w14:textId="77777777" w:rsidR="000531C6" w:rsidRPr="00875A1B" w:rsidRDefault="000531C6" w:rsidP="000071E8">
            <w:pPr>
              <w:spacing w:after="120" w:line="240" w:lineRule="auto"/>
              <w:rPr>
                <w:rFonts w:ascii="ITC Avant Garde" w:hAnsi="ITC Avant Garde"/>
                <w:sz w:val="18"/>
                <w:szCs w:val="18"/>
              </w:rPr>
            </w:pPr>
          </w:p>
        </w:tc>
        <w:tc>
          <w:tcPr>
            <w:tcW w:w="1559" w:type="dxa"/>
            <w:vMerge/>
            <w:shd w:val="clear" w:color="auto" w:fill="C5E0B3" w:themeFill="accent6" w:themeFillTint="66"/>
          </w:tcPr>
          <w:p w14:paraId="1725F6C2" w14:textId="77777777" w:rsidR="000531C6" w:rsidRPr="00875A1B" w:rsidRDefault="000531C6" w:rsidP="000071E8">
            <w:pPr>
              <w:spacing w:after="120" w:line="240" w:lineRule="auto"/>
              <w:jc w:val="center"/>
              <w:rPr>
                <w:rFonts w:ascii="ITC Avant Garde" w:hAnsi="ITC Avant Garde"/>
                <w:sz w:val="18"/>
                <w:szCs w:val="18"/>
              </w:rPr>
            </w:pPr>
          </w:p>
        </w:tc>
        <w:tc>
          <w:tcPr>
            <w:tcW w:w="6531" w:type="dxa"/>
            <w:shd w:val="clear" w:color="auto" w:fill="C5E0B3" w:themeFill="accent6" w:themeFillTint="66"/>
          </w:tcPr>
          <w:p w14:paraId="2678339D" w14:textId="77777777" w:rsidR="000531C6" w:rsidRPr="00E64759" w:rsidRDefault="000531C6" w:rsidP="000071E8">
            <w:pPr>
              <w:spacing w:after="120" w:line="240" w:lineRule="auto"/>
              <w:jc w:val="both"/>
              <w:rPr>
                <w:rFonts w:ascii="ITC Avant Garde" w:hAnsi="ITC Avant Garde"/>
                <w:sz w:val="18"/>
                <w:szCs w:val="18"/>
              </w:rPr>
            </w:pPr>
            <w:r w:rsidRPr="00E64759">
              <w:rPr>
                <w:rFonts w:ascii="ITC Avant Garde" w:hAnsi="ITC Avant Garde"/>
                <w:sz w:val="18"/>
                <w:szCs w:val="18"/>
              </w:rPr>
              <w:t>Debe presentarse al día hábil siguiente. Tampoco se señala cuál es el plazo por el que el denunciante debe presentar la información en oficialía de partes común si persisten las fallas en el SEPDAI.</w:t>
            </w:r>
          </w:p>
        </w:tc>
      </w:tr>
      <w:tr w:rsidR="00E03511" w:rsidRPr="00875A1B" w14:paraId="10DDE120" w14:textId="77777777" w:rsidTr="00C43007">
        <w:tc>
          <w:tcPr>
            <w:tcW w:w="1980" w:type="dxa"/>
            <w:vMerge w:val="restart"/>
            <w:shd w:val="clear" w:color="auto" w:fill="E2EFD9" w:themeFill="accent6" w:themeFillTint="33"/>
          </w:tcPr>
          <w:p w14:paraId="5B3C5E99" w14:textId="77777777" w:rsidR="000531C6" w:rsidRPr="00875A1B" w:rsidRDefault="000531C6" w:rsidP="00C43007">
            <w:pPr>
              <w:spacing w:after="120" w:line="240" w:lineRule="auto"/>
              <w:jc w:val="both"/>
              <w:rPr>
                <w:rFonts w:ascii="ITC Avant Garde" w:hAnsi="ITC Avant Garde"/>
                <w:sz w:val="18"/>
                <w:szCs w:val="18"/>
              </w:rPr>
            </w:pPr>
            <w:r w:rsidRPr="00875A1B">
              <w:rPr>
                <w:rFonts w:ascii="ITC Avant Garde" w:hAnsi="ITC Avant Garde"/>
                <w:sz w:val="18"/>
                <w:szCs w:val="18"/>
              </w:rPr>
              <w:t>3. Título tercero. De la integración del expediente</w:t>
            </w:r>
          </w:p>
        </w:tc>
        <w:tc>
          <w:tcPr>
            <w:tcW w:w="1559" w:type="dxa"/>
            <w:vMerge w:val="restart"/>
            <w:shd w:val="clear" w:color="auto" w:fill="E2EFD9" w:themeFill="accent6" w:themeFillTint="33"/>
          </w:tcPr>
          <w:p w14:paraId="360609E5" w14:textId="77777777" w:rsidR="000531C6" w:rsidRPr="00875A1B" w:rsidRDefault="000531C6" w:rsidP="000071E8">
            <w:pPr>
              <w:spacing w:after="120" w:line="240" w:lineRule="auto"/>
              <w:jc w:val="center"/>
              <w:rPr>
                <w:rFonts w:ascii="ITC Avant Garde" w:hAnsi="ITC Avant Garde"/>
                <w:sz w:val="18"/>
                <w:szCs w:val="18"/>
              </w:rPr>
            </w:pPr>
            <w:r>
              <w:rPr>
                <w:rFonts w:ascii="ITC Avant Garde" w:hAnsi="ITC Avant Garde"/>
                <w:sz w:val="18"/>
                <w:szCs w:val="18"/>
              </w:rPr>
              <w:t>2</w:t>
            </w:r>
          </w:p>
        </w:tc>
        <w:tc>
          <w:tcPr>
            <w:tcW w:w="6531" w:type="dxa"/>
            <w:shd w:val="clear" w:color="auto" w:fill="E2EFD9" w:themeFill="accent6" w:themeFillTint="33"/>
          </w:tcPr>
          <w:p w14:paraId="20B668C4" w14:textId="77777777" w:rsidR="000531C6" w:rsidRPr="00E64759" w:rsidRDefault="000531C6" w:rsidP="000071E8">
            <w:pPr>
              <w:spacing w:after="120" w:line="240" w:lineRule="auto"/>
              <w:jc w:val="both"/>
              <w:rPr>
                <w:rFonts w:ascii="ITC Avant Garde" w:hAnsi="ITC Avant Garde"/>
                <w:sz w:val="18"/>
                <w:szCs w:val="18"/>
              </w:rPr>
            </w:pPr>
            <w:r w:rsidRPr="00E64759">
              <w:rPr>
                <w:rFonts w:ascii="ITC Avant Garde" w:hAnsi="ITC Avant Garde"/>
                <w:sz w:val="18"/>
                <w:szCs w:val="18"/>
              </w:rPr>
              <w:t>Precisar si se refiere a un expediente físico, electrónico o ambos.</w:t>
            </w:r>
          </w:p>
        </w:tc>
      </w:tr>
      <w:tr w:rsidR="00E03511" w:rsidRPr="00875A1B" w14:paraId="5F3832A2" w14:textId="77777777" w:rsidTr="00C43007">
        <w:tc>
          <w:tcPr>
            <w:tcW w:w="1980" w:type="dxa"/>
            <w:vMerge/>
            <w:shd w:val="clear" w:color="auto" w:fill="E2EFD9" w:themeFill="accent6" w:themeFillTint="33"/>
          </w:tcPr>
          <w:p w14:paraId="2B124BC3" w14:textId="77777777" w:rsidR="000531C6" w:rsidRPr="00875A1B" w:rsidRDefault="000531C6" w:rsidP="000071E8">
            <w:pPr>
              <w:spacing w:after="120" w:line="240" w:lineRule="auto"/>
              <w:rPr>
                <w:rFonts w:ascii="ITC Avant Garde" w:hAnsi="ITC Avant Garde"/>
                <w:sz w:val="18"/>
                <w:szCs w:val="18"/>
              </w:rPr>
            </w:pPr>
          </w:p>
        </w:tc>
        <w:tc>
          <w:tcPr>
            <w:tcW w:w="1559" w:type="dxa"/>
            <w:vMerge/>
            <w:shd w:val="clear" w:color="auto" w:fill="E2EFD9" w:themeFill="accent6" w:themeFillTint="33"/>
          </w:tcPr>
          <w:p w14:paraId="77F14816" w14:textId="77777777" w:rsidR="000531C6" w:rsidRPr="00875A1B" w:rsidRDefault="000531C6" w:rsidP="000071E8">
            <w:pPr>
              <w:spacing w:after="120" w:line="240" w:lineRule="auto"/>
              <w:jc w:val="center"/>
              <w:rPr>
                <w:rFonts w:ascii="ITC Avant Garde" w:hAnsi="ITC Avant Garde"/>
                <w:sz w:val="18"/>
                <w:szCs w:val="18"/>
              </w:rPr>
            </w:pPr>
          </w:p>
        </w:tc>
        <w:tc>
          <w:tcPr>
            <w:tcW w:w="6531" w:type="dxa"/>
            <w:shd w:val="clear" w:color="auto" w:fill="E2EFD9" w:themeFill="accent6" w:themeFillTint="33"/>
          </w:tcPr>
          <w:p w14:paraId="7E67626F" w14:textId="77777777" w:rsidR="000531C6" w:rsidRPr="00E64759" w:rsidRDefault="000531C6" w:rsidP="000071E8">
            <w:pPr>
              <w:spacing w:after="120" w:line="240" w:lineRule="auto"/>
              <w:jc w:val="both"/>
              <w:rPr>
                <w:rFonts w:ascii="ITC Avant Garde" w:hAnsi="ITC Avant Garde"/>
                <w:sz w:val="18"/>
                <w:szCs w:val="18"/>
              </w:rPr>
            </w:pPr>
            <w:r w:rsidRPr="00E64759">
              <w:rPr>
                <w:rFonts w:ascii="ITC Avant Garde" w:hAnsi="ITC Avant Garde"/>
                <w:sz w:val="18"/>
                <w:szCs w:val="18"/>
              </w:rPr>
              <w:t>Debe velarse por el derecho del Instituto y del denunciado de poder solicitar en cualquier momento, el cotejo con el documento electrónico con el original.</w:t>
            </w:r>
          </w:p>
        </w:tc>
      </w:tr>
    </w:tbl>
    <w:p w14:paraId="45518396" w14:textId="77777777" w:rsidR="000531C6" w:rsidRDefault="000531C6">
      <w:pPr>
        <w:spacing w:after="120" w:line="240" w:lineRule="auto"/>
        <w:jc w:val="both"/>
        <w:rPr>
          <w:rFonts w:ascii="ITC Avant Garde" w:hAnsi="ITC Avant Garde"/>
        </w:rPr>
      </w:pPr>
    </w:p>
    <w:p w14:paraId="5ED9ABDC" w14:textId="3CEB06FE" w:rsidR="00573BD7" w:rsidRPr="001274F9" w:rsidRDefault="00573BD7">
      <w:pPr>
        <w:spacing w:after="120" w:line="240" w:lineRule="auto"/>
        <w:jc w:val="both"/>
        <w:rPr>
          <w:rFonts w:ascii="ITC Avant Garde" w:hAnsi="ITC Avant Garde"/>
        </w:rPr>
      </w:pPr>
      <w:r>
        <w:rPr>
          <w:rFonts w:ascii="ITC Avant Garde" w:hAnsi="ITC Avant Garde"/>
        </w:rPr>
        <w:t>Adicionalmente, se recibieron comentarios generales al Anteproyecto</w:t>
      </w:r>
      <w:r w:rsidR="00574B4C">
        <w:rPr>
          <w:rFonts w:ascii="ITC Avant Garde" w:hAnsi="ITC Avant Garde"/>
        </w:rPr>
        <w:t xml:space="preserve"> de Lineamientos</w:t>
      </w:r>
      <w:r>
        <w:rPr>
          <w:rFonts w:ascii="ITC Avant Garde" w:hAnsi="ITC Avant Garde"/>
        </w:rPr>
        <w:t>, los cuales se consideran en el presente informe como “</w:t>
      </w:r>
      <w:r w:rsidRPr="00F84D32">
        <w:rPr>
          <w:rFonts w:ascii="ITC Avant Garde" w:hAnsi="ITC Avant Garde"/>
          <w:i/>
        </w:rPr>
        <w:t>Comentarios, opiniones y aportaciones generales del participante sobre el asunto en consulta pública</w:t>
      </w:r>
      <w:r>
        <w:rPr>
          <w:rFonts w:ascii="ITC Avant Garde" w:hAnsi="ITC Avant Garde"/>
        </w:rPr>
        <w:t>”</w:t>
      </w:r>
      <w:r w:rsidR="002B40A2">
        <w:rPr>
          <w:rFonts w:ascii="ITC Avant Garde" w:hAnsi="ITC Avant Garde"/>
        </w:rPr>
        <w:t>.</w:t>
      </w:r>
    </w:p>
    <w:p w14:paraId="5FA3103B" w14:textId="77777777" w:rsidR="00C26C48" w:rsidRPr="005F7866" w:rsidRDefault="00C26C48">
      <w:pPr>
        <w:pStyle w:val="Ttulo1"/>
        <w:spacing w:before="0" w:after="120" w:line="240" w:lineRule="auto"/>
        <w:jc w:val="both"/>
        <w:rPr>
          <w:rFonts w:ascii="ITC Avant Garde" w:hAnsi="ITC Avant Garde"/>
          <w:b/>
          <w:smallCaps/>
          <w:color w:val="000000" w:themeColor="text1"/>
          <w:sz w:val="22"/>
          <w:szCs w:val="22"/>
        </w:rPr>
      </w:pPr>
      <w:r w:rsidRPr="005F7866">
        <w:rPr>
          <w:rFonts w:ascii="ITC Avant Garde" w:hAnsi="ITC Avant Garde"/>
          <w:b/>
          <w:smallCaps/>
          <w:color w:val="000000" w:themeColor="text1"/>
          <w:sz w:val="22"/>
          <w:szCs w:val="22"/>
        </w:rPr>
        <w:t xml:space="preserve">6. </w:t>
      </w:r>
      <w:r w:rsidR="00DC0DC5" w:rsidRPr="005F7866">
        <w:rPr>
          <w:rFonts w:ascii="ITC Avant Garde" w:hAnsi="ITC Avant Garde"/>
          <w:b/>
          <w:smallCaps/>
          <w:color w:val="000000" w:themeColor="text1"/>
          <w:sz w:val="22"/>
          <w:szCs w:val="22"/>
        </w:rPr>
        <w:t>Consideraciones</w:t>
      </w:r>
      <w:r w:rsidRPr="005F7866">
        <w:rPr>
          <w:rFonts w:ascii="ITC Avant Garde" w:hAnsi="ITC Avant Garde"/>
          <w:b/>
          <w:smallCaps/>
          <w:color w:val="000000" w:themeColor="text1"/>
          <w:sz w:val="22"/>
          <w:szCs w:val="22"/>
        </w:rPr>
        <w:t xml:space="preserve"> </w:t>
      </w:r>
    </w:p>
    <w:p w14:paraId="0DB28433" w14:textId="6F64DD3D" w:rsidR="00D67EF7" w:rsidRPr="00E753DD" w:rsidRDefault="00C26C48" w:rsidP="00C43007">
      <w:pPr>
        <w:spacing w:after="120" w:line="240" w:lineRule="auto"/>
        <w:jc w:val="both"/>
        <w:rPr>
          <w:rFonts w:ascii="ITC Avant Garde" w:hAnsi="ITC Avant Garde"/>
        </w:rPr>
      </w:pPr>
      <w:r w:rsidRPr="005F7866">
        <w:rPr>
          <w:rFonts w:ascii="ITC Avant Garde" w:hAnsi="ITC Avant Garde"/>
        </w:rPr>
        <w:t xml:space="preserve">Los comentarios </w:t>
      </w:r>
      <w:r w:rsidR="009A7797" w:rsidRPr="005F7866">
        <w:rPr>
          <w:rFonts w:ascii="ITC Avant Garde" w:hAnsi="ITC Avant Garde"/>
        </w:rPr>
        <w:t>recibidos se</w:t>
      </w:r>
      <w:r w:rsidRPr="005F7866">
        <w:rPr>
          <w:rFonts w:ascii="ITC Avant Garde" w:hAnsi="ITC Avant Garde"/>
        </w:rPr>
        <w:t xml:space="preserve"> agrupan</w:t>
      </w:r>
      <w:r w:rsidR="009A7797" w:rsidRPr="005F7866">
        <w:rPr>
          <w:rFonts w:ascii="ITC Avant Garde" w:hAnsi="ITC Avant Garde"/>
        </w:rPr>
        <w:t xml:space="preserve"> por apartado</w:t>
      </w:r>
      <w:r w:rsidRPr="005F7866">
        <w:rPr>
          <w:rFonts w:ascii="ITC Avant Garde" w:hAnsi="ITC Avant Garde"/>
        </w:rPr>
        <w:t>,</w:t>
      </w:r>
      <w:r w:rsidR="009A7797" w:rsidRPr="005F7866">
        <w:rPr>
          <w:rFonts w:ascii="ITC Avant Garde" w:hAnsi="ITC Avant Garde"/>
        </w:rPr>
        <w:t xml:space="preserve"> </w:t>
      </w:r>
      <w:r w:rsidR="00640D07" w:rsidRPr="005F7866">
        <w:rPr>
          <w:rFonts w:ascii="ITC Avant Garde" w:hAnsi="ITC Avant Garde"/>
        </w:rPr>
        <w:t>siguiendo el orden d</w:t>
      </w:r>
      <w:r w:rsidR="009A7797" w:rsidRPr="005F7866">
        <w:rPr>
          <w:rFonts w:ascii="ITC Avant Garde" w:hAnsi="ITC Avant Garde"/>
        </w:rPr>
        <w:t xml:space="preserve">el </w:t>
      </w:r>
      <w:r w:rsidRPr="005F7866">
        <w:rPr>
          <w:rFonts w:ascii="ITC Avant Garde" w:hAnsi="ITC Avant Garde"/>
        </w:rPr>
        <w:t>Anteproyecto</w:t>
      </w:r>
      <w:r w:rsidR="00B02E34">
        <w:rPr>
          <w:rFonts w:ascii="ITC Avant Garde" w:hAnsi="ITC Avant Garde"/>
        </w:rPr>
        <w:t xml:space="preserve"> de Lineamientos</w:t>
      </w:r>
      <w:r w:rsidR="00E753DD">
        <w:rPr>
          <w:rFonts w:ascii="ITC Avant Garde" w:hAnsi="ITC Avant Garde"/>
        </w:rPr>
        <w:t>.</w:t>
      </w:r>
    </w:p>
    <w:p w14:paraId="14864710" w14:textId="77777777" w:rsidR="003F2EC4" w:rsidRDefault="003F2EC4" w:rsidP="00C43007">
      <w:pPr>
        <w:pStyle w:val="Ttulo2"/>
        <w:spacing w:before="0" w:after="120" w:line="240" w:lineRule="auto"/>
        <w:rPr>
          <w:rFonts w:ascii="ITC Avant Garde" w:hAnsi="ITC Avant Garde"/>
          <w:b/>
          <w:color w:val="auto"/>
          <w:sz w:val="22"/>
          <w:szCs w:val="22"/>
        </w:rPr>
      </w:pPr>
      <w:r w:rsidRPr="005F7866">
        <w:rPr>
          <w:rFonts w:ascii="ITC Avant Garde" w:hAnsi="ITC Avant Garde"/>
          <w:b/>
          <w:color w:val="auto"/>
          <w:sz w:val="22"/>
          <w:szCs w:val="22"/>
        </w:rPr>
        <w:lastRenderedPageBreak/>
        <w:t>6.1.</w:t>
      </w:r>
      <w:r w:rsidRPr="005F7866">
        <w:rPr>
          <w:rFonts w:ascii="ITC Avant Garde" w:hAnsi="ITC Avant Garde"/>
          <w:b/>
          <w:color w:val="auto"/>
          <w:sz w:val="22"/>
          <w:szCs w:val="22"/>
        </w:rPr>
        <w:tab/>
      </w:r>
      <w:r w:rsidR="00BF0146">
        <w:rPr>
          <w:rFonts w:ascii="ITC Avant Garde" w:hAnsi="ITC Avant Garde"/>
          <w:b/>
          <w:color w:val="auto"/>
          <w:sz w:val="22"/>
          <w:szCs w:val="22"/>
        </w:rPr>
        <w:t>Título primero. Disposiciones generales</w:t>
      </w:r>
    </w:p>
    <w:p w14:paraId="7E60DC91" w14:textId="77777777" w:rsidR="003F2EC4" w:rsidRDefault="003F2EC4" w:rsidP="00C43007">
      <w:pPr>
        <w:spacing w:after="120" w:line="240" w:lineRule="auto"/>
        <w:jc w:val="both"/>
        <w:rPr>
          <w:rFonts w:ascii="ITC Avant Garde" w:hAnsi="ITC Avant Garde"/>
          <w:b/>
        </w:rPr>
      </w:pPr>
      <w:r w:rsidRPr="005F7866">
        <w:rPr>
          <w:rFonts w:ascii="ITC Avant Garde" w:hAnsi="ITC Avant Garde"/>
          <w:b/>
        </w:rPr>
        <w:t>Comentarios recibidos</w:t>
      </w:r>
      <w:r w:rsidR="00353E8D">
        <w:rPr>
          <w:rFonts w:ascii="ITC Avant Garde" w:hAnsi="ITC Avant Garde"/>
          <w:b/>
        </w:rPr>
        <w:t xml:space="preserve"> al artículo 1</w:t>
      </w:r>
    </w:p>
    <w:p w14:paraId="64FAA9E0" w14:textId="1A6F9256" w:rsidR="00BF3A9A" w:rsidRPr="00EC2FA4" w:rsidRDefault="00A47CEB" w:rsidP="00C43007">
      <w:pPr>
        <w:pStyle w:val="Prrafodelista"/>
        <w:numPr>
          <w:ilvl w:val="0"/>
          <w:numId w:val="9"/>
        </w:numPr>
        <w:spacing w:after="120" w:line="240" w:lineRule="auto"/>
        <w:contextualSpacing w:val="0"/>
        <w:jc w:val="both"/>
        <w:rPr>
          <w:rFonts w:ascii="ITC Avant Garde" w:hAnsi="ITC Avant Garde"/>
        </w:rPr>
      </w:pPr>
      <w:r>
        <w:rPr>
          <w:rFonts w:ascii="ITC Avant Garde" w:hAnsi="ITC Avant Garde"/>
          <w:lang w:val="es-MX"/>
        </w:rPr>
        <w:t xml:space="preserve">En relación con las Disposiciones generales del título primero del Anteproyecto de Lineamientos, </w:t>
      </w:r>
      <w:r w:rsidR="00BF3A9A" w:rsidRPr="00EC2FA4">
        <w:rPr>
          <w:rFonts w:ascii="ITC Avant Garde" w:hAnsi="ITC Avant Garde"/>
        </w:rPr>
        <w:t xml:space="preserve">Bestphone </w:t>
      </w:r>
      <w:r w:rsidR="00612A9C">
        <w:rPr>
          <w:rFonts w:ascii="ITC Avant Garde" w:hAnsi="ITC Avant Garde"/>
          <w:lang w:val="es-MX"/>
        </w:rPr>
        <w:t xml:space="preserve">y otros </w:t>
      </w:r>
      <w:r>
        <w:rPr>
          <w:rFonts w:ascii="ITC Avant Garde" w:hAnsi="ITC Avant Garde"/>
          <w:lang w:val="es-MX"/>
        </w:rPr>
        <w:t>presentaron el siguiente comentario:</w:t>
      </w:r>
    </w:p>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F42321" w:rsidRPr="005F7866" w14:paraId="4DB81C08" w14:textId="77777777" w:rsidTr="00570E4A">
        <w:trPr>
          <w:trHeight w:val="276"/>
        </w:trPr>
        <w:tc>
          <w:tcPr>
            <w:tcW w:w="8931" w:type="dxa"/>
            <w:shd w:val="clear" w:color="auto" w:fill="538135" w:themeFill="accent6" w:themeFillShade="BF"/>
          </w:tcPr>
          <w:p w14:paraId="7F53D24F" w14:textId="77777777" w:rsidR="00F42321" w:rsidRPr="00412A3E" w:rsidRDefault="00F42321">
            <w:pPr>
              <w:pStyle w:val="Default"/>
              <w:spacing w:after="120"/>
              <w:jc w:val="center"/>
              <w:rPr>
                <w:rFonts w:ascii="ITC Avant Garde" w:hAnsi="ITC Avant Garde"/>
                <w:i/>
                <w:sz w:val="20"/>
                <w:szCs w:val="20"/>
              </w:rPr>
            </w:pPr>
            <w:r>
              <w:rPr>
                <w:rFonts w:ascii="ITC Avant Garde" w:hAnsi="ITC Avant Garde" w:cs="ITC Avant Garde"/>
                <w:b/>
                <w:color w:val="FFFFFF" w:themeColor="background1"/>
                <w:sz w:val="20"/>
                <w:szCs w:val="20"/>
              </w:rPr>
              <w:t>Bestphone</w:t>
            </w:r>
            <w:r w:rsidR="0097478C">
              <w:rPr>
                <w:rFonts w:ascii="ITC Avant Garde" w:hAnsi="ITC Avant Garde" w:cs="ITC Avant Garde"/>
                <w:b/>
                <w:color w:val="FFFFFF" w:themeColor="background1"/>
                <w:sz w:val="20"/>
                <w:szCs w:val="20"/>
              </w:rPr>
              <w:t xml:space="preserve"> y otros</w:t>
            </w:r>
          </w:p>
        </w:tc>
      </w:tr>
      <w:tr w:rsidR="00F42321" w:rsidRPr="005F7866" w14:paraId="5B2ECA18" w14:textId="77777777" w:rsidTr="009329B5">
        <w:trPr>
          <w:trHeight w:val="928"/>
        </w:trPr>
        <w:tc>
          <w:tcPr>
            <w:tcW w:w="8931" w:type="dxa"/>
            <w:shd w:val="clear" w:color="auto" w:fill="C5E0B3" w:themeFill="accent6" w:themeFillTint="66"/>
            <w:vAlign w:val="center"/>
          </w:tcPr>
          <w:p w14:paraId="2B183826" w14:textId="7DF3AF07" w:rsidR="00F42321" w:rsidRPr="00F42321" w:rsidRDefault="00F42321">
            <w:pPr>
              <w:pStyle w:val="Default"/>
              <w:spacing w:after="120"/>
              <w:jc w:val="both"/>
              <w:rPr>
                <w:rFonts w:ascii="ITC Avant Garde" w:hAnsi="ITC Avant Garde"/>
                <w:i/>
                <w:sz w:val="18"/>
                <w:szCs w:val="18"/>
              </w:rPr>
            </w:pPr>
            <w:r w:rsidRPr="00F42321">
              <w:rPr>
                <w:rFonts w:ascii="ITC Avant Garde" w:hAnsi="ITC Avant Garde"/>
                <w:i/>
                <w:sz w:val="18"/>
                <w:szCs w:val="18"/>
              </w:rPr>
              <w:t>Debería indicarse la supletoriedad de los Lineamientos, p.e., “En lo no previsto por estos Lineamientos o en la Ley o en las Disposic</w:t>
            </w:r>
            <w:r w:rsidR="008F0ECF">
              <w:rPr>
                <w:rFonts w:ascii="ITC Avant Garde" w:hAnsi="ITC Avant Garde"/>
                <w:i/>
                <w:sz w:val="18"/>
                <w:szCs w:val="18"/>
              </w:rPr>
              <w:t>iones Regulatorias, se aplicará</w:t>
            </w:r>
            <w:r w:rsidRPr="00F42321">
              <w:rPr>
                <w:rFonts w:ascii="ITC Avant Garde" w:hAnsi="ITC Avant Garde"/>
                <w:i/>
                <w:sz w:val="18"/>
                <w:szCs w:val="18"/>
              </w:rPr>
              <w:t xml:space="preserve"> supletoriamente el </w:t>
            </w:r>
            <w:r w:rsidR="008F0ECF" w:rsidRPr="00F42321">
              <w:rPr>
                <w:rFonts w:ascii="ITC Avant Garde" w:hAnsi="ITC Avant Garde"/>
                <w:i/>
                <w:sz w:val="18"/>
                <w:szCs w:val="18"/>
              </w:rPr>
              <w:t>Código</w:t>
            </w:r>
            <w:r w:rsidRPr="00F42321">
              <w:rPr>
                <w:rFonts w:ascii="ITC Avant Garde" w:hAnsi="ITC Avant Garde"/>
                <w:i/>
                <w:sz w:val="18"/>
                <w:szCs w:val="18"/>
              </w:rPr>
              <w:t xml:space="preserve"> Federal de Procedimientos Civiles</w:t>
            </w:r>
            <w:r w:rsidRPr="00F42321">
              <w:rPr>
                <w:rFonts w:ascii="ITC Avant Garde" w:hAnsi="ITC Avant Garde" w:cs="ITC Avant Garde"/>
                <w:i/>
                <w:sz w:val="18"/>
                <w:szCs w:val="18"/>
              </w:rPr>
              <w:t>”</w:t>
            </w:r>
            <w:r w:rsidRPr="00F42321">
              <w:rPr>
                <w:rFonts w:ascii="ITC Avant Garde" w:hAnsi="ITC Avant Garde"/>
                <w:i/>
                <w:sz w:val="18"/>
                <w:szCs w:val="18"/>
              </w:rPr>
              <w:t>.</w:t>
            </w:r>
          </w:p>
        </w:tc>
      </w:tr>
    </w:tbl>
    <w:p w14:paraId="4C69411E" w14:textId="77777777" w:rsidR="002B40A2" w:rsidRDefault="002B40A2" w:rsidP="002B40A2">
      <w:pPr>
        <w:pStyle w:val="Prrafodelista"/>
        <w:spacing w:after="120" w:line="240" w:lineRule="auto"/>
        <w:contextualSpacing w:val="0"/>
        <w:jc w:val="both"/>
        <w:rPr>
          <w:rFonts w:ascii="ITC Avant Garde" w:hAnsi="ITC Avant Garde"/>
        </w:rPr>
      </w:pPr>
    </w:p>
    <w:p w14:paraId="0892821A" w14:textId="210CD260" w:rsidR="002B40A2" w:rsidRPr="00EC2FA4" w:rsidRDefault="002B40A2" w:rsidP="008C38E7">
      <w:pPr>
        <w:pStyle w:val="Prrafodelista"/>
        <w:numPr>
          <w:ilvl w:val="0"/>
          <w:numId w:val="9"/>
        </w:numPr>
        <w:spacing w:after="120" w:line="240" w:lineRule="auto"/>
        <w:contextualSpacing w:val="0"/>
        <w:jc w:val="both"/>
        <w:rPr>
          <w:rFonts w:ascii="ITC Avant Garde" w:hAnsi="ITC Avant Garde"/>
        </w:rPr>
      </w:pPr>
      <w:r w:rsidRPr="00EC2FA4">
        <w:rPr>
          <w:rFonts w:ascii="ITC Avant Garde" w:hAnsi="ITC Avant Garde"/>
        </w:rPr>
        <w:t xml:space="preserve">Por su parte Carlos Mora Villalpando sugiere </w:t>
      </w:r>
      <w:r>
        <w:rPr>
          <w:rFonts w:ascii="ITC Avant Garde" w:hAnsi="ITC Avant Garde"/>
          <w:lang w:val="es-MX"/>
        </w:rPr>
        <w:t xml:space="preserve">modificaciones </w:t>
      </w:r>
      <w:r w:rsidRPr="00EC2FA4">
        <w:rPr>
          <w:rFonts w:ascii="ITC Avant Garde" w:hAnsi="ITC Avant Garde"/>
        </w:rPr>
        <w:t>de acuerdo a lo siguiente:</w:t>
      </w:r>
    </w:p>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2B40A2" w:rsidRPr="005F7866" w14:paraId="4950BED6" w14:textId="77777777" w:rsidTr="000F4842">
        <w:trPr>
          <w:trHeight w:val="276"/>
        </w:trPr>
        <w:tc>
          <w:tcPr>
            <w:tcW w:w="8931" w:type="dxa"/>
            <w:shd w:val="clear" w:color="auto" w:fill="538135" w:themeFill="accent6" w:themeFillShade="BF"/>
          </w:tcPr>
          <w:p w14:paraId="7795CFC5" w14:textId="77777777" w:rsidR="002B40A2" w:rsidRPr="00412A3E" w:rsidRDefault="002B40A2" w:rsidP="000F4842">
            <w:pPr>
              <w:pStyle w:val="Default"/>
              <w:spacing w:after="120"/>
              <w:jc w:val="center"/>
              <w:rPr>
                <w:rFonts w:ascii="ITC Avant Garde" w:hAnsi="ITC Avant Garde"/>
                <w:i/>
                <w:sz w:val="20"/>
                <w:szCs w:val="20"/>
              </w:rPr>
            </w:pPr>
            <w:r w:rsidRPr="00412A3E">
              <w:rPr>
                <w:rFonts w:ascii="ITC Avant Garde" w:hAnsi="ITC Avant Garde" w:cs="ITC Avant Garde"/>
                <w:b/>
                <w:color w:val="FFFFFF" w:themeColor="background1"/>
                <w:sz w:val="20"/>
                <w:szCs w:val="20"/>
              </w:rPr>
              <w:t>Carlos Mora Villalpando</w:t>
            </w:r>
          </w:p>
        </w:tc>
      </w:tr>
      <w:tr w:rsidR="002B40A2" w:rsidRPr="005F7866" w14:paraId="669F1FDF" w14:textId="77777777" w:rsidTr="000F4842">
        <w:trPr>
          <w:trHeight w:val="2404"/>
        </w:trPr>
        <w:tc>
          <w:tcPr>
            <w:tcW w:w="8931" w:type="dxa"/>
            <w:shd w:val="clear" w:color="auto" w:fill="C5E0B3" w:themeFill="accent6" w:themeFillTint="66"/>
            <w:vAlign w:val="center"/>
          </w:tcPr>
          <w:p w14:paraId="39B604C3" w14:textId="77777777" w:rsidR="002B40A2" w:rsidRPr="00F42321" w:rsidRDefault="002B40A2" w:rsidP="000F4842">
            <w:pPr>
              <w:pStyle w:val="Default"/>
              <w:spacing w:after="120"/>
              <w:jc w:val="both"/>
              <w:rPr>
                <w:rFonts w:ascii="ITC Avant Garde" w:hAnsi="ITC Avant Garde"/>
                <w:i/>
                <w:sz w:val="18"/>
                <w:szCs w:val="18"/>
              </w:rPr>
            </w:pPr>
            <w:r w:rsidRPr="00F42321">
              <w:rPr>
                <w:rFonts w:ascii="ITC Avant Garde" w:hAnsi="ITC Avant Garde"/>
                <w:i/>
                <w:sz w:val="18"/>
                <w:szCs w:val="18"/>
              </w:rPr>
              <w:t>En razón de que el glosario se contiene en el artículo 2 y no se ha definido que es el SEPDAI, así como no existe referencia alguna anterior por Parte del Instituto en su página de internet. se sugiere la siguiente redacción, la cual se contiene en cursivas y resaltado en gris:</w:t>
            </w:r>
          </w:p>
          <w:p w14:paraId="16E191B2" w14:textId="77777777" w:rsidR="002B40A2" w:rsidRPr="00F42321" w:rsidRDefault="002B40A2" w:rsidP="000F4842">
            <w:pPr>
              <w:pStyle w:val="Default"/>
              <w:spacing w:after="120"/>
              <w:jc w:val="both"/>
              <w:rPr>
                <w:rFonts w:ascii="ITC Avant Garde" w:hAnsi="ITC Avant Garde"/>
                <w:i/>
                <w:sz w:val="18"/>
                <w:szCs w:val="18"/>
              </w:rPr>
            </w:pPr>
            <w:r w:rsidRPr="00F42321">
              <w:rPr>
                <w:rFonts w:ascii="ITC Avant Garde" w:hAnsi="ITC Avant Garde"/>
                <w:i/>
                <w:sz w:val="18"/>
                <w:szCs w:val="18"/>
              </w:rPr>
              <w:t xml:space="preserve"> “La presentación de denuncias a través de medios electrónicos será mediante el SEPDAI, </w:t>
            </w:r>
            <w:r w:rsidRPr="00F42321">
              <w:rPr>
                <w:rFonts w:ascii="ITC Avant Garde" w:hAnsi="ITC Avant Garde"/>
                <w:i/>
                <w:sz w:val="18"/>
                <w:szCs w:val="18"/>
                <w:shd w:val="clear" w:color="auto" w:fill="BFBFBF" w:themeFill="background1" w:themeFillShade="BF"/>
              </w:rPr>
              <w:t>término que se define más adelante</w:t>
            </w:r>
            <w:r w:rsidRPr="00F42321">
              <w:rPr>
                <w:rFonts w:ascii="ITC Avant Garde" w:hAnsi="ITC Avant Garde"/>
                <w:i/>
                <w:sz w:val="18"/>
                <w:szCs w:val="18"/>
              </w:rPr>
              <w:t>, que podrá utilizarse desde ese momento y hasta la emisión del acuerdo que ordene el inicio de la investigación, deseche la denuncia por notoria improcedencia o la tenga por no presentada, según corresponda, de conformidad con lo dispuesto en el artículo 69 de la Ley Federal de Competencia Económica, incluyendo la prevención para aclarar o completar la denuncia y las notificaciones, en los términos establecidos en los presentes Lineamientos.”</w:t>
            </w:r>
          </w:p>
        </w:tc>
      </w:tr>
    </w:tbl>
    <w:p w14:paraId="2D0BCEB7" w14:textId="77777777" w:rsidR="009329B5" w:rsidRDefault="009329B5" w:rsidP="00C43007">
      <w:pPr>
        <w:spacing w:after="120" w:line="240" w:lineRule="auto"/>
        <w:jc w:val="both"/>
        <w:rPr>
          <w:rFonts w:ascii="ITC Avant Garde" w:hAnsi="ITC Avant Garde"/>
          <w:sz w:val="10"/>
          <w:szCs w:val="10"/>
        </w:rPr>
      </w:pPr>
    </w:p>
    <w:p w14:paraId="39060DB6" w14:textId="77777777" w:rsidR="00BD6A79" w:rsidRDefault="00BD6A79" w:rsidP="00C43007">
      <w:pPr>
        <w:spacing w:after="120" w:line="240" w:lineRule="auto"/>
        <w:jc w:val="both"/>
        <w:rPr>
          <w:rFonts w:ascii="ITC Avant Garde" w:hAnsi="ITC Avant Garde"/>
          <w:b/>
        </w:rPr>
      </w:pPr>
      <w:r w:rsidRPr="002C2C0E">
        <w:rPr>
          <w:rFonts w:ascii="ITC Avant Garde" w:hAnsi="ITC Avant Garde"/>
          <w:b/>
        </w:rPr>
        <w:t>Consideraciones</w:t>
      </w:r>
    </w:p>
    <w:p w14:paraId="5A14AA93" w14:textId="7424BE6D" w:rsidR="00285C32" w:rsidRDefault="002B40A2" w:rsidP="00C43007">
      <w:pPr>
        <w:spacing w:after="120" w:line="240" w:lineRule="auto"/>
        <w:jc w:val="both"/>
        <w:rPr>
          <w:rFonts w:ascii="ITC Avant Garde" w:hAnsi="ITC Avant Garde"/>
        </w:rPr>
      </w:pPr>
      <w:r>
        <w:rPr>
          <w:rFonts w:ascii="ITC Avant Garde" w:hAnsi="ITC Avant Garde"/>
        </w:rPr>
        <w:t xml:space="preserve">a) </w:t>
      </w:r>
      <w:r w:rsidR="00E5685F">
        <w:rPr>
          <w:rFonts w:ascii="ITC Avant Garde" w:hAnsi="ITC Avant Garde"/>
        </w:rPr>
        <w:t>E</w:t>
      </w:r>
      <w:r w:rsidR="002C2C0E">
        <w:rPr>
          <w:rFonts w:ascii="ITC Avant Garde" w:hAnsi="ITC Avant Garde"/>
        </w:rPr>
        <w:t xml:space="preserve">l Anteproyecto de Lineamientos </w:t>
      </w:r>
      <w:r w:rsidR="002E245A">
        <w:rPr>
          <w:rFonts w:ascii="ITC Avant Garde" w:hAnsi="ITC Avant Garde"/>
        </w:rPr>
        <w:t>establece</w:t>
      </w:r>
      <w:r w:rsidR="002C2C0E">
        <w:rPr>
          <w:rFonts w:ascii="ITC Avant Garde" w:hAnsi="ITC Avant Garde"/>
        </w:rPr>
        <w:t xml:space="preserve"> los términos aplicables a la presentación de denuncias de prácticas monopólicas y concentraciones ilícitas en los sectores de telecomunicaciones y radiodifusión ante la AI, a través de medios </w:t>
      </w:r>
      <w:r w:rsidR="005A1F88">
        <w:rPr>
          <w:rFonts w:ascii="ITC Avant Garde" w:hAnsi="ITC Avant Garde"/>
        </w:rPr>
        <w:t>electrónicos</w:t>
      </w:r>
      <w:r w:rsidR="00E5685F">
        <w:rPr>
          <w:rFonts w:ascii="ITC Avant Garde" w:hAnsi="ITC Avant Garde"/>
        </w:rPr>
        <w:t>,</w:t>
      </w:r>
      <w:r w:rsidR="00285C32">
        <w:rPr>
          <w:rFonts w:ascii="ITC Avant Garde" w:hAnsi="ITC Avant Garde"/>
        </w:rPr>
        <w:t xml:space="preserve"> con la </w:t>
      </w:r>
      <w:r w:rsidR="00AA64CC">
        <w:rPr>
          <w:rFonts w:ascii="ITC Avant Garde" w:hAnsi="ITC Avant Garde"/>
        </w:rPr>
        <w:t xml:space="preserve">única </w:t>
      </w:r>
      <w:r w:rsidR="00285C32">
        <w:rPr>
          <w:rFonts w:ascii="ITC Avant Garde" w:hAnsi="ITC Avant Garde"/>
        </w:rPr>
        <w:t xml:space="preserve">finalidad de facilitar </w:t>
      </w:r>
      <w:r w:rsidR="00AA64CC">
        <w:rPr>
          <w:rFonts w:ascii="ITC Avant Garde" w:hAnsi="ITC Avant Garde"/>
        </w:rPr>
        <w:t xml:space="preserve">su presentación ante la autoridad, </w:t>
      </w:r>
      <w:r w:rsidR="00985F7F">
        <w:rPr>
          <w:rFonts w:ascii="ITC Avant Garde" w:hAnsi="ITC Avant Garde"/>
        </w:rPr>
        <w:t xml:space="preserve">lo cual </w:t>
      </w:r>
      <w:r w:rsidR="00C40031">
        <w:rPr>
          <w:rFonts w:ascii="ITC Avant Garde" w:hAnsi="ITC Avant Garde"/>
        </w:rPr>
        <w:t>es opcional</w:t>
      </w:r>
      <w:r w:rsidR="00AA64CC">
        <w:rPr>
          <w:rFonts w:ascii="ITC Avant Garde" w:hAnsi="ITC Avant Garde"/>
        </w:rPr>
        <w:t>.</w:t>
      </w:r>
      <w:r w:rsidR="00C40031">
        <w:rPr>
          <w:rFonts w:ascii="ITC Avant Garde" w:hAnsi="ITC Avant Garde"/>
        </w:rPr>
        <w:t xml:space="preserve"> </w:t>
      </w:r>
      <w:r w:rsidR="00AA64CC">
        <w:rPr>
          <w:rFonts w:ascii="ITC Avant Garde" w:hAnsi="ITC Avant Garde"/>
        </w:rPr>
        <w:t xml:space="preserve">Por tanto, </w:t>
      </w:r>
      <w:r w:rsidR="00C40031">
        <w:rPr>
          <w:rFonts w:ascii="ITC Avant Garde" w:hAnsi="ITC Avant Garde"/>
        </w:rPr>
        <w:t>se considera innecesario establecer el régimen supletorio sugerido</w:t>
      </w:r>
      <w:r w:rsidR="007F3158">
        <w:rPr>
          <w:rFonts w:ascii="ITC Avant Garde" w:hAnsi="ITC Avant Garde"/>
        </w:rPr>
        <w:t xml:space="preserve"> </w:t>
      </w:r>
      <w:r>
        <w:rPr>
          <w:rFonts w:ascii="ITC Avant Garde" w:hAnsi="ITC Avant Garde"/>
        </w:rPr>
        <w:t xml:space="preserve">por Bestphone y otros </w:t>
      </w:r>
      <w:r w:rsidR="007F3158">
        <w:rPr>
          <w:rFonts w:ascii="ITC Avant Garde" w:hAnsi="ITC Avant Garde"/>
        </w:rPr>
        <w:t xml:space="preserve">para una situación que no es obligatoria conforme a la LFCE. </w:t>
      </w:r>
    </w:p>
    <w:p w14:paraId="7A2480B0" w14:textId="5D44DB54" w:rsidR="00EC2FA4" w:rsidRDefault="002B40A2" w:rsidP="00C43007">
      <w:pPr>
        <w:spacing w:after="120" w:line="240" w:lineRule="auto"/>
        <w:jc w:val="both"/>
        <w:rPr>
          <w:rFonts w:ascii="ITC Avant Garde" w:hAnsi="ITC Avant Garde"/>
        </w:rPr>
      </w:pPr>
      <w:r>
        <w:rPr>
          <w:rFonts w:ascii="ITC Avant Garde" w:hAnsi="ITC Avant Garde"/>
        </w:rPr>
        <w:t xml:space="preserve">b) </w:t>
      </w:r>
      <w:r w:rsidR="00686A45" w:rsidRPr="00BD6A79">
        <w:rPr>
          <w:rFonts w:ascii="ITC Avant Garde" w:hAnsi="ITC Avant Garde"/>
        </w:rPr>
        <w:t xml:space="preserve">En atención a los comentarios de Carlos Mora Villalpando, se </w:t>
      </w:r>
      <w:r w:rsidR="00EF7EAB">
        <w:rPr>
          <w:rFonts w:ascii="ITC Avant Garde" w:hAnsi="ITC Avant Garde"/>
        </w:rPr>
        <w:t xml:space="preserve">modifica la redacción del </w:t>
      </w:r>
      <w:r>
        <w:rPr>
          <w:rFonts w:ascii="ITC Avant Garde" w:hAnsi="ITC Avant Garde"/>
        </w:rPr>
        <w:t>artículo 1, cuarto párrafo, del Anteproyecto de Lineamientos</w:t>
      </w:r>
      <w:r w:rsidR="00E64E21">
        <w:rPr>
          <w:rFonts w:ascii="ITC Avant Garde" w:hAnsi="ITC Avant Garde"/>
        </w:rPr>
        <w:t>, como sigue</w:t>
      </w:r>
      <w:r w:rsidR="0043493E">
        <w:rPr>
          <w:rFonts w:ascii="ITC Avant Garde" w:hAnsi="ITC Avant Garde"/>
        </w:rPr>
        <w:t>:</w:t>
      </w:r>
    </w:p>
    <w:tbl>
      <w:tblPr>
        <w:tblStyle w:val="Tablaconcuadrcula"/>
        <w:tblW w:w="0" w:type="auto"/>
        <w:jc w:val="center"/>
        <w:tblLook w:val="04A0" w:firstRow="1" w:lastRow="0" w:firstColumn="1" w:lastColumn="0" w:noHBand="0" w:noVBand="1"/>
      </w:tblPr>
      <w:tblGrid>
        <w:gridCol w:w="4394"/>
        <w:gridCol w:w="4394"/>
      </w:tblGrid>
      <w:tr w:rsidR="00574B4C" w:rsidRPr="005F7866" w14:paraId="7D6F37FF" w14:textId="77777777" w:rsidTr="00D74F82">
        <w:trPr>
          <w:jc w:val="center"/>
        </w:trPr>
        <w:tc>
          <w:tcPr>
            <w:tcW w:w="4394" w:type="dxa"/>
            <w:shd w:val="clear" w:color="auto" w:fill="538135" w:themeFill="accent6" w:themeFillShade="BF"/>
          </w:tcPr>
          <w:p w14:paraId="28FF5FE1" w14:textId="5C9F5EE2" w:rsidR="00574B4C" w:rsidRPr="005F7866" w:rsidRDefault="00574B4C" w:rsidP="00574B4C">
            <w:pPr>
              <w:spacing w:after="12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Anteproyecto</w:t>
            </w:r>
            <w:r>
              <w:rPr>
                <w:rFonts w:ascii="ITC Avant Garde" w:hAnsi="ITC Avant Garde"/>
                <w:b/>
                <w:color w:val="FFFFFF" w:themeColor="background1"/>
                <w:sz w:val="18"/>
                <w:szCs w:val="18"/>
              </w:rPr>
              <w:t xml:space="preserve"> de Lineamientos</w:t>
            </w:r>
          </w:p>
        </w:tc>
        <w:tc>
          <w:tcPr>
            <w:tcW w:w="4394" w:type="dxa"/>
            <w:shd w:val="clear" w:color="auto" w:fill="538135" w:themeFill="accent6" w:themeFillShade="BF"/>
          </w:tcPr>
          <w:p w14:paraId="680E08A9" w14:textId="71F36904" w:rsidR="00574B4C" w:rsidRPr="005F7866" w:rsidRDefault="00574B4C" w:rsidP="00574B4C">
            <w:pPr>
              <w:spacing w:after="120" w:line="240" w:lineRule="auto"/>
              <w:jc w:val="center"/>
              <w:rPr>
                <w:rFonts w:ascii="ITC Avant Garde" w:hAnsi="ITC Avant Garde"/>
                <w:b/>
                <w:color w:val="FFFFFF" w:themeColor="background1"/>
                <w:sz w:val="18"/>
                <w:szCs w:val="18"/>
              </w:rPr>
            </w:pPr>
            <w:r>
              <w:rPr>
                <w:rFonts w:ascii="ITC Avant Garde" w:hAnsi="ITC Avant Garde"/>
                <w:b/>
                <w:color w:val="FFFFFF" w:themeColor="background1"/>
                <w:sz w:val="18"/>
                <w:szCs w:val="18"/>
              </w:rPr>
              <w:t>Modificación al Anteproyecto de Lineamientos</w:t>
            </w:r>
            <w:r w:rsidRPr="005F7866">
              <w:rPr>
                <w:rStyle w:val="Refdenotaalpie"/>
                <w:rFonts w:ascii="ITC Avant Garde" w:hAnsi="ITC Avant Garde"/>
                <w:b/>
                <w:color w:val="FFFFFF" w:themeColor="background1"/>
                <w:sz w:val="18"/>
                <w:szCs w:val="18"/>
              </w:rPr>
              <w:footnoteReference w:id="2"/>
            </w:r>
          </w:p>
        </w:tc>
      </w:tr>
      <w:tr w:rsidR="00686A45" w:rsidRPr="005F7866" w14:paraId="5CBAA398" w14:textId="77777777" w:rsidTr="00D74F82">
        <w:trPr>
          <w:jc w:val="center"/>
        </w:trPr>
        <w:tc>
          <w:tcPr>
            <w:tcW w:w="4394" w:type="dxa"/>
            <w:shd w:val="clear" w:color="auto" w:fill="C5E0B3" w:themeFill="accent6" w:themeFillTint="66"/>
          </w:tcPr>
          <w:p w14:paraId="2EC43477" w14:textId="77777777" w:rsidR="00686A45" w:rsidRPr="00686A45" w:rsidRDefault="00686A45">
            <w:pPr>
              <w:pStyle w:val="Textoindependiente"/>
              <w:spacing w:line="240" w:lineRule="auto"/>
              <w:jc w:val="both"/>
              <w:rPr>
                <w:rFonts w:ascii="ITC Avant Garde" w:hAnsi="ITC Avant Garde"/>
                <w:sz w:val="18"/>
                <w:szCs w:val="18"/>
              </w:rPr>
            </w:pPr>
            <w:r w:rsidRPr="00686A45">
              <w:rPr>
                <w:rFonts w:ascii="ITC Avant Garde" w:hAnsi="ITC Avant Garde"/>
                <w:sz w:val="18"/>
                <w:szCs w:val="18"/>
              </w:rPr>
              <w:t xml:space="preserve">La presentación de denuncias a través de medios electrónicos será mediante el SEPDAI, que podrá utilizarse desde ese momento y hasta la emisión del acuerdo que ordene el inicio de la investigación, deseche la denuncia por notoria improcedencia o la tenga por no presentada, según corresponda, de conformidad con lo dispuesto en el artículo 69 </w:t>
            </w:r>
            <w:r w:rsidRPr="00686A45">
              <w:rPr>
                <w:rFonts w:ascii="ITC Avant Garde" w:hAnsi="ITC Avant Garde"/>
                <w:sz w:val="18"/>
                <w:szCs w:val="18"/>
              </w:rPr>
              <w:lastRenderedPageBreak/>
              <w:t xml:space="preserve">de la Ley Federal de Competencia Económica, incluyendo la prevención para aclarar o completar la denuncia y las notificaciones, en los términos establecidos en los presentes Lineamientos. </w:t>
            </w:r>
          </w:p>
        </w:tc>
        <w:tc>
          <w:tcPr>
            <w:tcW w:w="4394" w:type="dxa"/>
            <w:shd w:val="clear" w:color="auto" w:fill="C5E0B3" w:themeFill="accent6" w:themeFillTint="66"/>
          </w:tcPr>
          <w:p w14:paraId="381D7267" w14:textId="77777777" w:rsidR="00686A45" w:rsidRPr="005F7866" w:rsidRDefault="00686A45" w:rsidP="00C43007">
            <w:pPr>
              <w:pStyle w:val="Textoindependiente"/>
              <w:spacing w:line="240" w:lineRule="auto"/>
              <w:jc w:val="both"/>
              <w:rPr>
                <w:rFonts w:ascii="ITC Avant Garde" w:hAnsi="ITC Avant Garde"/>
                <w:sz w:val="18"/>
                <w:szCs w:val="18"/>
              </w:rPr>
            </w:pPr>
            <w:r w:rsidRPr="00686A45">
              <w:rPr>
                <w:rFonts w:ascii="ITC Avant Garde" w:hAnsi="ITC Avant Garde"/>
                <w:sz w:val="18"/>
                <w:szCs w:val="18"/>
              </w:rPr>
              <w:lastRenderedPageBreak/>
              <w:t xml:space="preserve">La presentación de denuncias a través de medios electrónicos será mediante el </w:t>
            </w:r>
            <w:r w:rsidRPr="00686A45">
              <w:rPr>
                <w:rFonts w:ascii="ITC Avant Garde" w:hAnsi="ITC Avant Garde"/>
                <w:strike/>
                <w:sz w:val="18"/>
                <w:szCs w:val="18"/>
              </w:rPr>
              <w:t>SEPDAI</w:t>
            </w:r>
            <w:r>
              <w:rPr>
                <w:rFonts w:ascii="ITC Avant Garde" w:hAnsi="ITC Avant Garde"/>
                <w:sz w:val="18"/>
                <w:szCs w:val="18"/>
              </w:rPr>
              <w:t xml:space="preserve"> </w:t>
            </w:r>
            <w:r w:rsidRPr="00686A45">
              <w:rPr>
                <w:rFonts w:ascii="ITC Avant Garde" w:hAnsi="ITC Avant Garde"/>
                <w:sz w:val="18"/>
                <w:szCs w:val="18"/>
                <w:u w:val="single"/>
              </w:rPr>
              <w:t>Sistema Electrónico de Presentación de Denuncias ante la Autoridad Investigadora del Instituto Federal de Telecomunicaciones</w:t>
            </w:r>
            <w:r>
              <w:rPr>
                <w:rFonts w:ascii="ITC Avant Garde" w:hAnsi="ITC Avant Garde"/>
                <w:sz w:val="18"/>
                <w:szCs w:val="18"/>
                <w:u w:val="single"/>
              </w:rPr>
              <w:t>,</w:t>
            </w:r>
            <w:r w:rsidRPr="00686A45">
              <w:rPr>
                <w:rFonts w:ascii="ITC Avant Garde" w:hAnsi="ITC Avant Garde"/>
                <w:sz w:val="18"/>
                <w:szCs w:val="18"/>
              </w:rPr>
              <w:t xml:space="preserve"> que podrá utilizarse desde ese momento y hasta la emisión del acuerdo que ordene el inicio de la investigación, deseche la denuncia por notoria </w:t>
            </w:r>
            <w:r w:rsidRPr="00686A45">
              <w:rPr>
                <w:rFonts w:ascii="ITC Avant Garde" w:hAnsi="ITC Avant Garde"/>
                <w:sz w:val="18"/>
                <w:szCs w:val="18"/>
              </w:rPr>
              <w:lastRenderedPageBreak/>
              <w:t>improcedencia o la tenga por no presentada, según corresponda, de conformidad con lo dispuesto en el artículo 69 de la Ley Federal de Competencia Económica, incluyendo la prevención para aclarar o completar la denuncia y las notificaciones, en los términos establecidos en los presentes Lineamientos.</w:t>
            </w:r>
          </w:p>
        </w:tc>
      </w:tr>
    </w:tbl>
    <w:p w14:paraId="7F22F7AD" w14:textId="77777777" w:rsidR="00686A45" w:rsidRPr="00EC2FA4" w:rsidRDefault="00686A45" w:rsidP="00C43007">
      <w:pPr>
        <w:pStyle w:val="Prrafodelista"/>
        <w:spacing w:after="120" w:line="240" w:lineRule="auto"/>
        <w:contextualSpacing w:val="0"/>
        <w:jc w:val="both"/>
        <w:rPr>
          <w:rFonts w:ascii="ITC Avant Garde" w:hAnsi="ITC Avant Garde"/>
          <w:b/>
        </w:rPr>
      </w:pPr>
    </w:p>
    <w:p w14:paraId="7B84928B" w14:textId="5F794AD3" w:rsidR="00353E8D" w:rsidRDefault="00353E8D" w:rsidP="00C43007">
      <w:pPr>
        <w:spacing w:after="120" w:line="240" w:lineRule="auto"/>
        <w:jc w:val="both"/>
        <w:rPr>
          <w:rFonts w:ascii="ITC Avant Garde" w:hAnsi="ITC Avant Garde"/>
          <w:b/>
        </w:rPr>
      </w:pPr>
      <w:r w:rsidRPr="00353E8D">
        <w:rPr>
          <w:rFonts w:ascii="ITC Avant Garde" w:hAnsi="ITC Avant Garde"/>
          <w:b/>
        </w:rPr>
        <w:t xml:space="preserve">Comentario recibido </w:t>
      </w:r>
      <w:r>
        <w:rPr>
          <w:rFonts w:ascii="ITC Avant Garde" w:hAnsi="ITC Avant Garde"/>
          <w:b/>
        </w:rPr>
        <w:t>al a</w:t>
      </w:r>
      <w:r w:rsidRPr="00353E8D">
        <w:rPr>
          <w:rFonts w:ascii="ITC Avant Garde" w:hAnsi="ITC Avant Garde"/>
          <w:b/>
        </w:rPr>
        <w:t>rtículo 2, fracción III</w:t>
      </w:r>
    </w:p>
    <w:p w14:paraId="42D06189" w14:textId="14570240" w:rsidR="002F79F7" w:rsidRPr="00352340" w:rsidRDefault="002F79F7" w:rsidP="00C43007">
      <w:pPr>
        <w:spacing w:after="120" w:line="240" w:lineRule="auto"/>
        <w:jc w:val="both"/>
        <w:rPr>
          <w:rFonts w:ascii="ITC Avant Garde" w:hAnsi="ITC Avant Garde"/>
          <w:b/>
        </w:rPr>
      </w:pPr>
      <w:r w:rsidRPr="00F84D32">
        <w:rPr>
          <w:rFonts w:ascii="ITC Avant Garde" w:hAnsi="ITC Avant Garde"/>
        </w:rPr>
        <w:t>Bestphone</w:t>
      </w:r>
      <w:r w:rsidR="00C605D7">
        <w:rPr>
          <w:rFonts w:ascii="ITC Avant Garde" w:hAnsi="ITC Avant Garde"/>
        </w:rPr>
        <w:t xml:space="preserve"> y otros</w:t>
      </w:r>
      <w:r w:rsidRPr="00F84D32">
        <w:rPr>
          <w:rFonts w:ascii="ITC Avant Garde" w:hAnsi="ITC Avant Garde"/>
        </w:rPr>
        <w:t xml:space="preserve"> señala</w:t>
      </w:r>
      <w:r w:rsidR="00C605D7">
        <w:rPr>
          <w:rFonts w:ascii="ITC Avant Garde" w:hAnsi="ITC Avant Garde"/>
        </w:rPr>
        <w:t>n</w:t>
      </w:r>
      <w:r w:rsidRPr="00F84D32">
        <w:rPr>
          <w:rFonts w:ascii="ITC Avant Garde" w:hAnsi="ITC Avant Garde"/>
        </w:rPr>
        <w:t xml:space="preserve"> </w:t>
      </w:r>
      <w:r w:rsidR="00226199">
        <w:rPr>
          <w:rFonts w:ascii="ITC Avant Garde" w:hAnsi="ITC Avant Garde"/>
        </w:rPr>
        <w:t xml:space="preserve">comentario </w:t>
      </w:r>
      <w:r w:rsidR="000548BD">
        <w:rPr>
          <w:rFonts w:ascii="ITC Avant Garde" w:hAnsi="ITC Avant Garde"/>
        </w:rPr>
        <w:t>en los siguientes términos:</w:t>
      </w:r>
    </w:p>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977A83" w:rsidRPr="005F7866" w14:paraId="1753B34E" w14:textId="77777777" w:rsidTr="00570E4A">
        <w:trPr>
          <w:trHeight w:val="276"/>
        </w:trPr>
        <w:tc>
          <w:tcPr>
            <w:tcW w:w="8931" w:type="dxa"/>
            <w:shd w:val="clear" w:color="auto" w:fill="538135" w:themeFill="accent6" w:themeFillShade="BF"/>
          </w:tcPr>
          <w:p w14:paraId="4F3AA188" w14:textId="77777777" w:rsidR="00977A83" w:rsidRPr="00977A83" w:rsidRDefault="0097478C" w:rsidP="00C43007">
            <w:pPr>
              <w:pStyle w:val="Default"/>
              <w:spacing w:after="120"/>
              <w:jc w:val="center"/>
              <w:rPr>
                <w:rFonts w:ascii="ITC Avant Garde" w:hAnsi="ITC Avant Garde"/>
                <w:i/>
                <w:sz w:val="20"/>
                <w:szCs w:val="20"/>
              </w:rPr>
            </w:pPr>
            <w:r>
              <w:rPr>
                <w:rFonts w:ascii="ITC Avant Garde" w:hAnsi="ITC Avant Garde" w:cs="ITC Avant Garde"/>
                <w:b/>
                <w:color w:val="FFFFFF" w:themeColor="background1"/>
                <w:sz w:val="20"/>
                <w:szCs w:val="20"/>
              </w:rPr>
              <w:t>Bestphone y otros</w:t>
            </w:r>
          </w:p>
        </w:tc>
      </w:tr>
      <w:tr w:rsidR="002F79F7" w:rsidRPr="005F7866" w14:paraId="39706C8E" w14:textId="77777777" w:rsidTr="00C26AAA">
        <w:trPr>
          <w:trHeight w:val="698"/>
        </w:trPr>
        <w:tc>
          <w:tcPr>
            <w:tcW w:w="8931" w:type="dxa"/>
            <w:shd w:val="clear" w:color="auto" w:fill="C5E0B3" w:themeFill="accent6" w:themeFillTint="66"/>
            <w:vAlign w:val="center"/>
          </w:tcPr>
          <w:p w14:paraId="01126319" w14:textId="77777777" w:rsidR="002F79F7" w:rsidRPr="002F79F7" w:rsidRDefault="002F79F7" w:rsidP="00C43007">
            <w:pPr>
              <w:pStyle w:val="Default"/>
              <w:spacing w:after="120"/>
              <w:jc w:val="both"/>
              <w:rPr>
                <w:rFonts w:ascii="ITC Avant Garde" w:hAnsi="ITC Avant Garde"/>
                <w:i/>
                <w:sz w:val="18"/>
                <w:szCs w:val="18"/>
              </w:rPr>
            </w:pPr>
            <w:r w:rsidRPr="002F79F7">
              <w:rPr>
                <w:rFonts w:ascii="ITC Avant Garde" w:hAnsi="ITC Avant Garde"/>
                <w:i/>
                <w:sz w:val="18"/>
                <w:szCs w:val="18"/>
              </w:rPr>
              <w:t>No son todas las personas, pues sólo podrán hacer uso de ese medio aquellas que tengan una firma electrónica ante el SAT.</w:t>
            </w:r>
          </w:p>
        </w:tc>
      </w:tr>
    </w:tbl>
    <w:p w14:paraId="29015F73" w14:textId="77777777" w:rsidR="00353E8D" w:rsidRDefault="00353E8D" w:rsidP="00C43007">
      <w:pPr>
        <w:spacing w:after="120" w:line="240" w:lineRule="auto"/>
        <w:jc w:val="both"/>
        <w:rPr>
          <w:rFonts w:ascii="ITC Avant Garde" w:hAnsi="ITC Avant Garde"/>
          <w:b/>
        </w:rPr>
      </w:pPr>
    </w:p>
    <w:p w14:paraId="34B7983E" w14:textId="77777777" w:rsidR="00353E8D" w:rsidRPr="00353E8D" w:rsidRDefault="00353E8D" w:rsidP="00C43007">
      <w:pPr>
        <w:spacing w:after="120" w:line="240" w:lineRule="auto"/>
        <w:jc w:val="both"/>
        <w:rPr>
          <w:rFonts w:ascii="ITC Avant Garde" w:hAnsi="ITC Avant Garde"/>
          <w:b/>
        </w:rPr>
      </w:pPr>
      <w:r w:rsidRPr="00353E8D">
        <w:rPr>
          <w:rFonts w:ascii="ITC Avant Garde" w:hAnsi="ITC Avant Garde"/>
          <w:b/>
        </w:rPr>
        <w:t>Consideraciones</w:t>
      </w:r>
    </w:p>
    <w:p w14:paraId="6EBB15AC" w14:textId="039E8422" w:rsidR="007E50E7" w:rsidRDefault="0043493E" w:rsidP="00C43007">
      <w:pPr>
        <w:spacing w:after="120" w:line="240" w:lineRule="auto"/>
        <w:jc w:val="both"/>
        <w:rPr>
          <w:rFonts w:ascii="ITC Avant Garde" w:hAnsi="ITC Avant Garde"/>
        </w:rPr>
      </w:pPr>
      <w:r w:rsidRPr="0043493E">
        <w:rPr>
          <w:rFonts w:ascii="ITC Avant Garde" w:hAnsi="ITC Avant Garde"/>
        </w:rPr>
        <w:t xml:space="preserve">En atención </w:t>
      </w:r>
      <w:r w:rsidR="008F0ECF">
        <w:rPr>
          <w:rFonts w:ascii="ITC Avant Garde" w:hAnsi="ITC Avant Garde"/>
        </w:rPr>
        <w:t>al comentario anterior</w:t>
      </w:r>
      <w:r w:rsidRPr="0043493E">
        <w:rPr>
          <w:rFonts w:ascii="ITC Avant Garde" w:hAnsi="ITC Avant Garde"/>
        </w:rPr>
        <w:t xml:space="preserve">, se </w:t>
      </w:r>
      <w:r w:rsidR="000F525A">
        <w:rPr>
          <w:rFonts w:ascii="ITC Avant Garde" w:hAnsi="ITC Avant Garde"/>
        </w:rPr>
        <w:t xml:space="preserve">indica que la definición de denunciante establecida en el artículo 2, fracción III del Anteproyecto de Lineamientos se trata de un término genérico </w:t>
      </w:r>
      <w:r w:rsidR="005B2F59">
        <w:rPr>
          <w:rFonts w:ascii="ITC Avant Garde" w:hAnsi="ITC Avant Garde"/>
        </w:rPr>
        <w:t xml:space="preserve">referido a </w:t>
      </w:r>
      <w:r w:rsidR="000F525A">
        <w:rPr>
          <w:rFonts w:ascii="ITC Avant Garde" w:hAnsi="ITC Avant Garde"/>
        </w:rPr>
        <w:t xml:space="preserve">quien presenta una denuncia. El contar con una firma electrónica avanzada expedida por el SAT no forma parte de la definición de </w:t>
      </w:r>
      <w:r w:rsidR="000F525A" w:rsidRPr="007E50E7">
        <w:rPr>
          <w:rFonts w:ascii="ITC Avant Garde" w:hAnsi="ITC Avant Garde"/>
        </w:rPr>
        <w:t>denunciante</w:t>
      </w:r>
      <w:r w:rsidR="007E50E7">
        <w:rPr>
          <w:rFonts w:ascii="ITC Avant Garde" w:hAnsi="ITC Avant Garde"/>
        </w:rPr>
        <w:t xml:space="preserve">. </w:t>
      </w:r>
    </w:p>
    <w:p w14:paraId="1A3B5BDA" w14:textId="77777777" w:rsidR="007E50E7" w:rsidRDefault="007E50E7" w:rsidP="00C43007">
      <w:pPr>
        <w:spacing w:after="120" w:line="240" w:lineRule="auto"/>
        <w:jc w:val="both"/>
        <w:rPr>
          <w:rFonts w:ascii="ITC Avant Garde" w:hAnsi="ITC Avant Garde"/>
          <w:b/>
        </w:rPr>
      </w:pPr>
      <w:r>
        <w:rPr>
          <w:rFonts w:ascii="ITC Avant Garde" w:hAnsi="ITC Avant Garde"/>
        </w:rPr>
        <w:t>En este sentido, es improcedente lo señalado por Bestphone y otros.</w:t>
      </w:r>
    </w:p>
    <w:p w14:paraId="21F8082B" w14:textId="77777777" w:rsidR="00353E8D" w:rsidRPr="00353E8D" w:rsidRDefault="00353E8D" w:rsidP="00C43007">
      <w:pPr>
        <w:spacing w:after="120" w:line="240" w:lineRule="auto"/>
        <w:jc w:val="both"/>
        <w:rPr>
          <w:rFonts w:ascii="ITC Avant Garde" w:hAnsi="ITC Avant Garde"/>
          <w:b/>
        </w:rPr>
      </w:pPr>
      <w:r w:rsidRPr="00353E8D">
        <w:rPr>
          <w:rFonts w:ascii="ITC Avant Garde" w:hAnsi="ITC Avant Garde"/>
          <w:b/>
        </w:rPr>
        <w:t xml:space="preserve">Comentarios recibidos </w:t>
      </w:r>
      <w:r>
        <w:rPr>
          <w:rFonts w:ascii="ITC Avant Garde" w:hAnsi="ITC Avant Garde"/>
          <w:b/>
        </w:rPr>
        <w:t>al a</w:t>
      </w:r>
      <w:r w:rsidRPr="00353E8D">
        <w:rPr>
          <w:rFonts w:ascii="ITC Avant Garde" w:hAnsi="ITC Avant Garde"/>
          <w:b/>
        </w:rPr>
        <w:t>rtículo 2, fracción VI</w:t>
      </w:r>
    </w:p>
    <w:p w14:paraId="0E67D8DF" w14:textId="544E1B1D" w:rsidR="0096368B" w:rsidRDefault="004A1D4E" w:rsidP="00C43007">
      <w:pPr>
        <w:spacing w:after="120" w:line="240" w:lineRule="auto"/>
        <w:jc w:val="both"/>
        <w:rPr>
          <w:rFonts w:ascii="ITC Avant Garde" w:hAnsi="ITC Avant Garde"/>
        </w:rPr>
      </w:pPr>
      <w:r w:rsidRPr="005471EF">
        <w:rPr>
          <w:rFonts w:ascii="ITC Avant Garde" w:hAnsi="ITC Avant Garde"/>
        </w:rPr>
        <w:t>Bestphone</w:t>
      </w:r>
      <w:r w:rsidR="00C605D7">
        <w:rPr>
          <w:rFonts w:ascii="ITC Avant Garde" w:hAnsi="ITC Avant Garde"/>
        </w:rPr>
        <w:t xml:space="preserve"> y otros</w:t>
      </w:r>
      <w:r>
        <w:rPr>
          <w:rFonts w:ascii="ITC Avant Garde" w:hAnsi="ITC Avant Garde"/>
        </w:rPr>
        <w:t xml:space="preserve"> observa</w:t>
      </w:r>
      <w:r w:rsidR="00C605D7">
        <w:rPr>
          <w:rFonts w:ascii="ITC Avant Garde" w:hAnsi="ITC Avant Garde"/>
        </w:rPr>
        <w:t>n</w:t>
      </w:r>
      <w:r>
        <w:rPr>
          <w:rFonts w:ascii="ITC Avant Garde" w:hAnsi="ITC Avant Garde"/>
        </w:rPr>
        <w:t xml:space="preserve"> </w:t>
      </w:r>
      <w:r w:rsidR="00226199">
        <w:rPr>
          <w:rFonts w:ascii="ITC Avant Garde" w:hAnsi="ITC Avant Garde"/>
        </w:rPr>
        <w:t xml:space="preserve">diversos planteamientos </w:t>
      </w:r>
      <w:r w:rsidR="00FA2448">
        <w:rPr>
          <w:rFonts w:ascii="ITC Avant Garde" w:hAnsi="ITC Avant Garde"/>
        </w:rPr>
        <w:t xml:space="preserve">de acuerdo </w:t>
      </w:r>
      <w:r w:rsidR="000F525A">
        <w:rPr>
          <w:rFonts w:ascii="ITC Avant Garde" w:hAnsi="ITC Avant Garde"/>
        </w:rPr>
        <w:t>con</w:t>
      </w:r>
      <w:r w:rsidR="00FA2448">
        <w:rPr>
          <w:rFonts w:ascii="ITC Avant Garde" w:hAnsi="ITC Avant Garde"/>
        </w:rPr>
        <w:t xml:space="preserve"> lo siguiente:</w:t>
      </w:r>
    </w:p>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AA1A3F" w:rsidRPr="005F7866" w14:paraId="48801097" w14:textId="77777777" w:rsidTr="00570E4A">
        <w:trPr>
          <w:trHeight w:val="276"/>
        </w:trPr>
        <w:tc>
          <w:tcPr>
            <w:tcW w:w="8931" w:type="dxa"/>
            <w:shd w:val="clear" w:color="auto" w:fill="538135" w:themeFill="accent6" w:themeFillShade="BF"/>
          </w:tcPr>
          <w:p w14:paraId="778871BB" w14:textId="77777777" w:rsidR="00AA1A3F" w:rsidRPr="00977A83" w:rsidRDefault="0097478C" w:rsidP="00C43007">
            <w:pPr>
              <w:pStyle w:val="Default"/>
              <w:spacing w:after="120"/>
              <w:jc w:val="center"/>
              <w:rPr>
                <w:rFonts w:ascii="ITC Avant Garde" w:hAnsi="ITC Avant Garde"/>
                <w:i/>
                <w:sz w:val="20"/>
                <w:szCs w:val="20"/>
              </w:rPr>
            </w:pPr>
            <w:r>
              <w:rPr>
                <w:rFonts w:ascii="ITC Avant Garde" w:hAnsi="ITC Avant Garde" w:cs="ITC Avant Garde"/>
                <w:b/>
                <w:color w:val="FFFFFF" w:themeColor="background1"/>
                <w:sz w:val="20"/>
                <w:szCs w:val="20"/>
              </w:rPr>
              <w:t>Bestphone y otros</w:t>
            </w:r>
          </w:p>
        </w:tc>
      </w:tr>
      <w:tr w:rsidR="000548BD" w:rsidRPr="005F7866" w14:paraId="3866B8EE" w14:textId="77777777" w:rsidTr="004A1D4E">
        <w:trPr>
          <w:trHeight w:val="1210"/>
        </w:trPr>
        <w:tc>
          <w:tcPr>
            <w:tcW w:w="8931" w:type="dxa"/>
            <w:shd w:val="clear" w:color="auto" w:fill="C5E0B3" w:themeFill="accent6" w:themeFillTint="66"/>
            <w:vAlign w:val="center"/>
          </w:tcPr>
          <w:p w14:paraId="74093BDB" w14:textId="77777777" w:rsidR="000548BD" w:rsidRDefault="000548BD">
            <w:pPr>
              <w:pStyle w:val="Default"/>
              <w:spacing w:after="120"/>
              <w:jc w:val="both"/>
              <w:rPr>
                <w:rFonts w:ascii="ITC Avant Garde" w:hAnsi="ITC Avant Garde"/>
                <w:i/>
                <w:sz w:val="18"/>
                <w:szCs w:val="18"/>
              </w:rPr>
            </w:pPr>
            <w:r w:rsidRPr="00F84D32">
              <w:rPr>
                <w:rFonts w:ascii="ITC Avant Garde" w:hAnsi="ITC Avant Garde"/>
                <w:i/>
                <w:sz w:val="18"/>
                <w:szCs w:val="18"/>
              </w:rPr>
              <w:t xml:space="preserve">No se indica la forma en que se deberá de crear la contraseña ni </w:t>
            </w:r>
            <w:r w:rsidRPr="0031016E">
              <w:rPr>
                <w:rFonts w:ascii="ITC Avant Garde" w:hAnsi="ITC Avant Garde"/>
                <w:i/>
                <w:sz w:val="18"/>
                <w:szCs w:val="18"/>
              </w:rPr>
              <w:t>ante qué autoridad del Instituto</w:t>
            </w:r>
            <w:r w:rsidRPr="002F0888">
              <w:rPr>
                <w:rFonts w:ascii="ITC Avant Garde" w:hAnsi="ITC Avant Garde"/>
                <w:i/>
                <w:sz w:val="18"/>
                <w:szCs w:val="18"/>
              </w:rPr>
              <w:t>. Tampoco se indica la forma en que será registrada la firma electrónica del SAT ante el IFT. Ni tampoco se dice la vigencia de la firma y contraseña, en su caso.</w:t>
            </w:r>
            <w:r w:rsidRPr="00F84D32">
              <w:rPr>
                <w:rFonts w:ascii="ITC Avant Garde" w:hAnsi="ITC Avant Garde"/>
                <w:i/>
                <w:sz w:val="18"/>
                <w:szCs w:val="18"/>
              </w:rPr>
              <w:t xml:space="preserve"> </w:t>
            </w:r>
          </w:p>
          <w:p w14:paraId="214A39F2" w14:textId="77777777" w:rsidR="000548BD" w:rsidRDefault="000548BD">
            <w:pPr>
              <w:pStyle w:val="Default"/>
              <w:spacing w:after="120"/>
              <w:jc w:val="both"/>
              <w:rPr>
                <w:rFonts w:ascii="ITC Avant Garde" w:hAnsi="ITC Avant Garde"/>
                <w:i/>
                <w:sz w:val="18"/>
                <w:szCs w:val="18"/>
              </w:rPr>
            </w:pPr>
            <w:r w:rsidRPr="00F84D32">
              <w:rPr>
                <w:rFonts w:ascii="ITC Avant Garde" w:hAnsi="ITC Avant Garde"/>
                <w:i/>
                <w:sz w:val="18"/>
                <w:szCs w:val="18"/>
              </w:rPr>
              <w:t xml:space="preserve">Se sugiere: que en lugar de la firma electrónica, se dé la opción de crear una clave de acceso (usuario) diverse </w:t>
            </w:r>
            <w:r w:rsidRPr="00F84D32">
              <w:rPr>
                <w:rFonts w:ascii="ITC Avant Garde" w:hAnsi="ITC Avant Garde"/>
                <w:sz w:val="18"/>
                <w:szCs w:val="18"/>
              </w:rPr>
              <w:t>[sic]</w:t>
            </w:r>
            <w:r>
              <w:rPr>
                <w:rFonts w:ascii="ITC Avant Garde" w:hAnsi="ITC Avant Garde"/>
                <w:i/>
                <w:sz w:val="18"/>
                <w:szCs w:val="18"/>
              </w:rPr>
              <w:t xml:space="preserve"> </w:t>
            </w:r>
            <w:r w:rsidRPr="00F84D32">
              <w:rPr>
                <w:rFonts w:ascii="ITC Avant Garde" w:hAnsi="ITC Avant Garde"/>
                <w:i/>
                <w:sz w:val="18"/>
                <w:szCs w:val="18"/>
              </w:rPr>
              <w:t xml:space="preserve">a dicha firma. </w:t>
            </w:r>
          </w:p>
          <w:p w14:paraId="379DB648" w14:textId="77777777" w:rsidR="000548BD" w:rsidRPr="000548BD" w:rsidRDefault="000548BD">
            <w:pPr>
              <w:pStyle w:val="Default"/>
              <w:spacing w:after="120"/>
              <w:jc w:val="both"/>
              <w:rPr>
                <w:rFonts w:ascii="ITC Avant Garde" w:hAnsi="ITC Avant Garde"/>
                <w:i/>
                <w:sz w:val="18"/>
                <w:szCs w:val="18"/>
              </w:rPr>
            </w:pPr>
            <w:r w:rsidRPr="00F84D32">
              <w:rPr>
                <w:rFonts w:ascii="ITC Avant Garde" w:hAnsi="ITC Avant Garde"/>
                <w:i/>
                <w:sz w:val="18"/>
                <w:szCs w:val="18"/>
              </w:rPr>
              <w:t xml:space="preserve">Se sugiere especificar: para el caso de personas morales si con una sóla </w:t>
            </w:r>
            <w:r w:rsidR="000C15BC" w:rsidRPr="00F84D32">
              <w:rPr>
                <w:rFonts w:ascii="ITC Avant Garde" w:hAnsi="ITC Avant Garde"/>
                <w:sz w:val="18"/>
                <w:szCs w:val="18"/>
              </w:rPr>
              <w:t>[sic]</w:t>
            </w:r>
            <w:r w:rsidRPr="00F84D32">
              <w:rPr>
                <w:rFonts w:ascii="ITC Avant Garde" w:hAnsi="ITC Avant Garde"/>
                <w:i/>
                <w:sz w:val="18"/>
                <w:szCs w:val="18"/>
              </w:rPr>
              <w:t>contraseña puede utilizarla indistintamente cualquier autorizado o apoderado o si cada uno de estos requiere de una contraseña y clave de acceso.</w:t>
            </w:r>
          </w:p>
        </w:tc>
      </w:tr>
    </w:tbl>
    <w:p w14:paraId="57D154F5" w14:textId="77777777" w:rsidR="000548BD" w:rsidRDefault="000548BD" w:rsidP="00C43007">
      <w:pPr>
        <w:spacing w:after="120" w:line="240" w:lineRule="auto"/>
        <w:jc w:val="both"/>
        <w:rPr>
          <w:rFonts w:ascii="ITC Avant Garde" w:hAnsi="ITC Avant Garde"/>
          <w:b/>
        </w:rPr>
      </w:pPr>
    </w:p>
    <w:p w14:paraId="14B51452" w14:textId="77777777" w:rsidR="00353E8D" w:rsidRPr="00353E8D" w:rsidRDefault="00353E8D" w:rsidP="00C43007">
      <w:pPr>
        <w:spacing w:after="120" w:line="240" w:lineRule="auto"/>
        <w:jc w:val="both"/>
        <w:rPr>
          <w:rFonts w:ascii="ITC Avant Garde" w:hAnsi="ITC Avant Garde"/>
          <w:b/>
        </w:rPr>
      </w:pPr>
      <w:r w:rsidRPr="00BE5899">
        <w:rPr>
          <w:rFonts w:ascii="ITC Avant Garde" w:hAnsi="ITC Avant Garde"/>
          <w:b/>
        </w:rPr>
        <w:t>Consideraciones</w:t>
      </w:r>
    </w:p>
    <w:p w14:paraId="19C24B74" w14:textId="2AE3D043" w:rsidR="000601BE" w:rsidRDefault="000601BE" w:rsidP="00C43007">
      <w:pPr>
        <w:spacing w:after="120" w:line="240" w:lineRule="auto"/>
        <w:jc w:val="both"/>
        <w:rPr>
          <w:rFonts w:ascii="ITC Avant Garde" w:hAnsi="ITC Avant Garde"/>
        </w:rPr>
      </w:pPr>
      <w:r>
        <w:rPr>
          <w:rFonts w:ascii="ITC Avant Garde" w:hAnsi="ITC Avant Garde"/>
        </w:rPr>
        <w:t xml:space="preserve">Por lo que respecta a los comentarios antes referidos, se considera pertinente precisar que el artículo 2, fracción VI, del Anteproyecto de Lineamientos, únicamente refiere a lo que deberá entenderse como firma electrónica avanzada emitida por el </w:t>
      </w:r>
      <w:r w:rsidR="003965C5">
        <w:rPr>
          <w:rFonts w:ascii="ITC Avant Garde" w:hAnsi="ITC Avant Garde"/>
        </w:rPr>
        <w:t>SAT</w:t>
      </w:r>
      <w:r>
        <w:rPr>
          <w:rFonts w:ascii="ITC Avant Garde" w:hAnsi="ITC Avant Garde"/>
        </w:rPr>
        <w:t>.</w:t>
      </w:r>
    </w:p>
    <w:p w14:paraId="0C751F11" w14:textId="77777777" w:rsidR="000601BE" w:rsidRDefault="00026478" w:rsidP="00C43007">
      <w:pPr>
        <w:spacing w:after="120" w:line="240" w:lineRule="auto"/>
        <w:jc w:val="both"/>
        <w:rPr>
          <w:rFonts w:ascii="ITC Avant Garde" w:hAnsi="ITC Avant Garde"/>
        </w:rPr>
      </w:pPr>
      <w:r>
        <w:rPr>
          <w:rFonts w:ascii="ITC Avant Garde" w:hAnsi="ITC Avant Garde"/>
        </w:rPr>
        <w:t>Asimismo, el establecimiento de la</w:t>
      </w:r>
      <w:r w:rsidR="000601BE">
        <w:rPr>
          <w:rFonts w:ascii="ITC Avant Garde" w:hAnsi="ITC Avant Garde"/>
        </w:rPr>
        <w:t xml:space="preserve"> firma electrónica avanzada emitida por el SAT permitirá al denunciante fir</w:t>
      </w:r>
      <w:r>
        <w:rPr>
          <w:rFonts w:ascii="ITC Avant Garde" w:hAnsi="ITC Avant Garde"/>
        </w:rPr>
        <w:t>m</w:t>
      </w:r>
      <w:r w:rsidR="000601BE">
        <w:rPr>
          <w:rFonts w:ascii="ITC Avant Garde" w:hAnsi="ITC Avant Garde"/>
        </w:rPr>
        <w:t>ar la denuncia</w:t>
      </w:r>
      <w:r>
        <w:rPr>
          <w:rFonts w:ascii="ITC Avant Garde" w:hAnsi="ITC Avant Garde"/>
        </w:rPr>
        <w:t xml:space="preserve"> cuando es presentada en medios electrónicos, lo cual brinda </w:t>
      </w:r>
      <w:r>
        <w:rPr>
          <w:rFonts w:ascii="ITC Avant Garde" w:hAnsi="ITC Avant Garde"/>
        </w:rPr>
        <w:lastRenderedPageBreak/>
        <w:t xml:space="preserve">seguridad toda vez que </w:t>
      </w:r>
      <w:r w:rsidR="000601BE">
        <w:rPr>
          <w:rFonts w:ascii="ITC Avant Garde" w:hAnsi="ITC Avant Garde"/>
        </w:rPr>
        <w:t>produce los mismos efectos jurídicos que la firma autógrafa, tal y como se precisa en la fracción VI, del artículo 2 del Anteproyecto de Lineamientos.</w:t>
      </w:r>
    </w:p>
    <w:p w14:paraId="11EB08FA" w14:textId="00B95311" w:rsidR="00FC35E4" w:rsidRDefault="000601BE" w:rsidP="00C43007">
      <w:pPr>
        <w:spacing w:after="120" w:line="240" w:lineRule="auto"/>
        <w:jc w:val="both"/>
        <w:rPr>
          <w:rFonts w:ascii="ITC Avant Garde" w:hAnsi="ITC Avant Garde"/>
        </w:rPr>
      </w:pPr>
      <w:r>
        <w:rPr>
          <w:rFonts w:ascii="ITC Avant Garde" w:hAnsi="ITC Avant Garde"/>
        </w:rPr>
        <w:t xml:space="preserve">Por último, el participante </w:t>
      </w:r>
      <w:r w:rsidRPr="00C50B3E">
        <w:rPr>
          <w:rFonts w:ascii="ITC Avant Garde" w:hAnsi="ITC Avant Garde"/>
        </w:rPr>
        <w:t>sugiere especificar</w:t>
      </w:r>
      <w:r>
        <w:rPr>
          <w:rFonts w:ascii="ITC Avant Garde" w:hAnsi="ITC Avant Garde"/>
        </w:rPr>
        <w:t xml:space="preserve"> que</w:t>
      </w:r>
      <w:r w:rsidRPr="00C50B3E">
        <w:rPr>
          <w:rFonts w:ascii="ITC Avant Garde" w:hAnsi="ITC Avant Garde"/>
        </w:rPr>
        <w:t xml:space="preserve"> </w:t>
      </w:r>
      <w:r>
        <w:rPr>
          <w:rFonts w:ascii="ITC Avant Garde" w:hAnsi="ITC Avant Garde"/>
        </w:rPr>
        <w:t>“</w:t>
      </w:r>
      <w:r w:rsidRPr="00D50C10">
        <w:rPr>
          <w:rFonts w:ascii="ITC Avant Garde" w:hAnsi="ITC Avant Garde"/>
          <w:i/>
        </w:rPr>
        <w:t>para el caso de personas morales si con una sóla [sic]contraseña puede utilizarla indistintamente cualquier autorizado o apoderado o si cada uno de estos requiere de una contraseña y clave de acceso</w:t>
      </w:r>
      <w:r>
        <w:rPr>
          <w:rFonts w:ascii="ITC Avant Garde" w:hAnsi="ITC Avant Garde"/>
        </w:rPr>
        <w:t xml:space="preserve">”, a lo cual como ya se indicó, el </w:t>
      </w:r>
      <w:r w:rsidR="00BB68B8">
        <w:rPr>
          <w:rFonts w:ascii="ITC Avant Garde" w:hAnsi="ITC Avant Garde"/>
        </w:rPr>
        <w:t xml:space="preserve">artículo 2, fracción VI, del </w:t>
      </w:r>
      <w:r>
        <w:rPr>
          <w:rFonts w:ascii="ITC Avant Garde" w:hAnsi="ITC Avant Garde"/>
        </w:rPr>
        <w:t xml:space="preserve">Anteproyecto de Lineamientos no refiere </w:t>
      </w:r>
      <w:r w:rsidR="00BD4629">
        <w:rPr>
          <w:rFonts w:ascii="ITC Avant Garde" w:hAnsi="ITC Avant Garde"/>
        </w:rPr>
        <w:t xml:space="preserve">a </w:t>
      </w:r>
      <w:r>
        <w:rPr>
          <w:rFonts w:ascii="ITC Avant Garde" w:hAnsi="ITC Avant Garde"/>
        </w:rPr>
        <w:t>la creación de un usuario y contraseña</w:t>
      </w:r>
      <w:r w:rsidR="00BD4629">
        <w:rPr>
          <w:rFonts w:ascii="ITC Avant Garde" w:hAnsi="ITC Avant Garde"/>
        </w:rPr>
        <w:t>.</w:t>
      </w:r>
    </w:p>
    <w:p w14:paraId="7BC56D60" w14:textId="74B80256" w:rsidR="00FC35E4" w:rsidRDefault="00FC35E4" w:rsidP="00C43007">
      <w:pPr>
        <w:spacing w:after="120" w:line="240" w:lineRule="auto"/>
        <w:jc w:val="both"/>
        <w:rPr>
          <w:rFonts w:ascii="ITC Avant Garde" w:hAnsi="ITC Avant Garde"/>
        </w:rPr>
      </w:pPr>
      <w:r>
        <w:rPr>
          <w:rFonts w:ascii="ITC Avant Garde" w:hAnsi="ITC Avant Garde"/>
        </w:rPr>
        <w:t>En todo caso, las cuestiones relacionadas con el registro para ingresar al SEPDAI corresponde</w:t>
      </w:r>
      <w:r w:rsidR="000344A3">
        <w:rPr>
          <w:rFonts w:ascii="ITC Avant Garde" w:hAnsi="ITC Avant Garde"/>
        </w:rPr>
        <w:t>n</w:t>
      </w:r>
      <w:r>
        <w:rPr>
          <w:rFonts w:ascii="ITC Avant Garde" w:hAnsi="ITC Avant Garde"/>
        </w:rPr>
        <w:t xml:space="preserve"> a una guía para el uso del sistema, distinta del Anteproyecto de Lineamientos.</w:t>
      </w:r>
    </w:p>
    <w:p w14:paraId="4572DC86" w14:textId="77777777" w:rsidR="006B3206" w:rsidRDefault="006B3206" w:rsidP="00C43007">
      <w:pPr>
        <w:spacing w:after="120" w:line="240" w:lineRule="auto"/>
        <w:jc w:val="both"/>
        <w:rPr>
          <w:rFonts w:ascii="ITC Avant Garde" w:hAnsi="ITC Avant Garde"/>
        </w:rPr>
      </w:pPr>
      <w:r>
        <w:rPr>
          <w:rFonts w:ascii="ITC Avant Garde" w:hAnsi="ITC Avant Garde"/>
        </w:rPr>
        <w:t>En virtud de lo anterior</w:t>
      </w:r>
      <w:r w:rsidR="000D49A2">
        <w:rPr>
          <w:rFonts w:ascii="ITC Avant Garde" w:hAnsi="ITC Avant Garde"/>
        </w:rPr>
        <w:t>,</w:t>
      </w:r>
      <w:r>
        <w:rPr>
          <w:rFonts w:ascii="ITC Avant Garde" w:hAnsi="ITC Avant Garde"/>
        </w:rPr>
        <w:t xml:space="preserve"> </w:t>
      </w:r>
      <w:r w:rsidR="000D49A2" w:rsidRPr="0042150C">
        <w:rPr>
          <w:rFonts w:ascii="ITC Avant Garde" w:hAnsi="ITC Avant Garde"/>
        </w:rPr>
        <w:t>la</w:t>
      </w:r>
      <w:r w:rsidR="00D50C10">
        <w:rPr>
          <w:rFonts w:ascii="ITC Avant Garde" w:hAnsi="ITC Avant Garde"/>
        </w:rPr>
        <w:t>s</w:t>
      </w:r>
      <w:r w:rsidR="000D49A2" w:rsidRPr="0042150C">
        <w:rPr>
          <w:rFonts w:ascii="ITC Avant Garde" w:hAnsi="ITC Avant Garde"/>
        </w:rPr>
        <w:t xml:space="preserve"> </w:t>
      </w:r>
      <w:r w:rsidR="000D49A2">
        <w:rPr>
          <w:rFonts w:ascii="ITC Avant Garde" w:hAnsi="ITC Avant Garde"/>
        </w:rPr>
        <w:t>sugerencia</w:t>
      </w:r>
      <w:r w:rsidR="00D50C10">
        <w:rPr>
          <w:rFonts w:ascii="ITC Avant Garde" w:hAnsi="ITC Avant Garde"/>
        </w:rPr>
        <w:t>s</w:t>
      </w:r>
      <w:r w:rsidR="000D49A2" w:rsidRPr="0042150C">
        <w:rPr>
          <w:rFonts w:ascii="ITC Avant Garde" w:hAnsi="ITC Avant Garde"/>
        </w:rPr>
        <w:t xml:space="preserve"> </w:t>
      </w:r>
      <w:r w:rsidR="000D49A2">
        <w:rPr>
          <w:rFonts w:ascii="ITC Avant Garde" w:hAnsi="ITC Avant Garde"/>
        </w:rPr>
        <w:t>enviada</w:t>
      </w:r>
      <w:r w:rsidR="00D50C10">
        <w:rPr>
          <w:rFonts w:ascii="ITC Avant Garde" w:hAnsi="ITC Avant Garde"/>
        </w:rPr>
        <w:t>s</w:t>
      </w:r>
      <w:r w:rsidR="000D49A2" w:rsidRPr="0042150C">
        <w:rPr>
          <w:rFonts w:ascii="ITC Avant Garde" w:hAnsi="ITC Avant Garde"/>
        </w:rPr>
        <w:t xml:space="preserve"> por </w:t>
      </w:r>
      <w:r w:rsidR="000D49A2">
        <w:rPr>
          <w:rFonts w:ascii="ITC Avant Garde" w:hAnsi="ITC Avant Garde"/>
        </w:rPr>
        <w:t>Bestphone y otros</w:t>
      </w:r>
      <w:r w:rsidR="000D49A2" w:rsidRPr="0042150C">
        <w:rPr>
          <w:rFonts w:ascii="ITC Avant Garde" w:hAnsi="ITC Avant Garde"/>
        </w:rPr>
        <w:t xml:space="preserve"> se estima</w:t>
      </w:r>
      <w:r w:rsidR="00D50C10">
        <w:rPr>
          <w:rFonts w:ascii="ITC Avant Garde" w:hAnsi="ITC Avant Garde"/>
        </w:rPr>
        <w:t>n</w:t>
      </w:r>
      <w:r w:rsidR="000D49A2" w:rsidRPr="0042150C">
        <w:rPr>
          <w:rFonts w:ascii="ITC Avant Garde" w:hAnsi="ITC Avant Garde"/>
        </w:rPr>
        <w:t xml:space="preserve"> improcedente</w:t>
      </w:r>
      <w:r w:rsidR="00D50C10">
        <w:rPr>
          <w:rFonts w:ascii="ITC Avant Garde" w:hAnsi="ITC Avant Garde"/>
        </w:rPr>
        <w:t>s</w:t>
      </w:r>
      <w:r w:rsidR="000D49A2" w:rsidRPr="0042150C">
        <w:rPr>
          <w:rFonts w:ascii="ITC Avant Garde" w:hAnsi="ITC Avant Garde"/>
        </w:rPr>
        <w:t>.</w:t>
      </w:r>
    </w:p>
    <w:p w14:paraId="4EC9EBB9" w14:textId="77777777" w:rsidR="00353E8D" w:rsidRDefault="00353E8D" w:rsidP="00C43007">
      <w:pPr>
        <w:spacing w:after="120" w:line="240" w:lineRule="auto"/>
        <w:jc w:val="both"/>
        <w:rPr>
          <w:rFonts w:ascii="ITC Avant Garde" w:hAnsi="ITC Avant Garde"/>
          <w:b/>
        </w:rPr>
      </w:pPr>
      <w:r w:rsidRPr="00353E8D">
        <w:rPr>
          <w:rFonts w:ascii="ITC Avant Garde" w:hAnsi="ITC Avant Garde"/>
          <w:b/>
        </w:rPr>
        <w:t xml:space="preserve">Comentarios recibidos </w:t>
      </w:r>
      <w:r>
        <w:rPr>
          <w:rFonts w:ascii="ITC Avant Garde" w:hAnsi="ITC Avant Garde"/>
          <w:b/>
        </w:rPr>
        <w:t>al a</w:t>
      </w:r>
      <w:r w:rsidRPr="00353E8D">
        <w:rPr>
          <w:rFonts w:ascii="ITC Avant Garde" w:hAnsi="ITC Avant Garde"/>
          <w:b/>
        </w:rPr>
        <w:t>rtículo 2, fracción VII</w:t>
      </w:r>
    </w:p>
    <w:p w14:paraId="44C00FD9" w14:textId="196991C8" w:rsidR="00D13E04" w:rsidRDefault="00D13E04" w:rsidP="00C43007">
      <w:pPr>
        <w:spacing w:after="120" w:line="240" w:lineRule="auto"/>
        <w:jc w:val="both"/>
        <w:rPr>
          <w:rFonts w:ascii="ITC Avant Garde" w:hAnsi="ITC Avant Garde"/>
        </w:rPr>
      </w:pPr>
      <w:r w:rsidRPr="005471EF">
        <w:rPr>
          <w:rFonts w:ascii="ITC Avant Garde" w:hAnsi="ITC Avant Garde"/>
        </w:rPr>
        <w:t>Bestphone</w:t>
      </w:r>
      <w:r w:rsidR="00C605D7">
        <w:rPr>
          <w:rFonts w:ascii="ITC Avant Garde" w:hAnsi="ITC Avant Garde"/>
        </w:rPr>
        <w:t xml:space="preserve"> y otros</w:t>
      </w:r>
      <w:r>
        <w:rPr>
          <w:rFonts w:ascii="ITC Avant Garde" w:hAnsi="ITC Avant Garde"/>
        </w:rPr>
        <w:t xml:space="preserve"> señala</w:t>
      </w:r>
      <w:r w:rsidR="00C605D7">
        <w:rPr>
          <w:rFonts w:ascii="ITC Avant Garde" w:hAnsi="ITC Avant Garde"/>
        </w:rPr>
        <w:t>n</w:t>
      </w:r>
      <w:r>
        <w:rPr>
          <w:rFonts w:ascii="ITC Avant Garde" w:hAnsi="ITC Avant Garde"/>
        </w:rPr>
        <w:t xml:space="preserve"> </w:t>
      </w:r>
      <w:r w:rsidR="007F70D8">
        <w:rPr>
          <w:rFonts w:ascii="ITC Avant Garde" w:hAnsi="ITC Avant Garde"/>
        </w:rPr>
        <w:t xml:space="preserve">comentarios </w:t>
      </w:r>
      <w:r>
        <w:rPr>
          <w:rFonts w:ascii="ITC Avant Garde" w:hAnsi="ITC Avant Garde"/>
        </w:rPr>
        <w:t>en los siguientes términos:</w:t>
      </w:r>
    </w:p>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AA1A3F" w:rsidRPr="005F7866" w14:paraId="721E107F" w14:textId="77777777" w:rsidTr="00570E4A">
        <w:trPr>
          <w:trHeight w:val="276"/>
        </w:trPr>
        <w:tc>
          <w:tcPr>
            <w:tcW w:w="8931" w:type="dxa"/>
            <w:shd w:val="clear" w:color="auto" w:fill="538135" w:themeFill="accent6" w:themeFillShade="BF"/>
          </w:tcPr>
          <w:p w14:paraId="2CE1EBC1" w14:textId="77777777" w:rsidR="00AA1A3F" w:rsidRPr="00977A83" w:rsidRDefault="0097478C" w:rsidP="00C43007">
            <w:pPr>
              <w:pStyle w:val="Default"/>
              <w:spacing w:after="120"/>
              <w:jc w:val="center"/>
              <w:rPr>
                <w:rFonts w:ascii="ITC Avant Garde" w:hAnsi="ITC Avant Garde"/>
                <w:i/>
                <w:sz w:val="20"/>
                <w:szCs w:val="20"/>
              </w:rPr>
            </w:pPr>
            <w:r>
              <w:rPr>
                <w:rFonts w:ascii="ITC Avant Garde" w:hAnsi="ITC Avant Garde" w:cs="ITC Avant Garde"/>
                <w:b/>
                <w:color w:val="FFFFFF" w:themeColor="background1"/>
                <w:sz w:val="20"/>
                <w:szCs w:val="20"/>
              </w:rPr>
              <w:t>Bestphone y otros</w:t>
            </w:r>
          </w:p>
        </w:tc>
      </w:tr>
      <w:tr w:rsidR="00943B3F" w:rsidRPr="005F7866" w14:paraId="6DBCC860" w14:textId="77777777" w:rsidTr="0097478C">
        <w:trPr>
          <w:trHeight w:val="912"/>
        </w:trPr>
        <w:tc>
          <w:tcPr>
            <w:tcW w:w="8931" w:type="dxa"/>
            <w:shd w:val="clear" w:color="auto" w:fill="C5E0B3" w:themeFill="accent6" w:themeFillTint="66"/>
            <w:vAlign w:val="center"/>
          </w:tcPr>
          <w:p w14:paraId="066BB99F" w14:textId="77777777" w:rsidR="00943B3F" w:rsidRPr="00D13E04" w:rsidRDefault="00943B3F">
            <w:pPr>
              <w:pStyle w:val="Default"/>
              <w:spacing w:after="120"/>
              <w:jc w:val="both"/>
              <w:rPr>
                <w:rFonts w:ascii="ITC Avant Garde" w:hAnsi="ITC Avant Garde"/>
                <w:i/>
                <w:sz w:val="18"/>
                <w:szCs w:val="18"/>
              </w:rPr>
            </w:pPr>
            <w:r w:rsidRPr="00F84D32">
              <w:rPr>
                <w:rFonts w:ascii="ITC Avant Garde" w:hAnsi="ITC Avant Garde"/>
                <w:i/>
                <w:sz w:val="18"/>
                <w:szCs w:val="18"/>
              </w:rPr>
              <w:t>Al ser un documento de carácter meramente informativo, se considera que no debería ser considerado en los Lineamientos por no tener ninguna eficacia jurídica y por ende no ser vinculante ni obligatoria</w:t>
            </w:r>
            <w:r w:rsidR="00D13E04" w:rsidRPr="00F84D32">
              <w:rPr>
                <w:rFonts w:ascii="ITC Avant Garde" w:hAnsi="ITC Avant Garde"/>
                <w:i/>
                <w:sz w:val="18"/>
                <w:szCs w:val="18"/>
              </w:rPr>
              <w:t>.</w:t>
            </w:r>
          </w:p>
        </w:tc>
      </w:tr>
    </w:tbl>
    <w:p w14:paraId="162CD0C4" w14:textId="77777777" w:rsidR="00EB20FB" w:rsidRDefault="00EB20FB" w:rsidP="00C43007">
      <w:pPr>
        <w:spacing w:after="120" w:line="240" w:lineRule="auto"/>
        <w:jc w:val="both"/>
        <w:rPr>
          <w:rFonts w:ascii="ITC Avant Garde" w:hAnsi="ITC Avant Garde"/>
          <w:b/>
        </w:rPr>
      </w:pPr>
    </w:p>
    <w:p w14:paraId="410F640E" w14:textId="631ACCB9" w:rsidR="00353E8D" w:rsidRDefault="00353E8D" w:rsidP="00C43007">
      <w:pPr>
        <w:spacing w:after="120" w:line="240" w:lineRule="auto"/>
        <w:jc w:val="both"/>
        <w:rPr>
          <w:rFonts w:ascii="ITC Avant Garde" w:hAnsi="ITC Avant Garde"/>
          <w:b/>
        </w:rPr>
      </w:pPr>
      <w:r w:rsidRPr="00353E8D">
        <w:rPr>
          <w:rFonts w:ascii="ITC Avant Garde" w:hAnsi="ITC Avant Garde"/>
          <w:b/>
        </w:rPr>
        <w:t>Consideraciones</w:t>
      </w:r>
    </w:p>
    <w:p w14:paraId="3711B126" w14:textId="77777777" w:rsidR="003E36A2" w:rsidRPr="003E36A2" w:rsidRDefault="00EC4A73">
      <w:pPr>
        <w:spacing w:after="120" w:line="240" w:lineRule="auto"/>
        <w:jc w:val="both"/>
        <w:rPr>
          <w:rFonts w:ascii="ITC Avant Garde" w:hAnsi="ITC Avant Garde"/>
        </w:rPr>
      </w:pPr>
      <w:r>
        <w:rPr>
          <w:rFonts w:ascii="ITC Avant Garde" w:hAnsi="ITC Avant Garde"/>
        </w:rPr>
        <w:t>El artículo 2</w:t>
      </w:r>
      <w:r w:rsidR="00A918AC">
        <w:rPr>
          <w:rFonts w:ascii="ITC Avant Garde" w:hAnsi="ITC Avant Garde"/>
        </w:rPr>
        <w:t>, fracción VII,</w:t>
      </w:r>
      <w:r>
        <w:rPr>
          <w:rFonts w:ascii="ITC Avant Garde" w:hAnsi="ITC Avant Garde"/>
        </w:rPr>
        <w:t xml:space="preserve"> del Anteproyecto de Lineamientos</w:t>
      </w:r>
      <w:r w:rsidR="00A918AC">
        <w:rPr>
          <w:rFonts w:ascii="ITC Avant Garde" w:hAnsi="ITC Avant Garde"/>
        </w:rPr>
        <w:t xml:space="preserve">, únicamente hace referencia a la </w:t>
      </w:r>
      <w:r>
        <w:rPr>
          <w:rFonts w:ascii="ITC Avant Garde" w:hAnsi="ITC Avant Garde"/>
        </w:rPr>
        <w:t>“</w:t>
      </w:r>
      <w:r w:rsidRPr="00DC47EA">
        <w:rPr>
          <w:rFonts w:ascii="ITC Avant Garde" w:hAnsi="ITC Avant Garde"/>
          <w:i/>
        </w:rPr>
        <w:t>Guía para la presentación de denuncias de prácticas Monopólicas y concentraciones ilícitas en los sectores de telecomunicaciones y radiodifusión, emitida por el Pleno del Instituto Federal de Telecomunicaciones</w:t>
      </w:r>
      <w:r w:rsidR="00A918AC">
        <w:rPr>
          <w:rFonts w:ascii="ITC Avant Garde" w:hAnsi="ITC Avant Garde"/>
          <w:i/>
        </w:rPr>
        <w:t>,</w:t>
      </w:r>
      <w:r>
        <w:rPr>
          <w:rFonts w:ascii="ITC Avant Garde" w:hAnsi="ITC Avant Garde"/>
        </w:rPr>
        <w:t>”</w:t>
      </w:r>
      <w:r w:rsidR="00A918AC">
        <w:rPr>
          <w:rFonts w:ascii="ITC Avant Garde" w:hAnsi="ITC Avant Garde"/>
        </w:rPr>
        <w:t xml:space="preserve"> en virtud de que es un </w:t>
      </w:r>
      <w:r w:rsidR="008F0985">
        <w:rPr>
          <w:rFonts w:ascii="ITC Avant Garde" w:hAnsi="ITC Avant Garde"/>
        </w:rPr>
        <w:t xml:space="preserve">término </w:t>
      </w:r>
      <w:r w:rsidR="00A918AC">
        <w:rPr>
          <w:rFonts w:ascii="ITC Avant Garde" w:hAnsi="ITC Avant Garde"/>
        </w:rPr>
        <w:t>utilizad</w:t>
      </w:r>
      <w:r w:rsidR="008F0985">
        <w:rPr>
          <w:rFonts w:ascii="ITC Avant Garde" w:hAnsi="ITC Avant Garde"/>
        </w:rPr>
        <w:t>o</w:t>
      </w:r>
      <w:r w:rsidR="00A918AC">
        <w:rPr>
          <w:rFonts w:ascii="ITC Avant Garde" w:hAnsi="ITC Avant Garde"/>
        </w:rPr>
        <w:t xml:space="preserve"> en el cuerpo del citado Anteproyecto de Lineamientos</w:t>
      </w:r>
      <w:r w:rsidR="00DC47EA">
        <w:rPr>
          <w:rFonts w:ascii="ITC Avant Garde" w:hAnsi="ITC Avant Garde"/>
        </w:rPr>
        <w:t xml:space="preserve">, razón que </w:t>
      </w:r>
      <w:r w:rsidR="008F0985">
        <w:rPr>
          <w:rFonts w:ascii="ITC Avant Garde" w:hAnsi="ITC Avant Garde"/>
        </w:rPr>
        <w:t xml:space="preserve">justifica </w:t>
      </w:r>
      <w:r w:rsidR="00DC47EA">
        <w:rPr>
          <w:rFonts w:ascii="ITC Avant Garde" w:hAnsi="ITC Avant Garde"/>
        </w:rPr>
        <w:t>su mención</w:t>
      </w:r>
      <w:r w:rsidR="008F0985">
        <w:rPr>
          <w:rFonts w:ascii="ITC Avant Garde" w:hAnsi="ITC Avant Garde"/>
        </w:rPr>
        <w:t xml:space="preserve"> en el mismo</w:t>
      </w:r>
      <w:r w:rsidR="00DC47EA">
        <w:rPr>
          <w:rFonts w:ascii="ITC Avant Garde" w:hAnsi="ITC Avant Garde"/>
        </w:rPr>
        <w:t>.</w:t>
      </w:r>
      <w:r w:rsidR="008F0985">
        <w:rPr>
          <w:rFonts w:ascii="ITC Avant Garde" w:hAnsi="ITC Avant Garde"/>
        </w:rPr>
        <w:t xml:space="preserve"> Más aun, la Guía es un documento de carácter informativo,</w:t>
      </w:r>
      <w:r w:rsidR="00513609">
        <w:rPr>
          <w:rFonts w:ascii="ITC Avant Garde" w:hAnsi="ITC Avant Garde"/>
        </w:rPr>
        <w:t xml:space="preserve"> que tiene como finalidad orientar al público en general sobre los requisitos establecidos en el artículo 68 de la LFCE para la presentación de denuncias.</w:t>
      </w:r>
    </w:p>
    <w:p w14:paraId="3CC5C636" w14:textId="77777777" w:rsidR="003E36A2" w:rsidRPr="007E6C62" w:rsidRDefault="007E6C62">
      <w:pPr>
        <w:spacing w:after="120" w:line="240" w:lineRule="auto"/>
        <w:jc w:val="both"/>
        <w:rPr>
          <w:rFonts w:ascii="ITC Avant Garde" w:hAnsi="ITC Avant Garde"/>
        </w:rPr>
      </w:pPr>
      <w:r w:rsidRPr="007E6C62">
        <w:rPr>
          <w:rFonts w:ascii="ITC Avant Garde" w:hAnsi="ITC Avant Garde"/>
        </w:rPr>
        <w:t>Por lo anterior, es improcedente la petición de Bestphone y otros.</w:t>
      </w:r>
    </w:p>
    <w:p w14:paraId="028EB653" w14:textId="3C8FF393" w:rsidR="00353E8D" w:rsidRDefault="00353E8D" w:rsidP="00C43007">
      <w:pPr>
        <w:spacing w:after="120" w:line="240" w:lineRule="auto"/>
        <w:jc w:val="both"/>
        <w:rPr>
          <w:rFonts w:ascii="ITC Avant Garde" w:hAnsi="ITC Avant Garde"/>
          <w:b/>
        </w:rPr>
      </w:pPr>
      <w:r w:rsidRPr="00A462C6">
        <w:rPr>
          <w:rFonts w:ascii="ITC Avant Garde" w:hAnsi="ITC Avant Garde"/>
          <w:b/>
        </w:rPr>
        <w:t>Comentario recibido al artículo 2, fracción X</w:t>
      </w:r>
    </w:p>
    <w:p w14:paraId="58959BA2" w14:textId="70DCA839" w:rsidR="006E1EAC" w:rsidRDefault="006E1EAC" w:rsidP="00C43007">
      <w:pPr>
        <w:spacing w:after="120" w:line="240" w:lineRule="auto"/>
        <w:jc w:val="both"/>
        <w:rPr>
          <w:rFonts w:ascii="ITC Avant Garde" w:hAnsi="ITC Avant Garde"/>
        </w:rPr>
      </w:pPr>
      <w:r w:rsidRPr="005471EF">
        <w:rPr>
          <w:rFonts w:ascii="ITC Avant Garde" w:hAnsi="ITC Avant Garde"/>
        </w:rPr>
        <w:t>Bestphone</w:t>
      </w:r>
      <w:r>
        <w:rPr>
          <w:rFonts w:ascii="ITC Avant Garde" w:hAnsi="ITC Avant Garde"/>
        </w:rPr>
        <w:t xml:space="preserve"> </w:t>
      </w:r>
      <w:r w:rsidR="0039137A">
        <w:rPr>
          <w:rFonts w:ascii="ITC Avant Garde" w:hAnsi="ITC Avant Garde"/>
        </w:rPr>
        <w:t xml:space="preserve">y otros </w:t>
      </w:r>
      <w:r w:rsidR="004E274A">
        <w:rPr>
          <w:rFonts w:ascii="ITC Avant Garde" w:hAnsi="ITC Avant Garde"/>
        </w:rPr>
        <w:t>presenta</w:t>
      </w:r>
      <w:r w:rsidR="00EB20FB">
        <w:rPr>
          <w:rFonts w:ascii="ITC Avant Garde" w:hAnsi="ITC Avant Garde"/>
        </w:rPr>
        <w:t>ron</w:t>
      </w:r>
      <w:r w:rsidR="004E274A">
        <w:rPr>
          <w:rFonts w:ascii="ITC Avant Garde" w:hAnsi="ITC Avant Garde"/>
        </w:rPr>
        <w:t xml:space="preserve"> el comentario siguiente: </w:t>
      </w:r>
    </w:p>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AA1A3F" w:rsidRPr="005F7866" w14:paraId="40E6AF71" w14:textId="77777777" w:rsidTr="00570E4A">
        <w:trPr>
          <w:trHeight w:val="276"/>
        </w:trPr>
        <w:tc>
          <w:tcPr>
            <w:tcW w:w="8931" w:type="dxa"/>
            <w:shd w:val="clear" w:color="auto" w:fill="538135" w:themeFill="accent6" w:themeFillShade="BF"/>
          </w:tcPr>
          <w:p w14:paraId="226612A9" w14:textId="77777777" w:rsidR="00AA1A3F" w:rsidRPr="00977A83" w:rsidRDefault="0097478C" w:rsidP="00C43007">
            <w:pPr>
              <w:pStyle w:val="Default"/>
              <w:spacing w:after="120"/>
              <w:jc w:val="center"/>
              <w:rPr>
                <w:rFonts w:ascii="ITC Avant Garde" w:hAnsi="ITC Avant Garde"/>
                <w:i/>
                <w:sz w:val="20"/>
                <w:szCs w:val="20"/>
              </w:rPr>
            </w:pPr>
            <w:r>
              <w:rPr>
                <w:rFonts w:ascii="ITC Avant Garde" w:hAnsi="ITC Avant Garde" w:cs="ITC Avant Garde"/>
                <w:b/>
                <w:color w:val="FFFFFF" w:themeColor="background1"/>
                <w:sz w:val="20"/>
                <w:szCs w:val="20"/>
              </w:rPr>
              <w:t>Bestphone y otros</w:t>
            </w:r>
          </w:p>
        </w:tc>
      </w:tr>
      <w:tr w:rsidR="006E1EAC" w:rsidRPr="005F7866" w14:paraId="356AB25B" w14:textId="77777777" w:rsidTr="0097478C">
        <w:trPr>
          <w:trHeight w:val="870"/>
        </w:trPr>
        <w:tc>
          <w:tcPr>
            <w:tcW w:w="8931" w:type="dxa"/>
            <w:shd w:val="clear" w:color="auto" w:fill="C5E0B3" w:themeFill="accent6" w:themeFillTint="66"/>
            <w:vAlign w:val="center"/>
          </w:tcPr>
          <w:p w14:paraId="6CE557EB" w14:textId="77777777" w:rsidR="006E1EAC" w:rsidRPr="006E1EAC" w:rsidRDefault="006E1EAC">
            <w:pPr>
              <w:pStyle w:val="Default"/>
              <w:spacing w:after="120"/>
              <w:jc w:val="both"/>
              <w:rPr>
                <w:rFonts w:ascii="ITC Avant Garde" w:hAnsi="ITC Avant Garde"/>
                <w:i/>
                <w:sz w:val="18"/>
                <w:szCs w:val="18"/>
              </w:rPr>
            </w:pPr>
            <w:r w:rsidRPr="00F84D32">
              <w:rPr>
                <w:rFonts w:ascii="ITC Avant Garde" w:hAnsi="ITC Avant Garde"/>
                <w:i/>
                <w:sz w:val="18"/>
                <w:szCs w:val="18"/>
              </w:rPr>
              <w:t>Podría precisarse que en el sistema también se podrán consultar las actuaciones que integren el expediente, particularmente, aquellos escritos (incluida la denuncia) presentados por la denunciante y los acuerdos respectivos.</w:t>
            </w:r>
          </w:p>
        </w:tc>
      </w:tr>
    </w:tbl>
    <w:p w14:paraId="59491AC2" w14:textId="4524DABF" w:rsidR="006E1EAC" w:rsidRDefault="006E1EAC" w:rsidP="00C43007">
      <w:pPr>
        <w:spacing w:after="120" w:line="240" w:lineRule="auto"/>
        <w:jc w:val="both"/>
        <w:rPr>
          <w:rFonts w:ascii="ITC Avant Garde" w:hAnsi="ITC Avant Garde"/>
          <w:b/>
        </w:rPr>
      </w:pPr>
    </w:p>
    <w:p w14:paraId="31E8B7D1" w14:textId="6DB7EFBA" w:rsidR="00D62EA2" w:rsidRDefault="00D62EA2" w:rsidP="00C43007">
      <w:pPr>
        <w:spacing w:after="120" w:line="240" w:lineRule="auto"/>
        <w:jc w:val="both"/>
        <w:rPr>
          <w:rFonts w:ascii="ITC Avant Garde" w:hAnsi="ITC Avant Garde"/>
          <w:b/>
        </w:rPr>
      </w:pPr>
    </w:p>
    <w:p w14:paraId="4474A8E2" w14:textId="77777777" w:rsidR="00425F32" w:rsidRDefault="00425F32" w:rsidP="00C43007">
      <w:pPr>
        <w:spacing w:after="120" w:line="240" w:lineRule="auto"/>
        <w:jc w:val="both"/>
        <w:rPr>
          <w:rFonts w:ascii="ITC Avant Garde" w:hAnsi="ITC Avant Garde"/>
          <w:b/>
        </w:rPr>
      </w:pPr>
      <w:bookmarkStart w:id="0" w:name="_GoBack"/>
      <w:bookmarkEnd w:id="0"/>
    </w:p>
    <w:p w14:paraId="64946C2D" w14:textId="77777777" w:rsidR="00353E8D" w:rsidRPr="00353E8D" w:rsidRDefault="00353E8D" w:rsidP="00C43007">
      <w:pPr>
        <w:spacing w:after="120" w:line="240" w:lineRule="auto"/>
        <w:jc w:val="both"/>
        <w:rPr>
          <w:rFonts w:ascii="ITC Avant Garde" w:hAnsi="ITC Avant Garde"/>
          <w:b/>
        </w:rPr>
      </w:pPr>
      <w:r w:rsidRPr="00353E8D">
        <w:rPr>
          <w:rFonts w:ascii="ITC Avant Garde" w:hAnsi="ITC Avant Garde"/>
          <w:b/>
        </w:rPr>
        <w:lastRenderedPageBreak/>
        <w:t>Consideraciones</w:t>
      </w:r>
    </w:p>
    <w:p w14:paraId="7C45ED3E" w14:textId="288C89A7" w:rsidR="00664776" w:rsidRDefault="00664776" w:rsidP="00C43007">
      <w:pPr>
        <w:spacing w:after="120" w:line="240" w:lineRule="auto"/>
        <w:jc w:val="both"/>
        <w:rPr>
          <w:rFonts w:ascii="ITC Avant Garde" w:hAnsi="ITC Avant Garde"/>
        </w:rPr>
      </w:pPr>
      <w:r>
        <w:rPr>
          <w:rFonts w:ascii="ITC Avant Garde" w:hAnsi="ITC Avant Garde"/>
        </w:rPr>
        <w:t xml:space="preserve">Es pertinente aclarar que el artículo 2, fracción </w:t>
      </w:r>
      <w:r w:rsidR="0060416E">
        <w:rPr>
          <w:rFonts w:ascii="ITC Avant Garde" w:hAnsi="ITC Avant Garde"/>
        </w:rPr>
        <w:t>X</w:t>
      </w:r>
      <w:r>
        <w:rPr>
          <w:rFonts w:ascii="ITC Avant Garde" w:hAnsi="ITC Avant Garde"/>
        </w:rPr>
        <w:t xml:space="preserve">, del Anteproyecto de Lineamientos, </w:t>
      </w:r>
      <w:r w:rsidR="00EB20FB">
        <w:rPr>
          <w:rFonts w:ascii="ITC Avant Garde" w:hAnsi="ITC Avant Garde"/>
        </w:rPr>
        <w:t>se</w:t>
      </w:r>
      <w:r>
        <w:rPr>
          <w:rFonts w:ascii="ITC Avant Garde" w:hAnsi="ITC Avant Garde"/>
        </w:rPr>
        <w:t xml:space="preserve"> refiere </w:t>
      </w:r>
      <w:r w:rsidR="00EB20FB">
        <w:rPr>
          <w:rFonts w:ascii="ITC Avant Garde" w:hAnsi="ITC Avant Garde"/>
        </w:rPr>
        <w:t>al término</w:t>
      </w:r>
      <w:r>
        <w:rPr>
          <w:rFonts w:ascii="ITC Avant Garde" w:hAnsi="ITC Avant Garde"/>
        </w:rPr>
        <w:t xml:space="preserve"> </w:t>
      </w:r>
      <w:r w:rsidR="00EB20FB">
        <w:rPr>
          <w:rFonts w:ascii="ITC Avant Garde" w:hAnsi="ITC Avant Garde"/>
        </w:rPr>
        <w:t>“</w:t>
      </w:r>
      <w:r w:rsidRPr="00C43007">
        <w:rPr>
          <w:rFonts w:ascii="ITC Avant Garde" w:hAnsi="ITC Avant Garde"/>
          <w:i/>
        </w:rPr>
        <w:t>Registro</w:t>
      </w:r>
      <w:r w:rsidR="00EB20FB">
        <w:rPr>
          <w:rFonts w:ascii="ITC Avant Garde" w:hAnsi="ITC Avant Garde"/>
        </w:rPr>
        <w:t>”</w:t>
      </w:r>
      <w:r>
        <w:rPr>
          <w:rFonts w:ascii="ITC Avant Garde" w:hAnsi="ITC Avant Garde"/>
        </w:rPr>
        <w:t>, que es el proceso que deberá llevar a cabo el denunciante a través del SEPDAI, con la finali</w:t>
      </w:r>
      <w:r w:rsidR="0060416E">
        <w:rPr>
          <w:rFonts w:ascii="ITC Avant Garde" w:hAnsi="ITC Avant Garde"/>
        </w:rPr>
        <w:t>d</w:t>
      </w:r>
      <w:r>
        <w:rPr>
          <w:rFonts w:ascii="ITC Avant Garde" w:hAnsi="ITC Avant Garde"/>
        </w:rPr>
        <w:t>ad de presentar la denuncia</w:t>
      </w:r>
      <w:r w:rsidR="00EB20FB">
        <w:rPr>
          <w:rFonts w:ascii="ITC Avant Garde" w:hAnsi="ITC Avant Garde"/>
        </w:rPr>
        <w:t>; no obstante, el comentario del participante está relacionado con</w:t>
      </w:r>
      <w:r>
        <w:rPr>
          <w:rFonts w:ascii="ITC Avant Garde" w:hAnsi="ITC Avant Garde"/>
        </w:rPr>
        <w:t xml:space="preserve"> </w:t>
      </w:r>
      <w:r w:rsidR="00EB20FB">
        <w:rPr>
          <w:rFonts w:ascii="ITC Avant Garde" w:hAnsi="ITC Avant Garde"/>
        </w:rPr>
        <w:t>la fracción XI de dicho artículo, la cual se refiere al SEPDAI.</w:t>
      </w:r>
    </w:p>
    <w:p w14:paraId="4443892A" w14:textId="68C7B261" w:rsidR="0077516C" w:rsidRDefault="008A170A" w:rsidP="00C43007">
      <w:pPr>
        <w:spacing w:after="120" w:line="240" w:lineRule="auto"/>
        <w:jc w:val="both"/>
        <w:rPr>
          <w:rFonts w:ascii="ITC Avant Garde" w:hAnsi="ITC Avant Garde"/>
        </w:rPr>
      </w:pPr>
      <w:r>
        <w:rPr>
          <w:rFonts w:ascii="ITC Avant Garde" w:hAnsi="ITC Avant Garde"/>
        </w:rPr>
        <w:t>Ahora bien, e</w:t>
      </w:r>
      <w:r w:rsidR="00375BD9">
        <w:rPr>
          <w:rFonts w:ascii="ITC Avant Garde" w:hAnsi="ITC Avant Garde"/>
        </w:rPr>
        <w:t xml:space="preserve">l SEPDAI únicamente tiene interacción entre el denunciante y la AI, </w:t>
      </w:r>
      <w:r w:rsidR="001F2887">
        <w:rPr>
          <w:rFonts w:ascii="ITC Avant Garde" w:hAnsi="ITC Avant Garde"/>
        </w:rPr>
        <w:t xml:space="preserve">y el Anteproyecto de Lineamientos prevé que la AI notifique al denunciante las actuaciones vinculadas con la presentación de la denuncia. </w:t>
      </w:r>
      <w:r w:rsidR="00FA0EB2">
        <w:rPr>
          <w:rFonts w:ascii="ITC Avant Garde" w:hAnsi="ITC Avant Garde"/>
        </w:rPr>
        <w:t xml:space="preserve">En este sentido, el denunciante tendrá acceso a las promociones y actuaciones que correspondan en dicho sistema, sin perjuicio de la notificación personal de aquéllos que así lo requieran. </w:t>
      </w:r>
      <w:r w:rsidR="001F2887">
        <w:rPr>
          <w:rFonts w:ascii="ITC Avant Garde" w:hAnsi="ITC Avant Garde"/>
        </w:rPr>
        <w:t xml:space="preserve">Por tanto, </w:t>
      </w:r>
      <w:r w:rsidR="00FA0EB2">
        <w:rPr>
          <w:rFonts w:ascii="ITC Avant Garde" w:hAnsi="ITC Avant Garde"/>
        </w:rPr>
        <w:t xml:space="preserve">se considera innecesario </w:t>
      </w:r>
      <w:r w:rsidR="007562E3">
        <w:rPr>
          <w:rFonts w:ascii="ITC Avant Garde" w:hAnsi="ITC Avant Garde"/>
        </w:rPr>
        <w:t xml:space="preserve">realizar la </w:t>
      </w:r>
      <w:r w:rsidR="00FA0EB2">
        <w:rPr>
          <w:rFonts w:ascii="ITC Avant Garde" w:hAnsi="ITC Avant Garde"/>
        </w:rPr>
        <w:t>precis</w:t>
      </w:r>
      <w:r w:rsidR="007562E3">
        <w:rPr>
          <w:rFonts w:ascii="ITC Avant Garde" w:hAnsi="ITC Avant Garde"/>
        </w:rPr>
        <w:t xml:space="preserve">ión sugerida por </w:t>
      </w:r>
      <w:r w:rsidR="00FA0EB2">
        <w:rPr>
          <w:rFonts w:ascii="ITC Avant Garde" w:hAnsi="ITC Avant Garde"/>
        </w:rPr>
        <w:t xml:space="preserve">Bestphone y otros. </w:t>
      </w:r>
    </w:p>
    <w:p w14:paraId="774C549E" w14:textId="77777777" w:rsidR="0077516C" w:rsidRDefault="0077516C" w:rsidP="00C43007">
      <w:pPr>
        <w:spacing w:after="120" w:line="240" w:lineRule="auto"/>
        <w:jc w:val="both"/>
        <w:rPr>
          <w:rFonts w:ascii="ITC Avant Garde" w:hAnsi="ITC Avant Garde"/>
        </w:rPr>
      </w:pPr>
      <w:r>
        <w:rPr>
          <w:rFonts w:ascii="ITC Avant Garde" w:hAnsi="ITC Avant Garde"/>
        </w:rPr>
        <w:t>Por lo anterior, se estima improcedente la solicitud de Bestphone y otros.</w:t>
      </w:r>
    </w:p>
    <w:p w14:paraId="1ADFA972" w14:textId="706A336F" w:rsidR="003F2EC4" w:rsidRPr="00C6129D" w:rsidRDefault="003F2EC4" w:rsidP="00C43007">
      <w:pPr>
        <w:spacing w:after="120" w:line="240" w:lineRule="auto"/>
        <w:rPr>
          <w:rFonts w:ascii="ITC Avant Garde" w:hAnsi="ITC Avant Garde"/>
          <w:b/>
          <w:sz w:val="24"/>
        </w:rPr>
      </w:pPr>
      <w:r w:rsidRPr="00C6129D">
        <w:rPr>
          <w:rFonts w:ascii="ITC Avant Garde" w:hAnsi="ITC Avant Garde"/>
          <w:b/>
        </w:rPr>
        <w:t>6.</w:t>
      </w:r>
      <w:r w:rsidR="000B4DF4" w:rsidRPr="00C6129D">
        <w:rPr>
          <w:rFonts w:ascii="ITC Avant Garde" w:hAnsi="ITC Avant Garde"/>
          <w:b/>
        </w:rPr>
        <w:t>2</w:t>
      </w:r>
      <w:r w:rsidRPr="00C6129D">
        <w:rPr>
          <w:rFonts w:ascii="ITC Avant Garde" w:hAnsi="ITC Avant Garde"/>
          <w:b/>
        </w:rPr>
        <w:t>.</w:t>
      </w:r>
      <w:r w:rsidRPr="00C6129D">
        <w:rPr>
          <w:rFonts w:ascii="ITC Avant Garde" w:hAnsi="ITC Avant Garde"/>
          <w:b/>
        </w:rPr>
        <w:tab/>
      </w:r>
      <w:r w:rsidR="00353E8D" w:rsidRPr="00C6129D">
        <w:rPr>
          <w:rFonts w:ascii="ITC Avant Garde" w:hAnsi="ITC Avant Garde"/>
          <w:b/>
        </w:rPr>
        <w:t>Título segundo. Del funcionamiento del SEPDAI</w:t>
      </w:r>
    </w:p>
    <w:p w14:paraId="33D195D1" w14:textId="77777777" w:rsidR="00F353BC" w:rsidRDefault="003F2EC4" w:rsidP="00C43007">
      <w:pPr>
        <w:spacing w:after="120" w:line="240" w:lineRule="auto"/>
        <w:jc w:val="both"/>
        <w:rPr>
          <w:rFonts w:ascii="ITC Avant Garde" w:hAnsi="ITC Avant Garde"/>
          <w:b/>
        </w:rPr>
      </w:pPr>
      <w:r w:rsidRPr="005F7866">
        <w:rPr>
          <w:rFonts w:ascii="ITC Avant Garde" w:hAnsi="ITC Avant Garde"/>
          <w:b/>
        </w:rPr>
        <w:t>Comentarios</w:t>
      </w:r>
      <w:r w:rsidR="000B4DF4" w:rsidRPr="005F7866">
        <w:rPr>
          <w:rFonts w:ascii="ITC Avant Garde" w:hAnsi="ITC Avant Garde"/>
          <w:b/>
        </w:rPr>
        <w:t xml:space="preserve"> recibidos</w:t>
      </w:r>
      <w:r w:rsidR="001274F9">
        <w:rPr>
          <w:rFonts w:ascii="ITC Avant Garde" w:hAnsi="ITC Avant Garde"/>
          <w:b/>
        </w:rPr>
        <w:t xml:space="preserve"> </w:t>
      </w:r>
      <w:r w:rsidR="00353E8D">
        <w:rPr>
          <w:rFonts w:ascii="ITC Avant Garde" w:hAnsi="ITC Avant Garde"/>
          <w:b/>
        </w:rPr>
        <w:t>al artículo 4</w:t>
      </w:r>
    </w:p>
    <w:p w14:paraId="1C4102BC" w14:textId="08763ABF" w:rsidR="00FF0CEF" w:rsidRDefault="00FF0CEF" w:rsidP="00C43007">
      <w:pPr>
        <w:spacing w:after="120" w:line="240" w:lineRule="auto"/>
        <w:jc w:val="both"/>
        <w:rPr>
          <w:rFonts w:ascii="ITC Avant Garde" w:hAnsi="ITC Avant Garde"/>
        </w:rPr>
      </w:pPr>
      <w:r w:rsidRPr="005471EF">
        <w:rPr>
          <w:rFonts w:ascii="ITC Avant Garde" w:hAnsi="ITC Avant Garde"/>
        </w:rPr>
        <w:t>Bestphone</w:t>
      </w:r>
      <w:r>
        <w:rPr>
          <w:rFonts w:ascii="ITC Avant Garde" w:hAnsi="ITC Avant Garde"/>
        </w:rPr>
        <w:t xml:space="preserve"> </w:t>
      </w:r>
      <w:r w:rsidR="00AE1FEB">
        <w:rPr>
          <w:rFonts w:ascii="ITC Avant Garde" w:hAnsi="ITC Avant Garde"/>
        </w:rPr>
        <w:t>realiza</w:t>
      </w:r>
      <w:r>
        <w:rPr>
          <w:rFonts w:ascii="ITC Avant Garde" w:hAnsi="ITC Avant Garde"/>
        </w:rPr>
        <w:t xml:space="preserve"> tres observaciones </w:t>
      </w:r>
      <w:r w:rsidR="00363087">
        <w:rPr>
          <w:rFonts w:ascii="ITC Avant Garde" w:hAnsi="ITC Avant Garde"/>
        </w:rPr>
        <w:t xml:space="preserve">a manera de comentarios, como sigue: </w:t>
      </w:r>
    </w:p>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435BFC" w:rsidRPr="005F7866" w14:paraId="17C4A95B" w14:textId="77777777" w:rsidTr="00570E4A">
        <w:trPr>
          <w:trHeight w:val="276"/>
        </w:trPr>
        <w:tc>
          <w:tcPr>
            <w:tcW w:w="8931" w:type="dxa"/>
            <w:shd w:val="clear" w:color="auto" w:fill="538135" w:themeFill="accent6" w:themeFillShade="BF"/>
          </w:tcPr>
          <w:p w14:paraId="3673E929" w14:textId="77777777" w:rsidR="00435BFC" w:rsidRPr="00977A83" w:rsidRDefault="0097478C" w:rsidP="00C43007">
            <w:pPr>
              <w:pStyle w:val="Default"/>
              <w:spacing w:after="120"/>
              <w:jc w:val="center"/>
              <w:rPr>
                <w:rFonts w:ascii="ITC Avant Garde" w:hAnsi="ITC Avant Garde"/>
                <w:i/>
                <w:sz w:val="20"/>
                <w:szCs w:val="20"/>
              </w:rPr>
            </w:pPr>
            <w:r>
              <w:rPr>
                <w:rFonts w:ascii="ITC Avant Garde" w:hAnsi="ITC Avant Garde" w:cs="ITC Avant Garde"/>
                <w:b/>
                <w:color w:val="FFFFFF" w:themeColor="background1"/>
                <w:sz w:val="20"/>
                <w:szCs w:val="20"/>
              </w:rPr>
              <w:t>Bestphone y otros</w:t>
            </w:r>
          </w:p>
        </w:tc>
      </w:tr>
      <w:tr w:rsidR="00113C56" w:rsidRPr="005F7866" w14:paraId="0C5DB7DC" w14:textId="77777777" w:rsidTr="00446971">
        <w:trPr>
          <w:trHeight w:val="1210"/>
        </w:trPr>
        <w:tc>
          <w:tcPr>
            <w:tcW w:w="8931" w:type="dxa"/>
            <w:shd w:val="clear" w:color="auto" w:fill="C5E0B3" w:themeFill="accent6" w:themeFillTint="66"/>
            <w:vAlign w:val="center"/>
          </w:tcPr>
          <w:p w14:paraId="6EA1CB44" w14:textId="77777777" w:rsidR="00113C56" w:rsidRDefault="00113C56">
            <w:pPr>
              <w:pStyle w:val="Default"/>
              <w:spacing w:after="120"/>
              <w:jc w:val="both"/>
              <w:rPr>
                <w:rFonts w:ascii="ITC Avant Garde" w:hAnsi="ITC Avant Garde"/>
                <w:i/>
                <w:sz w:val="18"/>
                <w:szCs w:val="18"/>
              </w:rPr>
            </w:pPr>
            <w:r w:rsidRPr="005471EF">
              <w:rPr>
                <w:rFonts w:ascii="ITC Avant Garde" w:hAnsi="ITC Avant Garde"/>
                <w:i/>
                <w:sz w:val="18"/>
                <w:szCs w:val="18"/>
              </w:rPr>
              <w:t>•</w:t>
            </w:r>
            <w:r>
              <w:rPr>
                <w:rFonts w:ascii="ITC Avant Garde" w:hAnsi="ITC Avant Garde"/>
                <w:i/>
                <w:sz w:val="18"/>
                <w:szCs w:val="18"/>
              </w:rPr>
              <w:t xml:space="preserve"> </w:t>
            </w:r>
            <w:r w:rsidRPr="00F84D32">
              <w:rPr>
                <w:rFonts w:ascii="ITC Avant Garde" w:hAnsi="ITC Avant Garde"/>
                <w:i/>
                <w:sz w:val="18"/>
                <w:szCs w:val="18"/>
              </w:rPr>
              <w:t xml:space="preserve">No son todas las personas, pues sólo podrán hacer uso de ese medio aquellas que tengan una firma electrónica ante el SAT. </w:t>
            </w:r>
          </w:p>
          <w:p w14:paraId="4FFFED48" w14:textId="77777777" w:rsidR="00113C56" w:rsidRDefault="00113C56">
            <w:pPr>
              <w:pStyle w:val="Default"/>
              <w:spacing w:after="120"/>
              <w:jc w:val="both"/>
              <w:rPr>
                <w:rFonts w:ascii="ITC Avant Garde" w:hAnsi="ITC Avant Garde"/>
                <w:i/>
                <w:sz w:val="18"/>
                <w:szCs w:val="18"/>
              </w:rPr>
            </w:pPr>
            <w:r w:rsidRPr="00F84D32">
              <w:rPr>
                <w:rFonts w:ascii="ITC Avant Garde" w:hAnsi="ITC Avant Garde"/>
                <w:i/>
                <w:sz w:val="18"/>
                <w:szCs w:val="18"/>
              </w:rPr>
              <w:t xml:space="preserve">• Especificar “persona física o moral”. </w:t>
            </w:r>
          </w:p>
          <w:p w14:paraId="283ECD7B" w14:textId="77777777" w:rsidR="00113C56" w:rsidRPr="00FF0CEF" w:rsidRDefault="00113C56">
            <w:pPr>
              <w:pStyle w:val="Default"/>
              <w:spacing w:after="120"/>
              <w:jc w:val="both"/>
              <w:rPr>
                <w:rFonts w:ascii="ITC Avant Garde" w:hAnsi="ITC Avant Garde"/>
                <w:i/>
                <w:sz w:val="18"/>
                <w:szCs w:val="18"/>
              </w:rPr>
            </w:pPr>
            <w:r w:rsidRPr="00F84D32">
              <w:rPr>
                <w:rFonts w:ascii="ITC Avant Garde" w:hAnsi="ITC Avant Garde"/>
                <w:i/>
                <w:sz w:val="18"/>
                <w:szCs w:val="18"/>
              </w:rPr>
              <w:t xml:space="preserve">• Especificar que puede ser en días y horas </w:t>
            </w:r>
            <w:r w:rsidRPr="00BC0970">
              <w:rPr>
                <w:rFonts w:ascii="ITC Avant Garde" w:hAnsi="ITC Avant Garde"/>
                <w:i/>
                <w:sz w:val="18"/>
                <w:szCs w:val="18"/>
              </w:rPr>
              <w:t>inhábiles</w:t>
            </w:r>
            <w:r w:rsidRPr="00F84D32">
              <w:rPr>
                <w:rFonts w:ascii="ITC Avant Garde" w:hAnsi="ITC Avant Garde"/>
                <w:i/>
                <w:sz w:val="18"/>
                <w:szCs w:val="18"/>
              </w:rPr>
              <w:t xml:space="preserve"> para el Instituto.</w:t>
            </w:r>
          </w:p>
        </w:tc>
      </w:tr>
    </w:tbl>
    <w:p w14:paraId="0263340A" w14:textId="77777777" w:rsidR="00113C56" w:rsidRDefault="00113C56" w:rsidP="00C43007">
      <w:pPr>
        <w:spacing w:after="120" w:line="240" w:lineRule="auto"/>
        <w:jc w:val="both"/>
        <w:rPr>
          <w:rFonts w:ascii="ITC Avant Garde" w:hAnsi="ITC Avant Garde"/>
          <w:b/>
        </w:rPr>
      </w:pPr>
    </w:p>
    <w:p w14:paraId="32D01131" w14:textId="77777777" w:rsidR="00353E8D" w:rsidRDefault="00353E8D" w:rsidP="00C43007">
      <w:pPr>
        <w:spacing w:after="120" w:line="240" w:lineRule="auto"/>
        <w:jc w:val="both"/>
        <w:rPr>
          <w:rFonts w:ascii="ITC Avant Garde" w:hAnsi="ITC Avant Garde"/>
          <w:b/>
        </w:rPr>
      </w:pPr>
      <w:r w:rsidRPr="00353E8D">
        <w:rPr>
          <w:rFonts w:ascii="ITC Avant Garde" w:hAnsi="ITC Avant Garde"/>
          <w:b/>
        </w:rPr>
        <w:t>Consideraciones</w:t>
      </w:r>
    </w:p>
    <w:p w14:paraId="41454780" w14:textId="2E6DF6A1" w:rsidR="00275C7B" w:rsidRDefault="00BC0970" w:rsidP="00C43007">
      <w:pPr>
        <w:spacing w:after="120" w:line="240" w:lineRule="auto"/>
        <w:jc w:val="both"/>
        <w:rPr>
          <w:rFonts w:ascii="ITC Avant Garde" w:hAnsi="ITC Avant Garde"/>
        </w:rPr>
      </w:pPr>
      <w:r w:rsidRPr="0043493E">
        <w:rPr>
          <w:rFonts w:ascii="ITC Avant Garde" w:hAnsi="ITC Avant Garde"/>
        </w:rPr>
        <w:t xml:space="preserve">En atención a los </w:t>
      </w:r>
      <w:r>
        <w:rPr>
          <w:rFonts w:ascii="ITC Avant Garde" w:hAnsi="ITC Avant Garde"/>
        </w:rPr>
        <w:t xml:space="preserve">primeros dos </w:t>
      </w:r>
      <w:r w:rsidRPr="0043493E">
        <w:rPr>
          <w:rFonts w:ascii="ITC Avant Garde" w:hAnsi="ITC Avant Garde"/>
        </w:rPr>
        <w:t xml:space="preserve">comentarios, </w:t>
      </w:r>
      <w:r w:rsidR="009B5B85">
        <w:rPr>
          <w:rFonts w:ascii="ITC Avant Garde" w:hAnsi="ITC Avant Garde"/>
        </w:rPr>
        <w:t>y conforme se precisó en la consideración a lo señalado por Bestphone y otros</w:t>
      </w:r>
      <w:r w:rsidR="005D0247">
        <w:rPr>
          <w:rFonts w:ascii="ITC Avant Garde" w:hAnsi="ITC Avant Garde"/>
        </w:rPr>
        <w:t xml:space="preserve"> respecto del </w:t>
      </w:r>
      <w:r w:rsidR="009B5B85">
        <w:rPr>
          <w:rFonts w:ascii="ITC Avant Garde" w:hAnsi="ITC Avant Garde"/>
        </w:rPr>
        <w:t xml:space="preserve">artículo 2, fracción III, </w:t>
      </w:r>
      <w:r w:rsidRPr="0043493E">
        <w:rPr>
          <w:rFonts w:ascii="ITC Avant Garde" w:hAnsi="ITC Avant Garde"/>
        </w:rPr>
        <w:t xml:space="preserve">se </w:t>
      </w:r>
      <w:r>
        <w:rPr>
          <w:rFonts w:ascii="ITC Avant Garde" w:hAnsi="ITC Avant Garde"/>
        </w:rPr>
        <w:t xml:space="preserve">indica que el contar con una firma electrónica avanzada expedida por el SAT </w:t>
      </w:r>
      <w:r w:rsidR="005D0247">
        <w:rPr>
          <w:rFonts w:ascii="ITC Avant Garde" w:hAnsi="ITC Avant Garde"/>
        </w:rPr>
        <w:t xml:space="preserve">es </w:t>
      </w:r>
      <w:r>
        <w:rPr>
          <w:rFonts w:ascii="ITC Avant Garde" w:hAnsi="ITC Avant Garde"/>
        </w:rPr>
        <w:t xml:space="preserve">un </w:t>
      </w:r>
      <w:r w:rsidR="001E6F52">
        <w:rPr>
          <w:rFonts w:ascii="ITC Avant Garde" w:hAnsi="ITC Avant Garde"/>
        </w:rPr>
        <w:t>presupuesto</w:t>
      </w:r>
      <w:r>
        <w:rPr>
          <w:rFonts w:ascii="ITC Avant Garde" w:hAnsi="ITC Avant Garde"/>
        </w:rPr>
        <w:t xml:space="preserve"> que establece el Anteproyecto de Lineamientos para presentar la denuncia a través de medios electrónicos</w:t>
      </w:r>
      <w:r w:rsidR="00036FB4">
        <w:rPr>
          <w:rFonts w:ascii="ITC Avant Garde" w:hAnsi="ITC Avant Garde"/>
        </w:rPr>
        <w:t>, lo cual es un mecanismo opcional</w:t>
      </w:r>
      <w:r w:rsidR="00BC0321">
        <w:rPr>
          <w:rFonts w:ascii="ITC Avant Garde" w:hAnsi="ITC Avant Garde"/>
        </w:rPr>
        <w:t xml:space="preserve"> para facilitar su presentación</w:t>
      </w:r>
      <w:r w:rsidR="00036FB4">
        <w:rPr>
          <w:rFonts w:ascii="ITC Avant Garde" w:hAnsi="ITC Avant Garde"/>
        </w:rPr>
        <w:t xml:space="preserve">. </w:t>
      </w:r>
      <w:r w:rsidR="001D7AAB">
        <w:rPr>
          <w:rFonts w:ascii="ITC Avant Garde" w:hAnsi="ITC Avant Garde"/>
        </w:rPr>
        <w:t>Además, en dicho artículo y fracción se señala que cualquier persona podrá presentar una denuncia, ello de conformidad con lo establecido por el artículo 67 de la LFCE.</w:t>
      </w:r>
    </w:p>
    <w:p w14:paraId="17BC7364" w14:textId="77777777" w:rsidR="00152689" w:rsidRDefault="00152689" w:rsidP="00C43007">
      <w:pPr>
        <w:spacing w:after="120" w:line="240" w:lineRule="auto"/>
        <w:jc w:val="both"/>
        <w:rPr>
          <w:rFonts w:ascii="ITC Avant Garde" w:hAnsi="ITC Avant Garde"/>
        </w:rPr>
      </w:pPr>
      <w:r>
        <w:rPr>
          <w:rFonts w:ascii="ITC Avant Garde" w:hAnsi="ITC Avant Garde"/>
        </w:rPr>
        <w:t xml:space="preserve">Ahora bien, con relación al tercer comentario, </w:t>
      </w:r>
      <w:r w:rsidR="007D4BD0">
        <w:rPr>
          <w:rFonts w:ascii="ITC Avant Garde" w:hAnsi="ITC Avant Garde"/>
        </w:rPr>
        <w:t>el Anteproyecto de Lineamientos establece que el SEPDAI se encontrará en funcionamiento todo el tiempo, lo cual implica que es posible presentar una denuncia en días y horas inhábiles</w:t>
      </w:r>
      <w:r w:rsidR="00506753">
        <w:rPr>
          <w:rFonts w:ascii="ITC Avant Garde" w:hAnsi="ITC Avant Garde"/>
        </w:rPr>
        <w:t>, independientemente de que las actuaciones derivadas de la solicitud,</w:t>
      </w:r>
      <w:r w:rsidR="006128D6">
        <w:rPr>
          <w:rFonts w:ascii="ITC Avant Garde" w:hAnsi="ITC Avant Garde"/>
        </w:rPr>
        <w:t xml:space="preserve"> se </w:t>
      </w:r>
      <w:r w:rsidR="00BB3F94">
        <w:rPr>
          <w:rFonts w:ascii="ITC Avant Garde" w:hAnsi="ITC Avant Garde"/>
        </w:rPr>
        <w:t xml:space="preserve">deberán realizar </w:t>
      </w:r>
      <w:r w:rsidR="006128D6">
        <w:rPr>
          <w:rFonts w:ascii="ITC Avant Garde" w:hAnsi="ITC Avant Garde"/>
        </w:rPr>
        <w:t>en días y horas hábiles.</w:t>
      </w:r>
    </w:p>
    <w:p w14:paraId="237E7293" w14:textId="77777777" w:rsidR="008827C1" w:rsidRDefault="008827C1" w:rsidP="00C43007">
      <w:pPr>
        <w:spacing w:after="120" w:line="240" w:lineRule="auto"/>
        <w:jc w:val="both"/>
        <w:rPr>
          <w:rFonts w:ascii="ITC Avant Garde" w:hAnsi="ITC Avant Garde"/>
        </w:rPr>
      </w:pPr>
      <w:r>
        <w:rPr>
          <w:rFonts w:ascii="ITC Avant Garde" w:hAnsi="ITC Avant Garde"/>
        </w:rPr>
        <w:t>Por lo anterior, se consideran improcedentes los comentarios de Bestphone y otros.</w:t>
      </w:r>
    </w:p>
    <w:p w14:paraId="695D296B" w14:textId="77777777" w:rsidR="00353E8D" w:rsidRDefault="00353E8D" w:rsidP="00C43007">
      <w:pPr>
        <w:spacing w:after="120" w:line="240" w:lineRule="auto"/>
        <w:jc w:val="both"/>
        <w:rPr>
          <w:rFonts w:ascii="ITC Avant Garde" w:hAnsi="ITC Avant Garde"/>
          <w:b/>
        </w:rPr>
      </w:pPr>
      <w:r w:rsidRPr="00353E8D">
        <w:rPr>
          <w:rFonts w:ascii="ITC Avant Garde" w:hAnsi="ITC Avant Garde"/>
          <w:b/>
        </w:rPr>
        <w:t xml:space="preserve">Comentarios recibidos </w:t>
      </w:r>
      <w:r>
        <w:rPr>
          <w:rFonts w:ascii="ITC Avant Garde" w:hAnsi="ITC Avant Garde"/>
          <w:b/>
        </w:rPr>
        <w:t>al a</w:t>
      </w:r>
      <w:r w:rsidRPr="00353E8D">
        <w:rPr>
          <w:rFonts w:ascii="ITC Avant Garde" w:hAnsi="ITC Avant Garde"/>
          <w:b/>
        </w:rPr>
        <w:t xml:space="preserve">rtículo </w:t>
      </w:r>
      <w:r>
        <w:rPr>
          <w:rFonts w:ascii="ITC Avant Garde" w:hAnsi="ITC Avant Garde"/>
          <w:b/>
        </w:rPr>
        <w:t>5</w:t>
      </w:r>
    </w:p>
    <w:p w14:paraId="48482DF3" w14:textId="54A30A72" w:rsidR="001D1A30" w:rsidRPr="001D1A30" w:rsidRDefault="00160F14">
      <w:pPr>
        <w:spacing w:after="120" w:line="240" w:lineRule="auto"/>
        <w:jc w:val="both"/>
        <w:rPr>
          <w:rFonts w:ascii="ITC Avant Garde" w:hAnsi="ITC Avant Garde"/>
        </w:rPr>
      </w:pPr>
      <w:r>
        <w:rPr>
          <w:rFonts w:ascii="ITC Avant Garde" w:hAnsi="ITC Avant Garde"/>
        </w:rPr>
        <w:t>Carlos Mora Villalpando</w:t>
      </w:r>
      <w:r w:rsidR="00A37508">
        <w:rPr>
          <w:rFonts w:ascii="ITC Avant Garde" w:hAnsi="ITC Avant Garde"/>
        </w:rPr>
        <w:t xml:space="preserve">, así como </w:t>
      </w:r>
      <w:r w:rsidR="00A37508" w:rsidRPr="001D1A30">
        <w:rPr>
          <w:rFonts w:ascii="ITC Avant Garde" w:hAnsi="ITC Avant Garde"/>
        </w:rPr>
        <w:t>Bestphone y otros</w:t>
      </w:r>
      <w:r w:rsidR="00A37508">
        <w:rPr>
          <w:rFonts w:ascii="ITC Avant Garde" w:hAnsi="ITC Avant Garde"/>
        </w:rPr>
        <w:t>, realizaron comentarios conforme a lo siguiente:</w:t>
      </w:r>
      <w:r w:rsidR="00A37508" w:rsidDel="00A37508">
        <w:rPr>
          <w:rFonts w:ascii="ITC Avant Garde" w:hAnsi="ITC Avant Garde"/>
        </w:rPr>
        <w:t xml:space="preserve"> </w:t>
      </w:r>
    </w:p>
    <w:tbl>
      <w:tblPr>
        <w:tblStyle w:val="Tablaconcuadrcula"/>
        <w:tblW w:w="0" w:type="auto"/>
        <w:jc w:val="center"/>
        <w:tblLook w:val="04A0" w:firstRow="1" w:lastRow="0" w:firstColumn="1" w:lastColumn="0" w:noHBand="0" w:noVBand="1"/>
      </w:tblPr>
      <w:tblGrid>
        <w:gridCol w:w="4394"/>
        <w:gridCol w:w="4394"/>
      </w:tblGrid>
      <w:tr w:rsidR="008D51A1" w:rsidRPr="005F7866" w14:paraId="311BC298" w14:textId="77777777" w:rsidTr="00114CB9">
        <w:trPr>
          <w:jc w:val="center"/>
        </w:trPr>
        <w:tc>
          <w:tcPr>
            <w:tcW w:w="4394" w:type="dxa"/>
            <w:shd w:val="clear" w:color="auto" w:fill="538135" w:themeFill="accent6" w:themeFillShade="BF"/>
          </w:tcPr>
          <w:p w14:paraId="1417A8A9" w14:textId="77777777" w:rsidR="008D51A1" w:rsidRPr="005F7866" w:rsidRDefault="008D51A1" w:rsidP="00C43007">
            <w:pPr>
              <w:spacing w:after="120" w:line="240" w:lineRule="auto"/>
              <w:jc w:val="center"/>
              <w:rPr>
                <w:rFonts w:ascii="ITC Avant Garde" w:hAnsi="ITC Avant Garde"/>
                <w:b/>
                <w:color w:val="FFFFFF" w:themeColor="background1"/>
                <w:sz w:val="18"/>
                <w:szCs w:val="18"/>
              </w:rPr>
            </w:pPr>
            <w:r>
              <w:rPr>
                <w:rFonts w:ascii="ITC Avant Garde" w:hAnsi="ITC Avant Garde" w:cs="ITC Avant Garde"/>
                <w:b/>
                <w:color w:val="FFFFFF" w:themeColor="background1"/>
                <w:sz w:val="20"/>
                <w:szCs w:val="20"/>
              </w:rPr>
              <w:lastRenderedPageBreak/>
              <w:t>Bestphone y otros</w:t>
            </w:r>
          </w:p>
        </w:tc>
        <w:tc>
          <w:tcPr>
            <w:tcW w:w="4394" w:type="dxa"/>
            <w:shd w:val="clear" w:color="auto" w:fill="538135" w:themeFill="accent6" w:themeFillShade="BF"/>
          </w:tcPr>
          <w:p w14:paraId="6AAE05A7" w14:textId="77777777" w:rsidR="008D51A1" w:rsidRPr="005F7866" w:rsidRDefault="009C0058" w:rsidP="00C43007">
            <w:pPr>
              <w:spacing w:after="120" w:line="240" w:lineRule="auto"/>
              <w:jc w:val="center"/>
              <w:rPr>
                <w:rFonts w:ascii="ITC Avant Garde" w:hAnsi="ITC Avant Garde"/>
                <w:b/>
                <w:color w:val="FFFFFF" w:themeColor="background1"/>
                <w:sz w:val="18"/>
                <w:szCs w:val="18"/>
              </w:rPr>
            </w:pPr>
            <w:r>
              <w:rPr>
                <w:rFonts w:ascii="ITC Avant Garde" w:hAnsi="ITC Avant Garde"/>
                <w:b/>
                <w:color w:val="FFFFFF" w:themeColor="background1"/>
                <w:sz w:val="18"/>
                <w:szCs w:val="18"/>
              </w:rPr>
              <w:t>Carlos Mora Villalpando</w:t>
            </w:r>
          </w:p>
        </w:tc>
      </w:tr>
      <w:tr w:rsidR="008D51A1" w:rsidRPr="005F7866" w14:paraId="66C62128" w14:textId="77777777" w:rsidTr="00114CB9">
        <w:trPr>
          <w:jc w:val="center"/>
        </w:trPr>
        <w:tc>
          <w:tcPr>
            <w:tcW w:w="4394" w:type="dxa"/>
            <w:shd w:val="clear" w:color="auto" w:fill="C5E0B3" w:themeFill="accent6" w:themeFillTint="66"/>
          </w:tcPr>
          <w:p w14:paraId="1104FC6A" w14:textId="77777777" w:rsidR="008D51A1" w:rsidRDefault="008D51A1">
            <w:pPr>
              <w:pStyle w:val="Default"/>
              <w:spacing w:after="120"/>
              <w:jc w:val="both"/>
              <w:rPr>
                <w:rFonts w:ascii="ITC Avant Garde" w:hAnsi="ITC Avant Garde"/>
                <w:i/>
                <w:sz w:val="18"/>
                <w:szCs w:val="18"/>
              </w:rPr>
            </w:pPr>
            <w:r w:rsidRPr="00F84D32">
              <w:rPr>
                <w:rFonts w:ascii="ITC Avant Garde" w:hAnsi="ITC Avant Garde"/>
                <w:i/>
                <w:sz w:val="18"/>
                <w:szCs w:val="18"/>
              </w:rPr>
              <w:t xml:space="preserve">Al ser un documento de carácter meramente informativo, se considera que no debería ser considerado en los Lineamientos por no tener ninguna eficacia jurídica y por ende no ser vinculante ni obligatoria. </w:t>
            </w:r>
          </w:p>
          <w:p w14:paraId="07543505" w14:textId="77777777" w:rsidR="008D51A1" w:rsidRDefault="008D51A1">
            <w:pPr>
              <w:pStyle w:val="Default"/>
              <w:spacing w:after="120"/>
              <w:jc w:val="both"/>
              <w:rPr>
                <w:rFonts w:ascii="ITC Avant Garde" w:hAnsi="ITC Avant Garde"/>
                <w:i/>
                <w:sz w:val="18"/>
                <w:szCs w:val="18"/>
              </w:rPr>
            </w:pPr>
            <w:r w:rsidRPr="00F84D32">
              <w:rPr>
                <w:rFonts w:ascii="ITC Avant Garde" w:hAnsi="ITC Avant Garde"/>
                <w:i/>
                <w:sz w:val="18"/>
                <w:szCs w:val="18"/>
              </w:rPr>
              <w:t xml:space="preserve">Mismo comentario que se vierte en torno a todas referencias que de la “Guía” se realizan en el presente documento. </w:t>
            </w:r>
          </w:p>
          <w:p w14:paraId="4482B15F" w14:textId="77777777" w:rsidR="008D51A1" w:rsidRPr="0058725D" w:rsidRDefault="00EE50A1">
            <w:pPr>
              <w:pStyle w:val="Prrafodelista"/>
              <w:spacing w:after="120" w:line="240" w:lineRule="auto"/>
              <w:ind w:left="0"/>
              <w:contextualSpacing w:val="0"/>
              <w:jc w:val="both"/>
              <w:rPr>
                <w:rFonts w:ascii="ITC Avant Garde" w:hAnsi="ITC Avant Garde" w:cs="Arial"/>
                <w:b/>
                <w:sz w:val="18"/>
                <w:szCs w:val="18"/>
              </w:rPr>
            </w:pPr>
            <w:r w:rsidRPr="00F84D32">
              <w:rPr>
                <w:rFonts w:ascii="ITC Avant Garde" w:hAnsi="ITC Avant Garde"/>
                <w:i/>
                <w:sz w:val="18"/>
                <w:szCs w:val="18"/>
              </w:rPr>
              <w:t>Debería precisarse que la alerta debería ser enviada al correo proporcionado con al menos un día de anticipación para que las partes puedan estar al pendiente en el SEPDAI de que recibirán una notificación por ese medio, asimilando un poco esta medida a la de un citatorio.</w:t>
            </w:r>
          </w:p>
        </w:tc>
        <w:tc>
          <w:tcPr>
            <w:tcW w:w="4394" w:type="dxa"/>
            <w:shd w:val="clear" w:color="auto" w:fill="C5E0B3" w:themeFill="accent6" w:themeFillTint="66"/>
          </w:tcPr>
          <w:p w14:paraId="64DB57F6" w14:textId="77777777" w:rsidR="008D51A1" w:rsidRDefault="008D51A1">
            <w:pPr>
              <w:pStyle w:val="Default"/>
              <w:spacing w:after="120"/>
              <w:jc w:val="both"/>
              <w:rPr>
                <w:rFonts w:ascii="ITC Avant Garde" w:hAnsi="ITC Avant Garde"/>
                <w:i/>
                <w:sz w:val="18"/>
                <w:szCs w:val="18"/>
              </w:rPr>
            </w:pPr>
            <w:r w:rsidRPr="00F84D32">
              <w:rPr>
                <w:rFonts w:ascii="ITC Avant Garde" w:hAnsi="ITC Avant Garde"/>
                <w:i/>
                <w:sz w:val="18"/>
                <w:szCs w:val="18"/>
              </w:rPr>
              <w:t>En razón de que la Guía no es vinculante para el Institutito</w:t>
            </w:r>
            <w:r w:rsidR="005A1FE5">
              <w:rPr>
                <w:rFonts w:ascii="ITC Avant Garde" w:hAnsi="ITC Avant Garde"/>
                <w:i/>
                <w:sz w:val="18"/>
                <w:szCs w:val="18"/>
              </w:rPr>
              <w:t xml:space="preserve"> </w:t>
            </w:r>
            <w:r w:rsidR="005A1FE5" w:rsidRPr="005A1FE5">
              <w:rPr>
                <w:rFonts w:ascii="ITC Avant Garde" w:hAnsi="ITC Avant Garde"/>
                <w:sz w:val="18"/>
                <w:szCs w:val="18"/>
              </w:rPr>
              <w:t>[sic]</w:t>
            </w:r>
            <w:r w:rsidRPr="00F84D32">
              <w:rPr>
                <w:rFonts w:ascii="ITC Avant Garde" w:hAnsi="ITC Avant Garde"/>
                <w:i/>
                <w:sz w:val="18"/>
                <w:szCs w:val="18"/>
              </w:rPr>
              <w:t xml:space="preserve">, y con el objetivo de evitar que los posibles denunciantes confundan los requisitos obligatorios del artículo 68 con las recomendaciones de la Guía, y con ello demoren la presentación de una denuncia, se sugiere señalar que se consulte el artículo 68 de la ley, y solo como apoyo no vinculante las recomendaciones contenidas en la Guía. Se sugiere la siguiente redacción y la adición de un segundo párrafo, la cual se contiene en cursivas y resaltado en gris: </w:t>
            </w:r>
          </w:p>
          <w:p w14:paraId="4DCA5906" w14:textId="77777777" w:rsidR="008D51A1" w:rsidRPr="008D51A1" w:rsidRDefault="008D51A1">
            <w:pPr>
              <w:spacing w:after="120" w:line="240" w:lineRule="auto"/>
              <w:jc w:val="both"/>
              <w:rPr>
                <w:rFonts w:ascii="ITC Avant Garde" w:hAnsi="ITC Avant Garde" w:cs="Arial"/>
                <w:b/>
                <w:sz w:val="18"/>
                <w:szCs w:val="18"/>
              </w:rPr>
            </w:pPr>
            <w:r w:rsidRPr="00F84D32">
              <w:rPr>
                <w:rFonts w:ascii="ITC Avant Garde" w:hAnsi="ITC Avant Garde"/>
                <w:b/>
                <w:i/>
                <w:sz w:val="18"/>
                <w:szCs w:val="18"/>
              </w:rPr>
              <w:t>Artículo 5.</w:t>
            </w:r>
            <w:r w:rsidRPr="00F84D32">
              <w:rPr>
                <w:rFonts w:ascii="ITC Avant Garde" w:hAnsi="ITC Avant Garde"/>
                <w:i/>
                <w:sz w:val="18"/>
                <w:szCs w:val="18"/>
              </w:rPr>
              <w:t xml:space="preserve"> La denuncia se podrá presentar mediante escrito libre, o bien, mediante el llenado del formulario disponible para tal efecto en el SEPDAI. En ambos supuestos, el denunciante deberá cumplir con los requisitos </w:t>
            </w:r>
            <w:r w:rsidRPr="00F84D32">
              <w:rPr>
                <w:rFonts w:ascii="ITC Avant Garde" w:hAnsi="ITC Avant Garde"/>
                <w:b/>
                <w:i/>
                <w:sz w:val="18"/>
                <w:szCs w:val="18"/>
              </w:rPr>
              <w:t>de procedibilidad</w:t>
            </w:r>
            <w:r w:rsidRPr="00F84D32">
              <w:rPr>
                <w:rFonts w:ascii="ITC Avant Garde" w:hAnsi="ITC Avant Garde"/>
                <w:i/>
                <w:sz w:val="18"/>
                <w:szCs w:val="18"/>
              </w:rPr>
              <w:t xml:space="preserve"> establecidos en el artículo 68 de la Ley. </w:t>
            </w:r>
            <w:r w:rsidRPr="00F84D32">
              <w:rPr>
                <w:rFonts w:ascii="ITC Avant Garde" w:hAnsi="ITC Avant Garde"/>
                <w:b/>
                <w:i/>
                <w:sz w:val="18"/>
                <w:szCs w:val="18"/>
              </w:rPr>
              <w:t>Como orientación general, se sugiere consultar la Guía para conocer las recomendaciones del Instituto respecto a la información y documentos idóneos que ayudarán a satisfacer los requisitos de Ley.</w:t>
            </w:r>
          </w:p>
        </w:tc>
      </w:tr>
    </w:tbl>
    <w:p w14:paraId="59F2DD89" w14:textId="77777777" w:rsidR="00353E8D" w:rsidRDefault="00353E8D" w:rsidP="00C43007">
      <w:pPr>
        <w:spacing w:after="120" w:line="240" w:lineRule="auto"/>
        <w:jc w:val="both"/>
        <w:rPr>
          <w:rFonts w:ascii="ITC Avant Garde" w:hAnsi="ITC Avant Garde"/>
          <w:b/>
        </w:rPr>
      </w:pPr>
    </w:p>
    <w:p w14:paraId="5529C116" w14:textId="77777777" w:rsidR="00353E8D" w:rsidRDefault="00353E8D" w:rsidP="00C43007">
      <w:pPr>
        <w:spacing w:after="120" w:line="240" w:lineRule="auto"/>
        <w:jc w:val="both"/>
        <w:rPr>
          <w:rFonts w:ascii="ITC Avant Garde" w:hAnsi="ITC Avant Garde"/>
          <w:b/>
        </w:rPr>
      </w:pPr>
      <w:r w:rsidRPr="00C554C6">
        <w:rPr>
          <w:rFonts w:ascii="ITC Avant Garde" w:hAnsi="ITC Avant Garde"/>
          <w:b/>
        </w:rPr>
        <w:t>Consideraciones</w:t>
      </w:r>
    </w:p>
    <w:p w14:paraId="0768C490" w14:textId="329830F6" w:rsidR="0004148A" w:rsidRPr="00AE1FEB" w:rsidRDefault="0004148A">
      <w:pPr>
        <w:spacing w:after="120" w:line="240" w:lineRule="auto"/>
        <w:jc w:val="both"/>
        <w:rPr>
          <w:rFonts w:ascii="ITC Avant Garde" w:hAnsi="ITC Avant Garde"/>
        </w:rPr>
      </w:pPr>
      <w:r w:rsidRPr="001D1A30">
        <w:rPr>
          <w:rFonts w:ascii="ITC Avant Garde" w:hAnsi="ITC Avant Garde"/>
        </w:rPr>
        <w:t>En efecto,</w:t>
      </w:r>
      <w:r w:rsidRPr="001D1A30">
        <w:rPr>
          <w:rFonts w:ascii="ITC Avant Garde" w:hAnsi="ITC Avant Garde"/>
          <w:b/>
        </w:rPr>
        <w:t xml:space="preserve"> </w:t>
      </w:r>
      <w:r w:rsidR="00EB20FB">
        <w:rPr>
          <w:rFonts w:ascii="ITC Avant Garde" w:hAnsi="ITC Avant Garde"/>
        </w:rPr>
        <w:t>la</w:t>
      </w:r>
      <w:r w:rsidRPr="00AE1FEB">
        <w:rPr>
          <w:rFonts w:ascii="ITC Avant Garde" w:hAnsi="ITC Avant Garde"/>
        </w:rPr>
        <w:t xml:space="preserve"> Guía es un documento de carácter informativo, el cual no tiene un carácter vinculante y su cumplimiento no es obligatorio, </w:t>
      </w:r>
      <w:r w:rsidR="00AE1FEB" w:rsidRPr="00AE1FEB">
        <w:rPr>
          <w:rFonts w:ascii="ITC Avant Garde" w:hAnsi="ITC Avant Garde"/>
        </w:rPr>
        <w:t xml:space="preserve">sino que </w:t>
      </w:r>
      <w:r w:rsidRPr="00AE1FEB">
        <w:rPr>
          <w:rFonts w:ascii="ITC Avant Garde" w:hAnsi="ITC Avant Garde"/>
        </w:rPr>
        <w:t xml:space="preserve">tiene como única finalidad orientar al público en general sobre los requisitos establecidos en el artículo 68 de la LFCE para la presentación de denuncias de prácticas monopólicas y concentraciones ilícitas en los sectores de telecomunicaciones y radiodifusión ante la AI. </w:t>
      </w:r>
    </w:p>
    <w:p w14:paraId="59496D7A" w14:textId="77777777" w:rsidR="00873F49" w:rsidRPr="001D1A30" w:rsidRDefault="0004148A">
      <w:pPr>
        <w:spacing w:after="120" w:line="240" w:lineRule="auto"/>
        <w:jc w:val="both"/>
        <w:rPr>
          <w:rFonts w:ascii="ITC Avant Garde" w:hAnsi="ITC Avant Garde"/>
        </w:rPr>
      </w:pPr>
      <w:r w:rsidRPr="00AE1FEB">
        <w:rPr>
          <w:rFonts w:ascii="ITC Avant Garde" w:hAnsi="ITC Avant Garde"/>
        </w:rPr>
        <w:t xml:space="preserve">En este sentido, el artículo 5 del Anteproyecto de Lineamientos refiere que el denunciante podrá consultar </w:t>
      </w:r>
      <w:r w:rsidR="007B4948">
        <w:rPr>
          <w:rFonts w:ascii="ITC Avant Garde" w:hAnsi="ITC Avant Garde"/>
        </w:rPr>
        <w:t>la</w:t>
      </w:r>
      <w:r w:rsidRPr="00AE1FEB">
        <w:rPr>
          <w:rFonts w:ascii="ITC Avant Garde" w:hAnsi="ITC Avant Garde"/>
        </w:rPr>
        <w:t xml:space="preserve"> Guía a efecto de conocer la información y documentos adecuados para satisfacer los requisitos mencionados</w:t>
      </w:r>
      <w:r w:rsidRPr="001D1A30">
        <w:rPr>
          <w:rFonts w:ascii="ITC Avant Garde" w:hAnsi="ITC Avant Garde"/>
        </w:rPr>
        <w:t xml:space="preserve"> en el párrafo anterior</w:t>
      </w:r>
      <w:r w:rsidR="00A35FF4" w:rsidRPr="001D1A30">
        <w:rPr>
          <w:rFonts w:ascii="ITC Avant Garde" w:hAnsi="ITC Avant Garde"/>
        </w:rPr>
        <w:t>, sin ser obligatorio</w:t>
      </w:r>
      <w:r w:rsidR="003E6CB5">
        <w:rPr>
          <w:rFonts w:ascii="ITC Avant Garde" w:hAnsi="ITC Avant Garde"/>
        </w:rPr>
        <w:t>, por lo que no se considera necesario realizar la adición sugerida por Carlos Mora Villalpando</w:t>
      </w:r>
      <w:r w:rsidR="00A35FF4" w:rsidRPr="001D1A30">
        <w:rPr>
          <w:rFonts w:ascii="ITC Avant Garde" w:hAnsi="ITC Avant Garde"/>
        </w:rPr>
        <w:t>.</w:t>
      </w:r>
    </w:p>
    <w:p w14:paraId="70F9BEC1" w14:textId="3ED1B7D7" w:rsidR="00AC1B4E" w:rsidRDefault="008D51A1">
      <w:pPr>
        <w:spacing w:after="120" w:line="240" w:lineRule="auto"/>
        <w:jc w:val="both"/>
        <w:rPr>
          <w:rFonts w:ascii="ITC Avant Garde" w:hAnsi="ITC Avant Garde"/>
        </w:rPr>
      </w:pPr>
      <w:r w:rsidRPr="001D1A30">
        <w:rPr>
          <w:rFonts w:ascii="ITC Avant Garde" w:hAnsi="ITC Avant Garde"/>
        </w:rPr>
        <w:t xml:space="preserve">Por otro lado, el </w:t>
      </w:r>
      <w:r w:rsidR="001D1A30">
        <w:rPr>
          <w:rFonts w:ascii="ITC Avant Garde" w:hAnsi="ITC Avant Garde"/>
        </w:rPr>
        <w:t>último párrafo del</w:t>
      </w:r>
      <w:r w:rsidR="001D1A30" w:rsidRPr="001D1A30">
        <w:rPr>
          <w:rFonts w:ascii="ITC Avant Garde" w:hAnsi="ITC Avant Garde"/>
        </w:rPr>
        <w:t xml:space="preserve"> </w:t>
      </w:r>
      <w:r w:rsidR="001D1A30" w:rsidRPr="008C1668">
        <w:rPr>
          <w:rFonts w:ascii="ITC Avant Garde" w:hAnsi="ITC Avant Garde"/>
        </w:rPr>
        <w:t>artículo 5 del Anteproyecto de Lineamientos</w:t>
      </w:r>
      <w:r w:rsidR="001D1A30" w:rsidRPr="001D1A30">
        <w:rPr>
          <w:rFonts w:ascii="ITC Avant Garde" w:hAnsi="ITC Avant Garde"/>
        </w:rPr>
        <w:t xml:space="preserve"> </w:t>
      </w:r>
      <w:r w:rsidR="00AC1B4E">
        <w:rPr>
          <w:rFonts w:ascii="ITC Avant Garde" w:hAnsi="ITC Avant Garde"/>
        </w:rPr>
        <w:t xml:space="preserve">establece </w:t>
      </w:r>
      <w:r w:rsidR="00677A31">
        <w:rPr>
          <w:rFonts w:ascii="ITC Avant Garde" w:hAnsi="ITC Avant Garde"/>
        </w:rPr>
        <w:t>que</w:t>
      </w:r>
      <w:r w:rsidR="00AC1B4E">
        <w:rPr>
          <w:rFonts w:ascii="ITC Avant Garde" w:hAnsi="ITC Avant Garde"/>
        </w:rPr>
        <w:t xml:space="preserve"> el denunciante proporcionar</w:t>
      </w:r>
      <w:r w:rsidR="005B6F15">
        <w:rPr>
          <w:rFonts w:ascii="ITC Avant Garde" w:hAnsi="ITC Avant Garde"/>
        </w:rPr>
        <w:t>á</w:t>
      </w:r>
      <w:r w:rsidR="00AC1B4E">
        <w:rPr>
          <w:rFonts w:ascii="ITC Avant Garde" w:hAnsi="ITC Avant Garde"/>
        </w:rPr>
        <w:t xml:space="preserve"> un correo electrónico para recibir las alertas </w:t>
      </w:r>
      <w:r w:rsidR="0097388F">
        <w:rPr>
          <w:rFonts w:ascii="ITC Avant Garde" w:hAnsi="ITC Avant Garde"/>
        </w:rPr>
        <w:t xml:space="preserve">relacionadas con las </w:t>
      </w:r>
      <w:r w:rsidR="00AC1B4E">
        <w:rPr>
          <w:rFonts w:ascii="ITC Avant Garde" w:hAnsi="ITC Avant Garde"/>
        </w:rPr>
        <w:t xml:space="preserve">notificaciones que se realicen a través del SEPDAI, </w:t>
      </w:r>
      <w:r w:rsidR="0097388F">
        <w:rPr>
          <w:rFonts w:ascii="ITC Avant Garde" w:hAnsi="ITC Avant Garde"/>
        </w:rPr>
        <w:t>por lo que l</w:t>
      </w:r>
      <w:r w:rsidR="00AC1B4E">
        <w:rPr>
          <w:rFonts w:ascii="ITC Avant Garde" w:hAnsi="ITC Avant Garde"/>
        </w:rPr>
        <w:t xml:space="preserve">as especificaciones </w:t>
      </w:r>
      <w:r w:rsidR="00100934">
        <w:rPr>
          <w:rFonts w:ascii="ITC Avant Garde" w:hAnsi="ITC Avant Garde"/>
        </w:rPr>
        <w:t xml:space="preserve">relativas a la </w:t>
      </w:r>
      <w:r w:rsidR="00AC1B4E">
        <w:rPr>
          <w:rFonts w:ascii="ITC Avant Garde" w:hAnsi="ITC Avant Garde"/>
        </w:rPr>
        <w:t xml:space="preserve">forma </w:t>
      </w:r>
      <w:r w:rsidR="00100934">
        <w:rPr>
          <w:rFonts w:ascii="ITC Avant Garde" w:hAnsi="ITC Avant Garde"/>
        </w:rPr>
        <w:t xml:space="preserve">en que operarán las </w:t>
      </w:r>
      <w:r w:rsidR="00AC1B4E">
        <w:rPr>
          <w:rFonts w:ascii="ITC Avant Garde" w:hAnsi="ITC Avant Garde"/>
        </w:rPr>
        <w:t xml:space="preserve">alertas </w:t>
      </w:r>
      <w:r w:rsidR="0097388F">
        <w:rPr>
          <w:rFonts w:ascii="ITC Avant Garde" w:hAnsi="ITC Avant Garde"/>
        </w:rPr>
        <w:t xml:space="preserve">relacionadas con notificaciones a través del multicitado sistema, </w:t>
      </w:r>
      <w:r w:rsidR="00AC1B4E">
        <w:rPr>
          <w:rFonts w:ascii="ITC Avant Garde" w:hAnsi="ITC Avant Garde"/>
        </w:rPr>
        <w:t xml:space="preserve">se indican en </w:t>
      </w:r>
      <w:r w:rsidR="00302C80">
        <w:rPr>
          <w:rFonts w:ascii="ITC Avant Garde" w:hAnsi="ITC Avant Garde"/>
        </w:rPr>
        <w:t xml:space="preserve">el </w:t>
      </w:r>
      <w:r w:rsidR="00AC1B4E" w:rsidRPr="001D1A30">
        <w:rPr>
          <w:rFonts w:ascii="ITC Avant Garde" w:hAnsi="ITC Avant Garde"/>
        </w:rPr>
        <w:t>artículo</w:t>
      </w:r>
      <w:r w:rsidR="00AC1B4E" w:rsidRPr="00AC1B4E">
        <w:rPr>
          <w:rFonts w:ascii="ITC Avant Garde" w:hAnsi="ITC Avant Garde"/>
        </w:rPr>
        <w:t xml:space="preserve"> 8 del Anteproyecto de Lineamientos</w:t>
      </w:r>
      <w:r w:rsidR="00AC1B4E">
        <w:rPr>
          <w:rFonts w:ascii="ITC Avant Garde" w:hAnsi="ITC Avant Garde"/>
        </w:rPr>
        <w:t>.</w:t>
      </w:r>
    </w:p>
    <w:p w14:paraId="3817DF5C" w14:textId="77777777" w:rsidR="00D937B2" w:rsidRPr="00AC1B4E" w:rsidRDefault="00AC1B4E">
      <w:pPr>
        <w:spacing w:after="120" w:line="240" w:lineRule="auto"/>
        <w:jc w:val="both"/>
        <w:rPr>
          <w:rFonts w:ascii="ITC Avant Garde" w:hAnsi="ITC Avant Garde"/>
        </w:rPr>
      </w:pPr>
      <w:r>
        <w:rPr>
          <w:rFonts w:ascii="ITC Avant Garde" w:hAnsi="ITC Avant Garde"/>
        </w:rPr>
        <w:t xml:space="preserve">En virtud de lo anterior, </w:t>
      </w:r>
      <w:r w:rsidR="00AE1FEB">
        <w:rPr>
          <w:rFonts w:ascii="ITC Avant Garde" w:hAnsi="ITC Avant Garde"/>
        </w:rPr>
        <w:t xml:space="preserve">los comentarios </w:t>
      </w:r>
      <w:r>
        <w:rPr>
          <w:rFonts w:ascii="ITC Avant Garde" w:hAnsi="ITC Avant Garde"/>
        </w:rPr>
        <w:t xml:space="preserve">de </w:t>
      </w:r>
      <w:r w:rsidRPr="001D1A30">
        <w:rPr>
          <w:rFonts w:ascii="ITC Avant Garde" w:hAnsi="ITC Avant Garde"/>
        </w:rPr>
        <w:t>Bestphone y otros y Carlos Mora Villalpando</w:t>
      </w:r>
      <w:r w:rsidR="00AE1FEB">
        <w:rPr>
          <w:rFonts w:ascii="ITC Avant Garde" w:hAnsi="ITC Avant Garde"/>
        </w:rPr>
        <w:t xml:space="preserve"> resultan improcedentes</w:t>
      </w:r>
      <w:r>
        <w:rPr>
          <w:rFonts w:ascii="ITC Avant Garde" w:hAnsi="ITC Avant Garde"/>
        </w:rPr>
        <w:t>.</w:t>
      </w:r>
    </w:p>
    <w:p w14:paraId="06E09FF9" w14:textId="7C670383" w:rsidR="00353E8D" w:rsidRDefault="00353E8D" w:rsidP="00C43007">
      <w:pPr>
        <w:spacing w:after="120" w:line="240" w:lineRule="auto"/>
        <w:jc w:val="both"/>
        <w:rPr>
          <w:rFonts w:ascii="ITC Avant Garde" w:hAnsi="ITC Avant Garde"/>
          <w:b/>
        </w:rPr>
      </w:pPr>
      <w:r>
        <w:rPr>
          <w:rFonts w:ascii="ITC Avant Garde" w:hAnsi="ITC Avant Garde"/>
          <w:b/>
        </w:rPr>
        <w:t>Comentario recibido al artículo 6, fracción IV</w:t>
      </w:r>
    </w:p>
    <w:p w14:paraId="42D8CFAA" w14:textId="4C383F54" w:rsidR="00431B25" w:rsidRDefault="00431B25" w:rsidP="00C43007">
      <w:pPr>
        <w:spacing w:after="120" w:line="240" w:lineRule="auto"/>
        <w:jc w:val="both"/>
        <w:rPr>
          <w:rFonts w:ascii="ITC Avant Garde" w:hAnsi="ITC Avant Garde" w:cs="Arial"/>
        </w:rPr>
      </w:pPr>
      <w:r w:rsidRPr="00F84D32">
        <w:rPr>
          <w:rFonts w:ascii="ITC Avant Garde" w:hAnsi="ITC Avant Garde"/>
        </w:rPr>
        <w:t>Bestphon</w:t>
      </w:r>
      <w:r>
        <w:rPr>
          <w:rFonts w:ascii="ITC Avant Garde" w:hAnsi="ITC Avant Garde"/>
        </w:rPr>
        <w:t xml:space="preserve">e </w:t>
      </w:r>
      <w:r w:rsidR="008D4364">
        <w:rPr>
          <w:rFonts w:ascii="ITC Avant Garde" w:hAnsi="ITC Avant Garde"/>
        </w:rPr>
        <w:t xml:space="preserve">y otros </w:t>
      </w:r>
      <w:r w:rsidR="0099516B">
        <w:rPr>
          <w:rFonts w:ascii="ITC Avant Garde" w:hAnsi="ITC Avant Garde"/>
        </w:rPr>
        <w:t xml:space="preserve">presentaron </w:t>
      </w:r>
      <w:r w:rsidR="007276EE">
        <w:rPr>
          <w:rFonts w:ascii="ITC Avant Garde" w:hAnsi="ITC Avant Garde"/>
        </w:rPr>
        <w:t xml:space="preserve">un comentario como sigue: </w:t>
      </w:r>
    </w:p>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435BFC" w:rsidRPr="005F7866" w14:paraId="66B18AC8" w14:textId="77777777" w:rsidTr="00570E4A">
        <w:trPr>
          <w:trHeight w:val="276"/>
        </w:trPr>
        <w:tc>
          <w:tcPr>
            <w:tcW w:w="8931" w:type="dxa"/>
            <w:shd w:val="clear" w:color="auto" w:fill="538135" w:themeFill="accent6" w:themeFillShade="BF"/>
          </w:tcPr>
          <w:p w14:paraId="25BD3546" w14:textId="77777777" w:rsidR="00435BFC" w:rsidRPr="00977A83" w:rsidRDefault="0097478C" w:rsidP="00C43007">
            <w:pPr>
              <w:pStyle w:val="Default"/>
              <w:spacing w:after="120"/>
              <w:jc w:val="center"/>
              <w:rPr>
                <w:rFonts w:ascii="ITC Avant Garde" w:hAnsi="ITC Avant Garde"/>
                <w:i/>
                <w:sz w:val="20"/>
                <w:szCs w:val="20"/>
              </w:rPr>
            </w:pPr>
            <w:r>
              <w:rPr>
                <w:rFonts w:ascii="ITC Avant Garde" w:hAnsi="ITC Avant Garde" w:cs="ITC Avant Garde"/>
                <w:b/>
                <w:color w:val="FFFFFF" w:themeColor="background1"/>
                <w:sz w:val="20"/>
                <w:szCs w:val="20"/>
              </w:rPr>
              <w:lastRenderedPageBreak/>
              <w:t>Bestphone y otros</w:t>
            </w:r>
          </w:p>
        </w:tc>
      </w:tr>
      <w:tr w:rsidR="00431B25" w:rsidRPr="005F7866" w14:paraId="7FA897BA" w14:textId="77777777" w:rsidTr="00F84D32">
        <w:trPr>
          <w:trHeight w:val="426"/>
        </w:trPr>
        <w:tc>
          <w:tcPr>
            <w:tcW w:w="8931" w:type="dxa"/>
            <w:shd w:val="clear" w:color="auto" w:fill="C5E0B3" w:themeFill="accent6" w:themeFillTint="66"/>
            <w:vAlign w:val="center"/>
          </w:tcPr>
          <w:p w14:paraId="4425F804" w14:textId="77777777" w:rsidR="00431B25" w:rsidRPr="00431B25" w:rsidRDefault="00431B25">
            <w:pPr>
              <w:pStyle w:val="Default"/>
              <w:spacing w:after="120"/>
              <w:rPr>
                <w:rFonts w:ascii="ITC Avant Garde" w:hAnsi="ITC Avant Garde"/>
                <w:i/>
                <w:sz w:val="18"/>
                <w:szCs w:val="18"/>
              </w:rPr>
            </w:pPr>
            <w:r w:rsidRPr="00F84D32">
              <w:rPr>
                <w:rFonts w:ascii="ITC Avant Garde" w:hAnsi="ITC Avant Garde"/>
                <w:i/>
                <w:sz w:val="18"/>
                <w:szCs w:val="18"/>
              </w:rPr>
              <w:t>Se podría solicitar que también se indique el número de expediente.</w:t>
            </w:r>
          </w:p>
        </w:tc>
      </w:tr>
    </w:tbl>
    <w:p w14:paraId="1295B3BC" w14:textId="77777777" w:rsidR="00CC118D" w:rsidRDefault="00CC118D" w:rsidP="00C43007">
      <w:pPr>
        <w:spacing w:after="120" w:line="240" w:lineRule="auto"/>
        <w:jc w:val="both"/>
        <w:rPr>
          <w:rFonts w:ascii="ITC Avant Garde" w:hAnsi="ITC Avant Garde"/>
          <w:b/>
        </w:rPr>
      </w:pPr>
    </w:p>
    <w:p w14:paraId="659DF39C" w14:textId="3DB2E205" w:rsidR="00E852CA" w:rsidRPr="00792B39" w:rsidRDefault="00E852CA" w:rsidP="00C43007">
      <w:pPr>
        <w:spacing w:after="120" w:line="240" w:lineRule="auto"/>
        <w:jc w:val="both"/>
        <w:rPr>
          <w:rFonts w:ascii="ITC Avant Garde" w:hAnsi="ITC Avant Garde"/>
          <w:b/>
        </w:rPr>
      </w:pPr>
      <w:r w:rsidRPr="00792B39">
        <w:rPr>
          <w:rFonts w:ascii="ITC Avant Garde" w:hAnsi="ITC Avant Garde"/>
          <w:b/>
        </w:rPr>
        <w:t>Consideraciones</w:t>
      </w:r>
    </w:p>
    <w:p w14:paraId="0C24F230" w14:textId="24E2535B" w:rsidR="007D6FA7" w:rsidRPr="007D6FA7" w:rsidRDefault="00622D4C" w:rsidP="00C43007">
      <w:pPr>
        <w:spacing w:after="120" w:line="240" w:lineRule="auto"/>
        <w:jc w:val="both"/>
        <w:rPr>
          <w:rFonts w:ascii="ITC Avant Garde" w:hAnsi="ITC Avant Garde"/>
        </w:rPr>
      </w:pPr>
      <w:r>
        <w:rPr>
          <w:rFonts w:ascii="ITC Avant Garde" w:hAnsi="ITC Avant Garde"/>
        </w:rPr>
        <w:t>S</w:t>
      </w:r>
      <w:r w:rsidR="007D6FA7" w:rsidRPr="007D6FA7">
        <w:rPr>
          <w:rFonts w:ascii="ITC Avant Garde" w:hAnsi="ITC Avant Garde"/>
        </w:rPr>
        <w:t xml:space="preserve">e considera </w:t>
      </w:r>
      <w:r>
        <w:rPr>
          <w:rFonts w:ascii="ITC Avant Garde" w:hAnsi="ITC Avant Garde"/>
        </w:rPr>
        <w:t>im</w:t>
      </w:r>
      <w:r w:rsidR="007D6FA7" w:rsidRPr="007D6FA7">
        <w:rPr>
          <w:rFonts w:ascii="ITC Avant Garde" w:hAnsi="ITC Avant Garde"/>
        </w:rPr>
        <w:t xml:space="preserve">procedente lo solicitado por el participante, en virtud de que el número de expediente se </w:t>
      </w:r>
      <w:r w:rsidR="00F05B1B">
        <w:rPr>
          <w:rFonts w:ascii="ITC Avant Garde" w:hAnsi="ITC Avant Garde"/>
        </w:rPr>
        <w:t>asigna en la primera actuación, esto es, en el acuerdo de prevención, acuerdo de desechamiento, o el acuerdo de inicio</w:t>
      </w:r>
      <w:r w:rsidR="00B601AC">
        <w:rPr>
          <w:rFonts w:ascii="ITC Avant Garde" w:hAnsi="ITC Avant Garde"/>
        </w:rPr>
        <w:t>, como corresponda</w:t>
      </w:r>
      <w:r w:rsidR="00F84186">
        <w:rPr>
          <w:rFonts w:ascii="ITC Avant Garde" w:hAnsi="ITC Avant Garde"/>
        </w:rPr>
        <w:t>.</w:t>
      </w:r>
    </w:p>
    <w:p w14:paraId="445228A5" w14:textId="4F2AE6CC" w:rsidR="00353E8D" w:rsidRDefault="00353E8D" w:rsidP="00C43007">
      <w:pPr>
        <w:spacing w:after="120" w:line="240" w:lineRule="auto"/>
        <w:jc w:val="both"/>
        <w:rPr>
          <w:rFonts w:ascii="ITC Avant Garde" w:hAnsi="ITC Avant Garde"/>
          <w:b/>
        </w:rPr>
      </w:pPr>
      <w:r>
        <w:rPr>
          <w:rFonts w:ascii="ITC Avant Garde" w:hAnsi="ITC Avant Garde"/>
          <w:b/>
        </w:rPr>
        <w:t>Comentario recibido al artículo 6, fracción VI</w:t>
      </w:r>
    </w:p>
    <w:p w14:paraId="2DC3FAC7" w14:textId="2AC3048B" w:rsidR="005D32E3" w:rsidRDefault="005D32E3" w:rsidP="00C43007">
      <w:pPr>
        <w:spacing w:after="120" w:line="240" w:lineRule="auto"/>
        <w:jc w:val="both"/>
        <w:rPr>
          <w:rFonts w:ascii="ITC Avant Garde" w:hAnsi="ITC Avant Garde" w:cs="Arial"/>
        </w:rPr>
      </w:pPr>
      <w:r w:rsidRPr="005471EF">
        <w:rPr>
          <w:rFonts w:ascii="ITC Avant Garde" w:hAnsi="ITC Avant Garde"/>
        </w:rPr>
        <w:t>Bestphon</w:t>
      </w:r>
      <w:r>
        <w:rPr>
          <w:rFonts w:ascii="ITC Avant Garde" w:hAnsi="ITC Avant Garde"/>
        </w:rPr>
        <w:t xml:space="preserve">e </w:t>
      </w:r>
      <w:r w:rsidR="00127666">
        <w:rPr>
          <w:rFonts w:ascii="ITC Avant Garde" w:hAnsi="ITC Avant Garde"/>
        </w:rPr>
        <w:t xml:space="preserve">y otros </w:t>
      </w:r>
      <w:r w:rsidR="004740A4">
        <w:rPr>
          <w:rFonts w:ascii="ITC Avant Garde" w:hAnsi="ITC Avant Garde"/>
        </w:rPr>
        <w:t>señalaron el comentario siguiente</w:t>
      </w:r>
      <w:r>
        <w:rPr>
          <w:rFonts w:ascii="ITC Avant Garde" w:hAnsi="ITC Avant Garde" w:cs="Arial"/>
        </w:rPr>
        <w:t>:</w:t>
      </w:r>
    </w:p>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435BFC" w:rsidRPr="005F7866" w14:paraId="5CB35F46" w14:textId="77777777" w:rsidTr="00570E4A">
        <w:trPr>
          <w:trHeight w:val="276"/>
        </w:trPr>
        <w:tc>
          <w:tcPr>
            <w:tcW w:w="8931" w:type="dxa"/>
            <w:shd w:val="clear" w:color="auto" w:fill="538135" w:themeFill="accent6" w:themeFillShade="BF"/>
          </w:tcPr>
          <w:p w14:paraId="73C80D4E" w14:textId="77777777" w:rsidR="00435BFC" w:rsidRPr="00977A83" w:rsidRDefault="0097478C" w:rsidP="00C43007">
            <w:pPr>
              <w:pStyle w:val="Default"/>
              <w:spacing w:after="120"/>
              <w:jc w:val="center"/>
              <w:rPr>
                <w:rFonts w:ascii="ITC Avant Garde" w:hAnsi="ITC Avant Garde"/>
                <w:i/>
                <w:sz w:val="20"/>
                <w:szCs w:val="20"/>
              </w:rPr>
            </w:pPr>
            <w:r>
              <w:rPr>
                <w:rFonts w:ascii="ITC Avant Garde" w:hAnsi="ITC Avant Garde" w:cs="ITC Avant Garde"/>
                <w:b/>
                <w:color w:val="FFFFFF" w:themeColor="background1"/>
                <w:sz w:val="20"/>
                <w:szCs w:val="20"/>
              </w:rPr>
              <w:t>Bestphone y otros</w:t>
            </w:r>
          </w:p>
        </w:tc>
      </w:tr>
      <w:tr w:rsidR="005D32E3" w:rsidRPr="005F7866" w14:paraId="7FEA60F1" w14:textId="77777777" w:rsidTr="00446971">
        <w:trPr>
          <w:trHeight w:val="426"/>
        </w:trPr>
        <w:tc>
          <w:tcPr>
            <w:tcW w:w="8931" w:type="dxa"/>
            <w:shd w:val="clear" w:color="auto" w:fill="C5E0B3" w:themeFill="accent6" w:themeFillTint="66"/>
            <w:vAlign w:val="center"/>
          </w:tcPr>
          <w:p w14:paraId="685AD6AC" w14:textId="77777777" w:rsidR="005D32E3" w:rsidRPr="005D32E3" w:rsidRDefault="005D32E3">
            <w:pPr>
              <w:pStyle w:val="Default"/>
              <w:spacing w:after="120"/>
              <w:rPr>
                <w:rFonts w:ascii="ITC Avant Garde" w:hAnsi="ITC Avant Garde"/>
                <w:i/>
                <w:sz w:val="18"/>
                <w:szCs w:val="18"/>
              </w:rPr>
            </w:pPr>
            <w:r w:rsidRPr="00F84D32">
              <w:rPr>
                <w:rFonts w:ascii="ITC Avant Garde" w:hAnsi="ITC Avant Garde"/>
                <w:i/>
                <w:sz w:val="18"/>
                <w:szCs w:val="18"/>
              </w:rPr>
              <w:t>Se debería precisar: a la autoridad ante la cual se turnará el asunto, en estos casos, a la Autoridad Investigadora.</w:t>
            </w:r>
          </w:p>
        </w:tc>
      </w:tr>
    </w:tbl>
    <w:p w14:paraId="72E77ABB" w14:textId="77777777" w:rsidR="00EB20FB" w:rsidRDefault="00EB20FB" w:rsidP="00C43007">
      <w:pPr>
        <w:spacing w:after="120" w:line="240" w:lineRule="auto"/>
        <w:jc w:val="both"/>
        <w:rPr>
          <w:rFonts w:ascii="ITC Avant Garde" w:hAnsi="ITC Avant Garde"/>
          <w:b/>
        </w:rPr>
      </w:pPr>
    </w:p>
    <w:p w14:paraId="5F095D4A" w14:textId="6A08E935" w:rsidR="00353E8D" w:rsidRDefault="00353E8D" w:rsidP="00C43007">
      <w:pPr>
        <w:spacing w:after="120" w:line="240" w:lineRule="auto"/>
        <w:jc w:val="both"/>
        <w:rPr>
          <w:rFonts w:ascii="ITC Avant Garde" w:hAnsi="ITC Avant Garde"/>
          <w:b/>
        </w:rPr>
      </w:pPr>
      <w:r>
        <w:rPr>
          <w:rFonts w:ascii="ITC Avant Garde" w:hAnsi="ITC Avant Garde"/>
          <w:b/>
        </w:rPr>
        <w:t>Consideraciones</w:t>
      </w:r>
    </w:p>
    <w:p w14:paraId="6CC29143" w14:textId="56948AA4" w:rsidR="005C75F3" w:rsidRPr="001D2C9E" w:rsidRDefault="001D2C9E" w:rsidP="00C43007">
      <w:pPr>
        <w:spacing w:after="120" w:line="240" w:lineRule="auto"/>
        <w:jc w:val="both"/>
        <w:rPr>
          <w:rFonts w:ascii="ITC Avant Garde" w:hAnsi="ITC Avant Garde"/>
        </w:rPr>
      </w:pPr>
      <w:r w:rsidRPr="001D2C9E">
        <w:rPr>
          <w:rFonts w:ascii="ITC Avant Garde" w:hAnsi="ITC Avant Garde"/>
        </w:rPr>
        <w:t>Los artículos</w:t>
      </w:r>
      <w:r w:rsidR="005C75F3" w:rsidRPr="001D2C9E">
        <w:rPr>
          <w:rFonts w:ascii="ITC Avant Garde" w:hAnsi="ITC Avant Garde"/>
        </w:rPr>
        <w:t xml:space="preserve"> 26</w:t>
      </w:r>
      <w:r w:rsidRPr="001D2C9E">
        <w:rPr>
          <w:rFonts w:ascii="ITC Avant Garde" w:hAnsi="ITC Avant Garde"/>
        </w:rPr>
        <w:t xml:space="preserve"> y 28</w:t>
      </w:r>
      <w:r w:rsidR="00E852CA">
        <w:rPr>
          <w:rFonts w:ascii="ITC Avant Garde" w:hAnsi="ITC Avant Garde"/>
        </w:rPr>
        <w:t>, fracción I</w:t>
      </w:r>
      <w:r w:rsidRPr="001D2C9E">
        <w:rPr>
          <w:rFonts w:ascii="ITC Avant Garde" w:hAnsi="ITC Avant Garde"/>
        </w:rPr>
        <w:t xml:space="preserve"> </w:t>
      </w:r>
      <w:r w:rsidR="005C75F3" w:rsidRPr="001D2C9E">
        <w:rPr>
          <w:rFonts w:ascii="ITC Avant Garde" w:hAnsi="ITC Avant Garde"/>
        </w:rPr>
        <w:t>de la LFCE establece</w:t>
      </w:r>
      <w:r w:rsidRPr="001D2C9E">
        <w:rPr>
          <w:rFonts w:ascii="ITC Avant Garde" w:hAnsi="ITC Avant Garde"/>
        </w:rPr>
        <w:t>n</w:t>
      </w:r>
      <w:r w:rsidR="00DD7DC8">
        <w:rPr>
          <w:rFonts w:ascii="ITC Avant Garde" w:hAnsi="ITC Avant Garde"/>
        </w:rPr>
        <w:t xml:space="preserve"> que la AI </w:t>
      </w:r>
      <w:r w:rsidR="005C75F3" w:rsidRPr="001D2C9E">
        <w:rPr>
          <w:rFonts w:ascii="ITC Avant Garde" w:hAnsi="ITC Avant Garde"/>
        </w:rPr>
        <w:t>es el órgano del Instituto encargado de desahogar la etapa de investigación</w:t>
      </w:r>
      <w:r w:rsidR="00E852CA" w:rsidRPr="001D2C9E">
        <w:rPr>
          <w:rFonts w:ascii="ITC Avant Garde" w:hAnsi="ITC Avant Garde"/>
          <w:shd w:val="clear" w:color="auto" w:fill="FFFFFF"/>
        </w:rPr>
        <w:t xml:space="preserve"> </w:t>
      </w:r>
      <w:r w:rsidR="004740A4">
        <w:rPr>
          <w:rFonts w:ascii="ITC Avant Garde" w:hAnsi="ITC Avant Garde"/>
          <w:shd w:val="clear" w:color="auto" w:fill="FFFFFF"/>
        </w:rPr>
        <w:t xml:space="preserve">de </w:t>
      </w:r>
      <w:r w:rsidR="00E852CA" w:rsidRPr="001D2C9E">
        <w:rPr>
          <w:rFonts w:ascii="ITC Avant Garde" w:hAnsi="ITC Avant Garde"/>
          <w:shd w:val="clear" w:color="auto" w:fill="FFFFFF"/>
        </w:rPr>
        <w:t>prácticas monopólicas</w:t>
      </w:r>
      <w:r w:rsidR="004740A4">
        <w:rPr>
          <w:rFonts w:ascii="ITC Avant Garde" w:hAnsi="ITC Avant Garde"/>
          <w:shd w:val="clear" w:color="auto" w:fill="FFFFFF"/>
        </w:rPr>
        <w:t xml:space="preserve"> </w:t>
      </w:r>
      <w:r w:rsidR="00DF063F">
        <w:rPr>
          <w:rFonts w:ascii="ITC Avant Garde" w:hAnsi="ITC Avant Garde"/>
          <w:shd w:val="clear" w:color="auto" w:fill="FFFFFF"/>
        </w:rPr>
        <w:t>y</w:t>
      </w:r>
      <w:r w:rsidR="00E852CA" w:rsidRPr="001D2C9E">
        <w:rPr>
          <w:rFonts w:ascii="ITC Avant Garde" w:hAnsi="ITC Avant Garde"/>
          <w:shd w:val="clear" w:color="auto" w:fill="FFFFFF"/>
        </w:rPr>
        <w:t xml:space="preserve"> concentraciones ilícitas en los sectores de telecomunicaciones y radiodifusión</w:t>
      </w:r>
      <w:r w:rsidR="00E852CA">
        <w:rPr>
          <w:rFonts w:ascii="ITC Avant Garde" w:hAnsi="ITC Avant Garde"/>
          <w:shd w:val="clear" w:color="auto" w:fill="FFFFFF"/>
        </w:rPr>
        <w:t xml:space="preserve">, </w:t>
      </w:r>
      <w:r w:rsidR="005C75F3" w:rsidRPr="001D2C9E">
        <w:rPr>
          <w:rFonts w:ascii="ITC Avant Garde" w:hAnsi="ITC Avant Garde"/>
        </w:rPr>
        <w:t>y es parte en el procedimie</w:t>
      </w:r>
      <w:r w:rsidRPr="001D2C9E">
        <w:rPr>
          <w:rFonts w:ascii="ITC Avant Garde" w:hAnsi="ITC Avant Garde"/>
        </w:rPr>
        <w:t>nto seguido en forma de juicio</w:t>
      </w:r>
      <w:r w:rsidR="004740A4">
        <w:rPr>
          <w:rFonts w:ascii="ITC Avant Garde" w:hAnsi="ITC Avant Garde"/>
        </w:rPr>
        <w:t xml:space="preserve">. En este sentido, es </w:t>
      </w:r>
      <w:r w:rsidR="00E852CA">
        <w:rPr>
          <w:rFonts w:ascii="ITC Avant Garde" w:hAnsi="ITC Avant Garde"/>
        </w:rPr>
        <w:t>la autoridad facultada para recibir y, en su caso, dar trámite o desechar por notoriamente improcedente las denuncias que se presenten ante el instituto por probables violaciones a la LFCE</w:t>
      </w:r>
      <w:r w:rsidR="00727C32">
        <w:rPr>
          <w:rFonts w:ascii="ITC Avant Garde" w:hAnsi="ITC Avant Garde"/>
        </w:rPr>
        <w:t>.</w:t>
      </w:r>
    </w:p>
    <w:p w14:paraId="15EFCB47" w14:textId="77777777" w:rsidR="005C75F3" w:rsidRPr="001D2C9E" w:rsidRDefault="001D2C9E" w:rsidP="00C43007">
      <w:pPr>
        <w:spacing w:after="120" w:line="240" w:lineRule="auto"/>
        <w:jc w:val="both"/>
        <w:rPr>
          <w:rFonts w:ascii="ITC Avant Garde" w:hAnsi="ITC Avant Garde"/>
        </w:rPr>
      </w:pPr>
      <w:r>
        <w:rPr>
          <w:rFonts w:ascii="ITC Avant Garde" w:hAnsi="ITC Avant Garde"/>
        </w:rPr>
        <w:t>Asimismo</w:t>
      </w:r>
      <w:r w:rsidRPr="001D2C9E">
        <w:rPr>
          <w:rFonts w:ascii="ITC Avant Garde" w:hAnsi="ITC Avant Garde"/>
        </w:rPr>
        <w:t xml:space="preserve">, el </w:t>
      </w:r>
      <w:r w:rsidR="005C75F3" w:rsidRPr="001D2C9E">
        <w:rPr>
          <w:rFonts w:ascii="ITC Avant Garde" w:hAnsi="ITC Avant Garde"/>
        </w:rPr>
        <w:t xml:space="preserve">artículo 1 del Anteproyecto de Lineamientos establece que </w:t>
      </w:r>
      <w:r>
        <w:rPr>
          <w:rFonts w:ascii="ITC Avant Garde" w:hAnsi="ITC Avant Garde"/>
        </w:rPr>
        <w:t>los mismos</w:t>
      </w:r>
      <w:r w:rsidR="005C75F3" w:rsidRPr="001D2C9E">
        <w:rPr>
          <w:rFonts w:ascii="ITC Avant Garde" w:hAnsi="ITC Avant Garde"/>
        </w:rPr>
        <w:t xml:space="preserve"> tienen por objeto establecer los términos aplicables a la presentación de denuncias de prácticas monopólicas y concentraciones ilícitas en los sectores de telecomunicaciones y radiodifusión, ante la </w:t>
      </w:r>
      <w:r w:rsidR="00DD7DC8">
        <w:rPr>
          <w:rFonts w:ascii="ITC Avant Garde" w:hAnsi="ITC Avant Garde"/>
        </w:rPr>
        <w:t>AI</w:t>
      </w:r>
      <w:r w:rsidR="005C75F3" w:rsidRPr="001D2C9E">
        <w:rPr>
          <w:rFonts w:ascii="ITC Avant Garde" w:hAnsi="ITC Avant Garde"/>
        </w:rPr>
        <w:t>, a través de medios electrónicos.</w:t>
      </w:r>
    </w:p>
    <w:p w14:paraId="2438FD5B" w14:textId="77777777" w:rsidR="00DD7DC8" w:rsidRDefault="005C75F3" w:rsidP="00C43007">
      <w:pPr>
        <w:spacing w:after="120" w:line="240" w:lineRule="auto"/>
        <w:jc w:val="both"/>
        <w:rPr>
          <w:rFonts w:ascii="ITC Avant Garde" w:hAnsi="ITC Avant Garde"/>
        </w:rPr>
      </w:pPr>
      <w:r>
        <w:rPr>
          <w:rFonts w:ascii="ITC Avant Garde" w:hAnsi="ITC Avant Garde"/>
        </w:rPr>
        <w:t xml:space="preserve">En </w:t>
      </w:r>
      <w:r w:rsidR="00DD7DC8">
        <w:rPr>
          <w:rFonts w:ascii="ITC Avant Garde" w:hAnsi="ITC Avant Garde"/>
        </w:rPr>
        <w:t>virtud de lo anterior, s</w:t>
      </w:r>
      <w:r>
        <w:rPr>
          <w:rFonts w:ascii="ITC Avant Garde" w:hAnsi="ITC Avant Garde"/>
        </w:rPr>
        <w:t xml:space="preserve">e desprende que la </w:t>
      </w:r>
      <w:r w:rsidR="00AE1FEB">
        <w:rPr>
          <w:rFonts w:ascii="ITC Avant Garde" w:hAnsi="ITC Avant Garde"/>
        </w:rPr>
        <w:t xml:space="preserve">única </w:t>
      </w:r>
      <w:r w:rsidR="00DD7DC8">
        <w:rPr>
          <w:rFonts w:ascii="ITC Avant Garde" w:hAnsi="ITC Avant Garde"/>
        </w:rPr>
        <w:t>autoridad competente para recibir y atender las denuncias por</w:t>
      </w:r>
      <w:r w:rsidR="00DD7DC8" w:rsidRPr="001D2C9E">
        <w:rPr>
          <w:rFonts w:ascii="ITC Avant Garde" w:hAnsi="ITC Avant Garde"/>
        </w:rPr>
        <w:t xml:space="preserve"> prácticas monopólicas y concentraciones ilícitas en los sectores de tele</w:t>
      </w:r>
      <w:r w:rsidR="00DD7DC8">
        <w:rPr>
          <w:rFonts w:ascii="ITC Avant Garde" w:hAnsi="ITC Avant Garde"/>
        </w:rPr>
        <w:t>comunicaciones y radiodifusión</w:t>
      </w:r>
      <w:r w:rsidR="00BF25AF">
        <w:rPr>
          <w:rFonts w:ascii="ITC Avant Garde" w:hAnsi="ITC Avant Garde"/>
        </w:rPr>
        <w:t>, independientemente de la vía o mecanismo en que sea presentada la denuncia</w:t>
      </w:r>
      <w:r w:rsidR="00B030A1">
        <w:rPr>
          <w:rFonts w:ascii="ITC Avant Garde" w:hAnsi="ITC Avant Garde"/>
        </w:rPr>
        <w:t xml:space="preserve"> (oficialía de partes o mediante el SEPDAI)</w:t>
      </w:r>
      <w:r w:rsidR="00BF25AF">
        <w:rPr>
          <w:rFonts w:ascii="ITC Avant Garde" w:hAnsi="ITC Avant Garde"/>
        </w:rPr>
        <w:t>,</w:t>
      </w:r>
      <w:r w:rsidR="00DD7DC8">
        <w:rPr>
          <w:rFonts w:ascii="ITC Avant Garde" w:hAnsi="ITC Avant Garde"/>
        </w:rPr>
        <w:t xml:space="preserve"> es la AI.</w:t>
      </w:r>
    </w:p>
    <w:p w14:paraId="2684D3D6" w14:textId="77777777" w:rsidR="005C75F3" w:rsidRDefault="00AE1FEB" w:rsidP="00C43007">
      <w:pPr>
        <w:spacing w:after="120" w:line="240" w:lineRule="auto"/>
        <w:jc w:val="both"/>
        <w:rPr>
          <w:rFonts w:ascii="ITC Avant Garde" w:hAnsi="ITC Avant Garde"/>
          <w:b/>
        </w:rPr>
      </w:pPr>
      <w:r>
        <w:rPr>
          <w:rFonts w:ascii="ITC Avant Garde" w:hAnsi="ITC Avant Garde"/>
        </w:rPr>
        <w:t xml:space="preserve">En consecuencia, resulta </w:t>
      </w:r>
      <w:r w:rsidR="00DD7DC8">
        <w:rPr>
          <w:rFonts w:ascii="ITC Avant Garde" w:hAnsi="ITC Avant Garde"/>
        </w:rPr>
        <w:t>improcedente la petición de Bestphone y otros.</w:t>
      </w:r>
    </w:p>
    <w:p w14:paraId="5C22E0F1" w14:textId="77777777" w:rsidR="00353E8D" w:rsidRDefault="00353E8D" w:rsidP="00C43007">
      <w:pPr>
        <w:spacing w:after="120" w:line="240" w:lineRule="auto"/>
        <w:jc w:val="both"/>
        <w:rPr>
          <w:rFonts w:ascii="ITC Avant Garde" w:hAnsi="ITC Avant Garde"/>
          <w:b/>
        </w:rPr>
      </w:pPr>
      <w:r w:rsidRPr="003229E4">
        <w:rPr>
          <w:rFonts w:ascii="ITC Avant Garde" w:hAnsi="ITC Avant Garde"/>
          <w:b/>
        </w:rPr>
        <w:t>Comentarios recibidos al artículo 7</w:t>
      </w:r>
    </w:p>
    <w:p w14:paraId="4CD6C493" w14:textId="59C2798D" w:rsidR="009A2C89" w:rsidRPr="00C554C6" w:rsidRDefault="00EB20FB">
      <w:pPr>
        <w:spacing w:after="120" w:line="240" w:lineRule="auto"/>
        <w:jc w:val="both"/>
        <w:rPr>
          <w:rFonts w:ascii="ITC Avant Garde" w:hAnsi="ITC Avant Garde"/>
        </w:rPr>
      </w:pPr>
      <w:r>
        <w:rPr>
          <w:rFonts w:ascii="ITC Avant Garde" w:hAnsi="ITC Avant Garde"/>
        </w:rPr>
        <w:t xml:space="preserve">En relación con el presente artículo, </w:t>
      </w:r>
      <w:r w:rsidR="004979A4" w:rsidRPr="00C554C6">
        <w:rPr>
          <w:rFonts w:ascii="ITC Avant Garde" w:hAnsi="ITC Avant Garde"/>
        </w:rPr>
        <w:t xml:space="preserve">AT&amp;T </w:t>
      </w:r>
      <w:r w:rsidR="003D2D39">
        <w:rPr>
          <w:rFonts w:ascii="ITC Avant Garde" w:hAnsi="ITC Avant Garde"/>
        </w:rPr>
        <w:t xml:space="preserve">y Telefónica realizaron los comentarios siguientes: </w:t>
      </w:r>
    </w:p>
    <w:tbl>
      <w:tblPr>
        <w:tblStyle w:val="Tablaconcuadrcula"/>
        <w:tblW w:w="0" w:type="auto"/>
        <w:jc w:val="center"/>
        <w:tblLook w:val="04A0" w:firstRow="1" w:lastRow="0" w:firstColumn="1" w:lastColumn="0" w:noHBand="0" w:noVBand="1"/>
      </w:tblPr>
      <w:tblGrid>
        <w:gridCol w:w="4394"/>
        <w:gridCol w:w="5099"/>
      </w:tblGrid>
      <w:tr w:rsidR="00243EF2" w:rsidRPr="005F7866" w14:paraId="3467E129" w14:textId="77777777" w:rsidTr="00243EF2">
        <w:trPr>
          <w:jc w:val="center"/>
        </w:trPr>
        <w:tc>
          <w:tcPr>
            <w:tcW w:w="4394" w:type="dxa"/>
            <w:shd w:val="clear" w:color="auto" w:fill="538135" w:themeFill="accent6" w:themeFillShade="BF"/>
          </w:tcPr>
          <w:p w14:paraId="66400DF9" w14:textId="77777777" w:rsidR="00243EF2" w:rsidRPr="005F7866" w:rsidRDefault="00243EF2" w:rsidP="00C43007">
            <w:pPr>
              <w:spacing w:after="120" w:line="240" w:lineRule="auto"/>
              <w:jc w:val="center"/>
              <w:rPr>
                <w:rFonts w:ascii="ITC Avant Garde" w:hAnsi="ITC Avant Garde"/>
                <w:b/>
                <w:color w:val="FFFFFF" w:themeColor="background1"/>
                <w:sz w:val="18"/>
                <w:szCs w:val="18"/>
              </w:rPr>
            </w:pPr>
            <w:r>
              <w:rPr>
                <w:rFonts w:ascii="ITC Avant Garde" w:hAnsi="ITC Avant Garde" w:cs="ITC Avant Garde"/>
                <w:b/>
                <w:smallCaps/>
                <w:color w:val="FFFFFF" w:themeColor="background1"/>
                <w:sz w:val="20"/>
                <w:szCs w:val="20"/>
              </w:rPr>
              <w:t>AT&amp;T</w:t>
            </w:r>
          </w:p>
        </w:tc>
        <w:tc>
          <w:tcPr>
            <w:tcW w:w="5099" w:type="dxa"/>
            <w:shd w:val="clear" w:color="auto" w:fill="538135" w:themeFill="accent6" w:themeFillShade="BF"/>
          </w:tcPr>
          <w:p w14:paraId="4264E9BD" w14:textId="77777777" w:rsidR="00243EF2" w:rsidRPr="005F7866" w:rsidRDefault="00243EF2" w:rsidP="00C43007">
            <w:pPr>
              <w:spacing w:after="120" w:line="240" w:lineRule="auto"/>
              <w:jc w:val="center"/>
              <w:rPr>
                <w:rFonts w:ascii="ITC Avant Garde" w:hAnsi="ITC Avant Garde"/>
                <w:b/>
                <w:color w:val="FFFFFF" w:themeColor="background1"/>
                <w:sz w:val="18"/>
                <w:szCs w:val="18"/>
              </w:rPr>
            </w:pPr>
            <w:r w:rsidRPr="00412A3E">
              <w:rPr>
                <w:rFonts w:ascii="ITC Avant Garde" w:hAnsi="ITC Avant Garde" w:cs="ITC Avant Garde"/>
                <w:b/>
                <w:color w:val="FFFFFF" w:themeColor="background1"/>
                <w:sz w:val="20"/>
                <w:szCs w:val="20"/>
              </w:rPr>
              <w:t>Telefónica</w:t>
            </w:r>
          </w:p>
        </w:tc>
      </w:tr>
      <w:tr w:rsidR="00243EF2" w:rsidRPr="005F7866" w14:paraId="12BE66B7" w14:textId="77777777" w:rsidTr="00243EF2">
        <w:trPr>
          <w:jc w:val="center"/>
        </w:trPr>
        <w:tc>
          <w:tcPr>
            <w:tcW w:w="4394" w:type="dxa"/>
            <w:shd w:val="clear" w:color="auto" w:fill="C5E0B3" w:themeFill="accent6" w:themeFillTint="66"/>
          </w:tcPr>
          <w:p w14:paraId="1035B225" w14:textId="77777777" w:rsidR="00243EF2" w:rsidRPr="0058725D" w:rsidRDefault="00243EF2">
            <w:pPr>
              <w:pStyle w:val="Prrafodelista"/>
              <w:spacing w:after="120" w:line="240" w:lineRule="auto"/>
              <w:ind w:left="0"/>
              <w:contextualSpacing w:val="0"/>
              <w:jc w:val="both"/>
              <w:rPr>
                <w:rFonts w:ascii="ITC Avant Garde" w:hAnsi="ITC Avant Garde" w:cs="Arial"/>
                <w:b/>
                <w:sz w:val="18"/>
                <w:szCs w:val="18"/>
              </w:rPr>
            </w:pPr>
            <w:r>
              <w:rPr>
                <w:rFonts w:ascii="ITC Avant Garde" w:hAnsi="ITC Avant Garde"/>
                <w:i/>
                <w:sz w:val="18"/>
                <w:szCs w:val="18"/>
              </w:rPr>
              <w:t xml:space="preserve">En los términos redactados, tratándose de denuncias electrónicas interpuestas por personas morales, siempre existiría una prevención en la medida en la que no se otorga presunción de validez a la copia electrónica de poder notarial que acredita la personalidad de </w:t>
            </w:r>
            <w:r>
              <w:rPr>
                <w:rFonts w:ascii="ITC Avant Garde" w:hAnsi="ITC Avant Garde"/>
                <w:i/>
                <w:sz w:val="18"/>
                <w:szCs w:val="18"/>
              </w:rPr>
              <w:lastRenderedPageBreak/>
              <w:t>promovente. Se sugiere que el Instituto implemente un “Registro público de poderes notariales” para evitar prevenciones.</w:t>
            </w:r>
          </w:p>
        </w:tc>
        <w:tc>
          <w:tcPr>
            <w:tcW w:w="5099" w:type="dxa"/>
            <w:shd w:val="clear" w:color="auto" w:fill="C5E0B3" w:themeFill="accent6" w:themeFillTint="66"/>
          </w:tcPr>
          <w:p w14:paraId="76FFFD85" w14:textId="77777777" w:rsidR="00243EF2" w:rsidRPr="00F84D32" w:rsidRDefault="00243EF2">
            <w:pPr>
              <w:pStyle w:val="Default"/>
              <w:spacing w:after="120"/>
              <w:jc w:val="both"/>
              <w:rPr>
                <w:rFonts w:ascii="ITC Avant Garde" w:hAnsi="ITC Avant Garde"/>
                <w:i/>
                <w:sz w:val="18"/>
                <w:szCs w:val="18"/>
              </w:rPr>
            </w:pPr>
            <w:r w:rsidRPr="00F84D32">
              <w:rPr>
                <w:rFonts w:ascii="ITC Avant Garde" w:hAnsi="ITC Avant Garde"/>
                <w:i/>
                <w:sz w:val="18"/>
                <w:szCs w:val="18"/>
              </w:rPr>
              <w:lastRenderedPageBreak/>
              <w:t>El artículo 7 señala lo siguiente:</w:t>
            </w:r>
          </w:p>
          <w:p w14:paraId="55ADCD7A" w14:textId="77777777" w:rsidR="00243EF2" w:rsidRDefault="00243EF2">
            <w:pPr>
              <w:pStyle w:val="Default"/>
              <w:spacing w:after="120"/>
              <w:ind w:left="179" w:right="319"/>
              <w:jc w:val="both"/>
              <w:rPr>
                <w:rFonts w:ascii="ITC Avant Garde" w:hAnsi="ITC Avant Garde"/>
                <w:i/>
                <w:sz w:val="18"/>
                <w:szCs w:val="18"/>
              </w:rPr>
            </w:pPr>
            <w:r w:rsidRPr="00F84D32">
              <w:rPr>
                <w:rFonts w:ascii="ITC Avant Garde" w:hAnsi="ITC Avant Garde"/>
                <w:i/>
                <w:sz w:val="18"/>
                <w:szCs w:val="18"/>
              </w:rPr>
              <w:t xml:space="preserve">“…Artículo 7. Si el denunciante actúa a través de representante legal, éste adjuntará una copia digital del documento con el que acredite su personalidad, sin perjuicio de que presente el documento original o copia certificada al </w:t>
            </w:r>
            <w:r w:rsidRPr="00F84D32">
              <w:rPr>
                <w:rFonts w:ascii="ITC Avant Garde" w:hAnsi="ITC Avant Garde"/>
                <w:i/>
                <w:sz w:val="18"/>
                <w:szCs w:val="18"/>
              </w:rPr>
              <w:lastRenderedPageBreak/>
              <w:t xml:space="preserve">desahogar el acuerdo de prevención que formule la Autoridad Investigadora en términos de lo dispuesto en el artículo 69 fracción III, de la Ley. Transcurrido el plazo otorgado para tal efecto sin que se desahogue la prevención, se tendrá por no presentada la denuncia, sin perjuicio de que el denunciante pueda presentarla nuevamente ya sea en la oficialía, o bien, de manera electrónica a través del SEPDAI…” </w:t>
            </w:r>
          </w:p>
          <w:p w14:paraId="07B0AC66" w14:textId="77777777" w:rsidR="00243EF2" w:rsidRDefault="00243EF2">
            <w:pPr>
              <w:pStyle w:val="Default"/>
              <w:spacing w:after="120"/>
              <w:jc w:val="both"/>
              <w:rPr>
                <w:rFonts w:ascii="ITC Avant Garde" w:hAnsi="ITC Avant Garde"/>
                <w:i/>
                <w:sz w:val="18"/>
                <w:szCs w:val="18"/>
              </w:rPr>
            </w:pPr>
            <w:r w:rsidRPr="00F84D32">
              <w:rPr>
                <w:rFonts w:ascii="ITC Avant Garde" w:hAnsi="ITC Avant Garde"/>
                <w:i/>
                <w:sz w:val="18"/>
                <w:szCs w:val="18"/>
              </w:rPr>
              <w:t xml:space="preserve">(i) De conformidad con el artículo 1, segundo párrafo, de los Lineamientos, éstos tienen como finalidad poner a disposición del público en general un mecanismo alternativo que reduzca la carga administrativa y facilite denunciar la probable existencia de conductas contrarias a la Ley Federal de Competencia Económica (LFCE). </w:t>
            </w:r>
          </w:p>
          <w:p w14:paraId="1FD267D3" w14:textId="77777777" w:rsidR="00243EF2" w:rsidRDefault="00243EF2">
            <w:pPr>
              <w:pStyle w:val="Default"/>
              <w:spacing w:after="120"/>
              <w:jc w:val="both"/>
              <w:rPr>
                <w:rFonts w:ascii="ITC Avant Garde" w:hAnsi="ITC Avant Garde"/>
                <w:i/>
                <w:sz w:val="18"/>
                <w:szCs w:val="18"/>
              </w:rPr>
            </w:pPr>
            <w:r w:rsidRPr="00F84D32">
              <w:rPr>
                <w:rFonts w:ascii="ITC Avant Garde" w:hAnsi="ITC Avant Garde"/>
                <w:i/>
                <w:sz w:val="18"/>
                <w:szCs w:val="18"/>
              </w:rPr>
              <w:t xml:space="preserve">En este sentido, de la lectura del artículo que se comenta pareciera sugerirse que toda denuncia que se presente a través del SEPDAI le recaerá un acuerdo de prevención a fin de que, al menos, se presente el documento original con el que la persona física firmante acredite su personalidad para actuar como representante de una persona jurídica. </w:t>
            </w:r>
          </w:p>
          <w:p w14:paraId="65E5C7EA" w14:textId="77777777" w:rsidR="00243EF2" w:rsidRDefault="00243EF2">
            <w:pPr>
              <w:pStyle w:val="Default"/>
              <w:spacing w:after="120"/>
              <w:jc w:val="both"/>
              <w:rPr>
                <w:rFonts w:ascii="ITC Avant Garde" w:hAnsi="ITC Avant Garde"/>
                <w:i/>
                <w:sz w:val="18"/>
                <w:szCs w:val="18"/>
              </w:rPr>
            </w:pPr>
            <w:r w:rsidRPr="00F84D32">
              <w:rPr>
                <w:rFonts w:ascii="ITC Avant Garde" w:hAnsi="ITC Avant Garde"/>
                <w:i/>
                <w:sz w:val="18"/>
                <w:szCs w:val="18"/>
              </w:rPr>
              <w:t xml:space="preserve">Lo anterior, se considera podría no estar de acuerdo con la finalidad que se busca con la emisión de los Lineamientos, </w:t>
            </w:r>
            <w:r w:rsidRPr="00715233">
              <w:rPr>
                <w:rFonts w:ascii="ITC Avant Garde" w:hAnsi="ITC Avant Garde"/>
                <w:i/>
                <w:sz w:val="18"/>
                <w:szCs w:val="18"/>
              </w:rPr>
              <w:t>ya que se establece una carga administrativa adicional,</w:t>
            </w:r>
            <w:r w:rsidRPr="00F84D32">
              <w:rPr>
                <w:rFonts w:ascii="ITC Avant Garde" w:hAnsi="ITC Avant Garde"/>
                <w:i/>
                <w:sz w:val="18"/>
                <w:szCs w:val="18"/>
              </w:rPr>
              <w:t xml:space="preserve"> tanto por ese H. Instituto como para el denunciante, es decir, la emisión de un acuerdo de prevención y, por otra parte, la necesidad de desahogar el mismo, así como el hecho de que la admisión de la denuncia se retrasaría. </w:t>
            </w:r>
          </w:p>
          <w:p w14:paraId="3B335A0A" w14:textId="77777777" w:rsidR="00243EF2" w:rsidRDefault="00243EF2">
            <w:pPr>
              <w:pStyle w:val="Default"/>
              <w:spacing w:after="120"/>
              <w:jc w:val="both"/>
              <w:rPr>
                <w:rFonts w:ascii="ITC Avant Garde" w:hAnsi="ITC Avant Garde"/>
                <w:i/>
                <w:sz w:val="18"/>
                <w:szCs w:val="18"/>
              </w:rPr>
            </w:pPr>
            <w:r w:rsidRPr="00F84D32">
              <w:rPr>
                <w:rFonts w:ascii="ITC Avant Garde" w:hAnsi="ITC Avant Garde"/>
                <w:i/>
                <w:sz w:val="18"/>
                <w:szCs w:val="18"/>
              </w:rPr>
              <w:t xml:space="preserve">En ese sentido, se solicita a ese Instituto se tome en consideración la siguiente propuesta: </w:t>
            </w:r>
          </w:p>
          <w:p w14:paraId="3C11F90A" w14:textId="77777777" w:rsidR="00243EF2" w:rsidRDefault="00243EF2">
            <w:pPr>
              <w:pStyle w:val="Default"/>
              <w:spacing w:after="120"/>
              <w:ind w:left="179" w:right="319"/>
              <w:jc w:val="both"/>
              <w:rPr>
                <w:rFonts w:ascii="ITC Avant Garde" w:hAnsi="ITC Avant Garde"/>
                <w:i/>
                <w:sz w:val="18"/>
                <w:szCs w:val="18"/>
              </w:rPr>
            </w:pPr>
            <w:r w:rsidRPr="00F84D32">
              <w:rPr>
                <w:rFonts w:ascii="ITC Avant Garde" w:hAnsi="ITC Avant Garde"/>
                <w:i/>
                <w:sz w:val="18"/>
                <w:szCs w:val="18"/>
              </w:rPr>
              <w:t xml:space="preserve">“… Artículo 7. Si el denunciante actúa a través de representante legal, éste adjuntará una copia digital del documento con el que acredite su personalidad. </w:t>
            </w:r>
            <w:r w:rsidRPr="00F84D32">
              <w:rPr>
                <w:rFonts w:ascii="ITC Avant Garde" w:hAnsi="ITC Avant Garde"/>
                <w:b/>
                <w:i/>
                <w:sz w:val="18"/>
                <w:szCs w:val="18"/>
              </w:rPr>
              <w:t>El documento original o copia certificada deberá presentarse ante la Oficialía de Partes del Instituto Federal de Telecomunicaciones dentro de los tres días siguientes a aquél en que se presente la denuncia a través del SEPDAI.</w:t>
            </w:r>
            <w:r w:rsidRPr="00F84D32">
              <w:rPr>
                <w:rFonts w:ascii="ITC Avant Garde" w:hAnsi="ITC Avant Garde"/>
                <w:i/>
                <w:sz w:val="18"/>
                <w:szCs w:val="18"/>
              </w:rPr>
              <w:t xml:space="preserve"> En caso contrario, </w:t>
            </w:r>
            <w:r w:rsidRPr="00F84D32">
              <w:rPr>
                <w:rFonts w:ascii="ITC Avant Garde" w:hAnsi="ITC Avant Garde"/>
                <w:i/>
                <w:strike/>
                <w:sz w:val="18"/>
                <w:szCs w:val="18"/>
              </w:rPr>
              <w:t>sin perjuicio de que presente</w:t>
            </w:r>
            <w:r w:rsidRPr="00F84D32">
              <w:rPr>
                <w:rFonts w:ascii="ITC Avant Garde" w:hAnsi="ITC Avant Garde"/>
                <w:i/>
                <w:sz w:val="18"/>
                <w:szCs w:val="18"/>
              </w:rPr>
              <w:t xml:space="preserve"> el documento original o copia certificada </w:t>
            </w:r>
            <w:r w:rsidRPr="00F84D32">
              <w:rPr>
                <w:rFonts w:ascii="ITC Avant Garde" w:hAnsi="ITC Avant Garde"/>
                <w:b/>
                <w:i/>
                <w:sz w:val="18"/>
                <w:szCs w:val="18"/>
              </w:rPr>
              <w:t>deberá presentarse</w:t>
            </w:r>
            <w:r w:rsidRPr="00F84D32">
              <w:rPr>
                <w:rFonts w:ascii="ITC Avant Garde" w:hAnsi="ITC Avant Garde"/>
                <w:i/>
                <w:sz w:val="18"/>
                <w:szCs w:val="18"/>
              </w:rPr>
              <w:t xml:space="preserve"> al desahogar el acuerdo de prevención que formule la Autoridad Investigadora en términos de lo dispuesto en el artículo 69, fracción III, de la Ley. </w:t>
            </w:r>
          </w:p>
          <w:p w14:paraId="188BD272" w14:textId="77777777" w:rsidR="00D96F39" w:rsidRDefault="00D96F39">
            <w:pPr>
              <w:pStyle w:val="Default"/>
              <w:spacing w:after="120"/>
              <w:jc w:val="both"/>
              <w:rPr>
                <w:rFonts w:ascii="ITC Avant Garde" w:hAnsi="ITC Avant Garde"/>
                <w:i/>
                <w:sz w:val="18"/>
                <w:szCs w:val="18"/>
              </w:rPr>
            </w:pPr>
            <w:r w:rsidRPr="00F84D32">
              <w:rPr>
                <w:rFonts w:ascii="ITC Avant Garde" w:hAnsi="ITC Avant Garde"/>
                <w:i/>
                <w:sz w:val="18"/>
                <w:szCs w:val="18"/>
              </w:rPr>
              <w:t xml:space="preserve">Transcurrido el plazo otorgado para tal efecto sin que se desahogue la prevención, se tendrá por no presentada la denuncia, sin perjuicio de que el denunciante pueda </w:t>
            </w:r>
            <w:r w:rsidRPr="00F84D32">
              <w:rPr>
                <w:rFonts w:ascii="ITC Avant Garde" w:hAnsi="ITC Avant Garde"/>
                <w:i/>
                <w:sz w:val="18"/>
                <w:szCs w:val="18"/>
              </w:rPr>
              <w:lastRenderedPageBreak/>
              <w:t>presentarla nuevamente ya sea en la oficialía, o bien, de manera electrónica a través del SEPDAI.</w:t>
            </w:r>
          </w:p>
          <w:p w14:paraId="471522C6" w14:textId="77777777" w:rsidR="00243EF2" w:rsidRDefault="00243EF2">
            <w:pPr>
              <w:pStyle w:val="Default"/>
              <w:spacing w:after="120"/>
              <w:jc w:val="both"/>
              <w:rPr>
                <w:rFonts w:ascii="ITC Avant Garde" w:hAnsi="ITC Avant Garde"/>
                <w:i/>
                <w:sz w:val="18"/>
                <w:szCs w:val="18"/>
              </w:rPr>
            </w:pPr>
            <w:r w:rsidRPr="005471EF">
              <w:rPr>
                <w:rFonts w:ascii="ITC Avant Garde" w:hAnsi="ITC Avant Garde"/>
                <w:i/>
                <w:sz w:val="18"/>
                <w:szCs w:val="18"/>
              </w:rPr>
              <w:t xml:space="preserve">(ii) Por otro lado, y con el fin de evitar cargas administrativas, la Autoridad Investigadora de ese Instituto debería de tomar en consideración los Poderes debidamente registrados ante el Registro Público de Concesiones, lo anterior, toda vez que, si bien es cierto que se debe de acreditar personalidad por cada investigación que se inicia, es poco práctico estar presentado original o copias certificadas por cada uno de ellos. </w:t>
            </w:r>
          </w:p>
          <w:p w14:paraId="10E3EB16" w14:textId="77777777" w:rsidR="00243EF2" w:rsidRPr="009A021A" w:rsidRDefault="00243EF2">
            <w:pPr>
              <w:pStyle w:val="Default"/>
              <w:tabs>
                <w:tab w:val="left" w:pos="4006"/>
              </w:tabs>
              <w:spacing w:after="120"/>
              <w:ind w:right="35"/>
              <w:jc w:val="both"/>
              <w:rPr>
                <w:rFonts w:ascii="ITC Avant Garde" w:hAnsi="ITC Avant Garde"/>
                <w:i/>
                <w:sz w:val="18"/>
                <w:szCs w:val="18"/>
              </w:rPr>
            </w:pPr>
            <w:r w:rsidRPr="005471EF">
              <w:rPr>
                <w:rFonts w:ascii="ITC Avant Garde" w:hAnsi="ITC Avant Garde"/>
                <w:i/>
                <w:sz w:val="18"/>
                <w:szCs w:val="18"/>
              </w:rPr>
              <w:t>En ese sentido, si la Autoridad Investigadora se allega de la información con la que cuenta el Instituto, se podría acreditar la personalidad con la que se ostenta el firmante solo con señalar el registro de su poder y así, evitar cargas y gastos innecesarios.</w:t>
            </w:r>
          </w:p>
        </w:tc>
      </w:tr>
    </w:tbl>
    <w:p w14:paraId="2D77250B" w14:textId="77777777" w:rsidR="000A1A47" w:rsidRDefault="000A1A47" w:rsidP="00C43007">
      <w:pPr>
        <w:spacing w:after="120" w:line="240" w:lineRule="auto"/>
        <w:jc w:val="both"/>
        <w:rPr>
          <w:rFonts w:ascii="ITC Avant Garde" w:hAnsi="ITC Avant Garde"/>
          <w:b/>
        </w:rPr>
      </w:pPr>
    </w:p>
    <w:p w14:paraId="4ED4D111" w14:textId="77777777" w:rsidR="00353E8D" w:rsidRPr="00733CF8" w:rsidRDefault="00353E8D" w:rsidP="00C43007">
      <w:pPr>
        <w:spacing w:after="120" w:line="240" w:lineRule="auto"/>
        <w:jc w:val="both"/>
        <w:rPr>
          <w:rFonts w:ascii="ITC Avant Garde" w:hAnsi="ITC Avant Garde"/>
          <w:b/>
        </w:rPr>
      </w:pPr>
      <w:r w:rsidRPr="00733CF8">
        <w:rPr>
          <w:rFonts w:ascii="ITC Avant Garde" w:hAnsi="ITC Avant Garde"/>
          <w:b/>
        </w:rPr>
        <w:t>Consideraciones</w:t>
      </w:r>
    </w:p>
    <w:p w14:paraId="77B430BA" w14:textId="52691DF8" w:rsidR="005536B9" w:rsidRDefault="00532991" w:rsidP="00C43007">
      <w:pPr>
        <w:spacing w:after="120" w:line="240" w:lineRule="auto"/>
        <w:jc w:val="both"/>
        <w:rPr>
          <w:rFonts w:ascii="ITC Avant Garde" w:hAnsi="ITC Avant Garde"/>
        </w:rPr>
      </w:pPr>
      <w:r>
        <w:rPr>
          <w:rFonts w:ascii="ITC Avant Garde" w:hAnsi="ITC Avant Garde"/>
        </w:rPr>
        <w:t>L</w:t>
      </w:r>
      <w:r w:rsidR="005536B9">
        <w:rPr>
          <w:rFonts w:ascii="ITC Avant Garde" w:hAnsi="ITC Avant Garde"/>
        </w:rPr>
        <w:t xml:space="preserve">a presentación del testimonio notarial o copia certificada del documento o instrumento que contenga las facultades para acreditar la representación correspondiente, es un requisito establecido en el artículo 68, fracción II, en correlación con el diverso 111, ambos de la LFCE. En este sentido, </w:t>
      </w:r>
      <w:r w:rsidR="00C1577B">
        <w:rPr>
          <w:rFonts w:ascii="ITC Avant Garde" w:hAnsi="ITC Avant Garde"/>
        </w:rPr>
        <w:t xml:space="preserve">el Anteproyecto de Lineamientos </w:t>
      </w:r>
      <w:r w:rsidR="005536B9">
        <w:rPr>
          <w:rFonts w:ascii="ITC Avant Garde" w:hAnsi="ITC Avant Garde"/>
        </w:rPr>
        <w:t xml:space="preserve">no establece </w:t>
      </w:r>
      <w:r w:rsidR="002420B7">
        <w:rPr>
          <w:rFonts w:ascii="ITC Avant Garde" w:hAnsi="ITC Avant Garde"/>
        </w:rPr>
        <w:t xml:space="preserve">carga administrativa adicional o </w:t>
      </w:r>
      <w:r w:rsidR="00C1577B">
        <w:rPr>
          <w:rFonts w:ascii="ITC Avant Garde" w:hAnsi="ITC Avant Garde"/>
        </w:rPr>
        <w:t xml:space="preserve">cargos y gastos innecesarios </w:t>
      </w:r>
      <w:r w:rsidR="008A5A34">
        <w:rPr>
          <w:rFonts w:ascii="ITC Avant Garde" w:hAnsi="ITC Avant Garde"/>
        </w:rPr>
        <w:t xml:space="preserve">como se sugiere </w:t>
      </w:r>
      <w:r w:rsidR="005E4CC7">
        <w:rPr>
          <w:rFonts w:ascii="ITC Avant Garde" w:hAnsi="ITC Avant Garde"/>
        </w:rPr>
        <w:t>en los comentarios</w:t>
      </w:r>
      <w:r w:rsidR="008A5A34">
        <w:rPr>
          <w:rFonts w:ascii="ITC Avant Garde" w:hAnsi="ITC Avant Garde"/>
        </w:rPr>
        <w:t>.</w:t>
      </w:r>
      <w:r w:rsidR="002420B7">
        <w:rPr>
          <w:rFonts w:ascii="ITC Avant Garde" w:hAnsi="ITC Avant Garde"/>
        </w:rPr>
        <w:t xml:space="preserve"> </w:t>
      </w:r>
    </w:p>
    <w:p w14:paraId="5E99CA27" w14:textId="2DB20F97" w:rsidR="00532991" w:rsidRDefault="00532991" w:rsidP="00C43007">
      <w:pPr>
        <w:spacing w:after="120" w:line="240" w:lineRule="auto"/>
        <w:jc w:val="both"/>
        <w:rPr>
          <w:rFonts w:ascii="ITC Avant Garde" w:hAnsi="ITC Avant Garde"/>
        </w:rPr>
      </w:pPr>
      <w:r>
        <w:rPr>
          <w:rFonts w:ascii="ITC Avant Garde" w:hAnsi="ITC Avant Garde"/>
        </w:rPr>
        <w:t>Además de lo anterior, el Anteproyecto de Lineamientos no se considera el medio idóneo para establecer un “</w:t>
      </w:r>
      <w:r w:rsidRPr="00C61643">
        <w:rPr>
          <w:rFonts w:ascii="ITC Avant Garde" w:hAnsi="ITC Avant Garde"/>
          <w:i/>
        </w:rPr>
        <w:t>Registro público de poderes notariales</w:t>
      </w:r>
      <w:r>
        <w:rPr>
          <w:rFonts w:ascii="ITC Avant Garde" w:hAnsi="ITC Avant Garde"/>
        </w:rPr>
        <w:t xml:space="preserve">”, </w:t>
      </w:r>
      <w:r w:rsidR="00345AB3">
        <w:rPr>
          <w:rFonts w:ascii="ITC Avant Garde" w:hAnsi="ITC Avant Garde"/>
        </w:rPr>
        <w:t xml:space="preserve">atendiendo a la finalidad del </w:t>
      </w:r>
      <w:r w:rsidR="0046332E">
        <w:rPr>
          <w:rFonts w:ascii="ITC Avant Garde" w:hAnsi="ITC Avant Garde"/>
        </w:rPr>
        <w:t>Anteproyecto mencionado</w:t>
      </w:r>
      <w:r w:rsidR="00345AB3">
        <w:rPr>
          <w:rFonts w:ascii="ITC Avant Garde" w:hAnsi="ITC Avant Garde"/>
        </w:rPr>
        <w:t>, esto es, la presentación de una denuncia de prácticas monopólicas y concentraciones ilícitas en los sectores de tel</w:t>
      </w:r>
      <w:r w:rsidR="00F36209">
        <w:rPr>
          <w:rFonts w:ascii="ITC Avant Garde" w:hAnsi="ITC Avant Garde"/>
        </w:rPr>
        <w:t>ecomunicaciones y radiodifusión</w:t>
      </w:r>
      <w:r w:rsidR="00345AB3">
        <w:rPr>
          <w:rFonts w:ascii="ITC Avant Garde" w:hAnsi="ITC Avant Garde"/>
        </w:rPr>
        <w:t xml:space="preserve"> a través de medios electrónicos; </w:t>
      </w:r>
      <w:r w:rsidR="003C5299">
        <w:rPr>
          <w:rFonts w:ascii="ITC Avant Garde" w:hAnsi="ITC Avant Garde"/>
        </w:rPr>
        <w:t>en su caso,</w:t>
      </w:r>
      <w:r>
        <w:rPr>
          <w:rFonts w:ascii="ITC Avant Garde" w:hAnsi="ITC Avant Garde"/>
        </w:rPr>
        <w:t xml:space="preserve"> </w:t>
      </w:r>
      <w:r w:rsidR="003C5299">
        <w:rPr>
          <w:rFonts w:ascii="ITC Avant Garde" w:hAnsi="ITC Avant Garde"/>
        </w:rPr>
        <w:t xml:space="preserve">el establecimiento de </w:t>
      </w:r>
      <w:r>
        <w:rPr>
          <w:rFonts w:ascii="ITC Avant Garde" w:hAnsi="ITC Avant Garde"/>
        </w:rPr>
        <w:t xml:space="preserve">dicho registro debería ser </w:t>
      </w:r>
      <w:r w:rsidR="003C5299">
        <w:rPr>
          <w:rFonts w:ascii="ITC Avant Garde" w:hAnsi="ITC Avant Garde"/>
        </w:rPr>
        <w:t xml:space="preserve">parte de </w:t>
      </w:r>
      <w:r>
        <w:rPr>
          <w:rFonts w:ascii="ITC Avant Garde" w:hAnsi="ITC Avant Garde"/>
        </w:rPr>
        <w:t>una normativa diversa a</w:t>
      </w:r>
      <w:r w:rsidR="003C5299">
        <w:rPr>
          <w:rFonts w:ascii="ITC Avant Garde" w:hAnsi="ITC Avant Garde"/>
        </w:rPr>
        <w:t xml:space="preserve"> </w:t>
      </w:r>
      <w:r>
        <w:rPr>
          <w:rFonts w:ascii="ITC Avant Garde" w:hAnsi="ITC Avant Garde"/>
        </w:rPr>
        <w:t>l</w:t>
      </w:r>
      <w:r w:rsidR="003C5299">
        <w:rPr>
          <w:rFonts w:ascii="ITC Avant Garde" w:hAnsi="ITC Avant Garde"/>
        </w:rPr>
        <w:t>a</w:t>
      </w:r>
      <w:r>
        <w:rPr>
          <w:rFonts w:ascii="ITC Avant Garde" w:hAnsi="ITC Avant Garde"/>
        </w:rPr>
        <w:t xml:space="preserve"> presente.</w:t>
      </w:r>
    </w:p>
    <w:p w14:paraId="303EF7FF" w14:textId="7DA84AE3" w:rsidR="00D47EBC" w:rsidRPr="00B0647E" w:rsidRDefault="000F4842" w:rsidP="0090507D">
      <w:pPr>
        <w:jc w:val="both"/>
        <w:rPr>
          <w:rFonts w:ascii="ITC Avant Garde" w:hAnsi="ITC Avant Garde"/>
        </w:rPr>
      </w:pPr>
      <w:r>
        <w:rPr>
          <w:rFonts w:ascii="ITC Avant Garde" w:hAnsi="ITC Avant Garde"/>
        </w:rPr>
        <w:t>Sin perjuicio de lo anterior</w:t>
      </w:r>
      <w:r w:rsidRPr="00B0647E">
        <w:rPr>
          <w:rFonts w:ascii="ITC Avant Garde" w:hAnsi="ITC Avant Garde"/>
        </w:rPr>
        <w:t>,</w:t>
      </w:r>
      <w:r w:rsidR="0090507D" w:rsidRPr="00B0647E">
        <w:rPr>
          <w:rFonts w:ascii="ITC Avant Garde" w:hAnsi="ITC Avant Garde"/>
          <w:i/>
          <w:sz w:val="18"/>
          <w:szCs w:val="18"/>
        </w:rPr>
        <w:t xml:space="preserve"> </w:t>
      </w:r>
      <w:r w:rsidR="0090507D" w:rsidRPr="00B0647E">
        <w:rPr>
          <w:rFonts w:ascii="ITC Avant Garde" w:hAnsi="ITC Avant Garde"/>
        </w:rPr>
        <w:t xml:space="preserve">y tomando en consideración el comentario </w:t>
      </w:r>
      <w:r w:rsidR="00D47EBC" w:rsidRPr="00B0647E">
        <w:rPr>
          <w:rFonts w:ascii="ITC Avant Garde" w:hAnsi="ITC Avant Garde"/>
        </w:rPr>
        <w:t xml:space="preserve">indicado con el inciso (ii) </w:t>
      </w:r>
      <w:r w:rsidR="008E3458" w:rsidRPr="00B0647E">
        <w:rPr>
          <w:rFonts w:ascii="ITC Avant Garde" w:hAnsi="ITC Avant Garde"/>
        </w:rPr>
        <w:t xml:space="preserve">por parte </w:t>
      </w:r>
      <w:r w:rsidR="0090507D" w:rsidRPr="00B0647E">
        <w:rPr>
          <w:rFonts w:ascii="ITC Avant Garde" w:hAnsi="ITC Avant Garde"/>
        </w:rPr>
        <w:t xml:space="preserve">de Telefónica, se </w:t>
      </w:r>
      <w:r w:rsidR="0093158C" w:rsidRPr="00B0647E">
        <w:rPr>
          <w:rFonts w:ascii="ITC Avant Garde" w:hAnsi="ITC Avant Garde"/>
        </w:rPr>
        <w:t>modifica la</w:t>
      </w:r>
      <w:r w:rsidR="0090507D" w:rsidRPr="00B0647E">
        <w:rPr>
          <w:rFonts w:ascii="ITC Avant Garde" w:hAnsi="ITC Avant Garde"/>
        </w:rPr>
        <w:t xml:space="preserve"> redacción </w:t>
      </w:r>
      <w:r w:rsidR="0093158C" w:rsidRPr="00B0647E">
        <w:rPr>
          <w:rFonts w:ascii="ITC Avant Garde" w:hAnsi="ITC Avant Garde"/>
        </w:rPr>
        <w:t>d</w:t>
      </w:r>
      <w:r w:rsidR="00D47EBC" w:rsidRPr="00B0647E">
        <w:rPr>
          <w:rFonts w:ascii="ITC Avant Garde" w:hAnsi="ITC Avant Garde"/>
        </w:rPr>
        <w:t xml:space="preserve">el artículo 7, como sigue: </w:t>
      </w:r>
    </w:p>
    <w:tbl>
      <w:tblPr>
        <w:tblStyle w:val="Tablaconcuadrcula"/>
        <w:tblW w:w="0" w:type="auto"/>
        <w:jc w:val="center"/>
        <w:tblLook w:val="04A0" w:firstRow="1" w:lastRow="0" w:firstColumn="1" w:lastColumn="0" w:noHBand="0" w:noVBand="1"/>
      </w:tblPr>
      <w:tblGrid>
        <w:gridCol w:w="4815"/>
        <w:gridCol w:w="4678"/>
      </w:tblGrid>
      <w:tr w:rsidR="00D47EBC" w:rsidRPr="00B0647E" w14:paraId="3F7F08AB" w14:textId="77777777" w:rsidTr="002C313B">
        <w:trPr>
          <w:jc w:val="center"/>
        </w:trPr>
        <w:tc>
          <w:tcPr>
            <w:tcW w:w="4815"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1C6D1C4A" w14:textId="77777777" w:rsidR="00D47EBC" w:rsidRPr="00B0647E" w:rsidRDefault="00D47EBC" w:rsidP="002C313B">
            <w:pPr>
              <w:spacing w:after="0" w:line="240" w:lineRule="auto"/>
              <w:jc w:val="center"/>
              <w:rPr>
                <w:rFonts w:ascii="ITC Avant Garde" w:hAnsi="ITC Avant Garde"/>
                <w:b/>
                <w:color w:val="FFFFFF" w:themeColor="background1"/>
                <w:sz w:val="18"/>
                <w:szCs w:val="18"/>
              </w:rPr>
            </w:pPr>
            <w:r w:rsidRPr="00B0647E">
              <w:rPr>
                <w:rFonts w:ascii="ITC Avant Garde" w:hAnsi="ITC Avant Garde" w:cs="ITC Avant Garde"/>
                <w:b/>
                <w:color w:val="FFFFFF" w:themeColor="background1"/>
                <w:sz w:val="20"/>
                <w:szCs w:val="20"/>
              </w:rPr>
              <w:t>Anteproyecto de Lineamientos</w:t>
            </w:r>
          </w:p>
        </w:tc>
        <w:tc>
          <w:tcPr>
            <w:tcW w:w="4678"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20E2FFE0" w14:textId="77777777" w:rsidR="00D47EBC" w:rsidRPr="00B0647E" w:rsidRDefault="00D47EBC" w:rsidP="002C313B">
            <w:pPr>
              <w:spacing w:after="0" w:line="240" w:lineRule="auto"/>
              <w:jc w:val="center"/>
              <w:rPr>
                <w:rFonts w:ascii="ITC Avant Garde" w:hAnsi="ITC Avant Garde"/>
                <w:b/>
                <w:color w:val="FFFFFF" w:themeColor="background1"/>
                <w:sz w:val="18"/>
                <w:szCs w:val="18"/>
              </w:rPr>
            </w:pPr>
            <w:r w:rsidRPr="00B0647E">
              <w:rPr>
                <w:rFonts w:ascii="ITC Avant Garde" w:hAnsi="ITC Avant Garde" w:cs="ITC Avant Garde"/>
                <w:b/>
                <w:color w:val="FFFFFF" w:themeColor="background1"/>
                <w:sz w:val="20"/>
                <w:szCs w:val="20"/>
              </w:rPr>
              <w:t>Modificación al Anteproyecto de Lineamientos</w:t>
            </w:r>
          </w:p>
        </w:tc>
      </w:tr>
      <w:tr w:rsidR="00D47EBC" w14:paraId="7CB7549B" w14:textId="77777777" w:rsidTr="002C313B">
        <w:trPr>
          <w:jc w:val="center"/>
        </w:trPr>
        <w:tc>
          <w:tcPr>
            <w:tcW w:w="48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77C6F3A" w14:textId="77777777" w:rsidR="00D47EBC" w:rsidRPr="00B0647E" w:rsidRDefault="00D47EBC" w:rsidP="002C313B">
            <w:pPr>
              <w:spacing w:after="120" w:line="240" w:lineRule="auto"/>
              <w:jc w:val="both"/>
              <w:rPr>
                <w:rFonts w:ascii="ITC Avant Garde" w:hAnsi="ITC Avant Garde" w:cs="Arial"/>
                <w:i/>
                <w:sz w:val="18"/>
                <w:szCs w:val="18"/>
              </w:rPr>
            </w:pPr>
            <w:r w:rsidRPr="00B0647E">
              <w:rPr>
                <w:rFonts w:ascii="ITC Avant Garde" w:hAnsi="ITC Avant Garde"/>
                <w:b/>
                <w:i/>
                <w:sz w:val="18"/>
                <w:szCs w:val="18"/>
              </w:rPr>
              <w:t>Artículo 7</w:t>
            </w:r>
            <w:r w:rsidRPr="00B0647E">
              <w:rPr>
                <w:rFonts w:ascii="ITC Avant Garde" w:hAnsi="ITC Avant Garde" w:cs="Arial"/>
                <w:b/>
                <w:i/>
                <w:sz w:val="18"/>
                <w:szCs w:val="18"/>
              </w:rPr>
              <w:t xml:space="preserve">. </w:t>
            </w:r>
            <w:r w:rsidRPr="00B0647E">
              <w:rPr>
                <w:rFonts w:ascii="ITC Avant Garde" w:hAnsi="ITC Avant Garde" w:cs="Arial"/>
                <w:i/>
                <w:sz w:val="18"/>
                <w:szCs w:val="18"/>
              </w:rPr>
              <w:t>Si el denunciante actúa a través de representante legal, éste adjuntará una copia digital del documento con el que acredite su personalidad, sin perjuicio de que presente el documento original o copia certificada al desahogar el acuerdo de prevención que formule la Autoridad Investigadora en términos de lo dispuesto en el artículo 69, fracción III, de la Ley.</w:t>
            </w:r>
          </w:p>
          <w:p w14:paraId="4BC3B526" w14:textId="77777777" w:rsidR="00D47EBC" w:rsidRPr="00B0647E" w:rsidRDefault="00D47EBC" w:rsidP="002C313B">
            <w:pPr>
              <w:spacing w:after="120" w:line="240" w:lineRule="auto"/>
              <w:jc w:val="both"/>
              <w:rPr>
                <w:rFonts w:ascii="ITC Avant Garde" w:hAnsi="ITC Avant Garde" w:cs="Arial"/>
                <w:i/>
                <w:sz w:val="18"/>
                <w:szCs w:val="18"/>
              </w:rPr>
            </w:pPr>
            <w:r w:rsidRPr="00B0647E">
              <w:rPr>
                <w:rFonts w:ascii="ITC Avant Garde" w:hAnsi="ITC Avant Garde" w:cs="Arial"/>
                <w:i/>
                <w:sz w:val="18"/>
                <w:szCs w:val="18"/>
              </w:rPr>
              <w:t xml:space="preserve">Transcurrido el plazo otorgado para tal efecto sin que se desahogue la prevención, se tendrá por no presentada la denuncia, sin perjuicio de que el denunciante pueda presentarla nuevamente ya sea </w:t>
            </w:r>
            <w:r w:rsidRPr="00B0647E">
              <w:rPr>
                <w:rFonts w:ascii="ITC Avant Garde" w:hAnsi="ITC Avant Garde" w:cs="Arial"/>
                <w:i/>
                <w:sz w:val="18"/>
                <w:szCs w:val="18"/>
              </w:rPr>
              <w:lastRenderedPageBreak/>
              <w:t xml:space="preserve">en la oficialía, o bien, de manera electrónica a través del SEPDAI. </w:t>
            </w:r>
          </w:p>
          <w:p w14:paraId="2E094BAC" w14:textId="77777777" w:rsidR="00D47EBC" w:rsidRPr="00B0647E" w:rsidRDefault="00D47EBC" w:rsidP="002C313B">
            <w:pPr>
              <w:pStyle w:val="Prrafodelista"/>
              <w:spacing w:after="120" w:line="240" w:lineRule="auto"/>
              <w:ind w:left="0"/>
              <w:jc w:val="both"/>
              <w:rPr>
                <w:rFonts w:ascii="ITC Avant Garde" w:hAnsi="ITC Avant Garde" w:cs="Arial"/>
                <w:b/>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5A8C94C" w14:textId="77777777" w:rsidR="00D47EBC" w:rsidRPr="00B0647E" w:rsidRDefault="00D47EBC" w:rsidP="002C313B">
            <w:pPr>
              <w:spacing w:after="120" w:line="240" w:lineRule="auto"/>
              <w:jc w:val="both"/>
              <w:rPr>
                <w:rFonts w:ascii="ITC Avant Garde" w:hAnsi="ITC Avant Garde" w:cs="Arial"/>
                <w:i/>
                <w:sz w:val="18"/>
                <w:szCs w:val="18"/>
              </w:rPr>
            </w:pPr>
            <w:r w:rsidRPr="00B0647E">
              <w:rPr>
                <w:rFonts w:ascii="ITC Avant Garde" w:hAnsi="ITC Avant Garde"/>
                <w:b/>
                <w:i/>
                <w:sz w:val="18"/>
                <w:szCs w:val="18"/>
              </w:rPr>
              <w:lastRenderedPageBreak/>
              <w:t>Artículo 7</w:t>
            </w:r>
            <w:r w:rsidRPr="00B0647E">
              <w:rPr>
                <w:rFonts w:ascii="ITC Avant Garde" w:hAnsi="ITC Avant Garde" w:cs="Arial"/>
                <w:b/>
                <w:i/>
                <w:sz w:val="18"/>
                <w:szCs w:val="18"/>
              </w:rPr>
              <w:t xml:space="preserve">. </w:t>
            </w:r>
            <w:r w:rsidRPr="00B0647E">
              <w:rPr>
                <w:rFonts w:ascii="ITC Avant Garde" w:hAnsi="ITC Avant Garde" w:cs="Arial"/>
                <w:i/>
                <w:sz w:val="18"/>
                <w:szCs w:val="18"/>
              </w:rPr>
              <w:t>Si el denunciante actúa a través de representante legal, éste adjuntará una copia digital del documento con el que acredite su personalidad, sin perjuicio de que presente el documento original o copia certificada al desahogar el acuerdo de prevención que formule la Autoridad Investigadora en términos de lo dispuesto en el artículo 69, fracción III, de la Ley.</w:t>
            </w:r>
          </w:p>
          <w:p w14:paraId="273F2AD9" w14:textId="77777777" w:rsidR="00D47EBC" w:rsidRPr="00B0647E" w:rsidRDefault="00D47EBC" w:rsidP="002C313B">
            <w:pPr>
              <w:spacing w:after="120" w:line="240" w:lineRule="auto"/>
              <w:jc w:val="both"/>
              <w:rPr>
                <w:rFonts w:ascii="ITC Avant Garde" w:hAnsi="ITC Avant Garde" w:cs="Arial"/>
                <w:i/>
                <w:sz w:val="18"/>
                <w:szCs w:val="18"/>
              </w:rPr>
            </w:pPr>
            <w:r w:rsidRPr="00B0647E">
              <w:rPr>
                <w:rFonts w:ascii="ITC Avant Garde" w:hAnsi="ITC Avant Garde" w:cs="Arial"/>
                <w:i/>
                <w:sz w:val="18"/>
                <w:szCs w:val="18"/>
              </w:rPr>
              <w:t xml:space="preserve">Transcurrido el plazo otorgado para tal efecto sin que se desahogue la prevención, se tendrá por no presentada la denuncia, sin perjuicio de que el denunciante pueda presentarla nuevamente ya </w:t>
            </w:r>
            <w:r w:rsidRPr="00B0647E">
              <w:rPr>
                <w:rFonts w:ascii="ITC Avant Garde" w:hAnsi="ITC Avant Garde" w:cs="Arial"/>
                <w:i/>
                <w:sz w:val="18"/>
                <w:szCs w:val="18"/>
              </w:rPr>
              <w:lastRenderedPageBreak/>
              <w:t xml:space="preserve">sea en la oficialía, o bien, de manera electrónica a través del SEPDAI. </w:t>
            </w:r>
          </w:p>
          <w:p w14:paraId="3D5B9030" w14:textId="1EF674EB" w:rsidR="00D47EBC" w:rsidRPr="00B0647E" w:rsidRDefault="00D47EBC" w:rsidP="002C313B">
            <w:pPr>
              <w:pStyle w:val="Default"/>
              <w:tabs>
                <w:tab w:val="left" w:pos="4006"/>
              </w:tabs>
              <w:spacing w:after="120"/>
              <w:ind w:right="35"/>
              <w:jc w:val="both"/>
              <w:rPr>
                <w:rFonts w:ascii="ITC Avant Garde" w:hAnsi="ITC Avant Garde"/>
                <w:i/>
                <w:sz w:val="18"/>
                <w:szCs w:val="18"/>
                <w:u w:val="single"/>
              </w:rPr>
            </w:pPr>
            <w:r w:rsidRPr="00B0647E">
              <w:rPr>
                <w:rFonts w:ascii="ITC Avant Garde" w:hAnsi="ITC Avant Garde"/>
                <w:i/>
                <w:sz w:val="18"/>
                <w:szCs w:val="18"/>
                <w:u w:val="single"/>
              </w:rPr>
              <w:t xml:space="preserve">En caso de que el representante legal del denunciante ya se encuentre inscrito ante el Registro Público de Concesiones del IFT, podrá señalar el folio y número de constancia de inscripción ante tal registro, </w:t>
            </w:r>
            <w:r w:rsidR="0093158C" w:rsidRPr="00B0647E">
              <w:rPr>
                <w:rFonts w:ascii="ITC Avant Garde" w:hAnsi="ITC Avant Garde"/>
                <w:i/>
                <w:sz w:val="18"/>
                <w:szCs w:val="18"/>
                <w:u w:val="single"/>
              </w:rPr>
              <w:t xml:space="preserve">y cualquier otro dato que permita su localización, </w:t>
            </w:r>
            <w:r w:rsidRPr="00B0647E">
              <w:rPr>
                <w:rFonts w:ascii="ITC Avant Garde" w:hAnsi="ITC Avant Garde"/>
                <w:i/>
                <w:sz w:val="18"/>
                <w:szCs w:val="18"/>
                <w:u w:val="single"/>
              </w:rPr>
              <w:t>con la finalidad de que la Autoridad Investigadora pueda corroborar la representación del denunciante.</w:t>
            </w:r>
          </w:p>
        </w:tc>
      </w:tr>
    </w:tbl>
    <w:p w14:paraId="3B00D3CA" w14:textId="77777777" w:rsidR="008E3458" w:rsidRDefault="008E3458" w:rsidP="00C43007">
      <w:pPr>
        <w:spacing w:after="120" w:line="240" w:lineRule="auto"/>
        <w:jc w:val="both"/>
        <w:rPr>
          <w:rFonts w:ascii="ITC Avant Garde" w:hAnsi="ITC Avant Garde"/>
        </w:rPr>
      </w:pPr>
    </w:p>
    <w:p w14:paraId="68BCB405" w14:textId="77777777" w:rsidR="00353E8D" w:rsidRDefault="00353E8D" w:rsidP="00C43007">
      <w:pPr>
        <w:spacing w:after="120" w:line="240" w:lineRule="auto"/>
        <w:jc w:val="both"/>
        <w:rPr>
          <w:rFonts w:ascii="ITC Avant Garde" w:hAnsi="ITC Avant Garde"/>
          <w:b/>
        </w:rPr>
      </w:pPr>
      <w:r>
        <w:rPr>
          <w:rFonts w:ascii="ITC Avant Garde" w:hAnsi="ITC Avant Garde"/>
          <w:b/>
        </w:rPr>
        <w:t>Comentarios recibidos al artículo 8</w:t>
      </w:r>
      <w:r w:rsidR="00697826">
        <w:rPr>
          <w:rFonts w:ascii="ITC Avant Garde" w:hAnsi="ITC Avant Garde"/>
          <w:b/>
        </w:rPr>
        <w:t xml:space="preserve"> </w:t>
      </w:r>
    </w:p>
    <w:p w14:paraId="700C0EC8" w14:textId="0E988933" w:rsidR="00CA0EB0" w:rsidRDefault="00260184">
      <w:pPr>
        <w:spacing w:after="120" w:line="240" w:lineRule="auto"/>
        <w:jc w:val="both"/>
        <w:rPr>
          <w:rFonts w:ascii="ITC Avant Garde" w:hAnsi="ITC Avant Garde"/>
        </w:rPr>
      </w:pPr>
      <w:r w:rsidRPr="000C0BFE">
        <w:rPr>
          <w:rFonts w:ascii="ITC Avant Garde" w:hAnsi="ITC Avant Garde"/>
        </w:rPr>
        <w:t>Telefónica</w:t>
      </w:r>
      <w:r w:rsidR="00276334">
        <w:rPr>
          <w:rFonts w:ascii="ITC Avant Garde" w:hAnsi="ITC Avant Garde"/>
        </w:rPr>
        <w:t xml:space="preserve">, </w:t>
      </w:r>
      <w:r w:rsidR="00276334" w:rsidRPr="000C0BFE">
        <w:rPr>
          <w:rFonts w:ascii="ITC Avant Garde" w:hAnsi="ITC Avant Garde"/>
        </w:rPr>
        <w:t xml:space="preserve">AT&amp;T </w:t>
      </w:r>
      <w:r w:rsidR="00276334">
        <w:rPr>
          <w:rFonts w:ascii="ITC Avant Garde" w:hAnsi="ITC Avant Garde"/>
        </w:rPr>
        <w:t xml:space="preserve">y </w:t>
      </w:r>
      <w:r w:rsidR="00276334" w:rsidRPr="00CA0EB0">
        <w:rPr>
          <w:rFonts w:ascii="ITC Avant Garde" w:hAnsi="ITC Avant Garde"/>
        </w:rPr>
        <w:t xml:space="preserve">Bestphone y otros </w:t>
      </w:r>
      <w:r w:rsidR="00276334">
        <w:rPr>
          <w:rFonts w:ascii="ITC Avant Garde" w:hAnsi="ITC Avant Garde"/>
        </w:rPr>
        <w:t xml:space="preserve">realizaron diversos comentarios, como sigue: </w:t>
      </w:r>
    </w:p>
    <w:tbl>
      <w:tblPr>
        <w:tblStyle w:val="Tablaconcuadrcula"/>
        <w:tblW w:w="0" w:type="auto"/>
        <w:jc w:val="center"/>
        <w:tblLook w:val="04A0" w:firstRow="1" w:lastRow="0" w:firstColumn="1" w:lastColumn="0" w:noHBand="0" w:noVBand="1"/>
      </w:tblPr>
      <w:tblGrid>
        <w:gridCol w:w="3410"/>
        <w:gridCol w:w="3612"/>
        <w:gridCol w:w="3048"/>
      </w:tblGrid>
      <w:tr w:rsidR="00697826" w:rsidRPr="005F7866" w14:paraId="0C13B5A6" w14:textId="77777777" w:rsidTr="00697826">
        <w:trPr>
          <w:jc w:val="center"/>
        </w:trPr>
        <w:tc>
          <w:tcPr>
            <w:tcW w:w="3410" w:type="dxa"/>
            <w:shd w:val="clear" w:color="auto" w:fill="538135" w:themeFill="accent6" w:themeFillShade="BF"/>
          </w:tcPr>
          <w:p w14:paraId="1784390A" w14:textId="77777777" w:rsidR="00697826" w:rsidRPr="005F7866" w:rsidRDefault="00697826" w:rsidP="00C43007">
            <w:pPr>
              <w:spacing w:after="120" w:line="240" w:lineRule="auto"/>
              <w:jc w:val="center"/>
              <w:rPr>
                <w:rFonts w:ascii="ITC Avant Garde" w:hAnsi="ITC Avant Garde"/>
                <w:b/>
                <w:color w:val="FFFFFF" w:themeColor="background1"/>
                <w:sz w:val="18"/>
                <w:szCs w:val="18"/>
              </w:rPr>
            </w:pPr>
            <w:r w:rsidRPr="00412A3E">
              <w:rPr>
                <w:rFonts w:ascii="ITC Avant Garde" w:hAnsi="ITC Avant Garde" w:cs="ITC Avant Garde"/>
                <w:b/>
                <w:color w:val="FFFFFF" w:themeColor="background1"/>
                <w:sz w:val="20"/>
                <w:szCs w:val="20"/>
              </w:rPr>
              <w:t>Telefónica</w:t>
            </w:r>
          </w:p>
        </w:tc>
        <w:tc>
          <w:tcPr>
            <w:tcW w:w="3612" w:type="dxa"/>
            <w:shd w:val="clear" w:color="auto" w:fill="538135" w:themeFill="accent6" w:themeFillShade="BF"/>
          </w:tcPr>
          <w:p w14:paraId="468CF6A5" w14:textId="77777777" w:rsidR="00697826" w:rsidRPr="005F7866" w:rsidRDefault="00697826" w:rsidP="00C43007">
            <w:pPr>
              <w:spacing w:after="120" w:line="240" w:lineRule="auto"/>
              <w:jc w:val="center"/>
              <w:rPr>
                <w:rFonts w:ascii="ITC Avant Garde" w:hAnsi="ITC Avant Garde"/>
                <w:b/>
                <w:color w:val="FFFFFF" w:themeColor="background1"/>
                <w:sz w:val="18"/>
                <w:szCs w:val="18"/>
              </w:rPr>
            </w:pPr>
            <w:r>
              <w:rPr>
                <w:rFonts w:ascii="ITC Avant Garde" w:hAnsi="ITC Avant Garde" w:cs="ITC Avant Garde"/>
                <w:b/>
                <w:smallCaps/>
                <w:color w:val="FFFFFF" w:themeColor="background1"/>
                <w:sz w:val="20"/>
                <w:szCs w:val="20"/>
              </w:rPr>
              <w:t>AT&amp;T</w:t>
            </w:r>
          </w:p>
        </w:tc>
        <w:tc>
          <w:tcPr>
            <w:tcW w:w="3048" w:type="dxa"/>
            <w:shd w:val="clear" w:color="auto" w:fill="538135" w:themeFill="accent6" w:themeFillShade="BF"/>
          </w:tcPr>
          <w:p w14:paraId="28DEF2C2" w14:textId="77777777" w:rsidR="00697826" w:rsidRDefault="00697826" w:rsidP="00C43007">
            <w:pPr>
              <w:spacing w:after="120" w:line="240" w:lineRule="auto"/>
              <w:jc w:val="center"/>
              <w:rPr>
                <w:rFonts w:ascii="ITC Avant Garde" w:hAnsi="ITC Avant Garde" w:cs="ITC Avant Garde"/>
                <w:b/>
                <w:smallCaps/>
                <w:color w:val="FFFFFF" w:themeColor="background1"/>
                <w:sz w:val="20"/>
                <w:szCs w:val="20"/>
              </w:rPr>
            </w:pPr>
            <w:r>
              <w:rPr>
                <w:rFonts w:ascii="ITC Avant Garde" w:hAnsi="ITC Avant Garde" w:cs="ITC Avant Garde"/>
                <w:b/>
                <w:color w:val="FFFFFF" w:themeColor="background1"/>
                <w:sz w:val="20"/>
                <w:szCs w:val="20"/>
              </w:rPr>
              <w:t>Bestphone y otros</w:t>
            </w:r>
          </w:p>
        </w:tc>
      </w:tr>
      <w:tr w:rsidR="00697826" w:rsidRPr="005F7866" w14:paraId="65A1FFEF" w14:textId="77777777" w:rsidTr="00697826">
        <w:trPr>
          <w:jc w:val="center"/>
        </w:trPr>
        <w:tc>
          <w:tcPr>
            <w:tcW w:w="3410" w:type="dxa"/>
            <w:shd w:val="clear" w:color="auto" w:fill="C5E0B3" w:themeFill="accent6" w:themeFillTint="66"/>
          </w:tcPr>
          <w:p w14:paraId="6B2C6B7B" w14:textId="77777777" w:rsidR="00697826" w:rsidRDefault="00697826">
            <w:pPr>
              <w:pStyle w:val="Default"/>
              <w:spacing w:after="120"/>
              <w:jc w:val="both"/>
              <w:rPr>
                <w:rFonts w:ascii="ITC Avant Garde" w:hAnsi="ITC Avant Garde"/>
                <w:i/>
                <w:sz w:val="18"/>
                <w:szCs w:val="18"/>
              </w:rPr>
            </w:pPr>
            <w:r w:rsidRPr="00F84D32">
              <w:rPr>
                <w:rFonts w:ascii="ITC Avant Garde" w:hAnsi="ITC Avant Garde"/>
                <w:i/>
                <w:sz w:val="18"/>
                <w:szCs w:val="18"/>
                <w:lang w:eastAsia="es-MX"/>
              </w:rPr>
              <w:t xml:space="preserve">El artículo en comentó dispone lo siguiente: </w:t>
            </w:r>
          </w:p>
          <w:p w14:paraId="22244725" w14:textId="77777777" w:rsidR="00697826" w:rsidRDefault="00697826">
            <w:pPr>
              <w:pStyle w:val="Default"/>
              <w:spacing w:after="120"/>
              <w:ind w:left="164" w:right="179"/>
              <w:jc w:val="both"/>
              <w:rPr>
                <w:rFonts w:ascii="ITC Avant Garde" w:hAnsi="ITC Avant Garde"/>
                <w:i/>
                <w:sz w:val="18"/>
                <w:szCs w:val="18"/>
              </w:rPr>
            </w:pPr>
            <w:r w:rsidRPr="00F84D32">
              <w:rPr>
                <w:rFonts w:ascii="ITC Avant Garde" w:hAnsi="ITC Avant Garde"/>
                <w:i/>
                <w:sz w:val="18"/>
                <w:szCs w:val="18"/>
                <w:lang w:eastAsia="es-MX"/>
              </w:rPr>
              <w:t xml:space="preserve">“…Artículo 8. La Autoridad Investigadora notificará a través del SEPDAI: </w:t>
            </w:r>
          </w:p>
          <w:p w14:paraId="64CA1AD9" w14:textId="77777777" w:rsidR="00697826" w:rsidRDefault="00697826">
            <w:pPr>
              <w:pStyle w:val="Default"/>
              <w:spacing w:after="120"/>
              <w:ind w:left="164" w:right="179"/>
              <w:jc w:val="both"/>
              <w:rPr>
                <w:rFonts w:ascii="ITC Avant Garde" w:hAnsi="ITC Avant Garde"/>
                <w:i/>
                <w:sz w:val="18"/>
                <w:szCs w:val="18"/>
              </w:rPr>
            </w:pPr>
            <w:r w:rsidRPr="00F84D32">
              <w:rPr>
                <w:rFonts w:ascii="ITC Avant Garde" w:hAnsi="ITC Avant Garde"/>
                <w:i/>
                <w:sz w:val="18"/>
                <w:szCs w:val="18"/>
                <w:lang w:eastAsia="es-MX"/>
              </w:rPr>
              <w:t>I. El acuerdo de prevención a que se refiere el artículo 69, fracción III, de la Ley;</w:t>
            </w:r>
          </w:p>
          <w:p w14:paraId="3874F0D1" w14:textId="77777777" w:rsidR="00697826" w:rsidRDefault="00697826">
            <w:pPr>
              <w:pStyle w:val="Default"/>
              <w:spacing w:after="120"/>
              <w:ind w:left="164" w:right="179"/>
              <w:jc w:val="both"/>
              <w:rPr>
                <w:rFonts w:ascii="ITC Avant Garde" w:hAnsi="ITC Avant Garde"/>
                <w:i/>
                <w:sz w:val="18"/>
                <w:szCs w:val="18"/>
              </w:rPr>
            </w:pPr>
            <w:r w:rsidRPr="00F84D32">
              <w:rPr>
                <w:rFonts w:ascii="ITC Avant Garde" w:hAnsi="ITC Avant Garde"/>
                <w:i/>
                <w:sz w:val="18"/>
                <w:szCs w:val="18"/>
                <w:lang w:eastAsia="es-MX"/>
              </w:rPr>
              <w:t xml:space="preserve"> II. El extracto del acuerdo que recaiga a la solicitud de ampliación del plazo para desahogar la prevención referida en la fracción I anterior; </w:t>
            </w:r>
          </w:p>
          <w:p w14:paraId="794750AC" w14:textId="77777777" w:rsidR="00697826" w:rsidRDefault="00697826">
            <w:pPr>
              <w:pStyle w:val="Default"/>
              <w:spacing w:after="120"/>
              <w:ind w:left="164" w:right="179"/>
              <w:jc w:val="both"/>
              <w:rPr>
                <w:rFonts w:ascii="ITC Avant Garde" w:hAnsi="ITC Avant Garde"/>
                <w:i/>
                <w:sz w:val="18"/>
                <w:szCs w:val="18"/>
              </w:rPr>
            </w:pPr>
            <w:r w:rsidRPr="00F84D32">
              <w:rPr>
                <w:rFonts w:ascii="ITC Avant Garde" w:hAnsi="ITC Avant Garde"/>
                <w:i/>
                <w:sz w:val="18"/>
                <w:szCs w:val="18"/>
                <w:lang w:eastAsia="es-MX"/>
              </w:rPr>
              <w:t xml:space="preserve">III. El acuerdo mediante el cual se deseche o se tenga por no presentada la denuncia, y </w:t>
            </w:r>
          </w:p>
          <w:p w14:paraId="3FEED304" w14:textId="77777777" w:rsidR="00697826" w:rsidRDefault="00697826">
            <w:pPr>
              <w:pStyle w:val="Default"/>
              <w:spacing w:after="120"/>
              <w:ind w:left="164" w:right="179"/>
              <w:jc w:val="both"/>
              <w:rPr>
                <w:rFonts w:ascii="ITC Avant Garde" w:hAnsi="ITC Avant Garde"/>
                <w:i/>
                <w:sz w:val="18"/>
                <w:szCs w:val="18"/>
              </w:rPr>
            </w:pPr>
            <w:r w:rsidRPr="00F84D32">
              <w:rPr>
                <w:rFonts w:ascii="ITC Avant Garde" w:hAnsi="ITC Avant Garde"/>
                <w:i/>
                <w:sz w:val="18"/>
                <w:szCs w:val="18"/>
                <w:lang w:eastAsia="es-MX"/>
              </w:rPr>
              <w:t xml:space="preserve">IV. El extracto del acuerdo de inicio de investigación. </w:t>
            </w:r>
          </w:p>
          <w:p w14:paraId="48221619" w14:textId="77777777" w:rsidR="00697826" w:rsidRPr="00F84D32" w:rsidRDefault="00697826">
            <w:pPr>
              <w:pStyle w:val="Default"/>
              <w:spacing w:after="120"/>
              <w:ind w:left="164" w:right="179"/>
              <w:jc w:val="both"/>
              <w:rPr>
                <w:rFonts w:ascii="ITC Avant Garde" w:hAnsi="ITC Avant Garde"/>
                <w:i/>
                <w:sz w:val="18"/>
                <w:szCs w:val="18"/>
              </w:rPr>
            </w:pPr>
            <w:r w:rsidRPr="00F84D32">
              <w:rPr>
                <w:rFonts w:ascii="ITC Avant Garde" w:hAnsi="ITC Avant Garde"/>
                <w:i/>
                <w:sz w:val="18"/>
                <w:szCs w:val="18"/>
                <w:lang w:eastAsia="es-MX"/>
              </w:rPr>
              <w:t>El SEPDAI enviará una alerta al correo electrónico proporcionando por el denunciante, para hacer de su conocimiento que ha sido notificado del acuerdo o documento correspondiente.</w:t>
            </w:r>
          </w:p>
          <w:p w14:paraId="5EB68829" w14:textId="77777777" w:rsidR="00697826" w:rsidRDefault="00697826">
            <w:pPr>
              <w:pStyle w:val="Default"/>
              <w:spacing w:after="120"/>
              <w:ind w:left="164" w:right="179"/>
              <w:jc w:val="both"/>
              <w:rPr>
                <w:rFonts w:ascii="ITC Avant Garde" w:hAnsi="ITC Avant Garde"/>
                <w:i/>
                <w:sz w:val="18"/>
                <w:szCs w:val="18"/>
              </w:rPr>
            </w:pPr>
            <w:r w:rsidRPr="00F84D32">
              <w:rPr>
                <w:rFonts w:ascii="ITC Avant Garde" w:hAnsi="ITC Avant Garde"/>
                <w:i/>
                <w:sz w:val="18"/>
                <w:szCs w:val="18"/>
                <w:lang w:eastAsia="es-MX"/>
              </w:rPr>
              <w:t xml:space="preserve">El acuerdo que prevenga al denunciante, deseche la denuncia o la tenga por no presentada, también se notificará de manera personal…” </w:t>
            </w:r>
          </w:p>
          <w:p w14:paraId="1B9266E3" w14:textId="77777777" w:rsidR="00697826" w:rsidRDefault="00697826">
            <w:pPr>
              <w:pStyle w:val="Default"/>
              <w:spacing w:after="120"/>
              <w:jc w:val="both"/>
              <w:rPr>
                <w:rFonts w:ascii="ITC Avant Garde" w:hAnsi="ITC Avant Garde"/>
                <w:i/>
                <w:sz w:val="18"/>
                <w:szCs w:val="18"/>
              </w:rPr>
            </w:pPr>
            <w:r w:rsidRPr="00F84D32">
              <w:rPr>
                <w:rFonts w:ascii="ITC Avant Garde" w:hAnsi="ITC Avant Garde"/>
                <w:i/>
                <w:sz w:val="18"/>
                <w:szCs w:val="18"/>
                <w:lang w:eastAsia="es-MX"/>
              </w:rPr>
              <w:lastRenderedPageBreak/>
              <w:t>De conformidad con el artículo 115, párrafo primero, de la LFCE las actuaciones se practicarán en días y horas hábiles. Por su parte, el tercer párrafo de ese artículo dispone que serán horas hábiles para notificar y realizar diligencias las que medien entre las 7 horas y las 19 horas.</w:t>
            </w:r>
          </w:p>
          <w:p w14:paraId="5A81CBB5" w14:textId="77777777" w:rsidR="00697826" w:rsidRPr="00F84D32" w:rsidRDefault="00697826">
            <w:pPr>
              <w:pStyle w:val="Default"/>
              <w:spacing w:after="120"/>
              <w:jc w:val="both"/>
              <w:rPr>
                <w:rFonts w:ascii="ITC Avant Garde" w:hAnsi="ITC Avant Garde"/>
                <w:i/>
                <w:sz w:val="18"/>
                <w:szCs w:val="18"/>
              </w:rPr>
            </w:pPr>
            <w:r w:rsidRPr="00F84D32">
              <w:rPr>
                <w:rFonts w:ascii="ITC Avant Garde" w:hAnsi="ITC Avant Garde"/>
                <w:i/>
                <w:sz w:val="18"/>
                <w:szCs w:val="18"/>
                <w:lang w:eastAsia="es-MX"/>
              </w:rPr>
              <w:t xml:space="preserve"> En este sentido, a fin de brindar seguridad jurídica al denunciante, se considera necesario establecer que las alertas que se envíen a través del SEPDAI, podrán considerarse recibidas en el día en que se hayan enviado únicamente cuando sean recibidas en el correo electrónico dentro del lapso referido en el segundo párrafo del artículo 115 de la LFCE y que, en caso contrario, se entenderá que la alerta se envió al día siguiente a aquél en que fue recibida vía correo electrónico, por lo cual, además, se deberá entender que la notificación se tendrá por practicada al día siguiente de su envío.</w:t>
            </w:r>
          </w:p>
          <w:p w14:paraId="4070D644" w14:textId="77777777" w:rsidR="00697826" w:rsidRDefault="00697826">
            <w:pPr>
              <w:pStyle w:val="Default"/>
              <w:spacing w:after="120"/>
              <w:jc w:val="both"/>
              <w:rPr>
                <w:rFonts w:ascii="ITC Avant Garde" w:hAnsi="ITC Avant Garde"/>
                <w:i/>
                <w:sz w:val="18"/>
                <w:szCs w:val="18"/>
              </w:rPr>
            </w:pPr>
            <w:r w:rsidRPr="00F84D32">
              <w:rPr>
                <w:rFonts w:ascii="ITC Avant Garde" w:hAnsi="ITC Avant Garde"/>
                <w:i/>
                <w:sz w:val="18"/>
                <w:szCs w:val="18"/>
                <w:lang w:eastAsia="es-MX"/>
              </w:rPr>
              <w:t xml:space="preserve">Por tal motivo, se propone la siguiente redacción: </w:t>
            </w:r>
          </w:p>
          <w:p w14:paraId="43D8BDAD" w14:textId="77777777" w:rsidR="00697826" w:rsidRDefault="00697826">
            <w:pPr>
              <w:pStyle w:val="Default"/>
              <w:spacing w:after="120"/>
              <w:jc w:val="both"/>
              <w:rPr>
                <w:rFonts w:ascii="ITC Avant Garde" w:hAnsi="ITC Avant Garde"/>
                <w:i/>
                <w:sz w:val="18"/>
                <w:szCs w:val="18"/>
              </w:rPr>
            </w:pPr>
            <w:r w:rsidRPr="00F84D32">
              <w:rPr>
                <w:rFonts w:ascii="ITC Avant Garde" w:hAnsi="ITC Avant Garde"/>
                <w:i/>
                <w:sz w:val="18"/>
                <w:szCs w:val="18"/>
                <w:lang w:eastAsia="es-MX"/>
              </w:rPr>
              <w:t>Artículo 8. La Autoridad Investigadora notificará a través del SEPDAI:</w:t>
            </w:r>
          </w:p>
          <w:p w14:paraId="6CF180EB" w14:textId="77777777" w:rsidR="00697826" w:rsidRDefault="00697826">
            <w:pPr>
              <w:pStyle w:val="Default"/>
              <w:spacing w:after="120"/>
              <w:ind w:left="164" w:right="179"/>
              <w:jc w:val="both"/>
              <w:rPr>
                <w:rFonts w:ascii="ITC Avant Garde" w:hAnsi="ITC Avant Garde"/>
                <w:i/>
                <w:sz w:val="18"/>
                <w:szCs w:val="18"/>
              </w:rPr>
            </w:pPr>
            <w:r w:rsidRPr="00F84D32">
              <w:rPr>
                <w:rFonts w:ascii="ITC Avant Garde" w:hAnsi="ITC Avant Garde"/>
                <w:i/>
                <w:sz w:val="18"/>
                <w:szCs w:val="18"/>
                <w:lang w:eastAsia="es-MX"/>
              </w:rPr>
              <w:t xml:space="preserve"> I. El acuerdo de prevención a que se refiere el artículo 69, fracción III, de la Ley;</w:t>
            </w:r>
          </w:p>
          <w:p w14:paraId="07EBA6DE" w14:textId="77777777" w:rsidR="00697826" w:rsidRDefault="00697826">
            <w:pPr>
              <w:pStyle w:val="Default"/>
              <w:spacing w:after="120"/>
              <w:ind w:left="164" w:right="179"/>
              <w:jc w:val="both"/>
              <w:rPr>
                <w:rFonts w:ascii="ITC Avant Garde" w:hAnsi="ITC Avant Garde"/>
                <w:i/>
                <w:sz w:val="18"/>
                <w:szCs w:val="18"/>
              </w:rPr>
            </w:pPr>
            <w:r w:rsidRPr="00F84D32">
              <w:rPr>
                <w:rFonts w:ascii="ITC Avant Garde" w:hAnsi="ITC Avant Garde"/>
                <w:i/>
                <w:sz w:val="18"/>
                <w:szCs w:val="18"/>
                <w:lang w:eastAsia="es-MX"/>
              </w:rPr>
              <w:t xml:space="preserve"> II. El extracto del acuerdo que recaiga a la solicitud de ampliación del plazo para desahogar la prevención referida en la fracción I anterior; </w:t>
            </w:r>
          </w:p>
          <w:p w14:paraId="766D50E9" w14:textId="77777777" w:rsidR="00697826" w:rsidRDefault="00697826">
            <w:pPr>
              <w:pStyle w:val="Default"/>
              <w:spacing w:after="120"/>
              <w:ind w:left="164" w:right="179"/>
              <w:jc w:val="both"/>
              <w:rPr>
                <w:rFonts w:ascii="ITC Avant Garde" w:hAnsi="ITC Avant Garde"/>
                <w:i/>
                <w:sz w:val="18"/>
                <w:szCs w:val="18"/>
              </w:rPr>
            </w:pPr>
            <w:r w:rsidRPr="00F84D32">
              <w:rPr>
                <w:rFonts w:ascii="ITC Avant Garde" w:hAnsi="ITC Avant Garde"/>
                <w:i/>
                <w:sz w:val="18"/>
                <w:szCs w:val="18"/>
                <w:lang w:eastAsia="es-MX"/>
              </w:rPr>
              <w:t xml:space="preserve">III. El acuerdo mediante el cual se deseche o se tenga por no presentada la denuncia, y </w:t>
            </w:r>
          </w:p>
          <w:p w14:paraId="5AC5F8AC" w14:textId="425DAA88" w:rsidR="00697826" w:rsidRDefault="00697826">
            <w:pPr>
              <w:pStyle w:val="Default"/>
              <w:spacing w:after="120"/>
              <w:ind w:left="164" w:right="179"/>
              <w:jc w:val="both"/>
              <w:rPr>
                <w:rFonts w:ascii="ITC Avant Garde" w:hAnsi="ITC Avant Garde"/>
                <w:i/>
                <w:sz w:val="18"/>
                <w:szCs w:val="18"/>
              </w:rPr>
            </w:pPr>
            <w:r w:rsidRPr="00F84D32">
              <w:rPr>
                <w:rFonts w:ascii="ITC Avant Garde" w:hAnsi="ITC Avant Garde"/>
                <w:i/>
                <w:sz w:val="18"/>
                <w:szCs w:val="18"/>
                <w:lang w:eastAsia="es-MX"/>
              </w:rPr>
              <w:t>IV. El extracto del acuerdo de inicio de investigación.</w:t>
            </w:r>
            <w:r w:rsidR="00A47CEB">
              <w:rPr>
                <w:rFonts w:ascii="ITC Avant Garde" w:hAnsi="ITC Avant Garde"/>
                <w:i/>
                <w:sz w:val="18"/>
                <w:szCs w:val="18"/>
                <w:lang w:eastAsia="es-MX"/>
              </w:rPr>
              <w:t xml:space="preserve"> </w:t>
            </w:r>
          </w:p>
          <w:p w14:paraId="77E1CC67" w14:textId="77777777" w:rsidR="00697826" w:rsidRDefault="00697826">
            <w:pPr>
              <w:pStyle w:val="Default"/>
              <w:tabs>
                <w:tab w:val="left" w:pos="4133"/>
              </w:tabs>
              <w:spacing w:after="120"/>
              <w:ind w:right="37"/>
              <w:jc w:val="both"/>
              <w:rPr>
                <w:rFonts w:ascii="ITC Avant Garde" w:hAnsi="ITC Avant Garde"/>
                <w:i/>
                <w:sz w:val="18"/>
                <w:szCs w:val="18"/>
              </w:rPr>
            </w:pPr>
            <w:r w:rsidRPr="00F84D32">
              <w:rPr>
                <w:rFonts w:ascii="ITC Avant Garde" w:hAnsi="ITC Avant Garde"/>
                <w:i/>
                <w:sz w:val="18"/>
                <w:szCs w:val="18"/>
                <w:lang w:eastAsia="es-MX"/>
              </w:rPr>
              <w:t>El SEPDAI enviará una alerta al correo electrónico proporcionado por el denunciante, para hacer de su conocimiento que ha sido notificado del acuerdo o documento correspondiente.</w:t>
            </w:r>
          </w:p>
          <w:p w14:paraId="2C6B772B" w14:textId="77777777" w:rsidR="00697826" w:rsidRPr="00F84D32" w:rsidRDefault="00697826">
            <w:pPr>
              <w:pStyle w:val="Default"/>
              <w:spacing w:after="120"/>
              <w:jc w:val="both"/>
              <w:rPr>
                <w:rFonts w:ascii="ITC Avant Garde" w:hAnsi="ITC Avant Garde"/>
                <w:i/>
                <w:sz w:val="18"/>
                <w:szCs w:val="18"/>
              </w:rPr>
            </w:pPr>
            <w:r w:rsidRPr="00F84D32">
              <w:rPr>
                <w:rFonts w:ascii="ITC Avant Garde" w:hAnsi="ITC Avant Garde"/>
                <w:i/>
                <w:sz w:val="18"/>
                <w:szCs w:val="18"/>
                <w:lang w:eastAsia="es-MX"/>
              </w:rPr>
              <w:lastRenderedPageBreak/>
              <w:t>El acuerdo que prevenga al denunciante, deseche la denuncia o la tenga por no presentada, también se notificará de manera personal.</w:t>
            </w:r>
          </w:p>
          <w:p w14:paraId="31C767E4" w14:textId="77777777" w:rsidR="00697826" w:rsidRPr="003916A4" w:rsidRDefault="00697826">
            <w:pPr>
              <w:pStyle w:val="Default"/>
              <w:spacing w:after="120"/>
              <w:jc w:val="both"/>
              <w:rPr>
                <w:rFonts w:ascii="ITC Avant Garde" w:hAnsi="ITC Avant Garde"/>
                <w:b/>
                <w:i/>
                <w:sz w:val="18"/>
                <w:szCs w:val="18"/>
              </w:rPr>
            </w:pPr>
            <w:r w:rsidRPr="00F84D32">
              <w:rPr>
                <w:rFonts w:ascii="ITC Avant Garde" w:hAnsi="ITC Avant Garde"/>
                <w:b/>
                <w:i/>
                <w:sz w:val="18"/>
                <w:szCs w:val="18"/>
                <w:lang w:eastAsia="es-MX"/>
              </w:rPr>
              <w:t>En caso de que la alerta sea recibida en el correo electrónico que haya señalado el denunciante después de las diecinueve horas, se entenderá que la alerta se envió al día hábil siguiente.</w:t>
            </w:r>
          </w:p>
        </w:tc>
        <w:tc>
          <w:tcPr>
            <w:tcW w:w="3612" w:type="dxa"/>
            <w:shd w:val="clear" w:color="auto" w:fill="C5E0B3" w:themeFill="accent6" w:themeFillTint="66"/>
          </w:tcPr>
          <w:p w14:paraId="49E9634E" w14:textId="77777777" w:rsidR="00697826" w:rsidRPr="00F84D32" w:rsidRDefault="00697826">
            <w:pPr>
              <w:pStyle w:val="Default"/>
              <w:spacing w:after="120"/>
              <w:jc w:val="both"/>
              <w:rPr>
                <w:rFonts w:ascii="ITC Avant Garde" w:hAnsi="ITC Avant Garde"/>
                <w:i/>
                <w:sz w:val="18"/>
                <w:szCs w:val="18"/>
              </w:rPr>
            </w:pPr>
            <w:r w:rsidRPr="00F84D32">
              <w:rPr>
                <w:rFonts w:ascii="ITC Avant Garde" w:hAnsi="ITC Avant Garde"/>
                <w:i/>
                <w:sz w:val="18"/>
                <w:szCs w:val="18"/>
              </w:rPr>
              <w:lastRenderedPageBreak/>
              <w:t>La redacción de los artículos que se mencionan, crean incertidumbre legal en los gobernados.</w:t>
            </w:r>
          </w:p>
          <w:p w14:paraId="19937A22" w14:textId="77777777" w:rsidR="00697826" w:rsidRPr="00F84D32" w:rsidRDefault="00697826">
            <w:pPr>
              <w:pStyle w:val="Default"/>
              <w:spacing w:after="120"/>
              <w:jc w:val="both"/>
              <w:rPr>
                <w:rFonts w:ascii="ITC Avant Garde" w:hAnsi="ITC Avant Garde"/>
                <w:i/>
                <w:sz w:val="18"/>
                <w:szCs w:val="18"/>
              </w:rPr>
            </w:pPr>
            <w:r w:rsidRPr="00F84D32">
              <w:rPr>
                <w:rFonts w:ascii="ITC Avant Garde" w:hAnsi="ITC Avant Garde"/>
                <w:i/>
                <w:sz w:val="18"/>
                <w:szCs w:val="18"/>
              </w:rPr>
              <w:t>Las notificaciones se entienden practicadas desde que están disponibles en el SEPDAI lo que no resulta acorde con el artículo 16 Constitucional pues las notificaciones deben surtir sus efectos una vez que se hayan hecho del conocimiento del gobernado.</w:t>
            </w:r>
          </w:p>
          <w:p w14:paraId="49C1392D" w14:textId="77777777" w:rsidR="00697826" w:rsidRDefault="00697826">
            <w:pPr>
              <w:pStyle w:val="Default"/>
              <w:spacing w:after="120"/>
              <w:jc w:val="both"/>
              <w:rPr>
                <w:rFonts w:ascii="ITC Avant Garde" w:hAnsi="ITC Avant Garde"/>
                <w:i/>
                <w:sz w:val="18"/>
                <w:szCs w:val="18"/>
              </w:rPr>
            </w:pPr>
            <w:r w:rsidRPr="00F84D32">
              <w:rPr>
                <w:rFonts w:ascii="ITC Avant Garde" w:hAnsi="ITC Avant Garde"/>
                <w:i/>
                <w:sz w:val="18"/>
                <w:szCs w:val="18"/>
              </w:rPr>
              <w:t>El hecho de que la notificación se entienda practicada cuando esté disponible en el SEPDAI, no garantiza que efectivamente el denunciante ha tenido conocimiento del acto. Incluso, el envío de una alerta, tampoco lo garantiza.</w:t>
            </w:r>
          </w:p>
          <w:p w14:paraId="14BB507D" w14:textId="77777777" w:rsidR="00697826" w:rsidRPr="00F84D32" w:rsidRDefault="00697826">
            <w:pPr>
              <w:pStyle w:val="Default"/>
              <w:spacing w:after="120"/>
              <w:jc w:val="both"/>
              <w:rPr>
                <w:rFonts w:ascii="ITC Avant Garde" w:hAnsi="ITC Avant Garde"/>
                <w:i/>
                <w:sz w:val="18"/>
                <w:szCs w:val="18"/>
              </w:rPr>
            </w:pPr>
            <w:r w:rsidRPr="00F84D32">
              <w:rPr>
                <w:rFonts w:ascii="ITC Avant Garde" w:hAnsi="ITC Avant Garde"/>
                <w:i/>
                <w:sz w:val="18"/>
                <w:szCs w:val="18"/>
              </w:rPr>
              <w:t>En otras materias, por ejemplo en el Tribunal Federal de Justicia Administrativa, para las notificaciones del juicio en línea, se envía un correo electrónico a la parte en</w:t>
            </w:r>
            <w:r>
              <w:rPr>
                <w:rFonts w:ascii="ITC Avant Garde" w:hAnsi="ITC Avant Garde"/>
                <w:i/>
                <w:sz w:val="18"/>
                <w:szCs w:val="18"/>
              </w:rPr>
              <w:t xml:space="preserve"> e</w:t>
            </w:r>
            <w:r w:rsidRPr="00F84D32">
              <w:rPr>
                <w:rFonts w:ascii="ITC Avant Garde" w:hAnsi="ITC Avant Garde"/>
                <w:i/>
                <w:sz w:val="18"/>
                <w:szCs w:val="18"/>
              </w:rPr>
              <w:t>l juicio avisándole la existencia de una notificación para que ingrese al expediente electrónico en un plazo de 3 días hábiles, y una vez ingresado al sistema, se genera un acuse de recibo, con el cual, se entiende hacha la notificación (artículo 58-N de la Ley Federal de Procedimiento Contencioso Administrativo).</w:t>
            </w:r>
          </w:p>
          <w:p w14:paraId="710B766B" w14:textId="77777777" w:rsidR="00697826" w:rsidRPr="00F84D32" w:rsidRDefault="00697826">
            <w:pPr>
              <w:pStyle w:val="Default"/>
              <w:spacing w:after="120"/>
              <w:jc w:val="both"/>
              <w:rPr>
                <w:rFonts w:ascii="ITC Avant Garde" w:hAnsi="ITC Avant Garde"/>
                <w:i/>
                <w:sz w:val="18"/>
                <w:szCs w:val="18"/>
              </w:rPr>
            </w:pPr>
            <w:r w:rsidRPr="00F84D32">
              <w:rPr>
                <w:rFonts w:ascii="ITC Avant Garde" w:hAnsi="ITC Avant Garde"/>
                <w:i/>
                <w:sz w:val="18"/>
                <w:szCs w:val="18"/>
              </w:rPr>
              <w:t xml:space="preserve">El hecho de que se notifique también de manera personal el acto, tampoco </w:t>
            </w:r>
            <w:r w:rsidRPr="00F84D32">
              <w:rPr>
                <w:rFonts w:ascii="ITC Avant Garde" w:hAnsi="ITC Avant Garde"/>
                <w:i/>
                <w:sz w:val="18"/>
                <w:szCs w:val="18"/>
              </w:rPr>
              <w:lastRenderedPageBreak/>
              <w:t>subsana la deficiencia que se comenta, pues para términos de ley, la disponibilidad en SEPDAI es la que determina la eficacia de la notificación.</w:t>
            </w:r>
          </w:p>
          <w:p w14:paraId="5FCACAC0" w14:textId="77777777" w:rsidR="00697826" w:rsidRPr="008D51A1" w:rsidRDefault="00697826">
            <w:pPr>
              <w:spacing w:after="120" w:line="240" w:lineRule="auto"/>
              <w:jc w:val="both"/>
              <w:rPr>
                <w:rFonts w:ascii="ITC Avant Garde" w:hAnsi="ITC Avant Garde" w:cs="Arial"/>
                <w:b/>
                <w:sz w:val="18"/>
                <w:szCs w:val="18"/>
              </w:rPr>
            </w:pPr>
            <w:r w:rsidRPr="00F84D32">
              <w:rPr>
                <w:rFonts w:ascii="ITC Avant Garde" w:hAnsi="ITC Avant Garde"/>
                <w:i/>
                <w:sz w:val="18"/>
                <w:szCs w:val="18"/>
              </w:rPr>
              <w:t>Incluso, la existencia de diversos medios de notificación, también genera incertidumbre en los gobernados, salvo que en el mejor de los casos, todas ellas se llevaran a cabo en el mismo día.</w:t>
            </w:r>
          </w:p>
        </w:tc>
        <w:tc>
          <w:tcPr>
            <w:tcW w:w="3048" w:type="dxa"/>
            <w:shd w:val="clear" w:color="auto" w:fill="C5E0B3" w:themeFill="accent6" w:themeFillTint="66"/>
          </w:tcPr>
          <w:p w14:paraId="01D1068A" w14:textId="77777777" w:rsidR="00C5266C" w:rsidRPr="00C5266C" w:rsidRDefault="00C5266C">
            <w:pPr>
              <w:pStyle w:val="Default"/>
              <w:spacing w:after="120"/>
              <w:jc w:val="both"/>
              <w:rPr>
                <w:rFonts w:ascii="ITC Avant Garde" w:hAnsi="ITC Avant Garde"/>
                <w:i/>
                <w:sz w:val="18"/>
                <w:szCs w:val="18"/>
              </w:rPr>
            </w:pPr>
            <w:r w:rsidRPr="00C5266C">
              <w:rPr>
                <w:rFonts w:ascii="ITC Avant Garde" w:hAnsi="ITC Avant Garde"/>
                <w:i/>
                <w:sz w:val="18"/>
                <w:szCs w:val="18"/>
              </w:rPr>
              <w:lastRenderedPageBreak/>
              <w:t>Debería precisarse que la alerta debería ser enviada con al menos un día de anticipación para que las partes puedan estar al pendiente en el SEPDAI de que recibirán una notificación por ese medio, asimilando un poco esta medida a la de un citatorio. P.e. en el caso del juicio en línea ante el TFJA la LFPCA establece en su artículo 58-N, fracción V que la notificación a través del sistema electrónico deberá efectuarse dentro de los tres días siguientes a que se envío</w:t>
            </w:r>
            <w:r>
              <w:rPr>
                <w:rFonts w:ascii="ITC Avant Garde" w:hAnsi="ITC Avant Garde"/>
                <w:i/>
                <w:sz w:val="18"/>
                <w:szCs w:val="18"/>
              </w:rPr>
              <w:t xml:space="preserve"> [sic]</w:t>
            </w:r>
            <w:r w:rsidRPr="00C5266C">
              <w:rPr>
                <w:rFonts w:ascii="ITC Avant Garde" w:hAnsi="ITC Avant Garde"/>
                <w:i/>
                <w:sz w:val="18"/>
                <w:szCs w:val="18"/>
              </w:rPr>
              <w:t xml:space="preserve"> la alerta de la misma vía correo electrónico.</w:t>
            </w:r>
          </w:p>
          <w:p w14:paraId="4AF486FE" w14:textId="77777777" w:rsidR="00697826" w:rsidRDefault="00697826">
            <w:pPr>
              <w:pStyle w:val="Default"/>
              <w:spacing w:after="120"/>
              <w:jc w:val="both"/>
              <w:rPr>
                <w:rFonts w:ascii="ITC Avant Garde" w:hAnsi="ITC Avant Garde"/>
                <w:i/>
                <w:sz w:val="18"/>
                <w:szCs w:val="18"/>
              </w:rPr>
            </w:pPr>
            <w:r w:rsidRPr="0022430D">
              <w:rPr>
                <w:rFonts w:ascii="ITC Avant Garde" w:hAnsi="ITC Avant Garde"/>
                <w:i/>
                <w:sz w:val="18"/>
                <w:szCs w:val="18"/>
              </w:rPr>
              <w:t>Especificar a partir de cuándo se debe tener por realizada la notificación, si una vez que se encuentre disponible en el SEPDAI o hasta en tanto se notifique personalmente. Y para el caso que la notificación personal se haya realizado posteriormente a la del SEPDAI, que para efectos de los plazos y términos contenidos en la actuación de que se trate, estos comenzarán a correr una vez que surta efectos la notificación personal. Independientemente de que la misma actuación se notifique por listas.</w:t>
            </w:r>
          </w:p>
          <w:p w14:paraId="21EB9438" w14:textId="77777777" w:rsidR="00697826" w:rsidRPr="00F84D32" w:rsidRDefault="00697826">
            <w:pPr>
              <w:pStyle w:val="Default"/>
              <w:spacing w:after="120"/>
              <w:jc w:val="both"/>
              <w:rPr>
                <w:rFonts w:ascii="ITC Avant Garde" w:hAnsi="ITC Avant Garde"/>
                <w:i/>
                <w:sz w:val="18"/>
                <w:szCs w:val="18"/>
              </w:rPr>
            </w:pPr>
            <w:r w:rsidRPr="0022430D">
              <w:rPr>
                <w:rFonts w:ascii="ITC Avant Garde" w:hAnsi="ITC Avant Garde"/>
                <w:i/>
                <w:sz w:val="18"/>
                <w:szCs w:val="18"/>
              </w:rPr>
              <w:lastRenderedPageBreak/>
              <w:t>En estos supuestos, la fecha de notificación de dichos acuerdos debiera</w:t>
            </w:r>
            <w:r>
              <w:rPr>
                <w:rFonts w:ascii="ITC Avant Garde" w:hAnsi="ITC Avant Garde"/>
                <w:i/>
                <w:sz w:val="18"/>
                <w:szCs w:val="18"/>
              </w:rPr>
              <w:t xml:space="preserve"> </w:t>
            </w:r>
            <w:r w:rsidRPr="007A1F91">
              <w:rPr>
                <w:rFonts w:ascii="ITC Avant Garde" w:hAnsi="ITC Avant Garde"/>
                <w:sz w:val="18"/>
                <w:szCs w:val="18"/>
              </w:rPr>
              <w:t>[sic]</w:t>
            </w:r>
            <w:r w:rsidRPr="0022430D">
              <w:rPr>
                <w:rFonts w:ascii="ITC Avant Garde" w:hAnsi="ITC Avant Garde"/>
                <w:i/>
                <w:sz w:val="18"/>
                <w:szCs w:val="18"/>
              </w:rPr>
              <w:t xml:space="preserve"> la personal dada la relevancia de los acuerdos.</w:t>
            </w:r>
          </w:p>
        </w:tc>
      </w:tr>
    </w:tbl>
    <w:p w14:paraId="12E45AA1" w14:textId="77777777" w:rsidR="00D96F39" w:rsidRDefault="00D96F39">
      <w:pPr>
        <w:spacing w:after="120" w:line="240" w:lineRule="auto"/>
        <w:jc w:val="both"/>
        <w:rPr>
          <w:rFonts w:ascii="ITC Avant Garde" w:hAnsi="ITC Avant Garde"/>
        </w:rPr>
      </w:pPr>
    </w:p>
    <w:p w14:paraId="5D758E0E" w14:textId="77777777" w:rsidR="00353E8D" w:rsidRPr="00DF063F" w:rsidRDefault="00353E8D" w:rsidP="00C43007">
      <w:pPr>
        <w:spacing w:after="120" w:line="240" w:lineRule="auto"/>
        <w:jc w:val="both"/>
        <w:rPr>
          <w:rFonts w:ascii="ITC Avant Garde" w:hAnsi="ITC Avant Garde"/>
          <w:b/>
        </w:rPr>
      </w:pPr>
      <w:r w:rsidRPr="00DF063F">
        <w:rPr>
          <w:rFonts w:ascii="ITC Avant Garde" w:hAnsi="ITC Avant Garde"/>
          <w:b/>
        </w:rPr>
        <w:t>Consideraciones</w:t>
      </w:r>
    </w:p>
    <w:p w14:paraId="7084508D" w14:textId="4A5FB328" w:rsidR="00F36209" w:rsidRDefault="00F36209" w:rsidP="00C43007">
      <w:pPr>
        <w:spacing w:after="120" w:line="240" w:lineRule="auto"/>
        <w:jc w:val="both"/>
        <w:rPr>
          <w:rFonts w:ascii="ITC Avant Garde" w:hAnsi="ITC Avant Garde"/>
        </w:rPr>
      </w:pPr>
      <w:r>
        <w:rPr>
          <w:rFonts w:ascii="ITC Avant Garde" w:hAnsi="ITC Avant Garde"/>
        </w:rPr>
        <w:t xml:space="preserve">De conformidad con el artículo 158 de las Disposiciones Regulatorias, los procedimientos sustanciados a través de medios electrónicos </w:t>
      </w:r>
      <w:r w:rsidRPr="00ED636F">
        <w:rPr>
          <w:rFonts w:ascii="ITC Avant Garde" w:hAnsi="ITC Avant Garde"/>
        </w:rPr>
        <w:t xml:space="preserve">se </w:t>
      </w:r>
      <w:r>
        <w:rPr>
          <w:rFonts w:ascii="ITC Avant Garde" w:hAnsi="ITC Avant Garde"/>
        </w:rPr>
        <w:t xml:space="preserve">estarán a lo que establezcan los </w:t>
      </w:r>
      <w:r w:rsidRPr="00737726">
        <w:rPr>
          <w:rFonts w:ascii="ITC Avant Garde" w:hAnsi="ITC Avant Garde"/>
        </w:rPr>
        <w:t>Lineamientos correspondientes</w:t>
      </w:r>
      <w:r>
        <w:rPr>
          <w:rFonts w:ascii="ITC Avant Garde" w:hAnsi="ITC Avant Garde"/>
        </w:rPr>
        <w:t xml:space="preserve"> que para tal efecto emita el Pleno de este Instituto</w:t>
      </w:r>
      <w:r w:rsidR="00975F03">
        <w:rPr>
          <w:rFonts w:ascii="ITC Avant Garde" w:hAnsi="ITC Avant Garde"/>
        </w:rPr>
        <w:t>.</w:t>
      </w:r>
    </w:p>
    <w:p w14:paraId="5CE8A753" w14:textId="42739CCD" w:rsidR="00ED636F" w:rsidRPr="00ED636F" w:rsidRDefault="00ED636F" w:rsidP="00C43007">
      <w:pPr>
        <w:spacing w:after="120" w:line="240" w:lineRule="auto"/>
        <w:jc w:val="both"/>
        <w:rPr>
          <w:rFonts w:ascii="ITC Avant Garde" w:hAnsi="ITC Avant Garde"/>
        </w:rPr>
      </w:pPr>
      <w:r w:rsidRPr="00ED636F">
        <w:rPr>
          <w:rFonts w:ascii="ITC Avant Garde" w:hAnsi="ITC Avant Garde"/>
        </w:rPr>
        <w:t xml:space="preserve">En atención </w:t>
      </w:r>
      <w:r w:rsidR="00975F03">
        <w:rPr>
          <w:rFonts w:ascii="ITC Avant Garde" w:hAnsi="ITC Avant Garde"/>
        </w:rPr>
        <w:t>a lo anterior</w:t>
      </w:r>
      <w:r w:rsidRPr="00ED636F">
        <w:rPr>
          <w:rFonts w:ascii="ITC Avant Garde" w:hAnsi="ITC Avant Garde"/>
        </w:rPr>
        <w:t xml:space="preserve"> </w:t>
      </w:r>
      <w:r w:rsidR="00F56FC3">
        <w:rPr>
          <w:rFonts w:ascii="ITC Avant Garde" w:hAnsi="ITC Avant Garde"/>
        </w:rPr>
        <w:t xml:space="preserve">y con la finalidad de establecer claramente </w:t>
      </w:r>
      <w:r w:rsidR="0097388F">
        <w:rPr>
          <w:rFonts w:ascii="ITC Avant Garde" w:hAnsi="ITC Avant Garde"/>
        </w:rPr>
        <w:t xml:space="preserve">la forma en que operarán </w:t>
      </w:r>
      <w:r w:rsidR="00F56FC3">
        <w:rPr>
          <w:rFonts w:ascii="ITC Avant Garde" w:hAnsi="ITC Avant Garde"/>
        </w:rPr>
        <w:t xml:space="preserve">las </w:t>
      </w:r>
      <w:r w:rsidR="0097388F">
        <w:rPr>
          <w:rFonts w:ascii="ITC Avant Garde" w:hAnsi="ITC Avant Garde"/>
        </w:rPr>
        <w:t xml:space="preserve">alertas relativas a las </w:t>
      </w:r>
      <w:r w:rsidR="00F56FC3">
        <w:rPr>
          <w:rFonts w:ascii="ITC Avant Garde" w:hAnsi="ITC Avant Garde"/>
        </w:rPr>
        <w:t>notificaciones practicadas a través del SEPDAI</w:t>
      </w:r>
      <w:r w:rsidR="00276334">
        <w:rPr>
          <w:rFonts w:ascii="ITC Avant Garde" w:hAnsi="ITC Avant Garde"/>
        </w:rPr>
        <w:t xml:space="preserve">, </w:t>
      </w:r>
      <w:r w:rsidR="005275ED">
        <w:rPr>
          <w:rFonts w:ascii="ITC Avant Garde" w:hAnsi="ITC Avant Garde"/>
        </w:rPr>
        <w:t xml:space="preserve">se realizan </w:t>
      </w:r>
      <w:r w:rsidRPr="00ED636F">
        <w:rPr>
          <w:rFonts w:ascii="ITC Avant Garde" w:hAnsi="ITC Avant Garde"/>
        </w:rPr>
        <w:t>las siguientes precisiones:</w:t>
      </w:r>
    </w:p>
    <w:tbl>
      <w:tblPr>
        <w:tblStyle w:val="Tablaconcuadrcula"/>
        <w:tblW w:w="0" w:type="auto"/>
        <w:jc w:val="center"/>
        <w:tblLook w:val="04A0" w:firstRow="1" w:lastRow="0" w:firstColumn="1" w:lastColumn="0" w:noHBand="0" w:noVBand="1"/>
      </w:tblPr>
      <w:tblGrid>
        <w:gridCol w:w="4394"/>
        <w:gridCol w:w="4394"/>
      </w:tblGrid>
      <w:tr w:rsidR="00ED636F" w:rsidRPr="005F7866" w14:paraId="728C859C" w14:textId="77777777" w:rsidTr="00C42ED0">
        <w:trPr>
          <w:jc w:val="center"/>
        </w:trPr>
        <w:tc>
          <w:tcPr>
            <w:tcW w:w="4394" w:type="dxa"/>
            <w:shd w:val="clear" w:color="auto" w:fill="538135" w:themeFill="accent6" w:themeFillShade="BF"/>
          </w:tcPr>
          <w:p w14:paraId="050310DE" w14:textId="7C0E9FE1" w:rsidR="00ED636F" w:rsidRPr="005F7866" w:rsidRDefault="00ED636F" w:rsidP="00C43007">
            <w:pPr>
              <w:spacing w:after="12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Anteproyecto</w:t>
            </w:r>
            <w:r w:rsidR="00EB20FB">
              <w:rPr>
                <w:rFonts w:ascii="ITC Avant Garde" w:hAnsi="ITC Avant Garde"/>
                <w:b/>
                <w:color w:val="FFFFFF" w:themeColor="background1"/>
                <w:sz w:val="18"/>
                <w:szCs w:val="18"/>
              </w:rPr>
              <w:t xml:space="preserve"> de Lineamientos</w:t>
            </w:r>
          </w:p>
        </w:tc>
        <w:tc>
          <w:tcPr>
            <w:tcW w:w="4394" w:type="dxa"/>
            <w:shd w:val="clear" w:color="auto" w:fill="538135" w:themeFill="accent6" w:themeFillShade="BF"/>
          </w:tcPr>
          <w:p w14:paraId="61AADA7B" w14:textId="49BD2817" w:rsidR="00ED636F" w:rsidRPr="005F7866" w:rsidRDefault="00EB20FB" w:rsidP="00C43007">
            <w:pPr>
              <w:spacing w:after="120" w:line="240" w:lineRule="auto"/>
              <w:jc w:val="center"/>
              <w:rPr>
                <w:rFonts w:ascii="ITC Avant Garde" w:hAnsi="ITC Avant Garde"/>
                <w:b/>
                <w:color w:val="FFFFFF" w:themeColor="background1"/>
                <w:sz w:val="18"/>
                <w:szCs w:val="18"/>
              </w:rPr>
            </w:pPr>
            <w:r>
              <w:rPr>
                <w:rFonts w:ascii="ITC Avant Garde" w:hAnsi="ITC Avant Garde"/>
                <w:b/>
                <w:color w:val="FFFFFF" w:themeColor="background1"/>
                <w:sz w:val="18"/>
                <w:szCs w:val="18"/>
              </w:rPr>
              <w:t>Modificación al Anteproyecto de Lineamientos</w:t>
            </w:r>
            <w:r w:rsidR="00ED636F" w:rsidRPr="005F7866">
              <w:rPr>
                <w:rStyle w:val="Refdenotaalpie"/>
                <w:rFonts w:ascii="ITC Avant Garde" w:hAnsi="ITC Avant Garde"/>
                <w:b/>
                <w:color w:val="FFFFFF" w:themeColor="background1"/>
                <w:sz w:val="18"/>
                <w:szCs w:val="18"/>
              </w:rPr>
              <w:footnoteReference w:id="3"/>
            </w:r>
          </w:p>
        </w:tc>
      </w:tr>
      <w:tr w:rsidR="00ED636F" w:rsidRPr="005F7866" w14:paraId="59A485E4" w14:textId="77777777" w:rsidTr="00C42ED0">
        <w:trPr>
          <w:jc w:val="center"/>
        </w:trPr>
        <w:tc>
          <w:tcPr>
            <w:tcW w:w="4394" w:type="dxa"/>
            <w:shd w:val="clear" w:color="auto" w:fill="C5E0B3" w:themeFill="accent6" w:themeFillTint="66"/>
          </w:tcPr>
          <w:p w14:paraId="13EEA537" w14:textId="77777777" w:rsidR="00ED636F" w:rsidRPr="00ED636F" w:rsidRDefault="00ED636F">
            <w:pPr>
              <w:pStyle w:val="Default"/>
              <w:spacing w:after="120"/>
              <w:jc w:val="both"/>
              <w:rPr>
                <w:rFonts w:ascii="ITC Avant Garde" w:hAnsi="ITC Avant Garde"/>
                <w:color w:val="auto"/>
                <w:sz w:val="18"/>
                <w:szCs w:val="18"/>
              </w:rPr>
            </w:pPr>
            <w:r w:rsidRPr="00ED636F">
              <w:rPr>
                <w:rFonts w:ascii="ITC Avant Garde" w:hAnsi="ITC Avant Garde"/>
                <w:b/>
                <w:sz w:val="18"/>
                <w:szCs w:val="18"/>
              </w:rPr>
              <w:t>A</w:t>
            </w:r>
            <w:r w:rsidRPr="00ED636F">
              <w:rPr>
                <w:rFonts w:ascii="ITC Avant Garde" w:hAnsi="ITC Avant Garde" w:cs="Times New Roman"/>
                <w:b/>
                <w:sz w:val="18"/>
                <w:szCs w:val="18"/>
              </w:rPr>
              <w:t>rtículo 8</w:t>
            </w:r>
            <w:r w:rsidRPr="00ED636F">
              <w:rPr>
                <w:rFonts w:ascii="ITC Avant Garde" w:hAnsi="ITC Avant Garde"/>
                <w:b/>
                <w:color w:val="auto"/>
                <w:sz w:val="18"/>
                <w:szCs w:val="18"/>
              </w:rPr>
              <w:t>.</w:t>
            </w:r>
            <w:r w:rsidRPr="00ED636F">
              <w:rPr>
                <w:rFonts w:ascii="ITC Avant Garde" w:hAnsi="ITC Avant Garde"/>
                <w:color w:val="auto"/>
                <w:sz w:val="18"/>
                <w:szCs w:val="18"/>
              </w:rPr>
              <w:t xml:space="preserve"> La Autoridad Investigadora notificará a través del SEPDAI:</w:t>
            </w:r>
          </w:p>
          <w:p w14:paraId="4544E60E" w14:textId="77777777" w:rsidR="00ED636F" w:rsidRPr="00ED636F" w:rsidRDefault="00ED636F">
            <w:pPr>
              <w:pStyle w:val="Default"/>
              <w:numPr>
                <w:ilvl w:val="0"/>
                <w:numId w:val="17"/>
              </w:numPr>
              <w:spacing w:after="120"/>
              <w:jc w:val="both"/>
              <w:rPr>
                <w:rFonts w:ascii="ITC Avant Garde" w:hAnsi="ITC Avant Garde"/>
                <w:color w:val="auto"/>
                <w:sz w:val="18"/>
                <w:szCs w:val="18"/>
              </w:rPr>
            </w:pPr>
            <w:r w:rsidRPr="00ED636F">
              <w:rPr>
                <w:rFonts w:ascii="ITC Avant Garde" w:hAnsi="ITC Avant Garde"/>
                <w:color w:val="auto"/>
                <w:sz w:val="18"/>
                <w:szCs w:val="18"/>
              </w:rPr>
              <w:t>El acuerdo de prevención a que se refiere el artículo 69, fracción III, de la Ley;</w:t>
            </w:r>
          </w:p>
          <w:p w14:paraId="7F3A6DF7" w14:textId="77777777" w:rsidR="00ED636F" w:rsidRPr="00ED636F" w:rsidRDefault="00ED636F">
            <w:pPr>
              <w:pStyle w:val="Default"/>
              <w:numPr>
                <w:ilvl w:val="0"/>
                <w:numId w:val="17"/>
              </w:numPr>
              <w:spacing w:after="120"/>
              <w:jc w:val="both"/>
              <w:rPr>
                <w:rFonts w:ascii="ITC Avant Garde" w:hAnsi="ITC Avant Garde"/>
                <w:color w:val="auto"/>
                <w:sz w:val="18"/>
                <w:szCs w:val="18"/>
              </w:rPr>
            </w:pPr>
            <w:r w:rsidRPr="00ED636F">
              <w:rPr>
                <w:rFonts w:ascii="ITC Avant Garde" w:hAnsi="ITC Avant Garde"/>
                <w:color w:val="auto"/>
                <w:sz w:val="18"/>
                <w:szCs w:val="18"/>
              </w:rPr>
              <w:t>El extracto del acuerdo que recaiga a la solicitud de ampliación del plazo para desahogar la prevención referida en la fracción I anterior;</w:t>
            </w:r>
          </w:p>
          <w:p w14:paraId="7F99967C" w14:textId="77777777" w:rsidR="00ED636F" w:rsidRPr="00ED636F" w:rsidRDefault="00ED636F">
            <w:pPr>
              <w:pStyle w:val="Default"/>
              <w:numPr>
                <w:ilvl w:val="0"/>
                <w:numId w:val="17"/>
              </w:numPr>
              <w:spacing w:after="120"/>
              <w:jc w:val="both"/>
              <w:rPr>
                <w:rFonts w:ascii="ITC Avant Garde" w:hAnsi="ITC Avant Garde"/>
                <w:color w:val="auto"/>
                <w:sz w:val="18"/>
                <w:szCs w:val="18"/>
              </w:rPr>
            </w:pPr>
            <w:r w:rsidRPr="00ED636F">
              <w:rPr>
                <w:rFonts w:ascii="ITC Avant Garde" w:hAnsi="ITC Avant Garde"/>
                <w:color w:val="auto"/>
                <w:sz w:val="18"/>
                <w:szCs w:val="18"/>
              </w:rPr>
              <w:t>El acuerdo mediante el cual se deseche o se tenga por no presentada la denuncia, y</w:t>
            </w:r>
          </w:p>
          <w:p w14:paraId="422F19B1" w14:textId="77777777" w:rsidR="00ED636F" w:rsidRPr="00ED636F" w:rsidRDefault="00ED636F">
            <w:pPr>
              <w:pStyle w:val="Default"/>
              <w:numPr>
                <w:ilvl w:val="0"/>
                <w:numId w:val="17"/>
              </w:numPr>
              <w:spacing w:after="120"/>
              <w:jc w:val="both"/>
              <w:rPr>
                <w:rFonts w:ascii="ITC Avant Garde" w:hAnsi="ITC Avant Garde"/>
                <w:color w:val="auto"/>
                <w:sz w:val="18"/>
                <w:szCs w:val="18"/>
              </w:rPr>
            </w:pPr>
            <w:r w:rsidRPr="00ED636F">
              <w:rPr>
                <w:rFonts w:ascii="ITC Avant Garde" w:hAnsi="ITC Avant Garde"/>
                <w:color w:val="auto"/>
                <w:sz w:val="18"/>
                <w:szCs w:val="18"/>
              </w:rPr>
              <w:t>El extracto del acuerdo de inicio de investigación.</w:t>
            </w:r>
          </w:p>
          <w:p w14:paraId="23F984E0" w14:textId="77777777" w:rsidR="00ED636F" w:rsidRPr="00ED636F" w:rsidRDefault="00ED636F">
            <w:pPr>
              <w:pStyle w:val="Default"/>
              <w:spacing w:after="120"/>
              <w:jc w:val="both"/>
              <w:rPr>
                <w:rFonts w:ascii="ITC Avant Garde" w:hAnsi="ITC Avant Garde"/>
                <w:color w:val="auto"/>
                <w:sz w:val="18"/>
                <w:szCs w:val="18"/>
              </w:rPr>
            </w:pPr>
            <w:r w:rsidRPr="00ED636F">
              <w:rPr>
                <w:rFonts w:ascii="ITC Avant Garde" w:hAnsi="ITC Avant Garde"/>
                <w:color w:val="auto"/>
                <w:sz w:val="18"/>
                <w:szCs w:val="18"/>
              </w:rPr>
              <w:t xml:space="preserve">El SEPDAI enviará una alerta al correo electrónico proporcionado por el denunciante, para hacer de su conocimiento que ha sido notificado del acuerdo o documento correspondiente. </w:t>
            </w:r>
          </w:p>
          <w:p w14:paraId="366B5C98" w14:textId="77777777" w:rsidR="00ED636F" w:rsidRPr="00BC73D5" w:rsidRDefault="00ED636F">
            <w:pPr>
              <w:pStyle w:val="Default"/>
              <w:spacing w:after="120"/>
              <w:jc w:val="both"/>
              <w:rPr>
                <w:rFonts w:ascii="ITC Avant Garde" w:hAnsi="ITC Avant Garde"/>
                <w:color w:val="auto"/>
                <w:sz w:val="22"/>
              </w:rPr>
            </w:pPr>
            <w:r w:rsidRPr="00ED636F">
              <w:rPr>
                <w:rFonts w:ascii="ITC Avant Garde" w:hAnsi="ITC Avant Garde"/>
                <w:color w:val="auto"/>
                <w:sz w:val="18"/>
                <w:szCs w:val="18"/>
              </w:rPr>
              <w:t xml:space="preserve">El acuerdo que prevenga al denunciante, deseche la denuncia o la tenga por no </w:t>
            </w:r>
            <w:r w:rsidRPr="00ED636F">
              <w:rPr>
                <w:rFonts w:ascii="ITC Avant Garde" w:hAnsi="ITC Avant Garde"/>
                <w:color w:val="auto"/>
                <w:sz w:val="18"/>
                <w:szCs w:val="18"/>
              </w:rPr>
              <w:lastRenderedPageBreak/>
              <w:t>presentada, también se notificará de manera personal.</w:t>
            </w:r>
          </w:p>
          <w:p w14:paraId="4FCBF72E" w14:textId="77777777" w:rsidR="00ED636F" w:rsidRPr="0043493E" w:rsidRDefault="00ED636F">
            <w:pPr>
              <w:pStyle w:val="Default"/>
              <w:spacing w:after="120"/>
              <w:jc w:val="both"/>
              <w:rPr>
                <w:rFonts w:ascii="ITC Avant Garde" w:hAnsi="ITC Avant Garde"/>
                <w:sz w:val="18"/>
                <w:szCs w:val="18"/>
              </w:rPr>
            </w:pPr>
          </w:p>
        </w:tc>
        <w:tc>
          <w:tcPr>
            <w:tcW w:w="4394" w:type="dxa"/>
            <w:shd w:val="clear" w:color="auto" w:fill="C5E0B3" w:themeFill="accent6" w:themeFillTint="66"/>
          </w:tcPr>
          <w:p w14:paraId="5ED66FE2" w14:textId="77777777" w:rsidR="00ED636F" w:rsidRPr="003777EE" w:rsidRDefault="00ED636F">
            <w:pPr>
              <w:pStyle w:val="Default"/>
              <w:spacing w:after="120"/>
              <w:jc w:val="both"/>
              <w:rPr>
                <w:rFonts w:ascii="ITC Avant Garde" w:hAnsi="ITC Avant Garde" w:cs="Arial"/>
                <w:sz w:val="18"/>
                <w:szCs w:val="18"/>
              </w:rPr>
            </w:pPr>
            <w:r w:rsidRPr="003777EE">
              <w:rPr>
                <w:rFonts w:ascii="ITC Avant Garde" w:hAnsi="ITC Avant Garde" w:cs="Arial"/>
                <w:sz w:val="18"/>
                <w:szCs w:val="18"/>
              </w:rPr>
              <w:lastRenderedPageBreak/>
              <w:t>Artículo 8. La Autoridad Investigadora notificará a través del SEPDAI:</w:t>
            </w:r>
          </w:p>
          <w:p w14:paraId="638F1893" w14:textId="77777777" w:rsidR="00ED636F" w:rsidRPr="003777EE" w:rsidRDefault="00ED636F">
            <w:pPr>
              <w:pStyle w:val="Default"/>
              <w:numPr>
                <w:ilvl w:val="0"/>
                <w:numId w:val="18"/>
              </w:numPr>
              <w:spacing w:after="120"/>
              <w:jc w:val="both"/>
              <w:rPr>
                <w:rFonts w:ascii="ITC Avant Garde" w:hAnsi="ITC Avant Garde" w:cs="Arial"/>
                <w:sz w:val="18"/>
                <w:szCs w:val="18"/>
              </w:rPr>
            </w:pPr>
            <w:r w:rsidRPr="003777EE">
              <w:rPr>
                <w:rFonts w:ascii="ITC Avant Garde" w:hAnsi="ITC Avant Garde" w:cs="Arial"/>
                <w:sz w:val="18"/>
                <w:szCs w:val="18"/>
              </w:rPr>
              <w:t>El acuerdo de prevención a que se refiere el artículo 69, fracción III, de la Ley;</w:t>
            </w:r>
          </w:p>
          <w:p w14:paraId="03AEB9B0" w14:textId="77777777" w:rsidR="00ED636F" w:rsidRPr="003777EE" w:rsidRDefault="00ED636F">
            <w:pPr>
              <w:pStyle w:val="Default"/>
              <w:numPr>
                <w:ilvl w:val="0"/>
                <w:numId w:val="18"/>
              </w:numPr>
              <w:spacing w:after="120"/>
              <w:jc w:val="both"/>
              <w:rPr>
                <w:rFonts w:ascii="ITC Avant Garde" w:hAnsi="ITC Avant Garde" w:cs="Arial"/>
                <w:sz w:val="18"/>
                <w:szCs w:val="18"/>
              </w:rPr>
            </w:pPr>
            <w:r w:rsidRPr="003777EE">
              <w:rPr>
                <w:rFonts w:ascii="ITC Avant Garde" w:hAnsi="ITC Avant Garde" w:cs="Arial"/>
                <w:sz w:val="18"/>
                <w:szCs w:val="18"/>
              </w:rPr>
              <w:t>El extracto del acuerdo que recaiga a la solicitud de ampliación del plazo para desahogar la prevención referida en la fracción I anterior;</w:t>
            </w:r>
          </w:p>
          <w:p w14:paraId="61165932" w14:textId="77777777" w:rsidR="00ED636F" w:rsidRPr="003777EE" w:rsidRDefault="00ED636F">
            <w:pPr>
              <w:pStyle w:val="Default"/>
              <w:numPr>
                <w:ilvl w:val="0"/>
                <w:numId w:val="18"/>
              </w:numPr>
              <w:spacing w:after="120"/>
              <w:jc w:val="both"/>
              <w:rPr>
                <w:rFonts w:ascii="ITC Avant Garde" w:hAnsi="ITC Avant Garde" w:cs="Arial"/>
                <w:sz w:val="18"/>
                <w:szCs w:val="18"/>
              </w:rPr>
            </w:pPr>
            <w:r w:rsidRPr="003777EE">
              <w:rPr>
                <w:rFonts w:ascii="ITC Avant Garde" w:hAnsi="ITC Avant Garde" w:cs="Arial"/>
                <w:sz w:val="18"/>
                <w:szCs w:val="18"/>
              </w:rPr>
              <w:t>El acuerdo mediante el cual se deseche o se tenga por no presentada la denuncia, y</w:t>
            </w:r>
          </w:p>
          <w:p w14:paraId="3168BF36" w14:textId="77777777" w:rsidR="00ED636F" w:rsidRPr="003777EE" w:rsidRDefault="00ED636F" w:rsidP="00C43007">
            <w:pPr>
              <w:pStyle w:val="Default"/>
              <w:numPr>
                <w:ilvl w:val="0"/>
                <w:numId w:val="18"/>
              </w:numPr>
              <w:spacing w:after="120"/>
              <w:jc w:val="both"/>
              <w:rPr>
                <w:rFonts w:ascii="ITC Avant Garde" w:hAnsi="ITC Avant Garde" w:cs="Arial"/>
                <w:sz w:val="18"/>
                <w:szCs w:val="18"/>
              </w:rPr>
            </w:pPr>
            <w:r w:rsidRPr="003777EE">
              <w:rPr>
                <w:rFonts w:ascii="ITC Avant Garde" w:hAnsi="ITC Avant Garde" w:cs="Arial"/>
                <w:sz w:val="18"/>
                <w:szCs w:val="18"/>
              </w:rPr>
              <w:t>El extracto del acuerdo de inicio de investigación.</w:t>
            </w:r>
          </w:p>
          <w:p w14:paraId="1A7C519D" w14:textId="0D4A6A77" w:rsidR="003777EE" w:rsidRPr="003777EE" w:rsidRDefault="00ED636F" w:rsidP="00C43007">
            <w:pPr>
              <w:spacing w:after="120" w:line="240" w:lineRule="auto"/>
              <w:jc w:val="both"/>
              <w:rPr>
                <w:rFonts w:ascii="ITC Avant Garde" w:hAnsi="ITC Avant Garde" w:cs="Arial"/>
                <w:color w:val="000000"/>
                <w:sz w:val="18"/>
                <w:szCs w:val="18"/>
              </w:rPr>
            </w:pPr>
            <w:r w:rsidRPr="003777EE">
              <w:rPr>
                <w:rFonts w:ascii="ITC Avant Garde" w:hAnsi="ITC Avant Garde" w:cs="Arial"/>
                <w:color w:val="000000"/>
                <w:sz w:val="18"/>
                <w:szCs w:val="18"/>
              </w:rPr>
              <w:t xml:space="preserve">El SEPDAI enviará una alerta al correo electrónico proporcionado por el denunciante, para hacer de su conocimiento </w:t>
            </w:r>
            <w:r w:rsidRPr="00FB5B7A">
              <w:rPr>
                <w:rFonts w:ascii="ITC Avant Garde" w:hAnsi="ITC Avant Garde" w:cs="Arial"/>
                <w:color w:val="000000"/>
                <w:sz w:val="18"/>
                <w:szCs w:val="18"/>
                <w:u w:val="single"/>
              </w:rPr>
              <w:t xml:space="preserve">que la AI ha emitido un acuerdo relacionado con su denuncia y que, para conocerlo, deberá ingresar al SEPDAI </w:t>
            </w:r>
            <w:r w:rsidR="002C313B">
              <w:rPr>
                <w:rFonts w:ascii="ITC Avant Garde" w:hAnsi="ITC Avant Garde" w:cs="Arial"/>
                <w:color w:val="000000"/>
                <w:sz w:val="18"/>
                <w:szCs w:val="18"/>
                <w:u w:val="single"/>
              </w:rPr>
              <w:t>dentro de</w:t>
            </w:r>
            <w:r w:rsidR="003777EE" w:rsidRPr="00FB5B7A">
              <w:rPr>
                <w:rFonts w:ascii="ITC Avant Garde" w:hAnsi="ITC Avant Garde" w:cs="Arial"/>
                <w:color w:val="000000"/>
                <w:sz w:val="18"/>
                <w:szCs w:val="18"/>
                <w:u w:val="single"/>
              </w:rPr>
              <w:t xml:space="preserve"> un plazo de </w:t>
            </w:r>
            <w:r w:rsidR="002E30A8" w:rsidRPr="00B0647E">
              <w:rPr>
                <w:rFonts w:ascii="ITC Avant Garde" w:hAnsi="ITC Avant Garde" w:cs="Arial"/>
                <w:color w:val="000000"/>
                <w:sz w:val="18"/>
                <w:szCs w:val="18"/>
                <w:u w:val="single"/>
              </w:rPr>
              <w:t>cinco</w:t>
            </w:r>
            <w:r w:rsidR="003777EE" w:rsidRPr="00FB5B7A">
              <w:rPr>
                <w:rFonts w:ascii="ITC Avant Garde" w:hAnsi="ITC Avant Garde" w:cs="Arial"/>
                <w:color w:val="000000"/>
                <w:sz w:val="18"/>
                <w:szCs w:val="18"/>
                <w:u w:val="single"/>
              </w:rPr>
              <w:t xml:space="preserve"> días hábiles contados a partir de la fecha de </w:t>
            </w:r>
            <w:r w:rsidR="003777EE" w:rsidRPr="00FB5B7A">
              <w:rPr>
                <w:rFonts w:ascii="ITC Avant Garde" w:hAnsi="ITC Avant Garde" w:cs="Arial"/>
                <w:color w:val="000000"/>
                <w:sz w:val="18"/>
                <w:szCs w:val="18"/>
                <w:u w:val="single"/>
              </w:rPr>
              <w:lastRenderedPageBreak/>
              <w:t>enví</w:t>
            </w:r>
            <w:r w:rsidR="000F59AE" w:rsidRPr="00FB5B7A">
              <w:rPr>
                <w:rFonts w:ascii="ITC Avant Garde" w:hAnsi="ITC Avant Garde" w:cs="Arial"/>
                <w:color w:val="000000"/>
                <w:sz w:val="18"/>
                <w:szCs w:val="18"/>
                <w:u w:val="single"/>
              </w:rPr>
              <w:t>o de la alerta de notificación, y darse por notificado</w:t>
            </w:r>
            <w:r w:rsidR="000F59AE">
              <w:rPr>
                <w:rFonts w:ascii="ITC Avant Garde" w:hAnsi="ITC Avant Garde" w:cs="Arial"/>
                <w:color w:val="000000"/>
                <w:sz w:val="18"/>
                <w:szCs w:val="18"/>
              </w:rPr>
              <w:t>.</w:t>
            </w:r>
          </w:p>
          <w:p w14:paraId="2E53A317" w14:textId="77777777" w:rsidR="002D6A65" w:rsidRPr="00FB5B7A" w:rsidRDefault="003777EE" w:rsidP="00C43007">
            <w:pPr>
              <w:pStyle w:val="Default"/>
              <w:spacing w:after="120"/>
              <w:jc w:val="both"/>
              <w:rPr>
                <w:rFonts w:ascii="ITC Avant Garde" w:hAnsi="ITC Avant Garde" w:cs="Arial"/>
                <w:sz w:val="18"/>
                <w:szCs w:val="18"/>
                <w:u w:val="single"/>
              </w:rPr>
            </w:pPr>
            <w:r w:rsidRPr="00FB5B7A">
              <w:rPr>
                <w:rFonts w:ascii="ITC Avant Garde" w:hAnsi="ITC Avant Garde" w:cs="Arial"/>
                <w:sz w:val="18"/>
                <w:szCs w:val="18"/>
                <w:u w:val="single"/>
              </w:rPr>
              <w:t xml:space="preserve">Para </w:t>
            </w:r>
            <w:r w:rsidR="000F59AE" w:rsidRPr="00FB5B7A">
              <w:rPr>
                <w:rFonts w:ascii="ITC Avant Garde" w:hAnsi="ITC Avant Garde" w:cs="Arial"/>
                <w:sz w:val="18"/>
                <w:szCs w:val="18"/>
                <w:u w:val="single"/>
              </w:rPr>
              <w:t xml:space="preserve">darse por </w:t>
            </w:r>
            <w:r w:rsidRPr="00FB5B7A">
              <w:rPr>
                <w:rFonts w:ascii="ITC Avant Garde" w:hAnsi="ITC Avant Garde" w:cs="Arial"/>
                <w:sz w:val="18"/>
                <w:szCs w:val="18"/>
                <w:u w:val="single"/>
              </w:rPr>
              <w:t>notifica</w:t>
            </w:r>
            <w:r w:rsidR="000F59AE" w:rsidRPr="00FB5B7A">
              <w:rPr>
                <w:rFonts w:ascii="ITC Avant Garde" w:hAnsi="ITC Avant Garde" w:cs="Arial"/>
                <w:sz w:val="18"/>
                <w:szCs w:val="18"/>
                <w:u w:val="single"/>
              </w:rPr>
              <w:t>do</w:t>
            </w:r>
            <w:r w:rsidRPr="00FB5B7A">
              <w:rPr>
                <w:rFonts w:ascii="ITC Avant Garde" w:hAnsi="ITC Avant Garde" w:cs="Arial"/>
                <w:sz w:val="18"/>
                <w:szCs w:val="18"/>
                <w:u w:val="single"/>
              </w:rPr>
              <w:t xml:space="preserve">, el denunciante tendrá que abrir el documento mediante </w:t>
            </w:r>
            <w:r w:rsidR="000A61F8" w:rsidRPr="00FB5B7A">
              <w:rPr>
                <w:rFonts w:ascii="ITC Avant Garde" w:hAnsi="ITC Avant Garde" w:cs="Arial"/>
                <w:sz w:val="18"/>
                <w:szCs w:val="18"/>
                <w:u w:val="single"/>
              </w:rPr>
              <w:t xml:space="preserve">el uso de </w:t>
            </w:r>
            <w:r w:rsidRPr="00FB5B7A">
              <w:rPr>
                <w:rFonts w:ascii="ITC Avant Garde" w:hAnsi="ITC Avant Garde" w:cs="Arial"/>
                <w:sz w:val="18"/>
                <w:szCs w:val="18"/>
                <w:u w:val="single"/>
              </w:rPr>
              <w:t xml:space="preserve">la </w:t>
            </w:r>
            <w:r w:rsidR="000A61F8" w:rsidRPr="00FB5B7A">
              <w:rPr>
                <w:rFonts w:ascii="ITC Avant Garde" w:hAnsi="ITC Avant Garde" w:cs="Arial"/>
                <w:sz w:val="18"/>
                <w:szCs w:val="18"/>
                <w:u w:val="single"/>
              </w:rPr>
              <w:t>firma e</w:t>
            </w:r>
            <w:r w:rsidRPr="00FB5B7A">
              <w:rPr>
                <w:rFonts w:ascii="ITC Avant Garde" w:hAnsi="ITC Avant Garde" w:cs="Arial"/>
                <w:sz w:val="18"/>
                <w:szCs w:val="18"/>
                <w:u w:val="single"/>
              </w:rPr>
              <w:t>lectrónica avanzada emitida por el Servicio de Administración Tributaria</w:t>
            </w:r>
            <w:r w:rsidR="00447D55" w:rsidRPr="00FB5B7A">
              <w:rPr>
                <w:rFonts w:ascii="ITC Avant Garde" w:hAnsi="ITC Avant Garde" w:cs="Arial"/>
                <w:sz w:val="18"/>
                <w:szCs w:val="18"/>
                <w:u w:val="single"/>
              </w:rPr>
              <w:t xml:space="preserve">, para lo cual el </w:t>
            </w:r>
            <w:r w:rsidR="000A61F8" w:rsidRPr="00FB5B7A">
              <w:rPr>
                <w:rFonts w:ascii="ITC Avant Garde" w:hAnsi="ITC Avant Garde" w:cs="Arial"/>
                <w:sz w:val="18"/>
                <w:szCs w:val="18"/>
                <w:u w:val="single"/>
              </w:rPr>
              <w:t xml:space="preserve">sistema </w:t>
            </w:r>
            <w:r w:rsidR="00447D55" w:rsidRPr="00FB5B7A">
              <w:rPr>
                <w:rFonts w:ascii="ITC Avant Garde" w:hAnsi="ITC Avant Garde" w:cs="Arial"/>
                <w:sz w:val="18"/>
                <w:szCs w:val="18"/>
                <w:u w:val="single"/>
              </w:rPr>
              <w:t xml:space="preserve">le </w:t>
            </w:r>
            <w:r w:rsidR="000A61F8" w:rsidRPr="00FB5B7A">
              <w:rPr>
                <w:rFonts w:ascii="ITC Avant Garde" w:hAnsi="ITC Avant Garde" w:cs="Arial"/>
                <w:sz w:val="18"/>
                <w:szCs w:val="18"/>
                <w:u w:val="single"/>
              </w:rPr>
              <w:t>gener</w:t>
            </w:r>
            <w:r w:rsidR="00447D55" w:rsidRPr="00FB5B7A">
              <w:rPr>
                <w:rFonts w:ascii="ITC Avant Garde" w:hAnsi="ITC Avant Garde" w:cs="Arial"/>
                <w:sz w:val="18"/>
                <w:szCs w:val="18"/>
                <w:u w:val="single"/>
              </w:rPr>
              <w:t xml:space="preserve">ará el </w:t>
            </w:r>
            <w:r w:rsidR="00ED636F" w:rsidRPr="00FB5B7A">
              <w:rPr>
                <w:rFonts w:ascii="ITC Avant Garde" w:hAnsi="ITC Avant Garde" w:cs="Arial"/>
                <w:sz w:val="18"/>
                <w:szCs w:val="18"/>
                <w:u w:val="single"/>
              </w:rPr>
              <w:t>acuse de la notificación respectiva</w:t>
            </w:r>
            <w:r w:rsidR="00DE1FD9" w:rsidRPr="00FB5B7A">
              <w:rPr>
                <w:rFonts w:ascii="ITC Avant Garde" w:hAnsi="ITC Avant Garde" w:cs="Arial"/>
                <w:sz w:val="18"/>
                <w:szCs w:val="18"/>
                <w:u w:val="single"/>
              </w:rPr>
              <w:t>. Una vez emitido el acuse de notificación, el SEPDAI enviará una alerta de lo anterior a la AI.</w:t>
            </w:r>
          </w:p>
        </w:tc>
      </w:tr>
    </w:tbl>
    <w:p w14:paraId="17B1622F" w14:textId="77777777" w:rsidR="007434C3" w:rsidRDefault="007434C3">
      <w:pPr>
        <w:spacing w:after="120" w:line="240" w:lineRule="auto"/>
        <w:jc w:val="both"/>
        <w:rPr>
          <w:rFonts w:ascii="ITC Avant Garde" w:hAnsi="ITC Avant Garde"/>
          <w:b/>
        </w:rPr>
      </w:pPr>
    </w:p>
    <w:p w14:paraId="0B105D33" w14:textId="77777777" w:rsidR="00353E8D" w:rsidRDefault="00353E8D">
      <w:pPr>
        <w:spacing w:after="120" w:line="240" w:lineRule="auto"/>
        <w:jc w:val="both"/>
        <w:rPr>
          <w:rFonts w:ascii="ITC Avant Garde" w:hAnsi="ITC Avant Garde"/>
          <w:b/>
        </w:rPr>
      </w:pPr>
      <w:r>
        <w:rPr>
          <w:rFonts w:ascii="ITC Avant Garde" w:hAnsi="ITC Avant Garde"/>
          <w:b/>
        </w:rPr>
        <w:t>Comentarios recibidos al artículo 9</w:t>
      </w:r>
    </w:p>
    <w:p w14:paraId="221FAFBE" w14:textId="072BFC4C" w:rsidR="003F16C9" w:rsidRPr="0068152A" w:rsidRDefault="00322C56">
      <w:pPr>
        <w:spacing w:after="120" w:line="240" w:lineRule="auto"/>
        <w:jc w:val="both"/>
        <w:rPr>
          <w:rFonts w:ascii="ITC Avant Garde" w:hAnsi="ITC Avant Garde"/>
        </w:rPr>
      </w:pPr>
      <w:r w:rsidRPr="00073383">
        <w:rPr>
          <w:rFonts w:ascii="ITC Avant Garde" w:hAnsi="ITC Avant Garde"/>
        </w:rPr>
        <w:t>Bestphone</w:t>
      </w:r>
      <w:r w:rsidR="0053282E" w:rsidRPr="00073383">
        <w:rPr>
          <w:rFonts w:ascii="ITC Avant Garde" w:hAnsi="ITC Avant Garde"/>
        </w:rPr>
        <w:t xml:space="preserve"> </w:t>
      </w:r>
      <w:r w:rsidR="0068152A">
        <w:rPr>
          <w:rFonts w:ascii="ITC Avant Garde" w:hAnsi="ITC Avant Garde"/>
        </w:rPr>
        <w:t>y otros</w:t>
      </w:r>
      <w:r w:rsidR="006F7C6F">
        <w:rPr>
          <w:rFonts w:ascii="ITC Avant Garde" w:hAnsi="ITC Avant Garde"/>
        </w:rPr>
        <w:t>,</w:t>
      </w:r>
      <w:r w:rsidR="0068152A">
        <w:rPr>
          <w:rFonts w:ascii="ITC Avant Garde" w:hAnsi="ITC Avant Garde"/>
        </w:rPr>
        <w:t xml:space="preserve"> </w:t>
      </w:r>
      <w:r w:rsidR="006F7C6F" w:rsidRPr="0068152A">
        <w:rPr>
          <w:rFonts w:ascii="ITC Avant Garde" w:hAnsi="ITC Avant Garde"/>
        </w:rPr>
        <w:t>Telefónica</w:t>
      </w:r>
      <w:r w:rsidR="006F7C6F">
        <w:rPr>
          <w:rFonts w:ascii="ITC Avant Garde" w:hAnsi="ITC Avant Garde"/>
        </w:rPr>
        <w:t xml:space="preserve">, </w:t>
      </w:r>
      <w:r w:rsidR="006F7C6F" w:rsidRPr="0068152A">
        <w:rPr>
          <w:rFonts w:ascii="ITC Avant Garde" w:hAnsi="ITC Avant Garde"/>
        </w:rPr>
        <w:t xml:space="preserve">AT&amp;T </w:t>
      </w:r>
      <w:r w:rsidR="006F7C6F">
        <w:rPr>
          <w:rFonts w:ascii="ITC Avant Garde" w:hAnsi="ITC Avant Garde"/>
        </w:rPr>
        <w:t xml:space="preserve">y </w:t>
      </w:r>
      <w:r w:rsidR="006F7C6F" w:rsidRPr="0068152A">
        <w:rPr>
          <w:rFonts w:ascii="ITC Avant Garde" w:hAnsi="ITC Avant Garde"/>
        </w:rPr>
        <w:t>Carlos Mora Villalpando</w:t>
      </w:r>
      <w:r w:rsidR="006F7C6F" w:rsidRPr="00073383">
        <w:rPr>
          <w:rFonts w:ascii="ITC Avant Garde" w:hAnsi="ITC Avant Garde"/>
        </w:rPr>
        <w:t xml:space="preserve"> </w:t>
      </w:r>
      <w:r w:rsidR="006F7C6F">
        <w:rPr>
          <w:rFonts w:ascii="ITC Avant Garde" w:hAnsi="ITC Avant Garde"/>
        </w:rPr>
        <w:t xml:space="preserve">realizaron diversos comentarios en el presente apartado, como sigue: </w:t>
      </w:r>
    </w:p>
    <w:tbl>
      <w:tblPr>
        <w:tblStyle w:val="Tablaconcuadrcula"/>
        <w:tblW w:w="10024" w:type="dxa"/>
        <w:tblInd w:w="-5" w:type="dxa"/>
        <w:shd w:val="clear" w:color="auto" w:fill="C5E0B3" w:themeFill="accent6" w:themeFillTint="66"/>
        <w:tblLook w:val="0600" w:firstRow="0" w:lastRow="0" w:firstColumn="0" w:lastColumn="0" w:noHBand="1" w:noVBand="1"/>
      </w:tblPr>
      <w:tblGrid>
        <w:gridCol w:w="2552"/>
        <w:gridCol w:w="2410"/>
        <w:gridCol w:w="2510"/>
        <w:gridCol w:w="2552"/>
      </w:tblGrid>
      <w:tr w:rsidR="003F16C9" w:rsidRPr="001E7B12" w14:paraId="07947867" w14:textId="77777777" w:rsidTr="003F5FF3">
        <w:trPr>
          <w:trHeight w:val="426"/>
        </w:trPr>
        <w:tc>
          <w:tcPr>
            <w:tcW w:w="2552" w:type="dxa"/>
            <w:shd w:val="clear" w:color="auto" w:fill="538135" w:themeFill="accent6" w:themeFillShade="BF"/>
            <w:vAlign w:val="center"/>
          </w:tcPr>
          <w:p w14:paraId="56E6D534" w14:textId="77777777" w:rsidR="003F16C9" w:rsidRPr="001E7B12" w:rsidRDefault="003F16C9">
            <w:pPr>
              <w:pStyle w:val="Default"/>
              <w:spacing w:after="120"/>
              <w:jc w:val="center"/>
              <w:rPr>
                <w:rFonts w:ascii="ITC Avant Garde" w:hAnsi="ITC Avant Garde"/>
                <w:b/>
                <w:color w:val="FFFFFF" w:themeColor="background1"/>
                <w:sz w:val="18"/>
                <w:szCs w:val="18"/>
              </w:rPr>
            </w:pPr>
            <w:r>
              <w:rPr>
                <w:rFonts w:ascii="ITC Avant Garde" w:hAnsi="ITC Avant Garde" w:cs="ITC Avant Garde"/>
                <w:b/>
                <w:color w:val="FFFFFF" w:themeColor="background1"/>
                <w:sz w:val="20"/>
                <w:szCs w:val="20"/>
              </w:rPr>
              <w:t>Bestphone y otros</w:t>
            </w:r>
          </w:p>
        </w:tc>
        <w:tc>
          <w:tcPr>
            <w:tcW w:w="2410" w:type="dxa"/>
            <w:shd w:val="clear" w:color="auto" w:fill="538135" w:themeFill="accent6" w:themeFillShade="BF"/>
          </w:tcPr>
          <w:p w14:paraId="708E1490" w14:textId="77777777" w:rsidR="003F16C9" w:rsidRPr="001E7B12" w:rsidRDefault="003F16C9">
            <w:pPr>
              <w:pStyle w:val="Default"/>
              <w:spacing w:after="120"/>
              <w:jc w:val="center"/>
              <w:rPr>
                <w:rFonts w:ascii="ITC Avant Garde" w:hAnsi="ITC Avant Garde"/>
                <w:b/>
                <w:color w:val="FFFFFF" w:themeColor="background1"/>
                <w:sz w:val="18"/>
                <w:szCs w:val="18"/>
              </w:rPr>
            </w:pPr>
            <w:r w:rsidRPr="00412A3E">
              <w:rPr>
                <w:rFonts w:ascii="ITC Avant Garde" w:hAnsi="ITC Avant Garde" w:cs="ITC Avant Garde"/>
                <w:b/>
                <w:color w:val="FFFFFF" w:themeColor="background1"/>
                <w:sz w:val="20"/>
                <w:szCs w:val="20"/>
              </w:rPr>
              <w:t>Telefónica</w:t>
            </w:r>
          </w:p>
        </w:tc>
        <w:tc>
          <w:tcPr>
            <w:tcW w:w="2510" w:type="dxa"/>
            <w:shd w:val="clear" w:color="auto" w:fill="538135" w:themeFill="accent6" w:themeFillShade="BF"/>
          </w:tcPr>
          <w:p w14:paraId="15B7CF00" w14:textId="77777777" w:rsidR="003F16C9" w:rsidRPr="00412A3E" w:rsidRDefault="003F16C9">
            <w:pPr>
              <w:pStyle w:val="Default"/>
              <w:spacing w:after="120"/>
              <w:jc w:val="center"/>
              <w:rPr>
                <w:rFonts w:ascii="ITC Avant Garde" w:hAnsi="ITC Avant Garde" w:cs="ITC Avant Garde"/>
                <w:b/>
                <w:color w:val="FFFFFF" w:themeColor="background1"/>
                <w:sz w:val="20"/>
                <w:szCs w:val="20"/>
              </w:rPr>
            </w:pPr>
            <w:r w:rsidRPr="001E7B12">
              <w:rPr>
                <w:rFonts w:ascii="ITC Avant Garde" w:hAnsi="ITC Avant Garde"/>
                <w:b/>
                <w:color w:val="FFFFFF" w:themeColor="background1"/>
                <w:sz w:val="18"/>
                <w:szCs w:val="18"/>
              </w:rPr>
              <w:t>AT&amp;T</w:t>
            </w:r>
          </w:p>
        </w:tc>
        <w:tc>
          <w:tcPr>
            <w:tcW w:w="2552" w:type="dxa"/>
            <w:shd w:val="clear" w:color="auto" w:fill="538135" w:themeFill="accent6" w:themeFillShade="BF"/>
          </w:tcPr>
          <w:p w14:paraId="478D020D" w14:textId="77777777" w:rsidR="003F16C9" w:rsidRPr="001E7B12" w:rsidRDefault="003F16C9">
            <w:pPr>
              <w:pStyle w:val="Default"/>
              <w:spacing w:after="120"/>
              <w:jc w:val="center"/>
              <w:rPr>
                <w:rFonts w:ascii="ITC Avant Garde" w:hAnsi="ITC Avant Garde"/>
                <w:b/>
                <w:color w:val="FFFFFF" w:themeColor="background1"/>
                <w:sz w:val="18"/>
                <w:szCs w:val="18"/>
              </w:rPr>
            </w:pPr>
            <w:r w:rsidRPr="001E7B12">
              <w:rPr>
                <w:rFonts w:ascii="ITC Avant Garde" w:hAnsi="ITC Avant Garde"/>
                <w:b/>
                <w:color w:val="FFFFFF" w:themeColor="background1"/>
                <w:sz w:val="18"/>
                <w:szCs w:val="18"/>
              </w:rPr>
              <w:t>Carlos Mora Villalpando</w:t>
            </w:r>
          </w:p>
        </w:tc>
      </w:tr>
      <w:tr w:rsidR="003F16C9" w:rsidRPr="005471EF" w14:paraId="05D739D7" w14:textId="77777777" w:rsidTr="003F5FF3">
        <w:trPr>
          <w:trHeight w:val="426"/>
        </w:trPr>
        <w:tc>
          <w:tcPr>
            <w:tcW w:w="2552" w:type="dxa"/>
            <w:shd w:val="clear" w:color="auto" w:fill="C5E0B3" w:themeFill="accent6" w:themeFillTint="66"/>
            <w:vAlign w:val="center"/>
          </w:tcPr>
          <w:p w14:paraId="65DBCC6D" w14:textId="77777777" w:rsidR="003F16C9" w:rsidRDefault="003F16C9">
            <w:pPr>
              <w:pStyle w:val="Default"/>
              <w:spacing w:after="120"/>
              <w:jc w:val="both"/>
              <w:rPr>
                <w:rFonts w:ascii="ITC Avant Garde" w:hAnsi="ITC Avant Garde"/>
                <w:i/>
                <w:sz w:val="18"/>
                <w:szCs w:val="18"/>
              </w:rPr>
            </w:pPr>
            <w:r w:rsidRPr="00170FA4">
              <w:rPr>
                <w:rFonts w:ascii="ITC Avant Garde" w:hAnsi="ITC Avant Garde"/>
                <w:i/>
                <w:sz w:val="18"/>
                <w:szCs w:val="18"/>
              </w:rPr>
              <w:t xml:space="preserve">No existe certeza de los horarios en que estarán disponibles los archivos en el SEPDAI por lo que el SEPADI </w:t>
            </w:r>
            <w:r w:rsidR="00073616" w:rsidRPr="00073616">
              <w:rPr>
                <w:rFonts w:ascii="ITC Avant Garde" w:hAnsi="ITC Avant Garde"/>
                <w:sz w:val="18"/>
                <w:szCs w:val="18"/>
              </w:rPr>
              <w:t>[sic]</w:t>
            </w:r>
            <w:r w:rsidR="00073616">
              <w:rPr>
                <w:rFonts w:ascii="ITC Avant Garde" w:hAnsi="ITC Avant Garde"/>
                <w:i/>
                <w:sz w:val="18"/>
                <w:szCs w:val="18"/>
              </w:rPr>
              <w:t xml:space="preserve"> </w:t>
            </w:r>
            <w:r w:rsidRPr="00170FA4">
              <w:rPr>
                <w:rFonts w:ascii="ITC Avant Garde" w:hAnsi="ITC Avant Garde"/>
                <w:i/>
                <w:sz w:val="18"/>
                <w:szCs w:val="18"/>
              </w:rPr>
              <w:t>debería prever un mecanismo por el cual emita al denunciante una constancia de notificación al momento de que éste descargue el acuerdo objeto de notificación, indicando el día y hora en el cual se tuvo por notificado. De preverse así el sistema debe modificarse el primer párrafo</w:t>
            </w:r>
            <w:r>
              <w:rPr>
                <w:rFonts w:ascii="ITC Avant Garde" w:hAnsi="ITC Avant Garde"/>
                <w:i/>
                <w:sz w:val="18"/>
                <w:szCs w:val="18"/>
              </w:rPr>
              <w:t xml:space="preserve"> </w:t>
            </w:r>
            <w:r w:rsidRPr="00170FA4">
              <w:rPr>
                <w:rFonts w:ascii="ITC Avant Garde" w:hAnsi="ITC Avant Garde"/>
                <w:i/>
                <w:sz w:val="18"/>
                <w:szCs w:val="18"/>
              </w:rPr>
              <w:t xml:space="preserve">del artículo 9 en los siguientes términos: Artículo 9. Las notificaciones se tendrán por practicadas a partir de la generación del acuse respectivo en el SEPDAI, lo cual: </w:t>
            </w:r>
          </w:p>
          <w:p w14:paraId="3C3E569A" w14:textId="77777777" w:rsidR="003F16C9" w:rsidRDefault="003F16C9">
            <w:pPr>
              <w:pStyle w:val="Default"/>
              <w:spacing w:after="120"/>
              <w:ind w:left="314" w:right="318"/>
              <w:jc w:val="both"/>
              <w:rPr>
                <w:rFonts w:ascii="ITC Avant Garde" w:hAnsi="ITC Avant Garde"/>
                <w:i/>
                <w:sz w:val="18"/>
                <w:szCs w:val="18"/>
              </w:rPr>
            </w:pPr>
            <w:r w:rsidRPr="00170FA4">
              <w:rPr>
                <w:rFonts w:ascii="ITC Avant Garde" w:hAnsi="ITC Avant Garde"/>
                <w:i/>
                <w:sz w:val="18"/>
                <w:szCs w:val="18"/>
              </w:rPr>
              <w:t xml:space="preserve">• Complicaría el computo de los plazos; (no obstante la consideración del art. 14) </w:t>
            </w:r>
          </w:p>
          <w:p w14:paraId="3E8D2617" w14:textId="77777777" w:rsidR="003F16C9" w:rsidRDefault="003F16C9">
            <w:pPr>
              <w:pStyle w:val="Default"/>
              <w:spacing w:after="120"/>
              <w:ind w:left="314" w:right="318"/>
              <w:jc w:val="both"/>
              <w:rPr>
                <w:rFonts w:ascii="ITC Avant Garde" w:hAnsi="ITC Avant Garde"/>
                <w:i/>
                <w:sz w:val="18"/>
                <w:szCs w:val="18"/>
              </w:rPr>
            </w:pPr>
            <w:r w:rsidRPr="00170FA4">
              <w:rPr>
                <w:rFonts w:ascii="ITC Avant Garde" w:hAnsi="ITC Avant Garde"/>
                <w:i/>
                <w:sz w:val="18"/>
                <w:szCs w:val="18"/>
              </w:rPr>
              <w:t xml:space="preserve">• Daría posibilidad a la autoridad de poner a disposición las notificaciones </w:t>
            </w:r>
            <w:r w:rsidRPr="00170FA4">
              <w:rPr>
                <w:rFonts w:ascii="ITC Avant Garde" w:hAnsi="ITC Avant Garde"/>
                <w:i/>
                <w:sz w:val="18"/>
                <w:szCs w:val="18"/>
              </w:rPr>
              <w:lastRenderedPageBreak/>
              <w:t xml:space="preserve">(disponibles en SEPDAI) a las 23:59 pm y en días inhábiles con lo cual surtirían efectos en ese mismo día de acuerdo a lo referido el segundo párrafo. </w:t>
            </w:r>
          </w:p>
          <w:p w14:paraId="47FB1985" w14:textId="77777777" w:rsidR="003F16C9" w:rsidRDefault="003F16C9">
            <w:pPr>
              <w:pStyle w:val="Default"/>
              <w:spacing w:after="120"/>
              <w:jc w:val="both"/>
              <w:rPr>
                <w:rFonts w:ascii="ITC Avant Garde" w:hAnsi="ITC Avant Garde"/>
                <w:i/>
                <w:sz w:val="18"/>
                <w:szCs w:val="18"/>
              </w:rPr>
            </w:pPr>
            <w:r w:rsidRPr="00170FA4">
              <w:rPr>
                <w:rFonts w:ascii="ITC Avant Garde" w:hAnsi="ITC Avant Garde"/>
                <w:i/>
                <w:sz w:val="18"/>
                <w:szCs w:val="18"/>
              </w:rPr>
              <w:t>En virtud de lo anterior se deberá establecer con claridad las horas y días en las que la autoridad podría poner a disposición las notificaciones en el SEPDAI.</w:t>
            </w:r>
          </w:p>
          <w:p w14:paraId="070EE301" w14:textId="77777777" w:rsidR="003F16C9" w:rsidRDefault="003F16C9">
            <w:pPr>
              <w:pStyle w:val="Default"/>
              <w:spacing w:after="120"/>
              <w:jc w:val="both"/>
              <w:rPr>
                <w:rFonts w:ascii="ITC Avant Garde" w:hAnsi="ITC Avant Garde"/>
                <w:i/>
                <w:sz w:val="18"/>
                <w:szCs w:val="18"/>
              </w:rPr>
            </w:pPr>
            <w:r w:rsidRPr="00170FA4">
              <w:rPr>
                <w:rFonts w:ascii="ITC Avant Garde" w:hAnsi="ITC Avant Garde"/>
                <w:i/>
                <w:sz w:val="18"/>
                <w:szCs w:val="18"/>
              </w:rPr>
              <w:t xml:space="preserve">Por otra parte, podría precisarse que las notificaciones se entenderán por practicadas una vez que estén disponiles </w:t>
            </w:r>
            <w:r w:rsidRPr="00170FA4">
              <w:rPr>
                <w:rFonts w:ascii="ITC Avant Garde" w:hAnsi="ITC Avant Garde"/>
                <w:sz w:val="18"/>
                <w:szCs w:val="18"/>
              </w:rPr>
              <w:t>[sic]</w:t>
            </w:r>
            <w:r>
              <w:rPr>
                <w:rFonts w:ascii="ITC Avant Garde" w:hAnsi="ITC Avant Garde"/>
                <w:i/>
                <w:sz w:val="18"/>
                <w:szCs w:val="18"/>
              </w:rPr>
              <w:t xml:space="preserve"> </w:t>
            </w:r>
            <w:r w:rsidRPr="00170FA4">
              <w:rPr>
                <w:rFonts w:ascii="ITC Avant Garde" w:hAnsi="ITC Avant Garde"/>
                <w:i/>
                <w:sz w:val="18"/>
                <w:szCs w:val="18"/>
              </w:rPr>
              <w:t xml:space="preserve">en el SEPDAI y de que se publique por lista el acuerdo respectivo. Es más, lo idóneo es que estas dos situaciones acontezcan el mismo día. </w:t>
            </w:r>
          </w:p>
          <w:p w14:paraId="61274F1D" w14:textId="77777777" w:rsidR="003F16C9" w:rsidRPr="005471EF" w:rsidRDefault="003F16C9">
            <w:pPr>
              <w:pStyle w:val="Default"/>
              <w:spacing w:after="120"/>
              <w:jc w:val="both"/>
              <w:rPr>
                <w:rFonts w:ascii="ITC Avant Garde" w:hAnsi="ITC Avant Garde"/>
                <w:i/>
                <w:sz w:val="18"/>
                <w:szCs w:val="18"/>
              </w:rPr>
            </w:pPr>
            <w:r w:rsidRPr="00170FA4">
              <w:rPr>
                <w:rFonts w:ascii="ITC Avant Garde" w:hAnsi="ITC Avant Garde"/>
                <w:i/>
                <w:sz w:val="18"/>
                <w:szCs w:val="18"/>
              </w:rPr>
              <w:t>Se podría añadir el siguiente párrafo “Las promociones se considerarán, salvo prueba en contrario, presentadas el d</w:t>
            </w:r>
            <w:r w:rsidRPr="00170FA4">
              <w:rPr>
                <w:rFonts w:ascii="ITC Avant Garde" w:hAnsi="ITC Avant Garde" w:cs="ITC Avant Garde"/>
                <w:i/>
                <w:sz w:val="18"/>
                <w:szCs w:val="18"/>
              </w:rPr>
              <w:t>í</w:t>
            </w:r>
            <w:r w:rsidRPr="00170FA4">
              <w:rPr>
                <w:rFonts w:ascii="ITC Avant Garde" w:hAnsi="ITC Avant Garde"/>
                <w:i/>
                <w:sz w:val="18"/>
                <w:szCs w:val="18"/>
              </w:rPr>
              <w:t>a y hora que c</w:t>
            </w:r>
            <w:r>
              <w:rPr>
                <w:rFonts w:ascii="ITC Avant Garde" w:hAnsi="ITC Avant Garde"/>
                <w:i/>
                <w:sz w:val="18"/>
                <w:szCs w:val="18"/>
              </w:rPr>
              <w:t xml:space="preserve">onste en el acuse electrónico </w:t>
            </w:r>
            <w:r w:rsidRPr="00170FA4">
              <w:rPr>
                <w:rFonts w:ascii="ITC Avant Garde" w:hAnsi="ITC Avant Garde"/>
                <w:i/>
                <w:sz w:val="18"/>
                <w:szCs w:val="18"/>
              </w:rPr>
              <w:t>que emita el SEPDAI, y, por recibidas, en el lugar de la sede de la Autoridad Investigadora. Tratándose de un d</w:t>
            </w:r>
            <w:r w:rsidRPr="00170FA4">
              <w:rPr>
                <w:rFonts w:ascii="ITC Avant Garde" w:hAnsi="ITC Avant Garde" w:cs="ITC Avant Garde"/>
                <w:i/>
                <w:sz w:val="18"/>
                <w:szCs w:val="18"/>
              </w:rPr>
              <w:t>í</w:t>
            </w:r>
            <w:r w:rsidRPr="00170FA4">
              <w:rPr>
                <w:rFonts w:ascii="ITC Avant Garde" w:hAnsi="ITC Avant Garde"/>
                <w:i/>
                <w:sz w:val="18"/>
                <w:szCs w:val="18"/>
              </w:rPr>
              <w:t>a</w:t>
            </w:r>
            <w:r>
              <w:rPr>
                <w:rFonts w:ascii="ITC Avant Garde" w:hAnsi="ITC Avant Garde"/>
                <w:i/>
                <w:sz w:val="18"/>
                <w:szCs w:val="18"/>
              </w:rPr>
              <w:t xml:space="preserve"> inh</w:t>
            </w:r>
            <w:r w:rsidRPr="00170FA4">
              <w:rPr>
                <w:rFonts w:ascii="ITC Avant Garde" w:hAnsi="ITC Avant Garde"/>
                <w:i/>
                <w:sz w:val="18"/>
                <w:szCs w:val="18"/>
              </w:rPr>
              <w:t>ábil se tendrán por presentadas el d</w:t>
            </w:r>
            <w:r w:rsidRPr="00170FA4">
              <w:rPr>
                <w:rFonts w:ascii="ITC Avant Garde" w:hAnsi="ITC Avant Garde" w:cs="ITC Avant Garde"/>
                <w:i/>
                <w:sz w:val="18"/>
                <w:szCs w:val="18"/>
              </w:rPr>
              <w:t>í</w:t>
            </w:r>
            <w:r>
              <w:rPr>
                <w:rFonts w:ascii="ITC Avant Garde" w:hAnsi="ITC Avant Garde"/>
                <w:i/>
                <w:sz w:val="18"/>
                <w:szCs w:val="18"/>
              </w:rPr>
              <w:t>a h</w:t>
            </w:r>
            <w:r w:rsidRPr="00170FA4">
              <w:rPr>
                <w:rFonts w:ascii="ITC Avant Garde" w:hAnsi="ITC Avant Garde"/>
                <w:i/>
                <w:sz w:val="18"/>
                <w:szCs w:val="18"/>
              </w:rPr>
              <w:t>ábil siguiente.</w:t>
            </w:r>
            <w:r w:rsidRPr="00170FA4">
              <w:rPr>
                <w:rFonts w:ascii="ITC Avant Garde" w:hAnsi="ITC Avant Garde" w:cs="ITC Avant Garde"/>
                <w:i/>
                <w:sz w:val="18"/>
                <w:szCs w:val="18"/>
              </w:rPr>
              <w:t>”</w:t>
            </w:r>
          </w:p>
        </w:tc>
        <w:tc>
          <w:tcPr>
            <w:tcW w:w="2410" w:type="dxa"/>
            <w:shd w:val="clear" w:color="auto" w:fill="C5E0B3" w:themeFill="accent6" w:themeFillTint="66"/>
          </w:tcPr>
          <w:p w14:paraId="3C12FCC1" w14:textId="77777777" w:rsidR="003F16C9" w:rsidRDefault="003F16C9">
            <w:pPr>
              <w:pStyle w:val="Default"/>
              <w:spacing w:after="120"/>
              <w:jc w:val="both"/>
              <w:rPr>
                <w:rFonts w:ascii="ITC Avant Garde" w:hAnsi="ITC Avant Garde"/>
                <w:i/>
                <w:sz w:val="18"/>
                <w:szCs w:val="18"/>
              </w:rPr>
            </w:pPr>
            <w:r w:rsidRPr="00322C56">
              <w:rPr>
                <w:rFonts w:ascii="ITC Avant Garde" w:hAnsi="ITC Avant Garde"/>
                <w:i/>
                <w:sz w:val="18"/>
                <w:szCs w:val="18"/>
              </w:rPr>
              <w:lastRenderedPageBreak/>
              <w:t xml:space="preserve">El presente artículo establece lo siguiente: “… Artículo 9. Las notificaciones se tendrán por practicadas a partir de que estén disponibles en el SEPDAI. </w:t>
            </w:r>
          </w:p>
          <w:p w14:paraId="3F773D33" w14:textId="77777777" w:rsidR="003F16C9" w:rsidRDefault="003F16C9">
            <w:pPr>
              <w:pStyle w:val="Default"/>
              <w:spacing w:after="120"/>
              <w:jc w:val="both"/>
              <w:rPr>
                <w:rFonts w:ascii="ITC Avant Garde" w:hAnsi="ITC Avant Garde"/>
                <w:i/>
                <w:sz w:val="18"/>
                <w:szCs w:val="18"/>
              </w:rPr>
            </w:pPr>
            <w:r w:rsidRPr="00322C56">
              <w:rPr>
                <w:rFonts w:ascii="ITC Avant Garde" w:hAnsi="ITC Avant Garde"/>
                <w:i/>
                <w:sz w:val="18"/>
                <w:szCs w:val="18"/>
              </w:rPr>
              <w:t xml:space="preserve">Las notificaciones practicadas a través del SEPDAI surtirán sus efectos el mismo día en que se practiquen y los plazos empezarán a correr a partir del día siguiente, de conformidad con lo dispuesto por el artículo 175 de las Disposiciones Regulatorias…” </w:t>
            </w:r>
          </w:p>
          <w:p w14:paraId="5C739322" w14:textId="77777777" w:rsidR="003F16C9" w:rsidRDefault="003F16C9">
            <w:pPr>
              <w:pStyle w:val="Default"/>
              <w:spacing w:after="120"/>
              <w:jc w:val="both"/>
              <w:rPr>
                <w:rFonts w:ascii="ITC Avant Garde" w:hAnsi="ITC Avant Garde"/>
                <w:i/>
                <w:sz w:val="18"/>
                <w:szCs w:val="18"/>
              </w:rPr>
            </w:pPr>
            <w:r w:rsidRPr="00322C56">
              <w:rPr>
                <w:rFonts w:ascii="ITC Avant Garde" w:hAnsi="ITC Avant Garde"/>
                <w:i/>
                <w:sz w:val="18"/>
                <w:szCs w:val="18"/>
              </w:rPr>
              <w:t xml:space="preserve">Ahora bien, toda vez que el mismo tiene relación con el artículo que antecede, se propone la siguiente redacción: </w:t>
            </w:r>
          </w:p>
          <w:p w14:paraId="58E075BD" w14:textId="77777777" w:rsidR="003F16C9" w:rsidRPr="007E153F" w:rsidRDefault="003F16C9">
            <w:pPr>
              <w:pStyle w:val="Default"/>
              <w:spacing w:after="120"/>
              <w:jc w:val="both"/>
              <w:rPr>
                <w:rFonts w:ascii="ITC Avant Garde" w:hAnsi="ITC Avant Garde"/>
                <w:b/>
                <w:i/>
                <w:sz w:val="18"/>
                <w:szCs w:val="18"/>
              </w:rPr>
            </w:pPr>
            <w:r w:rsidRPr="00322C56">
              <w:rPr>
                <w:rFonts w:ascii="ITC Avant Garde" w:hAnsi="ITC Avant Garde"/>
                <w:i/>
                <w:sz w:val="18"/>
                <w:szCs w:val="18"/>
              </w:rPr>
              <w:t xml:space="preserve">Artículo 9. Las notificaciones se tendrán por practicadas a partir de que estén disponibles en el SEPDAI. </w:t>
            </w:r>
            <w:r w:rsidRPr="007E153F">
              <w:rPr>
                <w:rFonts w:ascii="ITC Avant Garde" w:hAnsi="ITC Avant Garde"/>
                <w:b/>
                <w:i/>
                <w:sz w:val="18"/>
                <w:szCs w:val="18"/>
              </w:rPr>
              <w:t xml:space="preserve">En aquellos casos en que se actualice el supuesto a que se refiere el último párrafo del artículo </w:t>
            </w:r>
            <w:r w:rsidRPr="007E153F">
              <w:rPr>
                <w:rFonts w:ascii="ITC Avant Garde" w:hAnsi="ITC Avant Garde"/>
                <w:b/>
                <w:i/>
                <w:sz w:val="18"/>
                <w:szCs w:val="18"/>
              </w:rPr>
              <w:lastRenderedPageBreak/>
              <w:t xml:space="preserve">anterior, la notificación se entenderá practicada al día siguiente a aquél en que se haya recibido la alerta. </w:t>
            </w:r>
          </w:p>
          <w:p w14:paraId="3611AD33" w14:textId="77777777" w:rsidR="003F16C9" w:rsidRPr="00F84D32" w:rsidRDefault="003F16C9">
            <w:pPr>
              <w:pStyle w:val="Default"/>
              <w:spacing w:after="120"/>
              <w:jc w:val="both"/>
              <w:rPr>
                <w:rFonts w:ascii="ITC Avant Garde" w:hAnsi="ITC Avant Garde"/>
                <w:i/>
                <w:sz w:val="18"/>
                <w:szCs w:val="18"/>
              </w:rPr>
            </w:pPr>
            <w:r w:rsidRPr="00322C56">
              <w:rPr>
                <w:rFonts w:ascii="ITC Avant Garde" w:hAnsi="ITC Avant Garde"/>
                <w:i/>
                <w:sz w:val="18"/>
                <w:szCs w:val="18"/>
              </w:rPr>
              <w:t xml:space="preserve">Las notificaciones practicadas a través del SEPDAI surtirán sus efectos el </w:t>
            </w:r>
            <w:r w:rsidRPr="007E153F">
              <w:rPr>
                <w:rFonts w:ascii="ITC Avant Garde" w:hAnsi="ITC Avant Garde"/>
                <w:i/>
                <w:strike/>
                <w:sz w:val="18"/>
                <w:szCs w:val="18"/>
              </w:rPr>
              <w:t>mismo</w:t>
            </w:r>
            <w:r w:rsidRPr="00322C56">
              <w:rPr>
                <w:rFonts w:ascii="ITC Avant Garde" w:hAnsi="ITC Avant Garde"/>
                <w:i/>
                <w:sz w:val="18"/>
                <w:szCs w:val="18"/>
              </w:rPr>
              <w:t xml:space="preserve"> día en que se practiquen y los plazos empezarán a correr a partir del día siguiente, de conformidad con lo dispuesto por el artículo 175 de las Disposiciones Regulatorias.</w:t>
            </w:r>
          </w:p>
        </w:tc>
        <w:tc>
          <w:tcPr>
            <w:tcW w:w="2510" w:type="dxa"/>
            <w:shd w:val="clear" w:color="auto" w:fill="C5E0B3" w:themeFill="accent6" w:themeFillTint="66"/>
          </w:tcPr>
          <w:p w14:paraId="5F2E59B0" w14:textId="77777777" w:rsidR="003F16C9" w:rsidRPr="00F84D32" w:rsidRDefault="003F16C9">
            <w:pPr>
              <w:pStyle w:val="Default"/>
              <w:spacing w:after="120"/>
              <w:jc w:val="both"/>
              <w:rPr>
                <w:rFonts w:ascii="ITC Avant Garde" w:hAnsi="ITC Avant Garde"/>
                <w:i/>
                <w:sz w:val="18"/>
                <w:szCs w:val="18"/>
              </w:rPr>
            </w:pPr>
            <w:r w:rsidRPr="00F84D32">
              <w:rPr>
                <w:rFonts w:ascii="ITC Avant Garde" w:hAnsi="ITC Avant Garde"/>
                <w:i/>
                <w:sz w:val="18"/>
                <w:szCs w:val="18"/>
              </w:rPr>
              <w:lastRenderedPageBreak/>
              <w:t>La redacción de los artículos que se mencionan, crean incertidumbre legal en los gobernados.</w:t>
            </w:r>
          </w:p>
          <w:p w14:paraId="10339ED0" w14:textId="77777777" w:rsidR="003F16C9" w:rsidRPr="00F84D32" w:rsidRDefault="003F16C9">
            <w:pPr>
              <w:pStyle w:val="Default"/>
              <w:spacing w:after="120"/>
              <w:jc w:val="both"/>
              <w:rPr>
                <w:rFonts w:ascii="ITC Avant Garde" w:hAnsi="ITC Avant Garde"/>
                <w:i/>
                <w:sz w:val="18"/>
                <w:szCs w:val="18"/>
              </w:rPr>
            </w:pPr>
            <w:r w:rsidRPr="00F84D32">
              <w:rPr>
                <w:rFonts w:ascii="ITC Avant Garde" w:hAnsi="ITC Avant Garde"/>
                <w:i/>
                <w:sz w:val="18"/>
                <w:szCs w:val="18"/>
              </w:rPr>
              <w:t>Las notificaciones se entienden practicadas desde que están disponibles en el SEPDAI lo que no resulta acorde con el artículo 16 Constitucional pues las notificaciones deben surtir sus efectos una vez que se hayan hecho del conocimiento del gobernado.</w:t>
            </w:r>
          </w:p>
          <w:p w14:paraId="27605E4A" w14:textId="77777777" w:rsidR="003F16C9" w:rsidRDefault="003F16C9">
            <w:pPr>
              <w:pStyle w:val="Default"/>
              <w:spacing w:after="120"/>
              <w:jc w:val="both"/>
              <w:rPr>
                <w:rFonts w:ascii="ITC Avant Garde" w:hAnsi="ITC Avant Garde"/>
                <w:i/>
                <w:sz w:val="18"/>
                <w:szCs w:val="18"/>
              </w:rPr>
            </w:pPr>
            <w:r w:rsidRPr="00F84D32">
              <w:rPr>
                <w:rFonts w:ascii="ITC Avant Garde" w:hAnsi="ITC Avant Garde"/>
                <w:i/>
                <w:sz w:val="18"/>
                <w:szCs w:val="18"/>
              </w:rPr>
              <w:t>El hecho de que la notificación se entienda practicada cuando esté disponible en el SEPDAI, no garantiza que efectivamente el denunciante ha tenido conocimiento del acto. Incluso, el envío de una alerta, tampoco lo garantiza.</w:t>
            </w:r>
          </w:p>
          <w:p w14:paraId="370E16B9" w14:textId="77777777" w:rsidR="003F16C9" w:rsidRPr="00F84D32" w:rsidRDefault="003F16C9">
            <w:pPr>
              <w:pStyle w:val="Default"/>
              <w:spacing w:after="120"/>
              <w:jc w:val="both"/>
              <w:rPr>
                <w:rFonts w:ascii="ITC Avant Garde" w:hAnsi="ITC Avant Garde"/>
                <w:i/>
                <w:sz w:val="18"/>
                <w:szCs w:val="18"/>
              </w:rPr>
            </w:pPr>
            <w:r w:rsidRPr="00F84D32">
              <w:rPr>
                <w:rFonts w:ascii="ITC Avant Garde" w:hAnsi="ITC Avant Garde"/>
                <w:i/>
                <w:sz w:val="18"/>
                <w:szCs w:val="18"/>
              </w:rPr>
              <w:t xml:space="preserve">En otras materias, por </w:t>
            </w:r>
            <w:r w:rsidRPr="00777B48">
              <w:rPr>
                <w:rFonts w:ascii="ITC Avant Garde" w:hAnsi="ITC Avant Garde"/>
                <w:i/>
                <w:sz w:val="18"/>
                <w:szCs w:val="18"/>
              </w:rPr>
              <w:t>ejemplo,</w:t>
            </w:r>
            <w:r w:rsidRPr="00F84D32">
              <w:rPr>
                <w:rFonts w:ascii="ITC Avant Garde" w:hAnsi="ITC Avant Garde"/>
                <w:i/>
                <w:sz w:val="18"/>
                <w:szCs w:val="18"/>
              </w:rPr>
              <w:t xml:space="preserve"> en el Tribunal Federal de Justicia Administrativa, para las notificaciones del juicio en </w:t>
            </w:r>
            <w:r w:rsidRPr="00F84D32">
              <w:rPr>
                <w:rFonts w:ascii="ITC Avant Garde" w:hAnsi="ITC Avant Garde"/>
                <w:i/>
                <w:sz w:val="18"/>
                <w:szCs w:val="18"/>
              </w:rPr>
              <w:lastRenderedPageBreak/>
              <w:t xml:space="preserve">línea, se envía un correo electrónico a la parte ene l </w:t>
            </w:r>
            <w:r w:rsidR="006814D0" w:rsidRPr="006814D0">
              <w:rPr>
                <w:rFonts w:ascii="ITC Avant Garde" w:hAnsi="ITC Avant Garde"/>
                <w:sz w:val="18"/>
                <w:szCs w:val="18"/>
              </w:rPr>
              <w:t>[sic]</w:t>
            </w:r>
            <w:r w:rsidR="006814D0">
              <w:rPr>
                <w:rFonts w:ascii="ITC Avant Garde" w:hAnsi="ITC Avant Garde"/>
                <w:i/>
                <w:sz w:val="18"/>
                <w:szCs w:val="18"/>
              </w:rPr>
              <w:t xml:space="preserve"> </w:t>
            </w:r>
            <w:r w:rsidRPr="00F84D32">
              <w:rPr>
                <w:rFonts w:ascii="ITC Avant Garde" w:hAnsi="ITC Avant Garde"/>
                <w:i/>
                <w:sz w:val="18"/>
                <w:szCs w:val="18"/>
              </w:rPr>
              <w:t>juicio avisándole la existencia de una notificación para que ingrese al expediente electrónico en un plazo de 3 días hábiles, y una vez ingresado al sistema, se genera un acuse de recibo, con el cual, se entiende hacha</w:t>
            </w:r>
            <w:r w:rsidR="006814D0">
              <w:rPr>
                <w:rFonts w:ascii="ITC Avant Garde" w:hAnsi="ITC Avant Garde"/>
                <w:i/>
                <w:sz w:val="18"/>
                <w:szCs w:val="18"/>
              </w:rPr>
              <w:t xml:space="preserve"> </w:t>
            </w:r>
            <w:r w:rsidR="006814D0" w:rsidRPr="006814D0">
              <w:rPr>
                <w:rFonts w:ascii="ITC Avant Garde" w:hAnsi="ITC Avant Garde"/>
                <w:sz w:val="18"/>
                <w:szCs w:val="18"/>
              </w:rPr>
              <w:t>[sic]</w:t>
            </w:r>
            <w:r w:rsidR="006814D0">
              <w:rPr>
                <w:rFonts w:ascii="ITC Avant Garde" w:hAnsi="ITC Avant Garde"/>
                <w:i/>
                <w:sz w:val="18"/>
                <w:szCs w:val="18"/>
              </w:rPr>
              <w:t xml:space="preserve"> </w:t>
            </w:r>
            <w:r w:rsidRPr="00F84D32">
              <w:rPr>
                <w:rFonts w:ascii="ITC Avant Garde" w:hAnsi="ITC Avant Garde"/>
                <w:i/>
                <w:sz w:val="18"/>
                <w:szCs w:val="18"/>
              </w:rPr>
              <w:t>la notificación (artículo 58-N de la Ley Federal de Procedimiento Contencioso Administrativo).</w:t>
            </w:r>
          </w:p>
          <w:p w14:paraId="328A88E1" w14:textId="77777777" w:rsidR="003F16C9" w:rsidRPr="00F84D32" w:rsidRDefault="003F16C9">
            <w:pPr>
              <w:pStyle w:val="Default"/>
              <w:spacing w:after="120"/>
              <w:jc w:val="both"/>
              <w:rPr>
                <w:rFonts w:ascii="ITC Avant Garde" w:hAnsi="ITC Avant Garde"/>
                <w:i/>
                <w:sz w:val="18"/>
                <w:szCs w:val="18"/>
              </w:rPr>
            </w:pPr>
            <w:r w:rsidRPr="00F84D32">
              <w:rPr>
                <w:rFonts w:ascii="ITC Avant Garde" w:hAnsi="ITC Avant Garde"/>
                <w:i/>
                <w:sz w:val="18"/>
                <w:szCs w:val="18"/>
              </w:rPr>
              <w:t>El hecho de que se notifique también de manera personal el acto, tampoco subsana la deficiencia que se comenta, pues para términos de ley, la disponibilidad en SEPDAI es la que determina la eficacia de la notificación.</w:t>
            </w:r>
          </w:p>
          <w:p w14:paraId="07B1F922" w14:textId="77777777" w:rsidR="003F16C9" w:rsidRPr="00322C56" w:rsidRDefault="003F16C9">
            <w:pPr>
              <w:pStyle w:val="Default"/>
              <w:spacing w:after="120"/>
              <w:jc w:val="both"/>
              <w:rPr>
                <w:rFonts w:ascii="ITC Avant Garde" w:hAnsi="ITC Avant Garde"/>
                <w:i/>
                <w:sz w:val="18"/>
                <w:szCs w:val="18"/>
              </w:rPr>
            </w:pPr>
            <w:r w:rsidRPr="00F84D32">
              <w:rPr>
                <w:rFonts w:ascii="ITC Avant Garde" w:hAnsi="ITC Avant Garde"/>
                <w:i/>
                <w:sz w:val="18"/>
                <w:szCs w:val="18"/>
              </w:rPr>
              <w:t>Incluso, la existencia de diversos medios de notificación, también genera incertidumbre en los gobernados, salvo que en el mejor de los casos, todas ellas se llevaran a cabo en el mismo día.</w:t>
            </w:r>
          </w:p>
        </w:tc>
        <w:tc>
          <w:tcPr>
            <w:tcW w:w="2552" w:type="dxa"/>
            <w:shd w:val="clear" w:color="auto" w:fill="C5E0B3" w:themeFill="accent6" w:themeFillTint="66"/>
          </w:tcPr>
          <w:p w14:paraId="51AF3536" w14:textId="77777777" w:rsidR="003F16C9" w:rsidRPr="00CC0C98" w:rsidRDefault="003F16C9">
            <w:pPr>
              <w:pStyle w:val="Default"/>
              <w:spacing w:after="120"/>
              <w:jc w:val="both"/>
              <w:rPr>
                <w:rFonts w:ascii="ITC Avant Garde" w:hAnsi="ITC Avant Garde"/>
                <w:i/>
                <w:sz w:val="18"/>
                <w:szCs w:val="18"/>
              </w:rPr>
            </w:pPr>
            <w:r w:rsidRPr="00CC0C98">
              <w:rPr>
                <w:rFonts w:ascii="ITC Avant Garde" w:hAnsi="ITC Avant Garde"/>
                <w:i/>
                <w:sz w:val="18"/>
                <w:szCs w:val="18"/>
              </w:rPr>
              <w:lastRenderedPageBreak/>
              <w:t>La previsión para las notificaciones y el surtimiento de efectos a través del SEPDAI, no tiene sustento jurídico, por lo que podría generar nulidad de las actuaciones.</w:t>
            </w:r>
          </w:p>
          <w:p w14:paraId="49994ABC" w14:textId="77777777" w:rsidR="003F16C9" w:rsidRDefault="003F16C9">
            <w:pPr>
              <w:pStyle w:val="Default"/>
              <w:spacing w:after="120"/>
              <w:jc w:val="both"/>
              <w:rPr>
                <w:rFonts w:ascii="ITC Avant Garde" w:hAnsi="ITC Avant Garde"/>
                <w:i/>
                <w:sz w:val="18"/>
                <w:szCs w:val="18"/>
              </w:rPr>
            </w:pPr>
            <w:r w:rsidRPr="00CC0C98">
              <w:rPr>
                <w:rFonts w:ascii="ITC Avant Garde" w:hAnsi="ITC Avant Garde"/>
                <w:i/>
                <w:sz w:val="18"/>
                <w:szCs w:val="18"/>
              </w:rPr>
              <w:t>La notificación prevista en estos lineamientos, no está prevista en el artículo 165 de las Disposiciones Regulatorias de la Ley Federal de Competencia Económica para los sectores de telecomunicaciones y radiodifusión, que a continuación se transcribe para pronta referencia:</w:t>
            </w:r>
          </w:p>
          <w:p w14:paraId="18D4DA47" w14:textId="77777777" w:rsidR="003F16C9" w:rsidRDefault="003F16C9">
            <w:pPr>
              <w:pStyle w:val="Default"/>
              <w:spacing w:after="120"/>
              <w:ind w:left="314" w:right="459"/>
              <w:jc w:val="both"/>
              <w:rPr>
                <w:rFonts w:ascii="ITC Avant Garde" w:hAnsi="ITC Avant Garde"/>
                <w:i/>
                <w:sz w:val="18"/>
                <w:szCs w:val="18"/>
              </w:rPr>
            </w:pPr>
            <w:r w:rsidRPr="00CC0C98">
              <w:rPr>
                <w:rFonts w:ascii="ITC Avant Garde" w:hAnsi="ITC Avant Garde"/>
                <w:i/>
                <w:sz w:val="18"/>
                <w:szCs w:val="18"/>
              </w:rPr>
              <w:t>“Artículo 165. Las notificaciones que efectúe el Instituto pueden realizarse:</w:t>
            </w:r>
          </w:p>
          <w:p w14:paraId="38C69050" w14:textId="77777777" w:rsidR="003F16C9" w:rsidRDefault="003F16C9">
            <w:pPr>
              <w:pStyle w:val="Default"/>
              <w:spacing w:after="120"/>
              <w:ind w:left="314" w:right="459"/>
              <w:jc w:val="both"/>
              <w:rPr>
                <w:rFonts w:ascii="ITC Avant Garde" w:hAnsi="ITC Avant Garde"/>
                <w:i/>
                <w:sz w:val="18"/>
                <w:szCs w:val="18"/>
              </w:rPr>
            </w:pPr>
            <w:r w:rsidRPr="00CC0C98">
              <w:rPr>
                <w:rFonts w:ascii="ITC Avant Garde" w:hAnsi="ITC Avant Garde"/>
                <w:i/>
                <w:sz w:val="18"/>
                <w:szCs w:val="18"/>
              </w:rPr>
              <w:t xml:space="preserve"> I. Personalmente;</w:t>
            </w:r>
          </w:p>
          <w:p w14:paraId="349B2195" w14:textId="77777777" w:rsidR="003F16C9" w:rsidRDefault="003F16C9">
            <w:pPr>
              <w:pStyle w:val="Default"/>
              <w:spacing w:after="120"/>
              <w:ind w:left="314" w:right="459"/>
              <w:jc w:val="both"/>
              <w:rPr>
                <w:rFonts w:ascii="ITC Avant Garde" w:hAnsi="ITC Avant Garde"/>
                <w:i/>
                <w:sz w:val="18"/>
                <w:szCs w:val="18"/>
              </w:rPr>
            </w:pPr>
            <w:r w:rsidRPr="00CC0C98">
              <w:rPr>
                <w:rFonts w:ascii="ITC Avant Garde" w:hAnsi="ITC Avant Garde"/>
                <w:i/>
                <w:sz w:val="18"/>
                <w:szCs w:val="18"/>
              </w:rPr>
              <w:t xml:space="preserve"> II. Por lista; </w:t>
            </w:r>
          </w:p>
          <w:p w14:paraId="3E6426C6" w14:textId="77777777" w:rsidR="003F16C9" w:rsidRDefault="003F16C9">
            <w:pPr>
              <w:pStyle w:val="Default"/>
              <w:spacing w:after="120"/>
              <w:ind w:left="314" w:right="459"/>
              <w:jc w:val="both"/>
              <w:rPr>
                <w:rFonts w:ascii="ITC Avant Garde" w:hAnsi="ITC Avant Garde"/>
                <w:i/>
                <w:sz w:val="18"/>
                <w:szCs w:val="18"/>
              </w:rPr>
            </w:pPr>
            <w:r w:rsidRPr="00CC0C98">
              <w:rPr>
                <w:rFonts w:ascii="ITC Avant Garde" w:hAnsi="ITC Avant Garde"/>
                <w:i/>
                <w:sz w:val="18"/>
                <w:szCs w:val="18"/>
              </w:rPr>
              <w:t xml:space="preserve">III. Por correo certificado o mensajería con acuse de recibo, cuando lo </w:t>
            </w:r>
            <w:r w:rsidRPr="00CC0C98">
              <w:rPr>
                <w:rFonts w:ascii="ITC Avant Garde" w:hAnsi="ITC Avant Garde"/>
                <w:i/>
                <w:sz w:val="18"/>
                <w:szCs w:val="18"/>
              </w:rPr>
              <w:lastRenderedPageBreak/>
              <w:t>ordene expresamente el Instituto, y</w:t>
            </w:r>
          </w:p>
          <w:p w14:paraId="23304503" w14:textId="77777777" w:rsidR="003F16C9" w:rsidRDefault="003F16C9">
            <w:pPr>
              <w:pStyle w:val="Default"/>
              <w:spacing w:after="120"/>
              <w:ind w:left="314" w:right="459"/>
              <w:jc w:val="both"/>
              <w:rPr>
                <w:rFonts w:ascii="ITC Avant Garde" w:hAnsi="ITC Avant Garde"/>
                <w:i/>
                <w:sz w:val="18"/>
                <w:szCs w:val="18"/>
              </w:rPr>
            </w:pPr>
            <w:r w:rsidRPr="00CC0C98">
              <w:rPr>
                <w:rFonts w:ascii="ITC Avant Garde" w:hAnsi="ITC Avant Garde"/>
                <w:i/>
                <w:sz w:val="18"/>
                <w:szCs w:val="18"/>
              </w:rPr>
              <w:t xml:space="preserve"> IV. A las autoridades, mediante oficio entregado por mensajero o correo certificado con acuse de recibo, o cualquier otro medio por el que se pueda comprobar fehacientemente su recepción. </w:t>
            </w:r>
          </w:p>
          <w:p w14:paraId="0DD437B8" w14:textId="77777777" w:rsidR="003F16C9" w:rsidRDefault="003F16C9">
            <w:pPr>
              <w:pStyle w:val="Default"/>
              <w:spacing w:after="120"/>
              <w:ind w:left="314" w:right="459"/>
              <w:jc w:val="both"/>
              <w:rPr>
                <w:rFonts w:ascii="ITC Avant Garde" w:hAnsi="ITC Avant Garde"/>
                <w:i/>
                <w:sz w:val="18"/>
                <w:szCs w:val="18"/>
              </w:rPr>
            </w:pPr>
            <w:r w:rsidRPr="00CC0C98">
              <w:rPr>
                <w:rFonts w:ascii="ITC Avant Garde" w:hAnsi="ITC Avant Garde"/>
                <w:i/>
                <w:sz w:val="18"/>
                <w:szCs w:val="18"/>
              </w:rPr>
              <w:t xml:space="preserve">Las notificaciones personales pueden realizarse en los términos de la fracción III de este artículo cuando el interesado lo solicite y adjunte el comprobante de pago respectivo.” </w:t>
            </w:r>
          </w:p>
          <w:p w14:paraId="216A4717" w14:textId="77777777" w:rsidR="003F16C9" w:rsidRDefault="003F16C9">
            <w:pPr>
              <w:pStyle w:val="Default"/>
              <w:spacing w:after="120"/>
              <w:jc w:val="both"/>
              <w:rPr>
                <w:rFonts w:ascii="ITC Avant Garde" w:hAnsi="ITC Avant Garde"/>
                <w:i/>
                <w:sz w:val="18"/>
                <w:szCs w:val="18"/>
              </w:rPr>
            </w:pPr>
            <w:r w:rsidRPr="00CC0C98">
              <w:rPr>
                <w:rFonts w:ascii="ITC Avant Garde" w:hAnsi="ITC Avant Garde"/>
                <w:i/>
                <w:sz w:val="18"/>
                <w:szCs w:val="18"/>
              </w:rPr>
              <w:t>En ese sentido, se sugiere hacer las adecuaciones que resulten oportunas y pertinentes a las Disposiciones Regulatorias de la Ley Federal de Competencia Económica para los sectores de telecomunicaciones y radiodifusión</w:t>
            </w:r>
            <w:r>
              <w:rPr>
                <w:rFonts w:ascii="ITC Avant Garde" w:hAnsi="ITC Avant Garde"/>
                <w:i/>
                <w:sz w:val="18"/>
                <w:szCs w:val="18"/>
              </w:rPr>
              <w:t>.</w:t>
            </w:r>
          </w:p>
          <w:p w14:paraId="05360E82" w14:textId="77777777" w:rsidR="003F16C9" w:rsidRPr="00F84D32" w:rsidRDefault="003F16C9">
            <w:pPr>
              <w:pStyle w:val="Default"/>
              <w:spacing w:after="120"/>
              <w:jc w:val="both"/>
              <w:rPr>
                <w:rFonts w:ascii="ITC Avant Garde" w:hAnsi="ITC Avant Garde"/>
                <w:i/>
                <w:sz w:val="18"/>
                <w:szCs w:val="18"/>
              </w:rPr>
            </w:pPr>
          </w:p>
        </w:tc>
      </w:tr>
    </w:tbl>
    <w:p w14:paraId="2CD2B1D1" w14:textId="77777777" w:rsidR="00CC0C98" w:rsidRPr="00D26F15" w:rsidRDefault="00CC0C98" w:rsidP="00C43007">
      <w:pPr>
        <w:spacing w:after="120" w:line="240" w:lineRule="auto"/>
        <w:jc w:val="both"/>
        <w:rPr>
          <w:rFonts w:ascii="ITC Avant Garde" w:hAnsi="ITC Avant Garde"/>
        </w:rPr>
      </w:pPr>
    </w:p>
    <w:p w14:paraId="29FC680F" w14:textId="77777777" w:rsidR="00353E8D" w:rsidRDefault="00353E8D" w:rsidP="00C43007">
      <w:pPr>
        <w:spacing w:after="120" w:line="240" w:lineRule="auto"/>
        <w:jc w:val="both"/>
        <w:rPr>
          <w:rFonts w:ascii="ITC Avant Garde" w:hAnsi="ITC Avant Garde"/>
          <w:b/>
        </w:rPr>
      </w:pPr>
      <w:r>
        <w:rPr>
          <w:rFonts w:ascii="ITC Avant Garde" w:hAnsi="ITC Avant Garde"/>
          <w:b/>
        </w:rPr>
        <w:t>Consideraciones</w:t>
      </w:r>
    </w:p>
    <w:p w14:paraId="111DD526" w14:textId="77777777" w:rsidR="00167664" w:rsidRDefault="000A61F8" w:rsidP="00C43007">
      <w:pPr>
        <w:spacing w:after="120" w:line="240" w:lineRule="auto"/>
        <w:jc w:val="both"/>
        <w:rPr>
          <w:rFonts w:ascii="ITC Avant Garde" w:hAnsi="ITC Avant Garde"/>
        </w:rPr>
      </w:pPr>
      <w:r w:rsidRPr="000A61F8">
        <w:rPr>
          <w:rFonts w:ascii="ITC Avant Garde" w:hAnsi="ITC Avant Garde"/>
        </w:rPr>
        <w:t>En atención a los comentarios anteriores, se realiza un cambio en la redacción del artículo 9 del Anteproyecto de Lineamientos</w:t>
      </w:r>
      <w:r>
        <w:rPr>
          <w:rFonts w:ascii="ITC Avant Garde" w:hAnsi="ITC Avant Garde"/>
        </w:rPr>
        <w:t>, de acuerdo con lo siguiente:</w:t>
      </w:r>
    </w:p>
    <w:tbl>
      <w:tblPr>
        <w:tblStyle w:val="Tablaconcuadrcula"/>
        <w:tblW w:w="0" w:type="auto"/>
        <w:jc w:val="center"/>
        <w:tblLook w:val="04A0" w:firstRow="1" w:lastRow="0" w:firstColumn="1" w:lastColumn="0" w:noHBand="0" w:noVBand="1"/>
      </w:tblPr>
      <w:tblGrid>
        <w:gridCol w:w="4394"/>
        <w:gridCol w:w="4394"/>
      </w:tblGrid>
      <w:tr w:rsidR="00CE7EC6" w:rsidRPr="005F7866" w14:paraId="1E5AB0F2" w14:textId="77777777" w:rsidTr="00C42ED0">
        <w:trPr>
          <w:jc w:val="center"/>
        </w:trPr>
        <w:tc>
          <w:tcPr>
            <w:tcW w:w="4394" w:type="dxa"/>
            <w:shd w:val="clear" w:color="auto" w:fill="538135" w:themeFill="accent6" w:themeFillShade="BF"/>
          </w:tcPr>
          <w:p w14:paraId="106E276E" w14:textId="3D7AA628" w:rsidR="00CE7EC6" w:rsidRPr="005F7866" w:rsidRDefault="00CE7EC6" w:rsidP="00C43007">
            <w:pPr>
              <w:spacing w:after="12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lastRenderedPageBreak/>
              <w:t>Anteproyecto</w:t>
            </w:r>
            <w:r>
              <w:rPr>
                <w:rFonts w:ascii="ITC Avant Garde" w:hAnsi="ITC Avant Garde"/>
                <w:b/>
                <w:color w:val="FFFFFF" w:themeColor="background1"/>
                <w:sz w:val="18"/>
                <w:szCs w:val="18"/>
              </w:rPr>
              <w:t xml:space="preserve"> de Lineamientos</w:t>
            </w:r>
          </w:p>
        </w:tc>
        <w:tc>
          <w:tcPr>
            <w:tcW w:w="4394" w:type="dxa"/>
            <w:shd w:val="clear" w:color="auto" w:fill="538135" w:themeFill="accent6" w:themeFillShade="BF"/>
          </w:tcPr>
          <w:p w14:paraId="6CEB6A52" w14:textId="6A36CCAA" w:rsidR="00CE7EC6" w:rsidRPr="005F7866" w:rsidRDefault="00CE7EC6" w:rsidP="00C43007">
            <w:pPr>
              <w:spacing w:after="120" w:line="240" w:lineRule="auto"/>
              <w:jc w:val="center"/>
              <w:rPr>
                <w:rFonts w:ascii="ITC Avant Garde" w:hAnsi="ITC Avant Garde"/>
                <w:b/>
                <w:color w:val="FFFFFF" w:themeColor="background1"/>
                <w:sz w:val="18"/>
                <w:szCs w:val="18"/>
              </w:rPr>
            </w:pPr>
            <w:r>
              <w:rPr>
                <w:rFonts w:ascii="ITC Avant Garde" w:hAnsi="ITC Avant Garde"/>
                <w:b/>
                <w:color w:val="FFFFFF" w:themeColor="background1"/>
                <w:sz w:val="18"/>
                <w:szCs w:val="18"/>
              </w:rPr>
              <w:t>Modificación al Anteproyecto de Lineamientos</w:t>
            </w:r>
            <w:r w:rsidRPr="005F7866">
              <w:rPr>
                <w:rStyle w:val="Refdenotaalpie"/>
                <w:rFonts w:ascii="ITC Avant Garde" w:hAnsi="ITC Avant Garde"/>
                <w:b/>
                <w:color w:val="FFFFFF" w:themeColor="background1"/>
                <w:sz w:val="18"/>
                <w:szCs w:val="18"/>
              </w:rPr>
              <w:footnoteReference w:id="4"/>
            </w:r>
          </w:p>
        </w:tc>
      </w:tr>
      <w:tr w:rsidR="00ED636F" w:rsidRPr="005F7866" w14:paraId="2667D22F" w14:textId="77777777" w:rsidTr="00C42ED0">
        <w:trPr>
          <w:jc w:val="center"/>
        </w:trPr>
        <w:tc>
          <w:tcPr>
            <w:tcW w:w="4394" w:type="dxa"/>
            <w:shd w:val="clear" w:color="auto" w:fill="C5E0B3" w:themeFill="accent6" w:themeFillTint="66"/>
          </w:tcPr>
          <w:p w14:paraId="1842EFC9" w14:textId="77777777" w:rsidR="00ED636F" w:rsidRPr="00ED636F" w:rsidRDefault="00ED636F">
            <w:pPr>
              <w:pStyle w:val="Default"/>
              <w:spacing w:after="120"/>
              <w:jc w:val="both"/>
              <w:rPr>
                <w:rFonts w:ascii="ITC Avant Garde" w:hAnsi="ITC Avant Garde"/>
                <w:color w:val="auto"/>
                <w:sz w:val="18"/>
                <w:szCs w:val="18"/>
              </w:rPr>
            </w:pPr>
            <w:r w:rsidRPr="00ED636F">
              <w:rPr>
                <w:rFonts w:ascii="ITC Avant Garde" w:hAnsi="ITC Avant Garde"/>
                <w:b/>
                <w:color w:val="auto"/>
                <w:sz w:val="18"/>
                <w:szCs w:val="18"/>
              </w:rPr>
              <w:t>Artículo 9.</w:t>
            </w:r>
            <w:r w:rsidRPr="00ED636F">
              <w:rPr>
                <w:rFonts w:ascii="ITC Avant Garde" w:hAnsi="ITC Avant Garde"/>
                <w:color w:val="auto"/>
                <w:sz w:val="18"/>
                <w:szCs w:val="18"/>
              </w:rPr>
              <w:t xml:space="preserve"> Las notificaciones se tendrán por practicadas a partir de que estén disponibles en el SEPDAI.</w:t>
            </w:r>
          </w:p>
          <w:p w14:paraId="5AF5AA84" w14:textId="77777777" w:rsidR="00ED636F" w:rsidRPr="0043493E" w:rsidRDefault="00ED636F">
            <w:pPr>
              <w:pStyle w:val="Default"/>
              <w:spacing w:after="120"/>
              <w:jc w:val="both"/>
              <w:rPr>
                <w:rFonts w:ascii="ITC Avant Garde" w:hAnsi="ITC Avant Garde"/>
                <w:sz w:val="18"/>
                <w:szCs w:val="18"/>
              </w:rPr>
            </w:pPr>
            <w:r w:rsidRPr="00ED636F">
              <w:rPr>
                <w:rFonts w:ascii="ITC Avant Garde" w:hAnsi="ITC Avant Garde"/>
                <w:sz w:val="18"/>
                <w:szCs w:val="18"/>
              </w:rPr>
              <w:t xml:space="preserve">Las notificaciones practicadas a través del SEPDAI surtirán sus efectos el mismo día en que se practiquen </w:t>
            </w:r>
            <w:r w:rsidRPr="00ED636F">
              <w:rPr>
                <w:rFonts w:ascii="ITC Avant Garde" w:hAnsi="ITC Avant Garde"/>
                <w:color w:val="auto"/>
                <w:sz w:val="18"/>
                <w:szCs w:val="18"/>
              </w:rPr>
              <w:t xml:space="preserve">y los plazos empezarán a correr a partir del día siguiente, </w:t>
            </w:r>
            <w:r w:rsidRPr="00ED636F">
              <w:rPr>
                <w:rFonts w:ascii="ITC Avant Garde" w:hAnsi="ITC Avant Garde"/>
                <w:sz w:val="18"/>
                <w:szCs w:val="18"/>
              </w:rPr>
              <w:t xml:space="preserve">de conformidad con lo </w:t>
            </w:r>
            <w:r w:rsidRPr="00ED636F">
              <w:rPr>
                <w:rFonts w:ascii="ITC Avant Garde" w:hAnsi="ITC Avant Garde"/>
                <w:color w:val="auto"/>
                <w:sz w:val="18"/>
                <w:szCs w:val="18"/>
              </w:rPr>
              <w:t>dispuesto por el artículo 175 de las Disposiciones Regulatorias</w:t>
            </w:r>
            <w:r w:rsidRPr="00ED636F">
              <w:rPr>
                <w:rFonts w:ascii="ITC Avant Garde" w:hAnsi="ITC Avant Garde"/>
                <w:sz w:val="18"/>
                <w:szCs w:val="18"/>
              </w:rPr>
              <w:t>.</w:t>
            </w:r>
          </w:p>
        </w:tc>
        <w:tc>
          <w:tcPr>
            <w:tcW w:w="4394" w:type="dxa"/>
            <w:shd w:val="clear" w:color="auto" w:fill="C5E0B3" w:themeFill="accent6" w:themeFillTint="66"/>
          </w:tcPr>
          <w:p w14:paraId="1D9B6225" w14:textId="77777777" w:rsidR="007C7E9A" w:rsidRPr="007D5EB6" w:rsidRDefault="00ED636F">
            <w:pPr>
              <w:pStyle w:val="Default"/>
              <w:spacing w:after="120"/>
              <w:jc w:val="both"/>
              <w:rPr>
                <w:rFonts w:ascii="ITC Avant Garde" w:hAnsi="ITC Avant Garde"/>
                <w:strike/>
                <w:color w:val="auto"/>
                <w:sz w:val="18"/>
                <w:szCs w:val="18"/>
                <w:u w:val="single"/>
              </w:rPr>
            </w:pPr>
            <w:r w:rsidRPr="00ED636F">
              <w:rPr>
                <w:rFonts w:ascii="ITC Avant Garde" w:hAnsi="ITC Avant Garde"/>
                <w:b/>
                <w:color w:val="auto"/>
                <w:sz w:val="18"/>
                <w:szCs w:val="18"/>
              </w:rPr>
              <w:t>Artículo 9.</w:t>
            </w:r>
            <w:r w:rsidRPr="00ED636F">
              <w:rPr>
                <w:rFonts w:ascii="ITC Avant Garde" w:hAnsi="ITC Avant Garde"/>
                <w:color w:val="auto"/>
                <w:sz w:val="18"/>
                <w:szCs w:val="18"/>
              </w:rPr>
              <w:t xml:space="preserve"> Las notificaciones se tendrán por practicadas</w:t>
            </w:r>
            <w:r w:rsidR="007C7E9A">
              <w:rPr>
                <w:rFonts w:ascii="ITC Avant Garde" w:hAnsi="ITC Avant Garde"/>
                <w:color w:val="auto"/>
                <w:sz w:val="18"/>
                <w:szCs w:val="18"/>
              </w:rPr>
              <w:t xml:space="preserve"> </w:t>
            </w:r>
            <w:r w:rsidRPr="007C7E9A">
              <w:rPr>
                <w:rFonts w:ascii="ITC Avant Garde" w:hAnsi="ITC Avant Garde"/>
                <w:strike/>
                <w:color w:val="auto"/>
                <w:sz w:val="18"/>
                <w:szCs w:val="18"/>
              </w:rPr>
              <w:t>a partir de que estén disponibles en el SEPDAI</w:t>
            </w:r>
            <w:r w:rsidRPr="00AC4858">
              <w:rPr>
                <w:rFonts w:ascii="ITC Avant Garde" w:hAnsi="ITC Avant Garde"/>
                <w:color w:val="auto"/>
                <w:sz w:val="18"/>
                <w:szCs w:val="18"/>
              </w:rPr>
              <w:t>.</w:t>
            </w:r>
            <w:r w:rsidR="007C7E9A" w:rsidRPr="00AC4858">
              <w:rPr>
                <w:rFonts w:ascii="ITC Avant Garde" w:hAnsi="ITC Avant Garde"/>
                <w:color w:val="auto"/>
                <w:sz w:val="18"/>
                <w:szCs w:val="18"/>
              </w:rPr>
              <w:t xml:space="preserve"> </w:t>
            </w:r>
            <w:r w:rsidR="00AC4858" w:rsidRPr="007D5EB6">
              <w:rPr>
                <w:rFonts w:ascii="ITC Avant Garde" w:hAnsi="ITC Avant Garde"/>
                <w:color w:val="auto"/>
                <w:sz w:val="18"/>
                <w:szCs w:val="18"/>
                <w:u w:val="single"/>
              </w:rPr>
              <w:t>e</w:t>
            </w:r>
            <w:r w:rsidR="007C7E9A" w:rsidRPr="007D5EB6">
              <w:rPr>
                <w:rFonts w:ascii="ITC Avant Garde" w:hAnsi="ITC Avant Garde"/>
                <w:color w:val="auto"/>
                <w:sz w:val="18"/>
                <w:szCs w:val="18"/>
                <w:u w:val="single"/>
              </w:rPr>
              <w:t xml:space="preserve">n el momento en el que </w:t>
            </w:r>
            <w:r w:rsidR="007D5EB6" w:rsidRPr="007D5EB6">
              <w:rPr>
                <w:rFonts w:ascii="ITC Avant Garde" w:hAnsi="ITC Avant Garde" w:cs="Arial"/>
                <w:sz w:val="18"/>
                <w:szCs w:val="18"/>
                <w:u w:val="single"/>
              </w:rPr>
              <w:t xml:space="preserve">se haya generado </w:t>
            </w:r>
            <w:r w:rsidR="003F74B6" w:rsidRPr="007D5EB6">
              <w:rPr>
                <w:rFonts w:ascii="ITC Avant Garde" w:hAnsi="ITC Avant Garde" w:cs="Arial"/>
                <w:sz w:val="18"/>
                <w:szCs w:val="18"/>
                <w:u w:val="single"/>
              </w:rPr>
              <w:t>el acuse de la notificación respectiva</w:t>
            </w:r>
            <w:r w:rsidR="00680B3F">
              <w:rPr>
                <w:rFonts w:ascii="ITC Avant Garde" w:hAnsi="ITC Avant Garde" w:cs="Arial"/>
                <w:sz w:val="18"/>
                <w:szCs w:val="18"/>
                <w:u w:val="single"/>
              </w:rPr>
              <w:t xml:space="preserve">, o al día </w:t>
            </w:r>
            <w:r w:rsidR="005D3D35">
              <w:rPr>
                <w:rFonts w:ascii="ITC Avant Garde" w:hAnsi="ITC Avant Garde" w:cs="Arial"/>
                <w:sz w:val="18"/>
                <w:szCs w:val="18"/>
                <w:u w:val="single"/>
              </w:rPr>
              <w:t xml:space="preserve">hábil </w:t>
            </w:r>
            <w:r w:rsidR="00680B3F">
              <w:rPr>
                <w:rFonts w:ascii="ITC Avant Garde" w:hAnsi="ITC Avant Garde" w:cs="Arial"/>
                <w:sz w:val="18"/>
                <w:szCs w:val="18"/>
                <w:u w:val="single"/>
              </w:rPr>
              <w:t xml:space="preserve">siguiente </w:t>
            </w:r>
            <w:r w:rsidR="005D3D35">
              <w:rPr>
                <w:rFonts w:ascii="ITC Avant Garde" w:hAnsi="ITC Avant Garde" w:cs="Arial"/>
                <w:sz w:val="18"/>
                <w:szCs w:val="18"/>
                <w:u w:val="single"/>
              </w:rPr>
              <w:t xml:space="preserve">al </w:t>
            </w:r>
            <w:r w:rsidR="00680B3F">
              <w:rPr>
                <w:rFonts w:ascii="ITC Avant Garde" w:hAnsi="ITC Avant Garde" w:cs="Arial"/>
                <w:sz w:val="18"/>
                <w:szCs w:val="18"/>
                <w:u w:val="single"/>
              </w:rPr>
              <w:t>del vencimiento de</w:t>
            </w:r>
            <w:r w:rsidR="005D3D35">
              <w:rPr>
                <w:rFonts w:ascii="ITC Avant Garde" w:hAnsi="ITC Avant Garde" w:cs="Arial"/>
                <w:sz w:val="18"/>
                <w:szCs w:val="18"/>
                <w:u w:val="single"/>
              </w:rPr>
              <w:t>l plazo al que se refiere el segundo párrafo del artículo 8.</w:t>
            </w:r>
          </w:p>
          <w:p w14:paraId="6D10F743" w14:textId="77777777" w:rsidR="00AB2D6E" w:rsidRPr="007D5EB6" w:rsidRDefault="001E222A" w:rsidP="00C43007">
            <w:pPr>
              <w:spacing w:after="120" w:line="240" w:lineRule="auto"/>
              <w:jc w:val="both"/>
              <w:rPr>
                <w:rFonts w:ascii="ITC Avant Garde" w:hAnsi="ITC Avant Garde" w:cs="Arial"/>
                <w:color w:val="000000"/>
                <w:sz w:val="18"/>
                <w:szCs w:val="18"/>
                <w:u w:val="single"/>
              </w:rPr>
            </w:pPr>
            <w:r>
              <w:rPr>
                <w:rFonts w:ascii="ITC Avant Garde" w:hAnsi="ITC Avant Garde" w:cs="Arial"/>
                <w:color w:val="000000"/>
                <w:sz w:val="18"/>
                <w:szCs w:val="18"/>
                <w:u w:val="single"/>
              </w:rPr>
              <w:t xml:space="preserve">En caso de que la notificación </w:t>
            </w:r>
            <w:r w:rsidR="00807560">
              <w:rPr>
                <w:rFonts w:ascii="ITC Avant Garde" w:hAnsi="ITC Avant Garde" w:cs="Arial"/>
                <w:color w:val="000000"/>
                <w:sz w:val="18"/>
                <w:szCs w:val="18"/>
                <w:u w:val="single"/>
              </w:rPr>
              <w:t xml:space="preserve">comprenda </w:t>
            </w:r>
            <w:r w:rsidR="007D5EB6" w:rsidRPr="007D5EB6">
              <w:rPr>
                <w:rFonts w:ascii="ITC Avant Garde" w:hAnsi="ITC Avant Garde" w:cs="Arial"/>
                <w:color w:val="000000"/>
                <w:sz w:val="18"/>
                <w:szCs w:val="18"/>
                <w:u w:val="single"/>
              </w:rPr>
              <w:t>horas y días inhábiles, se</w:t>
            </w:r>
            <w:r w:rsidR="00180FCB">
              <w:rPr>
                <w:rFonts w:ascii="ITC Avant Garde" w:hAnsi="ITC Avant Garde" w:cs="Arial"/>
                <w:color w:val="000000"/>
                <w:sz w:val="18"/>
                <w:szCs w:val="18"/>
                <w:u w:val="single"/>
              </w:rPr>
              <w:t xml:space="preserve"> considerará realizada</w:t>
            </w:r>
            <w:r w:rsidR="00AB2D6E" w:rsidRPr="007D5EB6">
              <w:rPr>
                <w:rFonts w:ascii="ITC Avant Garde" w:hAnsi="ITC Avant Garde" w:cs="Arial"/>
                <w:color w:val="000000"/>
                <w:sz w:val="18"/>
                <w:szCs w:val="18"/>
                <w:u w:val="single"/>
              </w:rPr>
              <w:t xml:space="preserve"> al día hábil siguiente.</w:t>
            </w:r>
          </w:p>
          <w:p w14:paraId="4BEEE22E" w14:textId="53567358" w:rsidR="00ED636F" w:rsidRPr="005F7866" w:rsidRDefault="00ED636F" w:rsidP="00C43007">
            <w:pPr>
              <w:pStyle w:val="Default"/>
              <w:spacing w:after="120"/>
              <w:jc w:val="both"/>
            </w:pPr>
            <w:r w:rsidRPr="00ED636F">
              <w:rPr>
                <w:rFonts w:ascii="ITC Avant Garde" w:hAnsi="ITC Avant Garde"/>
                <w:sz w:val="18"/>
                <w:szCs w:val="18"/>
              </w:rPr>
              <w:t xml:space="preserve">Las notificaciones practicadas a través del SEPDAI surtirán sus efectos </w:t>
            </w:r>
            <w:r w:rsidR="000A61F8">
              <w:rPr>
                <w:rFonts w:ascii="ITC Avant Garde" w:hAnsi="ITC Avant Garde"/>
                <w:sz w:val="18"/>
                <w:szCs w:val="18"/>
              </w:rPr>
              <w:t>el mismo día en que se practiquen</w:t>
            </w:r>
            <w:r w:rsidR="000A61F8">
              <w:rPr>
                <w:rFonts w:ascii="ITC Avant Garde" w:hAnsi="ITC Avant Garde"/>
                <w:color w:val="auto"/>
                <w:sz w:val="18"/>
                <w:szCs w:val="18"/>
              </w:rPr>
              <w:t xml:space="preserve"> y los plazos empezarán a correr a partir del día </w:t>
            </w:r>
            <w:r w:rsidR="000A61F8" w:rsidRPr="000A61F8">
              <w:rPr>
                <w:rFonts w:ascii="ITC Avant Garde" w:hAnsi="ITC Avant Garde"/>
                <w:color w:val="auto"/>
                <w:sz w:val="18"/>
                <w:szCs w:val="18"/>
                <w:u w:val="single"/>
              </w:rPr>
              <w:t>hábil</w:t>
            </w:r>
            <w:r w:rsidR="000A61F8">
              <w:rPr>
                <w:rFonts w:ascii="ITC Avant Garde" w:hAnsi="ITC Avant Garde"/>
                <w:color w:val="auto"/>
                <w:sz w:val="18"/>
                <w:szCs w:val="18"/>
              </w:rPr>
              <w:t xml:space="preserve"> siguiente, </w:t>
            </w:r>
            <w:r w:rsidRPr="00ED636F">
              <w:rPr>
                <w:rFonts w:ascii="ITC Avant Garde" w:hAnsi="ITC Avant Garde"/>
                <w:sz w:val="18"/>
                <w:szCs w:val="18"/>
              </w:rPr>
              <w:t xml:space="preserve">de conformidad con lo </w:t>
            </w:r>
            <w:r w:rsidRPr="00ED636F">
              <w:rPr>
                <w:rFonts w:ascii="ITC Avant Garde" w:hAnsi="ITC Avant Garde"/>
                <w:color w:val="auto"/>
                <w:sz w:val="18"/>
                <w:szCs w:val="18"/>
              </w:rPr>
              <w:t>dispuesto por el artículo 175 de las Disposiciones Regulatorias</w:t>
            </w:r>
            <w:r w:rsidRPr="00ED636F">
              <w:rPr>
                <w:rFonts w:ascii="ITC Avant Garde" w:hAnsi="ITC Avant Garde"/>
                <w:sz w:val="18"/>
                <w:szCs w:val="18"/>
              </w:rPr>
              <w:t>.</w:t>
            </w:r>
          </w:p>
        </w:tc>
      </w:tr>
    </w:tbl>
    <w:p w14:paraId="77F715E2" w14:textId="77777777" w:rsidR="003F71E2" w:rsidRDefault="003F71E2" w:rsidP="00C43007">
      <w:pPr>
        <w:spacing w:after="120" w:line="240" w:lineRule="auto"/>
        <w:jc w:val="both"/>
        <w:rPr>
          <w:rFonts w:ascii="ITC Avant Garde" w:hAnsi="ITC Avant Garde"/>
          <w:b/>
        </w:rPr>
      </w:pPr>
    </w:p>
    <w:p w14:paraId="5D0F83DF" w14:textId="77777777" w:rsidR="00353E8D" w:rsidRDefault="00353E8D">
      <w:pPr>
        <w:spacing w:after="120" w:line="240" w:lineRule="auto"/>
        <w:jc w:val="both"/>
        <w:rPr>
          <w:rFonts w:ascii="ITC Avant Garde" w:hAnsi="ITC Avant Garde"/>
          <w:b/>
        </w:rPr>
      </w:pPr>
      <w:r>
        <w:rPr>
          <w:rFonts w:ascii="ITC Avant Garde" w:hAnsi="ITC Avant Garde"/>
          <w:b/>
        </w:rPr>
        <w:t>Comentarios recibidos al artículo 10</w:t>
      </w:r>
    </w:p>
    <w:p w14:paraId="4B46F0E3" w14:textId="75CA2B0A" w:rsidR="00325800" w:rsidRPr="00032F9A" w:rsidRDefault="00394014">
      <w:pPr>
        <w:spacing w:after="120" w:line="240" w:lineRule="auto"/>
        <w:jc w:val="both"/>
        <w:rPr>
          <w:rFonts w:ascii="ITC Avant Garde" w:hAnsi="ITC Avant Garde"/>
        </w:rPr>
      </w:pPr>
      <w:r w:rsidRPr="00032F9A">
        <w:rPr>
          <w:rFonts w:ascii="ITC Avant Garde" w:hAnsi="ITC Avant Garde"/>
        </w:rPr>
        <w:t>Bestphone</w:t>
      </w:r>
      <w:r w:rsidR="003F16C9" w:rsidRPr="00032F9A">
        <w:rPr>
          <w:rFonts w:ascii="ITC Avant Garde" w:hAnsi="ITC Avant Garde"/>
        </w:rPr>
        <w:t xml:space="preserve"> y</w:t>
      </w:r>
      <w:r w:rsidR="00323044" w:rsidRPr="00032F9A">
        <w:rPr>
          <w:rFonts w:ascii="ITC Avant Garde" w:hAnsi="ITC Avant Garde"/>
        </w:rPr>
        <w:t xml:space="preserve"> otros</w:t>
      </w:r>
      <w:r w:rsidR="003A1A1C">
        <w:rPr>
          <w:rFonts w:ascii="ITC Avant Garde" w:hAnsi="ITC Avant Garde"/>
        </w:rPr>
        <w:t xml:space="preserve">, </w:t>
      </w:r>
      <w:r w:rsidR="003A1A1C" w:rsidRPr="00032F9A">
        <w:rPr>
          <w:rFonts w:ascii="ITC Avant Garde" w:hAnsi="ITC Avant Garde"/>
        </w:rPr>
        <w:t xml:space="preserve">Carlos Mora Villalpando </w:t>
      </w:r>
      <w:r w:rsidR="003A1A1C">
        <w:rPr>
          <w:rFonts w:ascii="ITC Avant Garde" w:hAnsi="ITC Avant Garde"/>
        </w:rPr>
        <w:t xml:space="preserve">y </w:t>
      </w:r>
      <w:r w:rsidR="003A1A1C" w:rsidRPr="00032F9A">
        <w:rPr>
          <w:rFonts w:ascii="ITC Avant Garde" w:hAnsi="ITC Avant Garde"/>
        </w:rPr>
        <w:t xml:space="preserve">AT&amp;T </w:t>
      </w:r>
      <w:r w:rsidR="003A1A1C">
        <w:rPr>
          <w:rFonts w:ascii="ITC Avant Garde" w:hAnsi="ITC Avant Garde"/>
        </w:rPr>
        <w:t xml:space="preserve">realizaron comentarios en los términos siguientes: </w:t>
      </w:r>
    </w:p>
    <w:tbl>
      <w:tblPr>
        <w:tblStyle w:val="Tablaconcuadrcula"/>
        <w:tblW w:w="0" w:type="auto"/>
        <w:tblInd w:w="421" w:type="dxa"/>
        <w:shd w:val="clear" w:color="auto" w:fill="C5E0B3" w:themeFill="accent6" w:themeFillTint="66"/>
        <w:tblLook w:val="0600" w:firstRow="0" w:lastRow="0" w:firstColumn="0" w:lastColumn="0" w:noHBand="1" w:noVBand="1"/>
      </w:tblPr>
      <w:tblGrid>
        <w:gridCol w:w="3654"/>
        <w:gridCol w:w="3151"/>
        <w:gridCol w:w="2703"/>
      </w:tblGrid>
      <w:tr w:rsidR="00E840BF" w:rsidRPr="001E7B12" w14:paraId="0A7A25F7" w14:textId="77777777" w:rsidTr="003F5FF3">
        <w:trPr>
          <w:trHeight w:val="426"/>
        </w:trPr>
        <w:tc>
          <w:tcPr>
            <w:tcW w:w="3654" w:type="dxa"/>
            <w:shd w:val="clear" w:color="auto" w:fill="538135" w:themeFill="accent6" w:themeFillShade="BF"/>
            <w:vAlign w:val="center"/>
          </w:tcPr>
          <w:p w14:paraId="7B940981" w14:textId="77777777" w:rsidR="00E840BF" w:rsidRPr="001E7B12" w:rsidRDefault="00E840BF">
            <w:pPr>
              <w:pStyle w:val="Default"/>
              <w:spacing w:after="120"/>
              <w:jc w:val="center"/>
              <w:rPr>
                <w:rFonts w:ascii="ITC Avant Garde" w:hAnsi="ITC Avant Garde"/>
                <w:b/>
                <w:color w:val="FFFFFF" w:themeColor="background1"/>
                <w:sz w:val="18"/>
                <w:szCs w:val="18"/>
              </w:rPr>
            </w:pPr>
            <w:r>
              <w:rPr>
                <w:rFonts w:ascii="ITC Avant Garde" w:hAnsi="ITC Avant Garde" w:cs="ITC Avant Garde"/>
                <w:b/>
                <w:color w:val="FFFFFF" w:themeColor="background1"/>
                <w:sz w:val="20"/>
                <w:szCs w:val="20"/>
              </w:rPr>
              <w:t>Bestphone y otros</w:t>
            </w:r>
          </w:p>
        </w:tc>
        <w:tc>
          <w:tcPr>
            <w:tcW w:w="3151" w:type="dxa"/>
            <w:shd w:val="clear" w:color="auto" w:fill="538135" w:themeFill="accent6" w:themeFillShade="BF"/>
          </w:tcPr>
          <w:p w14:paraId="793DA048" w14:textId="77777777" w:rsidR="00E840BF" w:rsidRPr="001E7B12" w:rsidRDefault="00E840BF">
            <w:pPr>
              <w:pStyle w:val="Default"/>
              <w:spacing w:after="120"/>
              <w:jc w:val="center"/>
              <w:rPr>
                <w:rFonts w:ascii="ITC Avant Garde" w:hAnsi="ITC Avant Garde"/>
                <w:b/>
                <w:color w:val="FFFFFF" w:themeColor="background1"/>
                <w:sz w:val="18"/>
                <w:szCs w:val="18"/>
              </w:rPr>
            </w:pPr>
            <w:r w:rsidRPr="00412A3E">
              <w:rPr>
                <w:rFonts w:ascii="ITC Avant Garde" w:hAnsi="ITC Avant Garde" w:cs="ITC Avant Garde"/>
                <w:b/>
                <w:color w:val="FFFFFF" w:themeColor="background1"/>
                <w:sz w:val="20"/>
                <w:szCs w:val="20"/>
              </w:rPr>
              <w:t>Carlos Mora Villalpando</w:t>
            </w:r>
          </w:p>
        </w:tc>
        <w:tc>
          <w:tcPr>
            <w:tcW w:w="2703" w:type="dxa"/>
            <w:shd w:val="clear" w:color="auto" w:fill="538135" w:themeFill="accent6" w:themeFillShade="BF"/>
          </w:tcPr>
          <w:p w14:paraId="4C3AE543" w14:textId="77777777" w:rsidR="00E840BF" w:rsidRPr="00412A3E" w:rsidRDefault="00E840BF">
            <w:pPr>
              <w:pStyle w:val="Default"/>
              <w:spacing w:after="120"/>
              <w:jc w:val="center"/>
              <w:rPr>
                <w:rFonts w:ascii="ITC Avant Garde" w:hAnsi="ITC Avant Garde" w:cs="ITC Avant Garde"/>
                <w:b/>
                <w:color w:val="FFFFFF" w:themeColor="background1"/>
                <w:sz w:val="20"/>
                <w:szCs w:val="20"/>
              </w:rPr>
            </w:pPr>
            <w:r>
              <w:rPr>
                <w:rFonts w:ascii="ITC Avant Garde" w:hAnsi="ITC Avant Garde" w:cs="ITC Avant Garde"/>
                <w:b/>
                <w:smallCaps/>
                <w:color w:val="FFFFFF" w:themeColor="background1"/>
                <w:sz w:val="20"/>
                <w:szCs w:val="20"/>
              </w:rPr>
              <w:t>AT&amp;T</w:t>
            </w:r>
          </w:p>
        </w:tc>
      </w:tr>
      <w:tr w:rsidR="00E840BF" w:rsidRPr="005471EF" w14:paraId="737AD4D8" w14:textId="77777777" w:rsidTr="003F5FF3">
        <w:trPr>
          <w:trHeight w:val="426"/>
        </w:trPr>
        <w:tc>
          <w:tcPr>
            <w:tcW w:w="3654" w:type="dxa"/>
            <w:shd w:val="clear" w:color="auto" w:fill="C5E0B3" w:themeFill="accent6" w:themeFillTint="66"/>
            <w:vAlign w:val="center"/>
          </w:tcPr>
          <w:p w14:paraId="0B0F3A6B" w14:textId="77777777" w:rsidR="00E840BF" w:rsidRDefault="00E840BF" w:rsidP="00C43007">
            <w:pPr>
              <w:spacing w:after="120" w:line="240" w:lineRule="auto"/>
              <w:jc w:val="both"/>
              <w:rPr>
                <w:rFonts w:ascii="ITC Avant Garde" w:hAnsi="ITC Avant Garde"/>
                <w:i/>
                <w:sz w:val="18"/>
                <w:szCs w:val="18"/>
              </w:rPr>
            </w:pPr>
            <w:r w:rsidRPr="00394014">
              <w:rPr>
                <w:rFonts w:ascii="ITC Avant Garde" w:hAnsi="ITC Avant Garde"/>
                <w:i/>
                <w:sz w:val="18"/>
                <w:szCs w:val="18"/>
              </w:rPr>
              <w:t xml:space="preserve">Debería precisarse que el plazo “es de 15 días”, pues de subsistir la redacción propuesta, la autoridad podría arbitrariamente otorgar cuantos días determinara y que no fueran suficientes para el desahogo, p.e. que la autoridad concediera 2 o 3 días. </w:t>
            </w:r>
          </w:p>
          <w:p w14:paraId="6240CB7F" w14:textId="77777777" w:rsidR="00E840BF" w:rsidRDefault="00E840BF" w:rsidP="00C43007">
            <w:pPr>
              <w:spacing w:after="120" w:line="240" w:lineRule="auto"/>
              <w:jc w:val="both"/>
              <w:rPr>
                <w:rFonts w:ascii="ITC Avant Garde" w:hAnsi="ITC Avant Garde"/>
                <w:i/>
                <w:sz w:val="18"/>
                <w:szCs w:val="18"/>
              </w:rPr>
            </w:pPr>
            <w:r w:rsidRPr="00394014">
              <w:rPr>
                <w:rFonts w:ascii="ITC Avant Garde" w:hAnsi="ITC Avant Garde"/>
                <w:i/>
                <w:sz w:val="18"/>
                <w:szCs w:val="18"/>
              </w:rPr>
              <w:t xml:space="preserve">Asimismo, se debe precisar que la ampliación del plazo será un término igual al originalmente concedido. </w:t>
            </w:r>
          </w:p>
          <w:p w14:paraId="6ACBC2EA" w14:textId="77777777" w:rsidR="00E840BF" w:rsidRPr="005471EF" w:rsidRDefault="00E840BF">
            <w:pPr>
              <w:pStyle w:val="Default"/>
              <w:spacing w:after="120"/>
              <w:jc w:val="both"/>
              <w:rPr>
                <w:rFonts w:ascii="ITC Avant Garde" w:hAnsi="ITC Avant Garde"/>
                <w:i/>
                <w:sz w:val="18"/>
                <w:szCs w:val="18"/>
              </w:rPr>
            </w:pPr>
            <w:r>
              <w:rPr>
                <w:rFonts w:ascii="ITC Avant Garde" w:hAnsi="ITC Avant Garde"/>
                <w:i/>
                <w:sz w:val="18"/>
                <w:szCs w:val="18"/>
              </w:rPr>
              <w:t>Dice: “</w:t>
            </w:r>
            <w:r w:rsidRPr="00394014">
              <w:rPr>
                <w:rFonts w:ascii="ITC Avant Garde" w:hAnsi="ITC Avant Garde"/>
                <w:i/>
                <w:sz w:val="18"/>
                <w:szCs w:val="18"/>
              </w:rPr>
              <w:t xml:space="preserve">El denunciante deberá desahogar la prevención a que se refiere el artículo 69, fracción III, de la Ley dentro del plazo que se otorgue para tal efecto, que no será mayor a quince días.” Y debe decir: “El denunciante deberá desahogar la prevención a que se refiere el artículo 69, fracción III, de la Ley </w:t>
            </w:r>
            <w:r w:rsidRPr="00323044">
              <w:rPr>
                <w:rFonts w:ascii="ITC Avant Garde" w:hAnsi="ITC Avant Garde"/>
                <w:b/>
                <w:i/>
                <w:sz w:val="18"/>
                <w:szCs w:val="18"/>
                <w:u w:val="single"/>
              </w:rPr>
              <w:t>a través del SEPDAI</w:t>
            </w:r>
            <w:r w:rsidRPr="00394014">
              <w:rPr>
                <w:rFonts w:ascii="ITC Avant Garde" w:hAnsi="ITC Avant Garde"/>
                <w:i/>
                <w:sz w:val="18"/>
                <w:szCs w:val="18"/>
              </w:rPr>
              <w:t xml:space="preserve"> dentro del plazo que se otorgue para tal efecto, que no será mayor a quince días.”</w:t>
            </w:r>
          </w:p>
        </w:tc>
        <w:tc>
          <w:tcPr>
            <w:tcW w:w="3151" w:type="dxa"/>
            <w:shd w:val="clear" w:color="auto" w:fill="C5E0B3" w:themeFill="accent6" w:themeFillTint="66"/>
          </w:tcPr>
          <w:p w14:paraId="26018DE9" w14:textId="77777777" w:rsidR="00E840BF" w:rsidRPr="00F84D32" w:rsidRDefault="00E840BF">
            <w:pPr>
              <w:pStyle w:val="Default"/>
              <w:spacing w:after="120"/>
              <w:jc w:val="both"/>
              <w:rPr>
                <w:rFonts w:ascii="ITC Avant Garde" w:hAnsi="ITC Avant Garde"/>
                <w:i/>
                <w:sz w:val="18"/>
                <w:szCs w:val="18"/>
              </w:rPr>
            </w:pPr>
            <w:r w:rsidRPr="00394014">
              <w:rPr>
                <w:rFonts w:ascii="ITC Avant Garde" w:hAnsi="ITC Avant Garde"/>
                <w:i/>
                <w:sz w:val="18"/>
                <w:szCs w:val="18"/>
              </w:rPr>
              <w:t>Se sugiere señalar el fundamento para solicitar y conceder la ampliación del plazo.</w:t>
            </w:r>
          </w:p>
        </w:tc>
        <w:tc>
          <w:tcPr>
            <w:tcW w:w="2703" w:type="dxa"/>
            <w:shd w:val="clear" w:color="auto" w:fill="C5E0B3" w:themeFill="accent6" w:themeFillTint="66"/>
          </w:tcPr>
          <w:p w14:paraId="24ADE3B6" w14:textId="77777777" w:rsidR="00E840BF" w:rsidRDefault="00E840BF" w:rsidP="00C43007">
            <w:pPr>
              <w:spacing w:after="120" w:line="240" w:lineRule="auto"/>
              <w:jc w:val="both"/>
              <w:rPr>
                <w:rFonts w:ascii="ITC Avant Garde" w:hAnsi="ITC Avant Garde"/>
                <w:i/>
                <w:sz w:val="18"/>
                <w:szCs w:val="18"/>
              </w:rPr>
            </w:pPr>
            <w:r>
              <w:rPr>
                <w:rFonts w:ascii="ITC Avant Garde" w:hAnsi="ITC Avant Garde"/>
                <w:i/>
                <w:sz w:val="18"/>
                <w:szCs w:val="18"/>
              </w:rPr>
              <w:t>No se prevé plazo para que la autoridad investigadora emita orden de inicio de investigación, deseche la denuncia o prevenga al denunciante conforme al artículo 69 de la LFCE.</w:t>
            </w:r>
          </w:p>
          <w:p w14:paraId="3E057C35" w14:textId="77777777" w:rsidR="00E840BF" w:rsidRPr="00394014" w:rsidRDefault="00E840BF">
            <w:pPr>
              <w:pStyle w:val="Default"/>
              <w:spacing w:after="120"/>
              <w:jc w:val="both"/>
              <w:rPr>
                <w:rFonts w:ascii="ITC Avant Garde" w:hAnsi="ITC Avant Garde"/>
                <w:i/>
                <w:sz w:val="18"/>
                <w:szCs w:val="18"/>
              </w:rPr>
            </w:pPr>
            <w:r>
              <w:rPr>
                <w:rFonts w:ascii="ITC Avant Garde" w:hAnsi="ITC Avant Garde"/>
                <w:i/>
                <w:sz w:val="18"/>
                <w:szCs w:val="18"/>
              </w:rPr>
              <w:t>Debe entenderse también, que si la autoridad investigadora no emite acuerdo alguno dentro de los plazos señalados en el artículo 69 de la LFCE, se entenderá iniciada la investigación y deberá emitirse acuerdo de admisión.</w:t>
            </w:r>
          </w:p>
        </w:tc>
      </w:tr>
    </w:tbl>
    <w:p w14:paraId="38BBBE00" w14:textId="77777777" w:rsidR="00A93B09" w:rsidRDefault="00500B9F" w:rsidP="00C43007">
      <w:pPr>
        <w:spacing w:after="120" w:line="240" w:lineRule="auto"/>
        <w:jc w:val="both"/>
        <w:rPr>
          <w:rFonts w:ascii="ITC Avant Garde" w:hAnsi="ITC Avant Garde"/>
          <w:b/>
        </w:rPr>
      </w:pPr>
      <w:r w:rsidRPr="00640CC3">
        <w:rPr>
          <w:rFonts w:ascii="ITC Avant Garde" w:hAnsi="ITC Avant Garde"/>
          <w:b/>
        </w:rPr>
        <w:lastRenderedPageBreak/>
        <w:t>Consideraciones</w:t>
      </w:r>
    </w:p>
    <w:p w14:paraId="3C4F5439" w14:textId="2F9E2DCE" w:rsidR="00935A36" w:rsidRDefault="00640CC3">
      <w:pPr>
        <w:spacing w:after="120" w:line="240" w:lineRule="auto"/>
        <w:jc w:val="both"/>
        <w:rPr>
          <w:rFonts w:ascii="ITC Avant Garde" w:hAnsi="ITC Avant Garde"/>
        </w:rPr>
      </w:pPr>
      <w:r w:rsidRPr="00640CC3">
        <w:rPr>
          <w:rFonts w:ascii="ITC Avant Garde" w:hAnsi="ITC Avant Garde" w:cs="Tahoma"/>
          <w:lang w:eastAsia="es-MX"/>
        </w:rPr>
        <w:t>En atención a los comentarios de</w:t>
      </w:r>
      <w:r>
        <w:rPr>
          <w:rFonts w:ascii="ITC Avant Garde" w:hAnsi="ITC Avant Garde"/>
          <w:b/>
        </w:rPr>
        <w:t xml:space="preserve"> </w:t>
      </w:r>
      <w:r w:rsidRPr="00032F9A">
        <w:rPr>
          <w:rFonts w:ascii="ITC Avant Garde" w:hAnsi="ITC Avant Garde"/>
        </w:rPr>
        <w:t>Bestphone y otros</w:t>
      </w:r>
      <w:r>
        <w:rPr>
          <w:rFonts w:ascii="ITC Avant Garde" w:hAnsi="ITC Avant Garde"/>
        </w:rPr>
        <w:t xml:space="preserve">, se </w:t>
      </w:r>
      <w:r w:rsidR="00C62830">
        <w:rPr>
          <w:rFonts w:ascii="ITC Avant Garde" w:hAnsi="ITC Avant Garde"/>
        </w:rPr>
        <w:t xml:space="preserve">señala </w:t>
      </w:r>
      <w:r>
        <w:rPr>
          <w:rFonts w:ascii="ITC Avant Garde" w:hAnsi="ITC Avant Garde"/>
        </w:rPr>
        <w:t xml:space="preserve">que el plazo </w:t>
      </w:r>
      <w:r w:rsidR="00282BA5">
        <w:rPr>
          <w:rFonts w:ascii="ITC Avant Garde" w:hAnsi="ITC Avant Garde"/>
        </w:rPr>
        <w:t xml:space="preserve">mencionado </w:t>
      </w:r>
      <w:r w:rsidR="00935A36">
        <w:rPr>
          <w:rFonts w:ascii="ITC Avant Garde" w:hAnsi="ITC Avant Garde"/>
        </w:rPr>
        <w:t>en el artículo 10 del Anteproyecto de Lineamientos</w:t>
      </w:r>
      <w:r>
        <w:rPr>
          <w:rFonts w:ascii="ITC Avant Garde" w:hAnsi="ITC Avant Garde"/>
        </w:rPr>
        <w:t xml:space="preserve"> para desahogar el acuerdo</w:t>
      </w:r>
      <w:r w:rsidR="00920632">
        <w:rPr>
          <w:rFonts w:ascii="ITC Avant Garde" w:hAnsi="ITC Avant Garde"/>
        </w:rPr>
        <w:t xml:space="preserve"> </w:t>
      </w:r>
      <w:r>
        <w:rPr>
          <w:rFonts w:ascii="ITC Avant Garde" w:hAnsi="ITC Avant Garde"/>
        </w:rPr>
        <w:t>de prevenci</w:t>
      </w:r>
      <w:r w:rsidR="00935A36">
        <w:rPr>
          <w:rFonts w:ascii="ITC Avant Garde" w:hAnsi="ITC Avant Garde"/>
        </w:rPr>
        <w:t xml:space="preserve">ón </w:t>
      </w:r>
      <w:r w:rsidR="00E62CD6">
        <w:rPr>
          <w:rFonts w:ascii="ITC Avant Garde" w:hAnsi="ITC Avant Garde"/>
        </w:rPr>
        <w:t>y su ampliación</w:t>
      </w:r>
      <w:r w:rsidR="001B023C">
        <w:rPr>
          <w:rFonts w:ascii="ITC Avant Garde" w:hAnsi="ITC Avant Garde"/>
        </w:rPr>
        <w:t>, en caso de solicitarla</w:t>
      </w:r>
      <w:r w:rsidR="00E62CD6">
        <w:rPr>
          <w:rFonts w:ascii="ITC Avant Garde" w:hAnsi="ITC Avant Garde"/>
        </w:rPr>
        <w:t xml:space="preserve">, </w:t>
      </w:r>
      <w:r w:rsidR="00935A36">
        <w:rPr>
          <w:rFonts w:ascii="ITC Avant Garde" w:hAnsi="ITC Avant Garde"/>
        </w:rPr>
        <w:t xml:space="preserve">es el mismo y es conforme </w:t>
      </w:r>
      <w:r w:rsidR="00E62CD6">
        <w:rPr>
          <w:rFonts w:ascii="ITC Avant Garde" w:hAnsi="ITC Avant Garde"/>
        </w:rPr>
        <w:t xml:space="preserve">a la redacción </w:t>
      </w:r>
      <w:r w:rsidR="00935A36">
        <w:rPr>
          <w:rFonts w:ascii="ITC Avant Garde" w:hAnsi="ITC Avant Garde"/>
        </w:rPr>
        <w:t>previst</w:t>
      </w:r>
      <w:r w:rsidR="00E62CD6">
        <w:rPr>
          <w:rFonts w:ascii="ITC Avant Garde" w:hAnsi="ITC Avant Garde"/>
        </w:rPr>
        <w:t>a</w:t>
      </w:r>
      <w:r>
        <w:rPr>
          <w:rFonts w:ascii="ITC Avant Garde" w:hAnsi="ITC Avant Garde"/>
        </w:rPr>
        <w:t xml:space="preserve"> </w:t>
      </w:r>
      <w:r w:rsidR="00935A36">
        <w:rPr>
          <w:rFonts w:ascii="ITC Avant Garde" w:hAnsi="ITC Avant Garde"/>
        </w:rPr>
        <w:t>en</w:t>
      </w:r>
      <w:r>
        <w:rPr>
          <w:rFonts w:ascii="ITC Avant Garde" w:hAnsi="ITC Avant Garde"/>
        </w:rPr>
        <w:t xml:space="preserve"> el artículo 69</w:t>
      </w:r>
      <w:r w:rsidR="00C62830">
        <w:rPr>
          <w:rFonts w:ascii="ITC Avant Garde" w:hAnsi="ITC Avant Garde"/>
        </w:rPr>
        <w:t>,</w:t>
      </w:r>
      <w:r w:rsidR="00935A36">
        <w:rPr>
          <w:rFonts w:ascii="ITC Avant Garde" w:hAnsi="ITC Avant Garde"/>
        </w:rPr>
        <w:t xml:space="preserve"> fracción III</w:t>
      </w:r>
      <w:r w:rsidR="00C62830">
        <w:rPr>
          <w:rFonts w:ascii="ITC Avant Garde" w:hAnsi="ITC Avant Garde"/>
        </w:rPr>
        <w:t>,</w:t>
      </w:r>
      <w:r w:rsidR="00935A36">
        <w:rPr>
          <w:rFonts w:ascii="ITC Avant Garde" w:hAnsi="ITC Avant Garde"/>
        </w:rPr>
        <w:t xml:space="preserve"> de la LFCE</w:t>
      </w:r>
      <w:r w:rsidR="001B023C">
        <w:rPr>
          <w:rFonts w:ascii="ITC Avant Garde" w:hAnsi="ITC Avant Garde"/>
        </w:rPr>
        <w:t xml:space="preserve">. </w:t>
      </w:r>
    </w:p>
    <w:p w14:paraId="4A5EDF08" w14:textId="79087DB9" w:rsidR="00935A36" w:rsidRDefault="00935A36">
      <w:pPr>
        <w:spacing w:after="120" w:line="240" w:lineRule="auto"/>
        <w:jc w:val="both"/>
        <w:rPr>
          <w:rFonts w:ascii="ITC Avant Garde" w:hAnsi="ITC Avant Garde"/>
        </w:rPr>
      </w:pPr>
      <w:r>
        <w:rPr>
          <w:rFonts w:ascii="ITC Avant Garde" w:hAnsi="ITC Avant Garde"/>
        </w:rPr>
        <w:t xml:space="preserve">Ahora bien, en cuanto a la solicitud planteada por </w:t>
      </w:r>
      <w:r w:rsidRPr="00032F9A">
        <w:rPr>
          <w:rFonts w:ascii="ITC Avant Garde" w:hAnsi="ITC Avant Garde"/>
        </w:rPr>
        <w:t>Bestphone y otros</w:t>
      </w:r>
      <w:r>
        <w:rPr>
          <w:rFonts w:ascii="ITC Avant Garde" w:hAnsi="ITC Avant Garde"/>
        </w:rPr>
        <w:t xml:space="preserve"> para modificar la redacción del artículo 10 del Anteproyecto de Lineamientos</w:t>
      </w:r>
      <w:r w:rsidR="00032E46">
        <w:rPr>
          <w:rFonts w:ascii="ITC Avant Garde" w:hAnsi="ITC Avant Garde"/>
        </w:rPr>
        <w:t xml:space="preserve"> indicando que las actuaciones se realizan dentro del SEPDAI</w:t>
      </w:r>
      <w:r>
        <w:rPr>
          <w:rFonts w:ascii="ITC Avant Garde" w:hAnsi="ITC Avant Garde"/>
        </w:rPr>
        <w:t xml:space="preserve">, se señala que todos los preceptos citados en </w:t>
      </w:r>
      <w:r w:rsidR="005C1C0F">
        <w:rPr>
          <w:rFonts w:ascii="ITC Avant Garde" w:hAnsi="ITC Avant Garde"/>
        </w:rPr>
        <w:t>el A</w:t>
      </w:r>
      <w:r>
        <w:rPr>
          <w:rFonts w:ascii="ITC Avant Garde" w:hAnsi="ITC Avant Garde"/>
        </w:rPr>
        <w:t>nteproyecto</w:t>
      </w:r>
      <w:r w:rsidR="005C1C0F">
        <w:rPr>
          <w:rFonts w:ascii="ITC Avant Garde" w:hAnsi="ITC Avant Garde"/>
        </w:rPr>
        <w:t xml:space="preserve"> de Lineamientos</w:t>
      </w:r>
      <w:r w:rsidR="00FC7EA9">
        <w:rPr>
          <w:rFonts w:ascii="ITC Avant Garde" w:hAnsi="ITC Avant Garde"/>
        </w:rPr>
        <w:t xml:space="preserve"> tienen el objet</w:t>
      </w:r>
      <w:r w:rsidR="007B4378">
        <w:rPr>
          <w:rFonts w:ascii="ITC Avant Garde" w:hAnsi="ITC Avant Garde"/>
        </w:rPr>
        <w:t>iv</w:t>
      </w:r>
      <w:r>
        <w:rPr>
          <w:rFonts w:ascii="ITC Avant Garde" w:hAnsi="ITC Avant Garde"/>
        </w:rPr>
        <w:t xml:space="preserve">o </w:t>
      </w:r>
      <w:r w:rsidR="000A686A">
        <w:rPr>
          <w:rFonts w:ascii="ITC Avant Garde" w:hAnsi="ITC Avant Garde"/>
        </w:rPr>
        <w:t xml:space="preserve">de </w:t>
      </w:r>
      <w:r w:rsidR="00C62830">
        <w:rPr>
          <w:rFonts w:ascii="ITC Avant Garde" w:hAnsi="ITC Avant Garde"/>
        </w:rPr>
        <w:t xml:space="preserve">establecer los términos aplicables a </w:t>
      </w:r>
      <w:r>
        <w:rPr>
          <w:rFonts w:ascii="ITC Avant Garde" w:hAnsi="ITC Avant Garde"/>
        </w:rPr>
        <w:t>la</w:t>
      </w:r>
      <w:r w:rsidRPr="00BC73D5">
        <w:rPr>
          <w:rFonts w:ascii="ITC Avant Garde" w:hAnsi="ITC Avant Garde"/>
        </w:rPr>
        <w:t xml:space="preserve"> presentación de denuncias de prácticas monopólicas y concentraciones ilícitas</w:t>
      </w:r>
      <w:r>
        <w:rPr>
          <w:rFonts w:ascii="ITC Avant Garde" w:hAnsi="ITC Avant Garde"/>
        </w:rPr>
        <w:t xml:space="preserve"> a través del SEPDAI, conforme </w:t>
      </w:r>
      <w:r w:rsidR="000F0E53">
        <w:rPr>
          <w:rFonts w:ascii="ITC Avant Garde" w:hAnsi="ITC Avant Garde"/>
        </w:rPr>
        <w:t>a</w:t>
      </w:r>
      <w:r w:rsidR="00E96766">
        <w:rPr>
          <w:rFonts w:ascii="ITC Avant Garde" w:hAnsi="ITC Avant Garde"/>
        </w:rPr>
        <w:t xml:space="preserve"> su </w:t>
      </w:r>
      <w:r>
        <w:rPr>
          <w:rFonts w:ascii="ITC Avant Garde" w:hAnsi="ITC Avant Garde"/>
        </w:rPr>
        <w:t>primer artículo</w:t>
      </w:r>
      <w:r w:rsidR="00E96766">
        <w:rPr>
          <w:rFonts w:ascii="ITC Avant Garde" w:hAnsi="ITC Avant Garde"/>
        </w:rPr>
        <w:t>.</w:t>
      </w:r>
      <w:r w:rsidR="00032E46">
        <w:rPr>
          <w:rFonts w:ascii="ITC Avant Garde" w:hAnsi="ITC Avant Garde"/>
        </w:rPr>
        <w:t xml:space="preserve"> P</w:t>
      </w:r>
      <w:r w:rsidR="000F0E53">
        <w:rPr>
          <w:rFonts w:ascii="ITC Avant Garde" w:hAnsi="ITC Avant Garde"/>
        </w:rPr>
        <w:t xml:space="preserve">or </w:t>
      </w:r>
      <w:r w:rsidR="00032E46">
        <w:rPr>
          <w:rFonts w:ascii="ITC Avant Garde" w:hAnsi="ITC Avant Garde"/>
        </w:rPr>
        <w:t xml:space="preserve">lo </w:t>
      </w:r>
      <w:r w:rsidR="000F0E53">
        <w:rPr>
          <w:rFonts w:ascii="ITC Avant Garde" w:hAnsi="ITC Avant Garde"/>
        </w:rPr>
        <w:t>tanto</w:t>
      </w:r>
      <w:r w:rsidR="00032E46">
        <w:rPr>
          <w:rFonts w:ascii="ITC Avant Garde" w:hAnsi="ITC Avant Garde"/>
        </w:rPr>
        <w:t>,</w:t>
      </w:r>
      <w:r w:rsidR="000F0E53">
        <w:rPr>
          <w:rFonts w:ascii="ITC Avant Garde" w:hAnsi="ITC Avant Garde"/>
        </w:rPr>
        <w:t xml:space="preserve"> no es necesario especificar en cada uno de sus artículos que la presentación de las denuncias</w:t>
      </w:r>
      <w:r w:rsidR="00032E46">
        <w:rPr>
          <w:rFonts w:ascii="ITC Avant Garde" w:hAnsi="ITC Avant Garde"/>
        </w:rPr>
        <w:t xml:space="preserve">, documentos o las actuaciones se realizan a </w:t>
      </w:r>
      <w:r w:rsidR="000F0E53">
        <w:rPr>
          <w:rFonts w:ascii="ITC Avant Garde" w:hAnsi="ITC Avant Garde"/>
        </w:rPr>
        <w:t>través del SEPDAI.</w:t>
      </w:r>
    </w:p>
    <w:p w14:paraId="349F04F5" w14:textId="65C6FB35" w:rsidR="00935A36" w:rsidRDefault="00C507E2">
      <w:pPr>
        <w:spacing w:after="120" w:line="240" w:lineRule="auto"/>
        <w:jc w:val="both"/>
        <w:rPr>
          <w:rFonts w:ascii="ITC Avant Garde" w:hAnsi="ITC Avant Garde"/>
        </w:rPr>
      </w:pPr>
      <w:r>
        <w:rPr>
          <w:rFonts w:ascii="ITC Avant Garde" w:hAnsi="ITC Avant Garde"/>
        </w:rPr>
        <w:t>Respecto al comentario de</w:t>
      </w:r>
      <w:r w:rsidR="000F0E53">
        <w:rPr>
          <w:rFonts w:ascii="ITC Avant Garde" w:hAnsi="ITC Avant Garde"/>
        </w:rPr>
        <w:t xml:space="preserve"> Carlos Mora Villalpando, </w:t>
      </w:r>
      <w:r>
        <w:rPr>
          <w:rFonts w:ascii="ITC Avant Garde" w:hAnsi="ITC Avant Garde"/>
        </w:rPr>
        <w:t xml:space="preserve">se </w:t>
      </w:r>
      <w:r w:rsidR="000F0E53">
        <w:rPr>
          <w:rFonts w:ascii="ITC Avant Garde" w:hAnsi="ITC Avant Garde"/>
        </w:rPr>
        <w:t xml:space="preserve">señala que el artículo </w:t>
      </w:r>
      <w:r w:rsidR="006F14BE">
        <w:rPr>
          <w:rFonts w:ascii="ITC Avant Garde" w:hAnsi="ITC Avant Garde"/>
        </w:rPr>
        <w:t xml:space="preserve">10 del Anteproyecto de Lineamientos hace referencia </w:t>
      </w:r>
      <w:r w:rsidR="007F4456">
        <w:rPr>
          <w:rFonts w:ascii="ITC Avant Garde" w:hAnsi="ITC Avant Garde"/>
        </w:rPr>
        <w:t xml:space="preserve">expresa </w:t>
      </w:r>
      <w:r w:rsidR="006F14BE">
        <w:rPr>
          <w:rFonts w:ascii="ITC Avant Garde" w:hAnsi="ITC Avant Garde"/>
        </w:rPr>
        <w:t>al</w:t>
      </w:r>
      <w:r w:rsidR="000F0E53">
        <w:rPr>
          <w:rFonts w:ascii="ITC Avant Garde" w:hAnsi="ITC Avant Garde"/>
        </w:rPr>
        <w:t xml:space="preserve"> artículo 69</w:t>
      </w:r>
      <w:r w:rsidR="00C62830">
        <w:rPr>
          <w:rFonts w:ascii="ITC Avant Garde" w:hAnsi="ITC Avant Garde"/>
        </w:rPr>
        <w:t>,</w:t>
      </w:r>
      <w:r w:rsidR="000F0E53">
        <w:rPr>
          <w:rFonts w:ascii="ITC Avant Garde" w:hAnsi="ITC Avant Garde"/>
        </w:rPr>
        <w:t xml:space="preserve"> fracción III</w:t>
      </w:r>
      <w:r w:rsidR="00C62830">
        <w:rPr>
          <w:rFonts w:ascii="ITC Avant Garde" w:hAnsi="ITC Avant Garde"/>
        </w:rPr>
        <w:t>,</w:t>
      </w:r>
      <w:r w:rsidR="000F0E53">
        <w:rPr>
          <w:rFonts w:ascii="ITC Avant Garde" w:hAnsi="ITC Avant Garde"/>
        </w:rPr>
        <w:t xml:space="preserve"> de la LFCE</w:t>
      </w:r>
      <w:r w:rsidR="006F14BE">
        <w:rPr>
          <w:rFonts w:ascii="ITC Avant Garde" w:hAnsi="ITC Avant Garde"/>
        </w:rPr>
        <w:t xml:space="preserve">, </w:t>
      </w:r>
      <w:r w:rsidR="007F4456">
        <w:rPr>
          <w:rFonts w:ascii="ITC Avant Garde" w:hAnsi="ITC Avant Garde"/>
        </w:rPr>
        <w:t>que</w:t>
      </w:r>
      <w:r w:rsidR="000F0E53">
        <w:rPr>
          <w:rFonts w:ascii="ITC Avant Garde" w:hAnsi="ITC Avant Garde"/>
        </w:rPr>
        <w:t xml:space="preserve"> establece el plazo para desahogar la prevención, así como el plazo </w:t>
      </w:r>
      <w:r w:rsidR="006F14BE">
        <w:rPr>
          <w:rFonts w:ascii="ITC Avant Garde" w:hAnsi="ITC Avant Garde"/>
        </w:rPr>
        <w:t>y las consideraciones por l</w:t>
      </w:r>
      <w:r w:rsidR="000252D3">
        <w:rPr>
          <w:rFonts w:ascii="ITC Avant Garde" w:hAnsi="ITC Avant Garde"/>
        </w:rPr>
        <w:t>a</w:t>
      </w:r>
      <w:r w:rsidR="006F14BE">
        <w:rPr>
          <w:rFonts w:ascii="ITC Avant Garde" w:hAnsi="ITC Avant Garde"/>
        </w:rPr>
        <w:t>s</w:t>
      </w:r>
      <w:r w:rsidR="000F0E53">
        <w:rPr>
          <w:rFonts w:ascii="ITC Avant Garde" w:hAnsi="ITC Avant Garde"/>
        </w:rPr>
        <w:t xml:space="preserve"> que </w:t>
      </w:r>
      <w:r w:rsidR="006F14BE">
        <w:rPr>
          <w:rFonts w:ascii="ITC Avant Garde" w:hAnsi="ITC Avant Garde"/>
        </w:rPr>
        <w:t>se podría ampliar</w:t>
      </w:r>
      <w:r w:rsidR="000252D3">
        <w:rPr>
          <w:rFonts w:ascii="ITC Avant Garde" w:hAnsi="ITC Avant Garde"/>
        </w:rPr>
        <w:t xml:space="preserve"> el mismo</w:t>
      </w:r>
      <w:r w:rsidR="006F14BE">
        <w:rPr>
          <w:rFonts w:ascii="ITC Avant Garde" w:hAnsi="ITC Avant Garde"/>
        </w:rPr>
        <w:t>.</w:t>
      </w:r>
      <w:r w:rsidR="000F0E53">
        <w:rPr>
          <w:rFonts w:ascii="ITC Avant Garde" w:hAnsi="ITC Avant Garde"/>
        </w:rPr>
        <w:t xml:space="preserve"> </w:t>
      </w:r>
    </w:p>
    <w:p w14:paraId="538DF6AE" w14:textId="16B505B8" w:rsidR="00640CC3" w:rsidRDefault="006F14BE">
      <w:pPr>
        <w:spacing w:after="120" w:line="240" w:lineRule="auto"/>
        <w:jc w:val="both"/>
        <w:rPr>
          <w:rFonts w:ascii="ITC Avant Garde" w:hAnsi="ITC Avant Garde"/>
        </w:rPr>
      </w:pPr>
      <w:r>
        <w:rPr>
          <w:rFonts w:ascii="ITC Avant Garde" w:hAnsi="ITC Avant Garde"/>
        </w:rPr>
        <w:t xml:space="preserve">En cuanto a la </w:t>
      </w:r>
      <w:r w:rsidR="00C62830">
        <w:rPr>
          <w:rFonts w:ascii="ITC Avant Garde" w:hAnsi="ITC Avant Garde"/>
        </w:rPr>
        <w:t xml:space="preserve">sugerencia </w:t>
      </w:r>
      <w:r>
        <w:rPr>
          <w:rFonts w:ascii="ITC Avant Garde" w:hAnsi="ITC Avant Garde"/>
        </w:rPr>
        <w:t xml:space="preserve">de AT&amp;T, </w:t>
      </w:r>
      <w:r w:rsidR="008867CE">
        <w:rPr>
          <w:rFonts w:ascii="ITC Avant Garde" w:hAnsi="ITC Avant Garde"/>
        </w:rPr>
        <w:t xml:space="preserve">se manifiesta que </w:t>
      </w:r>
      <w:r w:rsidR="008867CE" w:rsidRPr="008867CE">
        <w:rPr>
          <w:rFonts w:ascii="ITC Avant Garde" w:hAnsi="ITC Avant Garde"/>
        </w:rPr>
        <w:t>el objeto de los lineamientos es establecer los términos y condiciones para la presentación de denuncias a través de medios electrónicos</w:t>
      </w:r>
      <w:r w:rsidR="008867CE">
        <w:rPr>
          <w:rFonts w:ascii="ITC Avant Garde" w:hAnsi="ITC Avant Garde"/>
        </w:rPr>
        <w:t xml:space="preserve">. En este sentido, </w:t>
      </w:r>
      <w:r w:rsidR="008867CE" w:rsidRPr="008867CE">
        <w:rPr>
          <w:rFonts w:ascii="ITC Avant Garde" w:hAnsi="ITC Avant Garde"/>
        </w:rPr>
        <w:t xml:space="preserve">las disposiciones relativas a los plazos para emitir el acuerdo de inicio, así como </w:t>
      </w:r>
      <w:r w:rsidR="008867CE">
        <w:rPr>
          <w:rFonts w:ascii="ITC Avant Garde" w:hAnsi="ITC Avant Garde"/>
        </w:rPr>
        <w:t xml:space="preserve">el momento en que debe entenderse por </w:t>
      </w:r>
      <w:r w:rsidR="008867CE" w:rsidRPr="008867CE">
        <w:rPr>
          <w:rFonts w:ascii="ITC Avant Garde" w:hAnsi="ITC Avant Garde"/>
        </w:rPr>
        <w:t xml:space="preserve">iniciada </w:t>
      </w:r>
      <w:r w:rsidR="008867CE">
        <w:rPr>
          <w:rFonts w:ascii="ITC Avant Garde" w:hAnsi="ITC Avant Garde"/>
        </w:rPr>
        <w:t xml:space="preserve">una investigación en caso de no emitirse acuerdo alguno dentro del plazo correspondiente, se encuentran previstos </w:t>
      </w:r>
      <w:r w:rsidR="008867CE" w:rsidRPr="008867CE">
        <w:rPr>
          <w:rFonts w:ascii="ITC Avant Garde" w:hAnsi="ITC Avant Garde"/>
        </w:rPr>
        <w:t xml:space="preserve">en </w:t>
      </w:r>
      <w:r w:rsidR="008867CE">
        <w:rPr>
          <w:rFonts w:ascii="ITC Avant Garde" w:hAnsi="ITC Avant Garde"/>
        </w:rPr>
        <w:t>el artículo 69, fracción III</w:t>
      </w:r>
      <w:r w:rsidR="00C62830">
        <w:rPr>
          <w:rFonts w:ascii="ITC Avant Garde" w:hAnsi="ITC Avant Garde"/>
        </w:rPr>
        <w:t>,</w:t>
      </w:r>
      <w:r w:rsidR="008867CE">
        <w:rPr>
          <w:rFonts w:ascii="ITC Avant Garde" w:hAnsi="ITC Avant Garde"/>
        </w:rPr>
        <w:t xml:space="preserve"> y último párrafo, de </w:t>
      </w:r>
      <w:r w:rsidR="008867CE" w:rsidRPr="008867CE">
        <w:rPr>
          <w:rFonts w:ascii="ITC Avant Garde" w:hAnsi="ITC Avant Garde"/>
        </w:rPr>
        <w:t>la LFCE</w:t>
      </w:r>
      <w:r w:rsidR="00F53441">
        <w:rPr>
          <w:rFonts w:ascii="ITC Avant Garde" w:hAnsi="ITC Avant Garde"/>
        </w:rPr>
        <w:t>.</w:t>
      </w:r>
    </w:p>
    <w:p w14:paraId="083D5C96" w14:textId="23E30838" w:rsidR="00B43C31" w:rsidRDefault="00B43C31">
      <w:pPr>
        <w:spacing w:after="120" w:line="240" w:lineRule="auto"/>
        <w:jc w:val="both"/>
        <w:rPr>
          <w:rFonts w:ascii="ITC Avant Garde" w:hAnsi="ITC Avant Garde"/>
        </w:rPr>
      </w:pPr>
      <w:r>
        <w:rPr>
          <w:rFonts w:ascii="ITC Avant Garde" w:hAnsi="ITC Avant Garde"/>
        </w:rPr>
        <w:t xml:space="preserve">En virtud de lo anterior, resultan improcedentes las </w:t>
      </w:r>
      <w:r w:rsidR="00C62830">
        <w:rPr>
          <w:rFonts w:ascii="ITC Avant Garde" w:hAnsi="ITC Avant Garde"/>
        </w:rPr>
        <w:t xml:space="preserve">sugerencias </w:t>
      </w:r>
      <w:r>
        <w:rPr>
          <w:rFonts w:ascii="ITC Avant Garde" w:hAnsi="ITC Avant Garde"/>
        </w:rPr>
        <w:t xml:space="preserve">de </w:t>
      </w:r>
      <w:r w:rsidRPr="00032F9A">
        <w:rPr>
          <w:rFonts w:ascii="ITC Avant Garde" w:hAnsi="ITC Avant Garde"/>
        </w:rPr>
        <w:t>Bestphone y otros</w:t>
      </w:r>
      <w:r w:rsidR="006D3D66">
        <w:rPr>
          <w:rFonts w:ascii="ITC Avant Garde" w:hAnsi="ITC Avant Garde"/>
        </w:rPr>
        <w:t xml:space="preserve">, </w:t>
      </w:r>
      <w:r>
        <w:rPr>
          <w:rFonts w:ascii="ITC Avant Garde" w:hAnsi="ITC Avant Garde"/>
        </w:rPr>
        <w:t>Carlos Mora Villalpando</w:t>
      </w:r>
      <w:r w:rsidR="006D3D66">
        <w:rPr>
          <w:rFonts w:ascii="ITC Avant Garde" w:hAnsi="ITC Avant Garde"/>
        </w:rPr>
        <w:t xml:space="preserve"> y </w:t>
      </w:r>
      <w:r w:rsidR="006D3D66" w:rsidRPr="00032F9A">
        <w:rPr>
          <w:rFonts w:ascii="ITC Avant Garde" w:hAnsi="ITC Avant Garde"/>
        </w:rPr>
        <w:t>AT&amp;T</w:t>
      </w:r>
      <w:r>
        <w:rPr>
          <w:rFonts w:ascii="ITC Avant Garde" w:hAnsi="ITC Avant Garde"/>
        </w:rPr>
        <w:t>.</w:t>
      </w:r>
    </w:p>
    <w:p w14:paraId="7F40D879" w14:textId="77777777" w:rsidR="00353E8D" w:rsidRDefault="00353E8D">
      <w:pPr>
        <w:spacing w:after="120" w:line="240" w:lineRule="auto"/>
        <w:jc w:val="both"/>
        <w:rPr>
          <w:rFonts w:ascii="ITC Avant Garde" w:hAnsi="ITC Avant Garde"/>
          <w:b/>
        </w:rPr>
      </w:pPr>
      <w:r>
        <w:rPr>
          <w:rFonts w:ascii="ITC Avant Garde" w:hAnsi="ITC Avant Garde"/>
          <w:b/>
        </w:rPr>
        <w:t>Comentarios recibidos al artículo 12</w:t>
      </w:r>
    </w:p>
    <w:p w14:paraId="75BD888C" w14:textId="7C8F7C8B" w:rsidR="00A93B09" w:rsidRDefault="00A93B09">
      <w:pPr>
        <w:spacing w:after="120" w:line="240" w:lineRule="auto"/>
        <w:jc w:val="both"/>
        <w:rPr>
          <w:rFonts w:ascii="ITC Avant Garde" w:hAnsi="ITC Avant Garde" w:cs="Arial"/>
        </w:rPr>
      </w:pPr>
      <w:r w:rsidRPr="00365091">
        <w:rPr>
          <w:rFonts w:ascii="ITC Avant Garde" w:hAnsi="ITC Avant Garde" w:cs="Arial"/>
        </w:rPr>
        <w:t>Bestphone</w:t>
      </w:r>
      <w:r w:rsidR="00065686">
        <w:rPr>
          <w:rFonts w:ascii="ITC Avant Garde" w:hAnsi="ITC Avant Garde" w:cs="Arial"/>
        </w:rPr>
        <w:t xml:space="preserve"> y otros</w:t>
      </w:r>
      <w:r w:rsidR="00365091" w:rsidRPr="00365091">
        <w:rPr>
          <w:rFonts w:ascii="ITC Avant Garde" w:hAnsi="ITC Avant Garde" w:cs="Arial"/>
        </w:rPr>
        <w:t xml:space="preserve"> </w:t>
      </w:r>
      <w:r w:rsidR="00D76929">
        <w:rPr>
          <w:rFonts w:ascii="ITC Avant Garde" w:hAnsi="ITC Avant Garde" w:cs="Arial"/>
        </w:rPr>
        <w:t>indica</w:t>
      </w:r>
      <w:r w:rsidR="002C4801">
        <w:rPr>
          <w:rFonts w:ascii="ITC Avant Garde" w:hAnsi="ITC Avant Garde" w:cs="Arial"/>
        </w:rPr>
        <w:t>ron</w:t>
      </w:r>
      <w:r w:rsidR="00D76929">
        <w:rPr>
          <w:rFonts w:ascii="ITC Avant Garde" w:hAnsi="ITC Avant Garde" w:cs="Arial"/>
        </w:rPr>
        <w:t xml:space="preserve"> el comentario siguiente: </w:t>
      </w:r>
    </w:p>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1E7B12" w:rsidRPr="005F7866" w14:paraId="381186A0" w14:textId="77777777" w:rsidTr="00570E4A">
        <w:trPr>
          <w:trHeight w:val="276"/>
        </w:trPr>
        <w:tc>
          <w:tcPr>
            <w:tcW w:w="8931" w:type="dxa"/>
            <w:shd w:val="clear" w:color="auto" w:fill="538135" w:themeFill="accent6" w:themeFillShade="BF"/>
          </w:tcPr>
          <w:p w14:paraId="5976A7D5" w14:textId="77777777" w:rsidR="001E7B12" w:rsidRPr="00412A3E" w:rsidRDefault="0097478C" w:rsidP="00C43007">
            <w:pPr>
              <w:pStyle w:val="Default"/>
              <w:spacing w:after="120"/>
              <w:jc w:val="center"/>
              <w:rPr>
                <w:rFonts w:ascii="ITC Avant Garde" w:hAnsi="ITC Avant Garde"/>
                <w:i/>
                <w:sz w:val="20"/>
                <w:szCs w:val="20"/>
              </w:rPr>
            </w:pPr>
            <w:r>
              <w:rPr>
                <w:rFonts w:ascii="ITC Avant Garde" w:hAnsi="ITC Avant Garde" w:cs="ITC Avant Garde"/>
                <w:b/>
                <w:color w:val="FFFFFF" w:themeColor="background1"/>
                <w:sz w:val="20"/>
                <w:szCs w:val="20"/>
              </w:rPr>
              <w:t>Bestphone y otros</w:t>
            </w:r>
          </w:p>
        </w:tc>
      </w:tr>
      <w:tr w:rsidR="00A93B09" w:rsidRPr="00CC0C98" w14:paraId="2E311F15" w14:textId="77777777" w:rsidTr="00D26F15">
        <w:trPr>
          <w:trHeight w:val="426"/>
        </w:trPr>
        <w:tc>
          <w:tcPr>
            <w:tcW w:w="8931" w:type="dxa"/>
            <w:shd w:val="clear" w:color="auto" w:fill="C5E0B3" w:themeFill="accent6" w:themeFillTint="66"/>
            <w:vAlign w:val="center"/>
          </w:tcPr>
          <w:p w14:paraId="1366765A" w14:textId="77777777" w:rsidR="00A93B09" w:rsidRDefault="00A93B09">
            <w:pPr>
              <w:spacing w:after="120" w:line="240" w:lineRule="auto"/>
              <w:jc w:val="both"/>
              <w:rPr>
                <w:rFonts w:ascii="ITC Avant Garde" w:hAnsi="ITC Avant Garde"/>
                <w:i/>
                <w:sz w:val="18"/>
                <w:szCs w:val="18"/>
              </w:rPr>
            </w:pPr>
            <w:r w:rsidRPr="00A93B09">
              <w:rPr>
                <w:rFonts w:ascii="ITC Avant Garde" w:hAnsi="ITC Avant Garde"/>
                <w:i/>
                <w:sz w:val="18"/>
                <w:szCs w:val="18"/>
              </w:rPr>
              <w:t xml:space="preserve">Debería ser la misma información a la que se refiere el artículo 6 del proyecto, particularmente: </w:t>
            </w:r>
          </w:p>
          <w:p w14:paraId="5CD72672" w14:textId="77777777" w:rsidR="00A93B09" w:rsidRDefault="00A93B09">
            <w:pPr>
              <w:spacing w:after="120" w:line="240" w:lineRule="auto"/>
              <w:jc w:val="both"/>
              <w:rPr>
                <w:rFonts w:ascii="ITC Avant Garde" w:hAnsi="ITC Avant Garde"/>
                <w:i/>
                <w:sz w:val="18"/>
                <w:szCs w:val="18"/>
              </w:rPr>
            </w:pPr>
            <w:r w:rsidRPr="00A93B09">
              <w:rPr>
                <w:rFonts w:ascii="ITC Avant Garde" w:hAnsi="ITC Avant Garde"/>
                <w:i/>
                <w:sz w:val="18"/>
                <w:szCs w:val="18"/>
              </w:rPr>
              <w:t>I. Nombre o denominación del denunciante;</w:t>
            </w:r>
          </w:p>
          <w:p w14:paraId="44EAD5C1" w14:textId="77777777" w:rsidR="00A93B09" w:rsidRDefault="00A93B09">
            <w:pPr>
              <w:spacing w:after="120" w:line="240" w:lineRule="auto"/>
              <w:jc w:val="both"/>
              <w:rPr>
                <w:rFonts w:ascii="ITC Avant Garde" w:hAnsi="ITC Avant Garde"/>
                <w:i/>
                <w:sz w:val="18"/>
                <w:szCs w:val="18"/>
              </w:rPr>
            </w:pPr>
            <w:r w:rsidRPr="00A93B09">
              <w:rPr>
                <w:rFonts w:ascii="ITC Avant Garde" w:hAnsi="ITC Avant Garde"/>
                <w:i/>
                <w:sz w:val="18"/>
                <w:szCs w:val="18"/>
              </w:rPr>
              <w:t xml:space="preserve">II. Tipo de procedimiento que se tramita; </w:t>
            </w:r>
          </w:p>
          <w:p w14:paraId="00172E00" w14:textId="77777777" w:rsidR="00A93B09" w:rsidRDefault="00A93B09">
            <w:pPr>
              <w:spacing w:after="120" w:line="240" w:lineRule="auto"/>
              <w:jc w:val="both"/>
              <w:rPr>
                <w:rFonts w:ascii="ITC Avant Garde" w:hAnsi="ITC Avant Garde"/>
                <w:i/>
                <w:sz w:val="18"/>
                <w:szCs w:val="18"/>
              </w:rPr>
            </w:pPr>
            <w:r w:rsidRPr="00A93B09">
              <w:rPr>
                <w:rFonts w:ascii="ITC Avant Garde" w:hAnsi="ITC Avant Garde"/>
                <w:i/>
                <w:sz w:val="18"/>
                <w:szCs w:val="18"/>
              </w:rPr>
              <w:t>III. Listado de los archivos electrónicos o digitalizados que, en su caso, se hayan adjuntado a la denuncia, y</w:t>
            </w:r>
          </w:p>
          <w:p w14:paraId="144C6429" w14:textId="77777777" w:rsidR="00A93B09" w:rsidRDefault="00A93B09">
            <w:pPr>
              <w:spacing w:after="120" w:line="240" w:lineRule="auto"/>
              <w:jc w:val="both"/>
              <w:rPr>
                <w:rFonts w:ascii="ITC Avant Garde" w:hAnsi="ITC Avant Garde"/>
                <w:i/>
                <w:sz w:val="18"/>
                <w:szCs w:val="18"/>
              </w:rPr>
            </w:pPr>
            <w:r w:rsidRPr="00A93B09">
              <w:rPr>
                <w:rFonts w:ascii="ITC Avant Garde" w:hAnsi="ITC Avant Garde"/>
                <w:i/>
                <w:sz w:val="18"/>
                <w:szCs w:val="18"/>
              </w:rPr>
              <w:t>IV. Fecha y hora de recepción</w:t>
            </w:r>
          </w:p>
          <w:p w14:paraId="51AB282D" w14:textId="77777777" w:rsidR="00065686" w:rsidRPr="00A93B09" w:rsidRDefault="00065686">
            <w:pPr>
              <w:spacing w:after="120" w:line="240" w:lineRule="auto"/>
              <w:jc w:val="both"/>
              <w:rPr>
                <w:rFonts w:ascii="ITC Avant Garde" w:hAnsi="ITC Avant Garde"/>
                <w:i/>
                <w:sz w:val="18"/>
                <w:szCs w:val="18"/>
              </w:rPr>
            </w:pPr>
            <w:r w:rsidRPr="00A93B09">
              <w:rPr>
                <w:rFonts w:ascii="ITC Avant Garde" w:hAnsi="ITC Avant Garde"/>
                <w:i/>
                <w:sz w:val="18"/>
                <w:szCs w:val="18"/>
              </w:rPr>
              <w:t>Adicionar: fecha del acuerdo y número de acuerdo, mismo que deberá estar referido en el acuse de recepción del acuerdo.</w:t>
            </w:r>
          </w:p>
        </w:tc>
      </w:tr>
    </w:tbl>
    <w:p w14:paraId="2D823D00" w14:textId="719A3232" w:rsidR="00A93B09" w:rsidRDefault="00A93B09" w:rsidP="00C43007">
      <w:pPr>
        <w:spacing w:after="120" w:line="240" w:lineRule="auto"/>
        <w:jc w:val="both"/>
        <w:rPr>
          <w:rFonts w:ascii="ITC Avant Garde" w:hAnsi="ITC Avant Garde"/>
          <w:b/>
        </w:rPr>
      </w:pPr>
    </w:p>
    <w:p w14:paraId="4384A931" w14:textId="74D8963A" w:rsidR="004A15D9" w:rsidRDefault="004A15D9" w:rsidP="00C43007">
      <w:pPr>
        <w:spacing w:after="120" w:line="240" w:lineRule="auto"/>
        <w:jc w:val="both"/>
        <w:rPr>
          <w:rFonts w:ascii="ITC Avant Garde" w:hAnsi="ITC Avant Garde"/>
          <w:b/>
        </w:rPr>
      </w:pPr>
    </w:p>
    <w:p w14:paraId="34081772" w14:textId="77777777" w:rsidR="004A15D9" w:rsidRDefault="004A15D9" w:rsidP="00C43007">
      <w:pPr>
        <w:spacing w:after="120" w:line="240" w:lineRule="auto"/>
        <w:jc w:val="both"/>
        <w:rPr>
          <w:rFonts w:ascii="ITC Avant Garde" w:hAnsi="ITC Avant Garde"/>
          <w:b/>
        </w:rPr>
      </w:pPr>
    </w:p>
    <w:p w14:paraId="786AF0B4" w14:textId="77777777" w:rsidR="00353E8D" w:rsidRDefault="00353E8D" w:rsidP="00C43007">
      <w:pPr>
        <w:spacing w:after="120" w:line="240" w:lineRule="auto"/>
        <w:jc w:val="both"/>
        <w:rPr>
          <w:rFonts w:ascii="ITC Avant Garde" w:hAnsi="ITC Avant Garde"/>
          <w:b/>
        </w:rPr>
      </w:pPr>
      <w:r>
        <w:rPr>
          <w:rFonts w:ascii="ITC Avant Garde" w:hAnsi="ITC Avant Garde"/>
          <w:b/>
        </w:rPr>
        <w:lastRenderedPageBreak/>
        <w:t>Consideraciones</w:t>
      </w:r>
    </w:p>
    <w:p w14:paraId="39A12313" w14:textId="77777777" w:rsidR="00065686" w:rsidRPr="00CE07B4" w:rsidRDefault="00CE07B4">
      <w:pPr>
        <w:spacing w:after="120" w:line="240" w:lineRule="auto"/>
        <w:jc w:val="both"/>
        <w:rPr>
          <w:rFonts w:ascii="ITC Avant Garde" w:hAnsi="ITC Avant Garde"/>
        </w:rPr>
      </w:pPr>
      <w:r>
        <w:rPr>
          <w:rFonts w:ascii="ITC Avant Garde" w:hAnsi="ITC Avant Garde"/>
        </w:rPr>
        <w:t>E</w:t>
      </w:r>
      <w:r w:rsidR="00427BFB">
        <w:rPr>
          <w:rFonts w:ascii="ITC Avant Garde" w:hAnsi="ITC Avant Garde"/>
        </w:rPr>
        <w:t xml:space="preserve">n </w:t>
      </w:r>
      <w:r w:rsidR="00427BFB" w:rsidRPr="00C05574">
        <w:rPr>
          <w:rFonts w:ascii="ITC Avant Garde" w:hAnsi="ITC Avant Garde"/>
        </w:rPr>
        <w:t>el</w:t>
      </w:r>
      <w:r w:rsidR="00065686" w:rsidRPr="00C05574">
        <w:rPr>
          <w:rFonts w:ascii="ITC Avant Garde" w:hAnsi="ITC Avant Garde"/>
        </w:rPr>
        <w:t xml:space="preserve"> artículo 3</w:t>
      </w:r>
      <w:r w:rsidR="00A76343" w:rsidRPr="00C05574">
        <w:rPr>
          <w:rFonts w:ascii="ITC Avant Garde" w:hAnsi="ITC Avant Garde"/>
        </w:rPr>
        <w:t>5</w:t>
      </w:r>
      <w:r w:rsidR="00065686" w:rsidRPr="00065686">
        <w:rPr>
          <w:rFonts w:ascii="ITC Avant Garde" w:hAnsi="ITC Avant Garde"/>
        </w:rPr>
        <w:t xml:space="preserve"> de las Disposiciones Regulatorias</w:t>
      </w:r>
      <w:r w:rsidR="00065686">
        <w:rPr>
          <w:rFonts w:ascii="ITC Avant Garde" w:hAnsi="ITC Avant Garde"/>
        </w:rPr>
        <w:t xml:space="preserve"> </w:t>
      </w:r>
      <w:r w:rsidR="00427BFB">
        <w:rPr>
          <w:rFonts w:ascii="ITC Avant Garde" w:hAnsi="ITC Avant Garde"/>
        </w:rPr>
        <w:t>se indica la información que deberá contener el acuerdo que recaiga a toda promoción</w:t>
      </w:r>
      <w:r>
        <w:rPr>
          <w:rFonts w:ascii="ITC Avant Garde" w:hAnsi="ITC Avant Garde"/>
        </w:rPr>
        <w:t>,</w:t>
      </w:r>
      <w:r w:rsidR="00427BFB">
        <w:rPr>
          <w:rFonts w:ascii="ITC Avant Garde" w:hAnsi="ITC Avant Garde"/>
        </w:rPr>
        <w:t xml:space="preserve"> como </w:t>
      </w:r>
      <w:r w:rsidR="000978A7">
        <w:rPr>
          <w:rFonts w:ascii="ITC Avant Garde" w:hAnsi="ITC Avant Garde"/>
        </w:rPr>
        <w:t xml:space="preserve">lo es </w:t>
      </w:r>
      <w:r w:rsidR="00065686" w:rsidRPr="00065686">
        <w:rPr>
          <w:rFonts w:ascii="ITC Avant Garde" w:hAnsi="ITC Avant Garde"/>
        </w:rPr>
        <w:t>la fecha de su emisión, fecha de</w:t>
      </w:r>
      <w:r w:rsidR="00BC5018">
        <w:rPr>
          <w:rFonts w:ascii="ITC Avant Garde" w:hAnsi="ITC Avant Garde"/>
        </w:rPr>
        <w:t xml:space="preserve"> </w:t>
      </w:r>
      <w:r w:rsidR="00065686" w:rsidRPr="00065686">
        <w:rPr>
          <w:rFonts w:ascii="ITC Avant Garde" w:hAnsi="ITC Avant Garde"/>
        </w:rPr>
        <w:t xml:space="preserve">recepción, síntesis de la promoción, la motivación, los fundamentos de su </w:t>
      </w:r>
      <w:r w:rsidR="009F0621">
        <w:rPr>
          <w:rFonts w:ascii="ITC Avant Garde" w:hAnsi="ITC Avant Garde"/>
        </w:rPr>
        <w:t xml:space="preserve">emisión y la firma del servidor </w:t>
      </w:r>
      <w:r w:rsidR="00065686" w:rsidRPr="00065686">
        <w:rPr>
          <w:rFonts w:ascii="ITC Avant Garde" w:hAnsi="ITC Avant Garde"/>
        </w:rPr>
        <w:t>público competente que lo emite.</w:t>
      </w:r>
    </w:p>
    <w:p w14:paraId="75CB6924" w14:textId="7F0391D0" w:rsidR="00D80F7F" w:rsidRDefault="00CE07B4">
      <w:pPr>
        <w:spacing w:after="120" w:line="240" w:lineRule="auto"/>
        <w:jc w:val="both"/>
        <w:rPr>
          <w:rFonts w:ascii="ITC Avant Garde" w:hAnsi="ITC Avant Garde"/>
        </w:rPr>
      </w:pPr>
      <w:r w:rsidRPr="00CE07B4">
        <w:rPr>
          <w:rFonts w:ascii="ITC Avant Garde" w:hAnsi="ITC Avant Garde"/>
        </w:rPr>
        <w:t xml:space="preserve">Para el caso de las </w:t>
      </w:r>
      <w:r>
        <w:rPr>
          <w:rFonts w:ascii="ITC Avant Garde" w:hAnsi="ITC Avant Garde"/>
        </w:rPr>
        <w:t>actuaciones emitidas por la AI a través del SEPDAI</w:t>
      </w:r>
      <w:r w:rsidRPr="00CE07B4">
        <w:rPr>
          <w:rFonts w:ascii="ITC Avant Garde" w:hAnsi="ITC Avant Garde"/>
        </w:rPr>
        <w:t xml:space="preserve"> </w:t>
      </w:r>
      <w:r w:rsidR="00793DE8">
        <w:rPr>
          <w:rFonts w:ascii="ITC Avant Garde" w:hAnsi="ITC Avant Garde"/>
        </w:rPr>
        <w:t xml:space="preserve">la información deberá ser la misma a la indicada en el párrafo anterior, toda vez que el Anteproyecto de Lineamientos </w:t>
      </w:r>
      <w:r w:rsidR="00C82505">
        <w:rPr>
          <w:rFonts w:ascii="ITC Avant Garde" w:hAnsi="ITC Avant Garde"/>
        </w:rPr>
        <w:t xml:space="preserve">es consistente con </w:t>
      </w:r>
      <w:r w:rsidR="00793DE8">
        <w:rPr>
          <w:rFonts w:ascii="ITC Avant Garde" w:hAnsi="ITC Avant Garde"/>
        </w:rPr>
        <w:t>lo establecido en las Disposiciones Regulatorias</w:t>
      </w:r>
      <w:r w:rsidR="00FB7F35">
        <w:rPr>
          <w:rFonts w:ascii="ITC Avant Garde" w:hAnsi="ITC Avant Garde"/>
        </w:rPr>
        <w:t>;</w:t>
      </w:r>
      <w:r w:rsidR="00793DE8">
        <w:rPr>
          <w:rFonts w:ascii="ITC Avant Garde" w:hAnsi="ITC Avant Garde"/>
        </w:rPr>
        <w:t xml:space="preserve"> </w:t>
      </w:r>
      <w:r w:rsidR="00FB7F35">
        <w:rPr>
          <w:rFonts w:ascii="ITC Avant Garde" w:hAnsi="ITC Avant Garde"/>
        </w:rPr>
        <w:t>por tanto,</w:t>
      </w:r>
      <w:r w:rsidR="00793DE8">
        <w:rPr>
          <w:rFonts w:ascii="ITC Avant Garde" w:hAnsi="ITC Avant Garde"/>
        </w:rPr>
        <w:t xml:space="preserve"> el artículo 12 del Anteproyecto de Lineamientos establece</w:t>
      </w:r>
      <w:r w:rsidR="002778DF">
        <w:rPr>
          <w:rFonts w:ascii="ITC Avant Garde" w:hAnsi="ITC Avant Garde"/>
        </w:rPr>
        <w:t xml:space="preserve"> únicamente</w:t>
      </w:r>
      <w:r w:rsidR="00793DE8">
        <w:rPr>
          <w:rFonts w:ascii="ITC Avant Garde" w:hAnsi="ITC Avant Garde"/>
        </w:rPr>
        <w:t xml:space="preserve"> información </w:t>
      </w:r>
      <w:r w:rsidR="002778DF">
        <w:rPr>
          <w:rFonts w:ascii="ITC Avant Garde" w:hAnsi="ITC Avant Garde"/>
        </w:rPr>
        <w:t xml:space="preserve">adicional </w:t>
      </w:r>
      <w:r w:rsidR="00793DE8">
        <w:rPr>
          <w:rFonts w:ascii="ITC Avant Garde" w:hAnsi="ITC Avant Garde"/>
        </w:rPr>
        <w:t>de carácter técnico que deben contener las actuaciones de la AI emitidas a través de medios electrónicos, como el folio electrónico asignado a la denuncia y</w:t>
      </w:r>
      <w:r w:rsidR="00D80F7F">
        <w:rPr>
          <w:rFonts w:ascii="ITC Avant Garde" w:hAnsi="ITC Avant Garde"/>
        </w:rPr>
        <w:t xml:space="preserve"> la</w:t>
      </w:r>
      <w:r w:rsidR="00793DE8">
        <w:rPr>
          <w:rFonts w:ascii="ITC Avant Garde" w:hAnsi="ITC Avant Garde"/>
        </w:rPr>
        <w:t xml:space="preserve"> f</w:t>
      </w:r>
      <w:r w:rsidR="00793DE8" w:rsidRPr="00BC73D5">
        <w:rPr>
          <w:rFonts w:ascii="ITC Avant Garde" w:hAnsi="ITC Avant Garde"/>
        </w:rPr>
        <w:t>irma electrónica avanzada emitida por el S</w:t>
      </w:r>
      <w:r w:rsidR="00037FA5">
        <w:rPr>
          <w:rFonts w:ascii="ITC Avant Garde" w:hAnsi="ITC Avant Garde"/>
        </w:rPr>
        <w:t xml:space="preserve">AT </w:t>
      </w:r>
      <w:r w:rsidR="00793DE8" w:rsidRPr="00BC73D5">
        <w:rPr>
          <w:rFonts w:ascii="ITC Avant Garde" w:hAnsi="ITC Avant Garde"/>
        </w:rPr>
        <w:t xml:space="preserve">del servidor público de la </w:t>
      </w:r>
      <w:r w:rsidR="00D80F7F">
        <w:rPr>
          <w:rFonts w:ascii="ITC Avant Garde" w:hAnsi="ITC Avant Garde"/>
        </w:rPr>
        <w:t>AI</w:t>
      </w:r>
      <w:r w:rsidR="00793DE8" w:rsidRPr="00BC73D5">
        <w:rPr>
          <w:rFonts w:ascii="ITC Avant Garde" w:hAnsi="ITC Avant Garde"/>
        </w:rPr>
        <w:t xml:space="preserve"> que emita el acuerdo.</w:t>
      </w:r>
    </w:p>
    <w:p w14:paraId="178D70BC" w14:textId="77777777" w:rsidR="004D318A" w:rsidRDefault="004D318A">
      <w:pPr>
        <w:spacing w:after="120" w:line="240" w:lineRule="auto"/>
        <w:jc w:val="both"/>
        <w:rPr>
          <w:rFonts w:ascii="ITC Avant Garde" w:hAnsi="ITC Avant Garde"/>
        </w:rPr>
      </w:pPr>
      <w:r>
        <w:rPr>
          <w:rFonts w:ascii="ITC Avant Garde" w:hAnsi="ITC Avant Garde"/>
        </w:rPr>
        <w:t>Así, se considera improcedente lo solicitado por Bestphone y otros.</w:t>
      </w:r>
    </w:p>
    <w:p w14:paraId="2E91F8A5" w14:textId="09619A83" w:rsidR="00353E8D" w:rsidRDefault="00353E8D">
      <w:pPr>
        <w:spacing w:after="120" w:line="240" w:lineRule="auto"/>
        <w:jc w:val="both"/>
        <w:rPr>
          <w:rFonts w:ascii="ITC Avant Garde" w:hAnsi="ITC Avant Garde"/>
          <w:b/>
        </w:rPr>
      </w:pPr>
      <w:r>
        <w:rPr>
          <w:rFonts w:ascii="ITC Avant Garde" w:hAnsi="ITC Avant Garde"/>
          <w:b/>
        </w:rPr>
        <w:t>Comentario recibido al artículo 14</w:t>
      </w:r>
    </w:p>
    <w:p w14:paraId="30FC9D78" w14:textId="02A5B6EF" w:rsidR="00DA1957" w:rsidRDefault="00DA1957">
      <w:pPr>
        <w:spacing w:after="120" w:line="240" w:lineRule="auto"/>
        <w:jc w:val="both"/>
        <w:rPr>
          <w:rFonts w:ascii="ITC Avant Garde" w:hAnsi="ITC Avant Garde"/>
        </w:rPr>
      </w:pPr>
      <w:r w:rsidRPr="00DA1957">
        <w:rPr>
          <w:rFonts w:ascii="ITC Avant Garde" w:hAnsi="ITC Avant Garde"/>
        </w:rPr>
        <w:t xml:space="preserve">Bestphone </w:t>
      </w:r>
      <w:r w:rsidR="00127666">
        <w:rPr>
          <w:rFonts w:ascii="ITC Avant Garde" w:hAnsi="ITC Avant Garde"/>
        </w:rPr>
        <w:t xml:space="preserve">y otros </w:t>
      </w:r>
      <w:r w:rsidR="00E83DF4">
        <w:rPr>
          <w:rFonts w:ascii="ITC Avant Garde" w:hAnsi="ITC Avant Garde"/>
        </w:rPr>
        <w:t xml:space="preserve">presentaron el comentario siguiente: </w:t>
      </w:r>
    </w:p>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1E7B12" w:rsidRPr="005F7866" w14:paraId="3138FFC7" w14:textId="77777777" w:rsidTr="00570E4A">
        <w:trPr>
          <w:trHeight w:val="276"/>
        </w:trPr>
        <w:tc>
          <w:tcPr>
            <w:tcW w:w="8931" w:type="dxa"/>
            <w:shd w:val="clear" w:color="auto" w:fill="538135" w:themeFill="accent6" w:themeFillShade="BF"/>
          </w:tcPr>
          <w:p w14:paraId="22B913CA" w14:textId="77777777" w:rsidR="001E7B12" w:rsidRPr="00412A3E" w:rsidRDefault="0097478C" w:rsidP="00C43007">
            <w:pPr>
              <w:pStyle w:val="Default"/>
              <w:spacing w:after="120"/>
              <w:jc w:val="center"/>
              <w:rPr>
                <w:rFonts w:ascii="ITC Avant Garde" w:hAnsi="ITC Avant Garde"/>
                <w:i/>
                <w:sz w:val="20"/>
                <w:szCs w:val="20"/>
              </w:rPr>
            </w:pPr>
            <w:r>
              <w:rPr>
                <w:rFonts w:ascii="ITC Avant Garde" w:hAnsi="ITC Avant Garde" w:cs="ITC Avant Garde"/>
                <w:b/>
                <w:color w:val="FFFFFF" w:themeColor="background1"/>
                <w:sz w:val="20"/>
                <w:szCs w:val="20"/>
              </w:rPr>
              <w:t>Bestphone y otros</w:t>
            </w:r>
          </w:p>
        </w:tc>
      </w:tr>
      <w:tr w:rsidR="00157A43" w:rsidRPr="00CC0C98" w14:paraId="4B11F208" w14:textId="77777777" w:rsidTr="00485AB3">
        <w:trPr>
          <w:trHeight w:val="583"/>
        </w:trPr>
        <w:tc>
          <w:tcPr>
            <w:tcW w:w="8931" w:type="dxa"/>
            <w:shd w:val="clear" w:color="auto" w:fill="C5E0B3" w:themeFill="accent6" w:themeFillTint="66"/>
            <w:vAlign w:val="center"/>
          </w:tcPr>
          <w:p w14:paraId="72B95580" w14:textId="77777777" w:rsidR="00157A43" w:rsidRPr="00157A43" w:rsidRDefault="00157A43" w:rsidP="00C43007">
            <w:pPr>
              <w:spacing w:after="120" w:line="240" w:lineRule="auto"/>
              <w:jc w:val="both"/>
              <w:rPr>
                <w:rFonts w:ascii="ITC Avant Garde" w:hAnsi="ITC Avant Garde"/>
                <w:i/>
                <w:sz w:val="18"/>
                <w:szCs w:val="18"/>
              </w:rPr>
            </w:pPr>
            <w:r w:rsidRPr="00157A43">
              <w:rPr>
                <w:rFonts w:ascii="ITC Avant Garde" w:hAnsi="ITC Avant Garde"/>
                <w:i/>
                <w:sz w:val="18"/>
                <w:szCs w:val="18"/>
              </w:rPr>
              <w:t>Precisar que: el sistema estará en funcionamiento y “podrán accesar quienes hayan gestionado su acceso” incluso en días y horas inhábiles del Instituto.</w:t>
            </w:r>
          </w:p>
        </w:tc>
      </w:tr>
    </w:tbl>
    <w:p w14:paraId="0A7EF15B" w14:textId="77777777" w:rsidR="00157A43" w:rsidRDefault="00157A43" w:rsidP="00C43007">
      <w:pPr>
        <w:spacing w:after="120" w:line="240" w:lineRule="auto"/>
        <w:jc w:val="both"/>
        <w:rPr>
          <w:rFonts w:ascii="ITC Avant Garde" w:hAnsi="ITC Avant Garde"/>
          <w:b/>
        </w:rPr>
      </w:pPr>
    </w:p>
    <w:p w14:paraId="42FDD85F" w14:textId="77777777" w:rsidR="00353E8D" w:rsidRDefault="00353E8D" w:rsidP="00C43007">
      <w:pPr>
        <w:spacing w:after="120" w:line="240" w:lineRule="auto"/>
        <w:jc w:val="both"/>
        <w:rPr>
          <w:rFonts w:ascii="ITC Avant Garde" w:hAnsi="ITC Avant Garde"/>
          <w:b/>
        </w:rPr>
      </w:pPr>
      <w:r>
        <w:rPr>
          <w:rFonts w:ascii="ITC Avant Garde" w:hAnsi="ITC Avant Garde"/>
          <w:b/>
        </w:rPr>
        <w:t>Consideraciones</w:t>
      </w:r>
    </w:p>
    <w:p w14:paraId="2163B6BC" w14:textId="77777777" w:rsidR="003D7AEC" w:rsidRPr="003D7AEC" w:rsidRDefault="003D7AEC" w:rsidP="00C43007">
      <w:pPr>
        <w:spacing w:after="120" w:line="240" w:lineRule="auto"/>
        <w:jc w:val="both"/>
        <w:rPr>
          <w:rFonts w:ascii="ITC Avant Garde" w:hAnsi="ITC Avant Garde"/>
        </w:rPr>
      </w:pPr>
      <w:r w:rsidRPr="003D7AEC">
        <w:rPr>
          <w:rFonts w:ascii="ITC Avant Garde" w:hAnsi="ITC Avant Garde"/>
        </w:rPr>
        <w:t>En atención al comentario anterior, se realizan las siguientes precisiones:</w:t>
      </w:r>
    </w:p>
    <w:tbl>
      <w:tblPr>
        <w:tblStyle w:val="Tablaconcuadrcula"/>
        <w:tblW w:w="0" w:type="auto"/>
        <w:jc w:val="center"/>
        <w:tblLook w:val="04A0" w:firstRow="1" w:lastRow="0" w:firstColumn="1" w:lastColumn="0" w:noHBand="0" w:noVBand="1"/>
      </w:tblPr>
      <w:tblGrid>
        <w:gridCol w:w="4394"/>
        <w:gridCol w:w="4394"/>
      </w:tblGrid>
      <w:tr w:rsidR="002C4801" w:rsidRPr="005F7866" w14:paraId="3E96B99C" w14:textId="77777777" w:rsidTr="003F5FF3">
        <w:trPr>
          <w:jc w:val="center"/>
        </w:trPr>
        <w:tc>
          <w:tcPr>
            <w:tcW w:w="4394" w:type="dxa"/>
            <w:shd w:val="clear" w:color="auto" w:fill="538135" w:themeFill="accent6" w:themeFillShade="BF"/>
          </w:tcPr>
          <w:p w14:paraId="2A29D691" w14:textId="2A67B2A3" w:rsidR="002C4801" w:rsidRPr="005F7866" w:rsidRDefault="002C4801" w:rsidP="00C43007">
            <w:pPr>
              <w:spacing w:after="12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Anteproyecto</w:t>
            </w:r>
            <w:r>
              <w:rPr>
                <w:rFonts w:ascii="ITC Avant Garde" w:hAnsi="ITC Avant Garde"/>
                <w:b/>
                <w:color w:val="FFFFFF" w:themeColor="background1"/>
                <w:sz w:val="18"/>
                <w:szCs w:val="18"/>
              </w:rPr>
              <w:t xml:space="preserve"> de Lineamientos</w:t>
            </w:r>
          </w:p>
        </w:tc>
        <w:tc>
          <w:tcPr>
            <w:tcW w:w="4394" w:type="dxa"/>
            <w:shd w:val="clear" w:color="auto" w:fill="538135" w:themeFill="accent6" w:themeFillShade="BF"/>
          </w:tcPr>
          <w:p w14:paraId="221945C7" w14:textId="54E5539A" w:rsidR="002C4801" w:rsidRPr="005F7866" w:rsidRDefault="002C4801" w:rsidP="00C43007">
            <w:pPr>
              <w:spacing w:after="120" w:line="240" w:lineRule="auto"/>
              <w:jc w:val="center"/>
              <w:rPr>
                <w:rFonts w:ascii="ITC Avant Garde" w:hAnsi="ITC Avant Garde"/>
                <w:b/>
                <w:color w:val="FFFFFF" w:themeColor="background1"/>
                <w:sz w:val="18"/>
                <w:szCs w:val="18"/>
              </w:rPr>
            </w:pPr>
            <w:r>
              <w:rPr>
                <w:rFonts w:ascii="ITC Avant Garde" w:hAnsi="ITC Avant Garde"/>
                <w:b/>
                <w:color w:val="FFFFFF" w:themeColor="background1"/>
                <w:sz w:val="18"/>
                <w:szCs w:val="18"/>
              </w:rPr>
              <w:t>Modificación al Anteproyecto de Lineamientos</w:t>
            </w:r>
            <w:r w:rsidRPr="005F7866">
              <w:rPr>
                <w:rStyle w:val="Refdenotaalpie"/>
                <w:rFonts w:ascii="ITC Avant Garde" w:hAnsi="ITC Avant Garde"/>
                <w:b/>
                <w:color w:val="FFFFFF" w:themeColor="background1"/>
                <w:sz w:val="18"/>
                <w:szCs w:val="18"/>
              </w:rPr>
              <w:footnoteReference w:id="5"/>
            </w:r>
          </w:p>
        </w:tc>
      </w:tr>
      <w:tr w:rsidR="003D7AEC" w:rsidRPr="005F7866" w14:paraId="6623BCE0" w14:textId="77777777" w:rsidTr="003F5FF3">
        <w:trPr>
          <w:jc w:val="center"/>
        </w:trPr>
        <w:tc>
          <w:tcPr>
            <w:tcW w:w="4394" w:type="dxa"/>
            <w:shd w:val="clear" w:color="auto" w:fill="C5E0B3" w:themeFill="accent6" w:themeFillTint="66"/>
          </w:tcPr>
          <w:p w14:paraId="375B791A" w14:textId="77777777" w:rsidR="003D7AEC" w:rsidRPr="003D7AEC" w:rsidRDefault="003D7AEC">
            <w:pPr>
              <w:pStyle w:val="Textocomentario"/>
              <w:spacing w:after="120" w:line="240" w:lineRule="auto"/>
              <w:jc w:val="both"/>
              <w:rPr>
                <w:rFonts w:ascii="ITC Avant Garde" w:hAnsi="ITC Avant Garde"/>
                <w:sz w:val="18"/>
                <w:szCs w:val="18"/>
              </w:rPr>
            </w:pPr>
            <w:r w:rsidRPr="003D7AEC">
              <w:rPr>
                <w:rFonts w:ascii="ITC Avant Garde" w:hAnsi="ITC Avant Garde"/>
                <w:b/>
                <w:sz w:val="18"/>
                <w:szCs w:val="18"/>
              </w:rPr>
              <w:t xml:space="preserve">Artículo 14. </w:t>
            </w:r>
            <w:r w:rsidRPr="003D7AEC">
              <w:rPr>
                <w:rFonts w:ascii="ITC Avant Garde" w:hAnsi="ITC Avant Garde"/>
                <w:sz w:val="18"/>
                <w:szCs w:val="18"/>
              </w:rPr>
              <w:t>El SEPDAI se encontrará en funcionamiento todo el tiempo; sin embargo, el cómputo de los plazos referidos en los presentes Lineamientos se hará en días hábiles, de conformidad con el calendario anual de labores que para tal efecto emita el Pleno del Instituto.</w:t>
            </w:r>
          </w:p>
          <w:p w14:paraId="4B41B5B5" w14:textId="77777777" w:rsidR="003D7AEC" w:rsidRPr="0043493E" w:rsidRDefault="003D7AEC">
            <w:pPr>
              <w:pStyle w:val="Textoindependiente"/>
              <w:spacing w:line="240" w:lineRule="auto"/>
              <w:jc w:val="both"/>
              <w:rPr>
                <w:rFonts w:ascii="ITC Avant Garde" w:hAnsi="ITC Avant Garde"/>
                <w:sz w:val="18"/>
                <w:szCs w:val="18"/>
              </w:rPr>
            </w:pPr>
          </w:p>
        </w:tc>
        <w:tc>
          <w:tcPr>
            <w:tcW w:w="4394" w:type="dxa"/>
            <w:shd w:val="clear" w:color="auto" w:fill="C5E0B3" w:themeFill="accent6" w:themeFillTint="66"/>
          </w:tcPr>
          <w:p w14:paraId="32E4C3BC" w14:textId="481EF707" w:rsidR="003D7AEC" w:rsidRPr="003D7AEC" w:rsidRDefault="003D7AEC">
            <w:pPr>
              <w:pStyle w:val="Textocomentario"/>
              <w:spacing w:after="120" w:line="240" w:lineRule="auto"/>
              <w:jc w:val="both"/>
              <w:rPr>
                <w:rFonts w:ascii="ITC Avant Garde" w:hAnsi="ITC Avant Garde"/>
                <w:sz w:val="18"/>
                <w:szCs w:val="18"/>
              </w:rPr>
            </w:pPr>
            <w:r w:rsidRPr="003D7AEC">
              <w:rPr>
                <w:rFonts w:ascii="ITC Avant Garde" w:hAnsi="ITC Avant Garde"/>
                <w:b/>
                <w:sz w:val="18"/>
                <w:szCs w:val="18"/>
              </w:rPr>
              <w:t xml:space="preserve">Artículo 14. </w:t>
            </w:r>
            <w:r w:rsidRPr="003D7AEC">
              <w:rPr>
                <w:rFonts w:ascii="ITC Avant Garde" w:hAnsi="ITC Avant Garde"/>
                <w:sz w:val="18"/>
                <w:szCs w:val="18"/>
              </w:rPr>
              <w:t>El SEPDAI se encontrará</w:t>
            </w:r>
            <w:r>
              <w:rPr>
                <w:rFonts w:ascii="ITC Avant Garde" w:hAnsi="ITC Avant Garde"/>
                <w:sz w:val="18"/>
                <w:szCs w:val="18"/>
                <w:lang w:val="es-MX"/>
              </w:rPr>
              <w:t xml:space="preserve"> disponible y</w:t>
            </w:r>
            <w:r w:rsidR="00A47CEB">
              <w:rPr>
                <w:rFonts w:ascii="ITC Avant Garde" w:hAnsi="ITC Avant Garde"/>
                <w:sz w:val="18"/>
                <w:szCs w:val="18"/>
                <w:lang w:val="es-MX"/>
              </w:rPr>
              <w:t xml:space="preserve"> </w:t>
            </w:r>
            <w:r w:rsidRPr="003D7AEC">
              <w:rPr>
                <w:rFonts w:ascii="ITC Avant Garde" w:hAnsi="ITC Avant Garde"/>
                <w:sz w:val="18"/>
                <w:szCs w:val="18"/>
              </w:rPr>
              <w:t>en funcionamiento</w:t>
            </w:r>
            <w:r>
              <w:rPr>
                <w:rFonts w:ascii="ITC Avant Garde" w:hAnsi="ITC Avant Garde"/>
                <w:sz w:val="18"/>
                <w:szCs w:val="18"/>
                <w:lang w:val="es-MX"/>
              </w:rPr>
              <w:t xml:space="preserve"> </w:t>
            </w:r>
            <w:r w:rsidRPr="003D7AEC">
              <w:rPr>
                <w:rFonts w:ascii="ITC Avant Garde" w:hAnsi="ITC Avant Garde"/>
                <w:sz w:val="18"/>
                <w:szCs w:val="18"/>
                <w:u w:val="single"/>
                <w:lang w:val="es-MX"/>
              </w:rPr>
              <w:t xml:space="preserve">las </w:t>
            </w:r>
            <w:r w:rsidR="00C62830">
              <w:rPr>
                <w:rFonts w:ascii="ITC Avant Garde" w:hAnsi="ITC Avant Garde"/>
                <w:sz w:val="18"/>
                <w:szCs w:val="18"/>
                <w:u w:val="single"/>
                <w:lang w:val="es-MX"/>
              </w:rPr>
              <w:t>24</w:t>
            </w:r>
            <w:r w:rsidRPr="003D7AEC">
              <w:rPr>
                <w:rFonts w:ascii="ITC Avant Garde" w:hAnsi="ITC Avant Garde"/>
                <w:sz w:val="18"/>
                <w:szCs w:val="18"/>
                <w:u w:val="single"/>
                <w:lang w:val="es-MX"/>
              </w:rPr>
              <w:t xml:space="preserve"> horas de los 365 días del año</w:t>
            </w:r>
            <w:r w:rsidRPr="003D7AEC">
              <w:rPr>
                <w:rFonts w:ascii="ITC Avant Garde" w:hAnsi="ITC Avant Garde"/>
                <w:sz w:val="18"/>
                <w:szCs w:val="18"/>
              </w:rPr>
              <w:t>; sin embargo, el cómputo de los plazos referidos en los presentes Lineamientos se hará en días hábiles, de conformidad con el calendario anual de labores que para tal efecto emita el Pleno del Instituto.</w:t>
            </w:r>
          </w:p>
          <w:p w14:paraId="0D35DB1E" w14:textId="77777777" w:rsidR="003D7AEC" w:rsidRPr="005F7866" w:rsidRDefault="003D7AEC">
            <w:pPr>
              <w:pStyle w:val="Textoindependiente"/>
              <w:spacing w:line="240" w:lineRule="auto"/>
              <w:jc w:val="both"/>
              <w:rPr>
                <w:rFonts w:ascii="ITC Avant Garde" w:hAnsi="ITC Avant Garde"/>
                <w:sz w:val="18"/>
                <w:szCs w:val="18"/>
              </w:rPr>
            </w:pPr>
          </w:p>
        </w:tc>
      </w:tr>
    </w:tbl>
    <w:p w14:paraId="0411D94F" w14:textId="77777777" w:rsidR="005B3DE0" w:rsidRDefault="005B3DE0">
      <w:pPr>
        <w:spacing w:after="120" w:line="240" w:lineRule="auto"/>
        <w:jc w:val="both"/>
        <w:rPr>
          <w:rFonts w:ascii="ITC Avant Garde" w:hAnsi="ITC Avant Garde"/>
          <w:b/>
        </w:rPr>
      </w:pPr>
    </w:p>
    <w:p w14:paraId="3BCA6FCF" w14:textId="77777777" w:rsidR="00353E8D" w:rsidRDefault="00353E8D">
      <w:pPr>
        <w:spacing w:after="120" w:line="240" w:lineRule="auto"/>
        <w:jc w:val="both"/>
        <w:rPr>
          <w:rFonts w:ascii="ITC Avant Garde" w:hAnsi="ITC Avant Garde"/>
          <w:b/>
        </w:rPr>
      </w:pPr>
      <w:r>
        <w:rPr>
          <w:rFonts w:ascii="ITC Avant Garde" w:hAnsi="ITC Avant Garde"/>
          <w:b/>
        </w:rPr>
        <w:t>Comentarios recibidos al artículo 15</w:t>
      </w:r>
    </w:p>
    <w:p w14:paraId="6030364F" w14:textId="432907E8" w:rsidR="003A0BA1" w:rsidRPr="00152ABA" w:rsidRDefault="006F1360">
      <w:pPr>
        <w:spacing w:after="120" w:line="240" w:lineRule="auto"/>
        <w:jc w:val="both"/>
        <w:rPr>
          <w:rFonts w:ascii="ITC Avant Garde" w:hAnsi="ITC Avant Garde"/>
        </w:rPr>
      </w:pPr>
      <w:r w:rsidRPr="0056254B">
        <w:rPr>
          <w:rFonts w:ascii="ITC Avant Garde" w:hAnsi="ITC Avant Garde"/>
        </w:rPr>
        <w:t>AT&amp;T, Telefónica y Bestphone</w:t>
      </w:r>
      <w:r w:rsidR="006A5E6D">
        <w:rPr>
          <w:rFonts w:ascii="ITC Avant Garde" w:hAnsi="ITC Avant Garde"/>
        </w:rPr>
        <w:t xml:space="preserve"> y otros</w:t>
      </w:r>
      <w:r w:rsidRPr="0056254B">
        <w:rPr>
          <w:rFonts w:ascii="ITC Avant Garde" w:hAnsi="ITC Avant Garde"/>
        </w:rPr>
        <w:t xml:space="preserve"> presentaron comentarios </w:t>
      </w:r>
      <w:r w:rsidR="005514FD">
        <w:rPr>
          <w:rFonts w:ascii="ITC Avant Garde" w:hAnsi="ITC Avant Garde"/>
        </w:rPr>
        <w:t>conforme a lo siguiente</w:t>
      </w:r>
      <w:r w:rsidRPr="0056254B">
        <w:rPr>
          <w:rFonts w:ascii="ITC Avant Garde" w:hAnsi="ITC Avant Garde"/>
        </w:rPr>
        <w:t>:</w:t>
      </w:r>
    </w:p>
    <w:tbl>
      <w:tblPr>
        <w:tblStyle w:val="Tabladecuadrcula4-nfasis1"/>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3357"/>
        <w:gridCol w:w="3357"/>
      </w:tblGrid>
      <w:tr w:rsidR="006F1360" w:rsidRPr="00152ABA" w14:paraId="3BDF22E5" w14:textId="77777777" w:rsidTr="000E08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7" w:type="dxa"/>
            <w:tcBorders>
              <w:top w:val="none" w:sz="0" w:space="0" w:color="auto"/>
              <w:left w:val="none" w:sz="0" w:space="0" w:color="auto"/>
              <w:bottom w:val="none" w:sz="0" w:space="0" w:color="auto"/>
              <w:right w:val="none" w:sz="0" w:space="0" w:color="auto"/>
            </w:tcBorders>
            <w:shd w:val="clear" w:color="auto" w:fill="538135" w:themeFill="accent6" w:themeFillShade="BF"/>
          </w:tcPr>
          <w:p w14:paraId="34A053EF" w14:textId="77777777" w:rsidR="006F1360" w:rsidRPr="00152ABA" w:rsidRDefault="006F1360" w:rsidP="00C43007">
            <w:pPr>
              <w:spacing w:after="120" w:line="240" w:lineRule="auto"/>
              <w:jc w:val="center"/>
              <w:rPr>
                <w:rFonts w:ascii="ITC Avant Garde" w:hAnsi="ITC Avant Garde"/>
              </w:rPr>
            </w:pPr>
            <w:r w:rsidRPr="00152ABA">
              <w:rPr>
                <w:rFonts w:ascii="ITC Avant Garde" w:hAnsi="ITC Avant Garde"/>
              </w:rPr>
              <w:t>AT</w:t>
            </w:r>
            <w:r w:rsidR="00B7471C" w:rsidRPr="00152ABA">
              <w:rPr>
                <w:rFonts w:ascii="ITC Avant Garde" w:hAnsi="ITC Avant Garde"/>
              </w:rPr>
              <w:t>&amp;T</w:t>
            </w:r>
          </w:p>
        </w:tc>
        <w:tc>
          <w:tcPr>
            <w:tcW w:w="3357" w:type="dxa"/>
            <w:tcBorders>
              <w:top w:val="none" w:sz="0" w:space="0" w:color="auto"/>
              <w:left w:val="none" w:sz="0" w:space="0" w:color="auto"/>
              <w:bottom w:val="none" w:sz="0" w:space="0" w:color="auto"/>
              <w:right w:val="none" w:sz="0" w:space="0" w:color="auto"/>
            </w:tcBorders>
            <w:shd w:val="clear" w:color="auto" w:fill="538135" w:themeFill="accent6" w:themeFillShade="BF"/>
          </w:tcPr>
          <w:p w14:paraId="05C0CC7F" w14:textId="77777777" w:rsidR="006F1360" w:rsidRPr="00152ABA" w:rsidRDefault="00B7471C" w:rsidP="00C43007">
            <w:pPr>
              <w:spacing w:after="12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rPr>
            </w:pPr>
            <w:r w:rsidRPr="00152ABA">
              <w:rPr>
                <w:rFonts w:ascii="ITC Avant Garde" w:hAnsi="ITC Avant Garde"/>
              </w:rPr>
              <w:t>Telefónica</w:t>
            </w:r>
          </w:p>
        </w:tc>
        <w:tc>
          <w:tcPr>
            <w:tcW w:w="3357" w:type="dxa"/>
            <w:tcBorders>
              <w:top w:val="none" w:sz="0" w:space="0" w:color="auto"/>
              <w:left w:val="none" w:sz="0" w:space="0" w:color="auto"/>
              <w:bottom w:val="none" w:sz="0" w:space="0" w:color="auto"/>
              <w:right w:val="none" w:sz="0" w:space="0" w:color="auto"/>
            </w:tcBorders>
            <w:shd w:val="clear" w:color="auto" w:fill="538135" w:themeFill="accent6" w:themeFillShade="BF"/>
          </w:tcPr>
          <w:p w14:paraId="5071E15A" w14:textId="77777777" w:rsidR="006F1360" w:rsidRPr="0097478C" w:rsidRDefault="0097478C" w:rsidP="00C43007">
            <w:pPr>
              <w:spacing w:after="12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rPr>
            </w:pPr>
            <w:r w:rsidRPr="0097478C">
              <w:rPr>
                <w:rFonts w:ascii="ITC Avant Garde" w:hAnsi="ITC Avant Garde" w:cs="ITC Avant Garde"/>
                <w:sz w:val="20"/>
                <w:szCs w:val="20"/>
              </w:rPr>
              <w:t>Bestphone y otros</w:t>
            </w:r>
          </w:p>
        </w:tc>
      </w:tr>
      <w:tr w:rsidR="006F1360" w14:paraId="7398E81C" w14:textId="77777777" w:rsidTr="000E08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7" w:type="dxa"/>
            <w:shd w:val="clear" w:color="auto" w:fill="C5E0B3" w:themeFill="accent6" w:themeFillTint="66"/>
          </w:tcPr>
          <w:p w14:paraId="7A4A85ED" w14:textId="77777777" w:rsidR="00B7471C" w:rsidRPr="00B7471C" w:rsidRDefault="00B7471C">
            <w:pPr>
              <w:pStyle w:val="Default"/>
              <w:spacing w:after="120"/>
              <w:jc w:val="both"/>
              <w:rPr>
                <w:rFonts w:ascii="ITC Avant Garde" w:hAnsi="ITC Avant Garde"/>
                <w:b w:val="0"/>
                <w:i/>
                <w:sz w:val="18"/>
                <w:szCs w:val="18"/>
              </w:rPr>
            </w:pPr>
            <w:r w:rsidRPr="00B7471C">
              <w:rPr>
                <w:rFonts w:ascii="ITC Avant Garde" w:hAnsi="ITC Avant Garde"/>
                <w:b w:val="0"/>
                <w:i/>
                <w:sz w:val="18"/>
                <w:szCs w:val="18"/>
              </w:rPr>
              <w:t xml:space="preserve">Debe presentarse al día hábil siguiente. </w:t>
            </w:r>
            <w:r w:rsidRPr="00B7471C">
              <w:rPr>
                <w:rFonts w:ascii="ITC Avant Garde" w:hAnsi="ITC Avant Garde"/>
                <w:b w:val="0"/>
                <w:i/>
                <w:sz w:val="18"/>
                <w:szCs w:val="18"/>
              </w:rPr>
              <w:lastRenderedPageBreak/>
              <w:t xml:space="preserve">Tampoco se señala cuál es el plazo por el que el denunciante debe presentar la información en oficialía de partes común si persisten las fallas en el SEPDAI. </w:t>
            </w:r>
          </w:p>
          <w:p w14:paraId="1800D407" w14:textId="77777777" w:rsidR="006F1360" w:rsidRDefault="00B7471C">
            <w:pPr>
              <w:spacing w:after="120" w:line="240" w:lineRule="auto"/>
              <w:jc w:val="both"/>
              <w:rPr>
                <w:rFonts w:ascii="ITC Avant Garde" w:hAnsi="ITC Avant Garde"/>
                <w:b w:val="0"/>
              </w:rPr>
            </w:pPr>
            <w:r w:rsidRPr="00B7471C">
              <w:rPr>
                <w:rFonts w:ascii="ITC Avant Garde" w:hAnsi="ITC Avant Garde"/>
                <w:b w:val="0"/>
                <w:i/>
                <w:sz w:val="18"/>
                <w:szCs w:val="18"/>
              </w:rPr>
              <w:t>La redacción del artículo es muy vaga: ¿Basta con que el denunciante manifieste que el SEPDAI falla? ¿Debe acreditarse?</w:t>
            </w:r>
          </w:p>
        </w:tc>
        <w:tc>
          <w:tcPr>
            <w:tcW w:w="3357" w:type="dxa"/>
            <w:shd w:val="clear" w:color="auto" w:fill="C5E0B3" w:themeFill="accent6" w:themeFillTint="66"/>
          </w:tcPr>
          <w:p w14:paraId="72D2DEFD" w14:textId="77777777" w:rsidR="00B7471C" w:rsidRPr="00B7471C" w:rsidRDefault="00B7471C">
            <w:pPr>
              <w:pStyle w:val="Default"/>
              <w:spacing w:after="120"/>
              <w:jc w:val="both"/>
              <w:cnfStyle w:val="000000100000" w:firstRow="0" w:lastRow="0" w:firstColumn="0" w:lastColumn="0" w:oddVBand="0" w:evenVBand="0" w:oddHBand="1" w:evenHBand="0" w:firstRowFirstColumn="0" w:firstRowLastColumn="0" w:lastRowFirstColumn="0" w:lastRowLastColumn="0"/>
              <w:rPr>
                <w:rFonts w:ascii="ITC Avant Garde" w:hAnsi="ITC Avant Garde"/>
                <w:i/>
                <w:sz w:val="18"/>
                <w:szCs w:val="18"/>
              </w:rPr>
            </w:pPr>
            <w:r w:rsidRPr="00B7471C">
              <w:rPr>
                <w:rFonts w:ascii="ITC Avant Garde" w:hAnsi="ITC Avant Garde"/>
                <w:i/>
                <w:sz w:val="18"/>
                <w:szCs w:val="18"/>
              </w:rPr>
              <w:lastRenderedPageBreak/>
              <w:t xml:space="preserve">El artículo 15 establece que: </w:t>
            </w:r>
            <w:r w:rsidRPr="00B7471C">
              <w:rPr>
                <w:rFonts w:ascii="ITC Avant Garde" w:hAnsi="ITC Avant Garde"/>
                <w:i/>
                <w:iCs/>
                <w:sz w:val="18"/>
                <w:szCs w:val="18"/>
              </w:rPr>
              <w:t>“</w:t>
            </w:r>
            <w:r w:rsidRPr="00B7471C">
              <w:rPr>
                <w:rFonts w:ascii="ITC Avant Garde" w:hAnsi="ITC Avant Garde" w:cs="Calibri"/>
                <w:i/>
                <w:iCs/>
                <w:sz w:val="18"/>
                <w:szCs w:val="18"/>
              </w:rPr>
              <w:t>…</w:t>
            </w:r>
            <w:r w:rsidRPr="00B7471C">
              <w:rPr>
                <w:rFonts w:ascii="ITC Avant Garde" w:hAnsi="ITC Avant Garde"/>
                <w:i/>
                <w:iCs/>
                <w:sz w:val="18"/>
                <w:szCs w:val="18"/>
              </w:rPr>
              <w:t xml:space="preserve">En caso de que el día del vencimiento </w:t>
            </w:r>
            <w:r w:rsidRPr="00B7471C">
              <w:rPr>
                <w:rFonts w:ascii="ITC Avant Garde" w:hAnsi="ITC Avant Garde"/>
                <w:i/>
                <w:iCs/>
                <w:sz w:val="18"/>
                <w:szCs w:val="18"/>
              </w:rPr>
              <w:lastRenderedPageBreak/>
              <w:t xml:space="preserve">de un plazo otorgado al denunciante se presentara una falla en el funcionamiento del SEPDAI, enviará en esa fecha la información y documentos correspondientes al correo electrónico oficialiaai@ift.org.mx y los presentará al día siguiente mediante el SEPDAI. Si persistieran las fallas en el funcionamiento del SEPDAI, el denunciante presentará la información y documentos en la oficialía de partes del Instituto…” </w:t>
            </w:r>
          </w:p>
          <w:p w14:paraId="1EC196EF" w14:textId="77777777" w:rsidR="00B7471C" w:rsidRPr="00B7471C" w:rsidRDefault="00B7471C">
            <w:pPr>
              <w:spacing w:after="120" w:line="240" w:lineRule="auto"/>
              <w:jc w:val="both"/>
              <w:cnfStyle w:val="000000100000" w:firstRow="0" w:lastRow="0" w:firstColumn="0" w:lastColumn="0" w:oddVBand="0" w:evenVBand="0" w:oddHBand="1" w:evenHBand="0" w:firstRowFirstColumn="0" w:firstRowLastColumn="0" w:lastRowFirstColumn="0" w:lastRowLastColumn="0"/>
              <w:rPr>
                <w:rFonts w:ascii="ITC Avant Garde" w:hAnsi="ITC Avant Garde"/>
                <w:i/>
                <w:sz w:val="18"/>
                <w:szCs w:val="18"/>
              </w:rPr>
            </w:pPr>
            <w:r w:rsidRPr="00B7471C">
              <w:rPr>
                <w:rFonts w:ascii="ITC Avant Garde" w:hAnsi="ITC Avant Garde"/>
                <w:i/>
                <w:sz w:val="18"/>
                <w:szCs w:val="18"/>
              </w:rPr>
              <w:t xml:space="preserve">Ahora bien, a fin de brindar seguridad jurídica al denunciante, se considera necesario establecer que ese H. Instituto estará obligado a enviar un correo electrónico al denunciante en el que se deje constancia de la existencia de una falla en el SEPDAI, a fin de que el denunciante esté en posibilidad de contar con algún documento que le permita acreditar dicha circunstancia. En este sentido, se sugiere agregar que, si debido a una falla del SEPDAI la promoción debió presentarse vía correo electrónico, el denunciante puede presentar el escrito respectivo al día siguiente en la Oficialía de Partes de ese H. Instituto, sin la necesidad de que la falla persista. </w:t>
            </w:r>
          </w:p>
          <w:p w14:paraId="03C80E98" w14:textId="77777777" w:rsidR="00B7471C" w:rsidRPr="00B7471C" w:rsidRDefault="00B7471C">
            <w:pPr>
              <w:pStyle w:val="Default"/>
              <w:spacing w:after="120"/>
              <w:jc w:val="both"/>
              <w:cnfStyle w:val="000000100000" w:firstRow="0" w:lastRow="0" w:firstColumn="0" w:lastColumn="0" w:oddVBand="0" w:evenVBand="0" w:oddHBand="1" w:evenHBand="0" w:firstRowFirstColumn="0" w:firstRowLastColumn="0" w:lastRowFirstColumn="0" w:lastRowLastColumn="0"/>
              <w:rPr>
                <w:rFonts w:ascii="ITC Avant Garde" w:hAnsi="ITC Avant Garde"/>
                <w:i/>
                <w:sz w:val="18"/>
                <w:szCs w:val="18"/>
              </w:rPr>
            </w:pPr>
            <w:r w:rsidRPr="00B7471C">
              <w:rPr>
                <w:rFonts w:ascii="ITC Avant Garde" w:hAnsi="ITC Avant Garde"/>
                <w:i/>
                <w:sz w:val="18"/>
                <w:szCs w:val="18"/>
              </w:rPr>
              <w:t xml:space="preserve">En ese sentido, se propone lo siguiente: </w:t>
            </w:r>
          </w:p>
          <w:p w14:paraId="2CE48070" w14:textId="77777777" w:rsidR="00B7471C" w:rsidRPr="00B7471C" w:rsidRDefault="00B7471C">
            <w:pPr>
              <w:pStyle w:val="Default"/>
              <w:spacing w:after="120"/>
              <w:jc w:val="both"/>
              <w:cnfStyle w:val="000000100000" w:firstRow="0" w:lastRow="0" w:firstColumn="0" w:lastColumn="0" w:oddVBand="0" w:evenVBand="0" w:oddHBand="1" w:evenHBand="0" w:firstRowFirstColumn="0" w:firstRowLastColumn="0" w:lastRowFirstColumn="0" w:lastRowLastColumn="0"/>
              <w:rPr>
                <w:rFonts w:ascii="ITC Avant Garde" w:hAnsi="ITC Avant Garde"/>
                <w:i/>
                <w:sz w:val="18"/>
                <w:szCs w:val="18"/>
              </w:rPr>
            </w:pPr>
            <w:r w:rsidRPr="00B7471C">
              <w:rPr>
                <w:rFonts w:ascii="ITC Avant Garde" w:hAnsi="ITC Avant Garde"/>
                <w:i/>
                <w:sz w:val="18"/>
                <w:szCs w:val="18"/>
              </w:rPr>
              <w:t xml:space="preserve">“… Artículo 15. En caso de que el día del vencimiento de un plazo otorgado al denunciante se presentara una falla en el funcionamiento del SEPDAI, enviará en esa fecha la información y documentos correspondientes al correo electrónico oficialiaai@ift.org.mx y los presentará al día siguiente mediante el SEPDAI. </w:t>
            </w:r>
            <w:r w:rsidRPr="00B7471C">
              <w:rPr>
                <w:rFonts w:ascii="ITC Avant Garde" w:hAnsi="ITC Avant Garde"/>
                <w:b/>
                <w:bCs/>
                <w:i/>
                <w:sz w:val="18"/>
                <w:szCs w:val="18"/>
              </w:rPr>
              <w:t xml:space="preserve">Para tal efecto, el Instituto deberá enviar hasta antes de las diecinueve horas al correo electrónico señalado por el denunciante, un aviso que informe de la falla en el funcionamiento del SEPDAI. En caso de que el denunciante no reciba este aviso, </w:t>
            </w:r>
            <w:r w:rsidRPr="00B7471C">
              <w:rPr>
                <w:rFonts w:ascii="ITC Avant Garde" w:hAnsi="ITC Avant Garde"/>
                <w:b/>
                <w:bCs/>
                <w:i/>
                <w:sz w:val="18"/>
                <w:szCs w:val="18"/>
              </w:rPr>
              <w:lastRenderedPageBreak/>
              <w:t xml:space="preserve">podrá presentar la promoción respectiva mediante el correo electrónico antes referido. </w:t>
            </w:r>
          </w:p>
          <w:p w14:paraId="55200A66" w14:textId="77777777" w:rsidR="006F1360" w:rsidRDefault="00B7471C">
            <w:pPr>
              <w:spacing w:after="120" w:line="240" w:lineRule="auto"/>
              <w:jc w:val="both"/>
              <w:cnfStyle w:val="000000100000" w:firstRow="0" w:lastRow="0" w:firstColumn="0" w:lastColumn="0" w:oddVBand="0" w:evenVBand="0" w:oddHBand="1" w:evenHBand="0" w:firstRowFirstColumn="0" w:firstRowLastColumn="0" w:lastRowFirstColumn="0" w:lastRowLastColumn="0"/>
              <w:rPr>
                <w:rFonts w:ascii="ITC Avant Garde" w:hAnsi="ITC Avant Garde"/>
                <w:b/>
              </w:rPr>
            </w:pPr>
            <w:r w:rsidRPr="00B7471C">
              <w:rPr>
                <w:rFonts w:ascii="ITC Avant Garde" w:hAnsi="ITC Avant Garde"/>
                <w:b/>
                <w:bCs/>
                <w:i/>
                <w:sz w:val="18"/>
                <w:szCs w:val="18"/>
              </w:rPr>
              <w:t xml:space="preserve">En este supuesto </w:t>
            </w:r>
            <w:r w:rsidRPr="00B7471C">
              <w:rPr>
                <w:rFonts w:ascii="ITC Avant Garde" w:hAnsi="ITC Avant Garde"/>
                <w:i/>
                <w:strike/>
                <w:sz w:val="18"/>
                <w:szCs w:val="18"/>
              </w:rPr>
              <w:t>Si persistieran las fallas en el funcionamiento del SEPDAI</w:t>
            </w:r>
            <w:r w:rsidRPr="00B7471C">
              <w:rPr>
                <w:rFonts w:ascii="ITC Avant Garde" w:hAnsi="ITC Avant Garde"/>
                <w:i/>
                <w:sz w:val="18"/>
                <w:szCs w:val="18"/>
              </w:rPr>
              <w:t xml:space="preserve">, el denunciante </w:t>
            </w:r>
            <w:r w:rsidRPr="00B7471C">
              <w:rPr>
                <w:rFonts w:ascii="ITC Avant Garde" w:hAnsi="ITC Avant Garde"/>
                <w:b/>
                <w:bCs/>
                <w:i/>
                <w:sz w:val="18"/>
                <w:szCs w:val="18"/>
              </w:rPr>
              <w:t xml:space="preserve">podrá presentarla al día siguiente hábil </w:t>
            </w:r>
            <w:r w:rsidRPr="00B7471C">
              <w:rPr>
                <w:rFonts w:ascii="ITC Avant Garde" w:hAnsi="ITC Avant Garde"/>
                <w:i/>
                <w:sz w:val="18"/>
                <w:szCs w:val="18"/>
              </w:rPr>
              <w:t xml:space="preserve">la información y documentos en la oficialía de partes del Instituto, </w:t>
            </w:r>
            <w:r w:rsidRPr="00B7471C">
              <w:rPr>
                <w:rFonts w:ascii="ITC Avant Garde" w:hAnsi="ITC Avant Garde"/>
                <w:b/>
                <w:bCs/>
                <w:i/>
                <w:sz w:val="18"/>
                <w:szCs w:val="18"/>
              </w:rPr>
              <w:t>sin necesidad de que la falla en el SEPDAI persista</w:t>
            </w:r>
            <w:r w:rsidRPr="00B7471C">
              <w:rPr>
                <w:rFonts w:ascii="ITC Avant Garde" w:hAnsi="ITC Avant Garde"/>
                <w:i/>
                <w:sz w:val="18"/>
                <w:szCs w:val="18"/>
              </w:rPr>
              <w:t>.</w:t>
            </w:r>
            <w:r>
              <w:t xml:space="preserve"> </w:t>
            </w:r>
          </w:p>
        </w:tc>
        <w:tc>
          <w:tcPr>
            <w:tcW w:w="3357" w:type="dxa"/>
            <w:shd w:val="clear" w:color="auto" w:fill="C5E0B3" w:themeFill="accent6" w:themeFillTint="66"/>
          </w:tcPr>
          <w:p w14:paraId="493BD05C" w14:textId="77777777" w:rsidR="00D771A3" w:rsidRPr="00D771A3" w:rsidRDefault="00D771A3">
            <w:pPr>
              <w:pStyle w:val="Default"/>
              <w:spacing w:after="120"/>
              <w:jc w:val="both"/>
              <w:cnfStyle w:val="000000100000" w:firstRow="0" w:lastRow="0" w:firstColumn="0" w:lastColumn="0" w:oddVBand="0" w:evenVBand="0" w:oddHBand="1" w:evenHBand="0" w:firstRowFirstColumn="0" w:firstRowLastColumn="0" w:lastRowFirstColumn="0" w:lastRowLastColumn="0"/>
              <w:rPr>
                <w:rFonts w:ascii="ITC Avant Garde" w:hAnsi="ITC Avant Garde"/>
                <w:i/>
                <w:sz w:val="18"/>
                <w:szCs w:val="18"/>
              </w:rPr>
            </w:pPr>
            <w:r w:rsidRPr="00D771A3">
              <w:rPr>
                <w:rFonts w:ascii="ITC Avant Garde" w:hAnsi="ITC Avant Garde"/>
                <w:i/>
                <w:sz w:val="18"/>
                <w:szCs w:val="18"/>
              </w:rPr>
              <w:lastRenderedPageBreak/>
              <w:t>Debería indicarse algún nímero</w:t>
            </w:r>
            <w:r>
              <w:rPr>
                <w:rFonts w:ascii="ITC Avant Garde" w:hAnsi="ITC Avant Garde"/>
                <w:i/>
                <w:sz w:val="18"/>
                <w:szCs w:val="18"/>
              </w:rPr>
              <w:t xml:space="preserve"> </w:t>
            </w:r>
            <w:r>
              <w:rPr>
                <w:rFonts w:ascii="ITC Avant Garde" w:hAnsi="ITC Avant Garde"/>
                <w:sz w:val="18"/>
                <w:szCs w:val="18"/>
              </w:rPr>
              <w:t>[sic]</w:t>
            </w:r>
            <w:r w:rsidRPr="00D771A3">
              <w:rPr>
                <w:rFonts w:ascii="ITC Avant Garde" w:hAnsi="ITC Avant Garde"/>
                <w:i/>
                <w:sz w:val="18"/>
                <w:szCs w:val="18"/>
              </w:rPr>
              <w:t xml:space="preserve"> de teléfono para preguntas y </w:t>
            </w:r>
            <w:r w:rsidRPr="00D771A3">
              <w:rPr>
                <w:rFonts w:ascii="ITC Avant Garde" w:hAnsi="ITC Avant Garde"/>
                <w:i/>
                <w:sz w:val="18"/>
                <w:szCs w:val="18"/>
              </w:rPr>
              <w:lastRenderedPageBreak/>
              <w:t xml:space="preserve">sugerencias en cuanto a las fallas del sistema, que sea permanente y consultable en todo momento. </w:t>
            </w:r>
          </w:p>
          <w:p w14:paraId="16B52314" w14:textId="77777777" w:rsidR="00D771A3" w:rsidRPr="00D771A3" w:rsidRDefault="00D771A3">
            <w:pPr>
              <w:pStyle w:val="Default"/>
              <w:spacing w:after="120"/>
              <w:jc w:val="both"/>
              <w:cnfStyle w:val="000000100000" w:firstRow="0" w:lastRow="0" w:firstColumn="0" w:lastColumn="0" w:oddVBand="0" w:evenVBand="0" w:oddHBand="1" w:evenHBand="0" w:firstRowFirstColumn="0" w:firstRowLastColumn="0" w:lastRowFirstColumn="0" w:lastRowLastColumn="0"/>
              <w:rPr>
                <w:rFonts w:ascii="ITC Avant Garde" w:hAnsi="ITC Avant Garde"/>
                <w:i/>
                <w:sz w:val="18"/>
                <w:szCs w:val="18"/>
              </w:rPr>
            </w:pPr>
            <w:r w:rsidRPr="00D771A3">
              <w:rPr>
                <w:rFonts w:ascii="ITC Avant Garde" w:hAnsi="ITC Avant Garde"/>
                <w:i/>
                <w:sz w:val="18"/>
                <w:szCs w:val="18"/>
              </w:rPr>
              <w:t>Podría añadirse el siguiente párrafo: “Las parte promovente deberá</w:t>
            </w:r>
            <w:r>
              <w:rPr>
                <w:rFonts w:ascii="ITC Avant Garde" w:hAnsi="ITC Avant Garde"/>
                <w:i/>
                <w:sz w:val="18"/>
                <w:szCs w:val="18"/>
              </w:rPr>
              <w:t xml:space="preserve"> </w:t>
            </w:r>
            <w:r w:rsidRPr="00D771A3">
              <w:rPr>
                <w:rFonts w:ascii="ITC Avant Garde" w:hAnsi="ITC Avant Garde"/>
                <w:i/>
                <w:sz w:val="18"/>
                <w:szCs w:val="18"/>
              </w:rPr>
              <w:t>dar aviso a la Autoridad Investigadora en el mismo correo electr</w:t>
            </w:r>
            <w:r w:rsidRPr="00D771A3">
              <w:rPr>
                <w:rFonts w:ascii="ITC Avant Garde" w:hAnsi="ITC Avant Garde" w:cs="ITC Avant Garde"/>
                <w:i/>
                <w:sz w:val="18"/>
                <w:szCs w:val="18"/>
              </w:rPr>
              <w:t>ó</w:t>
            </w:r>
            <w:r w:rsidRPr="00D771A3">
              <w:rPr>
                <w:rFonts w:ascii="ITC Avant Garde" w:hAnsi="ITC Avant Garde"/>
                <w:i/>
                <w:sz w:val="18"/>
                <w:szCs w:val="18"/>
              </w:rPr>
              <w:t xml:space="preserve">nico, quien pedirá un reporte al titular de la unidad correspondiente sobre la existencia de la interrupción del servicio. </w:t>
            </w:r>
          </w:p>
          <w:p w14:paraId="3E0F7EF2" w14:textId="77777777" w:rsidR="00D771A3" w:rsidRPr="00D771A3" w:rsidRDefault="00D771A3">
            <w:pPr>
              <w:pStyle w:val="Default"/>
              <w:spacing w:after="120"/>
              <w:jc w:val="both"/>
              <w:cnfStyle w:val="000000100000" w:firstRow="0" w:lastRow="0" w:firstColumn="0" w:lastColumn="0" w:oddVBand="0" w:evenVBand="0" w:oddHBand="1" w:evenHBand="0" w:firstRowFirstColumn="0" w:firstRowLastColumn="0" w:lastRowFirstColumn="0" w:lastRowLastColumn="0"/>
              <w:rPr>
                <w:rFonts w:ascii="ITC Avant Garde" w:hAnsi="ITC Avant Garde"/>
                <w:i/>
                <w:sz w:val="18"/>
                <w:szCs w:val="18"/>
              </w:rPr>
            </w:pPr>
            <w:r w:rsidRPr="00D771A3">
              <w:rPr>
                <w:rFonts w:ascii="ITC Avant Garde" w:hAnsi="ITC Avant Garde"/>
                <w:i/>
                <w:sz w:val="18"/>
                <w:szCs w:val="18"/>
              </w:rPr>
              <w:t>El reporte que determine que existió interrupción en el SEPDAI deberá señalar la causa y el tiempo de dicha interrupción, indicando la fecha y hora de inicio y t</w:t>
            </w:r>
            <w:r>
              <w:rPr>
                <w:rFonts w:ascii="ITC Avant Garde" w:hAnsi="ITC Avant Garde"/>
                <w:i/>
                <w:sz w:val="18"/>
                <w:szCs w:val="18"/>
              </w:rPr>
              <w:t>é</w:t>
            </w:r>
            <w:r w:rsidRPr="00D771A3">
              <w:rPr>
                <w:rFonts w:ascii="ITC Avant Garde" w:hAnsi="ITC Avant Garde"/>
                <w:i/>
                <w:sz w:val="18"/>
                <w:szCs w:val="18"/>
              </w:rPr>
              <w:t xml:space="preserve">rmino de la </w:t>
            </w:r>
            <w:r>
              <w:rPr>
                <w:rFonts w:ascii="ITC Avant Garde" w:hAnsi="ITC Avant Garde"/>
                <w:i/>
                <w:sz w:val="18"/>
                <w:szCs w:val="18"/>
              </w:rPr>
              <w:t>misma. Los plazos se suspenderá</w:t>
            </w:r>
            <w:r w:rsidRPr="00D771A3">
              <w:rPr>
                <w:rFonts w:ascii="ITC Avant Garde" w:hAnsi="ITC Avant Garde"/>
                <w:i/>
                <w:sz w:val="18"/>
                <w:szCs w:val="18"/>
              </w:rPr>
              <w:t xml:space="preserve">n, </w:t>
            </w:r>
            <w:r>
              <w:rPr>
                <w:rFonts w:ascii="ITC Avant Garde" w:hAnsi="ITC Avant Garde"/>
                <w:i/>
                <w:sz w:val="18"/>
                <w:szCs w:val="18"/>
              </w:rPr>
              <w:t>ú</w:t>
            </w:r>
            <w:r w:rsidRPr="00D771A3">
              <w:rPr>
                <w:rFonts w:ascii="ITC Avant Garde" w:hAnsi="ITC Avant Garde"/>
                <w:i/>
                <w:sz w:val="18"/>
                <w:szCs w:val="18"/>
              </w:rPr>
              <w:t>nicamente, el</w:t>
            </w:r>
            <w:r>
              <w:rPr>
                <w:rFonts w:ascii="ITC Avant Garde" w:hAnsi="ITC Avant Garde"/>
                <w:i/>
                <w:sz w:val="18"/>
                <w:szCs w:val="18"/>
              </w:rPr>
              <w:t xml:space="preserve"> tiempo que dure la interrupció</w:t>
            </w:r>
            <w:r w:rsidRPr="00D771A3">
              <w:rPr>
                <w:rFonts w:ascii="ITC Avant Garde" w:hAnsi="ITC Avant Garde"/>
                <w:i/>
                <w:sz w:val="18"/>
                <w:szCs w:val="18"/>
              </w:rPr>
              <w:t>n del SEPDAI. Para tal efect</w:t>
            </w:r>
            <w:r>
              <w:rPr>
                <w:rFonts w:ascii="ITC Avant Garde" w:hAnsi="ITC Avant Garde"/>
                <w:i/>
                <w:sz w:val="18"/>
                <w:szCs w:val="18"/>
              </w:rPr>
              <w:t>o, Autoridad Investigadora hará constar esta situació</w:t>
            </w:r>
            <w:r w:rsidRPr="00D771A3">
              <w:rPr>
                <w:rFonts w:ascii="ITC Avant Garde" w:hAnsi="ITC Avant Garde"/>
                <w:i/>
                <w:sz w:val="18"/>
                <w:szCs w:val="18"/>
              </w:rPr>
              <w:t>n mediante a</w:t>
            </w:r>
            <w:r>
              <w:rPr>
                <w:rFonts w:ascii="ITC Avant Garde" w:hAnsi="ITC Avant Garde"/>
                <w:i/>
                <w:sz w:val="18"/>
                <w:szCs w:val="18"/>
              </w:rPr>
              <w:t>cuerdo en el expediente electró</w:t>
            </w:r>
            <w:r w:rsidRPr="00D771A3">
              <w:rPr>
                <w:rFonts w:ascii="ITC Avant Garde" w:hAnsi="ITC Avant Garde"/>
                <w:i/>
                <w:sz w:val="18"/>
                <w:szCs w:val="18"/>
              </w:rPr>
              <w:t>nico y, considerando el tiempo de la interr</w:t>
            </w:r>
            <w:r>
              <w:rPr>
                <w:rFonts w:ascii="ITC Avant Garde" w:hAnsi="ITC Avant Garde"/>
                <w:i/>
                <w:sz w:val="18"/>
                <w:szCs w:val="18"/>
              </w:rPr>
              <w:t>upció</w:t>
            </w:r>
            <w:r w:rsidRPr="00D771A3">
              <w:rPr>
                <w:rFonts w:ascii="ITC Avant Garde" w:hAnsi="ITC Avant Garde"/>
                <w:i/>
                <w:sz w:val="18"/>
                <w:szCs w:val="18"/>
              </w:rPr>
              <w:t xml:space="preserve">n, realizara el computo correspondiente, para determinar si hubo o no incumplimiento de los plazos legales.” </w:t>
            </w:r>
          </w:p>
          <w:p w14:paraId="7385EB18" w14:textId="77777777" w:rsidR="006F1360" w:rsidRPr="00D771A3" w:rsidRDefault="00D771A3">
            <w:pPr>
              <w:spacing w:after="120" w:line="240" w:lineRule="auto"/>
              <w:jc w:val="both"/>
              <w:cnfStyle w:val="000000100000" w:firstRow="0" w:lastRow="0" w:firstColumn="0" w:lastColumn="0" w:oddVBand="0" w:evenVBand="0" w:oddHBand="1" w:evenHBand="0" w:firstRowFirstColumn="0" w:firstRowLastColumn="0" w:lastRowFirstColumn="0" w:lastRowLastColumn="0"/>
              <w:rPr>
                <w:rFonts w:ascii="ITC Avant Garde" w:hAnsi="ITC Avant Garde"/>
                <w:b/>
                <w:i/>
                <w:sz w:val="18"/>
                <w:szCs w:val="18"/>
              </w:rPr>
            </w:pPr>
            <w:r w:rsidRPr="00D771A3">
              <w:rPr>
                <w:rFonts w:ascii="ITC Avant Garde" w:hAnsi="ITC Avant Garde"/>
                <w:i/>
                <w:sz w:val="18"/>
                <w:szCs w:val="18"/>
              </w:rPr>
              <w:t xml:space="preserve">Por otra parte, se sugiere aclarar que los días previstos en dicho artículo son días hábiles en términos del artículo 113 de la LFCE. </w:t>
            </w:r>
          </w:p>
        </w:tc>
      </w:tr>
    </w:tbl>
    <w:p w14:paraId="4C0D65B2" w14:textId="77777777" w:rsidR="006F1360" w:rsidRDefault="006F1360" w:rsidP="00C43007">
      <w:pPr>
        <w:spacing w:after="120" w:line="240" w:lineRule="auto"/>
        <w:jc w:val="both"/>
        <w:rPr>
          <w:rFonts w:ascii="ITC Avant Garde" w:hAnsi="ITC Avant Garde"/>
          <w:b/>
        </w:rPr>
      </w:pPr>
    </w:p>
    <w:p w14:paraId="39032A51" w14:textId="77777777" w:rsidR="00353E8D" w:rsidRDefault="00353E8D" w:rsidP="00C43007">
      <w:pPr>
        <w:spacing w:after="120" w:line="240" w:lineRule="auto"/>
        <w:jc w:val="both"/>
        <w:rPr>
          <w:rFonts w:ascii="ITC Avant Garde" w:hAnsi="ITC Avant Garde"/>
          <w:b/>
        </w:rPr>
      </w:pPr>
      <w:r>
        <w:rPr>
          <w:rFonts w:ascii="ITC Avant Garde" w:hAnsi="ITC Avant Garde"/>
          <w:b/>
        </w:rPr>
        <w:t>Consideraciones</w:t>
      </w:r>
    </w:p>
    <w:p w14:paraId="172B9168" w14:textId="77777777" w:rsidR="00BF1D03" w:rsidRDefault="006A5E6D" w:rsidP="00C43007">
      <w:pPr>
        <w:spacing w:after="120" w:line="240" w:lineRule="auto"/>
        <w:jc w:val="both"/>
        <w:rPr>
          <w:rFonts w:ascii="ITC Avant Garde" w:hAnsi="ITC Avant Garde"/>
        </w:rPr>
      </w:pPr>
      <w:r>
        <w:rPr>
          <w:rFonts w:ascii="ITC Avant Garde" w:hAnsi="ITC Avant Garde"/>
        </w:rPr>
        <w:t>Se atienden los comentarios de AT&amp;T, Telefónica y Bestphone y otros</w:t>
      </w:r>
      <w:r w:rsidR="002D59AB">
        <w:rPr>
          <w:rFonts w:ascii="ITC Avant Garde" w:hAnsi="ITC Avant Garde"/>
        </w:rPr>
        <w:t>, con la finalidad de brindar certeza jurídica en caso de una falla técnica en el SEPDAI,</w:t>
      </w:r>
      <w:r>
        <w:rPr>
          <w:rFonts w:ascii="ITC Avant Garde" w:hAnsi="ITC Avant Garde"/>
        </w:rPr>
        <w:t xml:space="preserve"> </w:t>
      </w:r>
      <w:r w:rsidR="002D59AB">
        <w:rPr>
          <w:rFonts w:ascii="ITC Avant Garde" w:hAnsi="ITC Avant Garde"/>
        </w:rPr>
        <w:t>como sigue</w:t>
      </w:r>
      <w:r>
        <w:rPr>
          <w:rFonts w:ascii="ITC Avant Garde" w:hAnsi="ITC Avant Garde"/>
        </w:rPr>
        <w:t>:</w:t>
      </w:r>
    </w:p>
    <w:tbl>
      <w:tblPr>
        <w:tblStyle w:val="Tablaconcuadrcula"/>
        <w:tblW w:w="0" w:type="auto"/>
        <w:jc w:val="center"/>
        <w:tblLook w:val="04A0" w:firstRow="1" w:lastRow="0" w:firstColumn="1" w:lastColumn="0" w:noHBand="0" w:noVBand="1"/>
      </w:tblPr>
      <w:tblGrid>
        <w:gridCol w:w="4394"/>
        <w:gridCol w:w="4394"/>
      </w:tblGrid>
      <w:tr w:rsidR="00870714" w:rsidRPr="006A5E6D" w14:paraId="5E000887" w14:textId="77777777" w:rsidTr="00D77C77">
        <w:trPr>
          <w:jc w:val="center"/>
        </w:trPr>
        <w:tc>
          <w:tcPr>
            <w:tcW w:w="4394" w:type="dxa"/>
            <w:shd w:val="clear" w:color="auto" w:fill="538135" w:themeFill="accent6" w:themeFillShade="BF"/>
          </w:tcPr>
          <w:p w14:paraId="31557512" w14:textId="18213137" w:rsidR="00870714" w:rsidRPr="006A5E6D" w:rsidRDefault="00870714" w:rsidP="00C43007">
            <w:pPr>
              <w:spacing w:after="12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Anteproyecto</w:t>
            </w:r>
            <w:r>
              <w:rPr>
                <w:rFonts w:ascii="ITC Avant Garde" w:hAnsi="ITC Avant Garde"/>
                <w:b/>
                <w:color w:val="FFFFFF" w:themeColor="background1"/>
                <w:sz w:val="18"/>
                <w:szCs w:val="18"/>
              </w:rPr>
              <w:t xml:space="preserve"> de Lineamientos</w:t>
            </w:r>
          </w:p>
        </w:tc>
        <w:tc>
          <w:tcPr>
            <w:tcW w:w="4394" w:type="dxa"/>
            <w:shd w:val="clear" w:color="auto" w:fill="538135" w:themeFill="accent6" w:themeFillShade="BF"/>
          </w:tcPr>
          <w:p w14:paraId="367913F9" w14:textId="120F6569" w:rsidR="00870714" w:rsidRPr="006A5E6D" w:rsidRDefault="00870714" w:rsidP="00C43007">
            <w:pPr>
              <w:spacing w:after="120" w:line="240" w:lineRule="auto"/>
              <w:jc w:val="center"/>
              <w:rPr>
                <w:rFonts w:ascii="ITC Avant Garde" w:hAnsi="ITC Avant Garde"/>
                <w:b/>
                <w:color w:val="FFFFFF" w:themeColor="background1"/>
                <w:sz w:val="18"/>
                <w:szCs w:val="18"/>
              </w:rPr>
            </w:pPr>
            <w:r>
              <w:rPr>
                <w:rFonts w:ascii="ITC Avant Garde" w:hAnsi="ITC Avant Garde"/>
                <w:b/>
                <w:color w:val="FFFFFF" w:themeColor="background1"/>
                <w:sz w:val="18"/>
                <w:szCs w:val="18"/>
              </w:rPr>
              <w:t>Modificación al Anteproyecto de Lineamientos</w:t>
            </w:r>
            <w:r w:rsidRPr="005F7866">
              <w:rPr>
                <w:rStyle w:val="Refdenotaalpie"/>
                <w:rFonts w:ascii="ITC Avant Garde" w:hAnsi="ITC Avant Garde"/>
                <w:b/>
                <w:color w:val="FFFFFF" w:themeColor="background1"/>
                <w:sz w:val="18"/>
                <w:szCs w:val="18"/>
              </w:rPr>
              <w:footnoteReference w:id="6"/>
            </w:r>
          </w:p>
        </w:tc>
      </w:tr>
      <w:tr w:rsidR="00BA3ACA" w:rsidRPr="006A5E6D" w14:paraId="2FA4BEE0" w14:textId="77777777" w:rsidTr="00D77C77">
        <w:trPr>
          <w:jc w:val="center"/>
        </w:trPr>
        <w:tc>
          <w:tcPr>
            <w:tcW w:w="4394" w:type="dxa"/>
            <w:shd w:val="clear" w:color="auto" w:fill="C5E0B3" w:themeFill="accent6" w:themeFillTint="66"/>
          </w:tcPr>
          <w:p w14:paraId="4254116A" w14:textId="122D35DC" w:rsidR="00BA3ACA" w:rsidRPr="006A5E6D" w:rsidRDefault="00BA3ACA">
            <w:pPr>
              <w:spacing w:after="120" w:line="240" w:lineRule="auto"/>
              <w:jc w:val="both"/>
              <w:rPr>
                <w:rFonts w:ascii="ITC Avant Garde" w:hAnsi="ITC Avant Garde" w:cs="Arial"/>
                <w:sz w:val="18"/>
                <w:szCs w:val="18"/>
              </w:rPr>
            </w:pPr>
            <w:r w:rsidRPr="006A5E6D">
              <w:rPr>
                <w:rFonts w:ascii="ITC Avant Garde" w:hAnsi="ITC Avant Garde" w:cs="Arial"/>
                <w:b/>
                <w:sz w:val="18"/>
                <w:szCs w:val="18"/>
              </w:rPr>
              <w:t>A</w:t>
            </w:r>
            <w:r w:rsidRPr="006A5E6D">
              <w:rPr>
                <w:rFonts w:ascii="ITC Avant Garde" w:hAnsi="ITC Avant Garde"/>
                <w:b/>
                <w:sz w:val="18"/>
                <w:szCs w:val="18"/>
              </w:rPr>
              <w:t>rtículo 15</w:t>
            </w:r>
            <w:r w:rsidRPr="006A5E6D">
              <w:rPr>
                <w:rFonts w:ascii="ITC Avant Garde" w:hAnsi="ITC Avant Garde" w:cs="Arial"/>
                <w:b/>
                <w:sz w:val="18"/>
                <w:szCs w:val="18"/>
              </w:rPr>
              <w:t xml:space="preserve">. </w:t>
            </w:r>
            <w:r w:rsidRPr="006A5E6D">
              <w:rPr>
                <w:rFonts w:ascii="ITC Avant Garde" w:hAnsi="ITC Avant Garde" w:cs="Arial"/>
                <w:sz w:val="18"/>
                <w:szCs w:val="18"/>
              </w:rPr>
              <w:t>En caso de que el día del vencimiento de un</w:t>
            </w:r>
            <w:r w:rsidR="00A47CEB">
              <w:rPr>
                <w:rFonts w:ascii="ITC Avant Garde" w:hAnsi="ITC Avant Garde" w:cs="Arial"/>
                <w:sz w:val="18"/>
                <w:szCs w:val="18"/>
              </w:rPr>
              <w:t xml:space="preserve"> </w:t>
            </w:r>
            <w:r w:rsidRPr="006A5E6D">
              <w:rPr>
                <w:rFonts w:ascii="ITC Avant Garde" w:hAnsi="ITC Avant Garde" w:cs="Arial"/>
                <w:sz w:val="18"/>
                <w:szCs w:val="18"/>
              </w:rPr>
              <w:t>plazo otorgado al denunciante se presentara una falla en el funcionamiento del SEPDAI,</w:t>
            </w:r>
            <w:r w:rsidR="00A47CEB">
              <w:rPr>
                <w:rFonts w:ascii="ITC Avant Garde" w:hAnsi="ITC Avant Garde" w:cs="Arial"/>
                <w:sz w:val="18"/>
                <w:szCs w:val="18"/>
              </w:rPr>
              <w:t xml:space="preserve"> </w:t>
            </w:r>
            <w:r w:rsidRPr="006A5E6D">
              <w:rPr>
                <w:rFonts w:ascii="ITC Avant Garde" w:hAnsi="ITC Avant Garde" w:cs="Arial"/>
                <w:sz w:val="18"/>
                <w:szCs w:val="18"/>
              </w:rPr>
              <w:t xml:space="preserve">enviará en esa fecha la información y documentos correspondientes al correo electrónico </w:t>
            </w:r>
            <w:hyperlink r:id="rId11" w:history="1">
              <w:r w:rsidRPr="006A5E6D">
                <w:rPr>
                  <w:rStyle w:val="Hipervnculo"/>
                  <w:rFonts w:ascii="ITC Avant Garde" w:hAnsi="ITC Avant Garde" w:cs="Arial"/>
                  <w:sz w:val="18"/>
                  <w:szCs w:val="18"/>
                </w:rPr>
                <w:t>oficialiaai@ift.org.mx</w:t>
              </w:r>
            </w:hyperlink>
            <w:r w:rsidRPr="006A5E6D">
              <w:rPr>
                <w:rFonts w:ascii="ITC Avant Garde" w:hAnsi="ITC Avant Garde" w:cs="Arial"/>
                <w:sz w:val="18"/>
                <w:szCs w:val="18"/>
              </w:rPr>
              <w:t xml:space="preserve"> y los presentará al día siguiente mediante el SEPDAI. Si persistieran las fallas en el funcionamiento del SEPDAI, el denunciante presentará la información y documentos en la oficialía de partes del Instituto.</w:t>
            </w:r>
          </w:p>
          <w:p w14:paraId="2E2CD857" w14:textId="77777777" w:rsidR="00BA3ACA" w:rsidRPr="006A5E6D" w:rsidRDefault="00BA3ACA">
            <w:pPr>
              <w:pStyle w:val="Textoindependiente"/>
              <w:spacing w:line="240" w:lineRule="auto"/>
              <w:jc w:val="both"/>
              <w:rPr>
                <w:rFonts w:ascii="ITC Avant Garde" w:hAnsi="ITC Avant Garde"/>
                <w:sz w:val="18"/>
                <w:szCs w:val="18"/>
              </w:rPr>
            </w:pPr>
          </w:p>
        </w:tc>
        <w:tc>
          <w:tcPr>
            <w:tcW w:w="4394" w:type="dxa"/>
            <w:shd w:val="clear" w:color="auto" w:fill="C5E0B3" w:themeFill="accent6" w:themeFillTint="66"/>
          </w:tcPr>
          <w:p w14:paraId="09744A5D" w14:textId="76582CD2" w:rsidR="001D368C" w:rsidRPr="00571EAF" w:rsidRDefault="00BA3ACA">
            <w:pPr>
              <w:spacing w:after="120" w:line="240" w:lineRule="auto"/>
              <w:jc w:val="both"/>
              <w:rPr>
                <w:rFonts w:ascii="ITC Avant Garde" w:hAnsi="ITC Avant Garde" w:cs="Arial"/>
                <w:sz w:val="18"/>
                <w:szCs w:val="18"/>
                <w:u w:val="single"/>
              </w:rPr>
            </w:pPr>
            <w:r w:rsidRPr="006A5E6D">
              <w:rPr>
                <w:rFonts w:ascii="ITC Avant Garde" w:hAnsi="ITC Avant Garde" w:cs="Arial"/>
                <w:b/>
                <w:sz w:val="18"/>
                <w:szCs w:val="18"/>
              </w:rPr>
              <w:t>A</w:t>
            </w:r>
            <w:r w:rsidRPr="006A5E6D">
              <w:rPr>
                <w:rFonts w:ascii="ITC Avant Garde" w:hAnsi="ITC Avant Garde"/>
                <w:b/>
                <w:sz w:val="18"/>
                <w:szCs w:val="18"/>
              </w:rPr>
              <w:t>rtículo 15</w:t>
            </w:r>
            <w:r w:rsidRPr="006A5E6D">
              <w:rPr>
                <w:rFonts w:ascii="ITC Avant Garde" w:hAnsi="ITC Avant Garde" w:cs="Arial"/>
                <w:b/>
                <w:sz w:val="18"/>
                <w:szCs w:val="18"/>
              </w:rPr>
              <w:t xml:space="preserve">. </w:t>
            </w:r>
            <w:r w:rsidRPr="006A5E6D">
              <w:rPr>
                <w:rFonts w:ascii="ITC Avant Garde" w:hAnsi="ITC Avant Garde" w:cs="Arial"/>
                <w:sz w:val="18"/>
                <w:szCs w:val="18"/>
              </w:rPr>
              <w:t>En caso de que el día del vencimiento de un</w:t>
            </w:r>
            <w:r w:rsidR="00A47CEB">
              <w:rPr>
                <w:rFonts w:ascii="ITC Avant Garde" w:hAnsi="ITC Avant Garde" w:cs="Arial"/>
                <w:sz w:val="18"/>
                <w:szCs w:val="18"/>
              </w:rPr>
              <w:t xml:space="preserve"> </w:t>
            </w:r>
            <w:r w:rsidRPr="006A5E6D">
              <w:rPr>
                <w:rFonts w:ascii="ITC Avant Garde" w:hAnsi="ITC Avant Garde" w:cs="Arial"/>
                <w:sz w:val="18"/>
                <w:szCs w:val="18"/>
              </w:rPr>
              <w:t xml:space="preserve">plazo otorgado al denunciante </w:t>
            </w:r>
            <w:r w:rsidRPr="006A5E6D">
              <w:rPr>
                <w:rFonts w:ascii="ITC Avant Garde" w:hAnsi="ITC Avant Garde" w:cs="Arial"/>
                <w:sz w:val="18"/>
                <w:szCs w:val="18"/>
                <w:u w:val="single"/>
              </w:rPr>
              <w:t>para dar cumplimiento a las actuaciones de la AI</w:t>
            </w:r>
            <w:r w:rsidRPr="006A5E6D">
              <w:rPr>
                <w:rFonts w:ascii="ITC Avant Garde" w:hAnsi="ITC Avant Garde" w:cs="Arial"/>
                <w:sz w:val="18"/>
                <w:szCs w:val="18"/>
              </w:rPr>
              <w:t xml:space="preserve"> se presentara una falla </w:t>
            </w:r>
            <w:r w:rsidR="00571EAF" w:rsidRPr="00571EAF">
              <w:rPr>
                <w:rFonts w:ascii="ITC Avant Garde" w:hAnsi="ITC Avant Garde" w:cs="Arial"/>
                <w:sz w:val="18"/>
                <w:szCs w:val="18"/>
                <w:u w:val="single"/>
              </w:rPr>
              <w:t>técnica</w:t>
            </w:r>
            <w:r w:rsidR="00571EAF">
              <w:rPr>
                <w:rFonts w:ascii="ITC Avant Garde" w:hAnsi="ITC Avant Garde" w:cs="Arial"/>
                <w:sz w:val="18"/>
                <w:szCs w:val="18"/>
              </w:rPr>
              <w:t xml:space="preserve"> </w:t>
            </w:r>
            <w:r w:rsidRPr="006A5E6D">
              <w:rPr>
                <w:rFonts w:ascii="ITC Avant Garde" w:hAnsi="ITC Avant Garde" w:cs="Arial"/>
                <w:sz w:val="18"/>
                <w:szCs w:val="18"/>
              </w:rPr>
              <w:t>en el funcionamiento del SEPDAI,</w:t>
            </w:r>
            <w:r w:rsidR="00A47CEB">
              <w:rPr>
                <w:rFonts w:ascii="ITC Avant Garde" w:hAnsi="ITC Avant Garde" w:cs="Arial"/>
                <w:sz w:val="18"/>
                <w:szCs w:val="18"/>
              </w:rPr>
              <w:t xml:space="preserve"> </w:t>
            </w:r>
            <w:r w:rsidRPr="006A5E6D">
              <w:rPr>
                <w:rFonts w:ascii="ITC Avant Garde" w:hAnsi="ITC Avant Garde" w:cs="Arial"/>
                <w:sz w:val="18"/>
                <w:szCs w:val="18"/>
                <w:u w:val="single"/>
              </w:rPr>
              <w:t>el denunciante</w:t>
            </w:r>
            <w:r w:rsidRPr="006A5E6D">
              <w:rPr>
                <w:rFonts w:ascii="ITC Avant Garde" w:hAnsi="ITC Avant Garde" w:cs="Arial"/>
                <w:sz w:val="18"/>
                <w:szCs w:val="18"/>
              </w:rPr>
              <w:t xml:space="preserve"> enviará en esa fecha</w:t>
            </w:r>
            <w:r w:rsidR="0061133B" w:rsidRPr="006A5E6D">
              <w:rPr>
                <w:rFonts w:ascii="ITC Avant Garde" w:hAnsi="ITC Avant Garde" w:cs="Arial"/>
                <w:sz w:val="18"/>
                <w:szCs w:val="18"/>
              </w:rPr>
              <w:t xml:space="preserve"> al correo electrónico </w:t>
            </w:r>
            <w:hyperlink r:id="rId12" w:history="1">
              <w:r w:rsidR="0061133B" w:rsidRPr="006A5E6D">
                <w:rPr>
                  <w:rStyle w:val="Hipervnculo"/>
                  <w:rFonts w:ascii="ITC Avant Garde" w:hAnsi="ITC Avant Garde" w:cs="Arial"/>
                  <w:sz w:val="18"/>
                  <w:szCs w:val="18"/>
                </w:rPr>
                <w:t>oficialiaai@ift.org.mx</w:t>
              </w:r>
            </w:hyperlink>
            <w:r w:rsidR="0061133B" w:rsidRPr="006A5E6D">
              <w:rPr>
                <w:rStyle w:val="Hipervnculo"/>
                <w:rFonts w:ascii="ITC Avant Garde" w:hAnsi="ITC Avant Garde" w:cs="Arial"/>
                <w:sz w:val="18"/>
                <w:szCs w:val="18"/>
              </w:rPr>
              <w:t xml:space="preserve">, </w:t>
            </w:r>
            <w:r w:rsidR="0061133B" w:rsidRPr="00571EAF">
              <w:rPr>
                <w:rFonts w:ascii="ITC Avant Garde" w:hAnsi="ITC Avant Garde" w:cs="Arial"/>
                <w:sz w:val="18"/>
                <w:szCs w:val="18"/>
                <w:u w:val="single"/>
              </w:rPr>
              <w:t>lo siguiente:</w:t>
            </w:r>
          </w:p>
          <w:p w14:paraId="4D559392" w14:textId="1AC4255A" w:rsidR="001D368C" w:rsidRPr="00571EAF" w:rsidRDefault="00C62830" w:rsidP="00C43007">
            <w:pPr>
              <w:pStyle w:val="Prrafodelista"/>
              <w:numPr>
                <w:ilvl w:val="0"/>
                <w:numId w:val="22"/>
              </w:numPr>
              <w:spacing w:after="120" w:line="240" w:lineRule="auto"/>
              <w:contextualSpacing w:val="0"/>
              <w:jc w:val="both"/>
              <w:rPr>
                <w:rFonts w:ascii="ITC Avant Garde" w:hAnsi="ITC Avant Garde" w:cs="Arial"/>
                <w:sz w:val="18"/>
                <w:szCs w:val="18"/>
                <w:u w:val="single"/>
              </w:rPr>
            </w:pPr>
            <w:r>
              <w:rPr>
                <w:rFonts w:ascii="ITC Avant Garde" w:hAnsi="ITC Avant Garde" w:cs="Arial"/>
                <w:sz w:val="18"/>
                <w:szCs w:val="18"/>
                <w:u w:val="single"/>
                <w:lang w:val="es-MX"/>
              </w:rPr>
              <w:t>L</w:t>
            </w:r>
            <w:r w:rsidR="001D368C" w:rsidRPr="00571EAF">
              <w:rPr>
                <w:rFonts w:ascii="ITC Avant Garde" w:hAnsi="ITC Avant Garde" w:cs="Arial"/>
                <w:sz w:val="18"/>
                <w:szCs w:val="18"/>
                <w:u w:val="single"/>
              </w:rPr>
              <w:t xml:space="preserve">a </w:t>
            </w:r>
            <w:r w:rsidR="00BA3ACA" w:rsidRPr="00571EAF">
              <w:rPr>
                <w:rFonts w:ascii="ITC Avant Garde" w:hAnsi="ITC Avant Garde" w:cs="Arial"/>
                <w:sz w:val="18"/>
                <w:szCs w:val="18"/>
                <w:u w:val="single"/>
              </w:rPr>
              <w:t xml:space="preserve">información y </w:t>
            </w:r>
            <w:r w:rsidR="001D368C" w:rsidRPr="00571EAF">
              <w:rPr>
                <w:rFonts w:ascii="ITC Avant Garde" w:hAnsi="ITC Avant Garde" w:cs="Arial"/>
                <w:sz w:val="18"/>
                <w:szCs w:val="18"/>
                <w:u w:val="single"/>
              </w:rPr>
              <w:t xml:space="preserve">los </w:t>
            </w:r>
            <w:r w:rsidR="00BA3ACA" w:rsidRPr="00571EAF">
              <w:rPr>
                <w:rFonts w:ascii="ITC Avant Garde" w:hAnsi="ITC Avant Garde" w:cs="Arial"/>
                <w:sz w:val="18"/>
                <w:szCs w:val="18"/>
                <w:u w:val="single"/>
              </w:rPr>
              <w:t xml:space="preserve">documentos </w:t>
            </w:r>
            <w:r w:rsidR="0061133B" w:rsidRPr="00571EAF">
              <w:rPr>
                <w:rFonts w:ascii="ITC Avant Garde" w:hAnsi="ITC Avant Garde" w:cs="Arial"/>
                <w:sz w:val="18"/>
                <w:szCs w:val="18"/>
                <w:u w:val="single"/>
                <w:lang w:val="es-MX"/>
              </w:rPr>
              <w:t>que den cumplim</w:t>
            </w:r>
            <w:r w:rsidR="00E1402A" w:rsidRPr="00571EAF">
              <w:rPr>
                <w:rFonts w:ascii="ITC Avant Garde" w:hAnsi="ITC Avant Garde" w:cs="Arial"/>
                <w:sz w:val="18"/>
                <w:szCs w:val="18"/>
                <w:u w:val="single"/>
                <w:lang w:val="es-MX"/>
              </w:rPr>
              <w:t xml:space="preserve">iento a lo </w:t>
            </w:r>
            <w:r>
              <w:rPr>
                <w:rFonts w:ascii="ITC Avant Garde" w:hAnsi="ITC Avant Garde" w:cs="Arial"/>
                <w:sz w:val="18"/>
                <w:szCs w:val="18"/>
                <w:u w:val="single"/>
                <w:lang w:val="es-MX"/>
              </w:rPr>
              <w:t>requerido</w:t>
            </w:r>
            <w:r w:rsidRPr="00571EAF">
              <w:rPr>
                <w:rFonts w:ascii="ITC Avant Garde" w:hAnsi="ITC Avant Garde" w:cs="Arial"/>
                <w:sz w:val="18"/>
                <w:szCs w:val="18"/>
                <w:u w:val="single"/>
                <w:lang w:val="es-MX"/>
              </w:rPr>
              <w:t xml:space="preserve"> </w:t>
            </w:r>
            <w:r w:rsidR="00E1402A" w:rsidRPr="00571EAF">
              <w:rPr>
                <w:rFonts w:ascii="ITC Avant Garde" w:hAnsi="ITC Avant Garde" w:cs="Arial"/>
                <w:sz w:val="18"/>
                <w:szCs w:val="18"/>
                <w:u w:val="single"/>
                <w:lang w:val="es-MX"/>
              </w:rPr>
              <w:t xml:space="preserve">por la AI, </w:t>
            </w:r>
            <w:r>
              <w:rPr>
                <w:rFonts w:ascii="ITC Avant Garde" w:hAnsi="ITC Avant Garde" w:cs="Arial"/>
                <w:sz w:val="18"/>
                <w:szCs w:val="18"/>
                <w:u w:val="single"/>
                <w:lang w:val="es-MX"/>
              </w:rPr>
              <w:t>y</w:t>
            </w:r>
          </w:p>
          <w:p w14:paraId="670B344F" w14:textId="7583FC53" w:rsidR="0061133B" w:rsidRPr="00571EAF" w:rsidRDefault="00C62830" w:rsidP="00C43007">
            <w:pPr>
              <w:pStyle w:val="Prrafodelista"/>
              <w:numPr>
                <w:ilvl w:val="0"/>
                <w:numId w:val="22"/>
              </w:numPr>
              <w:spacing w:after="120" w:line="240" w:lineRule="auto"/>
              <w:contextualSpacing w:val="0"/>
              <w:jc w:val="both"/>
              <w:rPr>
                <w:rFonts w:ascii="ITC Avant Garde" w:hAnsi="ITC Avant Garde" w:cs="Arial"/>
                <w:sz w:val="18"/>
                <w:szCs w:val="18"/>
                <w:u w:val="single"/>
              </w:rPr>
            </w:pPr>
            <w:r>
              <w:rPr>
                <w:rFonts w:ascii="ITC Avant Garde" w:hAnsi="ITC Avant Garde" w:cs="Arial"/>
                <w:sz w:val="18"/>
                <w:szCs w:val="18"/>
                <w:u w:val="single"/>
                <w:lang w:val="es-MX"/>
              </w:rPr>
              <w:t>I</w:t>
            </w:r>
            <w:r w:rsidR="001D368C" w:rsidRPr="00571EAF">
              <w:rPr>
                <w:rFonts w:ascii="ITC Avant Garde" w:hAnsi="ITC Avant Garde" w:cs="Arial"/>
                <w:sz w:val="18"/>
                <w:szCs w:val="18"/>
                <w:u w:val="single"/>
              </w:rPr>
              <w:t>mpresi</w:t>
            </w:r>
            <w:r w:rsidR="00571EAF">
              <w:rPr>
                <w:rFonts w:ascii="ITC Avant Garde" w:hAnsi="ITC Avant Garde" w:cs="Arial"/>
                <w:sz w:val="18"/>
                <w:szCs w:val="18"/>
                <w:u w:val="single"/>
                <w:lang w:val="es-MX"/>
              </w:rPr>
              <w:t>ó</w:t>
            </w:r>
            <w:r w:rsidR="001D368C" w:rsidRPr="00571EAF">
              <w:rPr>
                <w:rFonts w:ascii="ITC Avant Garde" w:hAnsi="ITC Avant Garde" w:cs="Arial"/>
                <w:sz w:val="18"/>
                <w:szCs w:val="18"/>
                <w:u w:val="single"/>
              </w:rPr>
              <w:t>n</w:t>
            </w:r>
            <w:r w:rsidR="0061133B" w:rsidRPr="00571EAF">
              <w:rPr>
                <w:rFonts w:ascii="ITC Avant Garde" w:hAnsi="ITC Avant Garde" w:cs="Arial"/>
                <w:sz w:val="18"/>
                <w:szCs w:val="18"/>
                <w:u w:val="single"/>
                <w:lang w:val="es-MX"/>
              </w:rPr>
              <w:t>(es)</w:t>
            </w:r>
            <w:r w:rsidR="001D368C" w:rsidRPr="00571EAF">
              <w:rPr>
                <w:rFonts w:ascii="ITC Avant Garde" w:hAnsi="ITC Avant Garde" w:cs="Arial"/>
                <w:sz w:val="18"/>
                <w:szCs w:val="18"/>
                <w:u w:val="single"/>
              </w:rPr>
              <w:t xml:space="preserve"> de pantalla en la</w:t>
            </w:r>
            <w:r w:rsidR="0061133B" w:rsidRPr="00571EAF">
              <w:rPr>
                <w:rFonts w:ascii="ITC Avant Garde" w:hAnsi="ITC Avant Garde" w:cs="Arial"/>
                <w:sz w:val="18"/>
                <w:szCs w:val="18"/>
                <w:u w:val="single"/>
                <w:lang w:val="es-MX"/>
              </w:rPr>
              <w:t>(s)</w:t>
            </w:r>
            <w:r w:rsidR="001D368C" w:rsidRPr="00571EAF">
              <w:rPr>
                <w:rFonts w:ascii="ITC Avant Garde" w:hAnsi="ITC Avant Garde" w:cs="Arial"/>
                <w:sz w:val="18"/>
                <w:szCs w:val="18"/>
                <w:u w:val="single"/>
              </w:rPr>
              <w:t xml:space="preserve"> que sea</w:t>
            </w:r>
            <w:r w:rsidR="0061133B" w:rsidRPr="00571EAF">
              <w:rPr>
                <w:rFonts w:ascii="ITC Avant Garde" w:hAnsi="ITC Avant Garde" w:cs="Arial"/>
                <w:sz w:val="18"/>
                <w:szCs w:val="18"/>
                <w:u w:val="single"/>
                <w:lang w:val="es-MX"/>
              </w:rPr>
              <w:t xml:space="preserve">(n) </w:t>
            </w:r>
            <w:r w:rsidR="001D368C" w:rsidRPr="00571EAF">
              <w:rPr>
                <w:rFonts w:ascii="ITC Avant Garde" w:hAnsi="ITC Avant Garde" w:cs="Arial"/>
                <w:sz w:val="18"/>
                <w:szCs w:val="18"/>
                <w:u w:val="single"/>
              </w:rPr>
              <w:t>visible</w:t>
            </w:r>
            <w:r w:rsidR="00C507E2" w:rsidRPr="00571EAF">
              <w:rPr>
                <w:rFonts w:ascii="ITC Avant Garde" w:hAnsi="ITC Avant Garde" w:cs="Arial"/>
                <w:sz w:val="18"/>
                <w:szCs w:val="18"/>
                <w:u w:val="single"/>
                <w:lang w:val="es-MX"/>
              </w:rPr>
              <w:t>(s)</w:t>
            </w:r>
            <w:r w:rsidR="001D368C" w:rsidRPr="00571EAF">
              <w:rPr>
                <w:rFonts w:ascii="ITC Avant Garde" w:hAnsi="ITC Avant Garde" w:cs="Arial"/>
                <w:sz w:val="18"/>
                <w:szCs w:val="18"/>
                <w:u w:val="single"/>
              </w:rPr>
              <w:t xml:space="preserve"> </w:t>
            </w:r>
            <w:r w:rsidR="0061133B" w:rsidRPr="00571EAF">
              <w:rPr>
                <w:rFonts w:ascii="ITC Avant Garde" w:hAnsi="ITC Avant Garde" w:cs="Arial"/>
                <w:sz w:val="18"/>
                <w:szCs w:val="18"/>
                <w:u w:val="single"/>
                <w:lang w:val="es-MX"/>
              </w:rPr>
              <w:t>la</w:t>
            </w:r>
            <w:r w:rsidR="00C507E2" w:rsidRPr="00571EAF">
              <w:rPr>
                <w:rFonts w:ascii="ITC Avant Garde" w:hAnsi="ITC Avant Garde" w:cs="Arial"/>
                <w:sz w:val="18"/>
                <w:szCs w:val="18"/>
                <w:u w:val="single"/>
                <w:lang w:val="es-MX"/>
              </w:rPr>
              <w:t>(s)</w:t>
            </w:r>
            <w:r w:rsidR="0061133B" w:rsidRPr="00571EAF">
              <w:rPr>
                <w:rFonts w:ascii="ITC Avant Garde" w:hAnsi="ITC Avant Garde" w:cs="Arial"/>
                <w:sz w:val="18"/>
                <w:szCs w:val="18"/>
                <w:u w:val="single"/>
                <w:lang w:val="es-MX"/>
              </w:rPr>
              <w:t xml:space="preserve"> </w:t>
            </w:r>
            <w:r w:rsidR="00E1402A" w:rsidRPr="00571EAF">
              <w:rPr>
                <w:rFonts w:ascii="ITC Avant Garde" w:hAnsi="ITC Avant Garde" w:cs="Arial"/>
                <w:sz w:val="18"/>
                <w:szCs w:val="18"/>
                <w:u w:val="single"/>
                <w:lang w:val="es-MX"/>
              </w:rPr>
              <w:t>falla</w:t>
            </w:r>
            <w:r w:rsidR="00C507E2" w:rsidRPr="00571EAF">
              <w:rPr>
                <w:rFonts w:ascii="ITC Avant Garde" w:hAnsi="ITC Avant Garde" w:cs="Arial"/>
                <w:sz w:val="18"/>
                <w:szCs w:val="18"/>
                <w:u w:val="single"/>
                <w:lang w:val="es-MX"/>
              </w:rPr>
              <w:t>(s)</w:t>
            </w:r>
            <w:r w:rsidR="0061133B" w:rsidRPr="00571EAF">
              <w:rPr>
                <w:rFonts w:ascii="ITC Avant Garde" w:hAnsi="ITC Avant Garde" w:cs="Arial"/>
                <w:sz w:val="18"/>
                <w:szCs w:val="18"/>
                <w:u w:val="single"/>
                <w:lang w:val="es-MX"/>
              </w:rPr>
              <w:t xml:space="preserve"> </w:t>
            </w:r>
            <w:r w:rsidR="00571EAF">
              <w:rPr>
                <w:rFonts w:ascii="ITC Avant Garde" w:hAnsi="ITC Avant Garde" w:cs="Arial"/>
                <w:sz w:val="18"/>
                <w:szCs w:val="18"/>
                <w:u w:val="single"/>
                <w:lang w:val="es-MX"/>
              </w:rPr>
              <w:t xml:space="preserve">técnica(s) </w:t>
            </w:r>
            <w:r w:rsidR="001D368C" w:rsidRPr="00571EAF">
              <w:rPr>
                <w:rFonts w:ascii="ITC Avant Garde" w:hAnsi="ITC Avant Garde" w:cs="Arial"/>
                <w:sz w:val="18"/>
                <w:szCs w:val="18"/>
                <w:u w:val="single"/>
              </w:rPr>
              <w:t xml:space="preserve">en el funcionamiento </w:t>
            </w:r>
            <w:r w:rsidR="0061133B" w:rsidRPr="00571EAF">
              <w:rPr>
                <w:rFonts w:ascii="ITC Avant Garde" w:hAnsi="ITC Avant Garde" w:cs="Arial"/>
                <w:sz w:val="18"/>
                <w:szCs w:val="18"/>
                <w:u w:val="single"/>
                <w:lang w:val="es-MX"/>
              </w:rPr>
              <w:t xml:space="preserve">del SEPDAI, la hora y la fecha en la que se presentó, así como una </w:t>
            </w:r>
            <w:r w:rsidR="00571EAF">
              <w:rPr>
                <w:rFonts w:ascii="ITC Avant Garde" w:hAnsi="ITC Avant Garde" w:cs="Arial"/>
                <w:sz w:val="18"/>
                <w:szCs w:val="18"/>
                <w:u w:val="single"/>
                <w:lang w:val="es-MX"/>
              </w:rPr>
              <w:t xml:space="preserve">breve </w:t>
            </w:r>
            <w:r w:rsidR="0061133B" w:rsidRPr="00571EAF">
              <w:rPr>
                <w:rFonts w:ascii="ITC Avant Garde" w:hAnsi="ITC Avant Garde" w:cs="Arial"/>
                <w:sz w:val="18"/>
                <w:szCs w:val="18"/>
                <w:u w:val="single"/>
                <w:lang w:val="es-MX"/>
              </w:rPr>
              <w:t>explicación de</w:t>
            </w:r>
            <w:r w:rsidR="00E1402A" w:rsidRPr="00571EAF">
              <w:rPr>
                <w:rFonts w:ascii="ITC Avant Garde" w:hAnsi="ITC Avant Garde" w:cs="Arial"/>
                <w:sz w:val="18"/>
                <w:szCs w:val="18"/>
                <w:u w:val="single"/>
                <w:lang w:val="es-MX"/>
              </w:rPr>
              <w:t xml:space="preserve"> la problemática presentada.</w:t>
            </w:r>
          </w:p>
          <w:p w14:paraId="191E04A4" w14:textId="291372E8" w:rsidR="00BA3ACA" w:rsidRPr="00C507E2" w:rsidRDefault="007A538C">
            <w:pPr>
              <w:spacing w:after="120" w:line="240" w:lineRule="auto"/>
              <w:jc w:val="both"/>
              <w:rPr>
                <w:rFonts w:ascii="ITC Avant Garde" w:hAnsi="ITC Avant Garde" w:cs="Arial"/>
                <w:sz w:val="18"/>
                <w:szCs w:val="18"/>
              </w:rPr>
            </w:pPr>
            <w:r w:rsidRPr="003E78FA">
              <w:rPr>
                <w:rFonts w:ascii="ITC Avant Garde" w:hAnsi="ITC Avant Garde" w:cs="Arial"/>
                <w:sz w:val="18"/>
                <w:szCs w:val="18"/>
                <w:u w:val="single"/>
              </w:rPr>
              <w:t>L</w:t>
            </w:r>
            <w:r w:rsidR="00E1402A" w:rsidRPr="003E78FA">
              <w:rPr>
                <w:rFonts w:ascii="ITC Avant Garde" w:hAnsi="ITC Avant Garde" w:cs="Arial"/>
                <w:sz w:val="18"/>
                <w:szCs w:val="18"/>
                <w:u w:val="single"/>
              </w:rPr>
              <w:t xml:space="preserve">a información y documentos </w:t>
            </w:r>
            <w:r w:rsidRPr="003E78FA">
              <w:rPr>
                <w:rFonts w:ascii="ITC Avant Garde" w:hAnsi="ITC Avant Garde" w:cs="Arial"/>
                <w:sz w:val="18"/>
                <w:szCs w:val="18"/>
                <w:u w:val="single"/>
              </w:rPr>
              <w:t>anteriores se cargar</w:t>
            </w:r>
            <w:r w:rsidR="00B8020A">
              <w:rPr>
                <w:rFonts w:ascii="ITC Avant Garde" w:hAnsi="ITC Avant Garde" w:cs="Arial"/>
                <w:sz w:val="18"/>
                <w:szCs w:val="18"/>
                <w:u w:val="single"/>
              </w:rPr>
              <w:t>án</w:t>
            </w:r>
            <w:r w:rsidRPr="003E78FA">
              <w:rPr>
                <w:rFonts w:ascii="ITC Avant Garde" w:hAnsi="ITC Avant Garde" w:cs="Arial"/>
                <w:sz w:val="18"/>
                <w:szCs w:val="18"/>
                <w:u w:val="single"/>
              </w:rPr>
              <w:t xml:space="preserve"> de manera digitalizada </w:t>
            </w:r>
            <w:r w:rsidR="00C62A6F">
              <w:rPr>
                <w:rFonts w:ascii="ITC Avant Garde" w:hAnsi="ITC Avant Garde" w:cs="Arial"/>
                <w:sz w:val="18"/>
                <w:szCs w:val="18"/>
                <w:u w:val="single"/>
              </w:rPr>
              <w:t>a</w:t>
            </w:r>
            <w:r w:rsidRPr="003E78FA">
              <w:rPr>
                <w:rFonts w:ascii="ITC Avant Garde" w:hAnsi="ITC Avant Garde" w:cs="Arial"/>
                <w:sz w:val="18"/>
                <w:szCs w:val="18"/>
                <w:u w:val="single"/>
              </w:rPr>
              <w:t xml:space="preserve">l SEPDAI </w:t>
            </w:r>
            <w:r w:rsidR="00C62A6F">
              <w:rPr>
                <w:rFonts w:ascii="ITC Avant Garde" w:hAnsi="ITC Avant Garde" w:cs="Arial"/>
                <w:sz w:val="18"/>
                <w:szCs w:val="18"/>
                <w:u w:val="single"/>
              </w:rPr>
              <w:t>por la AI</w:t>
            </w:r>
            <w:r w:rsidRPr="006A5E6D">
              <w:rPr>
                <w:rFonts w:ascii="ITC Avant Garde" w:hAnsi="ITC Avant Garde" w:cs="Arial"/>
                <w:sz w:val="18"/>
                <w:szCs w:val="18"/>
              </w:rPr>
              <w:t>.</w:t>
            </w:r>
            <w:r w:rsidR="00E1402A" w:rsidRPr="006A5E6D">
              <w:rPr>
                <w:rFonts w:ascii="ITC Avant Garde" w:hAnsi="ITC Avant Garde" w:cs="Arial"/>
                <w:sz w:val="18"/>
                <w:szCs w:val="18"/>
              </w:rPr>
              <w:t xml:space="preserve"> </w:t>
            </w:r>
          </w:p>
        </w:tc>
      </w:tr>
    </w:tbl>
    <w:p w14:paraId="5E3B7329" w14:textId="77777777" w:rsidR="003F2EC4" w:rsidRPr="005F7866" w:rsidRDefault="003F2EC4" w:rsidP="00C43007">
      <w:pPr>
        <w:spacing w:after="120" w:line="240" w:lineRule="auto"/>
        <w:jc w:val="both"/>
        <w:rPr>
          <w:rFonts w:ascii="ITC Avant Garde" w:hAnsi="ITC Avant Garde"/>
        </w:rPr>
      </w:pPr>
    </w:p>
    <w:p w14:paraId="29BDD94B" w14:textId="77777777" w:rsidR="00CD5C66" w:rsidRDefault="000B4DF4">
      <w:pPr>
        <w:pStyle w:val="Ttulo2"/>
        <w:spacing w:before="0" w:after="120" w:line="240" w:lineRule="auto"/>
        <w:rPr>
          <w:rFonts w:ascii="ITC Avant Garde" w:hAnsi="ITC Avant Garde"/>
          <w:b/>
          <w:color w:val="auto"/>
          <w:sz w:val="22"/>
          <w:szCs w:val="22"/>
        </w:rPr>
      </w:pPr>
      <w:r w:rsidRPr="005F7866">
        <w:rPr>
          <w:rFonts w:ascii="ITC Avant Garde" w:hAnsi="ITC Avant Garde"/>
          <w:b/>
          <w:color w:val="auto"/>
          <w:sz w:val="22"/>
          <w:szCs w:val="22"/>
        </w:rPr>
        <w:t>6.3</w:t>
      </w:r>
      <w:r w:rsidR="003F2EC4" w:rsidRPr="005F7866">
        <w:rPr>
          <w:rFonts w:ascii="ITC Avant Garde" w:hAnsi="ITC Avant Garde"/>
          <w:b/>
          <w:color w:val="auto"/>
          <w:sz w:val="22"/>
          <w:szCs w:val="22"/>
        </w:rPr>
        <w:t>.</w:t>
      </w:r>
      <w:r w:rsidR="003F2EC4" w:rsidRPr="005F7866">
        <w:rPr>
          <w:rFonts w:ascii="ITC Avant Garde" w:hAnsi="ITC Avant Garde"/>
          <w:b/>
          <w:color w:val="auto"/>
          <w:sz w:val="22"/>
          <w:szCs w:val="22"/>
        </w:rPr>
        <w:tab/>
      </w:r>
      <w:r w:rsidR="00CD5C66">
        <w:rPr>
          <w:rFonts w:ascii="ITC Avant Garde" w:hAnsi="ITC Avant Garde"/>
          <w:b/>
          <w:color w:val="auto"/>
          <w:sz w:val="22"/>
          <w:szCs w:val="22"/>
        </w:rPr>
        <w:t>Título tercero. De la integración del expediente</w:t>
      </w:r>
    </w:p>
    <w:p w14:paraId="7345CD36" w14:textId="253F6413" w:rsidR="00CD5C66" w:rsidRDefault="00CD5C66">
      <w:pPr>
        <w:pStyle w:val="Ttulo2"/>
        <w:spacing w:before="0" w:after="120" w:line="240" w:lineRule="auto"/>
        <w:rPr>
          <w:rFonts w:ascii="ITC Avant Garde" w:hAnsi="ITC Avant Garde"/>
          <w:b/>
          <w:color w:val="auto"/>
          <w:sz w:val="22"/>
          <w:szCs w:val="22"/>
        </w:rPr>
      </w:pPr>
      <w:r>
        <w:rPr>
          <w:rFonts w:ascii="ITC Avant Garde" w:hAnsi="ITC Avant Garde"/>
          <w:b/>
          <w:color w:val="auto"/>
          <w:sz w:val="22"/>
          <w:szCs w:val="22"/>
        </w:rPr>
        <w:t>Comentarios recibidos al artículo 16</w:t>
      </w:r>
    </w:p>
    <w:p w14:paraId="57DE8EF2" w14:textId="2D399F2E" w:rsidR="00D74000" w:rsidRPr="00C40D50" w:rsidRDefault="00D74000" w:rsidP="00C43007">
      <w:pPr>
        <w:pStyle w:val="Prrafodelista"/>
        <w:numPr>
          <w:ilvl w:val="0"/>
          <w:numId w:val="20"/>
        </w:numPr>
        <w:spacing w:after="120" w:line="240" w:lineRule="auto"/>
        <w:contextualSpacing w:val="0"/>
        <w:jc w:val="both"/>
        <w:rPr>
          <w:rFonts w:ascii="ITC Avant Garde" w:hAnsi="ITC Avant Garde"/>
        </w:rPr>
      </w:pPr>
      <w:r w:rsidRPr="00C40D50">
        <w:rPr>
          <w:rFonts w:ascii="ITC Avant Garde" w:hAnsi="ITC Avant Garde"/>
        </w:rPr>
        <w:t>AT</w:t>
      </w:r>
      <w:r w:rsidR="006F1360" w:rsidRPr="00C40D50">
        <w:rPr>
          <w:rFonts w:ascii="ITC Avant Garde" w:hAnsi="ITC Avant Garde"/>
        </w:rPr>
        <w:t>&amp;</w:t>
      </w:r>
      <w:r w:rsidRPr="00C40D50">
        <w:rPr>
          <w:rFonts w:ascii="ITC Avant Garde" w:hAnsi="ITC Avant Garde"/>
        </w:rPr>
        <w:t xml:space="preserve">T señaló </w:t>
      </w:r>
      <w:r w:rsidR="009A5292">
        <w:rPr>
          <w:rFonts w:ascii="ITC Avant Garde" w:hAnsi="ITC Avant Garde"/>
          <w:lang w:val="es-MX"/>
        </w:rPr>
        <w:t xml:space="preserve">el comentario siguiente: </w:t>
      </w:r>
    </w:p>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152ABA" w:rsidRPr="005F7866" w14:paraId="0652B43C" w14:textId="77777777" w:rsidTr="00570E4A">
        <w:trPr>
          <w:trHeight w:val="276"/>
        </w:trPr>
        <w:tc>
          <w:tcPr>
            <w:tcW w:w="8931" w:type="dxa"/>
            <w:shd w:val="clear" w:color="auto" w:fill="538135" w:themeFill="accent6" w:themeFillShade="BF"/>
          </w:tcPr>
          <w:p w14:paraId="101EBD59" w14:textId="77777777" w:rsidR="00152ABA" w:rsidRPr="00977A83" w:rsidRDefault="00152ABA" w:rsidP="00C43007">
            <w:pPr>
              <w:pStyle w:val="Default"/>
              <w:spacing w:after="120"/>
              <w:jc w:val="center"/>
              <w:rPr>
                <w:rFonts w:ascii="ITC Avant Garde" w:hAnsi="ITC Avant Garde"/>
                <w:i/>
                <w:sz w:val="20"/>
                <w:szCs w:val="20"/>
              </w:rPr>
            </w:pPr>
            <w:r>
              <w:rPr>
                <w:rFonts w:ascii="ITC Avant Garde" w:hAnsi="ITC Avant Garde" w:cs="ITC Avant Garde"/>
                <w:b/>
                <w:smallCaps/>
                <w:color w:val="FFFFFF" w:themeColor="background1"/>
                <w:sz w:val="20"/>
                <w:szCs w:val="20"/>
              </w:rPr>
              <w:t>AT&amp;T</w:t>
            </w:r>
          </w:p>
        </w:tc>
      </w:tr>
      <w:tr w:rsidR="00D74000" w:rsidRPr="005F7866" w14:paraId="7D70A052" w14:textId="77777777" w:rsidTr="0097478C">
        <w:trPr>
          <w:trHeight w:val="647"/>
        </w:trPr>
        <w:tc>
          <w:tcPr>
            <w:tcW w:w="8931" w:type="dxa"/>
            <w:shd w:val="clear" w:color="auto" w:fill="C5E0B3" w:themeFill="accent6" w:themeFillTint="66"/>
            <w:vAlign w:val="center"/>
          </w:tcPr>
          <w:p w14:paraId="2DD91E6A" w14:textId="77777777" w:rsidR="00D74000" w:rsidRPr="001478C3" w:rsidRDefault="00D74000" w:rsidP="00C43007">
            <w:pPr>
              <w:pStyle w:val="Default"/>
              <w:spacing w:after="120"/>
              <w:jc w:val="both"/>
              <w:rPr>
                <w:rFonts w:ascii="ITC Avant Garde" w:hAnsi="ITC Avant Garde"/>
                <w:i/>
                <w:sz w:val="18"/>
                <w:szCs w:val="18"/>
              </w:rPr>
            </w:pPr>
            <w:r>
              <w:rPr>
                <w:rFonts w:ascii="ITC Avant Garde" w:hAnsi="ITC Avant Garde"/>
                <w:i/>
                <w:sz w:val="18"/>
                <w:szCs w:val="18"/>
              </w:rPr>
              <w:lastRenderedPageBreak/>
              <w:t xml:space="preserve">Debe velarse por el derecho del Instituto y del denunciado de poder solicitar en cualquier momento, el cotejo con el documento electrónico con el original. </w:t>
            </w:r>
          </w:p>
        </w:tc>
      </w:tr>
    </w:tbl>
    <w:p w14:paraId="4CE9E8DF" w14:textId="77777777" w:rsidR="00C62830" w:rsidRDefault="00C62830" w:rsidP="0093314D">
      <w:pPr>
        <w:pStyle w:val="Prrafodelista"/>
        <w:spacing w:after="120" w:line="240" w:lineRule="auto"/>
        <w:ind w:right="157"/>
        <w:contextualSpacing w:val="0"/>
        <w:jc w:val="both"/>
        <w:rPr>
          <w:rFonts w:ascii="ITC Avant Garde" w:hAnsi="ITC Avant Garde"/>
        </w:rPr>
      </w:pPr>
    </w:p>
    <w:p w14:paraId="0EDDD1EC" w14:textId="227DC912" w:rsidR="00C62830" w:rsidRDefault="00C62830" w:rsidP="0093314D">
      <w:pPr>
        <w:pStyle w:val="Prrafodelista"/>
        <w:numPr>
          <w:ilvl w:val="0"/>
          <w:numId w:val="20"/>
        </w:numPr>
        <w:spacing w:after="120" w:line="240" w:lineRule="auto"/>
        <w:ind w:right="157"/>
        <w:contextualSpacing w:val="0"/>
        <w:jc w:val="both"/>
        <w:rPr>
          <w:rFonts w:ascii="ITC Avant Garde" w:hAnsi="ITC Avant Garde"/>
        </w:rPr>
      </w:pPr>
      <w:r w:rsidRPr="00C40D50">
        <w:rPr>
          <w:rFonts w:ascii="ITC Avant Garde" w:hAnsi="ITC Avant Garde"/>
        </w:rPr>
        <w:t xml:space="preserve">Por otro lado, Bestphone </w:t>
      </w:r>
      <w:r>
        <w:rPr>
          <w:rFonts w:ascii="ITC Avant Garde" w:hAnsi="ITC Avant Garde"/>
          <w:lang w:val="es-MX"/>
        </w:rPr>
        <w:t>y otros realizaron el siguiente comentario</w:t>
      </w:r>
      <w:r w:rsidRPr="00C40D50">
        <w:rPr>
          <w:rFonts w:ascii="ITC Avant Garde" w:hAnsi="ITC Avant Garde"/>
        </w:rPr>
        <w:t>:</w:t>
      </w:r>
    </w:p>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C62830" w:rsidRPr="005F7866" w14:paraId="7ABB43FA" w14:textId="77777777" w:rsidTr="009729FD">
        <w:trPr>
          <w:trHeight w:val="276"/>
        </w:trPr>
        <w:tc>
          <w:tcPr>
            <w:tcW w:w="8931" w:type="dxa"/>
            <w:shd w:val="clear" w:color="auto" w:fill="538135" w:themeFill="accent6" w:themeFillShade="BF"/>
          </w:tcPr>
          <w:p w14:paraId="6ECAF238" w14:textId="77777777" w:rsidR="00C62830" w:rsidRPr="00412A3E" w:rsidRDefault="00C62830" w:rsidP="009729FD">
            <w:pPr>
              <w:pStyle w:val="Default"/>
              <w:spacing w:after="120"/>
              <w:jc w:val="center"/>
              <w:rPr>
                <w:rFonts w:ascii="ITC Avant Garde" w:hAnsi="ITC Avant Garde"/>
                <w:i/>
                <w:sz w:val="20"/>
                <w:szCs w:val="20"/>
              </w:rPr>
            </w:pPr>
            <w:r>
              <w:rPr>
                <w:rFonts w:ascii="ITC Avant Garde" w:hAnsi="ITC Avant Garde" w:cs="ITC Avant Garde"/>
                <w:b/>
                <w:color w:val="FFFFFF" w:themeColor="background1"/>
                <w:sz w:val="20"/>
                <w:szCs w:val="20"/>
              </w:rPr>
              <w:t>Bestphone y otros</w:t>
            </w:r>
          </w:p>
        </w:tc>
      </w:tr>
      <w:tr w:rsidR="00C62830" w:rsidRPr="005F7866" w14:paraId="15940208" w14:textId="77777777" w:rsidTr="009729FD">
        <w:trPr>
          <w:trHeight w:val="527"/>
        </w:trPr>
        <w:tc>
          <w:tcPr>
            <w:tcW w:w="8931" w:type="dxa"/>
            <w:shd w:val="clear" w:color="auto" w:fill="C5E0B3" w:themeFill="accent6" w:themeFillTint="66"/>
            <w:vAlign w:val="center"/>
          </w:tcPr>
          <w:p w14:paraId="7D2BD4EA" w14:textId="77777777" w:rsidR="00C62830" w:rsidRPr="001478C3" w:rsidRDefault="00C62830" w:rsidP="009729FD">
            <w:pPr>
              <w:pStyle w:val="Default"/>
              <w:spacing w:after="120"/>
              <w:jc w:val="both"/>
              <w:rPr>
                <w:rFonts w:ascii="ITC Avant Garde" w:hAnsi="ITC Avant Garde"/>
                <w:i/>
                <w:sz w:val="18"/>
                <w:szCs w:val="18"/>
              </w:rPr>
            </w:pPr>
            <w:r>
              <w:rPr>
                <w:rFonts w:ascii="ITC Avant Garde" w:hAnsi="ITC Avant Garde"/>
                <w:i/>
                <w:sz w:val="18"/>
                <w:szCs w:val="18"/>
              </w:rPr>
              <w:t xml:space="preserve">Precisar si se refiere a un expediente físico, electrónico o ambos. </w:t>
            </w:r>
          </w:p>
        </w:tc>
      </w:tr>
    </w:tbl>
    <w:p w14:paraId="64C3657E" w14:textId="77777777" w:rsidR="0097478C" w:rsidRDefault="0097478C">
      <w:pPr>
        <w:spacing w:after="120" w:line="240" w:lineRule="auto"/>
        <w:rPr>
          <w:rFonts w:ascii="ITC Avant Garde" w:hAnsi="ITC Avant Garde"/>
          <w:sz w:val="16"/>
          <w:szCs w:val="16"/>
        </w:rPr>
      </w:pPr>
    </w:p>
    <w:p w14:paraId="37198EC8" w14:textId="77777777" w:rsidR="00E4495B" w:rsidRPr="00E4495B" w:rsidRDefault="00E4495B" w:rsidP="00C43007">
      <w:pPr>
        <w:pStyle w:val="Ttulo2"/>
        <w:spacing w:before="0" w:after="120" w:line="240" w:lineRule="auto"/>
        <w:rPr>
          <w:rFonts w:ascii="ITC Avant Garde" w:hAnsi="ITC Avant Garde"/>
          <w:b/>
          <w:color w:val="auto"/>
          <w:sz w:val="22"/>
          <w:szCs w:val="22"/>
        </w:rPr>
      </w:pPr>
      <w:r>
        <w:rPr>
          <w:rFonts w:ascii="ITC Avant Garde" w:hAnsi="ITC Avant Garde"/>
          <w:b/>
          <w:color w:val="auto"/>
          <w:sz w:val="22"/>
          <w:szCs w:val="22"/>
        </w:rPr>
        <w:t>Consideraciones</w:t>
      </w:r>
    </w:p>
    <w:p w14:paraId="6A8759BB" w14:textId="54CCEF2F" w:rsidR="00E4495B" w:rsidRPr="00E4495B" w:rsidRDefault="00C62830">
      <w:pPr>
        <w:shd w:val="clear" w:color="auto" w:fill="FFFFFF"/>
        <w:spacing w:after="120" w:line="240" w:lineRule="auto"/>
        <w:jc w:val="both"/>
        <w:rPr>
          <w:rFonts w:ascii="ITC Avant Garde" w:hAnsi="ITC Avant Garde"/>
        </w:rPr>
      </w:pPr>
      <w:r>
        <w:rPr>
          <w:rFonts w:ascii="ITC Avant Garde" w:hAnsi="ITC Avant Garde"/>
        </w:rPr>
        <w:t xml:space="preserve">a) </w:t>
      </w:r>
      <w:r w:rsidR="00E4495B" w:rsidRPr="00E4495B">
        <w:rPr>
          <w:rFonts w:ascii="ITC Avant Garde" w:hAnsi="ITC Avant Garde"/>
        </w:rPr>
        <w:t>Los artículos 28</w:t>
      </w:r>
      <w:r w:rsidR="00720A02">
        <w:rPr>
          <w:rFonts w:ascii="ITC Avant Garde" w:hAnsi="ITC Avant Garde"/>
        </w:rPr>
        <w:t>,</w:t>
      </w:r>
      <w:r w:rsidR="00E4495B" w:rsidRPr="00E4495B">
        <w:rPr>
          <w:rFonts w:ascii="ITC Avant Garde" w:hAnsi="ITC Avant Garde"/>
        </w:rPr>
        <w:t xml:space="preserve"> fracción IV</w:t>
      </w:r>
      <w:r w:rsidR="00FF4B32">
        <w:rPr>
          <w:rFonts w:ascii="ITC Avant Garde" w:hAnsi="ITC Avant Garde"/>
        </w:rPr>
        <w:t>,</w:t>
      </w:r>
      <w:r w:rsidR="00E4495B" w:rsidRPr="00E4495B">
        <w:rPr>
          <w:rFonts w:ascii="ITC Avant Garde" w:hAnsi="ITC Avant Garde"/>
        </w:rPr>
        <w:t xml:space="preserve"> de la LFCE y 62</w:t>
      </w:r>
      <w:r w:rsidR="00FF4B32">
        <w:rPr>
          <w:rFonts w:ascii="ITC Avant Garde" w:hAnsi="ITC Avant Garde"/>
        </w:rPr>
        <w:t>,</w:t>
      </w:r>
      <w:r w:rsidR="00E4495B" w:rsidRPr="00E4495B">
        <w:rPr>
          <w:rFonts w:ascii="ITC Avant Garde" w:hAnsi="ITC Avant Garde"/>
        </w:rPr>
        <w:t xml:space="preserve"> fracción XIV</w:t>
      </w:r>
      <w:r w:rsidR="00FF4B32">
        <w:rPr>
          <w:rFonts w:ascii="ITC Avant Garde" w:hAnsi="ITC Avant Garde"/>
        </w:rPr>
        <w:t>,</w:t>
      </w:r>
      <w:r w:rsidR="00E4495B" w:rsidRPr="00E4495B">
        <w:rPr>
          <w:rFonts w:ascii="ITC Avant Garde" w:hAnsi="ITC Avant Garde"/>
        </w:rPr>
        <w:t xml:space="preserve"> del Estatuto Orgánico</w:t>
      </w:r>
      <w:r w:rsidR="00462605">
        <w:rPr>
          <w:rFonts w:ascii="ITC Avant Garde" w:hAnsi="ITC Avant Garde"/>
        </w:rPr>
        <w:t xml:space="preserve"> </w:t>
      </w:r>
      <w:r w:rsidR="00462605" w:rsidRPr="004755BF">
        <w:rPr>
          <w:rFonts w:ascii="ITC Avant Garde" w:hAnsi="ITC Avant Garde"/>
        </w:rPr>
        <w:t>del Instituto Federal de Telecomunicaciones</w:t>
      </w:r>
      <w:r w:rsidR="00E4495B" w:rsidRPr="00E4495B">
        <w:rPr>
          <w:rFonts w:ascii="ITC Avant Garde" w:hAnsi="ITC Avant Garde"/>
        </w:rPr>
        <w:t>, facultan a la AI para que expida copias certificadas o realice cotejos de documentos o información para integrarlos a los expedientes.</w:t>
      </w:r>
    </w:p>
    <w:p w14:paraId="658A5B49" w14:textId="77777777" w:rsidR="00E4495B" w:rsidRPr="00E4495B" w:rsidRDefault="00FF4B32">
      <w:pPr>
        <w:shd w:val="clear" w:color="auto" w:fill="FFFFFF"/>
        <w:spacing w:after="120" w:line="240" w:lineRule="auto"/>
        <w:jc w:val="both"/>
        <w:rPr>
          <w:rFonts w:ascii="Arial" w:eastAsia="Times New Roman" w:hAnsi="Arial" w:cs="Arial"/>
          <w:color w:val="2F2F2F"/>
          <w:lang w:eastAsia="es-MX"/>
        </w:rPr>
      </w:pPr>
      <w:r>
        <w:rPr>
          <w:rFonts w:ascii="ITC Avant Garde" w:hAnsi="ITC Avant Garde"/>
        </w:rPr>
        <w:t xml:space="preserve">Por otro lado, </w:t>
      </w:r>
      <w:r w:rsidR="00E4495B" w:rsidRPr="00E4495B">
        <w:rPr>
          <w:rFonts w:ascii="ITC Avant Garde" w:hAnsi="ITC Avant Garde"/>
        </w:rPr>
        <w:t xml:space="preserve">atendiendo al párrafo segundo del artículo 124 de la LFCE, </w:t>
      </w:r>
      <w:r w:rsidRPr="001F0FA3">
        <w:rPr>
          <w:rFonts w:ascii="ITC Avant Garde" w:hAnsi="ITC Avant Garde"/>
        </w:rPr>
        <w:t xml:space="preserve">durante la investigación no se permitirá el acceso al expediente y, en la secuela del procedimiento, únicamente los </w:t>
      </w:r>
      <w:r w:rsidR="00BD1BDB" w:rsidRPr="001F0FA3">
        <w:rPr>
          <w:rFonts w:ascii="ITC Avant Garde" w:hAnsi="ITC Avant Garde"/>
        </w:rPr>
        <w:t>a</w:t>
      </w:r>
      <w:r w:rsidRPr="001F0FA3">
        <w:rPr>
          <w:rFonts w:ascii="ITC Avant Garde" w:hAnsi="ITC Avant Garde"/>
        </w:rPr>
        <w:t xml:space="preserve">gentes </w:t>
      </w:r>
      <w:r w:rsidR="00BD1BDB" w:rsidRPr="001F0FA3">
        <w:rPr>
          <w:rFonts w:ascii="ITC Avant Garde" w:hAnsi="ITC Avant Garde"/>
        </w:rPr>
        <w:t>e</w:t>
      </w:r>
      <w:r w:rsidRPr="001F0FA3">
        <w:rPr>
          <w:rFonts w:ascii="ITC Avant Garde" w:hAnsi="ITC Avant Garde"/>
        </w:rPr>
        <w:t>conómicos con interés jurídico en éste podrán tener acceso al mismo, excepto a aquella información clasificada como confidencial</w:t>
      </w:r>
      <w:r w:rsidR="00E4495B" w:rsidRPr="00E4495B">
        <w:rPr>
          <w:rFonts w:ascii="ITC Avant Garde" w:hAnsi="ITC Avant Garde"/>
        </w:rPr>
        <w:t>.</w:t>
      </w:r>
    </w:p>
    <w:p w14:paraId="07DCDF22" w14:textId="77777777" w:rsidR="00E4495B" w:rsidRPr="00E4495B" w:rsidRDefault="00E4495B">
      <w:pPr>
        <w:shd w:val="clear" w:color="auto" w:fill="FFFFFF"/>
        <w:spacing w:after="120" w:line="240" w:lineRule="auto"/>
        <w:jc w:val="both"/>
        <w:rPr>
          <w:rFonts w:ascii="ITC Avant Garde" w:hAnsi="ITC Avant Garde"/>
        </w:rPr>
      </w:pPr>
      <w:r w:rsidRPr="00E4495B">
        <w:rPr>
          <w:rFonts w:ascii="ITC Avant Garde" w:hAnsi="ITC Avant Garde"/>
        </w:rPr>
        <w:t xml:space="preserve">En este sentido, </w:t>
      </w:r>
      <w:r w:rsidR="00FF4B32">
        <w:rPr>
          <w:rFonts w:ascii="ITC Avant Garde" w:hAnsi="ITC Avant Garde"/>
        </w:rPr>
        <w:t xml:space="preserve">se considera que el </w:t>
      </w:r>
      <w:r w:rsidR="00353D1B" w:rsidRPr="00C40D50">
        <w:rPr>
          <w:rFonts w:ascii="ITC Avant Garde" w:hAnsi="ITC Avant Garde"/>
        </w:rPr>
        <w:t>Instituto</w:t>
      </w:r>
      <w:r w:rsidR="00FF4B32">
        <w:rPr>
          <w:rFonts w:ascii="ITC Avant Garde" w:hAnsi="ITC Avant Garde"/>
        </w:rPr>
        <w:t xml:space="preserve"> puede realizar el cotejo de la información que considere pertinente, aunado a que el denunciado </w:t>
      </w:r>
      <w:r w:rsidR="00302717">
        <w:rPr>
          <w:rFonts w:ascii="ITC Avant Garde" w:hAnsi="ITC Avant Garde"/>
        </w:rPr>
        <w:t>podrá tener acceso al expediente con la reserva relativa a la información confidencial</w:t>
      </w:r>
      <w:r w:rsidR="000758B4">
        <w:rPr>
          <w:rFonts w:ascii="ITC Avant Garde" w:hAnsi="ITC Avant Garde"/>
        </w:rPr>
        <w:t>, en el momento procesal oportuno</w:t>
      </w:r>
      <w:r w:rsidR="00302717">
        <w:rPr>
          <w:rFonts w:ascii="ITC Avant Garde" w:hAnsi="ITC Avant Garde"/>
        </w:rPr>
        <w:t xml:space="preserve">. </w:t>
      </w:r>
    </w:p>
    <w:p w14:paraId="3F68C623" w14:textId="77777777" w:rsidR="00E4495B" w:rsidRPr="00E4495B" w:rsidRDefault="001B1901">
      <w:pPr>
        <w:shd w:val="clear" w:color="auto" w:fill="FFFFFF"/>
        <w:spacing w:after="120" w:line="240" w:lineRule="auto"/>
        <w:jc w:val="both"/>
        <w:rPr>
          <w:rFonts w:ascii="ITC Avant Garde" w:hAnsi="ITC Avant Garde"/>
        </w:rPr>
      </w:pPr>
      <w:r>
        <w:rPr>
          <w:rFonts w:ascii="ITC Avant Garde" w:hAnsi="ITC Avant Garde"/>
        </w:rPr>
        <w:t>Por las razones asentadas</w:t>
      </w:r>
      <w:r w:rsidR="00E4495B" w:rsidRPr="00E4495B">
        <w:rPr>
          <w:rFonts w:ascii="ITC Avant Garde" w:hAnsi="ITC Avant Garde"/>
        </w:rPr>
        <w:t>,</w:t>
      </w:r>
      <w:r>
        <w:rPr>
          <w:rFonts w:ascii="ITC Avant Garde" w:hAnsi="ITC Avant Garde"/>
        </w:rPr>
        <w:t xml:space="preserve"> se</w:t>
      </w:r>
      <w:r w:rsidR="00E4495B" w:rsidRPr="00E4495B">
        <w:rPr>
          <w:rFonts w:ascii="ITC Avant Garde" w:hAnsi="ITC Avant Garde"/>
        </w:rPr>
        <w:t xml:space="preserve"> </w:t>
      </w:r>
      <w:r>
        <w:rPr>
          <w:rFonts w:ascii="ITC Avant Garde" w:hAnsi="ITC Avant Garde"/>
        </w:rPr>
        <w:t xml:space="preserve">considera </w:t>
      </w:r>
      <w:r w:rsidR="00E4495B" w:rsidRPr="00E4495B">
        <w:rPr>
          <w:rFonts w:ascii="ITC Avant Garde" w:hAnsi="ITC Avant Garde"/>
        </w:rPr>
        <w:t>improcedente la petición de AT&amp;T.</w:t>
      </w:r>
    </w:p>
    <w:p w14:paraId="559C8B0B" w14:textId="0FE53BF5" w:rsidR="00C5613B" w:rsidRDefault="00C62830" w:rsidP="00C43007">
      <w:pPr>
        <w:shd w:val="clear" w:color="auto" w:fill="FFFFFF"/>
        <w:spacing w:after="120" w:line="240" w:lineRule="auto"/>
        <w:jc w:val="both"/>
        <w:rPr>
          <w:rFonts w:ascii="ITC Avant Garde" w:hAnsi="ITC Avant Garde"/>
        </w:rPr>
      </w:pPr>
      <w:r>
        <w:rPr>
          <w:rFonts w:ascii="ITC Avant Garde" w:hAnsi="ITC Avant Garde"/>
        </w:rPr>
        <w:t xml:space="preserve">b) </w:t>
      </w:r>
      <w:r w:rsidR="00C5613B" w:rsidRPr="00E4495B">
        <w:rPr>
          <w:rFonts w:ascii="ITC Avant Garde" w:hAnsi="ITC Avant Garde"/>
        </w:rPr>
        <w:t xml:space="preserve">En atención a los comentarios de Bestphone y otros se </w:t>
      </w:r>
      <w:r w:rsidR="002778DF">
        <w:rPr>
          <w:rFonts w:ascii="ITC Avant Garde" w:hAnsi="ITC Avant Garde"/>
        </w:rPr>
        <w:t>presentan</w:t>
      </w:r>
      <w:r w:rsidR="00211758">
        <w:rPr>
          <w:rFonts w:ascii="ITC Avant Garde" w:hAnsi="ITC Avant Garde"/>
        </w:rPr>
        <w:t xml:space="preserve"> </w:t>
      </w:r>
      <w:r w:rsidR="00C5613B" w:rsidRPr="00E4495B">
        <w:rPr>
          <w:rFonts w:ascii="ITC Avant Garde" w:hAnsi="ITC Avant Garde"/>
        </w:rPr>
        <w:t>las siguientes precisiones:</w:t>
      </w:r>
    </w:p>
    <w:tbl>
      <w:tblPr>
        <w:tblStyle w:val="Tablaconcuadrcula"/>
        <w:tblW w:w="0" w:type="auto"/>
        <w:jc w:val="center"/>
        <w:tblLook w:val="04A0" w:firstRow="1" w:lastRow="0" w:firstColumn="1" w:lastColumn="0" w:noHBand="0" w:noVBand="1"/>
      </w:tblPr>
      <w:tblGrid>
        <w:gridCol w:w="4394"/>
        <w:gridCol w:w="4394"/>
      </w:tblGrid>
      <w:tr w:rsidR="00C11926" w:rsidRPr="005F7866" w14:paraId="423BDC16" w14:textId="77777777" w:rsidTr="00C5613B">
        <w:trPr>
          <w:jc w:val="center"/>
        </w:trPr>
        <w:tc>
          <w:tcPr>
            <w:tcW w:w="4394" w:type="dxa"/>
            <w:shd w:val="clear" w:color="auto" w:fill="538135" w:themeFill="accent6" w:themeFillShade="BF"/>
          </w:tcPr>
          <w:p w14:paraId="170F5B31" w14:textId="298B17D3" w:rsidR="00C11926" w:rsidRPr="005F7866" w:rsidRDefault="00C11926" w:rsidP="00C43007">
            <w:pPr>
              <w:spacing w:after="12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Anteproyecto</w:t>
            </w:r>
            <w:r>
              <w:rPr>
                <w:rFonts w:ascii="ITC Avant Garde" w:hAnsi="ITC Avant Garde"/>
                <w:b/>
                <w:color w:val="FFFFFF" w:themeColor="background1"/>
                <w:sz w:val="18"/>
                <w:szCs w:val="18"/>
              </w:rPr>
              <w:t xml:space="preserve"> de Lineamientos</w:t>
            </w:r>
          </w:p>
        </w:tc>
        <w:tc>
          <w:tcPr>
            <w:tcW w:w="4394" w:type="dxa"/>
            <w:shd w:val="clear" w:color="auto" w:fill="538135" w:themeFill="accent6" w:themeFillShade="BF"/>
          </w:tcPr>
          <w:p w14:paraId="432A20DF" w14:textId="078FE542" w:rsidR="00C11926" w:rsidRPr="005F7866" w:rsidRDefault="00C11926" w:rsidP="00C43007">
            <w:pPr>
              <w:spacing w:after="120" w:line="240" w:lineRule="auto"/>
              <w:jc w:val="center"/>
              <w:rPr>
                <w:rFonts w:ascii="ITC Avant Garde" w:hAnsi="ITC Avant Garde"/>
                <w:b/>
                <w:color w:val="FFFFFF" w:themeColor="background1"/>
                <w:sz w:val="18"/>
                <w:szCs w:val="18"/>
              </w:rPr>
            </w:pPr>
            <w:r>
              <w:rPr>
                <w:rFonts w:ascii="ITC Avant Garde" w:hAnsi="ITC Avant Garde"/>
                <w:b/>
                <w:color w:val="FFFFFF" w:themeColor="background1"/>
                <w:sz w:val="18"/>
                <w:szCs w:val="18"/>
              </w:rPr>
              <w:t>Modificación al Anteproyecto de Lineamientos</w:t>
            </w:r>
            <w:r w:rsidRPr="005F7866">
              <w:rPr>
                <w:rStyle w:val="Refdenotaalpie"/>
                <w:rFonts w:ascii="ITC Avant Garde" w:hAnsi="ITC Avant Garde"/>
                <w:b/>
                <w:color w:val="FFFFFF" w:themeColor="background1"/>
                <w:sz w:val="18"/>
                <w:szCs w:val="18"/>
              </w:rPr>
              <w:footnoteReference w:id="7"/>
            </w:r>
          </w:p>
        </w:tc>
      </w:tr>
      <w:tr w:rsidR="00C5613B" w:rsidRPr="005F7866" w14:paraId="41F05C22" w14:textId="77777777" w:rsidTr="00C5613B">
        <w:trPr>
          <w:jc w:val="center"/>
        </w:trPr>
        <w:tc>
          <w:tcPr>
            <w:tcW w:w="4394" w:type="dxa"/>
            <w:shd w:val="clear" w:color="auto" w:fill="C5E0B3" w:themeFill="accent6" w:themeFillTint="66"/>
          </w:tcPr>
          <w:p w14:paraId="0D770000" w14:textId="77777777" w:rsidR="00C5613B" w:rsidRPr="0043493E" w:rsidRDefault="00C5613B">
            <w:pPr>
              <w:pStyle w:val="Textoindependiente"/>
              <w:spacing w:line="240" w:lineRule="auto"/>
              <w:jc w:val="both"/>
              <w:rPr>
                <w:rFonts w:ascii="ITC Avant Garde" w:hAnsi="ITC Avant Garde"/>
                <w:sz w:val="18"/>
                <w:szCs w:val="18"/>
              </w:rPr>
            </w:pPr>
            <w:r w:rsidRPr="00F352EF">
              <w:rPr>
                <w:rFonts w:ascii="ITC Avant Garde" w:hAnsi="ITC Avant Garde" w:cs="Arial"/>
                <w:b/>
                <w:sz w:val="18"/>
                <w:szCs w:val="18"/>
              </w:rPr>
              <w:t>A</w:t>
            </w:r>
            <w:r w:rsidRPr="00F352EF">
              <w:rPr>
                <w:rFonts w:ascii="ITC Avant Garde" w:hAnsi="ITC Avant Garde" w:cs="Times New Roman"/>
                <w:b/>
                <w:sz w:val="18"/>
                <w:szCs w:val="18"/>
              </w:rPr>
              <w:t>rtículo 16</w:t>
            </w:r>
            <w:r w:rsidRPr="00F352EF">
              <w:rPr>
                <w:rFonts w:ascii="ITC Avant Garde" w:hAnsi="ITC Avant Garde" w:cs="Arial"/>
                <w:b/>
                <w:sz w:val="18"/>
                <w:szCs w:val="18"/>
              </w:rPr>
              <w:t xml:space="preserve">. </w:t>
            </w:r>
            <w:r w:rsidRPr="00F352EF">
              <w:rPr>
                <w:rFonts w:ascii="ITC Avant Garde" w:hAnsi="ITC Avant Garde" w:cs="Arial"/>
                <w:sz w:val="18"/>
                <w:szCs w:val="18"/>
              </w:rPr>
              <w:t xml:space="preserve">Una vez que la Autoridad Investigadora emita el acuerdo </w:t>
            </w:r>
            <w:r w:rsidRPr="00F352EF">
              <w:rPr>
                <w:rFonts w:ascii="ITC Avant Garde" w:hAnsi="ITC Avant Garde" w:cs="Times New Roman"/>
                <w:sz w:val="18"/>
                <w:szCs w:val="18"/>
              </w:rPr>
              <w:t>que corresponda a la denuncia presentada, de conformidad con lo dispuesto en el artículo 69 de la Ley</w:t>
            </w:r>
            <w:r w:rsidRPr="00F352EF">
              <w:rPr>
                <w:rFonts w:ascii="ITC Avant Garde" w:hAnsi="ITC Avant Garde" w:cs="Arial"/>
                <w:sz w:val="18"/>
                <w:szCs w:val="18"/>
              </w:rPr>
              <w:t>, ordenará la certificación de los documentos aportados por el denunciante y las actuaciones que haya emitido a través del SEPDAI y su integración consecutiva a un expediente.</w:t>
            </w:r>
          </w:p>
        </w:tc>
        <w:tc>
          <w:tcPr>
            <w:tcW w:w="4394" w:type="dxa"/>
            <w:shd w:val="clear" w:color="auto" w:fill="C5E0B3" w:themeFill="accent6" w:themeFillTint="66"/>
          </w:tcPr>
          <w:p w14:paraId="2947C8D5" w14:textId="77777777" w:rsidR="00C5613B" w:rsidRPr="005F7866" w:rsidRDefault="00C5613B" w:rsidP="00C43007">
            <w:pPr>
              <w:pStyle w:val="Textoindependiente"/>
              <w:spacing w:line="240" w:lineRule="auto"/>
              <w:jc w:val="both"/>
              <w:rPr>
                <w:rFonts w:ascii="ITC Avant Garde" w:hAnsi="ITC Avant Garde"/>
                <w:sz w:val="18"/>
                <w:szCs w:val="18"/>
              </w:rPr>
            </w:pPr>
            <w:r w:rsidRPr="00F352EF">
              <w:rPr>
                <w:rFonts w:ascii="ITC Avant Garde" w:hAnsi="ITC Avant Garde" w:cs="Arial"/>
                <w:b/>
                <w:sz w:val="18"/>
                <w:szCs w:val="18"/>
              </w:rPr>
              <w:t>A</w:t>
            </w:r>
            <w:r w:rsidRPr="00F352EF">
              <w:rPr>
                <w:rFonts w:ascii="ITC Avant Garde" w:hAnsi="ITC Avant Garde" w:cs="Times New Roman"/>
                <w:b/>
                <w:sz w:val="18"/>
                <w:szCs w:val="18"/>
              </w:rPr>
              <w:t>rtículo 16</w:t>
            </w:r>
            <w:r w:rsidRPr="00F352EF">
              <w:rPr>
                <w:rFonts w:ascii="ITC Avant Garde" w:hAnsi="ITC Avant Garde" w:cs="Arial"/>
                <w:b/>
                <w:sz w:val="18"/>
                <w:szCs w:val="18"/>
              </w:rPr>
              <w:t xml:space="preserve">. </w:t>
            </w:r>
            <w:r w:rsidRPr="00F352EF">
              <w:rPr>
                <w:rFonts w:ascii="ITC Avant Garde" w:hAnsi="ITC Avant Garde" w:cs="Arial"/>
                <w:sz w:val="18"/>
                <w:szCs w:val="18"/>
              </w:rPr>
              <w:t xml:space="preserve">Una vez que la Autoridad Investigadora emita el acuerdo </w:t>
            </w:r>
            <w:r w:rsidRPr="00F352EF">
              <w:rPr>
                <w:rFonts w:ascii="ITC Avant Garde" w:hAnsi="ITC Avant Garde" w:cs="Times New Roman"/>
                <w:sz w:val="18"/>
                <w:szCs w:val="18"/>
              </w:rPr>
              <w:t>que corresponda a la denuncia presentada, de conformidad con lo dispuesto en el artículo 69 de la Ley</w:t>
            </w:r>
            <w:r w:rsidRPr="00F352EF">
              <w:rPr>
                <w:rFonts w:ascii="ITC Avant Garde" w:hAnsi="ITC Avant Garde" w:cs="Arial"/>
                <w:sz w:val="18"/>
                <w:szCs w:val="18"/>
              </w:rPr>
              <w:t>, ordenará la certificación de los documentos aportados por el denunciante y las actuaciones que haya emitido a través del SEPDAI y su integrac</w:t>
            </w:r>
            <w:r>
              <w:rPr>
                <w:rFonts w:ascii="ITC Avant Garde" w:hAnsi="ITC Avant Garde" w:cs="Arial"/>
                <w:sz w:val="18"/>
                <w:szCs w:val="18"/>
              </w:rPr>
              <w:t xml:space="preserve">ión consecutiva </w:t>
            </w:r>
            <w:r w:rsidRPr="00C5613B">
              <w:rPr>
                <w:rFonts w:ascii="ITC Avant Garde" w:hAnsi="ITC Avant Garde" w:cs="Arial"/>
                <w:sz w:val="18"/>
                <w:szCs w:val="18"/>
                <w:u w:val="single"/>
              </w:rPr>
              <w:t>al</w:t>
            </w:r>
            <w:r>
              <w:rPr>
                <w:rFonts w:ascii="ITC Avant Garde" w:hAnsi="ITC Avant Garde" w:cs="Arial"/>
                <w:sz w:val="18"/>
                <w:szCs w:val="18"/>
              </w:rPr>
              <w:t xml:space="preserve"> expediente </w:t>
            </w:r>
            <w:r w:rsidRPr="00C5613B">
              <w:rPr>
                <w:rFonts w:ascii="ITC Avant Garde" w:hAnsi="ITC Avant Garde" w:cs="Arial"/>
                <w:sz w:val="18"/>
                <w:szCs w:val="18"/>
                <w:u w:val="single"/>
              </w:rPr>
              <w:t>físico</w:t>
            </w:r>
            <w:r w:rsidR="002C2C0E">
              <w:rPr>
                <w:rFonts w:ascii="ITC Avant Garde" w:hAnsi="ITC Avant Garde" w:cs="Arial"/>
                <w:sz w:val="18"/>
                <w:szCs w:val="18"/>
                <w:u w:val="single"/>
              </w:rPr>
              <w:t xml:space="preserve"> con el número</w:t>
            </w:r>
            <w:r w:rsidRPr="00C5613B">
              <w:rPr>
                <w:rFonts w:ascii="ITC Avant Garde" w:hAnsi="ITC Avant Garde" w:cs="Arial"/>
                <w:sz w:val="18"/>
                <w:szCs w:val="18"/>
                <w:u w:val="single"/>
              </w:rPr>
              <w:t xml:space="preserve"> bajo el cual se haya radicado</w:t>
            </w:r>
            <w:r>
              <w:rPr>
                <w:rFonts w:ascii="ITC Avant Garde" w:hAnsi="ITC Avant Garde" w:cs="Arial"/>
                <w:sz w:val="18"/>
                <w:szCs w:val="18"/>
              </w:rPr>
              <w:t xml:space="preserve"> </w:t>
            </w:r>
            <w:r w:rsidRPr="00C5613B">
              <w:rPr>
                <w:rFonts w:ascii="ITC Avant Garde" w:hAnsi="ITC Avant Garde" w:cs="Arial"/>
                <w:sz w:val="18"/>
                <w:szCs w:val="18"/>
                <w:u w:val="single"/>
              </w:rPr>
              <w:t>la investigación.</w:t>
            </w:r>
          </w:p>
        </w:tc>
      </w:tr>
    </w:tbl>
    <w:p w14:paraId="3D0B6C81" w14:textId="77777777" w:rsidR="00C5613B" w:rsidRDefault="00C5613B">
      <w:pPr>
        <w:pStyle w:val="Prrafodelista"/>
        <w:shd w:val="clear" w:color="auto" w:fill="FFFFFF"/>
        <w:spacing w:after="120" w:line="240" w:lineRule="auto"/>
        <w:contextualSpacing w:val="0"/>
        <w:jc w:val="both"/>
        <w:rPr>
          <w:rFonts w:ascii="ITC Avant Garde" w:hAnsi="ITC Avant Garde"/>
          <w:lang w:val="es-MX"/>
        </w:rPr>
      </w:pPr>
    </w:p>
    <w:p w14:paraId="7A4E56C5" w14:textId="77777777" w:rsidR="0097478C" w:rsidRPr="0097478C" w:rsidRDefault="00573BD7">
      <w:pPr>
        <w:pStyle w:val="Ttulo2"/>
        <w:spacing w:before="0" w:after="120" w:line="240" w:lineRule="auto"/>
        <w:jc w:val="both"/>
        <w:rPr>
          <w:rFonts w:ascii="ITC Avant Garde" w:hAnsi="ITC Avant Garde" w:cs="Tahoma"/>
          <w:b/>
          <w:color w:val="auto"/>
          <w:sz w:val="22"/>
          <w:szCs w:val="22"/>
          <w:lang w:eastAsia="es-MX"/>
        </w:rPr>
      </w:pPr>
      <w:r w:rsidRPr="00573BD7">
        <w:rPr>
          <w:rFonts w:ascii="ITC Avant Garde" w:hAnsi="ITC Avant Garde"/>
          <w:b/>
          <w:color w:val="auto"/>
          <w:sz w:val="22"/>
          <w:szCs w:val="22"/>
        </w:rPr>
        <w:t>“</w:t>
      </w:r>
      <w:r w:rsidRPr="00573BD7">
        <w:rPr>
          <w:rFonts w:ascii="ITC Avant Garde" w:hAnsi="ITC Avant Garde"/>
          <w:b/>
          <w:i/>
          <w:color w:val="auto"/>
          <w:sz w:val="22"/>
          <w:szCs w:val="22"/>
        </w:rPr>
        <w:t>Comentarios, opiniones y aportaciones generales del participante sobre el asunto en consulta pública</w:t>
      </w:r>
      <w:r w:rsidRPr="00573BD7">
        <w:rPr>
          <w:rFonts w:ascii="ITC Avant Garde" w:hAnsi="ITC Avant Garde"/>
          <w:b/>
          <w:color w:val="auto"/>
          <w:sz w:val="22"/>
          <w:szCs w:val="22"/>
        </w:rPr>
        <w:t>”</w:t>
      </w:r>
    </w:p>
    <w:p w14:paraId="2A63AF77" w14:textId="365AB6FF" w:rsidR="00F37195" w:rsidRDefault="00F37195">
      <w:pPr>
        <w:spacing w:after="120" w:line="240" w:lineRule="auto"/>
        <w:jc w:val="both"/>
        <w:rPr>
          <w:rFonts w:ascii="ITC Avant Garde" w:hAnsi="ITC Avant Garde"/>
        </w:rPr>
      </w:pPr>
      <w:r w:rsidRPr="00190DCF">
        <w:rPr>
          <w:rFonts w:ascii="ITC Avant Garde" w:hAnsi="ITC Avant Garde"/>
        </w:rPr>
        <w:t xml:space="preserve">Adicionalmente, </w:t>
      </w:r>
      <w:r w:rsidR="006F18C4">
        <w:rPr>
          <w:rFonts w:ascii="ITC Avant Garde" w:hAnsi="ITC Avant Garde"/>
        </w:rPr>
        <w:t xml:space="preserve">Telefónica </w:t>
      </w:r>
      <w:r w:rsidRPr="00190DCF">
        <w:rPr>
          <w:rFonts w:ascii="ITC Avant Garde" w:hAnsi="ITC Avant Garde"/>
        </w:rPr>
        <w:t>elaboró diversos comentarios y aportaciones generales sobre el asunto en los siguientes términos:</w:t>
      </w:r>
    </w:p>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3707D3" w:rsidRPr="005F7866" w14:paraId="72229B2D" w14:textId="77777777" w:rsidTr="00570E4A">
        <w:trPr>
          <w:trHeight w:val="276"/>
        </w:trPr>
        <w:tc>
          <w:tcPr>
            <w:tcW w:w="8931" w:type="dxa"/>
            <w:shd w:val="clear" w:color="auto" w:fill="538135" w:themeFill="accent6" w:themeFillShade="BF"/>
          </w:tcPr>
          <w:p w14:paraId="4D4F3149" w14:textId="77777777" w:rsidR="003707D3" w:rsidRPr="00412A3E" w:rsidRDefault="003707D3" w:rsidP="00C43007">
            <w:pPr>
              <w:pStyle w:val="Default"/>
              <w:spacing w:after="120"/>
              <w:jc w:val="center"/>
              <w:rPr>
                <w:rFonts w:ascii="ITC Avant Garde" w:hAnsi="ITC Avant Garde"/>
                <w:i/>
                <w:sz w:val="20"/>
                <w:szCs w:val="20"/>
              </w:rPr>
            </w:pPr>
            <w:r w:rsidRPr="00412A3E">
              <w:rPr>
                <w:rFonts w:ascii="ITC Avant Garde" w:hAnsi="ITC Avant Garde" w:cs="ITC Avant Garde"/>
                <w:b/>
                <w:color w:val="FFFFFF" w:themeColor="background1"/>
                <w:sz w:val="20"/>
                <w:szCs w:val="20"/>
              </w:rPr>
              <w:lastRenderedPageBreak/>
              <w:t>Telefónica</w:t>
            </w:r>
          </w:p>
        </w:tc>
      </w:tr>
      <w:tr w:rsidR="003C285C" w:rsidRPr="003C285C" w14:paraId="6ABDAF79" w14:textId="77777777" w:rsidTr="003C285C">
        <w:trPr>
          <w:trHeight w:val="699"/>
        </w:trPr>
        <w:tc>
          <w:tcPr>
            <w:tcW w:w="8931" w:type="dxa"/>
            <w:shd w:val="clear" w:color="auto" w:fill="C5E0B3" w:themeFill="accent6" w:themeFillTint="66"/>
            <w:vAlign w:val="center"/>
          </w:tcPr>
          <w:p w14:paraId="34A80F80" w14:textId="77777777" w:rsidR="003C285C" w:rsidRPr="001478C3" w:rsidRDefault="003C285C">
            <w:pPr>
              <w:autoSpaceDE w:val="0"/>
              <w:autoSpaceDN w:val="0"/>
              <w:adjustRightInd w:val="0"/>
              <w:spacing w:after="120" w:line="240" w:lineRule="auto"/>
              <w:jc w:val="both"/>
              <w:rPr>
                <w:rFonts w:ascii="ITC Avant Garde" w:hAnsi="ITC Avant Garde" w:cs="Century Gothic"/>
                <w:i/>
                <w:color w:val="000000"/>
                <w:sz w:val="18"/>
                <w:szCs w:val="18"/>
                <w:lang w:eastAsia="es-MX"/>
              </w:rPr>
            </w:pPr>
            <w:r w:rsidRPr="001478C3">
              <w:rPr>
                <w:rFonts w:ascii="ITC Avant Garde" w:hAnsi="ITC Avant Garde" w:cs="Century Gothic"/>
                <w:b/>
                <w:i/>
                <w:color w:val="000000"/>
                <w:sz w:val="18"/>
                <w:szCs w:val="18"/>
                <w:lang w:eastAsia="es-MX"/>
              </w:rPr>
              <w:t xml:space="preserve">I. </w:t>
            </w:r>
            <w:r w:rsidRPr="001478C3">
              <w:rPr>
                <w:rFonts w:ascii="ITC Avant Garde" w:hAnsi="ITC Avant Garde" w:cs="Century Gothic"/>
                <w:i/>
                <w:color w:val="000000"/>
                <w:sz w:val="18"/>
                <w:szCs w:val="18"/>
                <w:lang w:eastAsia="es-MX"/>
              </w:rPr>
              <w:t xml:space="preserve">Especificar, a fin de brindar seguridad jurídica al denunciante, si la presentación de promociones a través del SEPDAI se podrá realizar durante las 24 horas del día, o bien, únicamente durante el horario de funcionamiento de la Oficialía de Partes de ese H. Instituto, conforme al calendario que se publica en el Diario Oficial de la Federación. En este último supuesto, se sugiere incluir que las promociones podrán presentarse a través del correo electrónico oficialiaai@ift.org.mx y al día hábil siguiente deberá presentarse mediante el SEPDAI o directamente en la Oficialía de Partes de ese H. Instituto. </w:t>
            </w:r>
          </w:p>
          <w:p w14:paraId="2E67689C" w14:textId="77777777" w:rsidR="003C285C" w:rsidRPr="001478C3" w:rsidRDefault="003C285C">
            <w:pPr>
              <w:pStyle w:val="Default"/>
              <w:spacing w:after="120"/>
              <w:jc w:val="both"/>
              <w:rPr>
                <w:rFonts w:ascii="ITC Avant Garde" w:hAnsi="ITC Avant Garde" w:cs="Century Gothic"/>
                <w:i/>
                <w:sz w:val="18"/>
                <w:szCs w:val="18"/>
              </w:rPr>
            </w:pPr>
            <w:r w:rsidRPr="001478C3">
              <w:rPr>
                <w:rFonts w:ascii="ITC Avant Garde" w:hAnsi="ITC Avant Garde" w:cs="Century Gothic"/>
                <w:b/>
                <w:i/>
                <w:sz w:val="18"/>
                <w:szCs w:val="18"/>
              </w:rPr>
              <w:t xml:space="preserve">II. </w:t>
            </w:r>
            <w:r w:rsidRPr="001478C3">
              <w:rPr>
                <w:rFonts w:ascii="ITC Avant Garde" w:hAnsi="ITC Avant Garde" w:cs="Century Gothic"/>
                <w:i/>
                <w:sz w:val="18"/>
                <w:szCs w:val="18"/>
              </w:rPr>
              <w:t xml:space="preserve">Establecer que el uso del SEPDAI es optativo, por lo cual la solicitud de prórroga y el desahogo de la prevención pueden presentarse directamente en la Oficialía de Partes de ese H. Instituto o a través del correo electrónico oficialiaai@ift.org.mx, cuando así lo decida el denunciante. </w:t>
            </w:r>
          </w:p>
          <w:p w14:paraId="5024EA9C" w14:textId="77777777" w:rsidR="003C285C" w:rsidRPr="001478C3" w:rsidRDefault="003C285C">
            <w:pPr>
              <w:autoSpaceDE w:val="0"/>
              <w:autoSpaceDN w:val="0"/>
              <w:adjustRightInd w:val="0"/>
              <w:spacing w:after="120" w:line="240" w:lineRule="auto"/>
              <w:jc w:val="both"/>
              <w:rPr>
                <w:rFonts w:ascii="ITC Avant Garde" w:hAnsi="ITC Avant Garde" w:cs="Century Gothic"/>
                <w:i/>
                <w:color w:val="000000"/>
                <w:sz w:val="18"/>
                <w:szCs w:val="18"/>
                <w:lang w:eastAsia="es-MX"/>
              </w:rPr>
            </w:pPr>
            <w:r w:rsidRPr="001478C3">
              <w:rPr>
                <w:rFonts w:ascii="ITC Avant Garde" w:hAnsi="ITC Avant Garde" w:cs="Century Gothic"/>
                <w:b/>
                <w:i/>
                <w:color w:val="000000"/>
                <w:sz w:val="18"/>
                <w:szCs w:val="18"/>
                <w:lang w:eastAsia="es-MX"/>
              </w:rPr>
              <w:t xml:space="preserve">III. </w:t>
            </w:r>
            <w:r w:rsidRPr="001478C3">
              <w:rPr>
                <w:rFonts w:ascii="ITC Avant Garde" w:hAnsi="ITC Avant Garde" w:cs="Century Gothic"/>
                <w:i/>
                <w:color w:val="000000"/>
                <w:sz w:val="18"/>
                <w:szCs w:val="18"/>
                <w:lang w:eastAsia="es-MX"/>
              </w:rPr>
              <w:t xml:space="preserve">Regular qué ocurrirá en caso de falla del SEPDAI y no sea posible consultar el acuerdo de prevención, el de desechamiento o aquél en el que se tenga por no presentada la denuncia, a pesar de que se haya enviado la alerta correspondiente. Lo anterior, tomando en cuenta que, conforme a los Lineamientos, la notificación se considerará practicada desde el momento en que el acuerdo respectivo esté disponible en el SEPDAI, por lo cual podría transcurrir, parcial o totalmente, el plazo para desahogar la prevención o para impugnar el desechamiento o la no presentación de la denuncia, para efectos del juicio de amparo, sin que el denunciante tenga certeza sobre el momento en que se considerará notificado el acuerdo correspondiente. </w:t>
            </w:r>
          </w:p>
          <w:p w14:paraId="33493685" w14:textId="77777777" w:rsidR="003C285C" w:rsidRPr="001478C3" w:rsidRDefault="003C285C">
            <w:pPr>
              <w:autoSpaceDE w:val="0"/>
              <w:autoSpaceDN w:val="0"/>
              <w:adjustRightInd w:val="0"/>
              <w:spacing w:after="120" w:line="240" w:lineRule="auto"/>
              <w:jc w:val="both"/>
              <w:rPr>
                <w:rFonts w:ascii="ITC Avant Garde" w:hAnsi="ITC Avant Garde" w:cs="Century Gothic"/>
                <w:i/>
                <w:color w:val="000000"/>
                <w:sz w:val="18"/>
                <w:szCs w:val="18"/>
                <w:lang w:eastAsia="es-MX"/>
              </w:rPr>
            </w:pPr>
            <w:r w:rsidRPr="001478C3">
              <w:rPr>
                <w:rFonts w:ascii="ITC Avant Garde" w:hAnsi="ITC Avant Garde" w:cs="Century Gothic"/>
                <w:b/>
                <w:i/>
                <w:color w:val="000000"/>
                <w:sz w:val="18"/>
                <w:szCs w:val="18"/>
                <w:lang w:eastAsia="es-MX"/>
              </w:rPr>
              <w:t xml:space="preserve">IV. </w:t>
            </w:r>
            <w:r w:rsidRPr="001478C3">
              <w:rPr>
                <w:rFonts w:ascii="ITC Avant Garde" w:hAnsi="ITC Avant Garde" w:cs="Century Gothic"/>
                <w:i/>
                <w:color w:val="000000"/>
                <w:sz w:val="18"/>
                <w:szCs w:val="18"/>
                <w:lang w:eastAsia="es-MX"/>
              </w:rPr>
              <w:t xml:space="preserve">Se sugiere designar funcionarios de contacto en caso de dudas o comentarios, idealmente a la Titular de la Autoridad Investigadora y al Director General de Investigación de Prácticas Monopólicas y Concentraciones Ilícitas. Se sugiere incluir el nombre y correo electrónico de dichos funcionarios. Ello en virtud de que dará mayor certeza a los denunciantes respecto a las denuncias que deseen o lleguen a presentar. </w:t>
            </w:r>
          </w:p>
          <w:p w14:paraId="1ABD499C" w14:textId="77777777" w:rsidR="003C285C" w:rsidRPr="00485AB3" w:rsidRDefault="003C285C">
            <w:pPr>
              <w:autoSpaceDE w:val="0"/>
              <w:autoSpaceDN w:val="0"/>
              <w:adjustRightInd w:val="0"/>
              <w:spacing w:after="120" w:line="240" w:lineRule="auto"/>
              <w:jc w:val="both"/>
              <w:rPr>
                <w:rFonts w:ascii="ITC Avant Garde" w:hAnsi="ITC Avant Garde" w:cs="Century Gothic"/>
                <w:i/>
                <w:color w:val="000000"/>
                <w:sz w:val="18"/>
                <w:szCs w:val="18"/>
                <w:lang w:eastAsia="es-MX"/>
              </w:rPr>
            </w:pPr>
            <w:r w:rsidRPr="001478C3">
              <w:rPr>
                <w:rFonts w:ascii="ITC Avant Garde" w:hAnsi="ITC Avant Garde" w:cs="Century Gothic"/>
                <w:b/>
                <w:i/>
                <w:color w:val="000000"/>
                <w:sz w:val="18"/>
                <w:szCs w:val="18"/>
                <w:lang w:eastAsia="es-MX"/>
              </w:rPr>
              <w:t xml:space="preserve">V. </w:t>
            </w:r>
            <w:r w:rsidRPr="001478C3">
              <w:rPr>
                <w:rFonts w:ascii="ITC Avant Garde" w:hAnsi="ITC Avant Garde" w:cs="Century Gothic"/>
                <w:i/>
                <w:color w:val="000000"/>
                <w:sz w:val="18"/>
                <w:szCs w:val="18"/>
                <w:lang w:eastAsia="es-MX"/>
              </w:rPr>
              <w:t>Generar en la página de Internet del Instituto una sección de preguntas y respuestas en donde pudiera encontrarse orientación y respuestas sobre las principales dudas que se generen al respecto (por cualquier interesado, incluso sin ser profesionales en la materia). Lo anterior ha sido desarrollado con éxito por otras autoridades de competencia, com</w:t>
            </w:r>
            <w:r w:rsidR="00485AB3">
              <w:rPr>
                <w:rFonts w:ascii="ITC Avant Garde" w:hAnsi="ITC Avant Garde" w:cs="Century Gothic"/>
                <w:i/>
                <w:color w:val="000000"/>
                <w:sz w:val="18"/>
                <w:szCs w:val="18"/>
                <w:lang w:eastAsia="es-MX"/>
              </w:rPr>
              <w:t xml:space="preserve">o, por ejemplo, la canadiense. </w:t>
            </w:r>
          </w:p>
        </w:tc>
      </w:tr>
    </w:tbl>
    <w:p w14:paraId="041A01AA" w14:textId="77777777" w:rsidR="00C11926" w:rsidRDefault="00C11926">
      <w:pPr>
        <w:spacing w:after="120" w:line="240" w:lineRule="auto"/>
        <w:ind w:right="17"/>
        <w:jc w:val="both"/>
        <w:rPr>
          <w:rFonts w:ascii="ITC Avant Garde" w:hAnsi="ITC Avant Garde" w:cs="Tahoma"/>
          <w:color w:val="000000"/>
          <w:lang w:eastAsia="es-MX"/>
        </w:rPr>
      </w:pPr>
    </w:p>
    <w:p w14:paraId="7E141D20" w14:textId="79B4C69E" w:rsidR="00573BD7" w:rsidRDefault="001478C3">
      <w:pPr>
        <w:spacing w:after="120" w:line="240" w:lineRule="auto"/>
        <w:ind w:right="17"/>
        <w:jc w:val="both"/>
        <w:rPr>
          <w:rFonts w:ascii="ITC Avant Garde" w:hAnsi="ITC Avant Garde" w:cs="Tahoma"/>
          <w:color w:val="000000"/>
          <w:lang w:eastAsia="es-MX"/>
        </w:rPr>
      </w:pPr>
      <w:r>
        <w:rPr>
          <w:rFonts w:ascii="ITC Avant Garde" w:hAnsi="ITC Avant Garde" w:cs="Tahoma"/>
          <w:color w:val="000000"/>
          <w:lang w:eastAsia="es-MX"/>
        </w:rPr>
        <w:t>Por otro lado</w:t>
      </w:r>
      <w:r w:rsidR="00427B05">
        <w:rPr>
          <w:rFonts w:ascii="ITC Avant Garde" w:hAnsi="ITC Avant Garde" w:cs="Tahoma"/>
          <w:color w:val="000000"/>
          <w:lang w:eastAsia="es-MX"/>
        </w:rPr>
        <w:t xml:space="preserve">, Bestphone </w:t>
      </w:r>
      <w:r w:rsidR="00127666">
        <w:rPr>
          <w:rFonts w:ascii="ITC Avant Garde" w:hAnsi="ITC Avant Garde" w:cs="Tahoma"/>
          <w:color w:val="000000"/>
          <w:lang w:eastAsia="es-MX"/>
        </w:rPr>
        <w:t xml:space="preserve">y otros </w:t>
      </w:r>
      <w:r w:rsidR="00427B05">
        <w:rPr>
          <w:rFonts w:ascii="ITC Avant Garde" w:hAnsi="ITC Avant Garde" w:cs="Tahoma"/>
          <w:color w:val="000000"/>
          <w:lang w:eastAsia="es-MX"/>
        </w:rPr>
        <w:t>sugiri</w:t>
      </w:r>
      <w:r w:rsidR="00127666">
        <w:rPr>
          <w:rFonts w:ascii="ITC Avant Garde" w:hAnsi="ITC Avant Garde" w:cs="Tahoma"/>
          <w:color w:val="000000"/>
          <w:lang w:eastAsia="es-MX"/>
        </w:rPr>
        <w:t>eron</w:t>
      </w:r>
      <w:r w:rsidR="00427B05">
        <w:rPr>
          <w:rFonts w:ascii="ITC Avant Garde" w:hAnsi="ITC Avant Garde" w:cs="Tahoma"/>
          <w:color w:val="000000"/>
          <w:lang w:eastAsia="es-MX"/>
        </w:rPr>
        <w:t xml:space="preserve"> lo siguiente:</w:t>
      </w:r>
    </w:p>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3707D3" w:rsidRPr="005F7866" w14:paraId="0CB754D6" w14:textId="77777777" w:rsidTr="00570E4A">
        <w:trPr>
          <w:trHeight w:val="276"/>
        </w:trPr>
        <w:tc>
          <w:tcPr>
            <w:tcW w:w="8931" w:type="dxa"/>
            <w:shd w:val="clear" w:color="auto" w:fill="538135" w:themeFill="accent6" w:themeFillShade="BF"/>
          </w:tcPr>
          <w:p w14:paraId="64AE45C4" w14:textId="77777777" w:rsidR="003707D3" w:rsidRPr="00412A3E" w:rsidRDefault="0097478C" w:rsidP="00C43007">
            <w:pPr>
              <w:pStyle w:val="Default"/>
              <w:spacing w:after="120"/>
              <w:jc w:val="center"/>
              <w:rPr>
                <w:rFonts w:ascii="ITC Avant Garde" w:hAnsi="ITC Avant Garde"/>
                <w:i/>
                <w:sz w:val="20"/>
                <w:szCs w:val="20"/>
              </w:rPr>
            </w:pPr>
            <w:r>
              <w:rPr>
                <w:rFonts w:ascii="ITC Avant Garde" w:hAnsi="ITC Avant Garde" w:cs="ITC Avant Garde"/>
                <w:b/>
                <w:color w:val="FFFFFF" w:themeColor="background1"/>
                <w:sz w:val="20"/>
                <w:szCs w:val="20"/>
              </w:rPr>
              <w:t>Bestphone y otros</w:t>
            </w:r>
          </w:p>
        </w:tc>
      </w:tr>
      <w:tr w:rsidR="001478C3" w:rsidRPr="005F7866" w14:paraId="20385EC5" w14:textId="77777777" w:rsidTr="001478C3">
        <w:trPr>
          <w:trHeight w:val="1210"/>
        </w:trPr>
        <w:tc>
          <w:tcPr>
            <w:tcW w:w="8931" w:type="dxa"/>
            <w:shd w:val="clear" w:color="auto" w:fill="C5E0B3" w:themeFill="accent6" w:themeFillTint="66"/>
            <w:vAlign w:val="center"/>
          </w:tcPr>
          <w:p w14:paraId="703E470B" w14:textId="77777777" w:rsidR="001478C3" w:rsidRPr="001478C3" w:rsidRDefault="001478C3">
            <w:pPr>
              <w:pStyle w:val="Default"/>
              <w:spacing w:after="120"/>
              <w:jc w:val="both"/>
              <w:rPr>
                <w:rFonts w:ascii="ITC Avant Garde" w:hAnsi="ITC Avant Garde"/>
                <w:i/>
                <w:sz w:val="18"/>
                <w:szCs w:val="18"/>
              </w:rPr>
            </w:pPr>
            <w:r w:rsidRPr="001478C3">
              <w:rPr>
                <w:rFonts w:ascii="ITC Avant Garde" w:hAnsi="ITC Avant Garde" w:cs="Calibri"/>
                <w:i/>
                <w:sz w:val="18"/>
                <w:szCs w:val="18"/>
                <w:lang w:eastAsia="es-MX"/>
              </w:rPr>
              <w:t>Considerar incluir una sección referente a las contestaciones del demandante a las prevenciones hechas por la Autoridad, a través del SEPDAI pues solo se hace mención de las mismas en la Sección II “De los casos de</w:t>
            </w:r>
            <w:r w:rsidR="002C300F">
              <w:rPr>
                <w:rFonts w:ascii="ITC Avant Garde" w:hAnsi="ITC Avant Garde" w:cs="Calibri"/>
                <w:i/>
                <w:sz w:val="18"/>
                <w:szCs w:val="18"/>
                <w:lang w:eastAsia="es-MX"/>
              </w:rPr>
              <w:t xml:space="preserve"> excepción en el uso del SEPDAI</w:t>
            </w:r>
            <w:r w:rsidR="002C2C0E">
              <w:rPr>
                <w:rFonts w:ascii="ITC Avant Garde" w:hAnsi="ITC Avant Garde" w:cs="Calibri"/>
                <w:i/>
                <w:sz w:val="18"/>
                <w:szCs w:val="18"/>
                <w:lang w:eastAsia="es-MX"/>
              </w:rPr>
              <w:t>”.</w:t>
            </w:r>
          </w:p>
        </w:tc>
      </w:tr>
    </w:tbl>
    <w:p w14:paraId="2D986317" w14:textId="77777777" w:rsidR="00573BD7" w:rsidRDefault="00573BD7" w:rsidP="00C43007">
      <w:pPr>
        <w:spacing w:after="120" w:line="240" w:lineRule="auto"/>
        <w:ind w:right="15"/>
        <w:jc w:val="both"/>
        <w:rPr>
          <w:rFonts w:ascii="ITC Avant Garde" w:hAnsi="ITC Avant Garde" w:cs="Tahoma"/>
          <w:color w:val="000000"/>
          <w:lang w:eastAsia="es-MX"/>
        </w:rPr>
      </w:pPr>
    </w:p>
    <w:p w14:paraId="4A1E33AF" w14:textId="77777777" w:rsidR="00CD5C66" w:rsidRDefault="00CD5C66" w:rsidP="00C43007">
      <w:pPr>
        <w:spacing w:after="120" w:line="240" w:lineRule="auto"/>
        <w:ind w:right="15"/>
        <w:jc w:val="both"/>
        <w:rPr>
          <w:rFonts w:ascii="ITC Avant Garde" w:hAnsi="ITC Avant Garde" w:cs="Tahoma"/>
          <w:b/>
          <w:color w:val="000000"/>
          <w:lang w:eastAsia="es-MX"/>
        </w:rPr>
      </w:pPr>
      <w:r>
        <w:rPr>
          <w:rFonts w:ascii="ITC Avant Garde" w:hAnsi="ITC Avant Garde" w:cs="Tahoma"/>
          <w:b/>
          <w:color w:val="000000"/>
          <w:lang w:eastAsia="es-MX"/>
        </w:rPr>
        <w:t>Consideraciones</w:t>
      </w:r>
    </w:p>
    <w:p w14:paraId="509199C4" w14:textId="5F42B89C" w:rsidR="009A021A" w:rsidRDefault="00852C84" w:rsidP="00C43007">
      <w:pPr>
        <w:spacing w:after="120" w:line="240" w:lineRule="auto"/>
        <w:ind w:right="15"/>
        <w:jc w:val="both"/>
        <w:rPr>
          <w:rFonts w:ascii="ITC Avant Garde" w:hAnsi="ITC Avant Garde" w:cs="Tahoma"/>
          <w:color w:val="000000"/>
          <w:lang w:eastAsia="es-MX"/>
        </w:rPr>
      </w:pPr>
      <w:r>
        <w:rPr>
          <w:rFonts w:ascii="ITC Avant Garde" w:hAnsi="ITC Avant Garde" w:cs="Tahoma"/>
          <w:color w:val="000000"/>
          <w:lang w:eastAsia="es-MX"/>
        </w:rPr>
        <w:t>Los comentarios hechos por Telefónica en esta sección, son un concentrado de las peticiones y sugerencias que dicho agente económico aport</w:t>
      </w:r>
      <w:r w:rsidR="002C2C0E">
        <w:rPr>
          <w:rFonts w:ascii="ITC Avant Garde" w:hAnsi="ITC Avant Garde" w:cs="Tahoma"/>
          <w:color w:val="000000"/>
          <w:lang w:eastAsia="es-MX"/>
        </w:rPr>
        <w:t>ó</w:t>
      </w:r>
      <w:r>
        <w:rPr>
          <w:rFonts w:ascii="ITC Avant Garde" w:hAnsi="ITC Avant Garde" w:cs="Tahoma"/>
          <w:color w:val="000000"/>
          <w:lang w:eastAsia="es-MX"/>
        </w:rPr>
        <w:t xml:space="preserve"> a</w:t>
      </w:r>
      <w:r w:rsidR="002C2C0E">
        <w:rPr>
          <w:rFonts w:ascii="ITC Avant Garde" w:hAnsi="ITC Avant Garde" w:cs="Tahoma"/>
          <w:color w:val="000000"/>
          <w:lang w:eastAsia="es-MX"/>
        </w:rPr>
        <w:t xml:space="preserve"> los</w:t>
      </w:r>
      <w:r>
        <w:rPr>
          <w:rFonts w:ascii="ITC Avant Garde" w:hAnsi="ITC Avant Garde" w:cs="Tahoma"/>
          <w:color w:val="000000"/>
          <w:lang w:eastAsia="es-MX"/>
        </w:rPr>
        <w:t xml:space="preserve"> diversos</w:t>
      </w:r>
      <w:r w:rsidR="00DF1CF5">
        <w:rPr>
          <w:rFonts w:ascii="ITC Avant Garde" w:hAnsi="ITC Avant Garde" w:cs="Tahoma"/>
          <w:color w:val="000000"/>
          <w:lang w:eastAsia="es-MX"/>
        </w:rPr>
        <w:t xml:space="preserve"> apartados y secciones</w:t>
      </w:r>
      <w:r w:rsidR="00A47CEB">
        <w:rPr>
          <w:rFonts w:ascii="ITC Avant Garde" w:hAnsi="ITC Avant Garde" w:cs="Tahoma"/>
          <w:color w:val="000000"/>
          <w:lang w:eastAsia="es-MX"/>
        </w:rPr>
        <w:t xml:space="preserve"> </w:t>
      </w:r>
      <w:r>
        <w:rPr>
          <w:rFonts w:ascii="ITC Avant Garde" w:hAnsi="ITC Avant Garde" w:cs="Tahoma"/>
          <w:color w:val="000000"/>
          <w:lang w:eastAsia="es-MX"/>
        </w:rPr>
        <w:t xml:space="preserve">del Anteproyecto de Lineamientos, mismos que se atendieron en lo particular a </w:t>
      </w:r>
      <w:r w:rsidR="002778DF">
        <w:rPr>
          <w:rFonts w:ascii="ITC Avant Garde" w:hAnsi="ITC Avant Garde" w:cs="Tahoma"/>
          <w:color w:val="000000"/>
          <w:lang w:eastAsia="es-MX"/>
        </w:rPr>
        <w:t>lo largo del presente documento, con excepción del que se contesta en el párrafo siguiente.</w:t>
      </w:r>
    </w:p>
    <w:p w14:paraId="23442323" w14:textId="14C29398" w:rsidR="006F18C4" w:rsidRDefault="002778DF" w:rsidP="00C43007">
      <w:pPr>
        <w:spacing w:after="120" w:line="240" w:lineRule="auto"/>
        <w:ind w:right="15"/>
        <w:jc w:val="both"/>
        <w:rPr>
          <w:rFonts w:ascii="ITC Avant Garde" w:hAnsi="ITC Avant Garde" w:cs="Tahoma"/>
          <w:color w:val="000000"/>
          <w:lang w:eastAsia="es-MX"/>
        </w:rPr>
      </w:pPr>
      <w:r>
        <w:rPr>
          <w:rFonts w:ascii="ITC Avant Garde" w:hAnsi="ITC Avant Garde" w:cs="Tahoma"/>
          <w:color w:val="000000"/>
          <w:lang w:eastAsia="es-MX"/>
        </w:rPr>
        <w:t>Así, r</w:t>
      </w:r>
      <w:r w:rsidR="006F18C4">
        <w:rPr>
          <w:rFonts w:ascii="ITC Avant Garde" w:hAnsi="ITC Avant Garde" w:cs="Tahoma"/>
          <w:color w:val="000000"/>
          <w:lang w:eastAsia="es-MX"/>
        </w:rPr>
        <w:t>especto a la sugerencia</w:t>
      </w:r>
      <w:r>
        <w:rPr>
          <w:rFonts w:ascii="ITC Avant Garde" w:hAnsi="ITC Avant Garde" w:cs="Tahoma"/>
          <w:color w:val="000000"/>
          <w:lang w:eastAsia="es-MX"/>
        </w:rPr>
        <w:t xml:space="preserve"> de Telefónica</w:t>
      </w:r>
      <w:r w:rsidR="006F18C4">
        <w:rPr>
          <w:rFonts w:ascii="ITC Avant Garde" w:hAnsi="ITC Avant Garde" w:cs="Tahoma"/>
          <w:color w:val="000000"/>
          <w:lang w:eastAsia="es-MX"/>
        </w:rPr>
        <w:t xml:space="preserve"> relativa a designar funcionarios de contacto en caso de dudas o comentarios, se hace del conocimiento del participante que</w:t>
      </w:r>
      <w:r w:rsidR="00884719">
        <w:rPr>
          <w:rFonts w:ascii="ITC Avant Garde" w:hAnsi="ITC Avant Garde" w:cs="Tahoma"/>
          <w:color w:val="000000"/>
          <w:lang w:eastAsia="es-MX"/>
        </w:rPr>
        <w:t xml:space="preserve"> una vez </w:t>
      </w:r>
      <w:r w:rsidR="00884719">
        <w:rPr>
          <w:rFonts w:ascii="ITC Avant Garde" w:hAnsi="ITC Avant Garde" w:cs="Tahoma"/>
          <w:color w:val="000000"/>
          <w:lang w:eastAsia="es-MX"/>
        </w:rPr>
        <w:lastRenderedPageBreak/>
        <w:t xml:space="preserve">habilitado el SEPDAI, se establecerán datos de contacto para </w:t>
      </w:r>
      <w:r w:rsidR="00F71C53">
        <w:rPr>
          <w:rFonts w:ascii="ITC Avant Garde" w:hAnsi="ITC Avant Garde" w:cs="Tahoma"/>
          <w:color w:val="000000"/>
          <w:lang w:eastAsia="es-MX"/>
        </w:rPr>
        <w:t xml:space="preserve">atender </w:t>
      </w:r>
      <w:r w:rsidR="00884719">
        <w:rPr>
          <w:rFonts w:ascii="ITC Avant Garde" w:hAnsi="ITC Avant Garde" w:cs="Tahoma"/>
          <w:color w:val="000000"/>
          <w:lang w:eastAsia="es-MX"/>
        </w:rPr>
        <w:t>cualquier duda o comentario relacionado con el funcionamiento de</w:t>
      </w:r>
      <w:r w:rsidR="00F71C53">
        <w:rPr>
          <w:rFonts w:ascii="ITC Avant Garde" w:hAnsi="ITC Avant Garde" w:cs="Tahoma"/>
          <w:color w:val="000000"/>
          <w:lang w:eastAsia="es-MX"/>
        </w:rPr>
        <w:t>l</w:t>
      </w:r>
      <w:r w:rsidR="00884719">
        <w:rPr>
          <w:rFonts w:ascii="ITC Avant Garde" w:hAnsi="ITC Avant Garde" w:cs="Tahoma"/>
          <w:color w:val="000000"/>
          <w:lang w:eastAsia="es-MX"/>
        </w:rPr>
        <w:t xml:space="preserve"> </w:t>
      </w:r>
      <w:r w:rsidR="00F71C53">
        <w:rPr>
          <w:rFonts w:ascii="ITC Avant Garde" w:hAnsi="ITC Avant Garde" w:cs="Tahoma"/>
          <w:color w:val="000000"/>
          <w:lang w:eastAsia="es-MX"/>
        </w:rPr>
        <w:t xml:space="preserve">sistema. </w:t>
      </w:r>
    </w:p>
    <w:p w14:paraId="3A92D828" w14:textId="7DE575F6" w:rsidR="00CD5C66" w:rsidRDefault="00852C84" w:rsidP="00C43007">
      <w:pPr>
        <w:spacing w:after="120" w:line="240" w:lineRule="auto"/>
        <w:ind w:right="15"/>
        <w:jc w:val="both"/>
        <w:rPr>
          <w:rFonts w:ascii="ITC Avant Garde" w:hAnsi="ITC Avant Garde" w:cs="Tahoma"/>
          <w:color w:val="000000"/>
          <w:lang w:eastAsia="es-MX"/>
        </w:rPr>
      </w:pPr>
      <w:r>
        <w:rPr>
          <w:rFonts w:ascii="ITC Avant Garde" w:hAnsi="ITC Avant Garde" w:cs="Tahoma"/>
          <w:color w:val="000000"/>
          <w:lang w:eastAsia="es-MX"/>
        </w:rPr>
        <w:t>Respecto a la petición de Bestphone y otr</w:t>
      </w:r>
      <w:r w:rsidR="0024750B">
        <w:rPr>
          <w:rFonts w:ascii="ITC Avant Garde" w:hAnsi="ITC Avant Garde" w:cs="Tahoma"/>
          <w:color w:val="000000"/>
          <w:lang w:eastAsia="es-MX"/>
        </w:rPr>
        <w:t>os</w:t>
      </w:r>
      <w:r w:rsidR="002C2C0E">
        <w:rPr>
          <w:rFonts w:ascii="ITC Avant Garde" w:hAnsi="ITC Avant Garde" w:cs="Tahoma"/>
          <w:color w:val="000000"/>
          <w:lang w:eastAsia="es-MX"/>
        </w:rPr>
        <w:t>,</w:t>
      </w:r>
      <w:r w:rsidR="0024750B">
        <w:rPr>
          <w:rFonts w:ascii="ITC Avant Garde" w:hAnsi="ITC Avant Garde" w:cs="Tahoma"/>
          <w:color w:val="000000"/>
          <w:lang w:eastAsia="es-MX"/>
        </w:rPr>
        <w:t xml:space="preserve"> se señala que la sección que sugiere agregar relacionada con las promociones que el denunciante presente en contestación a las prevenciones, </w:t>
      </w:r>
      <w:r w:rsidR="00081C84">
        <w:rPr>
          <w:rFonts w:ascii="ITC Avant Garde" w:hAnsi="ITC Avant Garde" w:cs="Tahoma"/>
          <w:color w:val="000000"/>
          <w:lang w:eastAsia="es-MX"/>
        </w:rPr>
        <w:t xml:space="preserve">está previsto </w:t>
      </w:r>
      <w:r w:rsidR="0024750B">
        <w:rPr>
          <w:rFonts w:ascii="ITC Avant Garde" w:hAnsi="ITC Avant Garde" w:cs="Tahoma"/>
          <w:color w:val="000000"/>
          <w:lang w:eastAsia="es-MX"/>
        </w:rPr>
        <w:t>en los artículos 8,</w:t>
      </w:r>
      <w:r w:rsidR="00BE2A5F">
        <w:rPr>
          <w:rFonts w:ascii="ITC Avant Garde" w:hAnsi="ITC Avant Garde" w:cs="Tahoma"/>
          <w:color w:val="000000"/>
          <w:lang w:eastAsia="es-MX"/>
        </w:rPr>
        <w:t xml:space="preserve"> </w:t>
      </w:r>
      <w:r w:rsidR="0024750B">
        <w:rPr>
          <w:rFonts w:ascii="ITC Avant Garde" w:hAnsi="ITC Avant Garde" w:cs="Tahoma"/>
          <w:color w:val="000000"/>
          <w:lang w:eastAsia="es-MX"/>
        </w:rPr>
        <w:t>9 y 10 d</w:t>
      </w:r>
      <w:r w:rsidR="00D835E3">
        <w:rPr>
          <w:rFonts w:ascii="ITC Avant Garde" w:hAnsi="ITC Avant Garde" w:cs="Tahoma"/>
          <w:color w:val="000000"/>
          <w:lang w:eastAsia="es-MX"/>
        </w:rPr>
        <w:t>el Anteproyecto de Lineamientos, dado que en dichos artículo</w:t>
      </w:r>
      <w:r w:rsidR="00BE2A5F">
        <w:rPr>
          <w:rFonts w:ascii="ITC Avant Garde" w:hAnsi="ITC Avant Garde" w:cs="Tahoma"/>
          <w:color w:val="000000"/>
          <w:lang w:eastAsia="es-MX"/>
        </w:rPr>
        <w:t>s</w:t>
      </w:r>
      <w:r w:rsidR="00D835E3">
        <w:rPr>
          <w:rFonts w:ascii="ITC Avant Garde" w:hAnsi="ITC Avant Garde" w:cs="Tahoma"/>
          <w:color w:val="000000"/>
          <w:lang w:eastAsia="es-MX"/>
        </w:rPr>
        <w:t xml:space="preserve"> se establecen los términos bajo los cuales se atenderán las promociones ingresadas por el denunciante en desahogo al acuerdo de prevención.</w:t>
      </w:r>
    </w:p>
    <w:sectPr w:rsidR="00CD5C66" w:rsidSect="008D5606">
      <w:headerReference w:type="even" r:id="rId13"/>
      <w:footerReference w:type="default" r:id="rId14"/>
      <w:headerReference w:type="first" r:id="rId15"/>
      <w:pgSz w:w="12240" w:h="15840"/>
      <w:pgMar w:top="2410" w:right="1080" w:bottom="1135" w:left="1080"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14269" w14:textId="77777777" w:rsidR="00B1486B" w:rsidRDefault="00B1486B" w:rsidP="00072BC8">
      <w:pPr>
        <w:spacing w:after="0" w:line="240" w:lineRule="auto"/>
      </w:pPr>
      <w:r>
        <w:separator/>
      </w:r>
    </w:p>
  </w:endnote>
  <w:endnote w:type="continuationSeparator" w:id="0">
    <w:p w14:paraId="13FD5AC6" w14:textId="77777777" w:rsidR="00B1486B" w:rsidRDefault="00B1486B" w:rsidP="00072BC8">
      <w:pPr>
        <w:spacing w:after="0" w:line="240" w:lineRule="auto"/>
      </w:pPr>
      <w:r>
        <w:continuationSeparator/>
      </w:r>
    </w:p>
  </w:endnote>
  <w:endnote w:type="continuationNotice" w:id="1">
    <w:p w14:paraId="29097CA9" w14:textId="77777777" w:rsidR="00B1486B" w:rsidRDefault="00B148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742528"/>
      <w:docPartObj>
        <w:docPartGallery w:val="Page Numbers (Bottom of Page)"/>
        <w:docPartUnique/>
      </w:docPartObj>
    </w:sdtPr>
    <w:sdtEndPr/>
    <w:sdtContent>
      <w:sdt>
        <w:sdtPr>
          <w:id w:val="-168554810"/>
          <w:docPartObj>
            <w:docPartGallery w:val="Page Numbers (Top of Page)"/>
            <w:docPartUnique/>
          </w:docPartObj>
        </w:sdtPr>
        <w:sdtEndPr/>
        <w:sdtContent>
          <w:p w14:paraId="5ACF0C43" w14:textId="542BDA80" w:rsidR="002C313B" w:rsidRPr="008D5606" w:rsidRDefault="002C313B" w:rsidP="008D5606">
            <w:pPr>
              <w:pStyle w:val="Piedepgina"/>
              <w:jc w:val="right"/>
              <w:rPr>
                <w:rFonts w:ascii="ITC Avant Garde" w:hAnsi="ITC Avant Garde"/>
                <w:b/>
                <w:bCs/>
                <w:szCs w:val="24"/>
              </w:rPr>
            </w:pPr>
            <w:r w:rsidRPr="008D5606">
              <w:rPr>
                <w:rFonts w:ascii="ITC Avant Garde" w:hAnsi="ITC Avant Garde"/>
                <w:b/>
                <w:bCs/>
                <w:szCs w:val="24"/>
              </w:rPr>
              <w:fldChar w:fldCharType="begin"/>
            </w:r>
            <w:r w:rsidRPr="008D5606">
              <w:rPr>
                <w:rFonts w:ascii="ITC Avant Garde" w:hAnsi="ITC Avant Garde"/>
                <w:b/>
                <w:bCs/>
                <w:sz w:val="20"/>
              </w:rPr>
              <w:instrText>PAGE</w:instrText>
            </w:r>
            <w:r w:rsidRPr="008D5606">
              <w:rPr>
                <w:rFonts w:ascii="ITC Avant Garde" w:hAnsi="ITC Avant Garde"/>
                <w:b/>
                <w:bCs/>
                <w:szCs w:val="24"/>
              </w:rPr>
              <w:fldChar w:fldCharType="separate"/>
            </w:r>
            <w:r w:rsidR="00425F32">
              <w:rPr>
                <w:rFonts w:ascii="ITC Avant Garde" w:hAnsi="ITC Avant Garde"/>
                <w:b/>
                <w:bCs/>
                <w:noProof/>
                <w:sz w:val="20"/>
              </w:rPr>
              <w:t>20</w:t>
            </w:r>
            <w:r w:rsidRPr="008D5606">
              <w:rPr>
                <w:rFonts w:ascii="ITC Avant Garde" w:hAnsi="ITC Avant Garde"/>
                <w:b/>
                <w:bCs/>
                <w:szCs w:val="24"/>
              </w:rPr>
              <w:fldChar w:fldCharType="end"/>
            </w:r>
          </w:p>
          <w:p w14:paraId="54164F17" w14:textId="77777777" w:rsidR="002C313B" w:rsidRDefault="002C313B">
            <w:pPr>
              <w:pStyle w:val="Piedepgina"/>
              <w:jc w:val="right"/>
              <w:rPr>
                <w:b/>
                <w:bCs/>
                <w:sz w:val="24"/>
                <w:szCs w:val="24"/>
              </w:rPr>
            </w:pPr>
          </w:p>
          <w:p w14:paraId="76E4FCA5" w14:textId="77777777" w:rsidR="002C313B" w:rsidRDefault="00B1486B">
            <w:pPr>
              <w:pStyle w:val="Piedepgina"/>
              <w:jc w:val="right"/>
            </w:pPr>
          </w:p>
        </w:sdtContent>
      </w:sdt>
    </w:sdtContent>
  </w:sdt>
  <w:p w14:paraId="49BD373C" w14:textId="77777777" w:rsidR="002C313B" w:rsidRDefault="002C31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E283F" w14:textId="77777777" w:rsidR="00B1486B" w:rsidRDefault="00B1486B" w:rsidP="00072BC8">
      <w:pPr>
        <w:spacing w:after="0" w:line="240" w:lineRule="auto"/>
      </w:pPr>
      <w:r>
        <w:separator/>
      </w:r>
    </w:p>
  </w:footnote>
  <w:footnote w:type="continuationSeparator" w:id="0">
    <w:p w14:paraId="1108B4D6" w14:textId="77777777" w:rsidR="00B1486B" w:rsidRDefault="00B1486B" w:rsidP="00072BC8">
      <w:pPr>
        <w:spacing w:after="0" w:line="240" w:lineRule="auto"/>
      </w:pPr>
      <w:r>
        <w:continuationSeparator/>
      </w:r>
    </w:p>
  </w:footnote>
  <w:footnote w:type="continuationNotice" w:id="1">
    <w:p w14:paraId="38CBB575" w14:textId="77777777" w:rsidR="00B1486B" w:rsidRDefault="00B1486B">
      <w:pPr>
        <w:spacing w:after="0" w:line="240" w:lineRule="auto"/>
      </w:pPr>
    </w:p>
  </w:footnote>
  <w:footnote w:id="2">
    <w:p w14:paraId="2210B631" w14:textId="77777777" w:rsidR="002C313B" w:rsidRPr="007F4E5E" w:rsidRDefault="002C313B" w:rsidP="00ED636F">
      <w:pPr>
        <w:pStyle w:val="Textonotapie"/>
        <w:rPr>
          <w:rFonts w:ascii="ITC Avant Garde" w:hAnsi="ITC Avant Garde"/>
          <w:sz w:val="16"/>
          <w:szCs w:val="16"/>
        </w:rPr>
      </w:pPr>
      <w:r w:rsidRPr="005B660C">
        <w:rPr>
          <w:rStyle w:val="Refdenotaalpie"/>
          <w:rFonts w:ascii="ITC Avant Garde" w:hAnsi="ITC Avant Garde"/>
          <w:sz w:val="16"/>
          <w:szCs w:val="16"/>
        </w:rPr>
        <w:footnoteRef/>
      </w:r>
      <w:r w:rsidRPr="005B660C">
        <w:rPr>
          <w:rFonts w:ascii="ITC Avant Garde" w:hAnsi="ITC Avant Garde"/>
          <w:sz w:val="16"/>
          <w:szCs w:val="16"/>
        </w:rPr>
        <w:t xml:space="preserve"> </w:t>
      </w:r>
      <w:r w:rsidRPr="00C710AC">
        <w:rPr>
          <w:rFonts w:ascii="ITC Avant Garde" w:hAnsi="ITC Avant Garde"/>
          <w:sz w:val="16"/>
          <w:szCs w:val="16"/>
        </w:rPr>
        <w:t>Los cambios realizados se señalan mediante el texto subrayado.</w:t>
      </w:r>
    </w:p>
  </w:footnote>
  <w:footnote w:id="3">
    <w:p w14:paraId="694DD99A" w14:textId="77777777" w:rsidR="002C313B" w:rsidRPr="007F4E5E" w:rsidRDefault="002C313B" w:rsidP="00ED636F">
      <w:pPr>
        <w:pStyle w:val="Textonotapie"/>
        <w:rPr>
          <w:rFonts w:ascii="ITC Avant Garde" w:hAnsi="ITC Avant Garde"/>
          <w:sz w:val="16"/>
          <w:szCs w:val="16"/>
        </w:rPr>
      </w:pPr>
      <w:r w:rsidRPr="005B660C">
        <w:rPr>
          <w:rStyle w:val="Refdenotaalpie"/>
          <w:rFonts w:ascii="ITC Avant Garde" w:hAnsi="ITC Avant Garde"/>
          <w:sz w:val="16"/>
          <w:szCs w:val="16"/>
        </w:rPr>
        <w:footnoteRef/>
      </w:r>
      <w:r w:rsidRPr="005B660C">
        <w:rPr>
          <w:rFonts w:ascii="ITC Avant Garde" w:hAnsi="ITC Avant Garde"/>
          <w:sz w:val="16"/>
          <w:szCs w:val="16"/>
        </w:rPr>
        <w:t xml:space="preserve"> </w:t>
      </w:r>
      <w:r w:rsidRPr="00C710AC">
        <w:rPr>
          <w:rFonts w:ascii="ITC Avant Garde" w:hAnsi="ITC Avant Garde"/>
          <w:sz w:val="16"/>
          <w:szCs w:val="16"/>
        </w:rPr>
        <w:t>Los cambios realizados se señalan mediante el texto subrayado.</w:t>
      </w:r>
    </w:p>
  </w:footnote>
  <w:footnote w:id="4">
    <w:p w14:paraId="7D096217" w14:textId="77777777" w:rsidR="002C313B" w:rsidRPr="007F4E5E" w:rsidRDefault="002C313B" w:rsidP="00ED636F">
      <w:pPr>
        <w:pStyle w:val="Textonotapie"/>
        <w:rPr>
          <w:rFonts w:ascii="ITC Avant Garde" w:hAnsi="ITC Avant Garde"/>
          <w:sz w:val="16"/>
          <w:szCs w:val="16"/>
        </w:rPr>
      </w:pPr>
      <w:r w:rsidRPr="005B660C">
        <w:rPr>
          <w:rStyle w:val="Refdenotaalpie"/>
          <w:rFonts w:ascii="ITC Avant Garde" w:hAnsi="ITC Avant Garde"/>
          <w:sz w:val="16"/>
          <w:szCs w:val="16"/>
        </w:rPr>
        <w:footnoteRef/>
      </w:r>
      <w:r w:rsidRPr="005B660C">
        <w:rPr>
          <w:rFonts w:ascii="ITC Avant Garde" w:hAnsi="ITC Avant Garde"/>
          <w:sz w:val="16"/>
          <w:szCs w:val="16"/>
        </w:rPr>
        <w:t xml:space="preserve"> </w:t>
      </w:r>
      <w:r w:rsidRPr="00C710AC">
        <w:rPr>
          <w:rFonts w:ascii="ITC Avant Garde" w:hAnsi="ITC Avant Garde"/>
          <w:sz w:val="16"/>
          <w:szCs w:val="16"/>
        </w:rPr>
        <w:t>Los cambios realizados se señalan mediante el texto subrayado.</w:t>
      </w:r>
    </w:p>
  </w:footnote>
  <w:footnote w:id="5">
    <w:p w14:paraId="4429FEFE" w14:textId="77777777" w:rsidR="002C313B" w:rsidRPr="007F4E5E" w:rsidRDefault="002C313B" w:rsidP="00ED636F">
      <w:pPr>
        <w:pStyle w:val="Textonotapie"/>
        <w:rPr>
          <w:rFonts w:ascii="ITC Avant Garde" w:hAnsi="ITC Avant Garde"/>
          <w:sz w:val="16"/>
          <w:szCs w:val="16"/>
        </w:rPr>
      </w:pPr>
      <w:r w:rsidRPr="005B660C">
        <w:rPr>
          <w:rStyle w:val="Refdenotaalpie"/>
          <w:rFonts w:ascii="ITC Avant Garde" w:hAnsi="ITC Avant Garde"/>
          <w:sz w:val="16"/>
          <w:szCs w:val="16"/>
        </w:rPr>
        <w:footnoteRef/>
      </w:r>
      <w:r w:rsidRPr="005B660C">
        <w:rPr>
          <w:rFonts w:ascii="ITC Avant Garde" w:hAnsi="ITC Avant Garde"/>
          <w:sz w:val="16"/>
          <w:szCs w:val="16"/>
        </w:rPr>
        <w:t xml:space="preserve"> </w:t>
      </w:r>
      <w:r w:rsidRPr="00C710AC">
        <w:rPr>
          <w:rFonts w:ascii="ITC Avant Garde" w:hAnsi="ITC Avant Garde"/>
          <w:sz w:val="16"/>
          <w:szCs w:val="16"/>
        </w:rPr>
        <w:t>Los cambios realizados se señalan mediante el texto subrayado.</w:t>
      </w:r>
    </w:p>
  </w:footnote>
  <w:footnote w:id="6">
    <w:p w14:paraId="62574DCF" w14:textId="77777777" w:rsidR="002C313B" w:rsidRPr="007F4E5E" w:rsidRDefault="002C313B" w:rsidP="00ED636F">
      <w:pPr>
        <w:pStyle w:val="Textonotapie"/>
        <w:rPr>
          <w:rFonts w:ascii="ITC Avant Garde" w:hAnsi="ITC Avant Garde"/>
          <w:sz w:val="16"/>
          <w:szCs w:val="16"/>
        </w:rPr>
      </w:pPr>
      <w:r w:rsidRPr="005B660C">
        <w:rPr>
          <w:rStyle w:val="Refdenotaalpie"/>
          <w:rFonts w:ascii="ITC Avant Garde" w:hAnsi="ITC Avant Garde"/>
          <w:sz w:val="16"/>
          <w:szCs w:val="16"/>
        </w:rPr>
        <w:footnoteRef/>
      </w:r>
      <w:r w:rsidRPr="005B660C">
        <w:rPr>
          <w:rFonts w:ascii="ITC Avant Garde" w:hAnsi="ITC Avant Garde"/>
          <w:sz w:val="16"/>
          <w:szCs w:val="16"/>
        </w:rPr>
        <w:t xml:space="preserve"> </w:t>
      </w:r>
      <w:r w:rsidRPr="00C710AC">
        <w:rPr>
          <w:rFonts w:ascii="ITC Avant Garde" w:hAnsi="ITC Avant Garde"/>
          <w:sz w:val="16"/>
          <w:szCs w:val="16"/>
        </w:rPr>
        <w:t>Los cambios realizados se señalan mediante el texto subrayado.</w:t>
      </w:r>
    </w:p>
  </w:footnote>
  <w:footnote w:id="7">
    <w:p w14:paraId="59A59116" w14:textId="77777777" w:rsidR="002C313B" w:rsidRPr="007F4E5E" w:rsidRDefault="002C313B" w:rsidP="00ED636F">
      <w:pPr>
        <w:pStyle w:val="Textonotapie"/>
        <w:rPr>
          <w:rFonts w:ascii="ITC Avant Garde" w:hAnsi="ITC Avant Garde"/>
          <w:sz w:val="16"/>
          <w:szCs w:val="16"/>
        </w:rPr>
      </w:pPr>
      <w:r w:rsidRPr="005B660C">
        <w:rPr>
          <w:rStyle w:val="Refdenotaalpie"/>
          <w:rFonts w:ascii="ITC Avant Garde" w:hAnsi="ITC Avant Garde"/>
          <w:sz w:val="16"/>
          <w:szCs w:val="16"/>
        </w:rPr>
        <w:footnoteRef/>
      </w:r>
      <w:r w:rsidRPr="005B660C">
        <w:rPr>
          <w:rFonts w:ascii="ITC Avant Garde" w:hAnsi="ITC Avant Garde"/>
          <w:sz w:val="16"/>
          <w:szCs w:val="16"/>
        </w:rPr>
        <w:t xml:space="preserve"> </w:t>
      </w:r>
      <w:r w:rsidRPr="00C710AC">
        <w:rPr>
          <w:rFonts w:ascii="ITC Avant Garde" w:hAnsi="ITC Avant Garde"/>
          <w:sz w:val="16"/>
          <w:szCs w:val="16"/>
        </w:rPr>
        <w:t>Los cambios realizados se señalan mediante el texto subrayado.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D174A" w14:textId="77777777" w:rsidR="002C313B" w:rsidRDefault="00B1486B">
    <w:pPr>
      <w:pStyle w:val="Encabezado"/>
    </w:pPr>
    <w:r>
      <w:rPr>
        <w:noProof/>
        <w:lang w:eastAsia="es-MX"/>
      </w:rPr>
      <w:pict w14:anchorId="484DE2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239;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8A0AF" w14:textId="77777777" w:rsidR="002C313B" w:rsidRDefault="00B1486B">
    <w:pPr>
      <w:pStyle w:val="Encabezado"/>
    </w:pPr>
    <w:r>
      <w:rPr>
        <w:noProof/>
        <w:lang w:eastAsia="es-MX"/>
      </w:rPr>
      <w:pict w14:anchorId="6EFD3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808"/>
    <w:multiLevelType w:val="hybridMultilevel"/>
    <w:tmpl w:val="33E0A0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C8287E"/>
    <w:multiLevelType w:val="hybridMultilevel"/>
    <w:tmpl w:val="E32482A4"/>
    <w:lvl w:ilvl="0" w:tplc="8C0875AA">
      <w:start w:val="1"/>
      <w:numFmt w:val="upperRoman"/>
      <w:lvlText w:val="%1."/>
      <w:lvlJc w:val="left"/>
      <w:pPr>
        <w:ind w:left="720" w:hanging="360"/>
      </w:pPr>
      <w:rPr>
        <w:rFonts w:ascii="ITC Avant Garde" w:hAnsi="ITC Avant Garde" w:hint="default"/>
        <w:b/>
        <w:color w:val="000000" w:themeColor="text1"/>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F2745D"/>
    <w:multiLevelType w:val="hybridMultilevel"/>
    <w:tmpl w:val="B8AC17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6938F8"/>
    <w:multiLevelType w:val="hybridMultilevel"/>
    <w:tmpl w:val="50122C86"/>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954519"/>
    <w:multiLevelType w:val="hybridMultilevel"/>
    <w:tmpl w:val="7808483A"/>
    <w:lvl w:ilvl="0" w:tplc="1004C2D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160D51"/>
    <w:multiLevelType w:val="hybridMultilevel"/>
    <w:tmpl w:val="63F8B92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D702B4"/>
    <w:multiLevelType w:val="hybridMultilevel"/>
    <w:tmpl w:val="BEBCACC6"/>
    <w:lvl w:ilvl="0" w:tplc="B89CB2D2">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9D30A3"/>
    <w:multiLevelType w:val="hybridMultilevel"/>
    <w:tmpl w:val="2B16385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3F1015E"/>
    <w:multiLevelType w:val="hybridMultilevel"/>
    <w:tmpl w:val="DE8EA0AE"/>
    <w:lvl w:ilvl="0" w:tplc="CFA20EE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042E49"/>
    <w:multiLevelType w:val="hybridMultilevel"/>
    <w:tmpl w:val="011CD2F2"/>
    <w:lvl w:ilvl="0" w:tplc="8C0875AA">
      <w:start w:val="1"/>
      <w:numFmt w:val="upperRoman"/>
      <w:lvlText w:val="%1."/>
      <w:lvlJc w:val="left"/>
      <w:pPr>
        <w:ind w:left="1080" w:hanging="720"/>
      </w:pPr>
      <w:rPr>
        <w:rFonts w:ascii="ITC Avant Garde" w:hAnsi="ITC Avant Garde" w:hint="default"/>
        <w:b/>
        <w:color w:val="000000" w:themeColor="text1"/>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B7548B"/>
    <w:multiLevelType w:val="hybridMultilevel"/>
    <w:tmpl w:val="50122C86"/>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A4181B"/>
    <w:multiLevelType w:val="hybridMultilevel"/>
    <w:tmpl w:val="031C93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7975ADD"/>
    <w:multiLevelType w:val="hybridMultilevel"/>
    <w:tmpl w:val="29F616DA"/>
    <w:lvl w:ilvl="0" w:tplc="19D0A894">
      <w:start w:val="1"/>
      <w:numFmt w:val="lowerLetter"/>
      <w:lvlText w:val="%1)"/>
      <w:lvlJc w:val="left"/>
      <w:pPr>
        <w:ind w:left="720" w:hanging="360"/>
      </w:pPr>
      <w:rPr>
        <w:rFonts w:ascii="ITC Avant Garde" w:hAnsi="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E0C6ED5"/>
    <w:multiLevelType w:val="hybridMultilevel"/>
    <w:tmpl w:val="978E9A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B55928"/>
    <w:multiLevelType w:val="hybridMultilevel"/>
    <w:tmpl w:val="D79644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40C1E84"/>
    <w:multiLevelType w:val="hybridMultilevel"/>
    <w:tmpl w:val="E32482A4"/>
    <w:lvl w:ilvl="0" w:tplc="8C0875AA">
      <w:start w:val="1"/>
      <w:numFmt w:val="upperRoman"/>
      <w:lvlText w:val="%1."/>
      <w:lvlJc w:val="left"/>
      <w:pPr>
        <w:ind w:left="720" w:hanging="360"/>
      </w:pPr>
      <w:rPr>
        <w:rFonts w:ascii="ITC Avant Garde" w:hAnsi="ITC Avant Garde" w:hint="default"/>
        <w:b/>
        <w:color w:val="000000" w:themeColor="text1"/>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1676C8"/>
    <w:multiLevelType w:val="hybridMultilevel"/>
    <w:tmpl w:val="13B446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9FE1BE3"/>
    <w:multiLevelType w:val="hybridMultilevel"/>
    <w:tmpl w:val="011CD2F2"/>
    <w:lvl w:ilvl="0" w:tplc="8C0875AA">
      <w:start w:val="1"/>
      <w:numFmt w:val="upperRoman"/>
      <w:lvlText w:val="%1."/>
      <w:lvlJc w:val="left"/>
      <w:pPr>
        <w:ind w:left="1080" w:hanging="720"/>
      </w:pPr>
      <w:rPr>
        <w:rFonts w:ascii="ITC Avant Garde" w:hAnsi="ITC Avant Garde" w:hint="default"/>
        <w:b/>
        <w:color w:val="000000" w:themeColor="text1"/>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0356CE0"/>
    <w:multiLevelType w:val="multilevel"/>
    <w:tmpl w:val="D1B6C92A"/>
    <w:lvl w:ilvl="0">
      <w:start w:val="1"/>
      <w:numFmt w:val="decimal"/>
      <w:lvlText w:val="%1."/>
      <w:lvlJc w:val="left"/>
      <w:pPr>
        <w:ind w:left="360" w:hanging="360"/>
      </w:pPr>
      <w:rPr>
        <w:rFonts w:hint="default"/>
        <w:b w:val="0"/>
        <w:i w:val="0"/>
        <w:color w:val="auto"/>
        <w:sz w:val="18"/>
        <w:szCs w:val="20"/>
      </w:rPr>
    </w:lvl>
    <w:lvl w:ilvl="1">
      <w:start w:val="1"/>
      <w:numFmt w:val="decimal"/>
      <w:isLgl/>
      <w:lvlText w:val="%1.%2."/>
      <w:lvlJc w:val="left"/>
      <w:pPr>
        <w:ind w:left="1074"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suff w:val="space"/>
      <w:lvlText w:val="%1.%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632" w:hanging="1800"/>
      </w:pPr>
      <w:rPr>
        <w:rFonts w:hint="default"/>
      </w:rPr>
    </w:lvl>
  </w:abstractNum>
  <w:abstractNum w:abstractNumId="19" w15:restartNumberingAfterBreak="0">
    <w:nsid w:val="71440DEC"/>
    <w:multiLevelType w:val="hybridMultilevel"/>
    <w:tmpl w:val="9F96C8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5115415"/>
    <w:multiLevelType w:val="hybridMultilevel"/>
    <w:tmpl w:val="031C93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915751A"/>
    <w:multiLevelType w:val="hybridMultilevel"/>
    <w:tmpl w:val="BCD81F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B8917D6"/>
    <w:multiLevelType w:val="hybridMultilevel"/>
    <w:tmpl w:val="92F692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C9A7581"/>
    <w:multiLevelType w:val="hybridMultilevel"/>
    <w:tmpl w:val="33E0A0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E282897"/>
    <w:multiLevelType w:val="hybridMultilevel"/>
    <w:tmpl w:val="CD0CF5FC"/>
    <w:lvl w:ilvl="0" w:tplc="8542DC08">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15:restartNumberingAfterBreak="0">
    <w:nsid w:val="7ED33D75"/>
    <w:multiLevelType w:val="hybridMultilevel"/>
    <w:tmpl w:val="CD0CF5FC"/>
    <w:lvl w:ilvl="0" w:tplc="8542DC08">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15:restartNumberingAfterBreak="0">
    <w:nsid w:val="7F9A1844"/>
    <w:multiLevelType w:val="hybridMultilevel"/>
    <w:tmpl w:val="6C72D8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7"/>
  </w:num>
  <w:num w:numId="3">
    <w:abstractNumId w:val="5"/>
  </w:num>
  <w:num w:numId="4">
    <w:abstractNumId w:val="25"/>
  </w:num>
  <w:num w:numId="5">
    <w:abstractNumId w:val="2"/>
  </w:num>
  <w:num w:numId="6">
    <w:abstractNumId w:val="26"/>
  </w:num>
  <w:num w:numId="7">
    <w:abstractNumId w:val="19"/>
  </w:num>
  <w:num w:numId="8">
    <w:abstractNumId w:val="4"/>
  </w:num>
  <w:num w:numId="9">
    <w:abstractNumId w:val="23"/>
  </w:num>
  <w:num w:numId="10">
    <w:abstractNumId w:val="3"/>
  </w:num>
  <w:num w:numId="11">
    <w:abstractNumId w:val="24"/>
  </w:num>
  <w:num w:numId="12">
    <w:abstractNumId w:val="14"/>
  </w:num>
  <w:num w:numId="13">
    <w:abstractNumId w:val="8"/>
  </w:num>
  <w:num w:numId="14">
    <w:abstractNumId w:val="22"/>
  </w:num>
  <w:num w:numId="15">
    <w:abstractNumId w:val="16"/>
  </w:num>
  <w:num w:numId="16">
    <w:abstractNumId w:val="21"/>
  </w:num>
  <w:num w:numId="17">
    <w:abstractNumId w:val="15"/>
  </w:num>
  <w:num w:numId="18">
    <w:abstractNumId w:val="1"/>
  </w:num>
  <w:num w:numId="19">
    <w:abstractNumId w:val="13"/>
  </w:num>
  <w:num w:numId="20">
    <w:abstractNumId w:val="20"/>
  </w:num>
  <w:num w:numId="21">
    <w:abstractNumId w:val="12"/>
  </w:num>
  <w:num w:numId="22">
    <w:abstractNumId w:val="6"/>
  </w:num>
  <w:num w:numId="23">
    <w:abstractNumId w:val="17"/>
  </w:num>
  <w:num w:numId="24">
    <w:abstractNumId w:val="10"/>
  </w:num>
  <w:num w:numId="25">
    <w:abstractNumId w:val="9"/>
  </w:num>
  <w:num w:numId="26">
    <w:abstractNumId w:val="0"/>
  </w:num>
  <w:num w:numId="27">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defaultTabStop w:val="709"/>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60E"/>
    <w:rsid w:val="00000B5F"/>
    <w:rsid w:val="00001479"/>
    <w:rsid w:val="0000223F"/>
    <w:rsid w:val="00002456"/>
    <w:rsid w:val="00002C08"/>
    <w:rsid w:val="000032C1"/>
    <w:rsid w:val="00003A39"/>
    <w:rsid w:val="000045A5"/>
    <w:rsid w:val="00004FD1"/>
    <w:rsid w:val="00006648"/>
    <w:rsid w:val="00006970"/>
    <w:rsid w:val="000071E8"/>
    <w:rsid w:val="0000770A"/>
    <w:rsid w:val="00007A19"/>
    <w:rsid w:val="00007ED8"/>
    <w:rsid w:val="00010C88"/>
    <w:rsid w:val="00011601"/>
    <w:rsid w:val="00013426"/>
    <w:rsid w:val="00013513"/>
    <w:rsid w:val="00013813"/>
    <w:rsid w:val="00014653"/>
    <w:rsid w:val="00014C98"/>
    <w:rsid w:val="00014D1D"/>
    <w:rsid w:val="000153AF"/>
    <w:rsid w:val="000154B0"/>
    <w:rsid w:val="0001643C"/>
    <w:rsid w:val="0001744D"/>
    <w:rsid w:val="00020418"/>
    <w:rsid w:val="00022D33"/>
    <w:rsid w:val="000231D0"/>
    <w:rsid w:val="00024024"/>
    <w:rsid w:val="000252D3"/>
    <w:rsid w:val="00026478"/>
    <w:rsid w:val="00026674"/>
    <w:rsid w:val="00026876"/>
    <w:rsid w:val="00030841"/>
    <w:rsid w:val="000309F1"/>
    <w:rsid w:val="000314AB"/>
    <w:rsid w:val="00032D15"/>
    <w:rsid w:val="00032E46"/>
    <w:rsid w:val="00032F9A"/>
    <w:rsid w:val="000336A2"/>
    <w:rsid w:val="000344A3"/>
    <w:rsid w:val="00036BCA"/>
    <w:rsid w:val="00036FB4"/>
    <w:rsid w:val="00037DB2"/>
    <w:rsid w:val="00037FA5"/>
    <w:rsid w:val="00040BA8"/>
    <w:rsid w:val="0004148A"/>
    <w:rsid w:val="0004171B"/>
    <w:rsid w:val="00042B5D"/>
    <w:rsid w:val="000430EE"/>
    <w:rsid w:val="00043195"/>
    <w:rsid w:val="000438B2"/>
    <w:rsid w:val="00044192"/>
    <w:rsid w:val="0004433F"/>
    <w:rsid w:val="00044757"/>
    <w:rsid w:val="00044DDC"/>
    <w:rsid w:val="000453B1"/>
    <w:rsid w:val="00046B17"/>
    <w:rsid w:val="00046C72"/>
    <w:rsid w:val="00046F3B"/>
    <w:rsid w:val="00047574"/>
    <w:rsid w:val="00047A39"/>
    <w:rsid w:val="00047C72"/>
    <w:rsid w:val="00047D31"/>
    <w:rsid w:val="00050BCA"/>
    <w:rsid w:val="00051AA5"/>
    <w:rsid w:val="0005236A"/>
    <w:rsid w:val="000531C6"/>
    <w:rsid w:val="0005358B"/>
    <w:rsid w:val="00053BEB"/>
    <w:rsid w:val="00053F1E"/>
    <w:rsid w:val="000548BD"/>
    <w:rsid w:val="00055809"/>
    <w:rsid w:val="00056BF3"/>
    <w:rsid w:val="00056FC2"/>
    <w:rsid w:val="000601BE"/>
    <w:rsid w:val="000606B7"/>
    <w:rsid w:val="000615F6"/>
    <w:rsid w:val="00062703"/>
    <w:rsid w:val="00062AFD"/>
    <w:rsid w:val="00062D03"/>
    <w:rsid w:val="00062F25"/>
    <w:rsid w:val="000631FF"/>
    <w:rsid w:val="00063E77"/>
    <w:rsid w:val="0006429E"/>
    <w:rsid w:val="00065686"/>
    <w:rsid w:val="00065CB7"/>
    <w:rsid w:val="0006608F"/>
    <w:rsid w:val="000666BD"/>
    <w:rsid w:val="00066EB1"/>
    <w:rsid w:val="00066F89"/>
    <w:rsid w:val="0007184A"/>
    <w:rsid w:val="00072BC8"/>
    <w:rsid w:val="00073383"/>
    <w:rsid w:val="00073616"/>
    <w:rsid w:val="00073645"/>
    <w:rsid w:val="00073691"/>
    <w:rsid w:val="00074A30"/>
    <w:rsid w:val="000758B4"/>
    <w:rsid w:val="00075F2A"/>
    <w:rsid w:val="0007673C"/>
    <w:rsid w:val="000774F3"/>
    <w:rsid w:val="000807BB"/>
    <w:rsid w:val="00081C84"/>
    <w:rsid w:val="000822C2"/>
    <w:rsid w:val="00082D03"/>
    <w:rsid w:val="0008321D"/>
    <w:rsid w:val="0008339A"/>
    <w:rsid w:val="0008392F"/>
    <w:rsid w:val="0008447A"/>
    <w:rsid w:val="000848AF"/>
    <w:rsid w:val="00085C92"/>
    <w:rsid w:val="00085CDB"/>
    <w:rsid w:val="0008688D"/>
    <w:rsid w:val="0009022B"/>
    <w:rsid w:val="00090608"/>
    <w:rsid w:val="00090704"/>
    <w:rsid w:val="00090B2B"/>
    <w:rsid w:val="000910BC"/>
    <w:rsid w:val="00091CFD"/>
    <w:rsid w:val="00091ECD"/>
    <w:rsid w:val="000923DA"/>
    <w:rsid w:val="00092E58"/>
    <w:rsid w:val="000954E0"/>
    <w:rsid w:val="000955AD"/>
    <w:rsid w:val="000956CD"/>
    <w:rsid w:val="00095F22"/>
    <w:rsid w:val="0009756A"/>
    <w:rsid w:val="000978A7"/>
    <w:rsid w:val="00097C67"/>
    <w:rsid w:val="000A113B"/>
    <w:rsid w:val="000A1A47"/>
    <w:rsid w:val="000A1FFF"/>
    <w:rsid w:val="000A3003"/>
    <w:rsid w:val="000A307D"/>
    <w:rsid w:val="000A48C3"/>
    <w:rsid w:val="000A5B9E"/>
    <w:rsid w:val="000A61F8"/>
    <w:rsid w:val="000A641B"/>
    <w:rsid w:val="000A686A"/>
    <w:rsid w:val="000A6FED"/>
    <w:rsid w:val="000A79BA"/>
    <w:rsid w:val="000B00AB"/>
    <w:rsid w:val="000B0B25"/>
    <w:rsid w:val="000B2A66"/>
    <w:rsid w:val="000B2A71"/>
    <w:rsid w:val="000B4539"/>
    <w:rsid w:val="000B4DF4"/>
    <w:rsid w:val="000B51D2"/>
    <w:rsid w:val="000B5A32"/>
    <w:rsid w:val="000B6183"/>
    <w:rsid w:val="000B633B"/>
    <w:rsid w:val="000B6ABD"/>
    <w:rsid w:val="000B79E7"/>
    <w:rsid w:val="000C073E"/>
    <w:rsid w:val="000C0BFE"/>
    <w:rsid w:val="000C137F"/>
    <w:rsid w:val="000C15BC"/>
    <w:rsid w:val="000C16C5"/>
    <w:rsid w:val="000C1903"/>
    <w:rsid w:val="000C1B7A"/>
    <w:rsid w:val="000C227B"/>
    <w:rsid w:val="000C28F4"/>
    <w:rsid w:val="000C4415"/>
    <w:rsid w:val="000C44E2"/>
    <w:rsid w:val="000C55A9"/>
    <w:rsid w:val="000C5738"/>
    <w:rsid w:val="000C5F59"/>
    <w:rsid w:val="000C6426"/>
    <w:rsid w:val="000D11BE"/>
    <w:rsid w:val="000D202A"/>
    <w:rsid w:val="000D2FDF"/>
    <w:rsid w:val="000D49A2"/>
    <w:rsid w:val="000D4A58"/>
    <w:rsid w:val="000D77D2"/>
    <w:rsid w:val="000E05FE"/>
    <w:rsid w:val="000E070B"/>
    <w:rsid w:val="000E07E7"/>
    <w:rsid w:val="000E08B8"/>
    <w:rsid w:val="000E2A0A"/>
    <w:rsid w:val="000E2E57"/>
    <w:rsid w:val="000E4C1A"/>
    <w:rsid w:val="000E7058"/>
    <w:rsid w:val="000E7FE7"/>
    <w:rsid w:val="000F075D"/>
    <w:rsid w:val="000F0E53"/>
    <w:rsid w:val="000F143E"/>
    <w:rsid w:val="000F38D9"/>
    <w:rsid w:val="000F4644"/>
    <w:rsid w:val="000F4842"/>
    <w:rsid w:val="000F525A"/>
    <w:rsid w:val="000F59AE"/>
    <w:rsid w:val="000F65A4"/>
    <w:rsid w:val="000F6B3F"/>
    <w:rsid w:val="000F7AC8"/>
    <w:rsid w:val="0010002D"/>
    <w:rsid w:val="0010067D"/>
    <w:rsid w:val="00100934"/>
    <w:rsid w:val="00100BCC"/>
    <w:rsid w:val="00100D2B"/>
    <w:rsid w:val="001023B7"/>
    <w:rsid w:val="00102609"/>
    <w:rsid w:val="00102B6F"/>
    <w:rsid w:val="00103B69"/>
    <w:rsid w:val="00103F1B"/>
    <w:rsid w:val="00103FD3"/>
    <w:rsid w:val="00106523"/>
    <w:rsid w:val="00106649"/>
    <w:rsid w:val="00106F79"/>
    <w:rsid w:val="00107BB4"/>
    <w:rsid w:val="00107D44"/>
    <w:rsid w:val="00107F72"/>
    <w:rsid w:val="00110A02"/>
    <w:rsid w:val="00112EFC"/>
    <w:rsid w:val="00112F26"/>
    <w:rsid w:val="00113C56"/>
    <w:rsid w:val="00114128"/>
    <w:rsid w:val="00114543"/>
    <w:rsid w:val="00114CB9"/>
    <w:rsid w:val="001163AB"/>
    <w:rsid w:val="001166E4"/>
    <w:rsid w:val="00116B49"/>
    <w:rsid w:val="00116CF2"/>
    <w:rsid w:val="00117269"/>
    <w:rsid w:val="001172E0"/>
    <w:rsid w:val="00121231"/>
    <w:rsid w:val="00121E9D"/>
    <w:rsid w:val="0012224B"/>
    <w:rsid w:val="00122E8E"/>
    <w:rsid w:val="00123C5A"/>
    <w:rsid w:val="00125E07"/>
    <w:rsid w:val="00126B2C"/>
    <w:rsid w:val="00126BD4"/>
    <w:rsid w:val="0012738E"/>
    <w:rsid w:val="001274F9"/>
    <w:rsid w:val="00127666"/>
    <w:rsid w:val="00130057"/>
    <w:rsid w:val="00131B7E"/>
    <w:rsid w:val="00131ED5"/>
    <w:rsid w:val="00132BF5"/>
    <w:rsid w:val="00133718"/>
    <w:rsid w:val="00133944"/>
    <w:rsid w:val="00133952"/>
    <w:rsid w:val="00133B7A"/>
    <w:rsid w:val="00134809"/>
    <w:rsid w:val="001366E2"/>
    <w:rsid w:val="001379AD"/>
    <w:rsid w:val="00141AA5"/>
    <w:rsid w:val="00143F42"/>
    <w:rsid w:val="001441A2"/>
    <w:rsid w:val="00144CA2"/>
    <w:rsid w:val="00144CC9"/>
    <w:rsid w:val="00144E0B"/>
    <w:rsid w:val="00145023"/>
    <w:rsid w:val="00145E3E"/>
    <w:rsid w:val="00146ABE"/>
    <w:rsid w:val="00146EE2"/>
    <w:rsid w:val="001470F3"/>
    <w:rsid w:val="001478C3"/>
    <w:rsid w:val="0014792C"/>
    <w:rsid w:val="001501EC"/>
    <w:rsid w:val="00150726"/>
    <w:rsid w:val="001509BC"/>
    <w:rsid w:val="00151730"/>
    <w:rsid w:val="00152689"/>
    <w:rsid w:val="00152ABA"/>
    <w:rsid w:val="00153C59"/>
    <w:rsid w:val="00155246"/>
    <w:rsid w:val="00155AA5"/>
    <w:rsid w:val="001567E7"/>
    <w:rsid w:val="00156A8B"/>
    <w:rsid w:val="001578CC"/>
    <w:rsid w:val="00157A43"/>
    <w:rsid w:val="00157F85"/>
    <w:rsid w:val="0016019F"/>
    <w:rsid w:val="001605EB"/>
    <w:rsid w:val="00160B5F"/>
    <w:rsid w:val="00160F14"/>
    <w:rsid w:val="00162798"/>
    <w:rsid w:val="001629A1"/>
    <w:rsid w:val="0016316A"/>
    <w:rsid w:val="001631AD"/>
    <w:rsid w:val="00163F7F"/>
    <w:rsid w:val="00164284"/>
    <w:rsid w:val="001655D7"/>
    <w:rsid w:val="00165DA2"/>
    <w:rsid w:val="00165F36"/>
    <w:rsid w:val="00165FF5"/>
    <w:rsid w:val="001669EE"/>
    <w:rsid w:val="00166F31"/>
    <w:rsid w:val="00167664"/>
    <w:rsid w:val="001677A9"/>
    <w:rsid w:val="001678E5"/>
    <w:rsid w:val="00170EA3"/>
    <w:rsid w:val="00170F28"/>
    <w:rsid w:val="00170FA4"/>
    <w:rsid w:val="001713B7"/>
    <w:rsid w:val="00173204"/>
    <w:rsid w:val="00175490"/>
    <w:rsid w:val="00175BA0"/>
    <w:rsid w:val="00175D94"/>
    <w:rsid w:val="00176794"/>
    <w:rsid w:val="00177109"/>
    <w:rsid w:val="0017724A"/>
    <w:rsid w:val="001777E3"/>
    <w:rsid w:val="00180FCB"/>
    <w:rsid w:val="00183B7D"/>
    <w:rsid w:val="001844C6"/>
    <w:rsid w:val="001846F3"/>
    <w:rsid w:val="001851E1"/>
    <w:rsid w:val="001856BD"/>
    <w:rsid w:val="00186E40"/>
    <w:rsid w:val="00187BB3"/>
    <w:rsid w:val="00190182"/>
    <w:rsid w:val="00190512"/>
    <w:rsid w:val="00190DCF"/>
    <w:rsid w:val="00191BF5"/>
    <w:rsid w:val="00193133"/>
    <w:rsid w:val="0019317D"/>
    <w:rsid w:val="001937B4"/>
    <w:rsid w:val="00193C26"/>
    <w:rsid w:val="001945FD"/>
    <w:rsid w:val="00195C4F"/>
    <w:rsid w:val="00196884"/>
    <w:rsid w:val="001A1EA7"/>
    <w:rsid w:val="001A27C9"/>
    <w:rsid w:val="001A2DEC"/>
    <w:rsid w:val="001A2EAC"/>
    <w:rsid w:val="001A302F"/>
    <w:rsid w:val="001A3747"/>
    <w:rsid w:val="001A42E1"/>
    <w:rsid w:val="001A4620"/>
    <w:rsid w:val="001A46EA"/>
    <w:rsid w:val="001A4B6C"/>
    <w:rsid w:val="001A5FEC"/>
    <w:rsid w:val="001A690A"/>
    <w:rsid w:val="001A69C4"/>
    <w:rsid w:val="001A6C61"/>
    <w:rsid w:val="001A6FAE"/>
    <w:rsid w:val="001B023C"/>
    <w:rsid w:val="001B147A"/>
    <w:rsid w:val="001B1901"/>
    <w:rsid w:val="001B1C5D"/>
    <w:rsid w:val="001B1EA6"/>
    <w:rsid w:val="001B26C0"/>
    <w:rsid w:val="001B28A1"/>
    <w:rsid w:val="001B2939"/>
    <w:rsid w:val="001B2BC8"/>
    <w:rsid w:val="001B4BC8"/>
    <w:rsid w:val="001B586B"/>
    <w:rsid w:val="001B58A1"/>
    <w:rsid w:val="001B620B"/>
    <w:rsid w:val="001B6236"/>
    <w:rsid w:val="001C022E"/>
    <w:rsid w:val="001C069F"/>
    <w:rsid w:val="001C1464"/>
    <w:rsid w:val="001C38B5"/>
    <w:rsid w:val="001C39ED"/>
    <w:rsid w:val="001C6080"/>
    <w:rsid w:val="001C67B2"/>
    <w:rsid w:val="001C6933"/>
    <w:rsid w:val="001C709E"/>
    <w:rsid w:val="001C76CB"/>
    <w:rsid w:val="001C7755"/>
    <w:rsid w:val="001C775C"/>
    <w:rsid w:val="001C78CC"/>
    <w:rsid w:val="001D05BD"/>
    <w:rsid w:val="001D0637"/>
    <w:rsid w:val="001D1A30"/>
    <w:rsid w:val="001D225A"/>
    <w:rsid w:val="001D2C9E"/>
    <w:rsid w:val="001D368C"/>
    <w:rsid w:val="001D3F2E"/>
    <w:rsid w:val="001D42CC"/>
    <w:rsid w:val="001D4FEE"/>
    <w:rsid w:val="001D5961"/>
    <w:rsid w:val="001D6CF8"/>
    <w:rsid w:val="001D723B"/>
    <w:rsid w:val="001D738C"/>
    <w:rsid w:val="001D7AAB"/>
    <w:rsid w:val="001E0394"/>
    <w:rsid w:val="001E1DAC"/>
    <w:rsid w:val="001E222A"/>
    <w:rsid w:val="001E2775"/>
    <w:rsid w:val="001E3733"/>
    <w:rsid w:val="001E3F6E"/>
    <w:rsid w:val="001E422C"/>
    <w:rsid w:val="001E4309"/>
    <w:rsid w:val="001E49DD"/>
    <w:rsid w:val="001E5C07"/>
    <w:rsid w:val="001E6C61"/>
    <w:rsid w:val="001E6E8A"/>
    <w:rsid w:val="001E6F52"/>
    <w:rsid w:val="001E77E7"/>
    <w:rsid w:val="001E7B12"/>
    <w:rsid w:val="001F02D8"/>
    <w:rsid w:val="001F0966"/>
    <w:rsid w:val="001F0AF6"/>
    <w:rsid w:val="001F0FA3"/>
    <w:rsid w:val="001F1A63"/>
    <w:rsid w:val="001F2089"/>
    <w:rsid w:val="001F2887"/>
    <w:rsid w:val="001F3F97"/>
    <w:rsid w:val="001F403A"/>
    <w:rsid w:val="001F58CA"/>
    <w:rsid w:val="001F5EB9"/>
    <w:rsid w:val="001F5ED4"/>
    <w:rsid w:val="001F69BA"/>
    <w:rsid w:val="001F6DB4"/>
    <w:rsid w:val="001F76AB"/>
    <w:rsid w:val="001F791B"/>
    <w:rsid w:val="001F7E30"/>
    <w:rsid w:val="00202747"/>
    <w:rsid w:val="00203BB9"/>
    <w:rsid w:val="002047DF"/>
    <w:rsid w:val="00204961"/>
    <w:rsid w:val="00205C2D"/>
    <w:rsid w:val="002066BC"/>
    <w:rsid w:val="002067A5"/>
    <w:rsid w:val="00207D91"/>
    <w:rsid w:val="00207F01"/>
    <w:rsid w:val="002114F0"/>
    <w:rsid w:val="00211758"/>
    <w:rsid w:val="00211F23"/>
    <w:rsid w:val="002131E0"/>
    <w:rsid w:val="002151CB"/>
    <w:rsid w:val="00215634"/>
    <w:rsid w:val="0021568C"/>
    <w:rsid w:val="00215C52"/>
    <w:rsid w:val="00215E3E"/>
    <w:rsid w:val="0021614F"/>
    <w:rsid w:val="00217010"/>
    <w:rsid w:val="0021740C"/>
    <w:rsid w:val="002174C8"/>
    <w:rsid w:val="00217A34"/>
    <w:rsid w:val="00217BDE"/>
    <w:rsid w:val="00220F56"/>
    <w:rsid w:val="0022292F"/>
    <w:rsid w:val="00222A7C"/>
    <w:rsid w:val="00224093"/>
    <w:rsid w:val="0022430D"/>
    <w:rsid w:val="002244B6"/>
    <w:rsid w:val="0022462C"/>
    <w:rsid w:val="00225AF6"/>
    <w:rsid w:val="00226199"/>
    <w:rsid w:val="00226361"/>
    <w:rsid w:val="002264EB"/>
    <w:rsid w:val="0023065A"/>
    <w:rsid w:val="00231DCF"/>
    <w:rsid w:val="00233158"/>
    <w:rsid w:val="0023334B"/>
    <w:rsid w:val="002333D3"/>
    <w:rsid w:val="002348A3"/>
    <w:rsid w:val="00234A9D"/>
    <w:rsid w:val="002350A4"/>
    <w:rsid w:val="0023752B"/>
    <w:rsid w:val="00237816"/>
    <w:rsid w:val="00237892"/>
    <w:rsid w:val="002404E6"/>
    <w:rsid w:val="00240B77"/>
    <w:rsid w:val="002420B7"/>
    <w:rsid w:val="00243EF2"/>
    <w:rsid w:val="0024422B"/>
    <w:rsid w:val="00244865"/>
    <w:rsid w:val="0024520D"/>
    <w:rsid w:val="00245EDA"/>
    <w:rsid w:val="00246403"/>
    <w:rsid w:val="00246C80"/>
    <w:rsid w:val="00246DCE"/>
    <w:rsid w:val="0024750B"/>
    <w:rsid w:val="00247757"/>
    <w:rsid w:val="002478C0"/>
    <w:rsid w:val="0025056C"/>
    <w:rsid w:val="00250A56"/>
    <w:rsid w:val="00250DBA"/>
    <w:rsid w:val="0025190F"/>
    <w:rsid w:val="0025273B"/>
    <w:rsid w:val="00252D68"/>
    <w:rsid w:val="0025328B"/>
    <w:rsid w:val="00254D34"/>
    <w:rsid w:val="00256215"/>
    <w:rsid w:val="00256627"/>
    <w:rsid w:val="0025754D"/>
    <w:rsid w:val="00257979"/>
    <w:rsid w:val="00257DA3"/>
    <w:rsid w:val="00260184"/>
    <w:rsid w:val="0026034C"/>
    <w:rsid w:val="002603AD"/>
    <w:rsid w:val="00262FBE"/>
    <w:rsid w:val="002631A8"/>
    <w:rsid w:val="002631AA"/>
    <w:rsid w:val="00264220"/>
    <w:rsid w:val="002651FA"/>
    <w:rsid w:val="002668D6"/>
    <w:rsid w:val="00266D28"/>
    <w:rsid w:val="002675E8"/>
    <w:rsid w:val="00267E8C"/>
    <w:rsid w:val="00270E41"/>
    <w:rsid w:val="002723E3"/>
    <w:rsid w:val="0027281F"/>
    <w:rsid w:val="00273157"/>
    <w:rsid w:val="002757B7"/>
    <w:rsid w:val="00275C7B"/>
    <w:rsid w:val="00276334"/>
    <w:rsid w:val="00276964"/>
    <w:rsid w:val="0027705B"/>
    <w:rsid w:val="002778DF"/>
    <w:rsid w:val="00277F96"/>
    <w:rsid w:val="00280B54"/>
    <w:rsid w:val="00280BF7"/>
    <w:rsid w:val="00281BBC"/>
    <w:rsid w:val="00282BA5"/>
    <w:rsid w:val="002835A1"/>
    <w:rsid w:val="00284E54"/>
    <w:rsid w:val="00285A03"/>
    <w:rsid w:val="00285C32"/>
    <w:rsid w:val="00286905"/>
    <w:rsid w:val="0028776C"/>
    <w:rsid w:val="002912B4"/>
    <w:rsid w:val="00291E1E"/>
    <w:rsid w:val="00294A3B"/>
    <w:rsid w:val="00294F1D"/>
    <w:rsid w:val="002974B1"/>
    <w:rsid w:val="00297796"/>
    <w:rsid w:val="00297BE7"/>
    <w:rsid w:val="00297C0C"/>
    <w:rsid w:val="00297EE7"/>
    <w:rsid w:val="002A0FCB"/>
    <w:rsid w:val="002A24A1"/>
    <w:rsid w:val="002A489F"/>
    <w:rsid w:val="002A4AC8"/>
    <w:rsid w:val="002A504C"/>
    <w:rsid w:val="002A50D5"/>
    <w:rsid w:val="002A5C06"/>
    <w:rsid w:val="002B0A2B"/>
    <w:rsid w:val="002B19CD"/>
    <w:rsid w:val="002B40A2"/>
    <w:rsid w:val="002B4A9F"/>
    <w:rsid w:val="002B5663"/>
    <w:rsid w:val="002B56B1"/>
    <w:rsid w:val="002B6AC2"/>
    <w:rsid w:val="002C0AC8"/>
    <w:rsid w:val="002C0F38"/>
    <w:rsid w:val="002C2C0E"/>
    <w:rsid w:val="002C300F"/>
    <w:rsid w:val="002C30AB"/>
    <w:rsid w:val="002C313B"/>
    <w:rsid w:val="002C3FC9"/>
    <w:rsid w:val="002C4801"/>
    <w:rsid w:val="002C4F62"/>
    <w:rsid w:val="002C583B"/>
    <w:rsid w:val="002C5A96"/>
    <w:rsid w:val="002C67FF"/>
    <w:rsid w:val="002C6852"/>
    <w:rsid w:val="002C7657"/>
    <w:rsid w:val="002C7FF8"/>
    <w:rsid w:val="002D05FC"/>
    <w:rsid w:val="002D2904"/>
    <w:rsid w:val="002D2E7F"/>
    <w:rsid w:val="002D3338"/>
    <w:rsid w:val="002D59AB"/>
    <w:rsid w:val="002D5AA1"/>
    <w:rsid w:val="002D6280"/>
    <w:rsid w:val="002D6A65"/>
    <w:rsid w:val="002D76CE"/>
    <w:rsid w:val="002E00CB"/>
    <w:rsid w:val="002E03C8"/>
    <w:rsid w:val="002E04D8"/>
    <w:rsid w:val="002E115B"/>
    <w:rsid w:val="002E245A"/>
    <w:rsid w:val="002E30A8"/>
    <w:rsid w:val="002E3A58"/>
    <w:rsid w:val="002E3CA1"/>
    <w:rsid w:val="002E4E8F"/>
    <w:rsid w:val="002E646D"/>
    <w:rsid w:val="002E69A8"/>
    <w:rsid w:val="002F0888"/>
    <w:rsid w:val="002F09A1"/>
    <w:rsid w:val="002F0EBB"/>
    <w:rsid w:val="002F10DF"/>
    <w:rsid w:val="002F28E3"/>
    <w:rsid w:val="002F2AAE"/>
    <w:rsid w:val="002F5595"/>
    <w:rsid w:val="002F5B40"/>
    <w:rsid w:val="002F6862"/>
    <w:rsid w:val="002F6E09"/>
    <w:rsid w:val="002F6FCF"/>
    <w:rsid w:val="002F79F7"/>
    <w:rsid w:val="0030200E"/>
    <w:rsid w:val="00302304"/>
    <w:rsid w:val="0030269D"/>
    <w:rsid w:val="00302717"/>
    <w:rsid w:val="0030285E"/>
    <w:rsid w:val="00302C80"/>
    <w:rsid w:val="00302E86"/>
    <w:rsid w:val="00303C6F"/>
    <w:rsid w:val="00305E41"/>
    <w:rsid w:val="00305FB0"/>
    <w:rsid w:val="00306472"/>
    <w:rsid w:val="00306E60"/>
    <w:rsid w:val="00307044"/>
    <w:rsid w:val="0030711A"/>
    <w:rsid w:val="003077A8"/>
    <w:rsid w:val="00307DE6"/>
    <w:rsid w:val="0031016E"/>
    <w:rsid w:val="00310ABE"/>
    <w:rsid w:val="00310B54"/>
    <w:rsid w:val="00310CCE"/>
    <w:rsid w:val="003146D4"/>
    <w:rsid w:val="00314C0C"/>
    <w:rsid w:val="00315306"/>
    <w:rsid w:val="00316B7A"/>
    <w:rsid w:val="00317E6A"/>
    <w:rsid w:val="00320A85"/>
    <w:rsid w:val="00321F27"/>
    <w:rsid w:val="003224F6"/>
    <w:rsid w:val="0032264E"/>
    <w:rsid w:val="003229E4"/>
    <w:rsid w:val="00322C56"/>
    <w:rsid w:val="00323044"/>
    <w:rsid w:val="0032314A"/>
    <w:rsid w:val="003245C1"/>
    <w:rsid w:val="0032462B"/>
    <w:rsid w:val="00324CFA"/>
    <w:rsid w:val="00325800"/>
    <w:rsid w:val="00325A1B"/>
    <w:rsid w:val="00330AEF"/>
    <w:rsid w:val="00330DCE"/>
    <w:rsid w:val="00330F57"/>
    <w:rsid w:val="003319E6"/>
    <w:rsid w:val="00331C6D"/>
    <w:rsid w:val="003323CA"/>
    <w:rsid w:val="0033277F"/>
    <w:rsid w:val="003334DE"/>
    <w:rsid w:val="0033629A"/>
    <w:rsid w:val="00337D73"/>
    <w:rsid w:val="00340100"/>
    <w:rsid w:val="00340282"/>
    <w:rsid w:val="00341D86"/>
    <w:rsid w:val="00342F6B"/>
    <w:rsid w:val="00343C6A"/>
    <w:rsid w:val="00344380"/>
    <w:rsid w:val="0034496B"/>
    <w:rsid w:val="00344D9C"/>
    <w:rsid w:val="00345373"/>
    <w:rsid w:val="00345AB3"/>
    <w:rsid w:val="00345D08"/>
    <w:rsid w:val="00346D90"/>
    <w:rsid w:val="00347264"/>
    <w:rsid w:val="003473F0"/>
    <w:rsid w:val="00350751"/>
    <w:rsid w:val="00350B85"/>
    <w:rsid w:val="0035137D"/>
    <w:rsid w:val="00352340"/>
    <w:rsid w:val="003536BF"/>
    <w:rsid w:val="00353D1B"/>
    <w:rsid w:val="00353E8D"/>
    <w:rsid w:val="0035400C"/>
    <w:rsid w:val="00354248"/>
    <w:rsid w:val="00354B29"/>
    <w:rsid w:val="00356DA4"/>
    <w:rsid w:val="003577BA"/>
    <w:rsid w:val="00360E08"/>
    <w:rsid w:val="00361DF3"/>
    <w:rsid w:val="003625C5"/>
    <w:rsid w:val="00363087"/>
    <w:rsid w:val="00363325"/>
    <w:rsid w:val="00365091"/>
    <w:rsid w:val="00365435"/>
    <w:rsid w:val="00365A32"/>
    <w:rsid w:val="003669DC"/>
    <w:rsid w:val="003671F3"/>
    <w:rsid w:val="00367797"/>
    <w:rsid w:val="003678A9"/>
    <w:rsid w:val="00370021"/>
    <w:rsid w:val="003707D3"/>
    <w:rsid w:val="00371484"/>
    <w:rsid w:val="003724B6"/>
    <w:rsid w:val="00372F1B"/>
    <w:rsid w:val="003730C6"/>
    <w:rsid w:val="0037327C"/>
    <w:rsid w:val="0037508A"/>
    <w:rsid w:val="00375810"/>
    <w:rsid w:val="00375BD9"/>
    <w:rsid w:val="00375D63"/>
    <w:rsid w:val="003764CC"/>
    <w:rsid w:val="003772C8"/>
    <w:rsid w:val="003777EE"/>
    <w:rsid w:val="00377FE3"/>
    <w:rsid w:val="003841E9"/>
    <w:rsid w:val="00385866"/>
    <w:rsid w:val="00385C0C"/>
    <w:rsid w:val="00385D9F"/>
    <w:rsid w:val="003866E4"/>
    <w:rsid w:val="00386B6E"/>
    <w:rsid w:val="00387217"/>
    <w:rsid w:val="00387E53"/>
    <w:rsid w:val="0039036E"/>
    <w:rsid w:val="0039137A"/>
    <w:rsid w:val="003916A4"/>
    <w:rsid w:val="00391897"/>
    <w:rsid w:val="00394010"/>
    <w:rsid w:val="00394014"/>
    <w:rsid w:val="0039478E"/>
    <w:rsid w:val="00394A1D"/>
    <w:rsid w:val="00394A87"/>
    <w:rsid w:val="003950B2"/>
    <w:rsid w:val="00395E65"/>
    <w:rsid w:val="00395FF1"/>
    <w:rsid w:val="00396047"/>
    <w:rsid w:val="00396421"/>
    <w:rsid w:val="003965C5"/>
    <w:rsid w:val="00396B55"/>
    <w:rsid w:val="00396FD9"/>
    <w:rsid w:val="003975F0"/>
    <w:rsid w:val="003A0348"/>
    <w:rsid w:val="003A0655"/>
    <w:rsid w:val="003A0BA1"/>
    <w:rsid w:val="003A135B"/>
    <w:rsid w:val="003A188B"/>
    <w:rsid w:val="003A1A1C"/>
    <w:rsid w:val="003A1BE3"/>
    <w:rsid w:val="003A21F4"/>
    <w:rsid w:val="003A249B"/>
    <w:rsid w:val="003A26C8"/>
    <w:rsid w:val="003A2C62"/>
    <w:rsid w:val="003A3110"/>
    <w:rsid w:val="003A3B0B"/>
    <w:rsid w:val="003A5054"/>
    <w:rsid w:val="003A62E4"/>
    <w:rsid w:val="003A6EAE"/>
    <w:rsid w:val="003A737D"/>
    <w:rsid w:val="003A7F9D"/>
    <w:rsid w:val="003B0CEE"/>
    <w:rsid w:val="003B187C"/>
    <w:rsid w:val="003B4E68"/>
    <w:rsid w:val="003B539A"/>
    <w:rsid w:val="003B598E"/>
    <w:rsid w:val="003B6708"/>
    <w:rsid w:val="003B7D3D"/>
    <w:rsid w:val="003C05DF"/>
    <w:rsid w:val="003C0884"/>
    <w:rsid w:val="003C08E2"/>
    <w:rsid w:val="003C0E68"/>
    <w:rsid w:val="003C285C"/>
    <w:rsid w:val="003C2D4F"/>
    <w:rsid w:val="003C3788"/>
    <w:rsid w:val="003C43D9"/>
    <w:rsid w:val="003C4ACB"/>
    <w:rsid w:val="003C4CF4"/>
    <w:rsid w:val="003C5299"/>
    <w:rsid w:val="003C668A"/>
    <w:rsid w:val="003C6D3A"/>
    <w:rsid w:val="003C7060"/>
    <w:rsid w:val="003D13F3"/>
    <w:rsid w:val="003D166E"/>
    <w:rsid w:val="003D23D4"/>
    <w:rsid w:val="003D2D39"/>
    <w:rsid w:val="003D2E81"/>
    <w:rsid w:val="003D2EBD"/>
    <w:rsid w:val="003D3509"/>
    <w:rsid w:val="003D3ECF"/>
    <w:rsid w:val="003D6FD1"/>
    <w:rsid w:val="003D74B9"/>
    <w:rsid w:val="003D76FB"/>
    <w:rsid w:val="003D7AEC"/>
    <w:rsid w:val="003E0296"/>
    <w:rsid w:val="003E04FC"/>
    <w:rsid w:val="003E195B"/>
    <w:rsid w:val="003E1D8C"/>
    <w:rsid w:val="003E36A2"/>
    <w:rsid w:val="003E4FBB"/>
    <w:rsid w:val="003E5137"/>
    <w:rsid w:val="003E52E0"/>
    <w:rsid w:val="003E576F"/>
    <w:rsid w:val="003E6CB5"/>
    <w:rsid w:val="003E73DA"/>
    <w:rsid w:val="003E77AA"/>
    <w:rsid w:val="003E78FA"/>
    <w:rsid w:val="003E7F3E"/>
    <w:rsid w:val="003E7FA4"/>
    <w:rsid w:val="003F017F"/>
    <w:rsid w:val="003F16C9"/>
    <w:rsid w:val="003F280B"/>
    <w:rsid w:val="003F2EC4"/>
    <w:rsid w:val="003F48BB"/>
    <w:rsid w:val="003F4E07"/>
    <w:rsid w:val="003F581B"/>
    <w:rsid w:val="003F5FF3"/>
    <w:rsid w:val="003F71E2"/>
    <w:rsid w:val="003F71F6"/>
    <w:rsid w:val="003F74B6"/>
    <w:rsid w:val="003F7B32"/>
    <w:rsid w:val="003F7BFC"/>
    <w:rsid w:val="003F7D94"/>
    <w:rsid w:val="00400C86"/>
    <w:rsid w:val="00401E48"/>
    <w:rsid w:val="00402269"/>
    <w:rsid w:val="00402DF2"/>
    <w:rsid w:val="004031DD"/>
    <w:rsid w:val="004032EC"/>
    <w:rsid w:val="004035F2"/>
    <w:rsid w:val="00404F04"/>
    <w:rsid w:val="00410F3F"/>
    <w:rsid w:val="0041179C"/>
    <w:rsid w:val="00412208"/>
    <w:rsid w:val="00412A3E"/>
    <w:rsid w:val="0041468C"/>
    <w:rsid w:val="00414C2F"/>
    <w:rsid w:val="00414D28"/>
    <w:rsid w:val="00414EB4"/>
    <w:rsid w:val="00414F28"/>
    <w:rsid w:val="004155E9"/>
    <w:rsid w:val="0041596D"/>
    <w:rsid w:val="00416AF4"/>
    <w:rsid w:val="004170A5"/>
    <w:rsid w:val="00417923"/>
    <w:rsid w:val="0042031D"/>
    <w:rsid w:val="004226AB"/>
    <w:rsid w:val="00423629"/>
    <w:rsid w:val="00424F62"/>
    <w:rsid w:val="004259E4"/>
    <w:rsid w:val="00425F32"/>
    <w:rsid w:val="00427114"/>
    <w:rsid w:val="0042761A"/>
    <w:rsid w:val="0042778E"/>
    <w:rsid w:val="00427815"/>
    <w:rsid w:val="00427A10"/>
    <w:rsid w:val="00427B05"/>
    <w:rsid w:val="00427BFB"/>
    <w:rsid w:val="004307EB"/>
    <w:rsid w:val="00431B25"/>
    <w:rsid w:val="00432B99"/>
    <w:rsid w:val="00433D67"/>
    <w:rsid w:val="0043403E"/>
    <w:rsid w:val="0043493E"/>
    <w:rsid w:val="00434B3D"/>
    <w:rsid w:val="00434BF3"/>
    <w:rsid w:val="004352B0"/>
    <w:rsid w:val="00435895"/>
    <w:rsid w:val="00435911"/>
    <w:rsid w:val="00435BFC"/>
    <w:rsid w:val="00435F41"/>
    <w:rsid w:val="0043642C"/>
    <w:rsid w:val="0043654C"/>
    <w:rsid w:val="00437F25"/>
    <w:rsid w:val="00441CF4"/>
    <w:rsid w:val="00441ECB"/>
    <w:rsid w:val="0044368C"/>
    <w:rsid w:val="0044423F"/>
    <w:rsid w:val="00444770"/>
    <w:rsid w:val="00444781"/>
    <w:rsid w:val="00444EAC"/>
    <w:rsid w:val="004459CF"/>
    <w:rsid w:val="00445F8F"/>
    <w:rsid w:val="0044636B"/>
    <w:rsid w:val="004467F4"/>
    <w:rsid w:val="00446971"/>
    <w:rsid w:val="00446BCA"/>
    <w:rsid w:val="00446CAA"/>
    <w:rsid w:val="00446D80"/>
    <w:rsid w:val="00447D55"/>
    <w:rsid w:val="00453B5B"/>
    <w:rsid w:val="004557A1"/>
    <w:rsid w:val="00455F8B"/>
    <w:rsid w:val="00460FFD"/>
    <w:rsid w:val="0046150A"/>
    <w:rsid w:val="00462605"/>
    <w:rsid w:val="0046332E"/>
    <w:rsid w:val="00463513"/>
    <w:rsid w:val="00463516"/>
    <w:rsid w:val="0046562D"/>
    <w:rsid w:val="004671CB"/>
    <w:rsid w:val="00467A2C"/>
    <w:rsid w:val="004700C8"/>
    <w:rsid w:val="00470313"/>
    <w:rsid w:val="00470472"/>
    <w:rsid w:val="0047049D"/>
    <w:rsid w:val="00470D14"/>
    <w:rsid w:val="00473F81"/>
    <w:rsid w:val="004740A4"/>
    <w:rsid w:val="004755BF"/>
    <w:rsid w:val="004756D0"/>
    <w:rsid w:val="00475E2F"/>
    <w:rsid w:val="004769A5"/>
    <w:rsid w:val="004804F0"/>
    <w:rsid w:val="0048069F"/>
    <w:rsid w:val="004807AB"/>
    <w:rsid w:val="004809CC"/>
    <w:rsid w:val="00480CEA"/>
    <w:rsid w:val="004815DE"/>
    <w:rsid w:val="00482343"/>
    <w:rsid w:val="00483025"/>
    <w:rsid w:val="004850B0"/>
    <w:rsid w:val="00485AB3"/>
    <w:rsid w:val="00485D76"/>
    <w:rsid w:val="00486AF9"/>
    <w:rsid w:val="00487BC2"/>
    <w:rsid w:val="0049035E"/>
    <w:rsid w:val="00492599"/>
    <w:rsid w:val="00492D3F"/>
    <w:rsid w:val="00493C31"/>
    <w:rsid w:val="004941BC"/>
    <w:rsid w:val="00494DE2"/>
    <w:rsid w:val="00495552"/>
    <w:rsid w:val="004956A6"/>
    <w:rsid w:val="00495ED1"/>
    <w:rsid w:val="00496515"/>
    <w:rsid w:val="00497004"/>
    <w:rsid w:val="004970BD"/>
    <w:rsid w:val="00497776"/>
    <w:rsid w:val="004979A4"/>
    <w:rsid w:val="004A0250"/>
    <w:rsid w:val="004A0C18"/>
    <w:rsid w:val="004A15D9"/>
    <w:rsid w:val="004A19C8"/>
    <w:rsid w:val="004A1D4E"/>
    <w:rsid w:val="004A4B89"/>
    <w:rsid w:val="004A7688"/>
    <w:rsid w:val="004A7E21"/>
    <w:rsid w:val="004B0605"/>
    <w:rsid w:val="004B1C7A"/>
    <w:rsid w:val="004B31DF"/>
    <w:rsid w:val="004B6BD6"/>
    <w:rsid w:val="004B7010"/>
    <w:rsid w:val="004C001B"/>
    <w:rsid w:val="004C04B3"/>
    <w:rsid w:val="004C13F0"/>
    <w:rsid w:val="004C195A"/>
    <w:rsid w:val="004C1C7A"/>
    <w:rsid w:val="004C1D9A"/>
    <w:rsid w:val="004C3E50"/>
    <w:rsid w:val="004C5553"/>
    <w:rsid w:val="004C61C6"/>
    <w:rsid w:val="004C66C3"/>
    <w:rsid w:val="004C6C74"/>
    <w:rsid w:val="004C7267"/>
    <w:rsid w:val="004C73CF"/>
    <w:rsid w:val="004D0191"/>
    <w:rsid w:val="004D096C"/>
    <w:rsid w:val="004D0E2F"/>
    <w:rsid w:val="004D318A"/>
    <w:rsid w:val="004D33CA"/>
    <w:rsid w:val="004D382D"/>
    <w:rsid w:val="004D39FE"/>
    <w:rsid w:val="004D3EE5"/>
    <w:rsid w:val="004D5519"/>
    <w:rsid w:val="004D67C9"/>
    <w:rsid w:val="004D78FD"/>
    <w:rsid w:val="004E000D"/>
    <w:rsid w:val="004E00BE"/>
    <w:rsid w:val="004E01BD"/>
    <w:rsid w:val="004E02A9"/>
    <w:rsid w:val="004E1573"/>
    <w:rsid w:val="004E1699"/>
    <w:rsid w:val="004E274A"/>
    <w:rsid w:val="004E35FF"/>
    <w:rsid w:val="004E403A"/>
    <w:rsid w:val="004E4D6F"/>
    <w:rsid w:val="004E61C0"/>
    <w:rsid w:val="004E7122"/>
    <w:rsid w:val="004E76A3"/>
    <w:rsid w:val="004E76DF"/>
    <w:rsid w:val="004F053D"/>
    <w:rsid w:val="004F0B2B"/>
    <w:rsid w:val="004F1256"/>
    <w:rsid w:val="004F268B"/>
    <w:rsid w:val="004F3809"/>
    <w:rsid w:val="004F4FE3"/>
    <w:rsid w:val="004F5348"/>
    <w:rsid w:val="004F75BC"/>
    <w:rsid w:val="004F7949"/>
    <w:rsid w:val="004F7CF5"/>
    <w:rsid w:val="005000AD"/>
    <w:rsid w:val="00500B9F"/>
    <w:rsid w:val="00501307"/>
    <w:rsid w:val="00501D20"/>
    <w:rsid w:val="00502565"/>
    <w:rsid w:val="0050291D"/>
    <w:rsid w:val="00503234"/>
    <w:rsid w:val="005048D3"/>
    <w:rsid w:val="00504902"/>
    <w:rsid w:val="00504FF0"/>
    <w:rsid w:val="005056BF"/>
    <w:rsid w:val="005062A3"/>
    <w:rsid w:val="00506753"/>
    <w:rsid w:val="00506A83"/>
    <w:rsid w:val="00506CA6"/>
    <w:rsid w:val="00510453"/>
    <w:rsid w:val="00510ADE"/>
    <w:rsid w:val="005112AF"/>
    <w:rsid w:val="00511D3C"/>
    <w:rsid w:val="005131DE"/>
    <w:rsid w:val="00513609"/>
    <w:rsid w:val="0051488F"/>
    <w:rsid w:val="00514AF3"/>
    <w:rsid w:val="00516F2C"/>
    <w:rsid w:val="0051739C"/>
    <w:rsid w:val="00521B43"/>
    <w:rsid w:val="005232C9"/>
    <w:rsid w:val="0052487D"/>
    <w:rsid w:val="0052567D"/>
    <w:rsid w:val="00526041"/>
    <w:rsid w:val="005268FF"/>
    <w:rsid w:val="00526AB7"/>
    <w:rsid w:val="00526DBF"/>
    <w:rsid w:val="005275ED"/>
    <w:rsid w:val="00530A32"/>
    <w:rsid w:val="00531913"/>
    <w:rsid w:val="0053282E"/>
    <w:rsid w:val="00532991"/>
    <w:rsid w:val="00533AC4"/>
    <w:rsid w:val="005344B1"/>
    <w:rsid w:val="00534F58"/>
    <w:rsid w:val="0053610D"/>
    <w:rsid w:val="00536208"/>
    <w:rsid w:val="0053658A"/>
    <w:rsid w:val="00537DF9"/>
    <w:rsid w:val="00540261"/>
    <w:rsid w:val="005408FC"/>
    <w:rsid w:val="005416BA"/>
    <w:rsid w:val="0054247F"/>
    <w:rsid w:val="005424BA"/>
    <w:rsid w:val="00543A24"/>
    <w:rsid w:val="00543F26"/>
    <w:rsid w:val="0054408A"/>
    <w:rsid w:val="0054447A"/>
    <w:rsid w:val="00545722"/>
    <w:rsid w:val="0054596F"/>
    <w:rsid w:val="005467C5"/>
    <w:rsid w:val="00547C87"/>
    <w:rsid w:val="005507D5"/>
    <w:rsid w:val="005514FD"/>
    <w:rsid w:val="0055332E"/>
    <w:rsid w:val="005536B9"/>
    <w:rsid w:val="00553966"/>
    <w:rsid w:val="00553FCE"/>
    <w:rsid w:val="00554321"/>
    <w:rsid w:val="00554CE3"/>
    <w:rsid w:val="00554E4F"/>
    <w:rsid w:val="00555DE1"/>
    <w:rsid w:val="005560B4"/>
    <w:rsid w:val="00556987"/>
    <w:rsid w:val="00556FF7"/>
    <w:rsid w:val="00557438"/>
    <w:rsid w:val="005578AC"/>
    <w:rsid w:val="0056013F"/>
    <w:rsid w:val="005601FD"/>
    <w:rsid w:val="00561658"/>
    <w:rsid w:val="00561D8C"/>
    <w:rsid w:val="0056254B"/>
    <w:rsid w:val="0056329C"/>
    <w:rsid w:val="00563ED7"/>
    <w:rsid w:val="00564D3D"/>
    <w:rsid w:val="005650D1"/>
    <w:rsid w:val="00566294"/>
    <w:rsid w:val="00566496"/>
    <w:rsid w:val="00570E4A"/>
    <w:rsid w:val="00571D44"/>
    <w:rsid w:val="00571EAF"/>
    <w:rsid w:val="00573BD7"/>
    <w:rsid w:val="00574734"/>
    <w:rsid w:val="00574B4C"/>
    <w:rsid w:val="0057555D"/>
    <w:rsid w:val="0057641C"/>
    <w:rsid w:val="00576479"/>
    <w:rsid w:val="0057672E"/>
    <w:rsid w:val="00576A04"/>
    <w:rsid w:val="00576AF3"/>
    <w:rsid w:val="0057790A"/>
    <w:rsid w:val="00580343"/>
    <w:rsid w:val="00580AA0"/>
    <w:rsid w:val="00583A45"/>
    <w:rsid w:val="005851B8"/>
    <w:rsid w:val="00585E36"/>
    <w:rsid w:val="0058725D"/>
    <w:rsid w:val="0059001A"/>
    <w:rsid w:val="00590FFE"/>
    <w:rsid w:val="005921EE"/>
    <w:rsid w:val="00593BEE"/>
    <w:rsid w:val="00593C63"/>
    <w:rsid w:val="0059678B"/>
    <w:rsid w:val="00596F32"/>
    <w:rsid w:val="005977B8"/>
    <w:rsid w:val="005A00E3"/>
    <w:rsid w:val="005A0127"/>
    <w:rsid w:val="005A0CF2"/>
    <w:rsid w:val="005A0DCA"/>
    <w:rsid w:val="005A0F03"/>
    <w:rsid w:val="005A1F88"/>
    <w:rsid w:val="005A1FDC"/>
    <w:rsid w:val="005A1FE5"/>
    <w:rsid w:val="005A2882"/>
    <w:rsid w:val="005A308F"/>
    <w:rsid w:val="005A46A3"/>
    <w:rsid w:val="005B081E"/>
    <w:rsid w:val="005B172F"/>
    <w:rsid w:val="005B1DDF"/>
    <w:rsid w:val="005B234D"/>
    <w:rsid w:val="005B2A3F"/>
    <w:rsid w:val="005B2F59"/>
    <w:rsid w:val="005B310E"/>
    <w:rsid w:val="005B3DE0"/>
    <w:rsid w:val="005B51F9"/>
    <w:rsid w:val="005B537E"/>
    <w:rsid w:val="005B660C"/>
    <w:rsid w:val="005B6F15"/>
    <w:rsid w:val="005B7016"/>
    <w:rsid w:val="005C01B3"/>
    <w:rsid w:val="005C1709"/>
    <w:rsid w:val="005C1C0F"/>
    <w:rsid w:val="005C2373"/>
    <w:rsid w:val="005C2FC0"/>
    <w:rsid w:val="005C4F53"/>
    <w:rsid w:val="005C5299"/>
    <w:rsid w:val="005C52B9"/>
    <w:rsid w:val="005C555F"/>
    <w:rsid w:val="005C5945"/>
    <w:rsid w:val="005C5D0A"/>
    <w:rsid w:val="005C5EC4"/>
    <w:rsid w:val="005C5FE4"/>
    <w:rsid w:val="005C6FCC"/>
    <w:rsid w:val="005C71E9"/>
    <w:rsid w:val="005C75F3"/>
    <w:rsid w:val="005C7660"/>
    <w:rsid w:val="005D0247"/>
    <w:rsid w:val="005D0859"/>
    <w:rsid w:val="005D189F"/>
    <w:rsid w:val="005D1C41"/>
    <w:rsid w:val="005D32E3"/>
    <w:rsid w:val="005D3D35"/>
    <w:rsid w:val="005D44AA"/>
    <w:rsid w:val="005D60CD"/>
    <w:rsid w:val="005D614A"/>
    <w:rsid w:val="005D7753"/>
    <w:rsid w:val="005E2400"/>
    <w:rsid w:val="005E2858"/>
    <w:rsid w:val="005E37C5"/>
    <w:rsid w:val="005E4168"/>
    <w:rsid w:val="005E42B6"/>
    <w:rsid w:val="005E4CC7"/>
    <w:rsid w:val="005E601A"/>
    <w:rsid w:val="005E6A3B"/>
    <w:rsid w:val="005E7E93"/>
    <w:rsid w:val="005F0783"/>
    <w:rsid w:val="005F2B1E"/>
    <w:rsid w:val="005F3474"/>
    <w:rsid w:val="005F370B"/>
    <w:rsid w:val="005F4016"/>
    <w:rsid w:val="005F414D"/>
    <w:rsid w:val="005F493E"/>
    <w:rsid w:val="005F6065"/>
    <w:rsid w:val="005F632F"/>
    <w:rsid w:val="005F6B7F"/>
    <w:rsid w:val="005F74EB"/>
    <w:rsid w:val="005F7866"/>
    <w:rsid w:val="006008CF"/>
    <w:rsid w:val="00600AF9"/>
    <w:rsid w:val="00601A23"/>
    <w:rsid w:val="006020C4"/>
    <w:rsid w:val="0060396C"/>
    <w:rsid w:val="0060416E"/>
    <w:rsid w:val="00604376"/>
    <w:rsid w:val="00604CF3"/>
    <w:rsid w:val="00605856"/>
    <w:rsid w:val="006064EF"/>
    <w:rsid w:val="00606B43"/>
    <w:rsid w:val="00606D19"/>
    <w:rsid w:val="00606EEA"/>
    <w:rsid w:val="00607098"/>
    <w:rsid w:val="00607B2A"/>
    <w:rsid w:val="0061044E"/>
    <w:rsid w:val="0061103C"/>
    <w:rsid w:val="0061133B"/>
    <w:rsid w:val="00611D8B"/>
    <w:rsid w:val="006128D6"/>
    <w:rsid w:val="00612A9C"/>
    <w:rsid w:val="00615346"/>
    <w:rsid w:val="006159ED"/>
    <w:rsid w:val="00617B1C"/>
    <w:rsid w:val="0062114C"/>
    <w:rsid w:val="00621C1A"/>
    <w:rsid w:val="00622434"/>
    <w:rsid w:val="00622613"/>
    <w:rsid w:val="00622D4C"/>
    <w:rsid w:val="00623E58"/>
    <w:rsid w:val="00625207"/>
    <w:rsid w:val="006253C9"/>
    <w:rsid w:val="006254DF"/>
    <w:rsid w:val="006256AE"/>
    <w:rsid w:val="0062644E"/>
    <w:rsid w:val="0062657C"/>
    <w:rsid w:val="0062668A"/>
    <w:rsid w:val="00626BBB"/>
    <w:rsid w:val="006279F7"/>
    <w:rsid w:val="00632EE3"/>
    <w:rsid w:val="0063327F"/>
    <w:rsid w:val="00633339"/>
    <w:rsid w:val="006342D2"/>
    <w:rsid w:val="006349D2"/>
    <w:rsid w:val="00635043"/>
    <w:rsid w:val="006354F4"/>
    <w:rsid w:val="0063756C"/>
    <w:rsid w:val="0064048D"/>
    <w:rsid w:val="00640534"/>
    <w:rsid w:val="00640CC3"/>
    <w:rsid w:val="00640D07"/>
    <w:rsid w:val="00640EA0"/>
    <w:rsid w:val="0064152F"/>
    <w:rsid w:val="006418DC"/>
    <w:rsid w:val="0064364F"/>
    <w:rsid w:val="0064366C"/>
    <w:rsid w:val="006438BF"/>
    <w:rsid w:val="0064504D"/>
    <w:rsid w:val="0064581C"/>
    <w:rsid w:val="0064590D"/>
    <w:rsid w:val="00646EC0"/>
    <w:rsid w:val="0064702B"/>
    <w:rsid w:val="0064708A"/>
    <w:rsid w:val="00647466"/>
    <w:rsid w:val="006478F4"/>
    <w:rsid w:val="006506A7"/>
    <w:rsid w:val="006507A6"/>
    <w:rsid w:val="0065098F"/>
    <w:rsid w:val="006515D1"/>
    <w:rsid w:val="00651EBD"/>
    <w:rsid w:val="006532FA"/>
    <w:rsid w:val="0065387D"/>
    <w:rsid w:val="0065673D"/>
    <w:rsid w:val="006567E7"/>
    <w:rsid w:val="00656A8C"/>
    <w:rsid w:val="00656B04"/>
    <w:rsid w:val="006570F8"/>
    <w:rsid w:val="00657B71"/>
    <w:rsid w:val="00657E00"/>
    <w:rsid w:val="0066153F"/>
    <w:rsid w:val="00661D1D"/>
    <w:rsid w:val="00664776"/>
    <w:rsid w:val="00664E7F"/>
    <w:rsid w:val="0066563A"/>
    <w:rsid w:val="00665F3E"/>
    <w:rsid w:val="00667053"/>
    <w:rsid w:val="00667C8B"/>
    <w:rsid w:val="006720FF"/>
    <w:rsid w:val="0067215F"/>
    <w:rsid w:val="0067371B"/>
    <w:rsid w:val="00674D6A"/>
    <w:rsid w:val="00675647"/>
    <w:rsid w:val="00675DF6"/>
    <w:rsid w:val="00676C85"/>
    <w:rsid w:val="006777DA"/>
    <w:rsid w:val="0067794F"/>
    <w:rsid w:val="006779A4"/>
    <w:rsid w:val="00677A31"/>
    <w:rsid w:val="00680B3F"/>
    <w:rsid w:val="006814D0"/>
    <w:rsid w:val="0068152A"/>
    <w:rsid w:val="0068285E"/>
    <w:rsid w:val="0068452B"/>
    <w:rsid w:val="0068476E"/>
    <w:rsid w:val="00684DCF"/>
    <w:rsid w:val="00686A45"/>
    <w:rsid w:val="00686ABA"/>
    <w:rsid w:val="00686EF2"/>
    <w:rsid w:val="0069119D"/>
    <w:rsid w:val="00692CA2"/>
    <w:rsid w:val="00696728"/>
    <w:rsid w:val="00696CC3"/>
    <w:rsid w:val="006971DF"/>
    <w:rsid w:val="00697826"/>
    <w:rsid w:val="00697D3C"/>
    <w:rsid w:val="006A07C2"/>
    <w:rsid w:val="006A1508"/>
    <w:rsid w:val="006A1CA4"/>
    <w:rsid w:val="006A2CF2"/>
    <w:rsid w:val="006A4168"/>
    <w:rsid w:val="006A4C18"/>
    <w:rsid w:val="006A5BB5"/>
    <w:rsid w:val="006A5E6D"/>
    <w:rsid w:val="006A624E"/>
    <w:rsid w:val="006A71B4"/>
    <w:rsid w:val="006A7C6C"/>
    <w:rsid w:val="006B0753"/>
    <w:rsid w:val="006B0F84"/>
    <w:rsid w:val="006B1593"/>
    <w:rsid w:val="006B29FC"/>
    <w:rsid w:val="006B30DB"/>
    <w:rsid w:val="006B3206"/>
    <w:rsid w:val="006B5C9A"/>
    <w:rsid w:val="006B6955"/>
    <w:rsid w:val="006C009E"/>
    <w:rsid w:val="006C0AA5"/>
    <w:rsid w:val="006C2ED7"/>
    <w:rsid w:val="006C2F9E"/>
    <w:rsid w:val="006C35F6"/>
    <w:rsid w:val="006C36EA"/>
    <w:rsid w:val="006C38A8"/>
    <w:rsid w:val="006C495A"/>
    <w:rsid w:val="006C4A0A"/>
    <w:rsid w:val="006C53DB"/>
    <w:rsid w:val="006C5BFD"/>
    <w:rsid w:val="006C5CAF"/>
    <w:rsid w:val="006C6A91"/>
    <w:rsid w:val="006C705B"/>
    <w:rsid w:val="006C7B7C"/>
    <w:rsid w:val="006D01DC"/>
    <w:rsid w:val="006D1596"/>
    <w:rsid w:val="006D1BC0"/>
    <w:rsid w:val="006D2783"/>
    <w:rsid w:val="006D290C"/>
    <w:rsid w:val="006D3A92"/>
    <w:rsid w:val="006D3D66"/>
    <w:rsid w:val="006D49AA"/>
    <w:rsid w:val="006D56A2"/>
    <w:rsid w:val="006D5BCB"/>
    <w:rsid w:val="006D66B8"/>
    <w:rsid w:val="006D6CAE"/>
    <w:rsid w:val="006D7BF4"/>
    <w:rsid w:val="006E0A9C"/>
    <w:rsid w:val="006E1EAC"/>
    <w:rsid w:val="006E21EE"/>
    <w:rsid w:val="006E2476"/>
    <w:rsid w:val="006E52D3"/>
    <w:rsid w:val="006E59E3"/>
    <w:rsid w:val="006E5C63"/>
    <w:rsid w:val="006E7D8D"/>
    <w:rsid w:val="006F0A16"/>
    <w:rsid w:val="006F0D43"/>
    <w:rsid w:val="006F1360"/>
    <w:rsid w:val="006F14BE"/>
    <w:rsid w:val="006F18C4"/>
    <w:rsid w:val="006F22D0"/>
    <w:rsid w:val="006F4501"/>
    <w:rsid w:val="006F5036"/>
    <w:rsid w:val="006F589F"/>
    <w:rsid w:val="006F64E4"/>
    <w:rsid w:val="006F68E7"/>
    <w:rsid w:val="006F7C6F"/>
    <w:rsid w:val="006F7C97"/>
    <w:rsid w:val="006F7CC3"/>
    <w:rsid w:val="0070196E"/>
    <w:rsid w:val="00701D6A"/>
    <w:rsid w:val="007024B8"/>
    <w:rsid w:val="00702E57"/>
    <w:rsid w:val="00703242"/>
    <w:rsid w:val="00703CA2"/>
    <w:rsid w:val="00703D65"/>
    <w:rsid w:val="007042DC"/>
    <w:rsid w:val="00704CCA"/>
    <w:rsid w:val="0070519E"/>
    <w:rsid w:val="007058B9"/>
    <w:rsid w:val="007063B2"/>
    <w:rsid w:val="00706CF1"/>
    <w:rsid w:val="00710B4B"/>
    <w:rsid w:val="00711F44"/>
    <w:rsid w:val="0071253C"/>
    <w:rsid w:val="0071264A"/>
    <w:rsid w:val="0071305C"/>
    <w:rsid w:val="007132B2"/>
    <w:rsid w:val="007135C8"/>
    <w:rsid w:val="007148F4"/>
    <w:rsid w:val="00715233"/>
    <w:rsid w:val="007153CA"/>
    <w:rsid w:val="00715942"/>
    <w:rsid w:val="00716407"/>
    <w:rsid w:val="00716836"/>
    <w:rsid w:val="00717A6A"/>
    <w:rsid w:val="0072089A"/>
    <w:rsid w:val="0072092C"/>
    <w:rsid w:val="00720A02"/>
    <w:rsid w:val="007218DB"/>
    <w:rsid w:val="007234B6"/>
    <w:rsid w:val="00723DD1"/>
    <w:rsid w:val="00724305"/>
    <w:rsid w:val="00724A9E"/>
    <w:rsid w:val="0072568B"/>
    <w:rsid w:val="00725D2A"/>
    <w:rsid w:val="007263C4"/>
    <w:rsid w:val="0072673D"/>
    <w:rsid w:val="007276EE"/>
    <w:rsid w:val="0072789B"/>
    <w:rsid w:val="00727AC1"/>
    <w:rsid w:val="00727C32"/>
    <w:rsid w:val="007300BF"/>
    <w:rsid w:val="00730402"/>
    <w:rsid w:val="007307E2"/>
    <w:rsid w:val="007312B2"/>
    <w:rsid w:val="0073290E"/>
    <w:rsid w:val="007329FF"/>
    <w:rsid w:val="00732CB3"/>
    <w:rsid w:val="00733CF8"/>
    <w:rsid w:val="0073413F"/>
    <w:rsid w:val="007344CE"/>
    <w:rsid w:val="0073461C"/>
    <w:rsid w:val="007347FE"/>
    <w:rsid w:val="00734EDC"/>
    <w:rsid w:val="007356BD"/>
    <w:rsid w:val="00735EBE"/>
    <w:rsid w:val="00736C3C"/>
    <w:rsid w:val="007371F6"/>
    <w:rsid w:val="0073721E"/>
    <w:rsid w:val="00737726"/>
    <w:rsid w:val="007401C6"/>
    <w:rsid w:val="0074057D"/>
    <w:rsid w:val="007405EE"/>
    <w:rsid w:val="007419D1"/>
    <w:rsid w:val="00741FD1"/>
    <w:rsid w:val="007434C3"/>
    <w:rsid w:val="007445C0"/>
    <w:rsid w:val="00744CCB"/>
    <w:rsid w:val="00745F54"/>
    <w:rsid w:val="00746870"/>
    <w:rsid w:val="0074692A"/>
    <w:rsid w:val="00747D13"/>
    <w:rsid w:val="007501FE"/>
    <w:rsid w:val="00750CB3"/>
    <w:rsid w:val="00750E44"/>
    <w:rsid w:val="00751B38"/>
    <w:rsid w:val="00751C1A"/>
    <w:rsid w:val="007537F3"/>
    <w:rsid w:val="00754CDB"/>
    <w:rsid w:val="00755DE7"/>
    <w:rsid w:val="007562E3"/>
    <w:rsid w:val="00756598"/>
    <w:rsid w:val="00756607"/>
    <w:rsid w:val="00760D8B"/>
    <w:rsid w:val="007615A9"/>
    <w:rsid w:val="00761C83"/>
    <w:rsid w:val="00764A10"/>
    <w:rsid w:val="00765209"/>
    <w:rsid w:val="00765388"/>
    <w:rsid w:val="007660F4"/>
    <w:rsid w:val="00766830"/>
    <w:rsid w:val="007668D5"/>
    <w:rsid w:val="00766C76"/>
    <w:rsid w:val="0076785C"/>
    <w:rsid w:val="00767D74"/>
    <w:rsid w:val="00770329"/>
    <w:rsid w:val="00770634"/>
    <w:rsid w:val="00770A43"/>
    <w:rsid w:val="007730FF"/>
    <w:rsid w:val="00773126"/>
    <w:rsid w:val="00774E94"/>
    <w:rsid w:val="0077516C"/>
    <w:rsid w:val="00775553"/>
    <w:rsid w:val="00775811"/>
    <w:rsid w:val="007763DB"/>
    <w:rsid w:val="007764A1"/>
    <w:rsid w:val="00777B48"/>
    <w:rsid w:val="00780302"/>
    <w:rsid w:val="007807F7"/>
    <w:rsid w:val="007815C2"/>
    <w:rsid w:val="007820D6"/>
    <w:rsid w:val="0078308B"/>
    <w:rsid w:val="007838A7"/>
    <w:rsid w:val="00783B4E"/>
    <w:rsid w:val="00784A39"/>
    <w:rsid w:val="00784C6B"/>
    <w:rsid w:val="0078612D"/>
    <w:rsid w:val="00786363"/>
    <w:rsid w:val="00786D42"/>
    <w:rsid w:val="00786E7F"/>
    <w:rsid w:val="0078774B"/>
    <w:rsid w:val="007878B4"/>
    <w:rsid w:val="0079009F"/>
    <w:rsid w:val="00791B32"/>
    <w:rsid w:val="007926BE"/>
    <w:rsid w:val="00792B39"/>
    <w:rsid w:val="00792E91"/>
    <w:rsid w:val="00792EE0"/>
    <w:rsid w:val="00793105"/>
    <w:rsid w:val="0079376D"/>
    <w:rsid w:val="00793DE8"/>
    <w:rsid w:val="007946C9"/>
    <w:rsid w:val="007974C9"/>
    <w:rsid w:val="00797C22"/>
    <w:rsid w:val="007A076E"/>
    <w:rsid w:val="007A0CDB"/>
    <w:rsid w:val="007A182A"/>
    <w:rsid w:val="007A1D7C"/>
    <w:rsid w:val="007A1F91"/>
    <w:rsid w:val="007A2523"/>
    <w:rsid w:val="007A2BAF"/>
    <w:rsid w:val="007A3BF5"/>
    <w:rsid w:val="007A538C"/>
    <w:rsid w:val="007A601D"/>
    <w:rsid w:val="007A6276"/>
    <w:rsid w:val="007A6306"/>
    <w:rsid w:val="007A6F7B"/>
    <w:rsid w:val="007A74BD"/>
    <w:rsid w:val="007A75A5"/>
    <w:rsid w:val="007A76B0"/>
    <w:rsid w:val="007B0A56"/>
    <w:rsid w:val="007B398A"/>
    <w:rsid w:val="007B3E15"/>
    <w:rsid w:val="007B4378"/>
    <w:rsid w:val="007B44E3"/>
    <w:rsid w:val="007B4948"/>
    <w:rsid w:val="007B4996"/>
    <w:rsid w:val="007B5604"/>
    <w:rsid w:val="007B6EEE"/>
    <w:rsid w:val="007B7F9A"/>
    <w:rsid w:val="007C0684"/>
    <w:rsid w:val="007C23B5"/>
    <w:rsid w:val="007C2D0F"/>
    <w:rsid w:val="007C40E4"/>
    <w:rsid w:val="007C4435"/>
    <w:rsid w:val="007C4D1B"/>
    <w:rsid w:val="007C5677"/>
    <w:rsid w:val="007C5B52"/>
    <w:rsid w:val="007C5D11"/>
    <w:rsid w:val="007C6F72"/>
    <w:rsid w:val="007C7E9A"/>
    <w:rsid w:val="007D1352"/>
    <w:rsid w:val="007D2457"/>
    <w:rsid w:val="007D24DB"/>
    <w:rsid w:val="007D2BB0"/>
    <w:rsid w:val="007D367C"/>
    <w:rsid w:val="007D4341"/>
    <w:rsid w:val="007D436F"/>
    <w:rsid w:val="007D4BD0"/>
    <w:rsid w:val="007D5C8F"/>
    <w:rsid w:val="007D5CDB"/>
    <w:rsid w:val="007D5EB6"/>
    <w:rsid w:val="007D5ED7"/>
    <w:rsid w:val="007D6FA7"/>
    <w:rsid w:val="007E0C84"/>
    <w:rsid w:val="007E153F"/>
    <w:rsid w:val="007E1BD8"/>
    <w:rsid w:val="007E1E7A"/>
    <w:rsid w:val="007E2762"/>
    <w:rsid w:val="007E282C"/>
    <w:rsid w:val="007E2C43"/>
    <w:rsid w:val="007E3228"/>
    <w:rsid w:val="007E37A0"/>
    <w:rsid w:val="007E4708"/>
    <w:rsid w:val="007E50E7"/>
    <w:rsid w:val="007E52FA"/>
    <w:rsid w:val="007E5FF0"/>
    <w:rsid w:val="007E6C42"/>
    <w:rsid w:val="007E6C62"/>
    <w:rsid w:val="007F064F"/>
    <w:rsid w:val="007F0B54"/>
    <w:rsid w:val="007F19CD"/>
    <w:rsid w:val="007F3158"/>
    <w:rsid w:val="007F329C"/>
    <w:rsid w:val="007F4456"/>
    <w:rsid w:val="007F4C69"/>
    <w:rsid w:val="007F4DDC"/>
    <w:rsid w:val="007F4E5E"/>
    <w:rsid w:val="007F6A4E"/>
    <w:rsid w:val="007F7039"/>
    <w:rsid w:val="007F70D8"/>
    <w:rsid w:val="00800CB3"/>
    <w:rsid w:val="00801026"/>
    <w:rsid w:val="008018D6"/>
    <w:rsid w:val="00801A35"/>
    <w:rsid w:val="00802F45"/>
    <w:rsid w:val="0080396D"/>
    <w:rsid w:val="00805293"/>
    <w:rsid w:val="008054BC"/>
    <w:rsid w:val="00805873"/>
    <w:rsid w:val="00807560"/>
    <w:rsid w:val="0080792F"/>
    <w:rsid w:val="00811611"/>
    <w:rsid w:val="008117F0"/>
    <w:rsid w:val="00811856"/>
    <w:rsid w:val="00811B41"/>
    <w:rsid w:val="0081221D"/>
    <w:rsid w:val="008123E6"/>
    <w:rsid w:val="008138BC"/>
    <w:rsid w:val="00814DBF"/>
    <w:rsid w:val="00815FAC"/>
    <w:rsid w:val="00820EF6"/>
    <w:rsid w:val="008211E8"/>
    <w:rsid w:val="00821452"/>
    <w:rsid w:val="00821D0E"/>
    <w:rsid w:val="00823CE1"/>
    <w:rsid w:val="00823F4A"/>
    <w:rsid w:val="008247AE"/>
    <w:rsid w:val="008250F3"/>
    <w:rsid w:val="008265E5"/>
    <w:rsid w:val="008273AE"/>
    <w:rsid w:val="008277F2"/>
    <w:rsid w:val="008278FB"/>
    <w:rsid w:val="00831649"/>
    <w:rsid w:val="008318E6"/>
    <w:rsid w:val="008326E2"/>
    <w:rsid w:val="00832B31"/>
    <w:rsid w:val="008335A2"/>
    <w:rsid w:val="00833C43"/>
    <w:rsid w:val="008343F4"/>
    <w:rsid w:val="0083575C"/>
    <w:rsid w:val="00835C4F"/>
    <w:rsid w:val="00836316"/>
    <w:rsid w:val="0083674A"/>
    <w:rsid w:val="008375E5"/>
    <w:rsid w:val="008379B4"/>
    <w:rsid w:val="008401A3"/>
    <w:rsid w:val="00842264"/>
    <w:rsid w:val="0084227B"/>
    <w:rsid w:val="0084284C"/>
    <w:rsid w:val="0084316F"/>
    <w:rsid w:val="00843235"/>
    <w:rsid w:val="0084327C"/>
    <w:rsid w:val="00844022"/>
    <w:rsid w:val="0084486C"/>
    <w:rsid w:val="008456D1"/>
    <w:rsid w:val="008462E4"/>
    <w:rsid w:val="008464A2"/>
    <w:rsid w:val="00847703"/>
    <w:rsid w:val="00852867"/>
    <w:rsid w:val="00852C0D"/>
    <w:rsid w:val="00852C84"/>
    <w:rsid w:val="00852DFF"/>
    <w:rsid w:val="00853855"/>
    <w:rsid w:val="0085434A"/>
    <w:rsid w:val="00854B2F"/>
    <w:rsid w:val="00854C90"/>
    <w:rsid w:val="00854DB9"/>
    <w:rsid w:val="00855EE2"/>
    <w:rsid w:val="0085788B"/>
    <w:rsid w:val="00857DFC"/>
    <w:rsid w:val="00857F02"/>
    <w:rsid w:val="008606F1"/>
    <w:rsid w:val="00861141"/>
    <w:rsid w:val="00861B0E"/>
    <w:rsid w:val="00861C9B"/>
    <w:rsid w:val="00862D23"/>
    <w:rsid w:val="008636CA"/>
    <w:rsid w:val="0086385B"/>
    <w:rsid w:val="0086418E"/>
    <w:rsid w:val="008651FA"/>
    <w:rsid w:val="00865A70"/>
    <w:rsid w:val="0086665A"/>
    <w:rsid w:val="00866836"/>
    <w:rsid w:val="00866AD9"/>
    <w:rsid w:val="0086726C"/>
    <w:rsid w:val="00870714"/>
    <w:rsid w:val="008708A0"/>
    <w:rsid w:val="0087155A"/>
    <w:rsid w:val="008725A3"/>
    <w:rsid w:val="008735B7"/>
    <w:rsid w:val="00873F49"/>
    <w:rsid w:val="00875EDE"/>
    <w:rsid w:val="008761EC"/>
    <w:rsid w:val="00877381"/>
    <w:rsid w:val="00880943"/>
    <w:rsid w:val="0088094F"/>
    <w:rsid w:val="00880E2F"/>
    <w:rsid w:val="00880E81"/>
    <w:rsid w:val="008811D2"/>
    <w:rsid w:val="0088144B"/>
    <w:rsid w:val="0088155E"/>
    <w:rsid w:val="00881717"/>
    <w:rsid w:val="008817C0"/>
    <w:rsid w:val="00882024"/>
    <w:rsid w:val="008827C1"/>
    <w:rsid w:val="00882B08"/>
    <w:rsid w:val="00882E5F"/>
    <w:rsid w:val="00884719"/>
    <w:rsid w:val="00884B64"/>
    <w:rsid w:val="00885E9E"/>
    <w:rsid w:val="00886002"/>
    <w:rsid w:val="00886028"/>
    <w:rsid w:val="008867CE"/>
    <w:rsid w:val="00886921"/>
    <w:rsid w:val="0088705A"/>
    <w:rsid w:val="008872EA"/>
    <w:rsid w:val="00887416"/>
    <w:rsid w:val="0089011B"/>
    <w:rsid w:val="008906DD"/>
    <w:rsid w:val="008915D7"/>
    <w:rsid w:val="008920CC"/>
    <w:rsid w:val="0089225E"/>
    <w:rsid w:val="00893B00"/>
    <w:rsid w:val="00893BAA"/>
    <w:rsid w:val="00893F95"/>
    <w:rsid w:val="008942DC"/>
    <w:rsid w:val="00894A79"/>
    <w:rsid w:val="0089713C"/>
    <w:rsid w:val="00897675"/>
    <w:rsid w:val="008A0851"/>
    <w:rsid w:val="008A1276"/>
    <w:rsid w:val="008A170A"/>
    <w:rsid w:val="008A2D65"/>
    <w:rsid w:val="008A4695"/>
    <w:rsid w:val="008A47F3"/>
    <w:rsid w:val="008A5289"/>
    <w:rsid w:val="008A5756"/>
    <w:rsid w:val="008A5A34"/>
    <w:rsid w:val="008A634A"/>
    <w:rsid w:val="008A6AF1"/>
    <w:rsid w:val="008B0C9B"/>
    <w:rsid w:val="008B436D"/>
    <w:rsid w:val="008B4CB2"/>
    <w:rsid w:val="008B4F8E"/>
    <w:rsid w:val="008B557F"/>
    <w:rsid w:val="008B61E1"/>
    <w:rsid w:val="008B6790"/>
    <w:rsid w:val="008B6E0E"/>
    <w:rsid w:val="008B704D"/>
    <w:rsid w:val="008B7435"/>
    <w:rsid w:val="008B7E16"/>
    <w:rsid w:val="008C06BC"/>
    <w:rsid w:val="008C0A05"/>
    <w:rsid w:val="008C0D3E"/>
    <w:rsid w:val="008C12C0"/>
    <w:rsid w:val="008C1668"/>
    <w:rsid w:val="008C18BC"/>
    <w:rsid w:val="008C18EE"/>
    <w:rsid w:val="008C2309"/>
    <w:rsid w:val="008C2489"/>
    <w:rsid w:val="008C2939"/>
    <w:rsid w:val="008C29B4"/>
    <w:rsid w:val="008C325F"/>
    <w:rsid w:val="008C3858"/>
    <w:rsid w:val="008C38E7"/>
    <w:rsid w:val="008C3CFA"/>
    <w:rsid w:val="008C45F3"/>
    <w:rsid w:val="008C616D"/>
    <w:rsid w:val="008C64C6"/>
    <w:rsid w:val="008C6764"/>
    <w:rsid w:val="008D19CC"/>
    <w:rsid w:val="008D2857"/>
    <w:rsid w:val="008D2B54"/>
    <w:rsid w:val="008D330C"/>
    <w:rsid w:val="008D3675"/>
    <w:rsid w:val="008D4364"/>
    <w:rsid w:val="008D439C"/>
    <w:rsid w:val="008D4EDB"/>
    <w:rsid w:val="008D51A1"/>
    <w:rsid w:val="008D5606"/>
    <w:rsid w:val="008D5F84"/>
    <w:rsid w:val="008D6786"/>
    <w:rsid w:val="008D68EC"/>
    <w:rsid w:val="008D7503"/>
    <w:rsid w:val="008D7C7B"/>
    <w:rsid w:val="008E056F"/>
    <w:rsid w:val="008E2A29"/>
    <w:rsid w:val="008E3458"/>
    <w:rsid w:val="008E557A"/>
    <w:rsid w:val="008E646E"/>
    <w:rsid w:val="008E773B"/>
    <w:rsid w:val="008F0985"/>
    <w:rsid w:val="008F0DAB"/>
    <w:rsid w:val="008F0ECF"/>
    <w:rsid w:val="008F143E"/>
    <w:rsid w:val="008F18FF"/>
    <w:rsid w:val="008F1FA7"/>
    <w:rsid w:val="008F2636"/>
    <w:rsid w:val="008F2DBA"/>
    <w:rsid w:val="008F2E3D"/>
    <w:rsid w:val="008F30DE"/>
    <w:rsid w:val="008F4A32"/>
    <w:rsid w:val="008F4D17"/>
    <w:rsid w:val="008F6055"/>
    <w:rsid w:val="008F65BC"/>
    <w:rsid w:val="008F7759"/>
    <w:rsid w:val="008F7A4F"/>
    <w:rsid w:val="008F7A67"/>
    <w:rsid w:val="008F7B0A"/>
    <w:rsid w:val="009004B3"/>
    <w:rsid w:val="00901A0B"/>
    <w:rsid w:val="0090219D"/>
    <w:rsid w:val="009021D2"/>
    <w:rsid w:val="00902403"/>
    <w:rsid w:val="00902F05"/>
    <w:rsid w:val="00903D03"/>
    <w:rsid w:val="00903E28"/>
    <w:rsid w:val="00904366"/>
    <w:rsid w:val="0090507D"/>
    <w:rsid w:val="009053B7"/>
    <w:rsid w:val="00905564"/>
    <w:rsid w:val="0090582D"/>
    <w:rsid w:val="009067BC"/>
    <w:rsid w:val="00906D38"/>
    <w:rsid w:val="0090708E"/>
    <w:rsid w:val="00907AAD"/>
    <w:rsid w:val="0091010F"/>
    <w:rsid w:val="00910DFE"/>
    <w:rsid w:val="00910ECC"/>
    <w:rsid w:val="00911051"/>
    <w:rsid w:val="00911891"/>
    <w:rsid w:val="009120E1"/>
    <w:rsid w:val="009133EE"/>
    <w:rsid w:val="009141D7"/>
    <w:rsid w:val="00914303"/>
    <w:rsid w:val="00914D6F"/>
    <w:rsid w:val="00914DF2"/>
    <w:rsid w:val="009150F4"/>
    <w:rsid w:val="00916066"/>
    <w:rsid w:val="00916A7E"/>
    <w:rsid w:val="00916C6D"/>
    <w:rsid w:val="00917842"/>
    <w:rsid w:val="00917E9F"/>
    <w:rsid w:val="00920632"/>
    <w:rsid w:val="00921EF1"/>
    <w:rsid w:val="00922D74"/>
    <w:rsid w:val="00923AFF"/>
    <w:rsid w:val="00925D9E"/>
    <w:rsid w:val="0092617D"/>
    <w:rsid w:val="0093158C"/>
    <w:rsid w:val="00932356"/>
    <w:rsid w:val="009329B5"/>
    <w:rsid w:val="0093314D"/>
    <w:rsid w:val="009345A8"/>
    <w:rsid w:val="00934ADA"/>
    <w:rsid w:val="00934BB6"/>
    <w:rsid w:val="00935A36"/>
    <w:rsid w:val="009367B6"/>
    <w:rsid w:val="00936E7F"/>
    <w:rsid w:val="00937928"/>
    <w:rsid w:val="009408D1"/>
    <w:rsid w:val="00940CA3"/>
    <w:rsid w:val="0094271C"/>
    <w:rsid w:val="00943B3F"/>
    <w:rsid w:val="00944290"/>
    <w:rsid w:val="009453FC"/>
    <w:rsid w:val="00945BD5"/>
    <w:rsid w:val="0095000D"/>
    <w:rsid w:val="009510DF"/>
    <w:rsid w:val="0095199E"/>
    <w:rsid w:val="00952E81"/>
    <w:rsid w:val="00953E59"/>
    <w:rsid w:val="009545DB"/>
    <w:rsid w:val="00954617"/>
    <w:rsid w:val="0095467A"/>
    <w:rsid w:val="0095474C"/>
    <w:rsid w:val="00954C6D"/>
    <w:rsid w:val="00954D4F"/>
    <w:rsid w:val="00955E6D"/>
    <w:rsid w:val="0095708E"/>
    <w:rsid w:val="00957140"/>
    <w:rsid w:val="009573FC"/>
    <w:rsid w:val="00957420"/>
    <w:rsid w:val="00960251"/>
    <w:rsid w:val="009605B9"/>
    <w:rsid w:val="00961746"/>
    <w:rsid w:val="00961E55"/>
    <w:rsid w:val="00962204"/>
    <w:rsid w:val="00962763"/>
    <w:rsid w:val="0096361A"/>
    <w:rsid w:val="00963624"/>
    <w:rsid w:val="0096368B"/>
    <w:rsid w:val="009637C2"/>
    <w:rsid w:val="0096428B"/>
    <w:rsid w:val="009642DD"/>
    <w:rsid w:val="00964C4A"/>
    <w:rsid w:val="00965822"/>
    <w:rsid w:val="009661A6"/>
    <w:rsid w:val="00972670"/>
    <w:rsid w:val="009729FD"/>
    <w:rsid w:val="0097388F"/>
    <w:rsid w:val="009738C5"/>
    <w:rsid w:val="00973BE7"/>
    <w:rsid w:val="009744A5"/>
    <w:rsid w:val="0097478C"/>
    <w:rsid w:val="00975F03"/>
    <w:rsid w:val="009762FD"/>
    <w:rsid w:val="009768B7"/>
    <w:rsid w:val="00977A83"/>
    <w:rsid w:val="00977BF4"/>
    <w:rsid w:val="009806FE"/>
    <w:rsid w:val="0098095F"/>
    <w:rsid w:val="00981849"/>
    <w:rsid w:val="0098356F"/>
    <w:rsid w:val="00983594"/>
    <w:rsid w:val="00985F40"/>
    <w:rsid w:val="00985F7F"/>
    <w:rsid w:val="00985FB3"/>
    <w:rsid w:val="00986352"/>
    <w:rsid w:val="00986826"/>
    <w:rsid w:val="00987134"/>
    <w:rsid w:val="0098720A"/>
    <w:rsid w:val="009900E1"/>
    <w:rsid w:val="009902DB"/>
    <w:rsid w:val="0099128C"/>
    <w:rsid w:val="009912A3"/>
    <w:rsid w:val="00991FE6"/>
    <w:rsid w:val="00992B39"/>
    <w:rsid w:val="00992E2D"/>
    <w:rsid w:val="009931FE"/>
    <w:rsid w:val="009948C0"/>
    <w:rsid w:val="0099516B"/>
    <w:rsid w:val="00995B37"/>
    <w:rsid w:val="00996350"/>
    <w:rsid w:val="00996E62"/>
    <w:rsid w:val="00997825"/>
    <w:rsid w:val="00997921"/>
    <w:rsid w:val="00997E13"/>
    <w:rsid w:val="009A021A"/>
    <w:rsid w:val="009A1211"/>
    <w:rsid w:val="009A1B53"/>
    <w:rsid w:val="009A2C89"/>
    <w:rsid w:val="009A32C8"/>
    <w:rsid w:val="009A34DF"/>
    <w:rsid w:val="009A3EBD"/>
    <w:rsid w:val="009A5292"/>
    <w:rsid w:val="009A5B16"/>
    <w:rsid w:val="009A5D8C"/>
    <w:rsid w:val="009A7797"/>
    <w:rsid w:val="009A791D"/>
    <w:rsid w:val="009A7BC8"/>
    <w:rsid w:val="009B1188"/>
    <w:rsid w:val="009B273A"/>
    <w:rsid w:val="009B33A2"/>
    <w:rsid w:val="009B5B85"/>
    <w:rsid w:val="009B7492"/>
    <w:rsid w:val="009B7A25"/>
    <w:rsid w:val="009B7B16"/>
    <w:rsid w:val="009B7C1F"/>
    <w:rsid w:val="009C0058"/>
    <w:rsid w:val="009C19A3"/>
    <w:rsid w:val="009C2480"/>
    <w:rsid w:val="009C2DD8"/>
    <w:rsid w:val="009C3284"/>
    <w:rsid w:val="009C47AA"/>
    <w:rsid w:val="009C49F5"/>
    <w:rsid w:val="009C58BD"/>
    <w:rsid w:val="009C5E19"/>
    <w:rsid w:val="009C70AD"/>
    <w:rsid w:val="009D0704"/>
    <w:rsid w:val="009D1AC8"/>
    <w:rsid w:val="009D2575"/>
    <w:rsid w:val="009D37FE"/>
    <w:rsid w:val="009D3A17"/>
    <w:rsid w:val="009D41FC"/>
    <w:rsid w:val="009D4C46"/>
    <w:rsid w:val="009D4E3E"/>
    <w:rsid w:val="009D4F71"/>
    <w:rsid w:val="009D51E5"/>
    <w:rsid w:val="009D7021"/>
    <w:rsid w:val="009E06CB"/>
    <w:rsid w:val="009E18D4"/>
    <w:rsid w:val="009E26C3"/>
    <w:rsid w:val="009E27EE"/>
    <w:rsid w:val="009E2EC6"/>
    <w:rsid w:val="009E3469"/>
    <w:rsid w:val="009E3E0D"/>
    <w:rsid w:val="009E4B3D"/>
    <w:rsid w:val="009E4BB9"/>
    <w:rsid w:val="009E6A37"/>
    <w:rsid w:val="009F002F"/>
    <w:rsid w:val="009F0621"/>
    <w:rsid w:val="009F234C"/>
    <w:rsid w:val="009F377C"/>
    <w:rsid w:val="009F4545"/>
    <w:rsid w:val="009F4B96"/>
    <w:rsid w:val="009F51A7"/>
    <w:rsid w:val="009F5D47"/>
    <w:rsid w:val="009F6A1F"/>
    <w:rsid w:val="009F74FA"/>
    <w:rsid w:val="00A000F5"/>
    <w:rsid w:val="00A0047F"/>
    <w:rsid w:val="00A00641"/>
    <w:rsid w:val="00A03803"/>
    <w:rsid w:val="00A038D3"/>
    <w:rsid w:val="00A03D29"/>
    <w:rsid w:val="00A04336"/>
    <w:rsid w:val="00A0574A"/>
    <w:rsid w:val="00A0707F"/>
    <w:rsid w:val="00A073CE"/>
    <w:rsid w:val="00A104E9"/>
    <w:rsid w:val="00A10832"/>
    <w:rsid w:val="00A10E7F"/>
    <w:rsid w:val="00A11401"/>
    <w:rsid w:val="00A11953"/>
    <w:rsid w:val="00A11F5A"/>
    <w:rsid w:val="00A130E5"/>
    <w:rsid w:val="00A13E8C"/>
    <w:rsid w:val="00A14187"/>
    <w:rsid w:val="00A15223"/>
    <w:rsid w:val="00A15607"/>
    <w:rsid w:val="00A1585D"/>
    <w:rsid w:val="00A163F1"/>
    <w:rsid w:val="00A16C77"/>
    <w:rsid w:val="00A16ECC"/>
    <w:rsid w:val="00A17699"/>
    <w:rsid w:val="00A203C8"/>
    <w:rsid w:val="00A20688"/>
    <w:rsid w:val="00A2124C"/>
    <w:rsid w:val="00A2154C"/>
    <w:rsid w:val="00A21A2F"/>
    <w:rsid w:val="00A21A57"/>
    <w:rsid w:val="00A21B5B"/>
    <w:rsid w:val="00A229BD"/>
    <w:rsid w:val="00A23443"/>
    <w:rsid w:val="00A23E1B"/>
    <w:rsid w:val="00A23E5F"/>
    <w:rsid w:val="00A23E9E"/>
    <w:rsid w:val="00A24CA5"/>
    <w:rsid w:val="00A25A64"/>
    <w:rsid w:val="00A25CEC"/>
    <w:rsid w:val="00A25CED"/>
    <w:rsid w:val="00A25F0F"/>
    <w:rsid w:val="00A30670"/>
    <w:rsid w:val="00A30727"/>
    <w:rsid w:val="00A30AAA"/>
    <w:rsid w:val="00A3215B"/>
    <w:rsid w:val="00A342B3"/>
    <w:rsid w:val="00A34E01"/>
    <w:rsid w:val="00A34F8D"/>
    <w:rsid w:val="00A35B51"/>
    <w:rsid w:val="00A35FF4"/>
    <w:rsid w:val="00A369FA"/>
    <w:rsid w:val="00A37354"/>
    <w:rsid w:val="00A37508"/>
    <w:rsid w:val="00A40E05"/>
    <w:rsid w:val="00A41478"/>
    <w:rsid w:val="00A414D5"/>
    <w:rsid w:val="00A41709"/>
    <w:rsid w:val="00A41E65"/>
    <w:rsid w:val="00A42504"/>
    <w:rsid w:val="00A43DC5"/>
    <w:rsid w:val="00A45E8E"/>
    <w:rsid w:val="00A462C6"/>
    <w:rsid w:val="00A475A0"/>
    <w:rsid w:val="00A47CEB"/>
    <w:rsid w:val="00A52FF3"/>
    <w:rsid w:val="00A53D77"/>
    <w:rsid w:val="00A54DA6"/>
    <w:rsid w:val="00A56C3E"/>
    <w:rsid w:val="00A56FC5"/>
    <w:rsid w:val="00A605EA"/>
    <w:rsid w:val="00A619F6"/>
    <w:rsid w:val="00A61BD8"/>
    <w:rsid w:val="00A61C84"/>
    <w:rsid w:val="00A6203B"/>
    <w:rsid w:val="00A6376D"/>
    <w:rsid w:val="00A63E1D"/>
    <w:rsid w:val="00A654AC"/>
    <w:rsid w:val="00A66BAA"/>
    <w:rsid w:val="00A66BEB"/>
    <w:rsid w:val="00A712BD"/>
    <w:rsid w:val="00A75305"/>
    <w:rsid w:val="00A7569F"/>
    <w:rsid w:val="00A76343"/>
    <w:rsid w:val="00A76433"/>
    <w:rsid w:val="00A76E56"/>
    <w:rsid w:val="00A7717E"/>
    <w:rsid w:val="00A77E97"/>
    <w:rsid w:val="00A8242B"/>
    <w:rsid w:val="00A82831"/>
    <w:rsid w:val="00A83227"/>
    <w:rsid w:val="00A83333"/>
    <w:rsid w:val="00A84332"/>
    <w:rsid w:val="00A84807"/>
    <w:rsid w:val="00A850B7"/>
    <w:rsid w:val="00A861C9"/>
    <w:rsid w:val="00A86CE9"/>
    <w:rsid w:val="00A871BF"/>
    <w:rsid w:val="00A905C2"/>
    <w:rsid w:val="00A90CD8"/>
    <w:rsid w:val="00A90FC7"/>
    <w:rsid w:val="00A918AC"/>
    <w:rsid w:val="00A91B4A"/>
    <w:rsid w:val="00A91B5D"/>
    <w:rsid w:val="00A92978"/>
    <w:rsid w:val="00A92FA8"/>
    <w:rsid w:val="00A93B09"/>
    <w:rsid w:val="00A946CB"/>
    <w:rsid w:val="00A95F01"/>
    <w:rsid w:val="00A962C5"/>
    <w:rsid w:val="00A96731"/>
    <w:rsid w:val="00A96F0F"/>
    <w:rsid w:val="00A97744"/>
    <w:rsid w:val="00AA04F3"/>
    <w:rsid w:val="00AA0927"/>
    <w:rsid w:val="00AA0FF2"/>
    <w:rsid w:val="00AA15E7"/>
    <w:rsid w:val="00AA1A3F"/>
    <w:rsid w:val="00AA20C7"/>
    <w:rsid w:val="00AA31F7"/>
    <w:rsid w:val="00AA40A6"/>
    <w:rsid w:val="00AA5469"/>
    <w:rsid w:val="00AA5E29"/>
    <w:rsid w:val="00AA64CC"/>
    <w:rsid w:val="00AA6F89"/>
    <w:rsid w:val="00AA775A"/>
    <w:rsid w:val="00AB0158"/>
    <w:rsid w:val="00AB0A21"/>
    <w:rsid w:val="00AB1469"/>
    <w:rsid w:val="00AB182E"/>
    <w:rsid w:val="00AB19CA"/>
    <w:rsid w:val="00AB2D34"/>
    <w:rsid w:val="00AB2D6E"/>
    <w:rsid w:val="00AB2F1B"/>
    <w:rsid w:val="00AB3EAF"/>
    <w:rsid w:val="00AB3F7C"/>
    <w:rsid w:val="00AB3FA3"/>
    <w:rsid w:val="00AB4840"/>
    <w:rsid w:val="00AB4A8D"/>
    <w:rsid w:val="00AB6AAD"/>
    <w:rsid w:val="00AB6EC1"/>
    <w:rsid w:val="00AB76B9"/>
    <w:rsid w:val="00AC0CC6"/>
    <w:rsid w:val="00AC0FC4"/>
    <w:rsid w:val="00AC13DE"/>
    <w:rsid w:val="00AC1B4E"/>
    <w:rsid w:val="00AC2277"/>
    <w:rsid w:val="00AC2746"/>
    <w:rsid w:val="00AC2ACD"/>
    <w:rsid w:val="00AC411C"/>
    <w:rsid w:val="00AC4400"/>
    <w:rsid w:val="00AC4858"/>
    <w:rsid w:val="00AC6963"/>
    <w:rsid w:val="00AC79F2"/>
    <w:rsid w:val="00AD0248"/>
    <w:rsid w:val="00AD0398"/>
    <w:rsid w:val="00AD0478"/>
    <w:rsid w:val="00AD0FFE"/>
    <w:rsid w:val="00AD2CB1"/>
    <w:rsid w:val="00AD59EF"/>
    <w:rsid w:val="00AD72C2"/>
    <w:rsid w:val="00AD7443"/>
    <w:rsid w:val="00AD756B"/>
    <w:rsid w:val="00AE04D0"/>
    <w:rsid w:val="00AE0B7D"/>
    <w:rsid w:val="00AE1FEB"/>
    <w:rsid w:val="00AE3CAB"/>
    <w:rsid w:val="00AE3DAB"/>
    <w:rsid w:val="00AE446D"/>
    <w:rsid w:val="00AE4FCF"/>
    <w:rsid w:val="00AE591C"/>
    <w:rsid w:val="00AE5D79"/>
    <w:rsid w:val="00AE5E50"/>
    <w:rsid w:val="00AE5F81"/>
    <w:rsid w:val="00AE6A79"/>
    <w:rsid w:val="00AF02CD"/>
    <w:rsid w:val="00AF092C"/>
    <w:rsid w:val="00AF1594"/>
    <w:rsid w:val="00AF211E"/>
    <w:rsid w:val="00AF2BC1"/>
    <w:rsid w:val="00AF2DF6"/>
    <w:rsid w:val="00AF3259"/>
    <w:rsid w:val="00AF3326"/>
    <w:rsid w:val="00AF34B7"/>
    <w:rsid w:val="00AF49BC"/>
    <w:rsid w:val="00AF4A89"/>
    <w:rsid w:val="00AF560D"/>
    <w:rsid w:val="00AF5627"/>
    <w:rsid w:val="00AF6EB9"/>
    <w:rsid w:val="00AF7D02"/>
    <w:rsid w:val="00B01C1E"/>
    <w:rsid w:val="00B02279"/>
    <w:rsid w:val="00B02822"/>
    <w:rsid w:val="00B02E34"/>
    <w:rsid w:val="00B030A1"/>
    <w:rsid w:val="00B0353D"/>
    <w:rsid w:val="00B042C0"/>
    <w:rsid w:val="00B042FC"/>
    <w:rsid w:val="00B05687"/>
    <w:rsid w:val="00B05E51"/>
    <w:rsid w:val="00B05F5C"/>
    <w:rsid w:val="00B061D2"/>
    <w:rsid w:val="00B0647E"/>
    <w:rsid w:val="00B072EA"/>
    <w:rsid w:val="00B0747B"/>
    <w:rsid w:val="00B074B7"/>
    <w:rsid w:val="00B07B76"/>
    <w:rsid w:val="00B10060"/>
    <w:rsid w:val="00B10EE1"/>
    <w:rsid w:val="00B11042"/>
    <w:rsid w:val="00B11AF7"/>
    <w:rsid w:val="00B12489"/>
    <w:rsid w:val="00B126E0"/>
    <w:rsid w:val="00B14579"/>
    <w:rsid w:val="00B1486B"/>
    <w:rsid w:val="00B159D6"/>
    <w:rsid w:val="00B1647D"/>
    <w:rsid w:val="00B16DC3"/>
    <w:rsid w:val="00B1718F"/>
    <w:rsid w:val="00B17FAE"/>
    <w:rsid w:val="00B20158"/>
    <w:rsid w:val="00B215EA"/>
    <w:rsid w:val="00B21918"/>
    <w:rsid w:val="00B21C39"/>
    <w:rsid w:val="00B21E10"/>
    <w:rsid w:val="00B22D44"/>
    <w:rsid w:val="00B2391F"/>
    <w:rsid w:val="00B24A61"/>
    <w:rsid w:val="00B24AA4"/>
    <w:rsid w:val="00B24B57"/>
    <w:rsid w:val="00B25CED"/>
    <w:rsid w:val="00B25FAB"/>
    <w:rsid w:val="00B260DB"/>
    <w:rsid w:val="00B30821"/>
    <w:rsid w:val="00B31854"/>
    <w:rsid w:val="00B31A4D"/>
    <w:rsid w:val="00B31E5D"/>
    <w:rsid w:val="00B320CB"/>
    <w:rsid w:val="00B3220E"/>
    <w:rsid w:val="00B32AF6"/>
    <w:rsid w:val="00B32F12"/>
    <w:rsid w:val="00B3324F"/>
    <w:rsid w:val="00B33802"/>
    <w:rsid w:val="00B33E30"/>
    <w:rsid w:val="00B34A77"/>
    <w:rsid w:val="00B350C4"/>
    <w:rsid w:val="00B35114"/>
    <w:rsid w:val="00B35ADB"/>
    <w:rsid w:val="00B3606C"/>
    <w:rsid w:val="00B37F57"/>
    <w:rsid w:val="00B40BA9"/>
    <w:rsid w:val="00B40C5D"/>
    <w:rsid w:val="00B414AF"/>
    <w:rsid w:val="00B416E5"/>
    <w:rsid w:val="00B42976"/>
    <w:rsid w:val="00B43547"/>
    <w:rsid w:val="00B43C31"/>
    <w:rsid w:val="00B4424A"/>
    <w:rsid w:val="00B4483B"/>
    <w:rsid w:val="00B44F29"/>
    <w:rsid w:val="00B45EB8"/>
    <w:rsid w:val="00B46547"/>
    <w:rsid w:val="00B46E9C"/>
    <w:rsid w:val="00B478FA"/>
    <w:rsid w:val="00B47A7B"/>
    <w:rsid w:val="00B50C12"/>
    <w:rsid w:val="00B53E82"/>
    <w:rsid w:val="00B54BEB"/>
    <w:rsid w:val="00B560E6"/>
    <w:rsid w:val="00B561B3"/>
    <w:rsid w:val="00B56BC8"/>
    <w:rsid w:val="00B56ECD"/>
    <w:rsid w:val="00B57EA7"/>
    <w:rsid w:val="00B601AC"/>
    <w:rsid w:val="00B608C7"/>
    <w:rsid w:val="00B60E06"/>
    <w:rsid w:val="00B62851"/>
    <w:rsid w:val="00B64970"/>
    <w:rsid w:val="00B65441"/>
    <w:rsid w:val="00B65559"/>
    <w:rsid w:val="00B663EE"/>
    <w:rsid w:val="00B72751"/>
    <w:rsid w:val="00B727E8"/>
    <w:rsid w:val="00B7397D"/>
    <w:rsid w:val="00B7464E"/>
    <w:rsid w:val="00B7471C"/>
    <w:rsid w:val="00B7538C"/>
    <w:rsid w:val="00B75698"/>
    <w:rsid w:val="00B76785"/>
    <w:rsid w:val="00B770BF"/>
    <w:rsid w:val="00B77507"/>
    <w:rsid w:val="00B77773"/>
    <w:rsid w:val="00B801F4"/>
    <w:rsid w:val="00B8020A"/>
    <w:rsid w:val="00B80633"/>
    <w:rsid w:val="00B81B9B"/>
    <w:rsid w:val="00B8336A"/>
    <w:rsid w:val="00B83909"/>
    <w:rsid w:val="00B84425"/>
    <w:rsid w:val="00B844FE"/>
    <w:rsid w:val="00B850F2"/>
    <w:rsid w:val="00B86AFE"/>
    <w:rsid w:val="00B8723D"/>
    <w:rsid w:val="00B8759B"/>
    <w:rsid w:val="00B910C7"/>
    <w:rsid w:val="00B935C5"/>
    <w:rsid w:val="00B9495F"/>
    <w:rsid w:val="00B9555F"/>
    <w:rsid w:val="00B956A3"/>
    <w:rsid w:val="00B978A4"/>
    <w:rsid w:val="00B97FC7"/>
    <w:rsid w:val="00BA17C3"/>
    <w:rsid w:val="00BA2733"/>
    <w:rsid w:val="00BA35C4"/>
    <w:rsid w:val="00BA36B3"/>
    <w:rsid w:val="00BA3ACA"/>
    <w:rsid w:val="00BA3D74"/>
    <w:rsid w:val="00BA4C7D"/>
    <w:rsid w:val="00BA4E69"/>
    <w:rsid w:val="00BA50A6"/>
    <w:rsid w:val="00BA5398"/>
    <w:rsid w:val="00BA5D0E"/>
    <w:rsid w:val="00BA60E6"/>
    <w:rsid w:val="00BA6BBD"/>
    <w:rsid w:val="00BA762D"/>
    <w:rsid w:val="00BB22C6"/>
    <w:rsid w:val="00BB3F94"/>
    <w:rsid w:val="00BB4758"/>
    <w:rsid w:val="00BB5762"/>
    <w:rsid w:val="00BB68B8"/>
    <w:rsid w:val="00BB6927"/>
    <w:rsid w:val="00BB7F60"/>
    <w:rsid w:val="00BC0321"/>
    <w:rsid w:val="00BC05DE"/>
    <w:rsid w:val="00BC094E"/>
    <w:rsid w:val="00BC0970"/>
    <w:rsid w:val="00BC1324"/>
    <w:rsid w:val="00BC23DF"/>
    <w:rsid w:val="00BC2526"/>
    <w:rsid w:val="00BC4065"/>
    <w:rsid w:val="00BC4DC8"/>
    <w:rsid w:val="00BC5018"/>
    <w:rsid w:val="00BC61EA"/>
    <w:rsid w:val="00BC6A7E"/>
    <w:rsid w:val="00BC785A"/>
    <w:rsid w:val="00BD0F0B"/>
    <w:rsid w:val="00BD19E1"/>
    <w:rsid w:val="00BD1BDB"/>
    <w:rsid w:val="00BD2046"/>
    <w:rsid w:val="00BD30BE"/>
    <w:rsid w:val="00BD4629"/>
    <w:rsid w:val="00BD5476"/>
    <w:rsid w:val="00BD619E"/>
    <w:rsid w:val="00BD6A79"/>
    <w:rsid w:val="00BD6BAC"/>
    <w:rsid w:val="00BD7A82"/>
    <w:rsid w:val="00BD7DE5"/>
    <w:rsid w:val="00BE01C8"/>
    <w:rsid w:val="00BE0886"/>
    <w:rsid w:val="00BE1188"/>
    <w:rsid w:val="00BE2A5F"/>
    <w:rsid w:val="00BE3A18"/>
    <w:rsid w:val="00BE5004"/>
    <w:rsid w:val="00BE512B"/>
    <w:rsid w:val="00BE5899"/>
    <w:rsid w:val="00BE5D9A"/>
    <w:rsid w:val="00BE62EF"/>
    <w:rsid w:val="00BE6CE9"/>
    <w:rsid w:val="00BE7074"/>
    <w:rsid w:val="00BE7E69"/>
    <w:rsid w:val="00BE7EDC"/>
    <w:rsid w:val="00BF0146"/>
    <w:rsid w:val="00BF0391"/>
    <w:rsid w:val="00BF08F5"/>
    <w:rsid w:val="00BF0927"/>
    <w:rsid w:val="00BF1D03"/>
    <w:rsid w:val="00BF1D37"/>
    <w:rsid w:val="00BF1E86"/>
    <w:rsid w:val="00BF2127"/>
    <w:rsid w:val="00BF25AF"/>
    <w:rsid w:val="00BF37C9"/>
    <w:rsid w:val="00BF3A7F"/>
    <w:rsid w:val="00BF3A9A"/>
    <w:rsid w:val="00BF42F2"/>
    <w:rsid w:val="00BF6DCF"/>
    <w:rsid w:val="00C02A35"/>
    <w:rsid w:val="00C03D57"/>
    <w:rsid w:val="00C042FB"/>
    <w:rsid w:val="00C05574"/>
    <w:rsid w:val="00C05654"/>
    <w:rsid w:val="00C063B0"/>
    <w:rsid w:val="00C109EB"/>
    <w:rsid w:val="00C10F3F"/>
    <w:rsid w:val="00C11926"/>
    <w:rsid w:val="00C11CD9"/>
    <w:rsid w:val="00C11D2F"/>
    <w:rsid w:val="00C11E95"/>
    <w:rsid w:val="00C122F1"/>
    <w:rsid w:val="00C13261"/>
    <w:rsid w:val="00C133F9"/>
    <w:rsid w:val="00C13BAE"/>
    <w:rsid w:val="00C13F97"/>
    <w:rsid w:val="00C142BD"/>
    <w:rsid w:val="00C1577B"/>
    <w:rsid w:val="00C170FE"/>
    <w:rsid w:val="00C17B8C"/>
    <w:rsid w:val="00C201E0"/>
    <w:rsid w:val="00C20305"/>
    <w:rsid w:val="00C2205E"/>
    <w:rsid w:val="00C22611"/>
    <w:rsid w:val="00C22893"/>
    <w:rsid w:val="00C229AE"/>
    <w:rsid w:val="00C238C9"/>
    <w:rsid w:val="00C23E11"/>
    <w:rsid w:val="00C23E1E"/>
    <w:rsid w:val="00C25D70"/>
    <w:rsid w:val="00C26998"/>
    <w:rsid w:val="00C26AAA"/>
    <w:rsid w:val="00C26C48"/>
    <w:rsid w:val="00C30629"/>
    <w:rsid w:val="00C31B2B"/>
    <w:rsid w:val="00C31D06"/>
    <w:rsid w:val="00C32856"/>
    <w:rsid w:val="00C33200"/>
    <w:rsid w:val="00C34634"/>
    <w:rsid w:val="00C34655"/>
    <w:rsid w:val="00C34C4F"/>
    <w:rsid w:val="00C36708"/>
    <w:rsid w:val="00C3672A"/>
    <w:rsid w:val="00C370C7"/>
    <w:rsid w:val="00C40031"/>
    <w:rsid w:val="00C40D50"/>
    <w:rsid w:val="00C41C10"/>
    <w:rsid w:val="00C41FDA"/>
    <w:rsid w:val="00C423CA"/>
    <w:rsid w:val="00C42ED0"/>
    <w:rsid w:val="00C43007"/>
    <w:rsid w:val="00C43D17"/>
    <w:rsid w:val="00C43F42"/>
    <w:rsid w:val="00C4464D"/>
    <w:rsid w:val="00C446BF"/>
    <w:rsid w:val="00C45344"/>
    <w:rsid w:val="00C45D44"/>
    <w:rsid w:val="00C4723F"/>
    <w:rsid w:val="00C507E2"/>
    <w:rsid w:val="00C50910"/>
    <w:rsid w:val="00C50A06"/>
    <w:rsid w:val="00C50B3E"/>
    <w:rsid w:val="00C50D62"/>
    <w:rsid w:val="00C51A1B"/>
    <w:rsid w:val="00C51F3C"/>
    <w:rsid w:val="00C5266C"/>
    <w:rsid w:val="00C535E9"/>
    <w:rsid w:val="00C554C6"/>
    <w:rsid w:val="00C55E2A"/>
    <w:rsid w:val="00C5613B"/>
    <w:rsid w:val="00C57BE4"/>
    <w:rsid w:val="00C605D7"/>
    <w:rsid w:val="00C6129D"/>
    <w:rsid w:val="00C61643"/>
    <w:rsid w:val="00C61876"/>
    <w:rsid w:val="00C61BBC"/>
    <w:rsid w:val="00C620DF"/>
    <w:rsid w:val="00C62830"/>
    <w:rsid w:val="00C62A6F"/>
    <w:rsid w:val="00C63326"/>
    <w:rsid w:val="00C63AF0"/>
    <w:rsid w:val="00C649CA"/>
    <w:rsid w:val="00C66025"/>
    <w:rsid w:val="00C663F8"/>
    <w:rsid w:val="00C671E3"/>
    <w:rsid w:val="00C678B3"/>
    <w:rsid w:val="00C70248"/>
    <w:rsid w:val="00C70FC4"/>
    <w:rsid w:val="00C710AC"/>
    <w:rsid w:val="00C72A0A"/>
    <w:rsid w:val="00C73DC9"/>
    <w:rsid w:val="00C7401F"/>
    <w:rsid w:val="00C74205"/>
    <w:rsid w:val="00C746BE"/>
    <w:rsid w:val="00C74EFA"/>
    <w:rsid w:val="00C7501A"/>
    <w:rsid w:val="00C80688"/>
    <w:rsid w:val="00C808EA"/>
    <w:rsid w:val="00C817C9"/>
    <w:rsid w:val="00C82505"/>
    <w:rsid w:val="00C82FA8"/>
    <w:rsid w:val="00C83102"/>
    <w:rsid w:val="00C83C6E"/>
    <w:rsid w:val="00C84391"/>
    <w:rsid w:val="00C84472"/>
    <w:rsid w:val="00C85457"/>
    <w:rsid w:val="00C854B3"/>
    <w:rsid w:val="00C85DBF"/>
    <w:rsid w:val="00C86845"/>
    <w:rsid w:val="00C86C57"/>
    <w:rsid w:val="00C907B9"/>
    <w:rsid w:val="00C93491"/>
    <w:rsid w:val="00C945E2"/>
    <w:rsid w:val="00C94815"/>
    <w:rsid w:val="00CA0EB0"/>
    <w:rsid w:val="00CA1295"/>
    <w:rsid w:val="00CA135E"/>
    <w:rsid w:val="00CA14DA"/>
    <w:rsid w:val="00CA2549"/>
    <w:rsid w:val="00CA2944"/>
    <w:rsid w:val="00CA3346"/>
    <w:rsid w:val="00CA3FDC"/>
    <w:rsid w:val="00CA41F7"/>
    <w:rsid w:val="00CA41FF"/>
    <w:rsid w:val="00CA5134"/>
    <w:rsid w:val="00CA5CD2"/>
    <w:rsid w:val="00CA661A"/>
    <w:rsid w:val="00CA73FD"/>
    <w:rsid w:val="00CA79E4"/>
    <w:rsid w:val="00CB0A56"/>
    <w:rsid w:val="00CB0C3D"/>
    <w:rsid w:val="00CB197D"/>
    <w:rsid w:val="00CB3A75"/>
    <w:rsid w:val="00CB4A90"/>
    <w:rsid w:val="00CB5145"/>
    <w:rsid w:val="00CB62A0"/>
    <w:rsid w:val="00CB68C2"/>
    <w:rsid w:val="00CB7A5D"/>
    <w:rsid w:val="00CB7A7C"/>
    <w:rsid w:val="00CC044F"/>
    <w:rsid w:val="00CC0A96"/>
    <w:rsid w:val="00CC0C98"/>
    <w:rsid w:val="00CC0D82"/>
    <w:rsid w:val="00CC118D"/>
    <w:rsid w:val="00CC21DA"/>
    <w:rsid w:val="00CC319F"/>
    <w:rsid w:val="00CC3354"/>
    <w:rsid w:val="00CC3431"/>
    <w:rsid w:val="00CC3EA2"/>
    <w:rsid w:val="00CC57D3"/>
    <w:rsid w:val="00CC5A8B"/>
    <w:rsid w:val="00CC6151"/>
    <w:rsid w:val="00CC61D0"/>
    <w:rsid w:val="00CC6451"/>
    <w:rsid w:val="00CC6D0D"/>
    <w:rsid w:val="00CC7DDE"/>
    <w:rsid w:val="00CC7DDF"/>
    <w:rsid w:val="00CC7E7A"/>
    <w:rsid w:val="00CD0629"/>
    <w:rsid w:val="00CD094C"/>
    <w:rsid w:val="00CD197A"/>
    <w:rsid w:val="00CD1A95"/>
    <w:rsid w:val="00CD1BAF"/>
    <w:rsid w:val="00CD1C33"/>
    <w:rsid w:val="00CD3232"/>
    <w:rsid w:val="00CD5107"/>
    <w:rsid w:val="00CD5C66"/>
    <w:rsid w:val="00CD660B"/>
    <w:rsid w:val="00CD7385"/>
    <w:rsid w:val="00CE01D8"/>
    <w:rsid w:val="00CE07B4"/>
    <w:rsid w:val="00CE1790"/>
    <w:rsid w:val="00CE231B"/>
    <w:rsid w:val="00CE2A66"/>
    <w:rsid w:val="00CE2F68"/>
    <w:rsid w:val="00CE37E4"/>
    <w:rsid w:val="00CE476E"/>
    <w:rsid w:val="00CE4C14"/>
    <w:rsid w:val="00CE4F44"/>
    <w:rsid w:val="00CE594F"/>
    <w:rsid w:val="00CE62DD"/>
    <w:rsid w:val="00CE6714"/>
    <w:rsid w:val="00CE74BB"/>
    <w:rsid w:val="00CE7EC6"/>
    <w:rsid w:val="00CF0B97"/>
    <w:rsid w:val="00CF0FD3"/>
    <w:rsid w:val="00CF1532"/>
    <w:rsid w:val="00CF3B43"/>
    <w:rsid w:val="00CF5D23"/>
    <w:rsid w:val="00CF6026"/>
    <w:rsid w:val="00CF75FC"/>
    <w:rsid w:val="00CF791E"/>
    <w:rsid w:val="00CF7D14"/>
    <w:rsid w:val="00D01359"/>
    <w:rsid w:val="00D0140F"/>
    <w:rsid w:val="00D03862"/>
    <w:rsid w:val="00D03B58"/>
    <w:rsid w:val="00D03FFF"/>
    <w:rsid w:val="00D05EF4"/>
    <w:rsid w:val="00D06FAB"/>
    <w:rsid w:val="00D07C77"/>
    <w:rsid w:val="00D12BA4"/>
    <w:rsid w:val="00D13E04"/>
    <w:rsid w:val="00D15787"/>
    <w:rsid w:val="00D15A8F"/>
    <w:rsid w:val="00D15F3F"/>
    <w:rsid w:val="00D1607A"/>
    <w:rsid w:val="00D173DF"/>
    <w:rsid w:val="00D202D0"/>
    <w:rsid w:val="00D20AA1"/>
    <w:rsid w:val="00D20CF6"/>
    <w:rsid w:val="00D211A9"/>
    <w:rsid w:val="00D214E1"/>
    <w:rsid w:val="00D21A03"/>
    <w:rsid w:val="00D21DC3"/>
    <w:rsid w:val="00D22495"/>
    <w:rsid w:val="00D22D93"/>
    <w:rsid w:val="00D23272"/>
    <w:rsid w:val="00D23C5D"/>
    <w:rsid w:val="00D25A78"/>
    <w:rsid w:val="00D25D4A"/>
    <w:rsid w:val="00D26201"/>
    <w:rsid w:val="00D26F15"/>
    <w:rsid w:val="00D27472"/>
    <w:rsid w:val="00D3027A"/>
    <w:rsid w:val="00D306BF"/>
    <w:rsid w:val="00D306F4"/>
    <w:rsid w:val="00D30D4A"/>
    <w:rsid w:val="00D31038"/>
    <w:rsid w:val="00D31239"/>
    <w:rsid w:val="00D31643"/>
    <w:rsid w:val="00D35A88"/>
    <w:rsid w:val="00D36AF1"/>
    <w:rsid w:val="00D4008B"/>
    <w:rsid w:val="00D401AB"/>
    <w:rsid w:val="00D411EF"/>
    <w:rsid w:val="00D41766"/>
    <w:rsid w:val="00D41ED0"/>
    <w:rsid w:val="00D41F02"/>
    <w:rsid w:val="00D42E97"/>
    <w:rsid w:val="00D433BD"/>
    <w:rsid w:val="00D4348E"/>
    <w:rsid w:val="00D439A3"/>
    <w:rsid w:val="00D449D2"/>
    <w:rsid w:val="00D45803"/>
    <w:rsid w:val="00D45A1F"/>
    <w:rsid w:val="00D45C9D"/>
    <w:rsid w:val="00D47EBC"/>
    <w:rsid w:val="00D50C10"/>
    <w:rsid w:val="00D515DB"/>
    <w:rsid w:val="00D51F5B"/>
    <w:rsid w:val="00D51FDE"/>
    <w:rsid w:val="00D5207D"/>
    <w:rsid w:val="00D576E9"/>
    <w:rsid w:val="00D57A71"/>
    <w:rsid w:val="00D603D6"/>
    <w:rsid w:val="00D60519"/>
    <w:rsid w:val="00D60634"/>
    <w:rsid w:val="00D6121A"/>
    <w:rsid w:val="00D61334"/>
    <w:rsid w:val="00D61AEA"/>
    <w:rsid w:val="00D626C8"/>
    <w:rsid w:val="00D62D49"/>
    <w:rsid w:val="00D62EA2"/>
    <w:rsid w:val="00D63C7B"/>
    <w:rsid w:val="00D644D3"/>
    <w:rsid w:val="00D659F1"/>
    <w:rsid w:val="00D65C39"/>
    <w:rsid w:val="00D65EAD"/>
    <w:rsid w:val="00D6602D"/>
    <w:rsid w:val="00D66626"/>
    <w:rsid w:val="00D67EF7"/>
    <w:rsid w:val="00D7046C"/>
    <w:rsid w:val="00D71BB9"/>
    <w:rsid w:val="00D72C2D"/>
    <w:rsid w:val="00D7367B"/>
    <w:rsid w:val="00D74000"/>
    <w:rsid w:val="00D74F82"/>
    <w:rsid w:val="00D76929"/>
    <w:rsid w:val="00D76FAF"/>
    <w:rsid w:val="00D771A3"/>
    <w:rsid w:val="00D77B2D"/>
    <w:rsid w:val="00D77C77"/>
    <w:rsid w:val="00D80901"/>
    <w:rsid w:val="00D80F70"/>
    <w:rsid w:val="00D80F7F"/>
    <w:rsid w:val="00D81F07"/>
    <w:rsid w:val="00D81F7B"/>
    <w:rsid w:val="00D831A2"/>
    <w:rsid w:val="00D833EC"/>
    <w:rsid w:val="00D835E3"/>
    <w:rsid w:val="00D8387C"/>
    <w:rsid w:val="00D83B92"/>
    <w:rsid w:val="00D865DA"/>
    <w:rsid w:val="00D86E63"/>
    <w:rsid w:val="00D8709A"/>
    <w:rsid w:val="00D90448"/>
    <w:rsid w:val="00D913B5"/>
    <w:rsid w:val="00D913BF"/>
    <w:rsid w:val="00D9142D"/>
    <w:rsid w:val="00D921FE"/>
    <w:rsid w:val="00D9300A"/>
    <w:rsid w:val="00D937B2"/>
    <w:rsid w:val="00D951C0"/>
    <w:rsid w:val="00D9565C"/>
    <w:rsid w:val="00D96F39"/>
    <w:rsid w:val="00DA054B"/>
    <w:rsid w:val="00DA1957"/>
    <w:rsid w:val="00DA2005"/>
    <w:rsid w:val="00DA2727"/>
    <w:rsid w:val="00DA4794"/>
    <w:rsid w:val="00DA4FD4"/>
    <w:rsid w:val="00DA507E"/>
    <w:rsid w:val="00DA536C"/>
    <w:rsid w:val="00DA54B6"/>
    <w:rsid w:val="00DA570C"/>
    <w:rsid w:val="00DA57E7"/>
    <w:rsid w:val="00DA648A"/>
    <w:rsid w:val="00DA77C7"/>
    <w:rsid w:val="00DA7F83"/>
    <w:rsid w:val="00DB049E"/>
    <w:rsid w:val="00DB096A"/>
    <w:rsid w:val="00DB1DDF"/>
    <w:rsid w:val="00DB1F2E"/>
    <w:rsid w:val="00DB26DC"/>
    <w:rsid w:val="00DB2C4D"/>
    <w:rsid w:val="00DB34B8"/>
    <w:rsid w:val="00DB36EA"/>
    <w:rsid w:val="00DB51AF"/>
    <w:rsid w:val="00DB6379"/>
    <w:rsid w:val="00DB6927"/>
    <w:rsid w:val="00DB6A08"/>
    <w:rsid w:val="00DB75A2"/>
    <w:rsid w:val="00DC0525"/>
    <w:rsid w:val="00DC0B4B"/>
    <w:rsid w:val="00DC0C45"/>
    <w:rsid w:val="00DC0DC5"/>
    <w:rsid w:val="00DC1874"/>
    <w:rsid w:val="00DC305C"/>
    <w:rsid w:val="00DC4584"/>
    <w:rsid w:val="00DC47EA"/>
    <w:rsid w:val="00DC5A98"/>
    <w:rsid w:val="00DC5C88"/>
    <w:rsid w:val="00DC5FBD"/>
    <w:rsid w:val="00DC691C"/>
    <w:rsid w:val="00DD0482"/>
    <w:rsid w:val="00DD0E83"/>
    <w:rsid w:val="00DD10C9"/>
    <w:rsid w:val="00DD175B"/>
    <w:rsid w:val="00DD4A02"/>
    <w:rsid w:val="00DD4BE7"/>
    <w:rsid w:val="00DD5419"/>
    <w:rsid w:val="00DD597C"/>
    <w:rsid w:val="00DD6812"/>
    <w:rsid w:val="00DD74AD"/>
    <w:rsid w:val="00DD7CF5"/>
    <w:rsid w:val="00DD7DC8"/>
    <w:rsid w:val="00DE15EC"/>
    <w:rsid w:val="00DE1D6C"/>
    <w:rsid w:val="00DE1FB3"/>
    <w:rsid w:val="00DE1FD9"/>
    <w:rsid w:val="00DE2688"/>
    <w:rsid w:val="00DE34AE"/>
    <w:rsid w:val="00DE3F82"/>
    <w:rsid w:val="00DE4FF0"/>
    <w:rsid w:val="00DE6751"/>
    <w:rsid w:val="00DE6C92"/>
    <w:rsid w:val="00DE6ED4"/>
    <w:rsid w:val="00DE77DA"/>
    <w:rsid w:val="00DF063F"/>
    <w:rsid w:val="00DF1097"/>
    <w:rsid w:val="00DF12E0"/>
    <w:rsid w:val="00DF1CF5"/>
    <w:rsid w:val="00DF2928"/>
    <w:rsid w:val="00DF3165"/>
    <w:rsid w:val="00DF31D9"/>
    <w:rsid w:val="00DF3CEE"/>
    <w:rsid w:val="00DF58FD"/>
    <w:rsid w:val="00DF6B5C"/>
    <w:rsid w:val="00DF72A5"/>
    <w:rsid w:val="00DF731C"/>
    <w:rsid w:val="00E006CC"/>
    <w:rsid w:val="00E014E9"/>
    <w:rsid w:val="00E02380"/>
    <w:rsid w:val="00E02898"/>
    <w:rsid w:val="00E03511"/>
    <w:rsid w:val="00E07D3D"/>
    <w:rsid w:val="00E1139B"/>
    <w:rsid w:val="00E114A1"/>
    <w:rsid w:val="00E11A14"/>
    <w:rsid w:val="00E121EB"/>
    <w:rsid w:val="00E1402A"/>
    <w:rsid w:val="00E146B4"/>
    <w:rsid w:val="00E14F0A"/>
    <w:rsid w:val="00E16091"/>
    <w:rsid w:val="00E176F3"/>
    <w:rsid w:val="00E17E3E"/>
    <w:rsid w:val="00E20B33"/>
    <w:rsid w:val="00E21360"/>
    <w:rsid w:val="00E21643"/>
    <w:rsid w:val="00E2299D"/>
    <w:rsid w:val="00E246A0"/>
    <w:rsid w:val="00E24E19"/>
    <w:rsid w:val="00E2533A"/>
    <w:rsid w:val="00E263FC"/>
    <w:rsid w:val="00E277A4"/>
    <w:rsid w:val="00E30EFB"/>
    <w:rsid w:val="00E3194B"/>
    <w:rsid w:val="00E327C2"/>
    <w:rsid w:val="00E3331B"/>
    <w:rsid w:val="00E334DD"/>
    <w:rsid w:val="00E34C3D"/>
    <w:rsid w:val="00E35957"/>
    <w:rsid w:val="00E371C2"/>
    <w:rsid w:val="00E37497"/>
    <w:rsid w:val="00E375BF"/>
    <w:rsid w:val="00E37D82"/>
    <w:rsid w:val="00E37F8E"/>
    <w:rsid w:val="00E400B5"/>
    <w:rsid w:val="00E40C87"/>
    <w:rsid w:val="00E419F4"/>
    <w:rsid w:val="00E43311"/>
    <w:rsid w:val="00E4495B"/>
    <w:rsid w:val="00E4507F"/>
    <w:rsid w:val="00E477D1"/>
    <w:rsid w:val="00E50EEA"/>
    <w:rsid w:val="00E526D3"/>
    <w:rsid w:val="00E530A8"/>
    <w:rsid w:val="00E53357"/>
    <w:rsid w:val="00E533BC"/>
    <w:rsid w:val="00E53C13"/>
    <w:rsid w:val="00E542C0"/>
    <w:rsid w:val="00E555F4"/>
    <w:rsid w:val="00E557AA"/>
    <w:rsid w:val="00E5581C"/>
    <w:rsid w:val="00E55AF7"/>
    <w:rsid w:val="00E567E6"/>
    <w:rsid w:val="00E5685F"/>
    <w:rsid w:val="00E56DAB"/>
    <w:rsid w:val="00E57461"/>
    <w:rsid w:val="00E57934"/>
    <w:rsid w:val="00E60408"/>
    <w:rsid w:val="00E60627"/>
    <w:rsid w:val="00E60A96"/>
    <w:rsid w:val="00E61932"/>
    <w:rsid w:val="00E619DD"/>
    <w:rsid w:val="00E62172"/>
    <w:rsid w:val="00E62437"/>
    <w:rsid w:val="00E62CD6"/>
    <w:rsid w:val="00E64E21"/>
    <w:rsid w:val="00E65591"/>
    <w:rsid w:val="00E66544"/>
    <w:rsid w:val="00E665E8"/>
    <w:rsid w:val="00E71067"/>
    <w:rsid w:val="00E7107D"/>
    <w:rsid w:val="00E72298"/>
    <w:rsid w:val="00E722B6"/>
    <w:rsid w:val="00E72DC8"/>
    <w:rsid w:val="00E7309F"/>
    <w:rsid w:val="00E753DD"/>
    <w:rsid w:val="00E7603D"/>
    <w:rsid w:val="00E7787C"/>
    <w:rsid w:val="00E809FD"/>
    <w:rsid w:val="00E8118A"/>
    <w:rsid w:val="00E811D8"/>
    <w:rsid w:val="00E81D37"/>
    <w:rsid w:val="00E81F3A"/>
    <w:rsid w:val="00E83A05"/>
    <w:rsid w:val="00E83DF4"/>
    <w:rsid w:val="00E840BF"/>
    <w:rsid w:val="00E8443C"/>
    <w:rsid w:val="00E84531"/>
    <w:rsid w:val="00E847CC"/>
    <w:rsid w:val="00E852CA"/>
    <w:rsid w:val="00E85D2C"/>
    <w:rsid w:val="00E85F33"/>
    <w:rsid w:val="00E86291"/>
    <w:rsid w:val="00E8643A"/>
    <w:rsid w:val="00E8655F"/>
    <w:rsid w:val="00E869CF"/>
    <w:rsid w:val="00E86A0C"/>
    <w:rsid w:val="00E8739F"/>
    <w:rsid w:val="00E90BD3"/>
    <w:rsid w:val="00E9207F"/>
    <w:rsid w:val="00E93811"/>
    <w:rsid w:val="00E951C5"/>
    <w:rsid w:val="00E9589A"/>
    <w:rsid w:val="00E9592D"/>
    <w:rsid w:val="00E95B81"/>
    <w:rsid w:val="00E95F95"/>
    <w:rsid w:val="00E960DD"/>
    <w:rsid w:val="00E96599"/>
    <w:rsid w:val="00E965B2"/>
    <w:rsid w:val="00E96766"/>
    <w:rsid w:val="00E976A8"/>
    <w:rsid w:val="00E978A0"/>
    <w:rsid w:val="00E97F29"/>
    <w:rsid w:val="00EA2A92"/>
    <w:rsid w:val="00EA2E03"/>
    <w:rsid w:val="00EA31EF"/>
    <w:rsid w:val="00EA3AD2"/>
    <w:rsid w:val="00EA3B5E"/>
    <w:rsid w:val="00EA41BE"/>
    <w:rsid w:val="00EA4362"/>
    <w:rsid w:val="00EA48DF"/>
    <w:rsid w:val="00EA4FDE"/>
    <w:rsid w:val="00EA5672"/>
    <w:rsid w:val="00EA72EE"/>
    <w:rsid w:val="00EB0929"/>
    <w:rsid w:val="00EB13FD"/>
    <w:rsid w:val="00EB20FB"/>
    <w:rsid w:val="00EB23DF"/>
    <w:rsid w:val="00EB26F5"/>
    <w:rsid w:val="00EB279A"/>
    <w:rsid w:val="00EB27AC"/>
    <w:rsid w:val="00EB3779"/>
    <w:rsid w:val="00EB52A7"/>
    <w:rsid w:val="00EB62CF"/>
    <w:rsid w:val="00EB62DD"/>
    <w:rsid w:val="00EB630B"/>
    <w:rsid w:val="00EB67F7"/>
    <w:rsid w:val="00EB6915"/>
    <w:rsid w:val="00EB78E3"/>
    <w:rsid w:val="00EC0E5C"/>
    <w:rsid w:val="00EC124F"/>
    <w:rsid w:val="00EC197D"/>
    <w:rsid w:val="00EC1F29"/>
    <w:rsid w:val="00EC2FA4"/>
    <w:rsid w:val="00EC4A73"/>
    <w:rsid w:val="00EC7239"/>
    <w:rsid w:val="00EC761E"/>
    <w:rsid w:val="00ED150C"/>
    <w:rsid w:val="00ED2577"/>
    <w:rsid w:val="00ED2767"/>
    <w:rsid w:val="00ED3FD3"/>
    <w:rsid w:val="00ED636F"/>
    <w:rsid w:val="00ED65BF"/>
    <w:rsid w:val="00ED6794"/>
    <w:rsid w:val="00ED6EAF"/>
    <w:rsid w:val="00ED7896"/>
    <w:rsid w:val="00ED7AB3"/>
    <w:rsid w:val="00ED7BE5"/>
    <w:rsid w:val="00EE1532"/>
    <w:rsid w:val="00EE1A9F"/>
    <w:rsid w:val="00EE3AD9"/>
    <w:rsid w:val="00EE3C62"/>
    <w:rsid w:val="00EE50A1"/>
    <w:rsid w:val="00EE527F"/>
    <w:rsid w:val="00EE6E1A"/>
    <w:rsid w:val="00EE7709"/>
    <w:rsid w:val="00EE7C64"/>
    <w:rsid w:val="00EE7E74"/>
    <w:rsid w:val="00EF0BEE"/>
    <w:rsid w:val="00EF144B"/>
    <w:rsid w:val="00EF1CCA"/>
    <w:rsid w:val="00EF2CC1"/>
    <w:rsid w:val="00EF2ED3"/>
    <w:rsid w:val="00EF33B5"/>
    <w:rsid w:val="00EF3459"/>
    <w:rsid w:val="00EF3839"/>
    <w:rsid w:val="00EF46DE"/>
    <w:rsid w:val="00EF52E5"/>
    <w:rsid w:val="00EF533E"/>
    <w:rsid w:val="00EF5576"/>
    <w:rsid w:val="00EF5A01"/>
    <w:rsid w:val="00EF6345"/>
    <w:rsid w:val="00EF7E23"/>
    <w:rsid w:val="00EF7EAB"/>
    <w:rsid w:val="00F0156F"/>
    <w:rsid w:val="00F0178B"/>
    <w:rsid w:val="00F01F3D"/>
    <w:rsid w:val="00F02615"/>
    <w:rsid w:val="00F02852"/>
    <w:rsid w:val="00F02FEF"/>
    <w:rsid w:val="00F02FFB"/>
    <w:rsid w:val="00F0374B"/>
    <w:rsid w:val="00F045D1"/>
    <w:rsid w:val="00F04C69"/>
    <w:rsid w:val="00F04FFB"/>
    <w:rsid w:val="00F05B1B"/>
    <w:rsid w:val="00F0602E"/>
    <w:rsid w:val="00F068EE"/>
    <w:rsid w:val="00F123FC"/>
    <w:rsid w:val="00F1261F"/>
    <w:rsid w:val="00F137F1"/>
    <w:rsid w:val="00F147A8"/>
    <w:rsid w:val="00F15FAB"/>
    <w:rsid w:val="00F16E3D"/>
    <w:rsid w:val="00F2065D"/>
    <w:rsid w:val="00F217A0"/>
    <w:rsid w:val="00F21CDA"/>
    <w:rsid w:val="00F21F2D"/>
    <w:rsid w:val="00F2216B"/>
    <w:rsid w:val="00F22944"/>
    <w:rsid w:val="00F22B9C"/>
    <w:rsid w:val="00F23424"/>
    <w:rsid w:val="00F23E74"/>
    <w:rsid w:val="00F2408A"/>
    <w:rsid w:val="00F24F4A"/>
    <w:rsid w:val="00F24F6D"/>
    <w:rsid w:val="00F26A42"/>
    <w:rsid w:val="00F27AD1"/>
    <w:rsid w:val="00F307B7"/>
    <w:rsid w:val="00F30927"/>
    <w:rsid w:val="00F309E6"/>
    <w:rsid w:val="00F30ABE"/>
    <w:rsid w:val="00F312A7"/>
    <w:rsid w:val="00F31771"/>
    <w:rsid w:val="00F31D81"/>
    <w:rsid w:val="00F32441"/>
    <w:rsid w:val="00F32AE7"/>
    <w:rsid w:val="00F3381C"/>
    <w:rsid w:val="00F34FAC"/>
    <w:rsid w:val="00F353BC"/>
    <w:rsid w:val="00F3562E"/>
    <w:rsid w:val="00F35A3F"/>
    <w:rsid w:val="00F36209"/>
    <w:rsid w:val="00F37195"/>
    <w:rsid w:val="00F3747A"/>
    <w:rsid w:val="00F40340"/>
    <w:rsid w:val="00F40A43"/>
    <w:rsid w:val="00F410A5"/>
    <w:rsid w:val="00F42321"/>
    <w:rsid w:val="00F42D70"/>
    <w:rsid w:val="00F42ECB"/>
    <w:rsid w:val="00F43AE5"/>
    <w:rsid w:val="00F45375"/>
    <w:rsid w:val="00F454F5"/>
    <w:rsid w:val="00F45938"/>
    <w:rsid w:val="00F467EA"/>
    <w:rsid w:val="00F47C55"/>
    <w:rsid w:val="00F50870"/>
    <w:rsid w:val="00F50CF6"/>
    <w:rsid w:val="00F51BDF"/>
    <w:rsid w:val="00F52550"/>
    <w:rsid w:val="00F52CE5"/>
    <w:rsid w:val="00F52CF6"/>
    <w:rsid w:val="00F5334C"/>
    <w:rsid w:val="00F53441"/>
    <w:rsid w:val="00F5393E"/>
    <w:rsid w:val="00F5400F"/>
    <w:rsid w:val="00F541D6"/>
    <w:rsid w:val="00F55967"/>
    <w:rsid w:val="00F560A2"/>
    <w:rsid w:val="00F56586"/>
    <w:rsid w:val="00F56FC3"/>
    <w:rsid w:val="00F57DFD"/>
    <w:rsid w:val="00F63ED3"/>
    <w:rsid w:val="00F64046"/>
    <w:rsid w:val="00F64531"/>
    <w:rsid w:val="00F649E4"/>
    <w:rsid w:val="00F657BB"/>
    <w:rsid w:val="00F67486"/>
    <w:rsid w:val="00F70C53"/>
    <w:rsid w:val="00F7101D"/>
    <w:rsid w:val="00F713BA"/>
    <w:rsid w:val="00F7150C"/>
    <w:rsid w:val="00F71C53"/>
    <w:rsid w:val="00F727B7"/>
    <w:rsid w:val="00F72880"/>
    <w:rsid w:val="00F72D3F"/>
    <w:rsid w:val="00F73F0A"/>
    <w:rsid w:val="00F73F8E"/>
    <w:rsid w:val="00F751DD"/>
    <w:rsid w:val="00F76730"/>
    <w:rsid w:val="00F77B77"/>
    <w:rsid w:val="00F825C5"/>
    <w:rsid w:val="00F82763"/>
    <w:rsid w:val="00F830B6"/>
    <w:rsid w:val="00F833B1"/>
    <w:rsid w:val="00F84186"/>
    <w:rsid w:val="00F84D32"/>
    <w:rsid w:val="00F8565E"/>
    <w:rsid w:val="00F905A5"/>
    <w:rsid w:val="00F90914"/>
    <w:rsid w:val="00F911C8"/>
    <w:rsid w:val="00F91817"/>
    <w:rsid w:val="00F93732"/>
    <w:rsid w:val="00F93A11"/>
    <w:rsid w:val="00F9412C"/>
    <w:rsid w:val="00F950B6"/>
    <w:rsid w:val="00F95CD6"/>
    <w:rsid w:val="00F95F16"/>
    <w:rsid w:val="00F95FF5"/>
    <w:rsid w:val="00F972E6"/>
    <w:rsid w:val="00FA0C38"/>
    <w:rsid w:val="00FA0EB2"/>
    <w:rsid w:val="00FA2448"/>
    <w:rsid w:val="00FA258C"/>
    <w:rsid w:val="00FA6305"/>
    <w:rsid w:val="00FA725C"/>
    <w:rsid w:val="00FB0D78"/>
    <w:rsid w:val="00FB1431"/>
    <w:rsid w:val="00FB2AE7"/>
    <w:rsid w:val="00FB4513"/>
    <w:rsid w:val="00FB550A"/>
    <w:rsid w:val="00FB55A0"/>
    <w:rsid w:val="00FB57A3"/>
    <w:rsid w:val="00FB5B61"/>
    <w:rsid w:val="00FB5B7A"/>
    <w:rsid w:val="00FB64ED"/>
    <w:rsid w:val="00FB6FAA"/>
    <w:rsid w:val="00FB7F35"/>
    <w:rsid w:val="00FC191D"/>
    <w:rsid w:val="00FC35E4"/>
    <w:rsid w:val="00FC3A29"/>
    <w:rsid w:val="00FC3DEA"/>
    <w:rsid w:val="00FC55ED"/>
    <w:rsid w:val="00FC565B"/>
    <w:rsid w:val="00FC7638"/>
    <w:rsid w:val="00FC7EA9"/>
    <w:rsid w:val="00FD0D38"/>
    <w:rsid w:val="00FD201A"/>
    <w:rsid w:val="00FD25D2"/>
    <w:rsid w:val="00FD4F2A"/>
    <w:rsid w:val="00FD525E"/>
    <w:rsid w:val="00FD5888"/>
    <w:rsid w:val="00FD6180"/>
    <w:rsid w:val="00FE11F2"/>
    <w:rsid w:val="00FE3310"/>
    <w:rsid w:val="00FE407C"/>
    <w:rsid w:val="00FE4ADD"/>
    <w:rsid w:val="00FE5098"/>
    <w:rsid w:val="00FE656C"/>
    <w:rsid w:val="00FE6E3C"/>
    <w:rsid w:val="00FE71F5"/>
    <w:rsid w:val="00FF01D3"/>
    <w:rsid w:val="00FF04C8"/>
    <w:rsid w:val="00FF0CEF"/>
    <w:rsid w:val="00FF1B2B"/>
    <w:rsid w:val="00FF49EF"/>
    <w:rsid w:val="00FF4B32"/>
    <w:rsid w:val="00FF54FA"/>
    <w:rsid w:val="00FF5501"/>
    <w:rsid w:val="00FF7A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2635FA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4EB"/>
    <w:pPr>
      <w:spacing w:after="200" w:line="276" w:lineRule="auto"/>
    </w:pPr>
    <w:rPr>
      <w:sz w:val="22"/>
      <w:szCs w:val="22"/>
      <w:lang w:eastAsia="en-US"/>
    </w:rPr>
  </w:style>
  <w:style w:type="paragraph" w:styleId="Ttulo1">
    <w:name w:val="heading 1"/>
    <w:basedOn w:val="Normal"/>
    <w:next w:val="Normal"/>
    <w:link w:val="Ttulo1Car"/>
    <w:uiPriority w:val="9"/>
    <w:qFormat/>
    <w:rsid w:val="00EB52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971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5459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styleId="Hipervnculo">
    <w:name w:val="Hyperlink"/>
    <w:uiPriority w:val="99"/>
    <w:unhideWhenUsed/>
    <w:rsid w:val="0014792C"/>
    <w:rPr>
      <w:color w:val="0563C1"/>
      <w:u w:val="single"/>
    </w:rPr>
  </w:style>
  <w:style w:type="paragraph" w:styleId="Textonotapie">
    <w:name w:val="footnote text"/>
    <w:aliases w:val="Car Car,fn,footnote text,Footnotes,Footnote ak,Footnote Text Char2,Footnote Text Char1 Char1,Footnote Text Char Char Char,Footnote Text Char1 Char Char Char,Footnote Text Char Char Char Char Char,Footnote Text Char,ft,Footnote reference,C"/>
    <w:basedOn w:val="Normal"/>
    <w:link w:val="TextonotapieCar"/>
    <w:uiPriority w:val="99"/>
    <w:unhideWhenUsed/>
    <w:qFormat/>
    <w:rsid w:val="0014792C"/>
    <w:pPr>
      <w:spacing w:after="0" w:line="240" w:lineRule="auto"/>
      <w:jc w:val="both"/>
    </w:pPr>
    <w:rPr>
      <w:rFonts w:ascii="Times New Roman" w:hAnsi="Times New Roman"/>
      <w:sz w:val="20"/>
      <w:szCs w:val="20"/>
    </w:rPr>
  </w:style>
  <w:style w:type="character" w:customStyle="1" w:styleId="TextonotapieCar">
    <w:name w:val="Texto nota pie Car"/>
    <w:aliases w:val="Car Car Car,fn Car,footnote text Car,Footnotes Car,Footnote ak Car,Footnote Text Char2 Car,Footnote Text Char1 Char1 Car,Footnote Text Char Char Char Car,Footnote Text Char1 Char Char Char Car,Footnote Text Char Car,ft Car,C Car"/>
    <w:link w:val="Textonotapie"/>
    <w:uiPriority w:val="99"/>
    <w:rsid w:val="0014792C"/>
    <w:rPr>
      <w:rFonts w:ascii="Times New Roman" w:hAnsi="Times New Roman"/>
      <w:lang w:val="es-MX" w:eastAsia="en-US"/>
    </w:rPr>
  </w:style>
  <w:style w:type="character" w:styleId="Refdenotaalpie">
    <w:name w:val="footnote reference"/>
    <w:aliases w:val="Ref,de nota al pie,Ref. de nota al pie 2,Footnotes refss,Texto de nota al pie,Appel note de bas de page"/>
    <w:uiPriority w:val="99"/>
    <w:unhideWhenUsed/>
    <w:qFormat/>
    <w:rsid w:val="0014792C"/>
    <w:rPr>
      <w:vertAlign w:val="superscript"/>
    </w:rPr>
  </w:style>
  <w:style w:type="paragraph" w:styleId="Prrafodelista">
    <w:name w:val="List Paragraph"/>
    <w:aliases w:val="Llista Nivell1,Lista de nivel 1"/>
    <w:basedOn w:val="Normal"/>
    <w:link w:val="PrrafodelistaCar"/>
    <w:uiPriority w:val="99"/>
    <w:qFormat/>
    <w:rsid w:val="00B0353D"/>
    <w:pPr>
      <w:ind w:left="720"/>
      <w:contextualSpacing/>
    </w:pPr>
    <w:rPr>
      <w:lang w:val="x-none"/>
    </w:rPr>
  </w:style>
  <w:style w:type="table" w:styleId="Tablaconcuadrcula">
    <w:name w:val="Table Grid"/>
    <w:basedOn w:val="Tablanormal"/>
    <w:uiPriority w:val="39"/>
    <w:rsid w:val="001163A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163AB"/>
    <w:rPr>
      <w:sz w:val="22"/>
      <w:szCs w:val="22"/>
      <w:lang w:eastAsia="en-US"/>
    </w:rPr>
  </w:style>
  <w:style w:type="character" w:styleId="Refdecomentario">
    <w:name w:val="annotation reference"/>
    <w:uiPriority w:val="99"/>
    <w:semiHidden/>
    <w:unhideWhenUsed/>
    <w:rsid w:val="00EA72EE"/>
    <w:rPr>
      <w:sz w:val="16"/>
      <w:szCs w:val="16"/>
    </w:rPr>
  </w:style>
  <w:style w:type="paragraph" w:styleId="Textocomentario">
    <w:name w:val="annotation text"/>
    <w:basedOn w:val="Normal"/>
    <w:link w:val="TextocomentarioCar"/>
    <w:uiPriority w:val="99"/>
    <w:unhideWhenUsed/>
    <w:rsid w:val="00EA72EE"/>
    <w:rPr>
      <w:sz w:val="20"/>
      <w:szCs w:val="20"/>
      <w:lang w:val="x-none"/>
    </w:rPr>
  </w:style>
  <w:style w:type="character" w:customStyle="1" w:styleId="TextocomentarioCar">
    <w:name w:val="Texto comentario Car"/>
    <w:link w:val="Textocomentario"/>
    <w:uiPriority w:val="99"/>
    <w:rsid w:val="00EA72EE"/>
    <w:rPr>
      <w:lang w:eastAsia="en-US"/>
    </w:rPr>
  </w:style>
  <w:style w:type="paragraph" w:styleId="Textodeglobo">
    <w:name w:val="Balloon Text"/>
    <w:basedOn w:val="Normal"/>
    <w:link w:val="TextodegloboCar"/>
    <w:uiPriority w:val="99"/>
    <w:semiHidden/>
    <w:unhideWhenUsed/>
    <w:rsid w:val="00EA72EE"/>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EA72EE"/>
    <w:rPr>
      <w:rFonts w:ascii="Tahoma" w:hAnsi="Tahoma" w:cs="Tahoma"/>
      <w:sz w:val="16"/>
      <w:szCs w:val="16"/>
      <w:lang w:eastAsia="en-US"/>
    </w:rPr>
  </w:style>
  <w:style w:type="character" w:customStyle="1" w:styleId="PrrafodelistaCar">
    <w:name w:val="Párrafo de lista Car"/>
    <w:aliases w:val="Llista Nivell1 Car,Lista de nivel 1 Car"/>
    <w:link w:val="Prrafodelista"/>
    <w:uiPriority w:val="99"/>
    <w:rsid w:val="00A13E8C"/>
    <w:rPr>
      <w:sz w:val="22"/>
      <w:szCs w:val="22"/>
      <w:lang w:eastAsia="en-US"/>
    </w:rPr>
  </w:style>
  <w:style w:type="character" w:customStyle="1" w:styleId="apple-converted-space">
    <w:name w:val="apple-converted-space"/>
    <w:basedOn w:val="Fuentedeprrafopredeter"/>
    <w:rsid w:val="001F0966"/>
  </w:style>
  <w:style w:type="paragraph" w:styleId="Asuntodelcomentario">
    <w:name w:val="annotation subject"/>
    <w:basedOn w:val="Textocomentario"/>
    <w:next w:val="Textocomentario"/>
    <w:link w:val="AsuntodelcomentarioCar"/>
    <w:uiPriority w:val="99"/>
    <w:semiHidden/>
    <w:unhideWhenUsed/>
    <w:rsid w:val="001E5C07"/>
    <w:pPr>
      <w:spacing w:line="240" w:lineRule="auto"/>
    </w:pPr>
    <w:rPr>
      <w:b/>
      <w:bCs/>
      <w:lang w:val="es-MX"/>
    </w:rPr>
  </w:style>
  <w:style w:type="character" w:customStyle="1" w:styleId="AsuntodelcomentarioCar">
    <w:name w:val="Asunto del comentario Car"/>
    <w:basedOn w:val="TextocomentarioCar"/>
    <w:link w:val="Asuntodelcomentario"/>
    <w:uiPriority w:val="99"/>
    <w:semiHidden/>
    <w:rsid w:val="001E5C07"/>
    <w:rPr>
      <w:b/>
      <w:bCs/>
      <w:lang w:eastAsia="en-US"/>
    </w:rPr>
  </w:style>
  <w:style w:type="character" w:styleId="Textoennegrita">
    <w:name w:val="Strong"/>
    <w:basedOn w:val="Fuentedeprrafopredeter"/>
    <w:uiPriority w:val="22"/>
    <w:qFormat/>
    <w:rsid w:val="00C663F8"/>
    <w:rPr>
      <w:b/>
      <w:bCs/>
    </w:rPr>
  </w:style>
  <w:style w:type="paragraph" w:customStyle="1" w:styleId="Seccin">
    <w:name w:val="Sección"/>
    <w:basedOn w:val="Normal"/>
    <w:qFormat/>
    <w:rsid w:val="00BD2046"/>
    <w:pPr>
      <w:spacing w:before="360" w:after="0" w:line="259" w:lineRule="auto"/>
      <w:jc w:val="both"/>
    </w:pPr>
    <w:rPr>
      <w:rFonts w:ascii="ITC Avant Garde" w:eastAsiaTheme="minorEastAsia" w:hAnsi="ITC Avant Garde" w:cstheme="minorBidi"/>
      <w:b/>
      <w:smallCaps/>
      <w:sz w:val="20"/>
      <w:szCs w:val="24"/>
      <w:lang w:eastAsia="ja-JP"/>
    </w:rPr>
  </w:style>
  <w:style w:type="paragraph" w:customStyle="1" w:styleId="ROMANOS">
    <w:name w:val="ROMANOS"/>
    <w:basedOn w:val="Normal"/>
    <w:link w:val="ROMANOSCar"/>
    <w:rsid w:val="00387E53"/>
    <w:pPr>
      <w:tabs>
        <w:tab w:val="left" w:pos="720"/>
      </w:tabs>
      <w:spacing w:after="101" w:line="216" w:lineRule="exact"/>
      <w:ind w:left="720" w:hanging="432"/>
      <w:jc w:val="both"/>
    </w:pPr>
    <w:rPr>
      <w:rFonts w:ascii="Arial" w:eastAsia="Times New Roman" w:hAnsi="Arial" w:cs="Arial"/>
      <w:sz w:val="18"/>
      <w:szCs w:val="18"/>
      <w:lang w:val="es-ES_tradnl" w:eastAsia="es-ES"/>
    </w:rPr>
  </w:style>
  <w:style w:type="character" w:customStyle="1" w:styleId="ROMANOSCar">
    <w:name w:val="ROMANOS Car"/>
    <w:link w:val="ROMANOS"/>
    <w:locked/>
    <w:rsid w:val="00387E53"/>
    <w:rPr>
      <w:rFonts w:ascii="Arial" w:eastAsia="Times New Roman" w:hAnsi="Arial" w:cs="Arial"/>
      <w:sz w:val="18"/>
      <w:szCs w:val="18"/>
      <w:lang w:val="es-ES_tradnl" w:eastAsia="es-ES"/>
    </w:rPr>
  </w:style>
  <w:style w:type="character" w:customStyle="1" w:styleId="Ttulo1Car">
    <w:name w:val="Título 1 Car"/>
    <w:basedOn w:val="Fuentedeprrafopredeter"/>
    <w:link w:val="Ttulo1"/>
    <w:uiPriority w:val="9"/>
    <w:rsid w:val="00EB52A7"/>
    <w:rPr>
      <w:rFonts w:asciiTheme="majorHAnsi" w:eastAsiaTheme="majorEastAsia" w:hAnsiTheme="majorHAnsi" w:cstheme="majorBidi"/>
      <w:color w:val="2E74B5" w:themeColor="accent1" w:themeShade="BF"/>
      <w:sz w:val="32"/>
      <w:szCs w:val="32"/>
      <w:lang w:eastAsia="en-US"/>
    </w:rPr>
  </w:style>
  <w:style w:type="character" w:customStyle="1" w:styleId="Ttulo3Car">
    <w:name w:val="Título 3 Car"/>
    <w:basedOn w:val="Fuentedeprrafopredeter"/>
    <w:link w:val="Ttulo3"/>
    <w:uiPriority w:val="9"/>
    <w:semiHidden/>
    <w:rsid w:val="0054596F"/>
    <w:rPr>
      <w:rFonts w:asciiTheme="majorHAnsi" w:eastAsiaTheme="majorEastAsia" w:hAnsiTheme="majorHAnsi" w:cstheme="majorBidi"/>
      <w:color w:val="1F4D78" w:themeColor="accent1" w:themeShade="7F"/>
      <w:sz w:val="24"/>
      <w:szCs w:val="24"/>
      <w:lang w:eastAsia="en-US"/>
    </w:rPr>
  </w:style>
  <w:style w:type="paragraph" w:styleId="Subttulo">
    <w:name w:val="Subtitle"/>
    <w:basedOn w:val="Normal"/>
    <w:next w:val="Normal"/>
    <w:link w:val="SubttuloCar"/>
    <w:uiPriority w:val="11"/>
    <w:qFormat/>
    <w:rsid w:val="0089713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89713C"/>
    <w:rPr>
      <w:rFonts w:asciiTheme="minorHAnsi" w:eastAsiaTheme="minorEastAsia" w:hAnsiTheme="minorHAnsi" w:cstheme="minorBidi"/>
      <w:color w:val="5A5A5A" w:themeColor="text1" w:themeTint="A5"/>
      <w:spacing w:val="15"/>
      <w:sz w:val="22"/>
      <w:szCs w:val="22"/>
      <w:lang w:eastAsia="en-US"/>
    </w:rPr>
  </w:style>
  <w:style w:type="character" w:customStyle="1" w:styleId="Ttulo2Car">
    <w:name w:val="Título 2 Car"/>
    <w:basedOn w:val="Fuentedeprrafopredeter"/>
    <w:link w:val="Ttulo2"/>
    <w:uiPriority w:val="9"/>
    <w:rsid w:val="0089713C"/>
    <w:rPr>
      <w:rFonts w:asciiTheme="majorHAnsi" w:eastAsiaTheme="majorEastAsia" w:hAnsiTheme="majorHAnsi" w:cstheme="majorBidi"/>
      <w:color w:val="2E74B5" w:themeColor="accent1" w:themeShade="BF"/>
      <w:sz w:val="26"/>
      <w:szCs w:val="26"/>
      <w:lang w:eastAsia="en-US"/>
    </w:rPr>
  </w:style>
  <w:style w:type="table" w:customStyle="1" w:styleId="Tablaconcuadrcula1">
    <w:name w:val="Tabla con cuadrícula1"/>
    <w:basedOn w:val="Tablanormal"/>
    <w:next w:val="Tablaconcuadrcula"/>
    <w:uiPriority w:val="39"/>
    <w:rsid w:val="00723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2404E6"/>
    <w:pPr>
      <w:spacing w:after="120" w:line="480" w:lineRule="auto"/>
    </w:pPr>
  </w:style>
  <w:style w:type="character" w:customStyle="1" w:styleId="Textoindependiente2Car">
    <w:name w:val="Texto independiente 2 Car"/>
    <w:basedOn w:val="Fuentedeprrafopredeter"/>
    <w:link w:val="Textoindependiente2"/>
    <w:uiPriority w:val="99"/>
    <w:semiHidden/>
    <w:rsid w:val="002404E6"/>
    <w:rPr>
      <w:sz w:val="22"/>
      <w:szCs w:val="22"/>
      <w:lang w:eastAsia="en-US"/>
    </w:rPr>
  </w:style>
  <w:style w:type="paragraph" w:styleId="Textoindependiente">
    <w:name w:val="Body Text"/>
    <w:basedOn w:val="Normal"/>
    <w:link w:val="TextoindependienteCar"/>
    <w:uiPriority w:val="99"/>
    <w:unhideWhenUsed/>
    <w:rsid w:val="00AE04D0"/>
    <w:pPr>
      <w:spacing w:after="120" w:line="259" w:lineRule="auto"/>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rsid w:val="00AE04D0"/>
    <w:rPr>
      <w:rFonts w:asciiTheme="minorHAnsi" w:eastAsiaTheme="minorHAnsi" w:hAnsiTheme="minorHAnsi" w:cstheme="minorBidi"/>
      <w:sz w:val="22"/>
      <w:szCs w:val="22"/>
      <w:lang w:eastAsia="en-US"/>
    </w:rPr>
  </w:style>
  <w:style w:type="paragraph" w:styleId="Revisin">
    <w:name w:val="Revision"/>
    <w:hidden/>
    <w:uiPriority w:val="99"/>
    <w:semiHidden/>
    <w:rsid w:val="00EB13FD"/>
    <w:rPr>
      <w:sz w:val="22"/>
      <w:szCs w:val="22"/>
      <w:lang w:eastAsia="en-US"/>
    </w:rPr>
  </w:style>
  <w:style w:type="character" w:styleId="nfasisintenso">
    <w:name w:val="Intense Emphasis"/>
    <w:basedOn w:val="Fuentedeprrafopredeter"/>
    <w:uiPriority w:val="21"/>
    <w:qFormat/>
    <w:rsid w:val="00350B85"/>
    <w:rPr>
      <w:i/>
      <w:iCs/>
      <w:color w:val="5B9BD5" w:themeColor="accent1"/>
    </w:rPr>
  </w:style>
  <w:style w:type="table" w:customStyle="1" w:styleId="Tabladelista4-nfasis31">
    <w:name w:val="Tabla de lista 4 - Énfasis 31"/>
    <w:basedOn w:val="Tablanormal"/>
    <w:uiPriority w:val="49"/>
    <w:rsid w:val="00A92978"/>
    <w:rPr>
      <w:rFonts w:ascii="ITC Avant Garde" w:eastAsiaTheme="minorHAnsi" w:hAnsi="ITC Avant Garde" w:cstheme="minorBidi"/>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nfasis5">
    <w:name w:val="Grid Table 4 Accent 5"/>
    <w:basedOn w:val="Tablanormal"/>
    <w:uiPriority w:val="49"/>
    <w:rsid w:val="00306472"/>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4-nfasis1">
    <w:name w:val="Grid Table 4 Accent 1"/>
    <w:basedOn w:val="Tablanormal"/>
    <w:uiPriority w:val="49"/>
    <w:rsid w:val="00306472"/>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exto">
    <w:name w:val="Texto"/>
    <w:basedOn w:val="Normal"/>
    <w:link w:val="TextoCar"/>
    <w:rsid w:val="00A66BA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66BAA"/>
    <w:rPr>
      <w:rFonts w:ascii="Arial" w:eastAsia="Times New Roman" w:hAnsi="Arial" w:cs="Arial"/>
      <w:sz w:val="18"/>
      <w:lang w:val="es-ES" w:eastAsia="es-ES"/>
    </w:rPr>
  </w:style>
  <w:style w:type="paragraph" w:styleId="Ttulo">
    <w:name w:val="Title"/>
    <w:basedOn w:val="Normal"/>
    <w:next w:val="Normal"/>
    <w:link w:val="TtuloCar"/>
    <w:uiPriority w:val="10"/>
    <w:qFormat/>
    <w:rsid w:val="00995B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B37"/>
    <w:rPr>
      <w:rFonts w:asciiTheme="majorHAnsi" w:eastAsiaTheme="majorEastAsia" w:hAnsiTheme="majorHAnsi" w:cstheme="majorBidi"/>
      <w:spacing w:val="-10"/>
      <w:kern w:val="28"/>
      <w:sz w:val="56"/>
      <w:szCs w:val="56"/>
      <w:lang w:eastAsia="en-US"/>
    </w:rPr>
  </w:style>
  <w:style w:type="table" w:customStyle="1" w:styleId="Tablaconcuadrcula2">
    <w:name w:val="Tabla con cuadrícula2"/>
    <w:basedOn w:val="Tablanormal"/>
    <w:next w:val="Tablaconcuadrcula"/>
    <w:uiPriority w:val="39"/>
    <w:rsid w:val="000531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37304">
      <w:bodyDiv w:val="1"/>
      <w:marLeft w:val="0"/>
      <w:marRight w:val="0"/>
      <w:marTop w:val="0"/>
      <w:marBottom w:val="0"/>
      <w:divBdr>
        <w:top w:val="none" w:sz="0" w:space="0" w:color="auto"/>
        <w:left w:val="none" w:sz="0" w:space="0" w:color="auto"/>
        <w:bottom w:val="none" w:sz="0" w:space="0" w:color="auto"/>
        <w:right w:val="none" w:sz="0" w:space="0" w:color="auto"/>
      </w:divBdr>
    </w:div>
    <w:div w:id="320038702">
      <w:bodyDiv w:val="1"/>
      <w:marLeft w:val="0"/>
      <w:marRight w:val="0"/>
      <w:marTop w:val="0"/>
      <w:marBottom w:val="0"/>
      <w:divBdr>
        <w:top w:val="none" w:sz="0" w:space="0" w:color="auto"/>
        <w:left w:val="none" w:sz="0" w:space="0" w:color="auto"/>
        <w:bottom w:val="none" w:sz="0" w:space="0" w:color="auto"/>
        <w:right w:val="none" w:sz="0" w:space="0" w:color="auto"/>
      </w:divBdr>
    </w:div>
    <w:div w:id="387415103">
      <w:bodyDiv w:val="1"/>
      <w:marLeft w:val="0"/>
      <w:marRight w:val="0"/>
      <w:marTop w:val="0"/>
      <w:marBottom w:val="0"/>
      <w:divBdr>
        <w:top w:val="none" w:sz="0" w:space="0" w:color="auto"/>
        <w:left w:val="none" w:sz="0" w:space="0" w:color="auto"/>
        <w:bottom w:val="none" w:sz="0" w:space="0" w:color="auto"/>
        <w:right w:val="none" w:sz="0" w:space="0" w:color="auto"/>
      </w:divBdr>
    </w:div>
    <w:div w:id="873152883">
      <w:bodyDiv w:val="1"/>
      <w:marLeft w:val="0"/>
      <w:marRight w:val="0"/>
      <w:marTop w:val="0"/>
      <w:marBottom w:val="0"/>
      <w:divBdr>
        <w:top w:val="none" w:sz="0" w:space="0" w:color="auto"/>
        <w:left w:val="none" w:sz="0" w:space="0" w:color="auto"/>
        <w:bottom w:val="none" w:sz="0" w:space="0" w:color="auto"/>
        <w:right w:val="none" w:sz="0" w:space="0" w:color="auto"/>
      </w:divBdr>
    </w:div>
    <w:div w:id="1171917374">
      <w:bodyDiv w:val="1"/>
      <w:marLeft w:val="0"/>
      <w:marRight w:val="0"/>
      <w:marTop w:val="0"/>
      <w:marBottom w:val="0"/>
      <w:divBdr>
        <w:top w:val="none" w:sz="0" w:space="0" w:color="auto"/>
        <w:left w:val="none" w:sz="0" w:space="0" w:color="auto"/>
        <w:bottom w:val="none" w:sz="0" w:space="0" w:color="auto"/>
        <w:right w:val="none" w:sz="0" w:space="0" w:color="auto"/>
      </w:divBdr>
    </w:div>
    <w:div w:id="1273435995">
      <w:bodyDiv w:val="1"/>
      <w:marLeft w:val="0"/>
      <w:marRight w:val="0"/>
      <w:marTop w:val="0"/>
      <w:marBottom w:val="0"/>
      <w:divBdr>
        <w:top w:val="none" w:sz="0" w:space="0" w:color="auto"/>
        <w:left w:val="none" w:sz="0" w:space="0" w:color="auto"/>
        <w:bottom w:val="none" w:sz="0" w:space="0" w:color="auto"/>
        <w:right w:val="none" w:sz="0" w:space="0" w:color="auto"/>
      </w:divBdr>
    </w:div>
    <w:div w:id="1314942074">
      <w:bodyDiv w:val="1"/>
      <w:marLeft w:val="0"/>
      <w:marRight w:val="0"/>
      <w:marTop w:val="0"/>
      <w:marBottom w:val="0"/>
      <w:divBdr>
        <w:top w:val="none" w:sz="0" w:space="0" w:color="auto"/>
        <w:left w:val="none" w:sz="0" w:space="0" w:color="auto"/>
        <w:bottom w:val="none" w:sz="0" w:space="0" w:color="auto"/>
        <w:right w:val="none" w:sz="0" w:space="0" w:color="auto"/>
      </w:divBdr>
    </w:div>
    <w:div w:id="1321346484">
      <w:bodyDiv w:val="1"/>
      <w:marLeft w:val="0"/>
      <w:marRight w:val="0"/>
      <w:marTop w:val="0"/>
      <w:marBottom w:val="0"/>
      <w:divBdr>
        <w:top w:val="none" w:sz="0" w:space="0" w:color="auto"/>
        <w:left w:val="none" w:sz="0" w:space="0" w:color="auto"/>
        <w:bottom w:val="none" w:sz="0" w:space="0" w:color="auto"/>
        <w:right w:val="none" w:sz="0" w:space="0" w:color="auto"/>
      </w:divBdr>
    </w:div>
    <w:div w:id="1381129465">
      <w:bodyDiv w:val="1"/>
      <w:marLeft w:val="0"/>
      <w:marRight w:val="0"/>
      <w:marTop w:val="0"/>
      <w:marBottom w:val="0"/>
      <w:divBdr>
        <w:top w:val="none" w:sz="0" w:space="0" w:color="auto"/>
        <w:left w:val="none" w:sz="0" w:space="0" w:color="auto"/>
        <w:bottom w:val="none" w:sz="0" w:space="0" w:color="auto"/>
        <w:right w:val="none" w:sz="0" w:space="0" w:color="auto"/>
      </w:divBdr>
    </w:div>
    <w:div w:id="1457335696">
      <w:bodyDiv w:val="1"/>
      <w:marLeft w:val="0"/>
      <w:marRight w:val="0"/>
      <w:marTop w:val="0"/>
      <w:marBottom w:val="0"/>
      <w:divBdr>
        <w:top w:val="none" w:sz="0" w:space="0" w:color="auto"/>
        <w:left w:val="none" w:sz="0" w:space="0" w:color="auto"/>
        <w:bottom w:val="none" w:sz="0" w:space="0" w:color="auto"/>
        <w:right w:val="none" w:sz="0" w:space="0" w:color="auto"/>
      </w:divBdr>
    </w:div>
    <w:div w:id="1768381787">
      <w:bodyDiv w:val="1"/>
      <w:marLeft w:val="0"/>
      <w:marRight w:val="0"/>
      <w:marTop w:val="0"/>
      <w:marBottom w:val="0"/>
      <w:divBdr>
        <w:top w:val="none" w:sz="0" w:space="0" w:color="auto"/>
        <w:left w:val="none" w:sz="0" w:space="0" w:color="auto"/>
        <w:bottom w:val="none" w:sz="0" w:space="0" w:color="auto"/>
        <w:right w:val="none" w:sz="0" w:space="0" w:color="auto"/>
      </w:divBdr>
    </w:div>
    <w:div w:id="1842885920">
      <w:bodyDiv w:val="1"/>
      <w:marLeft w:val="0"/>
      <w:marRight w:val="0"/>
      <w:marTop w:val="0"/>
      <w:marBottom w:val="0"/>
      <w:divBdr>
        <w:top w:val="none" w:sz="0" w:space="0" w:color="auto"/>
        <w:left w:val="none" w:sz="0" w:space="0" w:color="auto"/>
        <w:bottom w:val="none" w:sz="0" w:space="0" w:color="auto"/>
        <w:right w:val="none" w:sz="0" w:space="0" w:color="auto"/>
      </w:divBdr>
    </w:div>
    <w:div w:id="1946644471">
      <w:bodyDiv w:val="1"/>
      <w:marLeft w:val="0"/>
      <w:marRight w:val="0"/>
      <w:marTop w:val="0"/>
      <w:marBottom w:val="0"/>
      <w:divBdr>
        <w:top w:val="none" w:sz="0" w:space="0" w:color="auto"/>
        <w:left w:val="none" w:sz="0" w:space="0" w:color="auto"/>
        <w:bottom w:val="none" w:sz="0" w:space="0" w:color="auto"/>
        <w:right w:val="none" w:sz="0" w:space="0" w:color="auto"/>
      </w:divBdr>
      <w:divsChild>
        <w:div w:id="278688949">
          <w:marLeft w:val="0"/>
          <w:marRight w:val="0"/>
          <w:marTop w:val="0"/>
          <w:marBottom w:val="101"/>
          <w:divBdr>
            <w:top w:val="none" w:sz="0" w:space="0" w:color="auto"/>
            <w:left w:val="none" w:sz="0" w:space="0" w:color="auto"/>
            <w:bottom w:val="none" w:sz="0" w:space="0" w:color="auto"/>
            <w:right w:val="none" w:sz="0" w:space="0" w:color="auto"/>
          </w:divBdr>
        </w:div>
        <w:div w:id="1696886448">
          <w:marLeft w:val="0"/>
          <w:marRight w:val="0"/>
          <w:marTop w:val="0"/>
          <w:marBottom w:val="101"/>
          <w:divBdr>
            <w:top w:val="none" w:sz="0" w:space="0" w:color="auto"/>
            <w:left w:val="none" w:sz="0" w:space="0" w:color="auto"/>
            <w:bottom w:val="none" w:sz="0" w:space="0" w:color="auto"/>
            <w:right w:val="none" w:sz="0" w:space="0" w:color="auto"/>
          </w:divBdr>
        </w:div>
        <w:div w:id="1954701419">
          <w:marLeft w:val="0"/>
          <w:marRight w:val="0"/>
          <w:marTop w:val="0"/>
          <w:marBottom w:val="101"/>
          <w:divBdr>
            <w:top w:val="none" w:sz="0" w:space="0" w:color="auto"/>
            <w:left w:val="none" w:sz="0" w:space="0" w:color="auto"/>
            <w:bottom w:val="none" w:sz="0" w:space="0" w:color="auto"/>
            <w:right w:val="none" w:sz="0" w:space="0" w:color="auto"/>
          </w:divBdr>
        </w:div>
        <w:div w:id="1931766">
          <w:marLeft w:val="0"/>
          <w:marRight w:val="0"/>
          <w:marTop w:val="0"/>
          <w:marBottom w:val="101"/>
          <w:divBdr>
            <w:top w:val="none" w:sz="0" w:space="0" w:color="auto"/>
            <w:left w:val="none" w:sz="0" w:space="0" w:color="auto"/>
            <w:bottom w:val="none" w:sz="0" w:space="0" w:color="auto"/>
            <w:right w:val="none" w:sz="0" w:space="0" w:color="auto"/>
          </w:divBdr>
        </w:div>
        <w:div w:id="120347389">
          <w:marLeft w:val="288"/>
          <w:marRight w:val="0"/>
          <w:marTop w:val="0"/>
          <w:marBottom w:val="101"/>
          <w:divBdr>
            <w:top w:val="none" w:sz="0" w:space="0" w:color="auto"/>
            <w:left w:val="none" w:sz="0" w:space="0" w:color="auto"/>
            <w:bottom w:val="none" w:sz="0" w:space="0" w:color="auto"/>
            <w:right w:val="none" w:sz="0" w:space="0" w:color="auto"/>
          </w:divBdr>
        </w:div>
        <w:div w:id="1005477183">
          <w:marLeft w:val="288"/>
          <w:marRight w:val="0"/>
          <w:marTop w:val="0"/>
          <w:marBottom w:val="101"/>
          <w:divBdr>
            <w:top w:val="none" w:sz="0" w:space="0" w:color="auto"/>
            <w:left w:val="none" w:sz="0" w:space="0" w:color="auto"/>
            <w:bottom w:val="none" w:sz="0" w:space="0" w:color="auto"/>
            <w:right w:val="none" w:sz="0" w:space="0" w:color="auto"/>
          </w:divBdr>
        </w:div>
        <w:div w:id="1868444657">
          <w:marLeft w:val="288"/>
          <w:marRight w:val="0"/>
          <w:marTop w:val="0"/>
          <w:marBottom w:val="101"/>
          <w:divBdr>
            <w:top w:val="none" w:sz="0" w:space="0" w:color="auto"/>
            <w:left w:val="none" w:sz="0" w:space="0" w:color="auto"/>
            <w:bottom w:val="none" w:sz="0" w:space="0" w:color="auto"/>
            <w:right w:val="none" w:sz="0" w:space="0" w:color="auto"/>
          </w:divBdr>
        </w:div>
        <w:div w:id="748886872">
          <w:marLeft w:val="288"/>
          <w:marRight w:val="0"/>
          <w:marTop w:val="0"/>
          <w:marBottom w:val="101"/>
          <w:divBdr>
            <w:top w:val="none" w:sz="0" w:space="0" w:color="auto"/>
            <w:left w:val="none" w:sz="0" w:space="0" w:color="auto"/>
            <w:bottom w:val="none" w:sz="0" w:space="0" w:color="auto"/>
            <w:right w:val="none" w:sz="0" w:space="0" w:color="auto"/>
          </w:divBdr>
        </w:div>
        <w:div w:id="456993557">
          <w:marLeft w:val="0"/>
          <w:marRight w:val="0"/>
          <w:marTop w:val="0"/>
          <w:marBottom w:val="101"/>
          <w:divBdr>
            <w:top w:val="none" w:sz="0" w:space="0" w:color="auto"/>
            <w:left w:val="none" w:sz="0" w:space="0" w:color="auto"/>
            <w:bottom w:val="none" w:sz="0" w:space="0" w:color="auto"/>
            <w:right w:val="none" w:sz="0" w:space="0" w:color="auto"/>
          </w:divBdr>
        </w:div>
        <w:div w:id="1800416299">
          <w:marLeft w:val="0"/>
          <w:marRight w:val="0"/>
          <w:marTop w:val="0"/>
          <w:marBottom w:val="101"/>
          <w:divBdr>
            <w:top w:val="none" w:sz="0" w:space="0" w:color="auto"/>
            <w:left w:val="none" w:sz="0" w:space="0" w:color="auto"/>
            <w:bottom w:val="none" w:sz="0" w:space="0" w:color="auto"/>
            <w:right w:val="none" w:sz="0" w:space="0" w:color="auto"/>
          </w:divBdr>
        </w:div>
      </w:divsChild>
    </w:div>
    <w:div w:id="1950627928">
      <w:bodyDiv w:val="1"/>
      <w:marLeft w:val="0"/>
      <w:marRight w:val="0"/>
      <w:marTop w:val="0"/>
      <w:marBottom w:val="0"/>
      <w:divBdr>
        <w:top w:val="none" w:sz="0" w:space="0" w:color="auto"/>
        <w:left w:val="none" w:sz="0" w:space="0" w:color="auto"/>
        <w:bottom w:val="none" w:sz="0" w:space="0" w:color="auto"/>
        <w:right w:val="none" w:sz="0" w:space="0" w:color="auto"/>
      </w:divBdr>
      <w:divsChild>
        <w:div w:id="194082063">
          <w:marLeft w:val="0"/>
          <w:marRight w:val="0"/>
          <w:marTop w:val="0"/>
          <w:marBottom w:val="101"/>
          <w:divBdr>
            <w:top w:val="none" w:sz="0" w:space="0" w:color="auto"/>
            <w:left w:val="none" w:sz="0" w:space="0" w:color="auto"/>
            <w:bottom w:val="none" w:sz="0" w:space="0" w:color="auto"/>
            <w:right w:val="none" w:sz="0" w:space="0" w:color="auto"/>
          </w:divBdr>
        </w:div>
        <w:div w:id="176561416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icialiaai@ift.org.m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icialiaai@ift.org.m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38D52F1F70D3147B871117FD1E36B4C" ma:contentTypeVersion="0" ma:contentTypeDescription="Crear nuevo documento." ma:contentTypeScope="" ma:versionID="27a96c2f1942c4513954155dc98c088f">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EE2EC-9271-437D-889C-7E36276B47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305EDD-C8ED-4770-B982-C402E49F4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D779832-FF0B-4A69-AE99-A708C691BC17}">
  <ds:schemaRefs>
    <ds:schemaRef ds:uri="http://schemas.microsoft.com/sharepoint/v3/contenttype/forms"/>
  </ds:schemaRefs>
</ds:datastoreItem>
</file>

<file path=customXml/itemProps4.xml><?xml version="1.0" encoding="utf-8"?>
<ds:datastoreItem xmlns:ds="http://schemas.openxmlformats.org/officeDocument/2006/customXml" ds:itemID="{A35B6EA7-1FAE-4472-9AC7-32C049967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10816</Words>
  <Characters>59492</Characters>
  <Application>Microsoft Office Word</Application>
  <DocSecurity>0</DocSecurity>
  <Lines>495</Lines>
  <Paragraphs>140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70168</CharactersWithSpaces>
  <SharedDoc>false</SharedDoc>
  <HLinks>
    <vt:vector size="6" baseType="variant">
      <vt:variant>
        <vt:i4>4128819</vt:i4>
      </vt:variant>
      <vt:variant>
        <vt:i4>0</vt:i4>
      </vt:variant>
      <vt:variant>
        <vt:i4>0</vt:i4>
      </vt:variant>
      <vt:variant>
        <vt:i4>5</vt:i4>
      </vt:variant>
      <vt:variant>
        <vt:lpwstr>http://www.yuzu.com.mx/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2016-11-08T01:10:00Z</cp:lastPrinted>
  <dcterms:created xsi:type="dcterms:W3CDTF">2018-08-24T19:58:00Z</dcterms:created>
  <dcterms:modified xsi:type="dcterms:W3CDTF">2018-08-24T20:02:00Z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0x010100538D52F1F70D3147B871117FD1E36B4C</vt:lpwstr>
  </property>
</Properties>
</file>