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D19" w:rsidRPr="00443C3D" w:rsidRDefault="003A203A" w:rsidP="006619E7">
      <w:pPr>
        <w:spacing w:after="200" w:line="276" w:lineRule="auto"/>
        <w:ind w:right="49"/>
        <w:jc w:val="both"/>
        <w:rPr>
          <w:rFonts w:ascii="ITC Avant Garde" w:hAnsi="ITC Avant Garde"/>
          <w:bCs/>
          <w:lang w:val="es-ES_tradnl"/>
        </w:rPr>
      </w:pPr>
      <w:r w:rsidRPr="00443C3D">
        <w:rPr>
          <w:rFonts w:ascii="ITC Avant Garde" w:hAnsi="ITC Avant Garde" w:cs="Arial"/>
          <w:b/>
        </w:rPr>
        <w:t xml:space="preserve">ANTEPROYECTO DE </w:t>
      </w:r>
      <w:r w:rsidR="000C1D19" w:rsidRPr="00443C3D">
        <w:rPr>
          <w:rFonts w:ascii="ITC Avant Garde" w:hAnsi="ITC Avant Garde" w:cs="Arial"/>
          <w:b/>
        </w:rPr>
        <w:t>LAS CONDICIONES TÉCNICAS MÍNIMAS PARA LA INTERCONEXIÓN ENTRE CONCESIONARIOS QUE OPEREN REDES PÚBLICAS DE TELECOMUNICACIONES</w:t>
      </w:r>
      <w:r w:rsidR="00F771C8" w:rsidRPr="00443C3D">
        <w:rPr>
          <w:rFonts w:ascii="ITC Avant Garde" w:hAnsi="ITC Avant Garde" w:cs="Arial"/>
          <w:b/>
        </w:rPr>
        <w:t xml:space="preserve"> Y LAS TARIFAS QUE </w:t>
      </w:r>
      <w:r w:rsidR="00465D77" w:rsidRPr="00443C3D">
        <w:rPr>
          <w:rFonts w:ascii="ITC Avant Garde" w:hAnsi="ITC Avant Garde" w:cs="Arial"/>
          <w:b/>
        </w:rPr>
        <w:t>RESULTEN</w:t>
      </w:r>
      <w:r w:rsidR="00F771C8" w:rsidRPr="00443C3D">
        <w:rPr>
          <w:rFonts w:ascii="ITC Avant Garde" w:hAnsi="ITC Avant Garde" w:cs="Arial"/>
          <w:b/>
        </w:rPr>
        <w:t xml:space="preserve"> DE</w:t>
      </w:r>
      <w:r w:rsidR="00D24567" w:rsidRPr="00443C3D">
        <w:rPr>
          <w:rFonts w:ascii="ITC Avant Garde" w:hAnsi="ITC Avant Garde" w:cs="Arial"/>
          <w:b/>
        </w:rPr>
        <w:t xml:space="preserve"> LAS METODOLOGÍAS DE COSTOS QUE </w:t>
      </w:r>
      <w:r w:rsidR="00F771C8" w:rsidRPr="00443C3D">
        <w:rPr>
          <w:rFonts w:ascii="ITC Avant Garde" w:hAnsi="ITC Avant Garde" w:cs="Arial"/>
          <w:b/>
        </w:rPr>
        <w:t>ESTARÁN VIGENTES DEL 1 DE ENERO AL 31 DE DICIEMBRE DE 201</w:t>
      </w:r>
      <w:r w:rsidR="00985201" w:rsidRPr="00443C3D">
        <w:rPr>
          <w:rFonts w:ascii="ITC Avant Garde" w:hAnsi="ITC Avant Garde" w:cs="Arial"/>
          <w:b/>
        </w:rPr>
        <w:t>9</w:t>
      </w:r>
      <w:r w:rsidR="000C1D19" w:rsidRPr="00443C3D">
        <w:rPr>
          <w:rFonts w:ascii="ITC Avant Garde" w:hAnsi="ITC Avant Garde" w:cs="Arial"/>
          <w:b/>
        </w:rPr>
        <w:t>.</w:t>
      </w:r>
    </w:p>
    <w:p w:rsidR="00885165" w:rsidRPr="00443C3D" w:rsidRDefault="00885165" w:rsidP="00777B49">
      <w:pPr>
        <w:spacing w:after="0" w:line="276" w:lineRule="auto"/>
        <w:ind w:right="49"/>
        <w:jc w:val="both"/>
        <w:rPr>
          <w:rFonts w:ascii="ITC Avant Garde" w:hAnsi="ITC Avant Garde" w:cs="Arial"/>
          <w:b/>
        </w:rPr>
      </w:pPr>
    </w:p>
    <w:p w:rsidR="00E456C3" w:rsidRPr="00443C3D" w:rsidRDefault="00E456C3" w:rsidP="00E456C3">
      <w:pPr>
        <w:pStyle w:val="ANOTACION"/>
        <w:spacing w:before="0" w:after="0" w:line="276" w:lineRule="auto"/>
        <w:ind w:right="49"/>
        <w:rPr>
          <w:rFonts w:ascii="ITC Avant Garde" w:hAnsi="ITC Avant Garde"/>
          <w:sz w:val="22"/>
          <w:szCs w:val="22"/>
        </w:rPr>
      </w:pPr>
      <w:r w:rsidRPr="00443C3D">
        <w:rPr>
          <w:rFonts w:ascii="ITC Avant Garde" w:hAnsi="ITC Avant Garde"/>
          <w:sz w:val="22"/>
          <w:szCs w:val="22"/>
        </w:rPr>
        <w:t>CAPITULO I</w:t>
      </w:r>
    </w:p>
    <w:p w:rsidR="00E456C3" w:rsidRPr="00443C3D" w:rsidRDefault="00E456C3" w:rsidP="00E456C3">
      <w:pPr>
        <w:pStyle w:val="Texto"/>
        <w:spacing w:after="0" w:line="276" w:lineRule="auto"/>
        <w:ind w:right="49" w:firstLine="0"/>
        <w:jc w:val="center"/>
        <w:rPr>
          <w:rFonts w:ascii="ITC Avant Garde" w:hAnsi="ITC Avant Garde"/>
          <w:b/>
          <w:sz w:val="22"/>
          <w:szCs w:val="22"/>
        </w:rPr>
      </w:pPr>
      <w:r w:rsidRPr="00443C3D">
        <w:rPr>
          <w:rFonts w:ascii="ITC Avant Garde" w:hAnsi="ITC Avant Garde"/>
          <w:b/>
          <w:sz w:val="22"/>
          <w:szCs w:val="22"/>
        </w:rPr>
        <w:t>Disposiciones Generales</w:t>
      </w:r>
    </w:p>
    <w:p w:rsidR="00E456C3" w:rsidRPr="00443C3D" w:rsidRDefault="00E456C3" w:rsidP="00E456C3">
      <w:pPr>
        <w:spacing w:after="0"/>
        <w:ind w:right="49"/>
        <w:jc w:val="both"/>
        <w:rPr>
          <w:rFonts w:ascii="ITC Avant Garde" w:hAnsi="ITC Avant Garde"/>
          <w:b/>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b/>
        </w:rPr>
        <w:t xml:space="preserve">PRIMERA.- </w:t>
      </w:r>
      <w:r w:rsidRPr="00443C3D">
        <w:rPr>
          <w:rFonts w:ascii="ITC Avant Garde" w:hAnsi="ITC Avant Garde"/>
        </w:rPr>
        <w:t xml:space="preserve">El presente Acuerdo tiene por objeto establecer las condiciones técnicas mínimas necesarias para la interconexión entre concesionarios que operen redes públicas de telecomunicaciones, y determinar las tarifas por los Servicios de Interconexión que han resultado de la Metodología para el cálculo de costos de interconexión de conformidad con la Ley Federal de Telecomunicaciones y Radiodifusión (en lo sucesivo, la “LFTR”), y que utilizará para resolver los desacuerdos de interconexión que se presenten; mismas que serán aplicables del 1 de </w:t>
      </w:r>
      <w:r w:rsidR="003461D1" w:rsidRPr="00443C3D">
        <w:rPr>
          <w:rFonts w:ascii="ITC Avant Garde" w:hAnsi="ITC Avant Garde"/>
        </w:rPr>
        <w:t>enero al 31 de diciembre de 2019</w:t>
      </w:r>
      <w:r w:rsidRPr="00443C3D">
        <w:rPr>
          <w:rFonts w:ascii="ITC Avant Garde" w:hAnsi="ITC Avant Garde"/>
        </w:rPr>
        <w:t xml:space="preserve">. </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pStyle w:val="ANOTACION"/>
        <w:spacing w:before="0" w:after="0" w:line="276" w:lineRule="auto"/>
        <w:ind w:right="49"/>
        <w:rPr>
          <w:rFonts w:ascii="ITC Avant Garde" w:hAnsi="ITC Avant Garde"/>
          <w:sz w:val="22"/>
          <w:szCs w:val="22"/>
        </w:rPr>
      </w:pPr>
    </w:p>
    <w:p w:rsidR="00E456C3" w:rsidRPr="00443C3D" w:rsidRDefault="00E456C3" w:rsidP="00E456C3">
      <w:pPr>
        <w:pStyle w:val="ANOTACION"/>
        <w:spacing w:before="0" w:after="0" w:line="276" w:lineRule="auto"/>
        <w:ind w:right="49"/>
        <w:rPr>
          <w:rFonts w:ascii="ITC Avant Garde" w:hAnsi="ITC Avant Garde"/>
          <w:sz w:val="22"/>
          <w:szCs w:val="22"/>
        </w:rPr>
      </w:pPr>
      <w:r w:rsidRPr="00443C3D">
        <w:rPr>
          <w:rFonts w:ascii="ITC Avant Garde" w:hAnsi="ITC Avant Garde"/>
          <w:sz w:val="22"/>
          <w:szCs w:val="22"/>
        </w:rPr>
        <w:t>CAPITULO II</w:t>
      </w:r>
    </w:p>
    <w:p w:rsidR="00E456C3" w:rsidRPr="00443C3D" w:rsidRDefault="00E456C3" w:rsidP="00E456C3">
      <w:pPr>
        <w:spacing w:after="0"/>
        <w:ind w:right="51"/>
        <w:jc w:val="center"/>
        <w:rPr>
          <w:rFonts w:ascii="ITC Avant Garde" w:hAnsi="ITC Avant Garde"/>
          <w:b/>
        </w:rPr>
      </w:pPr>
      <w:r w:rsidRPr="00443C3D">
        <w:rPr>
          <w:rFonts w:ascii="ITC Avant Garde" w:hAnsi="ITC Avant Garde"/>
          <w:b/>
        </w:rPr>
        <w:t>Definiciones</w:t>
      </w:r>
    </w:p>
    <w:p w:rsidR="00E456C3" w:rsidRPr="00443C3D" w:rsidRDefault="00E456C3" w:rsidP="00E456C3">
      <w:pPr>
        <w:spacing w:after="0"/>
        <w:ind w:right="51"/>
        <w:jc w:val="center"/>
        <w:rPr>
          <w:rFonts w:ascii="ITC Avant Garde" w:hAnsi="ITC Avant Garde" w:cs="Arial"/>
        </w:rPr>
      </w:pPr>
    </w:p>
    <w:p w:rsidR="00E456C3" w:rsidRPr="00443C3D" w:rsidRDefault="00896614" w:rsidP="00E456C3">
      <w:pPr>
        <w:spacing w:after="0"/>
        <w:ind w:right="51"/>
        <w:jc w:val="both"/>
        <w:rPr>
          <w:rFonts w:ascii="ITC Avant Garde" w:hAnsi="ITC Avant Garde"/>
        </w:rPr>
      </w:pPr>
      <w:r w:rsidRPr="00443C3D">
        <w:rPr>
          <w:rFonts w:ascii="ITC Avant Garde" w:hAnsi="ITC Avant Garde"/>
          <w:b/>
        </w:rPr>
        <w:t>SEGUNDA. -</w:t>
      </w:r>
      <w:r w:rsidR="00E456C3" w:rsidRPr="00443C3D">
        <w:rPr>
          <w:rFonts w:ascii="ITC Avant Garde" w:hAnsi="ITC Avant Garde"/>
          <w:b/>
        </w:rPr>
        <w:t xml:space="preserve"> </w:t>
      </w:r>
      <w:r w:rsidR="00E456C3" w:rsidRPr="00443C3D">
        <w:rPr>
          <w:rFonts w:ascii="ITC Avant Garde" w:hAnsi="ITC Avant Garde"/>
        </w:rPr>
        <w:t>Para efectos del presente Acuerdo, los siguientes términos tendrán el significado que a continuación se indica:</w:t>
      </w:r>
    </w:p>
    <w:p w:rsidR="00E456C3" w:rsidRPr="00443C3D" w:rsidRDefault="00E456C3" w:rsidP="00E456C3">
      <w:pPr>
        <w:spacing w:after="0"/>
        <w:ind w:right="51"/>
        <w:jc w:val="both"/>
        <w:rPr>
          <w:rFonts w:ascii="ITC Avant Garde" w:hAnsi="ITC Avant Garde"/>
        </w:rPr>
      </w:pPr>
    </w:p>
    <w:tbl>
      <w:tblPr>
        <w:tblStyle w:val="Tablaconcuadrcula"/>
        <w:tblW w:w="0" w:type="auto"/>
        <w:tblLook w:val="04A0" w:firstRow="1" w:lastRow="0" w:firstColumn="1" w:lastColumn="0" w:noHBand="0" w:noVBand="1"/>
      </w:tblPr>
      <w:tblGrid>
        <w:gridCol w:w="2830"/>
        <w:gridCol w:w="5998"/>
      </w:tblGrid>
      <w:tr w:rsidR="00E456C3" w:rsidRPr="00443C3D" w:rsidTr="00896614">
        <w:trPr>
          <w:trHeight w:val="642"/>
        </w:trPr>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Agente Económico Preponderante:</w:t>
            </w:r>
          </w:p>
        </w:tc>
        <w:tc>
          <w:tcPr>
            <w:tcW w:w="5998" w:type="dxa"/>
          </w:tcPr>
          <w:p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 xml:space="preserve">Aquel que fue declarado mediante Acuerdo P/IFT/EXT/060314/76.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Conducción de tráfico:</w:t>
            </w:r>
          </w:p>
        </w:tc>
        <w:tc>
          <w:tcPr>
            <w:tcW w:w="5998" w:type="dxa"/>
          </w:tcPr>
          <w:p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Compartición de Infraestructura para interconexión:</w:t>
            </w:r>
          </w:p>
        </w:tc>
        <w:tc>
          <w:tcPr>
            <w:tcW w:w="5998" w:type="dxa"/>
          </w:tcPr>
          <w:p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Concesionario Solicitado:</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cs="Segoe UI"/>
                <w:color w:val="1A1A1A"/>
              </w:rPr>
              <w:t>Concesionario al cual se le solicitan los Servicios de Interconexión.</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Concesionario Solicitante:</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cs="Segoe UI"/>
                <w:color w:val="1A1A1A"/>
              </w:rPr>
              <w:t>Concesionario que solicita los Servicios de Interconexión.</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lastRenderedPageBreak/>
              <w:t>Coubicación:</w:t>
            </w:r>
          </w:p>
        </w:tc>
        <w:tc>
          <w:tcPr>
            <w:tcW w:w="5998" w:type="dxa"/>
          </w:tcPr>
          <w:p w:rsidR="00E456C3" w:rsidRPr="00443C3D" w:rsidRDefault="00E456C3" w:rsidP="00896614">
            <w:pPr>
              <w:pStyle w:val="Default"/>
              <w:spacing w:line="276" w:lineRule="auto"/>
              <w:ind w:right="49"/>
              <w:jc w:val="both"/>
              <w:rPr>
                <w:rFonts w:cs="Segoe UI"/>
                <w:color w:val="1A1A1A"/>
                <w:sz w:val="20"/>
                <w:szCs w:val="20"/>
              </w:rPr>
            </w:pPr>
            <w:r w:rsidRPr="00443C3D">
              <w:rPr>
                <w:rFonts w:cs="Segoe UI"/>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Enlaces de Transmisión:</w:t>
            </w:r>
          </w:p>
        </w:tc>
        <w:tc>
          <w:tcPr>
            <w:tcW w:w="5998" w:type="dxa"/>
          </w:tcPr>
          <w:p w:rsidR="00E456C3" w:rsidRPr="00443C3D" w:rsidRDefault="00E456C3" w:rsidP="00896614">
            <w:pPr>
              <w:pStyle w:val="Default"/>
              <w:spacing w:line="276" w:lineRule="auto"/>
              <w:ind w:right="49"/>
              <w:jc w:val="both"/>
              <w:rPr>
                <w:sz w:val="20"/>
                <w:szCs w:val="20"/>
              </w:rPr>
            </w:pPr>
            <w:r w:rsidRPr="00443C3D">
              <w:rPr>
                <w:rFonts w:cs="Segoe UI"/>
                <w:color w:val="1A1A1A"/>
                <w:sz w:val="20"/>
                <w:szCs w:val="20"/>
              </w:rPr>
              <w:t>Servicio de Interconexión o capacidad que consiste en el establecimiento de enlaces de transmisión físicos o virtuales de cualquier tecnología, a través de los cuales se conduce Tráfico.</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Facturación y Cobranza:</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Interconexión:</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Interconexión Cruzada:</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Puertos de Acceso:</w:t>
            </w:r>
          </w:p>
        </w:tc>
        <w:tc>
          <w:tcPr>
            <w:tcW w:w="5998" w:type="dxa"/>
          </w:tcPr>
          <w:p w:rsidR="00E456C3" w:rsidRPr="00443C3D" w:rsidRDefault="00E456C3" w:rsidP="00896614">
            <w:pPr>
              <w:pStyle w:val="Default"/>
              <w:spacing w:line="276" w:lineRule="auto"/>
              <w:ind w:right="49"/>
              <w:jc w:val="both"/>
              <w:rPr>
                <w:sz w:val="20"/>
                <w:szCs w:val="20"/>
              </w:rPr>
            </w:pPr>
            <w:r w:rsidRPr="00443C3D">
              <w:rPr>
                <w:sz w:val="20"/>
                <w:szCs w:val="20"/>
              </w:rPr>
              <w:t>Punto de acceso en los equipos de conmutación de una Red Pública de Telecomunicaciones.</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Servicios de Señalización:</w:t>
            </w:r>
          </w:p>
        </w:tc>
        <w:tc>
          <w:tcPr>
            <w:tcW w:w="5998" w:type="dxa"/>
          </w:tcPr>
          <w:p w:rsidR="00E456C3" w:rsidRPr="00443C3D" w:rsidRDefault="00E456C3" w:rsidP="00896614">
            <w:pPr>
              <w:pStyle w:val="Default"/>
              <w:spacing w:line="276" w:lineRule="auto"/>
              <w:ind w:right="49"/>
              <w:jc w:val="both"/>
              <w:rPr>
                <w:sz w:val="20"/>
                <w:szCs w:val="20"/>
              </w:rPr>
            </w:pPr>
            <w:r w:rsidRPr="00443C3D">
              <w:rPr>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w:t>
            </w:r>
            <w:r w:rsidRPr="00443C3D">
              <w:rPr>
                <w:sz w:val="20"/>
                <w:szCs w:val="20"/>
              </w:rPr>
              <w:lastRenderedPageBreak/>
              <w:t xml:space="preserve">nacionales y/o internacionales. Este servicio incluye la funcionalidad misma, los Puertos de Señalización, los Enlaces de Señalización y los Puntos de Transferencia de Señalización.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lastRenderedPageBreak/>
              <w:t>Servicio de Tránsito:</w:t>
            </w:r>
          </w:p>
        </w:tc>
        <w:tc>
          <w:tcPr>
            <w:tcW w:w="5998" w:type="dxa"/>
          </w:tcPr>
          <w:p w:rsidR="00E456C3" w:rsidRPr="00443C3D" w:rsidRDefault="00E456C3" w:rsidP="00896614">
            <w:pPr>
              <w:pStyle w:val="Default"/>
              <w:spacing w:line="276" w:lineRule="auto"/>
              <w:ind w:right="49"/>
              <w:jc w:val="both"/>
              <w:rPr>
                <w:sz w:val="20"/>
                <w:szCs w:val="20"/>
              </w:rPr>
            </w:pPr>
            <w:r w:rsidRPr="00443C3D">
              <w:rPr>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Servicios Auxiliares y Conexos</w:t>
            </w:r>
            <w:r w:rsidR="00C44667" w:rsidRPr="00443C3D">
              <w:rPr>
                <w:rFonts w:ascii="ITC Avant Garde" w:hAnsi="ITC Avant Garde"/>
              </w:rPr>
              <w:t>:</w:t>
            </w:r>
          </w:p>
        </w:tc>
        <w:tc>
          <w:tcPr>
            <w:tcW w:w="5998" w:type="dxa"/>
          </w:tcPr>
          <w:p w:rsidR="00E456C3" w:rsidRPr="00443C3D" w:rsidRDefault="00E456C3" w:rsidP="00896614">
            <w:pPr>
              <w:pStyle w:val="Default"/>
              <w:spacing w:line="276" w:lineRule="auto"/>
              <w:ind w:right="49"/>
              <w:jc w:val="both"/>
              <w:rPr>
                <w:sz w:val="20"/>
                <w:szCs w:val="20"/>
              </w:rPr>
            </w:pPr>
            <w:r w:rsidRPr="00443C3D">
              <w:rPr>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E456C3" w:rsidRPr="00443C3D" w:rsidTr="00896614">
        <w:tc>
          <w:tcPr>
            <w:tcW w:w="2830" w:type="dxa"/>
          </w:tcPr>
          <w:p w:rsidR="00E456C3" w:rsidRPr="00443C3D" w:rsidRDefault="00E456C3" w:rsidP="00896614">
            <w:pPr>
              <w:spacing w:after="0"/>
              <w:ind w:right="49"/>
              <w:rPr>
                <w:rFonts w:ascii="ITC Avant Garde" w:hAnsi="ITC Avant Garde"/>
              </w:rPr>
            </w:pPr>
            <w:r w:rsidRPr="00443C3D">
              <w:rPr>
                <w:rFonts w:ascii="ITC Avant Garde" w:hAnsi="ITC Avant Garde"/>
              </w:rPr>
              <w:t>Servicios de Interconexión:</w:t>
            </w:r>
          </w:p>
        </w:tc>
        <w:tc>
          <w:tcPr>
            <w:tcW w:w="5998" w:type="dxa"/>
          </w:tcPr>
          <w:p w:rsidR="00E456C3" w:rsidRPr="00443C3D" w:rsidRDefault="00E456C3" w:rsidP="00896614">
            <w:pPr>
              <w:spacing w:after="0"/>
              <w:ind w:right="49"/>
              <w:jc w:val="both"/>
              <w:rPr>
                <w:rFonts w:ascii="ITC Avant Garde" w:hAnsi="ITC Avant Garde"/>
              </w:rPr>
            </w:pPr>
            <w:r w:rsidRPr="00443C3D">
              <w:rPr>
                <w:rFonts w:ascii="ITC Avant Garde" w:hAnsi="ITC Avant Garde"/>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rsidR="00E456C3" w:rsidRPr="00443C3D" w:rsidRDefault="00E456C3" w:rsidP="00896614">
            <w:pPr>
              <w:spacing w:after="0"/>
              <w:ind w:right="49"/>
              <w:jc w:val="both"/>
              <w:rPr>
                <w:rFonts w:ascii="ITC Avant Garde" w:hAnsi="ITC Avant Garde"/>
              </w:rPr>
            </w:pPr>
          </w:p>
          <w:p w:rsidR="00E456C3" w:rsidRPr="00443C3D" w:rsidRDefault="00E456C3" w:rsidP="00896614">
            <w:pPr>
              <w:spacing w:after="0"/>
              <w:ind w:right="49"/>
              <w:jc w:val="both"/>
              <w:rPr>
                <w:rFonts w:ascii="ITC Avant Garde" w:hAnsi="ITC Avant Garde"/>
              </w:rPr>
            </w:pPr>
            <w:r w:rsidRPr="00443C3D">
              <w:rPr>
                <w:rFonts w:ascii="ITC Avant Garde" w:hAnsi="ITC Avant Garde"/>
              </w:rPr>
              <w:t>Los servicios de interconexión que deben ser proporcionados por los Concesionarios son los siguientes:</w:t>
            </w:r>
          </w:p>
          <w:p w:rsidR="00E456C3" w:rsidRPr="00443C3D" w:rsidRDefault="00E456C3" w:rsidP="00896614">
            <w:pPr>
              <w:spacing w:after="0"/>
              <w:ind w:right="49"/>
              <w:jc w:val="both"/>
              <w:rPr>
                <w:rFonts w:ascii="ITC Avant Garde" w:hAnsi="ITC Avant Garde"/>
              </w:rPr>
            </w:pP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Conducción de tráfico, que incluye su originación y terminación, así como llamadas y servicios de mensajes cortos.</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Enlaces de transmisión;</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Puertos de acceso;</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Señalización;</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Tránsito;</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Coubicación;</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Compartición de infraestructura;</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Auxiliares conexos, y</w:t>
            </w:r>
          </w:p>
          <w:p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Facturación y Cobranza;</w:t>
            </w:r>
          </w:p>
          <w:p w:rsidR="00E456C3" w:rsidRPr="00443C3D" w:rsidRDefault="00E456C3" w:rsidP="00896614">
            <w:pPr>
              <w:spacing w:after="0"/>
              <w:ind w:right="49"/>
              <w:jc w:val="both"/>
              <w:rPr>
                <w:rFonts w:ascii="ITC Avant Garde" w:hAnsi="ITC Avant Garde"/>
              </w:rPr>
            </w:pPr>
          </w:p>
          <w:p w:rsidR="00E456C3" w:rsidRPr="00443C3D" w:rsidRDefault="00E456C3" w:rsidP="00896614">
            <w:pPr>
              <w:pStyle w:val="Default"/>
              <w:spacing w:line="276" w:lineRule="auto"/>
              <w:ind w:right="49"/>
              <w:jc w:val="both"/>
              <w:rPr>
                <w:sz w:val="20"/>
                <w:szCs w:val="20"/>
              </w:rPr>
            </w:pPr>
            <w:r w:rsidRPr="00443C3D">
              <w:rPr>
                <w:sz w:val="20"/>
                <w:szCs w:val="20"/>
              </w:rPr>
              <w:t xml:space="preserve">La prestación de todos los servicios será obligatoria para el agente económico preponderante; la prestación de los </w:t>
            </w:r>
            <w:r w:rsidRPr="00443C3D">
              <w:rPr>
                <w:sz w:val="20"/>
                <w:szCs w:val="20"/>
              </w:rPr>
              <w:lastRenderedPageBreak/>
              <w:t>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cs="Arial"/>
          <w:snapToGrid w:val="0"/>
          <w:color w:val="000000"/>
        </w:rPr>
      </w:pPr>
      <w:r w:rsidRPr="00443C3D">
        <w:rPr>
          <w:rFonts w:ascii="ITC Avant Garde" w:hAnsi="ITC Avant Garde" w:cs="Arial"/>
          <w:snapToGrid w:val="0"/>
          <w:color w:val="000000"/>
        </w:rPr>
        <w:t xml:space="preserve">Aquellos términos no definidos en el presente Acuerdo, tendrán el significado que les corresponda conforme a la </w:t>
      </w:r>
      <w:r w:rsidRPr="00443C3D">
        <w:rPr>
          <w:rFonts w:ascii="ITC Avant Garde" w:hAnsi="ITC Avant Garde"/>
        </w:rPr>
        <w:t>LFTR</w:t>
      </w:r>
      <w:r w:rsidRPr="00443C3D">
        <w:rPr>
          <w:rFonts w:ascii="ITC Avant Garde" w:hAnsi="ITC Avant Garde"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rsidR="00E456C3" w:rsidRPr="00443C3D" w:rsidRDefault="00E456C3" w:rsidP="00E456C3">
      <w:pPr>
        <w:spacing w:after="0"/>
        <w:ind w:right="49"/>
        <w:jc w:val="both"/>
        <w:rPr>
          <w:rFonts w:ascii="ITC Avant Garde" w:hAnsi="ITC Avant Garde" w:cs="Arial"/>
          <w:snapToGrid w:val="0"/>
          <w:color w:val="000000"/>
        </w:rPr>
      </w:pPr>
    </w:p>
    <w:p w:rsidR="00E456C3" w:rsidRPr="00443C3D" w:rsidRDefault="00E456C3" w:rsidP="00E456C3">
      <w:pPr>
        <w:pStyle w:val="ANOTACION"/>
        <w:spacing w:before="0" w:after="0" w:line="276" w:lineRule="auto"/>
        <w:ind w:right="49"/>
      </w:pPr>
      <w:r w:rsidRPr="00443C3D">
        <w:rPr>
          <w:rFonts w:ascii="ITC Avant Garde" w:hAnsi="ITC Avant Garde"/>
          <w:sz w:val="22"/>
          <w:szCs w:val="22"/>
        </w:rPr>
        <w:t>CAPITULO III</w:t>
      </w:r>
    </w:p>
    <w:p w:rsidR="00E456C3" w:rsidRPr="00443C3D" w:rsidRDefault="00E456C3" w:rsidP="00E456C3">
      <w:pPr>
        <w:spacing w:after="0"/>
        <w:ind w:right="51"/>
        <w:jc w:val="center"/>
        <w:rPr>
          <w:rFonts w:ascii="ITC Avant Garde" w:hAnsi="ITC Avant Garde"/>
        </w:rPr>
      </w:pPr>
      <w:r w:rsidRPr="00443C3D">
        <w:rPr>
          <w:rFonts w:ascii="ITC Avant Garde" w:hAnsi="ITC Avant Garde"/>
          <w:b/>
        </w:rPr>
        <w:t>Condiciones Técnicas Mínimas</w:t>
      </w:r>
    </w:p>
    <w:p w:rsidR="00E456C3" w:rsidRPr="00443C3D" w:rsidRDefault="00E456C3" w:rsidP="00E456C3">
      <w:pPr>
        <w:spacing w:after="0"/>
        <w:ind w:right="49"/>
        <w:jc w:val="both"/>
        <w:rPr>
          <w:rFonts w:ascii="ITC Avant Garde" w:hAnsi="ITC Avant Garde"/>
          <w:b/>
        </w:rPr>
      </w:pPr>
    </w:p>
    <w:p w:rsidR="00E456C3" w:rsidRPr="00443C3D" w:rsidRDefault="00896614" w:rsidP="00E456C3">
      <w:pPr>
        <w:spacing w:after="0"/>
        <w:ind w:right="51"/>
        <w:jc w:val="both"/>
        <w:rPr>
          <w:rFonts w:ascii="ITC Avant Garde" w:hAnsi="ITC Avant Garde"/>
        </w:rPr>
      </w:pPr>
      <w:r w:rsidRPr="00443C3D">
        <w:rPr>
          <w:rFonts w:ascii="ITC Avant Garde" w:hAnsi="ITC Avant Garde"/>
          <w:b/>
        </w:rPr>
        <w:t>TERCERA. -</w:t>
      </w:r>
      <w:r w:rsidR="00E456C3" w:rsidRPr="00443C3D">
        <w:rPr>
          <w:rFonts w:ascii="ITC Avant Garde" w:hAnsi="ITC Avant Garde"/>
          <w:b/>
        </w:rPr>
        <w:t xml:space="preserve"> </w:t>
      </w:r>
      <w:r w:rsidR="00E456C3" w:rsidRPr="00443C3D">
        <w:rPr>
          <w:rFonts w:ascii="ITC Avant Garde" w:hAnsi="ITC Avant Garde"/>
        </w:rPr>
        <w:t>La interconexión entre las redes públicas de telecomunicaciones deberá llevarse a cabo en los puntos de interconexión que cada concesionario haya designado, los cuales deberán establecerse mediante el protocolo de internet (IP).</w:t>
      </w:r>
    </w:p>
    <w:p w:rsidR="00E456C3" w:rsidRPr="00443C3D" w:rsidRDefault="00E456C3" w:rsidP="00E456C3">
      <w:pPr>
        <w:spacing w:after="0"/>
        <w:ind w:right="51"/>
        <w:jc w:val="both"/>
        <w:rPr>
          <w:rFonts w:ascii="ITC Avant Garde" w:hAnsi="ITC Avant Garde"/>
        </w:rPr>
      </w:pPr>
    </w:p>
    <w:p w:rsidR="00E456C3" w:rsidRPr="00443C3D" w:rsidRDefault="00E456C3" w:rsidP="00E456C3">
      <w:pPr>
        <w:spacing w:after="0"/>
        <w:ind w:right="51"/>
        <w:jc w:val="both"/>
        <w:rPr>
          <w:rFonts w:ascii="ITC Avant Garde" w:hAnsi="ITC Avant Garde"/>
        </w:rPr>
      </w:pPr>
      <w:r w:rsidRPr="00443C3D">
        <w:rPr>
          <w:rFonts w:ascii="ITC Avant Garde" w:hAnsi="ITC Avant Garde"/>
        </w:rPr>
        <w:t>El Concesionario Solicitado deberá proporcionar un listado de los puntos de interconexión que tenga disponibles al Concesionario Solicitante para realizar el intercambio de tráfico, dicho listado deberá contener la siguiente información:</w:t>
      </w:r>
    </w:p>
    <w:p w:rsidR="00E456C3" w:rsidRPr="00443C3D" w:rsidRDefault="00E456C3" w:rsidP="00E456C3">
      <w:pPr>
        <w:spacing w:after="0"/>
        <w:ind w:right="51"/>
        <w:jc w:val="both"/>
        <w:rPr>
          <w:rFonts w:ascii="ITC Avant Garde" w:hAnsi="ITC Avant Garde"/>
        </w:rPr>
      </w:pPr>
    </w:p>
    <w:p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Nombre e identificación de los puntos de interconexión.</w:t>
      </w:r>
    </w:p>
    <w:p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Dirección y coordenadas geográficas de los puntos de interconexión.</w:t>
      </w:r>
    </w:p>
    <w:p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Direcciones IP de los Controladores de Frontera de Sesión (SBC del inglés Session Border Controller) y/o de los gateways que permitan la interconexión.</w:t>
      </w:r>
    </w:p>
    <w:p w:rsidR="00E456C3" w:rsidRPr="00443C3D" w:rsidRDefault="00E456C3" w:rsidP="00896614">
      <w:pPr>
        <w:pStyle w:val="Prrafodelista"/>
        <w:spacing w:after="0" w:line="276" w:lineRule="auto"/>
        <w:ind w:right="51"/>
        <w:contextualSpacing w:val="0"/>
        <w:rPr>
          <w:rFonts w:ascii="ITC Avant Garde" w:hAnsi="ITC Avant Garde"/>
        </w:rPr>
      </w:pPr>
    </w:p>
    <w:p w:rsidR="00E456C3" w:rsidRPr="00443C3D" w:rsidRDefault="00E456C3" w:rsidP="00E456C3">
      <w:pPr>
        <w:spacing w:after="0"/>
        <w:ind w:right="51"/>
        <w:jc w:val="both"/>
        <w:rPr>
          <w:rFonts w:ascii="ITC Avant Garde" w:hAnsi="ITC Avant Garde"/>
        </w:rPr>
      </w:pPr>
      <w:r w:rsidRPr="00443C3D">
        <w:rPr>
          <w:rFonts w:ascii="ITC Avant Garde" w:hAnsi="ITC Avant Garde"/>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Los concesionarios deberán contar con redundancia entre sitios o entre puntos de interconexión para garantizar la continuidad en la prestación del servicio. </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cuando así convenga a sus necesidades de tráfico, podrán establecer redundancia física con conexión a dos puntos de interconexión en la misma ciudad con diversidad de trayectoria.</w:t>
      </w:r>
    </w:p>
    <w:p w:rsidR="00E456C3" w:rsidRPr="00443C3D" w:rsidRDefault="00E456C3" w:rsidP="00E456C3">
      <w:pPr>
        <w:spacing w:after="0"/>
        <w:ind w:right="49"/>
        <w:jc w:val="both"/>
        <w:rPr>
          <w:rFonts w:ascii="ITC Avant Garde" w:hAnsi="ITC Avant Garde"/>
        </w:rPr>
      </w:pPr>
    </w:p>
    <w:p w:rsidR="00E456C3" w:rsidRPr="00443C3D" w:rsidRDefault="00896614" w:rsidP="00E456C3">
      <w:pPr>
        <w:spacing w:after="0"/>
        <w:ind w:right="49"/>
        <w:jc w:val="both"/>
        <w:rPr>
          <w:rFonts w:ascii="ITC Avant Garde" w:hAnsi="ITC Avant Garde"/>
        </w:rPr>
      </w:pPr>
      <w:r w:rsidRPr="00443C3D">
        <w:rPr>
          <w:rFonts w:ascii="ITC Avant Garde" w:hAnsi="ITC Avant Garde"/>
          <w:b/>
        </w:rPr>
        <w:lastRenderedPageBreak/>
        <w:t>CUARTA. -</w:t>
      </w:r>
      <w:r w:rsidR="00E456C3" w:rsidRPr="00443C3D">
        <w:rPr>
          <w:rFonts w:ascii="ITC Avant Garde" w:hAnsi="ITC Avant Garde"/>
          <w:b/>
        </w:rPr>
        <w:t xml:space="preserve"> </w:t>
      </w:r>
      <w:r w:rsidR="00E456C3" w:rsidRPr="00443C3D">
        <w:rPr>
          <w:rFonts w:ascii="ITC Avant Garde" w:hAnsi="ITC Avant Garde"/>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rsidR="00E456C3" w:rsidRPr="00443C3D" w:rsidRDefault="00E456C3" w:rsidP="00E456C3">
      <w:pPr>
        <w:spacing w:after="0"/>
        <w:jc w:val="both"/>
        <w:rPr>
          <w:rFonts w:ascii="ITC Avant Garde" w:hAnsi="ITC Avant Garde"/>
        </w:rPr>
      </w:pPr>
    </w:p>
    <w:p w:rsidR="00E456C3" w:rsidRPr="00443C3D" w:rsidRDefault="00E456C3" w:rsidP="00E456C3">
      <w:pPr>
        <w:spacing w:after="0"/>
        <w:jc w:val="both"/>
        <w:rPr>
          <w:rFonts w:ascii="ITC Avant Garde" w:hAnsi="ITC Avant Garde"/>
        </w:rPr>
      </w:pPr>
      <w:r w:rsidRPr="00443C3D">
        <w:rPr>
          <w:rFonts w:ascii="ITC Avant Garde" w:hAnsi="ITC Avant Garde"/>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rsidR="00E456C3" w:rsidRPr="00443C3D" w:rsidRDefault="00E456C3" w:rsidP="00E456C3">
      <w:pPr>
        <w:spacing w:after="0"/>
        <w:ind w:right="49"/>
        <w:jc w:val="both"/>
        <w:rPr>
          <w:rFonts w:ascii="ITC Avant Garde" w:hAnsi="ITC Avant Garde"/>
        </w:rPr>
      </w:pPr>
    </w:p>
    <w:p w:rsidR="00E456C3" w:rsidRPr="00443C3D" w:rsidRDefault="00896614" w:rsidP="00E456C3">
      <w:pPr>
        <w:spacing w:after="0"/>
        <w:ind w:right="49"/>
        <w:jc w:val="both"/>
        <w:rPr>
          <w:rFonts w:ascii="ITC Avant Garde" w:hAnsi="ITC Avant Garde"/>
        </w:rPr>
      </w:pPr>
      <w:r w:rsidRPr="00443C3D">
        <w:rPr>
          <w:rFonts w:ascii="ITC Avant Garde" w:hAnsi="ITC Avant Garde"/>
          <w:b/>
        </w:rPr>
        <w:t>QUINTA. -</w:t>
      </w:r>
      <w:r w:rsidR="00E456C3" w:rsidRPr="00443C3D">
        <w:rPr>
          <w:rFonts w:ascii="ITC Avant Garde" w:hAnsi="ITC Avant Garde"/>
          <w:b/>
        </w:rPr>
        <w:t xml:space="preserve"> </w:t>
      </w:r>
      <w:r w:rsidR="00E456C3" w:rsidRPr="00443C3D">
        <w:rPr>
          <w:rFonts w:ascii="ITC Avant Garde" w:hAnsi="ITC Avant Garde"/>
        </w:rPr>
        <w:t>Los enlaces de transmisión para realizar la interconexión deberán tener las siguientes características:</w:t>
      </w:r>
    </w:p>
    <w:p w:rsidR="00E456C3" w:rsidRPr="00443C3D" w:rsidRDefault="00E456C3" w:rsidP="00E456C3">
      <w:pPr>
        <w:spacing w:after="0"/>
        <w:ind w:right="49"/>
        <w:jc w:val="both"/>
        <w:rPr>
          <w:rFonts w:ascii="ITC Avant Garde" w:hAnsi="ITC Avant Garde"/>
        </w:rPr>
      </w:pPr>
    </w:p>
    <w:p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Tecnología Ethernet de 1 Gbps.</w:t>
      </w:r>
    </w:p>
    <w:p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Fibra óptica monomodo con conector LC de acuerdo al estándar 1000 BASE–LX especificado en IEEE 802.3 versión 2012.</w:t>
      </w:r>
    </w:p>
    <w:p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Tamaño de trama de 1 536 bytes, la utilización de Jumbo Frames será de común acuerdo entre las partes.</w:t>
      </w:r>
    </w:p>
    <w:p w:rsidR="00E456C3" w:rsidRPr="00443C3D" w:rsidRDefault="00E456C3" w:rsidP="00E456C3">
      <w:pPr>
        <w:tabs>
          <w:tab w:val="left" w:pos="-142"/>
        </w:tabs>
        <w:spacing w:after="0"/>
        <w:ind w:right="49"/>
        <w:jc w:val="both"/>
        <w:rPr>
          <w:rFonts w:ascii="ITC Avant Garde" w:hAnsi="ITC Avant Garde" w:cs="Arial"/>
        </w:rPr>
      </w:pPr>
    </w:p>
    <w:p w:rsidR="00E456C3" w:rsidRPr="00443C3D" w:rsidRDefault="00E456C3" w:rsidP="00E456C3">
      <w:pPr>
        <w:tabs>
          <w:tab w:val="left" w:pos="-142"/>
        </w:tabs>
        <w:spacing w:after="0"/>
        <w:ind w:right="49"/>
        <w:jc w:val="both"/>
        <w:rPr>
          <w:rFonts w:ascii="ITC Avant Garde" w:hAnsi="ITC Avant Garde" w:cs="Arial"/>
        </w:rPr>
      </w:pPr>
      <w:r w:rsidRPr="00443C3D">
        <w:rPr>
          <w:rFonts w:ascii="ITC Avant Garde" w:hAnsi="ITC Avant Garde"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rsidR="00E456C3" w:rsidRPr="00443C3D" w:rsidRDefault="00E456C3" w:rsidP="00E456C3">
      <w:pPr>
        <w:tabs>
          <w:tab w:val="left" w:pos="-142"/>
        </w:tabs>
        <w:spacing w:after="0"/>
        <w:ind w:right="49"/>
        <w:jc w:val="both"/>
        <w:rPr>
          <w:rFonts w:ascii="ITC Avant Garde" w:hAnsi="ITC Avant Garde" w:cs="Arial"/>
        </w:rPr>
      </w:pPr>
    </w:p>
    <w:p w:rsidR="00E456C3" w:rsidRPr="00443C3D" w:rsidRDefault="00E456C3" w:rsidP="00E456C3">
      <w:pPr>
        <w:spacing w:after="0"/>
        <w:ind w:right="49"/>
        <w:jc w:val="both"/>
      </w:pPr>
      <w:r w:rsidRPr="00443C3D">
        <w:object w:dxaOrig="13546" w:dyaOrig="3390" w14:anchorId="66B91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5pt;height:107.4pt" o:ole="">
            <v:imagedata r:id="rId8" o:title=""/>
          </v:shape>
          <o:OLEObject Type="Embed" ProgID="Visio.Drawing.15" ShapeID="_x0000_i1025" DrawAspect="Content" ObjectID="_1596544326" r:id="rId9"/>
        </w:object>
      </w:r>
    </w:p>
    <w:p w:rsidR="00E456C3" w:rsidRPr="00443C3D" w:rsidRDefault="00E456C3" w:rsidP="00E456C3">
      <w:pPr>
        <w:pStyle w:val="Prrafodelista"/>
        <w:autoSpaceDE w:val="0"/>
        <w:autoSpaceDN w:val="0"/>
        <w:adjustRightInd w:val="0"/>
        <w:spacing w:line="276" w:lineRule="auto"/>
        <w:ind w:left="0" w:right="49"/>
        <w:jc w:val="center"/>
        <w:rPr>
          <w:rFonts w:ascii="ITC Avant Garde" w:hAnsi="ITC Avant Garde" w:cs="Arial"/>
          <w:sz w:val="18"/>
        </w:rPr>
      </w:pPr>
      <w:r w:rsidRPr="00443C3D">
        <w:rPr>
          <w:rFonts w:ascii="ITC Avant Garde" w:hAnsi="ITC Avant Garde" w:cs="Arial"/>
          <w:sz w:val="18"/>
        </w:rPr>
        <w:t>Figura 1: Topología de interconexión SBC-SBC</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Tratándose del s</w:t>
      </w:r>
      <w:r w:rsidR="00CB0BA2" w:rsidRPr="00443C3D">
        <w:rPr>
          <w:rFonts w:ascii="ITC Avant Garde" w:hAnsi="ITC Avant Garde"/>
        </w:rPr>
        <w:t>ervicio de mensajes cortos</w:t>
      </w:r>
      <w:r w:rsidRPr="00443C3D">
        <w:rPr>
          <w:rFonts w:ascii="ITC Avant Garde" w:hAnsi="ITC Avant Garde"/>
        </w:rPr>
        <w:t>, la interconexión se llevará a cabo de manera directa, mediante el establecimiento de enlaces dedicados entre los concesionarios que intercambian tráfico.</w:t>
      </w:r>
    </w:p>
    <w:p w:rsidR="00E456C3" w:rsidRPr="00443C3D" w:rsidRDefault="00E456C3" w:rsidP="00E456C3">
      <w:pPr>
        <w:spacing w:after="0"/>
        <w:ind w:right="49"/>
        <w:jc w:val="both"/>
        <w:rPr>
          <w:rFonts w:ascii="ITC Avant Garde" w:hAnsi="ITC Avant Garde" w:cs="Arial"/>
          <w:sz w:val="18"/>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rPr>
        <w:t>Los concesionarios podrán establecer otros esquemas de interconexión siempre que ello les permita llevar a cabo una efectiva y eficaz interconexión e interoperabilidad de sus redes públicas de telecomunicaciones</w:t>
      </w:r>
      <w:r w:rsidRPr="00443C3D">
        <w:rPr>
          <w:rFonts w:ascii="ITC Avant Garde" w:hAnsi="ITC Avant Garde" w:cs="Arial"/>
        </w:rPr>
        <w:t>.</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51"/>
        <w:jc w:val="both"/>
        <w:rPr>
          <w:rFonts w:ascii="ITC Avant Garde" w:hAnsi="ITC Avant Garde"/>
        </w:rPr>
      </w:pPr>
      <w:r w:rsidRPr="00443C3D">
        <w:rPr>
          <w:rFonts w:ascii="ITC Avant Garde" w:hAnsi="ITC Avant Garde"/>
        </w:rPr>
        <w:t>Los concesionarios de redes públicas de telecomunicaciones podrán continuar intercambiando tráfico mediante tecnología TDM, para lo cual los enlaces serán los que las partes tengan instalados con sus respectivas características.</w:t>
      </w:r>
    </w:p>
    <w:p w:rsidR="00E456C3" w:rsidRPr="00443C3D" w:rsidRDefault="00E456C3" w:rsidP="00E456C3">
      <w:pPr>
        <w:spacing w:after="0"/>
        <w:ind w:right="49"/>
        <w:jc w:val="both"/>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A elección del Concesionario Solicitante el tipo de tráfico del servicio de voz</w:t>
      </w:r>
      <w:r w:rsidRPr="00443C3D">
        <w:rPr>
          <w:rFonts w:ascii="ITC Avant Garde" w:hAnsi="ITC Avant Garde" w:cs="Arial"/>
        </w:rPr>
        <w:t xml:space="preserve"> </w:t>
      </w:r>
      <w:r w:rsidRPr="00443C3D">
        <w:rPr>
          <w:rFonts w:ascii="ITC Avant Garde" w:hAnsi="ITC Avant Garde"/>
        </w:rPr>
        <w:t>que se podrá intercambiar a través de los enlaces de transmisión será de cualquier origen o destino dentro del territorio nacional, así como de cualquier tipo (local, entre localidades, tránsito, móvil, fijo).</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interconectados deberán tener redundancia en los enlaces de transmisión que favorezca la continuidad en la prestación del servicio.</w:t>
      </w:r>
    </w:p>
    <w:p w:rsidR="00896614" w:rsidRPr="00443C3D" w:rsidRDefault="00896614" w:rsidP="00E456C3">
      <w:pPr>
        <w:spacing w:after="0"/>
        <w:ind w:right="49"/>
        <w:jc w:val="both"/>
        <w:rPr>
          <w:rFonts w:ascii="ITC Avant Garde" w:hAnsi="ITC Avant Garde"/>
        </w:rPr>
      </w:pPr>
    </w:p>
    <w:p w:rsidR="00E456C3" w:rsidRPr="00443C3D" w:rsidRDefault="00896614" w:rsidP="00E456C3">
      <w:pPr>
        <w:spacing w:after="0"/>
        <w:ind w:right="49"/>
        <w:jc w:val="both"/>
        <w:rPr>
          <w:rFonts w:ascii="ITC Avant Garde" w:hAnsi="ITC Avant Garde" w:cs="Arial"/>
        </w:rPr>
      </w:pPr>
      <w:r w:rsidRPr="00443C3D">
        <w:rPr>
          <w:rFonts w:ascii="ITC Avant Garde" w:hAnsi="ITC Avant Garde" w:cs="Arial"/>
          <w:b/>
        </w:rPr>
        <w:t>SEXTA. -</w:t>
      </w:r>
      <w:r w:rsidR="00E456C3" w:rsidRPr="00443C3D">
        <w:rPr>
          <w:rFonts w:ascii="ITC Avant Garde" w:hAnsi="ITC Avant Garde" w:cs="Arial"/>
          <w:b/>
        </w:rPr>
        <w:t xml:space="preserve"> </w:t>
      </w:r>
      <w:r w:rsidR="00E456C3" w:rsidRPr="00443C3D">
        <w:rPr>
          <w:rFonts w:ascii="ITC Avant Garde" w:hAnsi="ITC Avant Garde" w:cs="Arial"/>
        </w:rPr>
        <w:t xml:space="preserve">Los puertos de acceso que proporcione el Concesionario Solicitado serán de capacidades acordes a la capacidad del enlace de transmisión de interconexión. </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A elección del Concesionario Solicitante el tipo de tráfico del servicio de voz</w:t>
      </w:r>
      <w:r w:rsidRPr="00443C3D">
        <w:rPr>
          <w:rFonts w:ascii="ITC Avant Garde" w:hAnsi="ITC Avant Garde" w:cs="Arial"/>
        </w:rPr>
        <w:t xml:space="preserve"> </w:t>
      </w:r>
      <w:r w:rsidRPr="00443C3D">
        <w:rPr>
          <w:rFonts w:ascii="ITC Avant Garde" w:hAnsi="ITC Avant Garde"/>
        </w:rPr>
        <w:t>que se podrá intercambiar a través de los puertos de acceso será de cualquier origen o destino dentro del territorio nacional, así como de cualquier tipo (local, entre localidades, tránsito, móvil, fijo).</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interconectados deberán tener redundancia en los puertos de acceso que favorezca la continuidad en la prestación del servicio.</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puertos de acceso de acuerdo a la tecnología utilizada deberán cumplir las siguientes características:</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tabs>
          <w:tab w:val="left" w:pos="0"/>
        </w:tabs>
        <w:spacing w:after="0"/>
        <w:ind w:right="49"/>
        <w:jc w:val="both"/>
        <w:rPr>
          <w:rFonts w:ascii="ITC Avant Garde" w:hAnsi="ITC Avant Garde" w:cs="Arial"/>
          <w:b/>
        </w:rPr>
      </w:pPr>
      <w:r w:rsidRPr="00443C3D">
        <w:rPr>
          <w:rFonts w:ascii="ITC Avant Garde" w:hAnsi="ITC Avant Garde" w:cs="Arial"/>
          <w:b/>
        </w:rPr>
        <w:t>Interconexión IP.</w:t>
      </w:r>
    </w:p>
    <w:p w:rsidR="00E456C3" w:rsidRPr="00443C3D" w:rsidRDefault="00E456C3" w:rsidP="00E456C3">
      <w:pPr>
        <w:tabs>
          <w:tab w:val="left" w:pos="0"/>
        </w:tabs>
        <w:spacing w:after="0"/>
        <w:ind w:right="49"/>
        <w:jc w:val="both"/>
        <w:rPr>
          <w:rFonts w:ascii="ITC Avant Garde" w:hAnsi="ITC Avant Garde" w:cs="Arial"/>
        </w:rPr>
      </w:pPr>
    </w:p>
    <w:p w:rsidR="00E456C3" w:rsidRPr="00443C3D" w:rsidRDefault="00E456C3" w:rsidP="00E456C3">
      <w:pPr>
        <w:tabs>
          <w:tab w:val="left" w:pos="0"/>
        </w:tabs>
        <w:spacing w:after="0"/>
        <w:ind w:right="49"/>
        <w:jc w:val="both"/>
        <w:rPr>
          <w:rFonts w:ascii="ITC Avant Garde" w:hAnsi="ITC Avant Garde" w:cs="Arial"/>
        </w:rPr>
      </w:pPr>
      <w:r w:rsidRPr="00443C3D">
        <w:rPr>
          <w:rFonts w:ascii="ITC Avant Garde" w:hAnsi="ITC Avant Garde"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rsidR="00E456C3" w:rsidRPr="00443C3D" w:rsidRDefault="00E456C3" w:rsidP="00E456C3">
      <w:pPr>
        <w:tabs>
          <w:tab w:val="left" w:pos="0"/>
        </w:tabs>
        <w:spacing w:after="0"/>
        <w:ind w:right="49"/>
        <w:jc w:val="both"/>
        <w:rPr>
          <w:rFonts w:ascii="ITC Avant Garde" w:hAnsi="ITC Avant Garde" w:cs="Arial"/>
        </w:rPr>
      </w:pPr>
    </w:p>
    <w:p w:rsidR="00E456C3" w:rsidRPr="00443C3D" w:rsidRDefault="00E456C3" w:rsidP="00E456C3">
      <w:pPr>
        <w:tabs>
          <w:tab w:val="left" w:pos="0"/>
        </w:tabs>
        <w:spacing w:after="0"/>
        <w:ind w:right="49"/>
        <w:jc w:val="both"/>
        <w:rPr>
          <w:rFonts w:ascii="ITC Avant Garde" w:hAnsi="ITC Avant Garde" w:cs="Arial"/>
          <w:b/>
        </w:rPr>
      </w:pPr>
      <w:r w:rsidRPr="00443C3D">
        <w:rPr>
          <w:rFonts w:ascii="ITC Avant Garde" w:hAnsi="ITC Avant Garde" w:cs="Arial"/>
          <w:b/>
        </w:rPr>
        <w:t>Interconexión TDM.</w:t>
      </w:r>
    </w:p>
    <w:p w:rsidR="00E456C3" w:rsidRPr="00443C3D" w:rsidRDefault="00E456C3" w:rsidP="00E456C3">
      <w:pPr>
        <w:tabs>
          <w:tab w:val="left" w:pos="0"/>
        </w:tabs>
        <w:spacing w:after="0"/>
        <w:ind w:right="49"/>
        <w:jc w:val="both"/>
        <w:rPr>
          <w:rFonts w:ascii="ITC Avant Garde" w:hAnsi="ITC Avant Garde" w:cs="Arial"/>
        </w:rPr>
      </w:pPr>
    </w:p>
    <w:p w:rsidR="00E456C3" w:rsidRPr="00443C3D" w:rsidRDefault="00E456C3" w:rsidP="00E456C3">
      <w:pPr>
        <w:tabs>
          <w:tab w:val="left" w:pos="0"/>
        </w:tabs>
        <w:spacing w:after="0"/>
        <w:ind w:right="49"/>
        <w:jc w:val="both"/>
        <w:rPr>
          <w:rFonts w:ascii="ITC Avant Garde" w:hAnsi="ITC Avant Garde" w:cs="Arial"/>
        </w:rPr>
      </w:pPr>
      <w:r w:rsidRPr="00443C3D">
        <w:rPr>
          <w:rFonts w:ascii="ITC Avant Garde" w:hAnsi="ITC Avant Garde" w:cs="Arial"/>
        </w:rPr>
        <w:lastRenderedPageBreak/>
        <w:t>Los enlaces de transmisión entre redes y los puertos de</w:t>
      </w:r>
      <w:r w:rsidRPr="00443C3D">
        <w:rPr>
          <w:rFonts w:ascii="ITC Avant Garde" w:hAnsi="ITC Avant Garde" w:cs="Arial"/>
          <w:b/>
        </w:rPr>
        <w:t xml:space="preserve"> </w:t>
      </w:r>
      <w:r w:rsidRPr="00443C3D">
        <w:rPr>
          <w:rFonts w:ascii="ITC Avant Garde" w:hAnsi="ITC Avant Garde" w:cs="Arial"/>
        </w:rPr>
        <w:t>acceso asociados son los que los concesionarios tengan instalados, los cuales deben corresponder a enlaces digitales que utilizan el formato TDM con capacidad de nivel E1, E3 (de acuerdo con la Disposición Técnica IFT-005-2016) o STM1 (de acuerdo a las Recomendaciones de la Unión Internacional de Telecomunicaciones ITU G.780, G.803 y G.810).</w:t>
      </w:r>
    </w:p>
    <w:p w:rsidR="00E456C3" w:rsidRPr="00443C3D" w:rsidRDefault="00E456C3" w:rsidP="00E456C3">
      <w:pPr>
        <w:tabs>
          <w:tab w:val="left" w:pos="0"/>
        </w:tabs>
        <w:spacing w:after="0"/>
        <w:ind w:left="708" w:right="49"/>
        <w:jc w:val="both"/>
        <w:rPr>
          <w:rFonts w:ascii="ITC Avant Garde" w:hAnsi="ITC Avant Garde" w:cs="Arial"/>
        </w:rPr>
      </w:pPr>
    </w:p>
    <w:p w:rsidR="00E456C3" w:rsidRPr="00443C3D" w:rsidRDefault="00896614" w:rsidP="00E456C3">
      <w:pPr>
        <w:spacing w:after="0"/>
        <w:ind w:right="49"/>
        <w:jc w:val="both"/>
        <w:rPr>
          <w:rFonts w:ascii="ITC Avant Garde" w:hAnsi="ITC Avant Garde" w:cs="Arial"/>
        </w:rPr>
      </w:pPr>
      <w:r w:rsidRPr="00443C3D">
        <w:rPr>
          <w:rFonts w:ascii="ITC Avant Garde" w:hAnsi="ITC Avant Garde" w:cs="Arial"/>
          <w:b/>
        </w:rPr>
        <w:t>SÉPTIMA. -</w:t>
      </w:r>
      <w:r w:rsidR="00E456C3" w:rsidRPr="00443C3D">
        <w:rPr>
          <w:rFonts w:ascii="ITC Avant Garde" w:hAnsi="ITC Avant Garde" w:cs="Arial"/>
        </w:rPr>
        <w:t xml:space="preserve"> La interconexión de redes públicas de telecomunicaciones se sujetará a la utilización de los siguientes protocolos de señalización.</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b/>
        </w:rPr>
      </w:pPr>
      <w:r w:rsidRPr="00443C3D">
        <w:rPr>
          <w:rFonts w:ascii="ITC Avant Garde" w:hAnsi="ITC Avant Garde" w:cs="Arial"/>
          <w:b/>
        </w:rPr>
        <w:t>Interconexión IP</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 xml:space="preserve">El protocolo de señalización SIP-IP será obligatorio para la interconexión directa entre concesionarios y de acuerdo a la Recomendación IETF RFC 3261 y recomendaciones complementarias. </w:t>
      </w:r>
    </w:p>
    <w:p w:rsidR="00896614" w:rsidRPr="00443C3D" w:rsidRDefault="00896614" w:rsidP="00E456C3">
      <w:pPr>
        <w:spacing w:after="0"/>
        <w:ind w:right="51"/>
        <w:jc w:val="both"/>
        <w:rPr>
          <w:rFonts w:ascii="ITC Avant Garde" w:hAnsi="ITC Avant Garde" w:cs="Arial"/>
        </w:rPr>
      </w:pPr>
    </w:p>
    <w:p w:rsidR="00E456C3" w:rsidRPr="00443C3D" w:rsidRDefault="00E456C3" w:rsidP="00E456C3">
      <w:pPr>
        <w:pStyle w:val="Prrafodelista"/>
        <w:numPr>
          <w:ilvl w:val="0"/>
          <w:numId w:val="11"/>
        </w:numPr>
        <w:spacing w:after="0" w:line="276" w:lineRule="auto"/>
        <w:ind w:left="709" w:right="49" w:hanging="720"/>
        <w:jc w:val="both"/>
        <w:rPr>
          <w:rFonts w:ascii="ITC Avant Garde" w:hAnsi="ITC Avant Garde" w:cs="Arial"/>
          <w:b/>
        </w:rPr>
      </w:pPr>
      <w:r w:rsidRPr="00443C3D">
        <w:rPr>
          <w:rFonts w:ascii="ITC Avant Garde" w:hAnsi="ITC Avant Garde" w:cs="Arial"/>
          <w:b/>
        </w:rPr>
        <w:t>Interconexión plano de control</w:t>
      </w:r>
    </w:p>
    <w:p w:rsidR="00E456C3" w:rsidRPr="00443C3D" w:rsidRDefault="00E456C3" w:rsidP="00E456C3">
      <w:pPr>
        <w:pStyle w:val="Prrafodelista"/>
        <w:spacing w:line="276" w:lineRule="auto"/>
        <w:ind w:left="0" w:right="49"/>
        <w:rPr>
          <w:rFonts w:ascii="ITC Avant Garde" w:hAnsi="ITC Avant Garde" w:cs="Arial"/>
          <w:b/>
          <w:sz w:val="24"/>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rPr>
        <w:t>Métodos y Encabezados de Campo SIP</w:t>
      </w:r>
    </w:p>
    <w:p w:rsidR="00E456C3" w:rsidRPr="00443C3D" w:rsidRDefault="00E456C3" w:rsidP="00E456C3">
      <w:pPr>
        <w:pStyle w:val="Prrafodelista"/>
        <w:spacing w:line="276" w:lineRule="auto"/>
        <w:ind w:left="709" w:right="49"/>
        <w:rPr>
          <w:rFonts w:ascii="ITC Avant Garde" w:hAnsi="ITC Avant Garde" w:cs="Arial"/>
          <w:b/>
          <w:sz w:val="24"/>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sz w:val="24"/>
        </w:rPr>
      </w:pPr>
      <w:r w:rsidRPr="00443C3D">
        <w:rPr>
          <w:rFonts w:ascii="ITC Avant Garde" w:hAnsi="ITC Avant Garde"/>
          <w:b/>
        </w:rPr>
        <w:t>Métodos SIP aplicables para sesiones de VoIP</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rPr>
          <w:rFonts w:ascii="ITC Avant Garde" w:hAnsi="ITC Avant Garde" w:cs="Arial"/>
        </w:rPr>
      </w:pPr>
      <w:r w:rsidRPr="00443C3D">
        <w:rPr>
          <w:rFonts w:ascii="ITC Avant Garde" w:hAnsi="ITC Avant Garde" w:cs="Arial"/>
        </w:rPr>
        <w:t>Para el modelo de interconexión VoIP se considerarán los siguientes métodos.</w:t>
      </w:r>
    </w:p>
    <w:p w:rsidR="00E456C3" w:rsidRPr="00443C3D" w:rsidRDefault="00E456C3" w:rsidP="00E456C3">
      <w:pPr>
        <w:spacing w:after="0"/>
        <w:ind w:right="49"/>
        <w:rPr>
          <w:rFonts w:ascii="ITC Avant Garde" w:hAnsi="ITC Avant Garde"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E456C3" w:rsidRPr="00443C3D" w:rsidTr="00896614">
        <w:trPr>
          <w:trHeight w:val="449"/>
          <w:jc w:val="center"/>
        </w:trPr>
        <w:tc>
          <w:tcPr>
            <w:tcW w:w="549" w:type="dxa"/>
            <w:shd w:val="clear" w:color="auto" w:fill="DEEAF6"/>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w:t>
            </w:r>
          </w:p>
        </w:tc>
        <w:tc>
          <w:tcPr>
            <w:tcW w:w="1431" w:type="dxa"/>
            <w:shd w:val="clear" w:color="auto" w:fill="DEEAF6"/>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Mensaje SIP</w:t>
            </w:r>
          </w:p>
        </w:tc>
        <w:tc>
          <w:tcPr>
            <w:tcW w:w="945" w:type="dxa"/>
            <w:shd w:val="clear" w:color="auto" w:fill="DEEAF6"/>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Estado</w:t>
            </w:r>
          </w:p>
        </w:tc>
        <w:tc>
          <w:tcPr>
            <w:tcW w:w="2709" w:type="dxa"/>
            <w:shd w:val="clear" w:color="auto" w:fill="DEEAF6"/>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Referencia</w:t>
            </w:r>
          </w:p>
        </w:tc>
      </w:tr>
      <w:tr w:rsidR="00E456C3" w:rsidRPr="00443C3D" w:rsidTr="00896614">
        <w:trPr>
          <w:trHeight w:val="247"/>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1</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ACK</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rsidTr="00896614">
        <w:trPr>
          <w:trHeight w:val="251"/>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2</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BYE</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rsidTr="00896614">
        <w:trPr>
          <w:trHeight w:val="255"/>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3</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CANCEL</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rsidTr="00896614">
        <w:trPr>
          <w:trHeight w:val="259"/>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4</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INVITE</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rsidTr="00896614">
        <w:trPr>
          <w:trHeight w:val="252"/>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5</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UPDATE</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3311</w:t>
            </w:r>
          </w:p>
        </w:tc>
      </w:tr>
      <w:tr w:rsidR="00E456C3" w:rsidRPr="00443C3D" w:rsidTr="00896614">
        <w:trPr>
          <w:trHeight w:val="256"/>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6</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PRACK</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3262</w:t>
            </w:r>
          </w:p>
        </w:tc>
      </w:tr>
      <w:tr w:rsidR="00E456C3" w:rsidRPr="00443C3D" w:rsidTr="00896614">
        <w:trPr>
          <w:trHeight w:val="226"/>
          <w:jc w:val="center"/>
        </w:trPr>
        <w:tc>
          <w:tcPr>
            <w:tcW w:w="54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7</w:t>
            </w:r>
          </w:p>
        </w:tc>
        <w:tc>
          <w:tcPr>
            <w:tcW w:w="1431"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OPTIONS*</w:t>
            </w:r>
          </w:p>
        </w:tc>
        <w:tc>
          <w:tcPr>
            <w:tcW w:w="945"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bl>
    <w:p w:rsidR="00E456C3" w:rsidRPr="00443C3D" w:rsidRDefault="00E456C3" w:rsidP="00E456C3">
      <w:pPr>
        <w:spacing w:after="0"/>
        <w:ind w:right="49"/>
        <w:rPr>
          <w:rFonts w:ascii="ITC Avant Garde" w:hAnsi="ITC Avant Garde" w:cs="Arial"/>
          <w:sz w:val="16"/>
          <w:szCs w:val="16"/>
        </w:rPr>
      </w:pPr>
      <w:r w:rsidRPr="00443C3D">
        <w:rPr>
          <w:rFonts w:ascii="ITC Avant Garde" w:hAnsi="ITC Avant Garde" w:cs="Arial"/>
          <w:sz w:val="16"/>
          <w:szCs w:val="16"/>
        </w:rPr>
        <w:t>*</w:t>
      </w:r>
      <w:r w:rsidRPr="00443C3D">
        <w:rPr>
          <w:rFonts w:ascii="ITC Avant Garde" w:hAnsi="ITC Avant Garde"/>
          <w:sz w:val="16"/>
          <w:szCs w:val="16"/>
        </w:rPr>
        <w:t>con Max-Forwards = 0, para verificar que el objetivo es alcanzable</w:t>
      </w: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1. Métodos aplicables para una sesión VoIP</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método OPTIONS será utilizado como método de “keep alive” de la siguiente forma:</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El nodo A envía de manera periódica el método Options al nodo B, y el nodo B responde con un “200 OK”. Si el nodo B deja de responder o envía una respuesta SIP 503 (Servicio no disponible) entonces el nodo A bloquea la ruta pero </w:t>
      </w:r>
      <w:r w:rsidRPr="00443C3D">
        <w:rPr>
          <w:rFonts w:ascii="ITC Avant Garde" w:hAnsi="ITC Avant Garde"/>
        </w:rPr>
        <w:t>continúa enviando el mensaje</w:t>
      </w:r>
      <w:r w:rsidRPr="00443C3D">
        <w:rPr>
          <w:rFonts w:ascii="ITC Avant Garde" w:hAnsi="ITC Avant Garde" w:cs="Arial"/>
        </w:rPr>
        <w:t>. En el momento en el que el nodo B vuelve a responder se reactiva la ruta.</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Se cumplirá con los campos de encabezado aplicables para los métodos definidos en la Tabla 1, de acuerdo a la recomendación correspondiente.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Relaciones confiables</w:t>
      </w:r>
    </w:p>
    <w:p w:rsidR="00E456C3" w:rsidRPr="00443C3D" w:rsidRDefault="00E456C3" w:rsidP="00E456C3">
      <w:pPr>
        <w:spacing w:after="0"/>
        <w:ind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A los elementos que conforman una red que tiene un acuerdo de interconexión se les llama dominio confiable.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dominios confiables en este caso determinan el cumplimiento de las configuraciones y especificaciones en este documento.</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Peticiones</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rsidR="00E456C3" w:rsidRPr="00443C3D" w:rsidRDefault="00E456C3" w:rsidP="00E456C3">
      <w:pPr>
        <w:pStyle w:val="Prrafodelista"/>
        <w:spacing w:line="276" w:lineRule="auto"/>
        <w:ind w:left="-142" w:right="49"/>
        <w:rPr>
          <w:rFonts w:ascii="ITC Avant Garde" w:hAnsi="ITC Avant Garde" w:cs="Arial"/>
        </w:rPr>
      </w:pPr>
      <w:r w:rsidRPr="00443C3D">
        <w:rPr>
          <w:noProof/>
          <w:lang w:eastAsia="es-MX"/>
        </w:rPr>
        <mc:AlternateContent>
          <mc:Choice Requires="wpg">
            <w:drawing>
              <wp:anchor distT="0" distB="0" distL="114300" distR="114300" simplePos="0" relativeHeight="251663360" behindDoc="0" locked="0" layoutInCell="1" allowOverlap="1" wp14:anchorId="1AFC3113" wp14:editId="57F377A6">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rsidR="00875872" w:rsidRPr="00876265" w:rsidRDefault="00875872" w:rsidP="00E456C3">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rsidR="00875872" w:rsidRPr="00876265" w:rsidRDefault="00875872" w:rsidP="00E456C3">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rsidR="00875872" w:rsidRPr="00876265" w:rsidRDefault="00875872" w:rsidP="00E456C3">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C3113" id="Grupo 8" o:spid="_x0000_s1026" style="position:absolute;left:0;text-align:left;margin-left:0;margin-top:9.85pt;width:317.25pt;height:21pt;z-index:25166336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rsidR="00875872" w:rsidRPr="00876265" w:rsidRDefault="00875872" w:rsidP="00E456C3">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rsidR="00875872" w:rsidRPr="00876265" w:rsidRDefault="00875872" w:rsidP="00E456C3">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rsidR="00875872" w:rsidRPr="00876265" w:rsidRDefault="00875872" w:rsidP="00E456C3">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rsidR="00E456C3" w:rsidRPr="00443C3D" w:rsidRDefault="00E456C3" w:rsidP="00E456C3">
      <w:pPr>
        <w:pStyle w:val="Prrafodelista"/>
        <w:spacing w:line="276" w:lineRule="auto"/>
        <w:ind w:left="-142" w:right="49"/>
        <w:rPr>
          <w:rFonts w:ascii="ITC Avant Garde" w:hAnsi="ITC Avant Garde" w:cs="Arial"/>
        </w:rPr>
      </w:pPr>
    </w:p>
    <w:p w:rsidR="00E456C3" w:rsidRPr="00443C3D" w:rsidRDefault="00E456C3" w:rsidP="00E456C3">
      <w:pPr>
        <w:spacing w:after="0"/>
        <w:ind w:right="49"/>
        <w:rPr>
          <w:rFonts w:ascii="ITC Avant Garde" w:hAnsi="ITC Avant Garde" w:cs="Arial"/>
        </w:rPr>
      </w:pPr>
      <w:r w:rsidRPr="00443C3D">
        <w:rPr>
          <w:rFonts w:ascii="ITC Avant Garde" w:hAnsi="ITC Avant Garde" w:cs="Arial"/>
        </w:rPr>
        <w:t>Ejemplo:</w:t>
      </w:r>
    </w:p>
    <w:p w:rsidR="00E456C3" w:rsidRPr="00443C3D" w:rsidRDefault="00E456C3" w:rsidP="00E456C3">
      <w:pPr>
        <w:spacing w:after="0"/>
        <w:ind w:right="49"/>
        <w:rPr>
          <w:rFonts w:ascii="ITC Avant Garde" w:hAnsi="ITC Avant Garde" w:cs="Arial"/>
        </w:rPr>
      </w:pPr>
      <w:r w:rsidRPr="00443C3D">
        <w:rPr>
          <w:rFonts w:ascii="ITC Avant Garde" w:hAnsi="ITC Avant Garde" w:cs="Arial"/>
        </w:rPr>
        <w:t xml:space="preserve">INVITE </w:t>
      </w:r>
      <w:hyperlink r:id="rId10" w:history="1">
        <w:r w:rsidRPr="00443C3D">
          <w:rPr>
            <w:rStyle w:val="Hipervnculo"/>
            <w:rFonts w:ascii="ITC Avant Garde" w:hAnsi="ITC Avant Garde" w:cs="Arial"/>
          </w:rPr>
          <w:t>sip:&lt;5512345678@operador.mx</w:t>
        </w:r>
      </w:hyperlink>
      <w:r w:rsidRPr="00443C3D">
        <w:rPr>
          <w:rFonts w:ascii="ITC Avant Garde" w:hAnsi="ITC Avant Garde" w:cs="Arial"/>
        </w:rPr>
        <w:t xml:space="preserve"> o dirección ip&gt;;user=phone SIP/2.0</w:t>
      </w:r>
    </w:p>
    <w:p w:rsidR="00E456C3" w:rsidRPr="00443C3D" w:rsidRDefault="00E456C3" w:rsidP="00E456C3">
      <w:pPr>
        <w:spacing w:after="0"/>
        <w:ind w:right="49"/>
        <w:rPr>
          <w:rFonts w:ascii="ITC Avant Garde" w:hAnsi="ITC Avant Garde" w:cs="Arial"/>
          <w:b/>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Campos de encabezado método INVITE</w:t>
      </w:r>
    </w:p>
    <w:p w:rsidR="00E456C3" w:rsidRPr="00443C3D" w:rsidRDefault="00E456C3" w:rsidP="00E456C3">
      <w:pPr>
        <w:tabs>
          <w:tab w:val="left" w:pos="1365"/>
        </w:tabs>
        <w:spacing w:after="0"/>
        <w:ind w:right="49"/>
        <w:rPr>
          <w:rFonts w:ascii="ITC Avant Garde" w:hAnsi="ITC Avant Garde" w:cs="Arial"/>
        </w:rPr>
      </w:pPr>
      <w:r w:rsidRPr="00443C3D">
        <w:rPr>
          <w:rFonts w:ascii="ITC Avant Garde" w:hAnsi="ITC Avant Garde" w:cs="Arial"/>
        </w:rPr>
        <w:tab/>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943"/>
        <w:gridCol w:w="1507"/>
      </w:tblGrid>
      <w:tr w:rsidR="00E456C3" w:rsidRPr="00443C3D" w:rsidTr="00896614">
        <w:trPr>
          <w:jc w:val="center"/>
        </w:trPr>
        <w:tc>
          <w:tcPr>
            <w:tcW w:w="509" w:type="dxa"/>
            <w:shd w:val="clear" w:color="auto" w:fill="BDD6EE"/>
          </w:tcPr>
          <w:p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w:t>
            </w:r>
          </w:p>
        </w:tc>
        <w:tc>
          <w:tcPr>
            <w:tcW w:w="2943" w:type="dxa"/>
            <w:shd w:val="clear" w:color="auto" w:fill="BDD6EE"/>
          </w:tcPr>
          <w:p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Campo de encabezado</w:t>
            </w:r>
          </w:p>
        </w:tc>
        <w:tc>
          <w:tcPr>
            <w:tcW w:w="1507" w:type="dxa"/>
            <w:shd w:val="clear" w:color="auto" w:fill="BDD6EE"/>
          </w:tcPr>
          <w:p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Referencia</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Via</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2</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Supported</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3</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Session-Expires</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4028</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4</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Min-SE</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4028</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5</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Max-Forwards</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6</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To</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7</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From</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8</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Call-ID</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9</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CSeq</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10</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Contact</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11</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Content-Type</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12</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Content-Length</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rsidTr="00896614">
        <w:trPr>
          <w:jc w:val="center"/>
        </w:trPr>
        <w:tc>
          <w:tcPr>
            <w:tcW w:w="509"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13</w:t>
            </w:r>
          </w:p>
        </w:tc>
        <w:tc>
          <w:tcPr>
            <w:tcW w:w="2943" w:type="dxa"/>
          </w:tcPr>
          <w:p w:rsidR="00E456C3" w:rsidRPr="00443C3D" w:rsidRDefault="00E456C3" w:rsidP="00896614">
            <w:pPr>
              <w:spacing w:after="0"/>
              <w:ind w:right="49"/>
              <w:rPr>
                <w:rFonts w:ascii="ITC Avant Garde" w:hAnsi="ITC Avant Garde" w:cs="Arial"/>
              </w:rPr>
            </w:pPr>
            <w:r w:rsidRPr="00443C3D">
              <w:rPr>
                <w:rFonts w:ascii="ITC Avant Garde" w:hAnsi="ITC Avant Garde" w:cs="Arial"/>
              </w:rPr>
              <w:t>Allow</w:t>
            </w:r>
          </w:p>
        </w:tc>
        <w:tc>
          <w:tcPr>
            <w:tcW w:w="1507" w:type="dxa"/>
          </w:tcPr>
          <w:p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bl>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Tabla </w:t>
      </w:r>
      <w:r w:rsidR="000A63D0" w:rsidRPr="00443C3D">
        <w:rPr>
          <w:rFonts w:ascii="ITC Avant Garde" w:hAnsi="ITC Avant Garde" w:cs="Arial"/>
          <w:sz w:val="18"/>
          <w:szCs w:val="18"/>
        </w:rPr>
        <w:t>2. Campos</w:t>
      </w:r>
      <w:r w:rsidRPr="00443C3D">
        <w:rPr>
          <w:rFonts w:ascii="ITC Avant Garde" w:hAnsi="ITC Avant Garde" w:cs="Arial"/>
          <w:sz w:val="18"/>
          <w:szCs w:val="18"/>
        </w:rPr>
        <w:t xml:space="preserve"> de encabezado método INVITE.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lastRenderedPageBreak/>
        <w:t>La contestación a la petición INVITE será la respuesta SIP 1 “Intentando”, siempre que dicha petición progrese con éxito.</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Encabezados adicionales SIP aplicables para sesiones de VoIP</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rPr>
          <w:rFonts w:ascii="ITC Avant Garde" w:hAnsi="ITC Avant Garde" w:cs="Arial"/>
        </w:rPr>
      </w:pPr>
      <w:r w:rsidRPr="00443C3D">
        <w:rPr>
          <w:rFonts w:ascii="ITC Avant Garde" w:hAnsi="ITC Avant Garde"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E456C3" w:rsidRPr="00443C3D" w:rsidTr="00896614">
        <w:trPr>
          <w:jc w:val="center"/>
        </w:trPr>
        <w:tc>
          <w:tcPr>
            <w:tcW w:w="279" w:type="dxa"/>
            <w:shd w:val="clear" w:color="auto" w:fill="BDD6EE"/>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w:t>
            </w:r>
          </w:p>
        </w:tc>
        <w:tc>
          <w:tcPr>
            <w:tcW w:w="3260" w:type="dxa"/>
            <w:shd w:val="clear" w:color="auto" w:fill="BDD6EE"/>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Encabezado</w:t>
            </w:r>
          </w:p>
        </w:tc>
        <w:tc>
          <w:tcPr>
            <w:tcW w:w="992" w:type="dxa"/>
            <w:shd w:val="clear" w:color="auto" w:fill="BDD6EE"/>
          </w:tcPr>
          <w:p w:rsidR="00E456C3" w:rsidRPr="00443C3D" w:rsidRDefault="00E456C3" w:rsidP="00896614">
            <w:pPr>
              <w:spacing w:after="0"/>
              <w:ind w:right="49"/>
              <w:rPr>
                <w:rFonts w:ascii="ITC Avant Garde" w:hAnsi="ITC Avant Garde"/>
                <w:color w:val="000000"/>
                <w:lang w:eastAsia="es-MX"/>
              </w:rPr>
            </w:pPr>
            <w:r w:rsidRPr="00443C3D">
              <w:rPr>
                <w:rFonts w:ascii="ITC Avant Garde" w:hAnsi="ITC Avant Garde"/>
                <w:color w:val="000000"/>
                <w:lang w:eastAsia="es-MX"/>
              </w:rPr>
              <w:t>Estado</w:t>
            </w:r>
          </w:p>
        </w:tc>
        <w:tc>
          <w:tcPr>
            <w:tcW w:w="2977" w:type="dxa"/>
            <w:shd w:val="clear" w:color="auto" w:fill="BDD6EE"/>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Referencia</w:t>
            </w:r>
          </w:p>
        </w:tc>
      </w:tr>
      <w:tr w:rsidR="00E456C3" w:rsidRPr="00443C3D" w:rsidTr="00896614">
        <w:trPr>
          <w:jc w:val="center"/>
        </w:trPr>
        <w:tc>
          <w:tcPr>
            <w:tcW w:w="279"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1</w:t>
            </w:r>
          </w:p>
        </w:tc>
        <w:tc>
          <w:tcPr>
            <w:tcW w:w="3260" w:type="dxa"/>
            <w:vAlign w:val="center"/>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Privacy</w:t>
            </w:r>
          </w:p>
        </w:tc>
        <w:tc>
          <w:tcPr>
            <w:tcW w:w="992"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 RFC 3323</w:t>
            </w:r>
          </w:p>
        </w:tc>
      </w:tr>
      <w:tr w:rsidR="00E456C3" w:rsidRPr="00443C3D" w:rsidTr="00896614">
        <w:trPr>
          <w:jc w:val="center"/>
        </w:trPr>
        <w:tc>
          <w:tcPr>
            <w:tcW w:w="279"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2</w:t>
            </w:r>
          </w:p>
        </w:tc>
        <w:tc>
          <w:tcPr>
            <w:tcW w:w="3260" w:type="dxa"/>
            <w:vAlign w:val="center"/>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Reason (en una respuesta)</w:t>
            </w:r>
          </w:p>
        </w:tc>
        <w:tc>
          <w:tcPr>
            <w:tcW w:w="992"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 RFC 3326</w:t>
            </w:r>
          </w:p>
        </w:tc>
      </w:tr>
      <w:tr w:rsidR="00E456C3" w:rsidRPr="00443C3D" w:rsidTr="00896614">
        <w:trPr>
          <w:jc w:val="center"/>
        </w:trPr>
        <w:tc>
          <w:tcPr>
            <w:tcW w:w="279"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3</w:t>
            </w:r>
          </w:p>
        </w:tc>
        <w:tc>
          <w:tcPr>
            <w:tcW w:w="3260" w:type="dxa"/>
            <w:vAlign w:val="center"/>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P-Asserted-Identity</w:t>
            </w:r>
          </w:p>
        </w:tc>
        <w:tc>
          <w:tcPr>
            <w:tcW w:w="992"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al RFC 3325</w:t>
            </w:r>
          </w:p>
        </w:tc>
      </w:tr>
      <w:tr w:rsidR="00E456C3" w:rsidRPr="00443C3D" w:rsidTr="00896614">
        <w:trPr>
          <w:jc w:val="center"/>
        </w:trPr>
        <w:tc>
          <w:tcPr>
            <w:tcW w:w="279"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4</w:t>
            </w:r>
          </w:p>
        </w:tc>
        <w:tc>
          <w:tcPr>
            <w:tcW w:w="3260" w:type="dxa"/>
            <w:vAlign w:val="center"/>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P-Early-Media</w:t>
            </w:r>
          </w:p>
        </w:tc>
        <w:tc>
          <w:tcPr>
            <w:tcW w:w="992"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O</w:t>
            </w:r>
          </w:p>
        </w:tc>
        <w:tc>
          <w:tcPr>
            <w:tcW w:w="2977" w:type="dxa"/>
          </w:tcPr>
          <w:p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al RFC 5009</w:t>
            </w:r>
          </w:p>
        </w:tc>
      </w:tr>
    </w:tbl>
    <w:p w:rsidR="00E456C3" w:rsidRPr="00443C3D" w:rsidRDefault="00E456C3" w:rsidP="00E456C3">
      <w:pPr>
        <w:spacing w:after="0"/>
        <w:ind w:right="49"/>
        <w:jc w:val="center"/>
        <w:rPr>
          <w:rFonts w:ascii="ITC Avant Garde" w:hAnsi="ITC Avant Garde" w:cs="Arial"/>
          <w:sz w:val="18"/>
          <w:szCs w:val="18"/>
        </w:rPr>
      </w:pP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3. Encabezados adicionales SIP para VoIP.</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Para el caso de los campos o parámetros que no aparecen en este documento, el Concesionario Receptor de la señalización es libre de procesarlos o ignorarlos.</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Protocolo de Descripción de Sesión</w:t>
      </w:r>
    </w:p>
    <w:p w:rsidR="00E456C3" w:rsidRPr="00443C3D" w:rsidRDefault="00E456C3" w:rsidP="00E456C3">
      <w:pPr>
        <w:autoSpaceDE w:val="0"/>
        <w:autoSpaceDN w:val="0"/>
        <w:adjustRightInd w:val="0"/>
        <w:spacing w:after="0"/>
        <w:ind w:right="51"/>
        <w:jc w:val="both"/>
        <w:rPr>
          <w:rFonts w:ascii="ITC Avant Garde" w:hAnsi="ITC Avant Garde"/>
        </w:rPr>
      </w:pPr>
    </w:p>
    <w:p w:rsidR="00E456C3" w:rsidRPr="00443C3D" w:rsidRDefault="00E456C3" w:rsidP="00E456C3">
      <w:pPr>
        <w:autoSpaceDE w:val="0"/>
        <w:autoSpaceDN w:val="0"/>
        <w:adjustRightInd w:val="0"/>
        <w:spacing w:after="0"/>
        <w:ind w:right="51"/>
        <w:jc w:val="both"/>
        <w:rPr>
          <w:rFonts w:ascii="ITC Avant Garde" w:hAnsi="ITC Avant Garde"/>
        </w:rPr>
      </w:pPr>
      <w:r w:rsidRPr="00443C3D">
        <w:rPr>
          <w:rFonts w:ascii="ITC Avant Garde" w:hAnsi="ITC Avant Garde"/>
        </w:rPr>
        <w:t xml:space="preserve">La solicitud INVITE incluirá en el cuerpo, una descripción de la sesión en formato Protocolo de Descripción de Sesión (“SDP”, por sus siglas en inglés) de acuerdo a la Recomendación IETF </w:t>
      </w:r>
      <w:r w:rsidRPr="00443C3D">
        <w:rPr>
          <w:rFonts w:ascii="ITC Avant Garde" w:hAnsi="ITC Avant Garde" w:cs="Arial"/>
        </w:rPr>
        <w:t>RFC 4566</w:t>
      </w:r>
      <w:r w:rsidRPr="00443C3D">
        <w:rPr>
          <w:rFonts w:ascii="ITC Avant Garde" w:hAnsi="ITC Avant Garde"/>
        </w:rPr>
        <w:t>, en la cual se señalan las características del medio.</w:t>
      </w:r>
    </w:p>
    <w:p w:rsidR="00E456C3" w:rsidRPr="00443C3D" w:rsidRDefault="00E456C3" w:rsidP="00896614">
      <w:pPr>
        <w:pStyle w:val="Prrafodelista"/>
        <w:autoSpaceDE w:val="0"/>
        <w:autoSpaceDN w:val="0"/>
        <w:adjustRightInd w:val="0"/>
        <w:spacing w:after="0" w:line="276" w:lineRule="auto"/>
        <w:ind w:right="51"/>
        <w:contextualSpacing w:val="0"/>
        <w:rPr>
          <w:rFonts w:ascii="ITC Avant Garde" w:hAnsi="ITC Avant Garde"/>
        </w:rPr>
      </w:pPr>
    </w:p>
    <w:p w:rsidR="00E456C3" w:rsidRPr="00443C3D" w:rsidRDefault="00E456C3" w:rsidP="00E456C3">
      <w:pPr>
        <w:autoSpaceDE w:val="0"/>
        <w:autoSpaceDN w:val="0"/>
        <w:adjustRightInd w:val="0"/>
        <w:spacing w:after="0"/>
        <w:ind w:right="51"/>
        <w:jc w:val="both"/>
        <w:rPr>
          <w:rFonts w:ascii="ITC Avant Garde" w:hAnsi="ITC Avant Garde"/>
        </w:rPr>
      </w:pPr>
      <w:r w:rsidRPr="00443C3D">
        <w:rPr>
          <w:rFonts w:ascii="ITC Avant Garde" w:hAnsi="ITC Avant Garde"/>
        </w:rPr>
        <w:t>El mensaje SDP se compondrá de los siguientes campos y se respetará el orden especificado.</w:t>
      </w:r>
    </w:p>
    <w:p w:rsidR="00E456C3" w:rsidRPr="00443C3D" w:rsidRDefault="00E456C3" w:rsidP="00E456C3">
      <w:pPr>
        <w:autoSpaceDE w:val="0"/>
        <w:autoSpaceDN w:val="0"/>
        <w:adjustRightInd w:val="0"/>
        <w:spacing w:after="0"/>
        <w:ind w:right="51"/>
        <w:jc w:val="both"/>
        <w:rPr>
          <w:rFonts w:ascii="ITC Avant Garde" w:hAnsi="ITC Avant Garde"/>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E456C3" w:rsidRPr="00443C3D" w:rsidTr="00896614">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Estado</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s</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409"/>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322"/>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rsidTr="00896614">
        <w:trPr>
          <w:trHeight w:val="243"/>
          <w:jc w:val="center"/>
        </w:trPr>
        <w:tc>
          <w:tcPr>
            <w:tcW w:w="644" w:type="dxa"/>
            <w:tcBorders>
              <w:top w:val="nil"/>
              <w:left w:val="single" w:sz="8" w:space="0" w:color="auto"/>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bl>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Tabla </w:t>
      </w:r>
      <w:r w:rsidR="00896614" w:rsidRPr="00443C3D">
        <w:rPr>
          <w:rFonts w:ascii="ITC Avant Garde" w:hAnsi="ITC Avant Garde" w:cs="Arial"/>
          <w:sz w:val="18"/>
          <w:szCs w:val="18"/>
        </w:rPr>
        <w:t>4. Campos</w:t>
      </w:r>
      <w:r w:rsidRPr="00443C3D">
        <w:rPr>
          <w:rFonts w:ascii="ITC Avant Garde" w:hAnsi="ITC Avant Garde" w:cs="Arial"/>
          <w:sz w:val="18"/>
          <w:szCs w:val="18"/>
        </w:rPr>
        <w:t xml:space="preserve"> SDP.</w:t>
      </w:r>
    </w:p>
    <w:p w:rsidR="00E456C3" w:rsidRPr="00443C3D" w:rsidRDefault="00E456C3" w:rsidP="00E456C3">
      <w:pPr>
        <w:spacing w:after="0"/>
        <w:ind w:right="49"/>
        <w:rPr>
          <w:rFonts w:ascii="ITC Avant Garde" w:hAnsi="ITC Avant Garde" w:cs="Arial"/>
          <w:sz w:val="18"/>
          <w:szCs w:val="18"/>
        </w:rPr>
      </w:pPr>
    </w:p>
    <w:p w:rsidR="00E456C3" w:rsidRPr="00443C3D" w:rsidRDefault="00E456C3" w:rsidP="00E456C3">
      <w:pPr>
        <w:spacing w:after="0"/>
        <w:ind w:right="49"/>
        <w:jc w:val="both"/>
        <w:rPr>
          <w:rFonts w:ascii="ITC Avant Garde" w:hAnsi="ITC Avant Garde" w:cs="Arial"/>
          <w:sz w:val="18"/>
          <w:szCs w:val="18"/>
        </w:rPr>
      </w:pPr>
      <w:r w:rsidRPr="00443C3D">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 xml:space="preserve">Notación </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rPr>
          <w:rFonts w:ascii="ITC Avant Garde" w:hAnsi="ITC Avant Garde" w:cs="Arial"/>
        </w:rPr>
      </w:pPr>
      <w:r w:rsidRPr="00443C3D">
        <w:rPr>
          <w:rFonts w:ascii="ITC Avant Garde" w:hAnsi="ITC Avant Garde" w:cs="Arial"/>
        </w:rPr>
        <w:t>En la tabla 1 y 3 el código de estado “M” y “O” significan lo siguiente:</w:t>
      </w:r>
    </w:p>
    <w:p w:rsidR="00E456C3" w:rsidRPr="00443C3D" w:rsidRDefault="00E456C3" w:rsidP="00E456C3">
      <w:pPr>
        <w:spacing w:after="0"/>
        <w:ind w:right="49"/>
        <w:rPr>
          <w:rFonts w:ascii="ITC Avant Garde" w:hAnsi="ITC Avant Garde"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599"/>
        <w:gridCol w:w="2915"/>
        <w:gridCol w:w="3321"/>
      </w:tblGrid>
      <w:tr w:rsidR="00E456C3" w:rsidRPr="00443C3D" w:rsidTr="00896614">
        <w:tc>
          <w:tcPr>
            <w:tcW w:w="1106" w:type="dxa"/>
            <w:shd w:val="clear" w:color="auto" w:fill="BDD6EE"/>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Código</w:t>
            </w:r>
          </w:p>
        </w:tc>
        <w:tc>
          <w:tcPr>
            <w:tcW w:w="1599" w:type="dxa"/>
            <w:shd w:val="clear" w:color="auto" w:fill="BDD6EE"/>
          </w:tcPr>
          <w:p w:rsidR="00E456C3" w:rsidRPr="00443C3D" w:rsidRDefault="00E456C3" w:rsidP="00896614">
            <w:pPr>
              <w:pStyle w:val="TAH"/>
              <w:spacing w:line="276" w:lineRule="auto"/>
              <w:ind w:right="49"/>
              <w:rPr>
                <w:rFonts w:ascii="ITC Avant Garde" w:hAnsi="ITC Avant Garde"/>
                <w:b w:val="0"/>
                <w:sz w:val="20"/>
              </w:rPr>
            </w:pPr>
          </w:p>
        </w:tc>
        <w:tc>
          <w:tcPr>
            <w:tcW w:w="2915" w:type="dxa"/>
            <w:shd w:val="clear" w:color="auto" w:fill="BDD6EE"/>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Tratamiento en el envío </w:t>
            </w:r>
          </w:p>
        </w:tc>
        <w:tc>
          <w:tcPr>
            <w:tcW w:w="3321" w:type="dxa"/>
            <w:shd w:val="clear" w:color="auto" w:fill="BDD6EE"/>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 Tratamiento en la recepción</w:t>
            </w:r>
          </w:p>
        </w:tc>
      </w:tr>
      <w:tr w:rsidR="00E456C3" w:rsidRPr="00443C3D" w:rsidTr="00896614">
        <w:tc>
          <w:tcPr>
            <w:tcW w:w="1106" w:type="dxa"/>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c>
          <w:tcPr>
            <w:tcW w:w="1599" w:type="dxa"/>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Obligatorio</w:t>
            </w:r>
          </w:p>
        </w:tc>
        <w:tc>
          <w:tcPr>
            <w:tcW w:w="2915" w:type="dxa"/>
          </w:tcPr>
          <w:p w:rsidR="00E456C3" w:rsidRPr="00443C3D" w:rsidRDefault="00E456C3" w:rsidP="00896614">
            <w:pPr>
              <w:spacing w:after="0"/>
              <w:ind w:right="49"/>
              <w:rPr>
                <w:rFonts w:ascii="ITC Avant Garde" w:hAnsi="ITC Avant Garde"/>
                <w:color w:val="000000"/>
                <w:sz w:val="20"/>
                <w:szCs w:val="20"/>
                <w:lang w:eastAsia="es-MX"/>
              </w:rPr>
            </w:pPr>
          </w:p>
          <w:p w:rsidR="00E456C3" w:rsidRPr="00443C3D" w:rsidRDefault="00E456C3" w:rsidP="00896614">
            <w:pPr>
              <w:spacing w:after="0"/>
              <w:ind w:right="49"/>
              <w:jc w:val="both"/>
              <w:rPr>
                <w:rFonts w:ascii="ITC Avant Garde" w:hAnsi="ITC Avant Garde"/>
                <w:color w:val="000000"/>
                <w:sz w:val="20"/>
                <w:szCs w:val="20"/>
                <w:lang w:eastAsia="es-MX"/>
              </w:rPr>
            </w:pPr>
            <w:r w:rsidRPr="00443C3D">
              <w:rPr>
                <w:rFonts w:ascii="ITC Avant Garde" w:hAnsi="ITC Avant Garde"/>
                <w:color w:val="000000"/>
                <w:sz w:val="20"/>
                <w:szCs w:val="20"/>
                <w:lang w:eastAsia="es-MX"/>
              </w:rPr>
              <w:t>Significa que el encabezado de campo debe estar presente en la petición cuando se requiera.</w:t>
            </w:r>
          </w:p>
        </w:tc>
        <w:tc>
          <w:tcPr>
            <w:tcW w:w="3321" w:type="dxa"/>
          </w:tcPr>
          <w:p w:rsidR="00E456C3" w:rsidRPr="00443C3D" w:rsidRDefault="00E456C3" w:rsidP="00896614">
            <w:pPr>
              <w:spacing w:after="0"/>
              <w:ind w:right="49"/>
              <w:jc w:val="both"/>
              <w:rPr>
                <w:rFonts w:ascii="ITC Avant Garde" w:hAnsi="ITC Avant Garde"/>
                <w:color w:val="000000"/>
                <w:sz w:val="20"/>
                <w:szCs w:val="20"/>
                <w:lang w:eastAsia="es-MX"/>
              </w:rPr>
            </w:pPr>
            <w:r w:rsidRPr="00443C3D">
              <w:rPr>
                <w:rFonts w:ascii="ITC Avant Garde" w:hAnsi="ITC Avant Garde"/>
                <w:snapToGrid w:val="0"/>
                <w:sz w:val="20"/>
                <w:szCs w:val="20"/>
              </w:rPr>
              <w:t>Significa que el mensaje debe estar presente en la respuesta, y que el campo de encabezado debe ser comprendido por la red que responde.</w:t>
            </w:r>
          </w:p>
        </w:tc>
      </w:tr>
      <w:tr w:rsidR="00E456C3" w:rsidRPr="00443C3D" w:rsidTr="00896614">
        <w:trPr>
          <w:trHeight w:val="1359"/>
        </w:trPr>
        <w:tc>
          <w:tcPr>
            <w:tcW w:w="1106" w:type="dxa"/>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c>
          <w:tcPr>
            <w:tcW w:w="1599" w:type="dxa"/>
            <w:vAlign w:val="center"/>
          </w:tcPr>
          <w:p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 xml:space="preserve">Opcional </w:t>
            </w:r>
          </w:p>
        </w:tc>
        <w:tc>
          <w:tcPr>
            <w:tcW w:w="2915" w:type="dxa"/>
          </w:tcPr>
          <w:p w:rsidR="00E456C3" w:rsidRPr="00443C3D" w:rsidRDefault="00E456C3" w:rsidP="00896614">
            <w:pPr>
              <w:spacing w:after="0"/>
              <w:ind w:right="49"/>
              <w:jc w:val="both"/>
              <w:rPr>
                <w:rFonts w:ascii="ITC Avant Garde" w:hAnsi="ITC Avant Garde"/>
                <w:snapToGrid w:val="0"/>
                <w:sz w:val="20"/>
                <w:szCs w:val="20"/>
              </w:rPr>
            </w:pPr>
            <w:r w:rsidRPr="00443C3D">
              <w:rPr>
                <w:rFonts w:ascii="ITC Avant Garde" w:hAnsi="ITC Avant Garde"/>
                <w:snapToGrid w:val="0"/>
                <w:sz w:val="20"/>
                <w:szCs w:val="20"/>
              </w:rPr>
              <w:t>Significa que el uso del encabezado de campo en la petición se realizará de común acuerdo entre los concesionarios.</w:t>
            </w:r>
          </w:p>
        </w:tc>
        <w:tc>
          <w:tcPr>
            <w:tcW w:w="3321" w:type="dxa"/>
          </w:tcPr>
          <w:p w:rsidR="00E456C3" w:rsidRPr="00443C3D" w:rsidRDefault="00E456C3" w:rsidP="00896614">
            <w:pPr>
              <w:spacing w:after="0"/>
              <w:ind w:right="49"/>
              <w:jc w:val="both"/>
              <w:rPr>
                <w:rFonts w:ascii="ITC Avant Garde" w:hAnsi="ITC Avant Garde"/>
                <w:snapToGrid w:val="0"/>
                <w:sz w:val="20"/>
                <w:szCs w:val="20"/>
              </w:rPr>
            </w:pPr>
            <w:r w:rsidRPr="00443C3D">
              <w:rPr>
                <w:rFonts w:ascii="ITC Avant Garde" w:hAnsi="ITC Avant Garde"/>
                <w:snapToGrid w:val="0"/>
                <w:sz w:val="20"/>
                <w:szCs w:val="20"/>
              </w:rPr>
              <w:t>Significa que el tratamiento de la recepción se realizará de común acuerdo entre los concesionarios.</w:t>
            </w:r>
          </w:p>
          <w:p w:rsidR="00E456C3" w:rsidRPr="00443C3D" w:rsidRDefault="00E456C3" w:rsidP="00896614">
            <w:pPr>
              <w:spacing w:after="0"/>
              <w:ind w:right="49"/>
              <w:jc w:val="both"/>
              <w:rPr>
                <w:rFonts w:ascii="ITC Avant Garde" w:hAnsi="ITC Avant Garde"/>
                <w:snapToGrid w:val="0"/>
                <w:sz w:val="20"/>
                <w:szCs w:val="20"/>
              </w:rPr>
            </w:pPr>
          </w:p>
        </w:tc>
      </w:tr>
    </w:tbl>
    <w:p w:rsidR="00E456C3" w:rsidRPr="00443C3D" w:rsidRDefault="00E456C3" w:rsidP="00E456C3">
      <w:pPr>
        <w:spacing w:after="0"/>
        <w:ind w:right="49"/>
        <w:rPr>
          <w:rFonts w:ascii="ITC Avant Garde" w:hAnsi="ITC Avant Garde"/>
          <w:color w:val="000000"/>
          <w:lang w:eastAsia="es-MX"/>
        </w:rPr>
      </w:pP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5. Códigos de Estado.</w:t>
      </w:r>
    </w:p>
    <w:p w:rsidR="00E456C3" w:rsidRPr="00443C3D" w:rsidRDefault="00E456C3" w:rsidP="00E456C3">
      <w:pPr>
        <w:spacing w:after="0"/>
        <w:ind w:right="49"/>
        <w:rPr>
          <w:rFonts w:ascii="ITC Avant Garde" w:hAnsi="ITC Avant Garde" w:cs="Arial"/>
          <w:sz w:val="18"/>
          <w:szCs w:val="18"/>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Descripción del medio de transporte</w:t>
      </w:r>
    </w:p>
    <w:p w:rsidR="00E456C3" w:rsidRPr="00443C3D" w:rsidRDefault="00E456C3" w:rsidP="00E456C3">
      <w:pPr>
        <w:spacing w:after="0"/>
        <w:ind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Una descripción de sesión puede contener un número de descripciones de medios. </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Cada campo de medios está conformado por los siguientes subcampos:</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m=&lt;medio&gt; &lt;puerto&gt; &lt;transporte&gt; &lt;lista fmt&gt;</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En el subcampo &lt;medio&gt; el cual corresponde al tipo de medio, se deberá enviar “audio” </w:t>
      </w:r>
    </w:p>
    <w:p w:rsidR="00896614" w:rsidRPr="00443C3D" w:rsidRDefault="00896614"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&lt;transporte&gt; el cual corresponde al protocolo de transporte se deberá especificar RTP/AVP.</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&lt;lista fmt&gt; el cual corresponde al tipo de carga útil d</w:t>
      </w:r>
      <w:r w:rsidR="000D1E11">
        <w:rPr>
          <w:rFonts w:ascii="ITC Avant Garde" w:hAnsi="ITC Avant Garde" w:cs="Arial"/>
        </w:rPr>
        <w:t>e</w:t>
      </w:r>
      <w:r w:rsidRPr="00443C3D">
        <w:rPr>
          <w:rFonts w:ascii="ITC Avant Garde" w:hAnsi="ITC Avant Garde" w:cs="Arial"/>
        </w:rPr>
        <w:t>l medio correspondiente a los códecs que se podrán utilizar. El primero de éstos es el formato de mayor preferencia en la sesión.</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lastRenderedPageBreak/>
        <w:t>Se definirán los atributos rtpmap para cada formato de medio especificado de acuerdo a</w:t>
      </w:r>
      <w:r w:rsidR="000D1E11">
        <w:rPr>
          <w:rFonts w:ascii="ITC Avant Garde" w:hAnsi="ITC Avant Garde" w:cs="Arial"/>
        </w:rPr>
        <w:t xml:space="preserve"> </w:t>
      </w:r>
      <w:r w:rsidRPr="00443C3D">
        <w:rPr>
          <w:rFonts w:ascii="ITC Avant Garde" w:hAnsi="ITC Avant Garde" w:cs="Arial"/>
        </w:rPr>
        <w:t>l</w:t>
      </w:r>
      <w:r w:rsidR="000D1E11">
        <w:rPr>
          <w:rFonts w:ascii="ITC Avant Garde" w:hAnsi="ITC Avant Garde" w:cs="Arial"/>
        </w:rPr>
        <w:t>a Recomendación</w:t>
      </w:r>
      <w:r w:rsidRPr="00443C3D">
        <w:rPr>
          <w:rFonts w:ascii="ITC Avant Garde" w:hAnsi="ITC Avant Garde" w:cs="Arial"/>
        </w:rPr>
        <w:t xml:space="preserve"> RFC 3551 por ejemplo:</w:t>
      </w:r>
    </w:p>
    <w:p w:rsidR="00E456C3" w:rsidRPr="00443C3D" w:rsidRDefault="00E456C3" w:rsidP="00E456C3">
      <w:pPr>
        <w:spacing w:after="0"/>
        <w:ind w:right="49"/>
        <w:jc w:val="both"/>
        <w:rPr>
          <w:rFonts w:ascii="ITC Avant Garde" w:hAnsi="ITC Avant Garde" w:cs="Arial"/>
          <w:lang w:val="en-US"/>
        </w:rPr>
      </w:pPr>
      <w:r w:rsidRPr="00443C3D">
        <w:rPr>
          <w:rFonts w:ascii="ITC Avant Garde" w:hAnsi="ITC Avant Garde" w:cs="Arial"/>
          <w:lang w:val="en-US"/>
        </w:rPr>
        <w:t>a=rtpmap:18 G729/8000</w:t>
      </w:r>
    </w:p>
    <w:p w:rsidR="00E456C3" w:rsidRPr="00443C3D" w:rsidRDefault="00E456C3" w:rsidP="00E456C3">
      <w:pPr>
        <w:pStyle w:val="NormalWeb"/>
        <w:spacing w:before="0" w:beforeAutospacing="0" w:after="0" w:afterAutospacing="0" w:line="276" w:lineRule="auto"/>
        <w:ind w:right="49"/>
        <w:rPr>
          <w:rFonts w:ascii="ITC Avant Garde" w:hAnsi="ITC Avant Garde" w:cs="Arial"/>
          <w:b/>
          <w:lang w:val="en-US"/>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Número de saltos entre las redes</w:t>
      </w:r>
    </w:p>
    <w:p w:rsidR="00E456C3" w:rsidRPr="00443C3D" w:rsidRDefault="00E456C3" w:rsidP="00E456C3">
      <w:pPr>
        <w:pStyle w:val="NormalWeb"/>
        <w:spacing w:before="0" w:beforeAutospacing="0" w:after="0" w:afterAutospacing="0" w:line="276" w:lineRule="auto"/>
        <w:ind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Actualización de sesión</w:t>
      </w:r>
    </w:p>
    <w:p w:rsidR="00E456C3" w:rsidRPr="00443C3D" w:rsidRDefault="00E456C3" w:rsidP="00E456C3">
      <w:pPr>
        <w:pStyle w:val="NormalWeb"/>
        <w:spacing w:before="0" w:beforeAutospacing="0" w:after="0" w:afterAutospacing="0" w:line="276" w:lineRule="auto"/>
        <w:ind w:left="540"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temporizadores de actualización de sesión deberán ser manejados conforme a la recomendación RFC 4028.</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petición INVITE inicial debe contener los siguientes campos de encabezado: Supported:timer, Session Expires, Refresher:uac, Min-SE.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 </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Por omisión se considerarán los siguientes valores: Supported:timer, Session Expires:1800, Refresher:uac, Min-SE:600</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actualización de la sesión SIP se realizará a través de un UPDATE, el tiempo de envío del método UPDATE será a la mitad del tiempo definido en el campo de encabezado Session-Expires.</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rPr>
      </w:pPr>
      <w:r w:rsidRPr="00443C3D">
        <w:rPr>
          <w:rFonts w:ascii="ITC Avant Garde" w:hAnsi="ITC Avant Garde" w:cs="Arial"/>
          <w:b/>
        </w:rPr>
        <w:t xml:space="preserve">Modelo de Oferta/Contestación </w:t>
      </w:r>
    </w:p>
    <w:p w:rsidR="00E456C3" w:rsidRPr="00443C3D" w:rsidRDefault="00E456C3" w:rsidP="00896614">
      <w:pPr>
        <w:pStyle w:val="Prrafodelista"/>
        <w:spacing w:after="0" w:line="276" w:lineRule="auto"/>
        <w:ind w:left="709" w:right="51"/>
        <w:contextualSpacing w:val="0"/>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Para el establecimiento de una llamada se enviará en la petición INVITE inicial la oferta SDP con las características del medio y conexión, de acuerdo a</w:t>
      </w:r>
      <w:r w:rsidR="000D1E11">
        <w:rPr>
          <w:rFonts w:ascii="ITC Avant Garde" w:hAnsi="ITC Avant Garde" w:cs="Arial"/>
        </w:rPr>
        <w:t xml:space="preserve"> </w:t>
      </w:r>
      <w:r w:rsidRPr="00443C3D">
        <w:rPr>
          <w:rFonts w:ascii="ITC Avant Garde" w:hAnsi="ITC Avant Garde" w:cs="Arial"/>
        </w:rPr>
        <w:t>l</w:t>
      </w:r>
      <w:r w:rsidR="000D1E11">
        <w:rPr>
          <w:rFonts w:ascii="ITC Avant Garde" w:hAnsi="ITC Avant Garde" w:cs="Arial"/>
        </w:rPr>
        <w:t>a Recomendación</w:t>
      </w:r>
      <w:r w:rsidRPr="00443C3D">
        <w:rPr>
          <w:rFonts w:ascii="ITC Avant Garde" w:hAnsi="ITC Avant Garde" w:cs="Arial"/>
        </w:rPr>
        <w:t xml:space="preserve"> RFC 3264. La contestación de la oferta debe ser dada en la respuesta provisional SIP 18x ó 200 OK.</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tipo de mensaje “application/sdp” debe ser soportado por los métodos INVITE, PRACK y UPDATE y las respuestas a estos métodos.</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Notificación del proceso de la llamada</w:t>
      </w:r>
    </w:p>
    <w:p w:rsidR="00E456C3" w:rsidRPr="00443C3D" w:rsidRDefault="00E456C3" w:rsidP="00E456C3">
      <w:pPr>
        <w:autoSpaceDE w:val="0"/>
        <w:autoSpaceDN w:val="0"/>
        <w:adjustRightInd w:val="0"/>
        <w:spacing w:after="0"/>
        <w:ind w:right="49"/>
        <w:rPr>
          <w:rFonts w:ascii="ITC Avant Garde" w:hAnsi="ITC Avant Garde" w:cs="Arial"/>
        </w:rPr>
      </w:pPr>
    </w:p>
    <w:p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 xml:space="preserve">Se entenderá como “early media” o medio temprano al tono de timbrado, anuncios y en general, </w:t>
      </w:r>
      <w:r w:rsidR="00F7485E" w:rsidRPr="00443C3D">
        <w:rPr>
          <w:rFonts w:ascii="ITC Avant Garde" w:hAnsi="ITC Avant Garde" w:cs="Arial"/>
        </w:rPr>
        <w:t xml:space="preserve">a </w:t>
      </w:r>
      <w:r w:rsidRPr="00443C3D">
        <w:rPr>
          <w:rFonts w:ascii="ITC Avant Garde" w:hAnsi="ITC Avant Garde" w:cs="Arial"/>
        </w:rPr>
        <w:t xml:space="preserve">cualquier medio </w:t>
      </w:r>
      <w:r w:rsidR="00F7485E" w:rsidRPr="00443C3D">
        <w:rPr>
          <w:rFonts w:ascii="ITC Avant Garde" w:hAnsi="ITC Avant Garde" w:cs="Arial"/>
        </w:rPr>
        <w:t>que es intercambiado antes de que una sesión sea aceptada por el usuario que se llama</w:t>
      </w:r>
      <w:r w:rsidRPr="00443C3D">
        <w:rPr>
          <w:rFonts w:ascii="ITC Avant Garde" w:hAnsi="ITC Avant Garde" w:cs="Arial"/>
        </w:rPr>
        <w:t>.</w:t>
      </w:r>
    </w:p>
    <w:p w:rsidR="00E456C3" w:rsidRPr="00443C3D" w:rsidRDefault="00E456C3" w:rsidP="00E456C3">
      <w:pPr>
        <w:spacing w:after="0"/>
        <w:ind w:right="49"/>
        <w:rPr>
          <w:rFonts w:ascii="ITC Avant Garde" w:hAnsi="ITC Avant Garde"/>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b/>
        </w:rPr>
      </w:pPr>
      <w:r w:rsidRPr="00443C3D">
        <w:rPr>
          <w:rFonts w:ascii="ITC Avant Garde" w:hAnsi="ITC Avant Garde"/>
          <w:b/>
        </w:rPr>
        <w:t>Manejo de respuesta 180</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rPr>
        <w:t xml:space="preserve">La respuesta 180 debe cumplir con las reglas para la reproducción de tono de llamada de acuerdo a la Recomendación RFC 3960. </w:t>
      </w:r>
      <w:r w:rsidRPr="00443C3D">
        <w:rPr>
          <w:rFonts w:ascii="ITC Avant Garde" w:hAnsi="ITC Avant Garde" w:cs="Arial"/>
        </w:rPr>
        <w:t>Si se recibe la respuesta 180 sin medio temprano entonces se deberá proveer un “Ring back tone” sin exceder de 90 s.</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Envío de anuncios sobre el RTP</w:t>
      </w:r>
    </w:p>
    <w:p w:rsidR="00E456C3" w:rsidRPr="00443C3D" w:rsidRDefault="00E456C3" w:rsidP="00E456C3">
      <w:pPr>
        <w:spacing w:after="0"/>
        <w:ind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Transmisión de Fax y DTMF</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Con respecto a la marcación por tonos o sistema multifrecuencial (Dual Tone Multi Frequency, DTMF) se utilizarán las Recomendaciones RFC 4734</w:t>
      </w:r>
      <w:r w:rsidR="00F7485E" w:rsidRPr="00443C3D">
        <w:rPr>
          <w:rFonts w:ascii="ITC Avant Garde" w:hAnsi="ITC Avant Garde" w:cs="Arial"/>
        </w:rPr>
        <w:t xml:space="preserve"> y</w:t>
      </w:r>
      <w:r w:rsidRPr="00443C3D">
        <w:rPr>
          <w:rFonts w:ascii="ITC Avant Garde" w:hAnsi="ITC Avant Garde" w:cs="Arial"/>
        </w:rPr>
        <w:t xml:space="preserve"> RFC 4733 en lo relacionado a los eventos 0-9, *, #, A, B, C, D.</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Para las sesiones de MoIP se debe negociar el medio en el modo de datos en banda vocal (VBD) de acuerdo a lo siguiente: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m=audio1024-65535 RTP/AVP 8 0</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Una vez establecida la sesión MoIP se podrá negociar el medio para FoIP (T.38) conforme al anexo F de la recomendación T.38 de la UIT-T con las siguientes características:</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m=image1024-65535 udptl t38</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Temporizadores de SIP</w:t>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p>
    <w:p w:rsidR="00E456C3" w:rsidRPr="00443C3D" w:rsidRDefault="00E456C3" w:rsidP="00E456C3">
      <w:pPr>
        <w:pStyle w:val="NormalWeb"/>
        <w:spacing w:before="0" w:beforeAutospacing="0" w:after="0" w:afterAutospacing="0" w:line="276" w:lineRule="auto"/>
        <w:ind w:left="540" w:right="49"/>
        <w:rPr>
          <w:rFonts w:ascii="ITC Avant Garde" w:hAnsi="ITC Avant Garde" w:cs="Arial"/>
          <w:b/>
        </w:rPr>
      </w:pPr>
    </w:p>
    <w:p w:rsidR="00E456C3" w:rsidRPr="00443C3D" w:rsidRDefault="00E456C3" w:rsidP="00E456C3">
      <w:pPr>
        <w:autoSpaceDE w:val="0"/>
        <w:autoSpaceDN w:val="0"/>
        <w:adjustRightInd w:val="0"/>
        <w:spacing w:after="0"/>
        <w:ind w:right="49"/>
        <w:rPr>
          <w:rFonts w:ascii="ITC Avant Garde" w:hAnsi="ITC Avant Garde" w:cs="Arial"/>
        </w:rPr>
      </w:pPr>
      <w:r w:rsidRPr="00443C3D">
        <w:rPr>
          <w:rFonts w:ascii="ITC Avant Garde" w:hAnsi="ITC Avant Garde" w:cs="Arial"/>
        </w:rPr>
        <w:lastRenderedPageBreak/>
        <w:t xml:space="preserve">El concesionario al recibir el mensaje INVITE debe cumplir con la Recomendación IETF RFC 3261 sobre temporizadores. </w:t>
      </w:r>
      <w:r w:rsidRPr="00443C3D">
        <w:rPr>
          <w:rFonts w:ascii="ITC Avant Garde" w:hAnsi="ITC Avant Garde" w:cs="Arial"/>
        </w:rPr>
        <w:tab/>
        <w:t xml:space="preserve"> </w:t>
      </w:r>
    </w:p>
    <w:p w:rsidR="00E456C3" w:rsidRPr="00443C3D" w:rsidRDefault="00E456C3" w:rsidP="00E456C3">
      <w:pPr>
        <w:spacing w:after="0"/>
        <w:ind w:right="49"/>
        <w:rPr>
          <w:rFonts w:ascii="ITC Avant Garde" w:hAnsi="ITC Avant Garde"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E456C3" w:rsidRPr="00443C3D" w:rsidTr="00896614">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Temporizador </w:t>
            </w:r>
          </w:p>
        </w:tc>
        <w:tc>
          <w:tcPr>
            <w:tcW w:w="4111" w:type="dxa"/>
            <w:tcBorders>
              <w:top w:val="single" w:sz="8" w:space="0" w:color="000000"/>
            </w:tcBorders>
            <w:shd w:val="clear" w:color="auto" w:fill="BDD6EE"/>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Significado</w:t>
            </w:r>
          </w:p>
        </w:tc>
        <w:tc>
          <w:tcPr>
            <w:tcW w:w="2571" w:type="dxa"/>
            <w:tcBorders>
              <w:top w:val="single" w:sz="8" w:space="0" w:color="000000"/>
            </w:tcBorders>
            <w:shd w:val="clear" w:color="auto" w:fill="BDD6EE"/>
          </w:tcPr>
          <w:p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Valores recomendados</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T1</w:t>
            </w:r>
          </w:p>
        </w:tc>
        <w:tc>
          <w:tcPr>
            <w:tcW w:w="4111" w:type="dxa"/>
          </w:tcPr>
          <w:p w:rsidR="00E456C3" w:rsidRPr="00443C3D" w:rsidRDefault="00E456C3" w:rsidP="00896614">
            <w:pPr>
              <w:pStyle w:val="TAL"/>
              <w:spacing w:line="276" w:lineRule="auto"/>
              <w:ind w:right="49"/>
              <w:rPr>
                <w:rFonts w:ascii="ITC Avant Garde" w:hAnsi="ITC Avant Garde"/>
                <w:sz w:val="20"/>
                <w:lang w:eastAsia="en-US"/>
              </w:rPr>
            </w:pPr>
            <w:r w:rsidRPr="00443C3D">
              <w:rPr>
                <w:rFonts w:ascii="ITC Avant Garde" w:hAnsi="ITC Avant Garde"/>
                <w:sz w:val="20"/>
                <w:lang w:eastAsia="en-US"/>
              </w:rPr>
              <w:t>Estimación del RTT</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500ms (valor por omisión)</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T2</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máximo para peticiones no INVITE y respuestas INVITE</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4s</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T4</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Duración máxima que un mensaje permanecerá en la red</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5s</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A</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la petición solamente para UDP</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initially T1</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B</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del temporizador de la transacción INVITE</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C</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 la transacción INVITE en el proxy</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&gt; 3min</w:t>
            </w:r>
          </w:p>
        </w:tc>
      </w:tr>
      <w:tr w:rsidR="00E456C3" w:rsidRPr="00443C3D" w:rsidTr="00896614">
        <w:trPr>
          <w:cantSplit/>
          <w:jc w:val="center"/>
        </w:trPr>
        <w:tc>
          <w:tcPr>
            <w:tcW w:w="1408" w:type="dxa"/>
            <w:vMerge w:val="restart"/>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D</w:t>
            </w:r>
          </w:p>
        </w:tc>
        <w:tc>
          <w:tcPr>
            <w:tcW w:w="4111" w:type="dxa"/>
            <w:vMerge w:val="restart"/>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retransmisiones de respuestas</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&gt; 32s para UDP</w:t>
            </w:r>
          </w:p>
        </w:tc>
      </w:tr>
      <w:tr w:rsidR="00E456C3" w:rsidRPr="00443C3D" w:rsidTr="00896614">
        <w:trPr>
          <w:cantSplit/>
          <w:jc w:val="center"/>
        </w:trPr>
        <w:tc>
          <w:tcPr>
            <w:tcW w:w="1408" w:type="dxa"/>
            <w:vMerge/>
            <w:vAlign w:val="center"/>
          </w:tcPr>
          <w:p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E</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peticiones distintas al INVITE, solamente para UDP</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inicialmente T1</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F</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del temporizador de transacción diferente del INVITE</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G</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la respuesta al INVITE</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inicialmente T1</w:t>
            </w:r>
          </w:p>
        </w:tc>
      </w:tr>
      <w:tr w:rsidR="00E456C3" w:rsidRPr="00443C3D" w:rsidTr="00896614">
        <w:trPr>
          <w:jc w:val="center"/>
        </w:trPr>
        <w:tc>
          <w:tcPr>
            <w:tcW w:w="1408" w:type="dxa"/>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H</w:t>
            </w:r>
          </w:p>
        </w:tc>
        <w:tc>
          <w:tcPr>
            <w:tcW w:w="4111" w:type="dxa"/>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recibir un ACK</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rsidTr="00896614">
        <w:trPr>
          <w:cantSplit/>
          <w:jc w:val="center"/>
        </w:trPr>
        <w:tc>
          <w:tcPr>
            <w:tcW w:w="1408" w:type="dxa"/>
            <w:vMerge w:val="restart"/>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I</w:t>
            </w:r>
          </w:p>
        </w:tc>
        <w:tc>
          <w:tcPr>
            <w:tcW w:w="4111" w:type="dxa"/>
            <w:vMerge w:val="restart"/>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retransmitir el ACK</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T4 para UDP</w:t>
            </w:r>
          </w:p>
        </w:tc>
      </w:tr>
      <w:tr w:rsidR="00E456C3" w:rsidRPr="00443C3D" w:rsidTr="00896614">
        <w:trPr>
          <w:cantSplit/>
          <w:jc w:val="center"/>
        </w:trPr>
        <w:tc>
          <w:tcPr>
            <w:tcW w:w="1408" w:type="dxa"/>
            <w:vMerge/>
            <w:vAlign w:val="center"/>
          </w:tcPr>
          <w:p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rsidTr="00896614">
        <w:trPr>
          <w:cantSplit/>
          <w:jc w:val="center"/>
        </w:trPr>
        <w:tc>
          <w:tcPr>
            <w:tcW w:w="1408" w:type="dxa"/>
            <w:vMerge w:val="restart"/>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J</w:t>
            </w:r>
          </w:p>
        </w:tc>
        <w:tc>
          <w:tcPr>
            <w:tcW w:w="4111" w:type="dxa"/>
            <w:vMerge w:val="restart"/>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peticiones distintas al INVITE</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 para UDP</w:t>
            </w:r>
          </w:p>
        </w:tc>
      </w:tr>
      <w:tr w:rsidR="00E456C3" w:rsidRPr="00443C3D" w:rsidTr="00896614">
        <w:trPr>
          <w:cantSplit/>
          <w:jc w:val="center"/>
        </w:trPr>
        <w:tc>
          <w:tcPr>
            <w:tcW w:w="1408" w:type="dxa"/>
            <w:vMerge/>
            <w:vAlign w:val="center"/>
          </w:tcPr>
          <w:p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rsidTr="00896614">
        <w:trPr>
          <w:cantSplit/>
          <w:jc w:val="center"/>
        </w:trPr>
        <w:tc>
          <w:tcPr>
            <w:tcW w:w="1408" w:type="dxa"/>
            <w:vMerge w:val="restart"/>
            <w:tcMar>
              <w:top w:w="14" w:type="dxa"/>
              <w:left w:w="14" w:type="dxa"/>
              <w:bottom w:w="0" w:type="dxa"/>
              <w:right w:w="14" w:type="dxa"/>
            </w:tcMar>
          </w:tcPr>
          <w:p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K</w:t>
            </w:r>
          </w:p>
        </w:tc>
        <w:tc>
          <w:tcPr>
            <w:tcW w:w="4111" w:type="dxa"/>
            <w:vMerge w:val="restart"/>
          </w:tcPr>
          <w:p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retransmisiones de respuestas</w:t>
            </w:r>
          </w:p>
        </w:tc>
        <w:tc>
          <w:tcPr>
            <w:tcW w:w="2571" w:type="dxa"/>
          </w:tcPr>
          <w:p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T4 para UDP</w:t>
            </w:r>
          </w:p>
        </w:tc>
      </w:tr>
      <w:tr w:rsidR="00E456C3" w:rsidRPr="00443C3D" w:rsidTr="00896614">
        <w:trPr>
          <w:cantSplit/>
          <w:jc w:val="center"/>
        </w:trPr>
        <w:tc>
          <w:tcPr>
            <w:tcW w:w="1408" w:type="dxa"/>
            <w:vMerge/>
            <w:tcBorders>
              <w:bottom w:val="single" w:sz="8" w:space="0" w:color="000000"/>
            </w:tcBorders>
            <w:vAlign w:val="center"/>
          </w:tcPr>
          <w:p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tcBorders>
              <w:bottom w:val="single" w:sz="8" w:space="0" w:color="000000"/>
            </w:tcBorders>
            <w:vAlign w:val="center"/>
          </w:tcPr>
          <w:p w:rsidR="00E456C3" w:rsidRPr="00443C3D" w:rsidRDefault="00E456C3" w:rsidP="00896614">
            <w:pPr>
              <w:pStyle w:val="TAL"/>
              <w:spacing w:line="276" w:lineRule="auto"/>
              <w:ind w:right="49"/>
              <w:rPr>
                <w:rFonts w:ascii="ITC Avant Garde" w:hAnsi="ITC Avant Garde"/>
                <w:sz w:val="20"/>
                <w:lang w:eastAsia="en-US"/>
              </w:rPr>
            </w:pPr>
          </w:p>
        </w:tc>
        <w:tc>
          <w:tcPr>
            <w:tcW w:w="2571" w:type="dxa"/>
            <w:tcBorders>
              <w:bottom w:val="single" w:sz="8" w:space="0" w:color="000000"/>
            </w:tcBorders>
          </w:tcPr>
          <w:p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bl>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6.Temporizadores SIP.</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0"/>
          <w:numId w:val="11"/>
        </w:numPr>
        <w:spacing w:after="0" w:line="276" w:lineRule="auto"/>
        <w:ind w:left="709" w:right="49" w:hanging="720"/>
        <w:jc w:val="both"/>
        <w:rPr>
          <w:rFonts w:ascii="ITC Avant Garde" w:hAnsi="ITC Avant Garde" w:cs="Arial"/>
          <w:b/>
          <w:sz w:val="24"/>
        </w:rPr>
      </w:pPr>
      <w:r w:rsidRPr="00443C3D">
        <w:rPr>
          <w:rFonts w:ascii="ITC Avant Garde" w:hAnsi="ITC Avant Garde" w:cs="Arial"/>
          <w:b/>
          <w:sz w:val="24"/>
        </w:rPr>
        <w:t>Interconexión Plano Usuario</w:t>
      </w:r>
    </w:p>
    <w:p w:rsidR="00E456C3" w:rsidRPr="00443C3D" w:rsidRDefault="00E456C3" w:rsidP="00E456C3">
      <w:pPr>
        <w:pStyle w:val="Prrafodelista"/>
        <w:spacing w:line="276" w:lineRule="auto"/>
        <w:ind w:left="709" w:right="49"/>
        <w:rPr>
          <w:rFonts w:ascii="ITC Avant Garde" w:hAnsi="ITC Avant Garde" w:cs="Arial"/>
          <w:b/>
          <w:sz w:val="24"/>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rPr>
        <w:t>Transporte de voz</w:t>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El protocolo UDP (User Datagram Protocol) se utilizará de acuerdo a la Recomendación IETF RFC 768. Para la transmisión de información en tiempo real </w:t>
      </w:r>
      <w:r w:rsidRPr="00443C3D">
        <w:rPr>
          <w:rFonts w:ascii="ITC Avant Garde" w:hAnsi="ITC Avant Garde" w:cs="Arial"/>
        </w:rPr>
        <w:lastRenderedPageBreak/>
        <w:t>(audio) se usará el protocolo de sesión RTP (Protocolo de Transporte de Tiempo real) de acuerdo a las recomendaciones IETF RFC 3550 y 3551.</w:t>
      </w:r>
    </w:p>
    <w:p w:rsidR="00E456C3" w:rsidRPr="00443C3D" w:rsidRDefault="00E456C3" w:rsidP="00E456C3">
      <w:pPr>
        <w:spacing w:after="0"/>
        <w:ind w:right="49"/>
        <w:rPr>
          <w:rFonts w:ascii="ITC Avant Garde" w:hAnsi="ITC Avant Garde" w:cs="Arial"/>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Control de la Transmisión</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concesionarios podrán utilizar el protocolo RTCP (Protocolo de control de transporte en tiempo real) conforme a la recomendación IETF RFC 3550 para fines de verificar las condiciones de la transmisión.</w:t>
      </w:r>
    </w:p>
    <w:p w:rsidR="00E456C3" w:rsidRPr="00443C3D" w:rsidRDefault="00E456C3" w:rsidP="00E456C3">
      <w:pPr>
        <w:spacing w:after="0"/>
        <w:ind w:right="49"/>
        <w:rPr>
          <w:rFonts w:ascii="ITC Avant Garde" w:hAnsi="ITC Avant Garde" w:cs="Arial"/>
          <w:b/>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 xml:space="preserve">Códec de voz </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Dentro de la negociación inicial SDP, se deberán enviar los perfiles de codificación y compresión de voz:</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 xml:space="preserve">G.729   </w:t>
      </w:r>
      <w:r w:rsidRPr="00443C3D">
        <w:rPr>
          <w:rFonts w:ascii="ITC Avant Garde" w:hAnsi="ITC Avant Garde" w:cs="Arial"/>
        </w:rPr>
        <w:tab/>
        <w:t>Payload Type: 18</w:t>
      </w:r>
    </w:p>
    <w:p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G.729b</w:t>
      </w:r>
      <w:r w:rsidRPr="00443C3D">
        <w:rPr>
          <w:rFonts w:ascii="ITC Avant Garde" w:hAnsi="ITC Avant Garde" w:cs="Arial"/>
        </w:rPr>
        <w:tab/>
        <w:t>Payload Type: 18</w:t>
      </w:r>
    </w:p>
    <w:p w:rsidR="00E456C3" w:rsidRPr="00443C3D" w:rsidRDefault="00E456C3" w:rsidP="00E456C3">
      <w:pPr>
        <w:pStyle w:val="Prrafodelista"/>
        <w:numPr>
          <w:ilvl w:val="0"/>
          <w:numId w:val="10"/>
        </w:numPr>
        <w:spacing w:after="0" w:line="276" w:lineRule="auto"/>
        <w:ind w:right="49"/>
        <w:jc w:val="both"/>
        <w:rPr>
          <w:rFonts w:ascii="ITC Avant Garde" w:hAnsi="ITC Avant Garde" w:cs="Arial"/>
          <w:lang w:val="en-US"/>
        </w:rPr>
      </w:pPr>
      <w:r w:rsidRPr="00443C3D">
        <w:rPr>
          <w:rFonts w:ascii="ITC Avant Garde" w:hAnsi="ITC Avant Garde" w:cs="Arial"/>
          <w:lang w:val="en-US"/>
        </w:rPr>
        <w:t xml:space="preserve">G.711 Ley A </w:t>
      </w:r>
      <w:r w:rsidRPr="00443C3D">
        <w:rPr>
          <w:rFonts w:ascii="ITC Avant Garde" w:hAnsi="ITC Avant Garde" w:cs="Arial"/>
          <w:lang w:val="en-US"/>
        </w:rPr>
        <w:tab/>
        <w:t>Payload Type: 8</w:t>
      </w:r>
    </w:p>
    <w:p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AMR-NB</w:t>
      </w:r>
      <w:r w:rsidRPr="00443C3D">
        <w:rPr>
          <w:rFonts w:ascii="ITC Avant Garde" w:hAnsi="ITC Avant Garde" w:cs="Arial"/>
        </w:rPr>
        <w:tab/>
        <w:t>Payload Type: 96-127</w:t>
      </w:r>
    </w:p>
    <w:p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AMR-WB</w:t>
      </w:r>
      <w:r w:rsidRPr="00443C3D">
        <w:rPr>
          <w:rFonts w:ascii="ITC Avant Garde" w:hAnsi="ITC Avant Garde" w:cs="Arial"/>
        </w:rPr>
        <w:tab/>
        <w:t>Payload Type: 98</w:t>
      </w:r>
    </w:p>
    <w:p w:rsidR="00E456C3" w:rsidRPr="00443C3D" w:rsidRDefault="00E456C3" w:rsidP="00E456C3">
      <w:pPr>
        <w:pStyle w:val="Prrafodelista"/>
        <w:spacing w:line="276" w:lineRule="auto"/>
        <w:ind w:right="51"/>
        <w:rPr>
          <w:rFonts w:ascii="ITC Avant Garde" w:hAnsi="ITC Avant Garde" w:cs="Arial"/>
        </w:rPr>
      </w:pPr>
      <w:r w:rsidRPr="00443C3D">
        <w:rPr>
          <w:rFonts w:ascii="ITC Avant Garde" w:hAnsi="ITC Avant Garde" w:cs="Arial"/>
        </w:rPr>
        <w:tab/>
      </w:r>
      <w:r w:rsidRPr="00443C3D">
        <w:rPr>
          <w:rFonts w:ascii="ITC Avant Garde" w:hAnsi="ITC Avant Garde" w:cs="Arial"/>
        </w:rPr>
        <w:tab/>
      </w: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En el modelo de oferta/contestación la red origen propondrá la preferencia en el uso de los códecs y la red destino determinará el códec a utilizar.</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Si la red origen y destino utilizan señalización IP, la red de tránsito no realizará ningún proceso de transcodificación permitiendo fluir los paquetes de voz, tal como las redes extremas lo hayan negociado.</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sz w:val="24"/>
        </w:rPr>
        <w:t>Numeración e identificación</w:t>
      </w:r>
    </w:p>
    <w:p w:rsidR="00E456C3" w:rsidRPr="00443C3D" w:rsidRDefault="00E456C3" w:rsidP="00E456C3">
      <w:pPr>
        <w:pStyle w:val="Prrafodelista"/>
        <w:spacing w:line="276" w:lineRule="auto"/>
        <w:ind w:left="0" w:right="49"/>
        <w:rPr>
          <w:rFonts w:ascii="ITC Avant Garde" w:hAnsi="ITC Avant Garde" w:cs="Arial"/>
          <w:b/>
          <w:sz w:val="24"/>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sz w:val="24"/>
        </w:rPr>
      </w:pPr>
      <w:r w:rsidRPr="00443C3D">
        <w:rPr>
          <w:rFonts w:ascii="ITC Avant Garde" w:hAnsi="ITC Avant Garde" w:cs="Arial"/>
          <w:b/>
        </w:rPr>
        <w:t>Formato de Numeración E.164</w:t>
      </w:r>
    </w:p>
    <w:p w:rsidR="00E456C3" w:rsidRPr="00443C3D" w:rsidRDefault="00E456C3" w:rsidP="00896614">
      <w:pPr>
        <w:pStyle w:val="Prrafodelista"/>
        <w:spacing w:after="0" w:line="276" w:lineRule="auto"/>
        <w:ind w:right="51"/>
        <w:contextualSpacing w:val="0"/>
        <w:rPr>
          <w:rFonts w:ascii="ITC Avant Garde" w:hAnsi="ITC Avant Garde" w:cs="Arial"/>
          <w:b/>
          <w:sz w:val="24"/>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Se utilizará el formato de numeración conforme al estándar E.164 en la SIP URI en donde el número contendrá la información necesaria para enrutar la llamada siguiendo el formato</w:t>
      </w:r>
      <w:r w:rsidR="00140E9A" w:rsidRPr="00443C3D">
        <w:rPr>
          <w:rFonts w:ascii="ITC Avant Garde" w:hAnsi="ITC Avant Garde" w:cs="Arial"/>
        </w:rPr>
        <w:t xml:space="preserve"> que establezca el Plan Técnico Fundamental de Numeración, así como aquellas disposiciones que lo modifiquen o substituyan,</w:t>
      </w:r>
      <w:r w:rsidRPr="00443C3D">
        <w:rPr>
          <w:rFonts w:ascii="ITC Avant Garde" w:hAnsi="ITC Avant Garde" w:cs="Arial"/>
        </w:rPr>
        <w:t>:</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spacing w:after="0"/>
        <w:ind w:left="708" w:right="51"/>
        <w:rPr>
          <w:rFonts w:ascii="ITC Avant Garde" w:hAnsi="ITC Avant Garde" w:cs="Arial"/>
        </w:rPr>
      </w:pPr>
      <w:r w:rsidRPr="00443C3D">
        <w:rPr>
          <w:rFonts w:ascii="ITC Avant Garde" w:hAnsi="ITC Avant Garde" w:cs="Arial"/>
        </w:rPr>
        <w:t>&lt;NDC&gt; &lt;SN&gt;</w:t>
      </w:r>
      <w:r w:rsidR="00140E9A" w:rsidRPr="00443C3D">
        <w:rPr>
          <w:rFonts w:ascii="ITC Avant Garde" w:hAnsi="ITC Avant Garde" w:cs="Arial"/>
        </w:rPr>
        <w:t xml:space="preserve"> o &lt;NN&gt;</w:t>
      </w:r>
    </w:p>
    <w:p w:rsidR="00E456C3" w:rsidRPr="00443C3D" w:rsidRDefault="00E456C3" w:rsidP="00E456C3">
      <w:pPr>
        <w:spacing w:after="0"/>
        <w:ind w:right="51"/>
        <w:rPr>
          <w:rFonts w:ascii="ITC Avant Garde" w:hAnsi="ITC Avant Garde" w:cs="Arial"/>
        </w:rPr>
      </w:pPr>
    </w:p>
    <w:p w:rsidR="00E456C3" w:rsidRPr="00443C3D" w:rsidRDefault="00E456C3" w:rsidP="00E456C3">
      <w:pPr>
        <w:spacing w:after="0"/>
        <w:ind w:right="51"/>
        <w:rPr>
          <w:rFonts w:ascii="ITC Avant Garde" w:hAnsi="ITC Avant Garde" w:cs="Arial"/>
        </w:rPr>
      </w:pPr>
      <w:r w:rsidRPr="00443C3D">
        <w:rPr>
          <w:rFonts w:ascii="ITC Avant Garde" w:hAnsi="ITC Avant Garde" w:cs="Arial"/>
        </w:rPr>
        <w:t>En donde:</w:t>
      </w:r>
    </w:p>
    <w:p w:rsidR="00E456C3" w:rsidRPr="00443C3D" w:rsidRDefault="00E456C3" w:rsidP="00896614">
      <w:pPr>
        <w:spacing w:after="0"/>
        <w:ind w:right="49" w:firstLine="708"/>
        <w:jc w:val="both"/>
        <w:rPr>
          <w:rFonts w:ascii="ITC Avant Garde" w:hAnsi="ITC Avant Garde" w:cs="Arial"/>
        </w:rPr>
      </w:pPr>
      <w:r w:rsidRPr="00443C3D">
        <w:rPr>
          <w:rFonts w:ascii="ITC Avant Garde" w:hAnsi="ITC Avant Garde" w:cs="Arial"/>
        </w:rPr>
        <w:t>NDC (National Destination Code) = el Número Identificador de Región (NIR)</w:t>
      </w:r>
    </w:p>
    <w:p w:rsidR="00E456C3" w:rsidRPr="00443C3D" w:rsidRDefault="00E456C3" w:rsidP="00896614">
      <w:pPr>
        <w:spacing w:after="0"/>
        <w:ind w:right="49" w:firstLine="708"/>
        <w:jc w:val="both"/>
        <w:rPr>
          <w:rFonts w:ascii="ITC Avant Garde" w:hAnsi="ITC Avant Garde" w:cs="Arial"/>
        </w:rPr>
      </w:pPr>
      <w:r w:rsidRPr="00443C3D">
        <w:rPr>
          <w:rFonts w:ascii="ITC Avant Garde" w:hAnsi="ITC Avant Garde" w:cs="Arial"/>
        </w:rPr>
        <w:t>SN (Subscriber Number) = es el número de directorio a 7 u 8 dígitos</w:t>
      </w:r>
    </w:p>
    <w:p w:rsidR="00140E9A" w:rsidRPr="00443C3D" w:rsidRDefault="00140E9A" w:rsidP="00896614">
      <w:pPr>
        <w:spacing w:after="0"/>
        <w:ind w:right="49" w:firstLine="708"/>
        <w:jc w:val="both"/>
        <w:rPr>
          <w:rFonts w:ascii="ITC Avant Garde" w:hAnsi="ITC Avant Garde" w:cs="Arial"/>
        </w:rPr>
      </w:pPr>
      <w:r w:rsidRPr="00443C3D">
        <w:rPr>
          <w:rFonts w:ascii="ITC Avant Garde" w:hAnsi="ITC Avant Garde" w:cs="Arial"/>
        </w:rPr>
        <w:t>NN (Número Nacional) = es el número de directorio a 10 dígitos</w:t>
      </w:r>
    </w:p>
    <w:p w:rsidR="00140E9A" w:rsidRPr="00443C3D" w:rsidRDefault="00140E9A" w:rsidP="00E456C3">
      <w:pPr>
        <w:spacing w:after="0"/>
        <w:ind w:right="49"/>
        <w:jc w:val="both"/>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El formato de numeración que se utilizará para el caso de códigos especiales, será el establecido en el Plan Técnico Fundamental de Numeración, así como aquellas disposiciones que lo modifiquen o lo sustituyan.</w:t>
      </w:r>
    </w:p>
    <w:p w:rsidR="00E456C3" w:rsidRPr="00443C3D" w:rsidRDefault="00E456C3" w:rsidP="00E456C3">
      <w:pPr>
        <w:tabs>
          <w:tab w:val="left" w:pos="1002"/>
        </w:tabs>
        <w:spacing w:after="0"/>
        <w:ind w:right="49"/>
        <w:jc w:val="both"/>
        <w:rPr>
          <w:rFonts w:ascii="ITC Avant Garde" w:hAnsi="ITC Avant Garde" w:cs="Arial"/>
        </w:rPr>
      </w:pPr>
      <w:r w:rsidRPr="00443C3D">
        <w:rPr>
          <w:rFonts w:ascii="ITC Avant Garde" w:hAnsi="ITC Avant Garde" w:cs="Arial"/>
        </w:rPr>
        <w:tab/>
      </w: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URI</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Para la interconexión de voz IP, el formato de URI habrá de adaptarse al formato TEL URI de acuerdo a lo establecido dentro de la Recomendación IETF RFC 3966  y se conformará de la siguiente forma:</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left="708" w:right="49"/>
        <w:jc w:val="both"/>
        <w:rPr>
          <w:rFonts w:ascii="ITC Avant Garde" w:hAnsi="ITC Avant Garde" w:cs="Arial"/>
          <w:b/>
        </w:rPr>
      </w:pPr>
      <w:r w:rsidRPr="00443C3D">
        <w:rPr>
          <w:rFonts w:ascii="ITC Avant Garde" w:hAnsi="ITC Avant Garde" w:cs="Arial"/>
          <w:b/>
        </w:rPr>
        <w:t>&lt;sip:Número @ hostportion&gt;; user=phone</w:t>
      </w:r>
    </w:p>
    <w:p w:rsidR="00E456C3" w:rsidRPr="00443C3D" w:rsidRDefault="00E456C3" w:rsidP="00E456C3">
      <w:pPr>
        <w:spacing w:after="0"/>
        <w:ind w:left="708"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donde:</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Número representa la tel URI compuesta por el número de directorio E.164, en formato nacional</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hostportion es el identificador asociado al dominio o dirección IP en el que se encuentra el recurso identificado por la tel URI</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user= phone es el parámetro de la URI que indica el tipo de recurso que se está identificando (en este caso un teléfono)</w:t>
      </w:r>
    </w:p>
    <w:p w:rsidR="00E456C3" w:rsidRPr="00443C3D" w:rsidRDefault="00E456C3" w:rsidP="00E456C3">
      <w:pPr>
        <w:pStyle w:val="Ejemplo"/>
        <w:spacing w:before="0" w:after="0"/>
        <w:ind w:right="49"/>
        <w:jc w:val="both"/>
        <w:rPr>
          <w:bCs/>
        </w:rPr>
      </w:pPr>
    </w:p>
    <w:p w:rsidR="00E456C3" w:rsidRPr="00443C3D" w:rsidRDefault="00E456C3" w:rsidP="00E456C3">
      <w:pPr>
        <w:pStyle w:val="Ejemplo"/>
        <w:spacing w:before="0" w:after="0"/>
        <w:ind w:right="49"/>
        <w:jc w:val="both"/>
        <w:rPr>
          <w:bCs/>
        </w:rPr>
      </w:pPr>
      <w:r w:rsidRPr="00443C3D">
        <w:rPr>
          <w:bCs/>
        </w:rPr>
        <w:t>Ejemplo:</w:t>
      </w:r>
      <w:r w:rsidRPr="00443C3D">
        <w:t xml:space="preserve"> &lt;</w:t>
      </w:r>
      <w:r w:rsidRPr="00443C3D">
        <w:rPr>
          <w:bCs/>
        </w:rPr>
        <w:t xml:space="preserve">sip: </w:t>
      </w:r>
      <w:hyperlink r:id="rId11" w:history="1">
        <w:r w:rsidRPr="00443C3D">
          <w:rPr>
            <w:rStyle w:val="Hipervnculo"/>
          </w:rPr>
          <w:t>5550154000@operador.mx</w:t>
        </w:r>
      </w:hyperlink>
      <w:r w:rsidRPr="00443C3D">
        <w:rPr>
          <w:bCs/>
        </w:rPr>
        <w:t xml:space="preserve"> </w:t>
      </w:r>
      <w:r w:rsidRPr="00443C3D">
        <w:rPr>
          <w:rStyle w:val="Hipervnculo"/>
        </w:rPr>
        <w:t>o dirección IP&gt;;</w:t>
      </w:r>
      <w:r w:rsidRPr="00443C3D">
        <w:rPr>
          <w:bCs/>
        </w:rPr>
        <w:t>user=phone</w:t>
      </w:r>
    </w:p>
    <w:p w:rsidR="00E456C3" w:rsidRPr="00443C3D" w:rsidRDefault="00E456C3" w:rsidP="00E456C3">
      <w:pPr>
        <w:pStyle w:val="Ejemplo"/>
        <w:spacing w:before="0" w:after="0"/>
        <w:ind w:right="49"/>
        <w:jc w:val="both"/>
        <w:rPr>
          <w:bCs/>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Identificación del número llamante</w:t>
      </w:r>
    </w:p>
    <w:p w:rsidR="00E456C3" w:rsidRPr="00443C3D" w:rsidRDefault="00E456C3" w:rsidP="00E456C3">
      <w:pPr>
        <w:autoSpaceDE w:val="0"/>
        <w:autoSpaceDN w:val="0"/>
        <w:adjustRightInd w:val="0"/>
        <w:spacing w:after="0"/>
        <w:ind w:right="49"/>
        <w:rPr>
          <w:rFonts w:ascii="ITC Avant Garde" w:hAnsi="ITC Avant Garde" w:cs="Arial"/>
        </w:rPr>
      </w:pPr>
    </w:p>
    <w:p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El número llamante (número A) consistente en la SIP URI del originador de la petición, se enviará en los campos de encabezado From y P-Asserted-Identity del método INVITE con formato de NDC + SN.</w:t>
      </w:r>
    </w:p>
    <w:p w:rsidR="00E456C3" w:rsidRPr="00443C3D" w:rsidRDefault="00E456C3" w:rsidP="00E456C3">
      <w:pPr>
        <w:autoSpaceDE w:val="0"/>
        <w:autoSpaceDN w:val="0"/>
        <w:adjustRightInd w:val="0"/>
        <w:spacing w:after="0"/>
        <w:ind w:right="49"/>
        <w:jc w:val="both"/>
        <w:rPr>
          <w:rFonts w:ascii="ITC Avant Garde" w:hAnsi="ITC Avant Garde" w:cs="Arial"/>
          <w:b/>
        </w:rPr>
      </w:pPr>
    </w:p>
    <w:p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 xml:space="preserve">Ejemplo: From:&lt;sip: </w:t>
      </w:r>
      <w:hyperlink r:id="rId12" w:history="1">
        <w:r w:rsidRPr="00443C3D">
          <w:rPr>
            <w:rStyle w:val="Hipervnculo"/>
            <w:rFonts w:ascii="ITC Avant Garde" w:hAnsi="ITC Avant Garde"/>
          </w:rPr>
          <w:t>5550154000@operador.mx o dirección IP&gt;;user=phone</w:t>
        </w:r>
      </w:hyperlink>
    </w:p>
    <w:p w:rsidR="00E456C3" w:rsidRPr="00443C3D" w:rsidRDefault="00E456C3" w:rsidP="00E456C3">
      <w:pPr>
        <w:autoSpaceDE w:val="0"/>
        <w:autoSpaceDN w:val="0"/>
        <w:adjustRightInd w:val="0"/>
        <w:spacing w:after="0"/>
        <w:ind w:right="49" w:firstLine="708"/>
        <w:jc w:val="both"/>
        <w:rPr>
          <w:rFonts w:ascii="ITC Avant Garde" w:hAnsi="ITC Avant Garde" w:cs="Arial"/>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cs="Arial"/>
        </w:rPr>
        <w:t xml:space="preserve">Si se recibe una petición INVITE con From igual a </w:t>
      </w:r>
      <w:hyperlink r:id="rId13" w:history="1">
        <w:r w:rsidRPr="00443C3D">
          <w:rPr>
            <w:rStyle w:val="Hipervnculo"/>
            <w:rFonts w:ascii="ITC Avant Garde" w:hAnsi="ITC Avant Garde" w:cs="Arial"/>
          </w:rPr>
          <w:t>unknown@unknown.invalid</w:t>
        </w:r>
      </w:hyperlink>
      <w:r w:rsidRPr="00443C3D">
        <w:rPr>
          <w:rFonts w:ascii="ITC Avant Garde" w:hAnsi="ITC Avant Garde" w:cs="Arial"/>
        </w:rPr>
        <w:t xml:space="preserve"> o </w:t>
      </w:r>
      <w:hyperlink r:id="rId14" w:history="1">
        <w:r w:rsidRPr="00443C3D">
          <w:rPr>
            <w:rStyle w:val="Hipervnculo"/>
            <w:rFonts w:ascii="ITC Avant Garde" w:hAnsi="ITC Avant Garde" w:cs="Arial"/>
          </w:rPr>
          <w:t>unavailable@unavailable.invalid</w:t>
        </w:r>
      </w:hyperlink>
      <w:r w:rsidRPr="00443C3D">
        <w:rPr>
          <w:rFonts w:ascii="ITC Avant Garde" w:hAnsi="ITC Avant Garde" w:cs="Arial"/>
        </w:rPr>
        <w:t xml:space="preserve">, se asumirá que se trata de tráfico internacional/mundial y se aceptará la llamada. Los concesionarios deberán limitarse a emplear este valor exclusivamente a casos de llamadas provenientes </w:t>
      </w:r>
      <w:r w:rsidRPr="00443C3D">
        <w:rPr>
          <w:rFonts w:ascii="ITC Avant Garde" w:hAnsi="ITC Avant Garde" w:cs="Arial"/>
        </w:rPr>
        <w:lastRenderedPageBreak/>
        <w:t>de interconexión internacional en los que no se reciba el identificador del número llamante válido</w:t>
      </w:r>
      <w:r w:rsidRPr="00443C3D">
        <w:rPr>
          <w:rFonts w:ascii="ITC Avant Garde" w:hAnsi="ITC Avant Garde"/>
        </w:rPr>
        <w:t>.</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todos los casos deberá enviarse en el encabezado From la categoría de usuario y el encabezado de campo privacidad, cuando se requiera.</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rsidR="00E456C3" w:rsidRPr="00443C3D" w:rsidRDefault="00E456C3" w:rsidP="00E456C3">
      <w:pPr>
        <w:spacing w:after="0"/>
        <w:ind w:right="49"/>
        <w:rPr>
          <w:rFonts w:ascii="ITC Avant Garde" w:hAnsi="ITC Avant Garde"/>
        </w:rPr>
      </w:pPr>
    </w:p>
    <w:p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Códigos de Identificación de Operadores</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Al número B,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El número B así como los códigos de identificación de operadores se enviarán en los campos de encabezado Request URI del método INVITE.</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r w:rsidRPr="00443C3D">
        <w:rPr>
          <w:rFonts w:ascii="ITC Avant Garde" w:hAnsi="ITC Avant Garde"/>
        </w:rPr>
        <w:t xml:space="preserve">Ejemplo: &lt;sip: IDD + IDO </w:t>
      </w:r>
      <w:hyperlink r:id="rId15" w:history="1">
        <w:r w:rsidRPr="00443C3D">
          <w:rPr>
            <w:rStyle w:val="Hipervnculo"/>
            <w:rFonts w:ascii="ITC Avant Garde" w:hAnsi="ITC Avant Garde"/>
          </w:rPr>
          <w:t>+NDC+SN@operador.mx</w:t>
        </w:r>
      </w:hyperlink>
      <w:r w:rsidRPr="00443C3D">
        <w:rPr>
          <w:rFonts w:ascii="ITC Avant Garde" w:hAnsi="ITC Avant Garde"/>
        </w:rPr>
        <w:t xml:space="preserve"> o dirección IP&gt;;user=phone</w:t>
      </w:r>
    </w:p>
    <w:p w:rsidR="00E456C3" w:rsidRPr="00443C3D" w:rsidRDefault="00E456C3" w:rsidP="00E456C3">
      <w:pPr>
        <w:spacing w:after="0"/>
        <w:ind w:right="49" w:firstLine="708"/>
        <w:rPr>
          <w:rFonts w:ascii="ITC Avant Garde" w:hAnsi="ITC Avant Garde"/>
        </w:rPr>
      </w:pPr>
      <w:r w:rsidRPr="00443C3D">
        <w:rPr>
          <w:rFonts w:ascii="ITC Avant Garde" w:hAnsi="ITC Avant Garde"/>
        </w:rPr>
        <w:t xml:space="preserve">     </w:t>
      </w: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sz w:val="24"/>
        </w:rPr>
      </w:pPr>
      <w:r w:rsidRPr="00443C3D">
        <w:rPr>
          <w:rFonts w:ascii="ITC Avant Garde" w:hAnsi="ITC Avant Garde"/>
          <w:b/>
          <w:sz w:val="24"/>
        </w:rPr>
        <w:t>Versión IP</w:t>
      </w:r>
    </w:p>
    <w:p w:rsidR="00E456C3" w:rsidRPr="00443C3D" w:rsidRDefault="00E456C3" w:rsidP="00E456C3">
      <w:pPr>
        <w:spacing w:after="0"/>
        <w:ind w:right="49"/>
        <w:rPr>
          <w:rFonts w:ascii="ITC Avant Garde" w:hAnsi="ITC Avant Garde" w:cs="Arial"/>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Se deberá utilizar el esquema de direccionamiento IPv6, se podrá utilizar direccionamiento IPv4 de común acuerdo entre las partes. </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Flujos de Señalización</w:t>
      </w:r>
    </w:p>
    <w:p w:rsidR="00E456C3" w:rsidRPr="00443C3D" w:rsidRDefault="00E456C3" w:rsidP="00E456C3">
      <w:pPr>
        <w:spacing w:after="0"/>
        <w:ind w:right="49"/>
        <w:rPr>
          <w:rFonts w:ascii="ITC Avant Garde" w:hAnsi="ITC Avant Garde" w:cs="Arial"/>
          <w:b/>
        </w:rPr>
      </w:pPr>
      <w:r w:rsidRPr="00443C3D">
        <w:rPr>
          <w:rFonts w:ascii="ITC Avant Garde" w:hAnsi="ITC Avant Garde" w:cs="Arial"/>
          <w:b/>
          <w:noProof/>
          <w:lang w:eastAsia="es-MX"/>
        </w:rPr>
        <w:lastRenderedPageBreak/>
        <w:drawing>
          <wp:inline distT="0" distB="0" distL="0" distR="0" wp14:anchorId="3241FBAA" wp14:editId="286072DD">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1. Establecimiento de una llamada básica.</w:t>
      </w:r>
    </w:p>
    <w:p w:rsidR="00E456C3" w:rsidRPr="00443C3D" w:rsidRDefault="00E456C3" w:rsidP="00E456C3">
      <w:pPr>
        <w:spacing w:after="0"/>
        <w:ind w:right="49"/>
        <w:jc w:val="center"/>
        <w:rPr>
          <w:rFonts w:ascii="ITC Avant Garde" w:hAnsi="ITC Avant Garde" w:cs="Arial"/>
          <w:sz w:val="18"/>
          <w:szCs w:val="18"/>
        </w:rPr>
      </w:pPr>
    </w:p>
    <w:p w:rsidR="00E456C3" w:rsidRPr="00443C3D" w:rsidRDefault="00E456C3" w:rsidP="00E456C3">
      <w:pPr>
        <w:spacing w:after="0"/>
        <w:ind w:right="49"/>
        <w:jc w:val="center"/>
        <w:rPr>
          <w:rFonts w:ascii="ITC Avant Garde" w:hAnsi="ITC Avant Garde" w:cs="Arial"/>
          <w:sz w:val="18"/>
          <w:szCs w:val="18"/>
        </w:rPr>
      </w:pP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1723546A" wp14:editId="416A2EF7">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Diagrama 2. Establecimiento de una llamada básica con </w:t>
      </w:r>
      <w:r w:rsidR="008439D5" w:rsidRPr="00443C3D">
        <w:rPr>
          <w:rFonts w:ascii="ITC Avant Garde" w:hAnsi="ITC Avant Garde" w:cs="Arial"/>
          <w:sz w:val="18"/>
          <w:szCs w:val="18"/>
        </w:rPr>
        <w:t>medio temprano</w:t>
      </w:r>
      <w:r w:rsidRPr="00443C3D">
        <w:rPr>
          <w:rFonts w:ascii="ITC Avant Garde" w:hAnsi="ITC Avant Garde" w:cs="Arial"/>
          <w:sz w:val="18"/>
          <w:szCs w:val="18"/>
        </w:rPr>
        <w:t>.</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21988602" wp14:editId="7359D11E">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3. Actualización de sesión.</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57B8564C" wp14:editId="55D378C0">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4. Actualización del medio.</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2CCC411B" wp14:editId="32EA7D1B">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rsidR="00E456C3" w:rsidRPr="00443C3D" w:rsidRDefault="00E456C3" w:rsidP="00896614">
      <w:pPr>
        <w:spacing w:after="0"/>
        <w:ind w:right="49"/>
        <w:jc w:val="center"/>
        <w:rPr>
          <w:rFonts w:ascii="ITC Avant Garde" w:hAnsi="ITC Avant Garde" w:cs="Arial"/>
          <w:sz w:val="18"/>
          <w:szCs w:val="18"/>
        </w:rPr>
      </w:pPr>
      <w:r w:rsidRPr="00443C3D">
        <w:rPr>
          <w:rFonts w:ascii="ITC Avant Garde" w:hAnsi="ITC Avant Garde" w:cs="Arial"/>
          <w:sz w:val="18"/>
          <w:szCs w:val="18"/>
        </w:rPr>
        <w:t>Diagrama 5. Establecimiento de una llamada de tránsito.</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sz w:val="24"/>
        </w:rPr>
      </w:pPr>
      <w:r w:rsidRPr="00443C3D">
        <w:rPr>
          <w:rFonts w:ascii="ITC Avant Garde" w:hAnsi="ITC Avant Garde"/>
          <w:b/>
          <w:sz w:val="24"/>
        </w:rPr>
        <w:t>Liberación de las peticiones</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rPr>
          <w:rFonts w:ascii="ITC Avant Garde" w:hAnsi="ITC Avant Garde"/>
        </w:rPr>
      </w:pPr>
      <w:r w:rsidRPr="00443C3D">
        <w:rPr>
          <w:rFonts w:ascii="ITC Avant Garde" w:hAnsi="ITC Avant Garde"/>
        </w:rPr>
        <w:t>Se realizará la liberación de la sesión en los siguientes casos:</w:t>
      </w:r>
    </w:p>
    <w:p w:rsidR="00E456C3" w:rsidRPr="00443C3D" w:rsidRDefault="00E456C3" w:rsidP="00E456C3">
      <w:pPr>
        <w:spacing w:after="0"/>
        <w:ind w:right="49"/>
        <w:rPr>
          <w:rFonts w:ascii="ITC Avant Garde" w:hAnsi="ITC Avant Garde"/>
        </w:rPr>
      </w:pPr>
    </w:p>
    <w:p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Cancelación de la petición con el método CANCEL. Valor de causa 31 (Normal. Sin especificar)</w:t>
      </w:r>
    </w:p>
    <w:p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Terminación de la petición con el método BYE. Valor de causa 16 (liberación normal de la llamada)</w:t>
      </w:r>
    </w:p>
    <w:p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Recepción de algún código de estado 4xx, 5xx, o 6xx.</w:t>
      </w:r>
    </w:p>
    <w:p w:rsidR="00E456C3" w:rsidRPr="00443C3D" w:rsidRDefault="00E456C3" w:rsidP="00E456C3">
      <w:pPr>
        <w:spacing w:after="0"/>
        <w:ind w:right="49"/>
        <w:jc w:val="center"/>
        <w:rPr>
          <w:rFonts w:ascii="ITC Avant Garde" w:hAnsi="ITC Avant Gar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7779"/>
      </w:tblGrid>
      <w:tr w:rsidR="00E456C3" w:rsidRPr="00443C3D" w:rsidTr="00896614">
        <w:trPr>
          <w:trHeight w:val="318"/>
          <w:tblHeader/>
          <w:jc w:val="center"/>
        </w:trPr>
        <w:tc>
          <w:tcPr>
            <w:tcW w:w="594" w:type="pct"/>
            <w:shd w:val="clear" w:color="auto" w:fill="BDD6EE"/>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lastRenderedPageBreak/>
              <w:t>Código</w:t>
            </w:r>
          </w:p>
        </w:tc>
        <w:tc>
          <w:tcPr>
            <w:tcW w:w="4406" w:type="pct"/>
            <w:shd w:val="clear" w:color="auto" w:fill="BDD6EE"/>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w:t>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1xx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Temporales; petición recibida, se procesa la petición</w:t>
            </w:r>
            <w:r w:rsidRPr="00443C3D">
              <w:rPr>
                <w:rStyle w:val="Refdenotaalpie"/>
                <w:rFonts w:ascii="ITC Avant Garde" w:hAnsi="ITC Avant Garde"/>
                <w:color w:val="000000"/>
                <w:sz w:val="20"/>
                <w:szCs w:val="20"/>
                <w:lang w:eastAsia="es-MX"/>
              </w:rPr>
              <w:footnoteReference w:id="1"/>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2xx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Exitoso; la acción fue recibida, entendida, y aceptada con éxito</w:t>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3xx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Redirección; se requieren acciones adicionales para terminar la petición</w:t>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4xx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Error de cliente; la petición contiene sintaxis errónea o no se puede llevar a cabo en ese servidor</w:t>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5xx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Error de servidor; el servidor no pudo llevar a cabo una petición al parecer válida</w:t>
            </w:r>
          </w:p>
        </w:tc>
      </w:tr>
      <w:tr w:rsidR="00E456C3" w:rsidRPr="00443C3D" w:rsidTr="00896614">
        <w:trPr>
          <w:jc w:val="center"/>
        </w:trPr>
        <w:tc>
          <w:tcPr>
            <w:tcW w:w="594" w:type="pct"/>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6xx</w:t>
            </w:r>
          </w:p>
        </w:tc>
        <w:tc>
          <w:tcPr>
            <w:tcW w:w="4406"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Falla global; la petición no se puede satisfacer en ningún servidor</w:t>
            </w:r>
          </w:p>
        </w:tc>
      </w:tr>
    </w:tbl>
    <w:p w:rsidR="00E456C3" w:rsidRPr="00443C3D" w:rsidRDefault="00E456C3" w:rsidP="00E456C3">
      <w:pPr>
        <w:spacing w:after="0"/>
        <w:ind w:right="49"/>
        <w:rPr>
          <w:rFonts w:ascii="ITC Avant Garde" w:hAnsi="ITC Avant Garde" w:cs="Arial"/>
          <w:sz w:val="18"/>
          <w:szCs w:val="18"/>
        </w:rPr>
      </w:pPr>
    </w:p>
    <w:p w:rsidR="00E456C3" w:rsidRPr="00443C3D" w:rsidRDefault="00E456C3" w:rsidP="00E456C3">
      <w:pPr>
        <w:spacing w:after="0"/>
        <w:ind w:right="49"/>
        <w:jc w:val="center"/>
        <w:rPr>
          <w:rFonts w:ascii="ITC Avant Garde" w:hAnsi="ITC Avant Garde" w:cs="Arial"/>
          <w:i/>
          <w:iCs/>
          <w:lang w:val="es-ES" w:eastAsia="es-ES"/>
        </w:rPr>
      </w:pPr>
      <w:r w:rsidRPr="00443C3D">
        <w:rPr>
          <w:rFonts w:ascii="ITC Avant Garde" w:hAnsi="ITC Avant Garde" w:cs="Arial"/>
          <w:sz w:val="18"/>
          <w:szCs w:val="18"/>
        </w:rPr>
        <w:t>Tabla 7: Códigos generales de respuesta SIP.</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Los servicios de transferencia de llamadas y redireccionamiento de llamadas se prestarán de acuerdo a</w:t>
      </w:r>
      <w:r w:rsidR="000D1E11">
        <w:rPr>
          <w:rFonts w:ascii="ITC Avant Garde" w:hAnsi="ITC Avant Garde"/>
        </w:rPr>
        <w:t xml:space="preserve"> </w:t>
      </w:r>
      <w:r w:rsidRPr="00443C3D">
        <w:rPr>
          <w:rFonts w:ascii="ITC Avant Garde" w:hAnsi="ITC Avant Garde"/>
        </w:rPr>
        <w:t>l</w:t>
      </w:r>
      <w:r w:rsidR="000D1E11">
        <w:rPr>
          <w:rFonts w:ascii="ITC Avant Garde" w:hAnsi="ITC Avant Garde"/>
        </w:rPr>
        <w:t>a Recomendación</w:t>
      </w:r>
      <w:r w:rsidRPr="00443C3D">
        <w:rPr>
          <w:rFonts w:ascii="ITC Avant Garde" w:hAnsi="ITC Avant Garde"/>
        </w:rPr>
        <w:t xml:space="preserve"> RFC 5359. </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El encabezado REASON debe estar presente en cualquier CANCEL o BYE, de acuerdo a lo siguiente:</w:t>
      </w:r>
    </w:p>
    <w:p w:rsidR="00E456C3" w:rsidRPr="00443C3D" w:rsidRDefault="00E456C3" w:rsidP="00E456C3">
      <w:pPr>
        <w:spacing w:after="0"/>
        <w:ind w:right="49"/>
        <w:rPr>
          <w:rFonts w:ascii="ITC Avant Garde" w:hAnsi="ITC Avant Garde"/>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076"/>
        <w:gridCol w:w="3735"/>
      </w:tblGrid>
      <w:tr w:rsidR="00E456C3" w:rsidRPr="00443C3D" w:rsidTr="00896614">
        <w:trPr>
          <w:trHeight w:val="318"/>
          <w:tblHeader/>
          <w:jc w:val="center"/>
        </w:trPr>
        <w:tc>
          <w:tcPr>
            <w:tcW w:w="1638" w:type="pct"/>
            <w:shd w:val="clear" w:color="auto" w:fill="BDD6EE"/>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Componente del campo de encabezado</w:t>
            </w:r>
          </w:p>
        </w:tc>
        <w:tc>
          <w:tcPr>
            <w:tcW w:w="1201" w:type="pct"/>
            <w:shd w:val="clear" w:color="auto" w:fill="BDD6EE"/>
            <w:vAlign w:val="center"/>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w:t>
            </w:r>
          </w:p>
        </w:tc>
        <w:tc>
          <w:tcPr>
            <w:tcW w:w="2161" w:type="pct"/>
            <w:shd w:val="clear" w:color="auto" w:fill="BDD6EE"/>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 de la causa de liberación</w:t>
            </w:r>
          </w:p>
        </w:tc>
      </w:tr>
      <w:tr w:rsidR="00E456C3" w:rsidRPr="00443C3D" w:rsidTr="00896614">
        <w:trPr>
          <w:jc w:val="center"/>
        </w:trPr>
        <w:tc>
          <w:tcPr>
            <w:tcW w:w="1638"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Protocolo</w:t>
            </w:r>
          </w:p>
        </w:tc>
        <w:tc>
          <w:tcPr>
            <w:tcW w:w="1201"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SIP</w:t>
            </w:r>
          </w:p>
        </w:tc>
        <w:tc>
          <w:tcPr>
            <w:tcW w:w="216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Parámetros indicadores de la causa</w:t>
            </w:r>
          </w:p>
        </w:tc>
      </w:tr>
      <w:tr w:rsidR="00E456C3" w:rsidRPr="00443C3D" w:rsidTr="00896614">
        <w:trPr>
          <w:jc w:val="center"/>
        </w:trPr>
        <w:tc>
          <w:tcPr>
            <w:tcW w:w="1638"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Causa del protocolo</w:t>
            </w:r>
          </w:p>
        </w:tc>
        <w:tc>
          <w:tcPr>
            <w:tcW w:w="1201"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Cause=XX</w:t>
            </w:r>
          </w:p>
        </w:tc>
        <w:tc>
          <w:tcPr>
            <w:tcW w:w="216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 de causa definido de forma numérica</w:t>
            </w:r>
          </w:p>
        </w:tc>
      </w:tr>
      <w:tr w:rsidR="00E456C3" w:rsidRPr="00443C3D" w:rsidTr="00896614">
        <w:trPr>
          <w:jc w:val="center"/>
        </w:trPr>
        <w:tc>
          <w:tcPr>
            <w:tcW w:w="1638"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 de la causa de liberación</w:t>
            </w:r>
          </w:p>
        </w:tc>
        <w:tc>
          <w:tcPr>
            <w:tcW w:w="1201"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Text=xxxxxxxxxxxxx</w:t>
            </w:r>
          </w:p>
        </w:tc>
        <w:tc>
          <w:tcPr>
            <w:tcW w:w="216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 alfanumérico</w:t>
            </w:r>
          </w:p>
        </w:tc>
      </w:tr>
    </w:tbl>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8: Códigos generales de respuesta SIP.</w:t>
      </w:r>
    </w:p>
    <w:p w:rsidR="00E456C3" w:rsidRPr="00443C3D" w:rsidRDefault="00E456C3" w:rsidP="00E456C3">
      <w:pPr>
        <w:spacing w:after="0"/>
        <w:ind w:right="49"/>
        <w:rPr>
          <w:rFonts w:ascii="ITC Avant Garde" w:hAnsi="ITC Avant Garde"/>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4252"/>
        <w:gridCol w:w="3402"/>
      </w:tblGrid>
      <w:tr w:rsidR="00E456C3" w:rsidRPr="00443C3D" w:rsidTr="00896614">
        <w:trPr>
          <w:trHeight w:val="318"/>
          <w:tblHeader/>
          <w:jc w:val="center"/>
        </w:trPr>
        <w:tc>
          <w:tcPr>
            <w:tcW w:w="498" w:type="pct"/>
            <w:shd w:val="clear" w:color="auto" w:fill="BDD6EE"/>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No.</w:t>
            </w:r>
          </w:p>
        </w:tc>
        <w:tc>
          <w:tcPr>
            <w:tcW w:w="2501" w:type="pct"/>
            <w:shd w:val="clear" w:color="auto" w:fill="BDD6EE"/>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Motivo de rechazo</w:t>
            </w:r>
          </w:p>
        </w:tc>
        <w:tc>
          <w:tcPr>
            <w:tcW w:w="2001" w:type="pct"/>
            <w:shd w:val="clear" w:color="auto" w:fill="BDD6EE"/>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Mensaje SIP</w:t>
            </w:r>
          </w:p>
        </w:tc>
      </w:tr>
      <w:tr w:rsidR="00E456C3" w:rsidRPr="00443C3D" w:rsidTr="00896614">
        <w:trPr>
          <w:jc w:val="center"/>
        </w:trPr>
        <w:tc>
          <w:tcPr>
            <w:tcW w:w="498"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1</w:t>
            </w:r>
          </w:p>
        </w:tc>
        <w:tc>
          <w:tcPr>
            <w:tcW w:w="2501"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Formato de número inválido o sintaxis incorrecta de la petición.</w:t>
            </w:r>
          </w:p>
        </w:tc>
        <w:tc>
          <w:tcPr>
            <w:tcW w:w="200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400 Petición incorrecta</w:t>
            </w:r>
          </w:p>
        </w:tc>
      </w:tr>
      <w:tr w:rsidR="00E456C3" w:rsidRPr="00443C3D" w:rsidTr="00896614">
        <w:trPr>
          <w:jc w:val="center"/>
        </w:trPr>
        <w:tc>
          <w:tcPr>
            <w:tcW w:w="498"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2</w:t>
            </w:r>
          </w:p>
        </w:tc>
        <w:tc>
          <w:tcPr>
            <w:tcW w:w="2501"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Número cambió</w:t>
            </w:r>
          </w:p>
        </w:tc>
        <w:tc>
          <w:tcPr>
            <w:tcW w:w="200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410 Se fue</w:t>
            </w:r>
          </w:p>
        </w:tc>
      </w:tr>
      <w:tr w:rsidR="00E456C3" w:rsidRPr="00443C3D" w:rsidTr="00896614">
        <w:trPr>
          <w:jc w:val="center"/>
        </w:trPr>
        <w:tc>
          <w:tcPr>
            <w:tcW w:w="498"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3</w:t>
            </w:r>
          </w:p>
        </w:tc>
        <w:tc>
          <w:tcPr>
            <w:tcW w:w="2501"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Número destino incompleto</w:t>
            </w:r>
          </w:p>
        </w:tc>
        <w:tc>
          <w:tcPr>
            <w:tcW w:w="200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484 Dirección incompleta</w:t>
            </w:r>
          </w:p>
        </w:tc>
      </w:tr>
      <w:tr w:rsidR="00E456C3" w:rsidRPr="00443C3D" w:rsidTr="00896614">
        <w:trPr>
          <w:jc w:val="center"/>
        </w:trPr>
        <w:tc>
          <w:tcPr>
            <w:tcW w:w="498"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4</w:t>
            </w:r>
          </w:p>
        </w:tc>
        <w:tc>
          <w:tcPr>
            <w:tcW w:w="2501"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Destino descolgado</w:t>
            </w:r>
          </w:p>
        </w:tc>
        <w:tc>
          <w:tcPr>
            <w:tcW w:w="200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502 Compuerta incorrecta</w:t>
            </w:r>
          </w:p>
        </w:tc>
      </w:tr>
      <w:tr w:rsidR="00E456C3" w:rsidRPr="00443C3D" w:rsidTr="00896614">
        <w:trPr>
          <w:jc w:val="center"/>
        </w:trPr>
        <w:tc>
          <w:tcPr>
            <w:tcW w:w="498" w:type="pct"/>
          </w:tcPr>
          <w:p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5</w:t>
            </w:r>
          </w:p>
        </w:tc>
        <w:tc>
          <w:tcPr>
            <w:tcW w:w="2501" w:type="pct"/>
            <w:vAlign w:val="center"/>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Marcar a un número que no existe en la red destino</w:t>
            </w:r>
          </w:p>
        </w:tc>
        <w:tc>
          <w:tcPr>
            <w:tcW w:w="2001" w:type="pct"/>
          </w:tcPr>
          <w:p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604 No existe en ninguna parte</w:t>
            </w:r>
          </w:p>
        </w:tc>
      </w:tr>
    </w:tbl>
    <w:p w:rsidR="00E456C3" w:rsidRPr="00443C3D" w:rsidRDefault="00E456C3" w:rsidP="00E456C3">
      <w:pPr>
        <w:spacing w:after="0"/>
        <w:ind w:right="49"/>
        <w:rPr>
          <w:rFonts w:ascii="ITC Avant Garde" w:hAnsi="ITC Avant Garde"/>
          <w:sz w:val="18"/>
          <w:szCs w:val="18"/>
        </w:rPr>
      </w:pPr>
    </w:p>
    <w:p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9: Códigos de respuesta SIP.</w:t>
      </w:r>
    </w:p>
    <w:p w:rsidR="00E456C3" w:rsidRPr="00443C3D" w:rsidRDefault="00E456C3" w:rsidP="00E456C3">
      <w:pPr>
        <w:spacing w:after="0"/>
        <w:ind w:right="49"/>
        <w:rPr>
          <w:rFonts w:ascii="ITC Avant Garde" w:hAnsi="ITC Avant Garde"/>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rPr>
      </w:pPr>
      <w:r w:rsidRPr="00443C3D">
        <w:rPr>
          <w:rFonts w:ascii="ITC Avant Garde" w:hAnsi="ITC Avant Garde" w:cs="Arial"/>
          <w:b/>
          <w:sz w:val="24"/>
        </w:rPr>
        <w:t>Calidad de servicio</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Los Concesionarios deberán asegurar que la calidad del servicio de interconexión IP sea al menos equivalente a la calidad del servicio de interconexión TDM. </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rsidR="00E456C3" w:rsidRPr="00443C3D" w:rsidRDefault="00E456C3" w:rsidP="00E456C3">
      <w:pPr>
        <w:spacing w:after="0"/>
        <w:ind w:right="51"/>
        <w:jc w:val="both"/>
        <w:rPr>
          <w:rFonts w:ascii="ITC Avant Garde" w:hAnsi="ITC Avant Garde"/>
        </w:rPr>
      </w:pPr>
    </w:p>
    <w:p w:rsidR="00E456C3" w:rsidRPr="00443C3D" w:rsidRDefault="00E456C3" w:rsidP="00E456C3">
      <w:pPr>
        <w:spacing w:after="0"/>
        <w:ind w:right="51"/>
        <w:jc w:val="both"/>
        <w:rPr>
          <w:rFonts w:ascii="ITC Avant Garde" w:hAnsi="ITC Avant Garde"/>
        </w:rPr>
      </w:pPr>
      <w:r w:rsidRPr="00443C3D">
        <w:rPr>
          <w:rFonts w:ascii="ITC Avant Garde" w:hAnsi="ITC Avant Garde"/>
        </w:rPr>
        <w:t xml:space="preserve">Los concesionarios podrán identificar el tráfico de acuerdo a la arquitectura de Diferenciación de Servicio (DiffServ) y de acuerdo a la Recomendación RFC 4594 con el fin de facilitar la gestión de la calidad de servicio de los tráficos de voz y señalización IP. </w:t>
      </w:r>
    </w:p>
    <w:p w:rsidR="00E456C3" w:rsidRPr="00443C3D" w:rsidRDefault="00E456C3" w:rsidP="00E456C3">
      <w:pPr>
        <w:spacing w:after="0"/>
        <w:ind w:right="51"/>
        <w:jc w:val="both"/>
        <w:rPr>
          <w:rFonts w:ascii="ITC Avant Garde" w:hAnsi="ITC Avant Garde" w:cs="Arial"/>
          <w:lang w:val="es-ES" w:eastAsia="es-ES"/>
        </w:rPr>
      </w:pPr>
    </w:p>
    <w:p w:rsidR="00E456C3" w:rsidRPr="00443C3D" w:rsidRDefault="00E456C3" w:rsidP="00E456C3">
      <w:pPr>
        <w:spacing w:after="0"/>
        <w:ind w:right="51"/>
        <w:jc w:val="both"/>
        <w:rPr>
          <w:rFonts w:ascii="ITC Avant Garde" w:hAnsi="ITC Avant Garde" w:cs="Arial"/>
          <w:lang w:val="es-ES" w:eastAsia="es-ES"/>
        </w:rPr>
      </w:pPr>
      <w:r w:rsidRPr="00443C3D">
        <w:rPr>
          <w:rFonts w:ascii="ITC Avant Garde" w:hAnsi="ITC Avant Garde" w:cs="Arial"/>
          <w:lang w:val="es-ES" w:eastAsia="es-ES"/>
        </w:rPr>
        <w:t>Lo anterior con independencia de las disposiciones administrativas que para regular la calidad en la prestación del servicio de interconexión emita el Instituto.</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sz w:val="24"/>
        </w:rPr>
        <w:t>Seguridad</w:t>
      </w:r>
    </w:p>
    <w:p w:rsidR="00E456C3" w:rsidRPr="00443C3D" w:rsidRDefault="00E456C3" w:rsidP="00E456C3">
      <w:pPr>
        <w:spacing w:after="0"/>
        <w:ind w:right="49"/>
        <w:rPr>
          <w:rFonts w:ascii="ITC Avant Garde" w:hAnsi="ITC Avant Garde"/>
        </w:rPr>
      </w:pPr>
    </w:p>
    <w:p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La conexión física entre concesionarios corresponderá a un modelo punto a punto. </w:t>
      </w:r>
    </w:p>
    <w:p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 </w:t>
      </w:r>
    </w:p>
    <w:p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Los concesionarios podrán acordar otros esquemas de conectividad, en cuyo caso determinarán los mecanismos que garanticen la seguridad de la comunicación. </w:t>
      </w:r>
    </w:p>
    <w:p w:rsidR="00E456C3" w:rsidRPr="00443C3D" w:rsidRDefault="00E456C3" w:rsidP="00E456C3">
      <w:pPr>
        <w:spacing w:after="0"/>
        <w:ind w:right="49"/>
        <w:jc w:val="both"/>
        <w:rPr>
          <w:rFonts w:ascii="ITC Avant Garde" w:hAnsi="ITC Avant Garde"/>
        </w:rPr>
      </w:pPr>
    </w:p>
    <w:p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Tasación y Facturación</w:t>
      </w:r>
    </w:p>
    <w:p w:rsidR="00E456C3" w:rsidRPr="00443C3D" w:rsidRDefault="00E456C3" w:rsidP="00E456C3">
      <w:pPr>
        <w:spacing w:after="0"/>
        <w:ind w:right="49"/>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inicio de tasación de la llamada comenzará cuando se reciba el código de respuesta 200 OK, el final de la misma será con el código de respuesta BYE.</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 </w:t>
      </w: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Para la facturación y en caso de discrepancia entre el encabezado From y el P-Asserted-Identity se tomará como válido el contenido del encabezado P-Asserted-Identity. </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b/>
        </w:rPr>
      </w:pPr>
      <w:r w:rsidRPr="00443C3D">
        <w:rPr>
          <w:rFonts w:ascii="ITC Avant Garde" w:hAnsi="ITC Avant Garde" w:cs="Arial"/>
          <w:b/>
        </w:rPr>
        <w:t>Interconexión TDM</w:t>
      </w:r>
    </w:p>
    <w:p w:rsidR="00E456C3" w:rsidRPr="00443C3D" w:rsidRDefault="00E456C3" w:rsidP="00E456C3">
      <w:pPr>
        <w:spacing w:after="0"/>
        <w:ind w:right="49"/>
        <w:jc w:val="both"/>
        <w:rPr>
          <w:rFonts w:ascii="ITC Avant Garde" w:hAnsi="ITC Avant Garde" w:cs="Arial"/>
          <w:b/>
        </w:rPr>
      </w:pPr>
    </w:p>
    <w:p w:rsidR="00E456C3" w:rsidRPr="00443C3D" w:rsidRDefault="00E456C3" w:rsidP="00E456C3">
      <w:pPr>
        <w:spacing w:after="0"/>
        <w:ind w:right="49"/>
        <w:jc w:val="both"/>
        <w:rPr>
          <w:rFonts w:ascii="ITC Avant Garde" w:hAnsi="ITC Avant Garde" w:cs="Arial"/>
        </w:rPr>
      </w:pPr>
      <w:r w:rsidRPr="00443C3D">
        <w:rPr>
          <w:rFonts w:ascii="ITC Avant Garde" w:hAnsi="ITC Avant Garde"/>
        </w:rPr>
        <w:t xml:space="preserve">Los concesionarios de redes públicas de telecomunicaciones podrán continuar intercambiando tráfico mediante tecnología TDM, utilizando el sistema de señalización por canal común número 7 (SS7), y la Disposición Técnica </w:t>
      </w:r>
      <w:r w:rsidRPr="00443C3D">
        <w:rPr>
          <w:rFonts w:ascii="ITC Avant Garde" w:hAnsi="ITC Avant Garde" w:cs="Arial"/>
        </w:rPr>
        <w:t>IFT-009-201</w:t>
      </w:r>
      <w:r w:rsidR="000D1E11">
        <w:rPr>
          <w:rFonts w:ascii="ITC Avant Garde" w:hAnsi="ITC Avant Garde" w:cs="Arial"/>
        </w:rPr>
        <w:t>5</w:t>
      </w:r>
      <w:r w:rsidRPr="00443C3D">
        <w:rPr>
          <w:rFonts w:ascii="ITC Avant Garde" w:hAnsi="ITC Avant Garde" w:cs="Arial"/>
        </w:rPr>
        <w:t xml:space="preserve"> “Telecomunicaciones-Interfaz-Parte de usuario de servicios integrados del sistema de señalización por canal común”.</w:t>
      </w:r>
    </w:p>
    <w:p w:rsidR="00E456C3" w:rsidRPr="00443C3D" w:rsidRDefault="00E456C3" w:rsidP="00E456C3">
      <w:pPr>
        <w:spacing w:after="0"/>
        <w:ind w:right="49"/>
        <w:jc w:val="both"/>
        <w:rPr>
          <w:rFonts w:ascii="ITC Avant Garde" w:hAnsi="ITC Avant Garde" w:cs="Arial"/>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Las diferentes redes se interconectan en forma plesiócrona alimentadas por relojes de Estrato 1, de acuerdo a la Recomendación G.811 UIT.</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La sincronía para la interconexión entre las redes deberá estar implementada de acuerdo a la disposición técnica IFT-005-2016 y las Recomendaciones G.703, G.822 </w:t>
      </w:r>
      <w:r w:rsidRPr="00443C3D">
        <w:rPr>
          <w:rFonts w:ascii="ITC Avant Garde" w:hAnsi="ITC Avant Garde"/>
        </w:rPr>
        <w:lastRenderedPageBreak/>
        <w:t>y G.823 en los puntos de interconexión y con la Recomendación G.812 para los relojes de las centrales de interconexión en caso de pérdida en referencia al Estrato 1.</w:t>
      </w:r>
    </w:p>
    <w:p w:rsidR="00E456C3" w:rsidRPr="00443C3D" w:rsidRDefault="00E456C3" w:rsidP="00E456C3">
      <w:pPr>
        <w:spacing w:after="0"/>
        <w:ind w:right="49"/>
        <w:jc w:val="both"/>
        <w:rPr>
          <w:rFonts w:ascii="ITC Avant Garde" w:hAnsi="ITC Avant Garde"/>
        </w:rPr>
      </w:pPr>
    </w:p>
    <w:p w:rsidR="00E456C3" w:rsidRPr="00443C3D" w:rsidRDefault="00E456C3" w:rsidP="00E456C3">
      <w:pPr>
        <w:pStyle w:val="Prrafodelista"/>
        <w:numPr>
          <w:ilvl w:val="0"/>
          <w:numId w:val="7"/>
        </w:numPr>
        <w:tabs>
          <w:tab w:val="left" w:pos="284"/>
          <w:tab w:val="left" w:pos="567"/>
        </w:tabs>
        <w:spacing w:after="0" w:line="276" w:lineRule="auto"/>
        <w:ind w:left="709" w:right="49" w:hanging="709"/>
        <w:jc w:val="both"/>
        <w:rPr>
          <w:rFonts w:ascii="ITC Avant Garde" w:hAnsi="ITC Avant Garde" w:cs="Arial"/>
          <w:b/>
        </w:rPr>
      </w:pPr>
      <w:r w:rsidRPr="00443C3D">
        <w:rPr>
          <w:rFonts w:ascii="ITC Avant Garde" w:hAnsi="ITC Avant Garde" w:cs="Arial"/>
          <w:b/>
        </w:rPr>
        <w:t>Identificación del número llamante</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En los casos en que el origen de la llamada sea nacional se debe incluir el número origen de la llamada en formato NDC+SN dentro del mensaje inicial de direccionamiento (IAM por sus siglas en idioma inglés). En los casos en que la llamada sea de origen internacional será facultativo mas no obligatorio el envío del número de origen.</w:t>
      </w:r>
    </w:p>
    <w:p w:rsidR="00E456C3" w:rsidRPr="00443C3D" w:rsidRDefault="00E456C3" w:rsidP="00E456C3">
      <w:pPr>
        <w:spacing w:after="0"/>
        <w:ind w:right="51"/>
        <w:jc w:val="both"/>
        <w:rPr>
          <w:rFonts w:ascii="ITC Avant Garde" w:hAnsi="ITC Avant Garde"/>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rPr>
        <w:t xml:space="preserve">Por lo que hace al intercambio de dígitos para la señalización IP o TDM que considera el envío del identificador de red origen y de red destino se apegará a lo establecido en </w:t>
      </w:r>
      <w:r w:rsidRPr="00443C3D">
        <w:rPr>
          <w:rFonts w:ascii="ITC Avant Garde" w:hAnsi="ITC Avant Garde" w:cs="Arial"/>
        </w:rPr>
        <w:t>el Plan Técnico Fundamental de Numeración, el Plan Técnico Fundamental de Señalización y sus respectivas modificaciones.</w:t>
      </w:r>
    </w:p>
    <w:p w:rsidR="00E456C3" w:rsidRPr="00443C3D" w:rsidRDefault="00E456C3" w:rsidP="00E456C3">
      <w:pPr>
        <w:spacing w:after="0"/>
        <w:ind w:right="51"/>
        <w:jc w:val="both"/>
        <w:rPr>
          <w:rFonts w:ascii="ITC Avant Garde" w:hAnsi="ITC Avant Garde" w:cs="Arial"/>
        </w:rPr>
      </w:pPr>
    </w:p>
    <w:p w:rsidR="00E456C3" w:rsidRPr="00443C3D" w:rsidRDefault="00896614" w:rsidP="00E456C3">
      <w:pPr>
        <w:spacing w:after="0"/>
        <w:ind w:right="51"/>
        <w:jc w:val="both"/>
        <w:rPr>
          <w:rFonts w:ascii="ITC Avant Garde" w:hAnsi="ITC Avant Garde" w:cs="Arial"/>
        </w:rPr>
      </w:pPr>
      <w:r w:rsidRPr="00443C3D">
        <w:rPr>
          <w:rFonts w:ascii="ITC Avant Garde" w:hAnsi="ITC Avant Garde" w:cs="Arial"/>
          <w:b/>
        </w:rPr>
        <w:t>OCTAVA. -</w:t>
      </w:r>
      <w:r w:rsidR="00E456C3" w:rsidRPr="00443C3D">
        <w:rPr>
          <w:rFonts w:ascii="ITC Avant Garde" w:hAnsi="ITC Avant Garde" w:cs="Arial"/>
          <w:b/>
        </w:rPr>
        <w:t xml:space="preserve"> </w:t>
      </w:r>
      <w:r w:rsidR="00E456C3" w:rsidRPr="00443C3D">
        <w:rPr>
          <w:rFonts w:ascii="ITC Avant Garde" w:hAnsi="ITC Avant Garde"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rsidR="00E456C3" w:rsidRPr="00443C3D" w:rsidRDefault="00E456C3" w:rsidP="00E456C3">
      <w:pPr>
        <w:spacing w:after="0"/>
        <w:ind w:right="51"/>
        <w:jc w:val="both"/>
        <w:rPr>
          <w:rFonts w:ascii="ITC Avant Garde" w:hAnsi="ITC Avant Garde" w:cs="Arial"/>
        </w:rPr>
      </w:pPr>
    </w:p>
    <w:p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rsidR="00E456C3" w:rsidRPr="00443C3D" w:rsidRDefault="00E456C3" w:rsidP="00E456C3">
      <w:pPr>
        <w:spacing w:after="0"/>
        <w:ind w:right="51"/>
        <w:jc w:val="both"/>
        <w:rPr>
          <w:rFonts w:ascii="ITC Avant Garde" w:hAnsi="ITC Avant Garde" w:cs="Arial"/>
        </w:rPr>
      </w:pPr>
    </w:p>
    <w:p w:rsidR="00E456C3" w:rsidRPr="00443C3D" w:rsidRDefault="00896614" w:rsidP="00E456C3">
      <w:pPr>
        <w:spacing w:after="0"/>
        <w:ind w:right="51"/>
        <w:jc w:val="both"/>
        <w:rPr>
          <w:rFonts w:ascii="ITC Avant Garde" w:hAnsi="ITC Avant Garde"/>
        </w:rPr>
      </w:pPr>
      <w:r w:rsidRPr="00443C3D">
        <w:rPr>
          <w:rFonts w:ascii="ITC Avant Garde" w:hAnsi="ITC Avant Garde" w:cs="Arial"/>
          <w:b/>
        </w:rPr>
        <w:t>NOVENA. -</w:t>
      </w:r>
      <w:r w:rsidR="00E456C3" w:rsidRPr="00443C3D">
        <w:rPr>
          <w:rFonts w:ascii="ITC Avant Garde" w:hAnsi="ITC Avant Garde"/>
        </w:rPr>
        <w:t xml:space="preserve"> Las condiciones técnicas para la coubicación serán las siguientes:</w:t>
      </w:r>
    </w:p>
    <w:p w:rsidR="00E456C3" w:rsidRPr="00443C3D" w:rsidRDefault="00E456C3" w:rsidP="00E456C3">
      <w:pPr>
        <w:spacing w:after="0"/>
        <w:ind w:right="51"/>
        <w:jc w:val="both"/>
        <w:rPr>
          <w:rFonts w:ascii="ITC Avant Garde" w:hAnsi="ITC Avant Garde"/>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E456C3" w:rsidRPr="00443C3D" w:rsidTr="00896614">
        <w:trPr>
          <w:trHeight w:val="748"/>
          <w:jc w:val="center"/>
        </w:trPr>
        <w:tc>
          <w:tcPr>
            <w:tcW w:w="3111" w:type="dxa"/>
            <w:tcBorders>
              <w:top w:val="single" w:sz="6" w:space="0" w:color="auto"/>
              <w:bottom w:val="nil"/>
            </w:tcBorders>
          </w:tcPr>
          <w:p w:rsidR="00E456C3" w:rsidRPr="00443C3D" w:rsidRDefault="00E456C3" w:rsidP="00E456C3">
            <w:pPr>
              <w:numPr>
                <w:ilvl w:val="0"/>
                <w:numId w:val="3"/>
              </w:numPr>
              <w:spacing w:after="0" w:line="276" w:lineRule="auto"/>
              <w:ind w:right="49"/>
              <w:rPr>
                <w:rFonts w:ascii="ITC Avant Garde" w:hAnsi="ITC Avant Garde"/>
                <w:sz w:val="20"/>
                <w:szCs w:val="20"/>
              </w:rPr>
            </w:pPr>
            <w:r w:rsidRPr="00443C3D">
              <w:rPr>
                <w:rFonts w:ascii="ITC Avant Garde" w:hAnsi="ITC Avant Garde"/>
                <w:sz w:val="20"/>
                <w:szCs w:val="20"/>
              </w:rPr>
              <w:t>Espacio:</w:t>
            </w:r>
          </w:p>
        </w:tc>
        <w:tc>
          <w:tcPr>
            <w:tcW w:w="5386" w:type="dxa"/>
            <w:tcBorders>
              <w:top w:val="single" w:sz="6" w:space="0" w:color="auto"/>
              <w:bottom w:val="nil"/>
            </w:tcBorders>
          </w:tcPr>
          <w:p w:rsidR="00E456C3" w:rsidRPr="00443C3D" w:rsidRDefault="00E456C3" w:rsidP="00896614">
            <w:pPr>
              <w:pStyle w:val="Ttulo3"/>
              <w:spacing w:line="276" w:lineRule="auto"/>
              <w:ind w:right="49"/>
              <w:rPr>
                <w:rFonts w:ascii="ITC Avant Garde" w:hAnsi="ITC Avant Garde"/>
                <w:sz w:val="20"/>
              </w:rPr>
            </w:pPr>
            <w:r w:rsidRPr="00443C3D">
              <w:rPr>
                <w:rFonts w:ascii="ITC Avant Garde" w:hAnsi="ITC Avant Garde"/>
                <w:sz w:val="20"/>
              </w:rPr>
              <w:t>Con delimitación física</w:t>
            </w:r>
          </w:p>
        </w:tc>
      </w:tr>
      <w:tr w:rsidR="00E456C3" w:rsidRPr="00443C3D" w:rsidTr="00896614">
        <w:trPr>
          <w:trHeight w:val="3381"/>
          <w:jc w:val="center"/>
        </w:trPr>
        <w:tc>
          <w:tcPr>
            <w:tcW w:w="3111" w:type="dxa"/>
            <w:tcBorders>
              <w:top w:val="single" w:sz="6" w:space="0" w:color="auto"/>
              <w:bottom w:val="nil"/>
            </w:tcBorders>
          </w:tcPr>
          <w:p w:rsidR="00E456C3" w:rsidRPr="00443C3D" w:rsidRDefault="00E456C3" w:rsidP="00E456C3">
            <w:pPr>
              <w:numPr>
                <w:ilvl w:val="0"/>
                <w:numId w:val="3"/>
              </w:numPr>
              <w:spacing w:after="0" w:line="276" w:lineRule="auto"/>
              <w:ind w:right="49"/>
              <w:rPr>
                <w:rFonts w:ascii="ITC Avant Garde" w:hAnsi="ITC Avant Garde"/>
                <w:sz w:val="20"/>
                <w:szCs w:val="20"/>
              </w:rPr>
            </w:pPr>
            <w:r w:rsidRPr="00443C3D">
              <w:rPr>
                <w:rFonts w:ascii="ITC Avant Garde" w:hAnsi="ITC Avant Garde"/>
                <w:sz w:val="20"/>
                <w:szCs w:val="20"/>
              </w:rPr>
              <w:t>Tipos de coubicación:</w:t>
            </w:r>
          </w:p>
        </w:tc>
        <w:tc>
          <w:tcPr>
            <w:tcW w:w="5386" w:type="dxa"/>
            <w:tcBorders>
              <w:top w:val="single" w:sz="6" w:space="0" w:color="auto"/>
              <w:bottom w:val="nil"/>
            </w:tcBorders>
          </w:tcPr>
          <w:p w:rsidR="00E456C3" w:rsidRPr="00443C3D" w:rsidRDefault="00E456C3" w:rsidP="00896614">
            <w:pPr>
              <w:spacing w:after="0"/>
              <w:ind w:right="49"/>
              <w:jc w:val="both"/>
              <w:rPr>
                <w:rFonts w:ascii="ITC Avant Garde" w:hAnsi="ITC Avant Garde"/>
                <w:sz w:val="20"/>
                <w:szCs w:val="20"/>
              </w:rPr>
            </w:pPr>
            <w:r w:rsidRPr="00443C3D">
              <w:rPr>
                <w:rFonts w:ascii="ITC Avant Garde" w:hAnsi="ITC Avant Garde"/>
                <w:sz w:val="20"/>
                <w:szCs w:val="20"/>
              </w:rPr>
              <w:t>Tipo 1 (Local): Área de 9 m</w:t>
            </w:r>
            <w:r w:rsidRPr="00443C3D">
              <w:rPr>
                <w:rFonts w:ascii="ITC Avant Garde" w:hAnsi="ITC Avant Garde"/>
                <w:sz w:val="20"/>
                <w:szCs w:val="20"/>
                <w:vertAlign w:val="superscript"/>
              </w:rPr>
              <w:t>2</w:t>
            </w:r>
            <w:r w:rsidRPr="00443C3D">
              <w:rPr>
                <w:rFonts w:ascii="ITC Avant Garde" w:hAnsi="ITC Avant Garde"/>
                <w:sz w:val="20"/>
                <w:szCs w:val="20"/>
              </w:rPr>
              <w:t xml:space="preserve"> (3x3) con delimitación de tabla roca pudiendo utilizar las paredes existentes.</w:t>
            </w:r>
          </w:p>
          <w:p w:rsidR="00E456C3" w:rsidRPr="00443C3D" w:rsidRDefault="00E456C3" w:rsidP="00896614">
            <w:pPr>
              <w:spacing w:after="0"/>
              <w:ind w:right="49"/>
              <w:jc w:val="both"/>
              <w:rPr>
                <w:rFonts w:ascii="ITC Avant Garde" w:hAnsi="ITC Avant Garde"/>
                <w:sz w:val="20"/>
                <w:szCs w:val="20"/>
              </w:rPr>
            </w:pPr>
            <w:r w:rsidRPr="00443C3D">
              <w:rPr>
                <w:rFonts w:ascii="ITC Avant Garde" w:hAnsi="ITC Avant Garde"/>
                <w:sz w:val="20"/>
                <w:szCs w:val="20"/>
              </w:rPr>
              <w:t>Tipo 2 (Local): Área de 4 m</w:t>
            </w:r>
            <w:r w:rsidRPr="00443C3D">
              <w:rPr>
                <w:rFonts w:ascii="ITC Avant Garde" w:hAnsi="ITC Avant Garde"/>
                <w:sz w:val="20"/>
                <w:szCs w:val="20"/>
                <w:vertAlign w:val="superscript"/>
                <w:lang w:val="es-ES_tradnl"/>
              </w:rPr>
              <w:t>2</w:t>
            </w:r>
            <w:r w:rsidRPr="00443C3D">
              <w:rPr>
                <w:rFonts w:ascii="ITC Avant Garde" w:hAnsi="ITC Avant Garde"/>
                <w:sz w:val="20"/>
                <w:szCs w:val="20"/>
              </w:rPr>
              <w:t xml:space="preserve"> (2x2) con delimitación de tabla roca pudiendo utilizar las paredes existentes.</w:t>
            </w:r>
          </w:p>
          <w:p w:rsidR="00E456C3" w:rsidRPr="00443C3D" w:rsidRDefault="00E456C3" w:rsidP="00896614">
            <w:pPr>
              <w:spacing w:after="0"/>
              <w:ind w:right="51"/>
              <w:jc w:val="both"/>
              <w:rPr>
                <w:rFonts w:ascii="ITC Avant Garde" w:hAnsi="ITC Avant Garde"/>
                <w:sz w:val="20"/>
                <w:szCs w:val="20"/>
              </w:rPr>
            </w:pPr>
            <w:r w:rsidRPr="00443C3D">
              <w:rPr>
                <w:rFonts w:ascii="ITC Avant Garde" w:hAnsi="ITC Avant Garde"/>
                <w:sz w:val="20"/>
                <w:szCs w:val="20"/>
              </w:rPr>
              <w:t>Tipo 3 (gabinete): Las dimensiones del gabinete serán las que el Concesionario Solicitado proporcione.</w:t>
            </w:r>
          </w:p>
          <w:p w:rsidR="00E456C3" w:rsidRPr="00443C3D" w:rsidRDefault="00E456C3" w:rsidP="00896614">
            <w:pPr>
              <w:spacing w:after="0"/>
              <w:ind w:right="51"/>
              <w:jc w:val="both"/>
              <w:rPr>
                <w:rFonts w:ascii="ITC Avant Garde" w:hAnsi="ITC Avant Garde"/>
                <w:sz w:val="20"/>
                <w:szCs w:val="20"/>
              </w:rPr>
            </w:pPr>
          </w:p>
          <w:p w:rsidR="00E456C3" w:rsidRPr="00443C3D" w:rsidRDefault="00E456C3" w:rsidP="00896614">
            <w:pPr>
              <w:spacing w:after="0"/>
              <w:ind w:right="51"/>
              <w:jc w:val="both"/>
              <w:rPr>
                <w:rFonts w:ascii="ITC Avant Garde" w:hAnsi="ITC Avant Garde"/>
                <w:sz w:val="20"/>
                <w:szCs w:val="20"/>
              </w:rPr>
            </w:pPr>
            <w:r w:rsidRPr="00443C3D">
              <w:rPr>
                <w:rFonts w:ascii="ITC Avant Garde" w:hAnsi="ITC Avant Garde"/>
                <w:sz w:val="20"/>
                <w:szCs w:val="20"/>
              </w:rPr>
              <w:t>El tipo de coubicación será a elección del Concesionario Solicitado siempre y cuando las dimensiones permitan la colocación del equipo del Concesionario Solicitante.</w:t>
            </w:r>
          </w:p>
        </w:tc>
      </w:tr>
      <w:tr w:rsidR="00E456C3" w:rsidRPr="00443C3D" w:rsidTr="00B61C24">
        <w:trPr>
          <w:trHeight w:val="688"/>
          <w:jc w:val="center"/>
        </w:trPr>
        <w:tc>
          <w:tcPr>
            <w:tcW w:w="3111" w:type="dxa"/>
            <w:tcBorders>
              <w:top w:val="single" w:sz="6" w:space="0" w:color="auto"/>
              <w:bottom w:val="single" w:sz="4"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lastRenderedPageBreak/>
              <w:t>Acceso:</w:t>
            </w:r>
          </w:p>
        </w:tc>
        <w:tc>
          <w:tcPr>
            <w:tcW w:w="5386" w:type="dxa"/>
            <w:tcBorders>
              <w:top w:val="single" w:sz="6" w:space="0" w:color="auto"/>
              <w:bottom w:val="single" w:sz="4" w:space="0" w:color="auto"/>
            </w:tcBorders>
          </w:tcPr>
          <w:p w:rsidR="00E456C3" w:rsidRPr="00443C3D" w:rsidRDefault="00E456C3" w:rsidP="00896614">
            <w:pPr>
              <w:spacing w:after="0"/>
              <w:ind w:right="49"/>
              <w:jc w:val="both"/>
              <w:rPr>
                <w:rFonts w:ascii="ITC Avant Garde" w:hAnsi="ITC Avant Garde"/>
                <w:sz w:val="20"/>
                <w:szCs w:val="20"/>
                <w:u w:val="single"/>
                <w:lang w:val="es-ES_tradnl"/>
              </w:rPr>
            </w:pPr>
            <w:r w:rsidRPr="00443C3D">
              <w:rPr>
                <w:rFonts w:ascii="ITC Avant Garde" w:hAnsi="ITC Avant Garde"/>
                <w:sz w:val="20"/>
                <w:szCs w:val="20"/>
                <w:lang w:val="es-ES_tradnl"/>
              </w:rPr>
              <w:t>7X24 horas todos los días del año atendiendo los procedimientos que para ello establezcan los concesionarios.</w:t>
            </w:r>
            <w:r w:rsidRPr="00443C3D">
              <w:rPr>
                <w:rFonts w:ascii="ITC Avant Garde" w:hAnsi="ITC Avant Garde"/>
                <w:sz w:val="20"/>
                <w:szCs w:val="20"/>
                <w:u w:val="single"/>
                <w:lang w:val="es-ES_tradnl"/>
              </w:rPr>
              <w:t xml:space="preserve"> </w:t>
            </w:r>
          </w:p>
        </w:tc>
      </w:tr>
      <w:tr w:rsidR="00E456C3" w:rsidRPr="00443C3D" w:rsidTr="00B61C24">
        <w:trPr>
          <w:trHeight w:val="875"/>
          <w:jc w:val="center"/>
        </w:trPr>
        <w:tc>
          <w:tcPr>
            <w:tcW w:w="3111" w:type="dxa"/>
            <w:tcBorders>
              <w:top w:val="single" w:sz="4" w:space="0" w:color="auto"/>
              <w:left w:val="single" w:sz="4" w:space="0" w:color="auto"/>
              <w:bottom w:val="single" w:sz="4"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Contactos eléctricos:</w:t>
            </w:r>
          </w:p>
        </w:tc>
        <w:tc>
          <w:tcPr>
            <w:tcW w:w="5386" w:type="dxa"/>
            <w:tcBorders>
              <w:top w:val="single" w:sz="4" w:space="0" w:color="auto"/>
              <w:bottom w:val="single" w:sz="4" w:space="0" w:color="auto"/>
              <w:right w:val="single" w:sz="4"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 xml:space="preserve">2 contactos dobles polarizados de 127 V </w:t>
            </w:r>
            <w:r w:rsidRPr="00443C3D">
              <w:rPr>
                <w:rFonts w:ascii="ITC Avant Garde" w:hAnsi="ITC Avant Garde"/>
                <w:sz w:val="20"/>
                <w:szCs w:val="20"/>
                <w:u w:val="single"/>
                <w:lang w:val="es-ES_tradnl"/>
              </w:rPr>
              <w:t>+</w:t>
            </w:r>
            <w:r w:rsidRPr="00443C3D">
              <w:rPr>
                <w:rFonts w:ascii="ITC Avant Garde" w:hAnsi="ITC Avant Garde"/>
                <w:sz w:val="20"/>
                <w:szCs w:val="20"/>
                <w:lang w:val="es-ES_tradnl"/>
              </w:rPr>
              <w:t xml:space="preserve"> 10%, los cuales soportan un máximo de 180 VA con energía no regulada y sin respaldo.</w:t>
            </w:r>
          </w:p>
        </w:tc>
      </w:tr>
      <w:tr w:rsidR="00E456C3" w:rsidRPr="00443C3D" w:rsidTr="00B61C24">
        <w:trPr>
          <w:trHeight w:val="313"/>
          <w:jc w:val="center"/>
        </w:trPr>
        <w:tc>
          <w:tcPr>
            <w:tcW w:w="3111" w:type="dxa"/>
            <w:tcBorders>
              <w:top w:val="single" w:sz="4" w:space="0" w:color="auto"/>
              <w:bottom w:val="nil"/>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Corriente Directa:</w:t>
            </w:r>
          </w:p>
        </w:tc>
        <w:tc>
          <w:tcPr>
            <w:tcW w:w="5386" w:type="dxa"/>
            <w:tcBorders>
              <w:top w:val="single" w:sz="4" w:space="0" w:color="auto"/>
              <w:bottom w:val="nil"/>
            </w:tcBorders>
          </w:tcPr>
          <w:p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 xml:space="preserve"> - 48 VCD, +20%, -15%, 4 horas mínimo de respaldo.</w:t>
            </w:r>
          </w:p>
        </w:tc>
      </w:tr>
      <w:tr w:rsidR="00E456C3" w:rsidRPr="00443C3D" w:rsidTr="00B61C24">
        <w:trPr>
          <w:trHeight w:val="362"/>
          <w:jc w:val="center"/>
        </w:trPr>
        <w:tc>
          <w:tcPr>
            <w:tcW w:w="3111" w:type="dxa"/>
            <w:tcBorders>
              <w:top w:val="single" w:sz="6" w:space="0" w:color="auto"/>
              <w:bottom w:val="single" w:sz="4"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Planta de Emergencia:</w:t>
            </w:r>
          </w:p>
        </w:tc>
        <w:tc>
          <w:tcPr>
            <w:tcW w:w="5386" w:type="dxa"/>
            <w:tcBorders>
              <w:top w:val="single" w:sz="6" w:space="0" w:color="auto"/>
              <w:bottom w:val="single" w:sz="4" w:space="0" w:color="auto"/>
            </w:tcBorders>
          </w:tcPr>
          <w:p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Como respaldo de la instalación.</w:t>
            </w:r>
          </w:p>
        </w:tc>
      </w:tr>
      <w:tr w:rsidR="00E456C3" w:rsidRPr="00443C3D" w:rsidTr="00B61C24">
        <w:trPr>
          <w:trHeight w:val="854"/>
          <w:jc w:val="center"/>
        </w:trPr>
        <w:tc>
          <w:tcPr>
            <w:tcW w:w="3111" w:type="dxa"/>
            <w:tcBorders>
              <w:top w:val="single" w:sz="4" w:space="0" w:color="auto"/>
              <w:left w:val="single" w:sz="4" w:space="0" w:color="auto"/>
              <w:bottom w:val="single" w:sz="4" w:space="0" w:color="auto"/>
              <w:right w:val="nil"/>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Firme de concreto 400 Kg/m</w:t>
            </w:r>
            <w:r w:rsidRPr="00443C3D">
              <w:rPr>
                <w:rFonts w:ascii="ITC Avant Garde" w:hAnsi="ITC Avant Garde"/>
                <w:sz w:val="20"/>
                <w:szCs w:val="20"/>
                <w:vertAlign w:val="superscript"/>
                <w:lang w:val="es-ES_tradnl"/>
              </w:rPr>
              <w:t>2</w:t>
            </w:r>
            <w:r w:rsidRPr="00443C3D">
              <w:rPr>
                <w:rFonts w:ascii="ITC Avant Garde" w:hAnsi="ITC Avant Garde"/>
                <w:sz w:val="20"/>
                <w:szCs w:val="20"/>
                <w:lang w:val="es-ES_tradnl"/>
              </w:rPr>
              <w:t>, sin ondulaciones, máximo 3 mm de desnivel, cubierto con loseta vinílica.</w:t>
            </w:r>
          </w:p>
        </w:tc>
      </w:tr>
      <w:tr w:rsidR="00E456C3" w:rsidRPr="00443C3D" w:rsidTr="00B61C24">
        <w:trPr>
          <w:trHeight w:val="555"/>
          <w:jc w:val="center"/>
        </w:trPr>
        <w:tc>
          <w:tcPr>
            <w:tcW w:w="3111" w:type="dxa"/>
            <w:tcBorders>
              <w:top w:val="single" w:sz="4" w:space="0" w:color="auto"/>
              <w:bottom w:val="single" w:sz="6"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Altura libre:</w:t>
            </w:r>
          </w:p>
        </w:tc>
        <w:tc>
          <w:tcPr>
            <w:tcW w:w="5386" w:type="dxa"/>
            <w:tcBorders>
              <w:top w:val="single" w:sz="4" w:space="0" w:color="auto"/>
              <w:bottom w:val="single" w:sz="6"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3.0 m para instalación de equipo. Los ductos y escalerillas estarán dentro de esta altura (2.40 m)</w:t>
            </w:r>
          </w:p>
        </w:tc>
      </w:tr>
      <w:tr w:rsidR="00E456C3" w:rsidRPr="00443C3D" w:rsidTr="00B61C24">
        <w:trPr>
          <w:trHeight w:val="827"/>
          <w:jc w:val="center"/>
        </w:trPr>
        <w:tc>
          <w:tcPr>
            <w:tcW w:w="3111" w:type="dxa"/>
            <w:tcBorders>
              <w:top w:val="single" w:sz="6" w:space="0" w:color="auto"/>
              <w:bottom w:val="single" w:sz="4"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Sistema de tierras:</w:t>
            </w:r>
          </w:p>
        </w:tc>
        <w:tc>
          <w:tcPr>
            <w:tcW w:w="5386" w:type="dxa"/>
            <w:tcBorders>
              <w:top w:val="single" w:sz="6" w:space="0" w:color="auto"/>
              <w:bottom w:val="single" w:sz="4"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Conductor principal de puesta a tierra calibre 1/0 AWG con derivación a cada local con cable calibre 6 AWG con un valor máximo de 5 ohms.</w:t>
            </w:r>
          </w:p>
        </w:tc>
      </w:tr>
      <w:tr w:rsidR="00E456C3" w:rsidRPr="00443C3D" w:rsidTr="00B61C24">
        <w:trPr>
          <w:trHeight w:val="560"/>
          <w:jc w:val="center"/>
        </w:trPr>
        <w:tc>
          <w:tcPr>
            <w:tcW w:w="3111" w:type="dxa"/>
            <w:tcBorders>
              <w:top w:val="single" w:sz="4" w:space="0" w:color="auto"/>
              <w:bottom w:val="single" w:sz="4"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Temperatura:</w:t>
            </w:r>
          </w:p>
        </w:tc>
        <w:tc>
          <w:tcPr>
            <w:tcW w:w="5386" w:type="dxa"/>
            <w:tcBorders>
              <w:top w:val="single" w:sz="4" w:space="0" w:color="auto"/>
              <w:bottom w:val="single" w:sz="4"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Entre 10 y 25 °C y una humedad relativa entre 40% a 60%.</w:t>
            </w:r>
          </w:p>
        </w:tc>
      </w:tr>
      <w:tr w:rsidR="00E456C3" w:rsidRPr="00443C3D" w:rsidTr="00B61C24">
        <w:trPr>
          <w:trHeight w:val="838"/>
          <w:jc w:val="center"/>
        </w:trPr>
        <w:tc>
          <w:tcPr>
            <w:tcW w:w="3111" w:type="dxa"/>
            <w:tcBorders>
              <w:top w:val="single" w:sz="4" w:space="0" w:color="auto"/>
              <w:bottom w:val="single" w:sz="6" w:space="0" w:color="auto"/>
            </w:tcBorders>
          </w:tcPr>
          <w:p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Iluminación:</w:t>
            </w:r>
          </w:p>
        </w:tc>
        <w:tc>
          <w:tcPr>
            <w:tcW w:w="5386" w:type="dxa"/>
            <w:tcBorders>
              <w:top w:val="single" w:sz="4" w:space="0" w:color="auto"/>
              <w:bottom w:val="single" w:sz="6"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Iluminación general de sala de 300 luxes medidos en forma vertical bajo la lámpara en la parte anterior y posterior del equipo instalado.</w:t>
            </w:r>
          </w:p>
        </w:tc>
      </w:tr>
      <w:tr w:rsidR="00E456C3" w:rsidRPr="00443C3D" w:rsidTr="00B61C24">
        <w:trPr>
          <w:trHeight w:val="1115"/>
          <w:jc w:val="center"/>
        </w:trPr>
        <w:tc>
          <w:tcPr>
            <w:tcW w:w="3111" w:type="dxa"/>
            <w:tcBorders>
              <w:top w:val="single" w:sz="6" w:space="0" w:color="auto"/>
              <w:bottom w:val="nil"/>
            </w:tcBorders>
          </w:tcPr>
          <w:p w:rsidR="00E456C3" w:rsidRPr="00443C3D" w:rsidRDefault="00E456C3" w:rsidP="00E456C3">
            <w:pPr>
              <w:keepNext/>
              <w:keepLines/>
              <w:numPr>
                <w:ilvl w:val="0"/>
                <w:numId w:val="4"/>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Herraje y/o ductería:</w:t>
            </w:r>
          </w:p>
        </w:tc>
        <w:tc>
          <w:tcPr>
            <w:tcW w:w="5386" w:type="dxa"/>
            <w:tcBorders>
              <w:top w:val="single" w:sz="6" w:space="0" w:color="auto"/>
              <w:bottom w:val="nil"/>
            </w:tcBorders>
          </w:tcPr>
          <w:p w:rsidR="00E456C3" w:rsidRPr="00443C3D" w:rsidRDefault="00E456C3" w:rsidP="00896614">
            <w:pPr>
              <w:keepNext/>
              <w:keepLines/>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Provisto por el propietario del edificio, para conectar el punto de llegada al edificio con las áreas asignadas y con otras coubicaciones en caso de requerirse.</w:t>
            </w:r>
          </w:p>
        </w:tc>
      </w:tr>
      <w:tr w:rsidR="00E456C3" w:rsidRPr="00443C3D" w:rsidTr="008E6DC2">
        <w:trPr>
          <w:trHeight w:val="564"/>
          <w:jc w:val="center"/>
        </w:trPr>
        <w:tc>
          <w:tcPr>
            <w:tcW w:w="3111" w:type="dxa"/>
            <w:tcBorders>
              <w:top w:val="single" w:sz="6" w:space="0" w:color="auto"/>
              <w:bottom w:val="nil"/>
            </w:tcBorders>
          </w:tcPr>
          <w:p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 xml:space="preserve"> Acceso por mantenimiento:</w:t>
            </w:r>
          </w:p>
        </w:tc>
        <w:tc>
          <w:tcPr>
            <w:tcW w:w="5386" w:type="dxa"/>
            <w:tcBorders>
              <w:top w:val="single" w:sz="6" w:space="0" w:color="auto"/>
              <w:bottom w:val="nil"/>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Avisar previamente al centro de control de la Red.</w:t>
            </w:r>
          </w:p>
        </w:tc>
      </w:tr>
      <w:tr w:rsidR="00E456C3" w:rsidRPr="00443C3D" w:rsidTr="00B61C24">
        <w:trPr>
          <w:trHeight w:val="348"/>
          <w:jc w:val="center"/>
        </w:trPr>
        <w:tc>
          <w:tcPr>
            <w:tcW w:w="3111" w:type="dxa"/>
            <w:tcBorders>
              <w:top w:val="single" w:sz="6" w:space="0" w:color="auto"/>
              <w:bottom w:val="single" w:sz="6" w:space="0" w:color="auto"/>
            </w:tcBorders>
          </w:tcPr>
          <w:p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Fijación del Equipo:</w:t>
            </w:r>
          </w:p>
        </w:tc>
        <w:tc>
          <w:tcPr>
            <w:tcW w:w="5386" w:type="dxa"/>
            <w:tcBorders>
              <w:top w:val="single" w:sz="6" w:space="0" w:color="auto"/>
              <w:bottom w:val="single" w:sz="6" w:space="0" w:color="auto"/>
            </w:tcBorders>
          </w:tcPr>
          <w:p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 xml:space="preserve">Anclaje a piso y/o techo de común acuerdo. </w:t>
            </w:r>
          </w:p>
        </w:tc>
      </w:tr>
      <w:tr w:rsidR="00E456C3" w:rsidRPr="00443C3D" w:rsidTr="00B61C24">
        <w:trPr>
          <w:trHeight w:val="835"/>
          <w:jc w:val="center"/>
        </w:trPr>
        <w:tc>
          <w:tcPr>
            <w:tcW w:w="3111" w:type="dxa"/>
            <w:tcBorders>
              <w:top w:val="nil"/>
              <w:bottom w:val="single" w:sz="6" w:space="0" w:color="auto"/>
            </w:tcBorders>
          </w:tcPr>
          <w:p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Identificación de Alimentación:</w:t>
            </w:r>
          </w:p>
        </w:tc>
        <w:tc>
          <w:tcPr>
            <w:tcW w:w="5386" w:type="dxa"/>
            <w:tcBorders>
              <w:top w:val="nil"/>
              <w:bottom w:val="single" w:sz="6" w:space="0" w:color="auto"/>
            </w:tcBorders>
          </w:tcPr>
          <w:p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Identificación de los interruptores termomagnéticos asignados a los Concesionarios en el tablero general de CA.</w:t>
            </w:r>
          </w:p>
        </w:tc>
      </w:tr>
    </w:tbl>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rPr>
      </w:pPr>
      <w:r w:rsidRPr="00443C3D">
        <w:rPr>
          <w:rFonts w:ascii="ITC Avant Garde" w:hAnsi="ITC Avant Garde"/>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49"/>
        <w:jc w:val="both"/>
        <w:rPr>
          <w:rFonts w:ascii="ITC Avant Garde" w:hAnsi="ITC Avant Garde" w:cs="Segoe UI"/>
          <w:color w:val="1A1A1A"/>
        </w:rPr>
      </w:pPr>
      <w:r w:rsidRPr="00443C3D">
        <w:rPr>
          <w:rFonts w:ascii="ITC Avant Garde" w:hAnsi="ITC Avant Garde"/>
        </w:rPr>
        <w:t xml:space="preserve">En términos de la regulación de preponderancia, en caso de que el </w:t>
      </w:r>
      <w:r w:rsidRPr="00443C3D">
        <w:rPr>
          <w:rFonts w:ascii="ITC Avant Garde" w:hAnsi="ITC Avant Garde" w:cs="Segoe UI"/>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w:t>
      </w:r>
      <w:r w:rsidRPr="00443C3D">
        <w:rPr>
          <w:rFonts w:ascii="ITC Avant Garde" w:hAnsi="ITC Avant Garde" w:cs="Segoe UI"/>
          <w:color w:val="1A1A1A"/>
        </w:rPr>
        <w:lastRenderedPageBreak/>
        <w:t xml:space="preserve">punto con la red del Concesionario Solicitante que así se lo requiera, </w:t>
      </w:r>
      <w:r w:rsidRPr="00443C3D">
        <w:t xml:space="preserve"> </w:t>
      </w:r>
      <w:r w:rsidRPr="00443C3D">
        <w:rPr>
          <w:rFonts w:ascii="ITC Avant Garde" w:hAnsi="ITC Avant Garde" w:cs="Segoe UI"/>
          <w:color w:val="1A1A1A"/>
        </w:rPr>
        <w:t>siempre y cuando los Puntos de Interconexión IP definidos para ambos integrantes coincidan en el mismo domicilio (inmueble).</w:t>
      </w:r>
    </w:p>
    <w:p w:rsidR="00E456C3" w:rsidRPr="00443C3D" w:rsidRDefault="00E456C3" w:rsidP="00E456C3">
      <w:pPr>
        <w:spacing w:after="0"/>
        <w:ind w:right="49"/>
        <w:jc w:val="both"/>
        <w:rPr>
          <w:rFonts w:ascii="ITC Avant Garde" w:hAnsi="ITC Avant Garde"/>
        </w:rPr>
      </w:pPr>
    </w:p>
    <w:p w:rsidR="00E456C3" w:rsidRPr="00443C3D" w:rsidRDefault="00E456C3" w:rsidP="00E456C3">
      <w:pPr>
        <w:spacing w:after="0"/>
        <w:ind w:right="51"/>
        <w:jc w:val="both"/>
        <w:rPr>
          <w:rFonts w:ascii="ITC Avant Garde" w:hAnsi="ITC Avant Garde"/>
        </w:rPr>
      </w:pPr>
      <w:r w:rsidRPr="00443C3D">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rsidR="003B5107" w:rsidRPr="00443C3D" w:rsidRDefault="003B5107" w:rsidP="003B5107">
      <w:pPr>
        <w:spacing w:after="0" w:line="276" w:lineRule="auto"/>
        <w:ind w:right="49"/>
        <w:jc w:val="both"/>
        <w:rPr>
          <w:rFonts w:ascii="ITC Avant Garde" w:hAnsi="ITC Avant Garde" w:cs="Arial"/>
          <w:snapToGrid w:val="0"/>
          <w:color w:val="000000"/>
        </w:rPr>
      </w:pPr>
    </w:p>
    <w:p w:rsidR="003B5107" w:rsidRPr="00443C3D" w:rsidRDefault="003B5107" w:rsidP="003B5107">
      <w:pPr>
        <w:pStyle w:val="ANOTACION"/>
        <w:spacing w:before="0" w:after="0" w:line="276" w:lineRule="auto"/>
        <w:ind w:right="49"/>
      </w:pPr>
      <w:r w:rsidRPr="00443C3D">
        <w:rPr>
          <w:rFonts w:ascii="ITC Avant Garde" w:hAnsi="ITC Avant Garde"/>
          <w:sz w:val="22"/>
          <w:szCs w:val="22"/>
        </w:rPr>
        <w:t>CAPITULO IV</w:t>
      </w:r>
    </w:p>
    <w:p w:rsidR="003B5107" w:rsidRPr="00443C3D" w:rsidRDefault="003B5107" w:rsidP="003B5107">
      <w:pPr>
        <w:spacing w:after="0" w:line="276" w:lineRule="auto"/>
        <w:ind w:right="51"/>
        <w:jc w:val="center"/>
        <w:rPr>
          <w:rFonts w:ascii="ITC Avant Garde" w:hAnsi="ITC Avant Garde"/>
        </w:rPr>
      </w:pPr>
      <w:r w:rsidRPr="00443C3D">
        <w:rPr>
          <w:rFonts w:ascii="ITC Avant Garde" w:hAnsi="ITC Avant Garde"/>
          <w:b/>
        </w:rPr>
        <w:t>Tarifas</w:t>
      </w:r>
      <w:r w:rsidR="00DA4B7C" w:rsidRPr="00443C3D">
        <w:rPr>
          <w:rFonts w:ascii="ITC Avant Garde" w:hAnsi="ITC Avant Garde"/>
          <w:b/>
        </w:rPr>
        <w:t xml:space="preserve"> de los Servicios </w:t>
      </w:r>
      <w:r w:rsidR="00464540" w:rsidRPr="00443C3D">
        <w:rPr>
          <w:rFonts w:ascii="ITC Avant Garde" w:hAnsi="ITC Avant Garde"/>
          <w:b/>
        </w:rPr>
        <w:t>Conmutados de Interconexión</w:t>
      </w:r>
    </w:p>
    <w:p w:rsidR="003B5107" w:rsidRPr="00443C3D" w:rsidRDefault="003B5107" w:rsidP="00226332">
      <w:pPr>
        <w:pStyle w:val="Prrafodelista"/>
        <w:spacing w:after="0" w:line="276" w:lineRule="auto"/>
        <w:ind w:left="0"/>
        <w:contextualSpacing w:val="0"/>
        <w:jc w:val="both"/>
        <w:rPr>
          <w:rFonts w:ascii="ITC Avant Garde" w:hAnsi="ITC Avant Garde"/>
          <w:b/>
          <w:lang w:val="es-ES"/>
        </w:rPr>
      </w:pPr>
    </w:p>
    <w:p w:rsidR="00226332" w:rsidRPr="00443C3D" w:rsidRDefault="00692D54" w:rsidP="00226332">
      <w:pPr>
        <w:pStyle w:val="Prrafodelista"/>
        <w:spacing w:after="0" w:line="276" w:lineRule="auto"/>
        <w:ind w:left="0"/>
        <w:contextualSpacing w:val="0"/>
        <w:jc w:val="both"/>
        <w:rPr>
          <w:rFonts w:ascii="ITC Avant Garde" w:hAnsi="ITC Avant Garde"/>
          <w:spacing w:val="-4"/>
          <w:lang w:val="es-ES"/>
        </w:rPr>
      </w:pPr>
      <w:r w:rsidRPr="00443C3D">
        <w:rPr>
          <w:rFonts w:ascii="ITC Avant Garde" w:hAnsi="ITC Avant Garde"/>
          <w:b/>
          <w:lang w:val="es-ES"/>
        </w:rPr>
        <w:t>Décima. -</w:t>
      </w:r>
      <w:r w:rsidR="00226332" w:rsidRPr="00443C3D">
        <w:rPr>
          <w:rFonts w:ascii="ITC Avant Garde" w:hAnsi="ITC Avant Garde"/>
          <w:b/>
          <w:lang w:val="es-ES"/>
        </w:rPr>
        <w:t xml:space="preserve"> </w:t>
      </w:r>
      <w:r w:rsidR="00226332" w:rsidRPr="00443C3D">
        <w:rPr>
          <w:rFonts w:ascii="ITC Avant Garde" w:hAnsi="ITC Avant Garde"/>
          <w:lang w:val="es-ES"/>
        </w:rPr>
        <w:t>De conformidad con lo señalado en los Lineamientos Tercero y Cuarto de la Metodología de Costos</w:t>
      </w:r>
      <w:r w:rsidR="00226332" w:rsidRPr="00443C3D">
        <w:rPr>
          <w:rFonts w:ascii="ITC Avant Garde" w:hAnsi="ITC Avant Garde"/>
          <w:b/>
          <w:lang w:val="es-ES"/>
        </w:rPr>
        <w:t xml:space="preserve"> </w:t>
      </w:r>
      <w:r w:rsidR="00226332" w:rsidRPr="00443C3D">
        <w:rPr>
          <w:rFonts w:ascii="ITC Avant Garde" w:hAnsi="ITC Avant Garde"/>
          <w:lang w:val="es-ES"/>
        </w:rPr>
        <w:t xml:space="preserve">para los servicios de conducción de </w:t>
      </w:r>
      <w:r w:rsidR="00867DD3" w:rsidRPr="00443C3D">
        <w:rPr>
          <w:rFonts w:ascii="ITC Avant Garde" w:hAnsi="ITC Avant Garde"/>
          <w:lang w:val="es-ES"/>
        </w:rPr>
        <w:t>tráfico,</w:t>
      </w:r>
      <w:r w:rsidR="00226332" w:rsidRPr="00443C3D">
        <w:rPr>
          <w:rFonts w:ascii="ITC Avant Garde" w:hAnsi="ITC Avant Garde"/>
          <w:lang w:val="es-ES"/>
        </w:rPr>
        <w:t xml:space="preserve"> así como de tránsito se empleará el enfoque de </w:t>
      </w:r>
      <w:r w:rsidR="000D1E11">
        <w:rPr>
          <w:rFonts w:ascii="ITC Avant Garde" w:hAnsi="ITC Avant Garde"/>
          <w:lang w:val="es-ES"/>
        </w:rPr>
        <w:t>Costos Incrementales de Largo Plazo Puros (</w:t>
      </w:r>
      <w:r w:rsidR="00226332" w:rsidRPr="00443C3D">
        <w:rPr>
          <w:rFonts w:ascii="ITC Avant Garde" w:hAnsi="ITC Avant Garde"/>
          <w:lang w:val="es-ES"/>
        </w:rPr>
        <w:t>CILP</w:t>
      </w:r>
      <w:r w:rsidR="000D1E11">
        <w:rPr>
          <w:rFonts w:ascii="ITC Avant Garde" w:hAnsi="ITC Avant Garde"/>
          <w:lang w:val="es-ES"/>
        </w:rPr>
        <w:t>)</w:t>
      </w:r>
      <w:r w:rsidR="00226332" w:rsidRPr="00443C3D">
        <w:rPr>
          <w:rFonts w:ascii="ITC Avant Garde" w:hAnsi="ITC Avant Garde"/>
          <w:lang w:val="es-ES"/>
        </w:rPr>
        <w:t xml:space="preserve"> </w:t>
      </w:r>
      <w:r w:rsidR="000848A4" w:rsidRPr="00443C3D">
        <w:rPr>
          <w:rFonts w:ascii="ITC Avant Garde" w:hAnsi="ITC Avant Garde"/>
          <w:lang w:val="es-ES"/>
        </w:rPr>
        <w:t>para la determinación de tarifas</w:t>
      </w:r>
      <w:r w:rsidR="00226332" w:rsidRPr="00443C3D">
        <w:rPr>
          <w:rFonts w:ascii="ITC Avant Garde" w:hAnsi="ITC Avant Garde"/>
          <w:lang w:val="es-ES"/>
        </w:rPr>
        <w:t xml:space="preserve">, es así que el modelo de costos fijo (en lo sucesivo, el “Modelo Fijo”) y el modelo de costos móvil (en lo sucesivo, el “Modelo Móvil”), se construirán con base en este principio. </w:t>
      </w:r>
    </w:p>
    <w:p w:rsidR="00226332" w:rsidRPr="00443C3D" w:rsidRDefault="00226332" w:rsidP="00226332">
      <w:pPr>
        <w:spacing w:after="0" w:line="276" w:lineRule="auto"/>
        <w:rPr>
          <w:rFonts w:ascii="ITC Avant Garde" w:hAnsi="ITC Avant Garde"/>
          <w:sz w:val="16"/>
          <w:szCs w:val="16"/>
          <w:lang w:val="es-ES"/>
        </w:rPr>
      </w:pPr>
    </w:p>
    <w:p w:rsidR="00226332" w:rsidRPr="00443C3D" w:rsidRDefault="003B5107" w:rsidP="003B5107">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1</w:t>
      </w:r>
      <w:r w:rsidR="00226332" w:rsidRPr="00443C3D">
        <w:rPr>
          <w:rFonts w:ascii="ITC Avant Garde" w:eastAsia="Times New Roman" w:hAnsi="ITC Avant Garde"/>
          <w:b/>
          <w:szCs w:val="24"/>
          <w:lang w:eastAsia="es-ES"/>
        </w:rPr>
        <w:t>.1</w:t>
      </w:r>
      <w:r w:rsidR="00226332" w:rsidRPr="00443C3D">
        <w:rPr>
          <w:rFonts w:ascii="ITC Avant Garde" w:eastAsia="Times New Roman" w:hAnsi="ITC Avant Garde"/>
          <w:sz w:val="16"/>
          <w:szCs w:val="24"/>
          <w:lang w:val="es-ES" w:eastAsia="es-ES"/>
        </w:rPr>
        <w:t xml:space="preserve"> </w:t>
      </w:r>
      <w:r w:rsidR="00226332" w:rsidRPr="00443C3D">
        <w:rPr>
          <w:rFonts w:ascii="ITC Avant Garde" w:eastAsia="Times New Roman" w:hAnsi="ITC Avant Garde"/>
          <w:b/>
          <w:szCs w:val="24"/>
          <w:lang w:eastAsia="es-ES"/>
        </w:rPr>
        <w:t>Aspectos del concesionario.</w:t>
      </w:r>
    </w:p>
    <w:p w:rsidR="00226332" w:rsidRPr="00443C3D" w:rsidRDefault="00226332" w:rsidP="00226332">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Tipo de concesionario.</w:t>
      </w:r>
    </w:p>
    <w:p w:rsidR="00692D54" w:rsidRPr="00443C3D" w:rsidRDefault="00692D54" w:rsidP="00692D54">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rsidR="00692D54" w:rsidRPr="00443C3D" w:rsidRDefault="00692D54" w:rsidP="00692D54">
      <w:pPr>
        <w:tabs>
          <w:tab w:val="left" w:pos="1515"/>
        </w:tabs>
        <w:spacing w:after="0" w:line="276" w:lineRule="auto"/>
        <w:jc w:val="both"/>
        <w:rPr>
          <w:rFonts w:ascii="ITC Avant Garde" w:eastAsia="Times New Roman" w:hAnsi="ITC Avant Garde"/>
          <w:sz w:val="16"/>
          <w:szCs w:val="24"/>
          <w:lang w:val="es-ES" w:eastAsia="es-ES"/>
        </w:rPr>
      </w:pPr>
      <w:r w:rsidRPr="00443C3D">
        <w:rPr>
          <w:rFonts w:ascii="ITC Avant Garde" w:eastAsia="Times New Roman" w:hAnsi="ITC Avant Garde"/>
          <w:sz w:val="16"/>
          <w:szCs w:val="24"/>
          <w:lang w:val="es-ES" w:eastAsia="es-ES"/>
        </w:rPr>
        <w:tab/>
      </w: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Existen en el ámbito internacional las siguientes opciones para definir el tipo de concesionario:</w:t>
      </w:r>
    </w:p>
    <w:p w:rsidR="00692D54" w:rsidRPr="00443C3D" w:rsidRDefault="00692D54" w:rsidP="00692D54">
      <w:pPr>
        <w:spacing w:after="0" w:line="276" w:lineRule="auto"/>
        <w:ind w:left="426"/>
        <w:jc w:val="both"/>
        <w:rPr>
          <w:rFonts w:ascii="ITC Avant Garde" w:eastAsia="Times New Roman" w:hAnsi="ITC Avant Garde"/>
          <w:szCs w:val="24"/>
          <w:lang w:eastAsia="es-ES"/>
        </w:rPr>
      </w:pPr>
    </w:p>
    <w:p w:rsidR="00692D54" w:rsidRPr="00443C3D" w:rsidRDefault="00692D54" w:rsidP="00692D54">
      <w:pPr>
        <w:numPr>
          <w:ilvl w:val="0"/>
          <w:numId w:val="15"/>
        </w:numPr>
        <w:tabs>
          <w:tab w:val="num" w:pos="709"/>
        </w:tabs>
        <w:spacing w:after="0" w:line="276" w:lineRule="auto"/>
        <w:ind w:left="709"/>
        <w:jc w:val="both"/>
        <w:rPr>
          <w:rFonts w:ascii="ITC Avant Garde" w:hAnsi="ITC Avant Garde"/>
          <w:spacing w:val="-4"/>
          <w:lang w:val="es-ES"/>
        </w:rPr>
      </w:pPr>
      <w:r w:rsidRPr="00443C3D">
        <w:rPr>
          <w:rFonts w:ascii="ITC Avant Garde" w:hAnsi="ITC Avant Garde"/>
          <w:b/>
          <w:spacing w:val="-4"/>
          <w:lang w:val="es-ES"/>
        </w:rPr>
        <w:t xml:space="preserve">Concesionarios existentes – </w:t>
      </w:r>
      <w:r w:rsidRPr="00443C3D">
        <w:rPr>
          <w:rFonts w:ascii="ITC Avant Garde" w:hAnsi="ITC Avant Garde"/>
          <w:spacing w:val="-4"/>
          <w:lang w:val="es-ES"/>
        </w:rPr>
        <w:t>se calculan los costos de todos los concesionarios que prestan servicios en el mercado.</w:t>
      </w:r>
    </w:p>
    <w:p w:rsidR="00692D54" w:rsidRPr="00443C3D" w:rsidRDefault="00692D54" w:rsidP="00692D54">
      <w:pPr>
        <w:numPr>
          <w:ilvl w:val="0"/>
          <w:numId w:val="15"/>
        </w:numPr>
        <w:tabs>
          <w:tab w:val="num" w:pos="709"/>
        </w:tabs>
        <w:spacing w:after="0" w:line="276" w:lineRule="auto"/>
        <w:ind w:left="709"/>
        <w:jc w:val="both"/>
        <w:rPr>
          <w:rFonts w:ascii="ITC Avant Garde" w:hAnsi="ITC Avant Garde"/>
          <w:lang w:val="es-ES"/>
        </w:rPr>
      </w:pPr>
      <w:r w:rsidRPr="00443C3D">
        <w:rPr>
          <w:rFonts w:ascii="ITC Avant Garde" w:hAnsi="ITC Avant Garde"/>
          <w:b/>
          <w:lang w:val="es-ES"/>
        </w:rPr>
        <w:t xml:space="preserve">Concesionario promedio – </w:t>
      </w:r>
      <w:r w:rsidRPr="00443C3D">
        <w:rPr>
          <w:rFonts w:ascii="ITC Avant Garde" w:hAnsi="ITC Avant Garde"/>
          <w:lang w:val="es-ES"/>
        </w:rPr>
        <w:t>se promedian los costos de todos los concesionarios que prestan servicios para cada uno de los mercados (fijo y móvil) para definir un operador ‘típico’.</w:t>
      </w:r>
    </w:p>
    <w:p w:rsidR="00692D54" w:rsidRPr="00443C3D" w:rsidRDefault="00692D54" w:rsidP="00692D54">
      <w:pPr>
        <w:numPr>
          <w:ilvl w:val="0"/>
          <w:numId w:val="15"/>
        </w:numPr>
        <w:tabs>
          <w:tab w:val="num" w:pos="709"/>
        </w:tabs>
        <w:spacing w:after="0" w:line="276" w:lineRule="auto"/>
        <w:ind w:left="709"/>
        <w:jc w:val="both"/>
        <w:rPr>
          <w:rFonts w:ascii="ITC Avant Garde" w:hAnsi="ITC Avant Garde"/>
          <w:b/>
          <w:bCs/>
          <w:lang w:val="es-ES"/>
        </w:rPr>
      </w:pPr>
      <w:r w:rsidRPr="00443C3D">
        <w:rPr>
          <w:rFonts w:ascii="ITC Avant Garde" w:hAnsi="ITC Avant Garde"/>
          <w:b/>
          <w:lang w:val="es-ES"/>
        </w:rPr>
        <w:t xml:space="preserve">Concesionario hipotético– </w:t>
      </w:r>
      <w:r w:rsidRPr="00443C3D">
        <w:rPr>
          <w:rFonts w:ascii="ITC Avant Garde" w:hAnsi="ITC Avant Garde"/>
          <w:lang w:val="es-ES"/>
        </w:rPr>
        <w:t xml:space="preserve">se define un concesionario con características similares a, o derivadas de, los concesionarios existentes en el mercado pero se ajustan ciertos aspectos hipotéticos como puede ser la fecha de entrada al mercado, la participación de mercado, la tecnología utilizada, el diseño </w:t>
      </w:r>
      <w:r w:rsidRPr="00443C3D">
        <w:rPr>
          <w:rFonts w:ascii="ITC Avant Garde" w:hAnsi="ITC Avant Garde"/>
          <w:lang w:val="es-ES"/>
        </w:rPr>
        <w:lastRenderedPageBreak/>
        <w:t>de red, entre otros, y que alcanza la participación de mercado antes del periodo regulatorio para el cual se calculan los costos.</w:t>
      </w:r>
    </w:p>
    <w:p w:rsidR="00692D54" w:rsidRPr="00443C3D" w:rsidRDefault="00692D54" w:rsidP="00692D54">
      <w:pPr>
        <w:numPr>
          <w:ilvl w:val="0"/>
          <w:numId w:val="17"/>
        </w:numPr>
        <w:tabs>
          <w:tab w:val="num" w:pos="709"/>
        </w:tabs>
        <w:spacing w:after="0" w:line="276" w:lineRule="auto"/>
        <w:ind w:left="709" w:hanging="283"/>
        <w:jc w:val="both"/>
        <w:rPr>
          <w:rFonts w:ascii="ITC Avant Garde" w:hAnsi="ITC Avant Garde"/>
          <w:b/>
          <w:bCs/>
          <w:sz w:val="20"/>
          <w:szCs w:val="20"/>
          <w:lang w:val="es-ES" w:eastAsia="es-ES"/>
        </w:rPr>
      </w:pPr>
      <w:r w:rsidRPr="00443C3D">
        <w:rPr>
          <w:rFonts w:ascii="ITC Avant Garde" w:hAnsi="ITC Avant Garde"/>
          <w:b/>
          <w:lang w:val="es-ES"/>
        </w:rPr>
        <w:t>Nuevo entrante hipotético –</w:t>
      </w:r>
      <w:r w:rsidRPr="00443C3D">
        <w:rPr>
          <w:rFonts w:ascii="ITC Avant Garde" w:hAnsi="ITC Avant Garde"/>
          <w:b/>
          <w:bCs/>
          <w:sz w:val="20"/>
          <w:szCs w:val="20"/>
          <w:lang w:val="es-ES" w:eastAsia="es-ES"/>
        </w:rPr>
        <w:t xml:space="preserve"> </w:t>
      </w:r>
      <w:r w:rsidRPr="00443C3D">
        <w:rPr>
          <w:rFonts w:ascii="ITC Avant Garde" w:hAnsi="ITC Avant Garde"/>
          <w:lang w:val="es-ES"/>
        </w:rPr>
        <w:t>se define un nuevo concesionario que entra al mercado en el año 2017, con una arquitectura de red moderna y que alcanza la participación de mercado eficiente del operador representativo.</w:t>
      </w:r>
    </w:p>
    <w:p w:rsidR="00692D54" w:rsidRPr="00443C3D" w:rsidRDefault="00692D54" w:rsidP="00692D54">
      <w:pPr>
        <w:spacing w:after="0" w:line="276" w:lineRule="auto"/>
        <w:ind w:left="993"/>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Incrementa la complejidad de asegurar que se apliquen principios consistentes si el método se aplicara a modelos individuales para cada operador fijo y móvil.</w:t>
      </w: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Aumenta la dificultad para asegurar cumplir con el principio de eficiencia, debido a que reflejaría las ineficiencias históricas asociadas a la red modelada.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 </w:t>
      </w: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rsidR="00692D54" w:rsidRPr="00443C3D" w:rsidRDefault="00692D54" w:rsidP="00692D54">
      <w:pPr>
        <w:spacing w:after="0" w:line="276" w:lineRule="auto"/>
        <w:jc w:val="both"/>
        <w:rPr>
          <w:rFonts w:ascii="ITC Avant Garde" w:eastAsia="Times New Roman" w:hAnsi="ITC Avant Garde"/>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692D54" w:rsidRPr="00443C3D" w:rsidTr="00867DD3">
        <w:trPr>
          <w:tblHeader/>
          <w:jc w:val="center"/>
        </w:trPr>
        <w:tc>
          <w:tcPr>
            <w:tcW w:w="1559" w:type="dxa"/>
            <w:tcBorders>
              <w:top w:val="single" w:sz="18" w:space="0" w:color="221F72"/>
              <w:left w:val="nil"/>
              <w:bottom w:val="single" w:sz="18" w:space="0" w:color="221F72"/>
              <w:right w:val="nil"/>
            </w:tcBorders>
            <w:shd w:val="solid" w:color="221F72" w:fill="221F72"/>
          </w:tcPr>
          <w:p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3: Nuevo entrante hipotético </w:t>
            </w:r>
          </w:p>
        </w:tc>
      </w:tr>
      <w:tr w:rsidR="00692D54" w:rsidRPr="00443C3D" w:rsidTr="00867DD3">
        <w:trPr>
          <w:jc w:val="center"/>
        </w:trPr>
        <w:tc>
          <w:tcPr>
            <w:tcW w:w="1559" w:type="dxa"/>
            <w:tcBorders>
              <w:top w:val="single" w:sz="18" w:space="0" w:color="221F72"/>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Fecha de lanzamiento</w:t>
            </w:r>
          </w:p>
        </w:tc>
        <w:tc>
          <w:tcPr>
            <w:tcW w:w="2693" w:type="dxa"/>
            <w:tcBorders>
              <w:top w:val="single" w:sz="18" w:space="0" w:color="221F72"/>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Por definición, utilizar 2017 sería consistente para operadores fijos y móviles.</w:t>
            </w:r>
          </w:p>
        </w:tc>
      </w:tr>
      <w:tr w:rsidR="00692D54" w:rsidRPr="00443C3D" w:rsidTr="00867DD3">
        <w:trPr>
          <w:jc w:val="center"/>
        </w:trPr>
        <w:tc>
          <w:tcPr>
            <w:tcW w:w="1559" w:type="dxa"/>
            <w:tcBorders>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Tecnología</w:t>
            </w:r>
          </w:p>
        </w:tc>
        <w:tc>
          <w:tcPr>
            <w:tcW w:w="2693" w:type="dxa"/>
            <w:tcBorders>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Grandes diferencias en tecnología para el operador histórico, alternativos y los operadores de cable por lo que un promedio no sería </w:t>
            </w:r>
            <w:r w:rsidRPr="00443C3D">
              <w:rPr>
                <w:rFonts w:ascii="ITC Avant Garde" w:hAnsi="ITC Avant Garde"/>
                <w:sz w:val="16"/>
                <w:szCs w:val="16"/>
                <w:lang w:val="es-ES"/>
              </w:rPr>
              <w:lastRenderedPageBreak/>
              <w:t>representativo. La tecnología es semejante para tres de los operadores móviles por lo cual es factible..</w:t>
            </w:r>
          </w:p>
        </w:tc>
        <w:tc>
          <w:tcPr>
            <w:tcW w:w="2608" w:type="dxa"/>
            <w:tcBorders>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lastRenderedPageBreak/>
              <w:t xml:space="preserve">La tecnología utilizada por un operador hipotético puede definirse de forma específica, tomando en consideración </w:t>
            </w:r>
            <w:r w:rsidRPr="00443C3D">
              <w:rPr>
                <w:rFonts w:ascii="ITC Avant Garde" w:hAnsi="ITC Avant Garde"/>
                <w:sz w:val="16"/>
                <w:szCs w:val="16"/>
                <w:lang w:val="es-ES"/>
              </w:rPr>
              <w:lastRenderedPageBreak/>
              <w:t>componentes relevantes de las redes existentes.</w:t>
            </w:r>
          </w:p>
        </w:tc>
        <w:tc>
          <w:tcPr>
            <w:tcW w:w="2297" w:type="dxa"/>
            <w:tcBorders>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lastRenderedPageBreak/>
              <w:t>Por definición, un nuevo entrante utilizaría la tecnología moderna existente.</w:t>
            </w:r>
          </w:p>
        </w:tc>
      </w:tr>
      <w:tr w:rsidR="00692D54" w:rsidRPr="00443C3D" w:rsidTr="00867DD3">
        <w:trPr>
          <w:jc w:val="center"/>
        </w:trPr>
        <w:tc>
          <w:tcPr>
            <w:tcW w:w="1559" w:type="dxa"/>
            <w:tcBorders>
              <w:top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Evolución y migración a tecnología moderna </w:t>
            </w:r>
          </w:p>
        </w:tc>
        <w:tc>
          <w:tcPr>
            <w:tcW w:w="2693"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color w:val="000000"/>
                <w:sz w:val="16"/>
                <w:szCs w:val="16"/>
                <w:lang w:val="es-ES"/>
              </w:rPr>
              <w:t>Los principales operadores fijos han evolucionado en formas distintas por lo que es complicado definir una evolución promedio.</w:t>
            </w:r>
            <w:r w:rsidRPr="00443C3D">
              <w:t xml:space="preserve"> </w:t>
            </w:r>
            <w:r w:rsidRPr="00443C3D">
              <w:rPr>
                <w:rFonts w:ascii="ITC Avant Garde" w:hAnsi="ITC Avant Garde"/>
                <w:sz w:val="16"/>
                <w:szCs w:val="16"/>
              </w:rPr>
              <w:t>Todos los operadores móviles usan, o están en vías de desplegar, la tecnología moderna (</w:t>
            </w:r>
            <w:r w:rsidRPr="00443C3D">
              <w:rPr>
                <w:rFonts w:ascii="ITC Avant Garde" w:hAnsi="ITC Avant Garde"/>
                <w:sz w:val="16"/>
                <w:szCs w:val="16"/>
                <w:lang w:val="es-ES"/>
              </w:rPr>
              <w:t>2G</w:t>
            </w:r>
            <w:r w:rsidRPr="00443C3D">
              <w:rPr>
                <w:rFonts w:ascii="ITC Avant Garde" w:hAnsi="ITC Avant Garde"/>
                <w:sz w:val="16"/>
                <w:szCs w:val="16"/>
                <w:vertAlign w:val="superscript"/>
                <w:lang w:val="es-ES"/>
              </w:rPr>
              <w:footnoteReference w:id="2"/>
            </w:r>
            <w:r w:rsidRPr="00443C3D">
              <w:rPr>
                <w:rFonts w:ascii="ITC Avant Garde" w:hAnsi="ITC Avant Garde"/>
                <w:sz w:val="16"/>
                <w:szCs w:val="16"/>
                <w:lang w:val="es-ES"/>
              </w:rPr>
              <w:t>, 3G y 4G).</w:t>
            </w:r>
          </w:p>
        </w:tc>
        <w:tc>
          <w:tcPr>
            <w:tcW w:w="2608" w:type="dxa"/>
            <w:tcBorders>
              <w:top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692D54" w:rsidRPr="00443C3D" w:rsidTr="00867DD3">
        <w:trPr>
          <w:jc w:val="center"/>
        </w:trPr>
        <w:tc>
          <w:tcPr>
            <w:tcW w:w="1559" w:type="dxa"/>
            <w:tcBorders>
              <w:top w:val="nil"/>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Eficiencia</w:t>
            </w:r>
          </w:p>
        </w:tc>
        <w:tc>
          <w:tcPr>
            <w:tcW w:w="2693" w:type="dxa"/>
            <w:tcBorders>
              <w:top w:val="nil"/>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Se podrían incluir costos ineficientes con un promedio.</w:t>
            </w:r>
          </w:p>
        </w:tc>
        <w:tc>
          <w:tcPr>
            <w:tcW w:w="2608" w:type="dxa"/>
            <w:tcBorders>
              <w:top w:val="nil"/>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Los aspectos de eficiencia pueden ser definidos.</w:t>
            </w:r>
          </w:p>
        </w:tc>
        <w:tc>
          <w:tcPr>
            <w:tcW w:w="2297" w:type="dxa"/>
            <w:tcBorders>
              <w:top w:val="nil"/>
              <w:bottom w:val="nil"/>
            </w:tcBorders>
            <w:shd w:val="clear" w:color="auto" w:fill="auto"/>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Las opciones eficientes se pueden seleccionar para el modelo.</w:t>
            </w:r>
          </w:p>
        </w:tc>
      </w:tr>
      <w:tr w:rsidR="00692D54" w:rsidRPr="00443C3D" w:rsidTr="00867DD3">
        <w:trPr>
          <w:jc w:val="center"/>
        </w:trPr>
        <w:tc>
          <w:tcPr>
            <w:tcW w:w="1559"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Transparencia con respecto al uso de un modelo ascendente (</w:t>
            </w:r>
            <w:r w:rsidRPr="00443C3D">
              <w:rPr>
                <w:rFonts w:ascii="ITC Avant Garde" w:hAnsi="ITC Avant Garde"/>
                <w:i/>
                <w:sz w:val="16"/>
                <w:szCs w:val="16"/>
                <w:lang w:val="es-ES"/>
              </w:rPr>
              <w:t>bottom up</w:t>
            </w:r>
            <w:r w:rsidRPr="00443C3D">
              <w:rPr>
                <w:rFonts w:ascii="ITC Avant Garde" w:hAnsi="ITC Avant Garde"/>
                <w:sz w:val="16"/>
                <w:szCs w:val="16"/>
                <w:lang w:val="es-ES"/>
              </w:rPr>
              <w:t>)</w:t>
            </w:r>
          </w:p>
        </w:tc>
        <w:tc>
          <w:tcPr>
            <w:tcW w:w="2693"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Puede ser difícil en el caso de las redes fijas ya que el operador promedio sería muy abstracto en comparación con los operadores existentes.</w:t>
            </w:r>
          </w:p>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El operador promedio móvil tendría más semejanzas con los operadores existentes.</w:t>
            </w:r>
          </w:p>
        </w:tc>
        <w:tc>
          <w:tcPr>
            <w:tcW w:w="2608"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La transparencia aumenta cuando el diseño del operador fijo es único y explícito y no el promedio de operaciones diversas. </w:t>
            </w:r>
          </w:p>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692D54" w:rsidRPr="00443C3D" w:rsidTr="00867DD3">
        <w:trPr>
          <w:jc w:val="center"/>
        </w:trPr>
        <w:tc>
          <w:tcPr>
            <w:tcW w:w="1559" w:type="dxa"/>
            <w:tcBorders>
              <w:top w:val="nil"/>
              <w:bottom w:val="nil"/>
            </w:tcBorders>
            <w:shd w:val="clear" w:color="auto" w:fill="FFFFFF"/>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Reconciliación práctica con contabilidad descendente (</w:t>
            </w:r>
            <w:r w:rsidRPr="00443C3D">
              <w:rPr>
                <w:rFonts w:ascii="ITC Avant Garde" w:hAnsi="ITC Avant Garde"/>
                <w:i/>
                <w:sz w:val="16"/>
                <w:szCs w:val="16"/>
                <w:lang w:val="es-ES"/>
              </w:rPr>
              <w:t>top-down)</w:t>
            </w:r>
          </w:p>
        </w:tc>
        <w:tc>
          <w:tcPr>
            <w:tcW w:w="2693" w:type="dxa"/>
            <w:tcBorders>
              <w:top w:val="nil"/>
              <w:bottom w:val="nil"/>
            </w:tcBorders>
            <w:shd w:val="clear" w:color="auto" w:fill="FFFFFF"/>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rsidR="00692D54" w:rsidRPr="00443C3D" w:rsidRDefault="00692D54" w:rsidP="00692D54">
      <w:pPr>
        <w:spacing w:after="0" w:line="276" w:lineRule="auto"/>
        <w:ind w:left="426"/>
        <w:jc w:val="center"/>
        <w:rPr>
          <w:rFonts w:ascii="ITC Avant Garde" w:eastAsia="Times New Roman" w:hAnsi="ITC Avant Garde" w:cs="Arial"/>
          <w:sz w:val="16"/>
          <w:szCs w:val="16"/>
          <w:lang w:val="es-ES" w:eastAsia="es-ES"/>
        </w:rPr>
      </w:pPr>
      <w:r w:rsidRPr="00443C3D">
        <w:rPr>
          <w:rFonts w:ascii="ITC Avant Garde" w:eastAsia="Times New Roman" w:hAnsi="ITC Avant Garde" w:cs="Arial"/>
          <w:sz w:val="16"/>
          <w:szCs w:val="16"/>
          <w:lang w:val="es-ES" w:eastAsia="es-ES"/>
        </w:rPr>
        <w:t>Tabla 1: Opciones del operador a modelar [Fuente: Analysys Mason, 2016]</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De esta forma, el Instituto considera </w:t>
      </w:r>
      <w:r w:rsidR="009149A0"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entre las distintas opciones para la determinación de un concesionario representativo, la elección de un operador hipotético existente permite determinar costos de interconexión compatibles y representativos en el mercado mexicano.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443C3D">
        <w:rPr>
          <w:rFonts w:ascii="ITC Avant Garde" w:hAnsi="ITC Avant Garde"/>
        </w:rPr>
        <w:t>concesionarios</w:t>
      </w:r>
      <w:r w:rsidRPr="00443C3D">
        <w:rPr>
          <w:rFonts w:ascii="ITC Avant Garde" w:eastAsia="Times New Roman" w:hAnsi="ITC Avant Garde"/>
          <w:szCs w:val="24"/>
          <w:lang w:eastAsia="es-ES"/>
        </w:rPr>
        <w:t>.</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importante señalar que la calibración</w:t>
      </w:r>
      <w:r w:rsidRPr="00443C3D">
        <w:rPr>
          <w:rFonts w:ascii="ITC Avant Garde" w:hAnsi="ITC Avant Garde"/>
          <w:vertAlign w:val="superscript"/>
        </w:rPr>
        <w:footnoteReference w:id="3"/>
      </w:r>
      <w:r w:rsidRPr="00443C3D">
        <w:rPr>
          <w:rFonts w:ascii="ITC Avant Garde" w:eastAsia="Times New Roman" w:hAnsi="ITC Avant Garde"/>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lo antes expuesto, los operadores modelados para el Modelo Móvil y el Modelo Fijo serán:</w:t>
      </w:r>
    </w:p>
    <w:p w:rsidR="00692D54" w:rsidRPr="00443C3D" w:rsidRDefault="00692D54" w:rsidP="00692D54">
      <w:pPr>
        <w:spacing w:after="0" w:line="276" w:lineRule="auto"/>
        <w:ind w:left="426"/>
        <w:jc w:val="both"/>
        <w:rPr>
          <w:rFonts w:ascii="ITC Avant Garde" w:eastAsia="Times New Roman" w:hAnsi="ITC Avant Garde"/>
          <w:szCs w:val="24"/>
          <w:lang w:eastAsia="es-ES"/>
        </w:rPr>
      </w:pP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2016. En particular, la red 3G tiene capacidad HSPA e incluye versiones modernas de los conmutadores para transportar un mayor volumen de tráfico de voz, datos móviles y el tráfico de banda ancha móvil y la red 4G cuenta con la capacidad añadida por el uso de</w:t>
      </w:r>
      <w:r w:rsidR="000D1E11">
        <w:rPr>
          <w:rFonts w:ascii="ITC Avant Garde" w:hAnsi="ITC Avant Garde"/>
          <w:lang w:val="es-ES"/>
        </w:rPr>
        <w:t xml:space="preserve"> </w:t>
      </w:r>
      <w:r w:rsidR="00875872">
        <w:rPr>
          <w:rFonts w:ascii="ITC Avant Garde" w:hAnsi="ITC Avant Garde"/>
          <w:lang w:val="es-ES"/>
        </w:rPr>
        <w:t>Entrada Múltiple Salida Múltiple</w:t>
      </w:r>
      <w:r w:rsidR="000D1E11">
        <w:rPr>
          <w:rFonts w:ascii="ITC Avant Garde" w:hAnsi="ITC Avant Garde"/>
          <w:lang w:val="es-ES"/>
        </w:rPr>
        <w:t xml:space="preserve"> (</w:t>
      </w:r>
      <w:r w:rsidRPr="00443C3D">
        <w:rPr>
          <w:rFonts w:ascii="ITC Avant Garde" w:hAnsi="ITC Avant Garde"/>
          <w:lang w:val="es-ES"/>
        </w:rPr>
        <w:t>MIMO</w:t>
      </w:r>
      <w:r w:rsidR="000D1E11">
        <w:rPr>
          <w:rFonts w:ascii="ITC Avant Garde" w:hAnsi="ITC Avant Garde"/>
          <w:lang w:val="es-ES"/>
        </w:rPr>
        <w:t>)</w:t>
      </w:r>
      <w:r w:rsidRPr="00443C3D">
        <w:rPr>
          <w:rFonts w:ascii="ITC Avant Garde" w:hAnsi="ITC Avant Garde"/>
          <w:lang w:val="es-ES"/>
        </w:rPr>
        <w:t xml:space="preserve"> 2x2. Las tecnologías 2G y 3G operarán en el largo plazo y no se contempla el apagado de la red 2G durante el periodo modelado que comienza a ofrecer el servicio de voz mediante VoLTE a partir de 2017.</w:t>
      </w:r>
    </w:p>
    <w:p w:rsidR="00692D54" w:rsidRPr="00443C3D" w:rsidRDefault="00692D54" w:rsidP="00692D54">
      <w:pPr>
        <w:spacing w:after="0" w:line="276" w:lineRule="auto"/>
        <w:ind w:left="851"/>
        <w:jc w:val="both"/>
        <w:rPr>
          <w:rFonts w:ascii="ITC Avant Garde" w:eastAsia="Times New Roman" w:hAnsi="ITC Avant Garde"/>
          <w:szCs w:val="24"/>
          <w:lang w:eastAsia="es-ES"/>
        </w:rPr>
      </w:pP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rsidR="00692D54" w:rsidRPr="00443C3D" w:rsidRDefault="00692D54" w:rsidP="00692D54">
      <w:pPr>
        <w:spacing w:after="0" w:line="276" w:lineRule="auto"/>
        <w:jc w:val="both"/>
        <w:rPr>
          <w:rFonts w:ascii="ITC Avant Garde" w:eastAsia="Times New Roman" w:hAnsi="ITC Avant Garde"/>
          <w:b/>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Configuración de la red de un concesionario eficiente.</w:t>
      </w:r>
    </w:p>
    <w:p w:rsidR="00692D54" w:rsidRPr="00443C3D" w:rsidRDefault="00692D54" w:rsidP="00692D54">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w:t>
      </w:r>
      <w:r w:rsidR="008E6DC2" w:rsidRPr="00443C3D">
        <w:rPr>
          <w:rFonts w:ascii="ITC Avant Garde" w:eastAsia="Times New Roman" w:hAnsi="ITC Avant Garde" w:cs="Arial"/>
          <w:lang w:val="es-ES" w:eastAsia="es-ES"/>
        </w:rPr>
        <w:t>tanto,</w:t>
      </w:r>
      <w:r w:rsidRPr="00443C3D">
        <w:rPr>
          <w:rFonts w:ascii="ITC Avant Garde" w:eastAsia="Times New Roman" w:hAnsi="ITC Avant Garde" w:cs="Arial"/>
          <w:lang w:val="es-ES" w:eastAsia="es-ES"/>
        </w:rPr>
        <w:t xml:space="preserve"> no es probable que se reflejen costos distintos a nivel regional por economías de escala geográficas menores a los costos de un operador eficiente </w:t>
      </w:r>
      <w:r w:rsidRPr="00443C3D">
        <w:rPr>
          <w:rFonts w:ascii="ITC Avant Garde" w:hAnsi="ITC Avant Garde"/>
          <w:lang w:val="es-ES"/>
        </w:rPr>
        <w:t>nacional</w:t>
      </w:r>
      <w:r w:rsidRPr="00443C3D">
        <w:rPr>
          <w:rFonts w:ascii="ITC Avant Garde" w:eastAsia="Times New Roman" w:hAnsi="ITC Avant Garde" w:cs="Arial"/>
          <w:lang w:val="es-ES" w:eastAsia="es-ES"/>
        </w:rPr>
        <w:t>.</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En consecuencia, se modelarán niveles de cobertura geográfica comparables con los ofrecidos por el operador fijo nacional y los tres operadores móviles de alcance nacional en México. En el caso del Modelo Fijo, se modelará una cobertura </w:t>
      </w:r>
      <w:r w:rsidRPr="00443C3D">
        <w:rPr>
          <w:rFonts w:ascii="ITC Avant Garde" w:eastAsia="Times New Roman" w:hAnsi="ITC Avant Garde" w:cs="Arial"/>
          <w:lang w:val="es-ES" w:eastAsia="es-ES"/>
        </w:rPr>
        <w:lastRenderedPageBreak/>
        <w:t>nacional, mientras que para el Modelo Móvil se modelará una cobertura de servicios de voz en 2G del 94%, 93% en 3G y 85% en 4G para el operador histórico y del 89% en 2G, 77% en 3G y 75% en 4G para el operador alternativo.</w:t>
      </w:r>
    </w:p>
    <w:p w:rsidR="00692D54" w:rsidRPr="00443C3D" w:rsidRDefault="00692D54" w:rsidP="00692D54">
      <w:pPr>
        <w:spacing w:after="0" w:line="276" w:lineRule="auto"/>
        <w:ind w:left="426"/>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Tamaño de un concesionario eficiente.</w:t>
      </w:r>
    </w:p>
    <w:p w:rsidR="00692D54" w:rsidRPr="00443C3D" w:rsidRDefault="00692D54" w:rsidP="00692D54">
      <w:pPr>
        <w:spacing w:after="0" w:line="276" w:lineRule="auto"/>
        <w:ind w:left="993"/>
        <w:jc w:val="both"/>
        <w:rPr>
          <w:rFonts w:ascii="ITC Avant Garde" w:eastAsia="Times New Roman" w:hAnsi="ITC Avant Garde"/>
          <w:b/>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decisión de modelar un mercado móvil con tres operadores se justifica con base en las adquisiciones de Iusacell-Unefon y Nextel por parte de AT&amp;T, reduciendo de forma efectiva el número de operadores móviles de 4 a 3 en el mercado mexicano.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el mercado fijo se observa </w:t>
      </w:r>
      <w:r w:rsidR="009149A0"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La participación de mercado de los operadores fijos modelados</w:t>
      </w:r>
      <w:r w:rsidRPr="00443C3D">
        <w:rPr>
          <w:rFonts w:ascii="ITC Avant Garde" w:hAnsi="ITC Avant Garde"/>
          <w:vertAlign w:val="superscript"/>
        </w:rPr>
        <w:footnoteReference w:id="4"/>
      </w:r>
      <w:r w:rsidRPr="00443C3D">
        <w:rPr>
          <w:rFonts w:ascii="ITC Avant Garde" w:hAnsi="ITC Avant Garde"/>
        </w:rPr>
        <w:t xml:space="preserve"> será de 64.2% para el operador fijo de escala y alcance del Agente Económico Preponderante y 35.8% para </w:t>
      </w:r>
      <w:r w:rsidRPr="00443C3D">
        <w:rPr>
          <w:rFonts w:ascii="ITC Avant Garde" w:eastAsia="Times New Roman" w:hAnsi="ITC Avant Garde"/>
          <w:szCs w:val="24"/>
          <w:lang w:eastAsia="es-ES"/>
        </w:rPr>
        <w:t>para el operador alternativo,</w:t>
      </w:r>
      <w:r w:rsidRPr="00443C3D">
        <w:rPr>
          <w:rFonts w:ascii="ITC Avant Garde" w:hAnsi="ITC Avant Garde"/>
        </w:rPr>
        <w:t xml:space="preserve"> el operador alternativo,</w:t>
      </w:r>
      <w:r w:rsidRPr="00443C3D">
        <w:rPr>
          <w:rFonts w:ascii="ITC Avant Garde" w:eastAsia="Times New Roman" w:hAnsi="ITC Avant Garde"/>
          <w:szCs w:val="24"/>
          <w:lang w:eastAsia="es-ES"/>
        </w:rPr>
        <w:t xml:space="preserve"> correspondiente a la participación de mercado en un mercado en el que se puede asumir que cada usuario tiene al menos dos opciones de operador.</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lang w:val="es-ES"/>
        </w:rPr>
        <w:t>Para el caso de los operadores móviles, l</w:t>
      </w:r>
      <w:r w:rsidRPr="00443C3D">
        <w:rPr>
          <w:rFonts w:ascii="ITC Avant Garde" w:hAnsi="ITC Avant Garde"/>
        </w:rPr>
        <w:t>a participación en el mercado de los operadores modelados</w:t>
      </w:r>
      <w:r w:rsidRPr="00443C3D">
        <w:rPr>
          <w:rFonts w:ascii="ITC Avant Garde" w:hAnsi="ITC Avant Garde"/>
          <w:vertAlign w:val="superscript"/>
        </w:rPr>
        <w:footnoteReference w:id="5"/>
      </w:r>
      <w:r w:rsidRPr="00443C3D">
        <w:rPr>
          <w:rFonts w:ascii="ITC Avant Garde" w:hAnsi="ITC Avant Garde"/>
        </w:rPr>
        <w:t xml:space="preserve"> será de 16% para el operador móvil alternativo hipotético no preponderante, correspondiente a la participación de mercado asociado a un mercado de 3 operadores compuesto por un operador de escala y alcance del Agente Económico Preponderante,</w:t>
      </w:r>
      <w:r w:rsidRPr="00443C3D">
        <w:rPr>
          <w:rFonts w:ascii="ITC Avant Garde" w:eastAsia="Times New Roman" w:hAnsi="ITC Avant Garde"/>
          <w:szCs w:val="24"/>
          <w:lang w:eastAsia="es-ES"/>
        </w:rPr>
        <w:t xml:space="preserve"> mismo que cuenta con una participación de mercado de 68%</w:t>
      </w:r>
      <w:r w:rsidRPr="00443C3D">
        <w:rPr>
          <w:rFonts w:ascii="ITC Avant Garde" w:hAnsi="ITC Avant Garde"/>
        </w:rPr>
        <w:t xml:space="preserve"> y otros dos operadores alternativos que compiten por la participación de mercado restante.</w:t>
      </w:r>
      <w:r w:rsidRPr="00443C3D">
        <w:rPr>
          <w:rFonts w:ascii="ITC Avant Garde" w:eastAsia="Times New Roman" w:hAnsi="ITC Avant Garde"/>
          <w:szCs w:val="24"/>
          <w:lang w:eastAsia="es-ES"/>
        </w:rPr>
        <w:t xml:space="preserve">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Asimismo, el crecimiento de la participación de mercado está relacionado con el despliegue de la red y el aumento del tráfico utilizando la tecnología moderna.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rsidR="00692D54" w:rsidRPr="00443C3D" w:rsidRDefault="00692D54" w:rsidP="00692D54">
      <w:pPr>
        <w:spacing w:after="0" w:line="276" w:lineRule="auto"/>
        <w:ind w:left="426"/>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1.2 Aspectos relacionados con la tecnología.</w:t>
      </w:r>
    </w:p>
    <w:p w:rsidR="00692D54" w:rsidRPr="00443C3D" w:rsidRDefault="00692D54" w:rsidP="00692D54">
      <w:pPr>
        <w:spacing w:after="0" w:line="276" w:lineRule="auto"/>
        <w:jc w:val="both"/>
        <w:rPr>
          <w:rFonts w:ascii="ITC Avant Garde" w:eastAsia="Times New Roman" w:hAnsi="ITC Avant Garde"/>
          <w:b/>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Arquitectura moderna de red.</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Lineamiento Séptimo de la Metodología de Costos a la letra señala: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b/>
          <w:i/>
          <w:sz w:val="18"/>
          <w:szCs w:val="18"/>
          <w:lang w:val="es-ES" w:eastAsia="es-ES"/>
        </w:rPr>
        <w:t>SÉPTIMO.-</w:t>
      </w:r>
      <w:r w:rsidRPr="00443C3D">
        <w:rPr>
          <w:rFonts w:ascii="ITC Avant Garde" w:eastAsia="Times New Roman" w:hAnsi="ITC Avant Garde" w:cs="Arial"/>
          <w:i/>
          <w:sz w:val="18"/>
          <w:szCs w:val="18"/>
          <w:lang w:val="es-ES" w:eastAsia="es-ES"/>
        </w:rPr>
        <w:t xml:space="preserve"> Dentro del período temporal utilizado por los Modelos de Costos se deberán considerar las tecnologías eficientes disponibles, debiendo ser consistente con lo siguiente:</w:t>
      </w: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rsidR="00692D54" w:rsidRPr="00443C3D" w:rsidRDefault="00692D54" w:rsidP="00692D54">
      <w:pPr>
        <w:numPr>
          <w:ilvl w:val="0"/>
          <w:numId w:val="31"/>
        </w:numPr>
        <w:tabs>
          <w:tab w:val="left" w:pos="720"/>
        </w:tabs>
        <w:spacing w:after="0" w:line="276" w:lineRule="auto"/>
        <w:ind w:left="709" w:right="616" w:hanging="142"/>
        <w:jc w:val="both"/>
        <w:rPr>
          <w:rFonts w:ascii="ITC Avant Garde" w:eastAsia="Times New Roman" w:hAnsi="ITC Avant Garde"/>
          <w:i/>
          <w:sz w:val="18"/>
          <w:szCs w:val="20"/>
          <w:lang w:val="es-ES_tradnl" w:eastAsia="es-ES"/>
        </w:rPr>
      </w:pPr>
      <w:r w:rsidRPr="00443C3D">
        <w:rPr>
          <w:rFonts w:ascii="ITC Avant Garde" w:eastAsia="Times New Roman" w:hAnsi="ITC Avant Garde"/>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rsidR="00692D54" w:rsidRPr="00443C3D" w:rsidRDefault="00692D54" w:rsidP="00692D54">
      <w:pPr>
        <w:numPr>
          <w:ilvl w:val="0"/>
          <w:numId w:val="31"/>
        </w:numPr>
        <w:tabs>
          <w:tab w:val="left" w:pos="720"/>
        </w:tabs>
        <w:spacing w:after="0" w:line="276" w:lineRule="auto"/>
        <w:ind w:left="709" w:right="616" w:hanging="142"/>
        <w:jc w:val="both"/>
        <w:rPr>
          <w:rFonts w:ascii="ITC Avant Garde" w:eastAsia="Times New Roman" w:hAnsi="ITC Avant Garde"/>
          <w:i/>
          <w:sz w:val="18"/>
          <w:szCs w:val="20"/>
          <w:lang w:val="es-ES_tradnl" w:eastAsia="es-ES"/>
        </w:rPr>
      </w:pPr>
      <w:r w:rsidRPr="00443C3D">
        <w:rPr>
          <w:rFonts w:ascii="ITC Avant Garde" w:eastAsia="Times New Roman" w:hAnsi="ITC Avant Garde"/>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rsidR="00692D54" w:rsidRPr="00443C3D" w:rsidRDefault="00692D54" w:rsidP="00692D54">
      <w:pPr>
        <w:numPr>
          <w:ilvl w:val="0"/>
          <w:numId w:val="31"/>
        </w:numPr>
        <w:tabs>
          <w:tab w:val="left" w:pos="720"/>
        </w:tabs>
        <w:spacing w:after="0" w:line="276" w:lineRule="auto"/>
        <w:ind w:left="709" w:right="616" w:hanging="142"/>
        <w:jc w:val="both"/>
        <w:rPr>
          <w:rFonts w:ascii="ITC Avant Garde" w:eastAsia="Times New Roman" w:hAnsi="ITC Avant Garde"/>
          <w:i/>
          <w:sz w:val="18"/>
          <w:szCs w:val="20"/>
          <w:lang w:val="es-ES_tradnl" w:eastAsia="es-ES"/>
        </w:rPr>
      </w:pPr>
      <w:r w:rsidRPr="00443C3D">
        <w:rPr>
          <w:rFonts w:ascii="ITC Avant Garde" w:eastAsia="Times New Roman" w:hAnsi="ITC Avant Garde"/>
          <w:i/>
          <w:sz w:val="18"/>
          <w:szCs w:val="20"/>
          <w:lang w:val="es-ES_tradnl" w:eastAsia="es-ES"/>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Los Modelos de Costos deberán de incluir un Anexo Técnico en el que se expliquen detalladamente los supuestos, cálculos y metodología empleada en la elaboración de los mismos.</w:t>
      </w:r>
    </w:p>
    <w:p w:rsidR="00692D54" w:rsidRPr="00443C3D" w:rsidRDefault="00692D54" w:rsidP="00692D54">
      <w:pPr>
        <w:spacing w:after="0" w:line="276" w:lineRule="auto"/>
        <w:jc w:val="both"/>
        <w:rPr>
          <w:rFonts w:ascii="ITC Avant Garde" w:eastAsia="Times New Roman" w:hAnsi="ITC Avant Garde"/>
          <w:szCs w:val="24"/>
          <w:lang w:val="es-ES"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rPr>
          <w:rFonts w:ascii="ITC Avant Garde" w:eastAsia="Times New Roman" w:hAnsi="ITC Avant Garde"/>
          <w:szCs w:val="24"/>
          <w:lang w:eastAsia="es-ES"/>
        </w:rPr>
      </w:pPr>
      <w:r w:rsidRPr="00443C3D">
        <w:rPr>
          <w:rFonts w:ascii="ITC Avant Garde" w:hAnsi="ITC Avant Garde"/>
          <w:b/>
        </w:rPr>
        <w:t>Red de telecomunicaciones móviles.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La arquitectura de redes de telefonía móvil se divide en tres partes: una capa de radio, una red de conmutación y una red de transmisión. </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rFonts w:ascii="ITC Avant Garde" w:hAnsi="ITC Avant Garde"/>
          <w:i/>
        </w:rPr>
      </w:pPr>
      <w:r w:rsidRPr="00443C3D">
        <w:rPr>
          <w:rFonts w:ascii="ITC Avant Garde" w:hAnsi="ITC Avant Garde"/>
          <w:i/>
        </w:rPr>
        <w:t xml:space="preserve">Capa de radio </w:t>
      </w:r>
    </w:p>
    <w:p w:rsidR="00692D54" w:rsidRPr="00443C3D" w:rsidRDefault="00692D54" w:rsidP="00692D54">
      <w:pPr>
        <w:spacing w:after="0" w:line="276" w:lineRule="auto"/>
        <w:ind w:left="993"/>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443C3D" w:rsidDel="00F54E4D">
        <w:rPr>
          <w:rFonts w:ascii="ITC Avant Garde" w:eastAsia="Times New Roman" w:hAnsi="ITC Avant Garde"/>
          <w:szCs w:val="24"/>
          <w:lang w:eastAsia="es-ES"/>
        </w:rPr>
        <w:t xml:space="preserve"> </w:t>
      </w:r>
      <w:r w:rsidRPr="00443C3D">
        <w:rPr>
          <w:rFonts w:ascii="ITC Avant Garde" w:eastAsia="Times New Roman" w:hAnsi="ITC Avant Garde"/>
          <w:szCs w:val="24"/>
          <w:lang w:eastAsia="es-ES"/>
        </w:rPr>
        <w:t>no son relevantes para este modelo de Costos Incrementales de Largo Plazo de abajo hacia arriba (en lo sucesivo, “BULRIC” por sus siglas en inglés).</w:t>
      </w:r>
    </w:p>
    <w:p w:rsidR="00692D54" w:rsidRPr="00443C3D" w:rsidRDefault="00692D54" w:rsidP="00692D54">
      <w:pPr>
        <w:tabs>
          <w:tab w:val="left" w:pos="5572"/>
        </w:tabs>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Por lo tanto, el modelo BULRIC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 En efecto, una red de radio (2G,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que requieren una </w:t>
      </w:r>
      <w:r w:rsidRPr="00443C3D">
        <w:rPr>
          <w:rFonts w:ascii="ITC Avant Garde" w:eastAsia="Times New Roman" w:hAnsi="ITC Avant Garde"/>
          <w:szCs w:val="24"/>
          <w:lang w:eastAsia="es-ES"/>
        </w:rPr>
        <w:lastRenderedPageBreak/>
        <w:t>malla de estaciones base más estrecha y que no tienen la mayor penetración en edificios de las señales de 850MHz.</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443C3D">
        <w:rPr>
          <w:rFonts w:ascii="ITC Avant Garde" w:hAnsi="ITC Avant Garde"/>
          <w:vertAlign w:val="superscript"/>
        </w:rPr>
        <w:footnoteReference w:id="6"/>
      </w:r>
      <w:r w:rsidRPr="00443C3D">
        <w:rPr>
          <w:rFonts w:ascii="ITC Avant Garde" w:eastAsia="Times New Roman" w:hAnsi="ITC Avant Garde"/>
          <w:szCs w:val="24"/>
          <w:lang w:eastAsia="es-ES"/>
        </w:rPr>
        <w:t xml:space="preserve">, con un despliegue posterior de BTS en la banda de 1900MHz para aportar capacidad adicional a la red. Cuando se comenzó a desplegar las redes UMTS en 2007/2008, los operadores siguieron un esquema de despliegue de una red de capacidad en frecuencias altas (1900MHz).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Actualmente se utiliza espectro de la banda AWS (1700/2100 MHz) para la red 4G adquirido por los operadores en las subastas de espectro llevadas a cabo en 2010 y a principios de 2016, así como en la banda PCS (1900 MHz) en el caso específico de Telefónica. Ambas bandas AWS y PCS también pueden ser utilizadas para el despliegue de redes UMTS y su evolución HSPA.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Pese a que la tracción de los servicios 3G de voz en México sigue en ascenso, las redes 2G siguen soportando alrededor de la mitad del tráfico de voz mexicano</w:t>
      </w:r>
      <w:r w:rsidRPr="00443C3D">
        <w:rPr>
          <w:rFonts w:ascii="ITC Avant Garde" w:eastAsia="Times New Roman" w:hAnsi="ITC Avant Garde"/>
          <w:szCs w:val="24"/>
          <w:lang w:eastAsia="es-ES"/>
        </w:rPr>
        <w:t xml:space="preserve">, como corrobora el dato publicado en 2016 por la Asociación de Sistema Global para las comunicaciones móviles (GSMA de sus siglas en inglés “Global System Mobile Association”) en su informe </w:t>
      </w:r>
      <w:r w:rsidRPr="00443C3D">
        <w:rPr>
          <w:rFonts w:ascii="ITC Avant Garde" w:hAnsi="ITC Avant Garde"/>
          <w:i/>
        </w:rPr>
        <w:t>Country Overview: México - Mobile driving growth, innovation and opportunity</w:t>
      </w:r>
      <w:r w:rsidRPr="00443C3D">
        <w:rPr>
          <w:i/>
          <w:vertAlign w:val="superscript"/>
          <w:lang w:val="es-ES"/>
        </w:rPr>
        <w:footnoteReference w:id="7"/>
      </w:r>
      <w:r w:rsidRPr="00443C3D">
        <w:rPr>
          <w:rFonts w:ascii="ITC Avant Garde" w:eastAsia="Times New Roman" w:hAnsi="ITC Avant Garde"/>
          <w:i/>
          <w:szCs w:val="24"/>
          <w:lang w:eastAsia="es-ES"/>
        </w:rPr>
        <w:t xml:space="preserve">, </w:t>
      </w:r>
      <w:r w:rsidRPr="00443C3D">
        <w:rPr>
          <w:rFonts w:ascii="ITC Avant Garde" w:eastAsia="Times New Roman" w:hAnsi="ITC Avant Garde"/>
          <w:szCs w:val="24"/>
          <w:lang w:eastAsia="es-ES"/>
        </w:rPr>
        <w:t xml:space="preserve">en el que señala que en el primer trimestre de 2016 </w:t>
      </w:r>
      <w:r w:rsidRPr="00443C3D">
        <w:rPr>
          <w:rFonts w:ascii="ITC Avant Garde" w:hAnsi="ITC Avant Garde"/>
        </w:rPr>
        <w:t>más del 40% de los usuarios de telefonía móvil contaba todavía con un terminal 2G</w:t>
      </w:r>
      <w:r w:rsidRPr="00443C3D">
        <w:rPr>
          <w:rFonts w:ascii="ITC Avant Garde" w:eastAsia="Times New Roman" w:hAnsi="ITC Avant Garde"/>
          <w:szCs w:val="24"/>
          <w:lang w:eastAsia="es-ES"/>
        </w:rPr>
        <w:t xml:space="preserve">. Esto indica que la tecnología 2G tendrá aún un rol importante en el transporte de voz móvil en México en los próximos años, aunque vaya perdiendo </w:t>
      </w:r>
      <w:r w:rsidRPr="00443C3D">
        <w:rPr>
          <w:rFonts w:ascii="ITC Avant Garde" w:hAnsi="ITC Avant Garde"/>
        </w:rPr>
        <w:t>relevancia ante la tecnología 3G, que representará una parte incremental en el transporte de tráfico de voz y, en particular, de datos.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Por otra parte, con el importante crecimiento de las redes 4G para el transporte de datos como consecuencia del aumento en la penetración de smartphones y de los recientes despliegues, resulta razonable considerar la tecnología VoLTE para el transporte de voz.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efecto, de acuerdo al Reporte de Evolución a LTE (Evolution to LTE Report) de la Asociación Global de Operadores Móviles (GSA de sus siglas en inglés), publicado en 201</w:t>
      </w:r>
      <w:r w:rsidR="00A1544D" w:rsidRPr="00443C3D">
        <w:rPr>
          <w:rFonts w:ascii="ITC Avant Garde" w:eastAsia="Times New Roman" w:hAnsi="ITC Avant Garde"/>
          <w:szCs w:val="24"/>
          <w:lang w:eastAsia="es-ES"/>
        </w:rPr>
        <w:t>7</w:t>
      </w:r>
      <w:r w:rsidRPr="00443C3D">
        <w:rPr>
          <w:rFonts w:ascii="ITC Avant Garde" w:eastAsia="Times New Roman" w:hAnsi="ITC Avant Garde"/>
          <w:szCs w:val="24"/>
          <w:lang w:eastAsia="es-ES"/>
        </w:rPr>
        <w:t xml:space="preserve">, los concesionarios móviles han lanzado comercialmente el servicio de VoLTE en </w:t>
      </w:r>
      <w:r w:rsidR="00A1544D" w:rsidRPr="00443C3D">
        <w:rPr>
          <w:rFonts w:ascii="ITC Avant Garde" w:eastAsia="Times New Roman" w:hAnsi="ITC Avant Garde"/>
          <w:szCs w:val="24"/>
          <w:lang w:eastAsia="es-ES"/>
        </w:rPr>
        <w:t>54</w:t>
      </w:r>
      <w:r w:rsidRPr="00443C3D">
        <w:rPr>
          <w:rFonts w:ascii="ITC Avant Garde" w:eastAsia="Times New Roman" w:hAnsi="ITC Avant Garde"/>
          <w:szCs w:val="24"/>
          <w:lang w:eastAsia="es-ES"/>
        </w:rPr>
        <w:t xml:space="preserve"> países y se encuentran en proceso de lanzamiento 1</w:t>
      </w:r>
      <w:r w:rsidR="00A1544D" w:rsidRPr="00443C3D">
        <w:rPr>
          <w:rFonts w:ascii="ITC Avant Garde" w:eastAsia="Times New Roman" w:hAnsi="ITC Avant Garde"/>
          <w:szCs w:val="24"/>
          <w:lang w:eastAsia="es-ES"/>
        </w:rPr>
        <w:t>65</w:t>
      </w:r>
      <w:r w:rsidRPr="00443C3D">
        <w:rPr>
          <w:rFonts w:ascii="ITC Avant Garde" w:eastAsia="Times New Roman" w:hAnsi="ITC Avant Garde"/>
          <w:szCs w:val="24"/>
          <w:lang w:eastAsia="es-ES"/>
        </w:rPr>
        <w:t xml:space="preserve"> operadores a nivel mundial.</w:t>
      </w:r>
      <w:r w:rsidRPr="00443C3D">
        <w:rPr>
          <w:rFonts w:ascii="ITC Avant Garde" w:eastAsia="Times New Roman" w:hAnsi="ITC Avant Garde"/>
          <w:szCs w:val="24"/>
          <w:vertAlign w:val="superscript"/>
          <w:lang w:eastAsia="es-ES"/>
        </w:rPr>
        <w:footnoteReference w:id="8"/>
      </w:r>
      <w:r w:rsidRPr="00443C3D">
        <w:rPr>
          <w:rFonts w:ascii="ITC Avant Garde" w:eastAsia="Times New Roman" w:hAnsi="ITC Avant Garde"/>
          <w:szCs w:val="24"/>
          <w:lang w:eastAsia="es-ES"/>
        </w:rPr>
        <w:t xml:space="preserve">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Asimismo, en el caso específico de México el Agente Económico Preponderante ha anunciado su lanzamiento. Por lo anterior, el modelo considera la tecnología VoLTE al representar una tecnología moderna equivalente.</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El modelo BULRIC móvil utilizará las tecnologías de radio 2G, 3G y 4G a largo plazo, con un despliegue inicial de 2G en la banda de &lt;1GHz (850MHz) – para una red de cobertura con un despliegue consiguiente en frecuencias superiores a 1GHz–1900MHz – para incrementar la capacidad de la red. </w:t>
      </w:r>
      <w:r w:rsidRPr="00443C3D">
        <w:rPr>
          <w:rFonts w:ascii="ITC Avant Garde" w:hAnsi="ITC Avant Garde"/>
        </w:rPr>
        <w:t>La tecnología 3G se desplegará en la banda de 1900MHz (PCS) y 4G en la banda de 1700/2100MHz (AWS).</w:t>
      </w:r>
      <w:r w:rsidRPr="00443C3D">
        <w:rPr>
          <w:rFonts w:ascii="ITC Avant Garde" w:eastAsia="Times New Roman" w:hAnsi="ITC Avant Garde"/>
          <w:szCs w:val="24"/>
          <w:lang w:eastAsia="es-ES"/>
        </w:rPr>
        <w:t xml:space="preserve"> </w:t>
      </w: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 </w:t>
      </w:r>
    </w:p>
    <w:p w:rsidR="00692D54" w:rsidRPr="00443C3D" w:rsidRDefault="00692D54" w:rsidP="00692D54">
      <w:pPr>
        <w:spacing w:after="0" w:line="276" w:lineRule="auto"/>
        <w:rPr>
          <w:rFonts w:ascii="ITC Avant Garde" w:hAnsi="ITC Avant Garde"/>
        </w:rPr>
      </w:pPr>
      <w:r w:rsidRPr="00443C3D">
        <w:rPr>
          <w:rFonts w:ascii="ITC Avant Garde" w:hAnsi="ITC Avant Garde"/>
          <w:i/>
        </w:rPr>
        <w:t>Espectro radioeléctrico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Se considerará un operador que obtenga una asignación equitativa de espectro no controlado por el Agente Económico Preponderante en un mercado de 3 operadores.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El espectro asignado al operador alternativo hipotético será de 10.6 MHz en la banda de 850 MHz, de 40.8 MHz en la banda de 1900 MHz y de 30.00 MHz en la banda de 1700/2100 MHz</w:t>
      </w:r>
      <w:r w:rsidRPr="00443C3D">
        <w:rPr>
          <w:vertAlign w:val="superscript"/>
        </w:rPr>
        <w:footnoteReference w:id="9"/>
      </w:r>
      <w:r w:rsidRPr="00443C3D">
        <w:rPr>
          <w:rFonts w:ascii="ITC Avant Garde" w:hAnsi="ITC Avant Garde"/>
          <w:vertAlign w:val="superscript"/>
        </w:rPr>
        <w:footnoteReference w:id="10"/>
      </w:r>
      <w:r w:rsidRPr="00443C3D">
        <w:rPr>
          <w:rFonts w:ascii="ITC Avant Garde" w:hAnsi="ITC Avant Garde"/>
        </w:rPr>
        <w:t>.</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El espectro asignado al AEP será de 21.5 MHz en la banda de 850 MHz, de 38.4 MHz en la banda de 1900 MHz y de 70.00 MHz en la banda de 1700/2100 MHz; 10 MHz de espectro del AEP han sido movidos de la banda AWS a la banda PCS para usarlos con la tecnología 3G.</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este sentido, se reflejan dentro de lo posible las tenencias de espectro del agente económico preponderante y del operador alternativo; una mayor tenencia de espectro resulta en mayor capacidad por torre y, por extensión, en una red de capacidad con menos torres esto impacta de forma crítica en el cargo de interconexión LRIC Puro.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inversión inicial (</w:t>
      </w:r>
      <w:r w:rsidRPr="00443C3D">
        <w:rPr>
          <w:rFonts w:ascii="ITC Avant Garde" w:eastAsia="Times New Roman" w:hAnsi="ITC Avant Garde"/>
          <w:i/>
          <w:szCs w:val="24"/>
          <w:lang w:eastAsia="es-ES"/>
        </w:rPr>
        <w:t>CapEx</w:t>
      </w:r>
      <w:r w:rsidRPr="00443C3D">
        <w:rPr>
          <w:rFonts w:ascii="ITC Avant Garde" w:eastAsia="Times New Roman" w:hAnsi="ITC Avant Garde"/>
          <w:szCs w:val="24"/>
          <w:lang w:eastAsia="es-ES"/>
        </w:rPr>
        <w:t>) en espectro en la banda de 850MHz se calcula con base al precio promedio pagado en la prórroga otorgada en mayo de 2010 por región por MHz, multiplicándolo por la cantidad de espectro que tendrá el operador hipotético.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forma similar, la inversión inicial (</w:t>
      </w:r>
      <w:r w:rsidRPr="00443C3D">
        <w:rPr>
          <w:rFonts w:ascii="ITC Avant Garde" w:eastAsia="Times New Roman" w:hAnsi="ITC Avant Garde"/>
          <w:i/>
          <w:szCs w:val="24"/>
          <w:lang w:eastAsia="es-ES"/>
        </w:rPr>
        <w:t>CapEx</w:t>
      </w:r>
      <w:r w:rsidRPr="00443C3D">
        <w:rPr>
          <w:rFonts w:ascii="ITC Avant Garde" w:eastAsia="Times New Roman" w:hAnsi="ITC Avant Garde"/>
          <w:szCs w:val="24"/>
          <w:lang w:eastAsia="es-ES"/>
        </w:rPr>
        <w:t>) en espectro en la banda de 1900MHz PCS) y 1700/2100 MHz (AWS) se calcula para la cantidad de espectro del operador hipotético con base a los precios pagados por el espectro en las subastas realizadas en el año 2010 y 2016.</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costo del espectro se modelará de la siguiente manera: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La inversión inicial (</w:t>
      </w:r>
      <w:r w:rsidRPr="00443C3D">
        <w:rPr>
          <w:rFonts w:ascii="ITC Avant Garde" w:hAnsi="ITC Avant Garde"/>
          <w:i/>
          <w:lang w:val="es-ES"/>
        </w:rPr>
        <w:t>CapEx</w:t>
      </w:r>
      <w:r w:rsidRPr="00443C3D">
        <w:rPr>
          <w:rFonts w:ascii="ITC Avant Garde" w:hAnsi="ITC Avant Garde"/>
          <w:lang w:val="es-ES"/>
        </w:rPr>
        <w:t>) en espectro en la banda de 850MHz se calculará en base al precio promedio pagado en la prórroga otorgada en mayo de 2010 por región por MHz, multiplicándolo por la cantidad de espectro que tendrá el operador hipotético.</w:t>
      </w: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De forma similar, la inversión inicial (</w:t>
      </w:r>
      <w:r w:rsidRPr="00443C3D">
        <w:rPr>
          <w:rFonts w:ascii="ITC Avant Garde" w:hAnsi="ITC Avant Garde"/>
          <w:i/>
          <w:lang w:val="es-ES"/>
        </w:rPr>
        <w:t>CapEx</w:t>
      </w:r>
      <w:r w:rsidRPr="00443C3D">
        <w:rPr>
          <w:rFonts w:ascii="ITC Avant Garde" w:hAnsi="ITC Avant Garde"/>
          <w:lang w:val="es-ES"/>
        </w:rPr>
        <w:t>) en espectro en las bandas de PCS y AWS se calculará para la cantidad de espectro del operador hipotético con base al precio pagado en las licitaciones realizadas en los años 2010 y 2016.</w:t>
      </w:r>
    </w:p>
    <w:p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Los costos operativos se calcularán multiplicando la cantidad de espectro en cada banda de frecuencia por el precio de derechos por kHz por región.</w:t>
      </w:r>
    </w:p>
    <w:p w:rsidR="00692D54" w:rsidRPr="00443C3D" w:rsidRDefault="00692D54" w:rsidP="00692D54">
      <w:pPr>
        <w:spacing w:after="0" w:line="276" w:lineRule="auto"/>
        <w:ind w:left="1560"/>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Para alinear la duración de las concesiones móviles con el horizonte temporal modelado – equivalente a 50 años – se asume que cada concesión es válida durante 20 años y después renovable cada 15 años. Esto está en línea con la duración de las licencias actuales de los operadores.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rPr>
          <w:rFonts w:ascii="ITC Avant Garde" w:hAnsi="ITC Avant Garde"/>
          <w:i/>
        </w:rPr>
      </w:pPr>
      <w:r w:rsidRPr="00443C3D">
        <w:rPr>
          <w:rFonts w:ascii="ITC Avant Garde" w:hAnsi="ITC Avant Garde"/>
          <w:i/>
        </w:rPr>
        <w:t xml:space="preserve">Red de conmutación </w:t>
      </w: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rsidR="00692D54" w:rsidRPr="00443C3D" w:rsidRDefault="00692D54" w:rsidP="00692D54">
      <w:pPr>
        <w:spacing w:after="0" w:line="276" w:lineRule="auto"/>
        <w:ind w:left="426"/>
        <w:jc w:val="both"/>
        <w:rPr>
          <w:rFonts w:ascii="ITC Avant Garde" w:eastAsia="Times New Roman" w:hAnsi="ITC Avant Garde" w:cs="Arial"/>
          <w:lang w:val="es-ES" w:eastAsia="es-ES"/>
        </w:rPr>
      </w:pPr>
    </w:p>
    <w:p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Estructuras 2G, 3G y 4G separadas con transmisión separada, cada una conteniendo uno o más Centrales de Conmutación Móviles (MSC de sus </w:t>
      </w:r>
      <w:r w:rsidRPr="00443C3D">
        <w:rPr>
          <w:rFonts w:ascii="ITC Avant Garde" w:eastAsia="Times New Roman" w:hAnsi="ITC Avant Garde" w:cs="Arial"/>
          <w:lang w:val="es-ES" w:eastAsia="es-ES"/>
        </w:rPr>
        <w:lastRenderedPageBreak/>
        <w:t>siglas en inglés, “Mobile Switching Center”), Nodos Pasarela de Soporte (GSN de sus siglas en inglés “Gateway Support Node”) y puntos de interconexión (PdI) entrelazados;</w:t>
      </w:r>
    </w:p>
    <w:p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estructura antigua mejorada con una red de transmisión combinada, conteniendo uno o más MSC, GSN y puntos de interconexión (PdI) entrelazados, que sean compatibles tanto con 2G como con 3G y una estructura 4G separada;</w:t>
      </w:r>
    </w:p>
    <w:p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rsidR="00692D54" w:rsidRPr="00443C3D" w:rsidRDefault="00692D54" w:rsidP="00692D54">
      <w:pPr>
        <w:spacing w:after="0" w:line="276" w:lineRule="auto"/>
        <w:ind w:left="709"/>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Las tres opciones se muestran gráficamente en la siguiente figura:</w:t>
      </w:r>
    </w:p>
    <w:p w:rsidR="00692D54" w:rsidRPr="00443C3D" w:rsidRDefault="00692D54" w:rsidP="00692D54">
      <w:pPr>
        <w:spacing w:after="0" w:line="276" w:lineRule="auto"/>
        <w:ind w:left="709"/>
        <w:jc w:val="both"/>
        <w:rPr>
          <w:rFonts w:ascii="ITC Avant Garde" w:eastAsia="Times New Roman" w:hAnsi="ITC Avant Garde" w:cs="Arial"/>
          <w:lang w:val="es-ES" w:eastAsia="es-ES"/>
        </w:rPr>
      </w:pPr>
    </w:p>
    <w:p w:rsidR="00692D54" w:rsidRPr="00443C3D" w:rsidRDefault="00692D54" w:rsidP="00692D54">
      <w:pPr>
        <w:spacing w:after="0" w:line="276" w:lineRule="auto"/>
        <w:jc w:val="center"/>
        <w:rPr>
          <w:rFonts w:ascii="ITC Avant Garde" w:eastAsia="Times New Roman" w:hAnsi="ITC Avant Garde" w:cs="Arial"/>
          <w:lang w:val="es-ES" w:eastAsia="es-ES"/>
        </w:rPr>
      </w:pPr>
      <w:r w:rsidRPr="00443C3D">
        <w:rPr>
          <w:rFonts w:ascii="Times New Roman" w:hAnsi="Times New Roman"/>
          <w:noProof/>
          <w:lang w:eastAsia="es-MX"/>
        </w:rPr>
        <w:drawing>
          <wp:inline distT="0" distB="0" distL="0" distR="0" wp14:anchorId="28F5EA07" wp14:editId="7D1FD8CB">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rsidR="00692D54" w:rsidRPr="00443C3D" w:rsidRDefault="00692D54" w:rsidP="00692D54">
      <w:pPr>
        <w:spacing w:after="0" w:line="276" w:lineRule="auto"/>
        <w:ind w:left="426"/>
        <w:jc w:val="both"/>
        <w:rPr>
          <w:rFonts w:ascii="ITC Avant Garde" w:eastAsia="Times New Roman" w:hAnsi="ITC Avant Garde" w:cs="Arial"/>
          <w:sz w:val="18"/>
          <w:szCs w:val="18"/>
          <w:lang w:val="es-ES" w:eastAsia="es-ES"/>
        </w:rPr>
      </w:pPr>
      <w:r w:rsidRPr="00443C3D">
        <w:rPr>
          <w:rFonts w:ascii="ITC Avant Garde" w:eastAsia="Times New Roman" w:hAnsi="ITC Avant Garde" w:cs="Arial"/>
          <w:sz w:val="18"/>
          <w:szCs w:val="18"/>
          <w:lang w:val="es-ES" w:eastAsia="es-ES"/>
        </w:rPr>
        <w:t>Figura 1. Opciones de arquitectura para el Modelo Móvil. [Fuente: Analysys Mason, 2016]</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rsidR="00692D54" w:rsidRPr="00443C3D" w:rsidRDefault="00692D54" w:rsidP="00692D54">
      <w:pPr>
        <w:tabs>
          <w:tab w:val="left" w:pos="426"/>
        </w:tabs>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rPr>
          <w:rFonts w:ascii="ITC Avant Garde" w:hAnsi="ITC Avant Garde"/>
          <w:i/>
        </w:rPr>
      </w:pPr>
      <w:r w:rsidRPr="00443C3D">
        <w:rPr>
          <w:rFonts w:ascii="ITC Avant Garde" w:hAnsi="ITC Avant Garde"/>
          <w:i/>
        </w:rPr>
        <w:t>Red de transmisión</w:t>
      </w: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La conectividad entre nodos de redes de telefonía móvil se ajusta a varios tipos:</w:t>
      </w:r>
    </w:p>
    <w:p w:rsidR="00692D54" w:rsidRPr="00443C3D" w:rsidRDefault="00692D54" w:rsidP="00692D54">
      <w:pPr>
        <w:spacing w:after="0" w:line="276" w:lineRule="auto"/>
        <w:ind w:left="993"/>
        <w:jc w:val="both"/>
        <w:rPr>
          <w:rFonts w:ascii="ITC Avant Garde" w:eastAsia="Times New Roman" w:hAnsi="ITC Avant Garde"/>
          <w:szCs w:val="24"/>
          <w:lang w:eastAsia="es-ES"/>
        </w:rPr>
      </w:pP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Acceso de última milla de BTS a un concentrador (</w:t>
      </w:r>
      <w:r w:rsidRPr="00443C3D">
        <w:rPr>
          <w:rFonts w:ascii="ITC Avant Garde" w:eastAsia="Times New Roman" w:hAnsi="ITC Avant Garde"/>
          <w:i/>
          <w:szCs w:val="24"/>
          <w:lang w:eastAsia="es-ES"/>
        </w:rPr>
        <w:t>hub</w:t>
      </w:r>
      <w:r w:rsidRPr="00443C3D">
        <w:rPr>
          <w:rFonts w:ascii="ITC Avant Garde" w:eastAsia="Times New Roman" w:hAnsi="ITC Avant Garde"/>
          <w:szCs w:val="24"/>
          <w:lang w:eastAsia="es-ES"/>
        </w:rPr>
        <w:t>).</w:t>
      </w: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Concentrador a Controlador Estación Base (BSC de sus siglas en inglés, Base Station Controller), Controlador de Red de Radio (RNC de sus siglas en inglés, Radio Network Controller).</w:t>
      </w: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BSC, RNC a emplazamientos de conmutación principales (que contengan MSC o MGW) si no están coubicados.</w:t>
      </w: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Entre emplazamientos de conmutación principales (entre MSC, MGW).</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soluciones típicas para la provisión de transmisión incluyen:</w:t>
      </w:r>
    </w:p>
    <w:p w:rsidR="00692D54" w:rsidRPr="00443C3D" w:rsidRDefault="00692D54" w:rsidP="00692D54">
      <w:pPr>
        <w:spacing w:after="0" w:line="276" w:lineRule="auto"/>
        <w:ind w:left="993"/>
        <w:jc w:val="both"/>
        <w:rPr>
          <w:rFonts w:ascii="ITC Avant Garde" w:eastAsia="Times New Roman" w:hAnsi="ITC Avant Garde"/>
          <w:szCs w:val="24"/>
          <w:lang w:eastAsia="es-ES"/>
        </w:rPr>
      </w:pP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Enlaces dedicados (E1, STM1 y superior, 100Mbit/s y superior).</w:t>
      </w: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val="en-US" w:eastAsia="es-ES"/>
        </w:rPr>
      </w:pPr>
      <w:r w:rsidRPr="00443C3D">
        <w:rPr>
          <w:rFonts w:ascii="ITC Avant Garde" w:eastAsia="Times New Roman" w:hAnsi="ITC Avant Garde"/>
          <w:szCs w:val="24"/>
          <w:lang w:val="en-US" w:eastAsia="es-ES"/>
        </w:rPr>
        <w:t>Enlaces por microondas autoprovistos (2-4-8-16-32, enlaces por microondas STM1, microondas Ethernet).</w:t>
      </w:r>
    </w:p>
    <w:p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Red de fibra alquilada (fibra oscura alquilada/IRU</w:t>
      </w:r>
      <w:r w:rsidRPr="00443C3D">
        <w:rPr>
          <w:rFonts w:ascii="ITC Avant Garde" w:hAnsi="ITC Avant Garde"/>
          <w:spacing w:val="-4"/>
          <w:vertAlign w:val="superscript"/>
        </w:rPr>
        <w:footnoteReference w:id="11"/>
      </w:r>
      <w:r w:rsidRPr="00443C3D">
        <w:rPr>
          <w:spacing w:val="-4"/>
          <w:vertAlign w:val="superscript"/>
        </w:rPr>
        <w:t xml:space="preserve"> </w:t>
      </w:r>
      <w:r w:rsidRPr="00443C3D">
        <w:rPr>
          <w:rFonts w:ascii="ITC Avant Garde" w:eastAsia="Times New Roman" w:hAnsi="ITC Avant Garde"/>
          <w:szCs w:val="24"/>
          <w:lang w:eastAsia="es-ES"/>
        </w:rPr>
        <w:t>con o bien STM o bien módems de fibra Gbit/s).</w:t>
      </w:r>
    </w:p>
    <w:p w:rsidR="00692D54" w:rsidRPr="00443C3D" w:rsidRDefault="00692D54" w:rsidP="00692D54">
      <w:pPr>
        <w:spacing w:after="0" w:line="276" w:lineRule="auto"/>
        <w:ind w:left="993"/>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este sentido, en consistencia con la mejor tecnología disponible, los operadores modelados disponen de una red de transmisión basada principalmente en enlaces de microondas y enlaces dedicados que migrarán progresivamente a una arquitectura de red basada en fibra y tecnología Ethernet. El Modelo Móvil es flexible y modela una red de transmisión heredada (SDH), todo sobre IP (</w:t>
      </w:r>
      <w:r w:rsidRPr="00443C3D">
        <w:rPr>
          <w:rFonts w:ascii="ITC Avant Garde" w:eastAsia="Times New Roman" w:hAnsi="ITC Avant Garde"/>
          <w:i/>
          <w:szCs w:val="24"/>
          <w:lang w:eastAsia="es-ES"/>
        </w:rPr>
        <w:t>Internet Protocol)</w:t>
      </w:r>
      <w:r w:rsidRPr="00443C3D">
        <w:rPr>
          <w:rFonts w:ascii="ITC Avant Garde" w:eastAsia="Times New Roman" w:hAnsi="ITC Avant Garde"/>
          <w:szCs w:val="24"/>
          <w:lang w:eastAsia="es-ES"/>
        </w:rPr>
        <w:t xml:space="preserve"> o una migración entre ambas.</w:t>
      </w:r>
    </w:p>
    <w:p w:rsidR="00692D54" w:rsidRPr="00443C3D" w:rsidRDefault="00692D54" w:rsidP="00692D54">
      <w:pPr>
        <w:spacing w:after="0" w:line="276" w:lineRule="auto"/>
        <w:ind w:left="426"/>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cs="Arial"/>
          <w:b/>
          <w:lang w:val="es-ES" w:eastAsia="es-ES"/>
        </w:rPr>
      </w:pPr>
      <w:r w:rsidRPr="00443C3D">
        <w:rPr>
          <w:rFonts w:ascii="ITC Avant Garde" w:eastAsia="Times New Roman" w:hAnsi="ITC Avant Garde" w:cs="Arial"/>
          <w:b/>
          <w:lang w:val="es-ES" w:eastAsia="es-ES"/>
        </w:rPr>
        <w:t>Red de telecomunicaciones fija</w:t>
      </w:r>
    </w:p>
    <w:p w:rsidR="00692D54" w:rsidRPr="00443C3D" w:rsidRDefault="00692D54" w:rsidP="00692D54">
      <w:pPr>
        <w:spacing w:after="0" w:line="276" w:lineRule="auto"/>
        <w:jc w:val="both"/>
        <w:rPr>
          <w:rFonts w:ascii="ITC Avant Garde" w:eastAsia="Times New Roman" w:hAnsi="ITC Avant Garde" w:cs="Arial"/>
          <w:i/>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Las redes fijas suelen estar formadas de dos capas de activos, las cuales pueden ser desplegadas en base a diferentes tecnologías. Estas son generalmente la capa de acceso y la capa troncal (</w:t>
      </w:r>
      <w:r w:rsidRPr="00443C3D">
        <w:rPr>
          <w:rFonts w:ascii="ITC Avant Garde" w:eastAsia="Times New Roman" w:hAnsi="ITC Avant Garde" w:cs="Arial"/>
          <w:i/>
          <w:lang w:val="es-ES" w:eastAsia="es-ES"/>
        </w:rPr>
        <w:t>core</w:t>
      </w:r>
      <w:r w:rsidRPr="00443C3D">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i/>
          <w:lang w:val="es-ES" w:eastAsia="es-ES"/>
        </w:rPr>
      </w:pPr>
      <w:r w:rsidRPr="00443C3D">
        <w:rPr>
          <w:rFonts w:ascii="ITC Avant Garde" w:eastAsia="Times New Roman" w:hAnsi="ITC Avant Garde" w:cs="Arial"/>
          <w:i/>
          <w:lang w:val="es-ES" w:eastAsia="es-ES"/>
        </w:rPr>
        <w:t>Red de acceso</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443C3D">
        <w:rPr>
          <w:rFonts w:ascii="ITC Avant Garde" w:eastAsia="Times New Roman" w:hAnsi="ITC Avant Garde" w:cs="Arial"/>
          <w:i/>
          <w:lang w:val="es-ES" w:eastAsia="es-ES"/>
        </w:rPr>
        <w:t>Multi- Service Access Node</w:t>
      </w:r>
      <w:r w:rsidRPr="00443C3D">
        <w:rPr>
          <w:rFonts w:ascii="ITC Avant Garde" w:eastAsia="Times New Roman" w:hAnsi="ITC Avant Garde" w:cs="Arial"/>
          <w:lang w:val="es-ES" w:eastAsia="es-ES"/>
        </w:rPr>
        <w:t>) y supone que el operador despliega una red de última milla de cobre (no incluida en el modelo) sobre la que se despliega VDSL (</w:t>
      </w:r>
      <w:r w:rsidRPr="00443C3D">
        <w:rPr>
          <w:rFonts w:ascii="ITC Avant Garde" w:eastAsia="Times New Roman" w:hAnsi="ITC Avant Garde" w:cs="Arial"/>
          <w:i/>
          <w:lang w:val="es-ES" w:eastAsia="es-ES"/>
        </w:rPr>
        <w:t>Very high-bit-rate Digital Suscriber Line)</w:t>
      </w:r>
      <w:r w:rsidRPr="00443C3D">
        <w:rPr>
          <w:rFonts w:ascii="ITC Avant Garde" w:eastAsia="Times New Roman" w:hAnsi="ITC Avant Garde" w:cs="Arial"/>
          <w:lang w:val="es-ES" w:eastAsia="es-ES"/>
        </w:rPr>
        <w:t>.</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i/>
          <w:lang w:val="es-ES" w:eastAsia="es-ES"/>
        </w:rPr>
      </w:pPr>
      <w:r w:rsidRPr="00443C3D">
        <w:rPr>
          <w:rFonts w:ascii="ITC Avant Garde" w:eastAsia="Times New Roman" w:hAnsi="ITC Avant Garde" w:cs="Arial"/>
          <w:i/>
          <w:lang w:val="es-ES" w:eastAsia="es-ES"/>
        </w:rPr>
        <w:t>Red troncal (core)</w:t>
      </w:r>
    </w:p>
    <w:p w:rsidR="00692D54" w:rsidRPr="00443C3D" w:rsidRDefault="00692D54" w:rsidP="00692D54">
      <w:pPr>
        <w:spacing w:after="0" w:line="276" w:lineRule="auto"/>
        <w:ind w:left="567"/>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443C3D">
        <w:rPr>
          <w:rFonts w:ascii="ITC Avant Garde" w:eastAsia="Times New Roman" w:hAnsi="ITC Avant Garde" w:cs="Arial"/>
          <w:i/>
          <w:lang w:val="es-ES" w:eastAsia="es-ES"/>
        </w:rPr>
        <w:t>switches</w:t>
      </w:r>
      <w:r w:rsidRPr="00443C3D">
        <w:rPr>
          <w:rFonts w:ascii="ITC Avant Garde" w:eastAsia="Times New Roman" w:hAnsi="ITC Avant Garde" w:cs="Arial"/>
          <w:lang w:val="es-ES" w:eastAsia="es-ES"/>
        </w:rPr>
        <w:t>) y enrutadores (</w:t>
      </w:r>
      <w:r w:rsidRPr="00443C3D">
        <w:rPr>
          <w:rFonts w:ascii="ITC Avant Garde" w:eastAsia="Times New Roman" w:hAnsi="ITC Avant Garde" w:cs="Arial"/>
          <w:i/>
          <w:lang w:val="es-ES" w:eastAsia="es-ES"/>
        </w:rPr>
        <w:t>routers</w:t>
      </w:r>
      <w:r w:rsidRPr="00443C3D">
        <w:rPr>
          <w:rFonts w:ascii="ITC Avant Garde" w:eastAsia="Times New Roman" w:hAnsi="ITC Avant Garde" w:cs="Arial"/>
          <w:lang w:val="es-ES" w:eastAsia="es-ES"/>
        </w:rPr>
        <w:t>) Ethernet e IP/MPLS (</w:t>
      </w:r>
      <w:r w:rsidRPr="00443C3D">
        <w:rPr>
          <w:rFonts w:ascii="ITC Avant Garde" w:eastAsia="Times New Roman" w:hAnsi="ITC Avant Garde" w:cs="Arial"/>
          <w:i/>
          <w:lang w:val="es-ES" w:eastAsia="es-ES"/>
        </w:rPr>
        <w:t>Multiprotocol Laber Switching</w:t>
      </w:r>
      <w:r w:rsidRPr="00443C3D">
        <w:rPr>
          <w:rFonts w:ascii="ITC Avant Garde" w:eastAsia="Times New Roman" w:hAnsi="ITC Avant Garde" w:cs="Arial"/>
          <w:lang w:val="es-ES" w:eastAsia="es-ES"/>
        </w:rPr>
        <w:t xml:space="preserve">). Sin embargo, la red de control NGN a modelar depende en gran medida de la arquitectura de la red de acceso. </w:t>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rsidR="00692D54" w:rsidRPr="00443C3D" w:rsidRDefault="00692D54" w:rsidP="00692D54">
      <w:pPr>
        <w:spacing w:after="0" w:line="276" w:lineRule="auto"/>
        <w:jc w:val="center"/>
        <w:rPr>
          <w:rFonts w:ascii="ITC Avant Garde" w:eastAsia="Times New Roman" w:hAnsi="ITC Avant Garde" w:cs="Arial"/>
          <w:lang w:val="es-ES" w:eastAsia="es-ES"/>
        </w:rPr>
      </w:pPr>
    </w:p>
    <w:p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w:t>
      </w:r>
      <w:r w:rsidRPr="00443C3D">
        <w:rPr>
          <w:rFonts w:ascii="ITC Avant Garde" w:eastAsia="Times New Roman" w:hAnsi="ITC Avant Garde" w:cs="Arial"/>
          <w:lang w:val="es-ES" w:eastAsia="es-ES"/>
        </w:rPr>
        <w:lastRenderedPageBreak/>
        <w:t>voz circulen por la red sin problemas y según reglas de transmisión (tiempo, retardo, jitter, etc.) asociadas al servicio de voz.</w:t>
      </w:r>
      <w:r w:rsidRPr="00443C3D">
        <w:rPr>
          <w:rFonts w:ascii="ITC Avant Garde" w:eastAsia="Times New Roman" w:hAnsi="ITC Avant Garde" w:cs="Arial"/>
          <w:vertAlign w:val="superscript"/>
          <w:lang w:val="es-ES" w:eastAsia="es-ES"/>
        </w:rPr>
        <w:footnoteReference w:id="12"/>
      </w:r>
    </w:p>
    <w:p w:rsidR="00692D54" w:rsidRPr="00443C3D" w:rsidRDefault="00692D54" w:rsidP="00692D54">
      <w:pPr>
        <w:spacing w:after="0" w:line="276" w:lineRule="auto"/>
        <w:jc w:val="both"/>
        <w:rPr>
          <w:rFonts w:ascii="ITC Avant Garde" w:eastAsia="Times New Roman" w:hAnsi="ITC Avant Garde" w:cs="Arial"/>
          <w:lang w:val="es-ES" w:eastAsia="es-ES"/>
        </w:rPr>
      </w:pPr>
    </w:p>
    <w:p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49CCE42C" wp14:editId="545A52B6">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rsidR="00692D54" w:rsidRPr="00443C3D" w:rsidRDefault="00692D54" w:rsidP="00692D54">
      <w:pPr>
        <w:keepNext/>
        <w:tabs>
          <w:tab w:val="left" w:pos="2041"/>
        </w:tabs>
        <w:spacing w:after="0" w:line="276" w:lineRule="auto"/>
        <w:jc w:val="center"/>
        <w:rPr>
          <w:rFonts w:ascii="ITC Avant Garde" w:hAnsi="ITC Avant Garde" w:cs="Arial"/>
          <w:bCs/>
          <w:sz w:val="18"/>
          <w:szCs w:val="18"/>
          <w:lang w:val="es-ES"/>
        </w:rPr>
      </w:pPr>
      <w:r w:rsidRPr="00443C3D">
        <w:rPr>
          <w:rFonts w:ascii="ITC Avant Garde" w:hAnsi="ITC Avant Garde" w:cs="Arial"/>
          <w:bCs/>
          <w:sz w:val="18"/>
          <w:szCs w:val="18"/>
          <w:lang w:val="es-ES"/>
        </w:rPr>
        <w:t>Figura 2: Comparación entre redes de conmutación de circuitos y de conmutación de paquetes [Fuente: Analysys Mason, 2016)</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figuras 2 y 3 comparan la arquitectura de una red PSTN y una red NGN y se pueden ver los dos conceptos que rigen una red NGN:</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numPr>
          <w:ilvl w:val="0"/>
          <w:numId w:val="15"/>
        </w:numPr>
        <w:tabs>
          <w:tab w:val="num" w:pos="426"/>
        </w:tabs>
        <w:spacing w:after="0" w:line="276" w:lineRule="auto"/>
        <w:ind w:left="426" w:firstLine="0"/>
        <w:jc w:val="both"/>
        <w:rPr>
          <w:rFonts w:ascii="ITC Avant Garde" w:eastAsia="Times New Roman" w:hAnsi="ITC Avant Garde"/>
          <w:szCs w:val="24"/>
          <w:lang w:val="es-ES" w:eastAsia="es-ES"/>
        </w:rPr>
      </w:pPr>
      <w:r w:rsidRPr="00443C3D">
        <w:rPr>
          <w:rFonts w:ascii="ITC Avant Garde" w:eastAsia="Times New Roman" w:hAnsi="ITC Avant Garde"/>
          <w:i/>
          <w:szCs w:val="24"/>
          <w:lang w:eastAsia="es-ES"/>
        </w:rPr>
        <w:t>La separación entre los planos de control y de usuario</w:t>
      </w:r>
      <w:r w:rsidRPr="00443C3D">
        <w:rPr>
          <w:rFonts w:ascii="ITC Avant Garde" w:eastAsia="Times New Roman" w:hAnsi="ITC Avant Garde"/>
          <w:szCs w:val="24"/>
          <w:lang w:eastAsia="es-ES"/>
        </w:rPr>
        <w:t>. En una red PSTN los conmutadores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realizan la conmutación de las llamadas de voz y gestionan la señalización; en una red NGN, los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son los que gestionan la señalización, y los </w:t>
      </w:r>
      <w:r w:rsidRPr="00443C3D">
        <w:rPr>
          <w:rFonts w:ascii="ITC Avant Garde" w:eastAsia="Times New Roman" w:hAnsi="ITC Avant Garde"/>
          <w:i/>
          <w:szCs w:val="24"/>
          <w:lang w:eastAsia="es-ES"/>
        </w:rPr>
        <w:t>routers</w:t>
      </w:r>
      <w:r w:rsidRPr="00443C3D">
        <w:rPr>
          <w:rFonts w:ascii="ITC Avant Garde" w:eastAsia="Times New Roman" w:hAnsi="ITC Avant Garde"/>
          <w:szCs w:val="24"/>
          <w:lang w:eastAsia="es-ES"/>
        </w:rPr>
        <w:t xml:space="preserve"> (o </w:t>
      </w:r>
      <w:r w:rsidRPr="00443C3D">
        <w:rPr>
          <w:rFonts w:ascii="ITC Avant Garde" w:eastAsia="Times New Roman" w:hAnsi="ITC Avant Garde"/>
          <w:i/>
          <w:szCs w:val="24"/>
          <w:lang w:eastAsia="es-ES"/>
        </w:rPr>
        <w:t>media gateways</w:t>
      </w:r>
      <w:r w:rsidRPr="00443C3D">
        <w:rPr>
          <w:rFonts w:ascii="ITC Avant Garde" w:eastAsia="Times New Roman" w:hAnsi="ITC Avant Garde"/>
          <w:szCs w:val="24"/>
          <w:lang w:eastAsia="es-ES"/>
        </w:rPr>
        <w:t xml:space="preserve"> especializadas) enrutan y gestionan el tráfico de paquetes de voz. Adicionalmente, y como se puede comprobar en la Figura 3, las capas separadas de las red de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locales y de tránsito se reemplazan por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en una estructura de una sola capa. Típicamente, en una red PSTN de 100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locales y 10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de tránsito, éstos podrían ser remplazados por un menor número de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(menos de 5) en una red NGN.</w:t>
      </w:r>
    </w:p>
    <w:p w:rsidR="00692D54" w:rsidRPr="00443C3D" w:rsidRDefault="00692D54" w:rsidP="00692D54">
      <w:pPr>
        <w:spacing w:after="0" w:line="276" w:lineRule="auto"/>
        <w:ind w:left="426"/>
        <w:jc w:val="both"/>
        <w:rPr>
          <w:rFonts w:ascii="ITC Avant Garde" w:eastAsia="Times New Roman" w:hAnsi="ITC Avant Garde"/>
          <w:szCs w:val="24"/>
          <w:lang w:val="es-ES" w:eastAsia="es-ES"/>
        </w:rPr>
      </w:pPr>
    </w:p>
    <w:p w:rsidR="00692D54" w:rsidRPr="00443C3D" w:rsidRDefault="00692D54" w:rsidP="00692D54">
      <w:pPr>
        <w:numPr>
          <w:ilvl w:val="0"/>
          <w:numId w:val="15"/>
        </w:numPr>
        <w:tabs>
          <w:tab w:val="num" w:pos="426"/>
        </w:tabs>
        <w:spacing w:after="0" w:line="276" w:lineRule="auto"/>
        <w:ind w:left="426" w:firstLine="0"/>
        <w:jc w:val="both"/>
        <w:rPr>
          <w:rFonts w:ascii="ITC Avant Garde" w:eastAsia="Times New Roman" w:hAnsi="ITC Avant Garde"/>
          <w:szCs w:val="24"/>
          <w:lang w:val="es-ES" w:eastAsia="es-ES"/>
        </w:rPr>
      </w:pPr>
      <w:r w:rsidRPr="00443C3D">
        <w:rPr>
          <w:rFonts w:ascii="ITC Avant Garde" w:eastAsia="Times New Roman" w:hAnsi="ITC Avant Garde"/>
          <w:i/>
          <w:szCs w:val="24"/>
          <w:lang w:val="es-ES" w:eastAsia="es-ES"/>
        </w:rPr>
        <w:lastRenderedPageBreak/>
        <w:t>La realización de la transmisión de paquetes de voz a través de una capa de routers común al resto de servicios transmitidos por la red NGN</w:t>
      </w:r>
      <w:r w:rsidRPr="00443C3D">
        <w:rPr>
          <w:rFonts w:ascii="ITC Avant Garde" w:eastAsia="Times New Roman" w:hAnsi="ITC Avant Garde"/>
          <w:szCs w:val="24"/>
          <w:lang w:val="es-ES" w:eastAsia="es-ES"/>
        </w:rPr>
        <w:t xml:space="preserve">. Estos </w:t>
      </w:r>
      <w:r w:rsidRPr="00443C3D">
        <w:rPr>
          <w:rFonts w:ascii="ITC Avant Garde" w:eastAsia="Times New Roman" w:hAnsi="ITC Avant Garde"/>
          <w:i/>
          <w:szCs w:val="24"/>
          <w:lang w:val="es-ES" w:eastAsia="es-ES"/>
        </w:rPr>
        <w:t xml:space="preserve">routers </w:t>
      </w:r>
      <w:r w:rsidRPr="00443C3D">
        <w:rPr>
          <w:rFonts w:ascii="ITC Avant Garde" w:eastAsia="Times New Roman" w:hAnsi="ITC Avant Garde"/>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rsidR="00692D54" w:rsidRPr="00443C3D" w:rsidRDefault="00692D54" w:rsidP="00692D54">
      <w:pPr>
        <w:spacing w:after="0" w:line="276" w:lineRule="auto"/>
        <w:ind w:left="426"/>
        <w:jc w:val="both"/>
        <w:rPr>
          <w:rFonts w:ascii="ITC Avant Garde" w:eastAsia="Times New Roman" w:hAnsi="ITC Avant Garde"/>
          <w:szCs w:val="24"/>
          <w:lang w:val="es-ES"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aplicación de ambos principios implica importantes ahorros en inversiones y gastos operativos.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2823EB15" wp14:editId="04FE4BBD">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rsidR="00692D54" w:rsidRPr="00443C3D" w:rsidRDefault="00692D54" w:rsidP="00692D54">
      <w:pPr>
        <w:keepNext/>
        <w:tabs>
          <w:tab w:val="left" w:pos="2041"/>
        </w:tabs>
        <w:spacing w:after="0" w:line="276" w:lineRule="auto"/>
        <w:jc w:val="center"/>
        <w:rPr>
          <w:rFonts w:ascii="ITC Avant Garde" w:hAnsi="ITC Avant Garde" w:cs="Arial"/>
          <w:bCs/>
          <w:sz w:val="18"/>
          <w:szCs w:val="18"/>
          <w:lang w:val="es-ES"/>
        </w:rPr>
      </w:pPr>
      <w:r w:rsidRPr="00443C3D">
        <w:rPr>
          <w:rFonts w:ascii="ITC Avant Garde" w:hAnsi="ITC Avant Garde" w:cs="Arial"/>
          <w:bCs/>
          <w:sz w:val="18"/>
          <w:szCs w:val="18"/>
          <w:lang w:val="es-ES"/>
        </w:rPr>
        <w:t>Figura 3: Comparación de la red PSTN tradicional y los servicios de voz sobre una NGN [Fuente: Analysys Mason, 2016]</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interconexión con las redes de otros operadores en una red NGN se implementa a través de pasarelas frontera (</w:t>
      </w:r>
      <w:r w:rsidRPr="00443C3D">
        <w:rPr>
          <w:rFonts w:ascii="ITC Avant Garde" w:eastAsia="Times New Roman" w:hAnsi="ITC Avant Garde"/>
          <w:i/>
          <w:szCs w:val="24"/>
          <w:lang w:eastAsia="es-ES"/>
        </w:rPr>
        <w:t>border gateways</w:t>
      </w:r>
      <w:r w:rsidRPr="00443C3D">
        <w:rPr>
          <w:rFonts w:ascii="ITC Avant Garde" w:eastAsia="Times New Roman" w:hAnsi="ITC Avant Garde"/>
          <w:szCs w:val="24"/>
          <w:lang w:eastAsia="es-ES"/>
        </w:rPr>
        <w:t xml:space="preserve"> en inglés) que controlan el acceso a la red. Si la red se interconecta con una red tradicional de circuitos conmutados, se necesitan </w:t>
      </w:r>
      <w:r w:rsidRPr="00443C3D">
        <w:rPr>
          <w:rFonts w:ascii="ITC Avant Garde" w:eastAsia="Times New Roman" w:hAnsi="ITC Avant Garde"/>
          <w:i/>
          <w:szCs w:val="24"/>
          <w:lang w:eastAsia="es-ES"/>
        </w:rPr>
        <w:t>media gateways</w:t>
      </w:r>
      <w:r w:rsidRPr="00443C3D">
        <w:rPr>
          <w:rFonts w:ascii="ITC Avant Garde" w:eastAsia="Times New Roman" w:hAnsi="ITC Avant Garde"/>
          <w:szCs w:val="24"/>
          <w:lang w:eastAsia="es-ES"/>
        </w:rPr>
        <w:t xml:space="preserve"> </w:t>
      </w:r>
      <w:r w:rsidRPr="00443C3D">
        <w:rPr>
          <w:rFonts w:ascii="ITC Avant Garde" w:eastAsia="Times New Roman" w:hAnsi="ITC Avant Garde"/>
          <w:i/>
          <w:szCs w:val="24"/>
          <w:lang w:eastAsia="es-ES"/>
        </w:rPr>
        <w:t>o trunking gateways</w:t>
      </w:r>
      <w:r w:rsidRPr="00443C3D">
        <w:rPr>
          <w:rFonts w:ascii="ITC Avant Garde" w:eastAsia="Times New Roman" w:hAnsi="ITC Avant Garde"/>
          <w:szCs w:val="24"/>
          <w:lang w:eastAsia="es-ES"/>
        </w:rPr>
        <w:t xml:space="preserve"> que conviertan los paquetes de voz en señales TDM. </w:t>
      </w:r>
    </w:p>
    <w:p w:rsidR="00692D54" w:rsidRPr="00443C3D" w:rsidRDefault="00692D54" w:rsidP="00692D54">
      <w:pPr>
        <w:spacing w:after="0" w:line="276" w:lineRule="auto"/>
        <w:ind w:left="567"/>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443C3D">
        <w:rPr>
          <w:rFonts w:ascii="ITC Avant Garde" w:eastAsia="Times New Roman" w:hAnsi="ITC Avant Garde"/>
          <w:spacing w:val="-4"/>
          <w:szCs w:val="24"/>
          <w:lang w:eastAsia="es-ES"/>
        </w:rPr>
        <w:t>todo sobre IP</w:t>
      </w:r>
      <w:r w:rsidRPr="00443C3D">
        <w:rPr>
          <w:rFonts w:ascii="ITC Avant Garde" w:eastAsia="Times New Roman" w:hAnsi="ITC Avant Garde"/>
          <w:szCs w:val="24"/>
          <w:lang w:eastAsia="es-ES"/>
        </w:rPr>
        <w:t xml:space="preserve">. El modelado de una red NGN estaría en línea con las prácticas internacionales como la establecida por la Comisión Europea en su recomendación sobre el cálculo de los costos de terminación y su aplicación en diversos modelos realizados para reguladores de la </w:t>
      </w:r>
      <w:r w:rsidRPr="00443C3D">
        <w:rPr>
          <w:rFonts w:ascii="ITC Avant Garde" w:eastAsia="Times New Roman" w:hAnsi="ITC Avant Garde"/>
          <w:szCs w:val="24"/>
          <w:lang w:eastAsia="es-ES"/>
        </w:rPr>
        <w:lastRenderedPageBreak/>
        <w:t>Unión Europea. La parte troncal de la red estaría por lo tanto basada en NGN, siendo el despliegue basado en una arquitectura IP BAP (</w:t>
      </w:r>
      <w:r w:rsidRPr="00443C3D">
        <w:rPr>
          <w:rFonts w:ascii="ITC Avant Garde" w:eastAsia="Times New Roman" w:hAnsi="ITC Avant Garde"/>
          <w:i/>
          <w:szCs w:val="24"/>
          <w:lang w:eastAsia="es-ES"/>
        </w:rPr>
        <w:t xml:space="preserve">Bandwidth Allocation Protocol) </w:t>
      </w:r>
      <w:r w:rsidRPr="00443C3D">
        <w:rPr>
          <w:rFonts w:ascii="ITC Avant Garde" w:eastAsia="Times New Roman" w:hAnsi="ITC Avant Garde"/>
          <w:szCs w:val="24"/>
          <w:lang w:eastAsia="es-ES"/>
        </w:rPr>
        <w:t>como opción más apropiada.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tal virtud la red troncal del operador hipotético se basará en una arquitectura NGN-IP BAP. Los servicios de voz están habilitados por aplicaciones que utilizarán subsistemas multimedia IP (IMS). Los </w:t>
      </w:r>
      <w:r w:rsidRPr="00443C3D">
        <w:rPr>
          <w:rFonts w:ascii="ITC Avant Garde" w:eastAsia="Times New Roman" w:hAnsi="ITC Avant Garde"/>
          <w:i/>
          <w:szCs w:val="24"/>
          <w:lang w:eastAsia="es-ES"/>
        </w:rPr>
        <w:t>trunk media gateways</w:t>
      </w:r>
      <w:r w:rsidRPr="00443C3D">
        <w:rPr>
          <w:rFonts w:ascii="ITC Avant Garde" w:eastAsia="Times New Roman" w:hAnsi="ITC Avant Garde"/>
          <w:szCs w:val="24"/>
          <w:lang w:eastAsia="es-ES"/>
        </w:rPr>
        <w:t xml:space="preserve"> (TGWs) pueden desplegarse en conmutadores locales legados y en puntos de interconexión TDM, de ser necesario.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i/>
          <w:szCs w:val="24"/>
          <w:lang w:eastAsia="es-ES"/>
        </w:rPr>
      </w:pPr>
      <w:r w:rsidRPr="00443C3D">
        <w:rPr>
          <w:rFonts w:ascii="ITC Avant Garde" w:eastAsia="Times New Roman" w:hAnsi="ITC Avant Garde"/>
          <w:i/>
          <w:szCs w:val="24"/>
          <w:lang w:eastAsia="es-ES"/>
        </w:rPr>
        <w:t>Red de transmisión</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transmisión en una red fija puede realizase a través de una serie de métodos alternativos: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ATM (</w:t>
      </w:r>
      <w:r w:rsidRPr="00443C3D">
        <w:rPr>
          <w:rFonts w:ascii="ITC Avant Garde" w:eastAsia="Times New Roman" w:hAnsi="ITC Avant Garde"/>
          <w:i/>
          <w:szCs w:val="24"/>
          <w:lang w:eastAsia="es-ES"/>
        </w:rPr>
        <w:t>Asynchronous Transfer Mode)</w:t>
      </w:r>
      <w:r w:rsidRPr="00443C3D">
        <w:rPr>
          <w:rFonts w:ascii="ITC Avant Garde" w:eastAsia="Times New Roman" w:hAnsi="ITC Avant Garde"/>
          <w:szCs w:val="24"/>
          <w:lang w:eastAsia="es-ES"/>
        </w:rPr>
        <w:t xml:space="preserve"> sobre SDH o SDH de próxima generación;</w:t>
      </w:r>
    </w:p>
    <w:p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Microondas STM punto-a-punto; </w:t>
      </w:r>
    </w:p>
    <w:p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IP/MPLS sobre SDH o SDH de próxima generación;</w:t>
      </w:r>
    </w:p>
    <w:p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IP/MPLS sobre Ethernet nativo.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así que se modelará un operador hipotético con una red de transmisión IP/MPLS sobre Ethernet nativo, o SDH de próxima generación sobre DWDM (</w:t>
      </w:r>
      <w:r w:rsidRPr="00443C3D">
        <w:rPr>
          <w:rFonts w:ascii="ITC Avant Garde" w:eastAsia="Times New Roman" w:hAnsi="ITC Avant Garde"/>
          <w:i/>
          <w:szCs w:val="24"/>
          <w:lang w:eastAsia="es-ES"/>
        </w:rPr>
        <w:t>Dense Wavelength Division Multiplexing)</w:t>
      </w:r>
      <w:r w:rsidRPr="00443C3D">
        <w:rPr>
          <w:rFonts w:ascii="ITC Avant Garde" w:eastAsia="Times New Roman" w:hAnsi="ITC Avant Garde"/>
          <w:szCs w:val="24"/>
          <w:lang w:eastAsia="es-ES"/>
        </w:rPr>
        <w:t>, dependiendo de lo que represente menores costos en función del volumen de tráfico trasportado en la red del operador hipotético.</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i/>
          <w:szCs w:val="24"/>
          <w:lang w:eastAsia="es-ES"/>
        </w:rPr>
      </w:pPr>
      <w:r w:rsidRPr="00443C3D">
        <w:rPr>
          <w:rFonts w:ascii="ITC Avant Garde" w:eastAsia="Times New Roman" w:hAnsi="ITC Avant Garde"/>
          <w:i/>
          <w:szCs w:val="24"/>
          <w:lang w:eastAsia="es-ES"/>
        </w:rPr>
        <w:t>Demarcación de las capas de red</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rsidR="00692D54" w:rsidRPr="00443C3D" w:rsidRDefault="00692D54" w:rsidP="00692D54">
      <w:pPr>
        <w:spacing w:after="0" w:line="276" w:lineRule="auto"/>
        <w:ind w:left="567"/>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Al aplicar este principio a las redes fijas para un usuario de telefonía fija, el punto de demarcación se encuentra en la tarjeta (</w:t>
      </w:r>
      <w:r w:rsidRPr="00443C3D">
        <w:rPr>
          <w:rFonts w:ascii="ITC Avant Garde" w:eastAsia="Times New Roman" w:hAnsi="ITC Avant Garde"/>
          <w:i/>
          <w:szCs w:val="24"/>
          <w:lang w:eastAsia="es-ES"/>
        </w:rPr>
        <w:t>line card</w:t>
      </w:r>
      <w:r w:rsidRPr="00443C3D">
        <w:rPr>
          <w:rFonts w:ascii="ITC Avant Garde" w:eastAsia="Times New Roman" w:hAnsi="ITC Avant Garde"/>
          <w:szCs w:val="24"/>
          <w:lang w:eastAsia="es-ES"/>
        </w:rPr>
        <w:t>) del conmutador o de su equivalente en una red NGN.</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Para un usuario de telefonía móvil, el punto de demarcación se encuentra en la tarjeta SIM ya que la concentración de tráfico ocurre en la interface aérea.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Nodos de la red</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443C3D">
        <w:rPr>
          <w:rFonts w:ascii="ITC Avant Garde" w:eastAsia="Times New Roman" w:hAnsi="ITC Avant Garde"/>
          <w:i/>
          <w:szCs w:val="24"/>
          <w:lang w:eastAsia="es-ES"/>
        </w:rPr>
        <w:t>bottom-up</w:t>
      </w:r>
      <w:r w:rsidRPr="00443C3D">
        <w:rPr>
          <w:rFonts w:ascii="ITC Avant Garde" w:eastAsia="Times New Roman" w:hAnsi="ITC Avant Garde"/>
          <w:szCs w:val="24"/>
          <w:lang w:eastAsia="es-ES"/>
        </w:rPr>
        <w:t xml:space="preserve">, hay varias opciones disponibles en cuanto al nivel de detalle utilizado en redes reales. Cuanto mayor sea el nivel de </w:t>
      </w:r>
      <w:r w:rsidRPr="00443C3D">
        <w:rPr>
          <w:rFonts w:ascii="ITC Avant Garde" w:eastAsia="Times New Roman" w:hAnsi="ITC Avant Garde"/>
          <w:szCs w:val="24"/>
          <w:lang w:eastAsia="es-ES"/>
        </w:rPr>
        <w:lastRenderedPageBreak/>
        <w:t xml:space="preserve">granularidad/detalle utilizado directamente en los cálculos, menor será el nivel de </w:t>
      </w:r>
      <w:r w:rsidRPr="00443C3D">
        <w:rPr>
          <w:rFonts w:ascii="ITC Avant Garde" w:eastAsia="Times New Roman" w:hAnsi="ITC Avant Garde"/>
          <w:i/>
          <w:szCs w:val="24"/>
          <w:lang w:eastAsia="es-ES"/>
        </w:rPr>
        <w:t>scorching</w:t>
      </w:r>
      <w:r w:rsidRPr="00443C3D">
        <w:rPr>
          <w:rFonts w:ascii="ITC Avant Garde" w:eastAsia="Times New Roman" w:hAnsi="ITC Avant Garde"/>
          <w:szCs w:val="24"/>
          <w:lang w:eastAsia="es-ES"/>
        </w:rPr>
        <w:t xml:space="preserve"> utilizado. </w:t>
      </w:r>
    </w:p>
    <w:p w:rsidR="00692D54" w:rsidRPr="00443C3D" w:rsidRDefault="00692D54" w:rsidP="00692D54">
      <w:pPr>
        <w:tabs>
          <w:tab w:val="left" w:pos="2925"/>
        </w:tabs>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Lineamiento Quinto de la Metodología de Costos señala a la letra lo siguiente:</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eastAsia="es-ES"/>
        </w:rPr>
        <w:t>“</w:t>
      </w:r>
      <w:r w:rsidRPr="00443C3D">
        <w:rPr>
          <w:rFonts w:ascii="ITC Avant Garde" w:eastAsia="Times New Roman" w:hAnsi="ITC Avant Garde" w:cs="Arial"/>
          <w:b/>
          <w:i/>
          <w:sz w:val="18"/>
          <w:szCs w:val="18"/>
          <w:lang w:eastAsia="es-ES"/>
        </w:rPr>
        <w:t>QUINTO</w:t>
      </w:r>
      <w:r w:rsidRPr="00443C3D">
        <w:rPr>
          <w:rFonts w:ascii="ITC Avant Garde" w:eastAsia="Times New Roman" w:hAnsi="ITC Avant Garde" w:cs="Arial"/>
          <w:b/>
          <w:i/>
          <w:sz w:val="18"/>
          <w:szCs w:val="18"/>
          <w:lang w:val="es-ES" w:eastAsia="es-ES"/>
        </w:rPr>
        <w:t>.-</w:t>
      </w:r>
      <w:r w:rsidRPr="00443C3D">
        <w:rPr>
          <w:rFonts w:ascii="ITC Avant Garde" w:eastAsia="Times New Roman" w:hAnsi="ITC Avant Garde"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Es así </w:t>
      </w:r>
      <w:r w:rsidR="008E6DC2"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de acuerdo con la Metodología de Costos, la red fija y la red móvil se modelaron siguiendo un enfoque </w:t>
      </w:r>
      <w:r w:rsidRPr="00443C3D">
        <w:rPr>
          <w:rFonts w:ascii="ITC Avant Garde" w:eastAsia="Times New Roman" w:hAnsi="ITC Avant Garde"/>
          <w:i/>
          <w:szCs w:val="24"/>
          <w:lang w:eastAsia="es-ES"/>
        </w:rPr>
        <w:t>scorched-earth</w:t>
      </w:r>
      <w:r w:rsidRPr="00443C3D">
        <w:rPr>
          <w:rFonts w:ascii="ITC Avant Garde" w:eastAsia="Times New Roman" w:hAnsi="ITC Avant Garde"/>
          <w:szCs w:val="24"/>
          <w:lang w:eastAsia="es-ES"/>
        </w:rPr>
        <w:t xml:space="preserve"> calibrado con los datos de la red de los concesionarios actuales, lo cual resultará en una red más eficiente que la de los operadores existentes. </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El enfoque </w:t>
      </w:r>
      <w:r w:rsidRPr="00443C3D">
        <w:rPr>
          <w:rFonts w:ascii="ITC Avant Garde" w:eastAsia="Times New Roman" w:hAnsi="ITC Avant Garde"/>
          <w:i/>
          <w:szCs w:val="24"/>
          <w:lang w:eastAsia="es-ES"/>
        </w:rPr>
        <w:t>scorched-earth</w:t>
      </w:r>
      <w:r w:rsidRPr="00443C3D">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 </w:t>
      </w:r>
      <w:r w:rsidR="008E6DC2" w:rsidRPr="00443C3D">
        <w:rPr>
          <w:rFonts w:ascii="ITC Avant Garde" w:eastAsia="Times New Roman" w:hAnsi="ITC Avant Garde"/>
          <w:szCs w:val="24"/>
          <w:lang w:eastAsia="es-ES"/>
        </w:rPr>
        <w:t>continuación,</w:t>
      </w:r>
      <w:r w:rsidRPr="00443C3D">
        <w:rPr>
          <w:rFonts w:ascii="ITC Avant Garde" w:eastAsia="Times New Roman" w:hAnsi="ITC Avant Garde"/>
          <w:szCs w:val="24"/>
          <w:lang w:eastAsia="es-ES"/>
        </w:rPr>
        <w:t xml:space="preserve"> se presenta un esquema con la metodología utilizada para la calibración del modelo fijo.</w:t>
      </w:r>
    </w:p>
    <w:p w:rsidR="00692D54" w:rsidRPr="00443C3D" w:rsidRDefault="00692D54" w:rsidP="00692D54">
      <w:pPr>
        <w:spacing w:after="0" w:line="276" w:lineRule="auto"/>
        <w:jc w:val="both"/>
        <w:rPr>
          <w:rFonts w:ascii="ITC Avant Garde" w:hAnsi="ITC Avant Garde"/>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692D54" w:rsidRPr="00443C3D" w:rsidTr="00867DD3">
        <w:trPr>
          <w:trHeight w:val="4792"/>
          <w:jc w:val="center"/>
        </w:trPr>
        <w:tc>
          <w:tcPr>
            <w:tcW w:w="6875" w:type="dxa"/>
            <w:tcBorders>
              <w:right w:val="single" w:sz="4" w:space="0" w:color="auto"/>
            </w:tcBorders>
            <w:shd w:val="clear" w:color="auto" w:fill="auto"/>
          </w:tcPr>
          <w:p w:rsidR="00692D54" w:rsidRPr="00443C3D" w:rsidRDefault="00692D54" w:rsidP="00692D54">
            <w:pPr>
              <w:spacing w:after="0" w:line="276" w:lineRule="auto"/>
              <w:ind w:left="426"/>
              <w:jc w:val="center"/>
              <w:rPr>
                <w:rFonts w:ascii="ITC Avant Garde" w:hAnsi="ITC Avant Garde"/>
                <w:lang w:val="es-ES"/>
              </w:rPr>
            </w:pPr>
            <w:r w:rsidRPr="00443C3D">
              <w:rPr>
                <w:rFonts w:ascii="ITC Avant Garde" w:hAnsi="ITC Avant Garde"/>
                <w:noProof/>
                <w:lang w:eastAsia="es-MX"/>
              </w:rPr>
              <w:lastRenderedPageBreak/>
              <w:drawing>
                <wp:inline distT="0" distB="0" distL="0" distR="0" wp14:anchorId="2AAC5399" wp14:editId="300FE86E">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rsidR="00692D54" w:rsidRPr="00443C3D" w:rsidRDefault="00692D54" w:rsidP="00692D54">
      <w:pPr>
        <w:spacing w:after="0" w:line="276" w:lineRule="auto"/>
        <w:ind w:left="284"/>
        <w:jc w:val="center"/>
        <w:rPr>
          <w:rFonts w:ascii="ITC Avant Garde" w:hAnsi="ITC Avant Garde" w:cs="Arial"/>
          <w:sz w:val="18"/>
          <w:szCs w:val="18"/>
          <w:lang w:val="es-ES"/>
        </w:rPr>
      </w:pPr>
      <w:r w:rsidRPr="00443C3D">
        <w:rPr>
          <w:rFonts w:ascii="ITC Avant Garde" w:hAnsi="ITC Avant Garde" w:cs="Arial"/>
          <w:sz w:val="18"/>
          <w:szCs w:val="18"/>
          <w:lang w:val="es-ES"/>
        </w:rPr>
        <w:t>Figura 4: Esquema de modelado scorched-earth calibrado para el operador fijo</w:t>
      </w:r>
    </w:p>
    <w:p w:rsidR="00692D54" w:rsidRPr="00443C3D" w:rsidRDefault="00692D54" w:rsidP="00692D54">
      <w:pPr>
        <w:spacing w:after="0" w:line="276" w:lineRule="auto"/>
        <w:ind w:left="284"/>
        <w:jc w:val="center"/>
        <w:rPr>
          <w:rFonts w:ascii="ITC Avant Garde" w:hAnsi="ITC Avant Garde" w:cs="Arial"/>
          <w:sz w:val="18"/>
          <w:szCs w:val="18"/>
          <w:lang w:val="es-ES"/>
        </w:rPr>
      </w:pPr>
      <w:r w:rsidRPr="00443C3D">
        <w:rPr>
          <w:rFonts w:ascii="ITC Avant Garde" w:hAnsi="ITC Avant Garde" w:cs="Arial"/>
          <w:sz w:val="18"/>
          <w:szCs w:val="18"/>
          <w:lang w:val="es-ES"/>
        </w:rPr>
        <w:t>[Fuente: Analysys Mason, 2016]</w:t>
      </w:r>
    </w:p>
    <w:p w:rsidR="00692D54" w:rsidRPr="00443C3D" w:rsidRDefault="00692D54" w:rsidP="00692D54">
      <w:pPr>
        <w:spacing w:after="0" w:line="276" w:lineRule="auto"/>
        <w:jc w:val="both"/>
        <w:rPr>
          <w:rFonts w:ascii="ITC Avant Garde" w:eastAsia="Times New Roman" w:hAnsi="ITC Avant Garde"/>
          <w:sz w:val="12"/>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 </w:t>
      </w:r>
      <w:r w:rsidR="008E6DC2" w:rsidRPr="00443C3D">
        <w:rPr>
          <w:rFonts w:ascii="ITC Avant Garde" w:eastAsia="Times New Roman" w:hAnsi="ITC Avant Garde"/>
          <w:szCs w:val="24"/>
          <w:lang w:eastAsia="es-ES"/>
        </w:rPr>
        <w:t>continuación,</w:t>
      </w:r>
      <w:r w:rsidRPr="00443C3D">
        <w:rPr>
          <w:rFonts w:ascii="ITC Avant Garde" w:eastAsia="Times New Roman" w:hAnsi="ITC Avant Garde"/>
          <w:szCs w:val="24"/>
          <w:lang w:eastAsia="es-ES"/>
        </w:rPr>
        <w:t xml:space="preserve"> se muestra un esquema con la metodología utilizada para la calibración del Modelo Móvil.</w:t>
      </w:r>
    </w:p>
    <w:p w:rsidR="00692D54" w:rsidRPr="00443C3D" w:rsidRDefault="00692D54" w:rsidP="00692D54">
      <w:pPr>
        <w:spacing w:after="0" w:line="276" w:lineRule="auto"/>
        <w:jc w:val="both"/>
        <w:rPr>
          <w:rFonts w:ascii="ITC Avant Garde" w:eastAsia="Times New Roman" w:hAnsi="ITC Avant Garde"/>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692D54" w:rsidRPr="00443C3D" w:rsidTr="00867DD3">
        <w:trPr>
          <w:trHeight w:val="5021"/>
          <w:jc w:val="center"/>
        </w:trPr>
        <w:tc>
          <w:tcPr>
            <w:tcW w:w="6213" w:type="dxa"/>
            <w:tcBorders>
              <w:right w:val="single" w:sz="4" w:space="0" w:color="auto"/>
            </w:tcBorders>
            <w:shd w:val="clear" w:color="auto" w:fill="auto"/>
          </w:tcPr>
          <w:p w:rsidR="00692D54" w:rsidRPr="00443C3D" w:rsidRDefault="00692D54" w:rsidP="00692D54">
            <w:pPr>
              <w:spacing w:after="0" w:line="276" w:lineRule="auto"/>
              <w:ind w:left="426"/>
              <w:jc w:val="center"/>
              <w:rPr>
                <w:rFonts w:ascii="ITC Avant Garde" w:hAnsi="ITC Avant Garde"/>
                <w:lang w:val="es-ES"/>
              </w:rPr>
            </w:pPr>
            <w:r w:rsidRPr="00443C3D">
              <w:rPr>
                <w:rFonts w:ascii="ITC Avant Garde" w:hAnsi="ITC Avant Garde"/>
                <w:noProof/>
                <w:lang w:eastAsia="es-MX"/>
              </w:rPr>
              <w:drawing>
                <wp:inline distT="0" distB="0" distL="0" distR="0" wp14:anchorId="6D548140" wp14:editId="7E767537">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rsidR="00692D54" w:rsidRPr="00443C3D" w:rsidRDefault="00692D54" w:rsidP="00692D54">
      <w:pPr>
        <w:spacing w:after="0" w:line="276" w:lineRule="auto"/>
        <w:ind w:left="426"/>
        <w:jc w:val="center"/>
        <w:rPr>
          <w:rFonts w:ascii="ITC Avant Garde" w:hAnsi="ITC Avant Garde"/>
          <w:sz w:val="18"/>
          <w:szCs w:val="18"/>
          <w:lang w:val="es-ES"/>
        </w:rPr>
      </w:pPr>
      <w:r w:rsidRPr="00443C3D">
        <w:rPr>
          <w:rFonts w:ascii="ITC Avant Garde" w:hAnsi="ITC Avant Garde"/>
          <w:sz w:val="18"/>
          <w:szCs w:val="18"/>
          <w:lang w:val="es-ES"/>
        </w:rPr>
        <w:t xml:space="preserve">Figura 5: Esquema de modelado scorched earth calibrado para el operador móvil </w:t>
      </w:r>
    </w:p>
    <w:p w:rsidR="00692D54" w:rsidRPr="00443C3D" w:rsidRDefault="00692D54" w:rsidP="00692D54">
      <w:pPr>
        <w:spacing w:after="0" w:line="276" w:lineRule="auto"/>
        <w:ind w:left="426"/>
        <w:jc w:val="center"/>
        <w:rPr>
          <w:rFonts w:ascii="ITC Avant Garde" w:hAnsi="ITC Avant Garde"/>
          <w:sz w:val="18"/>
          <w:szCs w:val="18"/>
          <w:lang w:val="es-ES"/>
        </w:rPr>
      </w:pPr>
      <w:r w:rsidRPr="00443C3D">
        <w:rPr>
          <w:rFonts w:ascii="ITC Avant Garde" w:hAnsi="ITC Avant Garde"/>
          <w:sz w:val="18"/>
          <w:szCs w:val="18"/>
          <w:lang w:val="es-ES"/>
        </w:rPr>
        <w:t>[Fuente: Analysys Mason, 2016]</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hAnsi="ITC Avant Garde"/>
        </w:rPr>
      </w:pPr>
      <w:r w:rsidRPr="00443C3D">
        <w:rPr>
          <w:rFonts w:ascii="ITC Avant Garde" w:eastAsia="Times New Roman" w:hAnsi="ITC Avant Garde"/>
          <w:szCs w:val="24"/>
          <w:lang w:eastAsia="es-ES"/>
        </w:rPr>
        <w:t xml:space="preserve">En este enfoque el </w:t>
      </w:r>
      <w:r w:rsidRPr="00443C3D">
        <w:rPr>
          <w:rFonts w:ascii="ITC Avant Garde" w:eastAsia="Times New Roman" w:hAnsi="ITC Avant Garde"/>
          <w:b/>
          <w:szCs w:val="24"/>
          <w:lang w:eastAsia="es-ES"/>
        </w:rPr>
        <w:t>número total de nodos</w:t>
      </w:r>
      <w:r w:rsidRPr="00443C3D">
        <w:rPr>
          <w:rFonts w:ascii="ITC Avant Garde" w:eastAsia="Times New Roman" w:hAnsi="ITC Avant Garde"/>
          <w:szCs w:val="24"/>
          <w:lang w:eastAsia="es-ES"/>
        </w:rPr>
        <w:t xml:space="preserve"> no variaría (es decir, resulta calibrado con la información de la red actual de los operadores móviles), pero permite revisar </w:t>
      </w:r>
      <w:r w:rsidRPr="00443C3D">
        <w:rPr>
          <w:rFonts w:ascii="ITC Avant Garde" w:eastAsia="Times New Roman" w:hAnsi="ITC Avant Garde"/>
          <w:szCs w:val="24"/>
          <w:lang w:eastAsia="es-ES"/>
        </w:rPr>
        <w:lastRenderedPageBreak/>
        <w:t>su función o capacidad, lo que implica que el número de nodos por subtipo puede cambiar.</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b/>
        </w:rPr>
      </w:pPr>
      <w:r w:rsidRPr="00443C3D">
        <w:rPr>
          <w:rFonts w:ascii="ITC Avant Garde" w:hAnsi="ITC Avant Garde"/>
          <w:b/>
        </w:rPr>
        <w:t>1.3 Aspectos relacionados con los servicios.</w:t>
      </w:r>
    </w:p>
    <w:p w:rsidR="00692D54" w:rsidRPr="00443C3D" w:rsidRDefault="00692D54" w:rsidP="00692D54">
      <w:pPr>
        <w:spacing w:after="0" w:line="276" w:lineRule="auto"/>
        <w:ind w:left="426"/>
        <w:jc w:val="both"/>
        <w:rPr>
          <w:rFonts w:ascii="ITC Avant Garde" w:hAnsi="ITC Avant Garde"/>
          <w:b/>
        </w:rPr>
      </w:pPr>
    </w:p>
    <w:p w:rsidR="00692D54" w:rsidRPr="00443C3D" w:rsidRDefault="00692D54" w:rsidP="00692D54">
      <w:pPr>
        <w:spacing w:after="0" w:line="276" w:lineRule="auto"/>
        <w:jc w:val="both"/>
        <w:rPr>
          <w:rFonts w:ascii="ITC Avant Garde" w:hAnsi="ITC Avant Garde"/>
          <w:color w:val="000000"/>
          <w:spacing w:val="-4"/>
        </w:rPr>
      </w:pPr>
      <w:r w:rsidRPr="00443C3D">
        <w:rPr>
          <w:rFonts w:ascii="ITC Avant Garde" w:hAnsi="ITC Avant Garde"/>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443C3D">
        <w:rPr>
          <w:rFonts w:ascii="ITC Avant Garde" w:hAnsi="ITC Avant Garde"/>
          <w:color w:val="000000"/>
          <w:spacing w:val="-4"/>
          <w:sz w:val="27"/>
          <w:szCs w:val="27"/>
        </w:rPr>
        <w:t xml:space="preserve"> </w:t>
      </w:r>
      <w:r w:rsidRPr="00443C3D">
        <w:rPr>
          <w:rFonts w:ascii="ITC Avant Garde" w:hAnsi="ITC Avant Garde"/>
          <w:color w:val="000000"/>
          <w:spacing w:val="-4"/>
        </w:rPr>
        <w:t>Sin embargo, las redes fijas y móviles suelen transportar una amplia gama de servicios.</w:t>
      </w:r>
      <w:r w:rsidRPr="00443C3D">
        <w:rPr>
          <w:rFonts w:ascii="ITC Avant Garde" w:hAnsi="ITC Avant Garde"/>
          <w:spacing w:val="-4"/>
        </w:rPr>
        <w:t xml:space="preserve"> La medida en la que el operador modelado puede ofrecer servicios en las zonas donde tiene cobertura determina las economías de alcance del operador</w:t>
      </w:r>
      <w:r w:rsidRPr="00443C3D">
        <w:rPr>
          <w:rFonts w:ascii="ITC Avant Garde" w:hAnsi="ITC Avant Garde"/>
          <w:color w:val="000000"/>
          <w:spacing w:val="-4"/>
        </w:rPr>
        <w:t>, y por lo tanto este aspecto debe ser considerado en los modelos</w:t>
      </w:r>
      <w:r w:rsidRPr="00443C3D">
        <w:rPr>
          <w:rFonts w:ascii="ITC Avant Garde" w:hAnsi="ITC Avant Garde"/>
          <w:spacing w:val="-4"/>
        </w:rPr>
        <w:t>.</w:t>
      </w:r>
      <w:r w:rsidRPr="00443C3D">
        <w:rPr>
          <w:rFonts w:ascii="ITC Avant Garde" w:hAnsi="ITC Avant Garde"/>
          <w:color w:val="000000"/>
          <w:spacing w:val="-4"/>
        </w:rPr>
        <w:t xml:space="preserve"> </w:t>
      </w:r>
    </w:p>
    <w:p w:rsidR="00692D54" w:rsidRPr="00443C3D" w:rsidRDefault="00692D54" w:rsidP="00692D54">
      <w:pPr>
        <w:spacing w:after="0" w:line="276" w:lineRule="auto"/>
        <w:ind w:left="993"/>
        <w:jc w:val="both"/>
        <w:rPr>
          <w:rFonts w:ascii="ITC Avant Garde" w:eastAsia="Times New Roman" w:hAnsi="ITC Avant Garde"/>
          <w:szCs w:val="24"/>
          <w:lang w:eastAsia="es-ES"/>
        </w:rPr>
      </w:pPr>
    </w:p>
    <w:p w:rsidR="00692D54" w:rsidRPr="00443C3D" w:rsidRDefault="00692D54" w:rsidP="00692D54">
      <w:pPr>
        <w:keepNext/>
        <w:spacing w:after="0" w:line="276" w:lineRule="auto"/>
        <w:rPr>
          <w:rFonts w:ascii="ITC Avant Garde" w:hAnsi="ITC Avant Garde"/>
          <w:b/>
          <w:lang w:val="es-ES"/>
        </w:rPr>
      </w:pPr>
      <w:r w:rsidRPr="00443C3D">
        <w:rPr>
          <w:rFonts w:ascii="ITC Avant Garde" w:hAnsi="ITC Avant Garde"/>
          <w:b/>
          <w:lang w:val="es-ES"/>
        </w:rPr>
        <w:t>Servicios a modelar</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443C3D">
        <w:rPr>
          <w:rFonts w:ascii="ITC Avant Garde" w:eastAsia="Times New Roman" w:hAnsi="ITC Avant Garde"/>
          <w:sz w:val="20"/>
          <w:szCs w:val="20"/>
          <w:vertAlign w:val="superscript"/>
          <w:lang w:eastAsia="es-ES"/>
        </w:rPr>
        <w:footnoteReference w:id="13"/>
      </w:r>
    </w:p>
    <w:p w:rsidR="009149A0" w:rsidRPr="00443C3D" w:rsidRDefault="009149A0"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Será necesario analizar y comprender el efecto que pueden llegar a tener las previsiones de demanda de servicios distintos a los servicios de voz en los costos de los servicios de voz. </w:t>
      </w:r>
    </w:p>
    <w:p w:rsidR="00692D54" w:rsidRPr="00443C3D" w:rsidRDefault="00692D54" w:rsidP="00692D54">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rsidR="00692D54" w:rsidRPr="00443C3D" w:rsidRDefault="00692D54" w:rsidP="00692D54">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Servicios que se ofrecen a través de redes fijas</w:t>
      </w:r>
    </w:p>
    <w:p w:rsidR="00692D54" w:rsidRPr="00443C3D" w:rsidRDefault="00692D54" w:rsidP="00692D54">
      <w:pPr>
        <w:spacing w:after="0" w:line="276" w:lineRule="auto"/>
        <w:jc w:val="both"/>
        <w:rPr>
          <w:rFonts w:ascii="ITC Avant Garde" w:eastAsia="Times New Roman" w:hAnsi="ITC Avant Garde"/>
          <w:sz w:val="16"/>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la tabla 2 se presentan los servicios de voz considerados en el desarrollo del Modelo Fijo. Estos servicios contribuyen al despliegue de la red troncal.</w:t>
      </w:r>
    </w:p>
    <w:p w:rsidR="00692D54" w:rsidRPr="00443C3D" w:rsidRDefault="00692D54" w:rsidP="00692D54">
      <w:pPr>
        <w:spacing w:after="0" w:line="276" w:lineRule="auto"/>
        <w:jc w:val="both"/>
        <w:rPr>
          <w:rFonts w:ascii="ITC Avant Garde" w:eastAsia="Times New Roman" w:hAnsi="ITC Avant Garde"/>
          <w:sz w:val="12"/>
          <w:szCs w:val="24"/>
          <w:lang w:eastAsia="es-ES"/>
        </w:rPr>
      </w:pPr>
    </w:p>
    <w:tbl>
      <w:tblPr>
        <w:tblStyle w:val="Sombreadomedio2-nfasis11"/>
        <w:tblW w:w="8789" w:type="dxa"/>
        <w:tblInd w:w="108" w:type="dxa"/>
        <w:tblLook w:val="0420" w:firstRow="1" w:lastRow="0" w:firstColumn="0" w:lastColumn="0" w:noHBand="0" w:noVBand="1"/>
      </w:tblPr>
      <w:tblGrid>
        <w:gridCol w:w="2268"/>
        <w:gridCol w:w="6521"/>
      </w:tblGrid>
      <w:tr w:rsidR="00692D54" w:rsidRPr="00443C3D" w:rsidTr="00867DD3">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Servicio</w:t>
            </w:r>
          </w:p>
        </w:tc>
        <w:tc>
          <w:tcPr>
            <w:tcW w:w="6521"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Descripción del servicio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on-net</w:t>
            </w:r>
          </w:p>
        </w:tc>
        <w:tc>
          <w:tcPr>
            <w:tcW w:w="6521" w:type="dxa"/>
            <w:tcBorders>
              <w:top w:val="single" w:sz="18" w:space="0" w:color="221F72"/>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de voz entre dos suscriptores minoristas del operador fijo modelado.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a otros operadores fijos</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sz w:val="18"/>
              </w:rPr>
              <w:t>Llamadas de voz de un suscriptor minorista del operador fijo modelado a un operador fijo doméstico.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a móvil</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sz w:val="18"/>
              </w:rPr>
              <w:t>Llamadas de voz de un suscriptor minorista del operador fijo modelado a un operador móvil doméstico.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a internacional</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sz w:val="18"/>
              </w:rPr>
              <w:t>Llamadas de voz de un suscriptor minorista del operador fijo modelado a un destino internacional.</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 xml:space="preserve">Llamadas salientes a números no geográficos </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de un suscriptor minorista del operador fijo modelado a números no geográficos, incluidos números comerciales de pago, consultas del Directorio y servicios de emergencia.</w:t>
            </w:r>
          </w:p>
        </w:tc>
      </w:tr>
      <w:tr w:rsidR="00692D54" w:rsidRPr="00443C3D" w:rsidTr="00692D54">
        <w:tc>
          <w:tcPr>
            <w:tcW w:w="2268" w:type="dxa"/>
            <w:tcBorders>
              <w:top w:val="nil"/>
              <w:bottom w:val="single" w:sz="4" w:space="0" w:color="D9D9D9"/>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entrantes de otros operadores fijos</w:t>
            </w:r>
          </w:p>
        </w:tc>
        <w:tc>
          <w:tcPr>
            <w:tcW w:w="6521" w:type="dxa"/>
            <w:tcBorders>
              <w:top w:val="nil"/>
              <w:bottom w:val="single" w:sz="4" w:space="0" w:color="D9D9D9"/>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recibidas de otro operador fijo y terminadas en la red de un suscriptor minorista del operador fijo modelado.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entrantes de móvil</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recibidas de otro operador móvil y terminadas en la red de un suscriptor minorista del operador fijo modelado.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lang w:val="es-MX"/>
              </w:rPr>
            </w:pPr>
            <w:r w:rsidRPr="00443C3D">
              <w:rPr>
                <w:rFonts w:ascii="ITC Avant Garde" w:hAnsi="ITC Avant Garde"/>
                <w:sz w:val="18"/>
                <w:lang w:val="es-MX"/>
              </w:rPr>
              <w:t>Llamadas entrantes de tráfico internacional</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recibidas de otro operador internacional y terminadas en la red de un suscriptor minorista del operador fijo modelado.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entrantes a números no geográficos</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recibidas de un suscriptor minorista de otro operador a números no geográficos, incluidos números comerciales de pago, consultas del Directorio y servicios de emergencia.</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 tránsito</w:t>
            </w:r>
          </w:p>
        </w:tc>
        <w:tc>
          <w:tcPr>
            <w:tcW w:w="6521" w:type="dxa"/>
            <w:tcBorders>
              <w:top w:val="nil"/>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Llamadas de voz recibidas de otro operador internacional, móvil o fijo y terminadas en la red de otro operador internacional, móvil o fijo.</w:t>
            </w:r>
          </w:p>
        </w:tc>
      </w:tr>
      <w:tr w:rsidR="00692D54" w:rsidRPr="00443C3D" w:rsidTr="00692D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SMS salientes</w:t>
            </w:r>
          </w:p>
        </w:tc>
        <w:tc>
          <w:tcPr>
            <w:tcW w:w="6521" w:type="dxa"/>
            <w:tcBorders>
              <w:top w:val="nil"/>
              <w:bottom w:val="nil"/>
            </w:tcBorders>
            <w:shd w:val="clear" w:color="auto" w:fill="D9D9D9"/>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color w:val="000000"/>
                <w:sz w:val="18"/>
                <w:lang w:val="es-MX"/>
              </w:rPr>
              <w:t>SMS de un suscriptor del operador fijo modelado a otro operador.</w:t>
            </w:r>
          </w:p>
        </w:tc>
      </w:tr>
      <w:tr w:rsidR="00692D54" w:rsidRPr="00443C3D" w:rsidTr="00692D54">
        <w:tc>
          <w:tcPr>
            <w:tcW w:w="2268" w:type="dxa"/>
            <w:tcBorders>
              <w:top w:val="nil"/>
              <w:bottom w:val="single" w:sz="4" w:space="0" w:color="808080"/>
            </w:tcBorders>
            <w:shd w:val="clear" w:color="auto" w:fill="FFFFFF"/>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sz w:val="18"/>
              </w:rPr>
              <w:t>SMS entrantes</w:t>
            </w:r>
          </w:p>
        </w:tc>
        <w:tc>
          <w:tcPr>
            <w:tcW w:w="6521" w:type="dxa"/>
            <w:tcBorders>
              <w:top w:val="nil"/>
              <w:bottom w:val="single" w:sz="4" w:space="0" w:color="808080"/>
            </w:tcBorders>
            <w:shd w:val="clear" w:color="auto" w:fill="FFFFFF"/>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color w:val="000000"/>
                <w:sz w:val="18"/>
                <w:lang w:val="es-MX"/>
              </w:rPr>
              <w:t>SMS recibido de otro operador y terminado en la red de un suscriptor del operador fijo modelado.</w:t>
            </w:r>
          </w:p>
        </w:tc>
      </w:tr>
    </w:tbl>
    <w:p w:rsidR="00692D54" w:rsidRPr="00443C3D" w:rsidRDefault="00692D54" w:rsidP="00692D54">
      <w:pPr>
        <w:spacing w:after="0" w:line="276" w:lineRule="auto"/>
        <w:jc w:val="center"/>
        <w:rPr>
          <w:sz w:val="16"/>
          <w:szCs w:val="16"/>
        </w:rPr>
      </w:pPr>
      <w:r w:rsidRPr="00443C3D">
        <w:rPr>
          <w:rFonts w:ascii="ITC Avant Garde" w:eastAsia="Times New Roman" w:hAnsi="ITC Avant Garde" w:cs="Arial"/>
          <w:sz w:val="16"/>
          <w:szCs w:val="16"/>
          <w:lang w:val="es-ES" w:eastAsia="es-ES"/>
        </w:rPr>
        <w:t>Tabla 2: Servicios que se ofrecen a través de redes fijas [Fuente: Analysys Mason]</w:t>
      </w:r>
    </w:p>
    <w:p w:rsidR="009149A0" w:rsidRPr="00443C3D" w:rsidRDefault="009149A0"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Estos servicios se han incluido a fin de estimar precisamente los costos totales y su distribución entre los servicios que utilizan la red (esto no implica que resulte en una regulación de sus precios).</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En el Modelo Fijo se considera que el tráfico generado por las líneas ISDN (</w:t>
      </w:r>
      <w:r w:rsidRPr="00443C3D">
        <w:rPr>
          <w:rFonts w:ascii="ITC Avant Garde" w:eastAsia="Times New Roman" w:hAnsi="ITC Avant Garde"/>
          <w:i/>
          <w:szCs w:val="24"/>
          <w:lang w:eastAsia="es-ES"/>
        </w:rPr>
        <w:t>Integrated Service for Digital Network</w:t>
      </w:r>
      <w:r w:rsidRPr="00443C3D">
        <w:rPr>
          <w:rFonts w:ascii="ITC Avant Garde" w:eastAsia="Times New Roman" w:hAnsi="ITC Avant Garde"/>
          <w:szCs w:val="24"/>
          <w:lang w:eastAsia="es-ES"/>
        </w:rPr>
        <w:t>) se incluirá en los servicios fijos de voz, es decir, no hay servicios específicos de voz ISDN.</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Los servicios relacionados con el acceso a Internet que se incluirán en el modelo se presentan en la siguiente tabla. Estos servicios se incluyen para considerar los requerimientos de</w:t>
      </w:r>
      <w:r w:rsidRPr="00443C3D">
        <w:rPr>
          <w:rFonts w:ascii="ITC Avant Garde" w:eastAsia="Times New Roman" w:hAnsi="ITC Avant Garde"/>
          <w:i/>
          <w:szCs w:val="24"/>
          <w:lang w:eastAsia="es-ES"/>
        </w:rPr>
        <w:t xml:space="preserve"> backhaul</w:t>
      </w:r>
      <w:r w:rsidRPr="00443C3D">
        <w:rPr>
          <w:rFonts w:ascii="ITC Avant Garde" w:eastAsia="Times New Roman" w:hAnsi="ITC Avant Garde"/>
          <w:szCs w:val="24"/>
          <w:lang w:eastAsia="es-ES"/>
        </w:rPr>
        <w:t xml:space="preserve"> de retorno de la central local a la red troncal.</w:t>
      </w:r>
    </w:p>
    <w:p w:rsidR="00692D54" w:rsidRPr="00443C3D" w:rsidRDefault="00692D54" w:rsidP="00692D54">
      <w:pPr>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relación al servicio de mensajes cortos provisto por redes fijas se han ajustado los volúmenes de tráfico en relación a los datos utilizados por el Instituto para resolver diversos desacuerdos para tarifas aplicables durante 201</w:t>
      </w:r>
      <w:r w:rsidR="00662EB2">
        <w:rPr>
          <w:rFonts w:ascii="ITC Avant Garde" w:eastAsia="Times New Roman" w:hAnsi="ITC Avant Garde"/>
          <w:szCs w:val="24"/>
          <w:lang w:eastAsia="es-ES"/>
        </w:rPr>
        <w:t>8</w:t>
      </w:r>
      <w:r w:rsidRPr="00443C3D">
        <w:rPr>
          <w:rFonts w:ascii="ITC Avant Garde" w:eastAsia="Times New Roman" w:hAnsi="ITC Avant Garde"/>
          <w:szCs w:val="24"/>
          <w:lang w:eastAsia="es-ES"/>
        </w:rPr>
        <w:t>; se ha considerado un escenario en el cual el operador alternativo de la red fija maneja el 2% del total de mensajes cortos generados en la red móvil, lo anterior derivado a que principalmente en los diversos desacuerdos resueltos por el Instituto se observa que el servicio provisto por la red fija está enfocado al segmento empresarial en donde se genera un mayor volumen de mensajes cortos en relación al volumen que se recibe.</w:t>
      </w:r>
    </w:p>
    <w:p w:rsidR="00692D54" w:rsidRPr="00443C3D" w:rsidRDefault="00692D54" w:rsidP="00692D54">
      <w:pPr>
        <w:spacing w:after="0" w:line="276" w:lineRule="auto"/>
        <w:jc w:val="both"/>
        <w:rPr>
          <w:rFonts w:ascii="ITC Avant Garde" w:hAnsi="ITC Avant Garde"/>
          <w:color w:val="000000"/>
        </w:rPr>
      </w:pPr>
    </w:p>
    <w:tbl>
      <w:tblPr>
        <w:tblStyle w:val="Sombreadomedio2-nfasis11"/>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692D54" w:rsidRPr="00443C3D" w:rsidTr="00867DD3">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left="426" w:right="113"/>
              <w:rPr>
                <w:rFonts w:ascii="ITC Avant Garde" w:hAnsi="ITC Avant Garde"/>
                <w:sz w:val="18"/>
              </w:rPr>
            </w:pPr>
            <w:r w:rsidRPr="00443C3D">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left="426" w:right="113"/>
              <w:rPr>
                <w:rFonts w:ascii="ITC Avant Garde" w:hAnsi="ITC Avant Garde"/>
                <w:sz w:val="18"/>
              </w:rPr>
            </w:pPr>
            <w:r w:rsidRPr="00443C3D">
              <w:rPr>
                <w:rFonts w:ascii="ITC Avant Garde" w:hAnsi="ITC Avant Garde"/>
                <w:sz w:val="18"/>
              </w:rPr>
              <w:t>Descripción del servicio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xDSL propio (líneas)</w:t>
            </w:r>
          </w:p>
        </w:tc>
        <w:tc>
          <w:tcPr>
            <w:tcW w:w="6537" w:type="dxa"/>
            <w:tcBorders>
              <w:top w:val="single" w:sz="18" w:space="0" w:color="221F72"/>
            </w:tcBorders>
          </w:tcPr>
          <w:p w:rsidR="00692D54" w:rsidRPr="00443C3D" w:rsidRDefault="00692D54" w:rsidP="00692D54">
            <w:pPr>
              <w:spacing w:after="0" w:line="276" w:lineRule="auto"/>
              <w:ind w:left="426" w:right="113"/>
              <w:rPr>
                <w:rFonts w:ascii="ITC Avant Garde" w:hAnsi="ITC Avant Garde" w:cs="Arial"/>
                <w:spacing w:val="-4"/>
                <w:sz w:val="18"/>
              </w:rPr>
            </w:pPr>
            <w:r w:rsidRPr="00443C3D">
              <w:rPr>
                <w:rFonts w:ascii="ITC Avant Garde" w:hAnsi="ITC Avant Garde" w:cs="Arial"/>
                <w:spacing w:val="-4"/>
                <w:sz w:val="18"/>
              </w:rPr>
              <w:t>Provisión de una línea de suscripción digital (xDSL) para el servicio de Internet comercializado por el departamento minorista del operador modelado.</w:t>
            </w:r>
          </w:p>
        </w:tc>
      </w:tr>
      <w:tr w:rsidR="00692D54" w:rsidRPr="00443C3D" w:rsidTr="00867DD3">
        <w:tc>
          <w:tcPr>
            <w:tcW w:w="2410" w:type="dxa"/>
            <w:tcBorders>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propio (contendido)</w:t>
            </w:r>
          </w:p>
        </w:tc>
        <w:tc>
          <w:tcPr>
            <w:tcW w:w="6537" w:type="dxa"/>
            <w:tcBorders>
              <w:bottom w:val="nil"/>
            </w:tcBorders>
          </w:tcPr>
          <w:p w:rsidR="00692D54" w:rsidRPr="00443C3D" w:rsidRDefault="00692D54" w:rsidP="00692D54">
            <w:pPr>
              <w:spacing w:after="0" w:line="276" w:lineRule="auto"/>
              <w:ind w:left="426" w:right="113"/>
              <w:rPr>
                <w:rFonts w:ascii="ITC Avant Garde" w:hAnsi="ITC Avant Garde" w:cs="Arial"/>
                <w:spacing w:val="-4"/>
                <w:sz w:val="18"/>
              </w:rPr>
            </w:pPr>
            <w:r w:rsidRPr="00443C3D">
              <w:rPr>
                <w:rFonts w:ascii="ITC Avant Garde" w:hAnsi="ITC Avant Garde" w:cs="Arial"/>
                <w:spacing w:val="-4"/>
                <w:sz w:val="18"/>
              </w:rPr>
              <w:t>Ancho de banda en una línea de suscripción digital (xDSL) para el servicio de Internet comercializado por el departamento minorista del operador modelado.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ajeno (líneas)</w:t>
            </w:r>
          </w:p>
        </w:tc>
        <w:tc>
          <w:tcPr>
            <w:tcW w:w="6537" w:type="dxa"/>
            <w:tcBorders>
              <w:top w:val="nil"/>
              <w:bottom w:val="nil"/>
            </w:tcBorders>
          </w:tcPr>
          <w:p w:rsidR="00692D54" w:rsidRPr="00443C3D" w:rsidRDefault="00692D54" w:rsidP="00692D54">
            <w:pPr>
              <w:spacing w:after="0" w:line="276" w:lineRule="auto"/>
              <w:ind w:left="426" w:right="113"/>
              <w:rPr>
                <w:rFonts w:ascii="ITC Avant Garde" w:hAnsi="ITC Avant Garde" w:cs="Arial"/>
                <w:spacing w:val="-4"/>
                <w:sz w:val="18"/>
              </w:rPr>
            </w:pPr>
            <w:r w:rsidRPr="00443C3D">
              <w:rPr>
                <w:rFonts w:ascii="ITC Avant Garde" w:hAnsi="ITC Avant Garde" w:cs="Arial"/>
                <w:spacing w:val="-4"/>
                <w:sz w:val="18"/>
              </w:rPr>
              <w:t>Provisión de una línea de suscripción digital (xDSL) para el servicio de Internet comercializado por el departamento mayorista del operador modelado.</w:t>
            </w:r>
          </w:p>
        </w:tc>
      </w:tr>
      <w:tr w:rsidR="00692D54" w:rsidRPr="00443C3D" w:rsidTr="00867DD3">
        <w:tc>
          <w:tcPr>
            <w:tcW w:w="2410" w:type="dxa"/>
            <w:tcBorders>
              <w:top w:val="nil"/>
              <w:bottom w:val="single" w:sz="4" w:space="0" w:color="808080"/>
            </w:tcBorders>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ajeno (bitstream)</w:t>
            </w:r>
          </w:p>
        </w:tc>
        <w:tc>
          <w:tcPr>
            <w:tcW w:w="6537" w:type="dxa"/>
            <w:tcBorders>
              <w:top w:val="nil"/>
              <w:bottom w:val="single" w:sz="4" w:space="0" w:color="808080"/>
            </w:tcBorders>
          </w:tcPr>
          <w:p w:rsidR="00692D54" w:rsidRPr="00443C3D" w:rsidRDefault="00692D54" w:rsidP="00692D54">
            <w:pPr>
              <w:spacing w:after="0" w:line="276" w:lineRule="auto"/>
              <w:ind w:left="426" w:right="113"/>
              <w:rPr>
                <w:rFonts w:ascii="ITC Avant Garde" w:hAnsi="ITC Avant Garde" w:cs="Arial"/>
                <w:spacing w:val="-4"/>
                <w:sz w:val="18"/>
              </w:rPr>
            </w:pPr>
            <w:r w:rsidRPr="00443C3D">
              <w:rPr>
                <w:rFonts w:ascii="ITC Avant Garde" w:hAnsi="ITC Avant Garde" w:cs="Arial"/>
                <w:spacing w:val="-4"/>
                <w:sz w:val="18"/>
              </w:rPr>
              <w:t>Ancho de banda en una línea de suscripción digital (xDSL) para el servicio de Internet comercializado por el departamento mayorista del operador modelado.</w:t>
            </w:r>
          </w:p>
        </w:tc>
      </w:tr>
    </w:tbl>
    <w:p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3: Servicios de acceso a Internet [Fuente: Analysys Mason)</w:t>
      </w:r>
    </w:p>
    <w:p w:rsidR="00692D54" w:rsidRPr="00443C3D" w:rsidRDefault="00692D54" w:rsidP="009149A0">
      <w:pPr>
        <w:spacing w:after="0" w:line="276" w:lineRule="auto"/>
        <w:jc w:val="both"/>
        <w:rPr>
          <w:rFonts w:ascii="ITC Avant Garde" w:hAnsi="ITC Avant Garde"/>
          <w:b/>
          <w:bCs/>
          <w:color w:val="000000"/>
          <w:sz w:val="18"/>
        </w:rPr>
      </w:pPr>
    </w:p>
    <w:p w:rsidR="00692D54" w:rsidRPr="00443C3D" w:rsidRDefault="00692D54" w:rsidP="009149A0">
      <w:pPr>
        <w:spacing w:after="0" w:line="276" w:lineRule="auto"/>
        <w:jc w:val="both"/>
        <w:rPr>
          <w:rFonts w:ascii="ITC Avant Garde" w:hAnsi="ITC Avant Garde"/>
          <w:b/>
          <w:bCs/>
          <w:color w:val="000000"/>
          <w:sz w:val="18"/>
        </w:rPr>
      </w:pPr>
      <w:r w:rsidRPr="00443C3D">
        <w:rPr>
          <w:rFonts w:ascii="ITC Avant Garde" w:hAnsi="ITC Avant Garde"/>
          <w:color w:val="000000"/>
        </w:rPr>
        <w:t>Existen otros servicios de fijos que se consideran también en el modelo, los cuales se presentan en la siguiente tabla.</w:t>
      </w:r>
    </w:p>
    <w:p w:rsidR="00692D54" w:rsidRPr="00443C3D" w:rsidRDefault="00692D54" w:rsidP="00692D54">
      <w:pPr>
        <w:spacing w:after="0" w:line="276" w:lineRule="auto"/>
        <w:ind w:left="426"/>
        <w:jc w:val="both"/>
        <w:rPr>
          <w:color w:val="000000"/>
        </w:rPr>
      </w:pPr>
    </w:p>
    <w:tbl>
      <w:tblPr>
        <w:tblStyle w:val="Sombreadomedio2-nfasis11"/>
        <w:tblW w:w="8947" w:type="dxa"/>
        <w:tblInd w:w="108" w:type="dxa"/>
        <w:tblLook w:val="0420" w:firstRow="1" w:lastRow="0" w:firstColumn="0" w:lastColumn="0" w:noHBand="0" w:noVBand="1"/>
      </w:tblPr>
      <w:tblGrid>
        <w:gridCol w:w="2410"/>
        <w:gridCol w:w="6537"/>
      </w:tblGrid>
      <w:tr w:rsidR="00692D54" w:rsidRPr="00443C3D" w:rsidTr="00867DD3">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Descripción del servicio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Enlaces dedicados</w:t>
            </w:r>
          </w:p>
        </w:tc>
        <w:tc>
          <w:tcPr>
            <w:tcW w:w="6537" w:type="dxa"/>
            <w:tcBorders>
              <w:bottom w:val="nil"/>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Incluye servicios de líneas alquiladas, ya sea para aprovisionar a clientes minoristas u otros operadores.</w:t>
            </w:r>
          </w:p>
        </w:tc>
      </w:tr>
      <w:tr w:rsidR="00692D54" w:rsidRPr="00443C3D" w:rsidTr="00867DD3">
        <w:tc>
          <w:tcPr>
            <w:tcW w:w="2410" w:type="dxa"/>
            <w:tcBorders>
              <w:top w:val="nil"/>
              <w:bottom w:val="single" w:sz="4" w:space="0" w:color="808080"/>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Televisión</w:t>
            </w:r>
          </w:p>
        </w:tc>
        <w:tc>
          <w:tcPr>
            <w:tcW w:w="6537" w:type="dxa"/>
            <w:tcBorders>
              <w:top w:val="nil"/>
              <w:bottom w:val="single" w:sz="4" w:space="0" w:color="808080"/>
            </w:tcBorders>
          </w:tcPr>
          <w:p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Provisión del servicio de televisión, ya sea linear o de VoD, comercializado por el departamento minorista del operador modelado.</w:t>
            </w:r>
          </w:p>
        </w:tc>
      </w:tr>
    </w:tbl>
    <w:p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4: Otros servicios fijos [Fuente: Analysys Mason)</w:t>
      </w:r>
    </w:p>
    <w:p w:rsidR="00692D54" w:rsidRPr="00443C3D" w:rsidRDefault="00692D54" w:rsidP="00692D54">
      <w:pPr>
        <w:spacing w:after="0" w:line="276" w:lineRule="auto"/>
        <w:jc w:val="both"/>
        <w:rPr>
          <w:rFonts w:ascii="ITC Avant Garde" w:hAnsi="ITC Avant Garde"/>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lastRenderedPageBreak/>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rsidR="00692D54" w:rsidRPr="00443C3D" w:rsidRDefault="00692D54" w:rsidP="00692D54">
      <w:pPr>
        <w:spacing w:after="0" w:line="276" w:lineRule="auto"/>
        <w:ind w:left="426"/>
        <w:jc w:val="both"/>
        <w:rPr>
          <w:rFonts w:ascii="ITC Avant Garde" w:hAnsi="ITC Avant Garde"/>
          <w:color w:val="000000"/>
        </w:rPr>
      </w:pPr>
    </w:p>
    <w:p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 xml:space="preserve">Todos los servicios descritos anteriormente podrían estar disponibles tanto en una red tradicional PSTN como en una red </w:t>
      </w:r>
      <w:r w:rsidRPr="00443C3D">
        <w:rPr>
          <w:rFonts w:ascii="ITC Avant Garde" w:hAnsi="ITC Avant Garde"/>
          <w:i/>
          <w:color w:val="000000"/>
        </w:rPr>
        <w:t>core</w:t>
      </w:r>
      <w:r w:rsidRPr="00443C3D">
        <w:rPr>
          <w:rFonts w:ascii="ITC Avant Garde" w:hAnsi="ITC Avant Garde"/>
          <w:color w:val="000000"/>
        </w:rPr>
        <w:t xml:space="preserve"> de nueva generación. Sin embargo, no se modelarán servicios de tráfico específicos a redes de nueva generación.</w:t>
      </w:r>
    </w:p>
    <w:p w:rsidR="00692D54" w:rsidRPr="00443C3D" w:rsidRDefault="00692D54" w:rsidP="00692D54">
      <w:pPr>
        <w:spacing w:after="0" w:line="276" w:lineRule="auto"/>
        <w:jc w:val="both"/>
        <w:rPr>
          <w:rFonts w:ascii="ITC Avant Garde" w:hAnsi="ITC Avant Garde"/>
          <w:color w:val="000000"/>
        </w:rPr>
      </w:pPr>
    </w:p>
    <w:p w:rsidR="00692D54" w:rsidRPr="00443C3D" w:rsidRDefault="00692D54" w:rsidP="00692D54">
      <w:pPr>
        <w:spacing w:after="0" w:line="276" w:lineRule="auto"/>
        <w:rPr>
          <w:rFonts w:ascii="ITC Avant Garde" w:hAnsi="ITC Avant Garde"/>
          <w:b/>
          <w:color w:val="000000"/>
        </w:rPr>
      </w:pPr>
      <w:r w:rsidRPr="00443C3D">
        <w:rPr>
          <w:rFonts w:ascii="ITC Avant Garde" w:hAnsi="ITC Avant Garde"/>
          <w:b/>
          <w:color w:val="000000"/>
        </w:rPr>
        <w:t>Servicios que se ofrecen a través de redes móviles</w:t>
      </w:r>
    </w:p>
    <w:p w:rsidR="009149A0" w:rsidRPr="00443C3D" w:rsidRDefault="009149A0" w:rsidP="00692D54">
      <w:pPr>
        <w:spacing w:after="0" w:line="276" w:lineRule="auto"/>
        <w:rPr>
          <w:rFonts w:ascii="ITC Avant Garde" w:hAnsi="ITC Avant Garde"/>
          <w:b/>
          <w:bCs/>
          <w:color w:val="000000"/>
          <w:szCs w:val="24"/>
        </w:rPr>
      </w:pPr>
    </w:p>
    <w:p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En la siguiente tabla se observan los servicios móviles considerados en el desarrollo del Modelo Móvil.</w:t>
      </w:r>
      <w:r w:rsidRPr="00443C3D">
        <w:rPr>
          <w:rFonts w:ascii="ITC Avant Garde" w:hAnsi="ITC Avant Garde"/>
        </w:rPr>
        <w:t xml:space="preserve"> </w:t>
      </w:r>
      <w:r w:rsidRPr="00443C3D">
        <w:rPr>
          <w:rFonts w:ascii="ITC Avant Garde" w:hAnsi="ITC Avant Garde"/>
          <w:color w:val="000000"/>
        </w:rPr>
        <w:t>Estos servicios contribuyen al despliegue de la red troncal.</w:t>
      </w:r>
    </w:p>
    <w:p w:rsidR="00692D54" w:rsidRPr="00443C3D" w:rsidRDefault="00692D54" w:rsidP="00692D54">
      <w:pPr>
        <w:spacing w:after="0" w:line="276" w:lineRule="auto"/>
        <w:jc w:val="both"/>
        <w:rPr>
          <w:lang w:val="es-ES"/>
        </w:rPr>
      </w:pPr>
    </w:p>
    <w:tbl>
      <w:tblPr>
        <w:tblStyle w:val="Sombreadomedio2-nfasis11"/>
        <w:tblW w:w="8947" w:type="dxa"/>
        <w:tblInd w:w="108" w:type="dxa"/>
        <w:tblLook w:val="0420" w:firstRow="1" w:lastRow="0" w:firstColumn="0" w:lastColumn="0" w:noHBand="0" w:noVBand="1"/>
      </w:tblPr>
      <w:tblGrid>
        <w:gridCol w:w="2268"/>
        <w:gridCol w:w="6679"/>
      </w:tblGrid>
      <w:tr w:rsidR="00692D54" w:rsidRPr="00443C3D" w:rsidTr="00867DD3">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Servicio</w:t>
            </w:r>
          </w:p>
        </w:tc>
        <w:tc>
          <w:tcPr>
            <w:tcW w:w="6679" w:type="dxa"/>
            <w:tcBorders>
              <w:top w:val="single" w:sz="18" w:space="0" w:color="221F72"/>
              <w:bottom w:val="single" w:sz="18" w:space="0" w:color="221F72"/>
            </w:tcBorders>
            <w:shd w:val="solid" w:color="221F72" w:fill="221F72"/>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Descripción del servicio</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 xml:space="preserve">Llamadas móviles </w:t>
            </w:r>
            <w:r w:rsidRPr="00443C3D">
              <w:rPr>
                <w:rFonts w:ascii="ITC Avant Garde" w:hAnsi="ITC Avant Garde" w:cs="Arial"/>
                <w:sz w:val="18"/>
                <w:szCs w:val="18"/>
              </w:rPr>
              <w:br/>
            </w:r>
            <w:r w:rsidRPr="00443C3D">
              <w:rPr>
                <w:rFonts w:ascii="ITC Avant Garde" w:hAnsi="ITC Avant Garde" w:cs="Arial"/>
                <w:i/>
                <w:sz w:val="18"/>
                <w:szCs w:val="18"/>
              </w:rPr>
              <w:t>on-net</w:t>
            </w:r>
          </w:p>
        </w:tc>
        <w:tc>
          <w:tcPr>
            <w:tcW w:w="6679" w:type="dxa"/>
            <w:tcBorders>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sz w:val="18"/>
                <w:szCs w:val="18"/>
              </w:rPr>
              <w:t>Llamadas de voz entre dos suscriptores (minoristas u OMV) del operador móvil modelado.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 xml:space="preserve">Llamadas móviles salientes a fijo </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pacing w:val="-4"/>
                <w:sz w:val="18"/>
                <w:szCs w:val="18"/>
              </w:rPr>
            </w:pPr>
            <w:r w:rsidRPr="00443C3D">
              <w:rPr>
                <w:rFonts w:ascii="ITC Avant Garde" w:hAnsi="ITC Avant Garde"/>
                <w:spacing w:val="-4"/>
                <w:sz w:val="18"/>
                <w:szCs w:val="18"/>
              </w:rPr>
              <w:t>Llamadas de voz de un suscriptor (minorista u OMV) del operador móvil modelado a un destino fijo (incluyendo números no geográficos, etc.).</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Llamadas móviles salientes a internacional</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sz w:val="18"/>
                <w:szCs w:val="18"/>
              </w:rPr>
              <w:t>Llamadas de voz de un suscriptor (minorista u OMV) del operador móvil modelado a un destino internacional.</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Llamadas móviles salientes a otros operadores móviles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sz w:val="18"/>
                <w:szCs w:val="18"/>
              </w:rPr>
              <w:t>Llamadas de voz de un suscriptor (minorista u OMV) del operador móvil modelado a otro operador móvil doméstico</w:t>
            </w:r>
            <w:r w:rsidRPr="00443C3D">
              <w:rPr>
                <w:rFonts w:ascii="ITC Avant Garde" w:hAnsi="ITC Avant Garde" w:cs="Arial"/>
                <w:sz w:val="18"/>
                <w:szCs w:val="18"/>
              </w:rPr>
              <w:t>.</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Llamadas entrantes de operadores fijos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 xml:space="preserve">Llamadas de voz recibidas desde otro operador fijo y terminada en la red de un suscriptor </w:t>
            </w:r>
            <w:r w:rsidRPr="00443C3D">
              <w:rPr>
                <w:rFonts w:ascii="ITC Avant Garde" w:hAnsi="ITC Avant Garde" w:cs="Arial"/>
                <w:sz w:val="18"/>
                <w:szCs w:val="18"/>
              </w:rPr>
              <w:t>(minorista u OMV) del operador móvil modelado</w:t>
            </w:r>
            <w:r w:rsidRPr="00443C3D">
              <w:rPr>
                <w:rFonts w:ascii="ITC Avant Garde" w:hAnsi="ITC Avant Garde"/>
                <w:sz w:val="18"/>
                <w:szCs w:val="18"/>
              </w:rPr>
              <w:t>.</w:t>
            </w:r>
          </w:p>
        </w:tc>
      </w:tr>
      <w:tr w:rsidR="00692D54" w:rsidRPr="00443C3D" w:rsidTr="00867DD3">
        <w:tc>
          <w:tcPr>
            <w:tcW w:w="2268" w:type="dxa"/>
            <w:tcBorders>
              <w:top w:val="nil"/>
              <w:bottom w:val="nil"/>
            </w:tcBorders>
          </w:tcPr>
          <w:p w:rsidR="00692D54" w:rsidRPr="00443C3D" w:rsidRDefault="00692D54" w:rsidP="00692D54">
            <w:pPr>
              <w:keepNext/>
              <w:spacing w:after="0" w:line="276" w:lineRule="auto"/>
              <w:ind w:right="113"/>
              <w:rPr>
                <w:rFonts w:ascii="ITC Avant Garde" w:hAnsi="ITC Avant Garde" w:cs="Arial"/>
                <w:sz w:val="18"/>
                <w:szCs w:val="18"/>
              </w:rPr>
            </w:pPr>
            <w:r w:rsidRPr="00443C3D">
              <w:rPr>
                <w:rFonts w:ascii="ITC Avant Garde" w:hAnsi="ITC Avant Garde" w:cs="Arial"/>
                <w:sz w:val="18"/>
                <w:szCs w:val="18"/>
              </w:rPr>
              <w:t>Llamadas entrantes de operadores internacionales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 xml:space="preserve">Llamadas de voz recibidas desde otro operador internacional y terminada en la red de un suscriptor </w:t>
            </w:r>
            <w:r w:rsidRPr="00443C3D">
              <w:rPr>
                <w:rFonts w:ascii="ITC Avant Garde" w:hAnsi="ITC Avant Garde" w:cs="Arial"/>
                <w:sz w:val="18"/>
                <w:szCs w:val="18"/>
              </w:rPr>
              <w:t>(minorista u OMV) del operador móvil modelado</w:t>
            </w:r>
            <w:r w:rsidRPr="00443C3D">
              <w:rPr>
                <w:rFonts w:ascii="ITC Avant Garde" w:hAnsi="ITC Avant Garde"/>
                <w:sz w:val="18"/>
                <w:szCs w:val="18"/>
              </w:rPr>
              <w:t>.</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pacing w:val="-4"/>
                <w:sz w:val="18"/>
                <w:szCs w:val="18"/>
              </w:rPr>
            </w:pPr>
            <w:r w:rsidRPr="00443C3D">
              <w:rPr>
                <w:rFonts w:ascii="ITC Avant Garde" w:hAnsi="ITC Avant Garde" w:cs="Arial"/>
                <w:spacing w:val="-4"/>
                <w:sz w:val="18"/>
                <w:szCs w:val="18"/>
              </w:rPr>
              <w:t>Llamadas entrantes de otros operadores móviles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 xml:space="preserve">Llamadas de voz recibidas desde otro operador móvil y terminada en la red de un suscriptor </w:t>
            </w:r>
            <w:r w:rsidRPr="00443C3D">
              <w:rPr>
                <w:rFonts w:ascii="ITC Avant Garde" w:hAnsi="ITC Avant Garde" w:cs="Arial"/>
                <w:sz w:val="18"/>
                <w:szCs w:val="18"/>
              </w:rPr>
              <w:t>(minorista u OMV) del operador móvil modelado</w:t>
            </w:r>
            <w:r w:rsidRPr="00443C3D">
              <w:rPr>
                <w:rFonts w:ascii="ITC Avant Garde" w:hAnsi="ITC Avant Garde"/>
                <w:sz w:val="18"/>
                <w:szCs w:val="18"/>
              </w:rPr>
              <w:t>.</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Originación roaming internacional</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rPr>
            </w:pPr>
            <w:r w:rsidRPr="00443C3D">
              <w:rPr>
                <w:rFonts w:ascii="ITC Avant Garde" w:hAnsi="ITC Avant Garde"/>
                <w:sz w:val="18"/>
                <w:szCs w:val="18"/>
              </w:rPr>
              <w:t xml:space="preserve">Llamadas de voz de un usuario visitante extranjero </w:t>
            </w:r>
            <w:r w:rsidRPr="00443C3D">
              <w:rPr>
                <w:rFonts w:ascii="ITC Avant Garde" w:hAnsi="ITC Avant Garde" w:cs="Arial"/>
                <w:sz w:val="18"/>
                <w:szCs w:val="18"/>
              </w:rPr>
              <w:t>(</w:t>
            </w:r>
            <w:r w:rsidRPr="00443C3D">
              <w:rPr>
                <w:rFonts w:ascii="ITC Avant Garde" w:hAnsi="ITC Avant Garde" w:cs="Arial"/>
                <w:i/>
                <w:sz w:val="18"/>
                <w:szCs w:val="18"/>
              </w:rPr>
              <w:t>inbound roamer</w:t>
            </w:r>
            <w:r w:rsidRPr="00443C3D">
              <w:rPr>
                <w:rFonts w:ascii="ITC Avant Garde" w:hAnsi="ITC Avant Garde" w:cs="Arial"/>
                <w:sz w:val="18"/>
                <w:szCs w:val="18"/>
              </w:rPr>
              <w:t xml:space="preserve">) </w:t>
            </w:r>
            <w:r w:rsidRPr="00443C3D">
              <w:rPr>
                <w:rFonts w:ascii="ITC Avant Garde" w:hAnsi="ITC Avant Garde"/>
                <w:sz w:val="18"/>
                <w:szCs w:val="18"/>
              </w:rPr>
              <w:t xml:space="preserve">en la red del operador móvil modelado </w:t>
            </w:r>
            <w:r w:rsidRPr="00443C3D">
              <w:rPr>
                <w:rFonts w:ascii="ITC Avant Garde" w:hAnsi="ITC Avant Garde"/>
                <w:spacing w:val="-4"/>
                <w:sz w:val="18"/>
                <w:szCs w:val="18"/>
              </w:rPr>
              <w:t>a un destino móvil, fijo o internacional.</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Terminación roaming internacional</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sz w:val="18"/>
                <w:szCs w:val="18"/>
              </w:rPr>
              <w:t xml:space="preserve">Llamadas de voz recibidas desde otro operador móvil, </w:t>
            </w:r>
            <w:r w:rsidRPr="00443C3D">
              <w:rPr>
                <w:rFonts w:ascii="ITC Avant Garde" w:hAnsi="ITC Avant Garde"/>
                <w:spacing w:val="-4"/>
                <w:sz w:val="18"/>
                <w:szCs w:val="18"/>
              </w:rPr>
              <w:t xml:space="preserve">fijo o internacional </w:t>
            </w:r>
            <w:r w:rsidRPr="00443C3D">
              <w:rPr>
                <w:rFonts w:ascii="ITC Avant Garde" w:hAnsi="ITC Avant Garde"/>
                <w:sz w:val="18"/>
                <w:szCs w:val="18"/>
              </w:rPr>
              <w:t>y terminada en la red de un usuario visitante extranjero</w:t>
            </w:r>
            <w:r w:rsidRPr="00443C3D">
              <w:rPr>
                <w:rFonts w:ascii="ITC Avant Garde" w:hAnsi="ITC Avant Garde" w:cs="Arial"/>
                <w:sz w:val="18"/>
                <w:szCs w:val="18"/>
              </w:rPr>
              <w:t xml:space="preserve"> (</w:t>
            </w:r>
            <w:r w:rsidRPr="00443C3D">
              <w:rPr>
                <w:rFonts w:ascii="ITC Avant Garde" w:hAnsi="ITC Avant Garde" w:cs="Arial"/>
                <w:i/>
                <w:sz w:val="18"/>
                <w:szCs w:val="18"/>
              </w:rPr>
              <w:t>inbound roamer</w:t>
            </w:r>
            <w:r w:rsidRPr="00443C3D">
              <w:rPr>
                <w:rFonts w:ascii="ITC Avant Garde" w:hAnsi="ITC Avant Garde" w:cs="Arial"/>
                <w:sz w:val="18"/>
                <w:szCs w:val="18"/>
              </w:rPr>
              <w:t>) del operador móvil modelado</w:t>
            </w:r>
            <w:r w:rsidRPr="00443C3D">
              <w:rPr>
                <w:rFonts w:ascii="ITC Avant Garde" w:hAnsi="ITC Avant Garde"/>
                <w:sz w:val="18"/>
                <w:szCs w:val="18"/>
              </w:rPr>
              <w:t>.</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Llamadas en tránsito</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sz w:val="18"/>
                <w:szCs w:val="18"/>
              </w:rPr>
              <w:t>Llamadas de voz recibidas de otro operador internacional, móvil o fijo y terminadas en la red de otro operador internacional, móvil o fijo. Este servicio sólo es prestado por el operador de escala y alcance del Agente Económico Preponderante.</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 xml:space="preserve">SMS on-net </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color w:val="000000"/>
                <w:sz w:val="18"/>
                <w:szCs w:val="18"/>
                <w:lang w:val="es-MX"/>
              </w:rPr>
              <w:t xml:space="preserve">SMS entre dos suscriptores </w:t>
            </w:r>
            <w:r w:rsidRPr="00443C3D">
              <w:rPr>
                <w:rFonts w:ascii="ITC Avant Garde" w:hAnsi="ITC Avant Garde" w:cs="Arial"/>
                <w:sz w:val="18"/>
                <w:szCs w:val="18"/>
              </w:rPr>
              <w:t xml:space="preserve">(minoristas u OMV o </w:t>
            </w:r>
            <w:r w:rsidRPr="00443C3D">
              <w:rPr>
                <w:rFonts w:ascii="ITC Avant Garde" w:hAnsi="ITC Avant Garde" w:cs="Arial"/>
                <w:i/>
                <w:sz w:val="18"/>
                <w:szCs w:val="18"/>
              </w:rPr>
              <w:t>inbound roamer</w:t>
            </w:r>
            <w:r w:rsidRPr="00443C3D">
              <w:rPr>
                <w:rFonts w:ascii="ITC Avant Garde" w:hAnsi="ITC Avant Garde" w:cs="Arial"/>
                <w:sz w:val="18"/>
                <w:szCs w:val="18"/>
              </w:rPr>
              <w:t xml:space="preserve">) </w:t>
            </w:r>
            <w:r w:rsidRPr="00443C3D">
              <w:rPr>
                <w:rFonts w:ascii="ITC Avant Garde" w:hAnsi="ITC Avant Garde" w:cs="Arial"/>
                <w:color w:val="000000"/>
                <w:sz w:val="18"/>
                <w:szCs w:val="18"/>
                <w:lang w:val="es-MX"/>
              </w:rPr>
              <w:t>del operador móvil modelado.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lastRenderedPageBreak/>
              <w:t>SMS salientes a otras redes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rPr>
            </w:pPr>
            <w:r w:rsidRPr="00443C3D">
              <w:rPr>
                <w:rFonts w:ascii="ITC Avant Garde" w:hAnsi="ITC Avant Garde" w:cs="Arial"/>
                <w:color w:val="000000"/>
                <w:sz w:val="18"/>
                <w:szCs w:val="18"/>
                <w:lang w:val="es-MX"/>
              </w:rPr>
              <w:t xml:space="preserve">SMS de un suscriptor </w:t>
            </w:r>
            <w:r w:rsidRPr="00443C3D">
              <w:rPr>
                <w:rFonts w:ascii="ITC Avant Garde" w:hAnsi="ITC Avant Garde" w:cs="Arial"/>
                <w:sz w:val="18"/>
                <w:szCs w:val="18"/>
              </w:rPr>
              <w:t xml:space="preserve">(minorista u OMV o </w:t>
            </w:r>
            <w:r w:rsidRPr="00443C3D">
              <w:rPr>
                <w:rFonts w:ascii="ITC Avant Garde" w:hAnsi="ITC Avant Garde" w:cs="Arial"/>
                <w:i/>
                <w:sz w:val="18"/>
                <w:szCs w:val="18"/>
              </w:rPr>
              <w:t>inbound roamer</w:t>
            </w:r>
            <w:r w:rsidRPr="00443C3D">
              <w:rPr>
                <w:rFonts w:ascii="ITC Avant Garde" w:hAnsi="ITC Avant Garde" w:cs="Arial"/>
                <w:sz w:val="18"/>
                <w:szCs w:val="18"/>
              </w:rPr>
              <w:t xml:space="preserve">) </w:t>
            </w:r>
            <w:r w:rsidRPr="00443C3D">
              <w:rPr>
                <w:rFonts w:ascii="ITC Avant Garde" w:hAnsi="ITC Avant Garde" w:cs="Arial"/>
                <w:color w:val="000000"/>
                <w:sz w:val="18"/>
                <w:szCs w:val="18"/>
                <w:lang w:val="es-MX"/>
              </w:rPr>
              <w:t>del operador móvil modelado a otro operador de red.</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SMS entrantes de otras redes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color w:val="000000"/>
                <w:sz w:val="18"/>
                <w:szCs w:val="18"/>
                <w:lang w:val="es-MX"/>
              </w:rPr>
              <w:t xml:space="preserve">SMS recibidos de otro operador y terminado en un usuario </w:t>
            </w:r>
            <w:r w:rsidRPr="00443C3D">
              <w:rPr>
                <w:rFonts w:ascii="ITC Avant Garde" w:hAnsi="ITC Avant Garde" w:cs="Arial"/>
                <w:sz w:val="18"/>
                <w:szCs w:val="18"/>
              </w:rPr>
              <w:t xml:space="preserve">(minorista u OMV o </w:t>
            </w:r>
            <w:r w:rsidRPr="00443C3D">
              <w:rPr>
                <w:rFonts w:ascii="ITC Avant Garde" w:hAnsi="ITC Avant Garde" w:cs="Arial"/>
                <w:i/>
                <w:sz w:val="18"/>
                <w:szCs w:val="18"/>
              </w:rPr>
              <w:t>inbound roamer</w:t>
            </w:r>
            <w:r w:rsidRPr="00443C3D">
              <w:rPr>
                <w:rFonts w:ascii="ITC Avant Garde" w:hAnsi="ITC Avant Garde" w:cs="Arial"/>
                <w:sz w:val="18"/>
                <w:szCs w:val="18"/>
              </w:rPr>
              <w:t xml:space="preserve">) </w:t>
            </w:r>
            <w:r w:rsidRPr="00443C3D">
              <w:rPr>
                <w:rFonts w:ascii="ITC Avant Garde" w:hAnsi="ITC Avant Garde" w:cs="Arial"/>
                <w:color w:val="000000"/>
                <w:sz w:val="18"/>
                <w:szCs w:val="18"/>
                <w:lang w:val="es-MX"/>
              </w:rPr>
              <w:t>del operador móvil modelado.</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VMS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sz w:val="18"/>
                <w:szCs w:val="18"/>
              </w:rPr>
              <w:t>Llamadas de voz de un suscriptor (minorista u OMV) al contestador del operador móvil modelado</w:t>
            </w:r>
            <w:r w:rsidRPr="00443C3D">
              <w:rPr>
                <w:rFonts w:ascii="ITC Avant Garde" w:hAnsi="ITC Avant Garde" w:cs="Arial"/>
                <w:sz w:val="18"/>
                <w:szCs w:val="18"/>
              </w:rPr>
              <w:t>.</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GPRS</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443C3D">
              <w:rPr>
                <w:rFonts w:ascii="ITC Avant Garde" w:hAnsi="ITC Avant Garde" w:cs="Arial"/>
                <w:sz w:val="18"/>
                <w:szCs w:val="18"/>
              </w:rPr>
              <w:t xml:space="preserve">minorista u OMV o </w:t>
            </w:r>
            <w:r w:rsidRPr="00443C3D">
              <w:rPr>
                <w:rFonts w:ascii="ITC Avant Garde" w:hAnsi="ITC Avant Garde" w:cs="Arial"/>
                <w:i/>
                <w:sz w:val="18"/>
                <w:szCs w:val="18"/>
              </w:rPr>
              <w:t>inbound roamer</w:t>
            </w:r>
            <w:r w:rsidRPr="00443C3D">
              <w:rPr>
                <w:rFonts w:ascii="ITC Avant Garde" w:hAnsi="ITC Avant Garde" w:cs="Arial"/>
                <w:color w:val="000000"/>
                <w:sz w:val="18"/>
                <w:szCs w:val="18"/>
                <w:lang w:val="es-MX"/>
              </w:rPr>
              <w:t>) a través de la red 2G GPRS.</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EDGE</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443C3D">
              <w:rPr>
                <w:rFonts w:ascii="ITC Avant Garde" w:hAnsi="ITC Avant Garde" w:cs="Arial"/>
                <w:sz w:val="18"/>
                <w:szCs w:val="18"/>
              </w:rPr>
              <w:t xml:space="preserve">minorista u OMV o </w:t>
            </w:r>
            <w:r w:rsidRPr="00443C3D">
              <w:rPr>
                <w:rFonts w:ascii="ITC Avant Garde" w:hAnsi="ITC Avant Garde" w:cs="Arial"/>
                <w:i/>
                <w:sz w:val="18"/>
                <w:szCs w:val="18"/>
              </w:rPr>
              <w:t>inbound roamer</w:t>
            </w:r>
            <w:r w:rsidRPr="00443C3D">
              <w:rPr>
                <w:rFonts w:ascii="ITC Avant Garde" w:hAnsi="ITC Avant Garde" w:cs="Arial"/>
                <w:color w:val="000000"/>
                <w:sz w:val="18"/>
                <w:szCs w:val="18"/>
                <w:lang w:val="es-MX"/>
              </w:rPr>
              <w:t>) a través de la red 2G EDGE.</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R99</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443C3D">
              <w:rPr>
                <w:rFonts w:ascii="ITC Avant Garde" w:hAnsi="ITC Avant Garde" w:cs="Arial"/>
                <w:sz w:val="18"/>
                <w:szCs w:val="18"/>
              </w:rPr>
              <w:t xml:space="preserve">minorista u OMV o </w:t>
            </w:r>
            <w:r w:rsidRPr="00443C3D">
              <w:rPr>
                <w:rFonts w:ascii="ITC Avant Garde" w:hAnsi="ITC Avant Garde" w:cs="Arial"/>
                <w:i/>
                <w:sz w:val="18"/>
                <w:szCs w:val="18"/>
              </w:rPr>
              <w:t>inbound roamer</w:t>
            </w:r>
            <w:r w:rsidRPr="00443C3D">
              <w:rPr>
                <w:rFonts w:ascii="ITC Avant Garde" w:hAnsi="ITC Avant Garde" w:cs="Arial"/>
                <w:color w:val="000000"/>
                <w:sz w:val="18"/>
                <w:szCs w:val="18"/>
                <w:lang w:val="es-MX"/>
              </w:rPr>
              <w:t>) a través de la red de datos de baja velocidad 3G (portadoras Release 99).</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HSDPA</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color w:val="000000"/>
                <w:sz w:val="18"/>
                <w:szCs w:val="18"/>
                <w:lang w:val="es-MX"/>
              </w:rPr>
              <w:t>Mbytes de servicio de datos (excluyendo las cabeceras de los paquetes IP) transferidos hacia un suscriptor (</w:t>
            </w:r>
            <w:r w:rsidRPr="00443C3D">
              <w:rPr>
                <w:rFonts w:ascii="ITC Avant Garde" w:hAnsi="ITC Avant Garde" w:cs="Arial"/>
                <w:sz w:val="18"/>
                <w:szCs w:val="18"/>
              </w:rPr>
              <w:t>minorista u OMV o inbound roamer</w:t>
            </w:r>
            <w:r w:rsidRPr="00443C3D">
              <w:rPr>
                <w:rFonts w:ascii="ITC Avant Garde" w:hAnsi="ITC Avant Garde" w:cs="Arial"/>
                <w:color w:val="000000"/>
                <w:sz w:val="18"/>
                <w:szCs w:val="18"/>
                <w:lang w:val="es-MX"/>
              </w:rPr>
              <w:t>) a través de la red HSPA.</w:t>
            </w:r>
          </w:p>
        </w:tc>
      </w:tr>
      <w:tr w:rsidR="00692D54" w:rsidRPr="00443C3D"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HSUPA</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color w:val="000000"/>
                <w:sz w:val="18"/>
                <w:szCs w:val="18"/>
                <w:lang w:val="es-MX"/>
              </w:rPr>
              <w:t>Mbytes de servicio de datos (excluyendo las cabeceras de los paquetes IP) transferidos desde un suscriptor (</w:t>
            </w:r>
            <w:r w:rsidRPr="00443C3D">
              <w:rPr>
                <w:rFonts w:ascii="ITC Avant Garde" w:hAnsi="ITC Avant Garde" w:cs="Arial"/>
                <w:sz w:val="18"/>
                <w:szCs w:val="18"/>
              </w:rPr>
              <w:t>minorista u OMV o inbound roamer</w:t>
            </w:r>
            <w:r w:rsidRPr="00443C3D">
              <w:rPr>
                <w:rFonts w:ascii="ITC Avant Garde" w:hAnsi="ITC Avant Garde" w:cs="Arial"/>
                <w:color w:val="000000"/>
                <w:sz w:val="18"/>
                <w:szCs w:val="18"/>
                <w:lang w:val="es-MX"/>
              </w:rPr>
              <w:t>) a través de la red HSPA.</w:t>
            </w:r>
          </w:p>
        </w:tc>
      </w:tr>
      <w:tr w:rsidR="00692D54" w:rsidRPr="00443C3D" w:rsidTr="00867DD3">
        <w:tc>
          <w:tcPr>
            <w:tcW w:w="2268" w:type="dxa"/>
            <w:tcBorders>
              <w:top w:val="nil"/>
              <w:bottom w:val="nil"/>
            </w:tcBorders>
          </w:tcPr>
          <w:p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LTE</w:t>
            </w:r>
          </w:p>
        </w:tc>
        <w:tc>
          <w:tcPr>
            <w:tcW w:w="6679" w:type="dxa"/>
            <w:tcBorders>
              <w:top w:val="nil"/>
              <w:bottom w:val="nil"/>
            </w:tcBorders>
          </w:tcPr>
          <w:p w:rsidR="00692D54" w:rsidRPr="00443C3D"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y hacia el suscriptor (minorista u OMV o inbound roamer) a través de la red LTE.</w:t>
            </w:r>
          </w:p>
        </w:tc>
      </w:tr>
    </w:tbl>
    <w:p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5: Servicios que se ofrecen a través de redes móviles [Fuente: Analysys Mason)</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eastAsia="Times New Roman" w:hAnsi="ITC Avant Garde"/>
          <w:lang w:eastAsia="es-ES"/>
        </w:rPr>
      </w:pPr>
      <w:r w:rsidRPr="00443C3D">
        <w:rPr>
          <w:rFonts w:ascii="ITC Avant Garde" w:hAnsi="ITC Avant Garde"/>
        </w:rPr>
        <w:t>Se agregarán los servicios de tráfico móvil para los diferentes tipos de usuarios (ej., venta minorista, usuario visitante internacional) para identificar los costos subyacentes del tráfico de red en el Modelo Móvil.</w:t>
      </w:r>
    </w:p>
    <w:p w:rsidR="00692D54" w:rsidRPr="00443C3D" w:rsidRDefault="00692D54" w:rsidP="00692D54">
      <w:pPr>
        <w:spacing w:after="0" w:line="276" w:lineRule="auto"/>
        <w:jc w:val="both"/>
        <w:rPr>
          <w:rFonts w:ascii="ITC Avant Garde" w:eastAsia="Times New Roman" w:hAnsi="ITC Avant Garde"/>
          <w:lang w:eastAsia="es-ES"/>
        </w:rPr>
      </w:pPr>
    </w:p>
    <w:p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Volúmenes de tráfico</w:t>
      </w:r>
    </w:p>
    <w:p w:rsidR="00692D54" w:rsidRPr="00443C3D" w:rsidRDefault="00692D54" w:rsidP="00692D54">
      <w:pPr>
        <w:spacing w:after="0" w:line="276" w:lineRule="auto"/>
        <w:jc w:val="both"/>
        <w:rPr>
          <w:rFonts w:ascii="ITC Avant Garde" w:hAnsi="ITC Avant Garde"/>
          <w:color w:val="000000"/>
        </w:rPr>
      </w:pPr>
    </w:p>
    <w:p w:rsidR="007C3011"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Es necesario definir el volumen y el perfil</w:t>
      </w:r>
      <w:r w:rsidRPr="00443C3D">
        <w:rPr>
          <w:rFonts w:ascii="ITC Avant Garde" w:hAnsi="ITC Avant Garde"/>
          <w:vertAlign w:val="superscript"/>
        </w:rPr>
        <w:footnoteReference w:id="14"/>
      </w:r>
      <w:r w:rsidRPr="00443C3D">
        <w:rPr>
          <w:rFonts w:ascii="ITC Avant Garde" w:hAnsi="ITC Avant Garde"/>
          <w:color w:val="000000"/>
        </w:rPr>
        <w:t xml:space="preserve"> del tráfico cursado en la red del operador modelado.</w:t>
      </w:r>
      <w:r w:rsidRPr="00443C3D">
        <w:rPr>
          <w:rFonts w:ascii="ITC Avant Garde" w:hAnsi="ITC Avant Garde"/>
        </w:rPr>
        <w:t xml:space="preserve"> </w:t>
      </w:r>
      <w:r w:rsidRPr="00443C3D">
        <w:rPr>
          <w:rFonts w:ascii="ITC Avant Garde" w:hAnsi="ITC Avant Garde"/>
          <w:color w:val="000000"/>
        </w:rPr>
        <w:t>Dado que la definición del operador incorpora la definición de una participación de mercado, se propone definir el volumen de tráfico y su perfil para un usuario promedio.</w:t>
      </w:r>
      <w:r w:rsidRPr="00443C3D">
        <w:rPr>
          <w:rFonts w:ascii="ITC Avant Garde" w:hAnsi="ITC Avant Garde"/>
        </w:rPr>
        <w:t xml:space="preserve"> </w:t>
      </w:r>
      <w:r w:rsidRPr="00443C3D">
        <w:rPr>
          <w:rFonts w:ascii="ITC Avant Garde" w:hAnsi="ITC Avant Garde"/>
          <w:color w:val="000000"/>
        </w:rPr>
        <w:t>Este perfil de tráfico deberá tener en cuenta el equilibrio de tráfico entre los diferentes servicios que compiten en el mercado.</w:t>
      </w:r>
      <w:r w:rsidRPr="00443C3D">
        <w:rPr>
          <w:rFonts w:ascii="ITC Avant Garde" w:hAnsi="ITC Avant Garde"/>
        </w:rPr>
        <w:t xml:space="preserve"> Se requerirá por lo tanto </w:t>
      </w:r>
      <w:r w:rsidRPr="00443C3D">
        <w:rPr>
          <w:rFonts w:ascii="ITC Avant Garde" w:hAnsi="ITC Avant Garde"/>
          <w:color w:val="000000"/>
        </w:rPr>
        <w:t>un enfoque integral para la estimación de la evolución del tráfico de voz y datos.</w:t>
      </w:r>
      <w:r w:rsidR="007C3011" w:rsidRPr="00443C3D">
        <w:rPr>
          <w:rFonts w:ascii="ITC Avant Garde" w:hAnsi="ITC Avant Garde"/>
          <w:color w:val="000000"/>
        </w:rPr>
        <w:t xml:space="preserve"> </w:t>
      </w:r>
      <w:r w:rsidR="0003630B" w:rsidRPr="00443C3D">
        <w:rPr>
          <w:rFonts w:ascii="ITC Avant Garde" w:hAnsi="ITC Avant Garde"/>
          <w:color w:val="000000"/>
        </w:rPr>
        <w:t>E</w:t>
      </w:r>
      <w:r w:rsidR="007C3011" w:rsidRPr="00443C3D">
        <w:rPr>
          <w:rFonts w:ascii="ITC Avant Garde" w:hAnsi="ITC Avant Garde"/>
          <w:color w:val="000000"/>
        </w:rPr>
        <w:t xml:space="preserve">n el caso del servicio de tránsito en el Modelo Móvil </w:t>
      </w:r>
      <w:r w:rsidR="0003630B" w:rsidRPr="00443C3D">
        <w:rPr>
          <w:rFonts w:ascii="ITC Avant Garde" w:hAnsi="ITC Avant Garde"/>
          <w:color w:val="000000"/>
        </w:rPr>
        <w:t>se utilizará una estimación de tráfico del servicio</w:t>
      </w:r>
      <w:r w:rsidR="007C3011" w:rsidRPr="00443C3D">
        <w:rPr>
          <w:rFonts w:ascii="ITC Avant Garde" w:hAnsi="ITC Avant Garde"/>
          <w:color w:val="000000"/>
        </w:rPr>
        <w:t>.</w:t>
      </w:r>
    </w:p>
    <w:p w:rsidR="007C3011" w:rsidRPr="00443C3D" w:rsidRDefault="007C3011" w:rsidP="00692D54">
      <w:pPr>
        <w:spacing w:after="0" w:line="276" w:lineRule="auto"/>
        <w:jc w:val="both"/>
        <w:rPr>
          <w:rFonts w:ascii="ITC Avant Garde" w:hAnsi="ITC Avant Garde"/>
          <w:color w:val="000000"/>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lastRenderedPageBreak/>
        <w:t xml:space="preserve"> </w:t>
      </w:r>
      <w:r w:rsidRPr="00443C3D">
        <w:rPr>
          <w:rFonts w:ascii="ITC Avant Garde" w:hAnsi="ITC Avant Garde"/>
          <w:color w:val="000000"/>
        </w:rPr>
        <w:t>En consecuencia, los diferentes modelos deberían basarse en un módulo común de predicción de tráfico</w:t>
      </w:r>
      <w:r w:rsidRPr="00443C3D">
        <w:rPr>
          <w:rFonts w:ascii="ITC Avant Garde" w:hAnsi="ITC Avant Garde"/>
        </w:rPr>
        <w:t>.</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 xml:space="preserve">El volumen de tráfico asociado a los </w:t>
      </w:r>
      <w:r w:rsidRPr="00443C3D">
        <w:rPr>
          <w:rFonts w:ascii="ITC Avant Garde" w:hAnsi="ITC Avant Garde"/>
          <w:color w:val="000000"/>
        </w:rPr>
        <w:t xml:space="preserve">usuarios </w:t>
      </w:r>
      <w:r w:rsidRPr="00443C3D">
        <w:rPr>
          <w:rFonts w:ascii="ITC Avant Garde" w:hAnsi="ITC Avant Garde"/>
        </w:rPr>
        <w:t>del operador modelado es el principal inductor de los costos asociados con la red troncal, y la medida que permitirá explotar las economías de escala.</w:t>
      </w:r>
    </w:p>
    <w:p w:rsidR="00692D54" w:rsidRPr="00443C3D" w:rsidRDefault="00692D54" w:rsidP="00692D54">
      <w:pPr>
        <w:spacing w:after="0" w:line="276" w:lineRule="auto"/>
        <w:ind w:left="426"/>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443C3D">
        <w:rPr>
          <w:rFonts w:ascii="ITC Avant Garde" w:hAnsi="ITC Avant Garde"/>
          <w:spacing w:val="-4"/>
          <w:vertAlign w:val="superscript"/>
        </w:rPr>
        <w:footnoteReference w:id="15"/>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rPr>
        <w:t>El pronóstico del perfil de tráfico del operador modelado se basará en el perfil de la media del mercado, es decir la base de suscriptores de cada operador tendrá el mismo perfil de uso.</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rPr>
          <w:rFonts w:ascii="ITC Avant Garde" w:hAnsi="ITC Avant Garde"/>
        </w:rPr>
      </w:pPr>
      <w:bookmarkStart w:id="0" w:name="_Toc406529103"/>
      <w:r w:rsidRPr="00443C3D">
        <w:rPr>
          <w:rFonts w:ascii="ITC Avant Garde" w:hAnsi="ITC Avant Garde"/>
          <w:b/>
        </w:rPr>
        <w:t>Costos mayoristas o minoristas</w:t>
      </w:r>
      <w:bookmarkEnd w:id="0"/>
    </w:p>
    <w:p w:rsidR="00692D54" w:rsidRPr="00443C3D" w:rsidRDefault="00692D54" w:rsidP="00692D54">
      <w:pPr>
        <w:spacing w:after="0" w:line="276" w:lineRule="auto"/>
        <w:jc w:val="both"/>
        <w:rPr>
          <w:rFonts w:ascii="ITC Avant Garde" w:hAnsi="ITC Avant Garde"/>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Este aspecto se describe a continuación.</w:t>
      </w:r>
    </w:p>
    <w:p w:rsidR="00692D54" w:rsidRPr="00443C3D" w:rsidRDefault="00692D54" w:rsidP="00692D54">
      <w:pPr>
        <w:spacing w:after="0" w:line="276" w:lineRule="auto"/>
        <w:jc w:val="both"/>
        <w:rPr>
          <w:rFonts w:ascii="ITC Avant Garde" w:hAnsi="ITC Avant Garde"/>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692D54" w:rsidRPr="00443C3D" w:rsidTr="00867DD3">
        <w:trPr>
          <w:trHeight w:val="2728"/>
        </w:trPr>
        <w:tc>
          <w:tcPr>
            <w:tcW w:w="5534" w:type="dxa"/>
            <w:tcBorders>
              <w:right w:val="single" w:sz="4" w:space="0" w:color="auto"/>
            </w:tcBorders>
            <w:shd w:val="clear" w:color="auto" w:fill="auto"/>
          </w:tcPr>
          <w:p w:rsidR="00692D54" w:rsidRPr="00443C3D" w:rsidRDefault="00692D54" w:rsidP="00692D54">
            <w:pPr>
              <w:spacing w:after="0" w:line="276" w:lineRule="auto"/>
              <w:ind w:left="426"/>
              <w:jc w:val="both"/>
              <w:rPr>
                <w:rFonts w:ascii="ITC Avant Garde" w:hAnsi="ITC Avant Garde"/>
                <w:lang w:val="es-ES"/>
              </w:rPr>
            </w:pPr>
            <w:r w:rsidRPr="00443C3D">
              <w:rPr>
                <w:rFonts w:ascii="ITC Avant Garde" w:hAnsi="ITC Avant Garde"/>
                <w:noProof/>
                <w:lang w:eastAsia="es-MX"/>
              </w:rPr>
              <w:drawing>
                <wp:inline distT="0" distB="0" distL="0" distR="0" wp14:anchorId="43EC3390" wp14:editId="24E8ADA8">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rsidR="00692D54" w:rsidRPr="00443C3D" w:rsidRDefault="00692D54" w:rsidP="00692D54">
      <w:pPr>
        <w:spacing w:after="0" w:line="276" w:lineRule="auto"/>
        <w:ind w:left="426"/>
        <w:jc w:val="center"/>
        <w:rPr>
          <w:rFonts w:ascii="ITC Avant Garde" w:hAnsi="ITC Avant Garde"/>
          <w:sz w:val="18"/>
          <w:szCs w:val="18"/>
        </w:rPr>
      </w:pPr>
      <w:r w:rsidRPr="00443C3D">
        <w:rPr>
          <w:rFonts w:ascii="ITC Avant Garde" w:hAnsi="ITC Avant Garde"/>
          <w:sz w:val="18"/>
          <w:szCs w:val="18"/>
          <w:lang w:val="es-ES"/>
        </w:rPr>
        <w:t>Figura 6: Costos mayoristas o minoristas [Fuente: Analysys Mason]</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 xml:space="preserve">En el modelo separado verticalmente, los servicios de red (tales como el tráfico) son presupuestados por separado de las actividades minoristas (como las subvenciones de las terminales o el marketing). A los gastos generales se añade un </w:t>
      </w:r>
      <w:r w:rsidRPr="00443C3D">
        <w:rPr>
          <w:rFonts w:ascii="ITC Avant Garde" w:hAnsi="ITC Avant Garde"/>
          <w:i/>
        </w:rPr>
        <w:t>mark-up</w:t>
      </w:r>
      <w:r w:rsidRPr="00443C3D">
        <w:rPr>
          <w:rFonts w:ascii="ITC Avant Garde" w:hAnsi="ITC Avant Garde"/>
        </w:rPr>
        <w:t xml:space="preserve"> a la red y las actividades minoristas, y se considera para el costo mayorista de suministro de interconexión únicamente los costos de la red más la proporción de los gastos generales.</w:t>
      </w:r>
    </w:p>
    <w:p w:rsidR="00692D54" w:rsidRPr="00443C3D" w:rsidRDefault="00692D54" w:rsidP="00692D54">
      <w:pPr>
        <w:spacing w:after="0" w:line="276" w:lineRule="auto"/>
        <w:ind w:left="426"/>
        <w:jc w:val="both"/>
        <w:rPr>
          <w:rFonts w:ascii="ITC Avant Garde" w:hAnsi="ITC Avant Garde"/>
          <w:color w:val="000000"/>
        </w:rPr>
      </w:pPr>
    </w:p>
    <w:p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lastRenderedPageBreak/>
        <w:t xml:space="preserve">En el modelo de integración vertical, los costos minoristas se consideran como parte integral de los servicios de red y se incluyen en los costos del servicio a través de un </w:t>
      </w:r>
      <w:r w:rsidRPr="00443C3D">
        <w:rPr>
          <w:rFonts w:ascii="ITC Avant Garde" w:hAnsi="ITC Avant Garde"/>
          <w:i/>
          <w:color w:val="000000"/>
        </w:rPr>
        <w:t>mark-up</w:t>
      </w:r>
      <w:r w:rsidRPr="00443C3D">
        <w:rPr>
          <w:rFonts w:ascii="ITC Avant Garde" w:hAnsi="ITC Avant Garde"/>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rsidR="009149A0" w:rsidRPr="00443C3D" w:rsidRDefault="009149A0" w:rsidP="00692D54">
      <w:pPr>
        <w:spacing w:after="0" w:line="276" w:lineRule="auto"/>
        <w:jc w:val="both"/>
        <w:rPr>
          <w:rFonts w:ascii="ITC Avant Garde" w:hAnsi="ITC Avant Garde"/>
          <w:spacing w:val="-2"/>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443C3D">
        <w:rPr>
          <w:rFonts w:ascii="ITC Avant Garde" w:hAnsi="ITC Avant Garde"/>
        </w:rPr>
        <w:t xml:space="preserve"> </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 xml:space="preserve">Sin embargo, los costos comunes a las actividades de red y minoristas pueden ser recuperados a través de los servicios de red mayoristas y los servicios minoristas en el caso de un modelo CITLP (tratados como un </w:t>
      </w:r>
      <w:r w:rsidRPr="00443C3D">
        <w:rPr>
          <w:rFonts w:ascii="ITC Avant Garde" w:hAnsi="ITC Avant Garde"/>
          <w:i/>
          <w:color w:val="000000"/>
        </w:rPr>
        <w:t>mark-up</w:t>
      </w:r>
      <w:r w:rsidRPr="00443C3D">
        <w:rPr>
          <w:rFonts w:ascii="ITC Avant Garde" w:hAnsi="ITC Avant Garde"/>
          <w:color w:val="000000"/>
        </w:rPr>
        <w:t xml:space="preserve"> del resultado del CTILP) pero no en el caso de un modelo CILP Puro.</w:t>
      </w:r>
      <w:r w:rsidRPr="00443C3D">
        <w:rPr>
          <w:rFonts w:ascii="ITC Avant Garde" w:hAnsi="ITC Avant Garde"/>
        </w:rPr>
        <w:t xml:space="preserve"> </w:t>
      </w:r>
    </w:p>
    <w:p w:rsidR="00692D54" w:rsidRPr="00443C3D" w:rsidRDefault="00692D54" w:rsidP="00692D54">
      <w:pPr>
        <w:spacing w:after="0" w:line="276" w:lineRule="auto"/>
        <w:jc w:val="both"/>
        <w:rPr>
          <w:rFonts w:ascii="ITC Avant Garde" w:hAnsi="ITC Avant Garde"/>
          <w:color w:val="000000"/>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color w:val="000000"/>
        </w:rPr>
        <w:t>Un enfoque de separación vertical resulta en la exclusión de bastantes costos no relacionados con la red de los costos de terminación.</w:t>
      </w:r>
      <w:r w:rsidRPr="00443C3D">
        <w:rPr>
          <w:rFonts w:ascii="ITC Avant Garde" w:hAnsi="ITC Avant Garde"/>
        </w:rPr>
        <w:t xml:space="preserve"> </w:t>
      </w:r>
      <w:r w:rsidRPr="00443C3D">
        <w:rPr>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443C3D">
        <w:rPr>
          <w:rFonts w:ascii="ITC Avant Garde" w:hAnsi="ITC Avant Garde"/>
          <w:i/>
          <w:color w:val="000000"/>
        </w:rPr>
        <w:t>business overheads</w:t>
      </w:r>
      <w:r w:rsidRPr="00443C3D">
        <w:rPr>
          <w:rFonts w:ascii="ITC Avant Garde" w:hAnsi="ITC Avant Garde"/>
          <w:color w:val="000000"/>
        </w:rPr>
        <w:t>, en inglés) a añadir a los costos de red incrementales.</w:t>
      </w:r>
      <w:r w:rsidRPr="00443C3D">
        <w:rPr>
          <w:rFonts w:ascii="ITC Avant Garde" w:hAnsi="ITC Avant Garde"/>
        </w:rPr>
        <w:t xml:space="preserve"> </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CITLP pero se excluyen de los gastos distribuibles al servicio de terminación en un modelo CILP Puro.</w:t>
      </w:r>
    </w:p>
    <w:p w:rsidR="00692D54" w:rsidRPr="00443C3D" w:rsidRDefault="00692D54" w:rsidP="00692D54">
      <w:pPr>
        <w:spacing w:after="0" w:line="276" w:lineRule="auto"/>
        <w:ind w:left="426"/>
        <w:jc w:val="both"/>
        <w:rPr>
          <w:rFonts w:ascii="ITC Avant Garde" w:hAnsi="ITC Avant Garde"/>
        </w:rPr>
      </w:pPr>
    </w:p>
    <w:p w:rsidR="00692D54" w:rsidRPr="00443C3D" w:rsidRDefault="00692D54" w:rsidP="00692D54">
      <w:pPr>
        <w:spacing w:after="0" w:line="276" w:lineRule="auto"/>
        <w:jc w:val="both"/>
        <w:rPr>
          <w:rFonts w:ascii="ITC Avant Garde" w:hAnsi="ITC Avant Garde"/>
          <w:b/>
        </w:rPr>
      </w:pPr>
      <w:r w:rsidRPr="00443C3D">
        <w:rPr>
          <w:rFonts w:ascii="ITC Avant Garde" w:hAnsi="ITC Avant Garde"/>
          <w:b/>
        </w:rPr>
        <w:t>1.4 Aspectos relacionados con la implementación de los modelos</w:t>
      </w:r>
    </w:p>
    <w:p w:rsidR="00692D54" w:rsidRPr="00443C3D" w:rsidRDefault="00692D54" w:rsidP="00692D54">
      <w:pPr>
        <w:spacing w:after="0" w:line="276" w:lineRule="auto"/>
        <w:ind w:left="426"/>
        <w:jc w:val="both"/>
        <w:rPr>
          <w:rFonts w:ascii="ITC Avant Garde" w:hAnsi="ITC Avant Garde"/>
          <w:b/>
        </w:rPr>
      </w:pPr>
    </w:p>
    <w:p w:rsidR="00692D54" w:rsidRPr="00443C3D" w:rsidRDefault="00692D54" w:rsidP="00692D54">
      <w:pPr>
        <w:spacing w:after="0" w:line="276" w:lineRule="auto"/>
        <w:rPr>
          <w:rFonts w:ascii="ITC Avant Garde" w:hAnsi="ITC Avant Garde"/>
          <w:b/>
        </w:rPr>
      </w:pPr>
      <w:r w:rsidRPr="00443C3D">
        <w:rPr>
          <w:rFonts w:ascii="ITC Avant Garde" w:hAnsi="ITC Avant Garde"/>
          <w:b/>
        </w:rPr>
        <w:t>Selección del incremento de servicio</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w:t>
      </w:r>
      <w:r w:rsidRPr="00443C3D">
        <w:rPr>
          <w:rFonts w:ascii="ITC Avant Garde" w:hAnsi="ITC Avant Garde"/>
          <w:spacing w:val="-4"/>
        </w:rPr>
        <w:lastRenderedPageBreak/>
        <w:t xml:space="preserve">o mediante un </w:t>
      </w:r>
      <w:r w:rsidRPr="00443C3D">
        <w:rPr>
          <w:rFonts w:ascii="ITC Avant Garde" w:hAnsi="ITC Avant Garde"/>
          <w:i/>
          <w:spacing w:val="-4"/>
        </w:rPr>
        <w:t>mark-up</w:t>
      </w:r>
      <w:r w:rsidRPr="00443C3D">
        <w:rPr>
          <w:rFonts w:ascii="ITC Avant Garde" w:hAnsi="ITC Avant Garde"/>
          <w:spacing w:val="-4"/>
        </w:rPr>
        <w:t xml:space="preserve"> (si se incluyen los costos comunes). El tamaño y número del incremento afecta la complejidad</w:t>
      </w:r>
      <w:r w:rsidRPr="00443C3D">
        <w:rPr>
          <w:rFonts w:ascii="ITC Avant Garde" w:hAnsi="ITC Avant Garde"/>
          <w:spacing w:val="-4"/>
          <w:vertAlign w:val="superscript"/>
        </w:rPr>
        <w:footnoteReference w:id="16"/>
      </w:r>
      <w:r w:rsidRPr="00443C3D">
        <w:rPr>
          <w:rFonts w:ascii="ITC Avant Garde" w:hAnsi="ITC Avant Garde"/>
          <w:spacing w:val="-4"/>
          <w:vertAlign w:val="superscript"/>
        </w:rPr>
        <w:t xml:space="preserve"> </w:t>
      </w:r>
      <w:r w:rsidRPr="00443C3D">
        <w:rPr>
          <w:rFonts w:ascii="ITC Avant Garde" w:hAnsi="ITC Avant Garde"/>
          <w:spacing w:val="-4"/>
        </w:rPr>
        <w:t>de los resultados y la magnitud</w:t>
      </w:r>
      <w:r w:rsidRPr="00443C3D">
        <w:rPr>
          <w:rFonts w:ascii="ITC Avant Garde" w:hAnsi="ITC Avant Garde"/>
          <w:spacing w:val="-4"/>
          <w:vertAlign w:val="superscript"/>
        </w:rPr>
        <w:footnoteReference w:id="17"/>
      </w:r>
      <w:r w:rsidRPr="00443C3D">
        <w:rPr>
          <w:rFonts w:ascii="ITC Avant Garde" w:hAnsi="ITC Avant Garde"/>
          <w:spacing w:val="-4"/>
        </w:rPr>
        <w:t xml:space="preserve"> de los costos resultantes.</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rFonts w:ascii="ITC Avant Garde" w:hAnsi="ITC Avant Garde"/>
          <w:b/>
        </w:rPr>
      </w:pPr>
      <w:r w:rsidRPr="00443C3D">
        <w:rPr>
          <w:rFonts w:ascii="ITC Avant Garde" w:hAnsi="ITC Avant Garde"/>
          <w:b/>
        </w:rPr>
        <w:t xml:space="preserve">Enfoque CITLP </w:t>
      </w:r>
    </w:p>
    <w:p w:rsidR="00692D54" w:rsidRPr="00443C3D" w:rsidRDefault="00692D54" w:rsidP="00692D54">
      <w:pPr>
        <w:spacing w:after="0" w:line="276" w:lineRule="auto"/>
        <w:rPr>
          <w:b/>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costo incremental 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adopción de un gran incremento – en general alguna forma de “tráfico” agregado – significa que todos los servicios que son suministrados se tratan juntos y con </w:t>
      </w:r>
      <w:r w:rsidRPr="00443C3D">
        <w:rPr>
          <w:rFonts w:ascii="ITC Avant Garde" w:hAnsi="ITC Avant Garde"/>
          <w:i/>
          <w:spacing w:val="-4"/>
        </w:rPr>
        <w:t>igualdad</w:t>
      </w:r>
      <w:r w:rsidRPr="00443C3D">
        <w:rPr>
          <w:rFonts w:ascii="ITC Avant Garde" w:hAnsi="ITC Avant Garde"/>
          <w:spacing w:val="-4"/>
        </w:rPr>
        <w:t>.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Un método generalmente utilizado debido a su objetividad y facilidad de implementación para la repartición de costos comunes es el de Márgenes Equiproporcionales (EPMU), mismo que es consistente con las prácticas regulatorias a nivel mundial.</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el modelo de costos se emplea el método EPMU para distribuir los costos comunes a cada servicio en el modelo CITLP (para uso meramente informativo) pero se excluirá el </w:t>
      </w:r>
      <w:r w:rsidRPr="00443C3D">
        <w:rPr>
          <w:rFonts w:ascii="ITC Avant Garde" w:hAnsi="ITC Avant Garde"/>
          <w:i/>
          <w:spacing w:val="-4"/>
        </w:rPr>
        <w:t>mark-up</w:t>
      </w:r>
      <w:r w:rsidRPr="00443C3D">
        <w:rPr>
          <w:rFonts w:ascii="ITC Avant Garde" w:hAnsi="ITC Avant Garde"/>
          <w:spacing w:val="-4"/>
        </w:rPr>
        <w:t xml:space="preserve"> del modelo CILP puro.</w:t>
      </w:r>
      <w:r w:rsidRPr="00443C3D">
        <w:rPr>
          <w:rFonts w:ascii="ITC Avant Garde" w:hAnsi="ITC Avant Garde"/>
          <w:color w:val="0000FF"/>
          <w:spacing w:val="-4"/>
        </w:rPr>
        <w:t xml:space="preserve">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w:t>
      </w:r>
      <w:r w:rsidRPr="00443C3D">
        <w:rPr>
          <w:rFonts w:ascii="ITC Avant Garde" w:hAnsi="ITC Avant Garde"/>
          <w:spacing w:val="-4"/>
        </w:rPr>
        <w:lastRenderedPageBreak/>
        <w:t>son definidos como los costos promedio incrementales cuando nuevos usuarios son agregados a la red.</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numPr>
          <w:ilvl w:val="0"/>
          <w:numId w:val="25"/>
        </w:numPr>
        <w:spacing w:after="0" w:line="276" w:lineRule="auto"/>
        <w:jc w:val="both"/>
        <w:rPr>
          <w:rFonts w:ascii="ITC Avant Garde" w:hAnsi="ITC Avant Garde"/>
          <w:spacing w:val="-4"/>
        </w:rPr>
      </w:pPr>
      <w:r w:rsidRPr="00443C3D">
        <w:rPr>
          <w:rFonts w:ascii="ITC Avant Garde" w:hAnsi="ITC Avant Garde"/>
          <w:spacing w:val="-4"/>
        </w:rPr>
        <w:t>En una red móvil, un nuevo usuario recibe una tarjeta SIM para poder enviar y recibir tráfico en el punto de concentración (el aire es la interfaz).</w:t>
      </w:r>
    </w:p>
    <w:p w:rsidR="00692D54" w:rsidRPr="00443C3D" w:rsidRDefault="00692D54" w:rsidP="00692D54">
      <w:pPr>
        <w:numPr>
          <w:ilvl w:val="0"/>
          <w:numId w:val="25"/>
        </w:numPr>
        <w:spacing w:after="0" w:line="276" w:lineRule="auto"/>
        <w:ind w:left="714" w:hanging="357"/>
        <w:jc w:val="both"/>
        <w:rPr>
          <w:rFonts w:ascii="ITC Avant Garde" w:hAnsi="ITC Avant Garde"/>
          <w:spacing w:val="-4"/>
        </w:rPr>
      </w:pPr>
      <w:r w:rsidRPr="00443C3D">
        <w:rPr>
          <w:rFonts w:ascii="ITC Avant Garde" w:hAnsi="ITC Avant Garde"/>
          <w:spacing w:val="-4"/>
        </w:rPr>
        <w:t>En una red fija, un nuevo usuario requerirá ser conectado a la tarjeta del conmutador, o equivalente en una red de nueva generación, mediante cobre/cable/fibra que vaya del usuario al punto de concentración.</w:t>
      </w:r>
    </w:p>
    <w:p w:rsidR="00692D54" w:rsidRPr="00443C3D" w:rsidRDefault="00692D54" w:rsidP="00692D54">
      <w:pPr>
        <w:spacing w:after="0" w:line="276" w:lineRule="auto"/>
        <w:ind w:left="714"/>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 el siguiente diagrama se encuentran reflejados los costos a incluirse siguiendo este método.</w:t>
      </w:r>
    </w:p>
    <w:p w:rsidR="00692D54" w:rsidRPr="00443C3D" w:rsidRDefault="00692D54" w:rsidP="00692D54">
      <w:pPr>
        <w:spacing w:after="0" w:line="276" w:lineRule="auto"/>
        <w:jc w:val="center"/>
        <w:rPr>
          <w:rFonts w:ascii="ITC Avant Garde" w:hAnsi="ITC Avant Garde"/>
        </w:rPr>
      </w:pPr>
      <w:r w:rsidRPr="00443C3D">
        <w:rPr>
          <w:rFonts w:ascii="ITC Avant Garde" w:eastAsia="Times New Roman" w:hAnsi="ITC Avant Garde"/>
          <w:bCs/>
          <w:i/>
          <w:iCs/>
          <w:noProof/>
          <w:lang w:eastAsia="es-MX"/>
        </w:rPr>
        <w:drawing>
          <wp:inline distT="0" distB="0" distL="0" distR="0" wp14:anchorId="56EC805D" wp14:editId="63C3EABE">
            <wp:extent cx="4498002" cy="2103094"/>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rsidR="00692D54" w:rsidRPr="00443C3D" w:rsidRDefault="00692D54" w:rsidP="00692D54">
      <w:pPr>
        <w:spacing w:after="0" w:line="276" w:lineRule="auto"/>
        <w:jc w:val="center"/>
        <w:rPr>
          <w:rFonts w:ascii="ITC Avant Garde" w:hAnsi="ITC Avant Garde"/>
          <w:spacing w:val="-4"/>
          <w:sz w:val="18"/>
          <w:szCs w:val="18"/>
          <w:lang w:val="es-ES"/>
        </w:rPr>
      </w:pPr>
      <w:r w:rsidRPr="00443C3D">
        <w:rPr>
          <w:rFonts w:ascii="ITC Avant Garde" w:hAnsi="ITC Avant Garde"/>
          <w:spacing w:val="-4"/>
          <w:sz w:val="18"/>
          <w:szCs w:val="18"/>
          <w:lang w:val="es-ES"/>
        </w:rPr>
        <w:t>Figura 7: Distribución de costos usando CITLP Plus [Fuente: Analysys Mason]</w:t>
      </w:r>
    </w:p>
    <w:p w:rsidR="00692D54" w:rsidRPr="00443C3D" w:rsidRDefault="00692D54" w:rsidP="00692D54">
      <w:pPr>
        <w:spacing w:after="0" w:line="276" w:lineRule="auto"/>
        <w:rPr>
          <w:rFonts w:ascii="ITC Avant Garde" w:hAnsi="ITC Avant Garde"/>
          <w:lang w:val="es-ES" w:eastAsia="es-ES"/>
        </w:rPr>
      </w:pPr>
    </w:p>
    <w:p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Enfoque CILP Puro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costo incremental de largo plazo puro es acorde a los Lineamientos Tercero y Cuarto de la Metodología de Costos, que a la letra establecen:</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 xml:space="preserve">TERCERO.- </w:t>
      </w:r>
      <w:r w:rsidRPr="00443C3D">
        <w:rPr>
          <w:rFonts w:ascii="ITC Avant Garde" w:eastAsia="Times New Roman" w:hAnsi="ITC Avant Garde"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lastRenderedPageBreak/>
        <w:t xml:space="preserve">La unidad de medida que se empleará en los Modelos de Costos para los servicios de conducción de tráfico cuando éstos se midan por tiempo, será el segundo. </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La unidad monetaria en la que se expresarán los resultados de los Modelos de Costos será en pesos mexicanos.”</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 xml:space="preserve">CUARTO.- </w:t>
      </w:r>
      <w:r w:rsidRPr="00443C3D">
        <w:rPr>
          <w:rFonts w:ascii="ITC Avant Garde" w:eastAsia="Times New Roman" w:hAnsi="ITC Avant Garde"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 xml:space="preserve">La unidad de medida que se empleará en los Modelos de Costos para el servicio de tránsito cuando éste se mida por tiempo, será el segundo. </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La unidad monetaria en la que se expresarán los resultados de los Modelos de Costos será en pesos mexicanos.”</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Para el cálculo del CILP Puro, se calcula el costo incremental ejecutando el modelo </w:t>
      </w:r>
      <w:r w:rsidRPr="00443C3D">
        <w:rPr>
          <w:rFonts w:ascii="ITC Avant Garde" w:hAnsi="ITC Avant Garde"/>
          <w:i/>
          <w:spacing w:val="-4"/>
        </w:rPr>
        <w:t xml:space="preserve">con </w:t>
      </w:r>
      <w:r w:rsidRPr="00443C3D">
        <w:rPr>
          <w:rFonts w:ascii="ITC Avant Garde" w:hAnsi="ITC Avant Garde"/>
          <w:spacing w:val="-4"/>
        </w:rPr>
        <w:t xml:space="preserve">y </w:t>
      </w:r>
      <w:r w:rsidRPr="00443C3D">
        <w:rPr>
          <w:rFonts w:ascii="ITC Avant Garde" w:hAnsi="ITC Avant Garde"/>
          <w:i/>
          <w:spacing w:val="-4"/>
        </w:rPr>
        <w:t xml:space="preserve">sin </w:t>
      </w:r>
      <w:r w:rsidRPr="00443C3D">
        <w:rPr>
          <w:rFonts w:ascii="ITC Avant Garde" w:hAnsi="ITC Avant Garde"/>
          <w:spacing w:val="-4"/>
        </w:rPr>
        <w:t>el incremento que se quiera costear. Los costos unitarios son entonces determinados como el cociente entre este costo incremental y el volumen de tráfico incremental del servicio (ver Figura 8).</w:t>
      </w:r>
    </w:p>
    <w:p w:rsidR="00692D54" w:rsidRPr="00443C3D" w:rsidRDefault="00692D54" w:rsidP="00692D54">
      <w:pPr>
        <w:spacing w:after="0" w:line="276" w:lineRule="auto"/>
        <w:jc w:val="both"/>
        <w:rPr>
          <w:rFonts w:ascii="ITC Avant Garde" w:hAnsi="ITC Avant Garde"/>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692D54" w:rsidRPr="00443C3D" w:rsidTr="00867DD3">
        <w:trPr>
          <w:jc w:val="center"/>
        </w:trPr>
        <w:tc>
          <w:tcPr>
            <w:tcW w:w="5387" w:type="dxa"/>
            <w:tcBorders>
              <w:top w:val="nil"/>
              <w:left w:val="nil"/>
              <w:bottom w:val="nil"/>
              <w:right w:val="single" w:sz="4" w:space="0" w:color="auto"/>
            </w:tcBorders>
            <w:hideMark/>
          </w:tcPr>
          <w:p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498CDDC9" wp14:editId="3C25496D">
                  <wp:extent cx="2932665" cy="2213637"/>
                  <wp:effectExtent l="0" t="0" r="0" b="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rsidR="00692D54" w:rsidRPr="00443C3D" w:rsidRDefault="00692D54" w:rsidP="00692D54">
      <w:pPr>
        <w:spacing w:after="0" w:line="276" w:lineRule="auto"/>
        <w:jc w:val="center"/>
        <w:rPr>
          <w:rFonts w:ascii="ITC Avant Garde" w:hAnsi="ITC Avant Garde"/>
          <w:spacing w:val="-4"/>
          <w:sz w:val="18"/>
          <w:szCs w:val="18"/>
        </w:rPr>
      </w:pPr>
      <w:r w:rsidRPr="00443C3D">
        <w:rPr>
          <w:rFonts w:ascii="ITC Avant Garde" w:hAnsi="ITC Avant Garde"/>
          <w:spacing w:val="-4"/>
          <w:sz w:val="18"/>
          <w:szCs w:val="18"/>
          <w:lang w:val="es-ES"/>
        </w:rPr>
        <w:t>Figura 8: Cálculo del costo incremental del tráfico de terminación [Fuente: Analysys Mason]</w:t>
      </w:r>
    </w:p>
    <w:p w:rsidR="009009E2" w:rsidRPr="00443C3D" w:rsidRDefault="009009E2"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Debido a los requisitos específicos de la Metodología de Costos, es necesario que el modelo de costos: </w:t>
      </w:r>
    </w:p>
    <w:p w:rsidR="00692D54" w:rsidRPr="00443C3D" w:rsidRDefault="00692D54" w:rsidP="00692D54">
      <w:pPr>
        <w:numPr>
          <w:ilvl w:val="0"/>
          <w:numId w:val="33"/>
        </w:numPr>
        <w:spacing w:after="0" w:line="276" w:lineRule="auto"/>
        <w:jc w:val="both"/>
        <w:rPr>
          <w:rFonts w:ascii="ITC Avant Garde" w:hAnsi="ITC Avant Garde"/>
          <w:spacing w:val="-4"/>
        </w:rPr>
      </w:pPr>
      <w:r w:rsidRPr="00443C3D">
        <w:rPr>
          <w:rFonts w:ascii="ITC Avant Garde" w:hAnsi="ITC Avant Garde"/>
          <w:spacing w:val="-4"/>
        </w:rPr>
        <w:t>Permita calcular los costos incrementales puros para cada incremento de los siguientes: tráfico de terminación, tráfico de originación, y tránsito.</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lastRenderedPageBreak/>
        <w:t>Excluya los costos compartidos y comunes a los servicios de interconexión de los asignables a los servicios costeados con un modelo CILP puro.</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Permita ser competitivamente neutral con las operaciones móvil y fija.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cálculo de los resultados obtenidos al aplicar la metodología CILP puro se basa en los siguientes pasos (ver Figura 9).</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 xml:space="preserve">Cálculo de los costos de la red completa del operador, </w:t>
      </w:r>
      <w:r w:rsidRPr="00443C3D">
        <w:rPr>
          <w:rFonts w:ascii="ITC Avant Garde" w:hAnsi="ITC Avant Garde"/>
          <w:i/>
          <w:spacing w:val="-4"/>
        </w:rPr>
        <w:t>sin</w:t>
      </w:r>
      <w:r w:rsidRPr="00443C3D">
        <w:rPr>
          <w:rFonts w:ascii="ITC Avant Garde" w:hAnsi="ITC Avant Garde"/>
          <w:spacing w:val="-4"/>
        </w:rPr>
        <w:t xml:space="preserve"> el incremento del servicio considerado (tráfico de originación, o terminación de otras redes o tránsito).</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 xml:space="preserve">Cálculo de los costos de la red completa del operador, </w:t>
      </w:r>
      <w:r w:rsidRPr="00443C3D">
        <w:rPr>
          <w:rFonts w:ascii="ITC Avant Garde" w:hAnsi="ITC Avant Garde"/>
          <w:i/>
          <w:spacing w:val="-4"/>
        </w:rPr>
        <w:t xml:space="preserve">con </w:t>
      </w:r>
      <w:r w:rsidRPr="00443C3D">
        <w:rPr>
          <w:rFonts w:ascii="ITC Avant Garde" w:hAnsi="ITC Avant Garde"/>
          <w:spacing w:val="-4"/>
        </w:rPr>
        <w:t>el incremento del servicio considerado (tráfico de originación, terminación de otras redes o tránsito).</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Obtención de la diferencia en costos entre los dos cálculos obtenidos y anualización de esta diferencia en base a la metodología de depreciación económica</w:t>
      </w:r>
    </w:p>
    <w:p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División del costo anualizado total por el número de minutos incrementales del servicio considerado (originación, tráfico de originación, terminación de otras redes o tránsito) para la obtención del costo del minuto incremental.</w:t>
      </w:r>
    </w:p>
    <w:p w:rsidR="00692D54" w:rsidRPr="00443C3D" w:rsidRDefault="00692D54" w:rsidP="00692D54">
      <w:pPr>
        <w:spacing w:after="0" w:line="276" w:lineRule="auto"/>
        <w:ind w:left="720" w:hanging="153"/>
        <w:jc w:val="center"/>
        <w:rPr>
          <w:rFonts w:ascii="ITC Avant Garde" w:hAnsi="ITC Avant Garde"/>
          <w:spacing w:val="-4"/>
        </w:rPr>
      </w:pPr>
      <w:r w:rsidRPr="00443C3D">
        <w:rPr>
          <w:rFonts w:ascii="ITC Avant Garde" w:hAnsi="ITC Avant Garde"/>
          <w:noProof/>
          <w:spacing w:val="-4"/>
          <w:lang w:eastAsia="es-MX"/>
        </w:rPr>
        <w:drawing>
          <wp:inline distT="0" distB="0" distL="0" distR="0" wp14:anchorId="7D7EB987" wp14:editId="01A07592">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rsidR="00692D54" w:rsidRPr="00443C3D" w:rsidRDefault="00692D54" w:rsidP="00692D54">
      <w:pPr>
        <w:spacing w:after="0" w:line="276" w:lineRule="auto"/>
        <w:ind w:left="720"/>
        <w:jc w:val="center"/>
        <w:rPr>
          <w:rFonts w:ascii="ITC Avant Garde" w:hAnsi="ITC Avant Garde"/>
          <w:spacing w:val="-4"/>
          <w:sz w:val="18"/>
          <w:szCs w:val="18"/>
        </w:rPr>
      </w:pPr>
      <w:r w:rsidRPr="00443C3D">
        <w:rPr>
          <w:rFonts w:ascii="ITC Avant Garde" w:hAnsi="ITC Avant Garde"/>
          <w:spacing w:val="-4"/>
          <w:sz w:val="18"/>
          <w:szCs w:val="18"/>
          <w:lang w:val="es-ES"/>
        </w:rPr>
        <w:t>Figura 9: Etapas necesarias para el cálculo del CILP puro [Fuente: Analysys Mason]</w:t>
      </w:r>
    </w:p>
    <w:p w:rsidR="00692D54" w:rsidRPr="00443C3D" w:rsidRDefault="00692D54" w:rsidP="00692D54">
      <w:pPr>
        <w:spacing w:after="0" w:line="276" w:lineRule="auto"/>
        <w:jc w:val="center"/>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De esta forma el modelo calculará los costos utilizando un modelo CILP puro y será capaz de calcular los costos mediante la metodología CITLP, pero únicamente de manera informativa.</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rFonts w:ascii="ITC Avant Garde" w:hAnsi="ITC Avant Garde"/>
        </w:rPr>
      </w:pPr>
      <w:r w:rsidRPr="00443C3D">
        <w:rPr>
          <w:rFonts w:ascii="ITC Avant Garde" w:hAnsi="ITC Avant Garde"/>
          <w:b/>
        </w:rPr>
        <w:t>Depreciación</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SEXTO.-</w:t>
      </w:r>
      <w:r w:rsidRPr="00443C3D">
        <w:rPr>
          <w:rFonts w:ascii="ITC Avant Garde" w:eastAsia="Times New Roman" w:hAnsi="ITC Avant Garde" w:cs="Arial"/>
          <w:i/>
          <w:sz w:val="18"/>
          <w:szCs w:val="18"/>
          <w:lang w:val="es-ES" w:eastAsia="es-ES"/>
        </w:rPr>
        <w:t xml:space="preserve"> La metodología empleada por los Modelos de Costos para la amortización de los activos será la metodología de Depreciación Económica.</w:t>
      </w: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comparación con otros métodos de depreciación, este método considera todos los factores relevantes potenciales de depreciación, como son: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Costo del Activo Equivalente Moderno (MEA) en la actualidad</w:t>
      </w:r>
    </w:p>
    <w:p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Pronóstico de costo del MEA</w:t>
      </w:r>
    </w:p>
    <w:p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Producción de la red a través del tiempo</w:t>
      </w:r>
    </w:p>
    <w:p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Vida financiera de los activos</w:t>
      </w:r>
    </w:p>
    <w:p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Vida económica de los activos</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443C3D">
        <w:rPr>
          <w:rFonts w:ascii="ITC Avant Garde" w:hAnsi="ITC Avant Garde"/>
          <w:spacing w:val="-4"/>
          <w:vertAlign w:val="superscript"/>
        </w:rPr>
        <w:footnoteReference w:id="18"/>
      </w:r>
      <w:r w:rsidRPr="00443C3D">
        <w:rPr>
          <w:rFonts w:ascii="ITC Avant Garde" w:hAnsi="ITC Avant Garde"/>
          <w:spacing w:val="-4"/>
        </w:rPr>
        <w:t xml:space="preserve">.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443C3D">
        <w:rPr>
          <w:rFonts w:ascii="ITC Avant Garde" w:hAnsi="ITC Avant Garde"/>
          <w:spacing w:val="-4"/>
          <w:vertAlign w:val="superscript"/>
        </w:rPr>
        <w:footnoteReference w:id="19"/>
      </w:r>
      <w:r w:rsidRPr="00443C3D">
        <w:rPr>
          <w:rFonts w:ascii="ITC Avant Garde" w:hAnsi="ITC Avant Garde"/>
          <w:spacing w:val="-4"/>
        </w:rPr>
        <w:t>.</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Como la depreciación económica es un método para determinar cuál es la recuperación de costos económicamente racional debe:</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numPr>
          <w:ilvl w:val="0"/>
          <w:numId w:val="27"/>
        </w:numPr>
        <w:spacing w:after="0" w:line="276" w:lineRule="auto"/>
        <w:jc w:val="both"/>
        <w:rPr>
          <w:rFonts w:ascii="ITC Avant Garde" w:hAnsi="ITC Avant Garde"/>
          <w:spacing w:val="-4"/>
        </w:rPr>
      </w:pPr>
      <w:r w:rsidRPr="00443C3D">
        <w:rPr>
          <w:rFonts w:ascii="ITC Avant Garde" w:hAnsi="ITC Avant Garde"/>
          <w:spacing w:val="-4"/>
        </w:rPr>
        <w:t>Reflejar los costos subyacentes de producción: tendencias de precio del MEA</w:t>
      </w:r>
    </w:p>
    <w:p w:rsidR="00692D54" w:rsidRPr="00443C3D" w:rsidRDefault="00692D54" w:rsidP="00692D54">
      <w:pPr>
        <w:numPr>
          <w:ilvl w:val="0"/>
          <w:numId w:val="27"/>
        </w:numPr>
        <w:spacing w:after="0" w:line="276" w:lineRule="auto"/>
        <w:jc w:val="both"/>
        <w:rPr>
          <w:rFonts w:ascii="ITC Avant Garde" w:hAnsi="ITC Avant Garde"/>
          <w:spacing w:val="-4"/>
        </w:rPr>
      </w:pPr>
      <w:r w:rsidRPr="00443C3D">
        <w:rPr>
          <w:rFonts w:ascii="ITC Avant Garde" w:hAnsi="ITC Avant Garde"/>
          <w:spacing w:val="-4"/>
        </w:rPr>
        <w:lastRenderedPageBreak/>
        <w:t>Reflejar la producción de los elementos de la red en el largo plazo.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primer factor relaciona la recuperación de costos a la de un nuevo entrante en el mercado (si el mercado es contestable) que podría ofrecer servicios con base en los costos actuales de producción.</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implementación de depreciación económica a ser usada en los modelos de costos está basada en el principio que establece que </w:t>
      </w:r>
      <w:r w:rsidRPr="00443C3D">
        <w:rPr>
          <w:rFonts w:ascii="ITC Avant Garde" w:hAnsi="ITC Avant Garde"/>
          <w:i/>
          <w:spacing w:val="-4"/>
        </w:rPr>
        <w:t>todos los costos incurridos (eficientemente) deben ser completamente recuperados en forma económicamente racional</w:t>
      </w:r>
      <w:r w:rsidRPr="00443C3D">
        <w:rPr>
          <w:rFonts w:ascii="ITC Avant Garde" w:hAnsi="ITC Avant Garde"/>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b/>
          <w:spacing w:val="-4"/>
        </w:rPr>
      </w:pPr>
      <w:r w:rsidRPr="00443C3D">
        <w:rPr>
          <w:rFonts w:ascii="ITC Avant Garde" w:hAnsi="ITC Avant Garde"/>
          <w:b/>
          <w:spacing w:val="-4"/>
        </w:rPr>
        <w:t>Serie de tiempo</w:t>
      </w:r>
    </w:p>
    <w:p w:rsidR="00692D54" w:rsidRPr="00443C3D" w:rsidRDefault="00692D54" w:rsidP="00692D54">
      <w:pPr>
        <w:spacing w:after="0" w:line="276" w:lineRule="auto"/>
        <w:jc w:val="both"/>
        <w:rPr>
          <w:rFonts w:ascii="ITC Avant Garde" w:hAnsi="ITC Avant Garde"/>
          <w:b/>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serie de tiempo, o el número de años para el que se calcularán los volúmenes de demanda y activos, es un insumo muy importante. El modelo de costos empleará una serie de tiempo larga ya que ésta:</w:t>
      </w:r>
    </w:p>
    <w:p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Permite que se consideren todos los costos en el tiempo, suministrando la mayor claridad dentro del modelo en relación a las implicaciones de adoptar depreciación económica;</w:t>
      </w:r>
    </w:p>
    <w:p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 xml:space="preserve">Puede ser utilizado para estimar grandes pérdidas/ganancias resultantes de cambios en el costeo, permitiendo mayor transparencia sobre la recuperación de todos los costos incurridos por proveer los servicios; </w:t>
      </w:r>
    </w:p>
    <w:p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Genera una gran cantidad de información para entender como varían los costos del operador modelado a través del tiempo en respuesta a cambios en la demanda o la evolución de la red;</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serie de tiempo debería ser igual a la vida del operador, permitiendo la recuperación total de los costos en la vida del negocio, mas no es práctico identificar </w:t>
      </w:r>
      <w:r w:rsidRPr="00443C3D">
        <w:rPr>
          <w:rFonts w:ascii="ITC Avant Garde" w:hAnsi="ITC Avant Garde"/>
          <w:spacing w:val="-4"/>
        </w:rPr>
        <w:lastRenderedPageBreak/>
        <w:t>qué tan larga será ésta. Debido a esto, se utilizará una serie de tiempo que sea por lo menos tan larga como la vida del activo más longevo y que ambos modelos utilicen esta serie de tiempo.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color w:val="000000"/>
          <w:spacing w:val="-4"/>
        </w:rPr>
      </w:pPr>
      <w:r w:rsidRPr="00443C3D">
        <w:rPr>
          <w:rFonts w:ascii="ITC Avant Garde" w:hAnsi="ITC Avant Garde"/>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Dado que no sería realista efectuar una previsión detallada y precisa para el periodo total del modelo, se realiza un pronóstico para un periodo razonable de tiempo que cubra un periodo similar al periodo regulatorio (de tres a diez años), en este caso el periodo regulatorio es de 2018 a 2020.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Para alinear la duración de las concesiones móviles con la serie de tiempo elegida para el modelo – equivalente a 50 años – se asume que cada concesión de espectro es válida durante un periodo de 20 años y después renovable cada 15 años.</w:t>
      </w:r>
    </w:p>
    <w:p w:rsidR="00692D54" w:rsidRPr="00443C3D" w:rsidRDefault="00692D54" w:rsidP="00692D54">
      <w:pPr>
        <w:spacing w:after="0" w:line="276" w:lineRule="auto"/>
        <w:jc w:val="both"/>
        <w:rPr>
          <w:rFonts w:ascii="ITC Avant Garde" w:hAnsi="ITC Avant Garde"/>
          <w:b/>
          <w:spacing w:val="-4"/>
        </w:rPr>
      </w:pPr>
    </w:p>
    <w:p w:rsidR="00692D54" w:rsidRPr="00443C3D" w:rsidRDefault="00692D54" w:rsidP="00692D54">
      <w:pPr>
        <w:spacing w:after="0" w:line="276" w:lineRule="auto"/>
        <w:rPr>
          <w:rFonts w:ascii="ITC Avant Garde" w:hAnsi="ITC Avant Garde"/>
          <w:b/>
        </w:rPr>
      </w:pPr>
      <w:r w:rsidRPr="00443C3D">
        <w:rPr>
          <w:rFonts w:ascii="ITC Avant Garde" w:hAnsi="ITC Avant Garde"/>
          <w:b/>
        </w:rPr>
        <w:t>4.5 Costo de capital promedio ponderado (CCPP)</w:t>
      </w:r>
    </w:p>
    <w:p w:rsidR="00772966" w:rsidRPr="00443C3D" w:rsidRDefault="00772966" w:rsidP="00692D54">
      <w:pPr>
        <w:spacing w:after="0" w:line="276" w:lineRule="auto"/>
        <w:rPr>
          <w:rFonts w:ascii="ITC Avant Garde" w:hAnsi="ITC Avant Garde"/>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rsidR="00692D54" w:rsidRPr="00443C3D" w:rsidRDefault="00692D54" w:rsidP="00692D54">
      <w:pPr>
        <w:spacing w:after="0" w:line="276" w:lineRule="auto"/>
        <w:jc w:val="center"/>
        <w:rPr>
          <w:rFonts w:ascii="ITC Avant Garde" w:hAnsi="ITC Avant Garde"/>
        </w:rPr>
      </w:pPr>
      <w:r w:rsidRPr="00443C3D">
        <w:rPr>
          <w:rFonts w:ascii="ITC Avant Garde" w:hAnsi="ITC Avant Garde"/>
          <w:position w:val="-24"/>
        </w:rPr>
        <w:object w:dxaOrig="3300" w:dyaOrig="620" w14:anchorId="0BF779B9">
          <v:shape id="_x0000_i1026" type="#_x0000_t75" style="width:162.1pt;height:31.95pt" o:ole="">
            <v:imagedata r:id="rId30" o:title=""/>
          </v:shape>
          <o:OLEObject Type="Embed" ProgID="Equation.3" ShapeID="_x0000_i1026" DrawAspect="Content" ObjectID="_1596544327" r:id="rId31"/>
        </w:object>
      </w: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lang w:val="es-ES"/>
        </w:rPr>
        <w:t>Donde:</w:t>
      </w:r>
    </w:p>
    <w:p w:rsidR="00692D54" w:rsidRPr="00443C3D" w:rsidRDefault="00692D54" w:rsidP="00692D54">
      <w:pPr>
        <w:spacing w:after="0" w:line="276" w:lineRule="auto"/>
        <w:jc w:val="both"/>
        <w:rPr>
          <w:rFonts w:ascii="ITC Avant Garde" w:hAnsi="ITC Avant Garde"/>
          <w:lang w:val="es-ES"/>
        </w:rPr>
      </w:pP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position w:val="-12"/>
          <w:lang w:val="es-ES"/>
        </w:rPr>
        <w:object w:dxaOrig="320" w:dyaOrig="360" w14:anchorId="300576F7">
          <v:shape id="_x0000_i1027" type="#_x0000_t75" style="width:18.1pt;height:18.1pt" o:ole="">
            <v:imagedata r:id="rId32" o:title=""/>
          </v:shape>
          <o:OLEObject Type="Embed" ProgID="Equation.3" ShapeID="_x0000_i1027" DrawAspect="Content" ObjectID="_1596544328" r:id="rId33"/>
        </w:object>
      </w:r>
      <w:r w:rsidRPr="00443C3D">
        <w:rPr>
          <w:rFonts w:ascii="ITC Avant Garde" w:hAnsi="ITC Avant Garde"/>
          <w:lang w:val="es-ES"/>
        </w:rPr>
        <w:t xml:space="preserve"> es el costo de la deuda</w:t>
      </w: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position w:val="-12"/>
          <w:lang w:val="es-ES"/>
        </w:rPr>
        <w:object w:dxaOrig="300" w:dyaOrig="360" w14:anchorId="5CB1A384">
          <v:shape id="_x0000_i1028" type="#_x0000_t75" style="width:16.55pt;height:18.1pt" o:ole="">
            <v:imagedata r:id="rId34" o:title=""/>
          </v:shape>
          <o:OLEObject Type="Embed" ProgID="Equation.3" ShapeID="_x0000_i1028" DrawAspect="Content" ObjectID="_1596544329" r:id="rId35"/>
        </w:object>
      </w:r>
      <w:r w:rsidRPr="00443C3D">
        <w:rPr>
          <w:rFonts w:ascii="ITC Avant Garde" w:hAnsi="ITC Avant Garde"/>
          <w:lang w:val="es-ES"/>
        </w:rPr>
        <w:t xml:space="preserve"> es el costo del capital de la empresa antes de impuestos</w:t>
      </w: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position w:val="-4"/>
          <w:lang w:val="es-ES"/>
        </w:rPr>
        <w:object w:dxaOrig="260" w:dyaOrig="260" w14:anchorId="25DAEB3A">
          <v:shape id="_x0000_i1029" type="#_x0000_t75" style="width:11.55pt;height:11.55pt" o:ole="" o:bullet="t">
            <v:imagedata r:id="rId36" o:title=""/>
          </v:shape>
          <o:OLEObject Type="Embed" ProgID="Equation.3" ShapeID="_x0000_i1029" DrawAspect="Content" ObjectID="_1596544330" r:id="rId37"/>
        </w:object>
      </w:r>
      <w:r w:rsidRPr="00443C3D">
        <w:rPr>
          <w:rFonts w:ascii="ITC Avant Garde" w:hAnsi="ITC Avant Garde"/>
          <w:lang w:val="es-ES"/>
        </w:rPr>
        <w:t xml:space="preserve"> es el valor de la deuda del operador</w:t>
      </w:r>
    </w:p>
    <w:p w:rsidR="00692D54" w:rsidRPr="00443C3D" w:rsidRDefault="00692D54" w:rsidP="00692D54">
      <w:pPr>
        <w:spacing w:after="0" w:line="276" w:lineRule="auto"/>
        <w:rPr>
          <w:rFonts w:ascii="ITC Avant Garde" w:hAnsi="ITC Avant Garde"/>
        </w:rPr>
      </w:pPr>
      <w:r w:rsidRPr="00443C3D">
        <w:rPr>
          <w:rFonts w:ascii="ITC Avant Garde" w:hAnsi="ITC Avant Garde"/>
          <w:position w:val="-4"/>
        </w:rPr>
        <w:object w:dxaOrig="240" w:dyaOrig="260" w14:anchorId="5A7ED59A">
          <v:shape id="_x0000_i1030" type="#_x0000_t75" style="width:11.55pt;height:11.55pt" o:ole="" o:bullet="t">
            <v:imagedata r:id="rId38" o:title=""/>
          </v:shape>
          <o:OLEObject Type="Embed" ProgID="Equation.3" ShapeID="_x0000_i1030" DrawAspect="Content" ObjectID="_1596544331" r:id="rId39"/>
        </w:object>
      </w:r>
      <w:r w:rsidRPr="00443C3D">
        <w:rPr>
          <w:rFonts w:ascii="ITC Avant Garde" w:hAnsi="ITC Avant Garde"/>
        </w:rPr>
        <w:t xml:space="preserve"> es el valor del capital (</w:t>
      </w:r>
      <w:r w:rsidRPr="00443C3D">
        <w:rPr>
          <w:rFonts w:ascii="ITC Avant Garde" w:hAnsi="ITC Avant Garde"/>
          <w:i/>
        </w:rPr>
        <w:t>equity</w:t>
      </w:r>
      <w:r w:rsidRPr="00443C3D">
        <w:rPr>
          <w:rFonts w:ascii="ITC Avant Garde" w:hAnsi="ITC Avant Garde"/>
        </w:rPr>
        <w:t>) del operador</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Debido a que estos parámetros, o estimaciones de los mismos se encuentran disponibles en forma nominal, se calcula el CCPP nominal antes de impuestos y se convierte al CCPP real</w:t>
      </w:r>
      <w:r w:rsidRPr="00443C3D">
        <w:rPr>
          <w:rFonts w:ascii="ITC Avant Garde" w:hAnsi="ITC Avant Garde"/>
          <w:iCs/>
          <w:spacing w:val="-4"/>
          <w:vertAlign w:val="superscript"/>
        </w:rPr>
        <w:footnoteReference w:id="20"/>
      </w:r>
      <w:r w:rsidRPr="00443C3D">
        <w:rPr>
          <w:rFonts w:ascii="ITC Avant Garde" w:hAnsi="ITC Avant Garde"/>
          <w:spacing w:val="-4"/>
        </w:rPr>
        <w:t xml:space="preserve"> antes de impuestos de la siguiente manera:</w:t>
      </w:r>
    </w:p>
    <w:p w:rsidR="00692D54" w:rsidRPr="00443C3D" w:rsidRDefault="00692D54" w:rsidP="00692D54">
      <w:pPr>
        <w:spacing w:after="0" w:line="276" w:lineRule="auto"/>
        <w:jc w:val="both"/>
        <w:rPr>
          <w:rFonts w:ascii="ITC Avant Garde" w:hAnsi="ITC Avant Garde"/>
          <w:spacing w:val="-4"/>
        </w:rPr>
      </w:pPr>
    </w:p>
    <w:p w:rsidR="00692D54" w:rsidRPr="00443C3D" w:rsidRDefault="009F5875" w:rsidP="00692D54">
      <w:pPr>
        <w:spacing w:after="0" w:line="276" w:lineRule="auto"/>
        <w:jc w:val="center"/>
      </w:pPr>
      <w:r w:rsidRPr="00443C3D">
        <w:rPr>
          <w:rFonts w:ascii="ITC Avant Garde" w:hAnsi="ITC Avant Garde"/>
          <w:b/>
          <w:position w:val="-28"/>
        </w:rPr>
        <w:object w:dxaOrig="3860" w:dyaOrig="660" w14:anchorId="4ED5645D">
          <v:shape id="_x0000_i1031" type="#_x0000_t75" style="width:199.05pt;height:30.8pt" o:ole="">
            <v:imagedata r:id="rId40" o:title=""/>
          </v:shape>
          <o:OLEObject Type="Embed" ProgID="Equation.3" ShapeID="_x0000_i1031" DrawAspect="Content" ObjectID="_1596544332" r:id="rId41"/>
        </w:object>
      </w:r>
    </w:p>
    <w:p w:rsidR="00692D54" w:rsidRPr="00443C3D" w:rsidRDefault="00692D54" w:rsidP="00692D54">
      <w:pPr>
        <w:spacing w:after="0" w:line="276" w:lineRule="auto"/>
        <w:rPr>
          <w:rFonts w:ascii="ITC Avant Garde" w:hAnsi="ITC Avant Garde"/>
        </w:rPr>
      </w:pPr>
      <w:r w:rsidRPr="00443C3D">
        <w:rPr>
          <w:rFonts w:ascii="ITC Avant Garde" w:hAnsi="ITC Avant Garde"/>
        </w:rPr>
        <w:t>Donde:</w:t>
      </w:r>
    </w:p>
    <w:p w:rsidR="00692D54" w:rsidRPr="00443C3D" w:rsidRDefault="00692D54" w:rsidP="00692D54">
      <w:pPr>
        <w:tabs>
          <w:tab w:val="num" w:pos="360"/>
        </w:tabs>
        <w:spacing w:after="0" w:line="276" w:lineRule="auto"/>
        <w:ind w:left="360" w:hanging="360"/>
        <w:jc w:val="both"/>
        <w:rPr>
          <w:rFonts w:ascii="ITC Avant Garde" w:eastAsia="Times New Roman" w:hAnsi="ITC Avant Garde"/>
          <w:szCs w:val="24"/>
          <w:lang w:eastAsia="es-ES"/>
        </w:rPr>
      </w:pPr>
      <w:r w:rsidRPr="00443C3D">
        <w:rPr>
          <w:rFonts w:ascii="ITC Avant Garde" w:eastAsia="Times New Roman" w:hAnsi="ITC Avant Garde"/>
          <w:i/>
          <w:iCs/>
          <w:szCs w:val="24"/>
          <w:lang w:eastAsia="es-ES"/>
        </w:rPr>
        <w:t xml:space="preserve">INPC </w:t>
      </w:r>
      <w:r w:rsidRPr="00443C3D">
        <w:rPr>
          <w:rFonts w:ascii="ITC Avant Garde" w:eastAsia="Times New Roman" w:hAnsi="ITC Avant Garde"/>
          <w:szCs w:val="24"/>
          <w:lang w:eastAsia="es-ES"/>
        </w:rPr>
        <w:t xml:space="preserve">es la tasa de inflación </w:t>
      </w:r>
      <w:r w:rsidR="004756BE" w:rsidRPr="00443C3D">
        <w:rPr>
          <w:rFonts w:ascii="ITC Avant Garde" w:eastAsia="Times New Roman" w:hAnsi="ITC Avant Garde"/>
          <w:szCs w:val="24"/>
          <w:lang w:eastAsia="es-ES"/>
        </w:rPr>
        <w:t>esperada</w:t>
      </w:r>
      <w:r w:rsidR="00D95C1C" w:rsidRPr="00443C3D">
        <w:rPr>
          <w:rStyle w:val="Refdenotaalpie"/>
          <w:rFonts w:ascii="ITC Avant Garde" w:eastAsia="Times New Roman" w:hAnsi="ITC Avant Garde"/>
          <w:szCs w:val="24"/>
          <w:lang w:eastAsia="es-ES"/>
        </w:rPr>
        <w:footnoteReference w:id="21"/>
      </w:r>
      <w:r w:rsidRPr="00443C3D">
        <w:rPr>
          <w:rFonts w:ascii="ITC Avant Garde" w:eastAsia="Times New Roman" w:hAnsi="ITC Avant Garde"/>
          <w:szCs w:val="24"/>
          <w:lang w:eastAsia="es-ES"/>
        </w:rPr>
        <w:t xml:space="preserve">. </w:t>
      </w:r>
    </w:p>
    <w:p w:rsidR="004756BE" w:rsidRPr="00443C3D" w:rsidRDefault="004756BE" w:rsidP="009F5875">
      <w:pPr>
        <w:tabs>
          <w:tab w:val="num" w:pos="360"/>
        </w:tabs>
        <w:spacing w:after="0" w:line="276" w:lineRule="auto"/>
        <w:jc w:val="both"/>
        <w:rPr>
          <w:rFonts w:ascii="ITC Avant Garde" w:eastAsia="Times New Roman" w:hAnsi="ITC Avant Garde"/>
          <w:szCs w:val="24"/>
          <w:lang w:eastAsia="es-ES"/>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Entramos a continuación a tratar los supuestos que soportan cada uno de los parámetros en el cálculo del CCPP.</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rPr>
          <w:rFonts w:ascii="ITC Avant Garde" w:hAnsi="ITC Avant Garde"/>
        </w:rPr>
      </w:pPr>
      <w:r w:rsidRPr="00443C3D">
        <w:rPr>
          <w:rFonts w:ascii="ITC Avant Garde" w:hAnsi="ITC Avant Garde"/>
          <w:b/>
        </w:rPr>
        <w:t>Costo del capital (</w:t>
      </w:r>
      <w:r w:rsidRPr="00443C3D">
        <w:rPr>
          <w:rFonts w:ascii="ITC Avant Garde" w:hAnsi="ITC Avant Garde"/>
          <w:b/>
          <w:i/>
        </w:rPr>
        <w:t>equity</w:t>
      </w:r>
      <w:r w:rsidRPr="00443C3D">
        <w:rPr>
          <w:rFonts w:ascii="ITC Avant Garde" w:hAnsi="ITC Avant Garde"/>
          <w:b/>
        </w:rPr>
        <w:t>)</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costo del capital (</w:t>
      </w:r>
      <w:r w:rsidRPr="00443C3D">
        <w:rPr>
          <w:rFonts w:ascii="ITC Avant Garde" w:hAnsi="ITC Avant Garde"/>
          <w:i/>
          <w:spacing w:val="-4"/>
        </w:rPr>
        <w:t>equity</w:t>
      </w:r>
      <w:r w:rsidRPr="00443C3D">
        <w:rPr>
          <w:rFonts w:ascii="ITC Avant Garde" w:hAnsi="ITC Avant Garde"/>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costo del capital (</w:t>
      </w:r>
      <w:r w:rsidRPr="00443C3D">
        <w:rPr>
          <w:rFonts w:ascii="ITC Avant Garde" w:hAnsi="ITC Avant Garde"/>
          <w:i/>
          <w:spacing w:val="-4"/>
        </w:rPr>
        <w:t>equity</w:t>
      </w:r>
      <w:r w:rsidRPr="00443C3D">
        <w:rPr>
          <w:rFonts w:ascii="ITC Avant Garde" w:hAnsi="ITC Avant Garde"/>
          <w:spacing w:val="-4"/>
        </w:rPr>
        <w:t>) se calculará para dos operadores diferentes:</w:t>
      </w:r>
    </w:p>
    <w:p w:rsidR="00692D54" w:rsidRPr="00443C3D" w:rsidRDefault="00692D54" w:rsidP="00692D54">
      <w:pPr>
        <w:numPr>
          <w:ilvl w:val="0"/>
          <w:numId w:val="29"/>
        </w:numPr>
        <w:spacing w:after="0" w:line="276" w:lineRule="auto"/>
        <w:jc w:val="both"/>
        <w:rPr>
          <w:rFonts w:ascii="ITC Avant Garde" w:hAnsi="ITC Avant Garde"/>
          <w:spacing w:val="-4"/>
        </w:rPr>
      </w:pPr>
      <w:r w:rsidRPr="00443C3D">
        <w:rPr>
          <w:rFonts w:ascii="ITC Avant Garde" w:hAnsi="ITC Avant Garde"/>
          <w:spacing w:val="-4"/>
        </w:rPr>
        <w:t>un operador eficiente de servicios móviles en México</w:t>
      </w:r>
    </w:p>
    <w:p w:rsidR="00692D54" w:rsidRPr="00443C3D" w:rsidRDefault="00692D54" w:rsidP="00692D54">
      <w:pPr>
        <w:numPr>
          <w:ilvl w:val="0"/>
          <w:numId w:val="29"/>
        </w:numPr>
        <w:spacing w:after="0" w:line="276" w:lineRule="auto"/>
        <w:jc w:val="both"/>
        <w:rPr>
          <w:rFonts w:ascii="ITC Avant Garde" w:hAnsi="ITC Avant Garde"/>
          <w:spacing w:val="-4"/>
        </w:rPr>
      </w:pPr>
      <w:r w:rsidRPr="00443C3D">
        <w:rPr>
          <w:rFonts w:ascii="ITC Avant Garde" w:hAnsi="ITC Avant Garde"/>
          <w:spacing w:val="-4"/>
        </w:rPr>
        <w:t>un operador eficiente de servicios fijos en México.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Siguiendo esta metodología, el CAPM se calcula de la siguiente manera:</w:t>
      </w:r>
    </w:p>
    <w:p w:rsidR="00692D54" w:rsidRPr="00443C3D" w:rsidRDefault="00692D54" w:rsidP="00692D54">
      <w:pPr>
        <w:spacing w:after="0" w:line="276" w:lineRule="auto"/>
        <w:jc w:val="center"/>
      </w:pPr>
      <w:r w:rsidRPr="00443C3D">
        <w:rPr>
          <w:position w:val="-14"/>
        </w:rPr>
        <w:object w:dxaOrig="1700" w:dyaOrig="380" w14:anchorId="6B782171">
          <v:shape id="_x0000_i1032" type="#_x0000_t75" style="width:87.6pt;height:18.2pt" o:ole="">
            <v:imagedata r:id="rId42" o:title=""/>
          </v:shape>
          <o:OLEObject Type="Embed" ProgID="Equation.3" ShapeID="_x0000_i1032" DrawAspect="Content" ObjectID="_1596544333" r:id="rId43"/>
        </w:object>
      </w: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Donde:</w:t>
      </w: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position w:val="-14"/>
          <w:lang w:val="es-ES"/>
        </w:rPr>
        <w:object w:dxaOrig="340" w:dyaOrig="380" w14:anchorId="7AA7EE33">
          <v:shape id="_x0000_i1033" type="#_x0000_t75" style="width:18.2pt;height:18.2pt" o:ole="">
            <v:imagedata r:id="rId44" o:title=""/>
          </v:shape>
          <o:OLEObject Type="Embed" ProgID="Equation.3" ShapeID="_x0000_i1033" DrawAspect="Content" ObjectID="_1596544334" r:id="rId45"/>
        </w:object>
      </w:r>
      <w:r w:rsidRPr="00443C3D">
        <w:rPr>
          <w:rFonts w:ascii="ITC Avant Garde" w:hAnsi="ITC Avant Garde"/>
          <w:lang w:val="es-ES"/>
        </w:rPr>
        <w:t xml:space="preserve"> es la tasa de retorno interés libre de riesgo</w:t>
      </w:r>
    </w:p>
    <w:p w:rsidR="00692D54" w:rsidRPr="00443C3D" w:rsidRDefault="00692D54" w:rsidP="00692D54">
      <w:pPr>
        <w:spacing w:after="0" w:line="276" w:lineRule="auto"/>
        <w:jc w:val="both"/>
        <w:rPr>
          <w:rFonts w:ascii="ITC Avant Garde" w:hAnsi="ITC Avant Garde"/>
          <w:lang w:val="es-ES"/>
        </w:rPr>
      </w:pPr>
      <w:r w:rsidRPr="00443C3D">
        <w:rPr>
          <w:rFonts w:ascii="ITC Avant Garde" w:hAnsi="ITC Avant Garde"/>
          <w:position w:val="-12"/>
          <w:lang w:val="es-ES"/>
        </w:rPr>
        <w:object w:dxaOrig="300" w:dyaOrig="360" w14:anchorId="176A0800">
          <v:shape id="_x0000_i1034" type="#_x0000_t75" style="width:15pt;height:18.2pt" o:ole="">
            <v:imagedata r:id="rId46" o:title=""/>
          </v:shape>
          <o:OLEObject Type="Embed" ProgID="Equation.3" ShapeID="_x0000_i1034" DrawAspect="Content" ObjectID="_1596544335" r:id="rId47"/>
        </w:object>
      </w:r>
      <w:r w:rsidRPr="00443C3D">
        <w:rPr>
          <w:rFonts w:ascii="ITC Avant Garde" w:hAnsi="ITC Avant Garde"/>
          <w:lang w:val="es-ES"/>
        </w:rPr>
        <w:t xml:space="preserve"> es la prima del riesgo del capital</w:t>
      </w: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position w:val="-10"/>
        </w:rPr>
        <w:object w:dxaOrig="240" w:dyaOrig="320" w14:anchorId="59C1AA03">
          <v:shape id="_x0000_i1035" type="#_x0000_t75" style="width:11.45pt;height:18.2pt" o:ole="" o:bullet="t">
            <v:imagedata r:id="rId48" o:title=""/>
          </v:shape>
          <o:OLEObject Type="Embed" ProgID="Equation.3" ShapeID="_x0000_i1035" DrawAspect="Content" ObjectID="_1596544336" r:id="rId49"/>
        </w:object>
      </w:r>
      <w:r w:rsidRPr="00443C3D">
        <w:rPr>
          <w:rFonts w:ascii="ITC Avant Garde" w:hAnsi="ITC Avant Garde"/>
        </w:rPr>
        <w:t xml:space="preserve"> es la medida del riesgo de una compañía particular o sector de manera relativa a la economía nacional.</w:t>
      </w:r>
    </w:p>
    <w:p w:rsidR="00692D54" w:rsidRPr="00443C3D" w:rsidRDefault="00692D54" w:rsidP="00692D54">
      <w:pPr>
        <w:spacing w:after="0" w:line="276" w:lineRule="auto"/>
        <w:jc w:val="both"/>
        <w:rPr>
          <w:rFonts w:ascii="ITC Avant Garde" w:hAnsi="ITC Avant Garde"/>
        </w:rPr>
      </w:pPr>
      <w:r w:rsidRPr="00443C3D">
        <w:rPr>
          <w:rFonts w:ascii="ITC Avant Garde" w:hAnsi="ITC Avant Garde"/>
        </w:rPr>
        <w:t>Cada uno de estos parámetros se trata a continuación.</w:t>
      </w:r>
    </w:p>
    <w:p w:rsidR="00692D54" w:rsidRPr="00443C3D" w:rsidRDefault="00692D54" w:rsidP="00692D54">
      <w:pPr>
        <w:spacing w:after="0" w:line="276" w:lineRule="auto"/>
        <w:jc w:val="both"/>
        <w:rPr>
          <w:rFonts w:ascii="ITC Avant Garde" w:hAnsi="ITC Avant Garde"/>
        </w:rPr>
      </w:pPr>
    </w:p>
    <w:p w:rsidR="00692D54" w:rsidRPr="00443C3D" w:rsidRDefault="00692D54" w:rsidP="00692D54">
      <w:pPr>
        <w:spacing w:after="0" w:line="276" w:lineRule="auto"/>
        <w:rPr>
          <w:rFonts w:ascii="ITC Avant Garde" w:hAnsi="ITC Avant Garde"/>
          <w:b/>
        </w:rPr>
      </w:pPr>
      <w:r w:rsidRPr="00443C3D">
        <w:rPr>
          <w:rFonts w:ascii="ITC Avant Garde" w:hAnsi="ITC Avant Garde"/>
          <w:b/>
        </w:rPr>
        <w:t xml:space="preserve">Tasa de retorno libre de riesgo, </w:t>
      </w:r>
      <w:r w:rsidRPr="00443C3D">
        <w:rPr>
          <w:position w:val="-14"/>
        </w:rPr>
        <w:object w:dxaOrig="320" w:dyaOrig="380" w14:anchorId="75A40FE6">
          <v:shape id="_x0000_i1036" type="#_x0000_t75" style="width:18.2pt;height:18.2pt" o:ole="">
            <v:imagedata r:id="rId50" o:title=""/>
          </v:shape>
          <o:OLEObject Type="Embed" ProgID="Equation.3" ShapeID="_x0000_i1036" DrawAspect="Content" ObjectID="_1596544337" r:id="rId51"/>
        </w:objec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Habitualmente se asume que la tasa de retorno libre de riesgo es la de los bonos del estado a largo plazo, en el modelo se utilizará la tasa de retorno libre de riesgo (</w:t>
      </w:r>
      <w:r w:rsidRPr="00443C3D">
        <w:rPr>
          <w:rFonts w:ascii="ITC Avant Garde" w:hAnsi="ITC Avant Garde"/>
          <w:spacing w:val="-4"/>
          <w:position w:val="-14"/>
        </w:rPr>
        <w:object w:dxaOrig="340" w:dyaOrig="380" w14:anchorId="3202F074">
          <v:shape id="_x0000_i1037" type="#_x0000_t75" style="width:18.2pt;height:18.2pt" o:ole="">
            <v:imagedata r:id="rId44" o:title=""/>
          </v:shape>
          <o:OLEObject Type="Embed" ProgID="Equation.3" ShapeID="_x0000_i1037" DrawAspect="Content" ObjectID="_1596544338" r:id="rId52"/>
        </w:object>
      </w:r>
      <w:r w:rsidRPr="00443C3D">
        <w:rPr>
          <w:rFonts w:ascii="ITC Avant Garde" w:hAnsi="ITC Avant Garde"/>
          <w:spacing w:val="-4"/>
        </w:rPr>
        <w:t xml:space="preserve">) </w:t>
      </w:r>
      <w:r w:rsidRPr="00443C3D">
        <w:rPr>
          <w:rFonts w:ascii="ITC Avant Garde" w:hAnsi="ITC Avant Garde"/>
          <w:spacing w:val="-4"/>
        </w:rPr>
        <w:lastRenderedPageBreak/>
        <w:t>de los bonos gubernamentales estadunidenses de 30 años</w:t>
      </w:r>
      <w:r w:rsidRPr="00443C3D">
        <w:rPr>
          <w:rFonts w:ascii="ITC Avant Garde" w:hAnsi="ITC Avant Garde"/>
          <w:spacing w:val="-4"/>
          <w:vertAlign w:val="superscript"/>
        </w:rPr>
        <w:footnoteReference w:id="22"/>
      </w:r>
      <w:r w:rsidRPr="00443C3D">
        <w:rPr>
          <w:rFonts w:ascii="ITC Avant Garde" w:hAnsi="ITC Avant Garde"/>
          <w:spacing w:val="-4"/>
        </w:rPr>
        <w:t xml:space="preserve"> más una prima de riesgo país asociada a México basada en la información del profesor Aswath Damodaran.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rPr>
          <w:b/>
        </w:rPr>
      </w:pPr>
      <w:r w:rsidRPr="00443C3D">
        <w:rPr>
          <w:rFonts w:ascii="ITC Avant Garde" w:hAnsi="ITC Avant Garde"/>
          <w:b/>
        </w:rPr>
        <w:t xml:space="preserve">Prima de riesgo del capital, </w:t>
      </w:r>
      <w:r w:rsidRPr="00443C3D">
        <w:rPr>
          <w:position w:val="-12"/>
        </w:rPr>
        <w:object w:dxaOrig="300" w:dyaOrig="360" w14:anchorId="35CF5C65">
          <v:shape id="_x0000_i1038" type="#_x0000_t75" style="width:15pt;height:18.2pt" o:ole="">
            <v:imagedata r:id="rId46" o:title=""/>
          </v:shape>
          <o:OLEObject Type="Embed" ProgID="Equation.3" ShapeID="_x0000_i1038" DrawAspect="Content" ObjectID="_1596544339" r:id="rId53"/>
        </w:objec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prima de riesgo del capital es el incremento sobre la tasa de retorno libre de riesgo que los inversores demandan del capital (</w:t>
      </w:r>
      <w:r w:rsidRPr="00443C3D">
        <w:rPr>
          <w:rFonts w:ascii="ITC Avant Garde" w:hAnsi="ITC Avant Garde"/>
          <w:i/>
          <w:spacing w:val="-4"/>
        </w:rPr>
        <w:t>equity</w:t>
      </w:r>
      <w:r w:rsidRPr="00443C3D">
        <w:rPr>
          <w:rFonts w:ascii="ITC Avant Garde" w:hAnsi="ITC Avant Garde"/>
          <w:spacing w:val="-4"/>
        </w:rPr>
        <w:t>), ya que invertir en acciones conlleva un mayor riesgo que invertir en bonos del estado. Normalmente, las empresas que cotizan en el mercado nacional de valores son utilizadas como muestra sobre la que se calcula el promedio.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443C3D">
        <w:rPr>
          <w:rFonts w:ascii="ITC Avant Garde" w:hAnsi="ITC Avant Garde"/>
          <w:spacing w:val="-4"/>
          <w:vertAlign w:val="superscript"/>
        </w:rPr>
        <w:footnoteReference w:id="23"/>
      </w:r>
      <w:r w:rsidRPr="00443C3D">
        <w:rPr>
          <w:rFonts w:ascii="ITC Avant Garde" w:hAnsi="ITC Avant Garde"/>
          <w:spacing w:val="-4"/>
        </w:rPr>
        <w:t xml:space="preserve">. </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b/>
        </w:rPr>
      </w:pPr>
      <w:r w:rsidRPr="00443C3D">
        <w:rPr>
          <w:rFonts w:ascii="ITC Avant Garde" w:hAnsi="ITC Avant Garde"/>
          <w:b/>
        </w:rPr>
        <w:t xml:space="preserve">Beta para los operadores de telecomunicaciones, </w:t>
      </w:r>
      <w:r w:rsidRPr="00443C3D">
        <w:rPr>
          <w:b/>
        </w:rPr>
        <w:sym w:font="Symbol" w:char="F062"/>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riesgo sistemático se da por la naturaleza intrínseca de invertir. Este riesgo se denomina como Beta (</w:t>
      </w:r>
      <w:r w:rsidRPr="00443C3D">
        <w:rPr>
          <w:rFonts w:ascii="ITC Avant Garde" w:hAnsi="ITC Avant Garde"/>
          <w:i/>
          <w:iCs/>
          <w:spacing w:val="-4"/>
        </w:rPr>
        <w:sym w:font="Symbol" w:char="F062"/>
      </w:r>
      <w:r w:rsidRPr="00443C3D">
        <w:rPr>
          <w:rFonts w:ascii="ITC Avant Garde" w:hAnsi="ITC Avant Garde"/>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lang w:eastAsia="en-GB"/>
        </w:rPr>
        <w:t xml:space="preserve">Sin embargo, dado que la </w:t>
      </w:r>
      <w:r w:rsidRPr="00443C3D">
        <w:rPr>
          <w:rFonts w:ascii="ITC Avant Garde" w:hAnsi="ITC Avant Garde"/>
          <w:i/>
          <w:iCs/>
          <w:spacing w:val="-4"/>
        </w:rPr>
        <w:sym w:font="Symbol" w:char="F062"/>
      </w:r>
      <w:r w:rsidRPr="00443C3D">
        <w:rPr>
          <w:rFonts w:ascii="Symbol" w:hAnsi="Symbol" w:cs="Symbol"/>
          <w:spacing w:val="-4"/>
          <w:sz w:val="26"/>
          <w:szCs w:val="26"/>
          <w:lang w:eastAsia="en-GB"/>
        </w:rPr>
        <w:t></w:t>
      </w:r>
      <w:r w:rsidRPr="00443C3D">
        <w:rPr>
          <w:rFonts w:ascii="ITC Avant Garde" w:hAnsi="ITC Avant Garde"/>
          <w:spacing w:val="-4"/>
          <w:lang w:eastAsia="en-GB"/>
        </w:rPr>
        <w:t xml:space="preserve">representa el riesgo de una industria particular o compañía relativa al mercado, se esperaría que la </w:t>
      </w:r>
      <w:r w:rsidRPr="00443C3D">
        <w:rPr>
          <w:rFonts w:ascii="ITC Avant Garde" w:hAnsi="ITC Avant Garde"/>
          <w:i/>
          <w:iCs/>
          <w:spacing w:val="-4"/>
        </w:rPr>
        <w:sym w:font="Symbol" w:char="F062"/>
      </w:r>
      <w:r w:rsidRPr="00443C3D">
        <w:rPr>
          <w:rFonts w:ascii="Symbol" w:hAnsi="Symbol" w:cs="Symbol"/>
          <w:spacing w:val="-4"/>
          <w:sz w:val="26"/>
          <w:szCs w:val="26"/>
          <w:lang w:eastAsia="en-GB"/>
        </w:rPr>
        <w:t></w:t>
      </w:r>
      <w:r w:rsidRPr="00443C3D">
        <w:rPr>
          <w:rFonts w:ascii="ITC Avant Garde" w:hAnsi="ITC Avant Garde"/>
          <w:spacing w:val="-4"/>
          <w:lang w:eastAsia="en-GB"/>
        </w:rPr>
        <w:t xml:space="preserve">de una empresa en particular – en este caso un operador – fuera similar en diferentes países. Comparar la </w:t>
      </w:r>
      <w:r w:rsidRPr="00443C3D">
        <w:rPr>
          <w:rFonts w:ascii="ITC Avant Garde" w:hAnsi="ITC Avant Garde"/>
          <w:i/>
          <w:iCs/>
          <w:spacing w:val="-4"/>
        </w:rPr>
        <w:sym w:font="Symbol" w:char="F062"/>
      </w:r>
      <w:r w:rsidRPr="00443C3D">
        <w:rPr>
          <w:rFonts w:ascii="Symbol" w:hAnsi="Symbol" w:cs="Symbol"/>
          <w:spacing w:val="-4"/>
          <w:sz w:val="26"/>
          <w:szCs w:val="26"/>
          <w:lang w:eastAsia="en-GB"/>
        </w:rPr>
        <w:t></w:t>
      </w:r>
      <w:r w:rsidRPr="00443C3D">
        <w:rPr>
          <w:rFonts w:ascii="ITC Avant Garde" w:hAnsi="ITC Avant Garde"/>
          <w:spacing w:val="-4"/>
          <w:lang w:eastAsia="en-GB"/>
        </w:rPr>
        <w:t xml:space="preserve">de esta manera requiere una </w:t>
      </w:r>
      <w:r w:rsidRPr="00443C3D">
        <w:rPr>
          <w:rFonts w:ascii="ITC Avant Garde" w:hAnsi="ITC Avant Garde"/>
          <w:i/>
          <w:iCs/>
          <w:spacing w:val="-4"/>
        </w:rPr>
        <w:sym w:font="Symbol" w:char="F062"/>
      </w:r>
      <w:r w:rsidRPr="00443C3D">
        <w:rPr>
          <w:rFonts w:ascii="Symbol" w:hAnsi="Symbol" w:cs="Symbol"/>
          <w:spacing w:val="-4"/>
          <w:sz w:val="26"/>
          <w:szCs w:val="26"/>
          <w:lang w:eastAsia="en-GB"/>
        </w:rPr>
        <w:t></w:t>
      </w:r>
      <w:r w:rsidRPr="00443C3D">
        <w:rPr>
          <w:rFonts w:ascii="ITC Avant Garde" w:hAnsi="ITC Avant Garde"/>
          <w:spacing w:val="-4"/>
          <w:lang w:eastAsia="en-GB"/>
        </w:rPr>
        <w:t>desapalancada (</w:t>
      </w:r>
      <w:r w:rsidRPr="00443C3D">
        <w:rPr>
          <w:rFonts w:ascii="ITC Avant Garde" w:hAnsi="ITC Avant Garde"/>
          <w:i/>
          <w:spacing w:val="-4"/>
          <w:lang w:eastAsia="en-GB"/>
        </w:rPr>
        <w:t>asset</w:t>
      </w:r>
      <w:r w:rsidRPr="00443C3D">
        <w:rPr>
          <w:rFonts w:ascii="ITC Avant Garde" w:hAnsi="ITC Avant Garde"/>
          <w:spacing w:val="-4"/>
          <w:lang w:eastAsia="en-GB"/>
        </w:rPr>
        <w:t>) más que una apalancada (</w:t>
      </w:r>
      <w:r w:rsidRPr="00443C3D">
        <w:rPr>
          <w:rFonts w:ascii="ITC Avant Garde" w:hAnsi="ITC Avant Garde"/>
          <w:i/>
          <w:spacing w:val="-4"/>
          <w:lang w:eastAsia="en-GB"/>
        </w:rPr>
        <w:t>equity</w:t>
      </w:r>
      <w:r w:rsidRPr="00443C3D">
        <w:rPr>
          <w:rFonts w:ascii="ITC Avant Garde" w:hAnsi="ITC Avant Garde"/>
          <w:spacing w:val="-4"/>
          <w:lang w:eastAsia="en-GB"/>
        </w:rPr>
        <w:t>).</w:t>
      </w:r>
    </w:p>
    <w:p w:rsidR="00692D54" w:rsidRPr="00443C3D" w:rsidRDefault="00692D54" w:rsidP="00692D54">
      <w:pPr>
        <w:tabs>
          <w:tab w:val="num" w:pos="720"/>
        </w:tabs>
        <w:spacing w:after="0" w:line="276" w:lineRule="auto"/>
        <w:ind w:left="360"/>
        <w:jc w:val="center"/>
      </w:pPr>
      <w:r w:rsidRPr="00443C3D">
        <w:rPr>
          <w:position w:val="-10"/>
        </w:rPr>
        <w:object w:dxaOrig="240" w:dyaOrig="320" w14:anchorId="6F1868C1">
          <v:shape id="_x0000_i1039" type="#_x0000_t75" style="width:11.45pt;height:18.2pt" o:ole="" o:bullet="t">
            <v:imagedata r:id="rId48" o:title=""/>
          </v:shape>
          <o:OLEObject Type="Embed" ProgID="Equation.3" ShapeID="_x0000_i1039" DrawAspect="Content" ObjectID="_1596544340" r:id="rId54"/>
        </w:object>
      </w:r>
      <w:r w:rsidRPr="00443C3D">
        <w:rPr>
          <w:vertAlign w:val="subscript"/>
        </w:rPr>
        <w:t>asset</w:t>
      </w:r>
      <w:r w:rsidRPr="00443C3D">
        <w:t xml:space="preserve"> = </w:t>
      </w:r>
      <w:r w:rsidRPr="00443C3D">
        <w:rPr>
          <w:position w:val="-10"/>
        </w:rPr>
        <w:object w:dxaOrig="240" w:dyaOrig="320" w14:anchorId="16779AB1">
          <v:shape id="_x0000_i1040" type="#_x0000_t75" style="width:11.45pt;height:18.2pt" o:ole="">
            <v:imagedata r:id="rId48" o:title=""/>
          </v:shape>
          <o:OLEObject Type="Embed" ProgID="Equation.3" ShapeID="_x0000_i1040" DrawAspect="Content" ObjectID="_1596544341" r:id="rId55"/>
        </w:object>
      </w:r>
      <w:r w:rsidRPr="00443C3D">
        <w:rPr>
          <w:vertAlign w:val="subscript"/>
        </w:rPr>
        <w:t>equity</w:t>
      </w:r>
      <w:r w:rsidRPr="00443C3D">
        <w:t xml:space="preserve"> / (1+D/E)</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lastRenderedPageBreak/>
        <w:t>Una manera de estimar este parámetro es mediante comparativos internacionales (</w:t>
      </w:r>
      <w:r w:rsidRPr="00443C3D">
        <w:rPr>
          <w:rFonts w:ascii="ITC Avant Garde" w:hAnsi="ITC Avant Garde"/>
          <w:i/>
          <w:spacing w:val="-4"/>
        </w:rPr>
        <w:t>benchmarking)</w:t>
      </w:r>
      <w:r w:rsidRPr="00443C3D">
        <w:rPr>
          <w:rFonts w:ascii="ITC Avant Garde" w:hAnsi="ITC Avant Garde"/>
          <w:spacing w:val="-4"/>
        </w:rPr>
        <w:t xml:space="preserve"> de las </w:t>
      </w:r>
      <w:r w:rsidRPr="00443C3D">
        <w:rPr>
          <w:rFonts w:ascii="ITC Avant Garde" w:hAnsi="ITC Avant Garde"/>
          <w:i/>
          <w:iCs/>
          <w:spacing w:val="-4"/>
        </w:rPr>
        <w:sym w:font="Symbol" w:char="F062"/>
      </w:r>
      <w:r w:rsidRPr="00443C3D">
        <w:rPr>
          <w:rFonts w:ascii="ITC Avant Garde" w:hAnsi="ITC Avant Garde"/>
          <w:spacing w:val="-4"/>
        </w:rPr>
        <w:t xml:space="preserve"> de empresas comparables, es así que se usará una comparativa de compañías de telecomunicaciones, prestando especial atención a mercados similares al mexicano, para identificar las </w:t>
      </w:r>
      <w:r w:rsidRPr="00443C3D">
        <w:rPr>
          <w:rFonts w:ascii="ITC Avant Garde" w:hAnsi="ITC Avant Garde"/>
          <w:i/>
          <w:iCs/>
          <w:spacing w:val="-4"/>
        </w:rPr>
        <w:sym w:font="Symbol" w:char="F062"/>
      </w:r>
      <w:r w:rsidRPr="00443C3D">
        <w:rPr>
          <w:rFonts w:ascii="ITC Avant Garde" w:hAnsi="ITC Avant Garde"/>
          <w:spacing w:val="-4"/>
        </w:rPr>
        <w:t xml:space="preserve"> específicas de los mercados fijo y móvil</w:t>
      </w:r>
      <w:r w:rsidRPr="00443C3D">
        <w:rPr>
          <w:rFonts w:ascii="ITC Avant Garde" w:hAnsi="ITC Avant Garde"/>
          <w:color w:val="0000FF"/>
          <w:spacing w:val="-4"/>
        </w:rPr>
        <w:t>.</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No obstante se observa que debido a que cada día hay menos operadores que ofrecen un solo servicio (</w:t>
      </w:r>
      <w:r w:rsidRPr="00443C3D">
        <w:rPr>
          <w:rFonts w:ascii="ITC Avant Garde" w:hAnsi="ITC Avant Garde"/>
          <w:i/>
          <w:spacing w:val="-4"/>
        </w:rPr>
        <w:t>pure-play)</w:t>
      </w:r>
      <w:r w:rsidRPr="00443C3D">
        <w:rPr>
          <w:rFonts w:ascii="ITC Avant Garde" w:hAnsi="ITC Avant Garde"/>
          <w:spacing w:val="-4"/>
        </w:rPr>
        <w:t xml:space="preserve">, se recomienda derivar los valores de </w:t>
      </w:r>
      <w:r w:rsidRPr="00443C3D">
        <w:rPr>
          <w:rFonts w:ascii="ITC Avant Garde" w:hAnsi="ITC Avant Garde"/>
          <w:i/>
          <w:iCs/>
          <w:spacing w:val="-4"/>
        </w:rPr>
        <w:sym w:font="Symbol" w:char="F062"/>
      </w:r>
      <w:r w:rsidRPr="00443C3D">
        <w:rPr>
          <w:rFonts w:ascii="ITC Avant Garde" w:hAnsi="ITC Avant Garde"/>
          <w:spacing w:val="-4"/>
          <w:vertAlign w:val="subscript"/>
        </w:rPr>
        <w:t>asset</w:t>
      </w:r>
      <w:r w:rsidRPr="00443C3D">
        <w:rPr>
          <w:rFonts w:ascii="ITC Avant Garde" w:hAnsi="ITC Avant Garde"/>
          <w:spacing w:val="-4"/>
        </w:rPr>
        <w:t xml:space="preserve"> para los operadores fijos y móviles mediante una aproximación. Primeramente se agrupan los operadores del </w:t>
      </w:r>
      <w:r w:rsidRPr="00443C3D">
        <w:rPr>
          <w:rFonts w:ascii="ITC Avant Garde" w:hAnsi="ITC Avant Garde"/>
          <w:i/>
          <w:spacing w:val="-4"/>
        </w:rPr>
        <w:t>benchmark</w:t>
      </w:r>
      <w:r w:rsidRPr="00443C3D">
        <w:rPr>
          <w:rFonts w:ascii="ITC Avant Garde" w:hAnsi="ITC Avant Garde"/>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numPr>
          <w:ilvl w:val="0"/>
          <w:numId w:val="30"/>
        </w:numPr>
        <w:spacing w:after="0" w:line="276" w:lineRule="auto"/>
        <w:jc w:val="both"/>
        <w:rPr>
          <w:rFonts w:ascii="ITC Avant Garde" w:hAnsi="ITC Avant Garde"/>
          <w:spacing w:val="-4"/>
        </w:rPr>
      </w:pPr>
      <w:r w:rsidRPr="00443C3D">
        <w:rPr>
          <w:rFonts w:ascii="ITC Avant Garde" w:hAnsi="ITC Avant Garde"/>
          <w:spacing w:val="-4"/>
        </w:rPr>
        <w:t>Predominantemente móviles: aquellos donde la porción de EBITDA móvil represente una porción significativa del total de EBITDA, esto es mayor a 50%</w:t>
      </w:r>
    </w:p>
    <w:p w:rsidR="00692D54" w:rsidRPr="00443C3D" w:rsidRDefault="00692D54" w:rsidP="00692D54">
      <w:pPr>
        <w:numPr>
          <w:ilvl w:val="0"/>
          <w:numId w:val="30"/>
        </w:numPr>
        <w:spacing w:after="0" w:line="276" w:lineRule="auto"/>
        <w:jc w:val="both"/>
        <w:rPr>
          <w:rFonts w:ascii="ITC Avant Garde" w:hAnsi="ITC Avant Garde"/>
          <w:spacing w:val="-4"/>
        </w:rPr>
      </w:pPr>
      <w:r w:rsidRPr="00443C3D">
        <w:rPr>
          <w:rFonts w:ascii="ITC Avant Garde" w:hAnsi="ITC Avant Garde"/>
          <w:spacing w:val="-4"/>
        </w:rPr>
        <w:t>Híbridos fijo–-móvil: aquellos donde ni el EBITDA móvil ni el fijo, representen una porción significativa del total del EBITDA</w:t>
      </w:r>
    </w:p>
    <w:p w:rsidR="00692D54" w:rsidRPr="00443C3D" w:rsidRDefault="00692D54" w:rsidP="00692D54">
      <w:pPr>
        <w:numPr>
          <w:ilvl w:val="0"/>
          <w:numId w:val="30"/>
        </w:numPr>
        <w:spacing w:after="0" w:line="276" w:lineRule="auto"/>
        <w:jc w:val="both"/>
        <w:rPr>
          <w:rFonts w:ascii="ITC Avant Garde" w:hAnsi="ITC Avant Garde"/>
          <w:spacing w:val="-4"/>
        </w:rPr>
      </w:pPr>
      <w:r w:rsidRPr="00443C3D">
        <w:rPr>
          <w:rFonts w:ascii="ITC Avant Garde" w:hAnsi="ITC Avant Garde"/>
          <w:spacing w:val="-4"/>
        </w:rPr>
        <w:t>Predominantemente fijos: aquellos donde el EBITDA fijo represente una porción significativa</w:t>
      </w:r>
      <w:r w:rsidRPr="00443C3D" w:rsidDel="0096683F">
        <w:rPr>
          <w:rFonts w:ascii="ITC Avant Garde" w:hAnsi="ITC Avant Garde"/>
          <w:spacing w:val="-4"/>
        </w:rPr>
        <w:t xml:space="preserve"> </w:t>
      </w:r>
      <w:r w:rsidRPr="00443C3D">
        <w:rPr>
          <w:rFonts w:ascii="ITC Avant Garde" w:hAnsi="ITC Avant Garde"/>
          <w:spacing w:val="-4"/>
        </w:rPr>
        <w:t>del EBITDA total.</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Después de esto se calculan los valores de </w:t>
      </w:r>
      <w:r w:rsidRPr="00443C3D">
        <w:rPr>
          <w:rFonts w:ascii="ITC Avant Garde" w:hAnsi="ITC Avant Garde"/>
          <w:i/>
          <w:iCs/>
          <w:spacing w:val="-4"/>
        </w:rPr>
        <w:sym w:font="Symbol" w:char="F062"/>
      </w:r>
      <w:r w:rsidRPr="00443C3D">
        <w:rPr>
          <w:rFonts w:ascii="ITC Avant Garde" w:hAnsi="ITC Avant Garde"/>
          <w:spacing w:val="-4"/>
          <w:vertAlign w:val="subscript"/>
        </w:rPr>
        <w:t>asset</w:t>
      </w:r>
      <w:r w:rsidRPr="00443C3D">
        <w:rPr>
          <w:rFonts w:ascii="ITC Avant Garde" w:hAnsi="ITC Avant Garde"/>
          <w:spacing w:val="-4"/>
        </w:rPr>
        <w:t xml:space="preserve"> para el operador móvil con el promedio del primer grupo y para el operador fijo con el promedio del tercero.</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rFonts w:ascii="ITC Avant Garde" w:hAnsi="ITC Avant Garde"/>
          <w:b/>
        </w:rPr>
      </w:pPr>
      <w:r w:rsidRPr="00443C3D">
        <w:rPr>
          <w:rFonts w:ascii="ITC Avant Garde" w:hAnsi="ITC Avant Garde"/>
          <w:b/>
        </w:rPr>
        <w:t>Relación deuda/capital (</w:t>
      </w:r>
      <w:r w:rsidRPr="00443C3D">
        <w:rPr>
          <w:rFonts w:ascii="ITC Avant Garde" w:hAnsi="ITC Avant Garde"/>
          <w:b/>
          <w:i/>
        </w:rPr>
        <w:t>D/E</w:t>
      </w:r>
      <w:r w:rsidRPr="00443C3D">
        <w:rPr>
          <w:rFonts w:ascii="ITC Avant Garde" w:hAnsi="ITC Avant Garde"/>
          <w:b/>
        </w:rPr>
        <w:t>)</w:t>
      </w:r>
    </w:p>
    <w:p w:rsidR="00692D54" w:rsidRPr="00443C3D" w:rsidRDefault="00692D54" w:rsidP="00692D54">
      <w:pPr>
        <w:spacing w:after="0" w:line="276" w:lineRule="auto"/>
        <w:rPr>
          <w:rFonts w:ascii="ITC Avant Garde" w:hAnsi="ITC Avant Garde"/>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center"/>
        <w:rPr>
          <w:rFonts w:ascii="ITC Avant Garde" w:hAnsi="ITC Avant Garde"/>
        </w:rPr>
      </w:pPr>
      <w:r w:rsidRPr="00443C3D">
        <w:rPr>
          <w:rFonts w:ascii="ITC Avant Garde" w:hAnsi="ITC Avant Garde"/>
          <w:i/>
        </w:rPr>
        <w:t>Apalancamiento</w:t>
      </w:r>
      <w:r w:rsidRPr="00443C3D">
        <w:rPr>
          <w:rFonts w:ascii="ITC Avant Garde" w:hAnsi="ITC Avant Garde"/>
        </w:rPr>
        <w:t xml:space="preserve"> = </w:t>
      </w:r>
      <w:r w:rsidRPr="00443C3D">
        <w:rPr>
          <w:rFonts w:ascii="ITC Avant Garde" w:hAnsi="ITC Avant Garde"/>
          <w:position w:val="-24"/>
        </w:rPr>
        <w:object w:dxaOrig="700" w:dyaOrig="620" w14:anchorId="05764568">
          <v:shape id="_x0000_i1041" type="#_x0000_t75" style="width:34.7pt;height:32.05pt" o:ole="">
            <v:imagedata r:id="rId56" o:title=""/>
          </v:shape>
          <o:OLEObject Type="Embed" ProgID="Equation.3" ShapeID="_x0000_i1041" DrawAspect="Content" ObjectID="_1596544342" r:id="rId57"/>
        </w:object>
      </w:r>
    </w:p>
    <w:p w:rsidR="00692D54" w:rsidRPr="00443C3D" w:rsidRDefault="00692D54" w:rsidP="00692D54">
      <w:pPr>
        <w:spacing w:after="0" w:line="276" w:lineRule="auto"/>
        <w:jc w:val="center"/>
        <w:rPr>
          <w:rFonts w:ascii="ITC Avant Garde" w:hAnsi="ITC Avant Garde"/>
          <w:position w:val="-2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Generalmente, la expectativa en lo que respecta al nivel de retorno del capital (</w:t>
      </w:r>
      <w:r w:rsidRPr="00443C3D">
        <w:rPr>
          <w:rFonts w:ascii="ITC Avant Garde" w:hAnsi="ITC Avant Garde"/>
          <w:i/>
          <w:spacing w:val="-4"/>
        </w:rPr>
        <w:t>equity</w:t>
      </w:r>
      <w:r w:rsidRPr="00443C3D">
        <w:rPr>
          <w:rFonts w:ascii="ITC Avant Garde" w:hAnsi="ITC Avant Garde"/>
          <w:spacing w:val="-4"/>
        </w:rPr>
        <w:t>) será mayor que la del retorno de la deuda. Si aumenta el nivel de apalancamiento, la deuda tendrá una prima de riesgo mayor ya que los acreedores requerirán un mayor interés al existir menor certidumbre en el pago.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Por eso mismo, la teoría financiera asume que existe una estructura financiera óptima que minimiza el costo del capital y se le conoce como apalancamiento objetivo. En </w:t>
      </w:r>
      <w:r w:rsidRPr="00443C3D">
        <w:rPr>
          <w:rFonts w:ascii="ITC Avant Garde" w:hAnsi="ITC Avant Garde"/>
          <w:spacing w:val="-4"/>
        </w:rPr>
        <w:lastRenderedPageBreak/>
        <w:t>la práctica, este apalancamiento óptimo es difícil de determinar y variará en función del tipo y forma de la compañía.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Es así que de forma similar al método seguido para determinar la </w:t>
      </w:r>
      <w:r w:rsidRPr="00443C3D">
        <w:rPr>
          <w:rFonts w:ascii="ITC Avant Garde" w:hAnsi="ITC Avant Garde"/>
          <w:i/>
          <w:iCs/>
          <w:spacing w:val="-4"/>
        </w:rPr>
        <w:sym w:font="Symbol" w:char="F062"/>
      </w:r>
      <w:r w:rsidRPr="00443C3D">
        <w:rPr>
          <w:rFonts w:ascii="ITC Avant Garde" w:hAnsi="ITC Avant Garde"/>
          <w:i/>
          <w:spacing w:val="-4"/>
          <w:vertAlign w:val="subscript"/>
        </w:rPr>
        <w:t>asset</w:t>
      </w:r>
      <w:r w:rsidRPr="00443C3D">
        <w:rPr>
          <w:rFonts w:ascii="ITC Avant Garde" w:hAnsi="ITC Avant Garde"/>
          <w:spacing w:val="-4"/>
        </w:rPr>
        <w:t>, se evaluará el nivel apropiado de apalancamiento utilizando la misma comparativa de operadores en Latinoamérica, para lo cual se aplica el valor en libros de la deuda tomado de Aswath Damodaran.</w:t>
      </w:r>
    </w:p>
    <w:p w:rsidR="00692D54" w:rsidRPr="00443C3D" w:rsidRDefault="00692D54" w:rsidP="00692D54">
      <w:pPr>
        <w:spacing w:after="0" w:line="276" w:lineRule="auto"/>
        <w:rPr>
          <w:rFonts w:ascii="ITC Avant Garde" w:hAnsi="ITC Avant Garde"/>
          <w:b/>
        </w:rPr>
      </w:pPr>
    </w:p>
    <w:p w:rsidR="00692D54" w:rsidRPr="00443C3D" w:rsidRDefault="00692D54" w:rsidP="00692D54">
      <w:pPr>
        <w:spacing w:after="0" w:line="276" w:lineRule="auto"/>
        <w:rPr>
          <w:b/>
        </w:rPr>
      </w:pPr>
      <w:r w:rsidRPr="00443C3D">
        <w:rPr>
          <w:rFonts w:ascii="ITC Avant Garde" w:hAnsi="ITC Avant Garde"/>
          <w:b/>
        </w:rPr>
        <w:t>Costo de la deuda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costo de la deuda se define como:</w:t>
      </w: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position w:val="-14"/>
        </w:rPr>
        <w:object w:dxaOrig="2420" w:dyaOrig="380" w14:anchorId="255156BD">
          <v:shape id="_x0000_i1042" type="#_x0000_t75" style="width:121.65pt;height:18.8pt" o:ole="">
            <v:imagedata r:id="rId58" o:title=""/>
          </v:shape>
          <o:OLEObject Type="Embed" ProgID="Equation.3" ShapeID="_x0000_i1042" DrawAspect="Content" ObjectID="_1596544343" r:id="rId59"/>
        </w:object>
      </w: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Donde:</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numPr>
          <w:ilvl w:val="0"/>
          <w:numId w:val="15"/>
        </w:numPr>
        <w:spacing w:after="0" w:line="276" w:lineRule="auto"/>
        <w:jc w:val="both"/>
        <w:rPr>
          <w:rFonts w:ascii="ITC Avant Garde" w:hAnsi="ITC Avant Garde"/>
          <w:lang w:val="es-ES"/>
        </w:rPr>
      </w:pPr>
      <w:r w:rsidRPr="00443C3D">
        <w:rPr>
          <w:rFonts w:ascii="ITC Avant Garde" w:hAnsi="ITC Avant Garde"/>
          <w:i/>
          <w:iCs/>
          <w:lang w:val="es-ES"/>
        </w:rPr>
        <w:t>R</w:t>
      </w:r>
      <w:r w:rsidRPr="00443C3D">
        <w:rPr>
          <w:rFonts w:ascii="ITC Avant Garde" w:hAnsi="ITC Avant Garde"/>
          <w:i/>
          <w:iCs/>
          <w:vertAlign w:val="subscript"/>
          <w:lang w:val="es-ES"/>
        </w:rPr>
        <w:t>f</w:t>
      </w:r>
      <w:r w:rsidRPr="00443C3D">
        <w:rPr>
          <w:rFonts w:ascii="ITC Avant Garde" w:hAnsi="ITC Avant Garde"/>
          <w:lang w:val="es-ES"/>
        </w:rPr>
        <w:t xml:space="preserve"> es la tasa de retorno libre de riesgo</w:t>
      </w:r>
    </w:p>
    <w:p w:rsidR="00692D54" w:rsidRPr="00443C3D" w:rsidRDefault="00692D54" w:rsidP="00692D54">
      <w:pPr>
        <w:numPr>
          <w:ilvl w:val="0"/>
          <w:numId w:val="15"/>
        </w:numPr>
        <w:spacing w:after="0" w:line="276" w:lineRule="auto"/>
        <w:jc w:val="both"/>
        <w:rPr>
          <w:rFonts w:ascii="ITC Avant Garde" w:hAnsi="ITC Avant Garde"/>
          <w:lang w:val="es-ES"/>
        </w:rPr>
      </w:pPr>
      <w:r w:rsidRPr="00443C3D">
        <w:rPr>
          <w:rFonts w:ascii="ITC Avant Garde" w:hAnsi="ITC Avant Garde"/>
          <w:i/>
          <w:iCs/>
          <w:lang w:val="es-ES"/>
        </w:rPr>
        <w:t>R</w:t>
      </w:r>
      <w:r w:rsidRPr="00443C3D">
        <w:rPr>
          <w:rFonts w:ascii="ITC Avant Garde" w:hAnsi="ITC Avant Garde"/>
          <w:i/>
          <w:iCs/>
          <w:vertAlign w:val="subscript"/>
          <w:lang w:val="es-ES"/>
        </w:rPr>
        <w:t>D</w:t>
      </w:r>
      <w:r w:rsidRPr="00443C3D">
        <w:rPr>
          <w:rFonts w:ascii="ITC Avant Garde" w:hAnsi="ITC Avant Garde"/>
          <w:lang w:val="es-ES"/>
        </w:rPr>
        <w:t xml:space="preserve"> es la prima de riesgo de deuda</w:t>
      </w:r>
    </w:p>
    <w:p w:rsidR="00692D54" w:rsidRPr="00443C3D" w:rsidRDefault="00692D54" w:rsidP="00692D54">
      <w:pPr>
        <w:tabs>
          <w:tab w:val="num" w:pos="360"/>
        </w:tabs>
        <w:spacing w:after="0" w:line="276" w:lineRule="auto"/>
        <w:ind w:left="360" w:hanging="360"/>
        <w:jc w:val="both"/>
        <w:rPr>
          <w:rFonts w:ascii="ITC Avant Garde" w:eastAsia="Times New Roman" w:hAnsi="ITC Avant Garde"/>
          <w:szCs w:val="24"/>
          <w:lang w:eastAsia="es-ES"/>
        </w:rPr>
      </w:pPr>
      <w:r w:rsidRPr="00443C3D">
        <w:rPr>
          <w:rFonts w:ascii="ITC Avant Garde" w:eastAsia="Times New Roman" w:hAnsi="ITC Avant Garde"/>
          <w:i/>
          <w:iCs/>
          <w:szCs w:val="24"/>
          <w:lang w:eastAsia="es-ES"/>
        </w:rPr>
        <w:t>T</w:t>
      </w:r>
      <w:r w:rsidRPr="00443C3D">
        <w:rPr>
          <w:rFonts w:ascii="ITC Avant Garde" w:eastAsia="Times New Roman" w:hAnsi="ITC Avant Garde"/>
          <w:szCs w:val="24"/>
          <w:lang w:eastAsia="es-ES"/>
        </w:rPr>
        <w:t xml:space="preserve"> es la tasa de impuestos corporativa.</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México existen dos impuestos corporativos, el impuesto empresarial a Tasa Única (IETU) y el Impuesto sobre la Renta (ISR), para efectos del modelo se utilizará el ISR como la tasa adecuada de impuestos corporativos (T), cuyo valor para el año 2017 es del 30%.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prima de riesgo de deuda de una empresa es la diferencia entre lo que una empresa tiene que pagar a sus acreedores al adquirir un préstamo y la tasa libre de riesgo.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Típicamente, la prima de riesgo de deuda varía de acuerdo con el apalancamiento de la empresa – cuanto mayor sea la proporción de financiamiento a través de deuda, mayor es la prima debido a la presión ejercida sobre los flujos de efectivo.</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Una manera válida de calcular la prima de riesgo es sumar a la tasa libre de riesgo la prima de riesgo de la deuda asociada con la empresa, en base a una comparativa de las tasas de retorno de la deuda (p.ej. Eurobonos corporativos) de empresas comparables con riesgo o madurez semejantes.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lastRenderedPageBreak/>
        <w:t>Se aplicará la misma metodología para determinar el costo de la deuda del operador fijo en línea con el observado en los operadores móviles.</w:t>
      </w:r>
    </w:p>
    <w:p w:rsidR="00692D54" w:rsidRPr="00443C3D" w:rsidRDefault="00692D54" w:rsidP="00692D54">
      <w:pPr>
        <w:spacing w:after="0" w:line="276" w:lineRule="auto"/>
        <w:jc w:val="both"/>
        <w:rPr>
          <w:rFonts w:ascii="ITC Avant Garde" w:hAnsi="ITC Avant Garde"/>
          <w:spacing w:val="-4"/>
        </w:rPr>
      </w:pPr>
    </w:p>
    <w:p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De esta forma se tiene el siguiente resultado:</w:t>
      </w:r>
    </w:p>
    <w:p w:rsidR="00692D54" w:rsidRPr="00443C3D" w:rsidRDefault="00692D54" w:rsidP="00692D54">
      <w:pPr>
        <w:spacing w:after="0" w:line="276" w:lineRule="auto"/>
        <w:jc w:val="both"/>
        <w:rPr>
          <w:rFonts w:ascii="ITC Avant Garde" w:hAnsi="ITC Avant Garde"/>
          <w:spacing w:val="-4"/>
        </w:rPr>
      </w:pPr>
    </w:p>
    <w:tbl>
      <w:tblPr>
        <w:tblW w:w="4820" w:type="dxa"/>
        <w:jc w:val="center"/>
        <w:tblCellMar>
          <w:left w:w="0" w:type="dxa"/>
          <w:right w:w="0" w:type="dxa"/>
        </w:tblCellMar>
        <w:tblLook w:val="0420" w:firstRow="1" w:lastRow="0" w:firstColumn="0" w:lastColumn="0" w:noHBand="0" w:noVBand="1"/>
      </w:tblPr>
      <w:tblGrid>
        <w:gridCol w:w="2721"/>
        <w:gridCol w:w="853"/>
        <w:gridCol w:w="1246"/>
      </w:tblGrid>
      <w:tr w:rsidR="00692D54" w:rsidRPr="00443C3D" w:rsidTr="00867DD3">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Móvil</w:t>
            </w:r>
          </w:p>
        </w:tc>
      </w:tr>
      <w:tr w:rsidR="00692D54" w:rsidRPr="00443C3D" w:rsidTr="00867DD3">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4.</w:t>
            </w:r>
            <w:r w:rsidR="004756BE" w:rsidRPr="00443C3D">
              <w:rPr>
                <w:rFonts w:ascii="ITC Avant Garde" w:hAnsi="ITC Avant Garde"/>
                <w:spacing w:val="-4"/>
                <w:sz w:val="18"/>
                <w:szCs w:val="18"/>
                <w:lang w:val="es-ES_tradnl"/>
              </w:rPr>
              <w:t>38</w:t>
            </w:r>
            <w:r w:rsidRPr="00443C3D">
              <w:rPr>
                <w:rFonts w:ascii="ITC Avant Garde" w:hAnsi="ITC Avant Garde"/>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4.</w:t>
            </w:r>
            <w:r w:rsidR="004756BE" w:rsidRPr="00443C3D">
              <w:rPr>
                <w:rFonts w:ascii="ITC Avant Garde" w:hAnsi="ITC Avant Garde"/>
                <w:spacing w:val="-4"/>
                <w:sz w:val="18"/>
                <w:szCs w:val="18"/>
                <w:lang w:val="es-ES_tradnl"/>
              </w:rPr>
              <w:t>38</w:t>
            </w:r>
            <w:r w:rsidRPr="00443C3D">
              <w:rPr>
                <w:rFonts w:ascii="ITC Avant Garde" w:hAnsi="ITC Avant Garde"/>
                <w:spacing w:val="-4"/>
                <w:sz w:val="18"/>
                <w:szCs w:val="18"/>
                <w:lang w:val="es-ES_tradnl"/>
              </w:rPr>
              <w:t>%</w:t>
            </w:r>
          </w:p>
        </w:tc>
      </w:tr>
      <w:tr w:rsidR="00692D54" w:rsidRPr="00443C3D" w:rsidTr="00867DD3">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Beta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0.</w:t>
            </w:r>
            <w:r w:rsidR="004756BE" w:rsidRPr="00443C3D">
              <w:rPr>
                <w:rFonts w:ascii="ITC Avant Garde" w:hAnsi="ITC Avant Garde"/>
                <w:spacing w:val="-4"/>
                <w:sz w:val="18"/>
                <w:szCs w:val="18"/>
                <w:lang w:val="es-ES_tradnl"/>
              </w:rPr>
              <w:t>68</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1.</w:t>
            </w:r>
            <w:r w:rsidR="004756BE" w:rsidRPr="00443C3D">
              <w:rPr>
                <w:rFonts w:ascii="ITC Avant Garde" w:hAnsi="ITC Avant Garde"/>
                <w:spacing w:val="-4"/>
                <w:sz w:val="18"/>
                <w:szCs w:val="18"/>
                <w:lang w:val="es-ES_tradnl"/>
              </w:rPr>
              <w:t>36</w:t>
            </w:r>
          </w:p>
        </w:tc>
      </w:tr>
      <w:tr w:rsidR="00692D54" w:rsidRPr="00443C3D" w:rsidTr="00867DD3">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4756BE" w:rsidRPr="00443C3D">
              <w:rPr>
                <w:rFonts w:ascii="ITC Avant Garde" w:hAnsi="ITC Avant Garde"/>
                <w:spacing w:val="-4"/>
                <w:sz w:val="18"/>
                <w:szCs w:val="18"/>
                <w:lang w:val="es-ES_tradnl"/>
              </w:rPr>
              <w:t>08</w:t>
            </w:r>
            <w:r w:rsidRPr="00443C3D">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4756BE" w:rsidRPr="00443C3D">
              <w:rPr>
                <w:rFonts w:ascii="ITC Avant Garde" w:hAnsi="ITC Avant Garde"/>
                <w:spacing w:val="-4"/>
                <w:sz w:val="18"/>
                <w:szCs w:val="18"/>
                <w:lang w:val="es-ES_tradnl"/>
              </w:rPr>
              <w:t>08</w:t>
            </w:r>
            <w:r w:rsidRPr="00443C3D">
              <w:rPr>
                <w:rFonts w:ascii="ITC Avant Garde" w:hAnsi="ITC Avant Garde"/>
                <w:spacing w:val="-4"/>
                <w:sz w:val="18"/>
                <w:szCs w:val="18"/>
                <w:lang w:val="es-ES_tradnl"/>
              </w:rPr>
              <w:t>%</w:t>
            </w:r>
          </w:p>
        </w:tc>
      </w:tr>
      <w:tr w:rsidR="00692D54" w:rsidRPr="00443C3D" w:rsidTr="00867DD3">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1</w:t>
            </w:r>
            <w:r w:rsidR="004756BE" w:rsidRPr="00443C3D">
              <w:rPr>
                <w:rFonts w:ascii="ITC Avant Garde" w:hAnsi="ITC Avant Garde"/>
                <w:b/>
                <w:bCs/>
                <w:spacing w:val="-4"/>
                <w:sz w:val="18"/>
                <w:szCs w:val="18"/>
                <w:lang w:val="es-ES_tradnl"/>
              </w:rPr>
              <w:t>1</w:t>
            </w:r>
            <w:r w:rsidRPr="00443C3D">
              <w:rPr>
                <w:rFonts w:ascii="ITC Avant Garde" w:hAnsi="ITC Avant Garde"/>
                <w:b/>
                <w:bCs/>
                <w:spacing w:val="-4"/>
                <w:sz w:val="18"/>
                <w:szCs w:val="18"/>
                <w:lang w:val="es-ES_tradnl"/>
              </w:rPr>
              <w:t>.</w:t>
            </w:r>
            <w:r w:rsidR="004756BE" w:rsidRPr="00443C3D">
              <w:rPr>
                <w:rFonts w:ascii="ITC Avant Garde" w:hAnsi="ITC Avant Garde"/>
                <w:b/>
                <w:bCs/>
                <w:spacing w:val="-4"/>
                <w:sz w:val="18"/>
                <w:szCs w:val="18"/>
                <w:lang w:val="es-ES_tradnl"/>
              </w:rPr>
              <w:t>18</w:t>
            </w:r>
            <w:r w:rsidRPr="00443C3D">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1</w:t>
            </w:r>
            <w:r w:rsidR="004756BE" w:rsidRPr="00443C3D">
              <w:rPr>
                <w:rFonts w:ascii="ITC Avant Garde" w:hAnsi="ITC Avant Garde"/>
                <w:b/>
                <w:bCs/>
                <w:spacing w:val="-4"/>
                <w:sz w:val="18"/>
                <w:szCs w:val="18"/>
                <w:lang w:val="es-ES_tradnl"/>
              </w:rPr>
              <w:t>6</w:t>
            </w:r>
            <w:r w:rsidRPr="00443C3D">
              <w:rPr>
                <w:rFonts w:ascii="ITC Avant Garde" w:hAnsi="ITC Avant Garde"/>
                <w:b/>
                <w:bCs/>
                <w:spacing w:val="-4"/>
                <w:sz w:val="18"/>
                <w:szCs w:val="18"/>
                <w:lang w:val="es-ES_tradnl"/>
              </w:rPr>
              <w:t>.</w:t>
            </w:r>
            <w:r w:rsidR="004756BE" w:rsidRPr="00443C3D">
              <w:rPr>
                <w:rFonts w:ascii="ITC Avant Garde" w:hAnsi="ITC Avant Garde"/>
                <w:b/>
                <w:bCs/>
                <w:spacing w:val="-4"/>
                <w:sz w:val="18"/>
                <w:szCs w:val="18"/>
                <w:lang w:val="es-ES_tradnl"/>
              </w:rPr>
              <w:t>16</w:t>
            </w:r>
            <w:r w:rsidRPr="00443C3D">
              <w:rPr>
                <w:rFonts w:ascii="ITC Avant Garde" w:hAnsi="ITC Avant Garde"/>
                <w:b/>
                <w:bCs/>
                <w:spacing w:val="-4"/>
                <w:sz w:val="18"/>
                <w:szCs w:val="18"/>
                <w:lang w:val="es-ES_tradnl"/>
              </w:rPr>
              <w:t>%</w:t>
            </w:r>
          </w:p>
        </w:tc>
      </w:tr>
      <w:tr w:rsidR="00692D54" w:rsidRPr="00443C3D" w:rsidTr="00867DD3">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4756BE"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5</w:t>
            </w:r>
            <w:r w:rsidR="00692D54" w:rsidRPr="00443C3D">
              <w:rPr>
                <w:rFonts w:ascii="ITC Avant Garde" w:hAnsi="ITC Avant Garde"/>
                <w:b/>
                <w:bCs/>
                <w:spacing w:val="-4"/>
                <w:sz w:val="18"/>
                <w:szCs w:val="18"/>
                <w:lang w:val="es-ES_tradnl"/>
              </w:rPr>
              <w:t>.</w:t>
            </w:r>
            <w:r w:rsidRPr="00443C3D">
              <w:rPr>
                <w:rFonts w:ascii="ITC Avant Garde" w:hAnsi="ITC Avant Garde"/>
                <w:b/>
                <w:bCs/>
                <w:spacing w:val="-4"/>
                <w:sz w:val="18"/>
                <w:szCs w:val="18"/>
                <w:lang w:val="es-ES_tradnl"/>
              </w:rPr>
              <w:t>69</w:t>
            </w:r>
            <w:r w:rsidR="00692D54" w:rsidRPr="00443C3D">
              <w:rPr>
                <w:rFonts w:ascii="ITC Avant Garde" w:hAnsi="ITC Avant Garde"/>
                <w:b/>
                <w:bCs/>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rsidR="00692D54" w:rsidRPr="00443C3D" w:rsidRDefault="004756BE"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5</w:t>
            </w:r>
            <w:r w:rsidR="00692D54" w:rsidRPr="00443C3D">
              <w:rPr>
                <w:rFonts w:ascii="ITC Avant Garde" w:hAnsi="ITC Avant Garde"/>
                <w:b/>
                <w:bCs/>
                <w:spacing w:val="-4"/>
                <w:sz w:val="18"/>
                <w:szCs w:val="18"/>
                <w:lang w:val="es-ES_tradnl"/>
              </w:rPr>
              <w:t>.</w:t>
            </w:r>
            <w:r w:rsidRPr="00443C3D">
              <w:rPr>
                <w:rFonts w:ascii="ITC Avant Garde" w:hAnsi="ITC Avant Garde"/>
                <w:b/>
                <w:bCs/>
                <w:spacing w:val="-4"/>
                <w:sz w:val="18"/>
                <w:szCs w:val="18"/>
                <w:lang w:val="es-ES_tradnl"/>
              </w:rPr>
              <w:t>69</w:t>
            </w:r>
            <w:r w:rsidR="00692D54" w:rsidRPr="00443C3D">
              <w:rPr>
                <w:rFonts w:ascii="ITC Avant Garde" w:hAnsi="ITC Avant Garde"/>
                <w:b/>
                <w:bCs/>
                <w:spacing w:val="-4"/>
                <w:sz w:val="18"/>
                <w:szCs w:val="18"/>
                <w:lang w:val="es-ES_tradnl"/>
              </w:rPr>
              <w:t>%</w:t>
            </w:r>
          </w:p>
        </w:tc>
      </w:tr>
      <w:tr w:rsidR="00692D54" w:rsidRPr="00443C3D" w:rsidTr="00867DD3">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4756BE" w:rsidRPr="00443C3D">
              <w:rPr>
                <w:rFonts w:ascii="ITC Avant Garde" w:hAnsi="ITC Avant Garde"/>
                <w:spacing w:val="-4"/>
                <w:sz w:val="18"/>
                <w:szCs w:val="18"/>
                <w:lang w:val="es-ES_tradnl"/>
              </w:rPr>
              <w:t>1</w:t>
            </w:r>
            <w:r w:rsidRPr="00443C3D">
              <w:rPr>
                <w:rFonts w:ascii="ITC Avant Garde" w:hAnsi="ITC Avant Garde"/>
                <w:spacing w:val="-4"/>
                <w:sz w:val="18"/>
                <w:szCs w:val="18"/>
                <w:lang w:val="es-ES_tradnl"/>
              </w:rPr>
              <w:t>.</w:t>
            </w:r>
            <w:r w:rsidR="004756BE" w:rsidRPr="00443C3D">
              <w:rPr>
                <w:rFonts w:ascii="ITC Avant Garde" w:hAnsi="ITC Avant Garde"/>
                <w:spacing w:val="-4"/>
                <w:sz w:val="18"/>
                <w:szCs w:val="18"/>
                <w:lang w:val="es-ES_tradnl"/>
              </w:rPr>
              <w:t>85</w:t>
            </w:r>
            <w:r w:rsidRPr="00443C3D">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rsidR="00692D54" w:rsidRPr="00443C3D" w:rsidRDefault="004756BE"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57</w:t>
            </w:r>
            <w:r w:rsidR="00692D54" w:rsidRPr="00443C3D">
              <w:rPr>
                <w:rFonts w:ascii="ITC Avant Garde" w:hAnsi="ITC Avant Garde"/>
                <w:spacing w:val="-4"/>
                <w:sz w:val="18"/>
                <w:szCs w:val="18"/>
                <w:lang w:val="es-ES_tradnl"/>
              </w:rPr>
              <w:t>.4</w:t>
            </w:r>
            <w:r w:rsidRPr="00443C3D">
              <w:rPr>
                <w:rFonts w:ascii="ITC Avant Garde" w:hAnsi="ITC Avant Garde"/>
                <w:spacing w:val="-4"/>
                <w:sz w:val="18"/>
                <w:szCs w:val="18"/>
                <w:lang w:val="es-ES_tradnl"/>
              </w:rPr>
              <w:t>8</w:t>
            </w:r>
            <w:r w:rsidR="00692D54" w:rsidRPr="00443C3D">
              <w:rPr>
                <w:rFonts w:ascii="ITC Avant Garde" w:hAnsi="ITC Avant Garde"/>
                <w:spacing w:val="-4"/>
                <w:sz w:val="18"/>
                <w:szCs w:val="18"/>
                <w:lang w:val="es-ES_tradnl"/>
              </w:rPr>
              <w:t>%</w:t>
            </w:r>
          </w:p>
        </w:tc>
      </w:tr>
      <w:tr w:rsidR="00692D54" w:rsidRPr="00443C3D" w:rsidTr="00867DD3">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30.00%</w:t>
            </w:r>
          </w:p>
        </w:tc>
      </w:tr>
      <w:tr w:rsidR="00692D54" w:rsidRPr="00443C3D" w:rsidTr="00867DD3">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8.</w:t>
            </w:r>
            <w:r w:rsidR="004756BE" w:rsidRPr="00443C3D">
              <w:rPr>
                <w:rFonts w:ascii="ITC Avant Garde" w:hAnsi="ITC Avant Garde"/>
                <w:b/>
                <w:bCs/>
                <w:spacing w:val="-4"/>
                <w:sz w:val="18"/>
                <w:szCs w:val="18"/>
                <w:lang w:val="es-ES_tradnl"/>
              </w:rPr>
              <w:t>34</w:t>
            </w:r>
            <w:r w:rsidRPr="00443C3D">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1</w:t>
            </w:r>
            <w:r w:rsidR="004756BE" w:rsidRPr="00443C3D">
              <w:rPr>
                <w:rFonts w:ascii="ITC Avant Garde" w:hAnsi="ITC Avant Garde"/>
                <w:b/>
                <w:bCs/>
                <w:spacing w:val="-4"/>
                <w:sz w:val="18"/>
                <w:szCs w:val="18"/>
                <w:lang w:val="es-ES_tradnl"/>
              </w:rPr>
              <w:t>0</w:t>
            </w:r>
            <w:r w:rsidRPr="00443C3D">
              <w:rPr>
                <w:rFonts w:ascii="ITC Avant Garde" w:hAnsi="ITC Avant Garde"/>
                <w:b/>
                <w:bCs/>
                <w:spacing w:val="-4"/>
                <w:sz w:val="18"/>
                <w:szCs w:val="18"/>
                <w:lang w:val="es-ES_tradnl"/>
              </w:rPr>
              <w:t>.</w:t>
            </w:r>
            <w:r w:rsidR="004756BE" w:rsidRPr="00443C3D">
              <w:rPr>
                <w:rFonts w:ascii="ITC Avant Garde" w:hAnsi="ITC Avant Garde"/>
                <w:b/>
                <w:bCs/>
                <w:spacing w:val="-4"/>
                <w:sz w:val="18"/>
                <w:szCs w:val="18"/>
                <w:lang w:val="es-ES_tradnl"/>
              </w:rPr>
              <w:t>1</w:t>
            </w:r>
            <w:r w:rsidRPr="00443C3D">
              <w:rPr>
                <w:rFonts w:ascii="ITC Avant Garde" w:hAnsi="ITC Avant Garde"/>
                <w:b/>
                <w:bCs/>
                <w:spacing w:val="-4"/>
                <w:sz w:val="18"/>
                <w:szCs w:val="18"/>
                <w:lang w:val="es-ES_tradnl"/>
              </w:rPr>
              <w:t>4%</w:t>
            </w:r>
          </w:p>
        </w:tc>
      </w:tr>
      <w:tr w:rsidR="00692D54" w:rsidRPr="00443C3D" w:rsidTr="00867DD3">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3.6</w:t>
            </w:r>
            <w:r w:rsidR="004756BE" w:rsidRPr="00443C3D">
              <w:rPr>
                <w:rFonts w:ascii="ITC Avant Garde" w:hAnsi="ITC Avant Garde"/>
                <w:spacing w:val="-4"/>
                <w:sz w:val="18"/>
                <w:szCs w:val="18"/>
                <w:lang w:val="es-ES"/>
              </w:rPr>
              <w:t>3</w:t>
            </w:r>
            <w:r w:rsidRPr="00443C3D">
              <w:rPr>
                <w:rFonts w:ascii="ITC Avant Garde" w:hAnsi="ITC Avant Garde"/>
                <w:spacing w:val="-4"/>
                <w:sz w:val="18"/>
                <w:szCs w:val="18"/>
                <w:lang w:val="es-ES"/>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3.6</w:t>
            </w:r>
            <w:r w:rsidR="004756BE" w:rsidRPr="00443C3D">
              <w:rPr>
                <w:rFonts w:ascii="ITC Avant Garde" w:hAnsi="ITC Avant Garde"/>
                <w:spacing w:val="-4"/>
                <w:sz w:val="18"/>
                <w:szCs w:val="18"/>
                <w:lang w:val="es-ES"/>
              </w:rPr>
              <w:t>3</w:t>
            </w:r>
            <w:r w:rsidRPr="00443C3D">
              <w:rPr>
                <w:rFonts w:ascii="ITC Avant Garde" w:hAnsi="ITC Avant Garde"/>
                <w:spacing w:val="-4"/>
                <w:sz w:val="18"/>
                <w:szCs w:val="18"/>
                <w:lang w:val="es-ES"/>
              </w:rPr>
              <w:t>%</w:t>
            </w:r>
          </w:p>
        </w:tc>
      </w:tr>
      <w:tr w:rsidR="00692D54" w:rsidRPr="00443C3D" w:rsidTr="00867DD3">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rsidR="00692D54" w:rsidRPr="00443C3D" w:rsidRDefault="00692D54" w:rsidP="00692D54">
            <w:pPr>
              <w:spacing w:after="0" w:line="276" w:lineRule="auto"/>
              <w:jc w:val="both"/>
              <w:rPr>
                <w:rFonts w:ascii="ITC Avant Garde" w:hAnsi="ITC Avant Garde"/>
                <w:b/>
                <w:bCs/>
                <w:spacing w:val="-4"/>
                <w:sz w:val="18"/>
                <w:szCs w:val="18"/>
                <w:lang w:val="es-ES_tradnl"/>
              </w:rPr>
            </w:pPr>
            <w:r w:rsidRPr="00443C3D">
              <w:rPr>
                <w:rFonts w:ascii="ITC Avant Garde" w:hAnsi="ITC Avant Garde"/>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rsidR="00692D54" w:rsidRPr="00443C3D" w:rsidRDefault="004756BE" w:rsidP="00692D54">
            <w:pPr>
              <w:spacing w:after="0" w:line="276" w:lineRule="auto"/>
              <w:jc w:val="both"/>
              <w:rPr>
                <w:rFonts w:ascii="ITC Avant Garde" w:hAnsi="ITC Avant Garde"/>
                <w:b/>
                <w:bCs/>
                <w:spacing w:val="-4"/>
                <w:sz w:val="18"/>
                <w:szCs w:val="18"/>
                <w:lang w:val="es-ES_tradnl"/>
              </w:rPr>
            </w:pPr>
            <w:r w:rsidRPr="00443C3D">
              <w:rPr>
                <w:rFonts w:ascii="ITC Avant Garde" w:hAnsi="ITC Avant Garde"/>
                <w:b/>
                <w:bCs/>
                <w:spacing w:val="-4"/>
                <w:sz w:val="18"/>
                <w:szCs w:val="18"/>
                <w:lang w:val="es-ES_tradnl"/>
              </w:rPr>
              <w:t>4</w:t>
            </w:r>
            <w:r w:rsidR="00692D54" w:rsidRPr="00443C3D">
              <w:rPr>
                <w:rFonts w:ascii="ITC Avant Garde" w:hAnsi="ITC Avant Garde"/>
                <w:b/>
                <w:bCs/>
                <w:spacing w:val="-4"/>
                <w:sz w:val="18"/>
                <w:szCs w:val="18"/>
                <w:lang w:val="es-ES_tradnl"/>
              </w:rPr>
              <w:t>.</w:t>
            </w:r>
            <w:r w:rsidRPr="00443C3D">
              <w:rPr>
                <w:rFonts w:ascii="ITC Avant Garde" w:hAnsi="ITC Avant Garde"/>
                <w:b/>
                <w:bCs/>
                <w:spacing w:val="-4"/>
                <w:sz w:val="18"/>
                <w:szCs w:val="18"/>
                <w:lang w:val="es-ES_tradnl"/>
              </w:rPr>
              <w:t>5</w:t>
            </w:r>
            <w:r w:rsidR="00692D54" w:rsidRPr="00443C3D">
              <w:rPr>
                <w:rFonts w:ascii="ITC Avant Garde" w:hAnsi="ITC Avant Garde"/>
                <w:b/>
                <w:bCs/>
                <w:spacing w:val="-4"/>
                <w:sz w:val="18"/>
                <w:szCs w:val="18"/>
                <w:lang w:val="es-ES_tradnl"/>
              </w:rPr>
              <w:t>4%</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rsidR="00692D54" w:rsidRPr="00443C3D" w:rsidRDefault="004756BE" w:rsidP="00692D54">
            <w:pPr>
              <w:spacing w:after="0" w:line="276" w:lineRule="auto"/>
              <w:jc w:val="both"/>
              <w:rPr>
                <w:rFonts w:ascii="ITC Avant Garde" w:hAnsi="ITC Avant Garde"/>
                <w:b/>
                <w:bCs/>
                <w:spacing w:val="-4"/>
                <w:sz w:val="18"/>
                <w:szCs w:val="18"/>
                <w:lang w:val="es-ES_tradnl"/>
              </w:rPr>
            </w:pPr>
            <w:r w:rsidRPr="00443C3D">
              <w:rPr>
                <w:rFonts w:ascii="ITC Avant Garde" w:hAnsi="ITC Avant Garde"/>
                <w:b/>
                <w:bCs/>
                <w:spacing w:val="-4"/>
                <w:sz w:val="18"/>
                <w:szCs w:val="18"/>
                <w:lang w:val="es-ES_tradnl"/>
              </w:rPr>
              <w:t>6</w:t>
            </w:r>
            <w:r w:rsidR="00692D54" w:rsidRPr="00443C3D">
              <w:rPr>
                <w:rFonts w:ascii="ITC Avant Garde" w:hAnsi="ITC Avant Garde"/>
                <w:b/>
                <w:bCs/>
                <w:spacing w:val="-4"/>
                <w:sz w:val="18"/>
                <w:szCs w:val="18"/>
                <w:lang w:val="es-ES_tradnl"/>
              </w:rPr>
              <w:t>.</w:t>
            </w:r>
            <w:r w:rsidRPr="00443C3D">
              <w:rPr>
                <w:rFonts w:ascii="ITC Avant Garde" w:hAnsi="ITC Avant Garde"/>
                <w:b/>
                <w:bCs/>
                <w:spacing w:val="-4"/>
                <w:sz w:val="18"/>
                <w:szCs w:val="18"/>
                <w:lang w:val="es-ES_tradnl"/>
              </w:rPr>
              <w:t>29</w:t>
            </w:r>
            <w:r w:rsidR="00692D54" w:rsidRPr="00443C3D">
              <w:rPr>
                <w:rFonts w:ascii="ITC Avant Garde" w:hAnsi="ITC Avant Garde"/>
                <w:b/>
                <w:bCs/>
                <w:spacing w:val="-4"/>
                <w:sz w:val="18"/>
                <w:szCs w:val="18"/>
                <w:lang w:val="es-ES_tradnl"/>
              </w:rPr>
              <w:t>%</w:t>
            </w:r>
          </w:p>
        </w:tc>
      </w:tr>
    </w:tbl>
    <w:p w:rsidR="00692D54" w:rsidRDefault="00692D54" w:rsidP="00692D54">
      <w:pPr>
        <w:spacing w:after="0" w:line="276" w:lineRule="auto"/>
        <w:jc w:val="both"/>
        <w:rPr>
          <w:rFonts w:ascii="ITC Avant Garde" w:hAnsi="ITC Avant Garde"/>
          <w:spacing w:val="-4"/>
        </w:rPr>
      </w:pPr>
    </w:p>
    <w:p w:rsidR="0023625E" w:rsidRDefault="0023625E" w:rsidP="0023625E">
      <w:pPr>
        <w:spacing w:after="0" w:line="276" w:lineRule="auto"/>
        <w:jc w:val="both"/>
        <w:rPr>
          <w:rFonts w:ascii="ITC Avant Garde" w:hAnsi="ITC Avant Garde"/>
        </w:rPr>
      </w:pPr>
      <w:r w:rsidRPr="00443C3D">
        <w:rPr>
          <w:rFonts w:ascii="ITC Avant Garde" w:hAnsi="ITC Avant Garde"/>
        </w:rPr>
        <w:t xml:space="preserve">Para la determinación de las tarifas, se utilizará un tipo de cambio de acuerdo a la mejor información disponible al momento de emitir el ordenamiento respectivo. En principio, el Instituto considera adecuado utilizar la media de la expectativa para el año 2019 del Tipo de Cambio Pesos por Dólar de la última </w:t>
      </w:r>
      <w:r w:rsidRPr="00443C3D">
        <w:rPr>
          <w:rFonts w:ascii="ITC Avant Garde" w:hAnsi="ITC Avant Garde"/>
          <w:i/>
        </w:rPr>
        <w:t>Encuesta sobre las expectativas de los especialistas en economía del sector privado</w:t>
      </w:r>
      <w:r w:rsidRPr="00443C3D">
        <w:rPr>
          <w:rFonts w:ascii="ITC Avant Garde" w:hAnsi="ITC Avant Garde"/>
        </w:rPr>
        <w:t>, publicada por el Banco de México al momento de emitir el referido ordenamiento.</w:t>
      </w:r>
    </w:p>
    <w:p w:rsidR="0023625E" w:rsidRPr="00443C3D" w:rsidRDefault="0023625E" w:rsidP="00692D54">
      <w:pPr>
        <w:spacing w:after="0" w:line="276" w:lineRule="auto"/>
        <w:jc w:val="both"/>
        <w:rPr>
          <w:rFonts w:ascii="ITC Avant Garde" w:hAnsi="ITC Avant Garde"/>
          <w:spacing w:val="-4"/>
        </w:rPr>
      </w:pPr>
    </w:p>
    <w:p w:rsidR="00B33E24" w:rsidRPr="00443C3D" w:rsidRDefault="00B33E24" w:rsidP="00F13970">
      <w:pPr>
        <w:spacing w:after="0"/>
        <w:jc w:val="center"/>
        <w:rPr>
          <w:rFonts w:ascii="ITC Avant Garde" w:hAnsi="ITC Avant Garde"/>
          <w:b/>
          <w:spacing w:val="-4"/>
        </w:rPr>
      </w:pPr>
      <w:r w:rsidRPr="00443C3D">
        <w:rPr>
          <w:rFonts w:ascii="ITC Avant Garde" w:hAnsi="ITC Avant Garde"/>
          <w:b/>
          <w:spacing w:val="-4"/>
        </w:rPr>
        <w:t>Capítulo V</w:t>
      </w:r>
    </w:p>
    <w:p w:rsidR="00F13970" w:rsidRPr="00443C3D" w:rsidRDefault="00F13970" w:rsidP="00F13970">
      <w:pPr>
        <w:spacing w:after="0"/>
        <w:jc w:val="center"/>
        <w:rPr>
          <w:rFonts w:ascii="ITC Avant Garde" w:hAnsi="ITC Avant Garde"/>
          <w:b/>
          <w:spacing w:val="-4"/>
        </w:rPr>
      </w:pPr>
    </w:p>
    <w:p w:rsidR="00B33E24" w:rsidRPr="00443C3D" w:rsidRDefault="007374B5" w:rsidP="00F13970">
      <w:pPr>
        <w:spacing w:after="0"/>
        <w:jc w:val="center"/>
        <w:rPr>
          <w:rFonts w:ascii="ITC Avant Garde" w:hAnsi="ITC Avant Garde"/>
          <w:b/>
          <w:spacing w:val="-4"/>
        </w:rPr>
      </w:pPr>
      <w:r w:rsidRPr="00443C3D">
        <w:rPr>
          <w:rFonts w:ascii="ITC Avant Garde" w:hAnsi="ITC Avant Garde"/>
          <w:b/>
          <w:spacing w:val="-4"/>
        </w:rPr>
        <w:t xml:space="preserve">Tarifas de los Servicios </w:t>
      </w:r>
      <w:r w:rsidR="00B33E24" w:rsidRPr="00443C3D">
        <w:rPr>
          <w:rFonts w:ascii="ITC Avant Garde" w:hAnsi="ITC Avant Garde"/>
          <w:b/>
          <w:spacing w:val="-4"/>
        </w:rPr>
        <w:t>no conmutados</w:t>
      </w:r>
      <w:r w:rsidRPr="00443C3D">
        <w:rPr>
          <w:rFonts w:ascii="ITC Avant Garde" w:hAnsi="ITC Avant Garde"/>
          <w:b/>
          <w:spacing w:val="-4"/>
        </w:rPr>
        <w:t xml:space="preserve"> de Interconexión</w:t>
      </w:r>
    </w:p>
    <w:p w:rsidR="00B33E24" w:rsidRPr="00443C3D" w:rsidRDefault="00B33E24" w:rsidP="00D12BB6">
      <w:pPr>
        <w:spacing w:after="0"/>
        <w:jc w:val="both"/>
        <w:rPr>
          <w:rFonts w:ascii="ITC Avant Garde" w:hAnsi="ITC Avant Garde"/>
          <w:spacing w:val="-4"/>
        </w:rPr>
      </w:pPr>
    </w:p>
    <w:p w:rsidR="00B07B47" w:rsidRPr="00443C3D" w:rsidRDefault="00B33E24" w:rsidP="00B07B47">
      <w:pPr>
        <w:pStyle w:val="Prrafodelista"/>
        <w:spacing w:after="0" w:line="276" w:lineRule="auto"/>
        <w:ind w:left="0"/>
        <w:contextualSpacing w:val="0"/>
        <w:jc w:val="both"/>
        <w:rPr>
          <w:rFonts w:ascii="ITC Avant Garde" w:hAnsi="ITC Avant Garde"/>
          <w:lang w:val="es-ES"/>
        </w:rPr>
      </w:pPr>
      <w:r w:rsidRPr="00443C3D">
        <w:rPr>
          <w:rFonts w:ascii="ITC Avant Garde" w:hAnsi="ITC Avant Garde"/>
          <w:b/>
          <w:lang w:val="es-ES"/>
        </w:rPr>
        <w:t xml:space="preserve">Décima </w:t>
      </w:r>
      <w:r w:rsidR="00867DD3" w:rsidRPr="00443C3D">
        <w:rPr>
          <w:rFonts w:ascii="ITC Avant Garde" w:hAnsi="ITC Avant Garde"/>
          <w:b/>
          <w:lang w:val="es-ES"/>
        </w:rPr>
        <w:t>Primera. -</w:t>
      </w:r>
      <w:r w:rsidR="00B07B47" w:rsidRPr="00443C3D">
        <w:rPr>
          <w:rFonts w:ascii="ITC Avant Garde" w:hAnsi="ITC Avant Garde"/>
          <w:b/>
          <w:lang w:val="es-ES"/>
        </w:rPr>
        <w:t xml:space="preserve"> </w:t>
      </w:r>
      <w:r w:rsidRPr="00443C3D">
        <w:rPr>
          <w:rFonts w:ascii="ITC Avant Garde" w:hAnsi="ITC Avant Garde"/>
          <w:lang w:val="es-ES"/>
        </w:rPr>
        <w:t>E</w:t>
      </w:r>
      <w:r w:rsidR="00B07B47" w:rsidRPr="00443C3D">
        <w:rPr>
          <w:rFonts w:ascii="ITC Avant Garde" w:hAnsi="ITC Avant Garde"/>
          <w:lang w:val="es-ES"/>
        </w:rPr>
        <w:t xml:space="preserve">l Lineamiento Segundo de la Metodología de Costos </w:t>
      </w:r>
      <w:r w:rsidRPr="00443C3D">
        <w:rPr>
          <w:rFonts w:ascii="ITC Avant Garde" w:hAnsi="ITC Avant Garde"/>
          <w:lang w:val="es-ES"/>
        </w:rPr>
        <w:t xml:space="preserve">establece lo siguiente: </w:t>
      </w:r>
    </w:p>
    <w:p w:rsidR="00BA5210" w:rsidRPr="00443C3D" w:rsidRDefault="00BA5210">
      <w:pPr>
        <w:spacing w:after="0" w:line="240" w:lineRule="auto"/>
        <w:rPr>
          <w:rFonts w:ascii="ITC Avant Garde" w:eastAsia="Times New Roman" w:hAnsi="ITC Avant Garde"/>
          <w:szCs w:val="24"/>
          <w:lang w:eastAsia="es-ES"/>
        </w:rPr>
      </w:pPr>
    </w:p>
    <w:p w:rsidR="00B33E24" w:rsidRPr="00443C3D" w:rsidRDefault="00B33E24" w:rsidP="009E0B21">
      <w:pPr>
        <w:spacing w:after="0" w:line="240" w:lineRule="auto"/>
        <w:ind w:left="567" w:right="616"/>
        <w:jc w:val="both"/>
        <w:rPr>
          <w:rFonts w:ascii="ITC Avant Garde" w:hAnsi="ITC Avant Garde" w:cs="Segoe UI"/>
          <w:i/>
          <w:color w:val="1A1A1A"/>
          <w:sz w:val="18"/>
          <w:szCs w:val="18"/>
        </w:rPr>
      </w:pPr>
      <w:r w:rsidRPr="00443C3D">
        <w:rPr>
          <w:rFonts w:ascii="ITC Avant Garde" w:hAnsi="ITC Avant Garde" w:cs="Segoe UI"/>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443C3D">
        <w:rPr>
          <w:rFonts w:ascii="ITC Avant Garde" w:hAnsi="ITC Avant Garde" w:cs="Segoe UI"/>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443C3D">
        <w:rPr>
          <w:rFonts w:ascii="ITC Avant Garde" w:hAnsi="ITC Avant Garde" w:cs="Segoe UI"/>
          <w:i/>
          <w:color w:val="1A1A1A"/>
          <w:sz w:val="18"/>
          <w:szCs w:val="18"/>
        </w:rPr>
        <w:br/>
      </w:r>
      <w:r w:rsidRPr="00443C3D">
        <w:rPr>
          <w:rFonts w:ascii="ITC Avant Garde" w:hAnsi="ITC Avant Garde" w:cs="Segoe UI"/>
          <w:i/>
          <w:color w:val="1A1A1A"/>
          <w:sz w:val="18"/>
          <w:szCs w:val="18"/>
        </w:rPr>
        <w:lastRenderedPageBreak/>
        <w:t>Se entenderá como Costos Comunes a aquellos en que se incurren por actividades o recursos que no pueden ser asignados a los Servicios de Interconexión de una manera directa. Estos costos son generados por todos los servicios que presta la empresa.</w:t>
      </w:r>
      <w:r w:rsidRPr="00443C3D">
        <w:rPr>
          <w:rFonts w:ascii="ITC Avant Garde" w:hAnsi="ITC Avant Garde" w:cs="Segoe UI"/>
          <w:i/>
          <w:color w:val="1A1A1A"/>
          <w:sz w:val="18"/>
          <w:szCs w:val="18"/>
        </w:rPr>
        <w:br/>
        <w:t>Los Costos Comunes se asignarán por medio de la metodología de Margen Equi-proporcional.</w:t>
      </w:r>
      <w:r w:rsidRPr="00443C3D">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443C3D">
        <w:rPr>
          <w:rFonts w:ascii="ITC Avant Garde" w:hAnsi="ITC Avant Garde" w:cs="Segoe UI"/>
          <w:i/>
          <w:color w:val="1A1A1A"/>
          <w:sz w:val="18"/>
          <w:szCs w:val="18"/>
        </w:rPr>
        <w:br/>
        <w:t>La unidad monetaria en la que se expresarán los resultados de los Modelos de Costos será en pesos mexicanos.</w:t>
      </w:r>
    </w:p>
    <w:p w:rsidR="00B33E24" w:rsidRPr="00443C3D" w:rsidRDefault="00B33E24">
      <w:pPr>
        <w:spacing w:after="0" w:line="240" w:lineRule="auto"/>
        <w:rPr>
          <w:rFonts w:ascii="ITC Avant Garde" w:eastAsia="Times New Roman" w:hAnsi="ITC Avant Garde"/>
          <w:szCs w:val="24"/>
          <w:lang w:eastAsia="es-ES"/>
        </w:rPr>
      </w:pPr>
    </w:p>
    <w:p w:rsidR="00B33E24" w:rsidRPr="00443C3D" w:rsidRDefault="00B33E24" w:rsidP="00867DD3">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Toda vez que los </w:t>
      </w:r>
      <w:r w:rsidR="007374B5" w:rsidRPr="00443C3D">
        <w:rPr>
          <w:rFonts w:ascii="ITC Avant Garde" w:hAnsi="ITC Avant Garde" w:cs="Arial"/>
        </w:rPr>
        <w:t>L</w:t>
      </w:r>
      <w:r w:rsidRPr="00443C3D">
        <w:rPr>
          <w:rFonts w:ascii="ITC Avant Garde" w:hAnsi="ITC Avant Garde" w:cs="Arial"/>
        </w:rPr>
        <w:t xml:space="preserve">ineamientos </w:t>
      </w:r>
      <w:r w:rsidR="007374B5" w:rsidRPr="00443C3D">
        <w:rPr>
          <w:rFonts w:ascii="ITC Avant Garde" w:hAnsi="ITC Avant Garde" w:cs="Arial"/>
        </w:rPr>
        <w:t>T</w:t>
      </w:r>
      <w:r w:rsidRPr="00443C3D">
        <w:rPr>
          <w:rFonts w:ascii="ITC Avant Garde" w:hAnsi="ITC Avant Garde" w:cs="Arial"/>
        </w:rPr>
        <w:t xml:space="preserve">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w:t>
      </w:r>
      <w:r w:rsidR="00004AC5" w:rsidRPr="00443C3D">
        <w:rPr>
          <w:rFonts w:ascii="ITC Avant Garde" w:hAnsi="ITC Avant Garde" w:cs="Arial"/>
        </w:rPr>
        <w:t>aplica</w:t>
      </w:r>
      <w:r w:rsidRPr="00443C3D">
        <w:rPr>
          <w:rFonts w:ascii="ITC Avant Garde" w:hAnsi="ITC Avant Garde" w:cs="Arial"/>
        </w:rPr>
        <w:t xml:space="preserve"> ese enfoque para la determinación de las tarifas aplicables a los servicios de enlaces de transmisión entre coubicaciones, enlaces de transmisión de interconexión y coubicación.</w:t>
      </w:r>
    </w:p>
    <w:p w:rsidR="00B33E24" w:rsidRPr="00443C3D" w:rsidRDefault="00B33E24">
      <w:pPr>
        <w:spacing w:after="0" w:line="240" w:lineRule="auto"/>
        <w:rPr>
          <w:rFonts w:ascii="ITC Avant Garde" w:eastAsia="Times New Roman" w:hAnsi="ITC Avant Garde"/>
          <w:szCs w:val="24"/>
          <w:lang w:eastAsia="es-ES"/>
        </w:rPr>
      </w:pPr>
    </w:p>
    <w:p w:rsidR="00226332" w:rsidRPr="00443C3D" w:rsidRDefault="00BA5210" w:rsidP="00BA5210">
      <w:pPr>
        <w:spacing w:after="0"/>
        <w:rPr>
          <w:rFonts w:ascii="ITC Avant Garde" w:hAnsi="ITC Avant Garde"/>
          <w:b/>
        </w:rPr>
      </w:pPr>
      <w:r w:rsidRPr="00443C3D">
        <w:rPr>
          <w:rFonts w:ascii="ITC Avant Garde" w:hAnsi="ITC Avant Garde"/>
          <w:b/>
        </w:rPr>
        <w:t xml:space="preserve">Modelo de costos de servicio de </w:t>
      </w:r>
      <w:r w:rsidR="00004AC5" w:rsidRPr="00443C3D">
        <w:rPr>
          <w:rFonts w:ascii="ITC Avant Garde" w:hAnsi="ITC Avant Garde"/>
          <w:b/>
        </w:rPr>
        <w:t>enlaces de transmisión entre coubicaciones</w:t>
      </w:r>
    </w:p>
    <w:p w:rsidR="009A3886" w:rsidRPr="00443C3D" w:rsidRDefault="009A3886" w:rsidP="009A3886">
      <w:pPr>
        <w:autoSpaceDE w:val="0"/>
        <w:autoSpaceDN w:val="0"/>
        <w:adjustRightInd w:val="0"/>
        <w:spacing w:after="0"/>
        <w:rPr>
          <w:rFonts w:ascii="ITC Avant Garde" w:hAnsi="ITC Avant Garde" w:cs="Arial"/>
        </w:rPr>
      </w:pPr>
    </w:p>
    <w:p w:rsidR="007374B5" w:rsidRPr="00443C3D" w:rsidRDefault="007374B5" w:rsidP="00B03B41">
      <w:pPr>
        <w:autoSpaceDE w:val="0"/>
        <w:autoSpaceDN w:val="0"/>
        <w:adjustRightInd w:val="0"/>
        <w:spacing w:after="0"/>
        <w:jc w:val="both"/>
        <w:rPr>
          <w:rFonts w:ascii="ITC Avant Garde" w:hAnsi="ITC Avant Garde" w:cs="Arial"/>
        </w:rPr>
      </w:pPr>
      <w:r w:rsidRPr="00443C3D">
        <w:rPr>
          <w:rFonts w:ascii="ITC Avant Garde" w:hAnsi="ITC Avant Garde" w:cs="Arial"/>
        </w:rPr>
        <w:t>El s</w:t>
      </w:r>
      <w:r w:rsidR="00B03B41" w:rsidRPr="00443C3D">
        <w:rPr>
          <w:rFonts w:ascii="ITC Avant Garde" w:hAnsi="ITC Avant Garde" w:cs="Arial"/>
        </w:rPr>
        <w:t>ervicio</w:t>
      </w:r>
      <w:r w:rsidRPr="00443C3D">
        <w:rPr>
          <w:rFonts w:ascii="ITC Avant Garde" w:hAnsi="ITC Avant Garde" w:cs="Arial"/>
        </w:rPr>
        <w:t xml:space="preserve"> de enlaces de transmisión entre coubicaciones</w:t>
      </w:r>
      <w:r w:rsidR="00B03B41" w:rsidRPr="00443C3D">
        <w:rPr>
          <w:rFonts w:ascii="ITC Avant Garde" w:hAnsi="ITC Avant Garde" w:cs="Arial"/>
        </w:rPr>
        <w:t xml:space="preserve"> consiste en el establecimiento de enlaces de transmisión físicos de cualquier tecnología, a través de los cuales se establece la interconexión entre redes públicas de telecomunicaciones, para el intercambio de Tráf</w:t>
      </w:r>
      <w:r w:rsidRPr="00443C3D">
        <w:rPr>
          <w:rFonts w:ascii="ITC Avant Garde" w:hAnsi="ITC Avant Garde" w:cs="Arial"/>
        </w:rPr>
        <w:t>ico Público Conmutado entre las coubicaciones de dos distintos concesionarios</w:t>
      </w:r>
      <w:r w:rsidR="00B03B41" w:rsidRPr="00443C3D">
        <w:rPr>
          <w:rFonts w:ascii="ITC Avant Garde" w:hAnsi="ITC Avant Garde" w:cs="Arial"/>
        </w:rPr>
        <w:t xml:space="preserve"> localizadas en un mismo </w:t>
      </w:r>
      <w:r w:rsidRPr="00443C3D">
        <w:rPr>
          <w:rFonts w:ascii="ITC Avant Garde" w:hAnsi="ITC Avant Garde" w:cs="Arial"/>
        </w:rPr>
        <w:t>punto de interconexión</w:t>
      </w:r>
      <w:r w:rsidR="00B03B41" w:rsidRPr="00443C3D">
        <w:rPr>
          <w:rFonts w:ascii="ITC Avant Garde" w:hAnsi="ITC Avant Garde" w:cs="Arial"/>
        </w:rPr>
        <w:t xml:space="preserve">. </w:t>
      </w:r>
    </w:p>
    <w:p w:rsidR="007374B5" w:rsidRPr="00443C3D" w:rsidRDefault="007374B5" w:rsidP="00B03B41">
      <w:pPr>
        <w:autoSpaceDE w:val="0"/>
        <w:autoSpaceDN w:val="0"/>
        <w:adjustRightInd w:val="0"/>
        <w:spacing w:after="0"/>
        <w:jc w:val="both"/>
        <w:rPr>
          <w:rFonts w:ascii="ITC Avant Garde" w:hAnsi="ITC Avant Garde" w:cs="Arial"/>
        </w:rPr>
      </w:pPr>
    </w:p>
    <w:p w:rsidR="00B03B41" w:rsidRPr="00443C3D" w:rsidRDefault="00B03B41" w:rsidP="00B03B41">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Estos enlaces podrán suministrarse bajo las modalidades de Enlace </w:t>
      </w:r>
      <w:r w:rsidR="007374B5" w:rsidRPr="00443C3D">
        <w:rPr>
          <w:rFonts w:ascii="ITC Avant Garde" w:hAnsi="ITC Avant Garde" w:cs="Arial"/>
        </w:rPr>
        <w:t>de Transmisión de I</w:t>
      </w:r>
      <w:r w:rsidRPr="00443C3D">
        <w:rPr>
          <w:rFonts w:ascii="ITC Avant Garde" w:hAnsi="ITC Avant Garde" w:cs="Arial"/>
        </w:rPr>
        <w:t>nterconexión entre Coubicaciones Gestionado y Enlace de Transmisión de lnterconexión entre Coubicaciones No Gestionado.</w:t>
      </w:r>
    </w:p>
    <w:p w:rsidR="00B03B41" w:rsidRPr="00443C3D" w:rsidRDefault="00B03B41" w:rsidP="009A3886">
      <w:pPr>
        <w:autoSpaceDE w:val="0"/>
        <w:autoSpaceDN w:val="0"/>
        <w:adjustRightInd w:val="0"/>
        <w:spacing w:after="0"/>
        <w:jc w:val="both"/>
        <w:rPr>
          <w:rFonts w:ascii="ITC Avant Garde" w:hAnsi="ITC Avant Garde" w:cs="Arial"/>
        </w:rPr>
      </w:pPr>
    </w:p>
    <w:p w:rsidR="009A3886" w:rsidRPr="00443C3D" w:rsidRDefault="007374B5" w:rsidP="009A3886">
      <w:pPr>
        <w:autoSpaceDE w:val="0"/>
        <w:autoSpaceDN w:val="0"/>
        <w:adjustRightInd w:val="0"/>
        <w:spacing w:after="0"/>
        <w:jc w:val="both"/>
        <w:rPr>
          <w:rFonts w:ascii="ITC Avant Garde" w:hAnsi="ITC Avant Garde" w:cs="Arial"/>
        </w:rPr>
      </w:pPr>
      <w:r w:rsidRPr="00443C3D">
        <w:rPr>
          <w:rFonts w:ascii="ITC Avant Garde" w:hAnsi="ITC Avant Garde" w:cs="Arial"/>
        </w:rPr>
        <w:t>En este sentido, e</w:t>
      </w:r>
      <w:r w:rsidR="009A3886" w:rsidRPr="00443C3D">
        <w:rPr>
          <w:rFonts w:ascii="ITC Avant Garde" w:hAnsi="ITC Avant Garde" w:cs="Arial"/>
        </w:rPr>
        <w:t xml:space="preserve">l modelo </w:t>
      </w:r>
      <w:r w:rsidRPr="00443C3D">
        <w:rPr>
          <w:rFonts w:ascii="ITC Avant Garde" w:hAnsi="ITC Avant Garde" w:cs="Arial"/>
        </w:rPr>
        <w:t xml:space="preserve">calcula los costos de ambos servicios </w:t>
      </w:r>
      <w:r w:rsidR="009A3886" w:rsidRPr="00443C3D">
        <w:rPr>
          <w:rFonts w:ascii="ITC Avant Garde" w:hAnsi="ITC Avant Garde" w:cs="Arial"/>
        </w:rPr>
        <w:t>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rsidR="000D47D5" w:rsidRPr="00443C3D" w:rsidRDefault="000D47D5" w:rsidP="009A3886">
      <w:pPr>
        <w:autoSpaceDE w:val="0"/>
        <w:autoSpaceDN w:val="0"/>
        <w:adjustRightInd w:val="0"/>
        <w:spacing w:after="0"/>
        <w:jc w:val="both"/>
        <w:rPr>
          <w:rFonts w:ascii="ITC Avant Garde" w:hAnsi="ITC Avant Garde" w:cs="Arial"/>
        </w:rPr>
      </w:pPr>
    </w:p>
    <w:p w:rsidR="000D47D5" w:rsidRPr="00443C3D" w:rsidRDefault="000D47D5" w:rsidP="000D47D5">
      <w:pPr>
        <w:spacing w:after="0"/>
        <w:jc w:val="both"/>
        <w:rPr>
          <w:rFonts w:ascii="ITC Avant Garde" w:hAnsi="ITC Avant Garde"/>
          <w:b/>
        </w:rPr>
      </w:pPr>
      <w:r w:rsidRPr="00443C3D">
        <w:rPr>
          <w:rFonts w:ascii="ITC Avant Garde" w:hAnsi="ITC Avant Garde"/>
          <w:b/>
        </w:rPr>
        <w:t xml:space="preserve">Servicio </w:t>
      </w:r>
      <w:r w:rsidR="00A500F8" w:rsidRPr="00443C3D">
        <w:rPr>
          <w:rFonts w:ascii="ITC Avant Garde" w:hAnsi="ITC Avant Garde"/>
          <w:b/>
        </w:rPr>
        <w:t>gestionado</w:t>
      </w:r>
    </w:p>
    <w:p w:rsidR="000D47D5" w:rsidRPr="00443C3D" w:rsidRDefault="000D47D5" w:rsidP="000D47D5">
      <w:pPr>
        <w:spacing w:after="0"/>
        <w:jc w:val="both"/>
        <w:rPr>
          <w:rFonts w:ascii="ITC Avant Garde" w:hAnsi="ITC Avant Garde"/>
        </w:rPr>
      </w:pPr>
    </w:p>
    <w:p w:rsidR="000D47D5" w:rsidRPr="00443C3D" w:rsidRDefault="000D47D5" w:rsidP="000D47D5">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El servicio </w:t>
      </w:r>
      <w:r w:rsidR="00A500F8" w:rsidRPr="00443C3D">
        <w:rPr>
          <w:rFonts w:ascii="ITC Avant Garde" w:hAnsi="ITC Avant Garde" w:cs="Arial"/>
        </w:rPr>
        <w:t xml:space="preserve">gestionado o </w:t>
      </w:r>
      <w:r w:rsidRPr="00443C3D">
        <w:rPr>
          <w:rFonts w:ascii="ITC Avant Garde" w:hAnsi="ITC Avant Garde" w:cs="Arial"/>
        </w:rPr>
        <w:t xml:space="preserve">activo consiste en la provisión de un medio de transmisión que enlace las coubicaciones de dos concesionarios que se encuentran en una misma central de interconexión, el cual realiza </w:t>
      </w:r>
      <w:r w:rsidR="00C427EE" w:rsidRPr="00443C3D">
        <w:rPr>
          <w:rFonts w:ascii="ITC Avant Garde" w:hAnsi="ITC Avant Garde" w:cs="Arial"/>
        </w:rPr>
        <w:t xml:space="preserve">el </w:t>
      </w:r>
      <w:r w:rsidRPr="00443C3D">
        <w:rPr>
          <w:rFonts w:ascii="ITC Avant Garde" w:hAnsi="ITC Avant Garde" w:cs="Arial"/>
        </w:rPr>
        <w:t>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rsidR="000D47D5" w:rsidRPr="00443C3D" w:rsidRDefault="000D47D5" w:rsidP="000D47D5">
      <w:pPr>
        <w:spacing w:after="0"/>
        <w:jc w:val="both"/>
        <w:rPr>
          <w:rFonts w:ascii="ITC Avant Garde" w:hAnsi="ITC Avant Garde"/>
        </w:rPr>
      </w:pPr>
    </w:p>
    <w:p w:rsidR="000D47D5" w:rsidRPr="00443C3D" w:rsidRDefault="000D47D5" w:rsidP="000D47D5">
      <w:pPr>
        <w:spacing w:after="0"/>
        <w:jc w:val="center"/>
        <w:rPr>
          <w:rFonts w:ascii="ITC Avant Garde" w:hAnsi="ITC Avant Garde"/>
        </w:rPr>
      </w:pPr>
      <w:r w:rsidRPr="00443C3D">
        <w:rPr>
          <w:rFonts w:ascii="ITC Avant Garde" w:hAnsi="ITC Avant Garde"/>
          <w:noProof/>
          <w:lang w:eastAsia="es-MX"/>
        </w:rPr>
        <w:drawing>
          <wp:inline distT="0" distB="0" distL="0" distR="0" wp14:anchorId="50937471" wp14:editId="3B8B22F4">
            <wp:extent cx="2806700" cy="2628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rsidR="000D47D5" w:rsidRPr="00443C3D" w:rsidRDefault="000D47D5" w:rsidP="000D47D5">
      <w:pPr>
        <w:spacing w:after="0" w:line="240" w:lineRule="auto"/>
        <w:jc w:val="center"/>
        <w:rPr>
          <w:rFonts w:ascii="ITC Avant Garde" w:hAnsi="ITC Avant Garde"/>
          <w:sz w:val="18"/>
          <w:szCs w:val="18"/>
        </w:rPr>
      </w:pPr>
      <w:r w:rsidRPr="00443C3D">
        <w:rPr>
          <w:rFonts w:ascii="ITC Avant Garde" w:hAnsi="ITC Avant Garde"/>
          <w:sz w:val="18"/>
          <w:szCs w:val="18"/>
        </w:rPr>
        <w:t>Fig. 2. Arquitectura servicio de interconexión cruzada activo.</w:t>
      </w:r>
    </w:p>
    <w:p w:rsidR="00DA038E" w:rsidRPr="00443C3D" w:rsidRDefault="00DA038E" w:rsidP="00B006F8">
      <w:pPr>
        <w:spacing w:after="0" w:line="240" w:lineRule="auto"/>
        <w:rPr>
          <w:rFonts w:ascii="ITC Avant Garde" w:hAnsi="ITC Avant Garde"/>
          <w:sz w:val="18"/>
          <w:szCs w:val="18"/>
        </w:rPr>
      </w:pPr>
    </w:p>
    <w:p w:rsidR="00DA038E" w:rsidRPr="00443C3D" w:rsidRDefault="00DA038E" w:rsidP="00B006F8">
      <w:pPr>
        <w:spacing w:after="0" w:line="240" w:lineRule="auto"/>
        <w:rPr>
          <w:rFonts w:ascii="ITC Avant Garde" w:hAnsi="ITC Avant Garde"/>
          <w:sz w:val="18"/>
          <w:szCs w:val="18"/>
        </w:rPr>
      </w:pPr>
    </w:p>
    <w:p w:rsidR="00FA7675" w:rsidRPr="00443C3D" w:rsidRDefault="0003543A" w:rsidP="008A19E2">
      <w:pPr>
        <w:spacing w:after="0" w:line="240" w:lineRule="auto"/>
        <w:jc w:val="both"/>
        <w:rPr>
          <w:rFonts w:ascii="ITC Avant Garde" w:hAnsi="ITC Avant Garde" w:cs="Arial"/>
        </w:rPr>
      </w:pPr>
      <w:r w:rsidRPr="00443C3D">
        <w:rPr>
          <w:rFonts w:ascii="ITC Avant Garde" w:hAnsi="ITC Avant Garde" w:cs="Arial"/>
        </w:rPr>
        <w:t>E</w:t>
      </w:r>
      <w:r w:rsidR="00256527" w:rsidRPr="00443C3D">
        <w:rPr>
          <w:rFonts w:ascii="ITC Avant Garde" w:hAnsi="ITC Avant Garde" w:cs="Arial"/>
        </w:rPr>
        <w:t xml:space="preserve">l </w:t>
      </w:r>
      <w:r w:rsidR="00DA038E" w:rsidRPr="00443C3D">
        <w:rPr>
          <w:rFonts w:ascii="ITC Avant Garde" w:hAnsi="ITC Avant Garde" w:cs="Arial"/>
        </w:rPr>
        <w:t>concesionario que provee el servicio</w:t>
      </w:r>
      <w:r w:rsidR="00256527" w:rsidRPr="00443C3D">
        <w:rPr>
          <w:rFonts w:ascii="ITC Avant Garde" w:hAnsi="ITC Avant Garde" w:cs="Arial"/>
        </w:rPr>
        <w:t xml:space="preserve"> es el encargado del enrutamiento </w:t>
      </w:r>
      <w:r w:rsidR="006630E9" w:rsidRPr="00443C3D">
        <w:rPr>
          <w:rFonts w:ascii="ITC Avant Garde" w:hAnsi="ITC Avant Garde" w:cs="Arial"/>
        </w:rPr>
        <w:t xml:space="preserve">y </w:t>
      </w:r>
      <w:r w:rsidR="00256527" w:rsidRPr="00443C3D">
        <w:rPr>
          <w:rFonts w:ascii="ITC Avant Garde" w:hAnsi="ITC Avant Garde" w:cs="Arial"/>
        </w:rPr>
        <w:t xml:space="preserve">del monitoreo del enlace de </w:t>
      </w:r>
      <w:r w:rsidR="00B006F8" w:rsidRPr="00443C3D">
        <w:rPr>
          <w:rFonts w:ascii="ITC Avant Garde" w:hAnsi="ITC Avant Garde" w:cs="Arial"/>
        </w:rPr>
        <w:t>transmisión</w:t>
      </w:r>
      <w:r w:rsidR="00256527" w:rsidRPr="00443C3D">
        <w:rPr>
          <w:rFonts w:ascii="ITC Avant Garde" w:hAnsi="ITC Avant Garde" w:cs="Arial"/>
        </w:rPr>
        <w:t xml:space="preserve">. </w:t>
      </w:r>
      <w:r w:rsidR="006630E9" w:rsidRPr="00443C3D">
        <w:rPr>
          <w:rFonts w:ascii="ITC Avant Garde" w:hAnsi="ITC Avant Garde" w:cs="Arial"/>
        </w:rPr>
        <w:t>E</w:t>
      </w:r>
      <w:r w:rsidR="00DA038E" w:rsidRPr="00443C3D">
        <w:rPr>
          <w:rFonts w:ascii="ITC Avant Garde" w:hAnsi="ITC Avant Garde" w:cs="Arial"/>
        </w:rPr>
        <w:t xml:space="preserve">l modelo considera </w:t>
      </w:r>
      <w:r w:rsidR="006630E9" w:rsidRPr="00443C3D">
        <w:rPr>
          <w:rFonts w:ascii="ITC Avant Garde" w:hAnsi="ITC Avant Garde" w:cs="Arial"/>
        </w:rPr>
        <w:t xml:space="preserve">enlaces de transmisión de 1 Gbps y 10 Gbps de capacidad para </w:t>
      </w:r>
      <w:r w:rsidR="00DA038E" w:rsidRPr="00443C3D">
        <w:rPr>
          <w:rFonts w:ascii="ITC Avant Garde" w:hAnsi="ITC Avant Garde" w:cs="Arial"/>
        </w:rPr>
        <w:t xml:space="preserve">la provisión del </w:t>
      </w:r>
      <w:r w:rsidR="009135C8" w:rsidRPr="00443C3D">
        <w:rPr>
          <w:rFonts w:ascii="ITC Avant Garde" w:hAnsi="ITC Avant Garde" w:cs="Arial"/>
        </w:rPr>
        <w:t>servicio,</w:t>
      </w:r>
      <w:r w:rsidR="006630E9" w:rsidRPr="00443C3D">
        <w:rPr>
          <w:rFonts w:ascii="ITC Avant Garde" w:hAnsi="ITC Avant Garde" w:cs="Arial"/>
        </w:rPr>
        <w:t xml:space="preserve"> así como </w:t>
      </w:r>
      <w:r w:rsidR="00F5697D" w:rsidRPr="00443C3D">
        <w:rPr>
          <w:rFonts w:ascii="ITC Avant Garde" w:hAnsi="ITC Avant Garde" w:cs="Arial"/>
        </w:rPr>
        <w:t>los siguientes elementos</w:t>
      </w:r>
      <w:r w:rsidR="008E0B1A" w:rsidRPr="00443C3D">
        <w:rPr>
          <w:rFonts w:ascii="ITC Avant Garde" w:hAnsi="ITC Avant Garde" w:cs="Arial"/>
        </w:rPr>
        <w:t>:</w:t>
      </w:r>
    </w:p>
    <w:p w:rsidR="008E0B1A" w:rsidRPr="00443C3D" w:rsidRDefault="008E0B1A" w:rsidP="00B006F8">
      <w:pPr>
        <w:spacing w:after="0" w:line="240" w:lineRule="auto"/>
        <w:jc w:val="both"/>
        <w:rPr>
          <w:rFonts w:ascii="ITC Avant Garde" w:hAnsi="ITC Avant Garde" w:cs="Arial"/>
        </w:rPr>
      </w:pPr>
    </w:p>
    <w:p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Distribuidor de Fibra Óptica: con capacidad de 6 pares dobles de fibra (12 conectores)</w:t>
      </w:r>
    </w:p>
    <w:p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 xml:space="preserve">Demarcador: switch que servirá para delimitar la red del </w:t>
      </w:r>
      <w:r w:rsidR="00B006F8" w:rsidRPr="00443C3D">
        <w:rPr>
          <w:rFonts w:ascii="ITC Avant Garde" w:hAnsi="ITC Avant Garde" w:cs="Arial"/>
        </w:rPr>
        <w:t>concesionario solicitado</w:t>
      </w:r>
      <w:r w:rsidRPr="00443C3D">
        <w:rPr>
          <w:rFonts w:ascii="ITC Avant Garde" w:hAnsi="ITC Avant Garde" w:cs="Arial"/>
        </w:rPr>
        <w:t xml:space="preserve"> y del concesionario solicitante, con</w:t>
      </w:r>
      <w:r w:rsidR="006B59A0" w:rsidRPr="00443C3D">
        <w:rPr>
          <w:rFonts w:ascii="ITC Avant Garde" w:hAnsi="ITC Avant Garde" w:cs="Arial"/>
        </w:rPr>
        <w:t xml:space="preserve"> capacidad de 6 puertos ópticos, cuya capacidad puede ser de 1Gbps o 10Gbps, con un incremento del 2.5 en el Capex para este último caso.</w:t>
      </w:r>
    </w:p>
    <w:p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Equipo de Transporte: switch encargado del enrutamiento de</w:t>
      </w:r>
      <w:r w:rsidR="006630E9" w:rsidRPr="00443C3D">
        <w:rPr>
          <w:rFonts w:ascii="ITC Avant Garde" w:hAnsi="ITC Avant Garde" w:cs="Arial"/>
        </w:rPr>
        <w:t>l tráfico</w:t>
      </w:r>
      <w:r w:rsidRPr="00443C3D">
        <w:rPr>
          <w:rFonts w:ascii="ITC Avant Garde" w:hAnsi="ITC Avant Garde" w:cs="Arial"/>
        </w:rPr>
        <w:t xml:space="preserve"> entre los concesionarios</w:t>
      </w:r>
      <w:r w:rsidR="006630E9" w:rsidRPr="00443C3D">
        <w:rPr>
          <w:rFonts w:ascii="ITC Avant Garde" w:hAnsi="ITC Avant Garde" w:cs="Arial"/>
        </w:rPr>
        <w:t>, con</w:t>
      </w:r>
      <w:r w:rsidR="00A90BAA" w:rsidRPr="00443C3D">
        <w:rPr>
          <w:rFonts w:ascii="ITC Avant Garde" w:hAnsi="ITC Avant Garde" w:cs="Arial"/>
        </w:rPr>
        <w:t xml:space="preserve"> capacidad de 16 puertos ópticos</w:t>
      </w:r>
      <w:r w:rsidR="006630E9" w:rsidRPr="00443C3D">
        <w:rPr>
          <w:rFonts w:ascii="ITC Avant Garde" w:hAnsi="ITC Avant Garde" w:cs="Arial"/>
        </w:rPr>
        <w:t xml:space="preserve"> </w:t>
      </w:r>
      <w:r w:rsidR="00A90BAA" w:rsidRPr="00443C3D">
        <w:rPr>
          <w:rFonts w:ascii="ITC Avant Garde" w:hAnsi="ITC Avant Garde" w:cs="Arial"/>
        </w:rPr>
        <w:t>de 1</w:t>
      </w:r>
      <w:r w:rsidR="009E2BF8" w:rsidRPr="00443C3D">
        <w:rPr>
          <w:rFonts w:ascii="ITC Avant Garde" w:hAnsi="ITC Avant Garde" w:cs="Arial"/>
        </w:rPr>
        <w:t xml:space="preserve"> </w:t>
      </w:r>
      <w:r w:rsidR="00A90BAA" w:rsidRPr="00443C3D">
        <w:rPr>
          <w:rFonts w:ascii="ITC Avant Garde" w:hAnsi="ITC Avant Garde" w:cs="Arial"/>
        </w:rPr>
        <w:t>Gbps o 10</w:t>
      </w:r>
      <w:r w:rsidR="009E2BF8" w:rsidRPr="00443C3D">
        <w:rPr>
          <w:rFonts w:ascii="ITC Avant Garde" w:hAnsi="ITC Avant Garde" w:cs="Arial"/>
        </w:rPr>
        <w:t xml:space="preserve"> </w:t>
      </w:r>
      <w:r w:rsidR="00A90BAA" w:rsidRPr="00443C3D">
        <w:rPr>
          <w:rFonts w:ascii="ITC Avant Garde" w:hAnsi="ITC Avant Garde" w:cs="Arial"/>
        </w:rPr>
        <w:t>Gbps, con un incremento del 2.5 en el Capex para este último caso.</w:t>
      </w:r>
    </w:p>
    <w:p w:rsidR="00742A7A" w:rsidRPr="00443C3D" w:rsidRDefault="00742A7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Jumper Óptico: multimodo dúplex y 10 metros de longitud</w:t>
      </w:r>
      <w:r w:rsidR="006630E9" w:rsidRPr="00443C3D">
        <w:rPr>
          <w:rFonts w:ascii="ITC Avant Garde" w:hAnsi="ITC Avant Garde" w:cs="Arial"/>
        </w:rPr>
        <w:t>.</w:t>
      </w:r>
    </w:p>
    <w:p w:rsidR="00B006F8" w:rsidRPr="00443C3D" w:rsidRDefault="00B006F8" w:rsidP="000D47D5">
      <w:pPr>
        <w:spacing w:after="0"/>
        <w:jc w:val="both"/>
        <w:rPr>
          <w:rFonts w:ascii="ITC Avant Garde" w:hAnsi="ITC Avant Garde"/>
          <w:b/>
        </w:rPr>
      </w:pPr>
    </w:p>
    <w:p w:rsidR="000D47D5" w:rsidRPr="00443C3D" w:rsidRDefault="000D47D5" w:rsidP="000D47D5">
      <w:pPr>
        <w:spacing w:after="0"/>
        <w:jc w:val="both"/>
        <w:rPr>
          <w:rFonts w:ascii="ITC Avant Garde" w:hAnsi="ITC Avant Garde"/>
          <w:b/>
        </w:rPr>
      </w:pPr>
      <w:r w:rsidRPr="00443C3D">
        <w:rPr>
          <w:rFonts w:ascii="ITC Avant Garde" w:hAnsi="ITC Avant Garde"/>
          <w:b/>
        </w:rPr>
        <w:t xml:space="preserve">Servicio </w:t>
      </w:r>
      <w:r w:rsidR="00A500F8" w:rsidRPr="00443C3D">
        <w:rPr>
          <w:rFonts w:ascii="ITC Avant Garde" w:hAnsi="ITC Avant Garde"/>
          <w:b/>
        </w:rPr>
        <w:t>no gestionado</w:t>
      </w:r>
    </w:p>
    <w:p w:rsidR="000D47D5" w:rsidRPr="00443C3D" w:rsidRDefault="000D47D5" w:rsidP="000D47D5">
      <w:pPr>
        <w:spacing w:after="0"/>
        <w:jc w:val="both"/>
        <w:rPr>
          <w:rFonts w:ascii="ITC Avant Garde" w:hAnsi="ITC Avant Garde"/>
          <w:b/>
        </w:rPr>
      </w:pPr>
    </w:p>
    <w:p w:rsidR="000D47D5" w:rsidRPr="00443C3D" w:rsidRDefault="000D47D5" w:rsidP="000D47D5">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El servicio </w:t>
      </w:r>
      <w:r w:rsidR="00A500F8" w:rsidRPr="00443C3D">
        <w:rPr>
          <w:rFonts w:ascii="ITC Avant Garde" w:hAnsi="ITC Avant Garde" w:cs="Arial"/>
        </w:rPr>
        <w:t xml:space="preserve">no gestionado o </w:t>
      </w:r>
      <w:r w:rsidRPr="00443C3D">
        <w:rPr>
          <w:rFonts w:ascii="ITC Avant Garde" w:hAnsi="ITC Avant Garde" w:cs="Arial"/>
        </w:rPr>
        <w:t>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rsidR="000D47D5" w:rsidRPr="00443C3D" w:rsidRDefault="000D47D5" w:rsidP="000D47D5">
      <w:pPr>
        <w:spacing w:after="0"/>
        <w:jc w:val="both"/>
        <w:rPr>
          <w:rFonts w:ascii="ITC Avant Garde" w:hAnsi="ITC Avant Garde"/>
          <w:b/>
        </w:rPr>
      </w:pPr>
    </w:p>
    <w:p w:rsidR="000D47D5" w:rsidRPr="00443C3D" w:rsidRDefault="000D47D5" w:rsidP="000D47D5">
      <w:pPr>
        <w:spacing w:after="0"/>
        <w:jc w:val="center"/>
        <w:rPr>
          <w:rFonts w:ascii="ITC Avant Garde" w:hAnsi="ITC Avant Garde"/>
        </w:rPr>
      </w:pPr>
      <w:r w:rsidRPr="00443C3D">
        <w:rPr>
          <w:rFonts w:ascii="ITC Avant Garde" w:hAnsi="ITC Avant Garde"/>
          <w:noProof/>
          <w:lang w:eastAsia="es-MX"/>
        </w:rPr>
        <w:lastRenderedPageBreak/>
        <w:drawing>
          <wp:inline distT="0" distB="0" distL="0" distR="0" wp14:anchorId="0E0F0D83" wp14:editId="55D40141">
            <wp:extent cx="2552700" cy="23903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rsidR="000D47D5" w:rsidRPr="00443C3D" w:rsidRDefault="000D47D5" w:rsidP="000D47D5">
      <w:pPr>
        <w:spacing w:after="0" w:line="240" w:lineRule="auto"/>
        <w:jc w:val="center"/>
        <w:rPr>
          <w:rFonts w:ascii="ITC Avant Garde" w:hAnsi="ITC Avant Garde"/>
          <w:sz w:val="18"/>
          <w:szCs w:val="18"/>
        </w:rPr>
      </w:pPr>
      <w:r w:rsidRPr="00443C3D">
        <w:rPr>
          <w:rFonts w:ascii="ITC Avant Garde" w:hAnsi="ITC Avant Garde"/>
          <w:sz w:val="18"/>
          <w:szCs w:val="18"/>
        </w:rPr>
        <w:t>Fig. 3. Arquitectura servicio de interconexión cruzada pasivo.</w:t>
      </w:r>
    </w:p>
    <w:p w:rsidR="00B006F8" w:rsidRPr="00443C3D" w:rsidRDefault="00B006F8" w:rsidP="00B006F8">
      <w:pPr>
        <w:autoSpaceDE w:val="0"/>
        <w:autoSpaceDN w:val="0"/>
        <w:adjustRightInd w:val="0"/>
        <w:spacing w:after="0"/>
        <w:jc w:val="both"/>
        <w:rPr>
          <w:rFonts w:ascii="ITC Avant Garde" w:hAnsi="ITC Avant Garde" w:cs="Arial"/>
        </w:rPr>
      </w:pPr>
    </w:p>
    <w:p w:rsidR="00AA23FA" w:rsidRPr="00443C3D" w:rsidRDefault="00A500F8" w:rsidP="00B006F8">
      <w:pPr>
        <w:autoSpaceDE w:val="0"/>
        <w:autoSpaceDN w:val="0"/>
        <w:adjustRightInd w:val="0"/>
        <w:spacing w:after="0"/>
        <w:jc w:val="both"/>
        <w:rPr>
          <w:rFonts w:ascii="ITC Avant Garde" w:hAnsi="ITC Avant Garde" w:cs="Arial"/>
        </w:rPr>
      </w:pPr>
      <w:r w:rsidRPr="00443C3D">
        <w:rPr>
          <w:rFonts w:ascii="ITC Avant Garde" w:hAnsi="ITC Avant Garde" w:cs="Arial"/>
        </w:rPr>
        <w:t>El modelo de costos considera</w:t>
      </w:r>
      <w:r w:rsidR="00B006F8" w:rsidRPr="00443C3D">
        <w:rPr>
          <w:rFonts w:ascii="ITC Avant Garde" w:hAnsi="ITC Avant Garde" w:cs="Arial"/>
        </w:rPr>
        <w:t xml:space="preserve"> para la provisión del servicio los siguientes elementos</w:t>
      </w:r>
      <w:r w:rsidR="00AA23FA" w:rsidRPr="00443C3D">
        <w:rPr>
          <w:rFonts w:ascii="ITC Avant Garde" w:hAnsi="ITC Avant Garde" w:cs="Arial"/>
        </w:rPr>
        <w:t>:</w:t>
      </w:r>
    </w:p>
    <w:p w:rsidR="00AA23FA" w:rsidRPr="00443C3D" w:rsidRDefault="00AA23FA" w:rsidP="00B006F8">
      <w:pPr>
        <w:autoSpaceDE w:val="0"/>
        <w:autoSpaceDN w:val="0"/>
        <w:adjustRightInd w:val="0"/>
        <w:spacing w:after="0"/>
        <w:jc w:val="both"/>
        <w:rPr>
          <w:rFonts w:ascii="ITC Avant Garde" w:hAnsi="ITC Avant Garde" w:cs="Arial"/>
        </w:rPr>
      </w:pPr>
    </w:p>
    <w:p w:rsidR="00AA23FA" w:rsidRPr="00443C3D" w:rsidRDefault="00AA23FA" w:rsidP="00E96BF3">
      <w:pPr>
        <w:pStyle w:val="Prrafodelista"/>
        <w:numPr>
          <w:ilvl w:val="0"/>
          <w:numId w:val="47"/>
        </w:numPr>
        <w:autoSpaceDE w:val="0"/>
        <w:autoSpaceDN w:val="0"/>
        <w:adjustRightInd w:val="0"/>
        <w:spacing w:after="0"/>
        <w:jc w:val="both"/>
        <w:rPr>
          <w:rFonts w:ascii="ITC Avant Garde" w:hAnsi="ITC Avant Garde" w:cs="Arial"/>
        </w:rPr>
      </w:pPr>
      <w:r w:rsidRPr="00443C3D">
        <w:rPr>
          <w:rFonts w:ascii="ITC Avant Garde" w:hAnsi="ITC Avant Garde" w:cs="Arial"/>
        </w:rPr>
        <w:t>Cable Óptico: cable de 12 fibras ópticas</w:t>
      </w:r>
    </w:p>
    <w:p w:rsidR="00AA23FA" w:rsidRPr="00443C3D" w:rsidRDefault="00AA23FA" w:rsidP="00E96BF3">
      <w:pPr>
        <w:pStyle w:val="Prrafodelista"/>
        <w:numPr>
          <w:ilvl w:val="0"/>
          <w:numId w:val="47"/>
        </w:numPr>
        <w:autoSpaceDE w:val="0"/>
        <w:autoSpaceDN w:val="0"/>
        <w:adjustRightInd w:val="0"/>
        <w:spacing w:after="0"/>
        <w:jc w:val="both"/>
        <w:rPr>
          <w:rFonts w:ascii="ITC Avant Garde" w:hAnsi="ITC Avant Garde" w:cs="Arial"/>
        </w:rPr>
      </w:pPr>
      <w:r w:rsidRPr="00443C3D">
        <w:rPr>
          <w:rFonts w:ascii="ITC Avant Garde" w:hAnsi="ITC Avant Garde" w:cs="Arial"/>
        </w:rPr>
        <w:t>Escalerilla</w:t>
      </w:r>
    </w:p>
    <w:p w:rsidR="00A373DD" w:rsidRPr="00443C3D" w:rsidRDefault="00A373DD" w:rsidP="00B006F8">
      <w:pPr>
        <w:autoSpaceDE w:val="0"/>
        <w:autoSpaceDN w:val="0"/>
        <w:adjustRightInd w:val="0"/>
        <w:spacing w:after="0"/>
        <w:jc w:val="both"/>
        <w:rPr>
          <w:rFonts w:ascii="ITC Avant Garde" w:hAnsi="ITC Avant Garde" w:cs="Arial"/>
        </w:rPr>
      </w:pPr>
    </w:p>
    <w:p w:rsidR="00A373DD" w:rsidRPr="00443C3D" w:rsidRDefault="00BE4BEF" w:rsidP="00B006F8">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La </w:t>
      </w:r>
      <w:r w:rsidR="009E2BF8" w:rsidRPr="00443C3D">
        <w:rPr>
          <w:rFonts w:ascii="ITC Avant Garde" w:hAnsi="ITC Avant Garde" w:cs="Arial"/>
        </w:rPr>
        <w:t xml:space="preserve">utilización únicamente de elementos pasivos disminuye el </w:t>
      </w:r>
      <w:r w:rsidRPr="00443C3D">
        <w:rPr>
          <w:rFonts w:ascii="ITC Avant Garde" w:hAnsi="ITC Avant Garde" w:cs="Arial"/>
        </w:rPr>
        <w:t>Opex y el Capex</w:t>
      </w:r>
      <w:r w:rsidR="009E2BF8" w:rsidRPr="00443C3D">
        <w:rPr>
          <w:rFonts w:ascii="ITC Avant Garde" w:hAnsi="ITC Avant Garde" w:cs="Arial"/>
        </w:rPr>
        <w:t xml:space="preserve"> </w:t>
      </w:r>
      <w:r w:rsidR="005957A1" w:rsidRPr="00443C3D">
        <w:rPr>
          <w:rFonts w:ascii="ITC Avant Garde" w:hAnsi="ITC Avant Garde" w:cs="Arial"/>
        </w:rPr>
        <w:t>en</w:t>
      </w:r>
      <w:r w:rsidR="009E2BF8" w:rsidRPr="00443C3D">
        <w:rPr>
          <w:rFonts w:ascii="ITC Avant Garde" w:hAnsi="ITC Avant Garde" w:cs="Arial"/>
        </w:rPr>
        <w:t xml:space="preserve"> relación al servicio gestionado</w:t>
      </w:r>
      <w:r w:rsidRPr="00443C3D">
        <w:rPr>
          <w:rFonts w:ascii="ITC Avant Garde" w:hAnsi="ITC Avant Garde" w:cs="Arial"/>
        </w:rPr>
        <w:t xml:space="preserve">. </w:t>
      </w:r>
    </w:p>
    <w:p w:rsidR="009A3886" w:rsidRPr="00443C3D" w:rsidRDefault="009A3886" w:rsidP="00BA5210">
      <w:pPr>
        <w:spacing w:after="0"/>
        <w:rPr>
          <w:rFonts w:ascii="ITC Avant Garde" w:hAnsi="ITC Avant Garde"/>
          <w:b/>
          <w:sz w:val="24"/>
        </w:rPr>
      </w:pPr>
    </w:p>
    <w:p w:rsidR="00B15C56" w:rsidRPr="00443C3D" w:rsidRDefault="00B15C56" w:rsidP="00BA5210">
      <w:pPr>
        <w:spacing w:after="0"/>
        <w:rPr>
          <w:rFonts w:ascii="ITC Avant Garde" w:hAnsi="ITC Avant Garde"/>
          <w:b/>
        </w:rPr>
      </w:pPr>
      <w:r w:rsidRPr="00443C3D">
        <w:rPr>
          <w:rFonts w:ascii="ITC Avant Garde" w:hAnsi="ITC Avant Garde"/>
          <w:b/>
        </w:rPr>
        <w:t xml:space="preserve">Marco metodológico </w:t>
      </w:r>
    </w:p>
    <w:p w:rsidR="00B15C56" w:rsidRPr="00443C3D" w:rsidRDefault="00B15C56" w:rsidP="00BA5210">
      <w:pPr>
        <w:spacing w:after="0"/>
        <w:rPr>
          <w:rFonts w:ascii="ITC Avant Garde" w:hAnsi="ITC Avant Garde"/>
          <w:b/>
        </w:rPr>
      </w:pPr>
    </w:p>
    <w:p w:rsidR="000D47D5" w:rsidRPr="00443C3D" w:rsidRDefault="000D47D5" w:rsidP="00BA5210">
      <w:pPr>
        <w:spacing w:after="0"/>
        <w:rPr>
          <w:rFonts w:ascii="ITC Avant Garde" w:hAnsi="ITC Avant Garde"/>
        </w:rPr>
      </w:pPr>
      <w:r w:rsidRPr="00443C3D">
        <w:rPr>
          <w:rFonts w:ascii="ITC Avant Garde" w:hAnsi="ITC Avant Garde"/>
        </w:rPr>
        <w:t>A efecto de determinar el costo del servicio se señalan las principales hipótesis:</w:t>
      </w:r>
    </w:p>
    <w:p w:rsidR="000D47D5" w:rsidRPr="00443C3D" w:rsidRDefault="000D47D5" w:rsidP="00BA5210">
      <w:pPr>
        <w:spacing w:after="0"/>
        <w:rPr>
          <w:rFonts w:ascii="ITC Avant Garde" w:hAnsi="ITC Avant Garde"/>
        </w:rPr>
      </w:pPr>
    </w:p>
    <w:p w:rsidR="00B15C56" w:rsidRPr="00443C3D" w:rsidRDefault="006B0066" w:rsidP="00542407">
      <w:pPr>
        <w:spacing w:after="0"/>
        <w:jc w:val="both"/>
        <w:rPr>
          <w:rFonts w:ascii="ITC Avant Garde" w:hAnsi="ITC Avant Garde"/>
        </w:rPr>
      </w:pPr>
      <w:r w:rsidRPr="00443C3D">
        <w:rPr>
          <w:rFonts w:ascii="ITC Avant Garde" w:hAnsi="ITC Avant Garde"/>
          <w:b/>
        </w:rPr>
        <w:t xml:space="preserve">Demanda: </w:t>
      </w:r>
      <w:r w:rsidRPr="00443C3D">
        <w:rPr>
          <w:rFonts w:ascii="ITC Avant Garde" w:hAnsi="ITC Avant Garde"/>
        </w:rPr>
        <w:t xml:space="preserve">Todos los concesionarios solicitantes se encuentran en una misma central del AEP, considerando una media de </w:t>
      </w:r>
      <w:r w:rsidR="00F511E6" w:rsidRPr="00443C3D">
        <w:rPr>
          <w:rFonts w:ascii="ITC Avant Garde" w:hAnsi="ITC Avant Garde"/>
        </w:rPr>
        <w:t>2</w:t>
      </w:r>
      <w:r w:rsidRPr="00443C3D">
        <w:rPr>
          <w:rFonts w:ascii="ITC Avant Garde" w:hAnsi="ITC Avant Garde"/>
        </w:rPr>
        <w:t xml:space="preserve"> operadores por central.</w:t>
      </w:r>
    </w:p>
    <w:p w:rsidR="006B0066" w:rsidRPr="00443C3D" w:rsidRDefault="006B0066" w:rsidP="00542407">
      <w:pPr>
        <w:spacing w:after="0"/>
        <w:jc w:val="both"/>
        <w:rPr>
          <w:rFonts w:ascii="ITC Avant Garde" w:hAnsi="ITC Avant Garde"/>
        </w:rPr>
      </w:pPr>
    </w:p>
    <w:p w:rsidR="006B0066" w:rsidRPr="00443C3D" w:rsidRDefault="006B0066" w:rsidP="00542407">
      <w:pPr>
        <w:spacing w:after="0"/>
        <w:jc w:val="both"/>
        <w:rPr>
          <w:rFonts w:ascii="ITC Avant Garde" w:hAnsi="ITC Avant Garde"/>
          <w:b/>
        </w:rPr>
      </w:pPr>
      <w:r w:rsidRPr="00443C3D">
        <w:rPr>
          <w:rFonts w:ascii="ITC Avant Garde" w:hAnsi="ITC Avant Garde"/>
          <w:b/>
        </w:rPr>
        <w:t>Estructura de red:</w:t>
      </w:r>
    </w:p>
    <w:p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 xml:space="preserve">Los elementos de red provistos por el AEP para la provisión de este servicio están totalmente separados de su red </w:t>
      </w:r>
      <w:r w:rsidR="00630C49" w:rsidRPr="00443C3D">
        <w:rPr>
          <w:rFonts w:ascii="ITC Avant Garde" w:hAnsi="ITC Avant Garde"/>
        </w:rPr>
        <w:t>troncal y de acceso, y sus costo</w:t>
      </w:r>
      <w:r w:rsidRPr="00443C3D">
        <w:rPr>
          <w:rFonts w:ascii="ITC Avant Garde" w:hAnsi="ITC Avant Garde"/>
        </w:rPr>
        <w:t>s estarán por lo tanto exclusivamente repartidos entre los operadores que se interconecten.</w:t>
      </w:r>
    </w:p>
    <w:p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Los demarcadores empleados para separar la red del AEP de la de los concesionarios están formados por conmutadores ópticos.</w:t>
      </w:r>
    </w:p>
    <w:p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Todos los equipos considerados tienen conexiones de 1</w:t>
      </w:r>
      <w:r w:rsidR="00F511E6" w:rsidRPr="00443C3D">
        <w:rPr>
          <w:rFonts w:ascii="ITC Avant Garde" w:hAnsi="ITC Avant Garde"/>
        </w:rPr>
        <w:t xml:space="preserve"> </w:t>
      </w:r>
      <w:r w:rsidRPr="00443C3D">
        <w:rPr>
          <w:rFonts w:ascii="ITC Avant Garde" w:hAnsi="ITC Avant Garde"/>
        </w:rPr>
        <w:t>Gbps; emplear equipos con conexiones de 10</w:t>
      </w:r>
      <w:r w:rsidR="00F511E6" w:rsidRPr="00443C3D">
        <w:rPr>
          <w:rFonts w:ascii="ITC Avant Garde" w:hAnsi="ITC Avant Garde"/>
        </w:rPr>
        <w:t xml:space="preserve"> </w:t>
      </w:r>
      <w:r w:rsidRPr="00443C3D">
        <w:rPr>
          <w:rFonts w:ascii="ITC Avant Garde" w:hAnsi="ITC Avant Garde"/>
        </w:rPr>
        <w:t>Gbps incrementaría el capex en x2.5 para los equipos considerados.</w:t>
      </w:r>
    </w:p>
    <w:p w:rsidR="00630C49" w:rsidRPr="00443C3D" w:rsidRDefault="00630C49" w:rsidP="00630C49">
      <w:pPr>
        <w:spacing w:after="0"/>
        <w:jc w:val="both"/>
        <w:rPr>
          <w:rFonts w:ascii="ITC Avant Garde" w:hAnsi="ITC Avant Garde"/>
          <w:b/>
        </w:rPr>
      </w:pPr>
    </w:p>
    <w:p w:rsidR="006B0066" w:rsidRPr="00443C3D" w:rsidRDefault="006B0066" w:rsidP="00542407">
      <w:pPr>
        <w:spacing w:after="0"/>
        <w:jc w:val="both"/>
        <w:rPr>
          <w:rFonts w:ascii="ITC Avant Garde" w:hAnsi="ITC Avant Garde"/>
        </w:rPr>
      </w:pPr>
      <w:r w:rsidRPr="00443C3D">
        <w:rPr>
          <w:rFonts w:ascii="ITC Avant Garde" w:hAnsi="ITC Avant Garde"/>
          <w:b/>
        </w:rPr>
        <w:t xml:space="preserve">Depreciación: </w:t>
      </w:r>
      <w:r w:rsidRPr="00443C3D">
        <w:rPr>
          <w:rFonts w:ascii="ITC Avant Garde" w:hAnsi="ITC Avant Garde"/>
        </w:rPr>
        <w:t>El costo de reposición de los equipos se considera en los costos mensuales en forma de anualización inclinada.</w:t>
      </w:r>
    </w:p>
    <w:p w:rsidR="006B0066" w:rsidRPr="00443C3D" w:rsidRDefault="006B0066" w:rsidP="00542407">
      <w:pPr>
        <w:spacing w:after="0"/>
        <w:jc w:val="both"/>
        <w:rPr>
          <w:rFonts w:ascii="ITC Avant Garde" w:hAnsi="ITC Avant Garde"/>
        </w:rPr>
      </w:pPr>
    </w:p>
    <w:p w:rsidR="006B0066" w:rsidRPr="00443C3D" w:rsidRDefault="006B0066" w:rsidP="00542407">
      <w:pPr>
        <w:spacing w:after="0"/>
        <w:jc w:val="both"/>
        <w:rPr>
          <w:rFonts w:ascii="ITC Avant Garde" w:hAnsi="ITC Avant Garde"/>
        </w:rPr>
      </w:pPr>
      <w:r w:rsidRPr="00443C3D">
        <w:rPr>
          <w:rFonts w:ascii="ITC Avant Garde" w:hAnsi="ITC Avant Garde"/>
          <w:b/>
        </w:rPr>
        <w:lastRenderedPageBreak/>
        <w:t xml:space="preserve">CCPP: </w:t>
      </w:r>
      <w:r w:rsidRPr="00443C3D">
        <w:rPr>
          <w:rFonts w:ascii="ITC Avant Garde" w:hAnsi="ITC Avant Garde"/>
        </w:rPr>
        <w:t xml:space="preserve">Se considera un CCPP nominal antes de impuestos del </w:t>
      </w:r>
      <w:r w:rsidR="001C293A" w:rsidRPr="00443C3D">
        <w:rPr>
          <w:rFonts w:ascii="ITC Avant Garde" w:hAnsi="ITC Avant Garde"/>
        </w:rPr>
        <w:t>8.34</w:t>
      </w:r>
      <w:r w:rsidRPr="00443C3D">
        <w:rPr>
          <w:rFonts w:ascii="ITC Avant Garde" w:hAnsi="ITC Avant Garde"/>
        </w:rPr>
        <w:t xml:space="preserve">%, en línea con el empleado en </w:t>
      </w:r>
      <w:r w:rsidR="00F511E6" w:rsidRPr="00443C3D">
        <w:rPr>
          <w:rFonts w:ascii="ITC Avant Garde" w:hAnsi="ITC Avant Garde"/>
        </w:rPr>
        <w:t xml:space="preserve">los </w:t>
      </w:r>
      <w:r w:rsidRPr="00443C3D">
        <w:rPr>
          <w:rFonts w:ascii="ITC Avant Garde" w:hAnsi="ITC Avant Garde"/>
        </w:rPr>
        <w:t>modelos</w:t>
      </w:r>
      <w:r w:rsidR="00F511E6" w:rsidRPr="00443C3D">
        <w:rPr>
          <w:rFonts w:ascii="ITC Avant Garde" w:hAnsi="ITC Avant Garde"/>
        </w:rPr>
        <w:t xml:space="preserve"> de costos de servicios conmutados de interconexión</w:t>
      </w:r>
      <w:r w:rsidRPr="00443C3D">
        <w:rPr>
          <w:rFonts w:ascii="ITC Avant Garde" w:hAnsi="ITC Avant Garde"/>
        </w:rPr>
        <w:t>.</w:t>
      </w:r>
    </w:p>
    <w:p w:rsidR="006B0066" w:rsidRPr="00443C3D" w:rsidRDefault="006B0066" w:rsidP="00542407">
      <w:pPr>
        <w:spacing w:after="0"/>
        <w:jc w:val="both"/>
        <w:rPr>
          <w:rFonts w:ascii="ITC Avant Garde" w:hAnsi="ITC Avant Garde"/>
        </w:rPr>
      </w:pPr>
    </w:p>
    <w:p w:rsidR="006F29EB" w:rsidRPr="00443C3D" w:rsidRDefault="006F29EB" w:rsidP="000D47D5">
      <w:pPr>
        <w:spacing w:after="0"/>
        <w:jc w:val="center"/>
        <w:rPr>
          <w:rFonts w:ascii="ITC Avant Garde" w:hAnsi="ITC Avant Garde"/>
          <w:sz w:val="20"/>
        </w:rPr>
      </w:pPr>
      <w:r w:rsidRPr="00443C3D">
        <w:rPr>
          <w:rFonts w:ascii="ITC Avant Garde" w:hAnsi="ITC Avant Garde"/>
          <w:noProof/>
          <w:sz w:val="20"/>
          <w:lang w:eastAsia="es-MX"/>
        </w:rPr>
        <w:drawing>
          <wp:inline distT="0" distB="0" distL="0" distR="0" wp14:anchorId="1B049D4A" wp14:editId="1B12F348">
            <wp:extent cx="3140766" cy="2706778"/>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rsidR="00630C49" w:rsidRPr="00443C3D" w:rsidRDefault="00B60AA3" w:rsidP="00B60AA3">
      <w:pPr>
        <w:spacing w:after="0" w:line="240" w:lineRule="auto"/>
        <w:jc w:val="center"/>
        <w:rPr>
          <w:rFonts w:ascii="ITC Avant Garde" w:hAnsi="ITC Avant Garde"/>
          <w:sz w:val="18"/>
          <w:szCs w:val="18"/>
        </w:rPr>
      </w:pPr>
      <w:r w:rsidRPr="00443C3D">
        <w:rPr>
          <w:rFonts w:ascii="ITC Avant Garde" w:hAnsi="ITC Avant Garde"/>
          <w:sz w:val="18"/>
          <w:szCs w:val="18"/>
        </w:rPr>
        <w:t>Fig. 1. Estructura del Modelo.</w:t>
      </w:r>
    </w:p>
    <w:p w:rsidR="009A3886" w:rsidRPr="00443C3D" w:rsidRDefault="009A3886" w:rsidP="00542407">
      <w:pPr>
        <w:spacing w:after="0" w:line="240" w:lineRule="auto"/>
        <w:jc w:val="both"/>
        <w:rPr>
          <w:rFonts w:ascii="ITC Avant Garde" w:hAnsi="ITC Avant Garde"/>
        </w:rPr>
      </w:pPr>
    </w:p>
    <w:p w:rsidR="006B0066" w:rsidRPr="00443C3D" w:rsidRDefault="00680291" w:rsidP="00542407">
      <w:pPr>
        <w:spacing w:after="0" w:line="240" w:lineRule="auto"/>
        <w:jc w:val="both"/>
        <w:rPr>
          <w:rFonts w:ascii="ITC Avant Garde" w:hAnsi="ITC Avant Garde"/>
        </w:rPr>
      </w:pPr>
      <w:r w:rsidRPr="00443C3D">
        <w:rPr>
          <w:rFonts w:ascii="ITC Avant Garde" w:hAnsi="ITC Avant Garde"/>
        </w:rPr>
        <w:t>El modelo adopta un enfoque orientado al cálculo de los costos de componentes asociados a estos servicios.</w:t>
      </w:r>
    </w:p>
    <w:p w:rsidR="00680291" w:rsidRPr="00443C3D" w:rsidRDefault="00680291" w:rsidP="00542407">
      <w:pPr>
        <w:spacing w:after="0"/>
        <w:jc w:val="both"/>
        <w:rPr>
          <w:rFonts w:ascii="ITC Avant Garde" w:hAnsi="ITC Avant Garde"/>
        </w:rPr>
      </w:pPr>
    </w:p>
    <w:p w:rsidR="00680291" w:rsidRPr="00443C3D" w:rsidRDefault="00680291" w:rsidP="00542407">
      <w:pPr>
        <w:spacing w:after="0"/>
        <w:jc w:val="both"/>
        <w:rPr>
          <w:rFonts w:ascii="ITC Avant Garde" w:hAnsi="ITC Avant Garde"/>
        </w:rPr>
      </w:pPr>
      <w:r w:rsidRPr="00443C3D">
        <w:rPr>
          <w:rFonts w:ascii="ITC Avant Garde" w:hAnsi="ITC Avant Garde"/>
        </w:rPr>
        <w:t>El modelo captura elementos de red NGN, considerados como la tecnología moderna equivalente.</w:t>
      </w:r>
    </w:p>
    <w:p w:rsidR="00680291" w:rsidRPr="00443C3D" w:rsidRDefault="00680291" w:rsidP="00542407">
      <w:pPr>
        <w:spacing w:after="0"/>
        <w:jc w:val="both"/>
        <w:rPr>
          <w:rFonts w:ascii="ITC Avant Garde" w:hAnsi="ITC Avant Garde"/>
        </w:rPr>
      </w:pPr>
    </w:p>
    <w:p w:rsidR="00680291" w:rsidRPr="00443C3D" w:rsidRDefault="00FD4FD7" w:rsidP="00542407">
      <w:pPr>
        <w:spacing w:after="0"/>
        <w:jc w:val="both"/>
        <w:rPr>
          <w:rFonts w:ascii="ITC Avant Garde" w:hAnsi="ITC Avant Garde"/>
        </w:rPr>
      </w:pPr>
      <w:r w:rsidRPr="00443C3D">
        <w:rPr>
          <w:rFonts w:ascii="ITC Avant Garde" w:hAnsi="ITC Avant Garde"/>
        </w:rPr>
        <w:t>El modelo se expresa en dólares americanos (USD) reales que se convierten a nominales en base a la inflación futura esperada.</w:t>
      </w:r>
    </w:p>
    <w:p w:rsidR="00FD4FD7" w:rsidRPr="00443C3D" w:rsidRDefault="00FD4FD7" w:rsidP="00542407">
      <w:pPr>
        <w:spacing w:after="0"/>
        <w:jc w:val="both"/>
        <w:rPr>
          <w:rFonts w:ascii="ITC Avant Garde" w:hAnsi="ITC Avant Garde"/>
        </w:rPr>
      </w:pPr>
    </w:p>
    <w:p w:rsidR="00FD4FD7" w:rsidRPr="00443C3D" w:rsidRDefault="00FD4FD7" w:rsidP="00542407">
      <w:pPr>
        <w:spacing w:after="0"/>
        <w:jc w:val="both"/>
        <w:rPr>
          <w:rFonts w:ascii="ITC Avant Garde" w:hAnsi="ITC Avant Garde"/>
        </w:rPr>
      </w:pPr>
      <w:r w:rsidRPr="00443C3D">
        <w:rPr>
          <w:rFonts w:ascii="ITC Avant Garde" w:hAnsi="ITC Avant Garde"/>
        </w:rPr>
        <w:t xml:space="preserve">Una vez calculado el valor de los servicios en dólares americanos, se convierten los resultados a pesos mexicanos (MXN) </w:t>
      </w:r>
      <w:r w:rsidR="004E74E0" w:rsidRPr="00443C3D">
        <w:rPr>
          <w:rFonts w:ascii="ITC Avant Garde" w:hAnsi="ITC Avant Garde"/>
        </w:rPr>
        <w:t xml:space="preserve">con </w:t>
      </w:r>
      <w:r w:rsidRPr="00443C3D">
        <w:rPr>
          <w:rFonts w:ascii="ITC Avant Garde" w:hAnsi="ITC Avant Garde"/>
        </w:rPr>
        <w:t xml:space="preserve">base </w:t>
      </w:r>
      <w:r w:rsidR="004E74E0" w:rsidRPr="00443C3D">
        <w:rPr>
          <w:rFonts w:ascii="ITC Avant Garde" w:hAnsi="ITC Avant Garde"/>
        </w:rPr>
        <w:t xml:space="preserve">en el tipo </w:t>
      </w:r>
      <w:r w:rsidRPr="00443C3D">
        <w:rPr>
          <w:rFonts w:ascii="ITC Avant Garde" w:hAnsi="ITC Avant Garde"/>
        </w:rPr>
        <w:t>de cambio futur</w:t>
      </w:r>
      <w:r w:rsidR="004E74E0" w:rsidRPr="00443C3D">
        <w:rPr>
          <w:rFonts w:ascii="ITC Avant Garde" w:hAnsi="ITC Avant Garde"/>
        </w:rPr>
        <w:t>o</w:t>
      </w:r>
      <w:r w:rsidRPr="00443C3D">
        <w:rPr>
          <w:rFonts w:ascii="ITC Avant Garde" w:hAnsi="ITC Avant Garde"/>
        </w:rPr>
        <w:t xml:space="preserve">, </w:t>
      </w:r>
      <w:r w:rsidR="004E74E0" w:rsidRPr="00443C3D">
        <w:rPr>
          <w:rFonts w:ascii="ITC Avant Garde" w:hAnsi="ITC Avant Garde"/>
        </w:rPr>
        <w:t>de acuerdo</w:t>
      </w:r>
      <w:r w:rsidRPr="00443C3D">
        <w:rPr>
          <w:rFonts w:ascii="ITC Avant Garde" w:hAnsi="ITC Avant Garde"/>
        </w:rPr>
        <w:t xml:space="preserve"> a las previsiones del Banco de </w:t>
      </w:r>
      <w:r w:rsidR="0086180C" w:rsidRPr="00443C3D">
        <w:rPr>
          <w:rFonts w:ascii="ITC Avant Garde" w:hAnsi="ITC Avant Garde"/>
        </w:rPr>
        <w:t>México</w:t>
      </w:r>
      <w:r w:rsidRPr="00443C3D">
        <w:rPr>
          <w:rFonts w:ascii="ITC Avant Garde" w:hAnsi="ITC Avant Garde"/>
        </w:rPr>
        <w:t>.</w:t>
      </w:r>
    </w:p>
    <w:p w:rsidR="00FD4FD7" w:rsidRPr="00443C3D" w:rsidRDefault="00FD4FD7" w:rsidP="00542407">
      <w:pPr>
        <w:spacing w:after="0"/>
        <w:jc w:val="both"/>
        <w:rPr>
          <w:rFonts w:ascii="ITC Avant Garde" w:hAnsi="ITC Avant Garde"/>
        </w:rPr>
      </w:pPr>
    </w:p>
    <w:p w:rsidR="00FD4FD7" w:rsidRPr="00443C3D" w:rsidRDefault="00FD4FD7" w:rsidP="00542407">
      <w:pPr>
        <w:spacing w:after="0"/>
        <w:jc w:val="both"/>
        <w:rPr>
          <w:rFonts w:ascii="ITC Avant Garde" w:hAnsi="ITC Avant Garde"/>
        </w:rPr>
      </w:pPr>
      <w:r w:rsidRPr="00443C3D">
        <w:rPr>
          <w:rFonts w:ascii="ITC Avant Garde" w:hAnsi="ITC Avant Garde"/>
        </w:rPr>
        <w:t>El servicio de interconexión cruzada se limita a aquel aplicable al establecimiento de interconexión de voz en las instalaciones del AEP: El servicio será ofrecido tanto a operadores fijos como móviles.</w:t>
      </w:r>
    </w:p>
    <w:p w:rsidR="00A25350" w:rsidRPr="00443C3D" w:rsidRDefault="00A25350" w:rsidP="00542407">
      <w:pPr>
        <w:spacing w:after="0"/>
        <w:jc w:val="both"/>
        <w:rPr>
          <w:rFonts w:ascii="ITC Avant Garde" w:hAnsi="ITC Avant Garde"/>
        </w:rPr>
      </w:pPr>
    </w:p>
    <w:p w:rsidR="001955F2" w:rsidRPr="00443C3D" w:rsidRDefault="001955F2" w:rsidP="00542407">
      <w:pPr>
        <w:spacing w:after="0"/>
        <w:jc w:val="both"/>
        <w:rPr>
          <w:rFonts w:ascii="ITC Avant Garde" w:hAnsi="ITC Avant Garde"/>
        </w:rPr>
      </w:pPr>
      <w:r w:rsidRPr="00443C3D">
        <w:rPr>
          <w:rFonts w:ascii="ITC Avant Garde" w:hAnsi="ITC Avant Garde"/>
        </w:rPr>
        <w:t xml:space="preserve">Los precios se calculan </w:t>
      </w:r>
      <w:r w:rsidR="00A500F8" w:rsidRPr="00443C3D">
        <w:rPr>
          <w:rFonts w:ascii="ITC Avant Garde" w:hAnsi="ITC Avant Garde"/>
        </w:rPr>
        <w:t xml:space="preserve">con </w:t>
      </w:r>
      <w:r w:rsidRPr="00443C3D">
        <w:rPr>
          <w:rFonts w:ascii="ITC Avant Garde" w:hAnsi="ITC Avant Garde"/>
        </w:rPr>
        <w:t>base a una estructura de:</w:t>
      </w:r>
    </w:p>
    <w:p w:rsidR="001955F2" w:rsidRPr="00443C3D" w:rsidRDefault="001955F2" w:rsidP="00542407">
      <w:pPr>
        <w:spacing w:after="0"/>
        <w:jc w:val="both"/>
        <w:rPr>
          <w:rFonts w:ascii="ITC Avant Garde" w:hAnsi="ITC Avant Garde"/>
        </w:rPr>
      </w:pPr>
    </w:p>
    <w:p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t xml:space="preserve">Costos de instalación, que cubre el costo de los elementos instalados </w:t>
      </w:r>
      <w:r w:rsidR="002975E1" w:rsidRPr="00443C3D">
        <w:rPr>
          <w:rFonts w:ascii="ITC Avant Garde" w:hAnsi="ITC Avant Garde"/>
        </w:rPr>
        <w:t xml:space="preserve">(equipo de transporte, distribuidor de fibra </w:t>
      </w:r>
      <w:r w:rsidR="00DA038E" w:rsidRPr="00443C3D">
        <w:rPr>
          <w:rFonts w:ascii="ITC Avant Garde" w:hAnsi="ITC Avant Garde"/>
        </w:rPr>
        <w:t>óptica</w:t>
      </w:r>
      <w:r w:rsidR="002975E1" w:rsidRPr="00443C3D">
        <w:rPr>
          <w:rFonts w:ascii="ITC Avant Garde" w:hAnsi="ITC Avant Garde"/>
        </w:rPr>
        <w:t xml:space="preserve">, demarcador y jumper óptico) </w:t>
      </w:r>
      <w:r w:rsidRPr="00443C3D">
        <w:rPr>
          <w:rFonts w:ascii="ITC Avant Garde" w:hAnsi="ITC Avant Garde"/>
        </w:rPr>
        <w:t>y la mano de obra asociada.</w:t>
      </w:r>
    </w:p>
    <w:p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t xml:space="preserve">Costos mensuales, que cubren los costos de operación y </w:t>
      </w:r>
      <w:r w:rsidR="008C081E" w:rsidRPr="00443C3D">
        <w:rPr>
          <w:rFonts w:ascii="ITC Avant Garde" w:hAnsi="ITC Avant Garde"/>
        </w:rPr>
        <w:t>mantenimiento,</w:t>
      </w:r>
      <w:r w:rsidRPr="00443C3D">
        <w:rPr>
          <w:rFonts w:ascii="ITC Avant Garde" w:hAnsi="ITC Avant Garde"/>
        </w:rPr>
        <w:t xml:space="preserve"> así como los costos de reposición de equipos.</w:t>
      </w:r>
    </w:p>
    <w:p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lastRenderedPageBreak/>
        <w:t>Se consideran costos por metro lineal para despliegue y mantenimiento de fibra y escalerilla.</w:t>
      </w:r>
    </w:p>
    <w:p w:rsidR="00630C49" w:rsidRPr="00443C3D" w:rsidRDefault="00630C49" w:rsidP="00542407">
      <w:pPr>
        <w:spacing w:after="0"/>
        <w:jc w:val="both"/>
        <w:rPr>
          <w:rFonts w:ascii="ITC Avant Garde" w:hAnsi="ITC Avant Garde"/>
        </w:rPr>
      </w:pPr>
    </w:p>
    <w:p w:rsidR="002109BC" w:rsidRPr="00443C3D" w:rsidRDefault="00545381" w:rsidP="00542407">
      <w:pPr>
        <w:spacing w:after="0"/>
        <w:jc w:val="both"/>
        <w:rPr>
          <w:rFonts w:ascii="ITC Avant Garde" w:hAnsi="ITC Avant Garde"/>
        </w:rPr>
      </w:pPr>
      <w:r w:rsidRPr="00443C3D">
        <w:rPr>
          <w:rFonts w:ascii="ITC Avant Garde" w:eastAsia="Times New Roman" w:hAnsi="ITC Avant Garde" w:cs="Arial"/>
          <w:szCs w:val="24"/>
          <w:lang w:eastAsia="es-ES"/>
        </w:rPr>
        <w:t>A efecto de determinar las tarifas aplicables se hace el supuesto de que existirán dos coubicaciones en el punto de interconexión.</w:t>
      </w:r>
    </w:p>
    <w:p w:rsidR="002975E1" w:rsidRPr="00443C3D" w:rsidRDefault="002975E1" w:rsidP="00542407">
      <w:pPr>
        <w:spacing w:after="0"/>
        <w:jc w:val="both"/>
        <w:rPr>
          <w:rFonts w:ascii="ITC Avant Garde" w:eastAsia="Times New Roman" w:hAnsi="ITC Avant Garde" w:cs="Arial"/>
          <w:szCs w:val="24"/>
          <w:lang w:eastAsia="es-ES"/>
        </w:rPr>
      </w:pPr>
    </w:p>
    <w:p w:rsidR="009C0A33" w:rsidRPr="00443C3D" w:rsidRDefault="009C0A33" w:rsidP="002109BC">
      <w:pPr>
        <w:spacing w:after="0"/>
        <w:jc w:val="both"/>
        <w:rPr>
          <w:rFonts w:ascii="ITC Avant Garde" w:hAnsi="ITC Avant Garde"/>
          <w:b/>
        </w:rPr>
      </w:pPr>
      <w:r w:rsidRPr="00443C3D">
        <w:rPr>
          <w:rFonts w:ascii="ITC Avant Garde" w:hAnsi="ITC Avant Garde"/>
          <w:b/>
        </w:rPr>
        <w:t>MODELO DE COSTOS DE COUBICACIÓN</w:t>
      </w:r>
    </w:p>
    <w:p w:rsidR="002109BC" w:rsidRPr="00443C3D" w:rsidRDefault="002109BC" w:rsidP="009C0A33">
      <w:pPr>
        <w:spacing w:after="0"/>
        <w:jc w:val="both"/>
        <w:rPr>
          <w:rFonts w:ascii="ITC Avant Garde" w:eastAsia="Times New Roman" w:hAnsi="ITC Avant Garde" w:cs="Arial"/>
          <w:b/>
          <w:lang w:eastAsia="es-ES"/>
        </w:rPr>
      </w:pPr>
    </w:p>
    <w:p w:rsidR="00417B32" w:rsidRPr="00443C3D" w:rsidRDefault="00417B32" w:rsidP="00417B32">
      <w:pPr>
        <w:pStyle w:val="Default"/>
        <w:spacing w:line="276" w:lineRule="auto"/>
        <w:ind w:right="49"/>
        <w:jc w:val="both"/>
        <w:rPr>
          <w:rFonts w:eastAsia="Times New Roman" w:cs="Arial"/>
          <w:color w:val="auto"/>
          <w:sz w:val="22"/>
          <w:lang w:eastAsia="es-ES"/>
        </w:rPr>
      </w:pPr>
      <w:r w:rsidRPr="00443C3D">
        <w:rPr>
          <w:rFonts w:eastAsia="Times New Roman" w:cs="Arial"/>
          <w:color w:val="auto"/>
          <w:sz w:val="22"/>
          <w:lang w:eastAsia="es-ES"/>
        </w:rPr>
        <w:t xml:space="preserve">En términos de la Condición </w:t>
      </w:r>
      <w:r w:rsidR="00EE5E76" w:rsidRPr="00443C3D">
        <w:rPr>
          <w:rFonts w:eastAsia="Times New Roman" w:cs="Arial"/>
          <w:color w:val="auto"/>
          <w:sz w:val="22"/>
          <w:lang w:eastAsia="es-ES"/>
        </w:rPr>
        <w:t>Segunda</w:t>
      </w:r>
      <w:r w:rsidRPr="00443C3D">
        <w:rPr>
          <w:rFonts w:eastAsia="Times New Roman" w:cs="Arial"/>
          <w:color w:val="auto"/>
          <w:sz w:val="22"/>
          <w:lang w:eastAsia="es-ES"/>
        </w:rPr>
        <w:t xml:space="preserve">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207EEC"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este sentido, e</w:t>
      </w:r>
      <w:r w:rsidR="009C0A33" w:rsidRPr="00443C3D">
        <w:rPr>
          <w:rFonts w:ascii="ITC Avant Garde" w:eastAsia="Times New Roman" w:hAnsi="ITC Avant Garde" w:cs="Arial"/>
          <w:lang w:eastAsia="es-ES"/>
        </w:rPr>
        <w:t>l modelo de costos de coubicación permite calcular los gastos de instalación y las contraprestaciones mensuales correspondientes a los distintos tipos de coubicación</w:t>
      </w:r>
      <w:r w:rsidR="002109BC" w:rsidRPr="00443C3D">
        <w:rPr>
          <w:rFonts w:ascii="ITC Avant Garde" w:eastAsia="Times New Roman" w:hAnsi="ITC Avant Garde" w:cs="Arial"/>
          <w:lang w:eastAsia="es-ES"/>
        </w:rPr>
        <w:t>:</w:t>
      </w:r>
    </w:p>
    <w:p w:rsidR="00FF16A6" w:rsidRPr="00443C3D" w:rsidRDefault="00FF16A6" w:rsidP="009C0A33">
      <w:pPr>
        <w:spacing w:after="0"/>
        <w:jc w:val="both"/>
        <w:rPr>
          <w:rFonts w:ascii="ITC Avant Garde" w:eastAsia="Times New Roman" w:hAnsi="ITC Avant Garde" w:cs="Arial"/>
          <w:lang w:eastAsia="es-ES"/>
        </w:rPr>
      </w:pPr>
    </w:p>
    <w:p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1: Área de 9 m2 con delimitación de tabla roca</w:t>
      </w:r>
    </w:p>
    <w:p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2: Área de 4 m2 con delimitación de tabla roca</w:t>
      </w:r>
    </w:p>
    <w:p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3: Gabinete</w:t>
      </w:r>
    </w:p>
    <w:p w:rsidR="00FF16A6" w:rsidRPr="00443C3D" w:rsidRDefault="00FF16A6" w:rsidP="009C0A33">
      <w:pPr>
        <w:spacing w:after="0"/>
        <w:jc w:val="both"/>
        <w:rPr>
          <w:rFonts w:ascii="ITC Avant Garde" w:eastAsia="Times New Roman" w:hAnsi="ITC Avant Garde" w:cs="Arial"/>
          <w:lang w:eastAsia="es-ES"/>
        </w:rPr>
      </w:pPr>
    </w:p>
    <w:p w:rsidR="00207EEC" w:rsidRPr="00443C3D" w:rsidRDefault="00207EEC" w:rsidP="00FF16A6">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términos de la definición antes señalada e</w:t>
      </w:r>
      <w:r w:rsidR="00FF16A6" w:rsidRPr="00443C3D">
        <w:rPr>
          <w:rFonts w:ascii="ITC Avant Garde" w:eastAsia="Times New Roman" w:hAnsi="ITC Avant Garde" w:cs="Arial"/>
          <w:lang w:eastAsia="es-ES"/>
        </w:rPr>
        <w:t>l modelo de costos</w:t>
      </w:r>
      <w:r w:rsidRPr="00443C3D">
        <w:rPr>
          <w:rFonts w:ascii="ITC Avant Garde" w:eastAsia="Times New Roman" w:hAnsi="ITC Avant Garde" w:cs="Arial"/>
          <w:lang w:eastAsia="es-ES"/>
        </w:rPr>
        <w:t xml:space="preserve"> debe ser capaz de calcular el costo correspondiente al espacio en piso ocupado por el Concesionario Solicitante, así como las diferentes facilidades que deben ser provistas por parte del Concesionario solicitado </w:t>
      </w:r>
      <w:r w:rsidR="008C081E" w:rsidRPr="00443C3D">
        <w:rPr>
          <w:rFonts w:ascii="ITC Avant Garde" w:eastAsia="Times New Roman" w:hAnsi="ITC Avant Garde" w:cs="Arial"/>
          <w:lang w:eastAsia="es-ES"/>
        </w:rPr>
        <w:t>como suministro</w:t>
      </w:r>
      <w:r w:rsidRPr="00443C3D">
        <w:rPr>
          <w:rFonts w:ascii="ITC Avant Garde" w:eastAsia="Times New Roman" w:hAnsi="ITC Avant Garde" w:cs="Arial"/>
          <w:lang w:eastAsia="es-ES"/>
        </w:rPr>
        <w:t xml:space="preserve"> de energía, medidas de seguridad, aire acondicionado, y demás facilidades necesarias para su adecuada operación, así como el acceso a los espacios físicos mencionados.</w:t>
      </w:r>
    </w:p>
    <w:p w:rsidR="00207EEC" w:rsidRPr="00443C3D" w:rsidRDefault="00207EEC" w:rsidP="00FF16A6">
      <w:pPr>
        <w:spacing w:after="0"/>
        <w:jc w:val="both"/>
        <w:rPr>
          <w:rFonts w:ascii="ITC Avant Garde" w:eastAsia="Times New Roman" w:hAnsi="ITC Avant Garde" w:cs="Arial"/>
          <w:lang w:eastAsia="es-ES"/>
        </w:rPr>
      </w:pPr>
    </w:p>
    <w:p w:rsidR="00207EEC" w:rsidRPr="00443C3D" w:rsidRDefault="00207EEC" w:rsidP="00FF16A6">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Las facilidades antes mencionadas se modelan suponiendo salas específicamente </w:t>
      </w:r>
      <w:r w:rsidR="00183555" w:rsidRPr="00443C3D">
        <w:rPr>
          <w:rFonts w:ascii="ITC Avant Garde" w:eastAsia="Times New Roman" w:hAnsi="ITC Avant Garde" w:cs="Arial"/>
          <w:lang w:eastAsia="es-ES"/>
        </w:rPr>
        <w:t>dedicadas para tales efectos</w:t>
      </w:r>
      <w:r w:rsidR="002155BB" w:rsidRPr="00443C3D">
        <w:rPr>
          <w:rFonts w:ascii="ITC Avant Garde" w:eastAsia="Times New Roman" w:hAnsi="ITC Avant Garde" w:cs="Arial"/>
          <w:lang w:eastAsia="es-ES"/>
        </w:rPr>
        <w:t>, de este modo se establecen las siguientes hipótesis:</w:t>
      </w:r>
    </w:p>
    <w:p w:rsidR="00FF16A6" w:rsidRPr="00443C3D" w:rsidRDefault="00FF16A6" w:rsidP="00FF16A6">
      <w:pPr>
        <w:spacing w:after="0"/>
        <w:jc w:val="both"/>
        <w:rPr>
          <w:rFonts w:ascii="ITC Avant Garde" w:eastAsia="Times New Roman" w:hAnsi="ITC Avant Garde" w:cs="Arial"/>
          <w:lang w:eastAsia="es-ES"/>
        </w:rPr>
      </w:pPr>
    </w:p>
    <w:p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Las características técnicas de las diferentes salas de la central (sala MDF</w:t>
      </w:r>
      <w:r w:rsidR="0077399F" w:rsidRPr="00443C3D">
        <w:rPr>
          <w:rFonts w:ascii="ITC Avant Garde" w:eastAsia="Times New Roman" w:hAnsi="ITC Avant Garde" w:cs="Arial"/>
          <w:lang w:val="es-ES_tradnl" w:eastAsia="es-ES"/>
        </w:rPr>
        <w:t>/ODF</w:t>
      </w:r>
      <w:r w:rsidRPr="00443C3D">
        <w:rPr>
          <w:rFonts w:ascii="ITC Avant Garde" w:eastAsia="Times New Roman" w:hAnsi="ITC Avant Garde" w:cs="Arial"/>
          <w:lang w:val="es-ES_tradnl" w:eastAsia="es-ES"/>
        </w:rPr>
        <w:t xml:space="preserve">, sala de control, sala de switching/DSLAM y sala de equipos de transmisión) </w:t>
      </w:r>
    </w:p>
    <w:p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La demanda de coubicación en términos del número de concesionarios coubicados</w:t>
      </w:r>
      <w:r w:rsidR="00630C49" w:rsidRPr="00443C3D">
        <w:rPr>
          <w:rFonts w:ascii="ITC Avant Garde" w:eastAsia="Times New Roman" w:hAnsi="ITC Avant Garde" w:cs="Arial"/>
          <w:lang w:val="es-ES_tradnl" w:eastAsia="es-ES"/>
        </w:rPr>
        <w:t>.</w:t>
      </w:r>
    </w:p>
    <w:p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Los precios unitarios de los equipos empleados</w:t>
      </w:r>
    </w:p>
    <w:p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Espacios físicos requeridos</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sz w:val="20"/>
          <w:lang w:eastAsia="es-ES"/>
        </w:rPr>
      </w:pPr>
      <w:r w:rsidRPr="00443C3D">
        <w:rPr>
          <w:noProof/>
          <w:lang w:eastAsia="es-MX"/>
        </w:rPr>
        <w:drawing>
          <wp:inline distT="0" distB="0" distL="0" distR="0" wp14:anchorId="3FBA4710" wp14:editId="684501CF">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Figura 1: Flujo del modelo, Fuente Analysys Mason.</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De esta forma, el modelo de costos de coubicación se compone de los siguientes módulos:</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Un módulo de </w:t>
      </w:r>
      <w:r w:rsidRPr="00443C3D">
        <w:rPr>
          <w:rFonts w:ascii="ITC Avant Garde" w:eastAsia="Times New Roman" w:hAnsi="ITC Avant Garde" w:cs="Arial"/>
          <w:i/>
          <w:iCs/>
          <w:lang w:val="es-ES_tradnl" w:eastAsia="es-ES"/>
        </w:rPr>
        <w:t>Control</w:t>
      </w:r>
      <w:r w:rsidRPr="00443C3D">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443C3D">
        <w:rPr>
          <w:rFonts w:ascii="ITC Avant Garde" w:eastAsia="Times New Roman" w:hAnsi="ITC Avant Garde" w:cs="Arial"/>
          <w:i/>
          <w:iCs/>
          <w:lang w:val="es-ES_tradnl" w:eastAsia="es-ES"/>
        </w:rPr>
        <w:t>Control</w:t>
      </w:r>
      <w:r w:rsidRPr="00443C3D">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rsidR="009C0A33" w:rsidRPr="00443C3D" w:rsidRDefault="009C0A33" w:rsidP="009C0A33">
      <w:pPr>
        <w:spacing w:after="0" w:line="240" w:lineRule="auto"/>
        <w:ind w:left="720"/>
        <w:jc w:val="both"/>
        <w:rPr>
          <w:rFonts w:ascii="ITC Avant Garde" w:eastAsia="Times New Roman" w:hAnsi="ITC Avant Garde" w:cs="Arial"/>
          <w:lang w:eastAsia="es-ES"/>
        </w:rPr>
      </w:pPr>
    </w:p>
    <w:p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Un módulo de</w:t>
      </w:r>
      <w:r w:rsidRPr="00443C3D">
        <w:rPr>
          <w:rFonts w:ascii="ITC Avant Garde" w:eastAsia="Times New Roman" w:hAnsi="ITC Avant Garde" w:cs="Arial"/>
          <w:lang w:val="es-ES_tradnl" w:eastAsia="es-ES"/>
        </w:rPr>
        <w:t xml:space="preserve"> </w:t>
      </w:r>
      <w:r w:rsidRPr="00443C3D">
        <w:rPr>
          <w:rFonts w:ascii="ITC Avant Garde" w:eastAsia="Times New Roman" w:hAnsi="ITC Avant Garde" w:cs="Arial"/>
          <w:i/>
          <w:iCs/>
          <w:lang w:val="es-ES_tradnl" w:eastAsia="es-ES"/>
        </w:rPr>
        <w:t>Dimensionado</w:t>
      </w:r>
      <w:r w:rsidRPr="00443C3D">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443C3D">
        <w:rPr>
          <w:rFonts w:ascii="ITC Avant Garde" w:eastAsia="Times New Roman" w:hAnsi="ITC Avant Garde" w:cs="Arial"/>
          <w:i/>
          <w:iCs/>
          <w:lang w:val="es-ES_tradnl" w:eastAsia="es-ES"/>
        </w:rPr>
        <w:t xml:space="preserve">. </w:t>
      </w:r>
      <w:r w:rsidRPr="00443C3D">
        <w:rPr>
          <w:rFonts w:ascii="ITC Avant Garde" w:eastAsia="Times New Roman" w:hAnsi="ITC Avant Garde" w:cs="Arial"/>
          <w:lang w:val="es-ES_tradnl" w:eastAsia="es-ES"/>
        </w:rPr>
        <w:t>Este módulo produce como resultado el número de activos y su tamaño correspondiente.</w:t>
      </w:r>
    </w:p>
    <w:p w:rsidR="009C0A33" w:rsidRPr="00443C3D" w:rsidRDefault="009C0A33" w:rsidP="009C0A33">
      <w:pPr>
        <w:spacing w:after="0" w:line="240" w:lineRule="auto"/>
        <w:ind w:left="708"/>
        <w:jc w:val="both"/>
        <w:rPr>
          <w:rFonts w:ascii="ITC Avant Garde" w:eastAsia="Times New Roman" w:hAnsi="ITC Avant Garde" w:cs="Arial"/>
          <w:lang w:eastAsia="es-ES"/>
        </w:rPr>
      </w:pPr>
    </w:p>
    <w:p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Un módulo de </w:t>
      </w:r>
      <w:r w:rsidRPr="00443C3D">
        <w:rPr>
          <w:rFonts w:ascii="ITC Avant Garde" w:eastAsia="Times New Roman" w:hAnsi="ITC Avant Garde" w:cs="Arial"/>
          <w:i/>
          <w:iCs/>
          <w:lang w:val="es-ES_tradnl" w:eastAsia="es-ES"/>
        </w:rPr>
        <w:t xml:space="preserve">Costeo </w:t>
      </w:r>
      <w:r w:rsidRPr="00443C3D">
        <w:rPr>
          <w:rFonts w:ascii="ITC Avant Garde" w:eastAsia="Times New Roman" w:hAnsi="ITC Avant Garde" w:cs="Arial"/>
          <w:iCs/>
          <w:lang w:val="es-ES_tradnl" w:eastAsia="es-ES"/>
        </w:rPr>
        <w:t>el cual</w:t>
      </w:r>
      <w:r w:rsidRPr="00443C3D">
        <w:rPr>
          <w:rFonts w:ascii="ITC Avant Garde" w:eastAsia="Times New Roman" w:hAnsi="ITC Avant Garde" w:cs="Arial"/>
          <w:i/>
          <w:iCs/>
          <w:lang w:val="es-ES_tradnl" w:eastAsia="es-ES"/>
        </w:rPr>
        <w:t xml:space="preserve"> </w:t>
      </w:r>
      <w:r w:rsidRPr="00443C3D">
        <w:rPr>
          <w:rFonts w:ascii="ITC Avant Garde" w:eastAsia="Times New Roman" w:hAnsi="ITC Avant Garde" w:cs="Arial"/>
          <w:lang w:val="es-ES_tradnl" w:eastAsia="es-ES"/>
        </w:rPr>
        <w:t xml:space="preserve">toma los costos unitarios calculados en el módulo de </w:t>
      </w:r>
      <w:r w:rsidRPr="00443C3D">
        <w:rPr>
          <w:rFonts w:ascii="ITC Avant Garde" w:eastAsia="Times New Roman" w:hAnsi="ITC Avant Garde" w:cs="Arial"/>
          <w:i/>
          <w:iCs/>
          <w:lang w:val="es-ES_tradnl" w:eastAsia="es-ES"/>
        </w:rPr>
        <w:t xml:space="preserve">Costos unitarios </w:t>
      </w:r>
      <w:r w:rsidRPr="00443C3D">
        <w:rPr>
          <w:rFonts w:ascii="ITC Avant Garde" w:eastAsia="Times New Roman" w:hAnsi="ITC Avant Garde" w:cs="Arial"/>
          <w:lang w:val="es-ES_tradnl" w:eastAsia="es-ES"/>
        </w:rPr>
        <w:t xml:space="preserve">y los multiplica por las unidades de activos obtenidos en el módulo </w:t>
      </w:r>
      <w:r w:rsidRPr="00443C3D">
        <w:rPr>
          <w:rFonts w:ascii="ITC Avant Garde" w:eastAsia="Times New Roman" w:hAnsi="ITC Avant Garde" w:cs="Arial"/>
          <w:i/>
          <w:iCs/>
          <w:lang w:val="es-ES_tradnl" w:eastAsia="es-ES"/>
        </w:rPr>
        <w:t>Dimensionado.</w:t>
      </w:r>
    </w:p>
    <w:p w:rsidR="009C0A33" w:rsidRPr="00443C3D" w:rsidRDefault="009C0A33" w:rsidP="009C0A33">
      <w:pPr>
        <w:spacing w:after="0" w:line="240" w:lineRule="auto"/>
        <w:ind w:left="708"/>
        <w:jc w:val="both"/>
        <w:rPr>
          <w:rFonts w:ascii="ITC Avant Garde" w:eastAsia="Times New Roman" w:hAnsi="ITC Avant Garde" w:cs="Arial"/>
          <w:lang w:eastAsia="es-ES"/>
        </w:rPr>
      </w:pPr>
    </w:p>
    <w:p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Un módulo de </w:t>
      </w:r>
      <w:r w:rsidRPr="00443C3D">
        <w:rPr>
          <w:rFonts w:ascii="ITC Avant Garde" w:eastAsia="Times New Roman" w:hAnsi="ITC Avant Garde" w:cs="Arial"/>
          <w:i/>
          <w:iCs/>
          <w:lang w:val="es-ES_tradnl" w:eastAsia="es-ES"/>
        </w:rPr>
        <w:t>Precio</w:t>
      </w:r>
      <w:r w:rsidRPr="00443C3D">
        <w:rPr>
          <w:rFonts w:ascii="ITC Avant Garde" w:eastAsia="Times New Roman" w:hAnsi="ITC Avant Garde" w:cs="Arial"/>
          <w:lang w:val="es-ES_tradnl" w:eastAsia="es-ES"/>
        </w:rPr>
        <w:t xml:space="preserve"> en donde se asignan los costos de la red a los distintos servicios y se calcula el precio final del servicio mayorista</w:t>
      </w:r>
      <w:r w:rsidR="000F0EDF" w:rsidRPr="00443C3D">
        <w:rPr>
          <w:rFonts w:ascii="ITC Avant Garde" w:eastAsia="Times New Roman" w:hAnsi="ITC Avant Garde" w:cs="Arial"/>
          <w:lang w:val="es-ES_tradnl" w:eastAsia="es-ES"/>
        </w:rPr>
        <w:t>.</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Demanda del servicio</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La demanda (espacio para coubicación) es un dato de entrada al modelo que se alimenta de manera externa en términos de: </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N</w:t>
      </w:r>
      <w:r w:rsidR="009C0A33" w:rsidRPr="00443C3D">
        <w:rPr>
          <w:rFonts w:ascii="ITC Avant Garde" w:eastAsia="Times New Roman" w:hAnsi="ITC Avant Garde" w:cs="Arial"/>
          <w:lang w:val="es-ES_tradnl" w:eastAsia="es-ES"/>
        </w:rPr>
        <w:t>úmero de operadores que se coubican en la central en el año seleccionado</w:t>
      </w:r>
      <w:r w:rsidR="00630C49" w:rsidRPr="00443C3D">
        <w:rPr>
          <w:rFonts w:ascii="ITC Avant Garde" w:eastAsia="Times New Roman" w:hAnsi="ITC Avant Garde" w:cs="Arial"/>
          <w:lang w:val="es-ES_tradnl" w:eastAsia="es-ES"/>
        </w:rPr>
        <w:t>.</w:t>
      </w:r>
    </w:p>
    <w:p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E</w:t>
      </w:r>
      <w:r w:rsidR="009C0A33" w:rsidRPr="00443C3D">
        <w:rPr>
          <w:rFonts w:ascii="ITC Avant Garde" w:eastAsia="Times New Roman" w:hAnsi="ITC Avant Garde" w:cs="Arial"/>
          <w:lang w:val="es-ES_tradnl" w:eastAsia="es-ES"/>
        </w:rPr>
        <w:t>spacio para la coubicación (en metros cuadrados) por operador</w:t>
      </w:r>
      <w:r w:rsidR="00630C49" w:rsidRPr="00443C3D">
        <w:rPr>
          <w:rFonts w:ascii="ITC Avant Garde" w:eastAsia="Times New Roman" w:hAnsi="ITC Avant Garde" w:cs="Arial"/>
          <w:lang w:val="es-ES_tradnl" w:eastAsia="es-ES"/>
        </w:rPr>
        <w:t>.</w:t>
      </w:r>
    </w:p>
    <w:p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C</w:t>
      </w:r>
      <w:r w:rsidR="009C0A33" w:rsidRPr="00443C3D">
        <w:rPr>
          <w:rFonts w:ascii="ITC Avant Garde" w:eastAsia="Times New Roman" w:hAnsi="ITC Avant Garde" w:cs="Arial"/>
          <w:lang w:val="es-ES_tradnl" w:eastAsia="es-ES"/>
        </w:rPr>
        <w:t>onsumo de los equipos (del AEP y de los CS) así como el tipo de acometida eléctrica a utilizar (48V DC o 127V AC)</w:t>
      </w:r>
      <w:r w:rsidR="00630C49" w:rsidRPr="00443C3D">
        <w:rPr>
          <w:rFonts w:ascii="ITC Avant Garde" w:eastAsia="Times New Roman" w:hAnsi="ITC Avant Garde" w:cs="Arial"/>
          <w:lang w:val="es-ES_tradnl" w:eastAsia="es-ES"/>
        </w:rPr>
        <w:t>.</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lastRenderedPageBreak/>
        <w:t>Despliegue y dimensionamiento</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r w:rsidR="00A16EB3" w:rsidRPr="00443C3D">
        <w:rPr>
          <w:rFonts w:ascii="ITC Avant Garde" w:eastAsia="Times New Roman" w:hAnsi="ITC Avant Garde" w:cs="Arial"/>
          <w:lang w:eastAsia="es-ES"/>
        </w:rPr>
        <w:t>.</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El modelo implementa un dimensionamiento eficiente, es decir, se modela una red moderna equivalente a la del concesionario solicitado utilizando un enfoque teórico ascendente (</w:t>
      </w:r>
      <w:r w:rsidRPr="00443C3D">
        <w:rPr>
          <w:rFonts w:ascii="ITC Avant Garde" w:hAnsi="ITC Avant Garde"/>
        </w:rPr>
        <w:t>bottom-up</w:t>
      </w:r>
      <w:r w:rsidRPr="00443C3D">
        <w:rPr>
          <w:rFonts w:ascii="ITC Avant Garde" w:eastAsia="Times New Roman" w:hAnsi="ITC Avant Garde" w:cs="Arial"/>
          <w:lang w:eastAsia="es-ES"/>
        </w:rPr>
        <w:t xml:space="preserve">). No obstante, en algunos casos se utiliza un dimensionamiento </w:t>
      </w:r>
      <w:r w:rsidRPr="00443C3D">
        <w:rPr>
          <w:rFonts w:ascii="ITC Avant Garde" w:hAnsi="ITC Avant Garde"/>
        </w:rPr>
        <w:t>top-down</w:t>
      </w:r>
      <w:r w:rsidRPr="00443C3D">
        <w:rPr>
          <w:rFonts w:ascii="ITC Avant Garde" w:eastAsia="Times New Roman" w:hAnsi="ITC Avant Garde" w:cs="Arial"/>
          <w:lang w:eastAsia="es-ES"/>
        </w:rPr>
        <w:t>, el modelo permite seleccionar las características apropiadas de la central a modelar.</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este sentido, es necesario caracterizar el sitio para el que desee calcular el costo según una serie de parámetros técnicos:</w:t>
      </w:r>
    </w:p>
    <w:p w:rsidR="009C0A33" w:rsidRPr="00443C3D" w:rsidRDefault="009C0A33" w:rsidP="009C0A33">
      <w:pPr>
        <w:spacing w:after="0"/>
        <w:jc w:val="both"/>
        <w:rPr>
          <w:rFonts w:ascii="ITC Avant Garde" w:eastAsia="Times New Roman" w:hAnsi="ITC Avant Garde" w:cs="Arial"/>
          <w:lang w:eastAsia="es-ES"/>
        </w:rPr>
      </w:pPr>
    </w:p>
    <w:p w:rsidR="00163E4D" w:rsidRPr="00443C3D" w:rsidRDefault="009C0A33" w:rsidP="008A19E2">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Geotipo: zona de tarificación alta, media y baja, por consiguiente se refleja un costo diferente por geotipo. La clasificación por geotipo se ha realizado de manera acorde a los convenios de interconexión que diversos concesionarios han suscrito para interconexión directa, y que obran en el registro público de concesiones.</w:t>
      </w:r>
      <w:r w:rsidR="00163E4D" w:rsidRPr="00443C3D">
        <w:rPr>
          <w:rFonts w:ascii="ITC Avant Garde" w:eastAsia="Times New Roman" w:hAnsi="ITC Avant Garde" w:cs="Arial"/>
          <w:lang w:eastAsia="es-ES"/>
        </w:rPr>
        <w:t xml:space="preserve"> </w:t>
      </w:r>
    </w:p>
    <w:p w:rsidR="00C57964" w:rsidRPr="00443C3D" w:rsidRDefault="00C57964" w:rsidP="008A19E2">
      <w:pPr>
        <w:spacing w:after="0" w:line="240" w:lineRule="auto"/>
        <w:ind w:left="720"/>
        <w:jc w:val="both"/>
        <w:rPr>
          <w:rFonts w:ascii="ITC Avant Garde" w:eastAsia="Times New Roman" w:hAnsi="ITC Avant Garde" w:cs="Arial"/>
          <w:lang w:eastAsia="es-ES"/>
        </w:rPr>
      </w:pPr>
    </w:p>
    <w:p w:rsidR="00C57964"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Propiedad del predio: propiedad del AEP, arrendamiento. En este caso se ha utilizado el escenario de un tercero en arrendamiento en virtud de que se considera que refleja mejor las características del mercado.</w:t>
      </w:r>
    </w:p>
    <w:p w:rsidR="00163E4D" w:rsidRPr="00443C3D" w:rsidRDefault="00163E4D" w:rsidP="008A19E2">
      <w:p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 </w:t>
      </w:r>
    </w:p>
    <w:p w:rsidR="00163E4D" w:rsidRPr="00443C3D" w:rsidRDefault="00952C71"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Tamaño de la central: </w:t>
      </w:r>
      <w:r w:rsidR="00C57964" w:rsidRPr="00443C3D">
        <w:rPr>
          <w:rFonts w:ascii="ITC Avant Garde" w:eastAsia="Times New Roman" w:hAnsi="ITC Avant Garde" w:cs="Arial"/>
          <w:lang w:eastAsia="es-ES"/>
        </w:rPr>
        <w:t>El modelo</w:t>
      </w:r>
      <w:r w:rsidRPr="00443C3D">
        <w:rPr>
          <w:rFonts w:ascii="ITC Avant Garde" w:eastAsia="Times New Roman" w:hAnsi="ITC Avant Garde" w:cs="Arial"/>
          <w:lang w:eastAsia="es-ES"/>
        </w:rPr>
        <w:t xml:space="preserve"> </w:t>
      </w:r>
      <w:r w:rsidR="00C57964" w:rsidRPr="00443C3D">
        <w:rPr>
          <w:rFonts w:ascii="ITC Avant Garde" w:eastAsia="Times New Roman" w:hAnsi="ITC Avant Garde" w:cs="Arial"/>
          <w:lang w:eastAsia="es-ES"/>
        </w:rPr>
        <w:t>considera</w:t>
      </w:r>
      <w:r w:rsidRPr="00443C3D">
        <w:rPr>
          <w:rFonts w:ascii="ITC Avant Garde" w:eastAsia="Times New Roman" w:hAnsi="ITC Avant Garde" w:cs="Arial"/>
          <w:lang w:eastAsia="es-ES"/>
        </w:rPr>
        <w:t xml:space="preserve"> 4 </w:t>
      </w:r>
      <w:r w:rsidR="00C57964" w:rsidRPr="00443C3D">
        <w:rPr>
          <w:rFonts w:ascii="ITC Avant Garde" w:eastAsia="Times New Roman" w:hAnsi="ITC Avant Garde" w:cs="Arial"/>
          <w:lang w:eastAsia="es-ES"/>
        </w:rPr>
        <w:t>tamaños</w:t>
      </w:r>
      <w:r w:rsidRPr="00443C3D">
        <w:rPr>
          <w:rFonts w:ascii="ITC Avant Garde" w:eastAsia="Times New Roman" w:hAnsi="ITC Avant Garde" w:cs="Arial"/>
          <w:lang w:eastAsia="es-ES"/>
        </w:rPr>
        <w:t xml:space="preserve"> (pequeña, media, grande y muy grande) de acuerdo al número de bucles de cobre terminados en la </w:t>
      </w:r>
      <w:r w:rsidR="00643B75" w:rsidRPr="00443C3D">
        <w:rPr>
          <w:rFonts w:ascii="ITC Avant Garde" w:eastAsia="Times New Roman" w:hAnsi="ITC Avant Garde" w:cs="Arial"/>
          <w:lang w:eastAsia="es-ES"/>
        </w:rPr>
        <w:t xml:space="preserve">central. </w:t>
      </w:r>
      <w:r w:rsidR="00C57964" w:rsidRPr="00443C3D">
        <w:rPr>
          <w:rFonts w:ascii="ITC Avant Garde" w:eastAsia="Times New Roman" w:hAnsi="ITC Avant Garde" w:cs="Arial"/>
          <w:lang w:eastAsia="es-ES"/>
        </w:rPr>
        <w:t>Dicho número de bucles s</w:t>
      </w:r>
      <w:r w:rsidR="00643B75" w:rsidRPr="00443C3D">
        <w:rPr>
          <w:rFonts w:ascii="ITC Avant Garde" w:eastAsia="Times New Roman" w:hAnsi="ITC Avant Garde" w:cs="Arial"/>
          <w:lang w:eastAsia="es-ES"/>
        </w:rPr>
        <w:t>e</w:t>
      </w:r>
      <w:r w:rsidR="009C0A33" w:rsidRPr="00443C3D">
        <w:rPr>
          <w:rFonts w:ascii="ITC Avant Garde" w:eastAsia="Times New Roman" w:hAnsi="ITC Avant Garde" w:cs="Arial"/>
          <w:lang w:eastAsia="es-ES"/>
        </w:rPr>
        <w:t xml:space="preserve"> utiliza como parámetro para dimensionar el tamaño de la central, </w:t>
      </w:r>
      <w:r w:rsidR="008477D0" w:rsidRPr="00443C3D">
        <w:rPr>
          <w:rFonts w:ascii="ITC Avant Garde" w:eastAsia="Times New Roman" w:hAnsi="ITC Avant Garde" w:cs="Arial"/>
          <w:lang w:eastAsia="es-ES"/>
        </w:rPr>
        <w:t xml:space="preserve">en este caso </w:t>
      </w:r>
      <w:r w:rsidR="009C0A33" w:rsidRPr="00443C3D">
        <w:rPr>
          <w:rFonts w:ascii="ITC Avant Garde" w:eastAsia="Times New Roman" w:hAnsi="ITC Avant Garde" w:cs="Arial"/>
          <w:lang w:eastAsia="es-ES"/>
        </w:rPr>
        <w:t>se considera una central de tamaño medio, la cual cuenta de 501 a 1</w:t>
      </w:r>
      <w:r w:rsidR="00DC449F" w:rsidRPr="00443C3D">
        <w:rPr>
          <w:rFonts w:ascii="ITC Avant Garde" w:eastAsia="Times New Roman" w:hAnsi="ITC Avant Garde" w:cs="Arial"/>
          <w:lang w:eastAsia="es-ES"/>
        </w:rPr>
        <w:t>45</w:t>
      </w:r>
      <w:r w:rsidR="009C0A33" w:rsidRPr="00443C3D">
        <w:rPr>
          <w:rFonts w:ascii="ITC Avant Garde" w:eastAsia="Times New Roman" w:hAnsi="ITC Avant Garde" w:cs="Arial"/>
          <w:lang w:eastAsia="es-ES"/>
        </w:rPr>
        <w:t>0 bucles y que la misma tiene dos pisos.</w:t>
      </w:r>
    </w:p>
    <w:p w:rsidR="00163E4D" w:rsidRPr="00443C3D" w:rsidRDefault="00163E4D" w:rsidP="00024BD3">
      <w:pPr>
        <w:spacing w:after="0" w:line="240" w:lineRule="auto"/>
        <w:jc w:val="both"/>
        <w:rPr>
          <w:rFonts w:ascii="ITC Avant Garde" w:eastAsia="Times New Roman" w:hAnsi="ITC Avant Garde" w:cs="Arial"/>
          <w:lang w:eastAsia="es-ES"/>
        </w:rPr>
      </w:pPr>
    </w:p>
    <w:p w:rsidR="00163E4D" w:rsidRPr="00443C3D" w:rsidRDefault="00952C71" w:rsidP="00163E4D">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Tipo de coubicación requerida: </w:t>
      </w:r>
    </w:p>
    <w:p w:rsidR="00952C71" w:rsidRPr="00443C3D" w:rsidRDefault="00952C71" w:rsidP="00024BD3">
      <w:pPr>
        <w:spacing w:after="0" w:line="240" w:lineRule="auto"/>
        <w:ind w:left="720"/>
        <w:jc w:val="both"/>
        <w:rPr>
          <w:rFonts w:ascii="ITC Avant Garde" w:eastAsia="Times New Roman" w:hAnsi="ITC Avant Garde" w:cs="Arial"/>
          <w:lang w:eastAsia="es-ES"/>
        </w:rPr>
      </w:pPr>
    </w:p>
    <w:p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Coubicación interna. La coubicación se lleva a cabo dentro de la central.</w:t>
      </w:r>
    </w:p>
    <w:p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Coubicación externa. La coubicación se lleva a cabo dentro del predio de la central.</w:t>
      </w:r>
    </w:p>
    <w:p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lastRenderedPageBreak/>
        <w:t>Coubicación equipada. Corresponde a la coubicación tipo 3 (gabinete).</w:t>
      </w:r>
    </w:p>
    <w:p w:rsidR="009C0A33" w:rsidRPr="00443C3D" w:rsidRDefault="009C0A33" w:rsidP="009C0A33">
      <w:pPr>
        <w:spacing w:after="0" w:line="240" w:lineRule="auto"/>
        <w:ind w:left="720"/>
        <w:jc w:val="both"/>
        <w:rPr>
          <w:rFonts w:ascii="ITC Avant Garde" w:eastAsia="Times New Roman" w:hAnsi="ITC Avant Garde" w:cs="Arial"/>
          <w:lang w:eastAsia="es-ES"/>
        </w:rPr>
      </w:pPr>
    </w:p>
    <w:p w:rsidR="009C0A33"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El espacio de coubicación servirá de base para el dimensionamiento de las salas de coubicación (mínimo 4m2).</w:t>
      </w:r>
    </w:p>
    <w:p w:rsidR="009C0A33" w:rsidRPr="00443C3D" w:rsidRDefault="009C0A33" w:rsidP="008A19E2">
      <w:pPr>
        <w:spacing w:after="0" w:line="276" w:lineRule="auto"/>
        <w:ind w:left="714"/>
        <w:jc w:val="both"/>
        <w:rPr>
          <w:rFonts w:ascii="ITC Avant Garde" w:eastAsia="Times New Roman" w:hAnsi="ITC Avant Garde" w:cs="Arial"/>
          <w:lang w:eastAsia="es-ES"/>
        </w:rPr>
      </w:pPr>
    </w:p>
    <w:p w:rsidR="009C0A33"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rsidR="009C0A33" w:rsidRPr="00443C3D" w:rsidRDefault="009C0A33" w:rsidP="008A19E2">
      <w:pPr>
        <w:spacing w:after="0" w:line="276" w:lineRule="auto"/>
        <w:ind w:left="714"/>
        <w:jc w:val="both"/>
        <w:rPr>
          <w:rFonts w:ascii="ITC Avant Garde" w:eastAsia="Times New Roman" w:hAnsi="ITC Avant Garde" w:cs="Arial"/>
          <w:lang w:eastAsia="es-ES"/>
        </w:rPr>
      </w:pPr>
    </w:p>
    <w:p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Tipo de acometida eléctrica: AC_127V, DC_48V</w:t>
      </w:r>
    </w:p>
    <w:p w:rsidR="00FC1081" w:rsidRPr="00443C3D" w:rsidRDefault="00FC1081" w:rsidP="00024BD3">
      <w:pPr>
        <w:spacing w:after="0" w:line="240" w:lineRule="auto"/>
        <w:ind w:left="720"/>
        <w:jc w:val="both"/>
        <w:rPr>
          <w:rFonts w:ascii="ITC Avant Garde" w:eastAsia="Times New Roman" w:hAnsi="ITC Avant Garde" w:cs="Arial"/>
          <w:lang w:eastAsia="es-ES"/>
        </w:rPr>
      </w:pPr>
    </w:p>
    <w:p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Aire acondicionado: sí (presente), no (ausente)</w:t>
      </w:r>
    </w:p>
    <w:p w:rsidR="00FC1081" w:rsidRPr="00443C3D" w:rsidRDefault="00FC1081" w:rsidP="00024BD3">
      <w:pPr>
        <w:spacing w:after="0" w:line="240" w:lineRule="auto"/>
        <w:ind w:left="720"/>
        <w:jc w:val="both"/>
        <w:rPr>
          <w:rFonts w:ascii="ITC Avant Garde" w:eastAsia="Times New Roman" w:hAnsi="ITC Avant Garde" w:cs="Arial"/>
          <w:lang w:eastAsia="es-ES"/>
        </w:rPr>
      </w:pPr>
    </w:p>
    <w:p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Fuente de energía de respaldo: sí (presente), no (ausente)</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Por su parte, las salas ubicadas en la central del AEP</w:t>
      </w:r>
      <w:r w:rsidR="006569C9" w:rsidRPr="00443C3D">
        <w:rPr>
          <w:rFonts w:ascii="ITC Avant Garde" w:eastAsia="Times New Roman" w:hAnsi="ITC Avant Garde" w:cs="Arial"/>
          <w:lang w:eastAsia="es-ES"/>
        </w:rPr>
        <w:t xml:space="preserve"> consideradas en el modelo</w:t>
      </w:r>
      <w:r w:rsidRPr="00443C3D">
        <w:rPr>
          <w:rFonts w:ascii="ITC Avant Garde" w:eastAsia="Times New Roman" w:hAnsi="ITC Avant Garde" w:cs="Arial"/>
          <w:lang w:eastAsia="es-ES"/>
        </w:rPr>
        <w:t xml:space="preserve"> se dimensionan en base a los siguientes parámetros</w:t>
      </w:r>
      <w:r w:rsidR="00770E24" w:rsidRPr="00443C3D">
        <w:rPr>
          <w:rFonts w:ascii="ITC Avant Garde" w:eastAsia="Times New Roman" w:hAnsi="ITC Avant Garde" w:cs="Arial"/>
          <w:lang w:eastAsia="es-ES"/>
        </w:rPr>
        <w:t>:</w:t>
      </w:r>
    </w:p>
    <w:p w:rsidR="00770E24" w:rsidRPr="00443C3D" w:rsidRDefault="00770E24" w:rsidP="00024BD3">
      <w:pPr>
        <w:spacing w:after="0"/>
        <w:rPr>
          <w:rFonts w:ascii="ITC Avant Garde" w:eastAsia="Times New Roman" w:hAnsi="ITC Avant Garde"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0B7CDF" w:rsidRPr="00443C3D" w:rsidTr="00F13970">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b/>
                <w:bCs/>
                <w:sz w:val="18"/>
                <w:szCs w:val="18"/>
                <w:lang w:val="es-ES_tradnl" w:eastAsia="es-ES"/>
              </w:rPr>
              <w:t>Descripción / dimensionamiento</w:t>
            </w:r>
          </w:p>
        </w:tc>
      </w:tr>
      <w:tr w:rsidR="000B7CDF" w:rsidRPr="00443C3D" w:rsidTr="00F13970">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MDF/ODF AEP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0B7CDF" w:rsidRPr="00443C3D"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control se dimensiona en función del tamaño de la central</w:t>
            </w:r>
          </w:p>
        </w:tc>
      </w:tr>
      <w:tr w:rsidR="000B7CDF" w:rsidRPr="00443C3D" w:rsidTr="00F13970">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w:t>
            </w:r>
            <w:r w:rsidRPr="00443C3D">
              <w:rPr>
                <w:rFonts w:ascii="ITC Avant Garde" w:eastAsia="Times New Roman" w:hAnsi="ITC Avant Garde"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La sala de </w:t>
            </w:r>
            <w:r w:rsidRPr="00443C3D">
              <w:rPr>
                <w:rFonts w:ascii="ITC Avant Garde" w:eastAsia="Times New Roman" w:hAnsi="ITC Avant Garde" w:cs="Arial"/>
                <w:i/>
                <w:iCs/>
                <w:sz w:val="18"/>
                <w:szCs w:val="18"/>
                <w:lang w:val="es-ES_tradnl" w:eastAsia="es-ES"/>
              </w:rPr>
              <w:t>switching</w:t>
            </w:r>
            <w:r w:rsidRPr="00443C3D">
              <w:rPr>
                <w:rFonts w:ascii="ITC Avant Garde" w:eastAsia="Times New Roman" w:hAnsi="ITC Avant Garde" w:cs="Arial"/>
                <w:sz w:val="18"/>
                <w:szCs w:val="18"/>
                <w:lang w:val="es-ES_tradnl" w:eastAsia="es-ES"/>
              </w:rPr>
              <w:t xml:space="preserve"> se dimensiona en función del tamaño de la central</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0B7CDF" w:rsidRPr="00443C3D"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aire acondicionado se dimensiona en función del tamaño de la central</w:t>
            </w:r>
          </w:p>
        </w:tc>
      </w:tr>
      <w:tr w:rsidR="000B7CDF" w:rsidRPr="00443C3D"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 xml:space="preserve">Espacio de </w:t>
            </w:r>
            <w:r w:rsidRPr="00443C3D">
              <w:rPr>
                <w:rFonts w:ascii="ITC Avant Garde" w:eastAsia="Times New Roman" w:hAnsi="ITC Avant Garde"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El espacio para </w:t>
            </w:r>
            <w:r w:rsidRPr="00443C3D">
              <w:rPr>
                <w:rFonts w:ascii="ITC Avant Garde" w:eastAsia="Times New Roman" w:hAnsi="ITC Avant Garde" w:cs="Arial"/>
                <w:i/>
                <w:iCs/>
                <w:sz w:val="18"/>
                <w:szCs w:val="18"/>
                <w:lang w:val="es-ES_tradnl" w:eastAsia="es-ES"/>
              </w:rPr>
              <w:t>overheads</w:t>
            </w:r>
            <w:r w:rsidRPr="00443C3D">
              <w:rPr>
                <w:rFonts w:ascii="ITC Avant Garde" w:eastAsia="Times New Roman" w:hAnsi="ITC Avant Garde" w:cs="Arial"/>
                <w:sz w:val="18"/>
                <w:szCs w:val="18"/>
                <w:lang w:val="es-ES_tradnl" w:eastAsia="es-ES"/>
              </w:rPr>
              <w:t xml:space="preserve"> (pasillos, escaleras, baños, etc.) está dimensionado con un </w:t>
            </w:r>
            <w:r w:rsidRPr="00443C3D">
              <w:rPr>
                <w:rFonts w:ascii="ITC Avant Garde" w:eastAsia="Times New Roman" w:hAnsi="ITC Avant Garde" w:cs="Arial"/>
                <w:i/>
                <w:iCs/>
                <w:sz w:val="18"/>
                <w:szCs w:val="18"/>
                <w:lang w:val="es-ES_tradnl" w:eastAsia="es-ES"/>
              </w:rPr>
              <w:t>mark-up</w:t>
            </w:r>
            <w:r w:rsidRPr="00443C3D">
              <w:rPr>
                <w:rFonts w:ascii="ITC Avant Garde" w:eastAsia="Times New Roman" w:hAnsi="ITC Avant Garde" w:cs="Arial"/>
                <w:sz w:val="18"/>
                <w:szCs w:val="18"/>
                <w:lang w:val="es-ES_tradnl" w:eastAsia="es-ES"/>
              </w:rPr>
              <w:t xml:space="preserve"> del área de las salas ‘útiles’ (es decir, suma del área ocupada por las salas)</w:t>
            </w:r>
          </w:p>
        </w:tc>
      </w:tr>
    </w:tbl>
    <w:p w:rsidR="000B7CDF" w:rsidRPr="00443C3D" w:rsidRDefault="000B7CDF" w:rsidP="00024BD3">
      <w:pPr>
        <w:spacing w:after="0"/>
        <w:rPr>
          <w:rFonts w:ascii="ITC Avant Garde" w:eastAsia="Times New Roman" w:hAnsi="ITC Avant Garde" w:cs="Arial"/>
          <w:sz w:val="18"/>
          <w:szCs w:val="18"/>
          <w:lang w:eastAsia="es-ES"/>
        </w:rPr>
      </w:pPr>
    </w:p>
    <w:p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1: Dimensionamiento de las salas. Fuente: Analysys Mason.</w:t>
      </w:r>
    </w:p>
    <w:p w:rsidR="009C0A33" w:rsidRPr="00443C3D" w:rsidRDefault="009C0A33" w:rsidP="009C0A33">
      <w:pPr>
        <w:spacing w:after="0"/>
        <w:jc w:val="both"/>
        <w:rPr>
          <w:rFonts w:ascii="ITC Avant Garde" w:eastAsia="Times New Roman" w:hAnsi="ITC Avant Garde" w:cs="Arial"/>
          <w:lang w:eastAsia="es-ES"/>
        </w:rPr>
      </w:pPr>
    </w:p>
    <w:p w:rsidR="00332AD2" w:rsidRPr="00443C3D" w:rsidRDefault="00332AD2" w:rsidP="00332AD2">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w:t>
      </w:r>
      <w:r w:rsidR="00DC449F" w:rsidRPr="00443C3D">
        <w:rPr>
          <w:rFonts w:ascii="ITC Avant Garde" w:eastAsia="Times New Roman" w:hAnsi="ITC Avant Garde" w:cs="Arial"/>
          <w:lang w:eastAsia="es-ES"/>
        </w:rPr>
        <w:t xml:space="preserve"> un </w:t>
      </w:r>
      <w:r w:rsidRPr="00443C3D">
        <w:rPr>
          <w:rFonts w:ascii="ITC Avant Garde" w:eastAsia="Times New Roman" w:hAnsi="ITC Avant Garde" w:cs="Arial"/>
          <w:lang w:eastAsia="es-ES"/>
        </w:rPr>
        <w:t>tamaño de la central</w:t>
      </w:r>
      <w:r w:rsidR="00DC449F" w:rsidRPr="00443C3D">
        <w:rPr>
          <w:rFonts w:ascii="ITC Avant Garde" w:eastAsia="Times New Roman" w:hAnsi="ITC Avant Garde" w:cs="Arial"/>
          <w:lang w:eastAsia="es-ES"/>
        </w:rPr>
        <w:t xml:space="preserve"> promedio que tiene capacidad de </w:t>
      </w:r>
      <w:r w:rsidR="00E426E3" w:rsidRPr="00443C3D">
        <w:rPr>
          <w:rFonts w:ascii="ITC Avant Garde" w:eastAsia="Times New Roman" w:hAnsi="ITC Avant Garde" w:cs="Arial"/>
          <w:lang w:eastAsia="es-ES"/>
        </w:rPr>
        <w:t xml:space="preserve">501 a </w:t>
      </w:r>
      <w:r w:rsidR="00DC449F" w:rsidRPr="00443C3D">
        <w:rPr>
          <w:rFonts w:ascii="ITC Avant Garde" w:eastAsia="Times New Roman" w:hAnsi="ITC Avant Garde" w:cs="Arial"/>
          <w:lang w:eastAsia="es-ES"/>
        </w:rPr>
        <w:t>1450 bucles</w:t>
      </w:r>
      <w:r w:rsidRPr="00443C3D">
        <w:rPr>
          <w:rFonts w:ascii="ITC Avant Garde" w:eastAsia="Times New Roman" w:hAnsi="ITC Avant Garde" w:cs="Arial"/>
          <w:lang w:eastAsia="es-ES"/>
        </w:rPr>
        <w:t>; otras se han dimensionado en función de la potencia requerida por los equipos instalados en dichas salas.</w:t>
      </w:r>
    </w:p>
    <w:p w:rsidR="002975E1" w:rsidRPr="00443C3D" w:rsidRDefault="002975E1" w:rsidP="00332AD2">
      <w:pPr>
        <w:spacing w:after="0"/>
        <w:jc w:val="both"/>
        <w:rPr>
          <w:rFonts w:ascii="ITC Avant Garde" w:eastAsia="Times New Roman" w:hAnsi="ITC Avant Garde" w:cs="Arial"/>
          <w:lang w:eastAsia="es-ES"/>
        </w:rPr>
      </w:pPr>
    </w:p>
    <w:p w:rsidR="007B0CE8" w:rsidRPr="00443C3D" w:rsidRDefault="002975E1" w:rsidP="00630C49">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Los sistemas de respaldo se dimensionan </w:t>
      </w:r>
      <w:r w:rsidRPr="00443C3D">
        <w:rPr>
          <w:rFonts w:ascii="ITC Avant Garde" w:hAnsi="ITC Avant Garde"/>
        </w:rPr>
        <w:t>bottom-up</w:t>
      </w:r>
      <w:r w:rsidRPr="00443C3D">
        <w:rPr>
          <w:rFonts w:ascii="ITC Avant Garde" w:eastAsia="Times New Roman" w:hAnsi="ITC Avant Garde" w:cs="Arial"/>
          <w:lang w:eastAsia="es-ES"/>
        </w:rPr>
        <w:t xml:space="preserve"> a partir del consumo de energía y del espacio ocupado, respectivamente.</w:t>
      </w:r>
    </w:p>
    <w:p w:rsidR="002975E1" w:rsidRPr="00443C3D" w:rsidRDefault="002975E1" w:rsidP="00630C49">
      <w:pPr>
        <w:spacing w:after="0"/>
        <w:jc w:val="both"/>
        <w:rPr>
          <w:rFonts w:ascii="ITC Avant Garde" w:eastAsia="Times New Roman" w:hAnsi="ITC Avant Garde" w:cs="Arial"/>
          <w:lang w:eastAsia="es-ES"/>
        </w:rPr>
      </w:pPr>
    </w:p>
    <w:p w:rsidR="004F227B" w:rsidRPr="00443C3D" w:rsidRDefault="007B0CE8" w:rsidP="00E426E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el dimensionamiento de las salas de MDF</w:t>
      </w:r>
      <w:r w:rsidR="00E96EED" w:rsidRPr="00443C3D">
        <w:rPr>
          <w:rFonts w:ascii="ITC Avant Garde" w:eastAsia="Times New Roman" w:hAnsi="ITC Avant Garde" w:cs="Arial"/>
          <w:lang w:eastAsia="es-ES"/>
        </w:rPr>
        <w:t>/OD</w:t>
      </w:r>
      <w:r w:rsidR="00C73819" w:rsidRPr="00443C3D">
        <w:rPr>
          <w:rFonts w:ascii="ITC Avant Garde" w:eastAsia="Times New Roman" w:hAnsi="ITC Avant Garde" w:cs="Arial"/>
          <w:lang w:eastAsia="es-ES"/>
        </w:rPr>
        <w:t>F</w:t>
      </w:r>
      <w:r w:rsidRPr="00443C3D">
        <w:rPr>
          <w:rFonts w:ascii="ITC Avant Garde" w:eastAsia="Times New Roman" w:hAnsi="ITC Avant Garde" w:cs="Arial"/>
          <w:lang w:eastAsia="es-ES"/>
        </w:rPr>
        <w:t>, se consideran módulos con capacidad de 800 bucles y dimensiones de 0.18 metros de ancho por 1.30 metros de profundidad.</w:t>
      </w:r>
      <w:r w:rsidR="00D95FDF" w:rsidRPr="00443C3D">
        <w:rPr>
          <w:rFonts w:ascii="ITC Avant Garde" w:eastAsia="Times New Roman" w:hAnsi="ITC Avant Garde" w:cs="Arial"/>
          <w:lang w:eastAsia="es-ES"/>
        </w:rPr>
        <w:t xml:space="preserve"> </w:t>
      </w:r>
      <w:r w:rsidR="004632C0" w:rsidRPr="00443C3D">
        <w:rPr>
          <w:rFonts w:ascii="ITC Avant Garde" w:eastAsia="Times New Roman" w:hAnsi="ITC Avant Garde" w:cs="Arial"/>
          <w:lang w:eastAsia="es-ES"/>
        </w:rPr>
        <w:t>Con</w:t>
      </w:r>
      <w:r w:rsidR="00D95FDF" w:rsidRPr="00443C3D">
        <w:rPr>
          <w:rFonts w:ascii="ITC Avant Garde" w:eastAsia="Times New Roman" w:hAnsi="ITC Avant Garde" w:cs="Arial"/>
          <w:lang w:eastAsia="es-ES"/>
        </w:rPr>
        <w:t xml:space="preserve"> base </w:t>
      </w:r>
      <w:r w:rsidR="004632C0" w:rsidRPr="00443C3D">
        <w:rPr>
          <w:rFonts w:ascii="ITC Avant Garde" w:eastAsia="Times New Roman" w:hAnsi="ITC Avant Garde" w:cs="Arial"/>
          <w:lang w:eastAsia="es-ES"/>
        </w:rPr>
        <w:t>en</w:t>
      </w:r>
      <w:r w:rsidR="00D95FDF" w:rsidRPr="00443C3D">
        <w:rPr>
          <w:rFonts w:ascii="ITC Avant Garde" w:eastAsia="Times New Roman" w:hAnsi="ITC Avant Garde" w:cs="Arial"/>
          <w:lang w:eastAsia="es-ES"/>
        </w:rPr>
        <w:t xml:space="preserve"> la capacidad de los módulos MDF y los tamaños definidos para las c</w:t>
      </w:r>
      <w:r w:rsidR="004F227B" w:rsidRPr="00443C3D">
        <w:rPr>
          <w:rFonts w:ascii="ITC Avant Garde" w:eastAsia="Times New Roman" w:hAnsi="ITC Avant Garde" w:cs="Arial"/>
          <w:lang w:eastAsia="es-ES"/>
        </w:rPr>
        <w:t>entra</w:t>
      </w:r>
      <w:r w:rsidR="005A23B8" w:rsidRPr="00443C3D">
        <w:rPr>
          <w:rFonts w:ascii="ITC Avant Garde" w:eastAsia="Times New Roman" w:hAnsi="ITC Avant Garde" w:cs="Arial"/>
          <w:lang w:eastAsia="es-ES"/>
        </w:rPr>
        <w:t xml:space="preserve">les del AEP, </w:t>
      </w:r>
      <w:r w:rsidR="00DC449F" w:rsidRPr="00443C3D">
        <w:rPr>
          <w:rFonts w:ascii="ITC Avant Garde" w:eastAsia="Times New Roman" w:hAnsi="ITC Avant Garde" w:cs="Arial"/>
          <w:lang w:eastAsia="es-ES"/>
        </w:rPr>
        <w:t xml:space="preserve">se requieren 2 módulos MDF para una </w:t>
      </w:r>
      <w:r w:rsidR="00E426E3" w:rsidRPr="00443C3D">
        <w:rPr>
          <w:rFonts w:ascii="ITC Avant Garde" w:eastAsia="Times New Roman" w:hAnsi="ITC Avant Garde" w:cs="Arial"/>
          <w:lang w:eastAsia="es-ES"/>
        </w:rPr>
        <w:t>c</w:t>
      </w:r>
      <w:r w:rsidR="00DC449F" w:rsidRPr="00443C3D">
        <w:rPr>
          <w:rFonts w:ascii="ITC Avant Garde" w:eastAsia="Times New Roman" w:hAnsi="ITC Avant Garde" w:cs="Arial"/>
          <w:lang w:eastAsia="es-ES"/>
        </w:rPr>
        <w:t xml:space="preserve">entral </w:t>
      </w:r>
      <w:r w:rsidR="00E426E3" w:rsidRPr="00443C3D">
        <w:rPr>
          <w:rFonts w:ascii="ITC Avant Garde" w:eastAsia="Times New Roman" w:hAnsi="ITC Avant Garde" w:cs="Arial"/>
          <w:lang w:eastAsia="es-ES"/>
        </w:rPr>
        <w:t>promedio</w:t>
      </w:r>
      <w:r w:rsidR="00DC449F" w:rsidRPr="00443C3D">
        <w:rPr>
          <w:rFonts w:ascii="ITC Avant Garde" w:eastAsia="Times New Roman" w:hAnsi="ITC Avant Garde" w:cs="Arial"/>
          <w:lang w:eastAsia="es-ES"/>
        </w:rPr>
        <w:t>.</w:t>
      </w:r>
    </w:p>
    <w:p w:rsidR="00F35100" w:rsidRPr="00443C3D" w:rsidRDefault="00F35100" w:rsidP="00F35100">
      <w:pPr>
        <w:spacing w:after="0"/>
        <w:jc w:val="both"/>
        <w:rPr>
          <w:rFonts w:ascii="ITC Avant Garde" w:eastAsia="Times New Roman" w:hAnsi="ITC Avant Garde" w:cs="Arial"/>
          <w:lang w:eastAsia="es-ES"/>
        </w:rPr>
      </w:pPr>
    </w:p>
    <w:p w:rsidR="00F35100" w:rsidRPr="00443C3D" w:rsidRDefault="00F35100" w:rsidP="00F35100">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Se asumen 1.5 m</w:t>
      </w:r>
      <w:r w:rsidR="00E05F50" w:rsidRPr="00443C3D">
        <w:rPr>
          <w:rFonts w:ascii="ITC Avant Garde" w:eastAsia="Times New Roman" w:hAnsi="ITC Avant Garde" w:cs="Arial"/>
          <w:lang w:eastAsia="es-ES"/>
        </w:rPr>
        <w:t>etros</w:t>
      </w:r>
      <w:r w:rsidR="00E449C7" w:rsidRPr="00443C3D">
        <w:rPr>
          <w:rFonts w:ascii="ITC Avant Garde" w:eastAsia="Times New Roman" w:hAnsi="ITC Avant Garde" w:cs="Arial"/>
          <w:vertAlign w:val="superscript"/>
          <w:lang w:eastAsia="es-ES"/>
        </w:rPr>
        <w:t xml:space="preserve"> </w:t>
      </w:r>
      <w:r w:rsidRPr="00443C3D">
        <w:rPr>
          <w:rFonts w:ascii="ITC Avant Garde" w:eastAsia="Times New Roman" w:hAnsi="ITC Avant Garde" w:cs="Arial"/>
          <w:lang w:eastAsia="es-ES"/>
        </w:rPr>
        <w:t>para mani</w:t>
      </w:r>
      <w:r w:rsidR="00BD5458" w:rsidRPr="00443C3D">
        <w:rPr>
          <w:rFonts w:ascii="ITC Avant Garde" w:eastAsia="Times New Roman" w:hAnsi="ITC Avant Garde" w:cs="Arial"/>
          <w:lang w:eastAsia="es-ES"/>
        </w:rPr>
        <w:t>obra a</w:t>
      </w:r>
      <w:r w:rsidRPr="00443C3D">
        <w:rPr>
          <w:rFonts w:ascii="ITC Avant Garde" w:eastAsia="Times New Roman" w:hAnsi="ITC Avant Garde" w:cs="Arial"/>
          <w:lang w:eastAsia="es-ES"/>
        </w:rPr>
        <w:t xml:space="preserve"> </w:t>
      </w:r>
      <w:r w:rsidR="00E449C7" w:rsidRPr="00443C3D">
        <w:rPr>
          <w:rFonts w:ascii="ITC Avant Garde" w:eastAsia="Times New Roman" w:hAnsi="ITC Avant Garde" w:cs="Arial"/>
          <w:lang w:eastAsia="es-ES"/>
        </w:rPr>
        <w:t xml:space="preserve">cada </w:t>
      </w:r>
      <w:r w:rsidRPr="00443C3D">
        <w:rPr>
          <w:rFonts w:ascii="ITC Avant Garde" w:eastAsia="Times New Roman" w:hAnsi="ITC Avant Garde" w:cs="Arial"/>
          <w:lang w:eastAsia="es-ES"/>
        </w:rPr>
        <w:t>lado</w:t>
      </w:r>
      <w:r w:rsidR="005A23B8" w:rsidRPr="00443C3D">
        <w:rPr>
          <w:rFonts w:ascii="ITC Avant Garde" w:eastAsia="Times New Roman" w:hAnsi="ITC Avant Garde" w:cs="Arial"/>
          <w:lang w:eastAsia="es-ES"/>
        </w:rPr>
        <w:t>, tanto en ancho como en profundidad,</w:t>
      </w:r>
      <w:r w:rsidRPr="00443C3D">
        <w:rPr>
          <w:rFonts w:ascii="ITC Avant Garde" w:eastAsia="Times New Roman" w:hAnsi="ITC Avant Garde" w:cs="Arial"/>
          <w:lang w:eastAsia="es-ES"/>
        </w:rPr>
        <w:t xml:space="preserve"> en el cual se incluye el espacio necesario para el aire acondicionado y las acometidas.</w:t>
      </w:r>
    </w:p>
    <w:p w:rsidR="00603617" w:rsidRPr="00443C3D" w:rsidRDefault="00603617" w:rsidP="00F35100">
      <w:pPr>
        <w:spacing w:after="0"/>
        <w:jc w:val="both"/>
        <w:rPr>
          <w:rFonts w:ascii="ITC Avant Garde" w:eastAsia="Times New Roman" w:hAnsi="ITC Avant Garde" w:cs="Arial"/>
          <w:lang w:eastAsia="es-ES"/>
        </w:rPr>
      </w:pPr>
    </w:p>
    <w:p w:rsidR="00603617" w:rsidRPr="00443C3D" w:rsidRDefault="00603617" w:rsidP="00F35100">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Para dimensionar la sala de </w:t>
      </w:r>
      <w:r w:rsidR="00B42050" w:rsidRPr="00443C3D">
        <w:rPr>
          <w:rFonts w:ascii="ITC Avant Garde" w:eastAsia="Times New Roman" w:hAnsi="ITC Avant Garde" w:cs="Arial"/>
          <w:lang w:eastAsia="es-ES"/>
        </w:rPr>
        <w:t>switching, se consideraron gabinetes</w:t>
      </w:r>
      <w:r w:rsidRPr="00443C3D">
        <w:rPr>
          <w:rFonts w:ascii="ITC Avant Garde" w:eastAsia="Times New Roman" w:hAnsi="ITC Avant Garde" w:cs="Arial"/>
          <w:lang w:eastAsia="es-ES"/>
        </w:rPr>
        <w:t xml:space="preserve"> de 0.6 metros de ancho por 0.8 metros de profundidad</w:t>
      </w:r>
      <w:r w:rsidR="00E05F50" w:rsidRPr="00443C3D">
        <w:rPr>
          <w:rFonts w:ascii="ITC Avant Garde" w:eastAsia="Times New Roman" w:hAnsi="ITC Avant Garde" w:cs="Arial"/>
          <w:lang w:eastAsia="es-ES"/>
        </w:rPr>
        <w:t>, con un espacio adicional de</w:t>
      </w:r>
      <w:r w:rsidR="001B1B85" w:rsidRPr="00443C3D">
        <w:rPr>
          <w:rFonts w:ascii="ITC Avant Garde" w:eastAsia="Times New Roman" w:hAnsi="ITC Avant Garde" w:cs="Arial"/>
          <w:lang w:eastAsia="es-ES"/>
        </w:rPr>
        <w:t xml:space="preserve"> 1.5</w:t>
      </w:r>
      <w:r w:rsidR="00BD5458" w:rsidRPr="00443C3D">
        <w:rPr>
          <w:rFonts w:ascii="ITC Avant Garde" w:eastAsia="Times New Roman" w:hAnsi="ITC Avant Garde" w:cs="Arial"/>
          <w:lang w:eastAsia="es-ES"/>
        </w:rPr>
        <w:t xml:space="preserve"> metros para maniobra a</w:t>
      </w:r>
      <w:r w:rsidR="00E05F50" w:rsidRPr="00443C3D">
        <w:rPr>
          <w:rFonts w:ascii="ITC Avant Garde" w:eastAsia="Times New Roman" w:hAnsi="ITC Avant Garde" w:cs="Arial"/>
          <w:lang w:eastAsia="es-ES"/>
        </w:rPr>
        <w:t xml:space="preserve"> cada lado</w:t>
      </w:r>
      <w:r w:rsidR="00BD5458" w:rsidRPr="00443C3D">
        <w:rPr>
          <w:rFonts w:ascii="ITC Avant Garde" w:eastAsia="Times New Roman" w:hAnsi="ITC Avant Garde" w:cs="Arial"/>
          <w:lang w:eastAsia="es-ES"/>
        </w:rPr>
        <w:t>, tanto en ancho como en profundidad</w:t>
      </w:r>
      <w:r w:rsidR="00E05F50" w:rsidRPr="00443C3D">
        <w:rPr>
          <w:rFonts w:ascii="ITC Avant Garde" w:eastAsia="Times New Roman" w:hAnsi="ITC Avant Garde" w:cs="Arial"/>
          <w:lang w:eastAsia="es-ES"/>
        </w:rPr>
        <w:t>.</w:t>
      </w:r>
      <w:r w:rsidR="00B42050" w:rsidRPr="00443C3D">
        <w:rPr>
          <w:rFonts w:ascii="ITC Avant Garde" w:eastAsia="Times New Roman" w:hAnsi="ITC Avant Garde" w:cs="Arial"/>
          <w:lang w:eastAsia="es-ES"/>
        </w:rPr>
        <w:t xml:space="preserve"> Derivado de lo anterior se proyectaron el número de gabinetes necesarios 4 gabinetes para central media, 8 gabinetes para central grande y 12 gabinetes para central muy grande.</w:t>
      </w:r>
      <w:r w:rsidR="006A6D1D" w:rsidRPr="00443C3D">
        <w:rPr>
          <w:rFonts w:ascii="ITC Avant Garde" w:eastAsia="Times New Roman" w:hAnsi="ITC Avant Garde" w:cs="Arial"/>
          <w:lang w:eastAsia="es-ES"/>
        </w:rPr>
        <w:t xml:space="preserve"> Se utilizaron las mismas consideraciones en cuanto a dimensiones y cantidad de gabinetes necesarios para el dimensionamiento de la sala de transmisión. </w:t>
      </w:r>
    </w:p>
    <w:p w:rsidR="00D95FDF" w:rsidRPr="00443C3D" w:rsidRDefault="00D95FDF" w:rsidP="00630C49">
      <w:pPr>
        <w:spacing w:after="0"/>
        <w:jc w:val="both"/>
        <w:rPr>
          <w:rFonts w:ascii="ITC Avant Garde" w:eastAsia="Times New Roman" w:hAnsi="ITC Avant Garde" w:cs="Arial"/>
          <w:lang w:eastAsia="es-ES"/>
        </w:rPr>
      </w:pPr>
    </w:p>
    <w:tbl>
      <w:tblPr>
        <w:tblW w:w="5000" w:type="pct"/>
        <w:tblCellMar>
          <w:left w:w="0" w:type="dxa"/>
          <w:right w:w="0" w:type="dxa"/>
        </w:tblCellMar>
        <w:tblLook w:val="0420" w:firstRow="1" w:lastRow="0" w:firstColumn="0" w:lastColumn="0" w:noHBand="0" w:noVBand="1"/>
      </w:tblPr>
      <w:tblGrid>
        <w:gridCol w:w="2560"/>
        <w:gridCol w:w="2854"/>
        <w:gridCol w:w="988"/>
        <w:gridCol w:w="735"/>
        <w:gridCol w:w="859"/>
        <w:gridCol w:w="822"/>
      </w:tblGrid>
      <w:tr w:rsidR="00332AD2" w:rsidRPr="00443C3D" w:rsidTr="00F13970">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Supuestos</w:t>
            </w:r>
            <w:r w:rsidR="00E426E3" w:rsidRPr="00443C3D">
              <w:rPr>
                <w:rFonts w:ascii="ITC Avant Garde" w:eastAsia="Times New Roman" w:hAnsi="ITC Avant Garde" w:cs="Arial"/>
                <w:b/>
                <w:bCs/>
                <w:color w:val="FFFFFF" w:themeColor="background1"/>
                <w:sz w:val="18"/>
                <w:szCs w:val="18"/>
                <w:lang w:val="es-ES_tradnl" w:eastAsia="es-ES"/>
              </w:rPr>
              <w:t xml:space="preserve">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Muy grande</w:t>
            </w:r>
          </w:p>
        </w:tc>
      </w:tr>
      <w:tr w:rsidR="00332AD2" w:rsidRPr="00443C3D" w:rsidTr="00F13970">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MDF/ODF del AEP</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32AD2" w:rsidRPr="00443C3D" w:rsidRDefault="00332AD2" w:rsidP="004D2026">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Dimensionamiento ascendente (</w:t>
            </w:r>
            <w:r w:rsidRPr="00443C3D">
              <w:rPr>
                <w:rFonts w:ascii="ITC Avant Garde" w:eastAsia="Times New Roman" w:hAnsi="ITC Avant Garde" w:cs="Arial"/>
                <w:i/>
                <w:iCs/>
                <w:sz w:val="18"/>
                <w:szCs w:val="18"/>
                <w:lang w:val="es-ES_tradnl" w:eastAsia="es-ES"/>
              </w:rPr>
              <w:t>bottom-up</w:t>
            </w:r>
            <w:r w:rsidRPr="00443C3D">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14m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14m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17m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23m</w:t>
            </w:r>
            <w:r w:rsidRPr="00443C3D">
              <w:rPr>
                <w:rFonts w:ascii="ITC Avant Garde" w:eastAsia="Times New Roman" w:hAnsi="ITC Avant Garde" w:cs="Arial"/>
                <w:sz w:val="18"/>
                <w:szCs w:val="18"/>
                <w:vertAlign w:val="superscript"/>
                <w:lang w:val="es-ES_tradnl" w:eastAsia="es-ES"/>
              </w:rPr>
              <w:t>2</w:t>
            </w:r>
          </w:p>
        </w:tc>
      </w:tr>
      <w:tr w:rsidR="00332AD2" w:rsidRPr="00443C3D" w:rsidTr="00F13970">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10m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10m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15m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15m</w:t>
            </w:r>
            <w:r w:rsidRPr="00443C3D">
              <w:rPr>
                <w:rFonts w:ascii="ITC Avant Garde" w:eastAsia="Times New Roman" w:hAnsi="ITC Avant Garde" w:cs="Arial"/>
                <w:sz w:val="18"/>
                <w:szCs w:val="18"/>
                <w:vertAlign w:val="superscript"/>
                <w:lang w:val="es-ES_tradnl" w:eastAsia="es-ES"/>
              </w:rPr>
              <w:t>2</w:t>
            </w:r>
          </w:p>
        </w:tc>
      </w:tr>
      <w:tr w:rsidR="00332AD2" w:rsidRPr="00443C3D" w:rsidTr="00F13970">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w:t>
            </w:r>
            <w:r w:rsidRPr="00443C3D">
              <w:rPr>
                <w:rFonts w:ascii="ITC Avant Garde" w:eastAsia="Times New Roman" w:hAnsi="ITC Avant Garde" w:cs="Arial"/>
                <w:i/>
                <w:iCs/>
                <w:sz w:val="18"/>
                <w:szCs w:val="18"/>
                <w:lang w:val="es-ES_tradnl" w:eastAsia="es-ES"/>
              </w:rPr>
              <w:t>switching</w:t>
            </w:r>
            <w:r w:rsidRPr="00443C3D">
              <w:rPr>
                <w:rFonts w:ascii="ITC Avant Garde" w:eastAsia="Times New Roman" w:hAnsi="ITC Avant Garde" w:cs="Arial"/>
                <w:sz w:val="18"/>
                <w:szCs w:val="18"/>
                <w:lang w:val="es-ES_tradnl" w:eastAsia="es-ES"/>
              </w:rPr>
              <w:t xml:space="preserve"> del AEP</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32AD2" w:rsidRPr="00443C3D" w:rsidRDefault="00332AD2" w:rsidP="004D2026">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Número de racks por tamaño de central: </w:t>
            </w:r>
            <w:r w:rsidRPr="00443C3D">
              <w:rPr>
                <w:rFonts w:ascii="ITC Avant Garde" w:eastAsia="Times New Roman" w:hAnsi="ITC Avant Garde"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16m</w:t>
            </w:r>
            <w:r w:rsidRPr="00443C3D">
              <w:rPr>
                <w:rFonts w:ascii="ITC Avant Garde" w:eastAsia="Times New Roman" w:hAnsi="ITC Avant Garde"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21m</w:t>
            </w:r>
            <w:r w:rsidRPr="00443C3D">
              <w:rPr>
                <w:rFonts w:ascii="ITC Avant Garde" w:eastAsia="Times New Roman" w:hAnsi="ITC Avant Garde"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30m</w:t>
            </w:r>
            <w:r w:rsidRPr="00443C3D">
              <w:rPr>
                <w:rFonts w:ascii="ITC Avant Garde" w:eastAsia="Times New Roman" w:hAnsi="ITC Avant Garde"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39m</w:t>
            </w:r>
            <w:r w:rsidRPr="00443C3D">
              <w:rPr>
                <w:rFonts w:ascii="ITC Avant Garde" w:eastAsia="Times New Roman" w:hAnsi="ITC Avant Garde" w:cs="Arial"/>
                <w:sz w:val="18"/>
                <w:szCs w:val="18"/>
                <w:vertAlign w:val="superscript"/>
                <w:lang w:val="es-ES_tradnl" w:eastAsia="es-ES"/>
              </w:rPr>
              <w:t>2</w:t>
            </w:r>
          </w:p>
        </w:tc>
      </w:tr>
      <w:tr w:rsidR="00332AD2" w:rsidRPr="00443C3D" w:rsidTr="00F13970">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Sala de equipos de transmisión del AEP</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32AD2" w:rsidRPr="00443C3D" w:rsidRDefault="00332AD2" w:rsidP="004D2026">
            <w:pPr>
              <w:spacing w:after="0"/>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 xml:space="preserve">Número de racks por tamaño de central: </w:t>
            </w:r>
            <w:r w:rsidR="006569C9" w:rsidRPr="00443C3D">
              <w:rPr>
                <w:rFonts w:ascii="ITC Avant Garde" w:eastAsia="Times New Roman" w:hAnsi="ITC Avant Garde" w:cs="Arial"/>
                <w:sz w:val="18"/>
                <w:szCs w:val="18"/>
                <w:lang w:val="es-ES_tradnl" w:eastAsia="es-ES"/>
              </w:rPr>
              <w:t xml:space="preserve"> </w:t>
            </w:r>
            <w:r w:rsidRPr="00443C3D">
              <w:rPr>
                <w:rFonts w:ascii="ITC Avant Garde" w:eastAsia="Times New Roman" w:hAnsi="ITC Avant Garde" w:cs="Arial"/>
                <w:sz w:val="18"/>
                <w:szCs w:val="18"/>
                <w:lang w:val="es-ES_tradnl" w:eastAsia="es-ES"/>
              </w:rPr>
              <w:t>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16m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21m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30m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39m</w:t>
            </w:r>
            <w:r w:rsidRPr="00443C3D">
              <w:rPr>
                <w:rFonts w:ascii="ITC Avant Garde" w:eastAsia="Times New Roman" w:hAnsi="ITC Avant Garde" w:cs="Arial"/>
                <w:sz w:val="18"/>
                <w:szCs w:val="18"/>
                <w:vertAlign w:val="superscript"/>
                <w:lang w:val="es-ES_tradnl" w:eastAsia="es-ES"/>
              </w:rPr>
              <w:t>2</w:t>
            </w:r>
          </w:p>
        </w:tc>
      </w:tr>
    </w:tbl>
    <w:p w:rsidR="00C73819" w:rsidRPr="00443C3D" w:rsidRDefault="00C73819" w:rsidP="009C0A33">
      <w:pPr>
        <w:spacing w:after="0"/>
        <w:jc w:val="both"/>
        <w:rPr>
          <w:rFonts w:ascii="ITC Avant Garde" w:eastAsia="Times New Roman" w:hAnsi="ITC Avant Garde" w:cs="Arial"/>
          <w:sz w:val="18"/>
          <w:szCs w:val="18"/>
          <w:lang w:eastAsia="es-ES"/>
        </w:rPr>
      </w:pPr>
    </w:p>
    <w:p w:rsidR="00C73819" w:rsidRPr="00443C3D" w:rsidRDefault="00C73819" w:rsidP="00C73819">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2: Dimensionamiento de las salas del AEP. Fuente: Analysys Mason</w:t>
      </w:r>
    </w:p>
    <w:p w:rsidR="00C73819" w:rsidRPr="00443C3D" w:rsidRDefault="00C73819" w:rsidP="009C0A33">
      <w:pPr>
        <w:spacing w:after="0"/>
        <w:jc w:val="both"/>
        <w:rPr>
          <w:rFonts w:ascii="ITC Avant Garde" w:eastAsia="Times New Roman" w:hAnsi="ITC Avant Garde" w:cs="Arial"/>
          <w:lang w:eastAsia="es-ES"/>
        </w:rPr>
      </w:pPr>
    </w:p>
    <w:p w:rsidR="00C73819" w:rsidRPr="00443C3D" w:rsidRDefault="00C73819"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Los</w:t>
      </w:r>
      <w:r w:rsidRPr="00443C3D">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rsidR="00C73819" w:rsidRPr="00443C3D" w:rsidRDefault="00C73819" w:rsidP="009C0A33">
      <w:pPr>
        <w:spacing w:after="0"/>
        <w:jc w:val="both"/>
        <w:rPr>
          <w:rFonts w:ascii="ITC Avant Garde" w:eastAsia="Times New Roman" w:hAnsi="ITC Avant Garde" w:cs="Arial"/>
          <w:lang w:eastAsia="es-ES"/>
        </w:rPr>
      </w:pPr>
    </w:p>
    <w:tbl>
      <w:tblPr>
        <w:tblW w:w="5000" w:type="pct"/>
        <w:jc w:val="center"/>
        <w:tblCellMar>
          <w:left w:w="0" w:type="dxa"/>
          <w:right w:w="0" w:type="dxa"/>
        </w:tblCellMar>
        <w:tblLook w:val="0420" w:firstRow="1" w:lastRow="0" w:firstColumn="0" w:lastColumn="0" w:noHBand="0" w:noVBand="1"/>
      </w:tblPr>
      <w:tblGrid>
        <w:gridCol w:w="2838"/>
        <w:gridCol w:w="5980"/>
      </w:tblGrid>
      <w:tr w:rsidR="00C73819" w:rsidRPr="00443C3D" w:rsidTr="00C73819">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rsidR="00C73819" w:rsidRPr="00443C3D" w:rsidRDefault="00C73819" w:rsidP="006B4593">
            <w:pPr>
              <w:spacing w:after="0"/>
              <w:jc w:val="both"/>
              <w:rPr>
                <w:rFonts w:ascii="ITC Avant Garde" w:hAnsi="ITC Avant Garde"/>
                <w:sz w:val="20"/>
              </w:rPr>
            </w:pPr>
            <w:r w:rsidRPr="00443C3D">
              <w:rPr>
                <w:rFonts w:ascii="ITC Avant Garde" w:hAnsi="ITC Avant Garde"/>
                <w:b/>
                <w:sz w:val="20"/>
                <w:lang w:val="es-ES_tradnl"/>
              </w:rPr>
              <w:t>Descripción/dimensiones</w:t>
            </w:r>
          </w:p>
        </w:tc>
      </w:tr>
      <w:tr w:rsidR="00C73819" w:rsidRPr="00443C3D" w:rsidTr="00C73819">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0.5 m2/kW (p.ej. 25 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 xml:space="preserve"> para centrales medianas)</w:t>
            </w:r>
          </w:p>
        </w:tc>
      </w:tr>
      <w:tr w:rsidR="00C73819" w:rsidRPr="00443C3D" w:rsidTr="00C73819">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 xml:space="preserve">Se dimensiona el motor y el tanque de diésel en base a la potencia de los equipos y a la fuente de respaldo requerida, más un </w:t>
            </w:r>
            <w:r w:rsidRPr="00443C3D">
              <w:rPr>
                <w:rFonts w:ascii="ITC Avant Garde" w:hAnsi="ITC Avant Garde"/>
                <w:sz w:val="20"/>
                <w:lang w:val="es-ES_tradnl"/>
              </w:rPr>
              <w:t>mark-up</w:t>
            </w:r>
            <w:r w:rsidRPr="00443C3D">
              <w:rPr>
                <w:rFonts w:ascii="ITC Avant Garde" w:eastAsia="Times New Roman" w:hAnsi="ITC Avant Garde" w:cs="Arial"/>
                <w:sz w:val="20"/>
                <w:szCs w:val="20"/>
                <w:lang w:val="es-ES_tradnl" w:eastAsia="es-ES"/>
              </w:rPr>
              <w:t xml:space="preserve"> de operación. Una maquina típica necesita menos de 10 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 xml:space="preserve"> de espacio</w:t>
            </w:r>
          </w:p>
        </w:tc>
      </w:tr>
      <w:tr w:rsidR="00C73819" w:rsidRPr="00443C3D" w:rsidTr="00C73819">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0.07m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/unidad</w:t>
            </w:r>
            <w:r w:rsidRPr="00443C3D">
              <w:rPr>
                <w:rFonts w:ascii="ITC Avant Garde" w:eastAsia="Times New Roman" w:hAnsi="ITC Avant Garde" w:cs="Arial"/>
                <w:sz w:val="20"/>
                <w:szCs w:val="20"/>
                <w:lang w:val="es-ES_tradnl" w:eastAsia="es-ES"/>
              </w:rPr>
              <w:br/>
              <w:t>[10-30 unidades de 200Ah necesarias, según la potencia de los equipos]</w:t>
            </w:r>
          </w:p>
        </w:tc>
      </w:tr>
    </w:tbl>
    <w:p w:rsidR="00C73819" w:rsidRPr="00443C3D" w:rsidRDefault="00C73819" w:rsidP="00C73819">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2: Drivers para el dimensionamiento de las salas de energía de la central del AEP. Fuente: Analysys Mason.</w:t>
      </w:r>
    </w:p>
    <w:p w:rsidR="00C31A1D" w:rsidRPr="00443C3D" w:rsidRDefault="00C31A1D" w:rsidP="009C0A33">
      <w:pPr>
        <w:spacing w:after="0"/>
        <w:jc w:val="both"/>
        <w:rPr>
          <w:rFonts w:ascii="ITC Avant Garde" w:eastAsia="Times New Roman" w:hAnsi="ITC Avant Garde" w:cs="Arial"/>
          <w:lang w:eastAsia="es-ES"/>
        </w:rPr>
      </w:pPr>
    </w:p>
    <w:p w:rsidR="00452FB5" w:rsidRPr="00443C3D" w:rsidRDefault="000E5C31" w:rsidP="00E96BF3">
      <w:pPr>
        <w:numPr>
          <w:ilvl w:val="0"/>
          <w:numId w:val="49"/>
        </w:numPr>
        <w:spacing w:after="0"/>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La potencia requerida por las centrales del AEP es </w:t>
      </w:r>
      <w:r w:rsidR="00C31A1D" w:rsidRPr="00443C3D">
        <w:rPr>
          <w:rFonts w:ascii="ITC Avant Garde" w:eastAsia="Times New Roman" w:hAnsi="ITC Avant Garde" w:cs="Arial"/>
          <w:lang w:val="es-ES_tradnl" w:eastAsia="es-ES"/>
        </w:rPr>
        <w:t>un</w:t>
      </w:r>
      <w:r w:rsidRPr="00443C3D">
        <w:rPr>
          <w:rFonts w:ascii="ITC Avant Garde" w:eastAsia="Times New Roman" w:hAnsi="ITC Avant Garde" w:cs="Arial"/>
          <w:lang w:val="es-ES_tradnl" w:eastAsia="es-ES"/>
        </w:rPr>
        <w:t xml:space="preserve"> </w:t>
      </w:r>
      <w:r w:rsidR="00C31A1D" w:rsidRPr="00443C3D">
        <w:rPr>
          <w:rFonts w:ascii="ITC Avant Garde" w:eastAsia="Times New Roman" w:hAnsi="ITC Avant Garde" w:cs="Arial"/>
          <w:lang w:val="es-ES_tradnl" w:eastAsia="es-ES"/>
        </w:rPr>
        <w:t>parámetro</w:t>
      </w:r>
      <w:r w:rsidRPr="00443C3D">
        <w:rPr>
          <w:rFonts w:ascii="ITC Avant Garde" w:eastAsia="Times New Roman" w:hAnsi="ITC Avant Garde" w:cs="Arial"/>
          <w:lang w:val="es-ES_tradnl" w:eastAsia="es-ES"/>
        </w:rPr>
        <w:t xml:space="preserve"> que se tiene que introducir a la hora de calibrar el modelo. </w:t>
      </w:r>
    </w:p>
    <w:p w:rsidR="00452FB5" w:rsidRPr="00443C3D" w:rsidRDefault="000E5C31" w:rsidP="00E96BF3">
      <w:pPr>
        <w:numPr>
          <w:ilvl w:val="1"/>
          <w:numId w:val="49"/>
        </w:numPr>
        <w:spacing w:after="0"/>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rsidR="00C31A1D" w:rsidRPr="00443C3D" w:rsidRDefault="00C31A1D" w:rsidP="00C31A1D">
      <w:pPr>
        <w:spacing w:after="0"/>
        <w:jc w:val="both"/>
        <w:rPr>
          <w:rFonts w:ascii="ITC Avant Garde" w:eastAsia="Times New Roman" w:hAnsi="ITC Avant Garde"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C31A1D" w:rsidRPr="00443C3D" w:rsidTr="006B4593">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rsidR="00C31A1D" w:rsidRPr="00443C3D" w:rsidRDefault="00C31A1D" w:rsidP="006B4593">
            <w:pPr>
              <w:spacing w:after="0"/>
              <w:jc w:val="both"/>
              <w:rPr>
                <w:rFonts w:ascii="ITC Avant Garde" w:eastAsia="Times New Roman" w:hAnsi="ITC Avant Garde"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rsidR="00C31A1D" w:rsidRPr="00443C3D" w:rsidRDefault="00C31A1D" w:rsidP="006B4593">
            <w:pPr>
              <w:spacing w:after="0"/>
              <w:jc w:val="both"/>
              <w:rPr>
                <w:rFonts w:ascii="ITC Avant Garde" w:hAnsi="ITC Avant Garde"/>
                <w:sz w:val="18"/>
                <w:szCs w:val="18"/>
              </w:rPr>
            </w:pPr>
            <w:r w:rsidRPr="00443C3D">
              <w:rPr>
                <w:rFonts w:ascii="ITC Avant Garde" w:hAnsi="ITC Avant Garde"/>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rsidR="00C31A1D" w:rsidRPr="00443C3D" w:rsidRDefault="00C31A1D" w:rsidP="006B4593">
            <w:pPr>
              <w:spacing w:after="0"/>
              <w:jc w:val="both"/>
              <w:rPr>
                <w:rFonts w:ascii="ITC Avant Garde" w:hAnsi="ITC Avant Garde"/>
                <w:sz w:val="18"/>
                <w:szCs w:val="18"/>
              </w:rPr>
            </w:pPr>
            <w:r w:rsidRPr="00443C3D">
              <w:rPr>
                <w:rFonts w:ascii="ITC Avant Garde" w:hAnsi="ITC Avant Garde"/>
                <w:b/>
                <w:sz w:val="18"/>
                <w:szCs w:val="18"/>
                <w:lang w:val="es-ES_tradnl"/>
              </w:rPr>
              <w:t>Backup (horas) en  zonas rurales</w:t>
            </w:r>
          </w:p>
        </w:tc>
      </w:tr>
      <w:tr w:rsidR="00C31A1D" w:rsidRPr="00443C3D" w:rsidTr="006B4593">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rsidR="00C31A1D" w:rsidRPr="00443C3D" w:rsidRDefault="00C31A1D" w:rsidP="006B459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48</w:t>
            </w:r>
          </w:p>
        </w:tc>
      </w:tr>
      <w:tr w:rsidR="00C31A1D" w:rsidRPr="00443C3D" w:rsidTr="006B4593">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rsidR="00C31A1D" w:rsidRPr="00443C3D" w:rsidRDefault="00C31A1D" w:rsidP="006B459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8</w:t>
            </w:r>
          </w:p>
        </w:tc>
      </w:tr>
    </w:tbl>
    <w:p w:rsidR="00C31A1D" w:rsidRPr="00443C3D" w:rsidRDefault="00C31A1D" w:rsidP="00C31A1D">
      <w:pPr>
        <w:spacing w:after="0"/>
        <w:ind w:left="1276"/>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3: Fuente de energía de respaldo. Fuente: Analysys Mason.</w:t>
      </w:r>
    </w:p>
    <w:p w:rsidR="00C31A1D" w:rsidRPr="00443C3D" w:rsidRDefault="00C31A1D"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rsidR="00A2421D" w:rsidRPr="00443C3D" w:rsidRDefault="00A2421D" w:rsidP="009C0A33">
      <w:pPr>
        <w:spacing w:after="0"/>
        <w:jc w:val="both"/>
        <w:rPr>
          <w:rFonts w:ascii="ITC Avant Garde" w:eastAsia="Times New Roman" w:hAnsi="ITC Avant Garde" w:cs="Arial"/>
          <w:lang w:eastAsia="es-ES"/>
        </w:rPr>
      </w:pPr>
    </w:p>
    <w:p w:rsidR="00A2421D" w:rsidRPr="00443C3D" w:rsidRDefault="00A2421D"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el respaldo por medio del banco de baterías, se considera un banco de 33 baterías con capacidad de 2KW</w:t>
      </w:r>
      <w:r w:rsidR="006102B5" w:rsidRPr="00443C3D">
        <w:rPr>
          <w:rFonts w:ascii="ITC Avant Garde" w:eastAsia="Times New Roman" w:hAnsi="ITC Avant Garde" w:cs="Arial"/>
          <w:lang w:eastAsia="es-ES"/>
        </w:rPr>
        <w:t xml:space="preserve"> cada una</w:t>
      </w:r>
      <w:r w:rsidR="00B4616C" w:rsidRPr="00443C3D">
        <w:rPr>
          <w:rFonts w:ascii="ITC Avant Garde" w:eastAsia="Times New Roman" w:hAnsi="ITC Avant Garde" w:cs="Arial"/>
          <w:lang w:eastAsia="es-ES"/>
        </w:rPr>
        <w:t>, para proveer un respaldo de hasta 67 KW.</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lastRenderedPageBreak/>
        <w:t>La planta de aire acondicionado se dimensiona en función de la demanda efectiva de los operadores. El suministro de aire acondicionado, utilizando un equipo ya existente con capacidad o un equipo nuevo, es un servicio opcional.</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Como se trata de un modelo ascendente (</w:t>
      </w:r>
      <w:r w:rsidRPr="00443C3D">
        <w:rPr>
          <w:rFonts w:ascii="ITC Avant Garde" w:hAnsi="ITC Avant Garde"/>
        </w:rPr>
        <w:t>bottom-up</w:t>
      </w:r>
      <w:r w:rsidRPr="00443C3D">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En el modelo se asume </w:t>
      </w:r>
      <w:r w:rsidR="009135C8" w:rsidRPr="00443C3D">
        <w:rPr>
          <w:rFonts w:ascii="ITC Avant Garde" w:eastAsia="Times New Roman" w:hAnsi="ITC Avant Garde" w:cs="Arial"/>
          <w:lang w:eastAsia="es-ES"/>
        </w:rPr>
        <w:t>que,</w:t>
      </w:r>
      <w:r w:rsidRPr="00443C3D">
        <w:rPr>
          <w:rFonts w:ascii="ITC Avant Garde" w:eastAsia="Times New Roman" w:hAnsi="ITC Avant Garde" w:cs="Arial"/>
          <w:lang w:eastAsia="es-ES"/>
        </w:rPr>
        <w:t xml:space="preserve"> en cada sala de la central, el 5% del espacio es ocupado por equipos de clima.</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Recuperación de costos</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El modelo utiliza costos corrientes y una recuperación de los costos con anualidad. </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Para el costeo se utiliza el enfoque ascendente y de largo plazo, por lo </w:t>
      </w:r>
      <w:r w:rsidR="007C49F8" w:rsidRPr="00443C3D">
        <w:rPr>
          <w:rFonts w:ascii="ITC Avant Garde" w:eastAsia="Times New Roman" w:hAnsi="ITC Avant Garde" w:cs="Arial"/>
          <w:lang w:eastAsia="es-ES"/>
        </w:rPr>
        <w:t>tanto,</w:t>
      </w:r>
      <w:r w:rsidRPr="00443C3D">
        <w:rPr>
          <w:rFonts w:ascii="ITC Avant Garde" w:eastAsia="Times New Roman" w:hAnsi="ITC Avant Garde" w:cs="Arial"/>
          <w:lang w:eastAsia="es-ES"/>
        </w:rPr>
        <w:t xml:space="preserve"> se utilizan costos de Activos Modernos Equivalentes (MEA).</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Asimismo, se consideran los siguientes costos operativos (opex): costos de alquiler y costos de mantenimiento de las centrales.</w:t>
      </w:r>
    </w:p>
    <w:p w:rsidR="009C0A33" w:rsidRPr="00443C3D" w:rsidRDefault="009C0A33" w:rsidP="009C0A33">
      <w:pPr>
        <w:spacing w:after="0"/>
        <w:jc w:val="both"/>
        <w:rPr>
          <w:rFonts w:ascii="ITC Avant Garde" w:eastAsia="Times New Roman" w:hAnsi="ITC Avant Garde"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9C0A33" w:rsidRPr="00443C3D" w:rsidTr="00A50740">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Opex</w:t>
            </w:r>
          </w:p>
        </w:tc>
      </w:tr>
      <w:tr w:rsidR="009C0A33" w:rsidRPr="00443C3D" w:rsidTr="00A50740">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b/>
                <w:bCs/>
                <w:i/>
                <w:iCs/>
                <w:sz w:val="18"/>
                <w:szCs w:val="18"/>
                <w:lang w:val="es-ES_tradnl" w:eastAsia="es-ES"/>
              </w:rPr>
              <w:t>Rubro</w:t>
            </w:r>
          </w:p>
        </w:tc>
      </w:tr>
      <w:tr w:rsidR="009C0A33" w:rsidRPr="00443C3D" w:rsidTr="00A50740">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rsidTr="009C0A33">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Central del AEP</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rsidTr="009C0A33">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rsidTr="009C0A33">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rsidTr="009C0A33">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rsidTr="009C0A33">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rsidTr="009C0A33">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 y energía</w:t>
            </w:r>
          </w:p>
        </w:tc>
      </w:tr>
    </w:tbl>
    <w:p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4: Principales conceptos de capex y opex por activo. Fuente: Analysys Mason.</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la recuperación de los costos se implementa una anualidad (</w:t>
      </w:r>
      <w:r w:rsidRPr="00443C3D">
        <w:rPr>
          <w:rFonts w:ascii="ITC Avant Garde" w:hAnsi="ITC Avant Garde"/>
        </w:rPr>
        <w:t>annuity</w:t>
      </w:r>
      <w:r w:rsidRPr="00443C3D">
        <w:rPr>
          <w:rFonts w:ascii="ITC Avant Garde" w:eastAsia="Times New Roman" w:hAnsi="ITC Avant Garde" w:cs="Arial"/>
          <w:lang w:eastAsia="es-ES"/>
        </w:rPr>
        <w:t>), considerando perfiles de vidas útiles contables.</w:t>
      </w:r>
    </w:p>
    <w:p w:rsidR="002975E1" w:rsidRPr="00443C3D" w:rsidRDefault="002975E1" w:rsidP="009C0A33">
      <w:pPr>
        <w:spacing w:after="0"/>
        <w:jc w:val="both"/>
        <w:rPr>
          <w:rFonts w:ascii="ITC Avant Garde" w:eastAsia="Times New Roman" w:hAnsi="ITC Avant Garde" w:cs="Arial"/>
          <w:lang w:eastAsia="es-ES"/>
        </w:rPr>
      </w:pPr>
    </w:p>
    <w:p w:rsidR="002975E1" w:rsidRPr="00443C3D" w:rsidRDefault="002975E1" w:rsidP="002975E1">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443C3D">
        <w:rPr>
          <w:rFonts w:ascii="ITC Avant Garde" w:eastAsia="Times New Roman" w:hAnsi="ITC Avant Garde" w:cs="Arial"/>
          <w:lang w:val="es-ES" w:eastAsia="es-ES"/>
        </w:rPr>
        <w:t xml:space="preserve">El Costo de Capital Promedio Ponderado es el calculado en </w:t>
      </w:r>
      <w:r w:rsidR="00E96EED" w:rsidRPr="00443C3D">
        <w:rPr>
          <w:rFonts w:ascii="ITC Avant Garde" w:eastAsia="Times New Roman" w:hAnsi="ITC Avant Garde" w:cs="Arial"/>
          <w:lang w:val="es-ES" w:eastAsia="es-ES"/>
        </w:rPr>
        <w:t>los modelos de costos de servicios de conmutados de interconexión</w:t>
      </w:r>
      <w:r w:rsidRPr="00443C3D">
        <w:rPr>
          <w:rFonts w:ascii="ITC Avant Garde" w:eastAsia="Times New Roman" w:hAnsi="ITC Avant Garde" w:cs="Arial"/>
          <w:lang w:val="es-ES" w:eastAsia="es-ES"/>
        </w:rPr>
        <w:t>.</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Asignación de costos</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En el Módulo de Precio se asignan los costos a los distintos activos y elementos de red en base a una serie de criterios claramente definidos, los cuales constituyen los </w:t>
      </w:r>
      <w:r w:rsidRPr="00443C3D">
        <w:rPr>
          <w:rFonts w:ascii="ITC Avant Garde" w:hAnsi="ITC Avant Garde"/>
        </w:rPr>
        <w:t>drivers</w:t>
      </w:r>
      <w:r w:rsidRPr="00443C3D">
        <w:rPr>
          <w:rFonts w:ascii="ITC Avant Garde" w:eastAsia="Times New Roman" w:hAnsi="ITC Avant Garde" w:cs="Arial"/>
          <w:lang w:eastAsia="es-ES"/>
        </w:rPr>
        <w:t xml:space="preserve"> de asignación de costos par</w:t>
      </w:r>
      <w:r w:rsidR="000F0EDF" w:rsidRPr="00443C3D">
        <w:rPr>
          <w:rFonts w:ascii="ITC Avant Garde" w:eastAsia="Times New Roman" w:hAnsi="ITC Avant Garde" w:cs="Arial"/>
          <w:lang w:eastAsia="es-ES"/>
        </w:rPr>
        <w:t xml:space="preserve">a cada activo/elemento de red, </w:t>
      </w:r>
      <w:r w:rsidRPr="00443C3D">
        <w:rPr>
          <w:rFonts w:ascii="ITC Avant Garde" w:eastAsia="Times New Roman" w:hAnsi="ITC Avant Garde" w:cs="Arial"/>
          <w:lang w:eastAsia="es-ES"/>
        </w:rPr>
        <w:t xml:space="preserve">principalmente </w:t>
      </w:r>
      <w:r w:rsidR="000F0EDF" w:rsidRPr="00443C3D">
        <w:rPr>
          <w:rFonts w:ascii="ITC Avant Garde" w:eastAsia="Times New Roman" w:hAnsi="ITC Avant Garde" w:cs="Arial"/>
          <w:lang w:eastAsia="es-ES"/>
        </w:rPr>
        <w:t xml:space="preserve">se consideran </w:t>
      </w:r>
      <w:r w:rsidRPr="00443C3D">
        <w:rPr>
          <w:rFonts w:ascii="ITC Avant Garde" w:eastAsia="Times New Roman" w:hAnsi="ITC Avant Garde" w:cs="Arial"/>
          <w:lang w:eastAsia="es-ES"/>
        </w:rPr>
        <w:t>los siguientes puntos:</w:t>
      </w:r>
    </w:p>
    <w:p w:rsidR="009C0A33" w:rsidRPr="00443C3D" w:rsidRDefault="009C0A33" w:rsidP="009C0A33">
      <w:pPr>
        <w:spacing w:after="0"/>
        <w:jc w:val="both"/>
        <w:rPr>
          <w:rFonts w:ascii="ITC Avant Garde" w:eastAsia="Times New Roman" w:hAnsi="ITC Avant Garde" w:cs="Arial"/>
          <w:lang w:eastAsia="es-ES"/>
        </w:rPr>
      </w:pPr>
    </w:p>
    <w:p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Asignación de los costos del predio:</w:t>
      </w:r>
      <w:r w:rsidRPr="00443C3D">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rsidR="009C0A33" w:rsidRPr="00443C3D" w:rsidRDefault="009C0A33" w:rsidP="009C0A33">
      <w:pPr>
        <w:spacing w:after="0"/>
        <w:ind w:left="720"/>
        <w:jc w:val="both"/>
        <w:rPr>
          <w:rFonts w:ascii="ITC Avant Garde" w:eastAsia="Times New Roman" w:hAnsi="ITC Avant Garde" w:cs="Arial"/>
          <w:szCs w:val="24"/>
          <w:lang w:eastAsia="es-ES"/>
        </w:rPr>
      </w:pPr>
    </w:p>
    <w:p w:rsidR="009C0A33" w:rsidRPr="00443C3D" w:rsidRDefault="009C0A33" w:rsidP="00147137">
      <w:pPr>
        <w:spacing w:after="0"/>
        <w:ind w:left="426"/>
        <w:jc w:val="both"/>
        <w:rPr>
          <w:rFonts w:ascii="ITC Avant Garde" w:eastAsia="Times New Roman" w:hAnsi="ITC Avant Garde" w:cs="Arial"/>
          <w:lang w:eastAsia="es-ES"/>
        </w:rPr>
      </w:pPr>
      <w:r w:rsidRPr="00443C3D">
        <w:rPr>
          <w:rFonts w:ascii="ITC Avant Garde" w:eastAsia="Times New Roman" w:hAnsi="ITC Avant Garde" w:cs="Arial"/>
          <w:lang w:eastAsia="es-ES"/>
        </w:rPr>
        <w:t>El área no construida libre se asigna en función del espacio funcional</w:t>
      </w:r>
      <w:r w:rsidRPr="00443C3D">
        <w:rPr>
          <w:rFonts w:ascii="ITC Avant Garde" w:eastAsia="Times New Roman" w:hAnsi="ITC Avant Garde" w:cs="Arial"/>
          <w:vertAlign w:val="superscript"/>
          <w:lang w:eastAsia="es-ES"/>
        </w:rPr>
        <w:footnoteReference w:id="24"/>
      </w:r>
      <w:r w:rsidRPr="00443C3D">
        <w:rPr>
          <w:rFonts w:ascii="ITC Avant Garde" w:eastAsia="Times New Roman" w:hAnsi="ITC Avant Garde" w:cs="Arial"/>
          <w:lang w:eastAsia="es-ES"/>
        </w:rPr>
        <w:t xml:space="preserve"> utilizado por cada operador; adicionalmente, el modelo permite asignar el costo total de este espacio al AEP.</w:t>
      </w:r>
    </w:p>
    <w:p w:rsidR="009C0A33" w:rsidRPr="00443C3D" w:rsidRDefault="009C0A33" w:rsidP="009C0A33">
      <w:pPr>
        <w:spacing w:after="0"/>
        <w:ind w:left="709"/>
        <w:jc w:val="both"/>
        <w:rPr>
          <w:rFonts w:ascii="ITC Avant Garde" w:eastAsia="Times New Roman" w:hAnsi="ITC Avant Garde" w:cs="Arial"/>
          <w:lang w:eastAsia="es-ES"/>
        </w:rPr>
      </w:pPr>
    </w:p>
    <w:p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 xml:space="preserve">Asignación de los costos de la central: </w:t>
      </w:r>
      <w:r w:rsidRPr="00443C3D">
        <w:rPr>
          <w:rFonts w:ascii="ITC Avant Garde" w:eastAsia="Times New Roman" w:hAnsi="ITC Avant Garde" w:cs="Arial"/>
          <w:szCs w:val="24"/>
          <w:lang w:eastAsia="es-ES"/>
        </w:rPr>
        <w:t>se utilizan criterios de asignación diferentes según para qué se utilice la sala:</w:t>
      </w:r>
    </w:p>
    <w:p w:rsidR="009C0A33" w:rsidRPr="00443C3D" w:rsidRDefault="009C0A33" w:rsidP="009C0A33">
      <w:pPr>
        <w:spacing w:after="0" w:line="240" w:lineRule="auto"/>
        <w:ind w:left="720"/>
        <w:jc w:val="both"/>
        <w:rPr>
          <w:rFonts w:ascii="ITC Avant Garde" w:eastAsia="Times New Roman" w:hAnsi="ITC Avant Garde"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9C0A33" w:rsidRPr="00443C3D" w:rsidTr="00F13970">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9C0A33" w:rsidRPr="00443C3D" w:rsidRDefault="009C0A33" w:rsidP="009C0A33">
            <w:pPr>
              <w:spacing w:after="0" w:line="240" w:lineRule="auto"/>
              <w:ind w:left="77"/>
              <w:jc w:val="both"/>
              <w:rPr>
                <w:rFonts w:ascii="ITC Avant Garde" w:hAnsi="ITC Avant Garde"/>
                <w:sz w:val="18"/>
                <w:szCs w:val="18"/>
              </w:rPr>
            </w:pPr>
            <w:r w:rsidRPr="00443C3D">
              <w:rPr>
                <w:rFonts w:ascii="ITC Avant Garde" w:hAnsi="ITC Avant Garde"/>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9C0A33" w:rsidRPr="00443C3D" w:rsidRDefault="009C0A33" w:rsidP="009C0A33">
            <w:pPr>
              <w:spacing w:after="0" w:line="240" w:lineRule="auto"/>
              <w:ind w:left="215"/>
              <w:jc w:val="both"/>
              <w:rPr>
                <w:rFonts w:ascii="ITC Avant Garde" w:hAnsi="ITC Avant Garde"/>
                <w:sz w:val="18"/>
                <w:szCs w:val="18"/>
              </w:rPr>
            </w:pPr>
            <w:r w:rsidRPr="00443C3D">
              <w:rPr>
                <w:rFonts w:ascii="ITC Avant Garde" w:hAnsi="ITC Avant Garde"/>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9C0A33" w:rsidRPr="00443C3D" w:rsidRDefault="009C0A33" w:rsidP="009C0A33">
            <w:pPr>
              <w:spacing w:after="0" w:line="240" w:lineRule="auto"/>
              <w:ind w:left="140"/>
              <w:jc w:val="center"/>
              <w:rPr>
                <w:rFonts w:ascii="ITC Avant Garde" w:hAnsi="ITC Avant Garde"/>
                <w:sz w:val="18"/>
                <w:szCs w:val="18"/>
              </w:rPr>
            </w:pPr>
            <w:r w:rsidRPr="00443C3D">
              <w:rPr>
                <w:rFonts w:ascii="ITC Avant Garde" w:hAnsi="ITC Avant Garde"/>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rsidR="009C0A33" w:rsidRPr="00443C3D" w:rsidRDefault="009C0A33" w:rsidP="009C0A33">
            <w:pPr>
              <w:spacing w:after="0" w:line="240" w:lineRule="auto"/>
              <w:ind w:left="10"/>
              <w:jc w:val="both"/>
              <w:rPr>
                <w:rFonts w:ascii="ITC Avant Garde" w:hAnsi="ITC Avant Garde"/>
                <w:sz w:val="18"/>
                <w:szCs w:val="18"/>
              </w:rPr>
            </w:pPr>
            <w:r w:rsidRPr="00443C3D">
              <w:rPr>
                <w:rFonts w:ascii="ITC Avant Garde" w:hAnsi="ITC Avant Garde"/>
                <w:b/>
                <w:sz w:val="18"/>
                <w:szCs w:val="18"/>
                <w:lang w:val="es-ES_tradnl"/>
              </w:rPr>
              <w:t>Driver</w:t>
            </w:r>
          </w:p>
        </w:tc>
      </w:tr>
      <w:tr w:rsidR="003A645C" w:rsidRPr="00443C3D" w:rsidTr="00F13970">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Predio</w:t>
            </w:r>
          </w:p>
          <w:p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utilizado por operador en la central</w:t>
            </w:r>
          </w:p>
        </w:tc>
      </w:tr>
      <w:tr w:rsidR="003A645C" w:rsidRPr="00443C3D" w:rsidTr="00F13970">
        <w:trPr>
          <w:trHeight w:val="248"/>
        </w:trPr>
        <w:tc>
          <w:tcPr>
            <w:tcW w:w="1550" w:type="dxa"/>
            <w:vMerge/>
            <w:tcBorders>
              <w:left w:val="single" w:sz="8" w:space="0" w:color="FFFFFF"/>
              <w:bottom w:val="single" w:sz="8" w:space="0" w:color="FFFFFF"/>
              <w:right w:val="single" w:sz="8" w:space="0" w:color="FFFFFF"/>
            </w:tcBorders>
            <w:vAlign w:val="center"/>
            <w:hideMark/>
          </w:tcPr>
          <w:p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para CE por CS</w:t>
            </w:r>
          </w:p>
        </w:tc>
      </w:tr>
      <w:tr w:rsidR="003A645C" w:rsidRPr="00443C3D" w:rsidTr="00F13970">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3A645C" w:rsidRPr="00443C3D" w:rsidTr="003A645C">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rsidR="003A645C" w:rsidRPr="00443C3D" w:rsidRDefault="003A645C" w:rsidP="009C0A33">
            <w:pPr>
              <w:spacing w:after="0"/>
              <w:ind w:left="7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Central AEP</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line="240" w:lineRule="auto"/>
              <w:ind w:left="83"/>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MDF/ODF AEP</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line="240" w:lineRule="auto"/>
              <w:ind w:left="83"/>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line="240" w:lineRule="auto"/>
              <w:ind w:left="85"/>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MDF/ODF AEP</w:t>
            </w:r>
          </w:p>
        </w:tc>
      </w:tr>
      <w:tr w:rsidR="003A645C" w:rsidRPr="00443C3D" w:rsidTr="003A645C">
        <w:trPr>
          <w:trHeight w:val="248"/>
        </w:trPr>
        <w:tc>
          <w:tcPr>
            <w:tcW w:w="1550" w:type="dxa"/>
            <w:vMerge/>
            <w:tcBorders>
              <w:left w:val="single" w:sz="8" w:space="0" w:color="FFFFFF"/>
              <w:right w:val="single" w:sz="8" w:space="0" w:color="FFFFFF"/>
            </w:tcBorders>
            <w:shd w:val="clear" w:color="auto" w:fill="C4D0E9"/>
            <w:vAlign w:val="center"/>
            <w:hideMark/>
          </w:tcPr>
          <w:p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dedicado a los CS y asignado a cada CS según su demanda de espacio en CI</w:t>
            </w:r>
          </w:p>
        </w:tc>
      </w:tr>
      <w:tr w:rsidR="003A645C" w:rsidRPr="00443C3D"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57"/>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Prorrateo según los espacios dedicados a cada operador.</w:t>
            </w:r>
          </w:p>
        </w:tc>
      </w:tr>
      <w:tr w:rsidR="003A645C" w:rsidRPr="00443C3D"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switching AEP</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443C3D"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443C3D"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rsidTr="009C0A33">
        <w:trPr>
          <w:trHeight w:val="510"/>
        </w:trPr>
        <w:tc>
          <w:tcPr>
            <w:tcW w:w="1550" w:type="dxa"/>
            <w:vMerge/>
            <w:tcBorders>
              <w:left w:val="single" w:sz="8" w:space="0" w:color="FFFFFF"/>
              <w:right w:val="single" w:sz="8" w:space="0" w:color="FFFFFF"/>
            </w:tcBorders>
            <w:vAlign w:val="center"/>
            <w:hideMark/>
          </w:tcPr>
          <w:p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rsidTr="003A645C">
        <w:trPr>
          <w:trHeight w:val="510"/>
        </w:trPr>
        <w:tc>
          <w:tcPr>
            <w:tcW w:w="1550" w:type="dxa"/>
            <w:vMerge/>
            <w:tcBorders>
              <w:left w:val="single" w:sz="8" w:space="0" w:color="FFFFFF"/>
              <w:right w:val="single" w:sz="8" w:space="0" w:color="FFFFFF"/>
            </w:tcBorders>
            <w:shd w:val="clear" w:color="auto" w:fill="C4D0E9"/>
            <w:vAlign w:val="center"/>
            <w:hideMark/>
          </w:tcPr>
          <w:p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rsidTr="003A645C">
        <w:trPr>
          <w:trHeight w:val="248"/>
        </w:trPr>
        <w:tc>
          <w:tcPr>
            <w:tcW w:w="1550" w:type="dxa"/>
            <w:vMerge/>
            <w:tcBorders>
              <w:left w:val="single" w:sz="8" w:space="0" w:color="FFFFFF"/>
              <w:bottom w:val="single" w:sz="8" w:space="0" w:color="FFFFFF"/>
              <w:right w:val="single" w:sz="8" w:space="0" w:color="FFFFFF"/>
            </w:tcBorders>
            <w:vAlign w:val="center"/>
            <w:hideMark/>
          </w:tcPr>
          <w:p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(excl. overheads) utilizado por cada operador en la central</w:t>
            </w:r>
          </w:p>
        </w:tc>
      </w:tr>
      <w:tr w:rsidR="009C0A33" w:rsidRPr="00443C3D" w:rsidTr="00152B45">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dedicado a los CS y asignado a cada CS en función de su demanda de espacio en CE</w:t>
            </w:r>
          </w:p>
        </w:tc>
      </w:tr>
      <w:tr w:rsidR="009C0A33" w:rsidRPr="00443C3D" w:rsidTr="00643B75">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9C0A33" w:rsidRPr="00443C3D" w:rsidTr="00A50740">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9C0A33" w:rsidRPr="00443C3D" w:rsidTr="00A50740">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ocupado en las salas de la central</w:t>
            </w:r>
          </w:p>
        </w:tc>
      </w:tr>
    </w:tbl>
    <w:p w:rsidR="009C0A33" w:rsidRPr="00443C3D" w:rsidRDefault="009C0A33" w:rsidP="00A50740">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5: drivers principales de asignación de costos a los distintos servicios. Fuente: Analysys Mason.</w:t>
      </w:r>
    </w:p>
    <w:p w:rsidR="009C0A33" w:rsidRPr="00443C3D" w:rsidRDefault="009C0A33" w:rsidP="009C0A33">
      <w:pPr>
        <w:spacing w:after="0"/>
        <w:ind w:left="720"/>
        <w:jc w:val="both"/>
        <w:rPr>
          <w:rFonts w:ascii="ITC Avant Garde" w:eastAsia="Times New Roman" w:hAnsi="ITC Avant Garde" w:cs="Arial"/>
          <w:szCs w:val="24"/>
          <w:lang w:eastAsia="es-ES"/>
        </w:rPr>
      </w:pPr>
    </w:p>
    <w:p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Asignación de los costos de suministro de energ</w:t>
      </w:r>
      <w:r w:rsidR="00E36059" w:rsidRPr="00443C3D">
        <w:rPr>
          <w:rFonts w:ascii="ITC Avant Garde" w:eastAsia="Times New Roman" w:hAnsi="ITC Avant Garde" w:cs="Arial"/>
          <w:b/>
          <w:szCs w:val="24"/>
          <w:lang w:eastAsia="es-ES"/>
        </w:rPr>
        <w:t xml:space="preserve">ía y de la fuente de energía de </w:t>
      </w:r>
      <w:r w:rsidRPr="00443C3D">
        <w:rPr>
          <w:rFonts w:ascii="ITC Avant Garde" w:eastAsia="Times New Roman" w:hAnsi="ITC Avant Garde" w:cs="Arial"/>
          <w:b/>
          <w:szCs w:val="24"/>
          <w:lang w:eastAsia="es-ES"/>
        </w:rPr>
        <w:t>respaldo:</w:t>
      </w:r>
      <w:r w:rsidRPr="00443C3D">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w:t>
      </w:r>
      <w:r w:rsidRPr="00443C3D">
        <w:rPr>
          <w:rFonts w:ascii="ITC Avant Garde" w:eastAsia="Times New Roman" w:hAnsi="ITC Avant Garde" w:cs="Arial"/>
          <w:szCs w:val="24"/>
          <w:lang w:eastAsia="es-ES"/>
        </w:rPr>
        <w:lastRenderedPageBreak/>
        <w:t>de estos servicios incluye el costo de los equipos y el costo del espacio ocupado por los equipos.</w:t>
      </w:r>
    </w:p>
    <w:p w:rsidR="009C0A33" w:rsidRPr="00443C3D" w:rsidRDefault="009C0A33" w:rsidP="009C0A33">
      <w:pPr>
        <w:spacing w:after="0"/>
        <w:ind w:left="708"/>
        <w:jc w:val="both"/>
        <w:rPr>
          <w:rFonts w:ascii="ITC Avant Garde" w:eastAsia="Times New Roman" w:hAnsi="ITC Avant Garde" w:cs="Arial"/>
          <w:szCs w:val="24"/>
          <w:lang w:eastAsia="es-ES"/>
        </w:rPr>
      </w:pPr>
    </w:p>
    <w:p w:rsidR="009C0A33" w:rsidRPr="00443C3D" w:rsidRDefault="009C0A33" w:rsidP="00E96BF3">
      <w:pPr>
        <w:numPr>
          <w:ilvl w:val="0"/>
          <w:numId w:val="43"/>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szCs w:val="24"/>
          <w:lang w:eastAsia="es-ES"/>
        </w:rPr>
        <w:t>Asignación de los costos del clima</w:t>
      </w:r>
      <w:r w:rsidRPr="00443C3D">
        <w:rPr>
          <w:rFonts w:ascii="ITC Avant Garde" w:eastAsia="Times New Roman" w:hAnsi="ITC Avant Garde" w:cs="Arial"/>
          <w:b/>
          <w:szCs w:val="24"/>
          <w:vertAlign w:val="superscript"/>
          <w:lang w:eastAsia="es-ES"/>
        </w:rPr>
        <w:footnoteReference w:id="25"/>
      </w:r>
      <w:r w:rsidRPr="00443C3D">
        <w:rPr>
          <w:rFonts w:ascii="ITC Avant Garde" w:eastAsia="Times New Roman" w:hAnsi="ITC Avant Garde" w:cs="Arial"/>
          <w:b/>
          <w:szCs w:val="24"/>
          <w:lang w:eastAsia="es-ES"/>
        </w:rPr>
        <w:t>:</w:t>
      </w:r>
      <w:r w:rsidRPr="00443C3D">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443C3D">
        <w:rPr>
          <w:rFonts w:ascii="ITC Avant Garde" w:eastAsia="Times New Roman" w:hAnsi="ITC Avant Garde" w:cs="Arial"/>
          <w:lang w:eastAsia="es-ES"/>
        </w:rPr>
        <w:t>de estos servicios incluye el costo de los equipos, el consumo de energía y el costo del espacio ocupado por los equipos</w:t>
      </w:r>
      <w:r w:rsidR="002975E1" w:rsidRPr="00443C3D">
        <w:rPr>
          <w:rFonts w:ascii="ITC Avant Garde" w:eastAsia="Times New Roman" w:hAnsi="ITC Avant Garde" w:cs="Arial"/>
          <w:lang w:eastAsia="es-ES"/>
        </w:rPr>
        <w:t>.</w:t>
      </w:r>
    </w:p>
    <w:p w:rsidR="002975E1" w:rsidRPr="00443C3D" w:rsidRDefault="002975E1" w:rsidP="00152B45">
      <w:pPr>
        <w:pStyle w:val="Prrafodelista"/>
        <w:spacing w:after="0"/>
        <w:rPr>
          <w:rFonts w:ascii="ITC Avant Garde" w:eastAsia="Times New Roman" w:hAnsi="ITC Avant Garde" w:cs="Arial"/>
          <w:lang w:eastAsia="es-ES"/>
        </w:rPr>
      </w:pPr>
    </w:p>
    <w:p w:rsidR="002975E1" w:rsidRPr="00443C3D" w:rsidRDefault="002975E1" w:rsidP="00E96BF3">
      <w:pPr>
        <w:numPr>
          <w:ilvl w:val="0"/>
          <w:numId w:val="42"/>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szCs w:val="24"/>
          <w:lang w:eastAsia="es-ES"/>
        </w:rPr>
        <w:t>Asignación de los costos de los ra</w:t>
      </w:r>
      <w:r w:rsidRPr="00443C3D">
        <w:rPr>
          <w:rFonts w:ascii="ITC Avant Garde" w:eastAsia="Times New Roman" w:hAnsi="ITC Avant Garde" w:cs="Arial"/>
          <w:b/>
          <w:lang w:eastAsia="es-ES"/>
        </w:rPr>
        <w:t>cks:</w:t>
      </w:r>
      <w:r w:rsidR="00DA038E" w:rsidRPr="00443C3D">
        <w:rPr>
          <w:rFonts w:ascii="ITC Avant Garde" w:eastAsia="Times New Roman" w:hAnsi="ITC Avant Garde" w:cs="Arial"/>
          <w:b/>
          <w:lang w:eastAsia="es-ES"/>
        </w:rPr>
        <w:t xml:space="preserve"> </w:t>
      </w:r>
      <w:r w:rsidRPr="00443C3D">
        <w:rPr>
          <w:rFonts w:ascii="ITC Avant Garde" w:eastAsia="Times New Roman" w:hAnsi="ITC Avant Garde" w:cs="Arial"/>
          <w:lang w:eastAsia="es-ES"/>
        </w:rPr>
        <w:t>Estos costos se asignan solamente en la coubicación equipada</w:t>
      </w:r>
      <w:r w:rsidR="00C57964" w:rsidRPr="00443C3D">
        <w:rPr>
          <w:rFonts w:ascii="ITC Avant Garde" w:eastAsia="Times New Roman" w:hAnsi="ITC Avant Garde" w:cs="Arial"/>
          <w:lang w:eastAsia="es-ES"/>
        </w:rPr>
        <w:t xml:space="preserve"> (Tipo 3)</w:t>
      </w:r>
      <w:r w:rsidRPr="00443C3D">
        <w:rPr>
          <w:rFonts w:ascii="ITC Avant Garde" w:eastAsia="Times New Roman" w:hAnsi="ITC Avant Garde" w:cs="Arial"/>
          <w:lang w:eastAsia="es-ES"/>
        </w:rPr>
        <w:t>; la coubicación equipada tiene los mismos drivers de asignación que la coubicación básica/cerrada, al que se añaden los costos específicos de los racks (Capex y Opex), anualizados.</w:t>
      </w:r>
    </w:p>
    <w:p w:rsidR="002975E1" w:rsidRPr="00443C3D" w:rsidRDefault="002975E1" w:rsidP="00152B45">
      <w:pPr>
        <w:pStyle w:val="Prrafodelista"/>
        <w:spacing w:after="0"/>
        <w:rPr>
          <w:rFonts w:ascii="ITC Avant Garde" w:eastAsia="Times New Roman" w:hAnsi="ITC Avant Garde" w:cs="Arial"/>
          <w:lang w:eastAsia="es-ES"/>
        </w:rPr>
      </w:pPr>
    </w:p>
    <w:p w:rsidR="002975E1" w:rsidRPr="00443C3D" w:rsidRDefault="002975E1" w:rsidP="00E96BF3">
      <w:pPr>
        <w:numPr>
          <w:ilvl w:val="0"/>
          <w:numId w:val="42"/>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lang w:eastAsia="es-ES"/>
        </w:rPr>
        <w:t>Asignación de costos de los servicios complementarios:</w:t>
      </w:r>
      <w:r w:rsidRPr="00443C3D">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r w:rsidR="00465211" w:rsidRPr="00443C3D">
        <w:rPr>
          <w:rFonts w:ascii="ITC Avant Garde" w:eastAsia="Times New Roman" w:hAnsi="ITC Avant Garde" w:cs="Arial"/>
          <w:lang w:eastAsia="es-ES"/>
        </w:rPr>
        <w:t>.</w:t>
      </w:r>
    </w:p>
    <w:p w:rsidR="002975E1" w:rsidRPr="00443C3D" w:rsidRDefault="002975E1" w:rsidP="002975E1">
      <w:pPr>
        <w:pStyle w:val="Prrafodelista"/>
        <w:rPr>
          <w:rFonts w:ascii="ITC Avant Garde" w:eastAsia="Times New Roman" w:hAnsi="ITC Avant Garde" w:cs="Arial"/>
          <w:lang w:eastAsia="es-ES"/>
        </w:rPr>
      </w:pPr>
    </w:p>
    <w:p w:rsidR="002975E1" w:rsidRPr="00443C3D" w:rsidRDefault="002975E1" w:rsidP="00E96BF3">
      <w:pPr>
        <w:pStyle w:val="Prrafodelista"/>
        <w:numPr>
          <w:ilvl w:val="0"/>
          <w:numId w:val="48"/>
        </w:num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Costos no recurrentes: Incluyen los gastos de instalación de la coubicación (obra civil CI, obra civil CE, instalación eléctrica, costo de clima y racks), gastos de instalación metro lineal de construcción de escalerilla (escalerilla de 6” para F.O</w:t>
      </w:r>
      <w:r w:rsidR="00C57964" w:rsidRPr="00443C3D">
        <w:rPr>
          <w:rFonts w:ascii="ITC Avant Garde" w:eastAsia="Times New Roman" w:hAnsi="ITC Avant Garde" w:cs="Arial"/>
          <w:lang w:eastAsia="es-ES"/>
        </w:rPr>
        <w:t>.</w:t>
      </w:r>
      <w:r w:rsidRPr="00443C3D">
        <w:rPr>
          <w:rFonts w:ascii="ITC Avant Garde" w:eastAsia="Times New Roman" w:hAnsi="ITC Avant Garde" w:cs="Arial"/>
          <w:lang w:eastAsia="es-ES"/>
        </w:rPr>
        <w:t xml:space="preserve"> incluye fijación en losa y escalerilla de aluminio de 6” a 8” para cableado UTP Y/O coaxial), gastos de instalación metro lineal de ductería para coubicación externa y gastos en adecuaciones.</w:t>
      </w:r>
    </w:p>
    <w:p w:rsidR="002975E1" w:rsidRPr="00443C3D" w:rsidRDefault="002975E1" w:rsidP="00E96BF3">
      <w:pPr>
        <w:pStyle w:val="Prrafodelista"/>
        <w:numPr>
          <w:ilvl w:val="0"/>
          <w:numId w:val="48"/>
        </w:num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Costos recurrentes: Cuota de mantenimiento, gastos de administración y costo de uso de escalerilla, y otros cobros adicionales relacionados con el interruptor termo magnético.</w:t>
      </w:r>
    </w:p>
    <w:p w:rsidR="002975E1" w:rsidRPr="00443C3D" w:rsidRDefault="002975E1" w:rsidP="002975E1">
      <w:pPr>
        <w:spacing w:after="0" w:line="276" w:lineRule="auto"/>
        <w:jc w:val="both"/>
        <w:rPr>
          <w:rFonts w:ascii="ITC Avant Garde" w:eastAsia="Times New Roman" w:hAnsi="ITC Avant Garde" w:cs="Arial"/>
          <w:lang w:eastAsia="es-ES"/>
        </w:rPr>
      </w:pPr>
    </w:p>
    <w:p w:rsidR="002975E1" w:rsidRPr="00443C3D" w:rsidRDefault="002975E1" w:rsidP="002975E1">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De acuerdo a lo anter</w:t>
      </w:r>
      <w:r w:rsidR="00465211" w:rsidRPr="00443C3D">
        <w:rPr>
          <w:rFonts w:ascii="ITC Avant Garde" w:eastAsia="Times New Roman" w:hAnsi="ITC Avant Garde" w:cs="Arial"/>
          <w:lang w:val="es-ES" w:eastAsia="es-ES"/>
        </w:rPr>
        <w:t>ior el modelo calcula los cobros</w:t>
      </w:r>
      <w:r w:rsidRPr="00443C3D">
        <w:rPr>
          <w:rFonts w:ascii="ITC Avant Garde" w:eastAsia="Times New Roman" w:hAnsi="ITC Avant Garde" w:cs="Arial"/>
          <w:lang w:val="es-ES" w:eastAsia="es-ES"/>
        </w:rPr>
        <w:t xml:space="preserve">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rsidR="009C0A33" w:rsidRPr="00443C3D" w:rsidRDefault="009C0A33" w:rsidP="008A19E2">
      <w:pPr>
        <w:spacing w:after="0"/>
        <w:jc w:val="both"/>
        <w:rPr>
          <w:rFonts w:ascii="ITC Avant Garde" w:eastAsia="Times New Roman" w:hAnsi="ITC Avant Garde" w:cs="Arial"/>
          <w:lang w:val="es-ES" w:eastAsia="es-ES"/>
        </w:rPr>
      </w:pPr>
    </w:p>
    <w:p w:rsidR="009C0A33" w:rsidRPr="00443C3D" w:rsidRDefault="009C0A33" w:rsidP="009C0A33">
      <w:pPr>
        <w:spacing w:after="0"/>
        <w:jc w:val="both"/>
        <w:rPr>
          <w:rFonts w:ascii="ITC Avant Garde" w:hAnsi="ITC Avant Garde" w:cs="Arial"/>
        </w:rPr>
      </w:pPr>
      <w:r w:rsidRPr="00443C3D">
        <w:rPr>
          <w:rFonts w:ascii="ITC Avant Garde" w:hAnsi="ITC Avant Garde" w:cs="Arial"/>
        </w:rPr>
        <w:lastRenderedPageBreak/>
        <w:t xml:space="preserve">Las tarifas </w:t>
      </w:r>
      <w:r w:rsidR="00DB593F" w:rsidRPr="00443C3D">
        <w:rPr>
          <w:rFonts w:ascii="ITC Avant Garde" w:hAnsi="ITC Avant Garde" w:cs="Arial"/>
        </w:rPr>
        <w:t>calculadas</w:t>
      </w:r>
      <w:r w:rsidRPr="00443C3D">
        <w:rPr>
          <w:rFonts w:ascii="ITC Avant Garde" w:hAnsi="ITC Avant Garde" w:cs="Arial"/>
        </w:rPr>
        <w:t xml:space="preserve"> no incluyen el consumo de energía eléctrica correspondiente a los equipos del concesionario. </w:t>
      </w:r>
    </w:p>
    <w:p w:rsidR="00D0618C" w:rsidRPr="00443C3D" w:rsidRDefault="00D0618C">
      <w:pPr>
        <w:spacing w:after="0" w:line="240" w:lineRule="auto"/>
        <w:rPr>
          <w:rFonts w:ascii="ITC Avant Garde" w:hAnsi="ITC Avant Garde"/>
        </w:rPr>
      </w:pPr>
    </w:p>
    <w:p w:rsidR="00BD6541" w:rsidRPr="00443C3D" w:rsidRDefault="00BD6541" w:rsidP="00BD6541">
      <w:pPr>
        <w:spacing w:after="0"/>
        <w:jc w:val="both"/>
        <w:rPr>
          <w:rFonts w:ascii="ITC Avant Garde" w:hAnsi="ITC Avant Garde"/>
          <w:b/>
        </w:rPr>
      </w:pPr>
      <w:r w:rsidRPr="00443C3D">
        <w:rPr>
          <w:rFonts w:ascii="ITC Avant Garde" w:hAnsi="ITC Avant Garde"/>
          <w:b/>
        </w:rPr>
        <w:t>MODELO DE COSTOS DE ENLACES DEDICADOS DE INTERCONEXIÓN</w:t>
      </w:r>
    </w:p>
    <w:p w:rsidR="00BD6541" w:rsidRPr="00443C3D" w:rsidRDefault="00BD6541" w:rsidP="00BD6541">
      <w:pPr>
        <w:spacing w:after="0"/>
        <w:jc w:val="both"/>
        <w:rPr>
          <w:rFonts w:ascii="ITC Avant Garde" w:hAnsi="ITC Avant Garde"/>
          <w:b/>
        </w:rPr>
      </w:pPr>
    </w:p>
    <w:p w:rsidR="00FF621A" w:rsidRPr="00443C3D" w:rsidRDefault="00FF621A" w:rsidP="00FF621A">
      <w:pPr>
        <w:spacing w:after="0"/>
        <w:jc w:val="both"/>
        <w:rPr>
          <w:rFonts w:ascii="ITC Avant Garde" w:hAnsi="ITC Avant Garde"/>
          <w:lang w:val="es-ES_tradnl"/>
        </w:rPr>
      </w:pPr>
      <w:r w:rsidRPr="00443C3D">
        <w:rPr>
          <w:rFonts w:ascii="ITC Avant Garde" w:hAnsi="ITC Avant Garde"/>
          <w:lang w:val="es-ES_tradnl"/>
        </w:rPr>
        <w:t xml:space="preserve">En términos de la Condición </w:t>
      </w:r>
      <w:r w:rsidR="00EE5E76" w:rsidRPr="00443C3D">
        <w:rPr>
          <w:rFonts w:ascii="ITC Avant Garde" w:hAnsi="ITC Avant Garde"/>
          <w:lang w:val="es-ES_tradnl"/>
        </w:rPr>
        <w:t>Segunda</w:t>
      </w:r>
      <w:r w:rsidRPr="00443C3D">
        <w:rPr>
          <w:rFonts w:ascii="ITC Avant Garde" w:hAnsi="ITC Avant Garde"/>
          <w:lang w:val="es-ES_tradnl"/>
        </w:rPr>
        <w:t xml:space="preserve"> el servicio de enlaces de transmisión consiste en el establecimiento de enlaces de transmisión físicos o virtuales de cualquier tecnología, a través de los cuales se conduce Tráfico.</w:t>
      </w:r>
    </w:p>
    <w:p w:rsidR="00FF621A" w:rsidRPr="00443C3D" w:rsidRDefault="00FF621A" w:rsidP="00F63EA5">
      <w:pPr>
        <w:spacing w:after="0"/>
        <w:jc w:val="both"/>
        <w:rPr>
          <w:rFonts w:ascii="ITC Avant Garde" w:hAnsi="ITC Avant Garde"/>
          <w:lang w:val="es-ES_tradnl"/>
        </w:rPr>
      </w:pPr>
    </w:p>
    <w:p w:rsidR="00FB521C" w:rsidRPr="00443C3D" w:rsidRDefault="00FF621A" w:rsidP="00FB521C">
      <w:pPr>
        <w:spacing w:after="0"/>
        <w:ind w:right="20"/>
        <w:jc w:val="both"/>
        <w:rPr>
          <w:rFonts w:ascii="ITC Avant Garde" w:hAnsi="ITC Avant Garde" w:cs="Arial"/>
          <w:lang w:val="es-ES"/>
        </w:rPr>
      </w:pPr>
      <w:r w:rsidRPr="00443C3D">
        <w:rPr>
          <w:rFonts w:ascii="ITC Avant Garde" w:hAnsi="ITC Avant Garde"/>
          <w:lang w:val="es-ES_tradnl"/>
        </w:rPr>
        <w:t xml:space="preserve">En </w:t>
      </w:r>
      <w:r w:rsidR="00F63EA5" w:rsidRPr="00443C3D">
        <w:rPr>
          <w:rFonts w:ascii="ITC Avant Garde" w:hAnsi="ITC Avant Garde"/>
          <w:lang w:val="es-ES_tradnl"/>
        </w:rPr>
        <w:t xml:space="preserve">este </w:t>
      </w:r>
      <w:r w:rsidRPr="00443C3D">
        <w:rPr>
          <w:rFonts w:ascii="ITC Avant Garde" w:hAnsi="ITC Avant Garde"/>
          <w:lang w:val="es-ES_tradnl"/>
        </w:rPr>
        <w:t xml:space="preserve">sentido el </w:t>
      </w:r>
      <w:r w:rsidR="00F63EA5" w:rsidRPr="00443C3D">
        <w:rPr>
          <w:rFonts w:ascii="ITC Avant Garde" w:hAnsi="ITC Avant Garde"/>
          <w:lang w:val="es-ES_tradnl"/>
        </w:rPr>
        <w:t xml:space="preserve">modelo permite calcular los gastos de instalación y las contraprestaciones mensuales correspondientes a los distintos tipos de enlaces dedicados </w:t>
      </w:r>
      <w:r w:rsidR="00FB521C" w:rsidRPr="00443C3D">
        <w:rPr>
          <w:rFonts w:ascii="ITC Avant Garde" w:hAnsi="ITC Avant Garde"/>
          <w:lang w:val="es-ES_tradnl"/>
        </w:rPr>
        <w:t xml:space="preserve">tanto locales como de larga distancia </w:t>
      </w:r>
      <w:r w:rsidR="00F63EA5" w:rsidRPr="00443C3D">
        <w:rPr>
          <w:rFonts w:ascii="ITC Avant Garde" w:hAnsi="ITC Avant Garde"/>
          <w:lang w:val="es-ES_tradnl"/>
        </w:rPr>
        <w:t>empleados exclusivamente para el transporte de tráfico de interconexión</w:t>
      </w:r>
      <w:r w:rsidR="00FB521C" w:rsidRPr="00443C3D">
        <w:rPr>
          <w:rFonts w:ascii="ITC Avant Garde" w:hAnsi="ITC Avant Garde" w:cs="Arial"/>
          <w:lang w:val="es-ES"/>
        </w:rPr>
        <w:t xml:space="preserve">. </w:t>
      </w:r>
    </w:p>
    <w:p w:rsidR="00F63EA5" w:rsidRPr="00443C3D" w:rsidRDefault="00F63EA5" w:rsidP="00F63EA5">
      <w:pPr>
        <w:spacing w:after="0"/>
        <w:jc w:val="both"/>
        <w:rPr>
          <w:rFonts w:ascii="ITC Avant Garde" w:hAnsi="ITC Avant Garde"/>
          <w:lang w:val="es-E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El modelo de costos se elaboró con una metodología CITLP. Bajo esta metodología el modelo calcula las tarifas mayoristas de enlaces dedicados locales, entre localidades e internacionales. </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Cabe señalar que el modelo se basa en dos fuentes principales:</w:t>
      </w:r>
    </w:p>
    <w:p w:rsidR="009009E2" w:rsidRPr="00443C3D" w:rsidRDefault="009009E2" w:rsidP="009009E2">
      <w:pPr>
        <w:numPr>
          <w:ilvl w:val="0"/>
          <w:numId w:val="62"/>
        </w:numPr>
        <w:spacing w:after="0" w:line="276" w:lineRule="auto"/>
        <w:jc w:val="both"/>
        <w:rPr>
          <w:rFonts w:ascii="ITC Avant Garde" w:hAnsi="ITC Avant Garde" w:cs="Arial"/>
          <w:bCs/>
        </w:rPr>
      </w:pPr>
      <w:r w:rsidRPr="00443C3D">
        <w:rPr>
          <w:rFonts w:ascii="ITC Avant Garde" w:hAnsi="ITC Avant Garde" w:cs="Arial"/>
          <w:bCs/>
        </w:rPr>
        <w:t>Información pública.</w:t>
      </w:r>
    </w:p>
    <w:p w:rsidR="009009E2" w:rsidRPr="00443C3D" w:rsidRDefault="009009E2" w:rsidP="009009E2">
      <w:pPr>
        <w:numPr>
          <w:ilvl w:val="0"/>
          <w:numId w:val="62"/>
        </w:numPr>
        <w:spacing w:after="0" w:line="276" w:lineRule="auto"/>
        <w:jc w:val="both"/>
        <w:rPr>
          <w:rFonts w:ascii="ITC Avant Garde" w:hAnsi="ITC Avant Garde" w:cs="Arial"/>
          <w:bCs/>
        </w:rPr>
      </w:pPr>
      <w:r w:rsidRPr="00443C3D">
        <w:rPr>
          <w:rFonts w:ascii="ITC Avant Garde" w:hAnsi="ITC Avant Garde" w:cs="Arial"/>
          <w:bCs/>
        </w:rPr>
        <w:t>Información confidencial provista por el AEP.</w:t>
      </w:r>
    </w:p>
    <w:p w:rsidR="009009E2" w:rsidRPr="00443C3D" w:rsidRDefault="009009E2" w:rsidP="009009E2">
      <w:pPr>
        <w:spacing w:after="0" w:line="276" w:lineRule="auto"/>
        <w:jc w:val="center"/>
        <w:rPr>
          <w:rFonts w:ascii="ITC Avant Garde" w:hAnsi="ITC Avant Garde" w:cs="Arial"/>
          <w:b/>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Hipótesis del Modelo de Costos. </w:t>
      </w:r>
      <w:r w:rsidRPr="00443C3D">
        <w:rPr>
          <w:rFonts w:ascii="ITC Avant Garde" w:hAnsi="ITC Avant Garde" w:cs="Arial"/>
          <w:bCs/>
        </w:rPr>
        <w:t>El modelo costos utilizado por el Instituto consta de dos módulos independientes para el cálculo de los tramos local y entre localidades/internacional.</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Asimismo, se han definido reglas de ingeniería en función de los elementos de red necesarios para ofrecer el servicio de enlaces dedicados. </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 línea con la Oferta de Referencia, el modelo costea el precio de una punta de enlace dedicado, pudiendo estar formado el enlace de una o dos puntas que conectan cada una el emplazamiento del operador con una central del AEP.</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Para el caso del Costo </w:t>
      </w:r>
      <w:r w:rsidR="009B5439" w:rsidRPr="00443C3D">
        <w:rPr>
          <w:rFonts w:ascii="ITC Avant Garde" w:hAnsi="ITC Avant Garde" w:cs="Arial"/>
          <w:bCs/>
        </w:rPr>
        <w:t xml:space="preserve">de Capital </w:t>
      </w:r>
      <w:r w:rsidRPr="00443C3D">
        <w:rPr>
          <w:rFonts w:ascii="ITC Avant Garde" w:hAnsi="ITC Avant Garde" w:cs="Arial"/>
          <w:bCs/>
        </w:rPr>
        <w:t xml:space="preserve">Promedio Ponderado </w:t>
      </w:r>
      <w:r w:rsidR="009B5439" w:rsidRPr="00443C3D">
        <w:rPr>
          <w:rFonts w:ascii="ITC Avant Garde" w:hAnsi="ITC Avant Garde"/>
        </w:rPr>
        <w:t>se considera un CCPP n</w:t>
      </w:r>
      <w:r w:rsidR="001C293A" w:rsidRPr="00443C3D">
        <w:rPr>
          <w:rFonts w:ascii="ITC Avant Garde" w:hAnsi="ITC Avant Garde"/>
        </w:rPr>
        <w:t>ominal antes de impuestos del 8.34</w:t>
      </w:r>
      <w:r w:rsidR="009B5439" w:rsidRPr="00443C3D">
        <w:rPr>
          <w:rFonts w:ascii="ITC Avant Garde" w:hAnsi="ITC Avant Garde"/>
        </w:rPr>
        <w:t>%, en línea con el empleado en los modelos de costos de servicios conmutados de interconexión</w:t>
      </w:r>
      <w:r w:rsidR="009B5439" w:rsidRPr="00443C3D" w:rsidDel="00B301AD">
        <w:rPr>
          <w:rFonts w:ascii="ITC Avant Garde" w:hAnsi="ITC Avant Garde" w:cs="Arial"/>
          <w:bCs/>
        </w:rPr>
        <w:t xml:space="preserve"> </w:t>
      </w:r>
      <w:r w:rsidRPr="00443C3D">
        <w:rPr>
          <w:rFonts w:ascii="ITC Avant Garde" w:hAnsi="ITC Avant Garde" w:cs="Arial"/>
          <w:bCs/>
        </w:rPr>
        <w:t>.</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calcular los precios unitarios de los enlaces en base a velocidades y distancias, se aplica un gradiente de precios que permite asegurar la recuperación de todos los costos incurridos por el servicio de enlaces dedicados.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Se han calculado los precios asociados a todos los enlaces ofrecidos por el AEP e incluidos en la oferta de referencia.  </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Modelo de Mercado.</w:t>
      </w:r>
      <w:r w:rsidRPr="00443C3D">
        <w:rPr>
          <w:rFonts w:ascii="ITC Avant Garde" w:hAnsi="ITC Avant Garde"/>
        </w:rPr>
        <w:t xml:space="preserve"> </w:t>
      </w:r>
      <w:r w:rsidRPr="00443C3D">
        <w:rPr>
          <w:rFonts w:ascii="ITC Avant Garde" w:hAnsi="ITC Avant Garde" w:cs="Arial"/>
          <w:bCs/>
        </w:rPr>
        <w:t>Se desarrolló un modelo de mercado que refleja la evolución de los enlaces TDM y Ethernet entre localidades e internacionales a largo plazo (figura1).</w:t>
      </w:r>
    </w:p>
    <w:p w:rsidR="009009E2" w:rsidRPr="00443C3D" w:rsidRDefault="009009E2" w:rsidP="009009E2">
      <w:pPr>
        <w:spacing w:after="0" w:line="276" w:lineRule="auto"/>
        <w:jc w:val="both"/>
        <w:rPr>
          <w:rFonts w:ascii="ITC Avant Garde" w:hAnsi="ITC Avant Garde" w:cs="Arial"/>
          <w:b/>
          <w:bCs/>
        </w:rPr>
      </w:pPr>
      <w:r w:rsidRPr="00443C3D">
        <w:rPr>
          <w:rFonts w:ascii="ITC Avant Garde" w:hAnsi="ITC Avant Garde" w:cs="Arial"/>
          <w:bCs/>
          <w:noProof/>
          <w:lang w:eastAsia="es-MX"/>
        </w:rPr>
        <w:drawing>
          <wp:inline distT="0" distB="0" distL="0" distR="0" wp14:anchorId="49509EF7" wp14:editId="34EF4A04">
            <wp:extent cx="5553075" cy="1600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El modelo de mercado se basa en información provista por el AEP en donde es considerado lo siguiente:</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Estimación del crecimiento de capacidad total transportada por enlaces dedicados.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El tráfico es separado por tecnología: TDM y Ethernet.</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Cada tecnología se estima la distribución de enlaces según velocidad y distancia hasta 2019.</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Se calcula el número total de enlaces en el mercado en base a la capacidad total y la velocidad media por enlace</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lastRenderedPageBreak/>
        <w:t xml:space="preserve">Enlaces dedicados entre localidades e internacionales (consideración de la demanda y costos del modelo). </w:t>
      </w:r>
      <w:r w:rsidRPr="00443C3D">
        <w:rPr>
          <w:rFonts w:ascii="ITC Avant Garde" w:hAnsi="ITC Avant Garde" w:cs="Arial"/>
          <w:bCs/>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rsidR="009009E2" w:rsidRPr="00443C3D" w:rsidRDefault="009009E2" w:rsidP="009009E2">
      <w:pPr>
        <w:spacing w:after="0" w:line="320" w:lineRule="atLeast"/>
        <w:jc w:val="both"/>
        <w:rPr>
          <w:rFonts w:ascii="ITC Avant Garde" w:hAnsi="ITC Avant Garde" w:cs="Arial"/>
          <w:bCs/>
        </w:rPr>
      </w:pPr>
      <w:r w:rsidRPr="00443C3D">
        <w:rPr>
          <w:noProof/>
          <w:lang w:eastAsia="es-MX"/>
        </w:rPr>
        <w:drawing>
          <wp:inline distT="0" distB="0" distL="0" distR="0" wp14:anchorId="5AF73E96" wp14:editId="247788D4">
            <wp:extent cx="6168687" cy="2287398"/>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6853" cy="2290426"/>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 virtud de lo anterior, la estructura de precios actual para enlaces entre localidades e internacionales TDM difiere de la de enlaces Ethernet, tal que:</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TDM: parte fija + precio por kilómetro</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Ethernet: precio por kilómetro</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tabs>
          <w:tab w:val="left" w:pos="2490"/>
        </w:tabs>
        <w:spacing w:after="0" w:line="276" w:lineRule="auto"/>
        <w:jc w:val="both"/>
        <w:rPr>
          <w:rFonts w:ascii="ITC Avant Garde" w:hAnsi="ITC Avant Garde"/>
          <w:noProof/>
        </w:rPr>
      </w:pPr>
      <w:r w:rsidRPr="00443C3D">
        <w:rPr>
          <w:rFonts w:ascii="ITC Avant Garde" w:hAnsi="ITC Avant Garde"/>
          <w:noProof/>
          <w:lang w:eastAsia="es-MX"/>
        </w:rPr>
        <w:drawing>
          <wp:inline distT="0" distB="0" distL="0" distR="0" wp14:anchorId="709C8EE3" wp14:editId="412290A1">
            <wp:extent cx="5610225" cy="1590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rsidR="009009E2" w:rsidRPr="00443C3D" w:rsidRDefault="009009E2" w:rsidP="009009E2">
      <w:pPr>
        <w:spacing w:after="0" w:line="276" w:lineRule="auto"/>
        <w:jc w:val="both"/>
        <w:rPr>
          <w:rFonts w:ascii="ITC Avant Garde" w:hAnsi="ITC Avant Garde"/>
          <w:noProof/>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El modelo de mercado de enlaces dedicados calcula la demanda total de enlaces del AEP entre localidades e internacionales, separando las tecnologías TDM y Ethernet.</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–La demanda se estima en términos de capacidad y en número de enlaces.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A partir del cálculo de la capacidad total de enlaces dedicados entre localidades e internacionales, se actualizan los datos del operador fijo incumbente en el modelo de mercado del modelo de interconexión 2018.</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último, se distribuyen los costos CITLP resultantes del modelo de interconexión 2018 asociados al servicio de enlaces dedicados, asegurando así que se recuperan todos los costos.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66133532" wp14:editId="09ECAEA9">
            <wp:extent cx="5095875" cy="1057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sz w:val="18"/>
          <w:szCs w:val="18"/>
        </w:rPr>
        <w:t>Fuente Analysys Mason</w:t>
      </w:r>
      <w:r w:rsidRPr="00443C3D">
        <w:rPr>
          <w:rStyle w:val="Refdenotaalpie"/>
          <w:rFonts w:ascii="ITC Avant Garde" w:hAnsi="ITC Avant Garde" w:cs="Arial"/>
          <w:bCs/>
        </w:rPr>
        <w:footnoteReference w:id="26"/>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el cálculo de los precios de los enlaces se emplea un gradiente de precios, tal y como se presenta a continuación.</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Utilización de gradiente de precio</w:t>
      </w:r>
      <w:r w:rsidRPr="00443C3D">
        <w:rPr>
          <w:rFonts w:ascii="ITC Avant Garde" w:hAnsi="ITC Avant Garde" w:cs="Arial"/>
          <w:bCs/>
        </w:rPr>
        <w:t xml:space="preserve"> </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Además, la estructura de precios de enlaces dedicados en México no ha cambiado en más de 15 años, al menos para productos TDM. Por ello, los CS efectuaron inversiones en base al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gradientes se construyen a partir de una velocidad de referencia - E1 para TDM y 1Gbps para Ethernet – y una distancia de referencia –40.5km (D1) En base al reparto de costos entre TDM y Ethernet, se calculan precios para dichos enlaces de referencia (E1 D1 equivalentes y 1GE D1 equivalentes) a partir de los cuales, junto con el gradiente definido, se extrapolan los precios de todos los enlaces de la Oferta de Referencia.</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57F547A9" wp14:editId="77CAF60F">
            <wp:extent cx="5191125" cy="3171825"/>
            <wp:effectExtent l="0" t="0" r="9525" b="952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sz w:val="16"/>
          <w:szCs w:val="16"/>
        </w:rPr>
        <w:t>Fuente Analysys Mason)</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Tomando como referencia la velocidad de un tipo de enlace se calcula el gradiente como el cociente entre el precio de cada tecnología y el de referencia.</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lastRenderedPageBreak/>
        <w:t xml:space="preserve">Renta mensual de enlaces entre localidades. </w:t>
      </w:r>
      <w:r w:rsidRPr="00443C3D">
        <w:rPr>
          <w:rFonts w:ascii="ITC Avant Garde" w:hAnsi="ITC Avant Garde" w:cs="Arial"/>
          <w:bCs/>
        </w:rPr>
        <w:t xml:space="preserve">Con base </w:t>
      </w:r>
      <w:r w:rsidR="00662EB2">
        <w:rPr>
          <w:rFonts w:ascii="ITC Avant Garde" w:hAnsi="ITC Avant Garde" w:cs="Arial"/>
          <w:bCs/>
        </w:rPr>
        <w:t>en</w:t>
      </w:r>
      <w:r w:rsidRPr="00443C3D">
        <w:rPr>
          <w:rFonts w:ascii="ITC Avant Garde" w:hAnsi="ITC Avant Garde" w:cs="Arial"/>
          <w:bCs/>
        </w:rPr>
        <w:t xml:space="preserve"> los costos de cada tecnología y el número de enlaces equivalentes, se calcula el costo de los enlaces de referencia.</w:t>
      </w:r>
    </w:p>
    <w:p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
          <w:bCs/>
          <w:noProof/>
          <w:lang w:eastAsia="es-MX"/>
        </w:rPr>
        <w:drawing>
          <wp:inline distT="0" distB="0" distL="0" distR="0" wp14:anchorId="404E8B38" wp14:editId="203FC13B">
            <wp:extent cx="5153025" cy="1552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
          <w:bCs/>
        </w:rPr>
      </w:pPr>
      <w:r w:rsidRPr="00443C3D">
        <w:rPr>
          <w:rFonts w:ascii="ITC Avant Garde" w:hAnsi="ITC Avant Garde" w:cs="Arial"/>
          <w:bCs/>
          <w:sz w:val="16"/>
          <w:szCs w:val="16"/>
        </w:rPr>
        <w:t>Fuente Analysys Mason</w:t>
      </w:r>
    </w:p>
    <w:p w:rsidR="009009E2" w:rsidRPr="00443C3D" w:rsidRDefault="009009E2" w:rsidP="009009E2">
      <w:pPr>
        <w:spacing w:after="0" w:line="276" w:lineRule="auto"/>
        <w:jc w:val="both"/>
        <w:rPr>
          <w:rFonts w:ascii="ITC Avant Garde" w:hAnsi="ITC Avant Garde" w:cs="Arial"/>
          <w:bCs/>
        </w:rPr>
      </w:pPr>
    </w:p>
    <w:p w:rsidR="009009E2" w:rsidRPr="00443C3D" w:rsidRDefault="00875872" w:rsidP="009009E2">
      <w:pPr>
        <w:spacing w:after="0" w:line="276" w:lineRule="auto"/>
        <w:jc w:val="both"/>
        <w:rPr>
          <w:rFonts w:ascii="ITC Avant Garde" w:hAnsi="ITC Avant Garde" w:cs="Arial"/>
          <w:bCs/>
        </w:rPr>
      </w:pPr>
      <w:r>
        <w:rPr>
          <w:rFonts w:ascii="ITC Avant Garde" w:hAnsi="ITC Avant Garde" w:cs="Arial"/>
          <w:bCs/>
        </w:rPr>
        <w:t>L</w:t>
      </w:r>
      <w:r w:rsidR="009009E2" w:rsidRPr="00443C3D">
        <w:rPr>
          <w:rFonts w:ascii="ITC Avant Garde" w:hAnsi="ITC Avant Garde" w:cs="Arial"/>
          <w:bCs/>
        </w:rPr>
        <w:t>as rentas mensuales de todos los enlaces éstas se calculan aplicando el gradiente de precios al costo de los enlaces equivalentes. Cabe notar que se mantiene constante el gradiente de distancias, mientras que se modifica el gradiente por velocidad.</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 tal forma que</w:t>
      </w:r>
      <w:r w:rsidR="00875872">
        <w:rPr>
          <w:rFonts w:ascii="ITC Avant Garde" w:hAnsi="ITC Avant Garde" w:cs="Arial"/>
          <w:bCs/>
        </w:rPr>
        <w:t>:</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48E4BEC3" wp14:editId="0A771FE0">
            <wp:extent cx="48672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Enlaces dedicados Internacionales.  </w:t>
      </w:r>
      <w:r w:rsidRPr="00443C3D">
        <w:rPr>
          <w:rFonts w:ascii="ITC Avant Garde" w:hAnsi="ITC Avant Garde" w:cs="Arial"/>
          <w:bCs/>
        </w:rPr>
        <w:t>Los enlaces internacionales TDM requieren de equipos de traducción para adaptar el tráfico a países que emplean PDH portadoras-T y SONET.</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170E9078" wp14:editId="24C918FF">
            <wp:extent cx="5534025" cy="13612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rsidR="009009E2" w:rsidRPr="00443C3D" w:rsidRDefault="009009E2" w:rsidP="009009E2">
      <w:pPr>
        <w:spacing w:after="0" w:line="276" w:lineRule="auto"/>
        <w:jc w:val="both"/>
        <w:rPr>
          <w:rFonts w:ascii="ITC Avant Garde" w:hAnsi="ITC Avant Garde" w:cs="Arial"/>
          <w:bCs/>
          <w:sz w:val="16"/>
          <w:szCs w:val="16"/>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ello, el AEP ha de disponer de equipos especiales de traducción de interfaces para poder transportar el tráfico al extranjero.</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Debido a los costos de estos equipos, los precios de los enlaces internacionales TDM son ligeramente superiores a los nacionales (entre localidades) para aquellas velocidades a las que se aplica la traducción.</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Los precios de enlaces entre localidades e internacionales para Ethernet son idénticos, toda vez que para estas interfaces no se requiere de equipos de traducción para transportar el tráfico al extranjero.</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lo tanto, el costo de los enlaces internacionales se calcula de la siguiente manera:</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TDM internacionales: Costo proporcional extraído del modelo de interconexión fija + costo de los equipos de traducción para aquellas velocidades que lo requieren.</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Ethernet internacionales: Costo proporcional extraído del modelo de interconexión fija.</w:t>
      </w:r>
    </w:p>
    <w:p w:rsidR="009009E2" w:rsidRPr="00443C3D" w:rsidRDefault="009009E2" w:rsidP="009009E2">
      <w:pPr>
        <w:spacing w:after="0" w:line="276" w:lineRule="auto"/>
        <w:ind w:left="720"/>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Costos de instalación. </w:t>
      </w:r>
      <w:r w:rsidRPr="00443C3D">
        <w:rPr>
          <w:rFonts w:ascii="ITC Avant Garde" w:hAnsi="ITC Avant Garde" w:cs="Arial"/>
          <w:bCs/>
        </w:rPr>
        <w:t xml:space="preserve">Los costos de instalación de enlaces entre localidades y enlaces internacionales se basan exclusivamente en el costo de la mano de obra necesaria para dicha instalación. </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Los cálculos efectuados para el cálculo de los costos totales de instalación para enlaces TDM y Ethernet son los siguientes: </w:t>
      </w:r>
    </w:p>
    <w:p w:rsidR="009009E2" w:rsidRPr="00443C3D" w:rsidRDefault="009009E2" w:rsidP="009009E2">
      <w:pPr>
        <w:spacing w:after="0" w:line="276" w:lineRule="auto"/>
        <w:jc w:val="both"/>
        <w:rPr>
          <w:rFonts w:ascii="ITC Avant Garde" w:hAnsi="ITC Avant Garde" w:cs="Arial"/>
          <w:bCs/>
        </w:rPr>
      </w:pPr>
      <w:r w:rsidRPr="00443C3D">
        <w:rPr>
          <w:noProof/>
          <w:lang w:eastAsia="es-MX"/>
        </w:rPr>
        <w:drawing>
          <wp:inline distT="0" distB="0" distL="0" distR="0" wp14:anchorId="51D0BA77" wp14:editId="4F8E3A2D">
            <wp:extent cx="5579745" cy="2267585"/>
            <wp:effectExtent l="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79745" cy="2267585"/>
                    </a:xfrm>
                    <a:prstGeom prst="rect">
                      <a:avLst/>
                    </a:prstGeom>
                  </pic:spPr>
                </pic:pic>
              </a:graphicData>
            </a:graphic>
          </wp:inline>
        </w:drawing>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Partiendo de esta información se calcula el costo de instalación para los enlaces de referencia (E1 equivalente para TDM y 1GE equivalente para Ethernet) y a continuación se aplica un gradiente basado en los precios de instalación actuales de Telmex.  </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Enlaces dedicados locales. </w:t>
      </w:r>
      <w:r w:rsidRPr="00443C3D">
        <w:rPr>
          <w:rFonts w:ascii="ITC Avant Garde" w:hAnsi="ITC Avant Garde" w:cs="Arial"/>
          <w:bCs/>
        </w:rPr>
        <w:t>Para el cálculo de los precios de enlaces locales se han empleado precios regulados de desagregación y la arquitectura de enlaces del AEP.</w:t>
      </w:r>
    </w:p>
    <w:p w:rsidR="009009E2" w:rsidRPr="00443C3D" w:rsidRDefault="009009E2" w:rsidP="009009E2">
      <w:pPr>
        <w:spacing w:after="0" w:line="276" w:lineRule="auto"/>
        <w:jc w:val="both"/>
        <w:rPr>
          <w:rFonts w:ascii="ITC Avant Garde" w:hAnsi="ITC Avant Garde" w:cs="Arial"/>
          <w:bCs/>
        </w:rPr>
      </w:pPr>
      <w:r w:rsidRPr="00443C3D">
        <w:rPr>
          <w:noProof/>
          <w:lang w:eastAsia="es-MX"/>
        </w:rPr>
        <w:lastRenderedPageBreak/>
        <w:drawing>
          <wp:inline distT="0" distB="0" distL="0" distR="0" wp14:anchorId="1E5AAD1C" wp14:editId="0AFE5245">
            <wp:extent cx="4537576" cy="3014723"/>
            <wp:effectExtent l="0" t="0" r="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39777" cy="3016185"/>
                    </a:xfrm>
                    <a:prstGeom prst="rect">
                      <a:avLst/>
                    </a:prstGeom>
                  </pic:spPr>
                </pic:pic>
              </a:graphicData>
            </a:graphic>
          </wp:inline>
        </w:drawing>
      </w:r>
      <w:r w:rsidRPr="00443C3D">
        <w:rPr>
          <w:rFonts w:ascii="ITC Avant Garde" w:hAnsi="ITC Avant Garde" w:cs="Arial"/>
          <w:bCs/>
        </w:rPr>
        <w:t xml:space="preserve"> </w:t>
      </w:r>
    </w:p>
    <w:p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costos asociados a los enlaces locales se pueden categorizar en tres grupos:</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Costeo del transporte de tráfico entre centrales dentro de una misma localidad (costos de transporte)</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Costeo del equipamiento de red necesario para ofrecer el servicio de enlaces dedicados: Módems, multiplexadores, switches, etc.</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Costeo de la ruta física entre emplazamientos (cobre o fibra P2P), según la capacidad del enlace.</w:t>
      </w:r>
    </w:p>
    <w:p w:rsidR="009009E2" w:rsidRPr="00443C3D" w:rsidRDefault="009009E2" w:rsidP="009009E2">
      <w:pPr>
        <w:numPr>
          <w:ilvl w:val="1"/>
          <w:numId w:val="61"/>
        </w:numPr>
        <w:spacing w:after="0" w:line="276" w:lineRule="auto"/>
        <w:jc w:val="both"/>
        <w:rPr>
          <w:rFonts w:ascii="ITC Avant Garde" w:hAnsi="ITC Avant Garde" w:cs="Arial"/>
          <w:bCs/>
          <w:lang w:val="es-ES"/>
        </w:rPr>
      </w:pPr>
      <w:r w:rsidRPr="00443C3D">
        <w:rPr>
          <w:rFonts w:ascii="ITC Avant Garde" w:hAnsi="ITC Avant Garde" w:cs="Arial"/>
          <w:bCs/>
          <w:lang w:val="es-ES"/>
        </w:rPr>
        <w:t xml:space="preserve">Telmex no tiene capacidad en sus anillos STM-4 para transportar enlaces de </w:t>
      </w:r>
      <w:r w:rsidRPr="00443C3D">
        <w:rPr>
          <w:rFonts w:ascii="ITC Avant Garde" w:hAnsi="ITC Avant Garde" w:cs="Arial"/>
          <w:bCs/>
        </w:rPr>
        <w:t xml:space="preserve">capacidad igual o superior a 1Gbps. Para ello, requiere rutas más largas para conectar dichos enlaces a centrales con capacidad suficiente para enrutar dicho tráfico, lo que incrementa las distancias y por ende los costos. </w:t>
      </w:r>
    </w:p>
    <w:p w:rsidR="009009E2" w:rsidRPr="00443C3D" w:rsidRDefault="009009E2" w:rsidP="009009E2">
      <w:pPr>
        <w:spacing w:after="0" w:line="276" w:lineRule="auto"/>
        <w:ind w:left="360"/>
        <w:jc w:val="both"/>
        <w:rPr>
          <w:rFonts w:ascii="ITC Avant Garde" w:hAnsi="ITC Avant Garde" w:cs="Arial"/>
          <w:bCs/>
        </w:rPr>
      </w:pPr>
      <w:r w:rsidRPr="00443C3D">
        <w:rPr>
          <w:rFonts w:ascii="ITC Avant Garde" w:hAnsi="ITC Avant Garde" w:cs="Arial"/>
          <w:bCs/>
        </w:rPr>
        <w:t>Los enlaces dedicados locales pueden pasar por más de una central (extremos del enlace), siempre que se sitúen dentro de una misma localidad.</w:t>
      </w:r>
    </w:p>
    <w:p w:rsidR="009009E2" w:rsidRPr="00443C3D" w:rsidRDefault="009009E2" w:rsidP="009009E2">
      <w:pPr>
        <w:spacing w:after="0" w:line="276" w:lineRule="auto"/>
        <w:ind w:left="360"/>
        <w:jc w:val="both"/>
        <w:rPr>
          <w:rFonts w:ascii="ITC Avant Garde" w:hAnsi="ITC Avant Garde" w:cs="Arial"/>
          <w:bCs/>
        </w:rPr>
      </w:pPr>
      <w:r w:rsidRPr="00443C3D">
        <w:rPr>
          <w:rFonts w:ascii="ITC Avant Garde" w:hAnsi="ITC Avant Garde" w:cs="Arial"/>
          <w:bCs/>
          <w:noProof/>
          <w:lang w:eastAsia="es-MX"/>
        </w:rPr>
        <w:drawing>
          <wp:inline distT="0" distB="0" distL="0" distR="0" wp14:anchorId="5133BE4C" wp14:editId="49184672">
            <wp:extent cx="5391150" cy="169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rsidR="009009E2" w:rsidRPr="00443C3D" w:rsidRDefault="009009E2" w:rsidP="009009E2">
      <w:pPr>
        <w:spacing w:after="0" w:line="276" w:lineRule="auto"/>
        <w:jc w:val="both"/>
        <w:rPr>
          <w:rFonts w:ascii="ITC Avant Garde" w:hAnsi="ITC Avant Garde" w:cs="Arial"/>
          <w:bCs/>
          <w:sz w:val="18"/>
          <w:szCs w:val="18"/>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Los costos de transporte de tráfico entre centrales se extraen del modelo de interconexión fijo, así como de los elementos de red necesarios para ofrecer el servicio de enlaces dedicados en base a unas reglas de ingeniería definidas a partir de información provista por Telmex. Dichos costos se reparten entre los diferentes enlaces en base a un gradiente de precios que permite recuperar todos los costos.</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43535F47" wp14:editId="707AF4CA">
            <wp:extent cx="5543550" cy="2933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3158" cy="2949369"/>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Se aplica una depreciación por anualidad a los costos de los elementos de red que considera su vida útil y las tendencias de costos, ambos definidos en base a información provista por Telmex. Se tiene también en cuenta los costos operativos asociados a cada elemento de red, estimados en un 12% de la inversión inicial.</w:t>
      </w:r>
      <w:r w:rsidRPr="00443C3D">
        <w:rPr>
          <w:rFonts w:ascii="ITC Avant Garde" w:hAnsi="ITC Avant Garde" w:cs="Arial"/>
          <w:bCs/>
          <w:noProof/>
          <w:lang w:eastAsia="es-MX"/>
        </w:rPr>
        <w:drawing>
          <wp:inline distT="0" distB="0" distL="0" distR="0" wp14:anchorId="380DECF5" wp14:editId="09484B59">
            <wp:extent cx="5630400" cy="2638800"/>
            <wp:effectExtent l="0" t="0" r="8890" b="9525"/>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30400" cy="2638800"/>
                    </a:xfrm>
                    <a:prstGeom prst="rect">
                      <a:avLst/>
                    </a:prstGeom>
                    <a:noFill/>
                  </pic:spPr>
                </pic:pic>
              </a:graphicData>
            </a:graphic>
          </wp:inline>
        </w:drawing>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lastRenderedPageBreak/>
        <w:drawing>
          <wp:inline distT="0" distB="0" distL="0" distR="0" wp14:anchorId="357F4EBA" wp14:editId="6FFC14A7">
            <wp:extent cx="5124450" cy="2286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rsidR="00E14885" w:rsidRPr="00443C3D" w:rsidRDefault="00E14885" w:rsidP="009009E2">
      <w:pPr>
        <w:spacing w:after="0" w:line="276" w:lineRule="auto"/>
        <w:jc w:val="both"/>
        <w:rPr>
          <w:rFonts w:ascii="ITC Avant Garde" w:hAnsi="ITC Avant Garde" w:cs="Arial"/>
          <w:bCs/>
          <w:sz w:val="18"/>
          <w:szCs w:val="18"/>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Costos de instalación de los enlaces dedicados locales</w:t>
      </w:r>
      <w:r w:rsidRPr="00443C3D">
        <w:rPr>
          <w:rFonts w:ascii="ITC Avant Garde" w:hAnsi="ITC Avant Garde" w:cs="Arial"/>
          <w:bCs/>
        </w:rPr>
        <w:t>. El costo de instalación de los enlaces locales se compone del costo de la mano de obra asociados a los procesos de validación y activación de la orden, instalación y pruebas, etc. efectuados en la central como en el sitio del cliente. Además, los elementos que se instalan en l</w:t>
      </w:r>
      <w:r w:rsidR="00875872">
        <w:rPr>
          <w:rFonts w:ascii="ITC Avant Garde" w:hAnsi="ITC Avant Garde" w:cs="Arial"/>
          <w:bCs/>
        </w:rPr>
        <w:t xml:space="preserve">os sitios </w:t>
      </w:r>
      <w:r w:rsidRPr="00443C3D">
        <w:rPr>
          <w:rFonts w:ascii="ITC Avant Garde" w:hAnsi="ITC Avant Garde" w:cs="Arial"/>
          <w:bCs/>
        </w:rPr>
        <w:t xml:space="preserve">del cliente tienen un costo de instalación asociado, que representa entre el 7% y el 30% del costo unitario del elemento. </w:t>
      </w:r>
    </w:p>
    <w:p w:rsidR="009009E2" w:rsidRDefault="009009E2" w:rsidP="009009E2">
      <w:pPr>
        <w:spacing w:after="0" w:line="276" w:lineRule="auto"/>
        <w:jc w:val="both"/>
        <w:rPr>
          <w:rFonts w:ascii="ITC Avant Garde" w:hAnsi="ITC Avant Garde" w:cs="Arial"/>
          <w:bCs/>
          <w:lang w:val="es-ES"/>
        </w:rPr>
      </w:pPr>
      <w:r w:rsidRPr="00443C3D">
        <w:rPr>
          <w:rFonts w:ascii="ITC Avant Garde" w:hAnsi="ITC Avant Garde" w:cs="Arial"/>
          <w:bCs/>
          <w:lang w:val="es-ES"/>
        </w:rPr>
        <w:t>A partir de dichos costos unitarios de instalación se calculan los costos totales de instalación que se distribuyen entre los diferentes enlaces a través de un gradiente de precios.</w:t>
      </w:r>
    </w:p>
    <w:p w:rsidR="00875872" w:rsidRPr="00443C3D" w:rsidRDefault="00875872" w:rsidP="009009E2">
      <w:pPr>
        <w:spacing w:after="0" w:line="276" w:lineRule="auto"/>
        <w:jc w:val="both"/>
        <w:rPr>
          <w:rFonts w:ascii="ITC Avant Garde" w:hAnsi="ITC Avant Garde" w:cs="Arial"/>
          <w:bCs/>
          <w:lang w:val="es-E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Descripción del modelo. </w:t>
      </w:r>
      <w:r w:rsidRPr="00443C3D">
        <w:rPr>
          <w:rFonts w:ascii="ITC Avant Garde" w:hAnsi="ITC Avant Garde" w:cs="Arial"/>
          <w:bCs/>
        </w:rPr>
        <w:t>El modelo se estructura alrededor de los módulos de enlaces locales, y entre localidades/internacionales.</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Diferencias en el precio por Mbps en México (Gradientes en precio).</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Esquema para el cálculo del gradiente equivalente de capacidad</w:t>
      </w: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un gradiente que reflejara las economías de escala con base en la experiencia internacional.</w:t>
      </w:r>
    </w:p>
    <w:p w:rsidR="009009E2" w:rsidRPr="00443C3D" w:rsidRDefault="009009E2" w:rsidP="009009E2">
      <w:pPr>
        <w:spacing w:after="0" w:line="276" w:lineRule="auto"/>
        <w:ind w:left="720"/>
        <w:jc w:val="both"/>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rsidR="009009E2" w:rsidRPr="00443C3D" w:rsidRDefault="009009E2" w:rsidP="009009E2">
      <w:pPr>
        <w:spacing w:after="0" w:line="276" w:lineRule="auto"/>
        <w:ind w:left="720"/>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Por último, para comparar los distintos precios equivalentes, se vuelve a tomar como referencia el precio de un enlace E1 / 1Gbps y se calcula una matriz gradiente.</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Lo anterior denota que el precio del Mbps no varía significativamente en los enlaces de velocidades inferiores a E1, contrariamente a los enlaces de velocidades superiores, Sin embargo, en Ethernet sí aparecen economías de escala para todas las velocidades</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Debido a las economías de escala, el precio por km también debe seguir una progresión en línea con las distancias totales</w:t>
      </w:r>
    </w:p>
    <w:p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Esquema para el cálculo del gradiente equivalente de distancia.</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un gradiente que reflejara las economías de escala con base en la experiencia internacional.</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el precio de un enlace entre localidades de 40.5km (Da), se calcula el precio equivalente por km para los enlaces de todas las velocidades suponiendo que tuviesen una distancia de 40.5km.</w:t>
      </w:r>
    </w:p>
    <w:p w:rsidR="009009E2" w:rsidRPr="00443C3D" w:rsidRDefault="009009E2" w:rsidP="009009E2">
      <w:pPr>
        <w:spacing w:after="0" w:line="276" w:lineRule="auto"/>
        <w:jc w:val="both"/>
        <w:rPr>
          <w:rFonts w:ascii="ITC Avant Garde" w:hAnsi="ITC Avant Garde" w:cs="Arial"/>
          <w:bCs/>
        </w:rPr>
      </w:pPr>
    </w:p>
    <w:p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Por último, para comparar los distintos precios equivalentes, se vuelve a tomar como referencia el precio de los enlaces de 40.5km y se calcula una matriz gradiente.</w:t>
      </w:r>
    </w:p>
    <w:p w:rsidR="009009E2" w:rsidRPr="00443C3D" w:rsidRDefault="009009E2" w:rsidP="009009E2">
      <w:pPr>
        <w:spacing w:after="0" w:line="276" w:lineRule="auto"/>
        <w:jc w:val="both"/>
        <w:rPr>
          <w:rFonts w:ascii="ITC Avant Garde" w:hAnsi="ITC Avant Garde" w:cs="Arial"/>
          <w:bCs/>
        </w:rPr>
      </w:pPr>
    </w:p>
    <w:p w:rsidR="00D371F1"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 anterior muestra que el precio por km en México en Ethernet se mantiene constante, sin reflejar las diferencias de precios de transporte entre niveles de red.</w:t>
      </w:r>
      <w:r w:rsidRPr="00443C3D">
        <w:rPr>
          <w:rFonts w:ascii="ITC Avant Garde" w:hAnsi="ITC Avant Garde" w:cs="Arial"/>
          <w:bCs/>
        </w:rPr>
        <w:cr/>
      </w:r>
    </w:p>
    <w:p w:rsidR="00E3489B" w:rsidRPr="00443C3D" w:rsidRDefault="00E3489B" w:rsidP="00E3489B">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eastAsia="es-ES"/>
        </w:rPr>
        <w:t>El modelo debe incluir un retorno razonable sobre los activos</w:t>
      </w:r>
      <w:r w:rsidR="00875872">
        <w:rPr>
          <w:rFonts w:ascii="ITC Avant Garde" w:eastAsia="Times New Roman" w:hAnsi="ITC Avant Garde" w:cs="Arial"/>
          <w:lang w:eastAsia="es-ES"/>
        </w:rPr>
        <w:t xml:space="preserve"> que</w:t>
      </w:r>
      <w:r w:rsidRPr="00443C3D">
        <w:rPr>
          <w:rFonts w:ascii="ITC Avant Garde" w:eastAsia="Times New Roman" w:hAnsi="ITC Avant Garde" w:cs="Arial"/>
          <w:lang w:eastAsia="es-ES"/>
        </w:rPr>
        <w:t xml:space="preserve">, de conformidad con el Lineamiento Noveno de la Metodología de Costos, este será determinado a través del costo de capital promedio ponderado (CCPP). </w:t>
      </w:r>
      <w:r w:rsidRPr="00443C3D">
        <w:rPr>
          <w:rFonts w:ascii="ITC Avant Garde" w:eastAsia="Times New Roman" w:hAnsi="ITC Avant Garde" w:cs="Arial"/>
          <w:lang w:val="es-ES" w:eastAsia="es-ES"/>
        </w:rPr>
        <w:t>El Costo de Capital Promedio Ponderado es el calculado en los modelos de costos de servicios de conmutados de interconexión.</w:t>
      </w:r>
    </w:p>
    <w:p w:rsidR="00BD6541" w:rsidRPr="00443C3D" w:rsidRDefault="00BD6541">
      <w:pPr>
        <w:spacing w:after="0" w:line="240" w:lineRule="auto"/>
        <w:rPr>
          <w:rFonts w:ascii="ITC Avant Garde" w:hAnsi="ITC Avant Garde"/>
        </w:rPr>
      </w:pPr>
    </w:p>
    <w:p w:rsidR="00496112" w:rsidRPr="00443C3D" w:rsidRDefault="00417B32" w:rsidP="00496112">
      <w:pPr>
        <w:spacing w:after="360"/>
        <w:jc w:val="both"/>
        <w:rPr>
          <w:rFonts w:ascii="ITC Avant Garde" w:hAnsi="ITC Avant Garde"/>
        </w:rPr>
      </w:pPr>
      <w:r w:rsidRPr="00443C3D">
        <w:rPr>
          <w:rFonts w:ascii="ITC Avant Garde" w:hAnsi="ITC Avant Garde"/>
          <w:b/>
        </w:rPr>
        <w:t xml:space="preserve">Décimo </w:t>
      </w:r>
      <w:r w:rsidR="009135C8" w:rsidRPr="00443C3D">
        <w:rPr>
          <w:rFonts w:ascii="ITC Avant Garde" w:hAnsi="ITC Avant Garde"/>
          <w:b/>
        </w:rPr>
        <w:t>Segunda. -</w:t>
      </w:r>
      <w:r w:rsidR="00496112" w:rsidRPr="00443C3D">
        <w:rPr>
          <w:rFonts w:ascii="ITC Avant Garde" w:hAnsi="ITC Avant Garde"/>
          <w:b/>
        </w:rPr>
        <w:t xml:space="preserve"> Tarifas de Interconexión.</w:t>
      </w:r>
      <w:r w:rsidR="009135C8" w:rsidRPr="00443C3D">
        <w:rPr>
          <w:rFonts w:ascii="ITC Avant Garde" w:hAnsi="ITC Avant Garde"/>
        </w:rPr>
        <w:t xml:space="preserve"> El artículo 127 de la LFT</w:t>
      </w:r>
      <w:r w:rsidR="00496112" w:rsidRPr="00443C3D">
        <w:rPr>
          <w:rFonts w:ascii="ITC Avant Garde" w:hAnsi="ITC Avant Garde"/>
        </w:rPr>
        <w:t xml:space="preserve">R señala que se consideran servicios de interconexión, entre otros, los siguientes: </w:t>
      </w:r>
    </w:p>
    <w:p w:rsidR="00496112" w:rsidRPr="00443C3D" w:rsidRDefault="00496112" w:rsidP="00496112">
      <w:pPr>
        <w:spacing w:after="0"/>
        <w:jc w:val="both"/>
        <w:rPr>
          <w:rFonts w:ascii="ITC Avant Garde" w:hAnsi="ITC Avant Garde"/>
        </w:rPr>
      </w:pPr>
      <w:r w:rsidRPr="00443C3D">
        <w:rPr>
          <w:rFonts w:ascii="ITC Avant Garde" w:hAnsi="ITC Avant Garde"/>
        </w:rPr>
        <w:t>I.</w:t>
      </w:r>
      <w:r w:rsidRPr="00443C3D">
        <w:rPr>
          <w:rFonts w:ascii="ITC Avant Garde" w:hAnsi="ITC Avant Garde"/>
        </w:rPr>
        <w:tab/>
        <w:t>Conducción de tráfi</w:t>
      </w:r>
      <w:r w:rsidR="00D347F8" w:rsidRPr="00443C3D">
        <w:rPr>
          <w:rFonts w:ascii="ITC Avant Garde" w:hAnsi="ITC Avant Garde"/>
        </w:rPr>
        <w:t xml:space="preserve">co, que incluye su originación </w:t>
      </w:r>
      <w:r w:rsidRPr="00443C3D">
        <w:rPr>
          <w:rFonts w:ascii="ITC Avant Garde" w:hAnsi="ITC Avant Garde"/>
        </w:rPr>
        <w:t>y terminación, así como llamadas y servicios de mensajes cortos;</w:t>
      </w:r>
    </w:p>
    <w:p w:rsidR="00496112" w:rsidRPr="00443C3D" w:rsidRDefault="00496112" w:rsidP="00496112">
      <w:pPr>
        <w:spacing w:after="0"/>
        <w:jc w:val="both"/>
        <w:rPr>
          <w:rFonts w:ascii="ITC Avant Garde" w:hAnsi="ITC Avant Garde"/>
        </w:rPr>
      </w:pPr>
      <w:r w:rsidRPr="00443C3D">
        <w:rPr>
          <w:rFonts w:ascii="ITC Avant Garde" w:hAnsi="ITC Avant Garde"/>
        </w:rPr>
        <w:t>II.</w:t>
      </w:r>
      <w:r w:rsidRPr="00443C3D">
        <w:rPr>
          <w:rFonts w:ascii="ITC Avant Garde" w:hAnsi="ITC Avant Garde"/>
        </w:rPr>
        <w:tab/>
        <w:t>Enlaces de Transmisión;</w:t>
      </w:r>
    </w:p>
    <w:p w:rsidR="00496112" w:rsidRPr="00443C3D" w:rsidRDefault="00496112" w:rsidP="00496112">
      <w:pPr>
        <w:spacing w:after="0"/>
        <w:jc w:val="both"/>
        <w:rPr>
          <w:rFonts w:ascii="ITC Avant Garde" w:hAnsi="ITC Avant Garde"/>
        </w:rPr>
      </w:pPr>
      <w:r w:rsidRPr="00443C3D">
        <w:rPr>
          <w:rFonts w:ascii="ITC Avant Garde" w:hAnsi="ITC Avant Garde"/>
        </w:rPr>
        <w:t>III.</w:t>
      </w:r>
      <w:r w:rsidRPr="00443C3D">
        <w:rPr>
          <w:rFonts w:ascii="ITC Avant Garde" w:hAnsi="ITC Avant Garde"/>
        </w:rPr>
        <w:tab/>
        <w:t>Puertos de acceso;</w:t>
      </w:r>
    </w:p>
    <w:p w:rsidR="00496112" w:rsidRPr="00443C3D" w:rsidRDefault="00496112" w:rsidP="00496112">
      <w:pPr>
        <w:spacing w:after="0"/>
        <w:jc w:val="both"/>
        <w:rPr>
          <w:rFonts w:ascii="ITC Avant Garde" w:hAnsi="ITC Avant Garde"/>
        </w:rPr>
      </w:pPr>
      <w:r w:rsidRPr="00443C3D">
        <w:rPr>
          <w:rFonts w:ascii="ITC Avant Garde" w:hAnsi="ITC Avant Garde"/>
        </w:rPr>
        <w:t>IV.</w:t>
      </w:r>
      <w:r w:rsidRPr="00443C3D">
        <w:rPr>
          <w:rFonts w:ascii="ITC Avant Garde" w:hAnsi="ITC Avant Garde"/>
        </w:rPr>
        <w:tab/>
        <w:t>Señalización;</w:t>
      </w:r>
    </w:p>
    <w:p w:rsidR="00496112" w:rsidRPr="00443C3D" w:rsidRDefault="00496112" w:rsidP="00496112">
      <w:pPr>
        <w:spacing w:after="0"/>
        <w:jc w:val="both"/>
        <w:rPr>
          <w:rFonts w:ascii="ITC Avant Garde" w:hAnsi="ITC Avant Garde"/>
        </w:rPr>
      </w:pPr>
      <w:r w:rsidRPr="00443C3D">
        <w:rPr>
          <w:rFonts w:ascii="ITC Avant Garde" w:hAnsi="ITC Avant Garde"/>
        </w:rPr>
        <w:t>V.</w:t>
      </w:r>
      <w:r w:rsidRPr="00443C3D">
        <w:rPr>
          <w:rFonts w:ascii="ITC Avant Garde" w:hAnsi="ITC Avant Garde"/>
        </w:rPr>
        <w:tab/>
        <w:t>Tránsito;</w:t>
      </w:r>
    </w:p>
    <w:p w:rsidR="00496112" w:rsidRPr="00443C3D" w:rsidRDefault="00496112" w:rsidP="00496112">
      <w:pPr>
        <w:spacing w:after="0"/>
        <w:jc w:val="both"/>
        <w:rPr>
          <w:rFonts w:ascii="ITC Avant Garde" w:hAnsi="ITC Avant Garde"/>
        </w:rPr>
      </w:pPr>
      <w:r w:rsidRPr="00443C3D">
        <w:rPr>
          <w:rFonts w:ascii="ITC Avant Garde" w:hAnsi="ITC Avant Garde"/>
        </w:rPr>
        <w:t>VI.</w:t>
      </w:r>
      <w:r w:rsidRPr="00443C3D">
        <w:rPr>
          <w:rFonts w:ascii="ITC Avant Garde" w:hAnsi="ITC Avant Garde"/>
        </w:rPr>
        <w:tab/>
        <w:t>Coubicación;</w:t>
      </w:r>
    </w:p>
    <w:p w:rsidR="00496112" w:rsidRPr="00443C3D" w:rsidRDefault="00496112" w:rsidP="00496112">
      <w:pPr>
        <w:spacing w:after="0"/>
        <w:jc w:val="both"/>
        <w:rPr>
          <w:rFonts w:ascii="ITC Avant Garde" w:hAnsi="ITC Avant Garde"/>
        </w:rPr>
      </w:pPr>
      <w:r w:rsidRPr="00443C3D">
        <w:rPr>
          <w:rFonts w:ascii="ITC Avant Garde" w:hAnsi="ITC Avant Garde"/>
        </w:rPr>
        <w:t>VII.</w:t>
      </w:r>
      <w:r w:rsidRPr="00443C3D">
        <w:rPr>
          <w:rFonts w:ascii="ITC Avant Garde" w:hAnsi="ITC Avant Garde"/>
        </w:rPr>
        <w:tab/>
        <w:t>Compartición de infraestructura;</w:t>
      </w:r>
    </w:p>
    <w:p w:rsidR="00496112" w:rsidRPr="00443C3D" w:rsidRDefault="00496112" w:rsidP="00496112">
      <w:pPr>
        <w:spacing w:after="0"/>
        <w:jc w:val="both"/>
        <w:rPr>
          <w:rFonts w:ascii="ITC Avant Garde" w:hAnsi="ITC Avant Garde"/>
        </w:rPr>
      </w:pPr>
      <w:r w:rsidRPr="00443C3D">
        <w:rPr>
          <w:rFonts w:ascii="ITC Avant Garde" w:hAnsi="ITC Avant Garde"/>
        </w:rPr>
        <w:t>VIII.</w:t>
      </w:r>
      <w:r w:rsidRPr="00443C3D">
        <w:rPr>
          <w:rFonts w:ascii="ITC Avant Garde" w:hAnsi="ITC Avant Garde"/>
        </w:rPr>
        <w:tab/>
        <w:t xml:space="preserve">Auxiliares conexos, y </w:t>
      </w:r>
    </w:p>
    <w:p w:rsidR="00496112" w:rsidRPr="00443C3D" w:rsidRDefault="00496112" w:rsidP="00496112">
      <w:pPr>
        <w:spacing w:after="0"/>
        <w:jc w:val="both"/>
        <w:rPr>
          <w:rFonts w:ascii="ITC Avant Garde" w:hAnsi="ITC Avant Garde"/>
        </w:rPr>
      </w:pPr>
      <w:r w:rsidRPr="00443C3D">
        <w:rPr>
          <w:rFonts w:ascii="ITC Avant Garde" w:hAnsi="ITC Avant Garde"/>
        </w:rPr>
        <w:t>IX.</w:t>
      </w:r>
      <w:r w:rsidRPr="00443C3D">
        <w:rPr>
          <w:rFonts w:ascii="ITC Avant Garde" w:hAnsi="ITC Avant Garde"/>
        </w:rPr>
        <w:tab/>
        <w:t>Facturación y Cobranza.</w:t>
      </w:r>
    </w:p>
    <w:p w:rsidR="00496112" w:rsidRPr="00443C3D" w:rsidRDefault="00496112" w:rsidP="00496112">
      <w:pPr>
        <w:spacing w:after="0"/>
        <w:jc w:val="both"/>
        <w:rPr>
          <w:rFonts w:ascii="ITC Avant Garde" w:hAnsi="ITC Avant Garde"/>
        </w:rPr>
      </w:pPr>
    </w:p>
    <w:p w:rsidR="00496112" w:rsidRPr="00443C3D" w:rsidRDefault="00496112" w:rsidP="00496112">
      <w:pPr>
        <w:spacing w:after="0"/>
        <w:jc w:val="both"/>
        <w:rPr>
          <w:rFonts w:ascii="ITC Avant Garde" w:hAnsi="ITC Avant Garde"/>
        </w:rPr>
      </w:pPr>
      <w:r w:rsidRPr="00443C3D">
        <w:rPr>
          <w:rFonts w:ascii="ITC Avant Garde" w:hAnsi="ITC Avant Garde"/>
        </w:rPr>
        <w:t xml:space="preserve">Al respecto es importante señalar que </w:t>
      </w:r>
      <w:r w:rsidR="0082165F" w:rsidRPr="00443C3D">
        <w:rPr>
          <w:rFonts w:ascii="ITC Avant Garde" w:hAnsi="ITC Avant Garde"/>
        </w:rPr>
        <w:t>el artículo 126 de la misma LFT</w:t>
      </w:r>
      <w:r w:rsidRPr="00443C3D">
        <w:rPr>
          <w:rFonts w:ascii="ITC Avant Garde" w:hAnsi="ITC Avant Garde"/>
        </w:rPr>
        <w:t>R señala que con excepción a las tarifas a que se refiere el artículo 131, los concesionarios de redes públicas de telecomunicaciones acordarán las condiciones bajo las cuales se llevará a cabo la interconexión de las mismas. Asimismo, el propio artículo 131 señala en su inciso b</w:t>
      </w:r>
      <w:r w:rsidR="00217D0D">
        <w:rPr>
          <w:rFonts w:ascii="ITC Avant Garde" w:hAnsi="ITC Avant Garde"/>
        </w:rPr>
        <w:t>)</w:t>
      </w:r>
      <w:r w:rsidRPr="00443C3D">
        <w:rPr>
          <w:rFonts w:ascii="ITC Avant Garde" w:hAnsi="ITC Avant Garde"/>
        </w:rPr>
        <w:t xml:space="preserve"> que para el tráfico que termina en la red de los concesionarios distintos al Agente Económico Preponderante la tarifa de interconexión será negociada libremente.</w:t>
      </w:r>
    </w:p>
    <w:p w:rsidR="00496112" w:rsidRPr="00443C3D" w:rsidRDefault="00496112" w:rsidP="00496112">
      <w:pPr>
        <w:spacing w:after="0"/>
        <w:jc w:val="both"/>
        <w:rPr>
          <w:rFonts w:ascii="ITC Avant Garde" w:hAnsi="ITC Avant Garde"/>
        </w:rPr>
      </w:pPr>
    </w:p>
    <w:p w:rsidR="00496112" w:rsidRPr="00443C3D" w:rsidRDefault="00496112" w:rsidP="00496112">
      <w:pPr>
        <w:spacing w:after="0"/>
        <w:jc w:val="both"/>
        <w:rPr>
          <w:rFonts w:ascii="ITC Avant Garde" w:hAnsi="ITC Avant Garde"/>
        </w:rPr>
      </w:pPr>
      <w:r w:rsidRPr="00443C3D">
        <w:rPr>
          <w:rFonts w:ascii="ITC Avant Garde" w:hAnsi="ITC Avant Garde"/>
        </w:rPr>
        <w:t>Es así q</w:t>
      </w:r>
      <w:r w:rsidR="0082165F" w:rsidRPr="00443C3D">
        <w:rPr>
          <w:rFonts w:ascii="ITC Avant Garde" w:hAnsi="ITC Avant Garde"/>
        </w:rPr>
        <w:t>ue se observa que la propia LFT</w:t>
      </w:r>
      <w:r w:rsidRPr="00443C3D">
        <w:rPr>
          <w:rFonts w:ascii="ITC Avant Garde" w:hAnsi="ITC Avant Garde"/>
        </w:rPr>
        <w:t xml:space="preserve">R privilegia la voluntad de las partes para efectos de que estas puedan acordar las tarifas aplicables a los distintos servicios de interconexión. </w:t>
      </w:r>
    </w:p>
    <w:p w:rsidR="00496112" w:rsidRPr="00443C3D" w:rsidRDefault="00496112" w:rsidP="00496112">
      <w:pPr>
        <w:spacing w:after="0"/>
        <w:jc w:val="both"/>
        <w:rPr>
          <w:rFonts w:ascii="ITC Avant Garde" w:hAnsi="ITC Avant Garde"/>
        </w:rPr>
      </w:pPr>
    </w:p>
    <w:p w:rsidR="00496112" w:rsidRPr="00443C3D" w:rsidRDefault="00496112" w:rsidP="00496112">
      <w:pPr>
        <w:spacing w:after="0"/>
        <w:jc w:val="both"/>
        <w:rPr>
          <w:rFonts w:ascii="ITC Avant Garde" w:hAnsi="ITC Avant Garde"/>
        </w:rPr>
      </w:pPr>
      <w:r w:rsidRPr="00443C3D">
        <w:rPr>
          <w:rFonts w:ascii="ITC Avant Garde" w:hAnsi="ITC Avant Garde"/>
        </w:rPr>
        <w:t xml:space="preserve">Cabe señalar que históricamente la mayor parte de los diferendos en materia de interconexión se refiere a las tarifas aplicables a un conjunto acotado de servicios y que existen algunos servicios para los cuales no han existido desacuerdos. </w:t>
      </w:r>
    </w:p>
    <w:p w:rsidR="00496112" w:rsidRPr="00443C3D" w:rsidRDefault="00496112" w:rsidP="00496112">
      <w:pPr>
        <w:spacing w:after="0"/>
        <w:jc w:val="both"/>
        <w:rPr>
          <w:rFonts w:ascii="ITC Avant Garde" w:hAnsi="ITC Avant Garde"/>
        </w:rPr>
      </w:pPr>
    </w:p>
    <w:p w:rsidR="00496112" w:rsidRPr="00443C3D" w:rsidRDefault="00496112" w:rsidP="00496112">
      <w:pPr>
        <w:spacing w:after="0"/>
        <w:jc w:val="both"/>
        <w:rPr>
          <w:rFonts w:ascii="ITC Avant Garde" w:hAnsi="ITC Avant Garde"/>
        </w:rPr>
      </w:pPr>
      <w:r w:rsidRPr="00443C3D">
        <w:rPr>
          <w:rFonts w:ascii="ITC Avant Garde" w:hAnsi="ITC Avant Garde"/>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rsidR="00496112" w:rsidRPr="00443C3D" w:rsidRDefault="00496112" w:rsidP="00496112">
      <w:pPr>
        <w:spacing w:after="0"/>
        <w:jc w:val="both"/>
        <w:rPr>
          <w:rFonts w:ascii="ITC Avant Garde" w:hAnsi="ITC Avant Garde"/>
        </w:rPr>
      </w:pPr>
    </w:p>
    <w:p w:rsidR="00217D0D" w:rsidRPr="00217D0D" w:rsidRDefault="00496112" w:rsidP="00217D0D">
      <w:pPr>
        <w:shd w:val="clear" w:color="auto" w:fill="FFFFFF"/>
        <w:spacing w:after="100" w:line="240" w:lineRule="auto"/>
        <w:jc w:val="both"/>
        <w:rPr>
          <w:rFonts w:ascii="ITC Avant Garde" w:hAnsi="ITC Avant Garde"/>
        </w:rPr>
      </w:pPr>
      <w:r w:rsidRPr="00443C3D">
        <w:rPr>
          <w:rFonts w:ascii="ITC Avant Garde" w:hAnsi="ITC Avant Garde"/>
        </w:rPr>
        <w:t>Por las razones anteriormente expuestas</w:t>
      </w:r>
      <w:r w:rsidR="00217D0D">
        <w:rPr>
          <w:rFonts w:ascii="ITC Avant Garde" w:hAnsi="ITC Avant Garde"/>
        </w:rPr>
        <w:t>, e</w:t>
      </w:r>
      <w:r w:rsidR="00217D0D" w:rsidRPr="00217D0D">
        <w:rPr>
          <w:rFonts w:ascii="ITC Avant Garde" w:hAnsi="ITC Avant Garde"/>
        </w:rPr>
        <w:t>l Instituto Federal de Telecomunicaciones determina las tarifas por los Servicios de Interconexión que han resultado de la</w:t>
      </w:r>
      <w:r w:rsidR="00512208">
        <w:rPr>
          <w:rFonts w:ascii="ITC Avant Garde" w:hAnsi="ITC Avant Garde"/>
        </w:rPr>
        <w:t>s</w:t>
      </w:r>
      <w:r w:rsidR="00217D0D" w:rsidRPr="00217D0D">
        <w:rPr>
          <w:rFonts w:ascii="ITC Avant Garde" w:hAnsi="ITC Avant Garde"/>
        </w:rPr>
        <w:t xml:space="preserve"> metodología</w:t>
      </w:r>
      <w:r w:rsidR="00512208">
        <w:rPr>
          <w:rFonts w:ascii="ITC Avant Garde" w:hAnsi="ITC Avant Garde"/>
        </w:rPr>
        <w:t>s</w:t>
      </w:r>
      <w:r w:rsidR="00217D0D" w:rsidRPr="00217D0D">
        <w:rPr>
          <w:rFonts w:ascii="ITC Avant Garde" w:hAnsi="ITC Avant Garde"/>
        </w:rPr>
        <w:t xml:space="preserve"> para el cálculo de costos de interconexión de conformidad con la Ley Federal de Telecomunicaciones y Radiodifusión en los siguientes términos:</w:t>
      </w:r>
    </w:p>
    <w:p w:rsidR="000154EC" w:rsidRDefault="000154EC" w:rsidP="00496112">
      <w:pPr>
        <w:spacing w:after="0"/>
        <w:jc w:val="both"/>
        <w:rPr>
          <w:rFonts w:ascii="ITC Avant Garde" w:hAnsi="ITC Avant Garde"/>
        </w:rPr>
      </w:pPr>
    </w:p>
    <w:p w:rsidR="00496112" w:rsidRPr="00443C3D" w:rsidRDefault="000154EC" w:rsidP="00496112">
      <w:pPr>
        <w:spacing w:after="0"/>
        <w:jc w:val="both"/>
        <w:rPr>
          <w:rFonts w:ascii="ITC Avant Garde" w:hAnsi="ITC Avant Garde"/>
        </w:rPr>
      </w:pPr>
      <w:r>
        <w:rPr>
          <w:rFonts w:ascii="ITC Avant Garde" w:hAnsi="ITC Avant Garde"/>
          <w:b/>
        </w:rPr>
        <w:t>Primero</w:t>
      </w:r>
      <w:r w:rsidRPr="000154EC">
        <w:rPr>
          <w:rFonts w:ascii="ITC Avant Garde" w:hAnsi="ITC Avant Garde"/>
          <w:b/>
        </w:rPr>
        <w:t>.</w:t>
      </w:r>
      <w:r>
        <w:rPr>
          <w:rFonts w:ascii="ITC Avant Garde" w:hAnsi="ITC Avant Garde"/>
        </w:rPr>
        <w:t xml:space="preserve"> L</w:t>
      </w:r>
      <w:r w:rsidR="00496112" w:rsidRPr="00443C3D">
        <w:rPr>
          <w:rFonts w:ascii="ITC Avant Garde" w:hAnsi="ITC Avant Garde"/>
        </w:rPr>
        <w:t xml:space="preserve">as tarifas por los Servicios </w:t>
      </w:r>
      <w:r w:rsidR="00E32401" w:rsidRPr="00443C3D">
        <w:rPr>
          <w:rFonts w:ascii="ITC Avant Garde" w:hAnsi="ITC Avant Garde"/>
        </w:rPr>
        <w:t xml:space="preserve">de </w:t>
      </w:r>
      <w:r w:rsidR="00496112" w:rsidRPr="00443C3D">
        <w:rPr>
          <w:rFonts w:ascii="ITC Avant Garde" w:hAnsi="ITC Avant Garde"/>
        </w:rPr>
        <w:t xml:space="preserve">Interconexión, calculadas con base en los costos por los Servicios de Interconexión que </w:t>
      </w:r>
      <w:r w:rsidR="003D660F" w:rsidRPr="00443C3D">
        <w:rPr>
          <w:rFonts w:ascii="ITC Avant Garde" w:hAnsi="ITC Avant Garde"/>
        </w:rPr>
        <w:t>se obtienen del</w:t>
      </w:r>
      <w:r w:rsidR="0001125A" w:rsidRPr="00443C3D">
        <w:rPr>
          <w:rFonts w:ascii="ITC Avant Garde" w:hAnsi="ITC Avant Garde"/>
        </w:rPr>
        <w:t xml:space="preserve"> Modelo Móvil y el Modelo Fijo para el año 201</w:t>
      </w:r>
      <w:r w:rsidR="008C081E" w:rsidRPr="00443C3D">
        <w:rPr>
          <w:rFonts w:ascii="ITC Avant Garde" w:hAnsi="ITC Avant Garde"/>
        </w:rPr>
        <w:t>9</w:t>
      </w:r>
      <w:r w:rsidR="0001125A" w:rsidRPr="00443C3D">
        <w:rPr>
          <w:rFonts w:ascii="ITC Avant Garde" w:hAnsi="ITC Avant Garde"/>
        </w:rPr>
        <w:t xml:space="preserve"> </w:t>
      </w:r>
      <w:r w:rsidR="00496112" w:rsidRPr="00443C3D">
        <w:rPr>
          <w:rFonts w:ascii="ITC Avant Garde" w:hAnsi="ITC Avant Garde"/>
        </w:rPr>
        <w:t>para los servicios local fijo o móvil del concesionario distinto al Agente Económico Preponderante</w:t>
      </w:r>
      <w:r w:rsidR="00512208">
        <w:rPr>
          <w:rFonts w:ascii="ITC Avant Garde" w:hAnsi="ITC Avant Garde"/>
        </w:rPr>
        <w:t>,</w:t>
      </w:r>
      <w:r w:rsidR="00024BD3" w:rsidRPr="00443C3D">
        <w:rPr>
          <w:rFonts w:ascii="ITC Avant Garde" w:hAnsi="ITC Avant Garde"/>
        </w:rPr>
        <w:t xml:space="preserve"> serán las siguientes</w:t>
      </w:r>
      <w:r w:rsidR="00496112" w:rsidRPr="00443C3D">
        <w:rPr>
          <w:rFonts w:ascii="ITC Avant Garde" w:hAnsi="ITC Avant Garde"/>
        </w:rPr>
        <w:t xml:space="preserve">: </w:t>
      </w:r>
    </w:p>
    <w:p w:rsidR="00496112" w:rsidRPr="00443C3D" w:rsidRDefault="00496112" w:rsidP="00496112">
      <w:pPr>
        <w:spacing w:after="0"/>
        <w:jc w:val="both"/>
        <w:rPr>
          <w:rFonts w:ascii="ITC Avant Garde" w:hAnsi="ITC Avant Garde"/>
        </w:rPr>
      </w:pPr>
    </w:p>
    <w:p w:rsidR="00496112" w:rsidRPr="00443C3D" w:rsidRDefault="00496112" w:rsidP="00496112">
      <w:pPr>
        <w:pStyle w:val="Prrafodelista"/>
        <w:numPr>
          <w:ilvl w:val="0"/>
          <w:numId w:val="34"/>
        </w:numPr>
        <w:spacing w:after="0" w:line="276" w:lineRule="auto"/>
        <w:jc w:val="both"/>
        <w:rPr>
          <w:rFonts w:ascii="ITC Avant Garde" w:hAnsi="ITC Avant Garde"/>
        </w:rPr>
      </w:pPr>
      <w:r w:rsidRPr="00443C3D">
        <w:rPr>
          <w:rFonts w:ascii="ITC Avant Garde" w:hAnsi="ITC Avant Garde"/>
        </w:rPr>
        <w:t>Tarifa por servicios de terminación del Servicio Local en usuarios móviles.</w:t>
      </w:r>
    </w:p>
    <w:p w:rsidR="00496112" w:rsidRPr="00443C3D" w:rsidRDefault="00496112" w:rsidP="00496112">
      <w:pPr>
        <w:pStyle w:val="Prrafodelista"/>
        <w:spacing w:after="0" w:line="276" w:lineRule="auto"/>
        <w:jc w:val="both"/>
        <w:rPr>
          <w:rFonts w:ascii="ITC Avant Garde" w:hAnsi="ITC Avant Garde"/>
        </w:rPr>
      </w:pPr>
      <w:r w:rsidRPr="00443C3D">
        <w:rPr>
          <w:rFonts w:ascii="ITC Avant Garde" w:hAnsi="ITC Avant Garde"/>
        </w:rPr>
        <w:t xml:space="preserve"> </w:t>
      </w:r>
    </w:p>
    <w:p w:rsidR="00496112" w:rsidRPr="00443C3D" w:rsidRDefault="00496112" w:rsidP="00496112">
      <w:pPr>
        <w:pStyle w:val="Prrafodelista"/>
        <w:numPr>
          <w:ilvl w:val="0"/>
          <w:numId w:val="34"/>
        </w:numPr>
        <w:spacing w:after="0" w:line="276" w:lineRule="auto"/>
        <w:jc w:val="both"/>
        <w:rPr>
          <w:rFonts w:ascii="ITC Avant Garde" w:hAnsi="ITC Avant Garde"/>
        </w:rPr>
      </w:pPr>
      <w:r w:rsidRPr="00443C3D">
        <w:rPr>
          <w:rFonts w:ascii="ITC Avant Garde" w:hAnsi="ITC Avant Garde"/>
        </w:rPr>
        <w:t>Tarifa por servicios de terminación de mensajes cortos (SMS) en usuarios móviles y fijos.</w:t>
      </w:r>
    </w:p>
    <w:p w:rsidR="00496112" w:rsidRPr="00443C3D" w:rsidRDefault="00496112" w:rsidP="00496112">
      <w:pPr>
        <w:pStyle w:val="Prrafodelista"/>
        <w:spacing w:line="276" w:lineRule="auto"/>
        <w:rPr>
          <w:rFonts w:ascii="ITC Avant Garde" w:hAnsi="ITC Avant Garde"/>
        </w:rPr>
      </w:pPr>
    </w:p>
    <w:p w:rsidR="005968B6" w:rsidRPr="00443C3D" w:rsidRDefault="00496112" w:rsidP="005968B6">
      <w:pPr>
        <w:pStyle w:val="Prrafodelista"/>
        <w:numPr>
          <w:ilvl w:val="0"/>
          <w:numId w:val="34"/>
        </w:numPr>
        <w:spacing w:after="0" w:line="276" w:lineRule="auto"/>
        <w:jc w:val="both"/>
        <w:rPr>
          <w:rFonts w:ascii="ITC Avant Garde" w:hAnsi="ITC Avant Garde"/>
        </w:rPr>
      </w:pPr>
      <w:r w:rsidRPr="00443C3D">
        <w:rPr>
          <w:rFonts w:ascii="ITC Avant Garde" w:hAnsi="ITC Avant Garde" w:cs="Arial"/>
        </w:rPr>
        <w:t>Tarifa por servicios de terminación del Servicio Local en usuarios fijos.</w:t>
      </w:r>
    </w:p>
    <w:p w:rsidR="003D660F" w:rsidRPr="00443C3D" w:rsidRDefault="003D660F">
      <w:pPr>
        <w:spacing w:after="0" w:line="240" w:lineRule="auto"/>
        <w:rPr>
          <w:rFonts w:ascii="ITC Avant Garde" w:hAnsi="ITC Avant Garde"/>
        </w:rPr>
      </w:pPr>
    </w:p>
    <w:p w:rsidR="00217D0D" w:rsidRPr="00217D0D" w:rsidRDefault="000154EC" w:rsidP="00217D0D">
      <w:pPr>
        <w:spacing w:after="0" w:line="276" w:lineRule="auto"/>
        <w:jc w:val="both"/>
        <w:rPr>
          <w:rFonts w:ascii="ITC Avant Garde" w:hAnsi="ITC Avant Garde"/>
        </w:rPr>
      </w:pPr>
      <w:r>
        <w:rPr>
          <w:rFonts w:ascii="ITC Avant Garde" w:hAnsi="ITC Avant Garde"/>
          <w:b/>
        </w:rPr>
        <w:lastRenderedPageBreak/>
        <w:t>Segundo</w:t>
      </w:r>
      <w:r w:rsidRPr="000154EC">
        <w:rPr>
          <w:rFonts w:ascii="ITC Avant Garde" w:hAnsi="ITC Avant Garde"/>
          <w:b/>
        </w:rPr>
        <w:t>.</w:t>
      </w:r>
      <w:r w:rsidR="00217D0D">
        <w:rPr>
          <w:rFonts w:ascii="ITC Avant Garde" w:hAnsi="ITC Avant Garde"/>
          <w:b/>
        </w:rPr>
        <w:t xml:space="preserve"> </w:t>
      </w:r>
      <w:r w:rsidR="00217D0D" w:rsidRPr="00217D0D">
        <w:rPr>
          <w:rFonts w:ascii="ITC Avant Garde" w:hAnsi="ITC Avant Garde"/>
        </w:rPr>
        <w:t xml:space="preserve">Tratándose de la red móvil del Agente Económico Preponderante, las tarifas </w:t>
      </w:r>
      <w:r w:rsidR="00512208">
        <w:rPr>
          <w:rFonts w:ascii="ITC Avant Garde" w:hAnsi="ITC Avant Garde"/>
        </w:rPr>
        <w:t xml:space="preserve">por los servicios de interconexión </w:t>
      </w:r>
      <w:r w:rsidR="00217D0D" w:rsidRPr="00217D0D">
        <w:rPr>
          <w:rFonts w:ascii="ITC Avant Garde" w:hAnsi="ITC Avant Garde"/>
        </w:rPr>
        <w:t>aplicables del 1 de enero al 31 de diciembre de 2019</w:t>
      </w:r>
      <w:r w:rsidR="00217D0D">
        <w:rPr>
          <w:rFonts w:ascii="ITC Avant Garde" w:hAnsi="ITC Avant Garde"/>
        </w:rPr>
        <w:t>,</w:t>
      </w:r>
      <w:r w:rsidR="00217D0D" w:rsidRPr="00217D0D">
        <w:rPr>
          <w:rFonts w:ascii="ITC Avant Garde" w:hAnsi="ITC Avant Garde"/>
        </w:rPr>
        <w:t xml:space="preserve"> </w:t>
      </w:r>
      <w:r w:rsidR="00217D0D" w:rsidRPr="00443C3D">
        <w:rPr>
          <w:rFonts w:ascii="ITC Avant Garde" w:hAnsi="ITC Avant Garde"/>
        </w:rPr>
        <w:t>que se obtienen del Modelo Móvil</w:t>
      </w:r>
      <w:r w:rsidR="00217D0D">
        <w:rPr>
          <w:rFonts w:ascii="ITC Avant Garde" w:hAnsi="ITC Avant Garde"/>
        </w:rPr>
        <w:t>,</w:t>
      </w:r>
      <w:r w:rsidR="00217D0D" w:rsidRPr="00217D0D">
        <w:rPr>
          <w:rFonts w:ascii="ITC Avant Garde" w:hAnsi="ITC Avant Garde"/>
        </w:rPr>
        <w:t xml:space="preserve"> serán las siguientes:</w:t>
      </w:r>
    </w:p>
    <w:p w:rsidR="00217D0D" w:rsidRDefault="00217D0D" w:rsidP="00217D0D">
      <w:pPr>
        <w:spacing w:after="0" w:line="276" w:lineRule="auto"/>
        <w:jc w:val="both"/>
        <w:rPr>
          <w:rFonts w:ascii="ITC Avant Garde" w:hAnsi="ITC Avant Garde"/>
        </w:rPr>
      </w:pPr>
    </w:p>
    <w:p w:rsidR="00217D0D" w:rsidRPr="00512208" w:rsidRDefault="00217D0D" w:rsidP="00512208">
      <w:pPr>
        <w:pStyle w:val="Prrafodelista"/>
        <w:numPr>
          <w:ilvl w:val="0"/>
          <w:numId w:val="64"/>
        </w:numPr>
        <w:spacing w:after="0" w:line="276" w:lineRule="auto"/>
        <w:jc w:val="both"/>
        <w:rPr>
          <w:rFonts w:ascii="ITC Avant Garde" w:hAnsi="ITC Avant Garde"/>
        </w:rPr>
      </w:pPr>
      <w:r w:rsidRPr="00512208">
        <w:rPr>
          <w:rFonts w:ascii="ITC Avant Garde" w:hAnsi="ITC Avant Garde"/>
        </w:rPr>
        <w:t>Por servicios de terminación del Servicio Local en usuarios móviles.</w:t>
      </w:r>
    </w:p>
    <w:p w:rsidR="00217D0D" w:rsidRDefault="00217D0D" w:rsidP="00217D0D">
      <w:pPr>
        <w:spacing w:after="0" w:line="276" w:lineRule="auto"/>
        <w:jc w:val="both"/>
        <w:rPr>
          <w:rFonts w:ascii="ITC Avant Garde" w:hAnsi="ITC Avant Garde"/>
        </w:rPr>
      </w:pPr>
    </w:p>
    <w:p w:rsidR="00217D0D" w:rsidRPr="00512208" w:rsidRDefault="00217D0D" w:rsidP="00512208">
      <w:pPr>
        <w:pStyle w:val="Prrafodelista"/>
        <w:numPr>
          <w:ilvl w:val="0"/>
          <w:numId w:val="64"/>
        </w:numPr>
        <w:spacing w:after="0" w:line="276" w:lineRule="auto"/>
        <w:jc w:val="both"/>
        <w:rPr>
          <w:rFonts w:ascii="ITC Avant Garde" w:hAnsi="ITC Avant Garde"/>
        </w:rPr>
      </w:pPr>
      <w:r w:rsidRPr="00512208">
        <w:rPr>
          <w:rFonts w:ascii="ITC Avant Garde" w:hAnsi="ITC Avant Garde"/>
        </w:rPr>
        <w:t>Por servicio de tránsito.</w:t>
      </w:r>
    </w:p>
    <w:p w:rsidR="00217D0D" w:rsidRDefault="00217D0D" w:rsidP="00217D0D">
      <w:pPr>
        <w:spacing w:after="0" w:line="276" w:lineRule="auto"/>
        <w:jc w:val="both"/>
        <w:rPr>
          <w:rFonts w:ascii="ITC Avant Garde" w:hAnsi="ITC Avant Garde"/>
        </w:rPr>
      </w:pPr>
    </w:p>
    <w:p w:rsidR="00217D0D" w:rsidRPr="00512208" w:rsidRDefault="00217D0D" w:rsidP="00512208">
      <w:pPr>
        <w:pStyle w:val="Prrafodelista"/>
        <w:numPr>
          <w:ilvl w:val="0"/>
          <w:numId w:val="64"/>
        </w:numPr>
        <w:spacing w:after="0" w:line="276" w:lineRule="auto"/>
        <w:jc w:val="both"/>
        <w:rPr>
          <w:rFonts w:ascii="ITC Avant Garde" w:hAnsi="ITC Avant Garde"/>
        </w:rPr>
      </w:pPr>
      <w:r w:rsidRPr="00512208">
        <w:rPr>
          <w:rFonts w:ascii="ITC Avant Garde" w:hAnsi="ITC Avant Garde"/>
        </w:rPr>
        <w:t>Por servicios de terminación de mensajes cortos (SMS) en usuarios móviles.</w:t>
      </w:r>
    </w:p>
    <w:p w:rsidR="00217D0D" w:rsidRDefault="00217D0D" w:rsidP="00217D0D">
      <w:pPr>
        <w:spacing w:after="0" w:line="276" w:lineRule="auto"/>
        <w:jc w:val="both"/>
        <w:rPr>
          <w:rFonts w:ascii="ITC Avant Garde" w:hAnsi="ITC Avant Garde"/>
        </w:rPr>
      </w:pPr>
    </w:p>
    <w:p w:rsidR="00217D0D" w:rsidRPr="00217D0D" w:rsidRDefault="00217D0D" w:rsidP="00217D0D">
      <w:pPr>
        <w:spacing w:after="0" w:line="276" w:lineRule="auto"/>
        <w:jc w:val="both"/>
        <w:rPr>
          <w:rFonts w:ascii="ITC Avant Garde" w:hAnsi="ITC Avant Garde"/>
        </w:rPr>
      </w:pPr>
      <w:r w:rsidRPr="00217D0D">
        <w:rPr>
          <w:rFonts w:ascii="ITC Avant Garde" w:hAnsi="ITC Avant Garde"/>
        </w:rPr>
        <w:t>Las tarifas anteriores ya incluyen el costo correspondiente a los puertos necesarios para la interconexión.</w:t>
      </w:r>
    </w:p>
    <w:p w:rsidR="00217D0D" w:rsidRDefault="00217D0D" w:rsidP="00217D0D">
      <w:pPr>
        <w:spacing w:after="0" w:line="276" w:lineRule="auto"/>
        <w:jc w:val="both"/>
        <w:rPr>
          <w:rFonts w:ascii="ITC Avant Garde" w:hAnsi="ITC Avant Garde"/>
        </w:rPr>
      </w:pPr>
    </w:p>
    <w:p w:rsidR="00217D0D" w:rsidRDefault="00217D0D" w:rsidP="00217D0D">
      <w:pPr>
        <w:spacing w:after="0" w:line="276" w:lineRule="auto"/>
        <w:jc w:val="both"/>
        <w:rPr>
          <w:rFonts w:ascii="ITC Avant Garde" w:hAnsi="ITC Avant Garde"/>
        </w:rPr>
      </w:pPr>
      <w:r w:rsidRPr="00217D0D">
        <w:rPr>
          <w:rFonts w:ascii="ITC Avant Garde" w:hAnsi="ITC Avant Garde"/>
        </w:rPr>
        <w:t>La aplicación de la</w:t>
      </w:r>
      <w:r>
        <w:rPr>
          <w:rFonts w:ascii="ITC Avant Garde" w:hAnsi="ITC Avant Garde"/>
        </w:rPr>
        <w:t>s</w:t>
      </w:r>
      <w:r w:rsidRPr="00217D0D">
        <w:rPr>
          <w:rFonts w:ascii="ITC Avant Garde" w:hAnsi="ITC Avant Garde"/>
        </w:rPr>
        <w:t xml:space="preserve"> tarifa</w:t>
      </w:r>
      <w:r>
        <w:rPr>
          <w:rFonts w:ascii="ITC Avant Garde" w:hAnsi="ITC Avant Garde"/>
        </w:rPr>
        <w:t>s</w:t>
      </w:r>
      <w:r w:rsidRPr="00217D0D">
        <w:rPr>
          <w:rFonts w:ascii="ITC Avant Garde" w:hAnsi="ITC Avant Garde"/>
        </w:rPr>
        <w:t xml:space="preserve"> indicada</w:t>
      </w:r>
      <w:r>
        <w:rPr>
          <w:rFonts w:ascii="ITC Avant Garde" w:hAnsi="ITC Avant Garde"/>
        </w:rPr>
        <w:t>s en los</w:t>
      </w:r>
      <w:r w:rsidRPr="00217D0D">
        <w:rPr>
          <w:rFonts w:ascii="ITC Avant Garde" w:hAnsi="ITC Avant Garde"/>
        </w:rPr>
        <w:t xml:space="preserve"> inciso</w:t>
      </w:r>
      <w:r>
        <w:rPr>
          <w:rFonts w:ascii="ITC Avant Garde" w:hAnsi="ITC Avant Garde"/>
        </w:rPr>
        <w:t>s</w:t>
      </w:r>
      <w:r w:rsidRPr="00217D0D">
        <w:rPr>
          <w:rFonts w:ascii="ITC Avant Garde" w:hAnsi="ITC Avant Garde"/>
        </w:rPr>
        <w:t xml:space="preserve"> a)</w:t>
      </w:r>
      <w:r>
        <w:rPr>
          <w:rFonts w:ascii="ITC Avant Garde" w:hAnsi="ITC Avant Garde"/>
        </w:rPr>
        <w:t xml:space="preserve"> y b)</w:t>
      </w:r>
      <w:r w:rsidRPr="00217D0D">
        <w:rPr>
          <w:rFonts w:ascii="ITC Avant Garde" w:hAnsi="ITC Avant Garde"/>
        </w:rPr>
        <w:t>, se calculará</w:t>
      </w:r>
      <w:r>
        <w:rPr>
          <w:rFonts w:ascii="ITC Avant Garde" w:hAnsi="ITC Avant Garde"/>
        </w:rPr>
        <w:t>n</w:t>
      </w:r>
      <w:r w:rsidRPr="00217D0D">
        <w:rPr>
          <w:rFonts w:ascii="ITC Avant Garde" w:hAnsi="ITC Avant Garde"/>
        </w:rPr>
        <w:t xml:space="preserve">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rsidR="00217D0D" w:rsidRDefault="00217D0D" w:rsidP="0001125A">
      <w:pPr>
        <w:spacing w:after="0"/>
        <w:jc w:val="both"/>
        <w:rPr>
          <w:rFonts w:ascii="ITC Avant Garde" w:hAnsi="ITC Avant Garde"/>
        </w:rPr>
      </w:pPr>
    </w:p>
    <w:p w:rsidR="00217D0D" w:rsidRPr="00217D0D" w:rsidRDefault="000154EC" w:rsidP="00217D0D">
      <w:pPr>
        <w:spacing w:after="0" w:line="276" w:lineRule="auto"/>
        <w:jc w:val="both"/>
        <w:rPr>
          <w:rFonts w:ascii="ITC Avant Garde" w:hAnsi="ITC Avant Garde"/>
        </w:rPr>
      </w:pPr>
      <w:r w:rsidRPr="000154EC">
        <w:rPr>
          <w:rFonts w:ascii="ITC Avant Garde" w:hAnsi="ITC Avant Garde"/>
          <w:b/>
        </w:rPr>
        <w:t>Tercero.</w:t>
      </w:r>
      <w:r w:rsidR="00217D0D">
        <w:rPr>
          <w:rFonts w:ascii="ITC Avant Garde" w:hAnsi="ITC Avant Garde"/>
          <w:b/>
        </w:rPr>
        <w:t xml:space="preserve"> </w:t>
      </w:r>
      <w:r w:rsidR="00217D0D" w:rsidRPr="00217D0D">
        <w:rPr>
          <w:rFonts w:ascii="ITC Avant Garde" w:hAnsi="ITC Avant Garde"/>
        </w:rPr>
        <w:t xml:space="preserve">Tratándose de la red </w:t>
      </w:r>
      <w:r w:rsidR="00217D0D">
        <w:rPr>
          <w:rFonts w:ascii="ITC Avant Garde" w:hAnsi="ITC Avant Garde"/>
        </w:rPr>
        <w:t>fija</w:t>
      </w:r>
      <w:r w:rsidR="00217D0D" w:rsidRPr="00217D0D">
        <w:rPr>
          <w:rFonts w:ascii="ITC Avant Garde" w:hAnsi="ITC Avant Garde"/>
        </w:rPr>
        <w:t xml:space="preserve"> del Agente Económico Preponderante, las tarifas </w:t>
      </w:r>
      <w:r w:rsidR="00512208">
        <w:rPr>
          <w:rFonts w:ascii="ITC Avant Garde" w:hAnsi="ITC Avant Garde"/>
        </w:rPr>
        <w:t xml:space="preserve">por los servicios de interconexión </w:t>
      </w:r>
      <w:r w:rsidR="00217D0D" w:rsidRPr="00217D0D">
        <w:rPr>
          <w:rFonts w:ascii="ITC Avant Garde" w:hAnsi="ITC Avant Garde"/>
        </w:rPr>
        <w:t>aplicables del 1 de enero al 31 de diciembre de 2019</w:t>
      </w:r>
      <w:r w:rsidR="00217D0D">
        <w:rPr>
          <w:rFonts w:ascii="ITC Avant Garde" w:hAnsi="ITC Avant Garde"/>
        </w:rPr>
        <w:t>,</w:t>
      </w:r>
      <w:r w:rsidR="00217D0D" w:rsidRPr="00217D0D">
        <w:rPr>
          <w:rFonts w:ascii="ITC Avant Garde" w:hAnsi="ITC Avant Garde"/>
        </w:rPr>
        <w:t xml:space="preserve"> </w:t>
      </w:r>
      <w:r w:rsidR="00217D0D" w:rsidRPr="00443C3D">
        <w:rPr>
          <w:rFonts w:ascii="ITC Avant Garde" w:hAnsi="ITC Avant Garde"/>
        </w:rPr>
        <w:t xml:space="preserve">que se obtienen del Modelo </w:t>
      </w:r>
      <w:r w:rsidR="00217D0D">
        <w:rPr>
          <w:rFonts w:ascii="ITC Avant Garde" w:hAnsi="ITC Avant Garde"/>
        </w:rPr>
        <w:t>Fijo,</w:t>
      </w:r>
      <w:r w:rsidR="00217D0D" w:rsidRPr="00217D0D">
        <w:rPr>
          <w:rFonts w:ascii="ITC Avant Garde" w:hAnsi="ITC Avant Garde"/>
        </w:rPr>
        <w:t xml:space="preserve"> serán las siguientes:</w:t>
      </w:r>
    </w:p>
    <w:p w:rsidR="00217D0D" w:rsidRDefault="000154EC" w:rsidP="000154EC">
      <w:pPr>
        <w:spacing w:after="0"/>
        <w:jc w:val="both"/>
        <w:rPr>
          <w:rFonts w:ascii="ITC Avant Garde" w:hAnsi="ITC Avant Garde"/>
        </w:rPr>
      </w:pPr>
      <w:r>
        <w:rPr>
          <w:rFonts w:ascii="ITC Avant Garde" w:hAnsi="ITC Avant Garde"/>
        </w:rPr>
        <w:t xml:space="preserve"> </w:t>
      </w:r>
    </w:p>
    <w:p w:rsidR="00DE11E5" w:rsidRPr="00443C3D" w:rsidRDefault="00217D0D" w:rsidP="00DE11E5">
      <w:pPr>
        <w:pStyle w:val="Prrafodelista"/>
        <w:numPr>
          <w:ilvl w:val="0"/>
          <w:numId w:val="59"/>
        </w:numPr>
        <w:spacing w:after="0" w:line="276" w:lineRule="auto"/>
        <w:jc w:val="both"/>
        <w:rPr>
          <w:rFonts w:ascii="ITC Avant Garde" w:hAnsi="ITC Avant Garde"/>
        </w:rPr>
      </w:pPr>
      <w:r>
        <w:rPr>
          <w:rFonts w:ascii="ITC Avant Garde" w:hAnsi="ITC Avant Garde" w:cs="Arial"/>
        </w:rPr>
        <w:t>P</w:t>
      </w:r>
      <w:r w:rsidR="00DE11E5" w:rsidRPr="00443C3D">
        <w:rPr>
          <w:rFonts w:ascii="ITC Avant Garde" w:hAnsi="ITC Avant Garde" w:cs="Arial"/>
        </w:rPr>
        <w:t>or servicios de terminación del Servicio Local en usuarios fijos.</w:t>
      </w:r>
    </w:p>
    <w:p w:rsidR="00DE11E5" w:rsidRPr="00443C3D" w:rsidRDefault="00DE11E5" w:rsidP="00DE11E5">
      <w:pPr>
        <w:pStyle w:val="Prrafodelista"/>
        <w:spacing w:after="0" w:line="276" w:lineRule="auto"/>
        <w:jc w:val="both"/>
        <w:rPr>
          <w:rFonts w:ascii="ITC Avant Garde" w:hAnsi="ITC Avant Garde"/>
        </w:rPr>
      </w:pPr>
    </w:p>
    <w:p w:rsidR="005968B6" w:rsidRPr="00443C3D" w:rsidRDefault="00217D0D" w:rsidP="00DE11E5">
      <w:pPr>
        <w:pStyle w:val="Prrafodelista"/>
        <w:numPr>
          <w:ilvl w:val="0"/>
          <w:numId w:val="59"/>
        </w:numPr>
        <w:spacing w:after="0" w:line="276" w:lineRule="auto"/>
        <w:jc w:val="both"/>
        <w:rPr>
          <w:rFonts w:ascii="ITC Avant Garde" w:hAnsi="ITC Avant Garde"/>
        </w:rPr>
      </w:pPr>
      <w:r>
        <w:rPr>
          <w:rFonts w:ascii="ITC Avant Garde" w:hAnsi="ITC Avant Garde" w:cs="Arial"/>
        </w:rPr>
        <w:t>P</w:t>
      </w:r>
      <w:r w:rsidR="000507C2" w:rsidRPr="00443C3D">
        <w:rPr>
          <w:rFonts w:ascii="ITC Avant Garde" w:hAnsi="ITC Avant Garde" w:cs="Arial"/>
        </w:rPr>
        <w:t>or servicios de originación del Servicio Local en usuarios fijos</w:t>
      </w:r>
      <w:r w:rsidR="005968B6" w:rsidRPr="00443C3D">
        <w:rPr>
          <w:rFonts w:ascii="ITC Avant Garde" w:hAnsi="ITC Avant Garde" w:cs="Arial"/>
        </w:rPr>
        <w:t>.</w:t>
      </w:r>
    </w:p>
    <w:p w:rsidR="005968B6" w:rsidRDefault="005968B6" w:rsidP="005968B6">
      <w:pPr>
        <w:pStyle w:val="Prrafodelista"/>
        <w:spacing w:after="0" w:line="276" w:lineRule="auto"/>
        <w:jc w:val="both"/>
        <w:rPr>
          <w:rFonts w:ascii="ITC Avant Garde" w:hAnsi="ITC Avant Garde"/>
        </w:rPr>
      </w:pPr>
    </w:p>
    <w:p w:rsidR="000154EC" w:rsidRPr="00443C3D" w:rsidRDefault="00217D0D" w:rsidP="000154EC">
      <w:pPr>
        <w:pStyle w:val="Prrafodelista"/>
        <w:numPr>
          <w:ilvl w:val="0"/>
          <w:numId w:val="59"/>
        </w:numPr>
        <w:spacing w:after="0" w:line="276" w:lineRule="auto"/>
        <w:jc w:val="both"/>
        <w:rPr>
          <w:rFonts w:ascii="ITC Avant Garde" w:eastAsia="Times New Roman" w:hAnsi="ITC Avant Garde"/>
          <w:lang w:eastAsia="es-ES"/>
        </w:rPr>
      </w:pPr>
      <w:r>
        <w:rPr>
          <w:rFonts w:ascii="ITC Avant Garde" w:eastAsia="Times New Roman" w:hAnsi="ITC Avant Garde"/>
          <w:lang w:eastAsia="es-ES"/>
        </w:rPr>
        <w:t>P</w:t>
      </w:r>
      <w:r w:rsidR="000154EC" w:rsidRPr="00443C3D">
        <w:rPr>
          <w:rFonts w:ascii="ITC Avant Garde" w:eastAsia="Times New Roman" w:hAnsi="ITC Avant Garde"/>
          <w:lang w:eastAsia="es-ES"/>
        </w:rPr>
        <w:t>or servicio de tránsito.</w:t>
      </w:r>
    </w:p>
    <w:p w:rsidR="000154EC" w:rsidRDefault="000154EC" w:rsidP="00217D0D">
      <w:pPr>
        <w:spacing w:after="0" w:line="276" w:lineRule="auto"/>
        <w:jc w:val="both"/>
        <w:rPr>
          <w:rFonts w:ascii="ITC Avant Garde" w:hAnsi="ITC Avant Garde"/>
        </w:rPr>
      </w:pPr>
    </w:p>
    <w:p w:rsidR="00217D0D" w:rsidRPr="00217D0D" w:rsidRDefault="00217D0D" w:rsidP="00217D0D">
      <w:pPr>
        <w:spacing w:after="0" w:line="276" w:lineRule="auto"/>
        <w:jc w:val="both"/>
        <w:rPr>
          <w:rFonts w:ascii="ITC Avant Garde" w:hAnsi="ITC Avant Garde"/>
        </w:rPr>
      </w:pPr>
      <w:r w:rsidRPr="00217D0D">
        <w:rPr>
          <w:rFonts w:ascii="ITC Avant Garde" w:hAnsi="ITC Avant Garde"/>
        </w:rPr>
        <w:t>Las tarifas anteriores ya incluyen el costo correspondiente a los puertos necesarios para la interconexión.</w:t>
      </w:r>
    </w:p>
    <w:p w:rsidR="00217D0D" w:rsidRDefault="00217D0D" w:rsidP="00217D0D">
      <w:pPr>
        <w:spacing w:after="0" w:line="276" w:lineRule="auto"/>
        <w:jc w:val="both"/>
        <w:rPr>
          <w:rFonts w:ascii="ITC Avant Garde" w:hAnsi="ITC Avant Garde"/>
        </w:rPr>
      </w:pPr>
    </w:p>
    <w:p w:rsidR="00217D0D" w:rsidRDefault="00217D0D" w:rsidP="00217D0D">
      <w:pPr>
        <w:spacing w:after="0" w:line="276" w:lineRule="auto"/>
        <w:jc w:val="both"/>
        <w:rPr>
          <w:rFonts w:ascii="ITC Avant Garde" w:hAnsi="ITC Avant Garde"/>
        </w:rPr>
      </w:pPr>
      <w:r w:rsidRPr="00217D0D">
        <w:rPr>
          <w:rFonts w:ascii="ITC Avant Garde" w:hAnsi="ITC Avant Garde"/>
        </w:rPr>
        <w:t>La aplicación de la</w:t>
      </w:r>
      <w:r>
        <w:rPr>
          <w:rFonts w:ascii="ITC Avant Garde" w:hAnsi="ITC Avant Garde"/>
        </w:rPr>
        <w:t>s</w:t>
      </w:r>
      <w:r w:rsidRPr="00217D0D">
        <w:rPr>
          <w:rFonts w:ascii="ITC Avant Garde" w:hAnsi="ITC Avant Garde"/>
        </w:rPr>
        <w:t xml:space="preserve"> tarifa</w:t>
      </w:r>
      <w:r>
        <w:rPr>
          <w:rFonts w:ascii="ITC Avant Garde" w:hAnsi="ITC Avant Garde"/>
        </w:rPr>
        <w:t>s</w:t>
      </w:r>
      <w:r w:rsidRPr="00217D0D">
        <w:rPr>
          <w:rFonts w:ascii="ITC Avant Garde" w:hAnsi="ITC Avant Garde"/>
        </w:rPr>
        <w:t xml:space="preserve"> </w:t>
      </w:r>
      <w:r w:rsidR="009B2FAD">
        <w:rPr>
          <w:rFonts w:ascii="ITC Avant Garde" w:hAnsi="ITC Avant Garde"/>
        </w:rPr>
        <w:t xml:space="preserve">antes </w:t>
      </w:r>
      <w:r w:rsidRPr="00217D0D">
        <w:rPr>
          <w:rFonts w:ascii="ITC Avant Garde" w:hAnsi="ITC Avant Garde"/>
        </w:rPr>
        <w:t>indicada</w:t>
      </w:r>
      <w:r w:rsidR="009B2FAD">
        <w:rPr>
          <w:rFonts w:ascii="ITC Avant Garde" w:hAnsi="ITC Avant Garde"/>
        </w:rPr>
        <w:t>s</w:t>
      </w:r>
      <w:r w:rsidRPr="00217D0D">
        <w:rPr>
          <w:rFonts w:ascii="ITC Avant Garde" w:hAnsi="ITC Avant Garde"/>
        </w:rPr>
        <w:t>, se calculará</w:t>
      </w:r>
      <w:r>
        <w:rPr>
          <w:rFonts w:ascii="ITC Avant Garde" w:hAnsi="ITC Avant Garde"/>
        </w:rPr>
        <w:t>n</w:t>
      </w:r>
      <w:r w:rsidRPr="00217D0D">
        <w:rPr>
          <w:rFonts w:ascii="ITC Avant Garde" w:hAnsi="ITC Avant Garde"/>
        </w:rPr>
        <w:t xml:space="preserve">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rsidR="00217D0D" w:rsidRPr="00217D0D" w:rsidRDefault="00217D0D" w:rsidP="00217D0D">
      <w:pPr>
        <w:spacing w:after="0" w:line="276" w:lineRule="auto"/>
        <w:jc w:val="both"/>
        <w:rPr>
          <w:rFonts w:ascii="ITC Avant Garde" w:hAnsi="ITC Avant Garde"/>
        </w:rPr>
      </w:pPr>
    </w:p>
    <w:p w:rsidR="005968B6" w:rsidRPr="00443C3D" w:rsidRDefault="000154EC" w:rsidP="005968B6">
      <w:pPr>
        <w:spacing w:after="0"/>
        <w:jc w:val="both"/>
        <w:rPr>
          <w:rFonts w:ascii="ITC Avant Garde" w:hAnsi="ITC Avant Garde"/>
        </w:rPr>
      </w:pPr>
      <w:r w:rsidRPr="000154EC">
        <w:rPr>
          <w:rFonts w:ascii="ITC Avant Garde" w:hAnsi="ITC Avant Garde"/>
          <w:b/>
        </w:rPr>
        <w:t>Cuarto.</w:t>
      </w:r>
      <w:r>
        <w:rPr>
          <w:rFonts w:ascii="ITC Avant Garde" w:hAnsi="ITC Avant Garde"/>
        </w:rPr>
        <w:t xml:space="preserve"> </w:t>
      </w:r>
      <w:r w:rsidR="00F63EA5" w:rsidRPr="00443C3D">
        <w:rPr>
          <w:rFonts w:ascii="ITC Avant Garde" w:hAnsi="ITC Avant Garde"/>
        </w:rPr>
        <w:t>L</w:t>
      </w:r>
      <w:r w:rsidR="005968B6" w:rsidRPr="00443C3D">
        <w:rPr>
          <w:rFonts w:ascii="ITC Avant Garde" w:hAnsi="ITC Avant Garde"/>
        </w:rPr>
        <w:t xml:space="preserve">as tarifas por los Servicios </w:t>
      </w:r>
      <w:r w:rsidR="00E32401" w:rsidRPr="00443C3D">
        <w:rPr>
          <w:rFonts w:ascii="ITC Avant Garde" w:hAnsi="ITC Avant Garde"/>
        </w:rPr>
        <w:t xml:space="preserve">no conmutados </w:t>
      </w:r>
      <w:r w:rsidR="005968B6" w:rsidRPr="00443C3D">
        <w:rPr>
          <w:rFonts w:ascii="ITC Avant Garde" w:hAnsi="ITC Avant Garde"/>
        </w:rPr>
        <w:t xml:space="preserve">de Interconexión, calculadas con base en los costos por los Servicios de Interconexión que se obtienen del Modelo de Coubicación </w:t>
      </w:r>
      <w:r w:rsidR="00E32401" w:rsidRPr="00443C3D">
        <w:rPr>
          <w:rFonts w:ascii="ITC Avant Garde" w:hAnsi="ITC Avant Garde"/>
        </w:rPr>
        <w:t>entre coubicaciones</w:t>
      </w:r>
      <w:r w:rsidR="00542501" w:rsidRPr="00443C3D">
        <w:rPr>
          <w:rFonts w:ascii="ITC Avant Garde" w:hAnsi="ITC Avant Garde"/>
        </w:rPr>
        <w:t xml:space="preserve"> para el año 2019</w:t>
      </w:r>
      <w:r w:rsidR="005968B6" w:rsidRPr="00443C3D">
        <w:rPr>
          <w:rFonts w:ascii="ITC Avant Garde" w:hAnsi="ITC Avant Garde"/>
        </w:rPr>
        <w:t xml:space="preserve"> serán las siguientes: </w:t>
      </w:r>
    </w:p>
    <w:p w:rsidR="005968B6" w:rsidRPr="00443C3D" w:rsidRDefault="005968B6" w:rsidP="005968B6">
      <w:pPr>
        <w:spacing w:after="0"/>
        <w:jc w:val="both"/>
        <w:rPr>
          <w:rFonts w:ascii="ITC Avant Garde" w:hAnsi="ITC Avant Garde"/>
        </w:rPr>
      </w:pPr>
    </w:p>
    <w:p w:rsidR="005968B6" w:rsidRPr="000154EC" w:rsidRDefault="005968B6" w:rsidP="00DE11E5">
      <w:pPr>
        <w:pStyle w:val="Prrafodelista"/>
        <w:numPr>
          <w:ilvl w:val="0"/>
          <w:numId w:val="59"/>
        </w:numPr>
        <w:spacing w:after="0" w:line="276" w:lineRule="auto"/>
        <w:jc w:val="both"/>
        <w:rPr>
          <w:rFonts w:ascii="ITC Avant Garde" w:hAnsi="ITC Avant Garde"/>
        </w:rPr>
      </w:pPr>
      <w:r w:rsidRPr="00443C3D">
        <w:rPr>
          <w:rFonts w:ascii="ITC Avant Garde" w:hAnsi="ITC Avant Garde" w:cs="Arial"/>
        </w:rPr>
        <w:t xml:space="preserve">Tarifa por el servicio de coubicación </w:t>
      </w:r>
      <w:r w:rsidR="003F0172" w:rsidRPr="00443C3D">
        <w:rPr>
          <w:rFonts w:ascii="ITC Avant Garde" w:hAnsi="ITC Avant Garde" w:cs="Arial"/>
        </w:rPr>
        <w:t>Tipo 1, Tipo 2 y Tipo 3 para concesionarios fijos y móviles para región de costo alto, medio y bajo.</w:t>
      </w:r>
    </w:p>
    <w:p w:rsidR="000154EC" w:rsidRPr="000154EC" w:rsidRDefault="000154EC" w:rsidP="000154EC">
      <w:pPr>
        <w:pStyle w:val="Prrafodelista"/>
        <w:spacing w:after="0" w:line="276" w:lineRule="auto"/>
        <w:jc w:val="both"/>
        <w:rPr>
          <w:rFonts w:ascii="ITC Avant Garde" w:hAnsi="ITC Avant Garde"/>
        </w:rPr>
      </w:pPr>
    </w:p>
    <w:p w:rsidR="000154EC" w:rsidRDefault="000154EC" w:rsidP="000154EC">
      <w:pPr>
        <w:spacing w:after="0" w:line="276" w:lineRule="auto"/>
        <w:jc w:val="both"/>
        <w:rPr>
          <w:rFonts w:ascii="ITC Avant Garde" w:hAnsi="ITC Avant Garde"/>
        </w:rPr>
      </w:pPr>
      <w:r w:rsidRPr="000154EC">
        <w:rPr>
          <w:rFonts w:ascii="ITC Avant Garde" w:hAnsi="ITC Avant Garde"/>
          <w:b/>
        </w:rPr>
        <w:t>Quinto.</w:t>
      </w:r>
      <w:r>
        <w:rPr>
          <w:rFonts w:ascii="ITC Avant Garde" w:hAnsi="ITC Avant Garde"/>
        </w:rPr>
        <w:t xml:space="preserve"> </w:t>
      </w:r>
      <w:r w:rsidRPr="00443C3D">
        <w:rPr>
          <w:rFonts w:ascii="ITC Avant Garde" w:hAnsi="ITC Avant Garde"/>
        </w:rPr>
        <w:t>Las tarifas por los Servicios no conmutados de Interconexión, calculadas con base en los costos por los Servicios de Interconexión que se obtienen del Modelo de Enlaces de Transmisión</w:t>
      </w:r>
      <w:r>
        <w:rPr>
          <w:rFonts w:ascii="ITC Avant Garde" w:hAnsi="ITC Avant Garde"/>
        </w:rPr>
        <w:t xml:space="preserve"> </w:t>
      </w:r>
      <w:r w:rsidRPr="00443C3D">
        <w:rPr>
          <w:rFonts w:ascii="ITC Avant Garde" w:hAnsi="ITC Avant Garde"/>
        </w:rPr>
        <w:t>para el año 2019 serán las siguientes:</w:t>
      </w:r>
    </w:p>
    <w:p w:rsidR="000154EC" w:rsidRPr="000154EC" w:rsidRDefault="000154EC" w:rsidP="000154EC">
      <w:pPr>
        <w:spacing w:after="0" w:line="276" w:lineRule="auto"/>
        <w:jc w:val="both"/>
        <w:rPr>
          <w:rFonts w:ascii="ITC Avant Garde" w:hAnsi="ITC Avant Garde"/>
        </w:rPr>
      </w:pPr>
    </w:p>
    <w:p w:rsidR="005968B6" w:rsidRPr="00443C3D" w:rsidRDefault="005968B6" w:rsidP="00DE11E5">
      <w:pPr>
        <w:pStyle w:val="Prrafodelista"/>
        <w:numPr>
          <w:ilvl w:val="0"/>
          <w:numId w:val="59"/>
        </w:numPr>
        <w:spacing w:after="0" w:line="276" w:lineRule="auto"/>
        <w:jc w:val="both"/>
        <w:rPr>
          <w:rFonts w:ascii="ITC Avant Garde" w:hAnsi="ITC Avant Garde"/>
        </w:rPr>
      </w:pPr>
      <w:r w:rsidRPr="00443C3D">
        <w:rPr>
          <w:rFonts w:ascii="ITC Avant Garde" w:eastAsia="Times New Roman" w:hAnsi="ITC Avant Garde"/>
          <w:lang w:eastAsia="es-ES"/>
        </w:rPr>
        <w:t>Tarifa por el servicio de enlaces de transmisión de interconexión</w:t>
      </w:r>
      <w:r w:rsidR="00024BD3" w:rsidRPr="00443C3D">
        <w:rPr>
          <w:rFonts w:ascii="ITC Avant Garde" w:eastAsia="Times New Roman" w:hAnsi="ITC Avant Garde"/>
          <w:lang w:eastAsia="es-ES"/>
        </w:rPr>
        <w:t xml:space="preserve"> entre coubicaciones gestionado y no gestionado</w:t>
      </w:r>
      <w:r w:rsidRPr="00443C3D">
        <w:rPr>
          <w:rFonts w:ascii="ITC Avant Garde" w:eastAsia="Times New Roman" w:hAnsi="ITC Avant Garde"/>
          <w:lang w:eastAsia="es-ES"/>
        </w:rPr>
        <w:t>.</w:t>
      </w:r>
    </w:p>
    <w:p w:rsidR="00F63EA5" w:rsidRPr="00443C3D" w:rsidRDefault="00F63EA5" w:rsidP="00024BD3">
      <w:pPr>
        <w:spacing w:after="0" w:line="240" w:lineRule="auto"/>
        <w:jc w:val="both"/>
        <w:rPr>
          <w:rFonts w:ascii="ITC Avant Garde" w:hAnsi="ITC Avant Garde"/>
        </w:rPr>
      </w:pPr>
    </w:p>
    <w:p w:rsidR="00F63EA5" w:rsidRPr="00443C3D" w:rsidRDefault="000154EC" w:rsidP="00F63EA5">
      <w:pPr>
        <w:spacing w:after="0"/>
        <w:jc w:val="both"/>
        <w:rPr>
          <w:rFonts w:ascii="ITC Avant Garde" w:eastAsia="Times New Roman" w:hAnsi="ITC Avant Garde" w:cs="Arial"/>
        </w:rPr>
      </w:pPr>
      <w:r w:rsidRPr="00F90230">
        <w:rPr>
          <w:rFonts w:ascii="ITC Avant Garde" w:hAnsi="ITC Avant Garde"/>
          <w:b/>
        </w:rPr>
        <w:t>Sexto.</w:t>
      </w:r>
      <w:r>
        <w:rPr>
          <w:rFonts w:ascii="ITC Avant Garde" w:hAnsi="ITC Avant Garde"/>
        </w:rPr>
        <w:t xml:space="preserve"> </w:t>
      </w:r>
      <w:r w:rsidR="009B2FAD">
        <w:rPr>
          <w:rFonts w:ascii="ITC Avant Garde" w:hAnsi="ITC Avant Garde"/>
        </w:rPr>
        <w:t>L</w:t>
      </w:r>
      <w:r w:rsidR="00F90230">
        <w:rPr>
          <w:rFonts w:ascii="ITC Avant Garde" w:hAnsi="ITC Avant Garde"/>
        </w:rPr>
        <w:t xml:space="preserve">as tarifas </w:t>
      </w:r>
      <w:r w:rsidR="00F63EA5" w:rsidRPr="00443C3D">
        <w:rPr>
          <w:rFonts w:ascii="ITC Avant Garde" w:eastAsia="Times New Roman" w:hAnsi="ITC Avant Garde" w:cs="Arial"/>
        </w:rPr>
        <w:t xml:space="preserve">por el servicio de Enlaces Dedicados de Interconexión, </w:t>
      </w:r>
      <w:r w:rsidR="00F90230">
        <w:rPr>
          <w:rFonts w:ascii="ITC Avant Garde" w:hAnsi="ITC Avant Garde"/>
        </w:rPr>
        <w:t xml:space="preserve">para el año 2019, </w:t>
      </w:r>
      <w:r w:rsidR="00F63EA5" w:rsidRPr="00443C3D">
        <w:rPr>
          <w:rFonts w:ascii="ITC Avant Garde" w:eastAsia="Times New Roman" w:hAnsi="ITC Avant Garde" w:cs="Arial"/>
        </w:rPr>
        <w:t>serán las siguientes:</w:t>
      </w:r>
    </w:p>
    <w:p w:rsidR="00F63EA5" w:rsidRPr="00443C3D" w:rsidRDefault="00F63EA5" w:rsidP="00F63EA5">
      <w:pPr>
        <w:spacing w:after="0"/>
        <w:jc w:val="both"/>
        <w:rPr>
          <w:rFonts w:ascii="ITC Avant Garde" w:eastAsia="Times New Roman" w:hAnsi="ITC Avant Garde" w:cs="Arial"/>
        </w:rPr>
      </w:pPr>
    </w:p>
    <w:p w:rsidR="00F63EA5" w:rsidRPr="00443C3D" w:rsidRDefault="00F63EA5" w:rsidP="00DE11E5">
      <w:pPr>
        <w:pStyle w:val="Prrafodelista"/>
        <w:numPr>
          <w:ilvl w:val="0"/>
          <w:numId w:val="59"/>
        </w:numPr>
        <w:spacing w:after="0" w:line="276" w:lineRule="auto"/>
        <w:jc w:val="both"/>
        <w:rPr>
          <w:rFonts w:ascii="ITC Avant Garde" w:hAnsi="ITC Avant Garde" w:cs="Arial"/>
        </w:rPr>
      </w:pPr>
      <w:r w:rsidRPr="00443C3D">
        <w:rPr>
          <w:rFonts w:ascii="ITC Avant Garde" w:hAnsi="ITC Avant Garde" w:cs="Arial"/>
        </w:rPr>
        <w:t xml:space="preserve">Tarifa por gastos de instalación y renta mensual por el servicio de Enlaces de interconexión con velocidades de transmisión E1 (2.048 Mbps), </w:t>
      </w:r>
      <w:r w:rsidRPr="00443C3D">
        <w:rPr>
          <w:rFonts w:ascii="ITC Avant Garde" w:hAnsi="ITC Avant Garde" w:cs="Arial"/>
          <w:lang w:val="es-ES"/>
        </w:rPr>
        <w:t>E3 (34 Mbps)</w:t>
      </w:r>
      <w:r w:rsidRPr="00443C3D">
        <w:rPr>
          <w:rFonts w:ascii="ITC Avant Garde" w:hAnsi="ITC Avant Garde" w:cs="Arial"/>
        </w:rPr>
        <w:t xml:space="preserve">, </w:t>
      </w:r>
      <w:r w:rsidRPr="00443C3D">
        <w:rPr>
          <w:rFonts w:ascii="ITC Avant Garde" w:hAnsi="ITC Avant Garde" w:cs="Arial"/>
          <w:lang w:val="es-ES"/>
        </w:rPr>
        <w:t>STM1 (</w:t>
      </w:r>
      <w:r w:rsidRPr="00443C3D">
        <w:rPr>
          <w:rFonts w:ascii="ITC Avant Garde" w:eastAsia="Times New Roman" w:hAnsi="ITC Avant Garde" w:cs="Arial"/>
          <w:bCs/>
          <w:lang w:val="es-ES_tradnl" w:eastAsia="es-ES"/>
        </w:rPr>
        <w:t>155.52 Mbps)</w:t>
      </w:r>
      <w:r w:rsidR="00040365" w:rsidRPr="00443C3D">
        <w:rPr>
          <w:rFonts w:ascii="ITC Avant Garde" w:hAnsi="ITC Avant Garde" w:cs="Arial"/>
          <w:lang w:val="es-ES"/>
        </w:rPr>
        <w:t xml:space="preserve"> y</w:t>
      </w:r>
      <w:r w:rsidRPr="00443C3D">
        <w:rPr>
          <w:rFonts w:ascii="ITC Avant Garde" w:hAnsi="ITC Avant Garde" w:cs="Arial"/>
          <w:lang w:val="es-ES"/>
        </w:rPr>
        <w:t xml:space="preserve"> 1 Gbps</w:t>
      </w:r>
      <w:r w:rsidRPr="00443C3D">
        <w:rPr>
          <w:rFonts w:ascii="ITC Avant Garde" w:hAnsi="ITC Avant Garde" w:cs="Arial"/>
        </w:rPr>
        <w:t>.</w:t>
      </w:r>
    </w:p>
    <w:p w:rsidR="00F63EA5" w:rsidRPr="00443C3D" w:rsidRDefault="00F63EA5" w:rsidP="00F63EA5">
      <w:pPr>
        <w:spacing w:after="0"/>
        <w:jc w:val="both"/>
        <w:rPr>
          <w:rFonts w:ascii="ITC Avant Garde" w:eastAsia="Times New Roman" w:hAnsi="ITC Avant Garde" w:cs="Arial"/>
        </w:rPr>
      </w:pPr>
    </w:p>
    <w:p w:rsidR="00F63EA5" w:rsidRPr="002D7AD4" w:rsidRDefault="00F63EA5" w:rsidP="00F63EA5">
      <w:pPr>
        <w:spacing w:after="0"/>
        <w:jc w:val="both"/>
        <w:rPr>
          <w:rFonts w:ascii="ITC Avant Garde" w:eastAsia="Times New Roman" w:hAnsi="ITC Avant Garde" w:cs="Arial"/>
        </w:rPr>
      </w:pPr>
    </w:p>
    <w:sectPr w:rsidR="00F63EA5" w:rsidRPr="002D7AD4" w:rsidSect="00777B49">
      <w:headerReference w:type="even" r:id="rId78"/>
      <w:headerReference w:type="default" r:id="rId79"/>
      <w:footerReference w:type="even" r:id="rId80"/>
      <w:footerReference w:type="default" r:id="rId81"/>
      <w:headerReference w:type="first" r:id="rId82"/>
      <w:footerReference w:type="first" r:id="rId8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C40" w:rsidRDefault="00C02C40" w:rsidP="00925179">
      <w:pPr>
        <w:spacing w:after="0" w:line="240" w:lineRule="auto"/>
      </w:pPr>
      <w:r>
        <w:separator/>
      </w:r>
    </w:p>
  </w:endnote>
  <w:endnote w:type="continuationSeparator" w:id="0">
    <w:p w:rsidR="00C02C40" w:rsidRDefault="00C02C40" w:rsidP="009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C40" w:rsidRDefault="00C02C40" w:rsidP="00925179">
      <w:pPr>
        <w:spacing w:after="0" w:line="240" w:lineRule="auto"/>
      </w:pPr>
      <w:r>
        <w:separator/>
      </w:r>
    </w:p>
  </w:footnote>
  <w:footnote w:type="continuationSeparator" w:id="0">
    <w:p w:rsidR="00C02C40" w:rsidRDefault="00C02C40" w:rsidP="00925179">
      <w:pPr>
        <w:spacing w:after="0" w:line="240" w:lineRule="auto"/>
      </w:pPr>
      <w:r>
        <w:continuationSeparator/>
      </w:r>
    </w:p>
  </w:footnote>
  <w:footnote w:id="1">
    <w:p w:rsidR="00875872" w:rsidRDefault="00875872" w:rsidP="00E456C3">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2">
    <w:p w:rsidR="00875872" w:rsidRPr="00B342A1" w:rsidRDefault="00875872" w:rsidP="00692D54">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3">
    <w:p w:rsidR="00875872" w:rsidRPr="00421D08" w:rsidRDefault="00875872" w:rsidP="00692D54">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4">
    <w:p w:rsidR="00875872" w:rsidRPr="00DD274B" w:rsidRDefault="00875872" w:rsidP="00692D54">
      <w:pPr>
        <w:pStyle w:val="Textonotapie"/>
        <w:rPr>
          <w:rFonts w:ascii="ITC Avant Garde" w:hAnsi="ITC Avant Garde"/>
          <w:sz w:val="16"/>
          <w:szCs w:val="16"/>
          <w:lang w:val="es-MX"/>
        </w:rPr>
      </w:pPr>
      <w:r>
        <w:rPr>
          <w:rStyle w:val="Refdenotaalpie"/>
        </w:rPr>
        <w:footnoteRef/>
      </w:r>
      <w:r>
        <w:t xml:space="preserve"> </w:t>
      </w:r>
      <w:r w:rsidRPr="00DD274B">
        <w:rPr>
          <w:rFonts w:ascii="ITC Avant Garde" w:hAnsi="ITC Avant Garde"/>
          <w:sz w:val="16"/>
          <w:szCs w:val="16"/>
          <w:lang w:val="es-MX"/>
        </w:rPr>
        <w:t>Con base en las estadísticas del Instituto</w:t>
      </w:r>
    </w:p>
  </w:footnote>
  <w:footnote w:id="5">
    <w:p w:rsidR="00875872" w:rsidRPr="00381159" w:rsidRDefault="00875872" w:rsidP="00692D54">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6">
    <w:p w:rsidR="00875872" w:rsidRPr="00447E6C" w:rsidRDefault="00875872" w:rsidP="00692D54">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7">
    <w:p w:rsidR="00875872" w:rsidRPr="00B90F8B" w:rsidRDefault="00875872" w:rsidP="00692D54">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w:t>
      </w:r>
      <w:r w:rsidRPr="008E6DC2">
        <w:rPr>
          <w:rFonts w:ascii="ITC Avant Garde" w:hAnsi="ITC Avant Garde"/>
          <w:sz w:val="16"/>
          <w:szCs w:val="16"/>
        </w:rPr>
        <w:t>https://www.gsmaintelligence.com/research/?file=44866ee04f5cc721e249569adbd505f7&amp;download</w:t>
      </w:r>
    </w:p>
  </w:footnote>
  <w:footnote w:id="8">
    <w:p w:rsidR="00875872" w:rsidRPr="00DB2CF8" w:rsidRDefault="00875872" w:rsidP="00692D54">
      <w:pPr>
        <w:pStyle w:val="Textonotapie"/>
        <w:rPr>
          <w:sz w:val="16"/>
          <w:szCs w:val="16"/>
          <w:lang w:val="es-MX"/>
        </w:rPr>
      </w:pPr>
      <w:r w:rsidRPr="00DB2CF8">
        <w:rPr>
          <w:rStyle w:val="Refdenotaalpie"/>
          <w:sz w:val="16"/>
          <w:szCs w:val="16"/>
        </w:rPr>
        <w:footnoteRef/>
      </w:r>
      <w:r w:rsidRPr="00DB2CF8">
        <w:rPr>
          <w:sz w:val="16"/>
          <w:szCs w:val="16"/>
        </w:rPr>
        <w:t xml:space="preserve"> </w:t>
      </w:r>
      <w:r w:rsidRPr="008E6DC2">
        <w:rPr>
          <w:rFonts w:ascii="ITC Avant Garde" w:hAnsi="ITC Avant Garde"/>
          <w:sz w:val="16"/>
          <w:szCs w:val="16"/>
        </w:rPr>
        <w:t>https://gsacom.com</w:t>
      </w:r>
      <w:r>
        <w:rPr>
          <w:rFonts w:ascii="ITC Avant Garde" w:hAnsi="ITC Avant Garde"/>
          <w:sz w:val="16"/>
          <w:szCs w:val="16"/>
        </w:rPr>
        <w:t>/paper/gsa-evolution-lte-report-january-2017</w:t>
      </w:r>
    </w:p>
  </w:footnote>
  <w:footnote w:id="9">
    <w:p w:rsidR="00875872" w:rsidRPr="00D36AFD" w:rsidRDefault="00875872" w:rsidP="00692D54">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10">
    <w:p w:rsidR="00875872" w:rsidRPr="003A757F" w:rsidRDefault="00875872" w:rsidP="00692D54">
      <w:pPr>
        <w:pStyle w:val="Textonotapie"/>
        <w:jc w:val="both"/>
        <w:rPr>
          <w:rFonts w:ascii="ITC Avant Garde" w:hAnsi="ITC Avant Garde"/>
          <w:sz w:val="16"/>
          <w:szCs w:val="16"/>
          <w:lang w:val="es-MX"/>
        </w:rPr>
      </w:pPr>
      <w:r w:rsidRPr="003A757F">
        <w:rPr>
          <w:rStyle w:val="Refdenotaalpie"/>
          <w:rFonts w:ascii="ITC Avant Garde" w:hAnsi="ITC Avant Garde"/>
          <w:sz w:val="16"/>
          <w:szCs w:val="16"/>
        </w:rPr>
        <w:footnoteRef/>
      </w:r>
      <w:r w:rsidRPr="003A757F">
        <w:rPr>
          <w:rFonts w:ascii="ITC Avant Garde" w:hAnsi="ITC Avant Garde"/>
          <w:sz w:val="16"/>
          <w:szCs w:val="16"/>
        </w:rPr>
        <w:t xml:space="preserve"> </w:t>
      </w:r>
      <w:r w:rsidRPr="003A757F">
        <w:rPr>
          <w:rFonts w:ascii="ITC Avant Garde" w:hAnsi="ITC Avant Garde"/>
          <w:sz w:val="16"/>
          <w:szCs w:val="16"/>
          <w:lang w:val="es-MX"/>
        </w:rPr>
        <w:t xml:space="preserve">No se considera el espectro de trunking porque dicho espectro no </w:t>
      </w:r>
      <w:r>
        <w:rPr>
          <w:rFonts w:ascii="ITC Avant Garde" w:hAnsi="ITC Avant Garde"/>
          <w:sz w:val="16"/>
          <w:szCs w:val="16"/>
          <w:lang w:val="es-MX"/>
        </w:rPr>
        <w:t>es</w:t>
      </w:r>
      <w:r w:rsidRPr="003A757F">
        <w:rPr>
          <w:rFonts w:ascii="ITC Avant Garde" w:hAnsi="ITC Avant Garde"/>
          <w:sz w:val="16"/>
          <w:szCs w:val="16"/>
          <w:lang w:val="es-MX"/>
        </w:rPr>
        <w:t xml:space="preserve"> utilizado para la prestación de servicios de telefonía móvil.</w:t>
      </w:r>
    </w:p>
  </w:footnote>
  <w:footnote w:id="11">
    <w:p w:rsidR="00875872" w:rsidRPr="00B11232" w:rsidRDefault="00875872" w:rsidP="00692D54">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12">
    <w:p w:rsidR="00875872" w:rsidRPr="00FA0E41" w:rsidRDefault="00875872" w:rsidP="00692D54">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13">
    <w:p w:rsidR="00875872" w:rsidRPr="00105C36" w:rsidRDefault="00875872" w:rsidP="00692D54">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14">
    <w:p w:rsidR="00875872" w:rsidRPr="00EF3F8D" w:rsidRDefault="00875872" w:rsidP="00692D54">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15">
    <w:p w:rsidR="00875872" w:rsidRPr="00037889" w:rsidRDefault="00875872" w:rsidP="00692D54">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16">
    <w:p w:rsidR="00875872" w:rsidRPr="00523B2F" w:rsidRDefault="00875872" w:rsidP="00692D54">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17">
    <w:p w:rsidR="00875872" w:rsidRPr="00FA097F" w:rsidRDefault="00875872" w:rsidP="00692D54">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18">
    <w:p w:rsidR="00875872" w:rsidRPr="00DB2CF8" w:rsidRDefault="00875872" w:rsidP="00692D54">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19">
    <w:p w:rsidR="00875872" w:rsidRPr="00DB2CF8" w:rsidRDefault="00875872" w:rsidP="00692D54">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rsidR="00875872" w:rsidRPr="00381159" w:rsidRDefault="00875872" w:rsidP="00692D54">
      <w:pPr>
        <w:pStyle w:val="Textonotapie"/>
        <w:rPr>
          <w:lang w:val="es-MX"/>
        </w:rPr>
      </w:pPr>
    </w:p>
  </w:footnote>
  <w:footnote w:id="20">
    <w:p w:rsidR="00875872" w:rsidRPr="006B329C" w:rsidRDefault="00875872" w:rsidP="00692D54">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1">
    <w:p w:rsidR="00875872" w:rsidRPr="009F5875" w:rsidRDefault="00875872" w:rsidP="009F5875">
      <w:pPr>
        <w:pStyle w:val="Textonotapie"/>
        <w:rPr>
          <w:rFonts w:ascii="ITC Avant Garde" w:hAnsi="ITC Avant Garde"/>
          <w:sz w:val="16"/>
          <w:szCs w:val="16"/>
          <w:lang w:val="es-MX"/>
        </w:rPr>
      </w:pPr>
      <w:r>
        <w:rPr>
          <w:rStyle w:val="Refdenotaalpie"/>
        </w:rPr>
        <w:footnoteRef/>
      </w:r>
      <w:r w:rsidRPr="00D95C1C">
        <w:rPr>
          <w:sz w:val="18"/>
          <w:szCs w:val="18"/>
        </w:rPr>
        <w:t xml:space="preserve"> </w:t>
      </w:r>
      <w:r w:rsidRPr="009F5875">
        <w:rPr>
          <w:rFonts w:ascii="ITC Avant Garde" w:hAnsi="ITC Avant Garde"/>
          <w:sz w:val="16"/>
          <w:szCs w:val="16"/>
          <w:lang w:val="es-MX"/>
        </w:rPr>
        <w:t>Fuente: Banxico; Encuesta sobre las Expectativas de los Especialistas en Economía del Sector Privado, Julio</w:t>
      </w:r>
    </w:p>
  </w:footnote>
  <w:footnote w:id="22">
    <w:p w:rsidR="00875872" w:rsidRPr="00E0213D" w:rsidRDefault="00875872" w:rsidP="00692D54">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23">
    <w:p w:rsidR="00875872" w:rsidRPr="003F11C1" w:rsidRDefault="00875872" w:rsidP="00692D54">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24">
    <w:p w:rsidR="00875872" w:rsidRPr="00284EAA" w:rsidRDefault="00875872" w:rsidP="009C0A33">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25">
    <w:p w:rsidR="00875872" w:rsidRPr="00273FE6" w:rsidRDefault="00875872" w:rsidP="009C0A33">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 w:id="26">
    <w:p w:rsidR="00875872" w:rsidRPr="00E84C0B" w:rsidRDefault="00875872" w:rsidP="009009E2">
      <w:pPr>
        <w:pStyle w:val="Textocomentario"/>
        <w:rPr>
          <w:rFonts w:ascii="ITC Avant Garde" w:hAnsi="ITC Avant Garde"/>
          <w:sz w:val="18"/>
        </w:rPr>
      </w:pPr>
      <w:r w:rsidRPr="00E84C0B">
        <w:rPr>
          <w:rStyle w:val="Refdenotaalpie"/>
          <w:rFonts w:ascii="ITC Avant Garde" w:hAnsi="ITC Avant Garde"/>
          <w:sz w:val="18"/>
        </w:rPr>
        <w:footnoteRef/>
      </w:r>
      <w:r w:rsidRPr="00E84C0B">
        <w:rPr>
          <w:rFonts w:ascii="ITC Avant Garde" w:hAnsi="ITC Avant Garde"/>
          <w:sz w:val="18"/>
        </w:rPr>
        <w:t xml:space="preserve"> En donde: LR</w:t>
      </w:r>
      <w:r>
        <w:rPr>
          <w:rFonts w:ascii="ITC Avant Garde" w:hAnsi="ITC Avant Garde"/>
          <w:sz w:val="18"/>
        </w:rPr>
        <w:t>AIC es “long run aveage increme</w:t>
      </w:r>
      <w:r w:rsidRPr="00E84C0B">
        <w:rPr>
          <w:rFonts w:ascii="ITC Avant Garde" w:hAnsi="ITC Avant Garde"/>
          <w:sz w:val="18"/>
        </w:rPr>
        <w:t>n</w:t>
      </w:r>
      <w:r>
        <w:rPr>
          <w:rFonts w:ascii="ITC Avant Garde" w:hAnsi="ITC Avant Garde"/>
          <w:sz w:val="18"/>
        </w:rPr>
        <w:t>t</w:t>
      </w:r>
      <w:r w:rsidRPr="00E84C0B">
        <w:rPr>
          <w:rFonts w:ascii="ITC Avant Garde" w:hAnsi="ITC Avant Garde"/>
          <w:sz w:val="18"/>
        </w:rPr>
        <w:t>al cost” o costos incrementales promedio de largo plazo</w:t>
      </w:r>
      <w:r>
        <w:rPr>
          <w:rFonts w:ascii="ITC Avant Garde" w:hAnsi="ITC Avant Garde"/>
          <w:sz w:val="18"/>
        </w:rPr>
        <w:t>.</w:t>
      </w:r>
    </w:p>
    <w:p w:rsidR="00875872" w:rsidRDefault="00875872" w:rsidP="009009E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Encabezado"/>
    </w:pPr>
    <w:bookmarkStart w:id="1" w:name="_GoBack"/>
    <w:bookmarkEnd w:id="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7782" o:spid="_x0000_s2050"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7783" o:spid="_x0000_s2051"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F7" w:rsidRDefault="00BA08F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7781" o:spid="_x0000_s2049"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A4E4E"/>
    <w:multiLevelType w:val="hybridMultilevel"/>
    <w:tmpl w:val="A44E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0"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7A22B4"/>
    <w:multiLevelType w:val="hybridMultilevel"/>
    <w:tmpl w:val="A74468F4"/>
    <w:styleLink w:val="1ai11"/>
    <w:lvl w:ilvl="0" w:tplc="AEB4E54C">
      <w:start w:val="1"/>
      <w:numFmt w:val="decimal"/>
      <w:lvlText w:val="%1."/>
      <w:lvlJc w:val="left"/>
      <w:pPr>
        <w:ind w:left="927" w:hanging="360"/>
      </w:pPr>
      <w:rPr>
        <w:rFonts w:cs="Times New Roman" w:hint="default"/>
        <w:b/>
      </w:rPr>
    </w:lvl>
    <w:lvl w:ilvl="1" w:tplc="080A0019" w:tentative="1">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3" w15:restartNumberingAfterBreak="0">
    <w:nsid w:val="1C897134"/>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5"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7"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4" w15:restartNumberingAfterBreak="0">
    <w:nsid w:val="32D429A1"/>
    <w:multiLevelType w:val="hybridMultilevel"/>
    <w:tmpl w:val="76B2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6"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8"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DF3C0C"/>
    <w:multiLevelType w:val="hybridMultilevel"/>
    <w:tmpl w:val="99AE3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3"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1"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21F5E78"/>
    <w:multiLevelType w:val="hybridMultilevel"/>
    <w:tmpl w:val="DE947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6" w15:restartNumberingAfterBreak="0">
    <w:nsid w:val="77AA0A73"/>
    <w:multiLevelType w:val="hybridMultilevel"/>
    <w:tmpl w:val="0AAE19F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9"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D09190D"/>
    <w:multiLevelType w:val="hybridMultilevel"/>
    <w:tmpl w:val="965CAB9C"/>
    <w:styleLink w:val="1ai2"/>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3"/>
  </w:num>
  <w:num w:numId="3">
    <w:abstractNumId w:val="25"/>
  </w:num>
  <w:num w:numId="4">
    <w:abstractNumId w:val="9"/>
  </w:num>
  <w:num w:numId="5">
    <w:abstractNumId w:val="9"/>
    <w:lvlOverride w:ilvl="0">
      <w:lvl w:ilvl="0">
        <w:start w:val="1"/>
        <w:numFmt w:val="lowerLetter"/>
        <w:lvlText w:val="%1)"/>
        <w:legacy w:legacy="1" w:legacySpace="0" w:legacyIndent="283"/>
        <w:lvlJc w:val="left"/>
        <w:pPr>
          <w:ind w:left="283" w:hanging="283"/>
        </w:pPr>
        <w:rPr>
          <w:rFonts w:cs="Times New Roman"/>
        </w:rPr>
      </w:lvl>
    </w:lvlOverride>
  </w:num>
  <w:num w:numId="6">
    <w:abstractNumId w:val="22"/>
  </w:num>
  <w:num w:numId="7">
    <w:abstractNumId w:val="12"/>
  </w:num>
  <w:num w:numId="8">
    <w:abstractNumId w:val="35"/>
  </w:num>
  <w:num w:numId="9">
    <w:abstractNumId w:val="32"/>
  </w:num>
  <w:num w:numId="10">
    <w:abstractNumId w:val="60"/>
  </w:num>
  <w:num w:numId="11">
    <w:abstractNumId w:val="27"/>
  </w:num>
  <w:num w:numId="12">
    <w:abstractNumId w:val="23"/>
  </w:num>
  <w:num w:numId="13">
    <w:abstractNumId w:val="42"/>
  </w:num>
  <w:num w:numId="14">
    <w:abstractNumId w:val="0"/>
  </w:num>
  <w:num w:numId="15">
    <w:abstractNumId w:val="1"/>
  </w:num>
  <w:num w:numId="16">
    <w:abstractNumId w:val="30"/>
  </w:num>
  <w:num w:numId="17">
    <w:abstractNumId w:val="54"/>
  </w:num>
  <w:num w:numId="18">
    <w:abstractNumId w:val="26"/>
  </w:num>
  <w:num w:numId="19">
    <w:abstractNumId w:val="37"/>
  </w:num>
  <w:num w:numId="20">
    <w:abstractNumId w:val="14"/>
  </w:num>
  <w:num w:numId="21">
    <w:abstractNumId w:val="28"/>
  </w:num>
  <w:num w:numId="22">
    <w:abstractNumId w:val="10"/>
  </w:num>
  <w:num w:numId="23">
    <w:abstractNumId w:val="45"/>
  </w:num>
  <w:num w:numId="24">
    <w:abstractNumId w:val="15"/>
  </w:num>
  <w:num w:numId="25">
    <w:abstractNumId w:val="40"/>
  </w:num>
  <w:num w:numId="26">
    <w:abstractNumId w:val="59"/>
  </w:num>
  <w:num w:numId="27">
    <w:abstractNumId w:val="46"/>
  </w:num>
  <w:num w:numId="28">
    <w:abstractNumId w:val="19"/>
  </w:num>
  <w:num w:numId="29">
    <w:abstractNumId w:val="38"/>
  </w:num>
  <w:num w:numId="30">
    <w:abstractNumId w:val="31"/>
  </w:num>
  <w:num w:numId="31">
    <w:abstractNumId w:val="17"/>
  </w:num>
  <w:num w:numId="32">
    <w:abstractNumId w:val="47"/>
  </w:num>
  <w:num w:numId="33">
    <w:abstractNumId w:val="48"/>
  </w:num>
  <w:num w:numId="34">
    <w:abstractNumId w:val="56"/>
  </w:num>
  <w:num w:numId="35">
    <w:abstractNumId w:val="5"/>
  </w:num>
  <w:num w:numId="36">
    <w:abstractNumId w:val="18"/>
  </w:num>
  <w:num w:numId="37">
    <w:abstractNumId w:val="7"/>
  </w:num>
  <w:num w:numId="38">
    <w:abstractNumId w:val="20"/>
  </w:num>
  <w:num w:numId="39">
    <w:abstractNumId w:val="53"/>
  </w:num>
  <w:num w:numId="40">
    <w:abstractNumId w:val="39"/>
  </w:num>
  <w:num w:numId="41">
    <w:abstractNumId w:val="8"/>
  </w:num>
  <w:num w:numId="42">
    <w:abstractNumId w:val="36"/>
  </w:num>
  <w:num w:numId="43">
    <w:abstractNumId w:val="36"/>
  </w:num>
  <w:num w:numId="44">
    <w:abstractNumId w:val="16"/>
  </w:num>
  <w:num w:numId="45">
    <w:abstractNumId w:val="55"/>
  </w:num>
  <w:num w:numId="46">
    <w:abstractNumId w:val="43"/>
  </w:num>
  <w:num w:numId="47">
    <w:abstractNumId w:val="21"/>
  </w:num>
  <w:num w:numId="48">
    <w:abstractNumId w:val="57"/>
  </w:num>
  <w:num w:numId="49">
    <w:abstractNumId w:val="29"/>
  </w:num>
  <w:num w:numId="50">
    <w:abstractNumId w:val="2"/>
  </w:num>
  <w:num w:numId="51">
    <w:abstractNumId w:val="24"/>
  </w:num>
  <w:num w:numId="52">
    <w:abstractNumId w:val="52"/>
  </w:num>
  <w:num w:numId="53">
    <w:abstractNumId w:val="58"/>
  </w:num>
  <w:num w:numId="54">
    <w:abstractNumId w:val="61"/>
  </w:num>
  <w:num w:numId="55">
    <w:abstractNumId w:val="51"/>
  </w:num>
  <w:num w:numId="56">
    <w:abstractNumId w:val="50"/>
  </w:num>
  <w:num w:numId="57">
    <w:abstractNumId w:val="4"/>
  </w:num>
  <w:num w:numId="58">
    <w:abstractNumId w:val="11"/>
  </w:num>
  <w:num w:numId="59">
    <w:abstractNumId w:val="6"/>
  </w:num>
  <w:num w:numId="60">
    <w:abstractNumId w:val="44"/>
  </w:num>
  <w:num w:numId="61">
    <w:abstractNumId w:val="49"/>
  </w:num>
  <w:num w:numId="62">
    <w:abstractNumId w:val="41"/>
  </w:num>
  <w:num w:numId="63">
    <w:abstractNumId w:val="33"/>
  </w:num>
  <w:num w:numId="64">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06"/>
    <w:rsid w:val="00001449"/>
    <w:rsid w:val="00002E2B"/>
    <w:rsid w:val="00004AC5"/>
    <w:rsid w:val="000073DD"/>
    <w:rsid w:val="00010D6F"/>
    <w:rsid w:val="0001125A"/>
    <w:rsid w:val="0001282F"/>
    <w:rsid w:val="00014FBD"/>
    <w:rsid w:val="00015284"/>
    <w:rsid w:val="000154EC"/>
    <w:rsid w:val="00020134"/>
    <w:rsid w:val="000202F2"/>
    <w:rsid w:val="00022247"/>
    <w:rsid w:val="00024BD3"/>
    <w:rsid w:val="000259EE"/>
    <w:rsid w:val="00026ED5"/>
    <w:rsid w:val="000336CA"/>
    <w:rsid w:val="0003543A"/>
    <w:rsid w:val="0003630B"/>
    <w:rsid w:val="00040365"/>
    <w:rsid w:val="0004045E"/>
    <w:rsid w:val="00042435"/>
    <w:rsid w:val="00043EFB"/>
    <w:rsid w:val="00043F5C"/>
    <w:rsid w:val="00046164"/>
    <w:rsid w:val="0005048E"/>
    <w:rsid w:val="000507C2"/>
    <w:rsid w:val="00051B47"/>
    <w:rsid w:val="0005285B"/>
    <w:rsid w:val="00054B76"/>
    <w:rsid w:val="000625E3"/>
    <w:rsid w:val="000636F8"/>
    <w:rsid w:val="00070740"/>
    <w:rsid w:val="000714DE"/>
    <w:rsid w:val="00074836"/>
    <w:rsid w:val="00076D0E"/>
    <w:rsid w:val="00080370"/>
    <w:rsid w:val="00080E8D"/>
    <w:rsid w:val="00082C76"/>
    <w:rsid w:val="00083DED"/>
    <w:rsid w:val="000848A4"/>
    <w:rsid w:val="00091112"/>
    <w:rsid w:val="000949A4"/>
    <w:rsid w:val="00096783"/>
    <w:rsid w:val="0009711D"/>
    <w:rsid w:val="000A10F4"/>
    <w:rsid w:val="000A398E"/>
    <w:rsid w:val="000A63D0"/>
    <w:rsid w:val="000A72B4"/>
    <w:rsid w:val="000B1CC5"/>
    <w:rsid w:val="000B223A"/>
    <w:rsid w:val="000B3817"/>
    <w:rsid w:val="000B7CDF"/>
    <w:rsid w:val="000C0860"/>
    <w:rsid w:val="000C1C1A"/>
    <w:rsid w:val="000C1D19"/>
    <w:rsid w:val="000C1FA5"/>
    <w:rsid w:val="000C4652"/>
    <w:rsid w:val="000C5A71"/>
    <w:rsid w:val="000D0CEE"/>
    <w:rsid w:val="000D1E11"/>
    <w:rsid w:val="000D47D5"/>
    <w:rsid w:val="000D6B54"/>
    <w:rsid w:val="000D7CED"/>
    <w:rsid w:val="000E0224"/>
    <w:rsid w:val="000E0709"/>
    <w:rsid w:val="000E438C"/>
    <w:rsid w:val="000E47C3"/>
    <w:rsid w:val="000E5C31"/>
    <w:rsid w:val="000F0810"/>
    <w:rsid w:val="000F0EDF"/>
    <w:rsid w:val="000F0F96"/>
    <w:rsid w:val="000F1818"/>
    <w:rsid w:val="000F7746"/>
    <w:rsid w:val="00100EDD"/>
    <w:rsid w:val="00102183"/>
    <w:rsid w:val="001030CD"/>
    <w:rsid w:val="0011207C"/>
    <w:rsid w:val="00112BBD"/>
    <w:rsid w:val="00113D9E"/>
    <w:rsid w:val="00113E79"/>
    <w:rsid w:val="00114D86"/>
    <w:rsid w:val="00115E1A"/>
    <w:rsid w:val="00116198"/>
    <w:rsid w:val="00116306"/>
    <w:rsid w:val="001200C3"/>
    <w:rsid w:val="00123AC2"/>
    <w:rsid w:val="00123B91"/>
    <w:rsid w:val="001247E5"/>
    <w:rsid w:val="00125ADF"/>
    <w:rsid w:val="0013012F"/>
    <w:rsid w:val="00130934"/>
    <w:rsid w:val="00134313"/>
    <w:rsid w:val="001357CC"/>
    <w:rsid w:val="00140E9A"/>
    <w:rsid w:val="0014174E"/>
    <w:rsid w:val="00145D93"/>
    <w:rsid w:val="00147137"/>
    <w:rsid w:val="001511B8"/>
    <w:rsid w:val="00151FD0"/>
    <w:rsid w:val="00152B45"/>
    <w:rsid w:val="00153322"/>
    <w:rsid w:val="001539A5"/>
    <w:rsid w:val="00155C35"/>
    <w:rsid w:val="001617E8"/>
    <w:rsid w:val="001623FB"/>
    <w:rsid w:val="00162B31"/>
    <w:rsid w:val="00163015"/>
    <w:rsid w:val="00163E4D"/>
    <w:rsid w:val="00164A59"/>
    <w:rsid w:val="00166D6E"/>
    <w:rsid w:val="00167F2A"/>
    <w:rsid w:val="00171338"/>
    <w:rsid w:val="00173628"/>
    <w:rsid w:val="001747FE"/>
    <w:rsid w:val="00174CE8"/>
    <w:rsid w:val="001755B0"/>
    <w:rsid w:val="0017567E"/>
    <w:rsid w:val="00175D80"/>
    <w:rsid w:val="001775B4"/>
    <w:rsid w:val="0018251F"/>
    <w:rsid w:val="00183555"/>
    <w:rsid w:val="00186997"/>
    <w:rsid w:val="0019134B"/>
    <w:rsid w:val="001955F2"/>
    <w:rsid w:val="001969FD"/>
    <w:rsid w:val="001A06C7"/>
    <w:rsid w:val="001A0F61"/>
    <w:rsid w:val="001A1187"/>
    <w:rsid w:val="001A14D9"/>
    <w:rsid w:val="001A3E39"/>
    <w:rsid w:val="001A67C8"/>
    <w:rsid w:val="001B0D6E"/>
    <w:rsid w:val="001B17C2"/>
    <w:rsid w:val="001B1B85"/>
    <w:rsid w:val="001B2824"/>
    <w:rsid w:val="001B2C72"/>
    <w:rsid w:val="001B7064"/>
    <w:rsid w:val="001C0092"/>
    <w:rsid w:val="001C00A5"/>
    <w:rsid w:val="001C07F0"/>
    <w:rsid w:val="001C195C"/>
    <w:rsid w:val="001C293A"/>
    <w:rsid w:val="001D166F"/>
    <w:rsid w:val="001D4EF8"/>
    <w:rsid w:val="001D7BB1"/>
    <w:rsid w:val="001E053C"/>
    <w:rsid w:val="001E3610"/>
    <w:rsid w:val="001E513E"/>
    <w:rsid w:val="001E59ED"/>
    <w:rsid w:val="001F4F52"/>
    <w:rsid w:val="00200E28"/>
    <w:rsid w:val="002020BC"/>
    <w:rsid w:val="00202C78"/>
    <w:rsid w:val="00205DA4"/>
    <w:rsid w:val="00206884"/>
    <w:rsid w:val="00207EEC"/>
    <w:rsid w:val="00207EF6"/>
    <w:rsid w:val="00210807"/>
    <w:rsid w:val="002109BC"/>
    <w:rsid w:val="00214B0C"/>
    <w:rsid w:val="002155BB"/>
    <w:rsid w:val="00217D0D"/>
    <w:rsid w:val="00217DCC"/>
    <w:rsid w:val="0022039A"/>
    <w:rsid w:val="002212BC"/>
    <w:rsid w:val="00222DA5"/>
    <w:rsid w:val="00223B7C"/>
    <w:rsid w:val="00226054"/>
    <w:rsid w:val="002260AE"/>
    <w:rsid w:val="00226290"/>
    <w:rsid w:val="00226332"/>
    <w:rsid w:val="00226AA9"/>
    <w:rsid w:val="00226F13"/>
    <w:rsid w:val="00231775"/>
    <w:rsid w:val="00232851"/>
    <w:rsid w:val="0023625E"/>
    <w:rsid w:val="002370CA"/>
    <w:rsid w:val="002370CB"/>
    <w:rsid w:val="00240D03"/>
    <w:rsid w:val="00241952"/>
    <w:rsid w:val="00241CC0"/>
    <w:rsid w:val="00242EA1"/>
    <w:rsid w:val="00243AA0"/>
    <w:rsid w:val="00246F2E"/>
    <w:rsid w:val="00254307"/>
    <w:rsid w:val="002550AE"/>
    <w:rsid w:val="00256527"/>
    <w:rsid w:val="002578FB"/>
    <w:rsid w:val="00260E42"/>
    <w:rsid w:val="00260EF6"/>
    <w:rsid w:val="0026104C"/>
    <w:rsid w:val="00263C47"/>
    <w:rsid w:val="002640D9"/>
    <w:rsid w:val="0026701A"/>
    <w:rsid w:val="00267BB6"/>
    <w:rsid w:val="00270E2F"/>
    <w:rsid w:val="00271EED"/>
    <w:rsid w:val="0027271F"/>
    <w:rsid w:val="00273EF3"/>
    <w:rsid w:val="00275008"/>
    <w:rsid w:val="0027681E"/>
    <w:rsid w:val="00281B0F"/>
    <w:rsid w:val="00281D51"/>
    <w:rsid w:val="00284238"/>
    <w:rsid w:val="00286BBC"/>
    <w:rsid w:val="00287D16"/>
    <w:rsid w:val="002975E1"/>
    <w:rsid w:val="002A17A6"/>
    <w:rsid w:val="002A26AA"/>
    <w:rsid w:val="002A4C80"/>
    <w:rsid w:val="002A5444"/>
    <w:rsid w:val="002A5E91"/>
    <w:rsid w:val="002A732D"/>
    <w:rsid w:val="002B33EC"/>
    <w:rsid w:val="002B5489"/>
    <w:rsid w:val="002B55D2"/>
    <w:rsid w:val="002C024D"/>
    <w:rsid w:val="002C0FB4"/>
    <w:rsid w:val="002C2335"/>
    <w:rsid w:val="002D2509"/>
    <w:rsid w:val="002D3AC8"/>
    <w:rsid w:val="002D6CC4"/>
    <w:rsid w:val="002D73E9"/>
    <w:rsid w:val="002E2CF0"/>
    <w:rsid w:val="002E549B"/>
    <w:rsid w:val="002E563C"/>
    <w:rsid w:val="002E611A"/>
    <w:rsid w:val="002F0D73"/>
    <w:rsid w:val="002F1965"/>
    <w:rsid w:val="002F2E54"/>
    <w:rsid w:val="002F2E64"/>
    <w:rsid w:val="002F548E"/>
    <w:rsid w:val="002F6528"/>
    <w:rsid w:val="00301316"/>
    <w:rsid w:val="003033F4"/>
    <w:rsid w:val="00303D03"/>
    <w:rsid w:val="0030516A"/>
    <w:rsid w:val="0030598A"/>
    <w:rsid w:val="0030729C"/>
    <w:rsid w:val="003104DD"/>
    <w:rsid w:val="00311061"/>
    <w:rsid w:val="003171B4"/>
    <w:rsid w:val="00326793"/>
    <w:rsid w:val="003276FB"/>
    <w:rsid w:val="00332AD2"/>
    <w:rsid w:val="00333CEB"/>
    <w:rsid w:val="00336740"/>
    <w:rsid w:val="003417BF"/>
    <w:rsid w:val="00341D65"/>
    <w:rsid w:val="00343A3B"/>
    <w:rsid w:val="00343EB5"/>
    <w:rsid w:val="003461D1"/>
    <w:rsid w:val="00350D84"/>
    <w:rsid w:val="00353502"/>
    <w:rsid w:val="00355B95"/>
    <w:rsid w:val="00356D73"/>
    <w:rsid w:val="00363797"/>
    <w:rsid w:val="003646DD"/>
    <w:rsid w:val="00365229"/>
    <w:rsid w:val="0036744B"/>
    <w:rsid w:val="003722F3"/>
    <w:rsid w:val="00372C37"/>
    <w:rsid w:val="003772BD"/>
    <w:rsid w:val="003805E6"/>
    <w:rsid w:val="00383215"/>
    <w:rsid w:val="00383EA7"/>
    <w:rsid w:val="00384B9D"/>
    <w:rsid w:val="00385514"/>
    <w:rsid w:val="003904D8"/>
    <w:rsid w:val="003921A5"/>
    <w:rsid w:val="00394B7B"/>
    <w:rsid w:val="00396133"/>
    <w:rsid w:val="003A203A"/>
    <w:rsid w:val="003A436D"/>
    <w:rsid w:val="003A645C"/>
    <w:rsid w:val="003B08A1"/>
    <w:rsid w:val="003B2ACB"/>
    <w:rsid w:val="003B5107"/>
    <w:rsid w:val="003B5DBC"/>
    <w:rsid w:val="003B73AE"/>
    <w:rsid w:val="003C4695"/>
    <w:rsid w:val="003C64F4"/>
    <w:rsid w:val="003C652E"/>
    <w:rsid w:val="003C7EF0"/>
    <w:rsid w:val="003D044C"/>
    <w:rsid w:val="003D0BF8"/>
    <w:rsid w:val="003D46ED"/>
    <w:rsid w:val="003D5B07"/>
    <w:rsid w:val="003D5B4D"/>
    <w:rsid w:val="003D660F"/>
    <w:rsid w:val="003E0B9D"/>
    <w:rsid w:val="003E5491"/>
    <w:rsid w:val="003F0172"/>
    <w:rsid w:val="003F11B2"/>
    <w:rsid w:val="003F27AB"/>
    <w:rsid w:val="003F4A3F"/>
    <w:rsid w:val="00400005"/>
    <w:rsid w:val="00402D81"/>
    <w:rsid w:val="004031B0"/>
    <w:rsid w:val="00403425"/>
    <w:rsid w:val="00404AF8"/>
    <w:rsid w:val="00406341"/>
    <w:rsid w:val="00410967"/>
    <w:rsid w:val="00410A2F"/>
    <w:rsid w:val="00411576"/>
    <w:rsid w:val="00412278"/>
    <w:rsid w:val="00413F07"/>
    <w:rsid w:val="004150B6"/>
    <w:rsid w:val="0041625A"/>
    <w:rsid w:val="00417B32"/>
    <w:rsid w:val="00420C9F"/>
    <w:rsid w:val="00422B92"/>
    <w:rsid w:val="00425E41"/>
    <w:rsid w:val="00426257"/>
    <w:rsid w:val="00433A81"/>
    <w:rsid w:val="00434126"/>
    <w:rsid w:val="00440330"/>
    <w:rsid w:val="00440AC7"/>
    <w:rsid w:val="00441E29"/>
    <w:rsid w:val="00443C3D"/>
    <w:rsid w:val="00445668"/>
    <w:rsid w:val="00446491"/>
    <w:rsid w:val="00446966"/>
    <w:rsid w:val="00450FE6"/>
    <w:rsid w:val="0045189F"/>
    <w:rsid w:val="00451AA7"/>
    <w:rsid w:val="00452FB5"/>
    <w:rsid w:val="00457B63"/>
    <w:rsid w:val="00460DF0"/>
    <w:rsid w:val="004632C0"/>
    <w:rsid w:val="00464540"/>
    <w:rsid w:val="00465211"/>
    <w:rsid w:val="00465D77"/>
    <w:rsid w:val="0046702F"/>
    <w:rsid w:val="00467B00"/>
    <w:rsid w:val="00471A99"/>
    <w:rsid w:val="004734B0"/>
    <w:rsid w:val="004756BE"/>
    <w:rsid w:val="00480BE2"/>
    <w:rsid w:val="00481C88"/>
    <w:rsid w:val="0048276C"/>
    <w:rsid w:val="00483949"/>
    <w:rsid w:val="00483B86"/>
    <w:rsid w:val="004863C2"/>
    <w:rsid w:val="00496112"/>
    <w:rsid w:val="004A1824"/>
    <w:rsid w:val="004A276E"/>
    <w:rsid w:val="004A2E4F"/>
    <w:rsid w:val="004A51F0"/>
    <w:rsid w:val="004A7D72"/>
    <w:rsid w:val="004A7F95"/>
    <w:rsid w:val="004B0E05"/>
    <w:rsid w:val="004B283C"/>
    <w:rsid w:val="004C2C4A"/>
    <w:rsid w:val="004C3786"/>
    <w:rsid w:val="004C5F7B"/>
    <w:rsid w:val="004D1250"/>
    <w:rsid w:val="004D1342"/>
    <w:rsid w:val="004D2026"/>
    <w:rsid w:val="004D2172"/>
    <w:rsid w:val="004D3C58"/>
    <w:rsid w:val="004D477B"/>
    <w:rsid w:val="004D7299"/>
    <w:rsid w:val="004D7661"/>
    <w:rsid w:val="004D77A1"/>
    <w:rsid w:val="004E2936"/>
    <w:rsid w:val="004E2B0A"/>
    <w:rsid w:val="004E3A59"/>
    <w:rsid w:val="004E5DFB"/>
    <w:rsid w:val="004E74E0"/>
    <w:rsid w:val="004F21E1"/>
    <w:rsid w:val="004F227B"/>
    <w:rsid w:val="004F2512"/>
    <w:rsid w:val="004F5184"/>
    <w:rsid w:val="004F64AF"/>
    <w:rsid w:val="005008CA"/>
    <w:rsid w:val="0050091D"/>
    <w:rsid w:val="00501977"/>
    <w:rsid w:val="00503585"/>
    <w:rsid w:val="00504B62"/>
    <w:rsid w:val="00504D14"/>
    <w:rsid w:val="00507576"/>
    <w:rsid w:val="005075D4"/>
    <w:rsid w:val="00510877"/>
    <w:rsid w:val="00512171"/>
    <w:rsid w:val="00512208"/>
    <w:rsid w:val="00512CF6"/>
    <w:rsid w:val="005134EF"/>
    <w:rsid w:val="0051661B"/>
    <w:rsid w:val="00516ED1"/>
    <w:rsid w:val="0052103C"/>
    <w:rsid w:val="00521098"/>
    <w:rsid w:val="005222C0"/>
    <w:rsid w:val="005238C1"/>
    <w:rsid w:val="0052543F"/>
    <w:rsid w:val="00525763"/>
    <w:rsid w:val="00526400"/>
    <w:rsid w:val="00533688"/>
    <w:rsid w:val="00535894"/>
    <w:rsid w:val="00542407"/>
    <w:rsid w:val="00542501"/>
    <w:rsid w:val="00544115"/>
    <w:rsid w:val="00545381"/>
    <w:rsid w:val="0055053A"/>
    <w:rsid w:val="005522BB"/>
    <w:rsid w:val="00554622"/>
    <w:rsid w:val="00560130"/>
    <w:rsid w:val="00560D9E"/>
    <w:rsid w:val="005616A1"/>
    <w:rsid w:val="005667C8"/>
    <w:rsid w:val="00566E59"/>
    <w:rsid w:val="00567965"/>
    <w:rsid w:val="00573E94"/>
    <w:rsid w:val="00574CA3"/>
    <w:rsid w:val="005756C7"/>
    <w:rsid w:val="00577B76"/>
    <w:rsid w:val="00581123"/>
    <w:rsid w:val="00583BCD"/>
    <w:rsid w:val="005845B5"/>
    <w:rsid w:val="0058486C"/>
    <w:rsid w:val="00585209"/>
    <w:rsid w:val="00585B57"/>
    <w:rsid w:val="00586357"/>
    <w:rsid w:val="005916AC"/>
    <w:rsid w:val="00592CA2"/>
    <w:rsid w:val="0059416B"/>
    <w:rsid w:val="005957A1"/>
    <w:rsid w:val="005968B6"/>
    <w:rsid w:val="005A23B8"/>
    <w:rsid w:val="005A4890"/>
    <w:rsid w:val="005A6DCB"/>
    <w:rsid w:val="005B3681"/>
    <w:rsid w:val="005C75DD"/>
    <w:rsid w:val="005D191C"/>
    <w:rsid w:val="005D6131"/>
    <w:rsid w:val="005D70D5"/>
    <w:rsid w:val="005E14F2"/>
    <w:rsid w:val="005E1BBF"/>
    <w:rsid w:val="005E2BDC"/>
    <w:rsid w:val="005E5596"/>
    <w:rsid w:val="005E5651"/>
    <w:rsid w:val="005E7ED3"/>
    <w:rsid w:val="005F197C"/>
    <w:rsid w:val="005F21AC"/>
    <w:rsid w:val="005F2C6A"/>
    <w:rsid w:val="005F54B7"/>
    <w:rsid w:val="005F778A"/>
    <w:rsid w:val="005F7B40"/>
    <w:rsid w:val="00602F6B"/>
    <w:rsid w:val="00603617"/>
    <w:rsid w:val="00604498"/>
    <w:rsid w:val="00604C2B"/>
    <w:rsid w:val="00606D01"/>
    <w:rsid w:val="00607E5F"/>
    <w:rsid w:val="006100C4"/>
    <w:rsid w:val="006102B5"/>
    <w:rsid w:val="0061094E"/>
    <w:rsid w:val="006136E1"/>
    <w:rsid w:val="00615847"/>
    <w:rsid w:val="00616178"/>
    <w:rsid w:val="006171B0"/>
    <w:rsid w:val="006274DE"/>
    <w:rsid w:val="006309A5"/>
    <w:rsid w:val="00630A8B"/>
    <w:rsid w:val="00630C49"/>
    <w:rsid w:val="006318FA"/>
    <w:rsid w:val="00632559"/>
    <w:rsid w:val="00632707"/>
    <w:rsid w:val="00632D9C"/>
    <w:rsid w:val="006343BC"/>
    <w:rsid w:val="0063601C"/>
    <w:rsid w:val="0063712E"/>
    <w:rsid w:val="00637971"/>
    <w:rsid w:val="00640C1F"/>
    <w:rsid w:val="006422C3"/>
    <w:rsid w:val="00643B75"/>
    <w:rsid w:val="00645F3D"/>
    <w:rsid w:val="00645FBD"/>
    <w:rsid w:val="0065399A"/>
    <w:rsid w:val="00653F29"/>
    <w:rsid w:val="006557F4"/>
    <w:rsid w:val="006566C0"/>
    <w:rsid w:val="006569C9"/>
    <w:rsid w:val="0065705F"/>
    <w:rsid w:val="00660CCF"/>
    <w:rsid w:val="00660DCB"/>
    <w:rsid w:val="006619E7"/>
    <w:rsid w:val="00662EB2"/>
    <w:rsid w:val="006630E9"/>
    <w:rsid w:val="006654FC"/>
    <w:rsid w:val="00666CCB"/>
    <w:rsid w:val="006735E8"/>
    <w:rsid w:val="00675A3A"/>
    <w:rsid w:val="00680212"/>
    <w:rsid w:val="00680291"/>
    <w:rsid w:val="00680694"/>
    <w:rsid w:val="00680C27"/>
    <w:rsid w:val="00681970"/>
    <w:rsid w:val="0068211E"/>
    <w:rsid w:val="006821BC"/>
    <w:rsid w:val="006830F9"/>
    <w:rsid w:val="006850A9"/>
    <w:rsid w:val="00690A63"/>
    <w:rsid w:val="00691366"/>
    <w:rsid w:val="0069221B"/>
    <w:rsid w:val="0069241A"/>
    <w:rsid w:val="00692D54"/>
    <w:rsid w:val="00693E73"/>
    <w:rsid w:val="00694DEF"/>
    <w:rsid w:val="00695EBF"/>
    <w:rsid w:val="00696B8F"/>
    <w:rsid w:val="006A03CE"/>
    <w:rsid w:val="006A0CFC"/>
    <w:rsid w:val="006A0E1B"/>
    <w:rsid w:val="006A49D3"/>
    <w:rsid w:val="006A4DD4"/>
    <w:rsid w:val="006A6D1D"/>
    <w:rsid w:val="006B0066"/>
    <w:rsid w:val="006B16AC"/>
    <w:rsid w:val="006B227E"/>
    <w:rsid w:val="006B3EEB"/>
    <w:rsid w:val="006B4593"/>
    <w:rsid w:val="006B59A0"/>
    <w:rsid w:val="006B714E"/>
    <w:rsid w:val="006B7819"/>
    <w:rsid w:val="006C0A6B"/>
    <w:rsid w:val="006C2DE7"/>
    <w:rsid w:val="006C5D79"/>
    <w:rsid w:val="006D0BBC"/>
    <w:rsid w:val="006D3E85"/>
    <w:rsid w:val="006D57EF"/>
    <w:rsid w:val="006D5A1E"/>
    <w:rsid w:val="006E089B"/>
    <w:rsid w:val="006E105A"/>
    <w:rsid w:val="006E3A1A"/>
    <w:rsid w:val="006E3A23"/>
    <w:rsid w:val="006E49A3"/>
    <w:rsid w:val="006E4E6E"/>
    <w:rsid w:val="006E507A"/>
    <w:rsid w:val="006E534D"/>
    <w:rsid w:val="006E71EF"/>
    <w:rsid w:val="006E77E4"/>
    <w:rsid w:val="006E7CBD"/>
    <w:rsid w:val="006E7F00"/>
    <w:rsid w:val="006F1DDC"/>
    <w:rsid w:val="006F29EB"/>
    <w:rsid w:val="006F3E5F"/>
    <w:rsid w:val="006F422B"/>
    <w:rsid w:val="006F7A5C"/>
    <w:rsid w:val="00712598"/>
    <w:rsid w:val="0071327D"/>
    <w:rsid w:val="00715335"/>
    <w:rsid w:val="0071555C"/>
    <w:rsid w:val="0072222F"/>
    <w:rsid w:val="00730129"/>
    <w:rsid w:val="0073715D"/>
    <w:rsid w:val="007374B5"/>
    <w:rsid w:val="00742A7A"/>
    <w:rsid w:val="00744A52"/>
    <w:rsid w:val="00745B7F"/>
    <w:rsid w:val="00747225"/>
    <w:rsid w:val="00750947"/>
    <w:rsid w:val="007511C0"/>
    <w:rsid w:val="007518B3"/>
    <w:rsid w:val="00752DB9"/>
    <w:rsid w:val="007533E6"/>
    <w:rsid w:val="00757582"/>
    <w:rsid w:val="0075775A"/>
    <w:rsid w:val="0076014E"/>
    <w:rsid w:val="0076280E"/>
    <w:rsid w:val="00767409"/>
    <w:rsid w:val="00770E24"/>
    <w:rsid w:val="0077101E"/>
    <w:rsid w:val="00772966"/>
    <w:rsid w:val="007735FE"/>
    <w:rsid w:val="0077368F"/>
    <w:rsid w:val="0077399F"/>
    <w:rsid w:val="00775421"/>
    <w:rsid w:val="00775949"/>
    <w:rsid w:val="0077623D"/>
    <w:rsid w:val="00777B49"/>
    <w:rsid w:val="00777FE8"/>
    <w:rsid w:val="00782C0F"/>
    <w:rsid w:val="00784931"/>
    <w:rsid w:val="00784D1A"/>
    <w:rsid w:val="00785E4D"/>
    <w:rsid w:val="007868C9"/>
    <w:rsid w:val="00792884"/>
    <w:rsid w:val="00794216"/>
    <w:rsid w:val="00795E02"/>
    <w:rsid w:val="00797B5A"/>
    <w:rsid w:val="007A15CA"/>
    <w:rsid w:val="007A69B1"/>
    <w:rsid w:val="007B0CE8"/>
    <w:rsid w:val="007B4C8A"/>
    <w:rsid w:val="007B525A"/>
    <w:rsid w:val="007B5374"/>
    <w:rsid w:val="007B5898"/>
    <w:rsid w:val="007B5D4D"/>
    <w:rsid w:val="007B6A82"/>
    <w:rsid w:val="007B6C1A"/>
    <w:rsid w:val="007C0E45"/>
    <w:rsid w:val="007C2DD1"/>
    <w:rsid w:val="007C3011"/>
    <w:rsid w:val="007C3546"/>
    <w:rsid w:val="007C3BE4"/>
    <w:rsid w:val="007C47E1"/>
    <w:rsid w:val="007C49F8"/>
    <w:rsid w:val="007C4A03"/>
    <w:rsid w:val="007D03D5"/>
    <w:rsid w:val="007D04D4"/>
    <w:rsid w:val="007D0ABC"/>
    <w:rsid w:val="007D2184"/>
    <w:rsid w:val="007D5078"/>
    <w:rsid w:val="007D7582"/>
    <w:rsid w:val="007D7C6F"/>
    <w:rsid w:val="007E11C1"/>
    <w:rsid w:val="007E2D5B"/>
    <w:rsid w:val="007E3BE2"/>
    <w:rsid w:val="007E427E"/>
    <w:rsid w:val="007E4782"/>
    <w:rsid w:val="007E7906"/>
    <w:rsid w:val="007F1B98"/>
    <w:rsid w:val="008002FA"/>
    <w:rsid w:val="008016ED"/>
    <w:rsid w:val="008067FD"/>
    <w:rsid w:val="00806FBB"/>
    <w:rsid w:val="0080746A"/>
    <w:rsid w:val="00810CE0"/>
    <w:rsid w:val="008131C3"/>
    <w:rsid w:val="0081516D"/>
    <w:rsid w:val="00815D08"/>
    <w:rsid w:val="00817070"/>
    <w:rsid w:val="00820086"/>
    <w:rsid w:val="0082165F"/>
    <w:rsid w:val="00821832"/>
    <w:rsid w:val="00827957"/>
    <w:rsid w:val="00827DE7"/>
    <w:rsid w:val="00833DCD"/>
    <w:rsid w:val="00834C6C"/>
    <w:rsid w:val="0084160C"/>
    <w:rsid w:val="00841AA9"/>
    <w:rsid w:val="00841E11"/>
    <w:rsid w:val="00842181"/>
    <w:rsid w:val="008439D5"/>
    <w:rsid w:val="00845312"/>
    <w:rsid w:val="008477D0"/>
    <w:rsid w:val="00850078"/>
    <w:rsid w:val="008509C7"/>
    <w:rsid w:val="00850AA9"/>
    <w:rsid w:val="00853465"/>
    <w:rsid w:val="00855672"/>
    <w:rsid w:val="00856B99"/>
    <w:rsid w:val="0086180C"/>
    <w:rsid w:val="00862435"/>
    <w:rsid w:val="00863C46"/>
    <w:rsid w:val="0086675A"/>
    <w:rsid w:val="00867A2A"/>
    <w:rsid w:val="00867DD3"/>
    <w:rsid w:val="008725D7"/>
    <w:rsid w:val="00872A92"/>
    <w:rsid w:val="00875585"/>
    <w:rsid w:val="00875872"/>
    <w:rsid w:val="00875C30"/>
    <w:rsid w:val="00876265"/>
    <w:rsid w:val="0087669F"/>
    <w:rsid w:val="008769AA"/>
    <w:rsid w:val="008807DB"/>
    <w:rsid w:val="00883F43"/>
    <w:rsid w:val="00885165"/>
    <w:rsid w:val="008870C4"/>
    <w:rsid w:val="0088797C"/>
    <w:rsid w:val="00887DC1"/>
    <w:rsid w:val="00887DEC"/>
    <w:rsid w:val="0089034E"/>
    <w:rsid w:val="00890FFC"/>
    <w:rsid w:val="008946B6"/>
    <w:rsid w:val="00894C90"/>
    <w:rsid w:val="008955BD"/>
    <w:rsid w:val="00895DC4"/>
    <w:rsid w:val="00896614"/>
    <w:rsid w:val="00896DB5"/>
    <w:rsid w:val="008A19E2"/>
    <w:rsid w:val="008A4879"/>
    <w:rsid w:val="008A57D9"/>
    <w:rsid w:val="008B2E2B"/>
    <w:rsid w:val="008B409D"/>
    <w:rsid w:val="008B7608"/>
    <w:rsid w:val="008C081E"/>
    <w:rsid w:val="008C2606"/>
    <w:rsid w:val="008D0E1D"/>
    <w:rsid w:val="008D1F06"/>
    <w:rsid w:val="008D3910"/>
    <w:rsid w:val="008D4B99"/>
    <w:rsid w:val="008D5955"/>
    <w:rsid w:val="008D6F06"/>
    <w:rsid w:val="008E0B1A"/>
    <w:rsid w:val="008E0BAD"/>
    <w:rsid w:val="008E1F5E"/>
    <w:rsid w:val="008E2162"/>
    <w:rsid w:val="008E5561"/>
    <w:rsid w:val="008E6DC2"/>
    <w:rsid w:val="008F3542"/>
    <w:rsid w:val="008F454A"/>
    <w:rsid w:val="008F45C7"/>
    <w:rsid w:val="008F4EC5"/>
    <w:rsid w:val="009009E2"/>
    <w:rsid w:val="00900CF9"/>
    <w:rsid w:val="009021BC"/>
    <w:rsid w:val="009028C8"/>
    <w:rsid w:val="00902985"/>
    <w:rsid w:val="00907C62"/>
    <w:rsid w:val="00910308"/>
    <w:rsid w:val="00910633"/>
    <w:rsid w:val="00912209"/>
    <w:rsid w:val="009128BD"/>
    <w:rsid w:val="009132FD"/>
    <w:rsid w:val="009135C8"/>
    <w:rsid w:val="009149A0"/>
    <w:rsid w:val="00925179"/>
    <w:rsid w:val="0092598D"/>
    <w:rsid w:val="009327AB"/>
    <w:rsid w:val="0093407A"/>
    <w:rsid w:val="00935348"/>
    <w:rsid w:val="00936508"/>
    <w:rsid w:val="009366B4"/>
    <w:rsid w:val="00936863"/>
    <w:rsid w:val="00936ED3"/>
    <w:rsid w:val="009421B5"/>
    <w:rsid w:val="0094415C"/>
    <w:rsid w:val="00944843"/>
    <w:rsid w:val="00945BC3"/>
    <w:rsid w:val="0094645C"/>
    <w:rsid w:val="00947238"/>
    <w:rsid w:val="00950B2F"/>
    <w:rsid w:val="00952699"/>
    <w:rsid w:val="009529DD"/>
    <w:rsid w:val="00952C71"/>
    <w:rsid w:val="00952C99"/>
    <w:rsid w:val="009530AD"/>
    <w:rsid w:val="00953AF4"/>
    <w:rsid w:val="00954084"/>
    <w:rsid w:val="00961733"/>
    <w:rsid w:val="00962448"/>
    <w:rsid w:val="00962C4B"/>
    <w:rsid w:val="00963DD1"/>
    <w:rsid w:val="00972A89"/>
    <w:rsid w:val="009746A8"/>
    <w:rsid w:val="00976182"/>
    <w:rsid w:val="00976537"/>
    <w:rsid w:val="00977E48"/>
    <w:rsid w:val="009802E7"/>
    <w:rsid w:val="009808E1"/>
    <w:rsid w:val="00980929"/>
    <w:rsid w:val="0098228A"/>
    <w:rsid w:val="00982E58"/>
    <w:rsid w:val="00983A1C"/>
    <w:rsid w:val="00985201"/>
    <w:rsid w:val="009912FC"/>
    <w:rsid w:val="00993C00"/>
    <w:rsid w:val="00997AF5"/>
    <w:rsid w:val="009A0321"/>
    <w:rsid w:val="009A3886"/>
    <w:rsid w:val="009A3FC2"/>
    <w:rsid w:val="009A48B7"/>
    <w:rsid w:val="009A5801"/>
    <w:rsid w:val="009B0BA4"/>
    <w:rsid w:val="009B2FAD"/>
    <w:rsid w:val="009B4D81"/>
    <w:rsid w:val="009B5439"/>
    <w:rsid w:val="009B5829"/>
    <w:rsid w:val="009B6BEA"/>
    <w:rsid w:val="009C0A33"/>
    <w:rsid w:val="009C12B3"/>
    <w:rsid w:val="009C2B27"/>
    <w:rsid w:val="009C509A"/>
    <w:rsid w:val="009C68FD"/>
    <w:rsid w:val="009C734B"/>
    <w:rsid w:val="009D08CC"/>
    <w:rsid w:val="009D420D"/>
    <w:rsid w:val="009D76D3"/>
    <w:rsid w:val="009E0B21"/>
    <w:rsid w:val="009E28BF"/>
    <w:rsid w:val="009E29F5"/>
    <w:rsid w:val="009E2BF8"/>
    <w:rsid w:val="009E397F"/>
    <w:rsid w:val="009E4AFC"/>
    <w:rsid w:val="009E7018"/>
    <w:rsid w:val="009F091B"/>
    <w:rsid w:val="009F5875"/>
    <w:rsid w:val="009F62AD"/>
    <w:rsid w:val="009F7FEA"/>
    <w:rsid w:val="00A01A6C"/>
    <w:rsid w:val="00A02DD7"/>
    <w:rsid w:val="00A108A2"/>
    <w:rsid w:val="00A11CA0"/>
    <w:rsid w:val="00A1544D"/>
    <w:rsid w:val="00A15931"/>
    <w:rsid w:val="00A16EB3"/>
    <w:rsid w:val="00A2421D"/>
    <w:rsid w:val="00A25350"/>
    <w:rsid w:val="00A253F0"/>
    <w:rsid w:val="00A26088"/>
    <w:rsid w:val="00A2641A"/>
    <w:rsid w:val="00A30E95"/>
    <w:rsid w:val="00A32FCF"/>
    <w:rsid w:val="00A3638E"/>
    <w:rsid w:val="00A373DD"/>
    <w:rsid w:val="00A426CF"/>
    <w:rsid w:val="00A446BF"/>
    <w:rsid w:val="00A47C3B"/>
    <w:rsid w:val="00A500F8"/>
    <w:rsid w:val="00A50740"/>
    <w:rsid w:val="00A52B62"/>
    <w:rsid w:val="00A54D21"/>
    <w:rsid w:val="00A55020"/>
    <w:rsid w:val="00A55BE2"/>
    <w:rsid w:val="00A5727D"/>
    <w:rsid w:val="00A57DE2"/>
    <w:rsid w:val="00A634FD"/>
    <w:rsid w:val="00A6773F"/>
    <w:rsid w:val="00A718B0"/>
    <w:rsid w:val="00A7282D"/>
    <w:rsid w:val="00A82221"/>
    <w:rsid w:val="00A8372A"/>
    <w:rsid w:val="00A85B13"/>
    <w:rsid w:val="00A86CEF"/>
    <w:rsid w:val="00A86D42"/>
    <w:rsid w:val="00A90BAA"/>
    <w:rsid w:val="00AA23FA"/>
    <w:rsid w:val="00AA5BC8"/>
    <w:rsid w:val="00AA635D"/>
    <w:rsid w:val="00AB1B36"/>
    <w:rsid w:val="00AC0BC5"/>
    <w:rsid w:val="00AC5887"/>
    <w:rsid w:val="00AD0126"/>
    <w:rsid w:val="00AD225E"/>
    <w:rsid w:val="00AD40A6"/>
    <w:rsid w:val="00AD5EF0"/>
    <w:rsid w:val="00AD5FB8"/>
    <w:rsid w:val="00AD6DF0"/>
    <w:rsid w:val="00AD6E0D"/>
    <w:rsid w:val="00AD7D3F"/>
    <w:rsid w:val="00AE02A4"/>
    <w:rsid w:val="00AF59D8"/>
    <w:rsid w:val="00B006F8"/>
    <w:rsid w:val="00B03B41"/>
    <w:rsid w:val="00B07B47"/>
    <w:rsid w:val="00B108E1"/>
    <w:rsid w:val="00B146CD"/>
    <w:rsid w:val="00B15C56"/>
    <w:rsid w:val="00B20861"/>
    <w:rsid w:val="00B21046"/>
    <w:rsid w:val="00B21A13"/>
    <w:rsid w:val="00B21E44"/>
    <w:rsid w:val="00B23919"/>
    <w:rsid w:val="00B24AB8"/>
    <w:rsid w:val="00B301AD"/>
    <w:rsid w:val="00B31478"/>
    <w:rsid w:val="00B31909"/>
    <w:rsid w:val="00B328CB"/>
    <w:rsid w:val="00B33DC1"/>
    <w:rsid w:val="00B33E24"/>
    <w:rsid w:val="00B35398"/>
    <w:rsid w:val="00B4001D"/>
    <w:rsid w:val="00B40E36"/>
    <w:rsid w:val="00B42050"/>
    <w:rsid w:val="00B434D5"/>
    <w:rsid w:val="00B4402E"/>
    <w:rsid w:val="00B4616C"/>
    <w:rsid w:val="00B462B1"/>
    <w:rsid w:val="00B47997"/>
    <w:rsid w:val="00B52C28"/>
    <w:rsid w:val="00B52CC4"/>
    <w:rsid w:val="00B5349D"/>
    <w:rsid w:val="00B53589"/>
    <w:rsid w:val="00B53A77"/>
    <w:rsid w:val="00B5559E"/>
    <w:rsid w:val="00B60AA3"/>
    <w:rsid w:val="00B61C24"/>
    <w:rsid w:val="00B62609"/>
    <w:rsid w:val="00B64BC4"/>
    <w:rsid w:val="00B72288"/>
    <w:rsid w:val="00B74710"/>
    <w:rsid w:val="00B7506B"/>
    <w:rsid w:val="00B84104"/>
    <w:rsid w:val="00B94605"/>
    <w:rsid w:val="00B95774"/>
    <w:rsid w:val="00B9642F"/>
    <w:rsid w:val="00B97035"/>
    <w:rsid w:val="00B97465"/>
    <w:rsid w:val="00BA01B6"/>
    <w:rsid w:val="00BA0355"/>
    <w:rsid w:val="00BA03A7"/>
    <w:rsid w:val="00BA0740"/>
    <w:rsid w:val="00BA08F7"/>
    <w:rsid w:val="00BA4AD4"/>
    <w:rsid w:val="00BA5210"/>
    <w:rsid w:val="00BA6B84"/>
    <w:rsid w:val="00BB1BAB"/>
    <w:rsid w:val="00BB23D0"/>
    <w:rsid w:val="00BB35CB"/>
    <w:rsid w:val="00BB3D76"/>
    <w:rsid w:val="00BB431E"/>
    <w:rsid w:val="00BB46E3"/>
    <w:rsid w:val="00BB5E73"/>
    <w:rsid w:val="00BB61B6"/>
    <w:rsid w:val="00BB6711"/>
    <w:rsid w:val="00BC4808"/>
    <w:rsid w:val="00BC49B2"/>
    <w:rsid w:val="00BC6226"/>
    <w:rsid w:val="00BD0F23"/>
    <w:rsid w:val="00BD3924"/>
    <w:rsid w:val="00BD4FBB"/>
    <w:rsid w:val="00BD5458"/>
    <w:rsid w:val="00BD6541"/>
    <w:rsid w:val="00BD7464"/>
    <w:rsid w:val="00BE006E"/>
    <w:rsid w:val="00BE0924"/>
    <w:rsid w:val="00BE1580"/>
    <w:rsid w:val="00BE2A1E"/>
    <w:rsid w:val="00BE47AA"/>
    <w:rsid w:val="00BE4BEF"/>
    <w:rsid w:val="00BE55EB"/>
    <w:rsid w:val="00BE6EFB"/>
    <w:rsid w:val="00BF1F82"/>
    <w:rsid w:val="00BF4350"/>
    <w:rsid w:val="00BF7137"/>
    <w:rsid w:val="00C02C40"/>
    <w:rsid w:val="00C11E8A"/>
    <w:rsid w:val="00C129AF"/>
    <w:rsid w:val="00C15B34"/>
    <w:rsid w:val="00C17E9D"/>
    <w:rsid w:val="00C23FEB"/>
    <w:rsid w:val="00C24FA7"/>
    <w:rsid w:val="00C302FE"/>
    <w:rsid w:val="00C31A1D"/>
    <w:rsid w:val="00C32CA9"/>
    <w:rsid w:val="00C35B4E"/>
    <w:rsid w:val="00C37727"/>
    <w:rsid w:val="00C41124"/>
    <w:rsid w:val="00C41695"/>
    <w:rsid w:val="00C427EE"/>
    <w:rsid w:val="00C44667"/>
    <w:rsid w:val="00C45123"/>
    <w:rsid w:val="00C4721A"/>
    <w:rsid w:val="00C478D9"/>
    <w:rsid w:val="00C50CB9"/>
    <w:rsid w:val="00C51BA4"/>
    <w:rsid w:val="00C55E4A"/>
    <w:rsid w:val="00C56066"/>
    <w:rsid w:val="00C5666C"/>
    <w:rsid w:val="00C57964"/>
    <w:rsid w:val="00C6047D"/>
    <w:rsid w:val="00C60EFB"/>
    <w:rsid w:val="00C627D8"/>
    <w:rsid w:val="00C63AB9"/>
    <w:rsid w:val="00C64C4C"/>
    <w:rsid w:val="00C71165"/>
    <w:rsid w:val="00C720D5"/>
    <w:rsid w:val="00C728B1"/>
    <w:rsid w:val="00C731E7"/>
    <w:rsid w:val="00C733C4"/>
    <w:rsid w:val="00C73819"/>
    <w:rsid w:val="00C76FEF"/>
    <w:rsid w:val="00C80BF8"/>
    <w:rsid w:val="00C814F2"/>
    <w:rsid w:val="00C83BF9"/>
    <w:rsid w:val="00C85455"/>
    <w:rsid w:val="00C90BF9"/>
    <w:rsid w:val="00C914DB"/>
    <w:rsid w:val="00C915A3"/>
    <w:rsid w:val="00C930CA"/>
    <w:rsid w:val="00C93B52"/>
    <w:rsid w:val="00C956E2"/>
    <w:rsid w:val="00C956FD"/>
    <w:rsid w:val="00C965AA"/>
    <w:rsid w:val="00C96B5B"/>
    <w:rsid w:val="00C975A1"/>
    <w:rsid w:val="00CA123B"/>
    <w:rsid w:val="00CA2759"/>
    <w:rsid w:val="00CA32C1"/>
    <w:rsid w:val="00CB0BA2"/>
    <w:rsid w:val="00CB5B7A"/>
    <w:rsid w:val="00CB7A95"/>
    <w:rsid w:val="00CC022D"/>
    <w:rsid w:val="00CC04B5"/>
    <w:rsid w:val="00CC1234"/>
    <w:rsid w:val="00CC2F4A"/>
    <w:rsid w:val="00CC67E9"/>
    <w:rsid w:val="00CC75EC"/>
    <w:rsid w:val="00CD0CD7"/>
    <w:rsid w:val="00CD0F1A"/>
    <w:rsid w:val="00CD1892"/>
    <w:rsid w:val="00CD63C7"/>
    <w:rsid w:val="00CD7496"/>
    <w:rsid w:val="00CE1F05"/>
    <w:rsid w:val="00CE32CA"/>
    <w:rsid w:val="00CE4592"/>
    <w:rsid w:val="00CE57ED"/>
    <w:rsid w:val="00CE6146"/>
    <w:rsid w:val="00CF13F4"/>
    <w:rsid w:val="00CF173A"/>
    <w:rsid w:val="00D0618C"/>
    <w:rsid w:val="00D10EF8"/>
    <w:rsid w:val="00D11BA7"/>
    <w:rsid w:val="00D12A80"/>
    <w:rsid w:val="00D12BB6"/>
    <w:rsid w:val="00D13E9D"/>
    <w:rsid w:val="00D16987"/>
    <w:rsid w:val="00D17263"/>
    <w:rsid w:val="00D1799B"/>
    <w:rsid w:val="00D24567"/>
    <w:rsid w:val="00D26523"/>
    <w:rsid w:val="00D30E6B"/>
    <w:rsid w:val="00D32D85"/>
    <w:rsid w:val="00D347F8"/>
    <w:rsid w:val="00D353E6"/>
    <w:rsid w:val="00D371F1"/>
    <w:rsid w:val="00D47816"/>
    <w:rsid w:val="00D50451"/>
    <w:rsid w:val="00D51BC6"/>
    <w:rsid w:val="00D53621"/>
    <w:rsid w:val="00D537ED"/>
    <w:rsid w:val="00D546B1"/>
    <w:rsid w:val="00D547E8"/>
    <w:rsid w:val="00D54CB8"/>
    <w:rsid w:val="00D552E3"/>
    <w:rsid w:val="00D55703"/>
    <w:rsid w:val="00D60119"/>
    <w:rsid w:val="00D61B08"/>
    <w:rsid w:val="00D64929"/>
    <w:rsid w:val="00D6673B"/>
    <w:rsid w:val="00D66779"/>
    <w:rsid w:val="00D67E25"/>
    <w:rsid w:val="00D707C2"/>
    <w:rsid w:val="00D7459D"/>
    <w:rsid w:val="00D74768"/>
    <w:rsid w:val="00D757F4"/>
    <w:rsid w:val="00D7695E"/>
    <w:rsid w:val="00D80A15"/>
    <w:rsid w:val="00D80F0E"/>
    <w:rsid w:val="00D815D4"/>
    <w:rsid w:val="00D87DA2"/>
    <w:rsid w:val="00D9173C"/>
    <w:rsid w:val="00D92776"/>
    <w:rsid w:val="00D92E33"/>
    <w:rsid w:val="00D93B36"/>
    <w:rsid w:val="00D94188"/>
    <w:rsid w:val="00D95C1C"/>
    <w:rsid w:val="00D95FDF"/>
    <w:rsid w:val="00DA038E"/>
    <w:rsid w:val="00DA0A25"/>
    <w:rsid w:val="00DA4B7C"/>
    <w:rsid w:val="00DB0751"/>
    <w:rsid w:val="00DB0D26"/>
    <w:rsid w:val="00DB196C"/>
    <w:rsid w:val="00DB31B6"/>
    <w:rsid w:val="00DB3870"/>
    <w:rsid w:val="00DB541D"/>
    <w:rsid w:val="00DB58BE"/>
    <w:rsid w:val="00DB593F"/>
    <w:rsid w:val="00DB6F9F"/>
    <w:rsid w:val="00DC449F"/>
    <w:rsid w:val="00DD0DEF"/>
    <w:rsid w:val="00DD29FE"/>
    <w:rsid w:val="00DD4557"/>
    <w:rsid w:val="00DD4D39"/>
    <w:rsid w:val="00DD5C21"/>
    <w:rsid w:val="00DD669E"/>
    <w:rsid w:val="00DD671F"/>
    <w:rsid w:val="00DD6B66"/>
    <w:rsid w:val="00DD6C38"/>
    <w:rsid w:val="00DE11E5"/>
    <w:rsid w:val="00DE1CB4"/>
    <w:rsid w:val="00DE35D8"/>
    <w:rsid w:val="00DE39E0"/>
    <w:rsid w:val="00DE4D42"/>
    <w:rsid w:val="00DE5E93"/>
    <w:rsid w:val="00DE69D6"/>
    <w:rsid w:val="00DE75A3"/>
    <w:rsid w:val="00DF05E3"/>
    <w:rsid w:val="00DF1C0C"/>
    <w:rsid w:val="00DF30DD"/>
    <w:rsid w:val="00DF32F5"/>
    <w:rsid w:val="00DF59D9"/>
    <w:rsid w:val="00E005D9"/>
    <w:rsid w:val="00E01988"/>
    <w:rsid w:val="00E03F05"/>
    <w:rsid w:val="00E05F50"/>
    <w:rsid w:val="00E07F79"/>
    <w:rsid w:val="00E10421"/>
    <w:rsid w:val="00E11AA1"/>
    <w:rsid w:val="00E124DE"/>
    <w:rsid w:val="00E12698"/>
    <w:rsid w:val="00E12D84"/>
    <w:rsid w:val="00E146EE"/>
    <w:rsid w:val="00E14885"/>
    <w:rsid w:val="00E15940"/>
    <w:rsid w:val="00E15966"/>
    <w:rsid w:val="00E17226"/>
    <w:rsid w:val="00E21A7B"/>
    <w:rsid w:val="00E21F0D"/>
    <w:rsid w:val="00E22966"/>
    <w:rsid w:val="00E256B3"/>
    <w:rsid w:val="00E321ED"/>
    <w:rsid w:val="00E32401"/>
    <w:rsid w:val="00E347FE"/>
    <w:rsid w:val="00E3489B"/>
    <w:rsid w:val="00E36059"/>
    <w:rsid w:val="00E369AE"/>
    <w:rsid w:val="00E36EEF"/>
    <w:rsid w:val="00E37C68"/>
    <w:rsid w:val="00E404D2"/>
    <w:rsid w:val="00E426E3"/>
    <w:rsid w:val="00E42D95"/>
    <w:rsid w:val="00E441DE"/>
    <w:rsid w:val="00E449C7"/>
    <w:rsid w:val="00E456C3"/>
    <w:rsid w:val="00E461A7"/>
    <w:rsid w:val="00E46390"/>
    <w:rsid w:val="00E46EFF"/>
    <w:rsid w:val="00E54EC7"/>
    <w:rsid w:val="00E56CF3"/>
    <w:rsid w:val="00E5773D"/>
    <w:rsid w:val="00E627C3"/>
    <w:rsid w:val="00E639B7"/>
    <w:rsid w:val="00E664D5"/>
    <w:rsid w:val="00E70669"/>
    <w:rsid w:val="00E70AAE"/>
    <w:rsid w:val="00E71AF5"/>
    <w:rsid w:val="00E73243"/>
    <w:rsid w:val="00E75EAC"/>
    <w:rsid w:val="00E75FA0"/>
    <w:rsid w:val="00E76B52"/>
    <w:rsid w:val="00E76D8C"/>
    <w:rsid w:val="00E76E25"/>
    <w:rsid w:val="00E80D24"/>
    <w:rsid w:val="00E81492"/>
    <w:rsid w:val="00E81EF6"/>
    <w:rsid w:val="00E83031"/>
    <w:rsid w:val="00E83670"/>
    <w:rsid w:val="00E83956"/>
    <w:rsid w:val="00E85658"/>
    <w:rsid w:val="00E870C7"/>
    <w:rsid w:val="00E90195"/>
    <w:rsid w:val="00E91105"/>
    <w:rsid w:val="00E91AD4"/>
    <w:rsid w:val="00E92AAC"/>
    <w:rsid w:val="00E95E78"/>
    <w:rsid w:val="00E96BF3"/>
    <w:rsid w:val="00E96EED"/>
    <w:rsid w:val="00E9704B"/>
    <w:rsid w:val="00E97406"/>
    <w:rsid w:val="00E974A4"/>
    <w:rsid w:val="00EA10B8"/>
    <w:rsid w:val="00EB08B9"/>
    <w:rsid w:val="00EB1AE9"/>
    <w:rsid w:val="00EB1CE8"/>
    <w:rsid w:val="00EB3C0F"/>
    <w:rsid w:val="00EB3FA3"/>
    <w:rsid w:val="00EB4AE0"/>
    <w:rsid w:val="00EC2638"/>
    <w:rsid w:val="00EC289B"/>
    <w:rsid w:val="00EC64CF"/>
    <w:rsid w:val="00EC67B1"/>
    <w:rsid w:val="00EC6CD9"/>
    <w:rsid w:val="00ED0C5F"/>
    <w:rsid w:val="00ED44DF"/>
    <w:rsid w:val="00EE10B6"/>
    <w:rsid w:val="00EE234B"/>
    <w:rsid w:val="00EE48AB"/>
    <w:rsid w:val="00EE52B8"/>
    <w:rsid w:val="00EE5A3D"/>
    <w:rsid w:val="00EE5E76"/>
    <w:rsid w:val="00EE623A"/>
    <w:rsid w:val="00EF43E0"/>
    <w:rsid w:val="00F00915"/>
    <w:rsid w:val="00F04B00"/>
    <w:rsid w:val="00F101A4"/>
    <w:rsid w:val="00F115CA"/>
    <w:rsid w:val="00F121BF"/>
    <w:rsid w:val="00F13359"/>
    <w:rsid w:val="00F13970"/>
    <w:rsid w:val="00F16737"/>
    <w:rsid w:val="00F212C6"/>
    <w:rsid w:val="00F228DA"/>
    <w:rsid w:val="00F25D6C"/>
    <w:rsid w:val="00F269B2"/>
    <w:rsid w:val="00F30994"/>
    <w:rsid w:val="00F32989"/>
    <w:rsid w:val="00F33880"/>
    <w:rsid w:val="00F35100"/>
    <w:rsid w:val="00F35A62"/>
    <w:rsid w:val="00F40AD2"/>
    <w:rsid w:val="00F45A10"/>
    <w:rsid w:val="00F46500"/>
    <w:rsid w:val="00F50C94"/>
    <w:rsid w:val="00F511E6"/>
    <w:rsid w:val="00F52EBD"/>
    <w:rsid w:val="00F54C7A"/>
    <w:rsid w:val="00F54E4D"/>
    <w:rsid w:val="00F54E9C"/>
    <w:rsid w:val="00F55433"/>
    <w:rsid w:val="00F5697D"/>
    <w:rsid w:val="00F617A4"/>
    <w:rsid w:val="00F63E24"/>
    <w:rsid w:val="00F63EA5"/>
    <w:rsid w:val="00F6462C"/>
    <w:rsid w:val="00F65B3C"/>
    <w:rsid w:val="00F7003A"/>
    <w:rsid w:val="00F70842"/>
    <w:rsid w:val="00F71060"/>
    <w:rsid w:val="00F736A6"/>
    <w:rsid w:val="00F7485E"/>
    <w:rsid w:val="00F76DE1"/>
    <w:rsid w:val="00F771C8"/>
    <w:rsid w:val="00F816F7"/>
    <w:rsid w:val="00F841DC"/>
    <w:rsid w:val="00F84640"/>
    <w:rsid w:val="00F878AB"/>
    <w:rsid w:val="00F87C11"/>
    <w:rsid w:val="00F90230"/>
    <w:rsid w:val="00F921D3"/>
    <w:rsid w:val="00F93AF7"/>
    <w:rsid w:val="00F9415E"/>
    <w:rsid w:val="00F97ADB"/>
    <w:rsid w:val="00FA0E41"/>
    <w:rsid w:val="00FA0FAF"/>
    <w:rsid w:val="00FA3E91"/>
    <w:rsid w:val="00FA69DD"/>
    <w:rsid w:val="00FA7675"/>
    <w:rsid w:val="00FB051D"/>
    <w:rsid w:val="00FB3BD1"/>
    <w:rsid w:val="00FB521C"/>
    <w:rsid w:val="00FB52A6"/>
    <w:rsid w:val="00FB62A5"/>
    <w:rsid w:val="00FC1081"/>
    <w:rsid w:val="00FC28D9"/>
    <w:rsid w:val="00FD4FD7"/>
    <w:rsid w:val="00FE08D4"/>
    <w:rsid w:val="00FE3FCE"/>
    <w:rsid w:val="00FE6620"/>
    <w:rsid w:val="00FE7ED4"/>
    <w:rsid w:val="00FF129C"/>
    <w:rsid w:val="00FF12C5"/>
    <w:rsid w:val="00FF16A6"/>
    <w:rsid w:val="00FF2A74"/>
    <w:rsid w:val="00FF621A"/>
    <w:rsid w:val="00FF71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AA9F0027-798F-47EA-8CC7-34FA25FF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C3"/>
    <w:pPr>
      <w:spacing w:after="160" w:line="259" w:lineRule="auto"/>
    </w:pPr>
    <w:rPr>
      <w:lang w:eastAsia="en-US"/>
    </w:rPr>
  </w:style>
  <w:style w:type="paragraph" w:styleId="Ttulo1">
    <w:name w:val="heading 1"/>
    <w:aliases w:val="h1,Heading I"/>
    <w:basedOn w:val="Normal"/>
    <w:next w:val="Normal"/>
    <w:link w:val="Ttulo1Car"/>
    <w:qFormat/>
    <w:rsid w:val="00925179"/>
    <w:pPr>
      <w:keepNext/>
      <w:keepLines/>
      <w:spacing w:before="480" w:after="0" w:line="240" w:lineRule="auto"/>
      <w:outlineLvl w:val="0"/>
    </w:pPr>
    <w:rPr>
      <w:rFonts w:ascii="Calibri Light" w:eastAsia="Times New Roman" w:hAnsi="Calibri Light"/>
      <w:b/>
      <w:bCs/>
      <w:color w:val="2E74B5"/>
      <w:sz w:val="28"/>
      <w:szCs w:val="28"/>
      <w:lang w:val="es-ES" w:eastAsia="es-ES"/>
    </w:rPr>
  </w:style>
  <w:style w:type="paragraph" w:styleId="Ttulo2">
    <w:name w:val="heading 2"/>
    <w:aliases w:val="h2,2TitSec,Heading II"/>
    <w:basedOn w:val="Normal"/>
    <w:next w:val="Normal"/>
    <w:link w:val="Ttulo2Car"/>
    <w:qFormat/>
    <w:rsid w:val="00925179"/>
    <w:pPr>
      <w:keepNext/>
      <w:keepLines/>
      <w:tabs>
        <w:tab w:val="num" w:pos="643"/>
      </w:tabs>
      <w:spacing w:before="360" w:after="240" w:line="320" w:lineRule="atLeast"/>
      <w:ind w:left="643" w:hanging="499"/>
      <w:jc w:val="both"/>
      <w:outlineLvl w:val="1"/>
    </w:pPr>
    <w:rPr>
      <w:rFonts w:ascii="Times New Roman" w:eastAsia="Times New Roman" w:hAnsi="Times New Roman"/>
      <w:b/>
      <w:bCs/>
      <w:sz w:val="24"/>
      <w:szCs w:val="26"/>
      <w:lang w:val="es-ES"/>
    </w:rPr>
  </w:style>
  <w:style w:type="paragraph" w:styleId="Ttulo3">
    <w:name w:val="heading 3"/>
    <w:aliases w:val="h3"/>
    <w:basedOn w:val="Normal"/>
    <w:next w:val="Normal"/>
    <w:link w:val="Ttulo3Car"/>
    <w:qFormat/>
    <w:rsid w:val="00925179"/>
    <w:pPr>
      <w:keepNext/>
      <w:keepLines/>
      <w:spacing w:before="200" w:after="0"/>
      <w:ind w:left="720" w:hanging="720"/>
      <w:outlineLvl w:val="2"/>
    </w:pPr>
    <w:rPr>
      <w:rFonts w:ascii="Calibri Light" w:eastAsia="Times New Roman" w:hAnsi="Calibri Light"/>
      <w:b/>
      <w:bCs/>
      <w:color w:val="000000"/>
    </w:rPr>
  </w:style>
  <w:style w:type="paragraph" w:styleId="Ttulo4">
    <w:name w:val="heading 4"/>
    <w:basedOn w:val="Normal"/>
    <w:next w:val="Normal"/>
    <w:link w:val="Ttulo4Car"/>
    <w:qFormat/>
    <w:rsid w:val="00925179"/>
    <w:pPr>
      <w:keepNext/>
      <w:keepLines/>
      <w:spacing w:before="200" w:after="0" w:line="240" w:lineRule="auto"/>
      <w:outlineLvl w:val="3"/>
    </w:pPr>
    <w:rPr>
      <w:rFonts w:ascii="Calibri Light" w:eastAsia="Times New Roman" w:hAnsi="Calibri Light"/>
      <w:b/>
      <w:bCs/>
      <w:i/>
      <w:iCs/>
      <w:color w:val="5B9BD5"/>
      <w:sz w:val="24"/>
      <w:szCs w:val="24"/>
      <w:lang w:val="es-ES" w:eastAsia="es-ES"/>
    </w:rPr>
  </w:style>
  <w:style w:type="paragraph" w:styleId="Ttulo5">
    <w:name w:val="heading 5"/>
    <w:aliases w:val="Considerando,Apartado_sub"/>
    <w:basedOn w:val="Normal"/>
    <w:next w:val="Normal"/>
    <w:link w:val="Ttulo5Car"/>
    <w:qFormat/>
    <w:rsid w:val="00925179"/>
    <w:pPr>
      <w:keepNext/>
      <w:keepLines/>
      <w:spacing w:before="200" w:after="0"/>
      <w:ind w:left="1008" w:hanging="1008"/>
      <w:outlineLvl w:val="4"/>
    </w:pPr>
    <w:rPr>
      <w:rFonts w:ascii="Calibri Light" w:eastAsia="Times New Roman" w:hAnsi="Calibri Light"/>
      <w:color w:val="323E4F"/>
    </w:rPr>
  </w:style>
  <w:style w:type="paragraph" w:styleId="Ttulo6">
    <w:name w:val="heading 6"/>
    <w:basedOn w:val="Normal"/>
    <w:next w:val="Normal"/>
    <w:link w:val="Ttulo6Car"/>
    <w:qFormat/>
    <w:rsid w:val="00925179"/>
    <w:pPr>
      <w:keepNext/>
      <w:keepLines/>
      <w:spacing w:before="200" w:after="0"/>
      <w:ind w:left="1152" w:hanging="1152"/>
      <w:outlineLvl w:val="5"/>
    </w:pPr>
    <w:rPr>
      <w:rFonts w:ascii="Calibri Light" w:eastAsia="Times New Roman" w:hAnsi="Calibri Light"/>
      <w:i/>
      <w:iCs/>
      <w:color w:val="323E4F"/>
    </w:rPr>
  </w:style>
  <w:style w:type="paragraph" w:styleId="Ttulo7">
    <w:name w:val="heading 7"/>
    <w:basedOn w:val="Normal"/>
    <w:next w:val="Normal"/>
    <w:link w:val="Ttulo7Car"/>
    <w:qFormat/>
    <w:rsid w:val="00925179"/>
    <w:pPr>
      <w:keepNext/>
      <w:keepLines/>
      <w:spacing w:before="200" w:after="0"/>
      <w:ind w:left="1296" w:hanging="1296"/>
      <w:outlineLvl w:val="6"/>
    </w:pPr>
    <w:rPr>
      <w:rFonts w:ascii="Calibri Light" w:eastAsia="Times New Roman" w:hAnsi="Calibri Light"/>
      <w:i/>
      <w:iCs/>
      <w:color w:val="404040"/>
    </w:rPr>
  </w:style>
  <w:style w:type="paragraph" w:styleId="Ttulo8">
    <w:name w:val="heading 8"/>
    <w:basedOn w:val="Normal"/>
    <w:next w:val="Normal"/>
    <w:link w:val="Ttulo8Car"/>
    <w:qFormat/>
    <w:rsid w:val="00925179"/>
    <w:pPr>
      <w:keepNext/>
      <w:keepLines/>
      <w:spacing w:before="200" w:after="0"/>
      <w:ind w:left="1440" w:hanging="1440"/>
      <w:outlineLvl w:val="7"/>
    </w:pPr>
    <w:rPr>
      <w:rFonts w:ascii="Calibri Light" w:eastAsia="Times New Roman" w:hAnsi="Calibri Light"/>
      <w:color w:val="404040"/>
      <w:sz w:val="20"/>
      <w:szCs w:val="20"/>
    </w:rPr>
  </w:style>
  <w:style w:type="paragraph" w:styleId="Ttulo9">
    <w:name w:val="heading 9"/>
    <w:aliases w:val="Citaciones"/>
    <w:basedOn w:val="Normal"/>
    <w:next w:val="Normal"/>
    <w:link w:val="Ttulo9Car"/>
    <w:qFormat/>
    <w:rsid w:val="00925179"/>
    <w:pPr>
      <w:keepNext/>
      <w:keepLines/>
      <w:spacing w:before="200" w:after="0"/>
      <w:ind w:left="1584" w:hanging="1584"/>
      <w:outlineLvl w:val="8"/>
    </w:pPr>
    <w:rPr>
      <w:rFonts w:ascii="Calibri Light" w:eastAsia="Times New Roman" w:hAnsi="Calibri Light"/>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locked/>
    <w:rsid w:val="00925179"/>
    <w:rPr>
      <w:rFonts w:ascii="Calibri Light" w:hAnsi="Calibri Light" w:cs="Times New Roman"/>
      <w:b/>
      <w:bCs/>
      <w:color w:val="2E74B5"/>
      <w:sz w:val="28"/>
      <w:szCs w:val="28"/>
      <w:lang w:val="es-ES" w:eastAsia="es-ES"/>
    </w:rPr>
  </w:style>
  <w:style w:type="character" w:customStyle="1" w:styleId="Ttulo2Car">
    <w:name w:val="Título 2 Car"/>
    <w:aliases w:val="h2 Car,2TitSec Car,Heading II Car"/>
    <w:basedOn w:val="Fuentedeprrafopredeter"/>
    <w:link w:val="Ttulo2"/>
    <w:locked/>
    <w:rsid w:val="00925179"/>
    <w:rPr>
      <w:rFonts w:ascii="Times New Roman" w:hAnsi="Times New Roman" w:cs="Times New Roman"/>
      <w:b/>
      <w:bCs/>
      <w:sz w:val="26"/>
      <w:szCs w:val="26"/>
      <w:lang w:val="es-ES"/>
    </w:rPr>
  </w:style>
  <w:style w:type="character" w:customStyle="1" w:styleId="Ttulo3Car">
    <w:name w:val="Título 3 Car"/>
    <w:aliases w:val="h3 Car"/>
    <w:basedOn w:val="Fuentedeprrafopredeter"/>
    <w:link w:val="Ttulo3"/>
    <w:locked/>
    <w:rsid w:val="00925179"/>
    <w:rPr>
      <w:rFonts w:ascii="Calibri Light" w:hAnsi="Calibri Light" w:cs="Times New Roman"/>
      <w:b/>
      <w:bCs/>
      <w:color w:val="000000"/>
    </w:rPr>
  </w:style>
  <w:style w:type="character" w:customStyle="1" w:styleId="Ttulo4Car">
    <w:name w:val="Título 4 Car"/>
    <w:basedOn w:val="Fuentedeprrafopredeter"/>
    <w:link w:val="Ttulo4"/>
    <w:locked/>
    <w:rsid w:val="00925179"/>
    <w:rPr>
      <w:rFonts w:ascii="Calibri Light" w:hAnsi="Calibri Light" w:cs="Times New Roman"/>
      <w:b/>
      <w:bCs/>
      <w:i/>
      <w:iCs/>
      <w:color w:val="5B9BD5"/>
      <w:sz w:val="24"/>
      <w:szCs w:val="24"/>
      <w:lang w:val="es-ES" w:eastAsia="es-ES"/>
    </w:rPr>
  </w:style>
  <w:style w:type="character" w:customStyle="1" w:styleId="Ttulo5Car">
    <w:name w:val="Título 5 Car"/>
    <w:aliases w:val="Considerando Car,Apartado_sub Car"/>
    <w:basedOn w:val="Fuentedeprrafopredeter"/>
    <w:link w:val="Ttulo5"/>
    <w:locked/>
    <w:rsid w:val="00925179"/>
    <w:rPr>
      <w:rFonts w:ascii="Calibri Light" w:hAnsi="Calibri Light" w:cs="Times New Roman"/>
      <w:color w:val="323E4F"/>
    </w:rPr>
  </w:style>
  <w:style w:type="character" w:customStyle="1" w:styleId="Ttulo6Car">
    <w:name w:val="Título 6 Car"/>
    <w:basedOn w:val="Fuentedeprrafopredeter"/>
    <w:link w:val="Ttulo6"/>
    <w:locked/>
    <w:rsid w:val="00925179"/>
    <w:rPr>
      <w:rFonts w:ascii="Calibri Light" w:hAnsi="Calibri Light" w:cs="Times New Roman"/>
      <w:i/>
      <w:iCs/>
      <w:color w:val="323E4F"/>
    </w:rPr>
  </w:style>
  <w:style w:type="character" w:customStyle="1" w:styleId="Ttulo7Car">
    <w:name w:val="Título 7 Car"/>
    <w:basedOn w:val="Fuentedeprrafopredeter"/>
    <w:link w:val="Ttulo7"/>
    <w:locked/>
    <w:rsid w:val="00925179"/>
    <w:rPr>
      <w:rFonts w:ascii="Calibri Light" w:hAnsi="Calibri Light" w:cs="Times New Roman"/>
      <w:i/>
      <w:iCs/>
      <w:color w:val="404040"/>
    </w:rPr>
  </w:style>
  <w:style w:type="character" w:customStyle="1" w:styleId="Ttulo8Car">
    <w:name w:val="Título 8 Car"/>
    <w:basedOn w:val="Fuentedeprrafopredeter"/>
    <w:link w:val="Ttulo8"/>
    <w:locked/>
    <w:rsid w:val="00925179"/>
    <w:rPr>
      <w:rFonts w:ascii="Calibri Light" w:hAnsi="Calibri Light" w:cs="Times New Roman"/>
      <w:color w:val="404040"/>
      <w:sz w:val="20"/>
      <w:szCs w:val="20"/>
    </w:rPr>
  </w:style>
  <w:style w:type="character" w:customStyle="1" w:styleId="Ttulo9Car">
    <w:name w:val="Título 9 Car"/>
    <w:aliases w:val="Citaciones Car"/>
    <w:basedOn w:val="Fuentedeprrafopredeter"/>
    <w:link w:val="Ttulo9"/>
    <w:locked/>
    <w:rsid w:val="00925179"/>
    <w:rPr>
      <w:rFonts w:ascii="Calibri Light" w:hAnsi="Calibri Light" w:cs="Times New Roman"/>
      <w:i/>
      <w:iCs/>
      <w:color w:val="404040"/>
      <w:sz w:val="20"/>
      <w:szCs w:val="20"/>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17567E"/>
    <w:pPr>
      <w:ind w:left="720"/>
      <w:contextualSpacing/>
    </w:p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0636F8"/>
    <w:rPr>
      <w:rFonts w:cs="Times New Roman"/>
    </w:rPr>
  </w:style>
  <w:style w:type="table" w:styleId="Tablaconcuadrcula">
    <w:name w:val="Table Grid"/>
    <w:basedOn w:val="Tablanormal"/>
    <w:uiPriority w:val="59"/>
    <w:rsid w:val="00483B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3B86"/>
    <w:pPr>
      <w:autoSpaceDE w:val="0"/>
      <w:autoSpaceDN w:val="0"/>
      <w:adjustRightInd w:val="0"/>
    </w:pPr>
    <w:rPr>
      <w:rFonts w:ascii="ITC Avant Garde" w:hAnsi="ITC Avant Garde" w:cs="ITC Avant Garde"/>
      <w:color w:val="000000"/>
      <w:sz w:val="24"/>
      <w:szCs w:val="24"/>
      <w:lang w:eastAsia="en-US"/>
    </w:rPr>
  </w:style>
  <w:style w:type="paragraph" w:styleId="Textocomentario">
    <w:name w:val="annotation text"/>
    <w:basedOn w:val="Normal"/>
    <w:link w:val="TextocomentarioCar"/>
    <w:uiPriority w:val="99"/>
    <w:rsid w:val="000202F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locked/>
    <w:rsid w:val="000202F2"/>
    <w:rPr>
      <w:rFonts w:ascii="Times New Roman" w:hAnsi="Times New Roman" w:cs="Times New Roman"/>
      <w:sz w:val="20"/>
      <w:szCs w:val="20"/>
      <w:lang w:val="es-ES" w:eastAsia="es-ES"/>
    </w:rPr>
  </w:style>
  <w:style w:type="character" w:styleId="Refdecomentario">
    <w:name w:val="annotation reference"/>
    <w:basedOn w:val="Fuentedeprrafopredeter"/>
    <w:rsid w:val="000202F2"/>
    <w:rPr>
      <w:rFonts w:cs="Times New Roman"/>
      <w:sz w:val="16"/>
      <w:szCs w:val="16"/>
    </w:rPr>
  </w:style>
  <w:style w:type="paragraph" w:styleId="Textodeglobo">
    <w:name w:val="Balloon Text"/>
    <w:basedOn w:val="Normal"/>
    <w:link w:val="TextodegloboCar"/>
    <w:rsid w:val="000202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locked/>
    <w:rsid w:val="000202F2"/>
    <w:rPr>
      <w:rFonts w:ascii="Segoe UI" w:hAnsi="Segoe UI" w:cs="Segoe UI"/>
      <w:sz w:val="18"/>
      <w:szCs w:val="18"/>
    </w:rPr>
  </w:style>
  <w:style w:type="paragraph" w:styleId="Asuntodelcomentario">
    <w:name w:val="annotation subject"/>
    <w:basedOn w:val="Textocomentario"/>
    <w:next w:val="Textocomentario"/>
    <w:link w:val="AsuntodelcomentarioCar"/>
    <w:rsid w:val="00226F13"/>
    <w:pPr>
      <w:spacing w:after="16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locked/>
    <w:rsid w:val="00226F13"/>
    <w:rPr>
      <w:rFonts w:ascii="Times New Roman" w:hAnsi="Times New Roman" w:cs="Times New Roman"/>
      <w:b/>
      <w:bCs/>
      <w:sz w:val="20"/>
      <w:szCs w:val="20"/>
      <w:lang w:val="es-ES" w:eastAsia="es-ES"/>
    </w:rPr>
  </w:style>
  <w:style w:type="paragraph" w:customStyle="1" w:styleId="Titulo1">
    <w:name w:val="Titulo 1"/>
    <w:basedOn w:val="Normal"/>
    <w:qFormat/>
    <w:rsid w:val="00925179"/>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customStyle="1" w:styleId="ROMANOS">
    <w:name w:val="ROMANOS"/>
    <w:basedOn w:val="Normal"/>
    <w:link w:val="ROMANOSCar"/>
    <w:rsid w:val="00925179"/>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925179"/>
    <w:rPr>
      <w:rFonts w:ascii="Arial" w:hAnsi="Arial"/>
      <w:sz w:val="18"/>
      <w:lang w:val="es-ES" w:eastAsia="es-ES"/>
    </w:rPr>
  </w:style>
  <w:style w:type="paragraph" w:customStyle="1" w:styleId="ANOTACION">
    <w:name w:val="ANOTACION"/>
    <w:basedOn w:val="Normal"/>
    <w:link w:val="ANOTACIONCar"/>
    <w:rsid w:val="00925179"/>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925179"/>
    <w:rPr>
      <w:rFonts w:ascii="Times New Roman" w:hAnsi="Times New Roman"/>
      <w:b/>
      <w:sz w:val="20"/>
      <w:lang w:val="es-ES_tradnl"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qFormat/>
    <w:rsid w:val="00925179"/>
    <w:rPr>
      <w:rFonts w:cs="Times New Roman"/>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2,fn,FA Fu"/>
    <w:basedOn w:val="Normal"/>
    <w:link w:val="TextonotapieCar"/>
    <w:uiPriority w:val="99"/>
    <w:qFormat/>
    <w:rsid w:val="00925179"/>
    <w:pPr>
      <w:spacing w:after="0" w:line="240" w:lineRule="auto"/>
    </w:pPr>
    <w:rPr>
      <w:rFonts w:ascii="Arial" w:eastAsia="Times New Roman" w:hAnsi="Arial"/>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uiPriority w:val="99"/>
    <w:locked/>
    <w:rsid w:val="00925179"/>
    <w:rPr>
      <w:rFonts w:ascii="Arial" w:hAnsi="Arial" w:cs="Times New Roman"/>
      <w:sz w:val="20"/>
      <w:szCs w:val="20"/>
      <w:lang w:val="es-ES" w:eastAsia="es-ES"/>
    </w:rPr>
  </w:style>
  <w:style w:type="paragraph" w:customStyle="1" w:styleId="Texto">
    <w:name w:val="Texto"/>
    <w:basedOn w:val="Normal"/>
    <w:link w:val="TextoCar"/>
    <w:uiPriority w:val="99"/>
    <w:rsid w:val="00925179"/>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925179"/>
    <w:rPr>
      <w:rFonts w:ascii="Arial" w:hAnsi="Arial"/>
      <w:sz w:val="20"/>
      <w:lang w:val="es-ES" w:eastAsia="es-ES"/>
    </w:rPr>
  </w:style>
  <w:style w:type="paragraph" w:customStyle="1" w:styleId="Titulo2">
    <w:name w:val="Titulo 2"/>
    <w:basedOn w:val="Texto"/>
    <w:uiPriority w:val="99"/>
    <w:rsid w:val="00925179"/>
    <w:pPr>
      <w:pBdr>
        <w:top w:val="double" w:sz="6" w:space="1" w:color="auto"/>
      </w:pBdr>
      <w:spacing w:line="240" w:lineRule="auto"/>
      <w:ind w:firstLine="0"/>
      <w:outlineLvl w:val="1"/>
    </w:pPr>
    <w:rPr>
      <w:lang w:val="es-MX"/>
    </w:rPr>
  </w:style>
  <w:style w:type="character" w:customStyle="1" w:styleId="apple-converted-space">
    <w:name w:val="apple-converted-space"/>
    <w:basedOn w:val="Fuentedeprrafopredeter"/>
    <w:rsid w:val="00925179"/>
    <w:rPr>
      <w:rFonts w:cs="Times New Roman"/>
    </w:rPr>
  </w:style>
  <w:style w:type="paragraph" w:customStyle="1" w:styleId="tt">
    <w:name w:val="tt"/>
    <w:basedOn w:val="Texto"/>
    <w:uiPriority w:val="99"/>
    <w:rsid w:val="00925179"/>
    <w:pPr>
      <w:tabs>
        <w:tab w:val="left" w:pos="1320"/>
        <w:tab w:val="left" w:pos="1629"/>
      </w:tabs>
      <w:ind w:left="1647" w:hanging="1440"/>
    </w:pPr>
    <w:rPr>
      <w:lang w:val="es-ES_tradnl"/>
    </w:rPr>
  </w:style>
  <w:style w:type="paragraph" w:styleId="Textoindependiente">
    <w:name w:val="Body Text"/>
    <w:basedOn w:val="Normal"/>
    <w:link w:val="TextoindependienteCar"/>
    <w:rsid w:val="0092517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locked/>
    <w:rsid w:val="00925179"/>
    <w:rPr>
      <w:rFonts w:ascii="Arial" w:hAnsi="Arial" w:cs="Times New Roman"/>
      <w:sz w:val="20"/>
      <w:szCs w:val="20"/>
    </w:rPr>
  </w:style>
  <w:style w:type="paragraph" w:styleId="NormalWeb">
    <w:name w:val="Normal (Web)"/>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locked/>
    <w:rsid w:val="00925179"/>
    <w:rPr>
      <w:rFonts w:ascii="Times New Roman" w:hAnsi="Times New Roman" w:cs="Times New Roman"/>
      <w:sz w:val="24"/>
      <w:szCs w:val="24"/>
      <w:lang w:val="es-ES" w:eastAsia="es-ES"/>
    </w:rPr>
  </w:style>
  <w:style w:type="paragraph" w:styleId="Piedepgina">
    <w:name w:val="footer"/>
    <w:basedOn w:val="Normal"/>
    <w:link w:val="PiedepginaCar"/>
    <w:uiPriority w:val="99"/>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locked/>
    <w:rsid w:val="00925179"/>
    <w:rPr>
      <w:rFonts w:ascii="Times New Roman" w:hAnsi="Times New Roman" w:cs="Times New Roman"/>
      <w:sz w:val="24"/>
      <w:szCs w:val="24"/>
      <w:lang w:val="es-ES" w:eastAsia="es-ES"/>
    </w:rPr>
  </w:style>
  <w:style w:type="character" w:styleId="Hipervnculo">
    <w:name w:val="Hyperlink"/>
    <w:basedOn w:val="Fuentedeprrafopredeter"/>
    <w:uiPriority w:val="99"/>
    <w:rsid w:val="00925179"/>
    <w:rPr>
      <w:rFonts w:cs="Times New Roman"/>
      <w:color w:val="0563C1"/>
      <w:u w:val="single"/>
    </w:rPr>
  </w:style>
  <w:style w:type="paragraph" w:customStyle="1" w:styleId="Emphasised">
    <w:name w:val="Emphasised"/>
    <w:basedOn w:val="Normal"/>
    <w:qFormat/>
    <w:rsid w:val="0092517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nextrow">
    <w:name w:val="nextrow"/>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925179"/>
    <w:pPr>
      <w:spacing w:line="276" w:lineRule="auto"/>
      <w:outlineLvl w:val="9"/>
    </w:pPr>
    <w:rPr>
      <w:lang w:val="es-MX" w:eastAsia="es-MX"/>
    </w:rPr>
  </w:style>
  <w:style w:type="paragraph" w:styleId="TDC2">
    <w:name w:val="toc 2"/>
    <w:basedOn w:val="Normal"/>
    <w:next w:val="Normal"/>
    <w:autoRedefine/>
    <w:uiPriority w:val="39"/>
    <w:rsid w:val="00925179"/>
    <w:pPr>
      <w:tabs>
        <w:tab w:val="left" w:pos="880"/>
        <w:tab w:val="right" w:leader="dot" w:pos="8494"/>
      </w:tabs>
      <w:spacing w:after="100" w:line="276" w:lineRule="auto"/>
      <w:ind w:left="240"/>
    </w:pPr>
    <w:rPr>
      <w:rFonts w:ascii="ITC Avant Garde" w:eastAsia="Times New Roman" w:hAnsi="ITC Avant Garde"/>
      <w:lang w:val="es-ES" w:eastAsia="es-ES"/>
    </w:rPr>
  </w:style>
  <w:style w:type="paragraph" w:styleId="Ttulo">
    <w:name w:val="Title"/>
    <w:basedOn w:val="Normal"/>
    <w:next w:val="Normal"/>
    <w:link w:val="TtuloCar"/>
    <w:uiPriority w:val="99"/>
    <w:qFormat/>
    <w:rsid w:val="00925179"/>
    <w:pPr>
      <w:pBdr>
        <w:bottom w:val="single" w:sz="8" w:space="4" w:color="5B9BD5"/>
      </w:pBdr>
      <w:spacing w:after="300" w:line="240" w:lineRule="auto"/>
      <w:contextualSpacing/>
    </w:pPr>
    <w:rPr>
      <w:rFonts w:ascii="ITC Avant Garde" w:eastAsia="Times New Roman" w:hAnsi="ITC Avant Garde"/>
      <w:b/>
      <w:spacing w:val="5"/>
      <w:kern w:val="28"/>
      <w:szCs w:val="52"/>
      <w:lang w:val="es-ES" w:eastAsia="es-ES"/>
    </w:rPr>
  </w:style>
  <w:style w:type="character" w:customStyle="1" w:styleId="TtuloCar">
    <w:name w:val="Título Car"/>
    <w:basedOn w:val="Fuentedeprrafopredeter"/>
    <w:link w:val="Ttulo"/>
    <w:uiPriority w:val="99"/>
    <w:locked/>
    <w:rsid w:val="00925179"/>
    <w:rPr>
      <w:rFonts w:ascii="ITC Avant Garde" w:hAnsi="ITC Avant Garde" w:cs="Times New Roman"/>
      <w:b/>
      <w:spacing w:val="5"/>
      <w:kern w:val="28"/>
      <w:sz w:val="52"/>
      <w:szCs w:val="52"/>
      <w:lang w:val="es-ES" w:eastAsia="es-ES"/>
    </w:rPr>
  </w:style>
  <w:style w:type="paragraph" w:styleId="TDC1">
    <w:name w:val="toc 1"/>
    <w:basedOn w:val="Normal"/>
    <w:next w:val="Normal"/>
    <w:autoRedefine/>
    <w:uiPriority w:val="39"/>
    <w:rsid w:val="00925179"/>
    <w:pPr>
      <w:spacing w:after="100" w:line="240" w:lineRule="auto"/>
    </w:pPr>
    <w:rPr>
      <w:rFonts w:ascii="Times New Roman" w:eastAsia="Times New Roman" w:hAnsi="Times New Roman"/>
      <w:sz w:val="24"/>
      <w:szCs w:val="24"/>
      <w:lang w:val="es-ES" w:eastAsia="es-ES"/>
    </w:rPr>
  </w:style>
  <w:style w:type="paragraph" w:styleId="Descripcin">
    <w:name w:val="caption"/>
    <w:aliases w:val="Resp caption"/>
    <w:basedOn w:val="Normal"/>
    <w:next w:val="Normal"/>
    <w:uiPriority w:val="35"/>
    <w:qFormat/>
    <w:rsid w:val="00925179"/>
    <w:pPr>
      <w:spacing w:after="200" w:line="240" w:lineRule="auto"/>
    </w:pPr>
    <w:rPr>
      <w:rFonts w:eastAsia="Times New Roman"/>
      <w:i/>
      <w:iCs/>
      <w:color w:val="44546A"/>
      <w:sz w:val="18"/>
      <w:szCs w:val="18"/>
    </w:rPr>
  </w:style>
  <w:style w:type="paragraph" w:styleId="Subttulo">
    <w:name w:val="Subtitle"/>
    <w:basedOn w:val="Normal"/>
    <w:next w:val="Normal"/>
    <w:link w:val="SubttuloCar"/>
    <w:uiPriority w:val="99"/>
    <w:qFormat/>
    <w:rsid w:val="00925179"/>
    <w:pPr>
      <w:numPr>
        <w:ilvl w:val="1"/>
      </w:numPr>
    </w:pPr>
    <w:rPr>
      <w:rFonts w:eastAsia="Times New Roman"/>
      <w:color w:val="5A5A5A"/>
      <w:spacing w:val="10"/>
    </w:rPr>
  </w:style>
  <w:style w:type="character" w:customStyle="1" w:styleId="SubttuloCar">
    <w:name w:val="Subtítulo Car"/>
    <w:basedOn w:val="Fuentedeprrafopredeter"/>
    <w:link w:val="Subttulo"/>
    <w:uiPriority w:val="99"/>
    <w:locked/>
    <w:rsid w:val="00925179"/>
    <w:rPr>
      <w:rFonts w:eastAsia="Times New Roman" w:cs="Times New Roman"/>
      <w:color w:val="5A5A5A"/>
      <w:spacing w:val="10"/>
    </w:rPr>
  </w:style>
  <w:style w:type="character" w:styleId="Textoennegrita">
    <w:name w:val="Strong"/>
    <w:basedOn w:val="Fuentedeprrafopredeter"/>
    <w:qFormat/>
    <w:rsid w:val="00925179"/>
    <w:rPr>
      <w:rFonts w:cs="Times New Roman"/>
      <w:b/>
      <w:bCs/>
      <w:color w:val="000000"/>
    </w:rPr>
  </w:style>
  <w:style w:type="character" w:styleId="nfasis">
    <w:name w:val="Emphasis"/>
    <w:aliases w:val="Título 4 (1.1.1)"/>
    <w:basedOn w:val="Fuentedeprrafopredeter"/>
    <w:uiPriority w:val="20"/>
    <w:qFormat/>
    <w:rsid w:val="00925179"/>
    <w:rPr>
      <w:rFonts w:cs="Times New Roman"/>
      <w:i/>
      <w:iCs/>
      <w:color w:val="auto"/>
    </w:rPr>
  </w:style>
  <w:style w:type="paragraph" w:styleId="Sinespaciado">
    <w:name w:val="No Spacing"/>
    <w:uiPriority w:val="1"/>
    <w:qFormat/>
    <w:rsid w:val="00925179"/>
    <w:rPr>
      <w:rFonts w:eastAsia="Times New Roman"/>
      <w:lang w:eastAsia="en-US"/>
    </w:rPr>
  </w:style>
  <w:style w:type="paragraph" w:styleId="Cita">
    <w:name w:val="Quote"/>
    <w:aliases w:val="Bullets cita"/>
    <w:basedOn w:val="Normal"/>
    <w:next w:val="Normal"/>
    <w:link w:val="CitaCar"/>
    <w:uiPriority w:val="29"/>
    <w:qFormat/>
    <w:rsid w:val="00925179"/>
    <w:pPr>
      <w:spacing w:before="160"/>
      <w:ind w:left="720" w:right="720"/>
    </w:pPr>
    <w:rPr>
      <w:rFonts w:eastAsia="Times New Roman"/>
      <w:i/>
      <w:iCs/>
      <w:color w:val="000000"/>
    </w:rPr>
  </w:style>
  <w:style w:type="character" w:customStyle="1" w:styleId="CitaCar">
    <w:name w:val="Cita Car"/>
    <w:aliases w:val="Bullets cita Car"/>
    <w:basedOn w:val="Fuentedeprrafopredeter"/>
    <w:link w:val="Cita"/>
    <w:uiPriority w:val="29"/>
    <w:locked/>
    <w:rsid w:val="00925179"/>
    <w:rPr>
      <w:rFonts w:eastAsia="Times New Roman" w:cs="Times New Roman"/>
      <w:i/>
      <w:iCs/>
      <w:color w:val="000000"/>
    </w:rPr>
  </w:style>
  <w:style w:type="paragraph" w:styleId="Citadestacada">
    <w:name w:val="Intense Quote"/>
    <w:basedOn w:val="Normal"/>
    <w:next w:val="Normal"/>
    <w:link w:val="CitadestacadaCar"/>
    <w:uiPriority w:val="99"/>
    <w:qFormat/>
    <w:rsid w:val="00925179"/>
    <w:pPr>
      <w:pBdr>
        <w:top w:val="single" w:sz="24" w:space="1" w:color="F2F2F2"/>
        <w:bottom w:val="single" w:sz="24" w:space="1" w:color="F2F2F2"/>
      </w:pBdr>
      <w:shd w:val="clear" w:color="auto" w:fill="F2F2F2"/>
      <w:spacing w:before="240" w:after="240"/>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locked/>
    <w:rsid w:val="00925179"/>
    <w:rPr>
      <w:rFonts w:eastAsia="Times New Roman" w:cs="Times New Roman"/>
      <w:color w:val="000000"/>
      <w:shd w:val="clear" w:color="auto" w:fill="F2F2F2"/>
    </w:rPr>
  </w:style>
  <w:style w:type="character" w:styleId="nfasissutil">
    <w:name w:val="Subtle Emphasis"/>
    <w:basedOn w:val="Fuentedeprrafopredeter"/>
    <w:uiPriority w:val="19"/>
    <w:qFormat/>
    <w:rsid w:val="00925179"/>
    <w:rPr>
      <w:rFonts w:cs="Times New Roman"/>
      <w:i/>
      <w:iCs/>
      <w:color w:val="404040"/>
    </w:rPr>
  </w:style>
  <w:style w:type="character" w:styleId="nfasisintenso">
    <w:name w:val="Intense Emphasis"/>
    <w:basedOn w:val="Fuentedeprrafopredeter"/>
    <w:uiPriority w:val="99"/>
    <w:qFormat/>
    <w:rsid w:val="00925179"/>
    <w:rPr>
      <w:rFonts w:cs="Times New Roman"/>
      <w:b/>
      <w:bCs/>
      <w:i/>
      <w:iCs/>
      <w:caps/>
    </w:rPr>
  </w:style>
  <w:style w:type="character" w:styleId="Referenciasutil">
    <w:name w:val="Subtle Reference"/>
    <w:basedOn w:val="Fuentedeprrafopredeter"/>
    <w:uiPriority w:val="99"/>
    <w:qFormat/>
    <w:rsid w:val="00925179"/>
    <w:rPr>
      <w:rFonts w:cs="Times New Roman"/>
      <w:smallCaps/>
      <w:color w:val="404040"/>
      <w:u w:val="single" w:color="7F7F7F"/>
    </w:rPr>
  </w:style>
  <w:style w:type="character" w:styleId="Referenciaintensa">
    <w:name w:val="Intense Reference"/>
    <w:basedOn w:val="Fuentedeprrafopredeter"/>
    <w:uiPriority w:val="99"/>
    <w:qFormat/>
    <w:rsid w:val="00925179"/>
    <w:rPr>
      <w:rFonts w:cs="Times New Roman"/>
      <w:b/>
      <w:bCs/>
      <w:smallCaps/>
      <w:u w:val="single"/>
    </w:rPr>
  </w:style>
  <w:style w:type="character" w:styleId="Ttulodellibro">
    <w:name w:val="Book Title"/>
    <w:basedOn w:val="Fuentedeprrafopredeter"/>
    <w:uiPriority w:val="99"/>
    <w:qFormat/>
    <w:rsid w:val="00925179"/>
    <w:rPr>
      <w:rFonts w:cs="Times New Roman"/>
      <w:smallCaps/>
      <w:spacing w:val="5"/>
    </w:rPr>
  </w:style>
  <w:style w:type="character" w:customStyle="1" w:styleId="notranslate">
    <w:name w:val="notranslate"/>
    <w:basedOn w:val="Fuentedeprrafopredeter"/>
    <w:uiPriority w:val="99"/>
    <w:rsid w:val="00925179"/>
    <w:rPr>
      <w:rFonts w:cs="Times New Roman"/>
    </w:rPr>
  </w:style>
  <w:style w:type="character" w:customStyle="1" w:styleId="HTMLconformatoprevioCar">
    <w:name w:val="HTML con formato previo Car"/>
    <w:basedOn w:val="Fuentedeprrafopredeter"/>
    <w:link w:val="HTMLconformatoprevio"/>
    <w:uiPriority w:val="99"/>
    <w:semiHidden/>
    <w:locked/>
    <w:rsid w:val="0092517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92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1">
    <w:name w:val="HTML Preformatted Char1"/>
    <w:basedOn w:val="Fuentedeprrafopredeter"/>
    <w:uiPriority w:val="99"/>
    <w:semiHidden/>
    <w:rsid w:val="004A1630"/>
    <w:rPr>
      <w:rFonts w:ascii="Courier New" w:hAnsi="Courier New" w:cs="Courier New"/>
      <w:sz w:val="20"/>
      <w:szCs w:val="20"/>
      <w:lang w:eastAsia="en-US"/>
    </w:rPr>
  </w:style>
  <w:style w:type="paragraph" w:customStyle="1" w:styleId="TAL">
    <w:name w:val="TAL"/>
    <w:basedOn w:val="Normal"/>
    <w:link w:val="TALChar"/>
    <w:uiPriority w:val="99"/>
    <w:rsid w:val="0092517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925179"/>
    <w:rPr>
      <w:rFonts w:ascii="Arial" w:eastAsia="Batang" w:hAnsi="Arial"/>
      <w:sz w:val="20"/>
      <w:lang w:val="en-GB"/>
    </w:rPr>
  </w:style>
  <w:style w:type="paragraph" w:customStyle="1" w:styleId="Ejemplo">
    <w:name w:val="Ejemplo"/>
    <w:basedOn w:val="Normal"/>
    <w:link w:val="EjemploChar"/>
    <w:uiPriority w:val="99"/>
    <w:rsid w:val="00925179"/>
    <w:pPr>
      <w:spacing w:before="240" w:after="240" w:line="276" w:lineRule="auto"/>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925179"/>
    <w:rPr>
      <w:rFonts w:ascii="ITC Avant Garde" w:hAnsi="ITC Avant Garde" w:cs="Arial"/>
      <w:lang w:eastAsia="es-MX"/>
    </w:rPr>
  </w:style>
  <w:style w:type="paragraph" w:customStyle="1" w:styleId="Style1">
    <w:name w:val="Style1"/>
    <w:basedOn w:val="Prrafodelista"/>
    <w:link w:val="Style1Char"/>
    <w:uiPriority w:val="99"/>
    <w:rsid w:val="00925179"/>
    <w:pPr>
      <w:keepNext/>
      <w:spacing w:before="240" w:after="240" w:line="276" w:lineRule="auto"/>
      <w:ind w:left="0"/>
      <w:jc w:val="both"/>
      <w:outlineLvl w:val="0"/>
    </w:pPr>
    <w:rPr>
      <w:rFonts w:ascii="ITC Avant Garde" w:eastAsia="Times New Roman" w:hAnsi="ITC Avant Garde" w:cs="Arial"/>
      <w:b/>
      <w:lang w:val="es-ES" w:eastAsia="es-ES"/>
    </w:rPr>
  </w:style>
  <w:style w:type="character" w:customStyle="1" w:styleId="Style1Char">
    <w:name w:val="Style1 Char"/>
    <w:basedOn w:val="PrrafodelistaCar"/>
    <w:link w:val="Style1"/>
    <w:uiPriority w:val="99"/>
    <w:locked/>
    <w:rsid w:val="00925179"/>
    <w:rPr>
      <w:rFonts w:ascii="ITC Avant Garde" w:hAnsi="ITC Avant Garde" w:cs="Arial"/>
      <w:b/>
      <w:lang w:val="es-ES" w:eastAsia="es-ES"/>
    </w:rPr>
  </w:style>
  <w:style w:type="paragraph" w:customStyle="1" w:styleId="Style2">
    <w:name w:val="Style2"/>
    <w:basedOn w:val="Prrafodelista"/>
    <w:uiPriority w:val="99"/>
    <w:rsid w:val="00925179"/>
    <w:pPr>
      <w:keepNext/>
      <w:spacing w:before="240" w:after="240" w:line="276" w:lineRule="auto"/>
      <w:ind w:left="0"/>
      <w:jc w:val="both"/>
      <w:outlineLvl w:val="0"/>
    </w:pPr>
    <w:rPr>
      <w:rFonts w:ascii="ITC Avant Garde" w:eastAsia="Times New Roman" w:hAnsi="ITC Avant Garde" w:cs="Arial"/>
      <w:b/>
      <w:lang w:eastAsia="es-MX"/>
    </w:rPr>
  </w:style>
  <w:style w:type="paragraph" w:customStyle="1" w:styleId="Style3">
    <w:name w:val="Style3"/>
    <w:basedOn w:val="Prrafodelista"/>
    <w:link w:val="Style3Char"/>
    <w:uiPriority w:val="99"/>
    <w:rsid w:val="00925179"/>
    <w:pPr>
      <w:keepNext/>
      <w:numPr>
        <w:numId w:val="6"/>
      </w:numPr>
      <w:spacing w:before="120" w:after="360" w:line="276" w:lineRule="auto"/>
      <w:ind w:left="357" w:hanging="357"/>
      <w:jc w:val="both"/>
      <w:outlineLvl w:val="0"/>
    </w:pPr>
    <w:rPr>
      <w:rFonts w:ascii="ITC Avant Garde" w:eastAsia="Times New Roman" w:hAnsi="ITC Avant Garde" w:cs="Arial"/>
      <w:b/>
      <w:sz w:val="30"/>
      <w:lang w:eastAsia="es-MX"/>
    </w:rPr>
  </w:style>
  <w:style w:type="character" w:customStyle="1" w:styleId="Style3Char">
    <w:name w:val="Style3 Char"/>
    <w:basedOn w:val="PrrafodelistaCar"/>
    <w:link w:val="Style3"/>
    <w:uiPriority w:val="99"/>
    <w:locked/>
    <w:rsid w:val="00925179"/>
    <w:rPr>
      <w:rFonts w:ascii="ITC Avant Garde" w:eastAsia="Times New Roman" w:hAnsi="ITC Avant Garde" w:cs="Arial"/>
      <w:b/>
      <w:sz w:val="30"/>
    </w:rPr>
  </w:style>
  <w:style w:type="paragraph" w:customStyle="1" w:styleId="TAH">
    <w:name w:val="TAH"/>
    <w:basedOn w:val="Normal"/>
    <w:uiPriority w:val="99"/>
    <w:rsid w:val="00AE02A4"/>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AE02A4"/>
    <w:pPr>
      <w:numPr>
        <w:numId w:val="8"/>
      </w:numPr>
      <w:spacing w:after="200" w:line="276" w:lineRule="auto"/>
      <w:ind w:left="0" w:firstLine="0"/>
      <w:jc w:val="both"/>
    </w:pPr>
    <w:rPr>
      <w:rFonts w:ascii="ITC Avant Garde" w:eastAsia="Times New Roman" w:hAnsi="ITC Avant Garde"/>
      <w:b/>
      <w:sz w:val="20"/>
      <w:szCs w:val="20"/>
    </w:rPr>
  </w:style>
  <w:style w:type="paragraph" w:styleId="Textonotaalfinal">
    <w:name w:val="endnote text"/>
    <w:basedOn w:val="Normal"/>
    <w:link w:val="TextonotaalfinalCar"/>
    <w:uiPriority w:val="99"/>
    <w:semiHidden/>
    <w:unhideWhenUsed/>
    <w:rsid w:val="00680C2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0C27"/>
    <w:rPr>
      <w:sz w:val="20"/>
      <w:szCs w:val="20"/>
      <w:lang w:eastAsia="en-US"/>
    </w:rPr>
  </w:style>
  <w:style w:type="character" w:styleId="Refdenotaalfinal">
    <w:name w:val="endnote reference"/>
    <w:basedOn w:val="Fuentedeprrafopredeter"/>
    <w:uiPriority w:val="99"/>
    <w:semiHidden/>
    <w:unhideWhenUsed/>
    <w:rsid w:val="00680C27"/>
    <w:rPr>
      <w:vertAlign w:val="superscript"/>
    </w:rPr>
  </w:style>
  <w:style w:type="paragraph" w:styleId="Revisin">
    <w:name w:val="Revision"/>
    <w:hidden/>
    <w:uiPriority w:val="99"/>
    <w:semiHidden/>
    <w:rsid w:val="007C2DD1"/>
    <w:rPr>
      <w:lang w:eastAsia="en-US"/>
    </w:rPr>
  </w:style>
  <w:style w:type="paragraph" w:customStyle="1" w:styleId="estilo30">
    <w:name w:val="estilo30"/>
    <w:basedOn w:val="Normal"/>
    <w:rsid w:val="00226332"/>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semiHidden/>
    <w:unhideWhenUsed/>
    <w:rsid w:val="00226332"/>
  </w:style>
  <w:style w:type="character" w:styleId="Nmerodepgina">
    <w:name w:val="page number"/>
    <w:basedOn w:val="Fuentedeprrafopredeter"/>
    <w:rsid w:val="00226332"/>
  </w:style>
  <w:style w:type="paragraph" w:styleId="Sangra2detindependiente">
    <w:name w:val="Body Text Indent 2"/>
    <w:basedOn w:val="Normal"/>
    <w:link w:val="Sangra2detindependienteCar"/>
    <w:rsid w:val="0022633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226332"/>
    <w:rPr>
      <w:rFonts w:ascii="Arial" w:eastAsia="Times New Roman" w:hAnsi="Arial"/>
      <w:szCs w:val="20"/>
      <w:lang w:eastAsia="en-US"/>
    </w:rPr>
  </w:style>
  <w:style w:type="paragraph" w:styleId="Textoindependiente3">
    <w:name w:val="Body Text 3"/>
    <w:basedOn w:val="Normal"/>
    <w:link w:val="Textoindependiente3Car"/>
    <w:rsid w:val="00226332"/>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226332"/>
    <w:rPr>
      <w:rFonts w:ascii="Arial" w:eastAsia="Times New Roman" w:hAnsi="Arial" w:cs="Arial"/>
      <w:szCs w:val="24"/>
      <w:lang w:eastAsia="es-ES"/>
    </w:rPr>
  </w:style>
  <w:style w:type="paragraph" w:styleId="Sangradetextonormal">
    <w:name w:val="Body Text Indent"/>
    <w:basedOn w:val="Normal"/>
    <w:link w:val="SangradetextonormalCar"/>
    <w:rsid w:val="00226332"/>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226332"/>
    <w:rPr>
      <w:rFonts w:ascii="Arial" w:eastAsia="Times New Roman" w:hAnsi="Arial" w:cs="Arial"/>
      <w:b/>
      <w:szCs w:val="24"/>
      <w:lang w:eastAsia="es-ES"/>
    </w:rPr>
  </w:style>
  <w:style w:type="paragraph" w:styleId="Textoindependiente2">
    <w:name w:val="Body Text 2"/>
    <w:basedOn w:val="Normal"/>
    <w:link w:val="Textoindependiente2Car"/>
    <w:rsid w:val="00226332"/>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226332"/>
    <w:rPr>
      <w:rFonts w:ascii="Arial" w:eastAsia="Times New Roman" w:hAnsi="Arial"/>
      <w:szCs w:val="20"/>
      <w:lang w:eastAsia="es-ES"/>
    </w:rPr>
  </w:style>
  <w:style w:type="paragraph" w:styleId="Sangra3detindependiente">
    <w:name w:val="Body Text Indent 3"/>
    <w:basedOn w:val="Normal"/>
    <w:link w:val="Sangra3detindependienteCar"/>
    <w:rsid w:val="0022633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226332"/>
    <w:rPr>
      <w:rFonts w:ascii="Arial" w:eastAsia="Times New Roman" w:hAnsi="Arial"/>
      <w:i/>
      <w:sz w:val="20"/>
      <w:szCs w:val="20"/>
      <w:lang w:eastAsia="es-ES"/>
    </w:rPr>
  </w:style>
  <w:style w:type="paragraph" w:customStyle="1" w:styleId="TEXT">
    <w:name w:val="TEXT"/>
    <w:basedOn w:val="Normal"/>
    <w:rsid w:val="00226332"/>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226332"/>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texto0">
    <w:name w:val="texto"/>
    <w:basedOn w:val="Normal"/>
    <w:rsid w:val="00226332"/>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226332"/>
  </w:style>
  <w:style w:type="paragraph" w:customStyle="1" w:styleId="call">
    <w:name w:val="call"/>
    <w:basedOn w:val="Normal"/>
    <w:next w:val="Normal"/>
    <w:rsid w:val="00226332"/>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226332"/>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226332"/>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226332"/>
    <w:rPr>
      <w:rFonts w:ascii="Courier New" w:eastAsia="Times New Roman" w:hAnsi="Courier New" w:cs="Courier New"/>
      <w:sz w:val="20"/>
      <w:szCs w:val="20"/>
      <w:lang w:eastAsia="es-ES"/>
    </w:rPr>
  </w:style>
  <w:style w:type="character" w:customStyle="1" w:styleId="estilo71">
    <w:name w:val="estilo71"/>
    <w:rsid w:val="00226332"/>
    <w:rPr>
      <w:rFonts w:ascii="Arial" w:hAnsi="Arial" w:cs="Arial" w:hint="default"/>
      <w:sz w:val="15"/>
      <w:szCs w:val="15"/>
    </w:rPr>
  </w:style>
  <w:style w:type="paragraph" w:customStyle="1" w:styleId="contenidos">
    <w:name w:val="contenidos"/>
    <w:basedOn w:val="Normal"/>
    <w:rsid w:val="00226332"/>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226332"/>
    <w:rPr>
      <w:rFonts w:ascii="Arial" w:hAnsi="Arial" w:cs="Arial" w:hint="default"/>
      <w:b/>
      <w:bCs/>
      <w:strike w:val="0"/>
      <w:dstrike w:val="0"/>
      <w:color w:val="8F840D"/>
      <w:sz w:val="24"/>
      <w:szCs w:val="24"/>
      <w:u w:val="none"/>
      <w:effect w:val="none"/>
    </w:rPr>
  </w:style>
  <w:style w:type="character" w:customStyle="1" w:styleId="contenidos1">
    <w:name w:val="contenidos1"/>
    <w:rsid w:val="00226332"/>
    <w:rPr>
      <w:rFonts w:ascii="Verdana" w:hAnsi="Verdana" w:hint="default"/>
      <w:color w:val="000000"/>
      <w:sz w:val="18"/>
      <w:szCs w:val="18"/>
    </w:rPr>
  </w:style>
  <w:style w:type="character" w:customStyle="1" w:styleId="linkconta1">
    <w:name w:val="linkconta1"/>
    <w:rsid w:val="00226332"/>
    <w:rPr>
      <w:rFonts w:ascii="Verdana" w:hAnsi="Verdana" w:hint="default"/>
      <w:sz w:val="18"/>
      <w:szCs w:val="18"/>
    </w:rPr>
  </w:style>
  <w:style w:type="paragraph" w:styleId="Textodebloque">
    <w:name w:val="Block Text"/>
    <w:basedOn w:val="Normal"/>
    <w:rsid w:val="0022633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226332"/>
    <w:rPr>
      <w:color w:val="800080"/>
      <w:u w:val="single"/>
    </w:rPr>
  </w:style>
  <w:style w:type="paragraph" w:styleId="Lista">
    <w:name w:val="List"/>
    <w:basedOn w:val="Normal"/>
    <w:rsid w:val="0022633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22633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22633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2263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2633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226332"/>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226332"/>
    <w:rPr>
      <w:rFonts w:ascii="Times New Roman" w:eastAsia="Times New Roman" w:hAnsi="Times New Roman"/>
      <w:sz w:val="24"/>
      <w:szCs w:val="24"/>
      <w:lang w:val="es-ES" w:eastAsia="es-ES"/>
    </w:rPr>
  </w:style>
  <w:style w:type="paragraph" w:styleId="Listaconvietas2">
    <w:name w:val="List Bullet 2"/>
    <w:basedOn w:val="Normal"/>
    <w:link w:val="Listaconvietas2Car"/>
    <w:uiPriority w:val="99"/>
    <w:qFormat/>
    <w:rsid w:val="00226332"/>
    <w:pPr>
      <w:numPr>
        <w:numId w:val="1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226332"/>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226332"/>
    <w:rPr>
      <w:sz w:val="24"/>
      <w:szCs w:val="24"/>
      <w:lang w:val="es-ES" w:eastAsia="es-MX"/>
    </w:rPr>
  </w:style>
  <w:style w:type="paragraph" w:styleId="Textoindependienteprimerasangra">
    <w:name w:val="Body Text First Indent"/>
    <w:basedOn w:val="Textoindependiente"/>
    <w:link w:val="TextoindependienteprimerasangraCar"/>
    <w:rsid w:val="00226332"/>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2633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26332"/>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226332"/>
    <w:rPr>
      <w:rFonts w:ascii="Times New Roman" w:eastAsia="Times New Roman" w:hAnsi="Times New Roman" w:cs="Arial"/>
      <w:b w:val="0"/>
      <w:sz w:val="24"/>
      <w:szCs w:val="24"/>
      <w:lang w:val="es-ES" w:eastAsia="es-ES"/>
    </w:rPr>
  </w:style>
  <w:style w:type="paragraph" w:styleId="Mapadeldocumento">
    <w:name w:val="Document Map"/>
    <w:basedOn w:val="Normal"/>
    <w:link w:val="MapadeldocumentoCar"/>
    <w:rsid w:val="0022633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226332"/>
    <w:rPr>
      <w:rFonts w:ascii="Tahoma" w:eastAsia="Times New Roman" w:hAnsi="Tahoma" w:cs="Tahoma"/>
      <w:sz w:val="20"/>
      <w:szCs w:val="20"/>
      <w:shd w:val="clear" w:color="auto" w:fill="000080"/>
      <w:lang w:val="es-ES" w:eastAsia="es-ES"/>
    </w:rPr>
  </w:style>
  <w:style w:type="paragraph" w:customStyle="1" w:styleId="CM4">
    <w:name w:val="CM4"/>
    <w:basedOn w:val="Default"/>
    <w:next w:val="Default"/>
    <w:uiPriority w:val="99"/>
    <w:rsid w:val="00226332"/>
    <w:rPr>
      <w:rFonts w:ascii="EUAlbertina" w:eastAsia="Times New Roman" w:hAnsi="EUAlbertina" w:cs="Times New Roman"/>
      <w:color w:val="auto"/>
      <w:lang w:val="es-ES" w:eastAsia="es-ES"/>
    </w:rPr>
  </w:style>
  <w:style w:type="character" w:customStyle="1" w:styleId="eacep1">
    <w:name w:val="eacep1"/>
    <w:rsid w:val="00226332"/>
    <w:rPr>
      <w:color w:val="000000"/>
    </w:rPr>
  </w:style>
  <w:style w:type="paragraph" w:styleId="Listaconvietas">
    <w:name w:val="List Bullet"/>
    <w:aliases w:val="Bullets texto"/>
    <w:basedOn w:val="Normal"/>
    <w:uiPriority w:val="99"/>
    <w:qFormat/>
    <w:rsid w:val="00226332"/>
    <w:pPr>
      <w:numPr>
        <w:numId w:val="15"/>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226332"/>
    <w:pPr>
      <w:keepNext/>
      <w:tabs>
        <w:tab w:val="left" w:pos="2041"/>
      </w:tabs>
      <w:spacing w:after="0" w:line="280" w:lineRule="atLeast"/>
      <w:ind w:left="113" w:right="113"/>
    </w:pPr>
    <w:rPr>
      <w:rFonts w:ascii="Arial" w:eastAsia="Calibri" w:hAnsi="Arial" w:cs="Arial"/>
      <w:bCs/>
      <w:iCs w:val="0"/>
      <w:color w:val="auto"/>
      <w:lang w:val="en-GB"/>
    </w:rPr>
  </w:style>
  <w:style w:type="paragraph" w:customStyle="1" w:styleId="Bordersmall">
    <w:name w:val="Border: small"/>
    <w:basedOn w:val="Normal"/>
    <w:qFormat/>
    <w:rsid w:val="00226332"/>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226332"/>
    <w:pPr>
      <w:numPr>
        <w:numId w:val="13"/>
      </w:numPr>
      <w:spacing w:line="320" w:lineRule="atLeast"/>
      <w:contextualSpacing w:val="0"/>
    </w:pPr>
    <w:rPr>
      <w:rFonts w:ascii="Times New Roman" w:eastAsia="Calibri" w:hAnsi="Times New Roman"/>
      <w:szCs w:val="22"/>
      <w:lang w:val="es-ES" w:eastAsia="en-US"/>
    </w:rPr>
  </w:style>
  <w:style w:type="paragraph" w:customStyle="1" w:styleId="I1">
    <w:name w:val="I1"/>
    <w:basedOn w:val="Listaconvietas"/>
    <w:link w:val="I1Char1"/>
    <w:qFormat/>
    <w:rsid w:val="00226332"/>
    <w:pPr>
      <w:numPr>
        <w:numId w:val="1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226332"/>
    <w:rPr>
      <w:rFonts w:ascii="Times New Roman" w:hAnsi="Times New Roman"/>
      <w:sz w:val="20"/>
      <w:szCs w:val="20"/>
      <w:lang w:val="es-ES" w:eastAsia="es-ES"/>
    </w:rPr>
  </w:style>
  <w:style w:type="paragraph" w:customStyle="1" w:styleId="Tablecells">
    <w:name w:val="Table: cells"/>
    <w:qFormat/>
    <w:rsid w:val="00226332"/>
    <w:pPr>
      <w:spacing w:before="40" w:after="40" w:line="240" w:lineRule="exact"/>
      <w:ind w:right="113"/>
    </w:pPr>
    <w:rPr>
      <w:rFonts w:ascii="Arial" w:hAnsi="Arial"/>
      <w:sz w:val="18"/>
      <w:lang w:val="en-GB" w:eastAsia="en-US"/>
    </w:rPr>
  </w:style>
  <w:style w:type="paragraph" w:customStyle="1" w:styleId="Tableheading">
    <w:name w:val="Table: heading"/>
    <w:basedOn w:val="Tablecells"/>
    <w:next w:val="Tablecells"/>
    <w:qFormat/>
    <w:rsid w:val="00226332"/>
    <w:pPr>
      <w:keepNext/>
    </w:pPr>
    <w:rPr>
      <w:b/>
      <w:color w:val="FFFFFF"/>
    </w:rPr>
  </w:style>
  <w:style w:type="paragraph" w:styleId="Listaconnmeros">
    <w:name w:val="List Number"/>
    <w:basedOn w:val="Normal"/>
    <w:uiPriority w:val="99"/>
    <w:rsid w:val="00226332"/>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226332"/>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226332"/>
    <w:pPr>
      <w:spacing w:after="600" w:line="320" w:lineRule="atLeast"/>
      <w:jc w:val="center"/>
    </w:pPr>
    <w:rPr>
      <w:rFonts w:ascii="Times New Roman" w:hAnsi="Times New Roman"/>
      <w:lang w:val="en-GB" w:eastAsia="en-US"/>
    </w:rPr>
  </w:style>
  <w:style w:type="paragraph" w:customStyle="1" w:styleId="ListBullet2Compact">
    <w:name w:val="List Bullet 2 Compact"/>
    <w:basedOn w:val="Listaconvietas2"/>
    <w:qFormat/>
    <w:rsid w:val="00226332"/>
    <w:pPr>
      <w:keepLines/>
      <w:numPr>
        <w:numId w:val="1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226332"/>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226332"/>
    <w:rPr>
      <w:rFonts w:ascii="Times New Roman" w:hAnsi="Times New Roman"/>
      <w:lang w:val="es-ES" w:eastAsia="en-US"/>
    </w:rPr>
  </w:style>
  <w:style w:type="paragraph" w:customStyle="1" w:styleId="SBSheader">
    <w:name w:val="SBS: header"/>
    <w:basedOn w:val="Normal"/>
    <w:qFormat/>
    <w:rsid w:val="00226332"/>
    <w:pPr>
      <w:spacing w:after="240" w:line="320" w:lineRule="atLeast"/>
    </w:pPr>
    <w:rPr>
      <w:rFonts w:ascii="Times New Roman" w:hAnsi="Times New Roman"/>
      <w:i/>
      <w:lang w:val="es-ES"/>
    </w:rPr>
  </w:style>
  <w:style w:type="paragraph" w:customStyle="1" w:styleId="L1">
    <w:name w:val="L1"/>
    <w:basedOn w:val="ListBulletCompact"/>
    <w:link w:val="L1Char"/>
    <w:qFormat/>
    <w:rsid w:val="00226332"/>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226332"/>
    <w:rPr>
      <w:rFonts w:ascii="Times New Roman" w:hAnsi="Times New Roman"/>
      <w:sz w:val="20"/>
      <w:szCs w:val="20"/>
      <w:lang w:val="es-ES" w:eastAsia="es-ES"/>
    </w:rPr>
  </w:style>
  <w:style w:type="table" w:customStyle="1" w:styleId="Sombreadomedio2-nfasis11">
    <w:name w:val="Sombreado medio 2 - Énfasis 11"/>
    <w:basedOn w:val="Tablanormal"/>
    <w:uiPriority w:val="64"/>
    <w:rsid w:val="00226332"/>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erChar">
    <w:name w:val="Header Char"/>
    <w:uiPriority w:val="99"/>
    <w:semiHidden/>
    <w:rsid w:val="00226332"/>
    <w:rPr>
      <w:rFonts w:ascii="Arial" w:hAnsi="Arial"/>
      <w:sz w:val="16"/>
    </w:rPr>
  </w:style>
  <w:style w:type="character" w:customStyle="1" w:styleId="Listaconvietas2Car">
    <w:name w:val="Lista con viñetas 2 Car"/>
    <w:link w:val="Listaconvietas2"/>
    <w:uiPriority w:val="99"/>
    <w:rsid w:val="00226332"/>
    <w:rPr>
      <w:rFonts w:ascii="Times New Roman" w:eastAsia="Times New Roman" w:hAnsi="Times New Roman"/>
      <w:sz w:val="24"/>
      <w:szCs w:val="24"/>
      <w:lang w:val="es-ES" w:eastAsia="es-ES"/>
    </w:rPr>
  </w:style>
  <w:style w:type="character" w:customStyle="1" w:styleId="FooterChar">
    <w:name w:val="Footer Char"/>
    <w:uiPriority w:val="99"/>
    <w:rsid w:val="00226332"/>
    <w:rPr>
      <w:rFonts w:ascii="Arial" w:hAnsi="Arial"/>
      <w:sz w:val="16"/>
    </w:rPr>
  </w:style>
  <w:style w:type="paragraph" w:customStyle="1" w:styleId="Annex1">
    <w:name w:val="Annex 1"/>
    <w:next w:val="Normal"/>
    <w:qFormat/>
    <w:rsid w:val="00226332"/>
    <w:pPr>
      <w:keepNext/>
      <w:pageBreakBefore/>
      <w:numPr>
        <w:numId w:val="20"/>
      </w:numPr>
      <w:tabs>
        <w:tab w:val="clear" w:pos="1134"/>
      </w:tabs>
      <w:spacing w:after="600" w:line="560" w:lineRule="exact"/>
      <w:ind w:left="720" w:hanging="360"/>
      <w:outlineLvl w:val="0"/>
    </w:pPr>
    <w:rPr>
      <w:rFonts w:ascii="Times New Roman" w:hAnsi="Times New Roman"/>
      <w:sz w:val="36"/>
      <w:lang w:val="en-GB" w:eastAsia="en-US"/>
    </w:rPr>
  </w:style>
  <w:style w:type="numbering" w:styleId="1ai">
    <w:name w:val="Outline List 1"/>
    <w:basedOn w:val="Sinlista"/>
    <w:uiPriority w:val="99"/>
    <w:unhideWhenUsed/>
    <w:rsid w:val="00226332"/>
    <w:pPr>
      <w:numPr>
        <w:numId w:val="21"/>
      </w:numPr>
    </w:pPr>
  </w:style>
  <w:style w:type="paragraph" w:customStyle="1" w:styleId="LL">
    <w:name w:val="LL"/>
    <w:basedOn w:val="ListBullet2Compact"/>
    <w:rsid w:val="00226332"/>
    <w:pPr>
      <w:numPr>
        <w:numId w:val="19"/>
      </w:numPr>
      <w:ind w:left="714" w:hanging="357"/>
    </w:pPr>
  </w:style>
  <w:style w:type="paragraph" w:customStyle="1" w:styleId="Tablenote">
    <w:name w:val="Table: note"/>
    <w:basedOn w:val="Tablecells"/>
    <w:qFormat/>
    <w:rsid w:val="00226332"/>
    <w:pPr>
      <w:pBdr>
        <w:bottom w:val="single" w:sz="4" w:space="9" w:color="auto"/>
      </w:pBdr>
      <w:spacing w:before="100" w:after="0"/>
      <w:ind w:left="357" w:right="0" w:hanging="357"/>
    </w:pPr>
  </w:style>
  <w:style w:type="paragraph" w:customStyle="1" w:styleId="Tablebullet">
    <w:name w:val="Table: bullet"/>
    <w:basedOn w:val="Tablecells"/>
    <w:qFormat/>
    <w:rsid w:val="00226332"/>
    <w:pPr>
      <w:numPr>
        <w:numId w:val="22"/>
      </w:numPr>
      <w:tabs>
        <w:tab w:val="num" w:pos="567"/>
      </w:tabs>
      <w:ind w:left="227" w:hanging="227"/>
    </w:pPr>
  </w:style>
  <w:style w:type="character" w:customStyle="1" w:styleId="ConfidentialFooter">
    <w:name w:val="ConfidentialFooter"/>
    <w:rsid w:val="00226332"/>
    <w:rPr>
      <w:color w:val="FFFFFF"/>
      <w:sz w:val="2"/>
    </w:rPr>
  </w:style>
  <w:style w:type="paragraph" w:customStyle="1" w:styleId="ConfidentialFront">
    <w:name w:val="ConfidentialFront"/>
    <w:basedOn w:val="Normal"/>
    <w:qFormat/>
    <w:rsid w:val="00226332"/>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226332"/>
    <w:pPr>
      <w:keepNext/>
      <w:numPr>
        <w:numId w:val="23"/>
      </w:numPr>
      <w:spacing w:after="200" w:line="320" w:lineRule="atLeast"/>
      <w:ind w:left="357" w:hanging="357"/>
      <w:jc w:val="both"/>
    </w:pPr>
    <w:rPr>
      <w:rFonts w:ascii="Times New Roman" w:hAnsi="Times New Roman"/>
      <w:i/>
      <w:lang w:val="es-ES"/>
    </w:rPr>
  </w:style>
  <w:style w:type="character" w:customStyle="1" w:styleId="H5Char">
    <w:name w:val="H5 Char"/>
    <w:link w:val="H5"/>
    <w:rsid w:val="00226332"/>
    <w:rPr>
      <w:rFonts w:ascii="Times New Roman" w:hAnsi="Times New Roman"/>
      <w:i/>
      <w:lang w:val="es-ES" w:eastAsia="en-US"/>
    </w:rPr>
  </w:style>
  <w:style w:type="paragraph" w:styleId="TDC3">
    <w:name w:val="toc 3"/>
    <w:basedOn w:val="TDC2"/>
    <w:next w:val="Normal"/>
    <w:autoRedefine/>
    <w:uiPriority w:val="39"/>
    <w:unhideWhenUsed/>
    <w:locked/>
    <w:rsid w:val="00226332"/>
    <w:pPr>
      <w:tabs>
        <w:tab w:val="clear" w:pos="880"/>
        <w:tab w:val="clear" w:pos="8494"/>
        <w:tab w:val="left" w:pos="635"/>
        <w:tab w:val="right" w:pos="8789"/>
      </w:tabs>
      <w:spacing w:after="0" w:line="320" w:lineRule="atLeast"/>
      <w:ind w:left="0"/>
      <w:jc w:val="both"/>
    </w:pPr>
    <w:rPr>
      <w:rFonts w:ascii="Times New Roman" w:eastAsia="Calibri" w:hAnsi="Times New Roman"/>
      <w:noProof/>
      <w:sz w:val="20"/>
      <w:lang w:eastAsia="en-US"/>
    </w:rPr>
  </w:style>
  <w:style w:type="paragraph" w:styleId="TDC4">
    <w:name w:val="toc 4"/>
    <w:basedOn w:val="TDC3"/>
    <w:next w:val="Normal"/>
    <w:autoRedefine/>
    <w:uiPriority w:val="39"/>
    <w:unhideWhenUsed/>
    <w:locked/>
    <w:rsid w:val="00226332"/>
  </w:style>
  <w:style w:type="paragraph" w:customStyle="1" w:styleId="Annex2">
    <w:name w:val="Annex 2"/>
    <w:next w:val="Normal"/>
    <w:qFormat/>
    <w:rsid w:val="00226332"/>
    <w:pPr>
      <w:keepNext/>
      <w:numPr>
        <w:ilvl w:val="1"/>
        <w:numId w:val="20"/>
      </w:numPr>
      <w:spacing w:before="360" w:after="200" w:line="320" w:lineRule="atLeast"/>
      <w:ind w:left="1440" w:hanging="360"/>
    </w:pPr>
    <w:rPr>
      <w:rFonts w:ascii="Times New Roman" w:hAnsi="Times New Roman"/>
      <w:b/>
      <w:sz w:val="24"/>
      <w:lang w:val="en-GB" w:eastAsia="en-US"/>
    </w:rPr>
  </w:style>
  <w:style w:type="paragraph" w:customStyle="1" w:styleId="Annex3">
    <w:name w:val="Annex 3"/>
    <w:next w:val="Normal"/>
    <w:qFormat/>
    <w:rsid w:val="00226332"/>
    <w:pPr>
      <w:keepNext/>
      <w:numPr>
        <w:ilvl w:val="2"/>
        <w:numId w:val="20"/>
      </w:numPr>
      <w:spacing w:before="360" w:after="240" w:line="320" w:lineRule="atLeast"/>
      <w:ind w:left="2160" w:hanging="180"/>
    </w:pPr>
    <w:rPr>
      <w:rFonts w:ascii="Times New Roman" w:hAnsi="Times New Roman"/>
      <w:b/>
      <w:lang w:val="en-GB" w:eastAsia="en-US"/>
    </w:rPr>
  </w:style>
  <w:style w:type="paragraph" w:customStyle="1" w:styleId="Annex4">
    <w:name w:val="Annex 4"/>
    <w:next w:val="Normal"/>
    <w:qFormat/>
    <w:rsid w:val="00226332"/>
    <w:pPr>
      <w:keepNext/>
      <w:numPr>
        <w:ilvl w:val="3"/>
        <w:numId w:val="20"/>
      </w:numPr>
      <w:spacing w:before="360" w:after="240" w:line="320" w:lineRule="atLeast"/>
      <w:ind w:left="2880" w:hanging="360"/>
    </w:pPr>
    <w:rPr>
      <w:rFonts w:ascii="Times New Roman" w:hAnsi="Times New Roman"/>
      <w:i/>
      <w:lang w:val="en-GB" w:eastAsia="en-US"/>
    </w:rPr>
  </w:style>
  <w:style w:type="paragraph" w:customStyle="1" w:styleId="cvcont">
    <w:name w:val="cvcont"/>
    <w:basedOn w:val="Normal"/>
    <w:next w:val="Normal"/>
    <w:qFormat/>
    <w:rsid w:val="00226332"/>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226332"/>
    <w:pPr>
      <w:spacing w:before="2240" w:after="240" w:line="510" w:lineRule="exact"/>
      <w:ind w:left="5103" w:right="-397"/>
    </w:pPr>
    <w:rPr>
      <w:rFonts w:ascii="Arial" w:eastAsia="Times New Roman" w:hAnsi="Arial"/>
      <w:b/>
      <w:bCs/>
      <w:color w:val="003352"/>
      <w:spacing w:val="8"/>
      <w:sz w:val="24"/>
      <w:szCs w:val="24"/>
      <w:lang w:val="es-ES" w:eastAsia="en-US"/>
    </w:rPr>
  </w:style>
  <w:style w:type="paragraph" w:customStyle="1" w:styleId="Titlemain">
    <w:name w:val="Title: main"/>
    <w:next w:val="Titleauthor"/>
    <w:qFormat/>
    <w:rsid w:val="00226332"/>
    <w:pPr>
      <w:spacing w:after="40" w:line="510" w:lineRule="exact"/>
      <w:ind w:left="5103" w:right="-397"/>
    </w:pPr>
    <w:rPr>
      <w:rFonts w:ascii="Arial" w:eastAsia="Times New Roman" w:hAnsi="Arial"/>
      <w:bCs/>
      <w:spacing w:val="8"/>
      <w:sz w:val="34"/>
      <w:szCs w:val="34"/>
      <w:lang w:val="en-GB" w:eastAsia="en-US"/>
    </w:rPr>
  </w:style>
  <w:style w:type="paragraph" w:customStyle="1" w:styleId="Titleauthor">
    <w:name w:val="Title: author"/>
    <w:basedOn w:val="Titletype"/>
    <w:next w:val="Titledate"/>
    <w:qFormat/>
    <w:rsid w:val="00226332"/>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226332"/>
    <w:pPr>
      <w:spacing w:after="160"/>
    </w:pPr>
    <w:rPr>
      <w:i/>
      <w:color w:val="003352"/>
      <w:sz w:val="24"/>
      <w:szCs w:val="24"/>
    </w:rPr>
  </w:style>
  <w:style w:type="paragraph" w:customStyle="1" w:styleId="TitleRefNo">
    <w:name w:val="Title: RefNo"/>
    <w:basedOn w:val="Titledate"/>
    <w:next w:val="Normal"/>
    <w:qFormat/>
    <w:rsid w:val="00226332"/>
    <w:rPr>
      <w:i w:val="0"/>
      <w:sz w:val="22"/>
    </w:rPr>
  </w:style>
  <w:style w:type="paragraph" w:customStyle="1" w:styleId="Contentsheading">
    <w:name w:val="Contents: heading"/>
    <w:basedOn w:val="Normal"/>
    <w:next w:val="TDC1"/>
    <w:qFormat/>
    <w:rsid w:val="00226332"/>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226332"/>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226332"/>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226332"/>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226332"/>
    <w:pPr>
      <w:spacing w:after="0" w:line="320" w:lineRule="atLeast"/>
      <w:jc w:val="both"/>
    </w:pPr>
    <w:rPr>
      <w:rFonts w:ascii="Times New Roman" w:hAnsi="Times New Roman"/>
      <w:lang w:val="es-ES"/>
    </w:rPr>
  </w:style>
  <w:style w:type="paragraph" w:customStyle="1" w:styleId="Titleaddress">
    <w:name w:val="Title: address"/>
    <w:basedOn w:val="01"/>
    <w:qFormat/>
    <w:rsid w:val="00226332"/>
    <w:pPr>
      <w:ind w:left="567"/>
    </w:pPr>
  </w:style>
  <w:style w:type="paragraph" w:customStyle="1" w:styleId="Titleversion">
    <w:name w:val="Title: version"/>
    <w:basedOn w:val="Normal"/>
    <w:rsid w:val="00226332"/>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2263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226332"/>
  </w:style>
  <w:style w:type="table" w:styleId="Tablaclsica2">
    <w:name w:val="Table Classic 2"/>
    <w:basedOn w:val="Tablanormal"/>
    <w:rsid w:val="00226332"/>
    <w:pPr>
      <w:jc w:val="both"/>
    </w:pPr>
    <w:rPr>
      <w:rFonts w:ascii="Times New Roman" w:eastAsia="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226332"/>
    <w:pPr>
      <w:jc w:val="both"/>
    </w:pPr>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226332"/>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226332"/>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226332"/>
    <w:pPr>
      <w:jc w:val="both"/>
    </w:pPr>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226332"/>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226332"/>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226332"/>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226332"/>
  </w:style>
  <w:style w:type="numbering" w:customStyle="1" w:styleId="Sinlista11">
    <w:name w:val="Sin lista11"/>
    <w:next w:val="Sinlista"/>
    <w:semiHidden/>
    <w:unhideWhenUsed/>
    <w:rsid w:val="00226332"/>
  </w:style>
  <w:style w:type="numbering" w:customStyle="1" w:styleId="Sinlista2">
    <w:name w:val="Sin lista2"/>
    <w:next w:val="Sinlista"/>
    <w:semiHidden/>
    <w:rsid w:val="00226332"/>
  </w:style>
  <w:style w:type="numbering" w:customStyle="1" w:styleId="Sinlista3">
    <w:name w:val="Sin lista3"/>
    <w:next w:val="Sinlista"/>
    <w:uiPriority w:val="99"/>
    <w:semiHidden/>
    <w:unhideWhenUsed/>
    <w:rsid w:val="00226332"/>
  </w:style>
  <w:style w:type="numbering" w:customStyle="1" w:styleId="Sinlista4">
    <w:name w:val="Sin lista4"/>
    <w:next w:val="Sinlista"/>
    <w:semiHidden/>
    <w:unhideWhenUsed/>
    <w:rsid w:val="00226332"/>
  </w:style>
  <w:style w:type="numbering" w:customStyle="1" w:styleId="1ai1">
    <w:name w:val="1 / a / i1"/>
    <w:basedOn w:val="Sinlista"/>
    <w:next w:val="1ai"/>
    <w:uiPriority w:val="99"/>
    <w:unhideWhenUsed/>
    <w:rsid w:val="00226332"/>
    <w:pPr>
      <w:numPr>
        <w:numId w:val="18"/>
      </w:numPr>
    </w:pPr>
  </w:style>
  <w:style w:type="paragraph" w:customStyle="1" w:styleId="xl69">
    <w:name w:val="xl69"/>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22633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226332"/>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226332"/>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226332"/>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226332"/>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22633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226332"/>
  </w:style>
  <w:style w:type="numbering" w:customStyle="1" w:styleId="Sinlista111">
    <w:name w:val="Sin lista111"/>
    <w:next w:val="Sinlista"/>
    <w:semiHidden/>
    <w:unhideWhenUsed/>
    <w:rsid w:val="00226332"/>
  </w:style>
  <w:style w:type="table" w:customStyle="1" w:styleId="Tablaconcuadrcula1">
    <w:name w:val="Tabla con cuadrícula1"/>
    <w:basedOn w:val="Tablanormal"/>
    <w:next w:val="Tablaconcuadrcula"/>
    <w:uiPriority w:val="59"/>
    <w:rsid w:val="002263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226332"/>
  </w:style>
  <w:style w:type="numbering" w:customStyle="1" w:styleId="Sinlista31">
    <w:name w:val="Sin lista31"/>
    <w:next w:val="Sinlista"/>
    <w:uiPriority w:val="99"/>
    <w:semiHidden/>
    <w:unhideWhenUsed/>
    <w:rsid w:val="00226332"/>
  </w:style>
  <w:style w:type="numbering" w:customStyle="1" w:styleId="Sinlista41">
    <w:name w:val="Sin lista41"/>
    <w:next w:val="Sinlista"/>
    <w:uiPriority w:val="99"/>
    <w:semiHidden/>
    <w:unhideWhenUsed/>
    <w:rsid w:val="00226332"/>
  </w:style>
  <w:style w:type="paragraph" w:customStyle="1" w:styleId="IFTnormal">
    <w:name w:val="IFT normal"/>
    <w:basedOn w:val="Normal"/>
    <w:link w:val="IFTnormalCar"/>
    <w:qFormat/>
    <w:rsid w:val="00226332"/>
    <w:pPr>
      <w:spacing w:after="200" w:line="276" w:lineRule="auto"/>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226332"/>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226332"/>
    <w:rPr>
      <w:rFonts w:ascii="Arial" w:eastAsia="Times New Roman" w:hAnsi="Arial"/>
      <w:sz w:val="30"/>
      <w:szCs w:val="30"/>
      <w:lang w:val="es-ES_tradnl" w:eastAsia="es-ES"/>
    </w:rPr>
  </w:style>
  <w:style w:type="paragraph" w:customStyle="1" w:styleId="xl3157">
    <w:name w:val="xl3157"/>
    <w:basedOn w:val="Normal"/>
    <w:rsid w:val="00226332"/>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226332"/>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226332"/>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226332"/>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226332"/>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226332"/>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IFT1">
    <w:name w:val="IFT 1"/>
    <w:basedOn w:val="Normal"/>
    <w:link w:val="IFT1Car"/>
    <w:qFormat/>
    <w:rsid w:val="00226332"/>
    <w:pPr>
      <w:spacing w:after="200" w:line="276" w:lineRule="auto"/>
      <w:jc w:val="both"/>
    </w:pPr>
    <w:rPr>
      <w:rFonts w:ascii="ITC Avant Garde" w:hAnsi="ITC Avant Garde"/>
      <w:spacing w:val="-4"/>
    </w:rPr>
  </w:style>
  <w:style w:type="character" w:customStyle="1" w:styleId="IFT1Car">
    <w:name w:val="IFT 1 Car"/>
    <w:basedOn w:val="Fuentedeprrafopredeter"/>
    <w:link w:val="IFT1"/>
    <w:rsid w:val="00226332"/>
    <w:rPr>
      <w:rFonts w:ascii="ITC Avant Garde" w:hAnsi="ITC Avant Garde"/>
      <w:spacing w:val="-4"/>
      <w:lang w:eastAsia="en-US"/>
    </w:rPr>
  </w:style>
  <w:style w:type="paragraph" w:customStyle="1" w:styleId="Normal2">
    <w:name w:val="Normal2"/>
    <w:rsid w:val="00226332"/>
    <w:pPr>
      <w:spacing w:line="276" w:lineRule="auto"/>
    </w:pPr>
    <w:rPr>
      <w:rFonts w:ascii="Arial" w:eastAsia="Arial" w:hAnsi="Arial" w:cs="Arial"/>
      <w:color w:val="000000"/>
      <w:szCs w:val="20"/>
      <w:lang w:val="en-US" w:eastAsia="en-US"/>
    </w:rPr>
  </w:style>
  <w:style w:type="table" w:styleId="Sombreadomedio2-nfasis1">
    <w:name w:val="Medium Shading 2 Accent 1"/>
    <w:basedOn w:val="Tablanormal"/>
    <w:uiPriority w:val="64"/>
    <w:unhideWhenUsed/>
    <w:rsid w:val="00D12BB6"/>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TMLconformatoprevioCar1">
    <w:name w:val="HTML con formato previo Car1"/>
    <w:basedOn w:val="Fuentedeprrafopredeter"/>
    <w:uiPriority w:val="99"/>
    <w:semiHidden/>
    <w:rsid w:val="00E456C3"/>
    <w:rPr>
      <w:rFonts w:ascii="Consolas" w:eastAsia="Calibri" w:hAnsi="Consolas" w:cs="Consolas"/>
      <w:sz w:val="20"/>
      <w:szCs w:val="20"/>
    </w:rPr>
  </w:style>
  <w:style w:type="paragraph" w:customStyle="1" w:styleId="1TitPrin">
    <w:name w:val="1TitPrin"/>
    <w:basedOn w:val="Ttulo1"/>
    <w:link w:val="1TitPrinCar"/>
    <w:autoRedefine/>
    <w:qFormat/>
    <w:rsid w:val="00E456C3"/>
    <w:pPr>
      <w:keepNext w:val="0"/>
      <w:keepLines w:val="0"/>
      <w:spacing w:before="0" w:line="276" w:lineRule="auto"/>
      <w:ind w:left="567" w:right="49"/>
      <w:jc w:val="both"/>
      <w:outlineLvl w:val="9"/>
    </w:pPr>
    <w:rPr>
      <w:rFonts w:ascii="ITC Avant Garde" w:eastAsia="Calibri" w:hAnsi="ITC Avant Garde" w:cs="Arial"/>
      <w:b w:val="0"/>
      <w:bCs w:val="0"/>
      <w:color w:val="auto"/>
      <w:sz w:val="22"/>
      <w:szCs w:val="22"/>
      <w:lang w:val="es-ES_tradnl"/>
    </w:rPr>
  </w:style>
  <w:style w:type="character" w:customStyle="1" w:styleId="1TitPrinCar">
    <w:name w:val="1TitPrin Car"/>
    <w:link w:val="1TitPrin"/>
    <w:rsid w:val="00E456C3"/>
    <w:rPr>
      <w:rFonts w:ascii="ITC Avant Garde" w:hAnsi="ITC Avant Garde" w:cs="Arial"/>
      <w:lang w:val="es-ES_tradnl" w:eastAsia="es-ES"/>
    </w:rPr>
  </w:style>
  <w:style w:type="paragraph" w:customStyle="1" w:styleId="Citaift">
    <w:name w:val="Cita ift"/>
    <w:basedOn w:val="Normal"/>
    <w:link w:val="CitaiftCar"/>
    <w:qFormat/>
    <w:rsid w:val="00E456C3"/>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E456C3"/>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E456C3"/>
    <w:pPr>
      <w:tabs>
        <w:tab w:val="left" w:pos="1134"/>
      </w:tabs>
      <w:adjustRightInd w:val="0"/>
      <w:spacing w:after="200" w:line="276" w:lineRule="auto"/>
      <w:ind w:left="1134" w:hanging="992"/>
      <w:jc w:val="both"/>
    </w:pPr>
    <w:rPr>
      <w:rFonts w:ascii="ITC Avant Garde" w:hAnsi="ITC Avant Garde" w:cs="Arial"/>
      <w:bCs/>
      <w:lang w:eastAsia="es-ES"/>
    </w:rPr>
  </w:style>
  <w:style w:type="character" w:customStyle="1" w:styleId="NumeracinIFTCar">
    <w:name w:val="Numeración IFT Car"/>
    <w:link w:val="NumeracinIFT"/>
    <w:rsid w:val="00E456C3"/>
    <w:rPr>
      <w:rFonts w:ascii="ITC Avant Garde" w:hAnsi="ITC Avant Garde" w:cs="Arial"/>
      <w:bCs/>
      <w:lang w:eastAsia="es-ES"/>
    </w:rPr>
  </w:style>
  <w:style w:type="paragraph" w:customStyle="1" w:styleId="Listamulticolor-nfasis11">
    <w:name w:val="Lista multicolor - Énfasis 11"/>
    <w:basedOn w:val="Normal"/>
    <w:link w:val="Listamulticolor-nfasis1Car"/>
    <w:uiPriority w:val="34"/>
    <w:rsid w:val="00E456C3"/>
    <w:pPr>
      <w:spacing w:after="200" w:line="276" w:lineRule="auto"/>
      <w:ind w:left="720"/>
      <w:contextualSpacing/>
    </w:pPr>
  </w:style>
  <w:style w:type="character" w:customStyle="1" w:styleId="Listamulticolor-nfasis1Car">
    <w:name w:val="Lista multicolor - Énfasis 1 Car"/>
    <w:link w:val="Listamulticolor-nfasis11"/>
    <w:uiPriority w:val="34"/>
    <w:rsid w:val="00E456C3"/>
    <w:rPr>
      <w:lang w:eastAsia="en-US"/>
    </w:rPr>
  </w:style>
  <w:style w:type="paragraph" w:customStyle="1" w:styleId="Cuadrculamediana21">
    <w:name w:val="Cuadrícula mediana 21"/>
    <w:uiPriority w:val="1"/>
    <w:rsid w:val="00E456C3"/>
    <w:rPr>
      <w:lang w:eastAsia="en-US"/>
    </w:rPr>
  </w:style>
  <w:style w:type="character" w:styleId="CitaHTML">
    <w:name w:val="HTML Cite"/>
    <w:uiPriority w:val="99"/>
    <w:semiHidden/>
    <w:unhideWhenUsed/>
    <w:rsid w:val="00E456C3"/>
    <w:rPr>
      <w:i/>
      <w:iCs/>
    </w:rPr>
  </w:style>
  <w:style w:type="paragraph" w:customStyle="1" w:styleId="Sombreadomulticolor-nfasis11">
    <w:name w:val="Sombreado multicolor - Énfasis 11"/>
    <w:hidden/>
    <w:uiPriority w:val="99"/>
    <w:semiHidden/>
    <w:rsid w:val="00E456C3"/>
    <w:rPr>
      <w:lang w:eastAsia="en-US"/>
    </w:rPr>
  </w:style>
  <w:style w:type="table" w:styleId="Cuadrculamedia3-nfasis1">
    <w:name w:val="Medium Grid 3 Accent 1"/>
    <w:basedOn w:val="Tablanormal"/>
    <w:uiPriority w:val="64"/>
    <w:rsid w:val="00E456C3"/>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E456C3"/>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E456C3"/>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E456C3"/>
    <w:pPr>
      <w:spacing w:after="200" w:line="276" w:lineRule="auto"/>
      <w:jc w:val="both"/>
    </w:pPr>
    <w:rPr>
      <w:rFonts w:ascii="ITC Avant Garde" w:hAnsi="ITC Avant Garde"/>
      <w:u w:val="single"/>
    </w:rPr>
  </w:style>
  <w:style w:type="paragraph" w:customStyle="1" w:styleId="ListaCitaOtras">
    <w:name w:val="ListaCitaOtras"/>
    <w:basedOn w:val="Citaift"/>
    <w:link w:val="ListaCitaOtrasCar"/>
    <w:qFormat/>
    <w:rsid w:val="00E456C3"/>
    <w:pPr>
      <w:numPr>
        <w:numId w:val="53"/>
      </w:numPr>
      <w:ind w:left="1570" w:hanging="357"/>
    </w:pPr>
  </w:style>
  <w:style w:type="character" w:customStyle="1" w:styleId="ListaCitaOtrasCar">
    <w:name w:val="ListaCitaOtras Car"/>
    <w:basedOn w:val="CitaiftCar"/>
    <w:link w:val="ListaCitaOtras"/>
    <w:rsid w:val="00E456C3"/>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E456C3"/>
    <w:rPr>
      <w:sz w:val="22"/>
      <w:szCs w:val="22"/>
      <w:lang w:eastAsia="en-US"/>
    </w:rPr>
  </w:style>
  <w:style w:type="table" w:styleId="Listavistosa-nfasis1">
    <w:name w:val="Colorful List Accent 1"/>
    <w:basedOn w:val="Tablanormal"/>
    <w:link w:val="Listavistosa-nfasis1Car"/>
    <w:uiPriority w:val="34"/>
    <w:semiHidden/>
    <w:unhideWhenUsed/>
    <w:rsid w:val="00E456C3"/>
    <w:rPr>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rsid w:val="00E456C3"/>
    <w:pPr>
      <w:ind w:left="792"/>
    </w:pPr>
  </w:style>
  <w:style w:type="paragraph" w:customStyle="1" w:styleId="Niv2C4">
    <w:name w:val="Niv2C4"/>
    <w:basedOn w:val="Subttulo"/>
    <w:link w:val="Niv2C4Car"/>
    <w:qFormat/>
    <w:rsid w:val="00E456C3"/>
    <w:pPr>
      <w:numPr>
        <w:ilvl w:val="0"/>
      </w:numPr>
      <w:spacing w:after="200" w:line="276" w:lineRule="auto"/>
      <w:ind w:left="1224" w:hanging="504"/>
      <w:jc w:val="both"/>
    </w:pPr>
    <w:rPr>
      <w:rFonts w:ascii="ITC Avant Garde" w:hAnsi="ITC Avant Garde"/>
      <w:b/>
      <w:szCs w:val="24"/>
      <w:lang w:eastAsia="es-ES"/>
    </w:rPr>
  </w:style>
  <w:style w:type="character" w:customStyle="1" w:styleId="PuntosC4Car">
    <w:name w:val="PuntosC4 Car"/>
    <w:basedOn w:val="Fuentedeprrafopredeter"/>
    <w:link w:val="PuntosC4"/>
    <w:rsid w:val="00E456C3"/>
    <w:rPr>
      <w:rFonts w:ascii="ITC Avant Garde" w:eastAsia="Times New Roman" w:hAnsi="ITC Avant Garde" w:cs="Arial"/>
      <w:b/>
      <w:iCs/>
      <w:lang w:eastAsia="en-US"/>
    </w:rPr>
  </w:style>
  <w:style w:type="character" w:customStyle="1" w:styleId="PuntosC5Car">
    <w:name w:val="PuntosC5 Car"/>
    <w:basedOn w:val="PuntosC4Car"/>
    <w:link w:val="PuntosC5"/>
    <w:rsid w:val="00E456C3"/>
    <w:rPr>
      <w:rFonts w:ascii="ITC Avant Garde" w:eastAsia="Times New Roman" w:hAnsi="ITC Avant Garde" w:cs="Arial"/>
      <w:b/>
      <w:iCs/>
      <w:lang w:eastAsia="en-US"/>
    </w:rPr>
  </w:style>
  <w:style w:type="paragraph" w:customStyle="1" w:styleId="Niv3C4">
    <w:name w:val="Niv3C4"/>
    <w:basedOn w:val="Subttulo"/>
    <w:link w:val="Niv3C4Car"/>
    <w:qFormat/>
    <w:rsid w:val="00E456C3"/>
    <w:pPr>
      <w:numPr>
        <w:ilvl w:val="0"/>
      </w:numPr>
      <w:spacing w:after="200" w:line="276" w:lineRule="auto"/>
      <w:ind w:left="1925" w:hanging="648"/>
      <w:jc w:val="both"/>
    </w:pPr>
    <w:rPr>
      <w:rFonts w:ascii="ITC Avant Garde" w:hAnsi="ITC Avant Garde"/>
      <w:b/>
      <w:szCs w:val="24"/>
      <w:lang w:eastAsia="es-ES"/>
    </w:rPr>
  </w:style>
  <w:style w:type="paragraph" w:customStyle="1" w:styleId="TxtListado">
    <w:name w:val="TxtListado"/>
    <w:basedOn w:val="Normal"/>
    <w:qFormat/>
    <w:rsid w:val="00E456C3"/>
    <w:pPr>
      <w:spacing w:after="200" w:line="276" w:lineRule="auto"/>
    </w:pPr>
    <w:rPr>
      <w:rFonts w:ascii="ITC Avant Garde" w:hAnsi="ITC Avant Garde"/>
      <w:sz w:val="20"/>
      <w:szCs w:val="20"/>
      <w:lang w:eastAsia="es-ES"/>
    </w:rPr>
  </w:style>
  <w:style w:type="paragraph" w:customStyle="1" w:styleId="z">
    <w:name w:val="z"/>
    <w:basedOn w:val="Normal"/>
    <w:link w:val="zCar"/>
    <w:qFormat/>
    <w:rsid w:val="00E456C3"/>
    <w:pPr>
      <w:spacing w:after="200" w:line="276" w:lineRule="auto"/>
      <w:jc w:val="both"/>
    </w:pPr>
    <w:rPr>
      <w:rFonts w:ascii="ITC Avant Garde" w:eastAsia="Times New Roman" w:hAnsi="ITC Avant Garde"/>
      <w:iCs/>
    </w:rPr>
  </w:style>
  <w:style w:type="character" w:customStyle="1" w:styleId="zCar">
    <w:name w:val="z Car"/>
    <w:link w:val="z"/>
    <w:rsid w:val="00E456C3"/>
    <w:rPr>
      <w:rFonts w:ascii="ITC Avant Garde" w:eastAsia="Times New Roman" w:hAnsi="ITC Avant Garde"/>
      <w:iCs/>
      <w:lang w:eastAsia="en-US"/>
    </w:rPr>
  </w:style>
  <w:style w:type="paragraph" w:customStyle="1" w:styleId="CondicionesFinales">
    <w:name w:val="CondicionesFinales"/>
    <w:basedOn w:val="Citaift"/>
    <w:qFormat/>
    <w:rsid w:val="00E456C3"/>
    <w:rPr>
      <w:bCs/>
      <w:i w:val="0"/>
      <w:sz w:val="22"/>
      <w:szCs w:val="22"/>
      <w:lang w:val="es-ES_tradnl"/>
    </w:rPr>
  </w:style>
  <w:style w:type="paragraph" w:customStyle="1" w:styleId="ecxmsonormal">
    <w:name w:val="ecxmsonormal"/>
    <w:basedOn w:val="Normal"/>
    <w:uiPriority w:val="99"/>
    <w:rsid w:val="00E456C3"/>
    <w:pPr>
      <w:spacing w:after="324" w:line="276" w:lineRule="auto"/>
      <w:jc w:val="both"/>
    </w:pPr>
    <w:rPr>
      <w:rFonts w:ascii="Arial" w:hAnsi="Arial" w:cs="Arial"/>
    </w:rPr>
  </w:style>
  <w:style w:type="character" w:customStyle="1" w:styleId="IFTnormalCar">
    <w:name w:val="IFT normal Car"/>
    <w:basedOn w:val="Fuentedeprrafopredeter"/>
    <w:link w:val="IFTnormal"/>
    <w:rsid w:val="00E456C3"/>
    <w:rPr>
      <w:rFonts w:ascii="ITC Avant Garde" w:eastAsia="Times New Roman" w:hAnsi="ITC Avant Garde"/>
      <w:iCs/>
      <w:lang w:val="es-ES"/>
    </w:rPr>
  </w:style>
  <w:style w:type="paragraph" w:customStyle="1" w:styleId="03TitPrin">
    <w:name w:val="03TitPrin"/>
    <w:basedOn w:val="Niv3C4"/>
    <w:next w:val="Niv3C4"/>
    <w:link w:val="03TitPrinCar"/>
    <w:autoRedefine/>
    <w:qFormat/>
    <w:rsid w:val="00E456C3"/>
    <w:pPr>
      <w:tabs>
        <w:tab w:val="left" w:pos="992"/>
        <w:tab w:val="left" w:pos="1276"/>
      </w:tabs>
      <w:spacing w:before="120"/>
      <w:ind w:left="648"/>
      <w:jc w:val="left"/>
    </w:pPr>
  </w:style>
  <w:style w:type="paragraph" w:customStyle="1" w:styleId="LosOdioAtodos">
    <w:name w:val="LosOdioAtodos"/>
    <w:basedOn w:val="Niv3C4"/>
    <w:link w:val="LosOdioAtodosCar"/>
    <w:qFormat/>
    <w:rsid w:val="00E456C3"/>
    <w:pPr>
      <w:tabs>
        <w:tab w:val="left" w:pos="851"/>
        <w:tab w:val="left" w:pos="1276"/>
      </w:tabs>
      <w:outlineLvl w:val="2"/>
    </w:pPr>
  </w:style>
  <w:style w:type="character" w:customStyle="1" w:styleId="Niv3C4Car">
    <w:name w:val="Niv3C4 Car"/>
    <w:basedOn w:val="SubttuloCar"/>
    <w:link w:val="Niv3C4"/>
    <w:rsid w:val="00E456C3"/>
    <w:rPr>
      <w:rFonts w:ascii="ITC Avant Garde" w:eastAsia="Times New Roman" w:hAnsi="ITC Avant Garde" w:cs="Times New Roman"/>
      <w:b/>
      <w:color w:val="5A5A5A"/>
      <w:spacing w:val="10"/>
      <w:szCs w:val="24"/>
      <w:lang w:eastAsia="es-ES"/>
    </w:rPr>
  </w:style>
  <w:style w:type="character" w:customStyle="1" w:styleId="03TitPrinCar">
    <w:name w:val="03TitPrin Car"/>
    <w:basedOn w:val="Niv3C4Car"/>
    <w:link w:val="03TitPrin"/>
    <w:rsid w:val="00E456C3"/>
    <w:rPr>
      <w:rFonts w:ascii="ITC Avant Garde" w:eastAsia="Times New Roman" w:hAnsi="ITC Avant Garde" w:cs="Times New Roman"/>
      <w:b/>
      <w:color w:val="5A5A5A"/>
      <w:spacing w:val="10"/>
      <w:szCs w:val="24"/>
      <w:lang w:eastAsia="es-ES"/>
    </w:rPr>
  </w:style>
  <w:style w:type="paragraph" w:customStyle="1" w:styleId="5TitCin">
    <w:name w:val="5TitCin"/>
    <w:basedOn w:val="LosOdioAtodos"/>
    <w:link w:val="5TitCinCar"/>
    <w:autoRedefine/>
    <w:qFormat/>
    <w:rsid w:val="00E456C3"/>
    <w:pPr>
      <w:numPr>
        <w:numId w:val="55"/>
      </w:numPr>
      <w:tabs>
        <w:tab w:val="left" w:pos="709"/>
        <w:tab w:val="left" w:pos="1134"/>
      </w:tabs>
      <w:outlineLvl w:val="3"/>
    </w:pPr>
    <w:rPr>
      <w:b w:val="0"/>
    </w:rPr>
  </w:style>
  <w:style w:type="paragraph" w:customStyle="1" w:styleId="RIFT">
    <w:name w:val="R_IFT"/>
    <w:basedOn w:val="Ttulo2"/>
    <w:link w:val="RIFTCar"/>
    <w:qFormat/>
    <w:rsid w:val="00E456C3"/>
    <w:pPr>
      <w:keepLines w:val="0"/>
      <w:tabs>
        <w:tab w:val="clear" w:pos="643"/>
      </w:tabs>
      <w:spacing w:before="0" w:after="200" w:line="276" w:lineRule="auto"/>
      <w:ind w:left="0" w:firstLine="0"/>
    </w:pPr>
    <w:rPr>
      <w:rFonts w:ascii="ITC Avant Garde" w:hAnsi="ITC Avant Garde" w:cs="Arial"/>
      <w:sz w:val="26"/>
      <w:szCs w:val="20"/>
    </w:rPr>
  </w:style>
  <w:style w:type="character" w:customStyle="1" w:styleId="LosOdioAtodosCar">
    <w:name w:val="LosOdioAtodos Car"/>
    <w:basedOn w:val="Niv3C4Car"/>
    <w:link w:val="LosOdioAtodos"/>
    <w:rsid w:val="00E456C3"/>
    <w:rPr>
      <w:rFonts w:ascii="ITC Avant Garde" w:eastAsia="Times New Roman" w:hAnsi="ITC Avant Garde" w:cs="Times New Roman"/>
      <w:b/>
      <w:color w:val="5A5A5A"/>
      <w:spacing w:val="10"/>
      <w:szCs w:val="24"/>
      <w:lang w:eastAsia="es-ES"/>
    </w:rPr>
  </w:style>
  <w:style w:type="character" w:customStyle="1" w:styleId="5TitCinCar">
    <w:name w:val="5TitCin Car"/>
    <w:basedOn w:val="LosOdioAtodosCar"/>
    <w:link w:val="5TitCin"/>
    <w:rsid w:val="00E456C3"/>
    <w:rPr>
      <w:rFonts w:ascii="ITC Avant Garde" w:eastAsia="Times New Roman" w:hAnsi="ITC Avant Garde" w:cs="Times New Roman"/>
      <w:b w:val="0"/>
      <w:color w:val="5A5A5A"/>
      <w:spacing w:val="10"/>
      <w:szCs w:val="24"/>
      <w:lang w:eastAsia="es-ES"/>
    </w:rPr>
  </w:style>
  <w:style w:type="paragraph" w:customStyle="1" w:styleId="4TitCuar">
    <w:name w:val="4TitCuar"/>
    <w:basedOn w:val="Niv3C4"/>
    <w:link w:val="4TitCuarCar"/>
    <w:autoRedefine/>
    <w:qFormat/>
    <w:rsid w:val="00E456C3"/>
    <w:pPr>
      <w:numPr>
        <w:ilvl w:val="3"/>
        <w:numId w:val="54"/>
      </w:numPr>
      <w:tabs>
        <w:tab w:val="left" w:pos="709"/>
        <w:tab w:val="left" w:leader="underscore" w:pos="1134"/>
      </w:tabs>
      <w:outlineLvl w:val="2"/>
    </w:pPr>
    <w:rPr>
      <w:b w:val="0"/>
    </w:rPr>
  </w:style>
  <w:style w:type="character" w:customStyle="1" w:styleId="RIFTCar">
    <w:name w:val="R_IFT Car"/>
    <w:basedOn w:val="Ttulo2Car"/>
    <w:link w:val="RIFT"/>
    <w:rsid w:val="00E456C3"/>
    <w:rPr>
      <w:rFonts w:ascii="ITC Avant Garde" w:eastAsia="Times New Roman" w:hAnsi="ITC Avant Garde" w:cs="Arial"/>
      <w:b/>
      <w:bCs/>
      <w:sz w:val="26"/>
      <w:szCs w:val="20"/>
      <w:lang w:val="es-ES" w:eastAsia="en-US"/>
    </w:rPr>
  </w:style>
  <w:style w:type="paragraph" w:customStyle="1" w:styleId="R2N4C4">
    <w:name w:val="R2N4C4"/>
    <w:basedOn w:val="4TitCuar"/>
    <w:link w:val="R2N4C4Car"/>
    <w:rsid w:val="00E456C3"/>
    <w:pPr>
      <w:outlineLvl w:val="3"/>
    </w:pPr>
  </w:style>
  <w:style w:type="character" w:customStyle="1" w:styleId="4TitCuarCar">
    <w:name w:val="4TitCuar Car"/>
    <w:basedOn w:val="Niv3C4Car"/>
    <w:link w:val="4TitCuar"/>
    <w:rsid w:val="00E456C3"/>
    <w:rPr>
      <w:rFonts w:ascii="ITC Avant Garde" w:eastAsia="Times New Roman" w:hAnsi="ITC Avant Garde" w:cs="Times New Roman"/>
      <w:b w:val="0"/>
      <w:color w:val="5A5A5A"/>
      <w:spacing w:val="10"/>
      <w:szCs w:val="24"/>
      <w:lang w:eastAsia="es-ES"/>
    </w:rPr>
  </w:style>
  <w:style w:type="paragraph" w:customStyle="1" w:styleId="3TitTer">
    <w:name w:val="3TitTer"/>
    <w:basedOn w:val="Niv2C4"/>
    <w:link w:val="3TitTerCar"/>
    <w:autoRedefine/>
    <w:qFormat/>
    <w:rsid w:val="00E456C3"/>
    <w:pPr>
      <w:ind w:left="0" w:firstLine="0"/>
      <w:outlineLvl w:val="1"/>
    </w:pPr>
  </w:style>
  <w:style w:type="character" w:customStyle="1" w:styleId="R2N4C4Car">
    <w:name w:val="R2N4C4 Car"/>
    <w:basedOn w:val="4TitCuarCar"/>
    <w:link w:val="R2N4C4"/>
    <w:rsid w:val="00E456C3"/>
    <w:rPr>
      <w:rFonts w:ascii="ITC Avant Garde" w:eastAsia="Times New Roman" w:hAnsi="ITC Avant Garde" w:cs="Times New Roman"/>
      <w:b w:val="0"/>
      <w:color w:val="5A5A5A"/>
      <w:spacing w:val="10"/>
      <w:szCs w:val="24"/>
      <w:lang w:eastAsia="es-ES"/>
    </w:rPr>
  </w:style>
  <w:style w:type="paragraph" w:customStyle="1" w:styleId="01TitPrin">
    <w:name w:val="01TitPrin"/>
    <w:basedOn w:val="Ttulo1"/>
    <w:link w:val="01TitPrinCar"/>
    <w:autoRedefine/>
    <w:qFormat/>
    <w:rsid w:val="00E456C3"/>
    <w:pPr>
      <w:keepNext w:val="0"/>
      <w:keepLines w:val="0"/>
      <w:spacing w:before="0" w:after="200" w:line="276" w:lineRule="auto"/>
      <w:jc w:val="both"/>
    </w:pPr>
    <w:rPr>
      <w:rFonts w:ascii="ITC Avant Garde" w:eastAsia="Calibri" w:hAnsi="ITC Avant Garde" w:cs="Arial"/>
      <w:bCs w:val="0"/>
      <w:color w:val="000000"/>
      <w:sz w:val="22"/>
      <w:szCs w:val="22"/>
    </w:rPr>
  </w:style>
  <w:style w:type="character" w:customStyle="1" w:styleId="Niv2C4Car">
    <w:name w:val="Niv2C4 Car"/>
    <w:basedOn w:val="SubttuloCar"/>
    <w:link w:val="Niv2C4"/>
    <w:rsid w:val="00E456C3"/>
    <w:rPr>
      <w:rFonts w:ascii="ITC Avant Garde" w:eastAsia="Times New Roman" w:hAnsi="ITC Avant Garde" w:cs="Times New Roman"/>
      <w:b/>
      <w:color w:val="5A5A5A"/>
      <w:spacing w:val="10"/>
      <w:szCs w:val="24"/>
      <w:lang w:eastAsia="es-ES"/>
    </w:rPr>
  </w:style>
  <w:style w:type="character" w:customStyle="1" w:styleId="3TitTerCar">
    <w:name w:val="3TitTer Car"/>
    <w:basedOn w:val="Niv2C4Car"/>
    <w:link w:val="3TitTer"/>
    <w:rsid w:val="00E456C3"/>
    <w:rPr>
      <w:rFonts w:ascii="ITC Avant Garde" w:eastAsia="Times New Roman" w:hAnsi="ITC Avant Garde" w:cs="Times New Roman"/>
      <w:b/>
      <w:color w:val="5A5A5A"/>
      <w:spacing w:val="10"/>
      <w:szCs w:val="24"/>
      <w:lang w:eastAsia="es-ES"/>
    </w:rPr>
  </w:style>
  <w:style w:type="character" w:customStyle="1" w:styleId="01TitPrinCar">
    <w:name w:val="01TitPrin Car"/>
    <w:link w:val="01TitPrin"/>
    <w:rsid w:val="00E456C3"/>
    <w:rPr>
      <w:rFonts w:ascii="ITC Avant Garde" w:hAnsi="ITC Avant Garde" w:cs="Arial"/>
      <w:b/>
      <w:color w:val="000000"/>
      <w:lang w:val="es-ES" w:eastAsia="es-ES"/>
    </w:rPr>
  </w:style>
  <w:style w:type="paragraph" w:customStyle="1" w:styleId="N1IFT">
    <w:name w:val="N1 IFT"/>
    <w:basedOn w:val="Ttulo1"/>
    <w:link w:val="N1IFTCar"/>
    <w:autoRedefine/>
    <w:qFormat/>
    <w:rsid w:val="00E456C3"/>
    <w:pPr>
      <w:keepNext w:val="0"/>
      <w:keepLines w:val="0"/>
      <w:spacing w:before="0" w:after="200" w:line="276" w:lineRule="auto"/>
      <w:ind w:left="792" w:hanging="432"/>
      <w:jc w:val="both"/>
    </w:pPr>
    <w:rPr>
      <w:rFonts w:ascii="ITC Avant Garde" w:eastAsia="Calibri" w:hAnsi="ITC Avant Garde" w:cs="Arial"/>
      <w:bCs w:val="0"/>
      <w:color w:val="000000"/>
      <w:sz w:val="22"/>
      <w:szCs w:val="22"/>
    </w:rPr>
  </w:style>
  <w:style w:type="paragraph" w:customStyle="1" w:styleId="T2IFT">
    <w:name w:val="T2 IFT"/>
    <w:basedOn w:val="Niv2C4"/>
    <w:autoRedefine/>
    <w:qFormat/>
    <w:rsid w:val="00E456C3"/>
    <w:pPr>
      <w:jc w:val="left"/>
      <w:outlineLvl w:val="1"/>
    </w:pPr>
  </w:style>
  <w:style w:type="paragraph" w:styleId="TDC5">
    <w:name w:val="toc 5"/>
    <w:basedOn w:val="Normal"/>
    <w:next w:val="Normal"/>
    <w:autoRedefine/>
    <w:uiPriority w:val="39"/>
    <w:unhideWhenUsed/>
    <w:locked/>
    <w:rsid w:val="00E456C3"/>
    <w:pPr>
      <w:spacing w:after="100"/>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locked/>
    <w:rsid w:val="00E456C3"/>
    <w:pPr>
      <w:spacing w:after="100"/>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locked/>
    <w:rsid w:val="00E456C3"/>
    <w:pPr>
      <w:spacing w:after="100"/>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locked/>
    <w:rsid w:val="00E456C3"/>
    <w:pPr>
      <w:spacing w:after="100"/>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locked/>
    <w:rsid w:val="00E456C3"/>
    <w:pPr>
      <w:spacing w:after="100"/>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E456C3"/>
    <w:pPr>
      <w:adjustRightInd w:val="0"/>
      <w:ind w:left="851" w:right="760"/>
    </w:pPr>
    <w:rPr>
      <w:rFonts w:eastAsia="Times New Roman"/>
      <w:bCs/>
      <w:i/>
      <w:sz w:val="18"/>
      <w:szCs w:val="18"/>
    </w:rPr>
  </w:style>
  <w:style w:type="character" w:customStyle="1" w:styleId="CitaIFTCar0">
    <w:name w:val="Cita IFT Car"/>
    <w:link w:val="CitaIFT0"/>
    <w:rsid w:val="00E456C3"/>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E456C3"/>
    <w:pPr>
      <w:spacing w:after="200" w:line="276" w:lineRule="auto"/>
      <w:jc w:val="both"/>
    </w:pPr>
    <w:rPr>
      <w:rFonts w:ascii="ITC Avant Garde" w:hAnsi="ITC Avant Garde" w:cs="Arial"/>
      <w:color w:val="000000"/>
      <w:lang w:val="es-ES_tradnl" w:eastAsia="es-ES"/>
    </w:rPr>
  </w:style>
  <w:style w:type="character" w:customStyle="1" w:styleId="IFTTextoCar">
    <w:name w:val="IFT Texto Car"/>
    <w:basedOn w:val="Fuentedeprrafopredeter"/>
    <w:link w:val="IFTTexto"/>
    <w:rsid w:val="00E456C3"/>
    <w:rPr>
      <w:rFonts w:ascii="ITC Avant Garde" w:hAnsi="ITC Avant Garde" w:cs="Arial"/>
      <w:color w:val="000000"/>
      <w:lang w:val="es-ES_tradnl" w:eastAsia="es-ES"/>
    </w:rPr>
  </w:style>
  <w:style w:type="table" w:customStyle="1" w:styleId="TableNormal1">
    <w:name w:val="Table Normal1"/>
    <w:uiPriority w:val="2"/>
    <w:semiHidden/>
    <w:unhideWhenUsed/>
    <w:qFormat/>
    <w:rsid w:val="00E456C3"/>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56C3"/>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E456C3"/>
    <w:pPr>
      <w:keepNext/>
      <w:tabs>
        <w:tab w:val="left" w:pos="2041"/>
      </w:tabs>
      <w:spacing w:after="160" w:line="280" w:lineRule="atLeast"/>
    </w:pPr>
    <w:rPr>
      <w:rFonts w:ascii="Arial" w:eastAsiaTheme="minorHAnsi" w:hAnsi="Arial" w:cs="Arial"/>
      <w:bCs/>
      <w:iCs w:val="0"/>
      <w:color w:val="auto"/>
      <w:lang w:val="en-GB"/>
    </w:rPr>
  </w:style>
  <w:style w:type="character" w:styleId="Textodelmarcadordeposicin">
    <w:name w:val="Placeholder Text"/>
    <w:basedOn w:val="Fuentedeprrafopredeter"/>
    <w:uiPriority w:val="99"/>
    <w:semiHidden/>
    <w:rsid w:val="00E456C3"/>
    <w:rPr>
      <w:color w:val="808080"/>
    </w:rPr>
  </w:style>
  <w:style w:type="paragraph" w:customStyle="1" w:styleId="Prrafodelista11">
    <w:name w:val="Párrafo de lista11"/>
    <w:basedOn w:val="Normal"/>
    <w:uiPriority w:val="99"/>
    <w:rsid w:val="00E456C3"/>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E456C3"/>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E456C3"/>
    <w:rPr>
      <w:rFonts w:cs="Times New Roman"/>
      <w:b/>
    </w:rPr>
  </w:style>
  <w:style w:type="paragraph" w:customStyle="1" w:styleId="Sub-titulo">
    <w:name w:val="Sub-titulo"/>
    <w:basedOn w:val="Normal"/>
    <w:uiPriority w:val="99"/>
    <w:rsid w:val="00E456C3"/>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rsid w:val="00E456C3"/>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E456C3"/>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E456C3"/>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E456C3"/>
    <w:pPr>
      <w:numPr>
        <w:numId w:val="56"/>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E456C3"/>
    <w:pPr>
      <w:widowControl w:val="0"/>
      <w:numPr>
        <w:numId w:val="57"/>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E456C3"/>
    <w:rPr>
      <w:rFonts w:ascii="Arial" w:eastAsia="Times New Roman" w:hAnsi="Arial"/>
      <w:b/>
      <w:bCs/>
      <w:sz w:val="24"/>
      <w:szCs w:val="24"/>
      <w:lang w:val="es-ES_tradnl" w:eastAsia="x-none"/>
    </w:rPr>
  </w:style>
  <w:style w:type="paragraph" w:customStyle="1" w:styleId="SUBCAP1">
    <w:name w:val="SUBCAP1"/>
    <w:basedOn w:val="Normal"/>
    <w:link w:val="SUBCAP1Car"/>
    <w:qFormat/>
    <w:rsid w:val="00E456C3"/>
    <w:pPr>
      <w:numPr>
        <w:ilvl w:val="1"/>
        <w:numId w:val="58"/>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E456C3"/>
    <w:pPr>
      <w:numPr>
        <w:ilvl w:val="2"/>
        <w:numId w:val="58"/>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E456C3"/>
    <w:rPr>
      <w:rFonts w:ascii="Arial" w:eastAsia="Times New Roman" w:hAnsi="Arial"/>
      <w:b/>
      <w:bCs/>
      <w:sz w:val="24"/>
      <w:szCs w:val="24"/>
      <w:lang w:val="es-ES_tradnl" w:eastAsia="x-none"/>
    </w:rPr>
  </w:style>
  <w:style w:type="paragraph" w:customStyle="1" w:styleId="SUBCAP3">
    <w:name w:val="SUBCAP3"/>
    <w:basedOn w:val="SUBCAP2"/>
    <w:link w:val="SUBCAP3Car"/>
    <w:qFormat/>
    <w:rsid w:val="00E456C3"/>
    <w:pPr>
      <w:numPr>
        <w:ilvl w:val="3"/>
      </w:numPr>
    </w:pPr>
  </w:style>
  <w:style w:type="character" w:customStyle="1" w:styleId="SUBCAP2Car">
    <w:name w:val="SUBCAP2 Car"/>
    <w:link w:val="SUBCAP2"/>
    <w:rsid w:val="00E456C3"/>
    <w:rPr>
      <w:rFonts w:ascii="Arial" w:eastAsia="Times New Roman" w:hAnsi="Arial"/>
      <w:b/>
      <w:bCs/>
      <w:sz w:val="24"/>
      <w:szCs w:val="24"/>
      <w:lang w:val="es-ES_tradnl" w:eastAsia="x-none"/>
    </w:rPr>
  </w:style>
  <w:style w:type="paragraph" w:customStyle="1" w:styleId="SUBCAP4">
    <w:name w:val="SUBCAP4"/>
    <w:basedOn w:val="SUBCAP3"/>
    <w:link w:val="SUBCAP4Car"/>
    <w:qFormat/>
    <w:rsid w:val="00E456C3"/>
  </w:style>
  <w:style w:type="character" w:customStyle="1" w:styleId="SUBCAP3Car">
    <w:name w:val="SUBCAP3 Car"/>
    <w:basedOn w:val="SUBCAP2Car"/>
    <w:link w:val="SUBCAP3"/>
    <w:rsid w:val="00E456C3"/>
    <w:rPr>
      <w:rFonts w:ascii="Arial" w:eastAsia="Times New Roman" w:hAnsi="Arial"/>
      <w:b/>
      <w:bCs/>
      <w:sz w:val="24"/>
      <w:szCs w:val="24"/>
      <w:lang w:val="es-ES_tradnl" w:eastAsia="x-none"/>
    </w:rPr>
  </w:style>
  <w:style w:type="character" w:customStyle="1" w:styleId="SUBCAP4Car">
    <w:name w:val="SUBCAP4 Car"/>
    <w:basedOn w:val="SUBCAP3Car"/>
    <w:link w:val="SUBCAP4"/>
    <w:rsid w:val="00E456C3"/>
    <w:rPr>
      <w:rFonts w:ascii="Arial" w:eastAsia="Times New Roman" w:hAnsi="Arial"/>
      <w:b/>
      <w:bCs/>
      <w:sz w:val="24"/>
      <w:szCs w:val="24"/>
      <w:lang w:val="es-ES_tradnl" w:eastAsia="x-none"/>
    </w:rPr>
  </w:style>
  <w:style w:type="paragraph" w:styleId="ndice1">
    <w:name w:val="index 1"/>
    <w:basedOn w:val="Normal"/>
    <w:next w:val="Normal"/>
    <w:autoRedefine/>
    <w:uiPriority w:val="99"/>
    <w:semiHidden/>
    <w:unhideWhenUsed/>
    <w:rsid w:val="00E456C3"/>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E456C3"/>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E456C3"/>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E456C3"/>
    <w:rPr>
      <w:rFonts w:ascii="ITC Avant Garde" w:hAnsi="ITC Avant Garde" w:cs="Arial"/>
      <w:b/>
      <w:color w:val="000000"/>
      <w:lang w:val="es-ES" w:eastAsia="es-ES"/>
    </w:rPr>
  </w:style>
  <w:style w:type="numbering" w:customStyle="1" w:styleId="Sinlista6">
    <w:name w:val="Sin lista6"/>
    <w:next w:val="Sinlista"/>
    <w:uiPriority w:val="99"/>
    <w:semiHidden/>
    <w:unhideWhenUsed/>
    <w:rsid w:val="00692D54"/>
  </w:style>
  <w:style w:type="numbering" w:customStyle="1" w:styleId="Sinlista12">
    <w:name w:val="Sin lista12"/>
    <w:next w:val="Sinlista"/>
    <w:semiHidden/>
    <w:unhideWhenUsed/>
    <w:rsid w:val="00692D54"/>
  </w:style>
  <w:style w:type="table" w:customStyle="1" w:styleId="Tablaconcuadrcula2">
    <w:name w:val="Tabla con cuadrícula2"/>
    <w:basedOn w:val="Tablanormal"/>
    <w:next w:val="Tablaconcuadrcula"/>
    <w:uiPriority w:val="59"/>
    <w:rsid w:val="00692D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692D54"/>
    <w:pPr>
      <w:numPr>
        <w:numId w:val="10"/>
      </w:numPr>
    </w:pPr>
  </w:style>
  <w:style w:type="numbering" w:customStyle="1" w:styleId="Sinlista112">
    <w:name w:val="Sin lista112"/>
    <w:next w:val="Sinlista"/>
    <w:semiHidden/>
    <w:unhideWhenUsed/>
    <w:rsid w:val="00692D54"/>
  </w:style>
  <w:style w:type="numbering" w:customStyle="1" w:styleId="Sinlista22">
    <w:name w:val="Sin lista22"/>
    <w:next w:val="Sinlista"/>
    <w:semiHidden/>
    <w:rsid w:val="00692D54"/>
  </w:style>
  <w:style w:type="numbering" w:customStyle="1" w:styleId="Sinlista32">
    <w:name w:val="Sin lista32"/>
    <w:next w:val="Sinlista"/>
    <w:uiPriority w:val="99"/>
    <w:semiHidden/>
    <w:unhideWhenUsed/>
    <w:rsid w:val="00692D54"/>
  </w:style>
  <w:style w:type="numbering" w:customStyle="1" w:styleId="Sinlista42">
    <w:name w:val="Sin lista42"/>
    <w:next w:val="Sinlista"/>
    <w:semiHidden/>
    <w:unhideWhenUsed/>
    <w:rsid w:val="00692D54"/>
  </w:style>
  <w:style w:type="numbering" w:customStyle="1" w:styleId="1ai11">
    <w:name w:val="1 / a / i11"/>
    <w:basedOn w:val="Sinlista"/>
    <w:next w:val="1ai"/>
    <w:uiPriority w:val="99"/>
    <w:unhideWhenUsed/>
    <w:rsid w:val="00692D54"/>
    <w:pPr>
      <w:numPr>
        <w:numId w:val="7"/>
      </w:numPr>
    </w:pPr>
  </w:style>
  <w:style w:type="numbering" w:customStyle="1" w:styleId="Sinlista51">
    <w:name w:val="Sin lista51"/>
    <w:next w:val="Sinlista"/>
    <w:semiHidden/>
    <w:rsid w:val="00692D54"/>
  </w:style>
  <w:style w:type="numbering" w:customStyle="1" w:styleId="Sinlista1111">
    <w:name w:val="Sin lista1111"/>
    <w:next w:val="Sinlista"/>
    <w:semiHidden/>
    <w:unhideWhenUsed/>
    <w:rsid w:val="00692D54"/>
  </w:style>
  <w:style w:type="numbering" w:customStyle="1" w:styleId="Sinlista211">
    <w:name w:val="Sin lista211"/>
    <w:next w:val="Sinlista"/>
    <w:semiHidden/>
    <w:rsid w:val="00692D54"/>
  </w:style>
  <w:style w:type="numbering" w:customStyle="1" w:styleId="Sinlista311">
    <w:name w:val="Sin lista311"/>
    <w:next w:val="Sinlista"/>
    <w:uiPriority w:val="99"/>
    <w:semiHidden/>
    <w:unhideWhenUsed/>
    <w:rsid w:val="00692D54"/>
  </w:style>
  <w:style w:type="numbering" w:customStyle="1" w:styleId="Sinlista411">
    <w:name w:val="Sin lista411"/>
    <w:next w:val="Sinlista"/>
    <w:uiPriority w:val="99"/>
    <w:semiHidden/>
    <w:unhideWhenUsed/>
    <w:rsid w:val="00692D54"/>
  </w:style>
  <w:style w:type="table" w:customStyle="1" w:styleId="Listavistosa-nfasis12">
    <w:name w:val="Lista vistosa - Énfasis 12"/>
    <w:basedOn w:val="Tablanormal"/>
    <w:next w:val="Listavistosa-nfasis1"/>
    <w:uiPriority w:val="34"/>
    <w:semiHidden/>
    <w:unhideWhenUsed/>
    <w:rsid w:val="00692D54"/>
    <w:rPr>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5791">
      <w:bodyDiv w:val="1"/>
      <w:marLeft w:val="0"/>
      <w:marRight w:val="0"/>
      <w:marTop w:val="0"/>
      <w:marBottom w:val="0"/>
      <w:divBdr>
        <w:top w:val="none" w:sz="0" w:space="0" w:color="auto"/>
        <w:left w:val="none" w:sz="0" w:space="0" w:color="auto"/>
        <w:bottom w:val="none" w:sz="0" w:space="0" w:color="auto"/>
        <w:right w:val="none" w:sz="0" w:space="0" w:color="auto"/>
      </w:divBdr>
    </w:div>
    <w:div w:id="144206605">
      <w:bodyDiv w:val="1"/>
      <w:marLeft w:val="0"/>
      <w:marRight w:val="0"/>
      <w:marTop w:val="0"/>
      <w:marBottom w:val="0"/>
      <w:divBdr>
        <w:top w:val="none" w:sz="0" w:space="0" w:color="auto"/>
        <w:left w:val="none" w:sz="0" w:space="0" w:color="auto"/>
        <w:bottom w:val="none" w:sz="0" w:space="0" w:color="auto"/>
        <w:right w:val="none" w:sz="0" w:space="0" w:color="auto"/>
      </w:divBdr>
      <w:divsChild>
        <w:div w:id="1219590079">
          <w:marLeft w:val="274"/>
          <w:marRight w:val="0"/>
          <w:marTop w:val="0"/>
          <w:marBottom w:val="160"/>
          <w:divBdr>
            <w:top w:val="none" w:sz="0" w:space="0" w:color="auto"/>
            <w:left w:val="none" w:sz="0" w:space="0" w:color="auto"/>
            <w:bottom w:val="none" w:sz="0" w:space="0" w:color="auto"/>
            <w:right w:val="none" w:sz="0" w:space="0" w:color="auto"/>
          </w:divBdr>
        </w:div>
      </w:divsChild>
    </w:div>
    <w:div w:id="154928029">
      <w:bodyDiv w:val="1"/>
      <w:marLeft w:val="0"/>
      <w:marRight w:val="0"/>
      <w:marTop w:val="0"/>
      <w:marBottom w:val="0"/>
      <w:divBdr>
        <w:top w:val="none" w:sz="0" w:space="0" w:color="auto"/>
        <w:left w:val="none" w:sz="0" w:space="0" w:color="auto"/>
        <w:bottom w:val="none" w:sz="0" w:space="0" w:color="auto"/>
        <w:right w:val="none" w:sz="0" w:space="0" w:color="auto"/>
      </w:divBdr>
    </w:div>
    <w:div w:id="182599145">
      <w:bodyDiv w:val="1"/>
      <w:marLeft w:val="0"/>
      <w:marRight w:val="0"/>
      <w:marTop w:val="0"/>
      <w:marBottom w:val="0"/>
      <w:divBdr>
        <w:top w:val="none" w:sz="0" w:space="0" w:color="auto"/>
        <w:left w:val="none" w:sz="0" w:space="0" w:color="auto"/>
        <w:bottom w:val="none" w:sz="0" w:space="0" w:color="auto"/>
        <w:right w:val="none" w:sz="0" w:space="0" w:color="auto"/>
      </w:divBdr>
    </w:div>
    <w:div w:id="187106097">
      <w:bodyDiv w:val="1"/>
      <w:marLeft w:val="0"/>
      <w:marRight w:val="0"/>
      <w:marTop w:val="0"/>
      <w:marBottom w:val="0"/>
      <w:divBdr>
        <w:top w:val="none" w:sz="0" w:space="0" w:color="auto"/>
        <w:left w:val="none" w:sz="0" w:space="0" w:color="auto"/>
        <w:bottom w:val="none" w:sz="0" w:space="0" w:color="auto"/>
        <w:right w:val="none" w:sz="0" w:space="0" w:color="auto"/>
      </w:divBdr>
    </w:div>
    <w:div w:id="343557421">
      <w:bodyDiv w:val="1"/>
      <w:marLeft w:val="0"/>
      <w:marRight w:val="0"/>
      <w:marTop w:val="0"/>
      <w:marBottom w:val="0"/>
      <w:divBdr>
        <w:top w:val="none" w:sz="0" w:space="0" w:color="auto"/>
        <w:left w:val="none" w:sz="0" w:space="0" w:color="auto"/>
        <w:bottom w:val="none" w:sz="0" w:space="0" w:color="auto"/>
        <w:right w:val="none" w:sz="0" w:space="0" w:color="auto"/>
      </w:divBdr>
    </w:div>
    <w:div w:id="463427475">
      <w:bodyDiv w:val="1"/>
      <w:marLeft w:val="0"/>
      <w:marRight w:val="0"/>
      <w:marTop w:val="0"/>
      <w:marBottom w:val="0"/>
      <w:divBdr>
        <w:top w:val="none" w:sz="0" w:space="0" w:color="auto"/>
        <w:left w:val="none" w:sz="0" w:space="0" w:color="auto"/>
        <w:bottom w:val="none" w:sz="0" w:space="0" w:color="auto"/>
        <w:right w:val="none" w:sz="0" w:space="0" w:color="auto"/>
      </w:divBdr>
    </w:div>
    <w:div w:id="544176006">
      <w:bodyDiv w:val="1"/>
      <w:marLeft w:val="0"/>
      <w:marRight w:val="0"/>
      <w:marTop w:val="0"/>
      <w:marBottom w:val="0"/>
      <w:divBdr>
        <w:top w:val="none" w:sz="0" w:space="0" w:color="auto"/>
        <w:left w:val="none" w:sz="0" w:space="0" w:color="auto"/>
        <w:bottom w:val="none" w:sz="0" w:space="0" w:color="auto"/>
        <w:right w:val="none" w:sz="0" w:space="0" w:color="auto"/>
      </w:divBdr>
      <w:divsChild>
        <w:div w:id="1781340141">
          <w:marLeft w:val="274"/>
          <w:marRight w:val="0"/>
          <w:marTop w:val="0"/>
          <w:marBottom w:val="160"/>
          <w:divBdr>
            <w:top w:val="none" w:sz="0" w:space="0" w:color="auto"/>
            <w:left w:val="none" w:sz="0" w:space="0" w:color="auto"/>
            <w:bottom w:val="none" w:sz="0" w:space="0" w:color="auto"/>
            <w:right w:val="none" w:sz="0" w:space="0" w:color="auto"/>
          </w:divBdr>
        </w:div>
        <w:div w:id="1774591126">
          <w:marLeft w:val="274"/>
          <w:marRight w:val="0"/>
          <w:marTop w:val="0"/>
          <w:marBottom w:val="160"/>
          <w:divBdr>
            <w:top w:val="none" w:sz="0" w:space="0" w:color="auto"/>
            <w:left w:val="none" w:sz="0" w:space="0" w:color="auto"/>
            <w:bottom w:val="none" w:sz="0" w:space="0" w:color="auto"/>
            <w:right w:val="none" w:sz="0" w:space="0" w:color="auto"/>
          </w:divBdr>
        </w:div>
        <w:div w:id="115607320">
          <w:marLeft w:val="274"/>
          <w:marRight w:val="0"/>
          <w:marTop w:val="0"/>
          <w:marBottom w:val="160"/>
          <w:divBdr>
            <w:top w:val="none" w:sz="0" w:space="0" w:color="auto"/>
            <w:left w:val="none" w:sz="0" w:space="0" w:color="auto"/>
            <w:bottom w:val="none" w:sz="0" w:space="0" w:color="auto"/>
            <w:right w:val="none" w:sz="0" w:space="0" w:color="auto"/>
          </w:divBdr>
        </w:div>
      </w:divsChild>
    </w:div>
    <w:div w:id="557791153">
      <w:bodyDiv w:val="1"/>
      <w:marLeft w:val="0"/>
      <w:marRight w:val="0"/>
      <w:marTop w:val="0"/>
      <w:marBottom w:val="0"/>
      <w:divBdr>
        <w:top w:val="none" w:sz="0" w:space="0" w:color="auto"/>
        <w:left w:val="none" w:sz="0" w:space="0" w:color="auto"/>
        <w:bottom w:val="none" w:sz="0" w:space="0" w:color="auto"/>
        <w:right w:val="none" w:sz="0" w:space="0" w:color="auto"/>
      </w:divBdr>
      <w:divsChild>
        <w:div w:id="712921365">
          <w:marLeft w:val="274"/>
          <w:marRight w:val="0"/>
          <w:marTop w:val="0"/>
          <w:marBottom w:val="160"/>
          <w:divBdr>
            <w:top w:val="none" w:sz="0" w:space="0" w:color="auto"/>
            <w:left w:val="none" w:sz="0" w:space="0" w:color="auto"/>
            <w:bottom w:val="none" w:sz="0" w:space="0" w:color="auto"/>
            <w:right w:val="none" w:sz="0" w:space="0" w:color="auto"/>
          </w:divBdr>
        </w:div>
        <w:div w:id="1453013243">
          <w:marLeft w:val="274"/>
          <w:marRight w:val="0"/>
          <w:marTop w:val="0"/>
          <w:marBottom w:val="160"/>
          <w:divBdr>
            <w:top w:val="none" w:sz="0" w:space="0" w:color="auto"/>
            <w:left w:val="none" w:sz="0" w:space="0" w:color="auto"/>
            <w:bottom w:val="none" w:sz="0" w:space="0" w:color="auto"/>
            <w:right w:val="none" w:sz="0" w:space="0" w:color="auto"/>
          </w:divBdr>
        </w:div>
        <w:div w:id="1762797735">
          <w:marLeft w:val="274"/>
          <w:marRight w:val="0"/>
          <w:marTop w:val="0"/>
          <w:marBottom w:val="160"/>
          <w:divBdr>
            <w:top w:val="none" w:sz="0" w:space="0" w:color="auto"/>
            <w:left w:val="none" w:sz="0" w:space="0" w:color="auto"/>
            <w:bottom w:val="none" w:sz="0" w:space="0" w:color="auto"/>
            <w:right w:val="none" w:sz="0" w:space="0" w:color="auto"/>
          </w:divBdr>
        </w:div>
      </w:divsChild>
    </w:div>
    <w:div w:id="641038387">
      <w:bodyDiv w:val="1"/>
      <w:marLeft w:val="0"/>
      <w:marRight w:val="0"/>
      <w:marTop w:val="0"/>
      <w:marBottom w:val="0"/>
      <w:divBdr>
        <w:top w:val="none" w:sz="0" w:space="0" w:color="auto"/>
        <w:left w:val="none" w:sz="0" w:space="0" w:color="auto"/>
        <w:bottom w:val="none" w:sz="0" w:space="0" w:color="auto"/>
        <w:right w:val="none" w:sz="0" w:space="0" w:color="auto"/>
      </w:divBdr>
    </w:div>
    <w:div w:id="1275555841">
      <w:bodyDiv w:val="1"/>
      <w:marLeft w:val="0"/>
      <w:marRight w:val="0"/>
      <w:marTop w:val="0"/>
      <w:marBottom w:val="0"/>
      <w:divBdr>
        <w:top w:val="none" w:sz="0" w:space="0" w:color="auto"/>
        <w:left w:val="none" w:sz="0" w:space="0" w:color="auto"/>
        <w:bottom w:val="none" w:sz="0" w:space="0" w:color="auto"/>
        <w:right w:val="none" w:sz="0" w:space="0" w:color="auto"/>
      </w:divBdr>
    </w:div>
    <w:div w:id="1572498360">
      <w:bodyDiv w:val="1"/>
      <w:marLeft w:val="0"/>
      <w:marRight w:val="0"/>
      <w:marTop w:val="0"/>
      <w:marBottom w:val="0"/>
      <w:divBdr>
        <w:top w:val="none" w:sz="0" w:space="0" w:color="auto"/>
        <w:left w:val="none" w:sz="0" w:space="0" w:color="auto"/>
        <w:bottom w:val="none" w:sz="0" w:space="0" w:color="auto"/>
        <w:right w:val="none" w:sz="0" w:space="0" w:color="auto"/>
      </w:divBdr>
    </w:div>
    <w:div w:id="1589845033">
      <w:bodyDiv w:val="1"/>
      <w:marLeft w:val="0"/>
      <w:marRight w:val="0"/>
      <w:marTop w:val="0"/>
      <w:marBottom w:val="0"/>
      <w:divBdr>
        <w:top w:val="none" w:sz="0" w:space="0" w:color="auto"/>
        <w:left w:val="none" w:sz="0" w:space="0" w:color="auto"/>
        <w:bottom w:val="none" w:sz="0" w:space="0" w:color="auto"/>
        <w:right w:val="none" w:sz="0" w:space="0" w:color="auto"/>
      </w:divBdr>
    </w:div>
    <w:div w:id="1727143485">
      <w:marLeft w:val="0"/>
      <w:marRight w:val="0"/>
      <w:marTop w:val="0"/>
      <w:marBottom w:val="0"/>
      <w:divBdr>
        <w:top w:val="none" w:sz="0" w:space="0" w:color="auto"/>
        <w:left w:val="none" w:sz="0" w:space="0" w:color="auto"/>
        <w:bottom w:val="none" w:sz="0" w:space="0" w:color="auto"/>
        <w:right w:val="none" w:sz="0" w:space="0" w:color="auto"/>
      </w:divBdr>
      <w:divsChild>
        <w:div w:id="1727143487">
          <w:marLeft w:val="0"/>
          <w:marRight w:val="0"/>
          <w:marTop w:val="240"/>
          <w:marBottom w:val="0"/>
          <w:divBdr>
            <w:top w:val="none" w:sz="0" w:space="0" w:color="auto"/>
            <w:left w:val="none" w:sz="0" w:space="0" w:color="auto"/>
            <w:bottom w:val="none" w:sz="0" w:space="0" w:color="auto"/>
            <w:right w:val="none" w:sz="0" w:space="0" w:color="auto"/>
          </w:divBdr>
          <w:divsChild>
            <w:div w:id="1727143483">
              <w:marLeft w:val="0"/>
              <w:marRight w:val="0"/>
              <w:marTop w:val="0"/>
              <w:marBottom w:val="0"/>
              <w:divBdr>
                <w:top w:val="none" w:sz="0" w:space="0" w:color="auto"/>
                <w:left w:val="none" w:sz="0" w:space="0" w:color="auto"/>
                <w:bottom w:val="none" w:sz="0" w:space="0" w:color="auto"/>
                <w:right w:val="none" w:sz="0" w:space="0" w:color="auto"/>
              </w:divBdr>
              <w:divsChild>
                <w:div w:id="1727143486">
                  <w:marLeft w:val="0"/>
                  <w:marRight w:val="0"/>
                  <w:marTop w:val="0"/>
                  <w:marBottom w:val="0"/>
                  <w:divBdr>
                    <w:top w:val="none" w:sz="0" w:space="0" w:color="auto"/>
                    <w:left w:val="none" w:sz="0" w:space="0" w:color="auto"/>
                    <w:bottom w:val="none" w:sz="0" w:space="0" w:color="auto"/>
                    <w:right w:val="none" w:sz="0" w:space="0" w:color="auto"/>
                  </w:divBdr>
                  <w:divsChild>
                    <w:div w:id="17271434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858929187">
      <w:bodyDiv w:val="1"/>
      <w:marLeft w:val="0"/>
      <w:marRight w:val="0"/>
      <w:marTop w:val="0"/>
      <w:marBottom w:val="0"/>
      <w:divBdr>
        <w:top w:val="none" w:sz="0" w:space="0" w:color="auto"/>
        <w:left w:val="none" w:sz="0" w:space="0" w:color="auto"/>
        <w:bottom w:val="none" w:sz="0" w:space="0" w:color="auto"/>
        <w:right w:val="none" w:sz="0" w:space="0" w:color="auto"/>
      </w:divBdr>
    </w:div>
    <w:div w:id="1956790595">
      <w:bodyDiv w:val="1"/>
      <w:marLeft w:val="0"/>
      <w:marRight w:val="0"/>
      <w:marTop w:val="0"/>
      <w:marBottom w:val="0"/>
      <w:divBdr>
        <w:top w:val="none" w:sz="0" w:space="0" w:color="auto"/>
        <w:left w:val="none" w:sz="0" w:space="0" w:color="auto"/>
        <w:bottom w:val="none" w:sz="0" w:space="0" w:color="auto"/>
        <w:right w:val="none" w:sz="0" w:space="0" w:color="auto"/>
      </w:divBdr>
      <w:divsChild>
        <w:div w:id="1334264653">
          <w:marLeft w:val="864"/>
          <w:marRight w:val="864"/>
          <w:marTop w:val="0"/>
          <w:marBottom w:val="100"/>
          <w:divBdr>
            <w:top w:val="none" w:sz="0" w:space="0" w:color="auto"/>
            <w:left w:val="none" w:sz="0" w:space="0" w:color="auto"/>
            <w:bottom w:val="none" w:sz="0" w:space="0" w:color="auto"/>
            <w:right w:val="none" w:sz="0" w:space="0" w:color="auto"/>
          </w:divBdr>
        </w:div>
        <w:div w:id="110132555">
          <w:marLeft w:val="864"/>
          <w:marRight w:val="864"/>
          <w:marTop w:val="0"/>
          <w:marBottom w:val="100"/>
          <w:divBdr>
            <w:top w:val="none" w:sz="0" w:space="0" w:color="auto"/>
            <w:left w:val="none" w:sz="0" w:space="0" w:color="auto"/>
            <w:bottom w:val="none" w:sz="0" w:space="0" w:color="auto"/>
            <w:right w:val="none" w:sz="0" w:space="0" w:color="auto"/>
          </w:divBdr>
        </w:div>
        <w:div w:id="1620529752">
          <w:marLeft w:val="900"/>
          <w:marRight w:val="864"/>
          <w:marTop w:val="0"/>
          <w:marBottom w:val="100"/>
          <w:divBdr>
            <w:top w:val="none" w:sz="0" w:space="0" w:color="auto"/>
            <w:left w:val="none" w:sz="0" w:space="0" w:color="auto"/>
            <w:bottom w:val="none" w:sz="0" w:space="0" w:color="auto"/>
            <w:right w:val="none" w:sz="0" w:space="0" w:color="auto"/>
          </w:divBdr>
        </w:div>
        <w:div w:id="571964585">
          <w:marLeft w:val="900"/>
          <w:marRight w:val="864"/>
          <w:marTop w:val="0"/>
          <w:marBottom w:val="100"/>
          <w:divBdr>
            <w:top w:val="none" w:sz="0" w:space="0" w:color="auto"/>
            <w:left w:val="none" w:sz="0" w:space="0" w:color="auto"/>
            <w:bottom w:val="none" w:sz="0" w:space="0" w:color="auto"/>
            <w:right w:val="none" w:sz="0" w:space="0" w:color="auto"/>
          </w:divBdr>
        </w:div>
        <w:div w:id="2119442369">
          <w:marLeft w:val="864"/>
          <w:marRight w:val="864"/>
          <w:marTop w:val="0"/>
          <w:marBottom w:val="100"/>
          <w:divBdr>
            <w:top w:val="none" w:sz="0" w:space="0" w:color="auto"/>
            <w:left w:val="none" w:sz="0" w:space="0" w:color="auto"/>
            <w:bottom w:val="none" w:sz="0" w:space="0" w:color="auto"/>
            <w:right w:val="none" w:sz="0" w:space="0" w:color="auto"/>
          </w:divBdr>
        </w:div>
        <w:div w:id="948509711">
          <w:marLeft w:val="864"/>
          <w:marRight w:val="864"/>
          <w:marTop w:val="0"/>
          <w:marBottom w:val="100"/>
          <w:divBdr>
            <w:top w:val="none" w:sz="0" w:space="0" w:color="auto"/>
            <w:left w:val="none" w:sz="0" w:space="0" w:color="auto"/>
            <w:bottom w:val="none" w:sz="0" w:space="0" w:color="auto"/>
            <w:right w:val="none" w:sz="0" w:space="0" w:color="auto"/>
          </w:divBdr>
        </w:div>
      </w:divsChild>
    </w:div>
    <w:div w:id="1984112581">
      <w:bodyDiv w:val="1"/>
      <w:marLeft w:val="0"/>
      <w:marRight w:val="0"/>
      <w:marTop w:val="0"/>
      <w:marBottom w:val="0"/>
      <w:divBdr>
        <w:top w:val="none" w:sz="0" w:space="0" w:color="auto"/>
        <w:left w:val="none" w:sz="0" w:space="0" w:color="auto"/>
        <w:bottom w:val="none" w:sz="0" w:space="0" w:color="auto"/>
        <w:right w:val="none" w:sz="0" w:space="0" w:color="auto"/>
      </w:divBdr>
      <w:divsChild>
        <w:div w:id="582449379">
          <w:marLeft w:val="274"/>
          <w:marRight w:val="0"/>
          <w:marTop w:val="0"/>
          <w:marBottom w:val="160"/>
          <w:divBdr>
            <w:top w:val="none" w:sz="0" w:space="0" w:color="auto"/>
            <w:left w:val="none" w:sz="0" w:space="0" w:color="auto"/>
            <w:bottom w:val="none" w:sz="0" w:space="0" w:color="auto"/>
            <w:right w:val="none" w:sz="0" w:space="0" w:color="auto"/>
          </w:divBdr>
        </w:div>
        <w:div w:id="2077972743">
          <w:marLeft w:val="562"/>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wmf"/><Relationship Id="rId42" Type="http://schemas.openxmlformats.org/officeDocument/2006/relationships/image" Target="media/image22.wmf"/><Relationship Id="rId47" Type="http://schemas.openxmlformats.org/officeDocument/2006/relationships/oleObject" Target="embeddings/oleObject9.bin"/><Relationship Id="rId63" Type="http://schemas.openxmlformats.org/officeDocument/2006/relationships/image" Target="media/image32.emf"/><Relationship Id="rId68" Type="http://schemas.openxmlformats.org/officeDocument/2006/relationships/image" Target="media/image37.png"/><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mailto:5550154000@%3coperador.mx" TargetMode="External"/><Relationship Id="rId32" Type="http://schemas.openxmlformats.org/officeDocument/2006/relationships/image" Target="media/image17.wmf"/><Relationship Id="rId37" Type="http://schemas.openxmlformats.org/officeDocument/2006/relationships/oleObject" Target="embeddings/oleObject4.bin"/><Relationship Id="rId53" Type="http://schemas.openxmlformats.org/officeDocument/2006/relationships/oleObject" Target="embeddings/oleObject13.bin"/><Relationship Id="rId58" Type="http://schemas.openxmlformats.org/officeDocument/2006/relationships/image" Target="media/image28.wmf"/><Relationship Id="rId74" Type="http://schemas.openxmlformats.org/officeDocument/2006/relationships/image" Target="media/image43.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yperlink" Target="mailto:unavailable@unavailable.invalid" TargetMode="External"/><Relationship Id="rId22" Type="http://schemas.openxmlformats.org/officeDocument/2006/relationships/image" Target="media/image8.w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27.wmf"/><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oleObject" Target="embeddings/oleObject11.bin"/><Relationship Id="rId72" Type="http://schemas.openxmlformats.org/officeDocument/2006/relationships/image" Target="media/image41.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5550154000@operador.mx%20o%20direcci&#243;n%20IP%3e;user=phone"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oleObject" Target="embeddings/oleObject2.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7.bin"/><Relationship Id="rId67" Type="http://schemas.openxmlformats.org/officeDocument/2006/relationships/image" Target="media/image36.png"/><Relationship Id="rId20" Type="http://schemas.openxmlformats.org/officeDocument/2006/relationships/image" Target="media/image6.png"/><Relationship Id="rId41" Type="http://schemas.openxmlformats.org/officeDocument/2006/relationships/oleObject" Target="embeddings/oleObject6.bin"/><Relationship Id="rId54" Type="http://schemas.openxmlformats.org/officeDocument/2006/relationships/oleObject" Target="embeddings/oleObject14.bin"/><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DC+SN@operador.mx"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oleObject" Target="embeddings/oleObject10.bin"/><Relationship Id="rId57" Type="http://schemas.openxmlformats.org/officeDocument/2006/relationships/oleObject" Target="embeddings/oleObject16.bin"/><Relationship Id="rId10" Type="http://schemas.openxmlformats.org/officeDocument/2006/relationships/hyperlink" Target="sip:%3c5512345678@operador.mx" TargetMode="External"/><Relationship Id="rId31" Type="http://schemas.openxmlformats.org/officeDocument/2006/relationships/oleObject" Target="embeddings/oleObject1.bin"/><Relationship Id="rId44" Type="http://schemas.openxmlformats.org/officeDocument/2006/relationships/image" Target="media/image23.wmf"/><Relationship Id="rId52" Type="http://schemas.openxmlformats.org/officeDocument/2006/relationships/oleObject" Target="embeddings/oleObject12.bin"/><Relationship Id="rId60" Type="http://schemas.openxmlformats.org/officeDocument/2006/relationships/image" Target="media/image29.png"/><Relationship Id="rId65" Type="http://schemas.openxmlformats.org/officeDocument/2006/relationships/image" Target="media/image34.wmf"/><Relationship Id="rId73" Type="http://schemas.openxmlformats.org/officeDocument/2006/relationships/image" Target="media/image42.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Dibujo_de_Microsoft_Visio1111111111111111111111111111111111111111111.vsdx"/><Relationship Id="rId13" Type="http://schemas.openxmlformats.org/officeDocument/2006/relationships/hyperlink" Target="mailto:unknown@unknown.invalid" TargetMode="External"/><Relationship Id="rId18" Type="http://schemas.openxmlformats.org/officeDocument/2006/relationships/image" Target="media/image4.png"/><Relationship Id="rId39" Type="http://schemas.openxmlformats.org/officeDocument/2006/relationships/oleObject" Target="embeddings/oleObject5.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5.bin"/><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1.wmf"/><Relationship Id="rId45" Type="http://schemas.openxmlformats.org/officeDocument/2006/relationships/oleObject" Target="embeddings/oleObject8.bin"/><Relationship Id="rId66" Type="http://schemas.openxmlformats.org/officeDocument/2006/relationships/image" Target="media/image35.png"/><Relationship Id="rId61" Type="http://schemas.openxmlformats.org/officeDocument/2006/relationships/image" Target="media/image30.png"/><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71BDE-5B79-463C-BB93-20A8DE3C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25426</Words>
  <Characters>139847</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ANEXO ÚNICO</vt:lpstr>
    </vt:vector>
  </TitlesOfParts>
  <Company/>
  <LinksUpToDate>false</LinksUpToDate>
  <CharactersWithSpaces>164944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ÚNICO</dc:title>
  <dc:subject/>
  <dc:creator>Adriana Williams Hernandez</dc:creator>
  <cp:keywords/>
  <dc:description/>
  <cp:lastModifiedBy>Josue Teoyotl Calderon</cp:lastModifiedBy>
  <cp:revision>5</cp:revision>
  <cp:lastPrinted>2014-11-12T23:56:00Z</cp:lastPrinted>
  <dcterms:created xsi:type="dcterms:W3CDTF">2018-08-23T18:28:00Z</dcterms:created>
  <dcterms:modified xsi:type="dcterms:W3CDTF">2018-08-23T20:45:00Z</dcterms:modified>
</cp:coreProperties>
</file>