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835" w:rsidRPr="00BE5D49" w:rsidRDefault="0083664A" w:rsidP="0069622D">
      <w:pPr>
        <w:spacing w:after="0" w:line="240" w:lineRule="auto"/>
        <w:jc w:val="both"/>
        <w:rPr>
          <w:rFonts w:ascii="ITC Avant Garde" w:hAnsi="ITC Avant Garde" w:cs="Arial"/>
          <w:b/>
          <w:color w:val="000000" w:themeColor="text1"/>
        </w:rPr>
      </w:pPr>
      <w:r w:rsidRPr="00BE5D49">
        <w:rPr>
          <w:rFonts w:ascii="ITC Avant Garde" w:hAnsi="ITC Avant Garde" w:cs="Arial"/>
          <w:b/>
          <w:color w:val="000000" w:themeColor="text1"/>
        </w:rPr>
        <w:t>CONSIDERACIONES</w:t>
      </w:r>
      <w:r w:rsidR="00DF7AC6" w:rsidRPr="00BE5D49">
        <w:rPr>
          <w:rFonts w:ascii="ITC Avant Garde" w:hAnsi="ITC Avant Garde" w:cs="Arial"/>
          <w:b/>
          <w:color w:val="000000" w:themeColor="text1"/>
        </w:rPr>
        <w:t xml:space="preserve"> GENERALES DEL INSTITUTO FEDERAL DE TELECOMUNICACIONES A LAS MANIFESTACIONES, OPINIONES, </w:t>
      </w:r>
      <w:r w:rsidR="004B714E" w:rsidRPr="00BE5D49">
        <w:rPr>
          <w:rFonts w:ascii="ITC Avant Garde" w:hAnsi="ITC Avant Garde" w:cs="Arial"/>
          <w:b/>
          <w:color w:val="000000" w:themeColor="text1"/>
        </w:rPr>
        <w:t>COMENTARIOS Y PROPUESTAS, PRESENTADAS DURANTE LA CONSULTA PÚBLICA SOBRE LA “</w:t>
      </w:r>
      <w:r w:rsidR="004B714E" w:rsidRPr="00BE5D49">
        <w:rPr>
          <w:rFonts w:ascii="ITC Avant Garde" w:hAnsi="ITC Avant Garde" w:cs="Arial"/>
          <w:b/>
          <w:bCs/>
          <w:color w:val="000000" w:themeColor="text1"/>
        </w:rPr>
        <w:t>METODOLOGÍA DE REPLICABILIDAD ECONÓMICA APLICABLE A LOS SERVICIOS DEL AGENTE ECONÓMICO PREPONDERANTE EN TELECOMUNICACIONES</w:t>
      </w:r>
      <w:r w:rsidR="004B714E" w:rsidRPr="00BE5D49">
        <w:rPr>
          <w:rFonts w:ascii="ITC Avant Garde" w:hAnsi="ITC Avant Garde" w:cs="Arial"/>
          <w:b/>
          <w:color w:val="000000" w:themeColor="text1"/>
        </w:rPr>
        <w:t>”.</w:t>
      </w:r>
    </w:p>
    <w:p w:rsidR="002853A6" w:rsidRDefault="002853A6" w:rsidP="0069622D">
      <w:pPr>
        <w:spacing w:after="0" w:line="240" w:lineRule="auto"/>
        <w:jc w:val="both"/>
        <w:rPr>
          <w:rFonts w:ascii="ITC Avant Garde" w:hAnsi="ITC Avant Garde" w:cs="Arial"/>
          <w:b/>
          <w:color w:val="000000" w:themeColor="text1"/>
        </w:rPr>
      </w:pPr>
    </w:p>
    <w:p w:rsidR="005F287B" w:rsidRPr="00BE5D49" w:rsidRDefault="005F287B" w:rsidP="0069622D">
      <w:pPr>
        <w:spacing w:after="0" w:line="240" w:lineRule="auto"/>
        <w:jc w:val="both"/>
        <w:rPr>
          <w:rFonts w:ascii="ITC Avant Garde" w:hAnsi="ITC Avant Garde" w:cs="Arial"/>
          <w:b/>
          <w:color w:val="000000" w:themeColor="text1"/>
        </w:rPr>
      </w:pPr>
    </w:p>
    <w:p w:rsidR="0066687F" w:rsidRPr="00BE5D49" w:rsidRDefault="00DF7AC6" w:rsidP="0069622D">
      <w:pPr>
        <w:spacing w:after="0" w:line="240" w:lineRule="auto"/>
        <w:jc w:val="both"/>
        <w:rPr>
          <w:rFonts w:ascii="ITC Avant Garde" w:hAnsi="ITC Avant Garde" w:cs="Arial"/>
          <w:color w:val="000000" w:themeColor="text1"/>
        </w:rPr>
      </w:pPr>
      <w:r w:rsidRPr="00BE5D49">
        <w:rPr>
          <w:rFonts w:ascii="ITC Avant Garde" w:hAnsi="ITC Avant Garde" w:cs="Arial"/>
          <w:color w:val="000000" w:themeColor="text1"/>
        </w:rPr>
        <w:t>Con relación a las manifestaciones, opiniones, comentarios y propuestas recibidas dura</w:t>
      </w:r>
      <w:r w:rsidR="0010062D" w:rsidRPr="00BE5D49">
        <w:rPr>
          <w:rFonts w:ascii="ITC Avant Garde" w:hAnsi="ITC Avant Garde" w:cs="Arial"/>
          <w:color w:val="000000" w:themeColor="text1"/>
        </w:rPr>
        <w:t xml:space="preserve">nte el periodo comprendido del </w:t>
      </w:r>
      <w:r w:rsidR="002853A6" w:rsidRPr="00BE5D49">
        <w:rPr>
          <w:rFonts w:ascii="ITC Avant Garde" w:hAnsi="ITC Avant Garde" w:cs="Arial"/>
          <w:color w:val="000000" w:themeColor="text1"/>
        </w:rPr>
        <w:t>19</w:t>
      </w:r>
      <w:r w:rsidRPr="00BE5D49">
        <w:rPr>
          <w:rFonts w:ascii="ITC Avant Garde" w:hAnsi="ITC Avant Garde" w:cs="Arial"/>
          <w:color w:val="000000" w:themeColor="text1"/>
        </w:rPr>
        <w:t xml:space="preserve"> </w:t>
      </w:r>
      <w:r w:rsidR="002853A6" w:rsidRPr="00BE5D49">
        <w:rPr>
          <w:rFonts w:ascii="ITC Avant Garde" w:hAnsi="ITC Avant Garde" w:cs="Arial"/>
          <w:color w:val="000000" w:themeColor="text1"/>
        </w:rPr>
        <w:t>de junio al 14 de julio</w:t>
      </w:r>
      <w:r w:rsidR="00124EFD">
        <w:rPr>
          <w:rFonts w:ascii="ITC Avant Garde" w:hAnsi="ITC Avant Garde" w:cs="Arial"/>
          <w:color w:val="000000" w:themeColor="text1"/>
        </w:rPr>
        <w:t xml:space="preserve"> de 2017</w:t>
      </w:r>
      <w:r w:rsidR="002853A6" w:rsidRPr="00BE5D49">
        <w:rPr>
          <w:rFonts w:ascii="ITC Avant Garde" w:hAnsi="ITC Avant Garde" w:cs="Arial"/>
          <w:color w:val="000000" w:themeColor="text1"/>
        </w:rPr>
        <w:t xml:space="preserve"> (2</w:t>
      </w:r>
      <w:r w:rsidRPr="00BE5D49">
        <w:rPr>
          <w:rFonts w:ascii="ITC Avant Garde" w:hAnsi="ITC Avant Garde" w:cs="Arial"/>
          <w:color w:val="000000" w:themeColor="text1"/>
        </w:rPr>
        <w:t xml:space="preserve">0 días hábiles), respecto </w:t>
      </w:r>
      <w:r w:rsidR="000013A2" w:rsidRPr="00BE5D49">
        <w:rPr>
          <w:rFonts w:ascii="ITC Avant Garde" w:hAnsi="ITC Avant Garde" w:cs="Arial"/>
          <w:color w:val="000000" w:themeColor="text1"/>
        </w:rPr>
        <w:t>a</w:t>
      </w:r>
      <w:r w:rsidR="002853A6" w:rsidRPr="00BE5D49">
        <w:rPr>
          <w:rFonts w:ascii="ITC Avant Garde" w:hAnsi="ITC Avant Garde" w:cs="Arial"/>
          <w:color w:val="000000" w:themeColor="text1"/>
        </w:rPr>
        <w:t xml:space="preserve"> la Metodología</w:t>
      </w:r>
      <w:r w:rsidR="00CF41F4" w:rsidRPr="00BE5D49">
        <w:rPr>
          <w:rFonts w:ascii="ITC Avant Garde" w:hAnsi="ITC Avant Garde" w:cs="Arial"/>
          <w:color w:val="000000" w:themeColor="text1"/>
        </w:rPr>
        <w:t xml:space="preserve"> </w:t>
      </w:r>
      <w:r w:rsidR="00E63480" w:rsidRPr="00BE5D49">
        <w:rPr>
          <w:rFonts w:ascii="ITC Avant Garde" w:hAnsi="ITC Avant Garde" w:cs="Arial"/>
          <w:bCs/>
          <w:color w:val="000000" w:themeColor="text1"/>
        </w:rPr>
        <w:t>de Replicabilidad Económica Aplicable a los Servicios del Agente Económico Preponderante en Telecomunicaciones (en lo sucesivo, “Metodología”),</w:t>
      </w:r>
      <w:r w:rsidR="00E63480" w:rsidRPr="00BE5D49">
        <w:rPr>
          <w:rFonts w:ascii="ITC Avant Garde" w:hAnsi="ITC Avant Garde" w:cs="Arial"/>
          <w:color w:val="000000" w:themeColor="text1"/>
        </w:rPr>
        <w:t xml:space="preserve"> </w:t>
      </w:r>
      <w:r w:rsidRPr="00BE5D49">
        <w:rPr>
          <w:rFonts w:ascii="ITC Avant Garde" w:hAnsi="ITC Avant Garde" w:cs="Arial"/>
          <w:color w:val="000000" w:themeColor="text1"/>
        </w:rPr>
        <w:t xml:space="preserve">materia de la consulta pública de mérito, se informa que el Instituto Federal de Telecomunicaciones (en lo sucesivo, el “Instituto”) </w:t>
      </w:r>
      <w:r w:rsidR="000333F7" w:rsidRPr="00BE5D49">
        <w:rPr>
          <w:rFonts w:ascii="ITC Avant Garde" w:hAnsi="ITC Avant Garde" w:cs="Arial"/>
          <w:color w:val="000000" w:themeColor="text1"/>
        </w:rPr>
        <w:t xml:space="preserve">recibió 15 (quince) participaciones, todas </w:t>
      </w:r>
      <w:r w:rsidR="00DA2E13" w:rsidRPr="00BE5D49">
        <w:rPr>
          <w:rFonts w:ascii="ITC Avant Garde" w:hAnsi="ITC Avant Garde" w:cs="Arial"/>
          <w:color w:val="000000" w:themeColor="text1"/>
        </w:rPr>
        <w:t>realizadas  por</w:t>
      </w:r>
      <w:r w:rsidR="000333F7" w:rsidRPr="00BE5D49">
        <w:rPr>
          <w:rFonts w:ascii="ITC Avant Garde" w:hAnsi="ITC Avant Garde" w:cs="Arial"/>
          <w:color w:val="000000" w:themeColor="text1"/>
        </w:rPr>
        <w:t xml:space="preserve"> personas morales</w:t>
      </w:r>
      <w:r w:rsidR="00E63480" w:rsidRPr="00BE5D49">
        <w:rPr>
          <w:rFonts w:ascii="ITC Avant Garde" w:hAnsi="ITC Avant Garde" w:cs="Arial"/>
          <w:color w:val="000000" w:themeColor="text1"/>
        </w:rPr>
        <w:t>. Asimismo,</w:t>
      </w:r>
      <w:r w:rsidR="000333F7" w:rsidRPr="00BE5D49">
        <w:rPr>
          <w:rFonts w:ascii="ITC Avant Garde" w:hAnsi="ITC Avant Garde" w:cs="Arial"/>
          <w:color w:val="000000" w:themeColor="text1"/>
        </w:rPr>
        <w:t xml:space="preserve"> </w:t>
      </w:r>
      <w:r w:rsidR="00E63480" w:rsidRPr="00BE5D49">
        <w:rPr>
          <w:rFonts w:ascii="ITC Avant Garde" w:hAnsi="ITC Avant Garde" w:cs="Arial"/>
          <w:color w:val="000000" w:themeColor="text1"/>
        </w:rPr>
        <w:t>s</w:t>
      </w:r>
      <w:r w:rsidR="000333F7" w:rsidRPr="00BE5D49">
        <w:rPr>
          <w:rFonts w:ascii="ITC Avant Garde" w:hAnsi="ITC Avant Garde" w:cs="Arial"/>
          <w:color w:val="000000" w:themeColor="text1"/>
        </w:rPr>
        <w:t xml:space="preserve">e </w:t>
      </w:r>
      <w:r w:rsidRPr="00BE5D49">
        <w:rPr>
          <w:rFonts w:ascii="ITC Avant Garde" w:hAnsi="ITC Avant Garde" w:cs="Arial"/>
          <w:color w:val="000000" w:themeColor="text1"/>
        </w:rPr>
        <w:t>identific</w:t>
      </w:r>
      <w:r w:rsidR="00E63480" w:rsidRPr="00BE5D49">
        <w:rPr>
          <w:rFonts w:ascii="ITC Avant Garde" w:hAnsi="ITC Avant Garde" w:cs="Arial"/>
          <w:color w:val="000000" w:themeColor="text1"/>
        </w:rPr>
        <w:t>aron</w:t>
      </w:r>
      <w:r w:rsidRPr="00BE5D49">
        <w:rPr>
          <w:rFonts w:ascii="ITC Avant Garde" w:hAnsi="ITC Avant Garde" w:cs="Arial"/>
          <w:color w:val="000000" w:themeColor="text1"/>
        </w:rPr>
        <w:t xml:space="preserve"> diversos temas, </w:t>
      </w:r>
      <w:r w:rsidR="00E63480" w:rsidRPr="00BE5D49">
        <w:rPr>
          <w:rFonts w:ascii="ITC Avant Garde" w:hAnsi="ITC Avant Garde" w:cs="Arial"/>
          <w:color w:val="000000" w:themeColor="text1"/>
        </w:rPr>
        <w:t xml:space="preserve">los cuales </w:t>
      </w:r>
      <w:r w:rsidRPr="00BE5D49">
        <w:rPr>
          <w:rFonts w:ascii="ITC Avant Garde" w:hAnsi="ITC Avant Garde" w:cs="Arial"/>
          <w:color w:val="000000" w:themeColor="text1"/>
        </w:rPr>
        <w:t xml:space="preserve">han sido </w:t>
      </w:r>
      <w:r w:rsidR="00F615B7" w:rsidRPr="00BE5D49">
        <w:rPr>
          <w:rFonts w:ascii="ITC Avant Garde" w:hAnsi="ITC Avant Garde" w:cs="Arial"/>
          <w:color w:val="000000" w:themeColor="text1"/>
        </w:rPr>
        <w:t xml:space="preserve">resumidos y </w:t>
      </w:r>
      <w:r w:rsidRPr="00BE5D49">
        <w:rPr>
          <w:rFonts w:ascii="ITC Avant Garde" w:hAnsi="ITC Avant Garde" w:cs="Arial"/>
          <w:color w:val="000000" w:themeColor="text1"/>
        </w:rPr>
        <w:t xml:space="preserve">agrupados de manera genérica para </w:t>
      </w:r>
      <w:r w:rsidR="006A7DF9" w:rsidRPr="00BE5D49">
        <w:rPr>
          <w:rFonts w:ascii="ITC Avant Garde" w:hAnsi="ITC Avant Garde" w:cs="Arial"/>
          <w:color w:val="000000" w:themeColor="text1"/>
        </w:rPr>
        <w:t>una</w:t>
      </w:r>
      <w:r w:rsidRPr="00BE5D49">
        <w:rPr>
          <w:rFonts w:ascii="ITC Avant Garde" w:hAnsi="ITC Avant Garde" w:cs="Arial"/>
          <w:color w:val="000000" w:themeColor="text1"/>
        </w:rPr>
        <w:t xml:space="preserve"> mejor identificación. </w:t>
      </w:r>
      <w:r w:rsidR="006A7DF9" w:rsidRPr="00BE5D49">
        <w:rPr>
          <w:rFonts w:ascii="ITC Avant Garde" w:hAnsi="ITC Avant Garde" w:cs="Arial"/>
          <w:color w:val="000000" w:themeColor="text1"/>
        </w:rPr>
        <w:t>Por lo tanto, u</w:t>
      </w:r>
      <w:r w:rsidRPr="00BE5D49">
        <w:rPr>
          <w:rFonts w:ascii="ITC Avant Garde" w:hAnsi="ITC Avant Garde" w:cs="Arial"/>
          <w:color w:val="000000" w:themeColor="text1"/>
        </w:rPr>
        <w:t xml:space="preserve">na vez concluido el </w:t>
      </w:r>
      <w:r w:rsidR="006A7DF9" w:rsidRPr="00BE5D49">
        <w:rPr>
          <w:rFonts w:ascii="ITC Avant Garde" w:hAnsi="ITC Avant Garde" w:cs="Arial"/>
          <w:color w:val="000000" w:themeColor="text1"/>
        </w:rPr>
        <w:t xml:space="preserve">plazo de consulta </w:t>
      </w:r>
      <w:r w:rsidR="0066687F" w:rsidRPr="00BE5D49">
        <w:rPr>
          <w:rFonts w:ascii="ITC Avant Garde" w:hAnsi="ITC Avant Garde" w:cs="Arial"/>
          <w:color w:val="000000" w:themeColor="text1"/>
        </w:rPr>
        <w:t>respectivo</w:t>
      </w:r>
      <w:r w:rsidRPr="00BE5D49">
        <w:rPr>
          <w:rFonts w:ascii="ITC Avant Garde" w:hAnsi="ITC Avant Garde" w:cs="Arial"/>
          <w:color w:val="000000" w:themeColor="text1"/>
        </w:rPr>
        <w:t>,</w:t>
      </w:r>
      <w:r w:rsidR="006A7DF9" w:rsidRPr="00BE5D49">
        <w:rPr>
          <w:rFonts w:ascii="ITC Avant Garde" w:hAnsi="ITC Avant Garde" w:cs="Arial"/>
          <w:color w:val="000000" w:themeColor="text1"/>
        </w:rPr>
        <w:t xml:space="preserve"> </w:t>
      </w:r>
      <w:r w:rsidR="00DA2E13" w:rsidRPr="00BE5D49">
        <w:rPr>
          <w:rFonts w:ascii="ITC Avant Garde" w:hAnsi="ITC Avant Garde" w:cs="Arial"/>
          <w:color w:val="000000" w:themeColor="text1"/>
        </w:rPr>
        <w:t>toda</w:t>
      </w:r>
      <w:r w:rsidR="006A7DF9" w:rsidRPr="00BE5D49">
        <w:rPr>
          <w:rFonts w:ascii="ITC Avant Garde" w:hAnsi="ITC Avant Garde" w:cs="Arial"/>
          <w:color w:val="000000" w:themeColor="text1"/>
        </w:rPr>
        <w:t>s</w:t>
      </w:r>
      <w:r w:rsidR="00DA2E13" w:rsidRPr="00BE5D49">
        <w:rPr>
          <w:rFonts w:ascii="ITC Avant Garde" w:hAnsi="ITC Avant Garde" w:cs="Arial"/>
          <w:color w:val="000000" w:themeColor="text1"/>
        </w:rPr>
        <w:t xml:space="preserve"> y cada una de la</w:t>
      </w:r>
      <w:r w:rsidR="006A7DF9" w:rsidRPr="00BE5D49">
        <w:rPr>
          <w:rFonts w:ascii="ITC Avant Garde" w:hAnsi="ITC Avant Garde" w:cs="Arial"/>
          <w:color w:val="000000" w:themeColor="text1"/>
        </w:rPr>
        <w:t xml:space="preserve">s </w:t>
      </w:r>
      <w:r w:rsidR="00DA2E13" w:rsidRPr="00BE5D49">
        <w:rPr>
          <w:rFonts w:ascii="ITC Avant Garde" w:hAnsi="ITC Avant Garde" w:cs="Arial"/>
          <w:color w:val="000000" w:themeColor="text1"/>
        </w:rPr>
        <w:t>manifestaciones, opiniones,</w:t>
      </w:r>
      <w:r w:rsidR="006A7DF9" w:rsidRPr="00BE5D49">
        <w:rPr>
          <w:rFonts w:ascii="ITC Avant Garde" w:hAnsi="ITC Avant Garde" w:cs="Arial"/>
          <w:color w:val="000000" w:themeColor="text1"/>
        </w:rPr>
        <w:t xml:space="preserve"> propuestas</w:t>
      </w:r>
      <w:r w:rsidR="00DA2E13" w:rsidRPr="00BE5D49">
        <w:rPr>
          <w:rFonts w:ascii="ITC Avant Garde" w:hAnsi="ITC Avant Garde" w:cs="Arial"/>
          <w:color w:val="000000" w:themeColor="text1"/>
        </w:rPr>
        <w:t>, así como todos los comentarios</w:t>
      </w:r>
      <w:r w:rsidR="006A7DF9" w:rsidRPr="00BE5D49">
        <w:rPr>
          <w:rFonts w:ascii="ITC Avant Garde" w:hAnsi="ITC Avant Garde" w:cs="Arial"/>
          <w:color w:val="000000" w:themeColor="text1"/>
        </w:rPr>
        <w:t xml:space="preserve"> </w:t>
      </w:r>
      <w:r w:rsidR="00DA2E13" w:rsidRPr="00BE5D49">
        <w:rPr>
          <w:rFonts w:ascii="ITC Avant Garde" w:hAnsi="ITC Avant Garde" w:cs="Arial"/>
          <w:color w:val="000000" w:themeColor="text1"/>
        </w:rPr>
        <w:t>que se recibieron,</w:t>
      </w:r>
      <w:r w:rsidR="00490951" w:rsidRPr="00BE5D49">
        <w:rPr>
          <w:rFonts w:ascii="ITC Avant Garde" w:hAnsi="ITC Avant Garde" w:cs="Arial"/>
          <w:color w:val="000000" w:themeColor="text1"/>
        </w:rPr>
        <w:t xml:space="preserve"> </w:t>
      </w:r>
      <w:r w:rsidR="0066687F" w:rsidRPr="00BE5D49">
        <w:rPr>
          <w:rFonts w:ascii="ITC Avant Garde" w:hAnsi="ITC Avant Garde" w:cs="Arial"/>
          <w:color w:val="000000" w:themeColor="text1"/>
        </w:rPr>
        <w:t>quedaron publicados</w:t>
      </w:r>
      <w:r w:rsidRPr="00BE5D49">
        <w:rPr>
          <w:rFonts w:ascii="ITC Avant Garde" w:hAnsi="ITC Avant Garde" w:cs="Arial"/>
          <w:color w:val="000000" w:themeColor="text1"/>
        </w:rPr>
        <w:t xml:space="preserve"> en el portal del Instituto.</w:t>
      </w:r>
    </w:p>
    <w:p w:rsidR="006A7DF9" w:rsidRPr="00BE5D49" w:rsidRDefault="006A7DF9" w:rsidP="0069622D">
      <w:pPr>
        <w:spacing w:after="0" w:line="240" w:lineRule="auto"/>
        <w:jc w:val="both"/>
        <w:rPr>
          <w:rFonts w:ascii="ITC Avant Garde" w:hAnsi="ITC Avant Garde" w:cs="Arial"/>
          <w:color w:val="000000" w:themeColor="text1"/>
        </w:rPr>
      </w:pPr>
    </w:p>
    <w:p w:rsidR="00616344" w:rsidRPr="00BE5D49" w:rsidRDefault="006C6CD8" w:rsidP="0069622D">
      <w:pPr>
        <w:spacing w:after="0" w:line="240" w:lineRule="auto"/>
        <w:jc w:val="both"/>
        <w:rPr>
          <w:rFonts w:ascii="ITC Avant Garde" w:hAnsi="ITC Avant Garde" w:cs="Arial"/>
          <w:color w:val="000000" w:themeColor="text1"/>
        </w:rPr>
      </w:pPr>
      <w:r w:rsidRPr="00BE5D49">
        <w:rPr>
          <w:rFonts w:ascii="ITC Avant Garde" w:hAnsi="ITC Avant Garde" w:cs="Arial"/>
          <w:color w:val="000000" w:themeColor="text1"/>
        </w:rPr>
        <w:t>L</w:t>
      </w:r>
      <w:r w:rsidR="003C0878" w:rsidRPr="00BE5D49">
        <w:rPr>
          <w:rFonts w:ascii="ITC Avant Garde" w:hAnsi="ITC Avant Garde" w:cs="Arial"/>
          <w:color w:val="000000" w:themeColor="text1"/>
        </w:rPr>
        <w:t xml:space="preserve">os participantes </w:t>
      </w:r>
      <w:r w:rsidR="00163344">
        <w:rPr>
          <w:rFonts w:ascii="ITC Avant Garde" w:hAnsi="ITC Avant Garde" w:cs="Arial"/>
          <w:color w:val="000000" w:themeColor="text1"/>
        </w:rPr>
        <w:t xml:space="preserve">en </w:t>
      </w:r>
      <w:r w:rsidR="003C0878" w:rsidRPr="00BE5D49">
        <w:rPr>
          <w:rFonts w:ascii="ITC Avant Garde" w:hAnsi="ITC Avant Garde" w:cs="Arial"/>
          <w:color w:val="000000" w:themeColor="text1"/>
        </w:rPr>
        <w:t>el proceso de consulta pública</w:t>
      </w:r>
      <w:r w:rsidRPr="00BE5D49">
        <w:rPr>
          <w:rFonts w:ascii="ITC Avant Garde" w:hAnsi="ITC Avant Garde" w:cs="Arial"/>
          <w:color w:val="000000" w:themeColor="text1"/>
        </w:rPr>
        <w:t xml:space="preserve"> fueron los siguientes</w:t>
      </w:r>
      <w:r w:rsidR="00616344" w:rsidRPr="00BE5D49">
        <w:rPr>
          <w:rFonts w:ascii="ITC Avant Garde" w:hAnsi="ITC Avant Garde" w:cs="Arial"/>
          <w:color w:val="000000" w:themeColor="text1"/>
        </w:rPr>
        <w:t>:</w:t>
      </w:r>
    </w:p>
    <w:p w:rsidR="00F6513C" w:rsidRPr="00BE5D49" w:rsidRDefault="00F6513C" w:rsidP="0069622D">
      <w:pPr>
        <w:spacing w:after="0" w:line="240" w:lineRule="auto"/>
        <w:jc w:val="both"/>
        <w:rPr>
          <w:rFonts w:ascii="ITC Avant Garde" w:hAnsi="ITC Avant Garde" w:cs="Arial"/>
          <w:color w:val="000000" w:themeColor="text1"/>
        </w:rPr>
      </w:pPr>
    </w:p>
    <w:p w:rsidR="00C865CA" w:rsidRPr="00BE5D49" w:rsidRDefault="005B3F1E" w:rsidP="0069622D">
      <w:pPr>
        <w:pStyle w:val="Prrafodelista"/>
        <w:numPr>
          <w:ilvl w:val="0"/>
          <w:numId w:val="1"/>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Total Play Comunicaciones, S.A. de C.V.</w:t>
      </w:r>
    </w:p>
    <w:p w:rsidR="00C865CA" w:rsidRPr="00BE5D49" w:rsidRDefault="005B3F1E" w:rsidP="0069622D">
      <w:pPr>
        <w:pStyle w:val="Prrafodelista"/>
        <w:numPr>
          <w:ilvl w:val="0"/>
          <w:numId w:val="1"/>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México Red de Telecomunicaciones, S. de R.L. de C.V.</w:t>
      </w:r>
    </w:p>
    <w:p w:rsidR="005B3F1E" w:rsidRPr="00BE5D49" w:rsidRDefault="005B3F1E" w:rsidP="0069622D">
      <w:pPr>
        <w:pStyle w:val="Prrafodelista"/>
        <w:numPr>
          <w:ilvl w:val="0"/>
          <w:numId w:val="1"/>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Operbes, S.A. de C.V.</w:t>
      </w:r>
    </w:p>
    <w:p w:rsidR="00D004B7" w:rsidRPr="00BE5D49" w:rsidRDefault="005B3F1E" w:rsidP="0069622D">
      <w:pPr>
        <w:pStyle w:val="Prrafodelista"/>
        <w:numPr>
          <w:ilvl w:val="0"/>
          <w:numId w:val="1"/>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Maxcom Telecomunicaciones, S.A.B. de C.V.</w:t>
      </w:r>
    </w:p>
    <w:p w:rsidR="00C865CA" w:rsidRPr="00BE5D49" w:rsidRDefault="005B3F1E" w:rsidP="0069622D">
      <w:pPr>
        <w:pStyle w:val="Prrafodelista"/>
        <w:numPr>
          <w:ilvl w:val="0"/>
          <w:numId w:val="1"/>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Axtel, S.A.B. de C.V.</w:t>
      </w:r>
    </w:p>
    <w:p w:rsidR="00C865CA" w:rsidRPr="00BE5D49" w:rsidRDefault="005B3F1E" w:rsidP="0069622D">
      <w:pPr>
        <w:pStyle w:val="Prrafodelista"/>
        <w:numPr>
          <w:ilvl w:val="0"/>
          <w:numId w:val="1"/>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Megacable Comunicaciones de México S.A. de C.V.</w:t>
      </w:r>
    </w:p>
    <w:p w:rsidR="00F558FA" w:rsidRPr="00BE5D49" w:rsidRDefault="005B3F1E" w:rsidP="0069622D">
      <w:pPr>
        <w:pStyle w:val="Prrafodelista"/>
        <w:numPr>
          <w:ilvl w:val="0"/>
          <w:numId w:val="1"/>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Corporación de Radio y Televisión del Norte de México, S. DE R.L. DE C.V.</w:t>
      </w:r>
    </w:p>
    <w:p w:rsidR="00F558FA" w:rsidRPr="00BE5D49" w:rsidRDefault="005B3F1E" w:rsidP="0069622D">
      <w:pPr>
        <w:pStyle w:val="Prrafodelista"/>
        <w:numPr>
          <w:ilvl w:val="0"/>
          <w:numId w:val="1"/>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Cámara Nacional de la Industria Electrónica, de Telecomunicaciones y Tecnologías de la Información</w:t>
      </w:r>
      <w:r w:rsidR="00B76B90" w:rsidRPr="00BE5D49">
        <w:rPr>
          <w:rFonts w:ascii="ITC Avant Garde" w:hAnsi="ITC Avant Garde" w:cs="Arial"/>
          <w:color w:val="000000" w:themeColor="text1"/>
        </w:rPr>
        <w:t xml:space="preserve"> (en lo sucesivo, “CANIETI”)</w:t>
      </w:r>
      <w:r w:rsidR="0067321B" w:rsidRPr="00BE5D49">
        <w:rPr>
          <w:rFonts w:ascii="ITC Avant Garde" w:hAnsi="ITC Avant Garde" w:cs="Arial"/>
          <w:color w:val="000000" w:themeColor="text1"/>
        </w:rPr>
        <w:t>.</w:t>
      </w:r>
      <w:r w:rsidR="00F558FA" w:rsidRPr="00BE5D49">
        <w:rPr>
          <w:rFonts w:ascii="ITC Avant Garde" w:hAnsi="ITC Avant Garde" w:cs="Arial"/>
          <w:color w:val="000000" w:themeColor="text1"/>
        </w:rPr>
        <w:t xml:space="preserve"> </w:t>
      </w:r>
    </w:p>
    <w:p w:rsidR="00C865CA" w:rsidRPr="00BE5D49" w:rsidRDefault="005B3F1E" w:rsidP="0069622D">
      <w:pPr>
        <w:pStyle w:val="Prrafodelista"/>
        <w:numPr>
          <w:ilvl w:val="0"/>
          <w:numId w:val="1"/>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Mega Cable, S.A. de C.V.</w:t>
      </w:r>
    </w:p>
    <w:p w:rsidR="00C865CA" w:rsidRPr="00BE5D49" w:rsidRDefault="005B3F1E" w:rsidP="0069622D">
      <w:pPr>
        <w:pStyle w:val="Prrafodelista"/>
        <w:numPr>
          <w:ilvl w:val="0"/>
          <w:numId w:val="1"/>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ALTÁN Redes, S.A.P.I. de C.V.</w:t>
      </w:r>
    </w:p>
    <w:p w:rsidR="00F558FA" w:rsidRPr="00BE5D49" w:rsidRDefault="005B3F1E" w:rsidP="0069622D">
      <w:pPr>
        <w:pStyle w:val="Prrafodelista"/>
        <w:numPr>
          <w:ilvl w:val="0"/>
          <w:numId w:val="1"/>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Pegaso PCS, S.A. de C.V.</w:t>
      </w:r>
      <w:r w:rsidR="00F558FA" w:rsidRPr="00BE5D49">
        <w:rPr>
          <w:rFonts w:ascii="ITC Avant Garde" w:hAnsi="ITC Avant Garde" w:cs="Arial"/>
          <w:color w:val="000000" w:themeColor="text1"/>
        </w:rPr>
        <w:t xml:space="preserve"> </w:t>
      </w:r>
    </w:p>
    <w:p w:rsidR="00C865CA" w:rsidRPr="00BE5D49" w:rsidRDefault="005B3F1E" w:rsidP="0069622D">
      <w:pPr>
        <w:pStyle w:val="Prrafodelista"/>
        <w:numPr>
          <w:ilvl w:val="0"/>
          <w:numId w:val="1"/>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Telecomunicaciones 360, S.A. de C.V.</w:t>
      </w:r>
    </w:p>
    <w:p w:rsidR="005B3F1E" w:rsidRPr="00BE5D49" w:rsidRDefault="005B3F1E" w:rsidP="0069622D">
      <w:pPr>
        <w:pStyle w:val="Prrafodelista"/>
        <w:numPr>
          <w:ilvl w:val="0"/>
          <w:numId w:val="1"/>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Teléfonos de México</w:t>
      </w:r>
      <w:r w:rsidR="0067321B" w:rsidRPr="00BE5D49">
        <w:rPr>
          <w:rFonts w:ascii="ITC Avant Garde" w:hAnsi="ITC Avant Garde" w:cs="Arial"/>
          <w:color w:val="000000" w:themeColor="text1"/>
        </w:rPr>
        <w:t>, S.A.B. DE C.V.,</w:t>
      </w:r>
      <w:r w:rsidRPr="00BE5D49">
        <w:rPr>
          <w:rFonts w:ascii="ITC Avant Garde" w:hAnsi="ITC Avant Garde" w:cs="Arial"/>
          <w:color w:val="000000" w:themeColor="text1"/>
        </w:rPr>
        <w:t xml:space="preserve"> Teléfonos del Noroeste, S.A. de C.V.</w:t>
      </w:r>
    </w:p>
    <w:p w:rsidR="005B3F1E" w:rsidRPr="00BE5D49" w:rsidRDefault="005B3F1E" w:rsidP="0069622D">
      <w:pPr>
        <w:pStyle w:val="Prrafodelista"/>
        <w:numPr>
          <w:ilvl w:val="0"/>
          <w:numId w:val="1"/>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Bestphone, S.A. de C.V., Operbes, S.A. de C.V., Cablevisión, S.A. de C.V., Cable y Comunicación de Campeche, S.A. de C.V., Cablemás Telecomunicaciones, S.A. de C.V., Televisión Internacional, S.A. de C.V., TV Cable de Oriente, S.A. de C.V. y México Red de Telecomunicaciones, S. de R.L. de C.V.</w:t>
      </w:r>
    </w:p>
    <w:p w:rsidR="00DF6835" w:rsidRPr="00BE5D49" w:rsidRDefault="00E31150" w:rsidP="00E31150">
      <w:pPr>
        <w:pStyle w:val="Prrafodelista"/>
        <w:numPr>
          <w:ilvl w:val="0"/>
          <w:numId w:val="1"/>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AT&amp;T Comunicaciones Digitales, S. de R.L. de C.V., AT&amp;T Comercialización Móvil, S. de R.L. de C.V., Grupo AT&amp;T Celullar, S. de R.L. de C.V. y AT&amp;T Desarrollo en Comunicaciones de México, S. de R.L. de C.V., (en lo suce</w:t>
      </w:r>
      <w:r w:rsidR="0025373B" w:rsidRPr="00BE5D49">
        <w:rPr>
          <w:rFonts w:ascii="ITC Avant Garde" w:hAnsi="ITC Avant Garde" w:cs="Arial"/>
          <w:color w:val="000000" w:themeColor="text1"/>
        </w:rPr>
        <w:t>sivo, conjuntamente, “</w:t>
      </w:r>
      <w:r w:rsidRPr="00BE5D49">
        <w:rPr>
          <w:rFonts w:ascii="ITC Avant Garde" w:hAnsi="ITC Avant Garde" w:cs="Arial"/>
          <w:color w:val="000000" w:themeColor="text1"/>
        </w:rPr>
        <w:t>Grupo AT&amp;T</w:t>
      </w:r>
      <w:r w:rsidR="0025373B" w:rsidRPr="00BE5D49">
        <w:rPr>
          <w:rFonts w:ascii="ITC Avant Garde" w:hAnsi="ITC Avant Garde" w:cs="Arial"/>
          <w:color w:val="000000" w:themeColor="text1"/>
        </w:rPr>
        <w:t>”</w:t>
      </w:r>
      <w:r w:rsidRPr="00BE5D49">
        <w:rPr>
          <w:rFonts w:ascii="ITC Avant Garde" w:hAnsi="ITC Avant Garde" w:cs="Arial"/>
          <w:color w:val="000000" w:themeColor="text1"/>
        </w:rPr>
        <w:t>)</w:t>
      </w:r>
      <w:r w:rsidR="008854F1" w:rsidRPr="00BE5D49">
        <w:rPr>
          <w:rFonts w:ascii="ITC Avant Garde" w:hAnsi="ITC Avant Garde" w:cs="Arial"/>
          <w:color w:val="000000" w:themeColor="text1"/>
        </w:rPr>
        <w:t>.</w:t>
      </w:r>
    </w:p>
    <w:p w:rsidR="0069622D" w:rsidRPr="00BE5D49" w:rsidRDefault="0069622D" w:rsidP="0069622D">
      <w:pPr>
        <w:spacing w:after="0" w:line="240" w:lineRule="auto"/>
        <w:jc w:val="both"/>
        <w:rPr>
          <w:rFonts w:ascii="ITC Avant Garde" w:hAnsi="ITC Avant Garde" w:cs="Arial"/>
          <w:color w:val="000000" w:themeColor="text1"/>
        </w:rPr>
      </w:pPr>
    </w:p>
    <w:p w:rsidR="00DC39F2" w:rsidRPr="00BE5D49" w:rsidRDefault="00837273" w:rsidP="0069622D">
      <w:pPr>
        <w:spacing w:after="0" w:line="240" w:lineRule="auto"/>
        <w:jc w:val="both"/>
        <w:rPr>
          <w:rFonts w:ascii="ITC Avant Garde" w:hAnsi="ITC Avant Garde" w:cs="Arial"/>
          <w:color w:val="000000" w:themeColor="text1"/>
        </w:rPr>
      </w:pPr>
      <w:r w:rsidRPr="00BE5D49">
        <w:rPr>
          <w:rFonts w:ascii="ITC Avant Garde" w:hAnsi="ITC Avant Garde" w:cs="Arial"/>
          <w:color w:val="000000" w:themeColor="text1"/>
        </w:rPr>
        <w:t>De acuerdo con la información</w:t>
      </w:r>
      <w:r w:rsidR="00F7631F" w:rsidRPr="00BE5D49">
        <w:rPr>
          <w:rFonts w:ascii="ITC Avant Garde" w:hAnsi="ITC Avant Garde" w:cs="Arial"/>
          <w:color w:val="000000" w:themeColor="text1"/>
        </w:rPr>
        <w:t xml:space="preserve"> recopilad</w:t>
      </w:r>
      <w:r w:rsidRPr="00BE5D49">
        <w:rPr>
          <w:rFonts w:ascii="ITC Avant Garde" w:hAnsi="ITC Avant Garde" w:cs="Arial"/>
          <w:color w:val="000000" w:themeColor="text1"/>
        </w:rPr>
        <w:t>a,</w:t>
      </w:r>
      <w:r w:rsidR="00F7631F" w:rsidRPr="00BE5D49">
        <w:rPr>
          <w:rFonts w:ascii="ITC Avant Garde" w:hAnsi="ITC Avant Garde" w:cs="Arial"/>
          <w:color w:val="000000" w:themeColor="text1"/>
        </w:rPr>
        <w:t xml:space="preserve"> los </w:t>
      </w:r>
      <w:r w:rsidR="003F39D5" w:rsidRPr="00BE5D49">
        <w:rPr>
          <w:rFonts w:ascii="ITC Avant Garde" w:hAnsi="ITC Avant Garde" w:cs="Arial"/>
          <w:color w:val="000000" w:themeColor="text1"/>
        </w:rPr>
        <w:t>temas</w:t>
      </w:r>
      <w:r w:rsidR="00F7631F" w:rsidRPr="00BE5D49">
        <w:rPr>
          <w:rFonts w:ascii="ITC Avant Garde" w:hAnsi="ITC Avant Garde" w:cs="Arial"/>
          <w:color w:val="000000" w:themeColor="text1"/>
        </w:rPr>
        <w:t xml:space="preserve"> </w:t>
      </w:r>
      <w:r w:rsidR="005F287B">
        <w:rPr>
          <w:rFonts w:ascii="ITC Avant Garde" w:hAnsi="ITC Avant Garde" w:cs="Arial"/>
          <w:color w:val="000000" w:themeColor="text1"/>
        </w:rPr>
        <w:t xml:space="preserve">más </w:t>
      </w:r>
      <w:r w:rsidR="00F7631F" w:rsidRPr="00BE5D49">
        <w:rPr>
          <w:rFonts w:ascii="ITC Avant Garde" w:hAnsi="ITC Avant Garde" w:cs="Arial"/>
          <w:color w:val="000000" w:themeColor="text1"/>
        </w:rPr>
        <w:t>comentados</w:t>
      </w:r>
      <w:r w:rsidR="005C539B" w:rsidRPr="00BE5D49">
        <w:rPr>
          <w:rFonts w:ascii="ITC Avant Garde" w:hAnsi="ITC Avant Garde" w:cs="Arial"/>
          <w:color w:val="000000" w:themeColor="text1"/>
        </w:rPr>
        <w:t xml:space="preserve"> que derivaron de la consulta pública</w:t>
      </w:r>
      <w:r w:rsidR="00F7631F" w:rsidRPr="00BE5D49">
        <w:rPr>
          <w:rFonts w:ascii="ITC Avant Garde" w:hAnsi="ITC Avant Garde" w:cs="Arial"/>
          <w:color w:val="000000" w:themeColor="text1"/>
        </w:rPr>
        <w:t xml:space="preserve"> </w:t>
      </w:r>
      <w:r w:rsidRPr="00BE5D49">
        <w:rPr>
          <w:rFonts w:ascii="ITC Avant Garde" w:hAnsi="ITC Avant Garde" w:cs="Arial"/>
          <w:color w:val="000000" w:themeColor="text1"/>
        </w:rPr>
        <w:t>se presentan en la siguiente tabla.</w:t>
      </w:r>
    </w:p>
    <w:p w:rsidR="00DC39F2" w:rsidRPr="00BE5D49" w:rsidRDefault="00DC39F2" w:rsidP="00BE5D49">
      <w:pPr>
        <w:pStyle w:val="Descripcin"/>
        <w:jc w:val="center"/>
        <w:rPr>
          <w:rFonts w:ascii="ITC Avant Garde" w:hAnsi="ITC Avant Garde"/>
          <w:sz w:val="18"/>
          <w:szCs w:val="18"/>
        </w:rPr>
      </w:pPr>
      <w:r w:rsidRPr="00BE5D49">
        <w:rPr>
          <w:rFonts w:ascii="ITC Avant Garde" w:eastAsiaTheme="minorHAnsi" w:hAnsi="ITC Avant Garde"/>
          <w:sz w:val="18"/>
          <w:szCs w:val="18"/>
          <w:lang w:val="es-MX"/>
        </w:rPr>
        <w:t xml:space="preserve">Tabla </w:t>
      </w:r>
      <w:r w:rsidRPr="00BE5D49">
        <w:rPr>
          <w:rFonts w:ascii="ITC Avant Garde" w:eastAsiaTheme="minorHAnsi" w:hAnsi="ITC Avant Garde"/>
          <w:sz w:val="18"/>
          <w:szCs w:val="18"/>
          <w:lang w:val="es-MX"/>
        </w:rPr>
        <w:fldChar w:fldCharType="begin"/>
      </w:r>
      <w:r w:rsidRPr="00BE5D49">
        <w:rPr>
          <w:rFonts w:ascii="ITC Avant Garde" w:eastAsiaTheme="minorHAnsi" w:hAnsi="ITC Avant Garde"/>
          <w:sz w:val="18"/>
          <w:szCs w:val="18"/>
          <w:lang w:val="es-MX"/>
        </w:rPr>
        <w:instrText xml:space="preserve"> SEQ Tabla \* ARABIC </w:instrText>
      </w:r>
      <w:r w:rsidRPr="00BE5D49">
        <w:rPr>
          <w:rFonts w:ascii="ITC Avant Garde" w:eastAsiaTheme="minorHAnsi" w:hAnsi="ITC Avant Garde"/>
          <w:sz w:val="18"/>
          <w:szCs w:val="18"/>
          <w:lang w:val="es-MX"/>
        </w:rPr>
        <w:fldChar w:fldCharType="separate"/>
      </w:r>
      <w:r w:rsidRPr="00BE5D49">
        <w:rPr>
          <w:rFonts w:ascii="ITC Avant Garde" w:eastAsiaTheme="minorHAnsi" w:hAnsi="ITC Avant Garde"/>
          <w:sz w:val="18"/>
          <w:szCs w:val="18"/>
          <w:lang w:val="es-MX"/>
        </w:rPr>
        <w:t>1</w:t>
      </w:r>
      <w:r w:rsidRPr="00BE5D49">
        <w:rPr>
          <w:rFonts w:ascii="ITC Avant Garde" w:eastAsiaTheme="minorHAnsi" w:hAnsi="ITC Avant Garde"/>
          <w:sz w:val="18"/>
          <w:szCs w:val="18"/>
          <w:lang w:val="es-MX"/>
        </w:rPr>
        <w:fldChar w:fldCharType="end"/>
      </w:r>
      <w:r w:rsidR="00027641" w:rsidRPr="00BE5D49">
        <w:rPr>
          <w:rFonts w:ascii="ITC Avant Garde" w:eastAsiaTheme="minorHAnsi" w:hAnsi="ITC Avant Garde"/>
          <w:sz w:val="18"/>
          <w:szCs w:val="18"/>
          <w:lang w:val="es-MX"/>
        </w:rPr>
        <w:t>.</w:t>
      </w:r>
      <w:r w:rsidRPr="00BE5D49">
        <w:rPr>
          <w:rFonts w:ascii="ITC Avant Garde" w:eastAsiaTheme="minorHAnsi" w:hAnsi="ITC Avant Garde"/>
          <w:b w:val="0"/>
          <w:sz w:val="18"/>
          <w:szCs w:val="18"/>
          <w:lang w:val="es-MX"/>
        </w:rPr>
        <w:t xml:space="preserve"> Temas derivados de la Consulta Pública.</w:t>
      </w:r>
    </w:p>
    <w:tbl>
      <w:tblPr>
        <w:tblStyle w:val="Tabladelista6concolores11"/>
        <w:tblW w:w="6658" w:type="dxa"/>
        <w:jc w:val="center"/>
        <w:tblBorders>
          <w:left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681"/>
        <w:gridCol w:w="2977"/>
      </w:tblGrid>
      <w:tr w:rsidR="00276405" w:rsidRPr="00276405" w:rsidTr="003242B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rsidR="00DC39F2" w:rsidRPr="00276405" w:rsidRDefault="00DC39F2" w:rsidP="00163344">
            <w:pPr>
              <w:jc w:val="center"/>
              <w:rPr>
                <w:rFonts w:ascii="ITC Avant Garde" w:hAnsi="ITC Avant Garde"/>
                <w:sz w:val="14"/>
                <w:szCs w:val="14"/>
              </w:rPr>
            </w:pPr>
            <w:r w:rsidRPr="00276405">
              <w:rPr>
                <w:rFonts w:ascii="ITC Avant Garde" w:hAnsi="ITC Avant Garde"/>
                <w:sz w:val="14"/>
                <w:szCs w:val="14"/>
              </w:rPr>
              <w:t>Prueba</w:t>
            </w:r>
          </w:p>
        </w:tc>
        <w:tc>
          <w:tcPr>
            <w:tcW w:w="2977" w:type="dxa"/>
            <w:vAlign w:val="center"/>
          </w:tcPr>
          <w:p w:rsidR="00DC39F2" w:rsidRPr="00276405" w:rsidRDefault="00DC39F2" w:rsidP="00163344">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4"/>
                <w:szCs w:val="14"/>
              </w:rPr>
            </w:pPr>
            <w:r w:rsidRPr="00276405">
              <w:rPr>
                <w:rFonts w:ascii="ITC Avant Garde" w:hAnsi="ITC Avant Garde"/>
                <w:sz w:val="14"/>
                <w:szCs w:val="14"/>
              </w:rPr>
              <w:t>Tema</w:t>
            </w:r>
          </w:p>
        </w:tc>
      </w:tr>
      <w:tr w:rsidR="00276405" w:rsidRPr="00276405" w:rsidTr="001633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vMerge w:val="restart"/>
            <w:vAlign w:val="center"/>
          </w:tcPr>
          <w:p w:rsidR="008E7F9F" w:rsidRPr="00BE5D49" w:rsidRDefault="008E7F9F" w:rsidP="00163344">
            <w:pPr>
              <w:jc w:val="both"/>
              <w:rPr>
                <w:rFonts w:ascii="ITC Avant Garde" w:hAnsi="ITC Avant Garde"/>
                <w:sz w:val="14"/>
                <w:szCs w:val="14"/>
              </w:rPr>
            </w:pPr>
            <w:r w:rsidRPr="00276405">
              <w:rPr>
                <w:rFonts w:ascii="ITC Avant Garde" w:hAnsi="ITC Avant Garde"/>
                <w:sz w:val="14"/>
                <w:szCs w:val="14"/>
              </w:rPr>
              <w:t>Servicios Minoristas Móviles</w:t>
            </w:r>
            <w:r w:rsidR="00CA1E64" w:rsidRPr="00276405">
              <w:rPr>
                <w:rFonts w:ascii="ITC Avant Garde" w:hAnsi="ITC Avant Garde"/>
                <w:sz w:val="14"/>
                <w:szCs w:val="14"/>
              </w:rPr>
              <w:t>.</w:t>
            </w:r>
          </w:p>
        </w:tc>
        <w:tc>
          <w:tcPr>
            <w:tcW w:w="2977" w:type="dxa"/>
            <w:vAlign w:val="center"/>
          </w:tcPr>
          <w:p w:rsidR="008E7F9F" w:rsidRPr="00276405" w:rsidRDefault="008E7F9F" w:rsidP="00163344">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4"/>
                <w:szCs w:val="14"/>
              </w:rPr>
            </w:pPr>
            <w:r w:rsidRPr="00276405">
              <w:rPr>
                <w:rFonts w:ascii="ITC Avant Garde" w:hAnsi="ITC Avant Garde"/>
                <w:sz w:val="14"/>
                <w:szCs w:val="14"/>
              </w:rPr>
              <w:t>El momento de aplicación de la prueba.</w:t>
            </w:r>
          </w:p>
        </w:tc>
      </w:tr>
      <w:tr w:rsidR="00276405" w:rsidRPr="00276405" w:rsidTr="00163344">
        <w:trPr>
          <w:jc w:val="center"/>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rsidR="008E7F9F" w:rsidRPr="00276405" w:rsidRDefault="008E7F9F" w:rsidP="00163344">
            <w:pPr>
              <w:jc w:val="both"/>
              <w:rPr>
                <w:rFonts w:ascii="ITC Avant Garde" w:hAnsi="ITC Avant Garde"/>
                <w:sz w:val="14"/>
                <w:szCs w:val="14"/>
              </w:rPr>
            </w:pPr>
          </w:p>
        </w:tc>
        <w:tc>
          <w:tcPr>
            <w:tcW w:w="2977" w:type="dxa"/>
            <w:vAlign w:val="center"/>
          </w:tcPr>
          <w:p w:rsidR="008E7F9F" w:rsidRPr="00276405" w:rsidRDefault="008E7F9F" w:rsidP="00163344">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4"/>
              </w:rPr>
            </w:pPr>
            <w:r w:rsidRPr="00276405">
              <w:rPr>
                <w:rFonts w:ascii="ITC Avant Garde" w:hAnsi="ITC Avant Garde"/>
                <w:sz w:val="14"/>
                <w:szCs w:val="14"/>
              </w:rPr>
              <w:t>El nivel de agregación de la prueba.</w:t>
            </w:r>
          </w:p>
        </w:tc>
      </w:tr>
      <w:tr w:rsidR="00276405" w:rsidRPr="00276405" w:rsidTr="001633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rsidR="008E7F9F" w:rsidRPr="00276405" w:rsidRDefault="008E7F9F" w:rsidP="00163344">
            <w:pPr>
              <w:jc w:val="both"/>
              <w:rPr>
                <w:rFonts w:ascii="ITC Avant Garde" w:hAnsi="ITC Avant Garde"/>
                <w:sz w:val="14"/>
                <w:szCs w:val="14"/>
              </w:rPr>
            </w:pPr>
          </w:p>
        </w:tc>
        <w:tc>
          <w:tcPr>
            <w:tcW w:w="2977" w:type="dxa"/>
            <w:vAlign w:val="center"/>
          </w:tcPr>
          <w:p w:rsidR="008E7F9F" w:rsidRPr="00163344" w:rsidRDefault="008E7F9F" w:rsidP="00163344">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bCs/>
                <w:sz w:val="14"/>
                <w:szCs w:val="14"/>
              </w:rPr>
            </w:pPr>
            <w:r w:rsidRPr="00163344">
              <w:rPr>
                <w:rFonts w:ascii="ITC Avant Garde" w:hAnsi="ITC Avant Garde"/>
                <w:bCs/>
                <w:sz w:val="14"/>
                <w:szCs w:val="14"/>
              </w:rPr>
              <w:t>El estándar de costos</w:t>
            </w:r>
          </w:p>
        </w:tc>
      </w:tr>
      <w:tr w:rsidR="00276405" w:rsidRPr="00276405" w:rsidTr="00163344">
        <w:trPr>
          <w:trHeight w:val="159"/>
          <w:jc w:val="center"/>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rsidR="008E7F9F" w:rsidRPr="00BE5D49" w:rsidRDefault="008E7F9F" w:rsidP="00163344">
            <w:pPr>
              <w:jc w:val="both"/>
              <w:rPr>
                <w:rFonts w:ascii="ITC Avant Garde" w:hAnsi="ITC Avant Garde"/>
                <w:sz w:val="14"/>
                <w:szCs w:val="14"/>
              </w:rPr>
            </w:pPr>
          </w:p>
        </w:tc>
        <w:tc>
          <w:tcPr>
            <w:tcW w:w="2977" w:type="dxa"/>
            <w:vAlign w:val="center"/>
          </w:tcPr>
          <w:p w:rsidR="008E7F9F" w:rsidRPr="00276405" w:rsidRDefault="008E7F9F" w:rsidP="00163344">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4"/>
              </w:rPr>
            </w:pPr>
            <w:r w:rsidRPr="00276405">
              <w:rPr>
                <w:rFonts w:ascii="ITC Avant Garde" w:hAnsi="ITC Avant Garde"/>
                <w:sz w:val="14"/>
                <w:szCs w:val="14"/>
              </w:rPr>
              <w:t>El nivel de eficiencia</w:t>
            </w:r>
          </w:p>
        </w:tc>
      </w:tr>
      <w:tr w:rsidR="00276405" w:rsidRPr="00276405" w:rsidDel="009F27A1" w:rsidTr="00163344">
        <w:trPr>
          <w:cnfStyle w:val="000000100000" w:firstRow="0" w:lastRow="0" w:firstColumn="0" w:lastColumn="0" w:oddVBand="0" w:evenVBand="0" w:oddHBand="1" w:evenHBand="0" w:firstRowFirstColumn="0" w:firstRowLastColumn="0" w:lastRowFirstColumn="0" w:lastRowLastColumn="0"/>
          <w:trHeight w:val="119"/>
          <w:jc w:val="center"/>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rsidR="008E7F9F" w:rsidRPr="00276405" w:rsidRDefault="008E7F9F" w:rsidP="00163344">
            <w:pPr>
              <w:jc w:val="both"/>
              <w:rPr>
                <w:rFonts w:ascii="ITC Avant Garde" w:hAnsi="ITC Avant Garde"/>
                <w:sz w:val="14"/>
                <w:szCs w:val="14"/>
              </w:rPr>
            </w:pPr>
          </w:p>
        </w:tc>
        <w:tc>
          <w:tcPr>
            <w:tcW w:w="2977" w:type="dxa"/>
            <w:vAlign w:val="center"/>
          </w:tcPr>
          <w:p w:rsidR="008E7F9F" w:rsidRPr="00163344" w:rsidDel="009F27A1" w:rsidRDefault="008E7F9F" w:rsidP="00163344">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bCs/>
                <w:sz w:val="14"/>
                <w:szCs w:val="14"/>
              </w:rPr>
            </w:pPr>
            <w:r w:rsidRPr="00163344">
              <w:rPr>
                <w:rFonts w:ascii="ITC Avant Garde" w:hAnsi="ITC Avant Garde"/>
                <w:bCs/>
                <w:sz w:val="14"/>
                <w:szCs w:val="14"/>
              </w:rPr>
              <w:t>Las promociones</w:t>
            </w:r>
          </w:p>
        </w:tc>
      </w:tr>
      <w:tr w:rsidR="00276405" w:rsidRPr="00276405" w:rsidTr="00163344">
        <w:trPr>
          <w:trHeight w:val="65"/>
          <w:jc w:val="center"/>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rsidR="008E7F9F" w:rsidRPr="00276405" w:rsidRDefault="008E7F9F" w:rsidP="00163344">
            <w:pPr>
              <w:jc w:val="both"/>
              <w:rPr>
                <w:rFonts w:ascii="ITC Avant Garde" w:hAnsi="ITC Avant Garde"/>
                <w:sz w:val="14"/>
                <w:szCs w:val="14"/>
              </w:rPr>
            </w:pPr>
          </w:p>
        </w:tc>
        <w:tc>
          <w:tcPr>
            <w:tcW w:w="2977" w:type="dxa"/>
            <w:vAlign w:val="center"/>
          </w:tcPr>
          <w:p w:rsidR="008E7F9F" w:rsidRPr="00276405" w:rsidRDefault="008E7F9F" w:rsidP="00163344">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4"/>
              </w:rPr>
            </w:pPr>
            <w:r w:rsidRPr="00276405">
              <w:rPr>
                <w:rFonts w:ascii="ITC Avant Garde" w:hAnsi="ITC Avant Garde"/>
                <w:sz w:val="14"/>
                <w:szCs w:val="14"/>
              </w:rPr>
              <w:t>Los precios mayoristas</w:t>
            </w:r>
          </w:p>
        </w:tc>
      </w:tr>
      <w:tr w:rsidR="00276405" w:rsidRPr="00276405" w:rsidTr="00163344">
        <w:trPr>
          <w:cnfStyle w:val="000000100000" w:firstRow="0" w:lastRow="0" w:firstColumn="0" w:lastColumn="0" w:oddVBand="0" w:evenVBand="0" w:oddHBand="1" w:evenHBand="0" w:firstRowFirstColumn="0" w:firstRowLastColumn="0" w:lastRowFirstColumn="0" w:lastRowLastColumn="0"/>
          <w:trHeight w:val="40"/>
          <w:jc w:val="center"/>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rsidR="008E7F9F" w:rsidRPr="00BE5D49" w:rsidRDefault="008E7F9F" w:rsidP="00BE5D49">
            <w:pPr>
              <w:jc w:val="both"/>
              <w:rPr>
                <w:rFonts w:ascii="ITC Avant Garde" w:hAnsi="ITC Avant Garde"/>
                <w:sz w:val="14"/>
                <w:szCs w:val="14"/>
              </w:rPr>
            </w:pPr>
          </w:p>
        </w:tc>
        <w:tc>
          <w:tcPr>
            <w:tcW w:w="2977" w:type="dxa"/>
            <w:vAlign w:val="center"/>
          </w:tcPr>
          <w:p w:rsidR="008E7F9F" w:rsidRPr="00163344" w:rsidRDefault="008E7F9F">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bCs/>
                <w:sz w:val="14"/>
                <w:szCs w:val="14"/>
              </w:rPr>
            </w:pPr>
            <w:r w:rsidRPr="00163344">
              <w:rPr>
                <w:rFonts w:ascii="ITC Avant Garde" w:hAnsi="ITC Avant Garde"/>
                <w:bCs/>
                <w:sz w:val="14"/>
                <w:szCs w:val="14"/>
              </w:rPr>
              <w:t>El segmento empresarial</w:t>
            </w:r>
          </w:p>
        </w:tc>
      </w:tr>
      <w:tr w:rsidR="00276405" w:rsidRPr="00276405" w:rsidTr="00163344">
        <w:trPr>
          <w:trHeight w:val="40"/>
          <w:jc w:val="center"/>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rsidR="008E7F9F" w:rsidRPr="00BE5D49" w:rsidRDefault="008E7F9F" w:rsidP="00BE5D49">
            <w:pPr>
              <w:jc w:val="both"/>
              <w:rPr>
                <w:rFonts w:ascii="ITC Avant Garde" w:hAnsi="ITC Avant Garde"/>
                <w:sz w:val="14"/>
                <w:szCs w:val="14"/>
              </w:rPr>
            </w:pPr>
          </w:p>
        </w:tc>
        <w:tc>
          <w:tcPr>
            <w:tcW w:w="2977" w:type="dxa"/>
            <w:vAlign w:val="center"/>
          </w:tcPr>
          <w:p w:rsidR="008E7F9F" w:rsidRPr="00276405" w:rsidRDefault="008E7F9F">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4"/>
              </w:rPr>
            </w:pPr>
            <w:r w:rsidRPr="00276405">
              <w:rPr>
                <w:rFonts w:ascii="ITC Avant Garde" w:hAnsi="ITC Avant Garde"/>
                <w:sz w:val="14"/>
                <w:szCs w:val="14"/>
              </w:rPr>
              <w:t>El OMV completo</w:t>
            </w:r>
          </w:p>
        </w:tc>
      </w:tr>
      <w:tr w:rsidR="00276405" w:rsidRPr="00276405" w:rsidTr="00163344">
        <w:trPr>
          <w:cnfStyle w:val="000000100000" w:firstRow="0" w:lastRow="0" w:firstColumn="0" w:lastColumn="0" w:oddVBand="0" w:evenVBand="0" w:oddHBand="1" w:evenHBand="0"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rsidR="008E7F9F" w:rsidRPr="00BE5D49" w:rsidRDefault="008E7F9F" w:rsidP="00BE5D49">
            <w:pPr>
              <w:jc w:val="both"/>
              <w:rPr>
                <w:rFonts w:ascii="ITC Avant Garde" w:hAnsi="ITC Avant Garde"/>
                <w:sz w:val="14"/>
                <w:szCs w:val="14"/>
              </w:rPr>
            </w:pPr>
          </w:p>
        </w:tc>
        <w:tc>
          <w:tcPr>
            <w:tcW w:w="2977" w:type="dxa"/>
            <w:vAlign w:val="center"/>
          </w:tcPr>
          <w:p w:rsidR="008E7F9F" w:rsidRPr="00163344" w:rsidRDefault="008E7F9F">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bCs/>
                <w:sz w:val="14"/>
                <w:szCs w:val="14"/>
              </w:rPr>
            </w:pPr>
            <w:r w:rsidRPr="00163344">
              <w:rPr>
                <w:rFonts w:ascii="ITC Avant Garde" w:hAnsi="ITC Avant Garde"/>
                <w:bCs/>
                <w:sz w:val="14"/>
                <w:szCs w:val="14"/>
              </w:rPr>
              <w:t>Los supuestos de la prueba</w:t>
            </w:r>
          </w:p>
        </w:tc>
      </w:tr>
      <w:tr w:rsidR="00276405" w:rsidRPr="00276405" w:rsidTr="00163344">
        <w:trPr>
          <w:jc w:val="center"/>
        </w:trPr>
        <w:tc>
          <w:tcPr>
            <w:cnfStyle w:val="001000000000" w:firstRow="0" w:lastRow="0" w:firstColumn="1" w:lastColumn="0" w:oddVBand="0" w:evenVBand="0" w:oddHBand="0" w:evenHBand="0" w:firstRowFirstColumn="0" w:firstRowLastColumn="0" w:lastRowFirstColumn="0" w:lastRowLastColumn="0"/>
            <w:tcW w:w="3681" w:type="dxa"/>
            <w:vMerge w:val="restart"/>
            <w:vAlign w:val="center"/>
          </w:tcPr>
          <w:p w:rsidR="008E7F9F" w:rsidRPr="00BE5D49" w:rsidRDefault="008E7F9F" w:rsidP="00163344">
            <w:pPr>
              <w:jc w:val="both"/>
              <w:rPr>
                <w:rFonts w:ascii="ITC Avant Garde" w:hAnsi="ITC Avant Garde"/>
                <w:sz w:val="14"/>
                <w:szCs w:val="14"/>
              </w:rPr>
            </w:pPr>
            <w:r w:rsidRPr="00276405">
              <w:rPr>
                <w:rFonts w:ascii="ITC Avant Garde" w:hAnsi="ITC Avant Garde"/>
                <w:sz w:val="14"/>
                <w:szCs w:val="14"/>
              </w:rPr>
              <w:t>Servicios Minoristas de Enlaces Dedicados</w:t>
            </w:r>
            <w:r w:rsidR="00CA1E64" w:rsidRPr="00276405">
              <w:rPr>
                <w:rFonts w:ascii="ITC Avant Garde" w:hAnsi="ITC Avant Garde"/>
                <w:sz w:val="14"/>
                <w:szCs w:val="14"/>
              </w:rPr>
              <w:t>.</w:t>
            </w:r>
          </w:p>
        </w:tc>
        <w:tc>
          <w:tcPr>
            <w:tcW w:w="2977" w:type="dxa"/>
            <w:vAlign w:val="center"/>
          </w:tcPr>
          <w:p w:rsidR="008E7F9F" w:rsidRPr="00276405" w:rsidRDefault="008E7F9F" w:rsidP="00163344">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4"/>
              </w:rPr>
            </w:pPr>
            <w:r w:rsidRPr="00276405">
              <w:rPr>
                <w:rFonts w:ascii="ITC Avant Garde" w:hAnsi="ITC Avant Garde"/>
                <w:sz w:val="14"/>
                <w:szCs w:val="14"/>
              </w:rPr>
              <w:t>El momento de aplicación de la prueba.</w:t>
            </w:r>
          </w:p>
        </w:tc>
      </w:tr>
      <w:tr w:rsidR="00276405" w:rsidRPr="00276405" w:rsidTr="001633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rsidR="008E7F9F" w:rsidRPr="00BE5D49" w:rsidRDefault="008E7F9F" w:rsidP="00163344">
            <w:pPr>
              <w:jc w:val="both"/>
              <w:rPr>
                <w:rFonts w:ascii="ITC Avant Garde" w:hAnsi="ITC Avant Garde"/>
                <w:sz w:val="14"/>
                <w:szCs w:val="14"/>
              </w:rPr>
            </w:pPr>
          </w:p>
        </w:tc>
        <w:tc>
          <w:tcPr>
            <w:tcW w:w="2977" w:type="dxa"/>
            <w:vAlign w:val="center"/>
          </w:tcPr>
          <w:p w:rsidR="008E7F9F" w:rsidRPr="00163344" w:rsidRDefault="008E7F9F" w:rsidP="00163344">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bCs/>
                <w:sz w:val="14"/>
                <w:szCs w:val="14"/>
              </w:rPr>
            </w:pPr>
            <w:r w:rsidRPr="00163344">
              <w:rPr>
                <w:rFonts w:ascii="ITC Avant Garde" w:hAnsi="ITC Avant Garde"/>
                <w:bCs/>
                <w:sz w:val="14"/>
                <w:szCs w:val="14"/>
              </w:rPr>
              <w:t xml:space="preserve">El estándar de costos </w:t>
            </w:r>
          </w:p>
        </w:tc>
      </w:tr>
      <w:tr w:rsidR="00276405" w:rsidRPr="00276405" w:rsidTr="00163344">
        <w:trPr>
          <w:jc w:val="center"/>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rsidR="008E7F9F" w:rsidRPr="00BE5D49" w:rsidRDefault="008E7F9F" w:rsidP="00163344">
            <w:pPr>
              <w:jc w:val="both"/>
              <w:rPr>
                <w:rFonts w:ascii="ITC Avant Garde" w:hAnsi="ITC Avant Garde"/>
                <w:sz w:val="14"/>
                <w:szCs w:val="14"/>
              </w:rPr>
            </w:pPr>
          </w:p>
        </w:tc>
        <w:tc>
          <w:tcPr>
            <w:tcW w:w="2977" w:type="dxa"/>
            <w:vAlign w:val="center"/>
          </w:tcPr>
          <w:p w:rsidR="008E7F9F" w:rsidRPr="00276405" w:rsidRDefault="008E7F9F">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4"/>
              </w:rPr>
            </w:pPr>
            <w:r w:rsidRPr="00276405">
              <w:rPr>
                <w:rFonts w:ascii="ITC Avant Garde" w:hAnsi="ITC Avant Garde"/>
                <w:sz w:val="14"/>
                <w:szCs w:val="14"/>
              </w:rPr>
              <w:t xml:space="preserve">El nivel de eficiencia </w:t>
            </w:r>
          </w:p>
        </w:tc>
      </w:tr>
      <w:tr w:rsidR="00276405" w:rsidRPr="00276405" w:rsidTr="001633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rsidR="008E7F9F" w:rsidRPr="00BE5D49" w:rsidRDefault="008E7F9F" w:rsidP="00BE5D49">
            <w:pPr>
              <w:jc w:val="both"/>
              <w:rPr>
                <w:rFonts w:ascii="ITC Avant Garde" w:hAnsi="ITC Avant Garde"/>
                <w:sz w:val="14"/>
                <w:szCs w:val="14"/>
              </w:rPr>
            </w:pPr>
          </w:p>
        </w:tc>
        <w:tc>
          <w:tcPr>
            <w:tcW w:w="2977" w:type="dxa"/>
            <w:vAlign w:val="center"/>
          </w:tcPr>
          <w:p w:rsidR="008E7F9F" w:rsidRPr="00163344" w:rsidRDefault="008E7F9F">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bCs/>
                <w:sz w:val="14"/>
                <w:szCs w:val="14"/>
              </w:rPr>
            </w:pPr>
            <w:r w:rsidRPr="00163344">
              <w:rPr>
                <w:rFonts w:ascii="ITC Avant Garde" w:hAnsi="ITC Avant Garde"/>
                <w:bCs/>
                <w:sz w:val="14"/>
                <w:szCs w:val="14"/>
              </w:rPr>
              <w:t>El momento de aplicación de la prueba.</w:t>
            </w:r>
          </w:p>
        </w:tc>
      </w:tr>
      <w:tr w:rsidR="00276405" w:rsidRPr="00276405" w:rsidTr="00163344">
        <w:trPr>
          <w:jc w:val="center"/>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rsidR="008E7F9F" w:rsidRPr="00BE5D49" w:rsidRDefault="008E7F9F" w:rsidP="00BE5D49">
            <w:pPr>
              <w:jc w:val="both"/>
              <w:rPr>
                <w:rFonts w:ascii="ITC Avant Garde" w:hAnsi="ITC Avant Garde"/>
                <w:sz w:val="14"/>
                <w:szCs w:val="14"/>
              </w:rPr>
            </w:pPr>
          </w:p>
        </w:tc>
        <w:tc>
          <w:tcPr>
            <w:tcW w:w="2977" w:type="dxa"/>
            <w:vAlign w:val="center"/>
          </w:tcPr>
          <w:p w:rsidR="008E7F9F" w:rsidRPr="00276405" w:rsidRDefault="008E7F9F">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4"/>
              </w:rPr>
            </w:pPr>
            <w:r w:rsidRPr="00276405">
              <w:rPr>
                <w:rFonts w:ascii="ITC Avant Garde" w:hAnsi="ITC Avant Garde"/>
                <w:sz w:val="14"/>
                <w:szCs w:val="14"/>
              </w:rPr>
              <w:t xml:space="preserve">El nivel de eficiencia </w:t>
            </w:r>
          </w:p>
        </w:tc>
      </w:tr>
      <w:tr w:rsidR="00276405" w:rsidRPr="00276405" w:rsidTr="001633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rsidR="008E7F9F" w:rsidRPr="00BE5D49" w:rsidRDefault="008E7F9F" w:rsidP="00BE5D49">
            <w:pPr>
              <w:jc w:val="both"/>
              <w:rPr>
                <w:rFonts w:ascii="ITC Avant Garde" w:hAnsi="ITC Avant Garde"/>
                <w:sz w:val="14"/>
                <w:szCs w:val="14"/>
              </w:rPr>
            </w:pPr>
          </w:p>
        </w:tc>
        <w:tc>
          <w:tcPr>
            <w:tcW w:w="2977" w:type="dxa"/>
            <w:vAlign w:val="center"/>
          </w:tcPr>
          <w:p w:rsidR="008E7F9F" w:rsidRPr="00163344" w:rsidRDefault="008E7F9F">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bCs/>
                <w:sz w:val="14"/>
                <w:szCs w:val="14"/>
              </w:rPr>
            </w:pPr>
            <w:r w:rsidRPr="00163344">
              <w:rPr>
                <w:rFonts w:ascii="ITC Avant Garde" w:hAnsi="ITC Avant Garde"/>
                <w:bCs/>
                <w:sz w:val="14"/>
                <w:szCs w:val="14"/>
              </w:rPr>
              <w:t>El nivel de agregación</w:t>
            </w:r>
          </w:p>
        </w:tc>
      </w:tr>
      <w:tr w:rsidR="00276405" w:rsidRPr="00276405" w:rsidTr="00163344">
        <w:trPr>
          <w:jc w:val="center"/>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rsidR="008E7F9F" w:rsidRPr="00BE5D49" w:rsidRDefault="008E7F9F" w:rsidP="00BE5D49">
            <w:pPr>
              <w:jc w:val="both"/>
              <w:rPr>
                <w:rFonts w:ascii="ITC Avant Garde" w:hAnsi="ITC Avant Garde"/>
                <w:sz w:val="14"/>
                <w:szCs w:val="14"/>
              </w:rPr>
            </w:pPr>
          </w:p>
        </w:tc>
        <w:tc>
          <w:tcPr>
            <w:tcW w:w="2977" w:type="dxa"/>
            <w:vAlign w:val="center"/>
          </w:tcPr>
          <w:p w:rsidR="008E7F9F" w:rsidRPr="00276405" w:rsidRDefault="008E7F9F">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4"/>
              </w:rPr>
            </w:pPr>
            <w:r w:rsidRPr="00276405">
              <w:rPr>
                <w:rFonts w:ascii="ITC Avant Garde" w:hAnsi="ITC Avant Garde"/>
                <w:sz w:val="14"/>
                <w:szCs w:val="14"/>
              </w:rPr>
              <w:t>Los costos minoristas</w:t>
            </w:r>
          </w:p>
        </w:tc>
      </w:tr>
      <w:tr w:rsidR="00276405" w:rsidRPr="00276405" w:rsidTr="001633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vMerge w:val="restart"/>
            <w:vAlign w:val="center"/>
          </w:tcPr>
          <w:p w:rsidR="008E7F9F" w:rsidRPr="00BE5D49" w:rsidRDefault="008E7F9F" w:rsidP="00BE5D49">
            <w:pPr>
              <w:jc w:val="both"/>
              <w:rPr>
                <w:rFonts w:ascii="ITC Avant Garde" w:hAnsi="ITC Avant Garde"/>
                <w:sz w:val="14"/>
                <w:szCs w:val="14"/>
              </w:rPr>
            </w:pPr>
            <w:r w:rsidRPr="00276405">
              <w:rPr>
                <w:rFonts w:ascii="ITC Avant Garde" w:hAnsi="ITC Avant Garde"/>
                <w:sz w:val="14"/>
                <w:szCs w:val="14"/>
              </w:rPr>
              <w:t>Servicios de Telefonía Fija</w:t>
            </w:r>
            <w:r w:rsidR="00CA1E64" w:rsidRPr="00276405">
              <w:rPr>
                <w:rFonts w:ascii="ITC Avant Garde" w:hAnsi="ITC Avant Garde"/>
                <w:sz w:val="14"/>
                <w:szCs w:val="14"/>
              </w:rPr>
              <w:t>.</w:t>
            </w:r>
          </w:p>
        </w:tc>
        <w:tc>
          <w:tcPr>
            <w:tcW w:w="2977" w:type="dxa"/>
            <w:vAlign w:val="center"/>
          </w:tcPr>
          <w:p w:rsidR="008E7F9F" w:rsidRPr="00163344" w:rsidRDefault="008E7F9F">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bCs/>
                <w:sz w:val="14"/>
                <w:szCs w:val="14"/>
              </w:rPr>
            </w:pPr>
            <w:r w:rsidRPr="00163344">
              <w:rPr>
                <w:rFonts w:ascii="ITC Avant Garde" w:hAnsi="ITC Avant Garde"/>
                <w:bCs/>
                <w:sz w:val="14"/>
                <w:szCs w:val="14"/>
              </w:rPr>
              <w:t>El momento de aplicación de la prueba.</w:t>
            </w:r>
          </w:p>
        </w:tc>
      </w:tr>
      <w:tr w:rsidR="00276405" w:rsidRPr="00276405" w:rsidTr="00163344">
        <w:trPr>
          <w:jc w:val="center"/>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rsidR="008E7F9F" w:rsidRPr="00BE5D49" w:rsidRDefault="008E7F9F" w:rsidP="00BE5D49">
            <w:pPr>
              <w:jc w:val="both"/>
              <w:rPr>
                <w:rFonts w:ascii="ITC Avant Garde" w:hAnsi="ITC Avant Garde"/>
                <w:sz w:val="14"/>
                <w:szCs w:val="14"/>
              </w:rPr>
            </w:pPr>
          </w:p>
        </w:tc>
        <w:tc>
          <w:tcPr>
            <w:tcW w:w="2977" w:type="dxa"/>
            <w:vAlign w:val="center"/>
          </w:tcPr>
          <w:p w:rsidR="008E7F9F" w:rsidRPr="00276405" w:rsidRDefault="008E7F9F">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4"/>
              </w:rPr>
            </w:pPr>
            <w:r w:rsidRPr="00276405">
              <w:rPr>
                <w:rFonts w:ascii="ITC Avant Garde" w:hAnsi="ITC Avant Garde"/>
                <w:sz w:val="14"/>
                <w:szCs w:val="14"/>
              </w:rPr>
              <w:t>El nivel de eficiencia</w:t>
            </w:r>
          </w:p>
        </w:tc>
      </w:tr>
      <w:tr w:rsidR="00276405" w:rsidRPr="00276405" w:rsidTr="001633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rsidR="008E7F9F" w:rsidRPr="00BE5D49" w:rsidRDefault="008E7F9F" w:rsidP="00BE5D49">
            <w:pPr>
              <w:jc w:val="both"/>
              <w:rPr>
                <w:rFonts w:ascii="ITC Avant Garde" w:hAnsi="ITC Avant Garde"/>
                <w:sz w:val="14"/>
                <w:szCs w:val="14"/>
              </w:rPr>
            </w:pPr>
          </w:p>
        </w:tc>
        <w:tc>
          <w:tcPr>
            <w:tcW w:w="2977" w:type="dxa"/>
            <w:vAlign w:val="center"/>
          </w:tcPr>
          <w:p w:rsidR="008E7F9F" w:rsidRPr="00163344" w:rsidRDefault="008E7F9F">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bCs/>
                <w:sz w:val="14"/>
                <w:szCs w:val="14"/>
              </w:rPr>
            </w:pPr>
            <w:r w:rsidRPr="00163344">
              <w:rPr>
                <w:rFonts w:ascii="ITC Avant Garde" w:hAnsi="ITC Avant Garde"/>
                <w:bCs/>
                <w:sz w:val="14"/>
                <w:szCs w:val="14"/>
              </w:rPr>
              <w:t>El segmento empresarial</w:t>
            </w:r>
          </w:p>
        </w:tc>
      </w:tr>
      <w:tr w:rsidR="00276405" w:rsidRPr="00276405" w:rsidTr="00163344">
        <w:trPr>
          <w:jc w:val="center"/>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rsidR="008E7F9F" w:rsidRPr="00BE5D49" w:rsidRDefault="008E7F9F" w:rsidP="00BE5D49">
            <w:pPr>
              <w:jc w:val="both"/>
              <w:rPr>
                <w:rFonts w:ascii="ITC Avant Garde" w:hAnsi="ITC Avant Garde"/>
                <w:sz w:val="14"/>
                <w:szCs w:val="14"/>
              </w:rPr>
            </w:pPr>
          </w:p>
        </w:tc>
        <w:tc>
          <w:tcPr>
            <w:tcW w:w="2977" w:type="dxa"/>
            <w:vAlign w:val="center"/>
          </w:tcPr>
          <w:p w:rsidR="008E7F9F" w:rsidRPr="00276405" w:rsidRDefault="008E7F9F">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4"/>
              </w:rPr>
            </w:pPr>
            <w:r w:rsidRPr="00276405">
              <w:rPr>
                <w:rFonts w:ascii="ITC Avant Garde" w:hAnsi="ITC Avant Garde"/>
                <w:sz w:val="14"/>
                <w:szCs w:val="14"/>
              </w:rPr>
              <w:t>Los costos minoristas</w:t>
            </w:r>
          </w:p>
        </w:tc>
      </w:tr>
      <w:tr w:rsidR="00276405" w:rsidRPr="00276405" w:rsidTr="001633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rsidR="008E7F9F" w:rsidRPr="00BE5D49" w:rsidRDefault="008E7F9F" w:rsidP="00BE5D49">
            <w:pPr>
              <w:jc w:val="both"/>
              <w:rPr>
                <w:rFonts w:ascii="ITC Avant Garde" w:hAnsi="ITC Avant Garde"/>
                <w:sz w:val="14"/>
                <w:szCs w:val="14"/>
              </w:rPr>
            </w:pPr>
          </w:p>
        </w:tc>
        <w:tc>
          <w:tcPr>
            <w:tcW w:w="2977" w:type="dxa"/>
            <w:vAlign w:val="center"/>
          </w:tcPr>
          <w:p w:rsidR="008E7F9F" w:rsidRPr="00163344" w:rsidRDefault="008E7F9F">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bCs/>
                <w:sz w:val="14"/>
                <w:szCs w:val="14"/>
              </w:rPr>
            </w:pPr>
            <w:r w:rsidRPr="00163344">
              <w:rPr>
                <w:rFonts w:ascii="ITC Avant Garde" w:hAnsi="ITC Avant Garde"/>
                <w:bCs/>
                <w:sz w:val="14"/>
                <w:szCs w:val="14"/>
              </w:rPr>
              <w:t>Los supuestos de la prueba</w:t>
            </w:r>
          </w:p>
        </w:tc>
      </w:tr>
      <w:tr w:rsidR="00276405" w:rsidRPr="00276405" w:rsidTr="00163344">
        <w:trPr>
          <w:jc w:val="center"/>
        </w:trPr>
        <w:tc>
          <w:tcPr>
            <w:cnfStyle w:val="001000000000" w:firstRow="0" w:lastRow="0" w:firstColumn="1" w:lastColumn="0" w:oddVBand="0" w:evenVBand="0" w:oddHBand="0" w:evenHBand="0" w:firstRowFirstColumn="0" w:firstRowLastColumn="0" w:lastRowFirstColumn="0" w:lastRowLastColumn="0"/>
            <w:tcW w:w="3681" w:type="dxa"/>
            <w:vMerge w:val="restart"/>
            <w:vAlign w:val="center"/>
          </w:tcPr>
          <w:p w:rsidR="008E7F9F" w:rsidRPr="00BE5D49" w:rsidRDefault="008E7F9F" w:rsidP="00BE5D49">
            <w:pPr>
              <w:jc w:val="both"/>
              <w:rPr>
                <w:rFonts w:ascii="ITC Avant Garde" w:hAnsi="ITC Avant Garde"/>
                <w:sz w:val="14"/>
                <w:szCs w:val="14"/>
              </w:rPr>
            </w:pPr>
            <w:r w:rsidRPr="00276405">
              <w:rPr>
                <w:rFonts w:ascii="ITC Avant Garde" w:hAnsi="ITC Avant Garde"/>
                <w:sz w:val="14"/>
                <w:szCs w:val="14"/>
              </w:rPr>
              <w:t>Servicios Minoristas de Banda Ancha y Banda Ancha Empaquetada con Telefonía Fija</w:t>
            </w:r>
            <w:r w:rsidR="00CA1E64" w:rsidRPr="00276405">
              <w:rPr>
                <w:rFonts w:ascii="ITC Avant Garde" w:hAnsi="ITC Avant Garde"/>
                <w:sz w:val="14"/>
                <w:szCs w:val="14"/>
              </w:rPr>
              <w:t>.</w:t>
            </w:r>
          </w:p>
        </w:tc>
        <w:tc>
          <w:tcPr>
            <w:tcW w:w="2977" w:type="dxa"/>
            <w:vAlign w:val="center"/>
          </w:tcPr>
          <w:p w:rsidR="008E7F9F" w:rsidRPr="00276405" w:rsidRDefault="008E7F9F">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4"/>
              </w:rPr>
            </w:pPr>
            <w:r w:rsidRPr="00276405">
              <w:rPr>
                <w:rFonts w:ascii="ITC Avant Garde" w:hAnsi="ITC Avant Garde"/>
                <w:sz w:val="14"/>
                <w:szCs w:val="14"/>
              </w:rPr>
              <w:t>El momento de aplicación de la prueba.</w:t>
            </w:r>
          </w:p>
        </w:tc>
      </w:tr>
      <w:tr w:rsidR="00276405" w:rsidRPr="00276405" w:rsidTr="001633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rsidR="008E7F9F" w:rsidRPr="00BE5D49" w:rsidRDefault="008E7F9F" w:rsidP="00BE5D49">
            <w:pPr>
              <w:jc w:val="both"/>
              <w:rPr>
                <w:rFonts w:ascii="ITC Avant Garde" w:hAnsi="ITC Avant Garde"/>
                <w:sz w:val="14"/>
                <w:szCs w:val="14"/>
              </w:rPr>
            </w:pPr>
          </w:p>
        </w:tc>
        <w:tc>
          <w:tcPr>
            <w:tcW w:w="2977" w:type="dxa"/>
            <w:vAlign w:val="center"/>
          </w:tcPr>
          <w:p w:rsidR="008E7F9F" w:rsidRPr="00276405" w:rsidRDefault="008E7F9F">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4"/>
                <w:szCs w:val="14"/>
              </w:rPr>
            </w:pPr>
            <w:r w:rsidRPr="00276405">
              <w:rPr>
                <w:rFonts w:ascii="ITC Avant Garde" w:hAnsi="ITC Avant Garde"/>
                <w:sz w:val="14"/>
                <w:szCs w:val="14"/>
              </w:rPr>
              <w:t>Los servicios de acceso de nueva generación</w:t>
            </w:r>
          </w:p>
        </w:tc>
      </w:tr>
      <w:tr w:rsidR="00276405" w:rsidRPr="00276405" w:rsidTr="00163344">
        <w:trPr>
          <w:jc w:val="center"/>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rsidR="008E7F9F" w:rsidRPr="00BE5D49" w:rsidRDefault="008E7F9F" w:rsidP="00163344">
            <w:pPr>
              <w:jc w:val="both"/>
              <w:rPr>
                <w:rFonts w:ascii="ITC Avant Garde" w:hAnsi="ITC Avant Garde"/>
                <w:sz w:val="14"/>
                <w:szCs w:val="14"/>
              </w:rPr>
            </w:pPr>
          </w:p>
        </w:tc>
        <w:tc>
          <w:tcPr>
            <w:tcW w:w="2977" w:type="dxa"/>
            <w:vAlign w:val="center"/>
          </w:tcPr>
          <w:p w:rsidR="008E7F9F" w:rsidRPr="00276405" w:rsidRDefault="008E7F9F" w:rsidP="00163344">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4"/>
              </w:rPr>
            </w:pPr>
            <w:r w:rsidRPr="00276405">
              <w:rPr>
                <w:rFonts w:ascii="ITC Avant Garde" w:hAnsi="ITC Avant Garde"/>
                <w:sz w:val="14"/>
                <w:szCs w:val="14"/>
              </w:rPr>
              <w:t>El estándar de costos</w:t>
            </w:r>
          </w:p>
        </w:tc>
      </w:tr>
      <w:tr w:rsidR="00276405" w:rsidRPr="00276405" w:rsidTr="001633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rsidR="008E7F9F" w:rsidRPr="00276405" w:rsidRDefault="008E7F9F" w:rsidP="00163344">
            <w:pPr>
              <w:jc w:val="both"/>
              <w:rPr>
                <w:rFonts w:ascii="ITC Avant Garde" w:hAnsi="ITC Avant Garde"/>
                <w:sz w:val="14"/>
                <w:szCs w:val="14"/>
              </w:rPr>
            </w:pPr>
          </w:p>
        </w:tc>
        <w:tc>
          <w:tcPr>
            <w:tcW w:w="2977" w:type="dxa"/>
            <w:vAlign w:val="center"/>
          </w:tcPr>
          <w:p w:rsidR="008E7F9F" w:rsidRPr="00163344" w:rsidRDefault="008E7F9F" w:rsidP="00163344">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bCs/>
                <w:sz w:val="14"/>
                <w:szCs w:val="14"/>
              </w:rPr>
            </w:pPr>
            <w:r w:rsidRPr="00163344">
              <w:rPr>
                <w:rFonts w:ascii="ITC Avant Garde" w:hAnsi="ITC Avant Garde"/>
                <w:bCs/>
                <w:sz w:val="14"/>
                <w:szCs w:val="14"/>
              </w:rPr>
              <w:t>El nivel de eficiencia</w:t>
            </w:r>
          </w:p>
        </w:tc>
      </w:tr>
      <w:tr w:rsidR="00276405" w:rsidRPr="00276405" w:rsidTr="00163344">
        <w:trPr>
          <w:jc w:val="center"/>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rsidR="008E7F9F" w:rsidRPr="00276405" w:rsidRDefault="008E7F9F" w:rsidP="00163344">
            <w:pPr>
              <w:jc w:val="both"/>
              <w:rPr>
                <w:rFonts w:ascii="ITC Avant Garde" w:hAnsi="ITC Avant Garde"/>
                <w:sz w:val="14"/>
                <w:szCs w:val="14"/>
              </w:rPr>
            </w:pPr>
          </w:p>
        </w:tc>
        <w:tc>
          <w:tcPr>
            <w:tcW w:w="2977" w:type="dxa"/>
            <w:vAlign w:val="center"/>
          </w:tcPr>
          <w:p w:rsidR="008E7F9F" w:rsidRPr="00276405" w:rsidRDefault="008E7F9F" w:rsidP="00163344">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4"/>
              </w:rPr>
            </w:pPr>
            <w:r w:rsidRPr="00276405">
              <w:rPr>
                <w:rFonts w:ascii="ITC Avant Garde" w:hAnsi="ITC Avant Garde"/>
                <w:sz w:val="14"/>
                <w:szCs w:val="14"/>
              </w:rPr>
              <w:t>Las promociones</w:t>
            </w:r>
          </w:p>
        </w:tc>
      </w:tr>
      <w:tr w:rsidR="00276405" w:rsidRPr="00276405" w:rsidTr="001633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rsidR="008E7F9F" w:rsidRPr="00276405" w:rsidRDefault="008E7F9F" w:rsidP="00163344">
            <w:pPr>
              <w:jc w:val="both"/>
              <w:rPr>
                <w:rFonts w:ascii="ITC Avant Garde" w:hAnsi="ITC Avant Garde"/>
                <w:sz w:val="14"/>
                <w:szCs w:val="14"/>
              </w:rPr>
            </w:pPr>
          </w:p>
        </w:tc>
        <w:tc>
          <w:tcPr>
            <w:tcW w:w="2977" w:type="dxa"/>
            <w:vAlign w:val="center"/>
          </w:tcPr>
          <w:p w:rsidR="008E7F9F" w:rsidRPr="00163344" w:rsidRDefault="008E7F9F" w:rsidP="00163344">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bCs/>
                <w:sz w:val="14"/>
                <w:szCs w:val="14"/>
              </w:rPr>
            </w:pPr>
            <w:r w:rsidRPr="00163344">
              <w:rPr>
                <w:rFonts w:ascii="ITC Avant Garde" w:hAnsi="ITC Avant Garde"/>
                <w:bCs/>
                <w:sz w:val="14"/>
                <w:szCs w:val="14"/>
              </w:rPr>
              <w:t>El segmento empresarial</w:t>
            </w:r>
          </w:p>
        </w:tc>
      </w:tr>
      <w:tr w:rsidR="00276405" w:rsidRPr="00276405" w:rsidTr="00163344">
        <w:trPr>
          <w:jc w:val="center"/>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rsidR="008E7F9F" w:rsidRPr="00276405" w:rsidRDefault="008E7F9F" w:rsidP="00163344">
            <w:pPr>
              <w:jc w:val="both"/>
              <w:rPr>
                <w:rFonts w:ascii="ITC Avant Garde" w:hAnsi="ITC Avant Garde"/>
                <w:sz w:val="14"/>
                <w:szCs w:val="14"/>
              </w:rPr>
            </w:pPr>
          </w:p>
        </w:tc>
        <w:tc>
          <w:tcPr>
            <w:tcW w:w="2977" w:type="dxa"/>
            <w:vAlign w:val="center"/>
          </w:tcPr>
          <w:p w:rsidR="008E7F9F" w:rsidRPr="00276405" w:rsidRDefault="008E7F9F" w:rsidP="00163344">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4"/>
              </w:rPr>
            </w:pPr>
            <w:r w:rsidRPr="00276405">
              <w:rPr>
                <w:rFonts w:ascii="ITC Avant Garde" w:hAnsi="ITC Avant Garde"/>
                <w:sz w:val="14"/>
                <w:szCs w:val="14"/>
              </w:rPr>
              <w:t>Los servicios mayoristas</w:t>
            </w:r>
          </w:p>
        </w:tc>
      </w:tr>
      <w:tr w:rsidR="00276405" w:rsidRPr="00276405" w:rsidTr="001633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rsidR="008E7F9F" w:rsidRPr="00276405" w:rsidRDefault="008E7F9F" w:rsidP="00163344">
            <w:pPr>
              <w:jc w:val="both"/>
              <w:rPr>
                <w:rFonts w:ascii="ITC Avant Garde" w:hAnsi="ITC Avant Garde"/>
                <w:sz w:val="14"/>
                <w:szCs w:val="14"/>
              </w:rPr>
            </w:pPr>
          </w:p>
        </w:tc>
        <w:tc>
          <w:tcPr>
            <w:tcW w:w="2977" w:type="dxa"/>
            <w:vAlign w:val="center"/>
          </w:tcPr>
          <w:p w:rsidR="008E7F9F" w:rsidRPr="00163344" w:rsidRDefault="008E7F9F" w:rsidP="00163344">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bCs/>
                <w:sz w:val="14"/>
                <w:szCs w:val="14"/>
              </w:rPr>
            </w:pPr>
            <w:r w:rsidRPr="00163344">
              <w:rPr>
                <w:rFonts w:ascii="ITC Avant Garde" w:hAnsi="ITC Avant Garde"/>
                <w:bCs/>
                <w:sz w:val="14"/>
                <w:szCs w:val="14"/>
              </w:rPr>
              <w:t>Los supuestos de la prueba</w:t>
            </w:r>
          </w:p>
        </w:tc>
      </w:tr>
    </w:tbl>
    <w:p w:rsidR="002F2557" w:rsidRPr="00BE5D49" w:rsidRDefault="002F2557" w:rsidP="0069622D">
      <w:pPr>
        <w:spacing w:after="0" w:line="240" w:lineRule="auto"/>
        <w:jc w:val="both"/>
        <w:rPr>
          <w:rFonts w:ascii="ITC Avant Garde" w:hAnsi="ITC Avant Garde" w:cs="Arial"/>
          <w:color w:val="000000" w:themeColor="text1"/>
        </w:rPr>
      </w:pPr>
    </w:p>
    <w:p w:rsidR="006B10E5" w:rsidRPr="00BE5D49" w:rsidRDefault="00C43801" w:rsidP="0069622D">
      <w:pPr>
        <w:spacing w:after="0" w:line="240" w:lineRule="auto"/>
        <w:jc w:val="both"/>
        <w:rPr>
          <w:rFonts w:ascii="ITC Avant Garde" w:hAnsi="ITC Avant Garde" w:cs="Arial"/>
          <w:color w:val="000000" w:themeColor="text1"/>
        </w:rPr>
      </w:pPr>
      <w:r w:rsidRPr="00BE5D49">
        <w:rPr>
          <w:rFonts w:ascii="ITC Avant Garde" w:hAnsi="ITC Avant Garde" w:cs="Arial"/>
          <w:color w:val="000000" w:themeColor="text1"/>
        </w:rPr>
        <w:t xml:space="preserve">A </w:t>
      </w:r>
      <w:r w:rsidR="00AF62F3" w:rsidRPr="00BE5D49">
        <w:rPr>
          <w:rFonts w:ascii="ITC Avant Garde" w:hAnsi="ITC Avant Garde" w:cs="Arial"/>
          <w:color w:val="000000" w:themeColor="text1"/>
        </w:rPr>
        <w:t>continuación,</w:t>
      </w:r>
      <w:r w:rsidRPr="00BE5D49">
        <w:rPr>
          <w:rFonts w:ascii="ITC Avant Garde" w:hAnsi="ITC Avant Garde" w:cs="Arial"/>
          <w:color w:val="000000" w:themeColor="text1"/>
        </w:rPr>
        <w:t xml:space="preserve"> se </w:t>
      </w:r>
      <w:r w:rsidR="002F7CED" w:rsidRPr="00BE5D49">
        <w:rPr>
          <w:rFonts w:ascii="ITC Avant Garde" w:hAnsi="ITC Avant Garde" w:cs="Arial"/>
          <w:color w:val="000000" w:themeColor="text1"/>
        </w:rPr>
        <w:t>presenta</w:t>
      </w:r>
      <w:r w:rsidR="00BE5D49">
        <w:rPr>
          <w:rFonts w:ascii="ITC Avant Garde" w:hAnsi="ITC Avant Garde" w:cs="Arial"/>
          <w:color w:val="000000" w:themeColor="text1"/>
        </w:rPr>
        <w:t xml:space="preserve"> un resumen de los comentarios realizados por los participantes y</w:t>
      </w:r>
      <w:r w:rsidRPr="00BE5D49">
        <w:rPr>
          <w:rFonts w:ascii="ITC Avant Garde" w:hAnsi="ITC Avant Garde" w:cs="Arial"/>
          <w:color w:val="000000" w:themeColor="text1"/>
        </w:rPr>
        <w:t xml:space="preserve"> la</w:t>
      </w:r>
      <w:r w:rsidR="00D87B96" w:rsidRPr="00BE5D49">
        <w:rPr>
          <w:rFonts w:ascii="ITC Avant Garde" w:hAnsi="ITC Avant Garde" w:cs="Arial"/>
          <w:color w:val="000000" w:themeColor="text1"/>
        </w:rPr>
        <w:t>s</w:t>
      </w:r>
      <w:r w:rsidRPr="00BE5D49">
        <w:rPr>
          <w:rFonts w:ascii="ITC Avant Garde" w:hAnsi="ITC Avant Garde" w:cs="Arial"/>
          <w:color w:val="000000" w:themeColor="text1"/>
        </w:rPr>
        <w:t xml:space="preserve"> respectiv</w:t>
      </w:r>
      <w:r w:rsidR="00BD1478" w:rsidRPr="00BE5D49">
        <w:rPr>
          <w:rFonts w:ascii="ITC Avant Garde" w:hAnsi="ITC Avant Garde" w:cs="Arial"/>
          <w:color w:val="000000" w:themeColor="text1"/>
        </w:rPr>
        <w:t>a</w:t>
      </w:r>
      <w:r w:rsidR="00D87B96" w:rsidRPr="00BE5D49">
        <w:rPr>
          <w:rFonts w:ascii="ITC Avant Garde" w:hAnsi="ITC Avant Garde" w:cs="Arial"/>
          <w:color w:val="000000" w:themeColor="text1"/>
        </w:rPr>
        <w:t>s</w:t>
      </w:r>
      <w:r w:rsidR="00BE5D49">
        <w:rPr>
          <w:rFonts w:ascii="ITC Avant Garde" w:hAnsi="ITC Avant Garde" w:cs="Arial"/>
          <w:color w:val="000000" w:themeColor="text1"/>
        </w:rPr>
        <w:t xml:space="preserve"> </w:t>
      </w:r>
      <w:r w:rsidR="00D87B96" w:rsidRPr="00BE5D49">
        <w:rPr>
          <w:rFonts w:ascii="ITC Avant Garde" w:hAnsi="ITC Avant Garde" w:cs="Arial"/>
          <w:color w:val="000000" w:themeColor="text1"/>
        </w:rPr>
        <w:t>consideraciones</w:t>
      </w:r>
      <w:r w:rsidR="00BD1478" w:rsidRPr="00BE5D49">
        <w:rPr>
          <w:rFonts w:ascii="ITC Avant Garde" w:hAnsi="ITC Avant Garde" w:cs="Arial"/>
          <w:color w:val="000000" w:themeColor="text1"/>
        </w:rPr>
        <w:t xml:space="preserve"> </w:t>
      </w:r>
      <w:r w:rsidR="00685664" w:rsidRPr="00BE5D49">
        <w:rPr>
          <w:rFonts w:ascii="ITC Avant Garde" w:hAnsi="ITC Avant Garde" w:cs="Arial"/>
          <w:color w:val="000000" w:themeColor="text1"/>
        </w:rPr>
        <w:t xml:space="preserve">por parte </w:t>
      </w:r>
      <w:r w:rsidR="00BD1478" w:rsidRPr="00BE5D49">
        <w:rPr>
          <w:rFonts w:ascii="ITC Avant Garde" w:hAnsi="ITC Avant Garde" w:cs="Arial"/>
          <w:color w:val="000000" w:themeColor="text1"/>
        </w:rPr>
        <w:t xml:space="preserve">del </w:t>
      </w:r>
      <w:r w:rsidR="003C0878" w:rsidRPr="00BE5D49">
        <w:rPr>
          <w:rFonts w:ascii="ITC Avant Garde" w:hAnsi="ITC Avant Garde" w:cs="Arial"/>
          <w:color w:val="000000" w:themeColor="text1"/>
        </w:rPr>
        <w:t>Instituto</w:t>
      </w:r>
      <w:r w:rsidR="00DF6835" w:rsidRPr="00BE5D49">
        <w:rPr>
          <w:rFonts w:ascii="ITC Avant Garde" w:hAnsi="ITC Avant Garde" w:cs="Arial"/>
          <w:color w:val="000000" w:themeColor="text1"/>
        </w:rPr>
        <w:t>.</w:t>
      </w:r>
    </w:p>
    <w:p w:rsidR="0069622D" w:rsidRPr="00BE5D49" w:rsidRDefault="0069622D" w:rsidP="0069622D">
      <w:pPr>
        <w:spacing w:after="0" w:line="240" w:lineRule="auto"/>
        <w:jc w:val="both"/>
        <w:rPr>
          <w:rFonts w:ascii="ITC Avant Garde" w:hAnsi="ITC Avant Garde" w:cs="Arial"/>
          <w:color w:val="000000" w:themeColor="text1"/>
        </w:rPr>
      </w:pPr>
    </w:p>
    <w:p w:rsidR="00233DF9" w:rsidRPr="00BE5D49" w:rsidRDefault="00233DF9" w:rsidP="00BE5D49">
      <w:pPr>
        <w:pStyle w:val="Ttulo1"/>
        <w:spacing w:before="0" w:line="240" w:lineRule="auto"/>
        <w:rPr>
          <w:rFonts w:ascii="ITC Avant Garde" w:hAnsi="ITC Avant Garde" w:cs="Arial"/>
          <w:color w:val="2E74B5" w:themeColor="accent1" w:themeShade="BF"/>
          <w:sz w:val="22"/>
          <w:szCs w:val="22"/>
          <w:u w:val="single"/>
        </w:rPr>
      </w:pPr>
      <w:r w:rsidRPr="00BE5D49">
        <w:rPr>
          <w:rFonts w:ascii="ITC Avant Garde" w:hAnsi="ITC Avant Garde" w:cs="Arial"/>
          <w:color w:val="2E74B5" w:themeColor="accent1" w:themeShade="BF"/>
          <w:sz w:val="22"/>
          <w:szCs w:val="22"/>
          <w:u w:val="single"/>
        </w:rPr>
        <w:t>Sobre la Prueba aplicada a Servicios Minoristas Móviles</w:t>
      </w:r>
    </w:p>
    <w:p w:rsidR="0069622D" w:rsidRPr="00BE5D49" w:rsidRDefault="0069622D" w:rsidP="0069622D">
      <w:pPr>
        <w:spacing w:after="0" w:line="240" w:lineRule="auto"/>
        <w:jc w:val="both"/>
        <w:rPr>
          <w:rFonts w:ascii="ITC Avant Garde" w:hAnsi="ITC Avant Garde"/>
          <w:b/>
          <w:color w:val="000000" w:themeColor="text1"/>
        </w:rPr>
      </w:pPr>
    </w:p>
    <w:p w:rsidR="009C3445" w:rsidRPr="00BE5D49" w:rsidRDefault="00213D1D" w:rsidP="00DF19A0">
      <w:pPr>
        <w:pStyle w:val="Ttulo2"/>
        <w:spacing w:before="0" w:line="240" w:lineRule="auto"/>
        <w:jc w:val="both"/>
        <w:rPr>
          <w:rFonts w:ascii="ITC Avant Garde" w:hAnsi="ITC Avant Garde"/>
          <w:b/>
          <w:color w:val="000000" w:themeColor="text1"/>
          <w:sz w:val="22"/>
          <w:szCs w:val="22"/>
        </w:rPr>
      </w:pPr>
      <w:r w:rsidRPr="00BE5D49">
        <w:rPr>
          <w:rFonts w:ascii="ITC Avant Garde" w:hAnsi="ITC Avant Garde"/>
          <w:b/>
          <w:color w:val="000000" w:themeColor="text1"/>
          <w:sz w:val="22"/>
          <w:szCs w:val="22"/>
        </w:rPr>
        <w:t xml:space="preserve">Tema: </w:t>
      </w:r>
      <w:r w:rsidR="000741A7" w:rsidRPr="00BE5D49">
        <w:rPr>
          <w:rFonts w:ascii="ITC Avant Garde" w:hAnsi="ITC Avant Garde"/>
          <w:b/>
          <w:color w:val="000000" w:themeColor="text1"/>
          <w:sz w:val="22"/>
          <w:szCs w:val="22"/>
        </w:rPr>
        <w:t xml:space="preserve">Momento </w:t>
      </w:r>
      <w:r w:rsidRPr="00BE5D49">
        <w:rPr>
          <w:rFonts w:ascii="ITC Avant Garde" w:hAnsi="ITC Avant Garde"/>
          <w:b/>
          <w:color w:val="000000" w:themeColor="text1"/>
          <w:sz w:val="22"/>
          <w:szCs w:val="22"/>
        </w:rPr>
        <w:t>de aplicación de la prueba</w:t>
      </w:r>
    </w:p>
    <w:p w:rsidR="004F1A78" w:rsidRPr="00BE5D49" w:rsidRDefault="004F1A78" w:rsidP="0069622D">
      <w:pPr>
        <w:spacing w:after="0" w:line="240" w:lineRule="auto"/>
        <w:jc w:val="both"/>
        <w:rPr>
          <w:rFonts w:ascii="ITC Avant Garde" w:hAnsi="ITC Avant Garde" w:cs="Arial"/>
          <w:color w:val="000000" w:themeColor="text1"/>
        </w:rPr>
      </w:pPr>
    </w:p>
    <w:p w:rsidR="00213D1D" w:rsidRPr="00BE5D49" w:rsidRDefault="00213D1D" w:rsidP="0069622D">
      <w:pPr>
        <w:spacing w:after="0" w:line="240" w:lineRule="auto"/>
        <w:jc w:val="both"/>
        <w:rPr>
          <w:rFonts w:ascii="ITC Avant Garde" w:hAnsi="ITC Avant Garde" w:cs="Arial"/>
          <w:color w:val="000000" w:themeColor="text1"/>
        </w:rPr>
      </w:pPr>
      <w:r w:rsidRPr="00BE5D49">
        <w:rPr>
          <w:rFonts w:ascii="ITC Avant Garde" w:hAnsi="ITC Avant Garde" w:cs="Arial"/>
          <w:color w:val="000000" w:themeColor="text1"/>
        </w:rPr>
        <w:t xml:space="preserve">Se sugiere la implementación de pruebas ex ante y ex post. A </w:t>
      </w:r>
      <w:r w:rsidR="00AF62F3" w:rsidRPr="00BE5D49">
        <w:rPr>
          <w:rFonts w:ascii="ITC Avant Garde" w:hAnsi="ITC Avant Garde" w:cs="Arial"/>
          <w:color w:val="000000" w:themeColor="text1"/>
        </w:rPr>
        <w:t>continuación,</w:t>
      </w:r>
      <w:r w:rsidRPr="00BE5D49">
        <w:rPr>
          <w:rFonts w:ascii="ITC Avant Garde" w:hAnsi="ITC Avant Garde" w:cs="Arial"/>
          <w:color w:val="000000" w:themeColor="text1"/>
        </w:rPr>
        <w:t xml:space="preserve"> se mencionan </w:t>
      </w:r>
      <w:r w:rsidR="000333F7" w:rsidRPr="00BE5D49">
        <w:rPr>
          <w:rFonts w:ascii="ITC Avant Garde" w:hAnsi="ITC Avant Garde" w:cs="Arial"/>
          <w:color w:val="000000" w:themeColor="text1"/>
        </w:rPr>
        <w:t xml:space="preserve">las propuestas y </w:t>
      </w:r>
      <w:r w:rsidRPr="00BE5D49">
        <w:rPr>
          <w:rFonts w:ascii="ITC Avant Garde" w:hAnsi="ITC Avant Garde" w:cs="Arial"/>
          <w:color w:val="000000" w:themeColor="text1"/>
        </w:rPr>
        <w:t>los argumentos presentados</w:t>
      </w:r>
      <w:r w:rsidR="00A5467B" w:rsidRPr="00BE5D49">
        <w:rPr>
          <w:rFonts w:ascii="ITC Avant Garde" w:hAnsi="ITC Avant Garde" w:cs="Arial"/>
          <w:color w:val="000000" w:themeColor="text1"/>
        </w:rPr>
        <w:t>:</w:t>
      </w:r>
    </w:p>
    <w:p w:rsidR="0069622D" w:rsidRPr="00BE5D49" w:rsidRDefault="0069622D" w:rsidP="0069622D">
      <w:pPr>
        <w:spacing w:after="0" w:line="240" w:lineRule="auto"/>
        <w:jc w:val="both"/>
        <w:rPr>
          <w:rFonts w:ascii="ITC Avant Garde" w:hAnsi="ITC Avant Garde" w:cs="Arial"/>
          <w:color w:val="000000" w:themeColor="text1"/>
        </w:rPr>
      </w:pPr>
    </w:p>
    <w:p w:rsidR="00213D1D" w:rsidRPr="00BE5D49" w:rsidRDefault="00213D1D" w:rsidP="0069622D">
      <w:pPr>
        <w:pStyle w:val="Prrafodelista"/>
        <w:numPr>
          <w:ilvl w:val="0"/>
          <w:numId w:val="3"/>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La aplicación ex ante de la prueba es más favorable al objetivo de promover la entrada y crecimiento de competidores, pues asegura que el A</w:t>
      </w:r>
      <w:r w:rsidR="00AF62F3" w:rsidRPr="00BE5D49">
        <w:rPr>
          <w:rFonts w:ascii="ITC Avant Garde" w:hAnsi="ITC Avant Garde" w:cs="Arial"/>
          <w:color w:val="000000" w:themeColor="text1"/>
        </w:rPr>
        <w:t xml:space="preserve">gente Económico </w:t>
      </w:r>
      <w:r w:rsidRPr="00BE5D49">
        <w:rPr>
          <w:rFonts w:ascii="ITC Avant Garde" w:hAnsi="ITC Avant Garde" w:cs="Arial"/>
          <w:color w:val="000000" w:themeColor="text1"/>
        </w:rPr>
        <w:t>P</w:t>
      </w:r>
      <w:r w:rsidR="00AF62F3" w:rsidRPr="00BE5D49">
        <w:rPr>
          <w:rFonts w:ascii="ITC Avant Garde" w:hAnsi="ITC Avant Garde" w:cs="Arial"/>
          <w:color w:val="000000" w:themeColor="text1"/>
        </w:rPr>
        <w:t>reponderante (en lo sucesivo, el “AEP”)</w:t>
      </w:r>
      <w:r w:rsidRPr="00BE5D49">
        <w:rPr>
          <w:rFonts w:ascii="ITC Avant Garde" w:hAnsi="ITC Avant Garde" w:cs="Arial"/>
          <w:color w:val="000000" w:themeColor="text1"/>
        </w:rPr>
        <w:t xml:space="preserve"> no lanzará al mercado </w:t>
      </w:r>
      <w:r w:rsidR="00AF62F3" w:rsidRPr="00BE5D49">
        <w:rPr>
          <w:rFonts w:ascii="ITC Avant Garde" w:hAnsi="ITC Avant Garde" w:cs="Arial"/>
          <w:color w:val="000000" w:themeColor="text1"/>
        </w:rPr>
        <w:t>ninguna oferta no replicable</w:t>
      </w:r>
      <w:r w:rsidRPr="00BE5D49">
        <w:rPr>
          <w:rFonts w:ascii="ITC Avant Garde" w:hAnsi="ITC Avant Garde" w:cs="Arial"/>
          <w:color w:val="000000" w:themeColor="text1"/>
        </w:rPr>
        <w:t>. Asimismo, se plantea acortar el periodo de la aplicación a tres meses, con el fin de reducir el tiempo máximo de las ofertas comerciales no replicables en el mercado.</w:t>
      </w:r>
    </w:p>
    <w:p w:rsidR="0069622D" w:rsidRPr="00BE5D49" w:rsidRDefault="0069622D" w:rsidP="0069622D">
      <w:pPr>
        <w:pStyle w:val="Prrafodelista"/>
        <w:spacing w:after="0" w:line="240" w:lineRule="auto"/>
        <w:contextualSpacing w:val="0"/>
        <w:jc w:val="both"/>
        <w:rPr>
          <w:rFonts w:ascii="ITC Avant Garde" w:hAnsi="ITC Avant Garde" w:cs="Arial"/>
          <w:color w:val="000000" w:themeColor="text1"/>
        </w:rPr>
      </w:pPr>
    </w:p>
    <w:p w:rsidR="00213D1D" w:rsidRPr="00BE5D49" w:rsidRDefault="00213D1D" w:rsidP="0069622D">
      <w:pPr>
        <w:pStyle w:val="Prrafodelista"/>
        <w:numPr>
          <w:ilvl w:val="0"/>
          <w:numId w:val="3"/>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La aplicación de pruebas de replicabilidad debe de ser ex ante y ex post, pues al tratarse de una prueba ex post, los O</w:t>
      </w:r>
      <w:r w:rsidR="00AF62F3" w:rsidRPr="00BE5D49">
        <w:rPr>
          <w:rFonts w:ascii="ITC Avant Garde" w:hAnsi="ITC Avant Garde" w:cs="Arial"/>
          <w:color w:val="000000" w:themeColor="text1"/>
        </w:rPr>
        <w:t xml:space="preserve">peradores </w:t>
      </w:r>
      <w:r w:rsidRPr="00BE5D49">
        <w:rPr>
          <w:rFonts w:ascii="ITC Avant Garde" w:hAnsi="ITC Avant Garde" w:cs="Arial"/>
          <w:color w:val="000000" w:themeColor="text1"/>
        </w:rPr>
        <w:t>M</w:t>
      </w:r>
      <w:r w:rsidR="00AF62F3" w:rsidRPr="00BE5D49">
        <w:rPr>
          <w:rFonts w:ascii="ITC Avant Garde" w:hAnsi="ITC Avant Garde" w:cs="Arial"/>
          <w:color w:val="000000" w:themeColor="text1"/>
        </w:rPr>
        <w:t xml:space="preserve">óviles </w:t>
      </w:r>
      <w:r w:rsidRPr="00BE5D49">
        <w:rPr>
          <w:rFonts w:ascii="ITC Avant Garde" w:hAnsi="ITC Avant Garde" w:cs="Arial"/>
          <w:color w:val="000000" w:themeColor="text1"/>
        </w:rPr>
        <w:t>V</w:t>
      </w:r>
      <w:r w:rsidR="00AF62F3" w:rsidRPr="00BE5D49">
        <w:rPr>
          <w:rFonts w:ascii="ITC Avant Garde" w:hAnsi="ITC Avant Garde" w:cs="Arial"/>
          <w:color w:val="000000" w:themeColor="text1"/>
        </w:rPr>
        <w:t xml:space="preserve">irtuales (en lo sucesivo, “OMV”) no tienen certeza </w:t>
      </w:r>
      <w:r w:rsidRPr="00BE5D49">
        <w:rPr>
          <w:rFonts w:ascii="ITC Avant Garde" w:hAnsi="ITC Avant Garde" w:cs="Arial"/>
          <w:color w:val="000000" w:themeColor="text1"/>
        </w:rPr>
        <w:t xml:space="preserve">de entrar al mercado, debido a que el AEP puede lanzar planes tarifarios que les estrechen los márgenes, generando incertidumbre en los OMV al no saber dónde está el problema, si en ciertos segmentos de mercado o en todas las tarifas. </w:t>
      </w:r>
    </w:p>
    <w:p w:rsidR="00B652D4" w:rsidRPr="00BE5D49" w:rsidRDefault="00B652D4" w:rsidP="00BE5D49">
      <w:pPr>
        <w:pStyle w:val="Prrafodelista"/>
        <w:rPr>
          <w:rFonts w:ascii="ITC Avant Garde" w:hAnsi="ITC Avant Garde" w:cs="Arial"/>
          <w:color w:val="000000" w:themeColor="text1"/>
        </w:rPr>
      </w:pPr>
    </w:p>
    <w:p w:rsidR="00213D1D" w:rsidRPr="00BE5D49" w:rsidRDefault="00213D1D" w:rsidP="0069622D">
      <w:pPr>
        <w:pStyle w:val="Prrafodelista"/>
        <w:numPr>
          <w:ilvl w:val="0"/>
          <w:numId w:val="3"/>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La prueba debería realizarse ex ante y ex post, ya que se maximizaría la seguridad del mercado sobre la replicabilidad de las tarifas minoristas que en cualquier momento lance el AEP, a la vez que aseguraría consistencia con las obligaciones impuestas al AEP en la Resolución de Preponderancia</w:t>
      </w:r>
      <w:r w:rsidR="00CA3BAE" w:rsidRPr="00BE5D49">
        <w:rPr>
          <w:rStyle w:val="Refdenotaalpie"/>
          <w:rFonts w:ascii="ITC Avant Garde" w:hAnsi="ITC Avant Garde" w:cs="Arial"/>
          <w:color w:val="000000" w:themeColor="text1"/>
        </w:rPr>
        <w:footnoteReference w:id="2"/>
      </w:r>
      <w:r w:rsidRPr="00BE5D49">
        <w:rPr>
          <w:rFonts w:ascii="ITC Avant Garde" w:hAnsi="ITC Avant Garde" w:cs="Arial"/>
          <w:color w:val="000000" w:themeColor="text1"/>
        </w:rPr>
        <w:t>.</w:t>
      </w:r>
    </w:p>
    <w:p w:rsidR="0069622D" w:rsidRPr="00BE5D49" w:rsidRDefault="0069622D" w:rsidP="0069622D">
      <w:pPr>
        <w:pStyle w:val="Prrafodelista"/>
        <w:spacing w:after="0" w:line="240" w:lineRule="auto"/>
        <w:contextualSpacing w:val="0"/>
        <w:jc w:val="both"/>
        <w:rPr>
          <w:rFonts w:ascii="ITC Avant Garde" w:hAnsi="ITC Avant Garde" w:cs="Arial"/>
          <w:color w:val="000000" w:themeColor="text1"/>
        </w:rPr>
      </w:pPr>
    </w:p>
    <w:p w:rsidR="00213D1D" w:rsidRPr="00BE5D49" w:rsidRDefault="00213D1D" w:rsidP="0069622D">
      <w:pPr>
        <w:pStyle w:val="Prrafodelista"/>
        <w:numPr>
          <w:ilvl w:val="0"/>
          <w:numId w:val="3"/>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Para todos los servicios debería realizarse una prueba oferta por oferta o bien un esquema combinado donde se incluya un análisis ex ante oferta por oferta, pues el objetivo del análisis de replicabilidad debe ser ante todo promover la competencia en la prestación de servicios de telecomunicaciones y no darle más flexibilidad o reducir la carga regulatoria al AEP. Además, se considera que si la prueba no se realiza ex ante se le daría una ventaja indebida al AEP durante un periodo de al menos de seis meses, tiempo en el cual puede afectar la capacidad competitiva de otros agentes económicos de manera definitiva.</w:t>
      </w:r>
    </w:p>
    <w:p w:rsidR="0069622D" w:rsidRPr="00BE5D49" w:rsidRDefault="0069622D" w:rsidP="0069622D">
      <w:pPr>
        <w:pStyle w:val="Prrafodelista"/>
        <w:rPr>
          <w:rFonts w:ascii="ITC Avant Garde" w:hAnsi="ITC Avant Garde" w:cs="Arial"/>
          <w:color w:val="000000" w:themeColor="text1"/>
        </w:rPr>
      </w:pPr>
    </w:p>
    <w:p w:rsidR="00213D1D" w:rsidRPr="00BE5D49" w:rsidRDefault="00213D1D" w:rsidP="0069622D">
      <w:pPr>
        <w:pStyle w:val="Prrafodelista"/>
        <w:numPr>
          <w:ilvl w:val="0"/>
          <w:numId w:val="3"/>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Se debe incorporar una prueba ex ante previa al lanzamiento de cada oferta y el análisis debe realizarse oferta por oferta llegando a desagregar el contenido de las ofertas paquetizadas en los componentes que la constituyen. La prueba ex post sería complementaria a la prueba ex ante y validaría, con datos reales, la replicabilidad de las ofertas ya en el mercado.</w:t>
      </w:r>
    </w:p>
    <w:p w:rsidR="0069622D" w:rsidRPr="00BE5D49" w:rsidRDefault="0069622D" w:rsidP="0069622D">
      <w:pPr>
        <w:pStyle w:val="Prrafodelista"/>
        <w:rPr>
          <w:rFonts w:ascii="ITC Avant Garde" w:hAnsi="ITC Avant Garde" w:cs="Arial"/>
          <w:color w:val="000000" w:themeColor="text1"/>
        </w:rPr>
      </w:pPr>
    </w:p>
    <w:p w:rsidR="00213D1D" w:rsidRPr="00BE5D49" w:rsidRDefault="00213D1D" w:rsidP="0069622D">
      <w:pPr>
        <w:pStyle w:val="Prrafodelista"/>
        <w:numPr>
          <w:ilvl w:val="0"/>
          <w:numId w:val="3"/>
        </w:numPr>
        <w:spacing w:after="0" w:line="240" w:lineRule="auto"/>
        <w:contextualSpacing w:val="0"/>
        <w:jc w:val="both"/>
        <w:rPr>
          <w:rFonts w:ascii="ITC Avant Garde" w:hAnsi="ITC Avant Garde"/>
          <w:color w:val="000000" w:themeColor="text1"/>
        </w:rPr>
      </w:pPr>
      <w:r w:rsidRPr="00BE5D49">
        <w:rPr>
          <w:rFonts w:ascii="ITC Avant Garde" w:hAnsi="ITC Avant Garde"/>
          <w:color w:val="000000" w:themeColor="text1"/>
        </w:rPr>
        <w:t>Se sugiere que la prueba de replicabilidad se realice de manera trimestral</w:t>
      </w:r>
      <w:r w:rsidR="00F75D2E" w:rsidRPr="00BE5D49">
        <w:rPr>
          <w:rFonts w:ascii="ITC Avant Garde" w:hAnsi="ITC Avant Garde"/>
          <w:color w:val="000000" w:themeColor="text1"/>
        </w:rPr>
        <w:t>,</w:t>
      </w:r>
      <w:r w:rsidRPr="00BE5D49">
        <w:rPr>
          <w:rFonts w:ascii="ITC Avant Garde" w:hAnsi="ITC Avant Garde"/>
          <w:color w:val="000000" w:themeColor="text1"/>
        </w:rPr>
        <w:t xml:space="preserve"> ya que con este tiempo se podría competir con las mismas condiciones que el AEP considerando tarifas y oferta comercial.</w:t>
      </w:r>
    </w:p>
    <w:p w:rsidR="00213D1D" w:rsidRPr="00BE5D49" w:rsidRDefault="00213D1D" w:rsidP="0069622D">
      <w:pPr>
        <w:pStyle w:val="Default"/>
        <w:jc w:val="both"/>
        <w:rPr>
          <w:rFonts w:ascii="ITC Avant Garde" w:hAnsi="ITC Avant Garde"/>
          <w:color w:val="000000" w:themeColor="text1"/>
          <w:sz w:val="22"/>
          <w:szCs w:val="22"/>
        </w:rPr>
      </w:pPr>
    </w:p>
    <w:p w:rsidR="00213D1D" w:rsidRPr="00BE5D49" w:rsidRDefault="004567D5" w:rsidP="00BE5D49">
      <w:pPr>
        <w:spacing w:after="0" w:line="240" w:lineRule="auto"/>
        <w:rPr>
          <w:rFonts w:ascii="ITC Avant Garde" w:hAnsi="ITC Avant Garde"/>
          <w:color w:val="000000" w:themeColor="text1"/>
        </w:rPr>
      </w:pPr>
      <w:r w:rsidRPr="00BE5D49">
        <w:rPr>
          <w:rFonts w:ascii="ITC Avant Garde" w:hAnsi="ITC Avant Garde"/>
          <w:b/>
          <w:color w:val="000000" w:themeColor="text1"/>
        </w:rPr>
        <w:t>Consideraciones del Instituto</w:t>
      </w:r>
      <w:r w:rsidR="00213D1D" w:rsidRPr="00BE5D49">
        <w:rPr>
          <w:rFonts w:ascii="ITC Avant Garde" w:hAnsi="ITC Avant Garde"/>
          <w:b/>
          <w:color w:val="000000" w:themeColor="text1"/>
        </w:rPr>
        <w:t>:</w:t>
      </w:r>
      <w:r w:rsidR="00213D1D" w:rsidRPr="00BE5D49">
        <w:rPr>
          <w:rFonts w:ascii="ITC Avant Garde" w:hAnsi="ITC Avant Garde"/>
          <w:color w:val="000000" w:themeColor="text1"/>
        </w:rPr>
        <w:t xml:space="preserve"> </w:t>
      </w:r>
    </w:p>
    <w:p w:rsidR="009A17C0" w:rsidRPr="00BE5D49" w:rsidRDefault="009A17C0" w:rsidP="0069622D">
      <w:pPr>
        <w:spacing w:after="0" w:line="240" w:lineRule="auto"/>
        <w:jc w:val="both"/>
        <w:rPr>
          <w:rFonts w:ascii="ITC Avant Garde" w:hAnsi="ITC Avant Garde"/>
          <w:color w:val="000000" w:themeColor="text1"/>
        </w:rPr>
      </w:pPr>
    </w:p>
    <w:p w:rsidR="00213D1D" w:rsidRPr="00BE5D49" w:rsidRDefault="00AD6F43" w:rsidP="0069622D">
      <w:pPr>
        <w:spacing w:after="0" w:line="240" w:lineRule="auto"/>
        <w:jc w:val="both"/>
        <w:rPr>
          <w:rFonts w:ascii="ITC Avant Garde" w:hAnsi="ITC Avant Garde"/>
          <w:color w:val="000000" w:themeColor="text1"/>
        </w:rPr>
      </w:pPr>
      <w:r w:rsidRPr="00BE5D49">
        <w:rPr>
          <w:rFonts w:ascii="ITC Avant Garde" w:hAnsi="ITC Avant Garde"/>
          <w:color w:val="000000" w:themeColor="text1"/>
        </w:rPr>
        <w:t>Respecto a la propuesta de aplicar la prueba de manera ex ante, es importante mencionar que l</w:t>
      </w:r>
      <w:r w:rsidR="00213D1D" w:rsidRPr="00BE5D49">
        <w:rPr>
          <w:rFonts w:ascii="ITC Avant Garde" w:hAnsi="ITC Avant Garde"/>
          <w:color w:val="000000" w:themeColor="text1"/>
        </w:rPr>
        <w:t>a medida Sexagésima Cuarta del Anexo 1</w:t>
      </w:r>
      <w:r w:rsidR="0059058B" w:rsidRPr="00BE5D49">
        <w:rPr>
          <w:rFonts w:ascii="ITC Avant Garde" w:hAnsi="ITC Avant Garde"/>
          <w:color w:val="000000" w:themeColor="text1"/>
        </w:rPr>
        <w:t xml:space="preserve"> de la Resolución Bienal,</w:t>
      </w:r>
      <w:r w:rsidR="00213D1D" w:rsidRPr="00BE5D49">
        <w:rPr>
          <w:rFonts w:ascii="ITC Avant Garde" w:hAnsi="ITC Avant Garde"/>
          <w:color w:val="000000" w:themeColor="text1"/>
        </w:rPr>
        <w:t xml:space="preserve"> establece que el Instituto validará de forma ex-post la replicabilidad económica de las tarifas al público, a efecto de garantizar que sean replicables por los OMV. En tal sentido, la determinación de la implementación de la prueba de replicabilidad económica tiene que ser consistente con lo establecido en la resolución que le da origen.</w:t>
      </w:r>
      <w:r w:rsidR="007E30C6" w:rsidRPr="00BE5D49">
        <w:rPr>
          <w:rFonts w:ascii="ITC Avant Garde" w:hAnsi="ITC Avant Garde"/>
          <w:color w:val="000000" w:themeColor="text1"/>
        </w:rPr>
        <w:t xml:space="preserve"> </w:t>
      </w:r>
    </w:p>
    <w:p w:rsidR="00174AC6" w:rsidRPr="00BE5D49" w:rsidRDefault="00174AC6" w:rsidP="0069622D">
      <w:pPr>
        <w:spacing w:after="0" w:line="240" w:lineRule="auto"/>
        <w:jc w:val="both"/>
        <w:rPr>
          <w:rFonts w:ascii="ITC Avant Garde" w:hAnsi="ITC Avant Garde"/>
          <w:b/>
          <w:color w:val="000000" w:themeColor="text1"/>
        </w:rPr>
      </w:pPr>
    </w:p>
    <w:p w:rsidR="00421DD2" w:rsidRDefault="00213D1D" w:rsidP="0069622D">
      <w:pPr>
        <w:spacing w:after="0" w:line="240" w:lineRule="auto"/>
        <w:jc w:val="both"/>
        <w:rPr>
          <w:rFonts w:ascii="ITC Avant Garde" w:hAnsi="ITC Avant Garde"/>
          <w:color w:val="000000" w:themeColor="text1"/>
        </w:rPr>
      </w:pPr>
      <w:r w:rsidRPr="00BE5D49">
        <w:rPr>
          <w:rFonts w:ascii="ITC Avant Garde" w:hAnsi="ITC Avant Garde"/>
          <w:color w:val="000000" w:themeColor="text1"/>
        </w:rPr>
        <w:t xml:space="preserve">Por otro lado, </w:t>
      </w:r>
      <w:r w:rsidR="00921876" w:rsidRPr="00BE5D49">
        <w:rPr>
          <w:rFonts w:ascii="ITC Avant Garde" w:hAnsi="ITC Avant Garde"/>
          <w:color w:val="000000" w:themeColor="text1"/>
        </w:rPr>
        <w:t xml:space="preserve">considerando </w:t>
      </w:r>
      <w:r w:rsidRPr="00BE5D49">
        <w:rPr>
          <w:rFonts w:ascii="ITC Avant Garde" w:hAnsi="ITC Avant Garde"/>
          <w:color w:val="000000" w:themeColor="text1"/>
        </w:rPr>
        <w:t>el gran dinamismo del segmento móvil</w:t>
      </w:r>
      <w:r w:rsidRPr="00BE5D49">
        <w:rPr>
          <w:rStyle w:val="Refdenotaalpie"/>
          <w:rFonts w:ascii="ITC Avant Garde" w:hAnsi="ITC Avant Garde"/>
          <w:color w:val="000000" w:themeColor="text1"/>
        </w:rPr>
        <w:footnoteReference w:id="3"/>
      </w:r>
      <w:r w:rsidR="00921876" w:rsidRPr="00BE5D49">
        <w:rPr>
          <w:rFonts w:ascii="ITC Avant Garde" w:hAnsi="ITC Avant Garde"/>
          <w:color w:val="000000" w:themeColor="text1"/>
        </w:rPr>
        <w:t xml:space="preserve"> y</w:t>
      </w:r>
      <w:r w:rsidRPr="00BE5D49">
        <w:rPr>
          <w:rFonts w:ascii="ITC Avant Garde" w:hAnsi="ITC Avant Garde"/>
          <w:color w:val="000000" w:themeColor="text1"/>
        </w:rPr>
        <w:t xml:space="preserve"> </w:t>
      </w:r>
      <w:r w:rsidR="00E25347" w:rsidRPr="00BE5D49">
        <w:rPr>
          <w:rFonts w:ascii="ITC Avant Garde" w:hAnsi="ITC Avant Garde"/>
          <w:color w:val="000000" w:themeColor="text1"/>
        </w:rPr>
        <w:t xml:space="preserve">con la finalidad de detectar y corregir oportunamente </w:t>
      </w:r>
      <w:r w:rsidR="009D1978">
        <w:rPr>
          <w:rFonts w:ascii="ITC Avant Garde" w:hAnsi="ITC Avant Garde"/>
          <w:color w:val="000000" w:themeColor="text1"/>
        </w:rPr>
        <w:t xml:space="preserve">posibles </w:t>
      </w:r>
      <w:r w:rsidR="00E25347" w:rsidRPr="00BE5D49">
        <w:rPr>
          <w:rFonts w:ascii="ITC Avant Garde" w:hAnsi="ITC Avant Garde"/>
          <w:color w:val="000000" w:themeColor="text1"/>
        </w:rPr>
        <w:t>casos de estrechamiento de márgenes, cuando estos se presenten</w:t>
      </w:r>
      <w:r w:rsidRPr="00BE5D49">
        <w:rPr>
          <w:rFonts w:ascii="ITC Avant Garde" w:hAnsi="ITC Avant Garde"/>
          <w:color w:val="000000" w:themeColor="text1"/>
        </w:rPr>
        <w:t>, se considera pertinente una frecuencia de tres meses en la aplicación de las pruebas de replicabilidad</w:t>
      </w:r>
      <w:r w:rsidR="00E25347" w:rsidRPr="00BE5D49">
        <w:rPr>
          <w:rFonts w:ascii="ITC Avant Garde" w:hAnsi="ITC Avant Garde"/>
          <w:color w:val="000000" w:themeColor="text1"/>
        </w:rPr>
        <w:t xml:space="preserve"> económica</w:t>
      </w:r>
      <w:r w:rsidR="00421DD2">
        <w:rPr>
          <w:rFonts w:ascii="ITC Avant Garde" w:hAnsi="ITC Avant Garde"/>
          <w:color w:val="000000" w:themeColor="text1"/>
        </w:rPr>
        <w:t>.</w:t>
      </w:r>
    </w:p>
    <w:p w:rsidR="00BE5D49" w:rsidRDefault="00BE5D49" w:rsidP="0069622D">
      <w:pPr>
        <w:spacing w:after="0" w:line="240" w:lineRule="auto"/>
        <w:jc w:val="both"/>
        <w:rPr>
          <w:rFonts w:ascii="ITC Avant Garde" w:hAnsi="ITC Avant Garde"/>
          <w:color w:val="000000" w:themeColor="text1"/>
        </w:rPr>
      </w:pPr>
    </w:p>
    <w:p w:rsidR="00526EA4" w:rsidRPr="00BE5D49" w:rsidRDefault="00526EA4" w:rsidP="00BE5D49">
      <w:pPr>
        <w:spacing w:after="0" w:line="240" w:lineRule="auto"/>
        <w:jc w:val="both"/>
        <w:rPr>
          <w:rFonts w:ascii="ITC Avant Garde" w:hAnsi="ITC Avant Garde"/>
          <w:b/>
          <w:color w:val="000000" w:themeColor="text1"/>
        </w:rPr>
      </w:pPr>
      <w:r w:rsidRPr="00BE5D49">
        <w:rPr>
          <w:rFonts w:ascii="ITC Avant Garde" w:hAnsi="ITC Avant Garde"/>
          <w:b/>
          <w:color w:val="000000" w:themeColor="text1"/>
        </w:rPr>
        <w:t>Tema: Nivel de agregación</w:t>
      </w:r>
    </w:p>
    <w:p w:rsidR="00843CFB" w:rsidRPr="00BE5D49" w:rsidRDefault="00843CFB" w:rsidP="0069622D">
      <w:pPr>
        <w:spacing w:after="0" w:line="240" w:lineRule="auto"/>
        <w:jc w:val="both"/>
        <w:rPr>
          <w:rFonts w:ascii="ITC Avant Garde" w:hAnsi="ITC Avant Garde"/>
          <w:color w:val="000000" w:themeColor="text1"/>
        </w:rPr>
      </w:pPr>
    </w:p>
    <w:p w:rsidR="0069622D" w:rsidRPr="00BE5D49" w:rsidRDefault="00526EA4" w:rsidP="0069622D">
      <w:pPr>
        <w:spacing w:after="0" w:line="240" w:lineRule="auto"/>
        <w:jc w:val="both"/>
        <w:rPr>
          <w:rFonts w:ascii="ITC Avant Garde" w:hAnsi="ITC Avant Garde"/>
          <w:color w:val="000000" w:themeColor="text1"/>
        </w:rPr>
      </w:pPr>
      <w:r w:rsidRPr="00BE5D49">
        <w:rPr>
          <w:rFonts w:ascii="ITC Avant Garde" w:hAnsi="ITC Avant Garde"/>
          <w:color w:val="000000" w:themeColor="text1"/>
        </w:rPr>
        <w:t xml:space="preserve">Se sugieren niveles de agregación distintos al de una cartera de todo el mercado y evaluar de manera separada los distintos elementos de los paquetes. A </w:t>
      </w:r>
      <w:r w:rsidR="00AF62F3" w:rsidRPr="00BE5D49">
        <w:rPr>
          <w:rFonts w:ascii="ITC Avant Garde" w:hAnsi="ITC Avant Garde"/>
          <w:color w:val="000000" w:themeColor="text1"/>
        </w:rPr>
        <w:t>continuación,</w:t>
      </w:r>
      <w:r w:rsidRPr="00BE5D49">
        <w:rPr>
          <w:rFonts w:ascii="ITC Avant Garde" w:hAnsi="ITC Avant Garde"/>
          <w:color w:val="000000" w:themeColor="text1"/>
        </w:rPr>
        <w:t xml:space="preserve"> se mencionan los argumentos presentados para justificar dichas sugerencias:</w:t>
      </w:r>
    </w:p>
    <w:p w:rsidR="0069622D" w:rsidRPr="00BE5D49" w:rsidRDefault="0069622D" w:rsidP="0069622D">
      <w:pPr>
        <w:spacing w:after="0" w:line="240" w:lineRule="auto"/>
        <w:jc w:val="both"/>
        <w:rPr>
          <w:rFonts w:ascii="ITC Avant Garde" w:hAnsi="ITC Avant Garde" w:cs="Arial"/>
          <w:color w:val="000000" w:themeColor="text1"/>
        </w:rPr>
      </w:pPr>
    </w:p>
    <w:p w:rsidR="00526EA4" w:rsidRPr="00BE5D49" w:rsidRDefault="00526EA4" w:rsidP="0069622D">
      <w:pPr>
        <w:pStyle w:val="Prrafodelista"/>
        <w:numPr>
          <w:ilvl w:val="0"/>
          <w:numId w:val="5"/>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El servicio de banda ancha debería considerarse de manera desagregada y no sólo como el paquete de servicios (vo</w:t>
      </w:r>
      <w:r w:rsidR="00E25347" w:rsidRPr="00BE5D49">
        <w:rPr>
          <w:rFonts w:ascii="ITC Avant Garde" w:hAnsi="ITC Avant Garde" w:cs="Arial"/>
          <w:color w:val="000000" w:themeColor="text1"/>
        </w:rPr>
        <w:t>z + banda ancha + SMS), ya que é</w:t>
      </w:r>
      <w:r w:rsidRPr="00BE5D49">
        <w:rPr>
          <w:rFonts w:ascii="ITC Avant Garde" w:hAnsi="ITC Avant Garde" w:cs="Arial"/>
          <w:color w:val="000000" w:themeColor="text1"/>
        </w:rPr>
        <w:t>ste se ha convertido en el centro de la dinámica competitiva de los servicios móviles. Esta situación puede llevar a que los servicios móviles considerados “pasen” la prueba de replicabilidad a pesar de que haya subsidios cruzados que dificulten la entrada de OMV enfocados en segmentos o nichos de mercado de banda ancha. Además, la cartera se debe desagregar oferta por oferta para evitar subsidios cruzados, esta situación en particular abriría las puertas a los OMV que quieran entrar de inicio a cubrir sólo parte del portafolio de productos ofrecido por el AEP.</w:t>
      </w:r>
    </w:p>
    <w:p w:rsidR="0069622D" w:rsidRPr="00BE5D49" w:rsidRDefault="0069622D" w:rsidP="0069622D">
      <w:pPr>
        <w:pStyle w:val="Prrafodelista"/>
        <w:spacing w:after="0" w:line="240" w:lineRule="auto"/>
        <w:contextualSpacing w:val="0"/>
        <w:jc w:val="both"/>
        <w:rPr>
          <w:rFonts w:ascii="ITC Avant Garde" w:hAnsi="ITC Avant Garde" w:cs="Arial"/>
          <w:color w:val="000000" w:themeColor="text1"/>
        </w:rPr>
      </w:pPr>
    </w:p>
    <w:p w:rsidR="00526EA4" w:rsidRPr="00BE5D49" w:rsidRDefault="00526EA4" w:rsidP="0069622D">
      <w:pPr>
        <w:pStyle w:val="Prrafodelista"/>
        <w:numPr>
          <w:ilvl w:val="0"/>
          <w:numId w:val="5"/>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La agregación de cartera parece útil cuando se trata de un OMV revendedor que tiene a disposición y que puede comercializar toda la oferta de productos que el operador preponderante tiene para sus usuarios, sin embargo, para un modelo de OMV completo se sugiere que se aplique la prueba a una muestra aleatoria de ofertas, segmentada y estratificada del AEP, con lo cual se facilitaría la verificación de la prueba. La prueba debería poder mostrar cual es el margen de ganancia que el preponderante obtiene por cada una de las ofertas comerciales que resulten de la muestra aleatoria propuesta.</w:t>
      </w:r>
    </w:p>
    <w:p w:rsidR="0069622D" w:rsidRPr="00BE5D49" w:rsidRDefault="0069622D" w:rsidP="0069622D">
      <w:pPr>
        <w:pStyle w:val="Prrafodelista"/>
        <w:rPr>
          <w:rFonts w:ascii="ITC Avant Garde" w:hAnsi="ITC Avant Garde" w:cs="Arial"/>
          <w:color w:val="000000" w:themeColor="text1"/>
        </w:rPr>
      </w:pPr>
    </w:p>
    <w:p w:rsidR="00526EA4" w:rsidRPr="00BE5D49" w:rsidRDefault="00526EA4" w:rsidP="0069622D">
      <w:pPr>
        <w:pStyle w:val="Prrafodelista"/>
        <w:numPr>
          <w:ilvl w:val="0"/>
          <w:numId w:val="5"/>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 xml:space="preserve">Se recomienda que la implementación de la prueba ex-post se realice de manera desagregada con el fin de evitar posibles descuentos o promociones encubiertas. </w:t>
      </w:r>
      <w:r w:rsidR="00AF62F3" w:rsidRPr="00BE5D49">
        <w:rPr>
          <w:rFonts w:ascii="ITC Avant Garde" w:hAnsi="ITC Avant Garde" w:cs="Arial"/>
          <w:color w:val="000000" w:themeColor="text1"/>
        </w:rPr>
        <w:t>Además,</w:t>
      </w:r>
      <w:r w:rsidRPr="00BE5D49">
        <w:rPr>
          <w:rFonts w:ascii="ITC Avant Garde" w:hAnsi="ITC Avant Garde" w:cs="Arial"/>
          <w:color w:val="000000" w:themeColor="text1"/>
        </w:rPr>
        <w:t xml:space="preserve"> se sugiere que la prueba se realice oferta por oferta ex ante, específicamente a las ofertas que sean más representativas en el mercado.</w:t>
      </w:r>
    </w:p>
    <w:p w:rsidR="0069622D" w:rsidRPr="00BE5D49" w:rsidRDefault="0069622D" w:rsidP="0069622D">
      <w:pPr>
        <w:spacing w:after="0" w:line="240" w:lineRule="auto"/>
        <w:jc w:val="both"/>
        <w:rPr>
          <w:rFonts w:ascii="ITC Avant Garde" w:hAnsi="ITC Avant Garde" w:cs="Arial"/>
          <w:color w:val="000000" w:themeColor="text1"/>
        </w:rPr>
      </w:pPr>
    </w:p>
    <w:p w:rsidR="00526EA4" w:rsidRPr="00BE5D49" w:rsidRDefault="00526EA4" w:rsidP="0069622D">
      <w:pPr>
        <w:pStyle w:val="Prrafodelista"/>
        <w:numPr>
          <w:ilvl w:val="0"/>
          <w:numId w:val="5"/>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Resultaría conveniente segmentar las ofertas para realizar la prueba de replicabilidad por cada “tipología de productos” y no por la cartera completa de productos ya que de esta manera se podría evaluar de manera directa cada segmento.</w:t>
      </w:r>
    </w:p>
    <w:p w:rsidR="004567D5" w:rsidRPr="00BE5D49" w:rsidRDefault="004567D5" w:rsidP="004567D5">
      <w:pPr>
        <w:pStyle w:val="Prrafodelista"/>
        <w:rPr>
          <w:rFonts w:ascii="ITC Avant Garde" w:hAnsi="ITC Avant Garde" w:cs="Arial"/>
          <w:color w:val="000000" w:themeColor="text1"/>
        </w:rPr>
      </w:pPr>
    </w:p>
    <w:p w:rsidR="00526EA4" w:rsidRPr="00BE5D49" w:rsidRDefault="00526EA4" w:rsidP="0069622D">
      <w:pPr>
        <w:pStyle w:val="Prrafodelista"/>
        <w:numPr>
          <w:ilvl w:val="0"/>
          <w:numId w:val="5"/>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Se plantea evaluar cada servicio por separado ya que de lo contrario se puede limitar la oferta competitiva de los servicios mayoristas afectando las posibilidades de competir de otros operadores.</w:t>
      </w:r>
    </w:p>
    <w:p w:rsidR="0069622D" w:rsidRPr="00BE5D49" w:rsidRDefault="0069622D" w:rsidP="0069622D">
      <w:pPr>
        <w:pStyle w:val="Prrafodelista"/>
        <w:spacing w:after="0" w:line="240" w:lineRule="auto"/>
        <w:contextualSpacing w:val="0"/>
        <w:jc w:val="both"/>
        <w:rPr>
          <w:rFonts w:ascii="ITC Avant Garde" w:hAnsi="ITC Avant Garde" w:cs="Arial"/>
          <w:color w:val="000000" w:themeColor="text1"/>
        </w:rPr>
      </w:pPr>
    </w:p>
    <w:p w:rsidR="00526EA4" w:rsidRPr="00BE5D49" w:rsidRDefault="00526EA4" w:rsidP="0069622D">
      <w:pPr>
        <w:pStyle w:val="Prrafodelista"/>
        <w:numPr>
          <w:ilvl w:val="0"/>
          <w:numId w:val="5"/>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Una prueba agregada sería aceptable si se desagregan apropiadamente los segmentos relevantes a analizar. No obstante, es fundamental realizar pruebas sobre ofertas individuales. Igualmente, se señala que la metodología no es coherente ni refleja la realidad pues los OMV no quieren replicar las ofertas del AEP, sino más bien dirigen sus estrategias sobre nichos específicos de mercado. Además, se sugiere que se explique claramente la definición de los tres segmentos (prepago, pospago y mixto) pues no representan la realidad de los OMV, quienes se enfocan en nichos específicos. Con base en lo anterior, se propone elegir ofertas relevantes en vez de analizar la cartera completa de productos para evitar que se disfracen prácticas de subsidios cruzados.</w:t>
      </w:r>
    </w:p>
    <w:p w:rsidR="0069622D" w:rsidRPr="00BE5D49" w:rsidRDefault="0069622D" w:rsidP="0069622D">
      <w:pPr>
        <w:pStyle w:val="Prrafodelista"/>
        <w:rPr>
          <w:rFonts w:ascii="ITC Avant Garde" w:hAnsi="ITC Avant Garde" w:cs="Arial"/>
          <w:color w:val="000000" w:themeColor="text1"/>
        </w:rPr>
      </w:pPr>
    </w:p>
    <w:p w:rsidR="00526EA4" w:rsidRDefault="00526EA4" w:rsidP="0069622D">
      <w:pPr>
        <w:pStyle w:val="Prrafodelista"/>
        <w:numPr>
          <w:ilvl w:val="0"/>
          <w:numId w:val="5"/>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 xml:space="preserve">Se solicita que la prueba de replicabilidad para los servicios móviles considere las ofertas de servicios ilimitados ya que existen patrones de consumo totalmente </w:t>
      </w:r>
      <w:r w:rsidR="00EC26D5" w:rsidRPr="00BE5D49">
        <w:rPr>
          <w:rFonts w:ascii="ITC Avant Garde" w:hAnsi="ITC Avant Garde" w:cs="Arial"/>
          <w:color w:val="000000" w:themeColor="text1"/>
        </w:rPr>
        <w:t xml:space="preserve">diferentes </w:t>
      </w:r>
      <w:r w:rsidRPr="00BE5D49">
        <w:rPr>
          <w:rFonts w:ascii="ITC Avant Garde" w:hAnsi="ITC Avant Garde" w:cs="Arial"/>
          <w:color w:val="000000" w:themeColor="text1"/>
        </w:rPr>
        <w:t>entre el AEP y los OMV</w:t>
      </w:r>
      <w:r w:rsidR="00EC26D5" w:rsidRPr="00BE5D49">
        <w:rPr>
          <w:rFonts w:ascii="ITC Avant Garde" w:hAnsi="ITC Avant Garde" w:cs="Arial"/>
          <w:color w:val="000000" w:themeColor="text1"/>
        </w:rPr>
        <w:t>, esto</w:t>
      </w:r>
      <w:r w:rsidRPr="00BE5D49">
        <w:rPr>
          <w:rFonts w:ascii="ITC Avant Garde" w:hAnsi="ITC Avant Garde" w:cs="Arial"/>
          <w:color w:val="000000" w:themeColor="text1"/>
        </w:rPr>
        <w:t xml:space="preserve"> por el tamaño de la base de usuarios.</w:t>
      </w:r>
    </w:p>
    <w:p w:rsidR="003D4132" w:rsidRPr="006B479F" w:rsidRDefault="003D4132" w:rsidP="003D4132">
      <w:pPr>
        <w:pStyle w:val="Prrafodelista"/>
        <w:rPr>
          <w:rFonts w:ascii="ITC Avant Garde" w:hAnsi="ITC Avant Garde" w:cs="Arial"/>
          <w:color w:val="000000" w:themeColor="text1"/>
        </w:rPr>
      </w:pPr>
    </w:p>
    <w:p w:rsidR="003D4132" w:rsidRPr="006B479F" w:rsidRDefault="003D4132" w:rsidP="003D4132">
      <w:pPr>
        <w:pStyle w:val="Prrafodelista"/>
        <w:numPr>
          <w:ilvl w:val="0"/>
          <w:numId w:val="5"/>
        </w:numPr>
        <w:spacing w:after="0" w:line="240" w:lineRule="auto"/>
        <w:contextualSpacing w:val="0"/>
        <w:jc w:val="both"/>
        <w:rPr>
          <w:rFonts w:ascii="ITC Avant Garde" w:hAnsi="ITC Avant Garde" w:cs="Arial"/>
          <w:color w:val="000000" w:themeColor="text1"/>
        </w:rPr>
      </w:pPr>
      <w:r w:rsidRPr="006B479F">
        <w:rPr>
          <w:rFonts w:ascii="ITC Avant Garde" w:hAnsi="ITC Avant Garde"/>
          <w:color w:val="000000" w:themeColor="text1"/>
        </w:rPr>
        <w:t>Con base en las prácticas internacionales y para minimizar la carga regulatoria sobre el Instituto, se r</w:t>
      </w:r>
      <w:r w:rsidRPr="006B479F">
        <w:rPr>
          <w:rFonts w:ascii="ITC Avant Garde" w:hAnsi="ITC Avant Garde" w:cs="Arial"/>
          <w:color w:val="000000" w:themeColor="text1"/>
        </w:rPr>
        <w:t xml:space="preserve">ecomienda que </w:t>
      </w:r>
      <w:r w:rsidRPr="006B479F">
        <w:rPr>
          <w:rFonts w:ascii="ITC Avant Garde" w:hAnsi="ITC Avant Garde"/>
          <w:color w:val="000000" w:themeColor="text1"/>
        </w:rPr>
        <w:t xml:space="preserve">se </w:t>
      </w:r>
      <w:r w:rsidRPr="006B479F">
        <w:rPr>
          <w:rFonts w:ascii="ITC Avant Garde" w:hAnsi="ITC Avant Garde" w:cs="Arial"/>
          <w:color w:val="000000" w:themeColor="text1"/>
        </w:rPr>
        <w:t>realice la prueba de replicabilidad económica ex-post sobre los “flagship products (productos estrella)” del AEP.</w:t>
      </w:r>
    </w:p>
    <w:p w:rsidR="0069622D" w:rsidRPr="00BE5D49" w:rsidRDefault="0069622D" w:rsidP="0069622D">
      <w:pPr>
        <w:spacing w:after="0" w:line="240" w:lineRule="auto"/>
        <w:jc w:val="both"/>
        <w:rPr>
          <w:rFonts w:ascii="ITC Avant Garde" w:hAnsi="ITC Avant Garde" w:cs="Arial"/>
          <w:b/>
          <w:color w:val="000000" w:themeColor="text1"/>
        </w:rPr>
      </w:pPr>
    </w:p>
    <w:p w:rsidR="00526EA4" w:rsidRPr="00BE5D49" w:rsidRDefault="004567D5" w:rsidP="0069622D">
      <w:pPr>
        <w:spacing w:after="0" w:line="240" w:lineRule="auto"/>
        <w:jc w:val="both"/>
        <w:rPr>
          <w:rFonts w:ascii="ITC Avant Garde" w:hAnsi="ITC Avant Garde" w:cs="Arial"/>
          <w:b/>
          <w:color w:val="000000" w:themeColor="text1"/>
        </w:rPr>
      </w:pPr>
      <w:r w:rsidRPr="00BE5D49">
        <w:rPr>
          <w:rFonts w:ascii="ITC Avant Garde" w:hAnsi="ITC Avant Garde" w:cs="Arial"/>
          <w:b/>
          <w:color w:val="000000" w:themeColor="text1"/>
        </w:rPr>
        <w:t>Consideraciones del Instituto</w:t>
      </w:r>
      <w:r w:rsidR="00526EA4" w:rsidRPr="00BE5D49">
        <w:rPr>
          <w:rFonts w:ascii="ITC Avant Garde" w:hAnsi="ITC Avant Garde" w:cs="Arial"/>
          <w:b/>
          <w:color w:val="000000" w:themeColor="text1"/>
        </w:rPr>
        <w:t xml:space="preserve">: </w:t>
      </w:r>
    </w:p>
    <w:p w:rsidR="004B404B" w:rsidRPr="00BE5D49" w:rsidRDefault="004B404B" w:rsidP="0069622D">
      <w:pPr>
        <w:spacing w:after="0" w:line="240" w:lineRule="auto"/>
        <w:jc w:val="both"/>
        <w:rPr>
          <w:rFonts w:ascii="ITC Avant Garde" w:hAnsi="ITC Avant Garde" w:cs="Arial"/>
          <w:color w:val="000000" w:themeColor="text1"/>
          <w:lang w:val="es-ES_tradnl"/>
        </w:rPr>
      </w:pPr>
    </w:p>
    <w:p w:rsidR="0095397E" w:rsidRDefault="0095397E" w:rsidP="0069622D">
      <w:pPr>
        <w:spacing w:after="0" w:line="240" w:lineRule="auto"/>
        <w:jc w:val="both"/>
        <w:rPr>
          <w:rFonts w:ascii="ITC Avant Garde" w:hAnsi="ITC Avant Garde" w:cs="Arial"/>
          <w:color w:val="000000" w:themeColor="text1"/>
        </w:rPr>
      </w:pPr>
      <w:r>
        <w:rPr>
          <w:rFonts w:ascii="ITC Avant Garde" w:hAnsi="ITC Avant Garde" w:cs="Arial"/>
          <w:color w:val="000000" w:themeColor="text1"/>
        </w:rPr>
        <w:t>Es</w:t>
      </w:r>
      <w:r w:rsidRPr="006B479F">
        <w:rPr>
          <w:rFonts w:ascii="ITC Avant Garde" w:hAnsi="ITC Avant Garde" w:cs="Arial"/>
          <w:color w:val="000000" w:themeColor="text1"/>
        </w:rPr>
        <w:t xml:space="preserve"> importante señalar que el análisis oferta por oferta no </w:t>
      </w:r>
      <w:r>
        <w:rPr>
          <w:rFonts w:ascii="ITC Avant Garde" w:hAnsi="ITC Avant Garde" w:cs="Arial"/>
          <w:color w:val="000000" w:themeColor="text1"/>
        </w:rPr>
        <w:t>se considera</w:t>
      </w:r>
      <w:r w:rsidRPr="006B479F">
        <w:rPr>
          <w:rFonts w:ascii="ITC Avant Garde" w:hAnsi="ITC Avant Garde" w:cs="Arial"/>
          <w:color w:val="000000" w:themeColor="text1"/>
        </w:rPr>
        <w:t xml:space="preserve"> adecuado dado el gran número de ofertas comerciales móviles que lanza el AEP cada año, además del </w:t>
      </w:r>
      <w:r>
        <w:rPr>
          <w:rFonts w:ascii="ITC Avant Garde" w:hAnsi="ITC Avant Garde" w:cs="Arial"/>
          <w:color w:val="000000" w:themeColor="text1"/>
        </w:rPr>
        <w:t xml:space="preserve">posible </w:t>
      </w:r>
      <w:r w:rsidRPr="006B479F">
        <w:rPr>
          <w:rFonts w:ascii="ITC Avant Garde" w:hAnsi="ITC Avant Garde" w:cs="Arial"/>
          <w:color w:val="000000" w:themeColor="text1"/>
        </w:rPr>
        <w:t>riesgo</w:t>
      </w:r>
      <w:r>
        <w:rPr>
          <w:rFonts w:ascii="ITC Avant Garde" w:hAnsi="ITC Avant Garde" w:cs="Arial"/>
          <w:color w:val="000000" w:themeColor="text1"/>
        </w:rPr>
        <w:t xml:space="preserve"> </w:t>
      </w:r>
      <w:r w:rsidRPr="006B479F">
        <w:rPr>
          <w:rFonts w:ascii="ITC Avant Garde" w:hAnsi="ITC Avant Garde" w:cs="Arial"/>
          <w:color w:val="000000" w:themeColor="text1"/>
        </w:rPr>
        <w:t>de distorsionar la dinámica del sector</w:t>
      </w:r>
      <w:r>
        <w:rPr>
          <w:rFonts w:ascii="ITC Avant Garde" w:hAnsi="ITC Avant Garde" w:cs="Arial"/>
          <w:color w:val="000000" w:themeColor="text1"/>
        </w:rPr>
        <w:t>.</w:t>
      </w:r>
    </w:p>
    <w:p w:rsidR="0095397E" w:rsidRDefault="0095397E" w:rsidP="0069622D">
      <w:pPr>
        <w:spacing w:after="0" w:line="240" w:lineRule="auto"/>
        <w:jc w:val="both"/>
        <w:rPr>
          <w:rFonts w:ascii="ITC Avant Garde" w:hAnsi="ITC Avant Garde" w:cs="Arial"/>
          <w:color w:val="000000" w:themeColor="text1"/>
          <w:lang w:val="es-ES_tradnl"/>
        </w:rPr>
      </w:pPr>
    </w:p>
    <w:p w:rsidR="009629CE" w:rsidRDefault="0095397E" w:rsidP="0069622D">
      <w:pPr>
        <w:spacing w:after="0" w:line="240" w:lineRule="auto"/>
        <w:jc w:val="both"/>
        <w:rPr>
          <w:rFonts w:ascii="ITC Avant Garde" w:hAnsi="ITC Avant Garde" w:cs="Arial"/>
          <w:color w:val="000000" w:themeColor="text1"/>
        </w:rPr>
      </w:pPr>
      <w:r>
        <w:rPr>
          <w:rFonts w:ascii="ITC Avant Garde" w:hAnsi="ITC Avant Garde" w:cs="Arial"/>
          <w:color w:val="000000" w:themeColor="text1"/>
          <w:lang w:val="es-ES_tradnl"/>
        </w:rPr>
        <w:t>Por otro lado, respecto a las pruebas a nivel carteras, e</w:t>
      </w:r>
      <w:r w:rsidR="00526EA4" w:rsidRPr="00BE5D49">
        <w:rPr>
          <w:rFonts w:ascii="ITC Avant Garde" w:hAnsi="ITC Avant Garde" w:cs="Arial"/>
          <w:color w:val="000000" w:themeColor="text1"/>
          <w:lang w:val="es-ES_tradnl"/>
        </w:rPr>
        <w:t xml:space="preserve">s </w:t>
      </w:r>
      <w:r>
        <w:rPr>
          <w:rFonts w:ascii="ITC Avant Garde" w:hAnsi="ITC Avant Garde" w:cs="Arial"/>
          <w:color w:val="000000" w:themeColor="text1"/>
          <w:lang w:val="es-ES_tradnl"/>
        </w:rPr>
        <w:t>importante</w:t>
      </w:r>
      <w:r w:rsidRPr="00BE5D49">
        <w:rPr>
          <w:rFonts w:ascii="ITC Avant Garde" w:hAnsi="ITC Avant Garde" w:cs="Arial"/>
          <w:color w:val="000000" w:themeColor="text1"/>
          <w:lang w:val="es-ES_tradnl"/>
        </w:rPr>
        <w:t xml:space="preserve"> </w:t>
      </w:r>
      <w:r>
        <w:rPr>
          <w:rFonts w:ascii="ITC Avant Garde" w:hAnsi="ITC Avant Garde" w:cs="Arial"/>
          <w:color w:val="000000" w:themeColor="text1"/>
          <w:lang w:val="es-ES_tradnl"/>
        </w:rPr>
        <w:t>señalar</w:t>
      </w:r>
      <w:r w:rsidRPr="00BE5D49">
        <w:rPr>
          <w:rFonts w:ascii="ITC Avant Garde" w:hAnsi="ITC Avant Garde" w:cs="Arial"/>
          <w:color w:val="000000" w:themeColor="text1"/>
          <w:lang w:val="es-ES_tradnl"/>
        </w:rPr>
        <w:t xml:space="preserve"> </w:t>
      </w:r>
      <w:r w:rsidR="00526EA4" w:rsidRPr="00BE5D49">
        <w:rPr>
          <w:rFonts w:ascii="ITC Avant Garde" w:hAnsi="ITC Avant Garde" w:cs="Arial"/>
          <w:color w:val="000000" w:themeColor="text1"/>
          <w:lang w:val="es-ES_tradnl"/>
        </w:rPr>
        <w:t>que la operación de los OMV</w:t>
      </w:r>
      <w:r>
        <w:rPr>
          <w:rFonts w:ascii="ITC Avant Garde" w:hAnsi="ITC Avant Garde" w:cs="Arial"/>
          <w:color w:val="000000" w:themeColor="text1"/>
          <w:lang w:val="es-ES_tradnl"/>
        </w:rPr>
        <w:t xml:space="preserve"> en México</w:t>
      </w:r>
      <w:r w:rsidR="00526EA4" w:rsidRPr="00BE5D49">
        <w:rPr>
          <w:rFonts w:ascii="ITC Avant Garde" w:hAnsi="ITC Avant Garde" w:cs="Arial"/>
          <w:color w:val="000000" w:themeColor="text1"/>
          <w:lang w:val="es-ES_tradnl"/>
        </w:rPr>
        <w:t xml:space="preserve"> se ha centrado</w:t>
      </w:r>
      <w:r w:rsidR="008C4AB9">
        <w:rPr>
          <w:rFonts w:ascii="ITC Avant Garde" w:hAnsi="ITC Avant Garde" w:cs="Arial"/>
          <w:color w:val="000000" w:themeColor="text1"/>
          <w:lang w:val="es-ES_tradnl"/>
        </w:rPr>
        <w:t xml:space="preserve"> </w:t>
      </w:r>
      <w:r w:rsidR="00526EA4" w:rsidRPr="00BE5D49">
        <w:rPr>
          <w:rFonts w:ascii="ITC Avant Garde" w:hAnsi="ITC Avant Garde" w:cs="Arial"/>
          <w:color w:val="000000" w:themeColor="text1"/>
          <w:lang w:val="es-ES_tradnl"/>
        </w:rPr>
        <w:t>en el segmento de prepago</w:t>
      </w:r>
      <w:r w:rsidR="008C4AB9">
        <w:rPr>
          <w:rFonts w:ascii="ITC Avant Garde" w:hAnsi="ITC Avant Garde" w:cs="Arial"/>
          <w:color w:val="000000" w:themeColor="text1"/>
          <w:lang w:val="es-ES_tradnl"/>
        </w:rPr>
        <w:t>,</w:t>
      </w:r>
      <w:r w:rsidR="00526EA4" w:rsidRPr="00BE5D49">
        <w:rPr>
          <w:rFonts w:ascii="ITC Avant Garde" w:hAnsi="ITC Avant Garde" w:cs="Arial"/>
          <w:color w:val="000000" w:themeColor="text1"/>
          <w:lang w:val="es-ES_tradnl"/>
        </w:rPr>
        <w:t xml:space="preserve"> </w:t>
      </w:r>
      <w:r w:rsidR="008C4AB9">
        <w:rPr>
          <w:rFonts w:ascii="ITC Avant Garde" w:hAnsi="ITC Avant Garde" w:cs="Arial"/>
          <w:color w:val="000000" w:themeColor="text1"/>
          <w:lang w:val="es-ES_tradnl"/>
        </w:rPr>
        <w:t>p</w:t>
      </w:r>
      <w:r w:rsidR="00526EA4" w:rsidRPr="00BE5D49">
        <w:rPr>
          <w:rFonts w:ascii="ITC Avant Garde" w:hAnsi="ITC Avant Garde" w:cs="Arial"/>
          <w:color w:val="000000" w:themeColor="text1"/>
          <w:lang w:val="es-ES_tradnl"/>
        </w:rPr>
        <w:t xml:space="preserve">or lo </w:t>
      </w:r>
      <w:r w:rsidR="008C4AB9">
        <w:rPr>
          <w:rFonts w:ascii="ITC Avant Garde" w:hAnsi="ITC Avant Garde" w:cs="Arial"/>
          <w:color w:val="000000" w:themeColor="text1"/>
          <w:lang w:val="es-ES_tradnl"/>
        </w:rPr>
        <w:t>que</w:t>
      </w:r>
      <w:r w:rsidR="00526EA4" w:rsidRPr="00BE5D49">
        <w:rPr>
          <w:rFonts w:ascii="ITC Avant Garde" w:hAnsi="ITC Avant Garde" w:cs="Arial"/>
          <w:color w:val="000000" w:themeColor="text1"/>
          <w:lang w:val="es-ES_tradnl"/>
        </w:rPr>
        <w:t xml:space="preserve"> </w:t>
      </w:r>
      <w:r w:rsidR="009629CE">
        <w:rPr>
          <w:rFonts w:ascii="ITC Avant Garde" w:hAnsi="ITC Avant Garde" w:cs="Arial"/>
          <w:color w:val="000000" w:themeColor="text1"/>
          <w:lang w:val="es-ES_tradnl"/>
        </w:rPr>
        <w:t>se considera necesario</w:t>
      </w:r>
      <w:r w:rsidR="004B404B" w:rsidRPr="00BE5D49">
        <w:rPr>
          <w:rFonts w:ascii="ITC Avant Garde" w:hAnsi="ITC Avant Garde" w:cs="Arial"/>
          <w:color w:val="000000" w:themeColor="text1"/>
          <w:lang w:val="es-ES_tradnl"/>
        </w:rPr>
        <w:t xml:space="preserve"> </w:t>
      </w:r>
      <w:r w:rsidR="00526EA4" w:rsidRPr="00BE5D49">
        <w:rPr>
          <w:rFonts w:ascii="ITC Avant Garde" w:hAnsi="ITC Avant Garde" w:cs="Arial"/>
          <w:color w:val="000000" w:themeColor="text1"/>
          <w:lang w:val="es-ES_tradnl"/>
        </w:rPr>
        <w:t>analizar de manera separada</w:t>
      </w:r>
      <w:r w:rsidR="009629CE">
        <w:rPr>
          <w:rFonts w:ascii="ITC Avant Garde" w:hAnsi="ITC Avant Garde" w:cs="Arial"/>
          <w:color w:val="000000" w:themeColor="text1"/>
          <w:lang w:val="es-ES_tradnl"/>
        </w:rPr>
        <w:t xml:space="preserve"> los segmentos prepago y pospago. Lo anterior, con la finalidad de </w:t>
      </w:r>
      <w:r w:rsidR="008C5077" w:rsidRPr="00BE5D49">
        <w:rPr>
          <w:rFonts w:ascii="ITC Avant Garde" w:hAnsi="ITC Avant Garde" w:cs="Arial"/>
          <w:color w:val="000000" w:themeColor="text1"/>
          <w:lang w:val="es-ES_tradnl"/>
        </w:rPr>
        <w:t xml:space="preserve">asegurar que </w:t>
      </w:r>
      <w:r w:rsidR="009629CE">
        <w:rPr>
          <w:rFonts w:ascii="ITC Avant Garde" w:hAnsi="ITC Avant Garde" w:cs="Arial"/>
          <w:color w:val="000000" w:themeColor="text1"/>
          <w:lang w:val="es-ES_tradnl"/>
        </w:rPr>
        <w:t>la</w:t>
      </w:r>
      <w:r w:rsidR="009629CE" w:rsidRPr="00BE5D49">
        <w:rPr>
          <w:rFonts w:ascii="ITC Avant Garde" w:hAnsi="ITC Avant Garde" w:cs="Arial"/>
          <w:color w:val="000000" w:themeColor="text1"/>
          <w:lang w:val="es-ES_tradnl"/>
        </w:rPr>
        <w:t xml:space="preserve"> </w:t>
      </w:r>
      <w:r w:rsidR="008C5077" w:rsidRPr="00BE5D49">
        <w:rPr>
          <w:rFonts w:ascii="ITC Avant Garde" w:hAnsi="ITC Avant Garde" w:cs="Arial"/>
          <w:color w:val="000000" w:themeColor="text1"/>
          <w:lang w:val="es-ES_tradnl"/>
        </w:rPr>
        <w:t xml:space="preserve">cartera </w:t>
      </w:r>
      <w:r w:rsidR="009629CE">
        <w:rPr>
          <w:rFonts w:ascii="ITC Avant Garde" w:hAnsi="ITC Avant Garde" w:cs="Arial"/>
          <w:color w:val="000000" w:themeColor="text1"/>
          <w:lang w:val="es-ES_tradnl"/>
        </w:rPr>
        <w:t>de tarifas del segmento prepago pueda ser</w:t>
      </w:r>
      <w:r w:rsidR="009629CE" w:rsidRPr="00BE5D49">
        <w:rPr>
          <w:rFonts w:ascii="ITC Avant Garde" w:hAnsi="ITC Avant Garde" w:cs="Arial"/>
          <w:color w:val="000000" w:themeColor="text1"/>
          <w:lang w:val="es-ES_tradnl"/>
        </w:rPr>
        <w:t xml:space="preserve"> replica</w:t>
      </w:r>
      <w:r w:rsidR="009629CE">
        <w:rPr>
          <w:rFonts w:ascii="ITC Avant Garde" w:hAnsi="ITC Avant Garde" w:cs="Arial"/>
          <w:color w:val="000000" w:themeColor="text1"/>
          <w:lang w:val="es-ES_tradnl"/>
        </w:rPr>
        <w:t>da por los OMV que hoy en día compiten en</w:t>
      </w:r>
      <w:r w:rsidR="00BE5D49">
        <w:rPr>
          <w:rFonts w:ascii="ITC Avant Garde" w:hAnsi="ITC Avant Garde" w:cs="Arial"/>
          <w:color w:val="000000" w:themeColor="text1"/>
          <w:lang w:val="es-ES_tradnl"/>
        </w:rPr>
        <w:t xml:space="preserve"> ese nicho</w:t>
      </w:r>
      <w:r w:rsidR="009629CE">
        <w:rPr>
          <w:rFonts w:ascii="ITC Avant Garde" w:hAnsi="ITC Avant Garde" w:cs="Arial"/>
          <w:color w:val="000000" w:themeColor="text1"/>
          <w:lang w:val="es-ES_tradnl"/>
        </w:rPr>
        <w:t xml:space="preserve"> </w:t>
      </w:r>
      <w:r w:rsidR="00BE5D49">
        <w:rPr>
          <w:rFonts w:ascii="ITC Avant Garde" w:hAnsi="ITC Avant Garde" w:cs="Arial"/>
          <w:color w:val="000000" w:themeColor="text1"/>
          <w:lang w:val="es-ES_tradnl"/>
        </w:rPr>
        <w:t>d</w:t>
      </w:r>
      <w:r w:rsidR="009629CE">
        <w:rPr>
          <w:rFonts w:ascii="ITC Avant Garde" w:hAnsi="ITC Avant Garde" w:cs="Arial"/>
          <w:color w:val="000000" w:themeColor="text1"/>
          <w:lang w:val="es-ES_tradnl"/>
        </w:rPr>
        <w:t>el mercado</w:t>
      </w:r>
      <w:r w:rsidR="004B404B" w:rsidRPr="00BE5D49">
        <w:rPr>
          <w:rFonts w:ascii="ITC Avant Garde" w:hAnsi="ITC Avant Garde" w:cs="Arial"/>
          <w:color w:val="000000" w:themeColor="text1"/>
          <w:lang w:val="es-ES_tradnl"/>
        </w:rPr>
        <w:t xml:space="preserve">. </w:t>
      </w:r>
      <w:r w:rsidR="009629CE">
        <w:rPr>
          <w:rFonts w:ascii="ITC Avant Garde" w:hAnsi="ITC Avant Garde" w:cs="Arial"/>
          <w:color w:val="000000" w:themeColor="text1"/>
          <w:lang w:val="es-ES_tradnl"/>
        </w:rPr>
        <w:t>De igual forma,</w:t>
      </w:r>
      <w:r w:rsidR="004B404B" w:rsidRPr="006F593B">
        <w:rPr>
          <w:rFonts w:ascii="ITC Avant Garde" w:hAnsi="ITC Avant Garde" w:cs="Arial"/>
          <w:color w:val="000000" w:themeColor="text1"/>
        </w:rPr>
        <w:t xml:space="preserve"> </w:t>
      </w:r>
      <w:r>
        <w:rPr>
          <w:rFonts w:ascii="ITC Avant Garde" w:hAnsi="ITC Avant Garde" w:cs="Arial"/>
          <w:color w:val="000000" w:themeColor="text1"/>
        </w:rPr>
        <w:t>se considera</w:t>
      </w:r>
      <w:r w:rsidR="00526EA4" w:rsidRPr="00BE5D49">
        <w:rPr>
          <w:rFonts w:ascii="ITC Avant Garde" w:hAnsi="ITC Avant Garde" w:cs="Arial"/>
          <w:color w:val="000000" w:themeColor="text1"/>
        </w:rPr>
        <w:t xml:space="preserve"> importante garantizar la replicabilidad </w:t>
      </w:r>
      <w:r w:rsidR="008C5077" w:rsidRPr="00BE5D49">
        <w:rPr>
          <w:rFonts w:ascii="ITC Avant Garde" w:hAnsi="ITC Avant Garde" w:cs="Arial"/>
          <w:color w:val="000000" w:themeColor="text1"/>
        </w:rPr>
        <w:t xml:space="preserve">de </w:t>
      </w:r>
      <w:r w:rsidR="009629CE">
        <w:rPr>
          <w:rFonts w:ascii="ITC Avant Garde" w:hAnsi="ITC Avant Garde" w:cs="Arial"/>
          <w:color w:val="000000" w:themeColor="text1"/>
        </w:rPr>
        <w:t xml:space="preserve">la cartera de </w:t>
      </w:r>
      <w:r w:rsidR="008C5077" w:rsidRPr="00BE5D49">
        <w:rPr>
          <w:rFonts w:ascii="ITC Avant Garde" w:hAnsi="ITC Avant Garde" w:cs="Arial"/>
          <w:color w:val="000000" w:themeColor="text1"/>
        </w:rPr>
        <w:t xml:space="preserve">tarifas </w:t>
      </w:r>
      <w:r w:rsidR="009629CE">
        <w:rPr>
          <w:rFonts w:ascii="ITC Avant Garde" w:hAnsi="ITC Avant Garde" w:cs="Arial"/>
          <w:color w:val="000000" w:themeColor="text1"/>
        </w:rPr>
        <w:t>del segmento pospago con la finalidad de que</w:t>
      </w:r>
      <w:r w:rsidR="00526EA4" w:rsidRPr="00BE5D49">
        <w:rPr>
          <w:rFonts w:ascii="ITC Avant Garde" w:hAnsi="ITC Avant Garde" w:cs="Arial"/>
          <w:color w:val="000000" w:themeColor="text1"/>
        </w:rPr>
        <w:t xml:space="preserve"> los OMV que decidan incursionar en este segmento</w:t>
      </w:r>
      <w:r w:rsidR="009629CE">
        <w:rPr>
          <w:rFonts w:ascii="ITC Avant Garde" w:hAnsi="ITC Avant Garde" w:cs="Arial"/>
          <w:color w:val="000000" w:themeColor="text1"/>
        </w:rPr>
        <w:t xml:space="preserve"> puedan competir en el mercado</w:t>
      </w:r>
      <w:r w:rsidR="00526EA4" w:rsidRPr="00BE5D49">
        <w:rPr>
          <w:rFonts w:ascii="ITC Avant Garde" w:hAnsi="ITC Avant Garde" w:cs="Arial"/>
          <w:color w:val="000000" w:themeColor="text1"/>
        </w:rPr>
        <w:t xml:space="preserve">. </w:t>
      </w:r>
    </w:p>
    <w:p w:rsidR="009629CE" w:rsidRDefault="009629CE" w:rsidP="0069622D">
      <w:pPr>
        <w:spacing w:after="0" w:line="240" w:lineRule="auto"/>
        <w:jc w:val="both"/>
        <w:rPr>
          <w:rFonts w:ascii="ITC Avant Garde" w:hAnsi="ITC Avant Garde" w:cs="Arial"/>
          <w:color w:val="000000" w:themeColor="text1"/>
        </w:rPr>
      </w:pPr>
    </w:p>
    <w:p w:rsidR="009629CE" w:rsidRPr="006B479F" w:rsidRDefault="009629CE">
      <w:pPr>
        <w:spacing w:after="0" w:line="240" w:lineRule="auto"/>
        <w:jc w:val="both"/>
        <w:rPr>
          <w:rFonts w:ascii="ITC Avant Garde" w:hAnsi="ITC Avant Garde" w:cs="Arial"/>
          <w:color w:val="000000" w:themeColor="text1"/>
        </w:rPr>
      </w:pPr>
      <w:r>
        <w:rPr>
          <w:rFonts w:ascii="ITC Avant Garde" w:hAnsi="ITC Avant Garde"/>
          <w:color w:val="000000" w:themeColor="text1"/>
        </w:rPr>
        <w:t xml:space="preserve">No </w:t>
      </w:r>
      <w:r w:rsidR="005F287B">
        <w:rPr>
          <w:rFonts w:ascii="ITC Avant Garde" w:hAnsi="ITC Avant Garde"/>
          <w:color w:val="000000" w:themeColor="text1"/>
        </w:rPr>
        <w:t>obstante</w:t>
      </w:r>
      <w:r>
        <w:rPr>
          <w:rFonts w:ascii="ITC Avant Garde" w:hAnsi="ITC Avant Garde"/>
          <w:color w:val="000000" w:themeColor="text1"/>
        </w:rPr>
        <w:t xml:space="preserve"> lo anterior, sí se considera adecuado </w:t>
      </w:r>
      <w:r w:rsidR="00F63425">
        <w:rPr>
          <w:rFonts w:ascii="ITC Avant Garde" w:hAnsi="ITC Avant Garde"/>
          <w:color w:val="000000" w:themeColor="text1"/>
        </w:rPr>
        <w:t>efectuar</w:t>
      </w:r>
      <w:r>
        <w:rPr>
          <w:rFonts w:ascii="ITC Avant Garde" w:hAnsi="ITC Avant Garde"/>
          <w:color w:val="000000" w:themeColor="text1"/>
        </w:rPr>
        <w:t xml:space="preserve"> pruebas de replicabilidad económica de manera individual a las ofertas más representativas del AEP, tanto del segmento prepago como pospago, con la finalidad de garantizar que los competidores del AEP, qu</w:t>
      </w:r>
      <w:r w:rsidR="000F2EA0">
        <w:rPr>
          <w:rFonts w:ascii="ITC Avant Garde" w:hAnsi="ITC Avant Garde"/>
          <w:color w:val="000000" w:themeColor="text1"/>
        </w:rPr>
        <w:t>e hagan uso de su infraestructur</w:t>
      </w:r>
      <w:r>
        <w:rPr>
          <w:rFonts w:ascii="ITC Avant Garde" w:hAnsi="ITC Avant Garde"/>
          <w:color w:val="000000" w:themeColor="text1"/>
        </w:rPr>
        <w:t>a, puedan replicar además de las carteras, las ofertas de mayor demanda</w:t>
      </w:r>
      <w:r w:rsidRPr="006B479F">
        <w:rPr>
          <w:rFonts w:ascii="ITC Avant Garde" w:hAnsi="ITC Avant Garde"/>
          <w:color w:val="000000" w:themeColor="text1"/>
        </w:rPr>
        <w:t>.</w:t>
      </w:r>
      <w:r>
        <w:rPr>
          <w:rFonts w:ascii="ITC Avant Garde" w:hAnsi="ITC Avant Garde"/>
          <w:color w:val="000000" w:themeColor="text1"/>
        </w:rPr>
        <w:t xml:space="preserve"> </w:t>
      </w:r>
    </w:p>
    <w:p w:rsidR="0069622D" w:rsidRPr="006F593B" w:rsidRDefault="009629CE" w:rsidP="0069622D">
      <w:pPr>
        <w:spacing w:after="0" w:line="240" w:lineRule="auto"/>
        <w:jc w:val="both"/>
        <w:rPr>
          <w:rFonts w:ascii="ITC Avant Garde" w:hAnsi="ITC Avant Garde" w:cs="Arial"/>
          <w:b/>
          <w:color w:val="000000" w:themeColor="text1"/>
        </w:rPr>
      </w:pPr>
      <w:r w:rsidRPr="00276405" w:rsidDel="0095397E">
        <w:rPr>
          <w:rFonts w:ascii="ITC Avant Garde" w:hAnsi="ITC Avant Garde" w:cs="Arial"/>
          <w:color w:val="000000" w:themeColor="text1"/>
        </w:rPr>
        <w:t xml:space="preserve"> </w:t>
      </w:r>
    </w:p>
    <w:p w:rsidR="00526EA4" w:rsidRPr="006F593B" w:rsidRDefault="00526EA4" w:rsidP="0069622D">
      <w:pPr>
        <w:spacing w:after="0" w:line="240" w:lineRule="auto"/>
        <w:jc w:val="both"/>
        <w:rPr>
          <w:rFonts w:ascii="ITC Avant Garde" w:hAnsi="ITC Avant Garde" w:cs="Arial"/>
          <w:color w:val="000000" w:themeColor="text1"/>
          <w:lang w:val="es-ES_tradnl"/>
        </w:rPr>
      </w:pPr>
      <w:r w:rsidRPr="006F593B">
        <w:rPr>
          <w:rFonts w:ascii="ITC Avant Garde" w:hAnsi="ITC Avant Garde" w:cs="Arial"/>
          <w:color w:val="000000" w:themeColor="text1"/>
          <w:lang w:val="es-ES_tradnl"/>
        </w:rPr>
        <w:t xml:space="preserve">Por otro lado, la desagregación de la prueba por componente del servicio (datos, voz, SMS) no </w:t>
      </w:r>
      <w:r w:rsidR="00D830F6" w:rsidRPr="006F593B">
        <w:rPr>
          <w:rFonts w:ascii="ITC Avant Garde" w:hAnsi="ITC Avant Garde" w:cs="Arial"/>
          <w:color w:val="000000" w:themeColor="text1"/>
          <w:lang w:val="es-ES_tradnl"/>
        </w:rPr>
        <w:t xml:space="preserve">se considera </w:t>
      </w:r>
      <w:r w:rsidR="0069622D" w:rsidRPr="006F593B">
        <w:rPr>
          <w:rFonts w:ascii="ITC Avant Garde" w:hAnsi="ITC Avant Garde" w:cs="Arial"/>
          <w:color w:val="000000" w:themeColor="text1"/>
          <w:lang w:val="es-ES_tradnl"/>
        </w:rPr>
        <w:t>justificada</w:t>
      </w:r>
      <w:r w:rsidR="00D830F6" w:rsidRPr="006F593B">
        <w:rPr>
          <w:rFonts w:ascii="ITC Avant Garde" w:hAnsi="ITC Avant Garde" w:cs="Arial"/>
          <w:color w:val="000000" w:themeColor="text1"/>
          <w:lang w:val="es-ES_tradnl"/>
        </w:rPr>
        <w:t xml:space="preserve">, </w:t>
      </w:r>
      <w:r w:rsidRPr="006F593B">
        <w:rPr>
          <w:rFonts w:ascii="ITC Avant Garde" w:hAnsi="ITC Avant Garde" w:cs="Arial"/>
          <w:color w:val="000000" w:themeColor="text1"/>
          <w:lang w:val="es-ES_tradnl"/>
        </w:rPr>
        <w:t>pues las ofertas comerciales y la demanda de los servicios</w:t>
      </w:r>
      <w:r w:rsidR="00D830F6" w:rsidRPr="006F593B">
        <w:rPr>
          <w:rFonts w:ascii="ITC Avant Garde" w:hAnsi="ITC Avant Garde" w:cs="Arial"/>
          <w:color w:val="000000" w:themeColor="text1"/>
          <w:lang w:val="es-ES_tradnl"/>
        </w:rPr>
        <w:t>, generalmente,</w:t>
      </w:r>
      <w:r w:rsidRPr="006F593B">
        <w:rPr>
          <w:rFonts w:ascii="ITC Avant Garde" w:hAnsi="ITC Avant Garde" w:cs="Arial"/>
          <w:color w:val="000000" w:themeColor="text1"/>
          <w:lang w:val="es-ES_tradnl"/>
        </w:rPr>
        <w:t xml:space="preserve"> </w:t>
      </w:r>
      <w:r w:rsidR="00D830F6" w:rsidRPr="006F593B">
        <w:rPr>
          <w:rFonts w:ascii="ITC Avant Garde" w:hAnsi="ITC Avant Garde" w:cs="Arial"/>
          <w:color w:val="000000" w:themeColor="text1"/>
          <w:lang w:val="es-ES_tradnl"/>
        </w:rPr>
        <w:t xml:space="preserve">se lleva a cabo de forma </w:t>
      </w:r>
      <w:r w:rsidRPr="006F593B">
        <w:rPr>
          <w:rFonts w:ascii="ITC Avant Garde" w:hAnsi="ITC Avant Garde" w:cs="Arial"/>
          <w:color w:val="000000" w:themeColor="text1"/>
          <w:lang w:val="es-ES_tradnl"/>
        </w:rPr>
        <w:t>conjunta</w:t>
      </w:r>
      <w:r w:rsidR="009629CE">
        <w:rPr>
          <w:rFonts w:ascii="ITC Avant Garde" w:hAnsi="ITC Avant Garde" w:cs="Arial"/>
          <w:color w:val="000000" w:themeColor="text1"/>
          <w:lang w:val="es-ES_tradnl"/>
        </w:rPr>
        <w:t>.</w:t>
      </w:r>
    </w:p>
    <w:p w:rsidR="0069622D" w:rsidRPr="006F593B" w:rsidRDefault="0069622D" w:rsidP="0069622D">
      <w:pPr>
        <w:spacing w:after="0" w:line="240" w:lineRule="auto"/>
        <w:jc w:val="both"/>
        <w:rPr>
          <w:rFonts w:ascii="ITC Avant Garde" w:hAnsi="ITC Avant Garde" w:cs="Arial"/>
          <w:color w:val="000000" w:themeColor="text1"/>
        </w:rPr>
      </w:pPr>
    </w:p>
    <w:p w:rsidR="00526EA4" w:rsidRPr="005F287B" w:rsidRDefault="008C4AB9" w:rsidP="0069622D">
      <w:pPr>
        <w:spacing w:after="0" w:line="240" w:lineRule="auto"/>
        <w:jc w:val="both"/>
        <w:rPr>
          <w:rFonts w:ascii="ITC Avant Garde" w:hAnsi="ITC Avant Garde" w:cs="Arial"/>
          <w:color w:val="000000" w:themeColor="text1"/>
        </w:rPr>
      </w:pPr>
      <w:r>
        <w:rPr>
          <w:rFonts w:ascii="ITC Avant Garde" w:hAnsi="ITC Avant Garde" w:cs="Arial"/>
          <w:color w:val="000000" w:themeColor="text1"/>
        </w:rPr>
        <w:t>Finalmente</w:t>
      </w:r>
      <w:r w:rsidR="00186A79" w:rsidRPr="006F593B">
        <w:rPr>
          <w:rFonts w:ascii="ITC Avant Garde" w:hAnsi="ITC Avant Garde" w:cs="Arial"/>
          <w:color w:val="000000" w:themeColor="text1"/>
        </w:rPr>
        <w:t>,</w:t>
      </w:r>
      <w:r>
        <w:rPr>
          <w:rFonts w:ascii="ITC Avant Garde" w:hAnsi="ITC Avant Garde" w:cs="Arial"/>
          <w:color w:val="000000" w:themeColor="text1"/>
        </w:rPr>
        <w:t xml:space="preserve"> se destaca que,</w:t>
      </w:r>
      <w:r w:rsidR="00186A79" w:rsidRPr="006F593B">
        <w:rPr>
          <w:rFonts w:ascii="ITC Avant Garde" w:hAnsi="ITC Avant Garde" w:cs="Arial"/>
          <w:color w:val="000000" w:themeColor="text1"/>
        </w:rPr>
        <w:t xml:space="preserve"> </w:t>
      </w:r>
      <w:r w:rsidR="009629CE">
        <w:rPr>
          <w:rFonts w:ascii="ITC Avant Garde" w:hAnsi="ITC Avant Garde" w:cs="Arial"/>
          <w:color w:val="000000" w:themeColor="text1"/>
        </w:rPr>
        <w:t>de conformidad</w:t>
      </w:r>
      <w:r w:rsidR="00186A79" w:rsidRPr="006F593B">
        <w:rPr>
          <w:rFonts w:ascii="ITC Avant Garde" w:hAnsi="ITC Avant Garde" w:cs="Arial"/>
          <w:color w:val="000000" w:themeColor="text1"/>
        </w:rPr>
        <w:t xml:space="preserve"> con lo establecido en las medidas de preponderancia</w:t>
      </w:r>
      <w:r w:rsidR="00AA793B">
        <w:rPr>
          <w:rFonts w:ascii="ITC Avant Garde" w:hAnsi="ITC Avant Garde" w:cs="Arial"/>
          <w:color w:val="000000" w:themeColor="text1"/>
        </w:rPr>
        <w:t xml:space="preserve"> para servicios móviles</w:t>
      </w:r>
      <w:r w:rsidR="00186A79" w:rsidRPr="006F593B">
        <w:rPr>
          <w:rFonts w:ascii="ITC Avant Garde" w:hAnsi="ITC Avant Garde" w:cs="Arial"/>
          <w:color w:val="000000" w:themeColor="text1"/>
        </w:rPr>
        <w:t>,</w:t>
      </w:r>
      <w:r w:rsidR="006F593B" w:rsidRPr="006F593B">
        <w:rPr>
          <w:rFonts w:ascii="ITC Avant Garde" w:hAnsi="ITC Avant Garde" w:cs="Arial"/>
          <w:color w:val="000000" w:themeColor="text1"/>
        </w:rPr>
        <w:t xml:space="preserve"> </w:t>
      </w:r>
      <w:r>
        <w:rPr>
          <w:rFonts w:ascii="ITC Avant Garde" w:hAnsi="ITC Avant Garde" w:cs="Arial"/>
          <w:color w:val="000000" w:themeColor="text1"/>
        </w:rPr>
        <w:t xml:space="preserve">la replicabilidad de las </w:t>
      </w:r>
      <w:r w:rsidRPr="00502494">
        <w:rPr>
          <w:rFonts w:ascii="ITC Avant Garde" w:hAnsi="ITC Avant Garde" w:cs="Arial"/>
          <w:color w:val="000000" w:themeColor="text1"/>
        </w:rPr>
        <w:t>ofertas minoristas del AEP</w:t>
      </w:r>
      <w:r>
        <w:rPr>
          <w:rFonts w:ascii="ITC Avant Garde" w:hAnsi="ITC Avant Garde" w:cs="Arial"/>
          <w:color w:val="000000" w:themeColor="text1"/>
        </w:rPr>
        <w:t xml:space="preserve"> va dirigida a</w:t>
      </w:r>
      <w:r w:rsidR="00AA793B">
        <w:rPr>
          <w:rFonts w:ascii="ITC Avant Garde" w:hAnsi="ITC Avant Garde" w:cs="Arial"/>
          <w:color w:val="000000" w:themeColor="text1"/>
        </w:rPr>
        <w:t xml:space="preserve"> los OMV revendedores</w:t>
      </w:r>
      <w:r>
        <w:rPr>
          <w:rFonts w:ascii="ITC Avant Garde" w:hAnsi="ITC Avant Garde" w:cs="Arial"/>
          <w:color w:val="000000" w:themeColor="text1"/>
        </w:rPr>
        <w:t xml:space="preserve">, por lo que no </w:t>
      </w:r>
      <w:r w:rsidR="006E135F">
        <w:rPr>
          <w:rFonts w:ascii="ITC Avant Garde" w:hAnsi="ITC Avant Garde" w:cs="Arial"/>
          <w:color w:val="000000" w:themeColor="text1"/>
        </w:rPr>
        <w:t>procede realizar</w:t>
      </w:r>
      <w:r>
        <w:rPr>
          <w:rFonts w:ascii="ITC Avant Garde" w:hAnsi="ITC Avant Garde" w:cs="Arial"/>
          <w:color w:val="000000" w:themeColor="text1"/>
        </w:rPr>
        <w:t xml:space="preserve"> el análisis otros niveles de OMV.</w:t>
      </w:r>
      <w:r w:rsidR="00AA793B" w:rsidRPr="00276405" w:rsidDel="00AA793B">
        <w:rPr>
          <w:rFonts w:ascii="ITC Avant Garde" w:hAnsi="ITC Avant Garde" w:cs="Arial"/>
          <w:color w:val="000000" w:themeColor="text1"/>
        </w:rPr>
        <w:t xml:space="preserve"> </w:t>
      </w:r>
    </w:p>
    <w:p w:rsidR="0069622D" w:rsidRPr="005F287B" w:rsidRDefault="0069622D" w:rsidP="0069622D">
      <w:pPr>
        <w:spacing w:after="0" w:line="240" w:lineRule="auto"/>
        <w:jc w:val="both"/>
        <w:rPr>
          <w:rFonts w:ascii="ITC Avant Garde" w:hAnsi="ITC Avant Garde" w:cs="Arial"/>
          <w:color w:val="000000" w:themeColor="text1"/>
        </w:rPr>
      </w:pPr>
    </w:p>
    <w:p w:rsidR="00DE114F" w:rsidRPr="005F287B" w:rsidRDefault="00DE114F" w:rsidP="0069622D">
      <w:pPr>
        <w:pStyle w:val="Ttulo2"/>
        <w:spacing w:before="0" w:line="240" w:lineRule="auto"/>
        <w:rPr>
          <w:rFonts w:ascii="ITC Avant Garde" w:hAnsi="ITC Avant Garde"/>
          <w:b/>
          <w:color w:val="000000" w:themeColor="text1"/>
          <w:sz w:val="22"/>
          <w:szCs w:val="22"/>
        </w:rPr>
      </w:pPr>
      <w:r w:rsidRPr="005F287B">
        <w:rPr>
          <w:rFonts w:ascii="ITC Avant Garde" w:hAnsi="ITC Avant Garde"/>
          <w:b/>
          <w:color w:val="000000" w:themeColor="text1"/>
          <w:sz w:val="22"/>
          <w:szCs w:val="22"/>
        </w:rPr>
        <w:t>Tema: Estándar de</w:t>
      </w:r>
      <w:r w:rsidR="0055657D" w:rsidRPr="005F287B">
        <w:rPr>
          <w:rFonts w:ascii="ITC Avant Garde" w:hAnsi="ITC Avant Garde"/>
          <w:b/>
          <w:color w:val="000000" w:themeColor="text1"/>
          <w:sz w:val="22"/>
          <w:szCs w:val="22"/>
        </w:rPr>
        <w:t xml:space="preserve"> costos</w:t>
      </w:r>
    </w:p>
    <w:p w:rsidR="0027726A" w:rsidRPr="00BE5D49" w:rsidRDefault="0027726A" w:rsidP="0069622D">
      <w:pPr>
        <w:spacing w:after="0" w:line="240" w:lineRule="auto"/>
        <w:jc w:val="both"/>
        <w:rPr>
          <w:rFonts w:ascii="ITC Avant Garde" w:hAnsi="ITC Avant Garde" w:cs="Arial"/>
          <w:color w:val="000000" w:themeColor="text1"/>
        </w:rPr>
      </w:pPr>
    </w:p>
    <w:p w:rsidR="00B17232" w:rsidRPr="00BE5D49" w:rsidRDefault="00B73C5E" w:rsidP="0069622D">
      <w:pPr>
        <w:spacing w:after="0" w:line="240" w:lineRule="auto"/>
        <w:jc w:val="both"/>
        <w:rPr>
          <w:rFonts w:ascii="ITC Avant Garde" w:hAnsi="ITC Avant Garde" w:cs="Arial"/>
          <w:color w:val="000000" w:themeColor="text1"/>
        </w:rPr>
      </w:pPr>
      <w:r w:rsidRPr="00BE5D49">
        <w:rPr>
          <w:rFonts w:ascii="ITC Avant Garde" w:hAnsi="ITC Avant Garde" w:cs="Arial"/>
          <w:color w:val="000000" w:themeColor="text1"/>
        </w:rPr>
        <w:t xml:space="preserve">Se sugiere la implementación de un estándar Costos Incrementales Totales de Largo Plazo (en lo sucesivo “LRIC+”) o Costos Completamente Distribuidos (en lo sucesivo, “FAC”). A </w:t>
      </w:r>
      <w:r w:rsidR="0069622D" w:rsidRPr="00BE5D49">
        <w:rPr>
          <w:rFonts w:ascii="ITC Avant Garde" w:hAnsi="ITC Avant Garde" w:cs="Arial"/>
          <w:color w:val="000000" w:themeColor="text1"/>
        </w:rPr>
        <w:t>continuación,</w:t>
      </w:r>
      <w:r w:rsidRPr="00BE5D49">
        <w:rPr>
          <w:rFonts w:ascii="ITC Avant Garde" w:hAnsi="ITC Avant Garde" w:cs="Arial"/>
          <w:color w:val="000000" w:themeColor="text1"/>
        </w:rPr>
        <w:t xml:space="preserve"> se mencionan los argumentos presentados para justificar dicha sugerencia:</w:t>
      </w:r>
    </w:p>
    <w:p w:rsidR="0069622D" w:rsidRPr="00BE5D49" w:rsidRDefault="0069622D" w:rsidP="0069622D">
      <w:pPr>
        <w:spacing w:after="0" w:line="240" w:lineRule="auto"/>
        <w:jc w:val="both"/>
        <w:rPr>
          <w:rFonts w:ascii="ITC Avant Garde" w:hAnsi="ITC Avant Garde" w:cs="Arial"/>
          <w:color w:val="000000" w:themeColor="text1"/>
        </w:rPr>
      </w:pPr>
    </w:p>
    <w:p w:rsidR="00B17232" w:rsidRPr="00BE5D49" w:rsidRDefault="00B17232" w:rsidP="0069622D">
      <w:pPr>
        <w:pStyle w:val="Prrafodelista"/>
        <w:numPr>
          <w:ilvl w:val="0"/>
          <w:numId w:val="2"/>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 xml:space="preserve">La metodología plantea utilizar el estándar de Costo Incremental de Largo Plazo (en lo sucesivo, “LRIC”), ya que este estándar otorga mayor flexibilidad comercial al AEP, no </w:t>
      </w:r>
      <w:r w:rsidR="0069622D" w:rsidRPr="00BE5D49">
        <w:rPr>
          <w:rFonts w:ascii="ITC Avant Garde" w:hAnsi="ITC Avant Garde" w:cs="Arial"/>
          <w:color w:val="000000" w:themeColor="text1"/>
        </w:rPr>
        <w:t>obstante,</w:t>
      </w:r>
      <w:r w:rsidRPr="00BE5D49">
        <w:rPr>
          <w:rFonts w:ascii="ITC Avant Garde" w:hAnsi="ITC Avant Garde" w:cs="Arial"/>
          <w:color w:val="000000" w:themeColor="text1"/>
        </w:rPr>
        <w:t xml:space="preserve"> los OMV no podrían recuperar esos costos que sí requieren cubrir para entrar al mercado con un portafolio más amplio de ofertas. Por lo anterior se propone utilizar un estándar </w:t>
      </w:r>
      <w:r w:rsidR="00B73C5E" w:rsidRPr="00BE5D49">
        <w:rPr>
          <w:rFonts w:ascii="ITC Avant Garde" w:hAnsi="ITC Avant Garde" w:cs="Arial"/>
          <w:color w:val="000000" w:themeColor="text1"/>
        </w:rPr>
        <w:t>FAC</w:t>
      </w:r>
      <w:r w:rsidRPr="00BE5D49">
        <w:rPr>
          <w:rFonts w:ascii="ITC Avant Garde" w:hAnsi="ITC Avant Garde" w:cs="Arial"/>
          <w:color w:val="000000" w:themeColor="text1"/>
        </w:rPr>
        <w:t>, debido a que asegura que se contabilicen todos los costos, es más transparente y fácil de aplicar y auditar, y en general es una opción más práctica que aumentaría la probabilidad de que los OMV puedan replicar las tarifas del AEP.</w:t>
      </w:r>
    </w:p>
    <w:p w:rsidR="0069622D" w:rsidRPr="00BE5D49" w:rsidRDefault="0069622D" w:rsidP="0069622D">
      <w:pPr>
        <w:pStyle w:val="Prrafodelista"/>
        <w:spacing w:after="0" w:line="240" w:lineRule="auto"/>
        <w:contextualSpacing w:val="0"/>
        <w:jc w:val="both"/>
        <w:rPr>
          <w:rFonts w:ascii="ITC Avant Garde" w:hAnsi="ITC Avant Garde" w:cs="Arial"/>
          <w:color w:val="000000" w:themeColor="text1"/>
        </w:rPr>
      </w:pPr>
    </w:p>
    <w:p w:rsidR="00B17232" w:rsidRPr="00BE5D49" w:rsidRDefault="00B17232" w:rsidP="0069622D">
      <w:pPr>
        <w:pStyle w:val="Prrafodelista"/>
        <w:numPr>
          <w:ilvl w:val="0"/>
          <w:numId w:val="2"/>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El estándar FAC</w:t>
      </w:r>
      <w:r w:rsidR="00C7779B" w:rsidRPr="00BE5D49">
        <w:rPr>
          <w:rFonts w:ascii="ITC Avant Garde" w:hAnsi="ITC Avant Garde" w:cs="Arial"/>
          <w:color w:val="000000" w:themeColor="text1"/>
        </w:rPr>
        <w:t xml:space="preserve"> permitir identificar claramente los costos en los que incurre el AEP, sobre todo porque estos pueden ser obtenidos a partir de la separación contable que es más fácil y rápida de obtener. Este estándar, además de permitir recuperar todos los costos comunes y compartidos entre los distintos servicios.</w:t>
      </w:r>
    </w:p>
    <w:p w:rsidR="0069622D" w:rsidRPr="00BE5D49" w:rsidRDefault="0069622D" w:rsidP="0069622D">
      <w:pPr>
        <w:pStyle w:val="Prrafodelista"/>
        <w:rPr>
          <w:rFonts w:ascii="ITC Avant Garde" w:hAnsi="ITC Avant Garde" w:cs="Arial"/>
          <w:color w:val="000000" w:themeColor="text1"/>
        </w:rPr>
      </w:pPr>
    </w:p>
    <w:p w:rsidR="00B17232" w:rsidRPr="00BE5D49" w:rsidRDefault="00B17232" w:rsidP="0069622D">
      <w:pPr>
        <w:pStyle w:val="Prrafodelista"/>
        <w:numPr>
          <w:ilvl w:val="0"/>
          <w:numId w:val="2"/>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Se recomienda utilizar</w:t>
      </w:r>
      <w:r w:rsidR="00C7779B" w:rsidRPr="00BE5D49">
        <w:rPr>
          <w:rFonts w:ascii="ITC Avant Garde" w:hAnsi="ITC Avant Garde" w:cs="Arial"/>
          <w:color w:val="000000" w:themeColor="text1"/>
        </w:rPr>
        <w:t xml:space="preserve"> el estándar FAC y el LRIC+, en función de l</w:t>
      </w:r>
      <w:r w:rsidR="0055657D" w:rsidRPr="00BE5D49">
        <w:rPr>
          <w:rFonts w:ascii="ITC Avant Garde" w:hAnsi="ITC Avant Garde" w:cs="Arial"/>
          <w:color w:val="000000" w:themeColor="text1"/>
        </w:rPr>
        <w:t>a información con que se cuente, ya que se facilita la construcción del modelo.</w:t>
      </w:r>
    </w:p>
    <w:p w:rsidR="0069622D" w:rsidRPr="00BE5D49" w:rsidRDefault="0069622D" w:rsidP="0069622D">
      <w:pPr>
        <w:pStyle w:val="Prrafodelista"/>
        <w:rPr>
          <w:rFonts w:ascii="ITC Avant Garde" w:hAnsi="ITC Avant Garde" w:cs="Arial"/>
          <w:color w:val="000000" w:themeColor="text1"/>
        </w:rPr>
      </w:pPr>
    </w:p>
    <w:p w:rsidR="00B17232" w:rsidRPr="00BE5D49" w:rsidRDefault="00371663" w:rsidP="0069622D">
      <w:pPr>
        <w:pStyle w:val="Prrafodelista"/>
        <w:numPr>
          <w:ilvl w:val="0"/>
          <w:numId w:val="2"/>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 xml:space="preserve">¿Cómo se asegura que, mediante la aplicación del estándar LRIC, se estén reconociendo la totalidad de los costos aguas abajo en los que incurriría un OMV en la prestación del servicio? </w:t>
      </w:r>
      <w:r w:rsidR="00B17232" w:rsidRPr="00BE5D49">
        <w:rPr>
          <w:rFonts w:ascii="ITC Avant Garde" w:hAnsi="ITC Avant Garde" w:cs="Arial"/>
          <w:color w:val="000000" w:themeColor="text1"/>
        </w:rPr>
        <w:t>Se e</w:t>
      </w:r>
      <w:r w:rsidRPr="00BE5D49">
        <w:rPr>
          <w:rFonts w:ascii="ITC Avant Garde" w:hAnsi="ITC Avant Garde" w:cs="Arial"/>
          <w:color w:val="000000" w:themeColor="text1"/>
        </w:rPr>
        <w:t>stima que nunca se puede asegurar que se cumpla esta condición bajo un estándar LRIC, por lo que se estima necesario adoptar una apr</w:t>
      </w:r>
      <w:r w:rsidR="00B17232" w:rsidRPr="00BE5D49">
        <w:rPr>
          <w:rFonts w:ascii="ITC Avant Garde" w:hAnsi="ITC Avant Garde" w:cs="Arial"/>
          <w:color w:val="000000" w:themeColor="text1"/>
        </w:rPr>
        <w:t>oximación FAC.</w:t>
      </w:r>
    </w:p>
    <w:p w:rsidR="0069622D" w:rsidRPr="00BE5D49" w:rsidRDefault="0069622D" w:rsidP="0069622D">
      <w:pPr>
        <w:pStyle w:val="Prrafodelista"/>
        <w:rPr>
          <w:rFonts w:ascii="ITC Avant Garde" w:hAnsi="ITC Avant Garde" w:cs="Arial"/>
          <w:color w:val="000000" w:themeColor="text1"/>
        </w:rPr>
      </w:pPr>
    </w:p>
    <w:p w:rsidR="00B17232" w:rsidRPr="00BE5D49" w:rsidRDefault="00371663" w:rsidP="0069622D">
      <w:pPr>
        <w:pStyle w:val="Prrafodelista"/>
        <w:numPr>
          <w:ilvl w:val="0"/>
          <w:numId w:val="2"/>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 xml:space="preserve">¿Qué fuente de información se espera utilizar para la extracción de la información LRIC de los costos aguas abajo? </w:t>
      </w:r>
      <w:r w:rsidR="00B17232" w:rsidRPr="00BE5D49">
        <w:rPr>
          <w:rFonts w:ascii="ITC Avant Garde" w:hAnsi="ITC Avant Garde" w:cs="Arial"/>
          <w:color w:val="000000" w:themeColor="text1"/>
        </w:rPr>
        <w:t>N</w:t>
      </w:r>
      <w:r w:rsidRPr="00BE5D49">
        <w:rPr>
          <w:rFonts w:ascii="ITC Avant Garde" w:hAnsi="ITC Avant Garde" w:cs="Arial"/>
          <w:color w:val="000000" w:themeColor="text1"/>
        </w:rPr>
        <w:t xml:space="preserve">o parece que exista actualmente ninguna fuente de información en el Instituto que permita obtener la información completa de costos aguas abajo mediante el estándar LRIC, </w:t>
      </w:r>
      <w:r w:rsidR="0055657D" w:rsidRPr="00BE5D49">
        <w:rPr>
          <w:rFonts w:ascii="ITC Avant Garde" w:hAnsi="ITC Avant Garde" w:cs="Arial"/>
          <w:color w:val="000000" w:themeColor="text1"/>
        </w:rPr>
        <w:t>por lo que no se recomienda su uso</w:t>
      </w:r>
      <w:r w:rsidRPr="00BE5D49">
        <w:rPr>
          <w:rFonts w:ascii="ITC Avant Garde" w:hAnsi="ITC Avant Garde" w:cs="Arial"/>
          <w:color w:val="000000" w:themeColor="text1"/>
        </w:rPr>
        <w:t>.</w:t>
      </w:r>
    </w:p>
    <w:p w:rsidR="0069622D" w:rsidRPr="00BE5D49" w:rsidRDefault="0069622D" w:rsidP="0069622D">
      <w:pPr>
        <w:pStyle w:val="Prrafodelista"/>
        <w:rPr>
          <w:rFonts w:ascii="ITC Avant Garde" w:hAnsi="ITC Avant Garde" w:cs="Arial"/>
          <w:color w:val="000000" w:themeColor="text1"/>
        </w:rPr>
      </w:pPr>
    </w:p>
    <w:p w:rsidR="00B17232" w:rsidRPr="00BE5D49" w:rsidRDefault="00E578B7" w:rsidP="0069622D">
      <w:pPr>
        <w:pStyle w:val="Prrafodelista"/>
        <w:numPr>
          <w:ilvl w:val="0"/>
          <w:numId w:val="2"/>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 xml:space="preserve">De </w:t>
      </w:r>
      <w:r w:rsidR="00B17232" w:rsidRPr="00BE5D49">
        <w:rPr>
          <w:rFonts w:ascii="ITC Avant Garde" w:hAnsi="ITC Avant Garde" w:cs="Arial"/>
          <w:color w:val="000000" w:themeColor="text1"/>
        </w:rPr>
        <w:t>no utilizarse un estándar FAC o en su defecto LRIC+</w:t>
      </w:r>
      <w:r w:rsidRPr="00BE5D49">
        <w:rPr>
          <w:rFonts w:ascii="ITC Avant Garde" w:hAnsi="ITC Avant Garde" w:cs="Arial"/>
          <w:color w:val="000000" w:themeColor="text1"/>
        </w:rPr>
        <w:t>, se pondría en condiciones de desventaja a operadores que sean nuevos entrantes al mercado en su totalidad o incluso que expandan su cobertura de servicios a nuevas localidades.</w:t>
      </w:r>
      <w:r w:rsidR="00460AEA" w:rsidRPr="00BE5D49">
        <w:rPr>
          <w:rFonts w:ascii="ITC Avant Garde" w:hAnsi="ITC Avant Garde" w:cs="Arial"/>
          <w:color w:val="000000" w:themeColor="text1"/>
        </w:rPr>
        <w:t xml:space="preserve"> </w:t>
      </w:r>
      <w:r w:rsidR="00526EA4" w:rsidRPr="00BE5D49">
        <w:rPr>
          <w:rFonts w:ascii="ITC Avant Garde" w:hAnsi="ITC Avant Garde" w:cs="Arial"/>
          <w:color w:val="000000" w:themeColor="text1"/>
        </w:rPr>
        <w:t>L</w:t>
      </w:r>
      <w:r w:rsidRPr="00BE5D49">
        <w:rPr>
          <w:rFonts w:ascii="ITC Avant Garde" w:hAnsi="ITC Avant Garde" w:cs="Arial"/>
          <w:color w:val="000000" w:themeColor="text1"/>
        </w:rPr>
        <w:t>a utilización de LRIC+</w:t>
      </w:r>
      <w:r w:rsidR="00526EA4" w:rsidRPr="00BE5D49">
        <w:rPr>
          <w:rFonts w:ascii="ITC Avant Garde" w:hAnsi="ITC Avant Garde" w:cs="Arial"/>
          <w:color w:val="000000" w:themeColor="text1"/>
        </w:rPr>
        <w:t>,</w:t>
      </w:r>
      <w:r w:rsidRPr="00BE5D49">
        <w:rPr>
          <w:rFonts w:ascii="ITC Avant Garde" w:hAnsi="ITC Avant Garde" w:cs="Arial"/>
          <w:color w:val="000000" w:themeColor="text1"/>
        </w:rPr>
        <w:t xml:space="preserve"> además</w:t>
      </w:r>
      <w:r w:rsidR="00526EA4" w:rsidRPr="00BE5D49">
        <w:rPr>
          <w:rFonts w:ascii="ITC Avant Garde" w:hAnsi="ITC Avant Garde" w:cs="Arial"/>
          <w:color w:val="000000" w:themeColor="text1"/>
        </w:rPr>
        <w:t>,</w:t>
      </w:r>
      <w:r w:rsidRPr="00BE5D49">
        <w:rPr>
          <w:rFonts w:ascii="ITC Avant Garde" w:hAnsi="ITC Avant Garde" w:cs="Arial"/>
          <w:color w:val="000000" w:themeColor="text1"/>
        </w:rPr>
        <w:t xml:space="preserve"> sería consistente con la metodología de costos para los servicios mayoristas regulados del AEP.</w:t>
      </w:r>
      <w:r w:rsidRPr="00BE5D49">
        <w:rPr>
          <w:rFonts w:ascii="ITC Avant Garde" w:hAnsi="ITC Avant Garde" w:cs="Arial"/>
          <w:color w:val="000000" w:themeColor="text1"/>
        </w:rPr>
        <w:tab/>
      </w:r>
    </w:p>
    <w:p w:rsidR="00B17232" w:rsidRPr="00BE5D49" w:rsidRDefault="00B17232" w:rsidP="0069622D">
      <w:pPr>
        <w:pStyle w:val="Prrafodelista"/>
        <w:numPr>
          <w:ilvl w:val="0"/>
          <w:numId w:val="2"/>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E</w:t>
      </w:r>
      <w:r w:rsidR="00E578B7" w:rsidRPr="00BE5D49">
        <w:rPr>
          <w:rFonts w:ascii="ITC Avant Garde" w:hAnsi="ITC Avant Garde" w:cs="Arial"/>
          <w:color w:val="000000" w:themeColor="text1"/>
        </w:rPr>
        <w:t>l uso de un estándar de costos FAC sería más transparente y auditable que la propuesta del Instituto ya que considera todos los costos atribuibles al servicio en cuestión, tanto directos como compartidos con otros servicios, la parte que le corresponda, y la parte atribuible de los costos comunes.</w:t>
      </w:r>
    </w:p>
    <w:p w:rsidR="0069622D" w:rsidRPr="00BE5D49" w:rsidRDefault="0069622D" w:rsidP="0069622D">
      <w:pPr>
        <w:spacing w:after="0" w:line="240" w:lineRule="auto"/>
        <w:jc w:val="both"/>
        <w:rPr>
          <w:rFonts w:ascii="ITC Avant Garde" w:hAnsi="ITC Avant Garde" w:cs="Arial"/>
          <w:color w:val="000000" w:themeColor="text1"/>
        </w:rPr>
      </w:pPr>
    </w:p>
    <w:p w:rsidR="00E578B7" w:rsidRPr="00BE5D49" w:rsidRDefault="00B17232" w:rsidP="0069622D">
      <w:pPr>
        <w:pStyle w:val="Prrafodelista"/>
        <w:numPr>
          <w:ilvl w:val="0"/>
          <w:numId w:val="2"/>
        </w:numPr>
        <w:spacing w:after="0" w:line="240" w:lineRule="auto"/>
        <w:contextualSpacing w:val="0"/>
        <w:jc w:val="both"/>
        <w:rPr>
          <w:rFonts w:ascii="ITC Avant Garde" w:hAnsi="ITC Avant Garde" w:cs="Arial"/>
          <w:color w:val="000000" w:themeColor="text1"/>
        </w:rPr>
      </w:pPr>
      <w:r w:rsidRPr="00BE5D49">
        <w:rPr>
          <w:rFonts w:ascii="ITC Avant Garde" w:hAnsi="ITC Avant Garde" w:cs="Arial"/>
          <w:color w:val="000000" w:themeColor="text1"/>
        </w:rPr>
        <w:t>U</w:t>
      </w:r>
      <w:r w:rsidR="00E578B7" w:rsidRPr="00BE5D49">
        <w:rPr>
          <w:rFonts w:ascii="ITC Avant Garde" w:hAnsi="ITC Avant Garde" w:cs="Arial"/>
          <w:color w:val="000000" w:themeColor="text1"/>
        </w:rPr>
        <w:t>tilizar FAC, en un “modelo basado en actividades (ABC)”, ya que es más transparente y permite recuperar todos los costos. Justifican que el enfoque LRIC no permite recuperar la totalidad de los costos, no se explica por qué es más flexible que FAC y no se explica por qué los costos comunes serán pequeños.</w:t>
      </w:r>
    </w:p>
    <w:p w:rsidR="004539B7" w:rsidRDefault="004539B7" w:rsidP="004567D5">
      <w:pPr>
        <w:spacing w:after="0" w:line="240" w:lineRule="auto"/>
        <w:jc w:val="both"/>
        <w:rPr>
          <w:rFonts w:ascii="ITC Avant Garde" w:hAnsi="ITC Avant Garde"/>
          <w:color w:val="000000" w:themeColor="text1"/>
          <w:lang w:val="es-ES_tradnl"/>
        </w:rPr>
      </w:pPr>
    </w:p>
    <w:p w:rsidR="004567D5" w:rsidRPr="00BE5D49" w:rsidRDefault="004567D5" w:rsidP="004567D5">
      <w:pPr>
        <w:spacing w:after="0" w:line="240" w:lineRule="auto"/>
        <w:jc w:val="both"/>
        <w:rPr>
          <w:rFonts w:ascii="ITC Avant Garde" w:hAnsi="ITC Avant Garde"/>
          <w:b/>
          <w:color w:val="000000" w:themeColor="text1"/>
          <w:lang w:val="es-ES_tradnl"/>
        </w:rPr>
      </w:pPr>
      <w:r w:rsidRPr="00BE5D49">
        <w:rPr>
          <w:rFonts w:ascii="ITC Avant Garde" w:hAnsi="ITC Avant Garde"/>
          <w:b/>
          <w:color w:val="000000" w:themeColor="text1"/>
          <w:lang w:val="es-ES_tradnl"/>
        </w:rPr>
        <w:t xml:space="preserve">Consideraciones del Instituto: </w:t>
      </w:r>
    </w:p>
    <w:p w:rsidR="00323B92" w:rsidRPr="005F287B" w:rsidRDefault="00323B92" w:rsidP="0069622D">
      <w:pPr>
        <w:spacing w:after="0" w:line="240" w:lineRule="auto"/>
        <w:jc w:val="both"/>
        <w:rPr>
          <w:rFonts w:ascii="ITC Avant Garde" w:hAnsi="ITC Avant Garde"/>
          <w:b/>
          <w:color w:val="000000" w:themeColor="text1"/>
          <w:lang w:val="es-ES_tradnl"/>
        </w:rPr>
      </w:pPr>
    </w:p>
    <w:p w:rsidR="003E42CC" w:rsidRPr="0064420B" w:rsidRDefault="00F9704E">
      <w:pPr>
        <w:spacing w:after="0" w:line="240" w:lineRule="auto"/>
        <w:jc w:val="both"/>
        <w:rPr>
          <w:rFonts w:ascii="ITC Avant Garde" w:hAnsi="ITC Avant Garde"/>
          <w:color w:val="000000" w:themeColor="text1"/>
          <w:lang w:val="es-ES_tradnl"/>
        </w:rPr>
      </w:pPr>
      <w:r w:rsidRPr="006B479F">
        <w:rPr>
          <w:rFonts w:ascii="ITC Avant Garde" w:hAnsi="ITC Avant Garde"/>
          <w:color w:val="000000" w:themeColor="text1"/>
          <w:lang w:val="es-ES_tradnl"/>
        </w:rPr>
        <w:t>Al ha</w:t>
      </w:r>
      <w:r>
        <w:rPr>
          <w:rFonts w:ascii="ITC Avant Garde" w:hAnsi="ITC Avant Garde"/>
          <w:color w:val="000000" w:themeColor="text1"/>
          <w:lang w:val="es-ES_tradnl"/>
        </w:rPr>
        <w:t>cerse</w:t>
      </w:r>
      <w:r w:rsidRPr="006B479F">
        <w:rPr>
          <w:rFonts w:ascii="ITC Avant Garde" w:hAnsi="ITC Avant Garde"/>
          <w:color w:val="000000" w:themeColor="text1"/>
          <w:lang w:val="es-ES_tradnl"/>
        </w:rPr>
        <w:t xml:space="preserve"> una desagregación por segmento</w:t>
      </w:r>
      <w:r>
        <w:rPr>
          <w:rFonts w:ascii="ITC Avant Garde" w:hAnsi="ITC Avant Garde"/>
          <w:color w:val="000000" w:themeColor="text1"/>
          <w:lang w:val="es-ES_tradnl"/>
        </w:rPr>
        <w:t>s</w:t>
      </w:r>
      <w:r w:rsidRPr="006B479F">
        <w:rPr>
          <w:rFonts w:ascii="ITC Avant Garde" w:hAnsi="ITC Avant Garde"/>
          <w:color w:val="000000" w:themeColor="text1"/>
          <w:lang w:val="es-ES_tradnl"/>
        </w:rPr>
        <w:t xml:space="preserve"> de prepago y pospago, se </w:t>
      </w:r>
      <w:r>
        <w:rPr>
          <w:rFonts w:ascii="ITC Avant Garde" w:hAnsi="ITC Avant Garde"/>
          <w:color w:val="000000" w:themeColor="text1"/>
          <w:lang w:val="es-ES_tradnl"/>
        </w:rPr>
        <w:t>debe</w:t>
      </w:r>
      <w:r w:rsidRPr="006B479F">
        <w:rPr>
          <w:rFonts w:ascii="ITC Avant Garde" w:hAnsi="ITC Avant Garde"/>
          <w:color w:val="000000" w:themeColor="text1"/>
          <w:lang w:val="es-ES_tradnl"/>
        </w:rPr>
        <w:t xml:space="preserve"> asegurar que el AEP recupere la proporción de los costos comunes en cada uno de los segmentos en los que se desagrega la prueba. </w:t>
      </w:r>
      <w:r w:rsidR="00CD5490" w:rsidRPr="0064420B">
        <w:rPr>
          <w:rFonts w:ascii="ITC Avant Garde" w:hAnsi="ITC Avant Garde"/>
          <w:color w:val="000000" w:themeColor="text1"/>
          <w:lang w:val="es-ES_tradnl"/>
        </w:rPr>
        <w:t>En ese sentido,</w:t>
      </w:r>
      <w:r w:rsidR="00C60589" w:rsidRPr="0064420B">
        <w:rPr>
          <w:rFonts w:ascii="ITC Avant Garde" w:hAnsi="ITC Avant Garde"/>
          <w:color w:val="000000" w:themeColor="text1"/>
          <w:lang w:val="es-ES_tradnl"/>
        </w:rPr>
        <w:t xml:space="preserve"> los costos comunes tienen que ser desagregados en los dos segmentos mencionados, </w:t>
      </w:r>
      <w:r w:rsidR="00CD5490" w:rsidRPr="0064420B">
        <w:rPr>
          <w:rFonts w:ascii="ITC Avant Garde" w:hAnsi="ITC Avant Garde"/>
          <w:color w:val="000000" w:themeColor="text1"/>
          <w:lang w:val="es-ES_tradnl"/>
        </w:rPr>
        <w:t>por lo que este Instituto considera</w:t>
      </w:r>
      <w:r w:rsidR="00C60589" w:rsidRPr="0064420B">
        <w:rPr>
          <w:rFonts w:ascii="ITC Avant Garde" w:hAnsi="ITC Avant Garde"/>
          <w:color w:val="000000" w:themeColor="text1"/>
          <w:lang w:val="es-ES_tradnl"/>
        </w:rPr>
        <w:t xml:space="preserve"> </w:t>
      </w:r>
      <w:r>
        <w:rPr>
          <w:rFonts w:ascii="ITC Avant Garde" w:hAnsi="ITC Avant Garde"/>
          <w:color w:val="000000" w:themeColor="text1"/>
          <w:lang w:val="es-ES_tradnl"/>
        </w:rPr>
        <w:t xml:space="preserve">oportuno </w:t>
      </w:r>
      <w:r w:rsidR="00C60589" w:rsidRPr="0064420B">
        <w:rPr>
          <w:rFonts w:ascii="ITC Avant Garde" w:hAnsi="ITC Avant Garde"/>
          <w:color w:val="000000" w:themeColor="text1"/>
          <w:lang w:val="es-ES_tradnl"/>
        </w:rPr>
        <w:t xml:space="preserve">que el estándar de costos para la prueba </w:t>
      </w:r>
      <w:r w:rsidR="003A433E" w:rsidRPr="0064420B">
        <w:rPr>
          <w:rFonts w:ascii="ITC Avant Garde" w:hAnsi="ITC Avant Garde"/>
          <w:color w:val="000000" w:themeColor="text1"/>
          <w:lang w:val="es-ES_tradnl"/>
        </w:rPr>
        <w:t xml:space="preserve">de replicabilidad </w:t>
      </w:r>
      <w:r>
        <w:rPr>
          <w:rFonts w:ascii="ITC Avant Garde" w:hAnsi="ITC Avant Garde"/>
          <w:color w:val="000000" w:themeColor="text1"/>
          <w:lang w:val="es-ES_tradnl"/>
        </w:rPr>
        <w:t>sea</w:t>
      </w:r>
      <w:r w:rsidR="00CD5490" w:rsidRPr="0064420B">
        <w:rPr>
          <w:rFonts w:ascii="ITC Avant Garde" w:hAnsi="ITC Avant Garde"/>
          <w:color w:val="000000" w:themeColor="text1"/>
          <w:lang w:val="es-ES_tradnl"/>
        </w:rPr>
        <w:t xml:space="preserve"> el modelo</w:t>
      </w:r>
      <w:r w:rsidR="00C60589" w:rsidRPr="0064420B">
        <w:rPr>
          <w:rFonts w:ascii="ITC Avant Garde" w:hAnsi="ITC Avant Garde"/>
          <w:color w:val="000000" w:themeColor="text1"/>
          <w:lang w:val="es-ES_tradnl"/>
        </w:rPr>
        <w:t xml:space="preserve"> LRIC+</w:t>
      </w:r>
      <w:r w:rsidR="003E42CC" w:rsidRPr="005F287B">
        <w:rPr>
          <w:rStyle w:val="Refdenotaalpie"/>
          <w:rFonts w:ascii="ITC Avant Garde" w:hAnsi="ITC Avant Garde"/>
          <w:color w:val="000000" w:themeColor="text1"/>
          <w:lang w:val="es-ES_tradnl"/>
        </w:rPr>
        <w:footnoteReference w:id="4"/>
      </w:r>
      <w:r w:rsidR="00B73C5E" w:rsidRPr="0064420B">
        <w:rPr>
          <w:rFonts w:ascii="ITC Avant Garde" w:hAnsi="ITC Avant Garde"/>
          <w:color w:val="000000" w:themeColor="text1"/>
          <w:lang w:val="es-ES_tradnl"/>
        </w:rPr>
        <w:t xml:space="preserve">. </w:t>
      </w:r>
    </w:p>
    <w:p w:rsidR="00E578B7" w:rsidRPr="0064420B" w:rsidRDefault="00E578B7" w:rsidP="0069622D">
      <w:pPr>
        <w:spacing w:after="0" w:line="240" w:lineRule="auto"/>
        <w:jc w:val="both"/>
        <w:rPr>
          <w:rFonts w:ascii="ITC Avant Garde" w:hAnsi="ITC Avant Garde"/>
          <w:color w:val="000000" w:themeColor="text1"/>
        </w:rPr>
      </w:pPr>
    </w:p>
    <w:p w:rsidR="00E578B7" w:rsidRPr="0064420B" w:rsidRDefault="00E578B7" w:rsidP="0069622D">
      <w:pPr>
        <w:pStyle w:val="Ttulo2"/>
        <w:spacing w:before="0" w:line="240" w:lineRule="auto"/>
        <w:rPr>
          <w:rFonts w:ascii="ITC Avant Garde" w:hAnsi="ITC Avant Garde"/>
          <w:b/>
          <w:color w:val="000000" w:themeColor="text1"/>
          <w:sz w:val="22"/>
          <w:szCs w:val="22"/>
        </w:rPr>
      </w:pPr>
      <w:r w:rsidRPr="0064420B">
        <w:rPr>
          <w:rFonts w:ascii="ITC Avant Garde" w:hAnsi="ITC Avant Garde"/>
          <w:b/>
          <w:color w:val="000000" w:themeColor="text1"/>
          <w:sz w:val="22"/>
          <w:szCs w:val="22"/>
        </w:rPr>
        <w:t>Tem</w:t>
      </w:r>
      <w:r w:rsidR="0055657D" w:rsidRPr="0064420B">
        <w:rPr>
          <w:rFonts w:ascii="ITC Avant Garde" w:hAnsi="ITC Avant Garde"/>
          <w:b/>
          <w:color w:val="000000" w:themeColor="text1"/>
          <w:sz w:val="22"/>
          <w:szCs w:val="22"/>
        </w:rPr>
        <w:t>a: Nivel de eficiencia</w:t>
      </w:r>
    </w:p>
    <w:p w:rsidR="00F07B74" w:rsidRPr="0064420B" w:rsidRDefault="00F07B74" w:rsidP="0069622D">
      <w:pPr>
        <w:spacing w:after="0" w:line="240" w:lineRule="auto"/>
        <w:jc w:val="both"/>
        <w:rPr>
          <w:rFonts w:ascii="ITC Avant Garde" w:hAnsi="ITC Avant Garde" w:cs="Arial"/>
          <w:color w:val="000000" w:themeColor="text1"/>
        </w:rPr>
      </w:pPr>
    </w:p>
    <w:p w:rsidR="00382F7F" w:rsidRPr="0064420B" w:rsidRDefault="00382F7F" w:rsidP="0069622D">
      <w:pPr>
        <w:spacing w:after="0" w:line="240" w:lineRule="auto"/>
        <w:jc w:val="both"/>
        <w:rPr>
          <w:rFonts w:ascii="ITC Avant Garde" w:hAnsi="ITC Avant Garde" w:cs="Arial"/>
          <w:color w:val="000000" w:themeColor="text1"/>
        </w:rPr>
      </w:pPr>
      <w:r w:rsidRPr="0064420B">
        <w:rPr>
          <w:rFonts w:ascii="ITC Avant Garde" w:hAnsi="ITC Avant Garde" w:cs="Arial"/>
          <w:color w:val="000000" w:themeColor="text1"/>
        </w:rPr>
        <w:t xml:space="preserve">Se sugiere un nivel de eficiencia distinto a EEO. A </w:t>
      </w:r>
      <w:r w:rsidR="0069622D" w:rsidRPr="0064420B">
        <w:rPr>
          <w:rFonts w:ascii="ITC Avant Garde" w:hAnsi="ITC Avant Garde" w:cs="Arial"/>
          <w:color w:val="000000" w:themeColor="text1"/>
        </w:rPr>
        <w:t>continuación,</w:t>
      </w:r>
      <w:r w:rsidRPr="0064420B">
        <w:rPr>
          <w:rFonts w:ascii="ITC Avant Garde" w:hAnsi="ITC Avant Garde" w:cs="Arial"/>
          <w:color w:val="000000" w:themeColor="text1"/>
        </w:rPr>
        <w:t xml:space="preserve"> se mencionan los argumentos presentados para justificar dicha sugerencia:</w:t>
      </w:r>
    </w:p>
    <w:p w:rsidR="0069622D" w:rsidRPr="0064420B" w:rsidRDefault="0069622D" w:rsidP="0069622D">
      <w:pPr>
        <w:spacing w:after="0" w:line="240" w:lineRule="auto"/>
        <w:jc w:val="both"/>
        <w:rPr>
          <w:rFonts w:ascii="ITC Avant Garde" w:hAnsi="ITC Avant Garde" w:cs="Arial"/>
          <w:color w:val="000000" w:themeColor="text1"/>
        </w:rPr>
      </w:pPr>
    </w:p>
    <w:p w:rsidR="00382F7F" w:rsidRPr="0064420B" w:rsidRDefault="00382F7F" w:rsidP="0069622D">
      <w:pPr>
        <w:pStyle w:val="Prrafodelista"/>
        <w:numPr>
          <w:ilvl w:val="0"/>
          <w:numId w:val="4"/>
        </w:numPr>
        <w:spacing w:after="0" w:line="240" w:lineRule="auto"/>
        <w:contextualSpacing w:val="0"/>
        <w:jc w:val="both"/>
        <w:rPr>
          <w:rFonts w:ascii="ITC Avant Garde" w:hAnsi="ITC Avant Garde" w:cs="Arial"/>
          <w:color w:val="000000" w:themeColor="text1"/>
        </w:rPr>
      </w:pPr>
      <w:r w:rsidRPr="0064420B">
        <w:rPr>
          <w:rFonts w:ascii="ITC Avant Garde" w:hAnsi="ITC Avant Garde" w:cs="Arial"/>
          <w:color w:val="000000" w:themeColor="text1"/>
        </w:rPr>
        <w:t xml:space="preserve">El </w:t>
      </w:r>
      <w:r w:rsidR="00E578B7" w:rsidRPr="0064420B">
        <w:rPr>
          <w:rFonts w:ascii="ITC Avant Garde" w:hAnsi="ITC Avant Garde" w:cs="Arial"/>
          <w:color w:val="000000" w:themeColor="text1"/>
        </w:rPr>
        <w:t>estándar de eficiencia del Operador Igualmente Eficiente (en lo sucesivo, “EEO”)</w:t>
      </w:r>
      <w:r w:rsidR="00E86F04" w:rsidRPr="0064420B">
        <w:rPr>
          <w:rFonts w:ascii="ITC Avant Garde" w:hAnsi="ITC Avant Garde" w:cs="Arial"/>
          <w:color w:val="000000" w:themeColor="text1"/>
        </w:rPr>
        <w:t>,</w:t>
      </w:r>
      <w:r w:rsidR="00E578B7" w:rsidRPr="0064420B">
        <w:rPr>
          <w:rFonts w:ascii="ITC Avant Garde" w:hAnsi="ITC Avant Garde" w:cs="Arial"/>
          <w:color w:val="000000" w:themeColor="text1"/>
        </w:rPr>
        <w:t xml:space="preserve"> planteado en la prueba</w:t>
      </w:r>
      <w:r w:rsidR="00E86F04" w:rsidRPr="0064420B">
        <w:rPr>
          <w:rFonts w:ascii="ITC Avant Garde" w:hAnsi="ITC Avant Garde" w:cs="Arial"/>
          <w:color w:val="000000" w:themeColor="text1"/>
        </w:rPr>
        <w:t>,</w:t>
      </w:r>
      <w:r w:rsidR="00E578B7" w:rsidRPr="0064420B">
        <w:rPr>
          <w:rFonts w:ascii="ITC Avant Garde" w:hAnsi="ITC Avant Garde" w:cs="Arial"/>
          <w:color w:val="000000" w:themeColor="text1"/>
        </w:rPr>
        <w:t xml:space="preserve"> excluye la posibilidad de que los O</w:t>
      </w:r>
      <w:r w:rsidR="00F07B74" w:rsidRPr="0064420B">
        <w:rPr>
          <w:rFonts w:ascii="ITC Avant Garde" w:hAnsi="ITC Avant Garde" w:cs="Arial"/>
          <w:color w:val="000000" w:themeColor="text1"/>
        </w:rPr>
        <w:t xml:space="preserve">MV </w:t>
      </w:r>
      <w:r w:rsidR="00E578B7" w:rsidRPr="0064420B">
        <w:rPr>
          <w:rFonts w:ascii="ITC Avant Garde" w:hAnsi="ITC Avant Garde" w:cs="Arial"/>
          <w:color w:val="000000" w:themeColor="text1"/>
        </w:rPr>
        <w:t>incurr</w:t>
      </w:r>
      <w:r w:rsidR="00EF6011" w:rsidRPr="0064420B">
        <w:rPr>
          <w:rFonts w:ascii="ITC Avant Garde" w:hAnsi="ITC Avant Garde" w:cs="Arial"/>
          <w:color w:val="000000" w:themeColor="text1"/>
        </w:rPr>
        <w:t>an</w:t>
      </w:r>
      <w:r w:rsidR="00E578B7" w:rsidRPr="0064420B">
        <w:rPr>
          <w:rFonts w:ascii="ITC Avant Garde" w:hAnsi="ITC Avant Garde" w:cs="Arial"/>
          <w:color w:val="000000" w:themeColor="text1"/>
        </w:rPr>
        <w:t xml:space="preserve"> en costos más altos por razones de escala y no de eficiencia, con base en lo anterior</w:t>
      </w:r>
      <w:r w:rsidRPr="0064420B">
        <w:rPr>
          <w:rFonts w:ascii="ITC Avant Garde" w:hAnsi="ITC Avant Garde" w:cs="Arial"/>
          <w:color w:val="000000" w:themeColor="text1"/>
        </w:rPr>
        <w:t xml:space="preserve"> se</w:t>
      </w:r>
      <w:r w:rsidR="00E578B7" w:rsidRPr="0064420B">
        <w:rPr>
          <w:rFonts w:ascii="ITC Avant Garde" w:hAnsi="ITC Avant Garde" w:cs="Arial"/>
          <w:color w:val="000000" w:themeColor="text1"/>
        </w:rPr>
        <w:t xml:space="preserve"> sugiere utilizar el estándar de eficiencia de un Operador Razonablemente Eficiente (en lo sucesivo, “REO”) como medida para facilitar la entrada ante la presencia de economías a escala.</w:t>
      </w:r>
    </w:p>
    <w:p w:rsidR="0069622D" w:rsidRPr="0064420B" w:rsidRDefault="0069622D" w:rsidP="0069622D">
      <w:pPr>
        <w:pStyle w:val="Prrafodelista"/>
        <w:spacing w:after="0" w:line="240" w:lineRule="auto"/>
        <w:contextualSpacing w:val="0"/>
        <w:jc w:val="both"/>
        <w:rPr>
          <w:rFonts w:ascii="ITC Avant Garde" w:hAnsi="ITC Avant Garde" w:cs="Arial"/>
          <w:color w:val="000000" w:themeColor="text1"/>
        </w:rPr>
      </w:pPr>
    </w:p>
    <w:p w:rsidR="00374648" w:rsidRPr="0064420B" w:rsidRDefault="00382F7F">
      <w:pPr>
        <w:pStyle w:val="Prrafodelista"/>
        <w:numPr>
          <w:ilvl w:val="0"/>
          <w:numId w:val="4"/>
        </w:numPr>
        <w:spacing w:after="0" w:line="240" w:lineRule="auto"/>
        <w:contextualSpacing w:val="0"/>
        <w:jc w:val="both"/>
        <w:rPr>
          <w:rFonts w:ascii="ITC Avant Garde" w:hAnsi="ITC Avant Garde" w:cs="Arial"/>
          <w:color w:val="000000" w:themeColor="text1"/>
        </w:rPr>
      </w:pPr>
      <w:r w:rsidRPr="0064420B">
        <w:rPr>
          <w:rFonts w:ascii="ITC Avant Garde" w:hAnsi="ITC Avant Garde" w:cs="Arial"/>
          <w:color w:val="000000" w:themeColor="text1"/>
        </w:rPr>
        <w:t>Se</w:t>
      </w:r>
      <w:r w:rsidR="00E578B7" w:rsidRPr="0064420B">
        <w:rPr>
          <w:rFonts w:ascii="ITC Avant Garde" w:hAnsi="ITC Avant Garde" w:cs="Arial"/>
          <w:color w:val="000000" w:themeColor="text1"/>
        </w:rPr>
        <w:t xml:space="preserve"> debe utilizar un estándar de eficiencia EEO ajustado, pues un OMV completo de</w:t>
      </w:r>
      <w:r w:rsidR="0069622D" w:rsidRPr="0064420B">
        <w:rPr>
          <w:rFonts w:ascii="ITC Avant Garde" w:hAnsi="ITC Avant Garde" w:cs="Arial"/>
          <w:color w:val="000000" w:themeColor="text1"/>
        </w:rPr>
        <w:t xml:space="preserve">be implementar cada uno de los </w:t>
      </w:r>
      <w:r w:rsidR="00E578B7" w:rsidRPr="0064420B">
        <w:rPr>
          <w:rFonts w:ascii="ITC Avant Garde" w:hAnsi="ITC Avant Garde" w:cs="Arial"/>
          <w:color w:val="000000" w:themeColor="text1"/>
        </w:rPr>
        <w:t xml:space="preserve">procesos aguas abajo (instalación de centros de atención, facturación, cobranza, posicionamiento de marca, entre otros). Al no contar con un volumen </w:t>
      </w:r>
      <w:r w:rsidR="00C542DC" w:rsidRPr="0064420B">
        <w:rPr>
          <w:rFonts w:ascii="ITC Avant Garde" w:hAnsi="ITC Avant Garde" w:cs="Arial"/>
          <w:color w:val="000000" w:themeColor="text1"/>
        </w:rPr>
        <w:t>crítico</w:t>
      </w:r>
      <w:r w:rsidR="00EF6011" w:rsidRPr="0064420B">
        <w:rPr>
          <w:rFonts w:ascii="ITC Avant Garde" w:hAnsi="ITC Avant Garde" w:cs="Arial"/>
          <w:color w:val="000000" w:themeColor="text1"/>
        </w:rPr>
        <w:t>,</w:t>
      </w:r>
      <w:r w:rsidR="00E578B7" w:rsidRPr="0064420B">
        <w:rPr>
          <w:rFonts w:ascii="ITC Avant Garde" w:hAnsi="ITC Avant Garde" w:cs="Arial"/>
          <w:color w:val="000000" w:themeColor="text1"/>
        </w:rPr>
        <w:t xml:space="preserve"> un OMV no tiene las mismas economías y gastos entrante</w:t>
      </w:r>
      <w:r w:rsidR="00EF6011" w:rsidRPr="0064420B">
        <w:rPr>
          <w:rFonts w:ascii="ITC Avant Garde" w:hAnsi="ITC Avant Garde" w:cs="Arial"/>
          <w:color w:val="000000" w:themeColor="text1"/>
        </w:rPr>
        <w:t>s</w:t>
      </w:r>
      <w:r w:rsidR="00E578B7" w:rsidRPr="0064420B">
        <w:rPr>
          <w:rFonts w:ascii="ITC Avant Garde" w:hAnsi="ITC Avant Garde" w:cs="Arial"/>
          <w:color w:val="000000" w:themeColor="text1"/>
        </w:rPr>
        <w:t xml:space="preserve"> y</w:t>
      </w:r>
      <w:r w:rsidR="00EF6011" w:rsidRPr="0064420B">
        <w:rPr>
          <w:rFonts w:ascii="ITC Avant Garde" w:hAnsi="ITC Avant Garde" w:cs="Arial"/>
          <w:color w:val="000000" w:themeColor="text1"/>
        </w:rPr>
        <w:t>,</w:t>
      </w:r>
      <w:r w:rsidR="00E578B7" w:rsidRPr="0064420B">
        <w:rPr>
          <w:rFonts w:ascii="ITC Avant Garde" w:hAnsi="ITC Avant Garde" w:cs="Arial"/>
          <w:color w:val="000000" w:themeColor="text1"/>
        </w:rPr>
        <w:t xml:space="preserve"> por tanto, enfrenta mayores retos en sus procesos aguas abajo.</w:t>
      </w:r>
    </w:p>
    <w:p w:rsidR="00374648" w:rsidRPr="0064420B" w:rsidRDefault="00374648" w:rsidP="0064420B">
      <w:pPr>
        <w:pStyle w:val="Prrafodelista"/>
        <w:spacing w:after="0" w:line="240" w:lineRule="auto"/>
        <w:contextualSpacing w:val="0"/>
        <w:jc w:val="both"/>
        <w:rPr>
          <w:rFonts w:ascii="ITC Avant Garde" w:hAnsi="ITC Avant Garde" w:cs="Arial"/>
          <w:color w:val="000000" w:themeColor="text1"/>
        </w:rPr>
      </w:pPr>
    </w:p>
    <w:p w:rsidR="00382F7F" w:rsidRPr="0064420B" w:rsidRDefault="00382F7F" w:rsidP="0069622D">
      <w:pPr>
        <w:pStyle w:val="Prrafodelista"/>
        <w:numPr>
          <w:ilvl w:val="0"/>
          <w:numId w:val="4"/>
        </w:numPr>
        <w:spacing w:after="0" w:line="240" w:lineRule="auto"/>
        <w:contextualSpacing w:val="0"/>
        <w:jc w:val="both"/>
        <w:rPr>
          <w:rFonts w:ascii="ITC Avant Garde" w:hAnsi="ITC Avant Garde" w:cs="Arial"/>
          <w:color w:val="000000" w:themeColor="text1"/>
        </w:rPr>
      </w:pPr>
      <w:r w:rsidRPr="0064420B">
        <w:rPr>
          <w:rFonts w:ascii="ITC Avant Garde" w:hAnsi="ITC Avant Garde" w:cs="Arial"/>
          <w:color w:val="000000" w:themeColor="text1"/>
        </w:rPr>
        <w:t xml:space="preserve">Se sugiere </w:t>
      </w:r>
      <w:r w:rsidR="00E578B7" w:rsidRPr="0064420B">
        <w:rPr>
          <w:rFonts w:ascii="ITC Avant Garde" w:hAnsi="ITC Avant Garde" w:cs="Arial"/>
          <w:color w:val="000000" w:themeColor="text1"/>
        </w:rPr>
        <w:t>que la prueba de replicabilidad utilice un enfoque de eficiencia REO, debido a que los OMV entrantes pueden tener mayores costos unitarios hasta que alcancen una escala eficiente. Un OMV nuevo al tener menor volumen de tráfico, tiene mayores costos unitarios e incurre en mayores costos de comercialización y marketing</w:t>
      </w:r>
      <w:r w:rsidR="00311B15" w:rsidRPr="0064420B">
        <w:rPr>
          <w:rFonts w:ascii="ITC Avant Garde" w:hAnsi="ITC Avant Garde" w:cs="Arial"/>
          <w:color w:val="000000" w:themeColor="text1"/>
        </w:rPr>
        <w:t>.</w:t>
      </w:r>
    </w:p>
    <w:p w:rsidR="00A97F1E" w:rsidRPr="0064420B" w:rsidRDefault="00A97F1E" w:rsidP="00A97F1E">
      <w:pPr>
        <w:pStyle w:val="Prrafodelista"/>
        <w:spacing w:after="0" w:line="240" w:lineRule="auto"/>
        <w:contextualSpacing w:val="0"/>
        <w:jc w:val="both"/>
        <w:rPr>
          <w:rFonts w:ascii="ITC Avant Garde" w:hAnsi="ITC Avant Garde" w:cs="Arial"/>
          <w:color w:val="000000" w:themeColor="text1"/>
        </w:rPr>
      </w:pPr>
    </w:p>
    <w:p w:rsidR="00382F7F" w:rsidRPr="0064420B" w:rsidRDefault="00382F7F" w:rsidP="0069622D">
      <w:pPr>
        <w:pStyle w:val="Prrafodelista"/>
        <w:numPr>
          <w:ilvl w:val="0"/>
          <w:numId w:val="4"/>
        </w:numPr>
        <w:spacing w:after="0" w:line="240" w:lineRule="auto"/>
        <w:contextualSpacing w:val="0"/>
        <w:jc w:val="both"/>
        <w:rPr>
          <w:rFonts w:ascii="ITC Avant Garde" w:hAnsi="ITC Avant Garde" w:cs="Arial"/>
          <w:color w:val="000000" w:themeColor="text1"/>
        </w:rPr>
      </w:pPr>
      <w:r w:rsidRPr="0064420B">
        <w:rPr>
          <w:rFonts w:ascii="ITC Avant Garde" w:hAnsi="ITC Avant Garde" w:cs="Arial"/>
          <w:color w:val="000000" w:themeColor="text1"/>
        </w:rPr>
        <w:t>C</w:t>
      </w:r>
      <w:r w:rsidR="00311B15" w:rsidRPr="0064420B">
        <w:rPr>
          <w:rFonts w:ascii="ITC Avant Garde" w:hAnsi="ITC Avant Garde" w:cs="Arial"/>
          <w:color w:val="000000" w:themeColor="text1"/>
        </w:rPr>
        <w:t xml:space="preserve">on el objetivo de promover la competencia en los mercados correspondientes a los distintos servicios minoristas del AEP, se </w:t>
      </w:r>
      <w:r w:rsidRPr="0064420B">
        <w:rPr>
          <w:rFonts w:ascii="ITC Avant Garde" w:hAnsi="ITC Avant Garde" w:cs="Arial"/>
          <w:color w:val="000000" w:themeColor="text1"/>
        </w:rPr>
        <w:t>debería utilizar</w:t>
      </w:r>
      <w:r w:rsidR="00311B15" w:rsidRPr="0064420B">
        <w:rPr>
          <w:rFonts w:ascii="ITC Avant Garde" w:hAnsi="ITC Avant Garde" w:cs="Arial"/>
          <w:color w:val="000000" w:themeColor="text1"/>
        </w:rPr>
        <w:t xml:space="preserve"> un nivel de eficiencia EEO ajustado o en su defecto SEO, de lo contrario,</w:t>
      </w:r>
      <w:r w:rsidR="00EF6011" w:rsidRPr="0064420B">
        <w:rPr>
          <w:rFonts w:ascii="ITC Avant Garde" w:hAnsi="ITC Avant Garde" w:cs="Arial"/>
          <w:color w:val="000000" w:themeColor="text1"/>
        </w:rPr>
        <w:t xml:space="preserve"> con</w:t>
      </w:r>
      <w:r w:rsidR="00311B15" w:rsidRPr="0064420B">
        <w:rPr>
          <w:rFonts w:ascii="ITC Avant Garde" w:hAnsi="ITC Avant Garde" w:cs="Arial"/>
          <w:color w:val="000000" w:themeColor="text1"/>
        </w:rPr>
        <w:t xml:space="preserve"> un esquema de replicabilidad con un nivel de eficiencia estricto resultará complicado generar condiciones equitativas de competencia entre el AEP y otros operadores, asimismo</w:t>
      </w:r>
      <w:r w:rsidR="00EF6011" w:rsidRPr="0064420B">
        <w:rPr>
          <w:rFonts w:ascii="ITC Avant Garde" w:hAnsi="ITC Avant Garde" w:cs="Arial"/>
          <w:color w:val="000000" w:themeColor="text1"/>
        </w:rPr>
        <w:t>,</w:t>
      </w:r>
      <w:r w:rsidR="00311B15" w:rsidRPr="0064420B">
        <w:rPr>
          <w:rFonts w:ascii="ITC Avant Garde" w:hAnsi="ITC Avant Garde" w:cs="Arial"/>
          <w:color w:val="000000" w:themeColor="text1"/>
        </w:rPr>
        <w:t xml:space="preserve"> no deben existir distinciones en el enfoque o metodología dependiendo del tipo de servicio y si este es un servicio maduro o en crecimiento.</w:t>
      </w:r>
    </w:p>
    <w:p w:rsidR="00A97F1E" w:rsidRPr="0064420B" w:rsidRDefault="00A97F1E" w:rsidP="00A97F1E">
      <w:pPr>
        <w:pStyle w:val="Prrafodelista"/>
        <w:rPr>
          <w:rFonts w:ascii="ITC Avant Garde" w:hAnsi="ITC Avant Garde" w:cs="Arial"/>
          <w:color w:val="000000" w:themeColor="text1"/>
        </w:rPr>
      </w:pPr>
    </w:p>
    <w:p w:rsidR="00C72B2D" w:rsidRPr="0064420B" w:rsidRDefault="00382F7F" w:rsidP="0069622D">
      <w:pPr>
        <w:pStyle w:val="Prrafodelista"/>
        <w:numPr>
          <w:ilvl w:val="0"/>
          <w:numId w:val="4"/>
        </w:numPr>
        <w:spacing w:after="0" w:line="240" w:lineRule="auto"/>
        <w:contextualSpacing w:val="0"/>
        <w:jc w:val="both"/>
        <w:rPr>
          <w:rFonts w:ascii="ITC Avant Garde" w:hAnsi="ITC Avant Garde" w:cs="Arial"/>
          <w:color w:val="000000" w:themeColor="text1"/>
        </w:rPr>
      </w:pPr>
      <w:r w:rsidRPr="0064420B">
        <w:rPr>
          <w:rFonts w:ascii="ITC Avant Garde" w:hAnsi="ITC Avant Garde" w:cs="Arial"/>
          <w:color w:val="000000" w:themeColor="text1"/>
        </w:rPr>
        <w:t>U</w:t>
      </w:r>
      <w:r w:rsidR="00311B15" w:rsidRPr="0064420B">
        <w:rPr>
          <w:rFonts w:ascii="ITC Avant Garde" w:hAnsi="ITC Avant Garde" w:cs="Arial"/>
          <w:color w:val="000000" w:themeColor="text1"/>
        </w:rPr>
        <w:t>n operador alternativo de la escala adecuada no tendrá la eficiencia y esca</w:t>
      </w:r>
      <w:r w:rsidRPr="0064420B">
        <w:rPr>
          <w:rFonts w:ascii="ITC Avant Garde" w:hAnsi="ITC Avant Garde" w:cs="Arial"/>
          <w:color w:val="000000" w:themeColor="text1"/>
        </w:rPr>
        <w:t>la del operador dominante y,</w:t>
      </w:r>
      <w:r w:rsidR="00311B15" w:rsidRPr="0064420B">
        <w:rPr>
          <w:rFonts w:ascii="ITC Avant Garde" w:hAnsi="ITC Avant Garde" w:cs="Arial"/>
          <w:color w:val="000000" w:themeColor="text1"/>
        </w:rPr>
        <w:t xml:space="preserve"> para poder replicar con un margen razonable las tarifas del operador preponderante</w:t>
      </w:r>
      <w:r w:rsidR="00EF6011" w:rsidRPr="0064420B">
        <w:rPr>
          <w:rFonts w:ascii="ITC Avant Garde" w:hAnsi="ITC Avant Garde" w:cs="Arial"/>
          <w:color w:val="000000" w:themeColor="text1"/>
        </w:rPr>
        <w:t>,</w:t>
      </w:r>
      <w:r w:rsidR="00311B15" w:rsidRPr="0064420B">
        <w:rPr>
          <w:rFonts w:ascii="ITC Avant Garde" w:hAnsi="ITC Avant Garde" w:cs="Arial"/>
          <w:color w:val="000000" w:themeColor="text1"/>
        </w:rPr>
        <w:t xml:space="preserve"> se recomienda la utilización de un enfoque REO o, en su defecto, un EEO ajustado.</w:t>
      </w:r>
    </w:p>
    <w:p w:rsidR="00A97F1E" w:rsidRPr="0064420B" w:rsidRDefault="00A97F1E" w:rsidP="00A97F1E">
      <w:pPr>
        <w:pStyle w:val="Prrafodelista"/>
        <w:rPr>
          <w:rFonts w:ascii="ITC Avant Garde" w:hAnsi="ITC Avant Garde" w:cs="Arial"/>
          <w:color w:val="000000" w:themeColor="text1"/>
        </w:rPr>
      </w:pPr>
    </w:p>
    <w:p w:rsidR="00C72B2D" w:rsidRPr="0064420B" w:rsidRDefault="00C72B2D" w:rsidP="0069622D">
      <w:pPr>
        <w:pStyle w:val="Prrafodelista"/>
        <w:numPr>
          <w:ilvl w:val="0"/>
          <w:numId w:val="4"/>
        </w:numPr>
        <w:spacing w:after="0" w:line="240" w:lineRule="auto"/>
        <w:contextualSpacing w:val="0"/>
        <w:jc w:val="both"/>
        <w:rPr>
          <w:rFonts w:ascii="ITC Avant Garde" w:hAnsi="ITC Avant Garde" w:cs="Arial"/>
          <w:color w:val="000000" w:themeColor="text1"/>
        </w:rPr>
      </w:pPr>
      <w:r w:rsidRPr="0064420B">
        <w:rPr>
          <w:rFonts w:ascii="ITC Avant Garde" w:hAnsi="ITC Avant Garde" w:cs="Arial"/>
          <w:color w:val="000000" w:themeColor="text1"/>
        </w:rPr>
        <w:t xml:space="preserve">Se </w:t>
      </w:r>
      <w:r w:rsidR="00311B15" w:rsidRPr="0064420B">
        <w:rPr>
          <w:rFonts w:ascii="ITC Avant Garde" w:hAnsi="ITC Avant Garde" w:cs="Arial"/>
          <w:color w:val="000000" w:themeColor="text1"/>
        </w:rPr>
        <w:t xml:space="preserve">sugiere que se utilice la información de los OMV como REO, </w:t>
      </w:r>
      <w:r w:rsidRPr="0064420B">
        <w:rPr>
          <w:rFonts w:ascii="ITC Avant Garde" w:hAnsi="ITC Avant Garde" w:cs="Arial"/>
          <w:color w:val="000000" w:themeColor="text1"/>
        </w:rPr>
        <w:t>al menos por los primeros años ya que</w:t>
      </w:r>
      <w:r w:rsidR="00311B15" w:rsidRPr="0064420B">
        <w:rPr>
          <w:rFonts w:ascii="ITC Avant Garde" w:hAnsi="ITC Avant Garde" w:cs="Arial"/>
          <w:color w:val="000000" w:themeColor="text1"/>
        </w:rPr>
        <w:t xml:space="preserve"> los OMV tienen más incentivos a compartir información que el AEP. </w:t>
      </w:r>
      <w:r w:rsidRPr="0064420B">
        <w:rPr>
          <w:rFonts w:ascii="ITC Avant Garde" w:hAnsi="ITC Avant Garde" w:cs="Arial"/>
          <w:color w:val="000000" w:themeColor="text1"/>
        </w:rPr>
        <w:t>Se agrega</w:t>
      </w:r>
      <w:r w:rsidR="00311B15" w:rsidRPr="0064420B">
        <w:rPr>
          <w:rFonts w:ascii="ITC Avant Garde" w:hAnsi="ITC Avant Garde" w:cs="Arial"/>
          <w:color w:val="000000" w:themeColor="text1"/>
        </w:rPr>
        <w:t xml:space="preserve">, que la información de la separación contable puede presentar fallas por ser reciente y que los insumos pueden ser “desactualizados” dado que podrían pasar 2 años hasta que la información sea auditada. Además, </w:t>
      </w:r>
      <w:r w:rsidRPr="0064420B">
        <w:rPr>
          <w:rFonts w:ascii="ITC Avant Garde" w:hAnsi="ITC Avant Garde" w:cs="Arial"/>
          <w:color w:val="000000" w:themeColor="text1"/>
        </w:rPr>
        <w:t>se menciona</w:t>
      </w:r>
      <w:r w:rsidR="00311B15" w:rsidRPr="0064420B">
        <w:rPr>
          <w:rFonts w:ascii="ITC Avant Garde" w:hAnsi="ITC Avant Garde" w:cs="Arial"/>
          <w:color w:val="000000" w:themeColor="text1"/>
        </w:rPr>
        <w:t xml:space="preserve"> que “la mayoría de los OMV son eficientes por naturaleza”. </w:t>
      </w:r>
    </w:p>
    <w:p w:rsidR="00A97F1E" w:rsidRPr="0064420B" w:rsidRDefault="00A97F1E" w:rsidP="00A97F1E">
      <w:pPr>
        <w:pStyle w:val="Prrafodelista"/>
        <w:rPr>
          <w:rFonts w:ascii="ITC Avant Garde" w:hAnsi="ITC Avant Garde" w:cs="Arial"/>
          <w:color w:val="000000" w:themeColor="text1"/>
        </w:rPr>
      </w:pPr>
    </w:p>
    <w:p w:rsidR="00311B15" w:rsidRPr="0064420B" w:rsidRDefault="00C72B2D" w:rsidP="0069622D">
      <w:pPr>
        <w:pStyle w:val="Prrafodelista"/>
        <w:numPr>
          <w:ilvl w:val="0"/>
          <w:numId w:val="4"/>
        </w:numPr>
        <w:spacing w:after="0" w:line="240" w:lineRule="auto"/>
        <w:contextualSpacing w:val="0"/>
        <w:jc w:val="both"/>
        <w:rPr>
          <w:rFonts w:ascii="ITC Avant Garde" w:hAnsi="ITC Avant Garde" w:cs="Arial"/>
          <w:color w:val="000000" w:themeColor="text1"/>
        </w:rPr>
      </w:pPr>
      <w:r w:rsidRPr="0064420B">
        <w:rPr>
          <w:rFonts w:ascii="ITC Avant Garde" w:hAnsi="ITC Avant Garde" w:cs="Arial"/>
          <w:color w:val="000000" w:themeColor="text1"/>
        </w:rPr>
        <w:t>L</w:t>
      </w:r>
      <w:r w:rsidR="00311B15" w:rsidRPr="0064420B">
        <w:rPr>
          <w:rFonts w:ascii="ITC Avant Garde" w:hAnsi="ITC Avant Garde" w:cs="Arial"/>
          <w:color w:val="000000" w:themeColor="text1"/>
        </w:rPr>
        <w:t>as comisiones a los distribuidores y las activaciones de tarjetas SIM son más caras para AT&amp;T y Movistar que para el AEP por lo que usar los costos del AEP es cuestionable.</w:t>
      </w:r>
    </w:p>
    <w:p w:rsidR="00A97F1E" w:rsidRPr="0064420B" w:rsidRDefault="00A97F1E" w:rsidP="00A97F1E">
      <w:pPr>
        <w:pStyle w:val="Prrafodelista"/>
        <w:rPr>
          <w:rFonts w:ascii="ITC Avant Garde" w:hAnsi="ITC Avant Garde" w:cs="Arial"/>
          <w:color w:val="000000" w:themeColor="text1"/>
        </w:rPr>
      </w:pPr>
    </w:p>
    <w:p w:rsidR="00227A8E" w:rsidRPr="0064420B" w:rsidRDefault="00227A8E" w:rsidP="0069622D">
      <w:pPr>
        <w:pStyle w:val="Prrafodelista"/>
        <w:numPr>
          <w:ilvl w:val="0"/>
          <w:numId w:val="4"/>
        </w:numPr>
        <w:spacing w:after="0" w:line="240" w:lineRule="auto"/>
        <w:contextualSpacing w:val="0"/>
        <w:jc w:val="both"/>
        <w:rPr>
          <w:rFonts w:ascii="ITC Avant Garde" w:hAnsi="ITC Avant Garde" w:cs="Arial"/>
          <w:color w:val="000000" w:themeColor="text1"/>
        </w:rPr>
      </w:pPr>
      <w:r w:rsidRPr="0064420B">
        <w:rPr>
          <w:rFonts w:ascii="ITC Avant Garde" w:hAnsi="ITC Avant Garde" w:cs="Arial"/>
          <w:color w:val="000000" w:themeColor="text1"/>
        </w:rPr>
        <w:t>El Instituto debería realizar un análisis sobre los costos en los que incurre un OMV y no solo el AEP, pues, debido a la escala del AEP, la estructura de costos es muy variable.</w:t>
      </w:r>
    </w:p>
    <w:p w:rsidR="00A97F1E" w:rsidRPr="0064420B" w:rsidRDefault="00A97F1E" w:rsidP="00A97F1E">
      <w:pPr>
        <w:pStyle w:val="Prrafodelista"/>
        <w:rPr>
          <w:rFonts w:ascii="ITC Avant Garde" w:hAnsi="ITC Avant Garde" w:cs="Arial"/>
          <w:color w:val="000000" w:themeColor="text1"/>
        </w:rPr>
      </w:pPr>
    </w:p>
    <w:p w:rsidR="00E43845" w:rsidRPr="0064420B" w:rsidRDefault="003539D3" w:rsidP="0069622D">
      <w:pPr>
        <w:pStyle w:val="Prrafodelista"/>
        <w:numPr>
          <w:ilvl w:val="0"/>
          <w:numId w:val="4"/>
        </w:numPr>
        <w:spacing w:after="0" w:line="240" w:lineRule="auto"/>
        <w:contextualSpacing w:val="0"/>
        <w:jc w:val="both"/>
        <w:rPr>
          <w:rFonts w:ascii="ITC Avant Garde" w:hAnsi="ITC Avant Garde" w:cs="Arial"/>
          <w:color w:val="000000" w:themeColor="text1"/>
        </w:rPr>
      </w:pPr>
      <w:r w:rsidRPr="0064420B">
        <w:rPr>
          <w:rFonts w:ascii="ITC Avant Garde" w:hAnsi="ITC Avant Garde" w:cs="Arial"/>
          <w:color w:val="000000" w:themeColor="text1"/>
        </w:rPr>
        <w:t>Especial consideración merecen los terminales incluidos en las ofertas, por los indicios de falta de replicabilidad, tanto por subvenciones directas al cliente que la prueba debe considerar como por el factor de escala del preponderante que le confiere un poder de compra que los operadores alternativos no pueden igualar.</w:t>
      </w:r>
    </w:p>
    <w:p w:rsidR="00A97F1E" w:rsidRPr="0064420B" w:rsidRDefault="00A97F1E" w:rsidP="00A97F1E">
      <w:pPr>
        <w:pStyle w:val="Prrafodelista"/>
        <w:rPr>
          <w:rFonts w:ascii="ITC Avant Garde" w:hAnsi="ITC Avant Garde" w:cs="Arial"/>
          <w:color w:val="000000" w:themeColor="text1"/>
        </w:rPr>
      </w:pPr>
    </w:p>
    <w:p w:rsidR="009E07D8" w:rsidRPr="0064420B" w:rsidRDefault="009E07D8" w:rsidP="0069622D">
      <w:pPr>
        <w:pStyle w:val="Prrafodelista"/>
        <w:numPr>
          <w:ilvl w:val="0"/>
          <w:numId w:val="4"/>
        </w:numPr>
        <w:spacing w:after="0" w:line="240" w:lineRule="auto"/>
        <w:contextualSpacing w:val="0"/>
        <w:jc w:val="both"/>
        <w:rPr>
          <w:rFonts w:ascii="ITC Avant Garde" w:hAnsi="ITC Avant Garde" w:cs="Arial"/>
          <w:color w:val="000000" w:themeColor="text1"/>
        </w:rPr>
      </w:pPr>
      <w:r w:rsidRPr="0064420B">
        <w:rPr>
          <w:rFonts w:ascii="ITC Avant Garde" w:hAnsi="ITC Avant Garde" w:cs="Arial"/>
          <w:color w:val="000000" w:themeColor="text1"/>
        </w:rPr>
        <w:t>Debería</w:t>
      </w:r>
      <w:r w:rsidR="00EF6011" w:rsidRPr="0064420B">
        <w:rPr>
          <w:rFonts w:ascii="ITC Avant Garde" w:hAnsi="ITC Avant Garde" w:cs="Arial"/>
          <w:color w:val="000000" w:themeColor="text1"/>
        </w:rPr>
        <w:t>n</w:t>
      </w:r>
      <w:r w:rsidRPr="0064420B">
        <w:rPr>
          <w:rFonts w:ascii="ITC Avant Garde" w:hAnsi="ITC Avant Garde" w:cs="Arial"/>
          <w:color w:val="000000" w:themeColor="text1"/>
        </w:rPr>
        <w:t xml:space="preserve"> agregarse los costos comunes y el costo del fondo de reserva</w:t>
      </w:r>
      <w:r w:rsidR="00F4224C" w:rsidRPr="0064420B">
        <w:rPr>
          <w:rFonts w:ascii="ITC Avant Garde" w:hAnsi="ITC Avant Garde" w:cs="Arial"/>
          <w:color w:val="000000" w:themeColor="text1"/>
        </w:rPr>
        <w:t>,</w:t>
      </w:r>
      <w:r w:rsidRPr="0064420B">
        <w:rPr>
          <w:rFonts w:ascii="ITC Avant Garde" w:hAnsi="ITC Avant Garde" w:cs="Arial"/>
          <w:color w:val="000000" w:themeColor="text1"/>
        </w:rPr>
        <w:t xml:space="preserve"> pues los OMV tienen menos activo circulante que el AEP. Se sugiere adaptar las categorías a los costos de los OMV en un escenario REO.</w:t>
      </w:r>
    </w:p>
    <w:p w:rsidR="0064420B" w:rsidRPr="0064420B" w:rsidRDefault="0064420B" w:rsidP="005F287B">
      <w:pPr>
        <w:ind w:left="360"/>
        <w:rPr>
          <w:rFonts w:ascii="ITC Avant Garde" w:hAnsi="ITC Avant Garde" w:cs="Arial"/>
          <w:color w:val="000000" w:themeColor="text1"/>
        </w:rPr>
      </w:pPr>
    </w:p>
    <w:p w:rsidR="004567D5" w:rsidRPr="0064420B" w:rsidRDefault="004567D5" w:rsidP="004567D5">
      <w:pPr>
        <w:spacing w:after="0" w:line="240" w:lineRule="auto"/>
        <w:jc w:val="both"/>
        <w:rPr>
          <w:rFonts w:ascii="ITC Avant Garde" w:hAnsi="ITC Avant Garde" w:cs="Arial"/>
          <w:b/>
          <w:color w:val="000000" w:themeColor="text1"/>
        </w:rPr>
      </w:pPr>
      <w:r w:rsidRPr="0064420B">
        <w:rPr>
          <w:rFonts w:ascii="ITC Avant Garde" w:hAnsi="ITC Avant Garde" w:cs="Arial"/>
          <w:b/>
          <w:color w:val="000000" w:themeColor="text1"/>
        </w:rPr>
        <w:t xml:space="preserve">Consideraciones del Instituto: </w:t>
      </w:r>
    </w:p>
    <w:p w:rsidR="00374648" w:rsidRPr="0064420B" w:rsidRDefault="00374648" w:rsidP="004567D5">
      <w:pPr>
        <w:spacing w:after="0" w:line="240" w:lineRule="auto"/>
        <w:jc w:val="both"/>
        <w:rPr>
          <w:rFonts w:ascii="ITC Avant Garde" w:hAnsi="ITC Avant Garde" w:cs="Arial"/>
          <w:color w:val="000000" w:themeColor="text1"/>
        </w:rPr>
      </w:pPr>
    </w:p>
    <w:p w:rsidR="00E43845" w:rsidRPr="005F287B" w:rsidRDefault="00F4224C" w:rsidP="004567D5">
      <w:pPr>
        <w:spacing w:after="0" w:line="240" w:lineRule="auto"/>
        <w:jc w:val="both"/>
        <w:rPr>
          <w:rFonts w:ascii="ITC Avant Garde" w:hAnsi="ITC Avant Garde" w:cs="Arial"/>
          <w:color w:val="000000" w:themeColor="text1"/>
        </w:rPr>
      </w:pPr>
      <w:r w:rsidRPr="0064420B">
        <w:rPr>
          <w:rFonts w:ascii="ITC Avant Garde" w:hAnsi="ITC Avant Garde" w:cs="Arial"/>
          <w:color w:val="000000" w:themeColor="text1"/>
        </w:rPr>
        <w:t>E</w:t>
      </w:r>
      <w:r w:rsidR="00374648" w:rsidRPr="0064420B">
        <w:rPr>
          <w:rFonts w:ascii="ITC Avant Garde" w:hAnsi="ITC Avant Garde" w:cs="Arial"/>
          <w:color w:val="000000" w:themeColor="text1"/>
        </w:rPr>
        <w:t xml:space="preserve">n línea con </w:t>
      </w:r>
      <w:r w:rsidR="00902EC4" w:rsidRPr="0064420B">
        <w:rPr>
          <w:rFonts w:ascii="ITC Avant Garde" w:hAnsi="ITC Avant Garde" w:cs="Arial"/>
          <w:color w:val="000000" w:themeColor="text1"/>
        </w:rPr>
        <w:t>lo comentado</w:t>
      </w:r>
      <w:r w:rsidR="0064420B">
        <w:rPr>
          <w:rFonts w:ascii="ITC Avant Garde" w:hAnsi="ITC Avant Garde" w:cs="Arial"/>
          <w:color w:val="000000" w:themeColor="text1"/>
        </w:rPr>
        <w:t xml:space="preserve"> anteriormente</w:t>
      </w:r>
      <w:r w:rsidR="00374648" w:rsidRPr="0064420B">
        <w:rPr>
          <w:rFonts w:ascii="ITC Avant Garde" w:hAnsi="ITC Avant Garde" w:cs="Arial"/>
          <w:color w:val="000000" w:themeColor="text1"/>
        </w:rPr>
        <w:t>, este Instituto co</w:t>
      </w:r>
      <w:r w:rsidRPr="0064420B">
        <w:rPr>
          <w:rFonts w:ascii="ITC Avant Garde" w:hAnsi="ITC Avant Garde" w:cs="Arial"/>
          <w:color w:val="000000" w:themeColor="text1"/>
        </w:rPr>
        <w:t xml:space="preserve">nsidera que, inicialmente y debido a </w:t>
      </w:r>
      <w:r w:rsidR="00374648" w:rsidRPr="0064420B">
        <w:rPr>
          <w:rFonts w:ascii="ITC Avant Garde" w:hAnsi="ITC Avant Garde" w:cs="Arial"/>
          <w:color w:val="000000" w:themeColor="text1"/>
        </w:rPr>
        <w:t>una</w:t>
      </w:r>
      <w:r w:rsidRPr="0064420B">
        <w:rPr>
          <w:rFonts w:ascii="ITC Avant Garde" w:hAnsi="ITC Avant Garde" w:cs="Arial"/>
          <w:color w:val="000000" w:themeColor="text1"/>
        </w:rPr>
        <w:t xml:space="preserve"> menor </w:t>
      </w:r>
      <w:r w:rsidR="00374648" w:rsidRPr="0064420B">
        <w:rPr>
          <w:rFonts w:ascii="ITC Avant Garde" w:hAnsi="ITC Avant Garde" w:cs="Arial"/>
          <w:color w:val="000000" w:themeColor="text1"/>
        </w:rPr>
        <w:t>escala</w:t>
      </w:r>
      <w:r w:rsidRPr="0064420B">
        <w:rPr>
          <w:rFonts w:ascii="ITC Avant Garde" w:hAnsi="ITC Avant Garde" w:cs="Arial"/>
          <w:color w:val="000000" w:themeColor="text1"/>
        </w:rPr>
        <w:t xml:space="preserve"> </w:t>
      </w:r>
      <w:r w:rsidR="00374648" w:rsidRPr="0064420B">
        <w:rPr>
          <w:rFonts w:ascii="ITC Avant Garde" w:hAnsi="ITC Avant Garde" w:cs="Arial"/>
          <w:color w:val="000000" w:themeColor="text1"/>
        </w:rPr>
        <w:t xml:space="preserve">en términos de costos, </w:t>
      </w:r>
      <w:r w:rsidRPr="0064420B">
        <w:rPr>
          <w:rFonts w:ascii="ITC Avant Garde" w:hAnsi="ITC Avant Garde" w:cs="Arial"/>
          <w:color w:val="000000" w:themeColor="text1"/>
        </w:rPr>
        <w:t>la eficiencia de los OMV no es tan grande como la del AEP y es posible que algunos de sus costos minoristas sean mayores</w:t>
      </w:r>
      <w:r w:rsidR="005F287B">
        <w:rPr>
          <w:rFonts w:ascii="ITC Avant Garde" w:hAnsi="ITC Avant Garde" w:cs="Arial"/>
          <w:color w:val="000000" w:themeColor="text1"/>
        </w:rPr>
        <w:t>,</w:t>
      </w:r>
      <w:r w:rsidRPr="0064420B">
        <w:rPr>
          <w:rFonts w:ascii="ITC Avant Garde" w:hAnsi="ITC Avant Garde" w:cs="Arial"/>
          <w:color w:val="000000" w:themeColor="text1"/>
        </w:rPr>
        <w:t xml:space="preserve"> como por ejemplo, las comisiones al canal de distribución minorista. </w:t>
      </w:r>
      <w:r w:rsidR="007277C4" w:rsidRPr="0064420B">
        <w:rPr>
          <w:rFonts w:ascii="ITC Avant Garde" w:hAnsi="ITC Avant Garde" w:cs="Arial"/>
          <w:color w:val="000000" w:themeColor="text1"/>
        </w:rPr>
        <w:t xml:space="preserve">Por </w:t>
      </w:r>
      <w:r w:rsidR="003121C5" w:rsidRPr="0064420B">
        <w:rPr>
          <w:rFonts w:ascii="ITC Avant Garde" w:hAnsi="ITC Avant Garde" w:cs="Arial"/>
          <w:color w:val="000000" w:themeColor="text1"/>
        </w:rPr>
        <w:t>lo tanto,</w:t>
      </w:r>
      <w:r w:rsidR="007277C4" w:rsidRPr="0064420B">
        <w:rPr>
          <w:rFonts w:ascii="ITC Avant Garde" w:hAnsi="ITC Avant Garde" w:cs="Arial"/>
          <w:color w:val="000000" w:themeColor="text1"/>
        </w:rPr>
        <w:t xml:space="preserve"> </w:t>
      </w:r>
      <w:r w:rsidR="00915C03" w:rsidRPr="0064420B">
        <w:rPr>
          <w:rFonts w:ascii="ITC Avant Garde" w:hAnsi="ITC Avant Garde" w:cs="Arial"/>
          <w:color w:val="000000" w:themeColor="text1"/>
        </w:rPr>
        <w:t>se considera</w:t>
      </w:r>
      <w:r w:rsidR="007277C4" w:rsidRPr="0064420B">
        <w:rPr>
          <w:rFonts w:ascii="ITC Avant Garde" w:hAnsi="ITC Avant Garde" w:cs="Arial"/>
          <w:color w:val="000000" w:themeColor="text1"/>
        </w:rPr>
        <w:t xml:space="preserve"> adecuado utilizar</w:t>
      </w:r>
      <w:r w:rsidR="00E43845" w:rsidRPr="0064420B">
        <w:rPr>
          <w:rFonts w:ascii="ITC Avant Garde" w:hAnsi="ITC Avant Garde" w:cs="Arial"/>
          <w:color w:val="000000" w:themeColor="text1"/>
        </w:rPr>
        <w:t xml:space="preserve"> un estándar SEO</w:t>
      </w:r>
      <w:r w:rsidR="003121C5" w:rsidRPr="005F287B">
        <w:rPr>
          <w:rStyle w:val="Refdenotaalpie"/>
          <w:rFonts w:ascii="ITC Avant Garde" w:hAnsi="ITC Avant Garde" w:cs="Arial"/>
          <w:color w:val="000000" w:themeColor="text1"/>
        </w:rPr>
        <w:footnoteReference w:id="5"/>
      </w:r>
      <w:r w:rsidR="00E43845" w:rsidRPr="005F287B">
        <w:rPr>
          <w:rFonts w:ascii="ITC Avant Garde" w:hAnsi="ITC Avant Garde" w:cs="Arial"/>
          <w:color w:val="000000" w:themeColor="text1"/>
        </w:rPr>
        <w:t xml:space="preserve"> para la es</w:t>
      </w:r>
      <w:r w:rsidR="00A97F1E" w:rsidRPr="005F287B">
        <w:rPr>
          <w:rFonts w:ascii="ITC Avant Garde" w:hAnsi="ITC Avant Garde" w:cs="Arial"/>
          <w:color w:val="000000" w:themeColor="text1"/>
        </w:rPr>
        <w:t>timación de costos aguas abajo.</w:t>
      </w:r>
    </w:p>
    <w:p w:rsidR="00A97F1E" w:rsidRPr="005F287B" w:rsidRDefault="00A97F1E" w:rsidP="0069622D">
      <w:pPr>
        <w:spacing w:after="0" w:line="240" w:lineRule="auto"/>
        <w:jc w:val="both"/>
        <w:rPr>
          <w:rFonts w:ascii="ITC Avant Garde" w:hAnsi="ITC Avant Garde" w:cs="Arial"/>
          <w:color w:val="000000" w:themeColor="text1"/>
          <w:lang w:val="es-ES_tradnl"/>
        </w:rPr>
      </w:pPr>
    </w:p>
    <w:p w:rsidR="00E43845" w:rsidRPr="005F287B" w:rsidRDefault="00E43845"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El estándar SEO ofrece transparencia y certidumbre al utilizar la información contable del Agente Económico Preponderante, y favorece la competencia para los OMV al ajustar los costos minoristas por la escala.</w:t>
      </w:r>
    </w:p>
    <w:p w:rsidR="003539D3" w:rsidRPr="005F287B" w:rsidRDefault="003539D3" w:rsidP="0069622D">
      <w:pPr>
        <w:spacing w:after="0" w:line="240" w:lineRule="auto"/>
        <w:jc w:val="both"/>
        <w:rPr>
          <w:rFonts w:ascii="ITC Avant Garde" w:hAnsi="ITC Avant Garde" w:cs="Arial"/>
          <w:color w:val="000000" w:themeColor="text1"/>
        </w:rPr>
      </w:pPr>
    </w:p>
    <w:p w:rsidR="000067E2" w:rsidRPr="005F287B" w:rsidRDefault="00DC37C6">
      <w:pPr>
        <w:pStyle w:val="Ttulo2"/>
        <w:spacing w:before="0" w:line="240" w:lineRule="auto"/>
        <w:jc w:val="both"/>
        <w:rPr>
          <w:rFonts w:ascii="ITC Avant Garde" w:hAnsi="ITC Avant Garde"/>
          <w:b/>
          <w:color w:val="000000" w:themeColor="text1"/>
          <w:sz w:val="22"/>
          <w:szCs w:val="22"/>
        </w:rPr>
      </w:pPr>
      <w:r w:rsidRPr="005F287B">
        <w:rPr>
          <w:rFonts w:ascii="ITC Avant Garde" w:hAnsi="ITC Avant Garde"/>
          <w:b/>
          <w:color w:val="000000" w:themeColor="text1"/>
          <w:sz w:val="22"/>
          <w:szCs w:val="22"/>
        </w:rPr>
        <w:t xml:space="preserve">Tema: </w:t>
      </w:r>
      <w:r w:rsidR="00C5682A" w:rsidRPr="005F287B">
        <w:rPr>
          <w:rFonts w:ascii="ITC Avant Garde" w:hAnsi="ITC Avant Garde"/>
          <w:b/>
          <w:color w:val="000000" w:themeColor="text1"/>
          <w:sz w:val="22"/>
          <w:szCs w:val="22"/>
        </w:rPr>
        <w:t>Promociones</w:t>
      </w:r>
    </w:p>
    <w:p w:rsidR="00DA40F3" w:rsidRDefault="00DA40F3" w:rsidP="0069622D">
      <w:pPr>
        <w:spacing w:after="0" w:line="240" w:lineRule="auto"/>
        <w:jc w:val="both"/>
        <w:rPr>
          <w:rFonts w:ascii="ITC Avant Garde" w:hAnsi="ITC Avant Garde"/>
          <w:color w:val="000000" w:themeColor="text1"/>
        </w:rPr>
      </w:pPr>
    </w:p>
    <w:p w:rsidR="00DC37C6" w:rsidRPr="005F287B" w:rsidRDefault="00C5682A"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Se sugiere que las ofertas que estén consideradas como promociones tengan un tratamiento diferenciado. A </w:t>
      </w:r>
      <w:r w:rsidR="00A97F1E" w:rsidRPr="005F287B">
        <w:rPr>
          <w:rFonts w:ascii="ITC Avant Garde" w:hAnsi="ITC Avant Garde" w:cs="Arial"/>
          <w:color w:val="000000" w:themeColor="text1"/>
        </w:rPr>
        <w:t>continuación,</w:t>
      </w:r>
      <w:r w:rsidRPr="005F287B">
        <w:rPr>
          <w:rFonts w:ascii="ITC Avant Garde" w:hAnsi="ITC Avant Garde" w:cs="Arial"/>
          <w:color w:val="000000" w:themeColor="text1"/>
        </w:rPr>
        <w:t xml:space="preserve"> se mencionan los argumentos presentados para justificar </w:t>
      </w:r>
      <w:r w:rsidR="006F2A42" w:rsidRPr="005F287B">
        <w:rPr>
          <w:rFonts w:ascii="ITC Avant Garde" w:hAnsi="ITC Avant Garde" w:cs="Arial"/>
          <w:color w:val="000000" w:themeColor="text1"/>
        </w:rPr>
        <w:t>esta</w:t>
      </w:r>
      <w:r w:rsidRPr="005F287B">
        <w:rPr>
          <w:rFonts w:ascii="ITC Avant Garde" w:hAnsi="ITC Avant Garde" w:cs="Arial"/>
          <w:color w:val="000000" w:themeColor="text1"/>
        </w:rPr>
        <w:t xml:space="preserve"> sugerencia:</w:t>
      </w:r>
    </w:p>
    <w:p w:rsidR="00DC00A8" w:rsidRPr="005F287B" w:rsidRDefault="00DC00A8" w:rsidP="0069622D">
      <w:pPr>
        <w:spacing w:after="0" w:line="240" w:lineRule="auto"/>
        <w:jc w:val="both"/>
        <w:rPr>
          <w:rFonts w:ascii="ITC Avant Garde" w:hAnsi="ITC Avant Garde" w:cs="Arial"/>
          <w:color w:val="000000" w:themeColor="text1"/>
        </w:rPr>
      </w:pPr>
    </w:p>
    <w:p w:rsidR="00DC00A8" w:rsidRPr="005F287B" w:rsidRDefault="00DC00A8" w:rsidP="00DC00A8">
      <w:pPr>
        <w:pStyle w:val="Prrafodelista"/>
        <w:numPr>
          <w:ilvl w:val="0"/>
          <w:numId w:val="3"/>
        </w:numPr>
        <w:spacing w:after="0" w:line="240" w:lineRule="auto"/>
        <w:contextualSpacing w:val="0"/>
        <w:jc w:val="both"/>
        <w:rPr>
          <w:rFonts w:ascii="ITC Avant Garde" w:hAnsi="ITC Avant Garde"/>
          <w:color w:val="000000" w:themeColor="text1"/>
        </w:rPr>
      </w:pPr>
      <w:r w:rsidRPr="005F287B">
        <w:rPr>
          <w:rFonts w:ascii="ITC Avant Garde" w:hAnsi="ITC Avant Garde"/>
          <w:color w:val="000000" w:themeColor="text1"/>
        </w:rPr>
        <w:t>Se propone que las promociones sean tratadas de forma especial dentro de la prueba, por ejemplo, cuando una promoción disminuya el precio promedio en más de 5% sería adecuado que esa oferta se detectara previo a su comercialización.</w:t>
      </w:r>
    </w:p>
    <w:p w:rsidR="00A97F1E" w:rsidRPr="005F287B" w:rsidRDefault="00A97F1E" w:rsidP="0069622D">
      <w:pPr>
        <w:spacing w:after="0" w:line="240" w:lineRule="auto"/>
        <w:jc w:val="both"/>
        <w:rPr>
          <w:rFonts w:ascii="ITC Avant Garde" w:hAnsi="ITC Avant Garde" w:cs="Arial"/>
          <w:color w:val="000000" w:themeColor="text1"/>
        </w:rPr>
      </w:pPr>
    </w:p>
    <w:p w:rsidR="00C5682A" w:rsidRPr="005F287B" w:rsidRDefault="00F5469A" w:rsidP="0069622D">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Ante la propuesta de mayor desagregación planteada, sería necesario un tratamiento más específico de las promociones a fin de evitar subsidios cruzados; esto es, que los descuentos correspondientes sean incorporados específicamente en el cálculo de la prueba de replicabilidad del segmento o grupo de oferta de que se trate.</w:t>
      </w:r>
    </w:p>
    <w:p w:rsidR="00A97F1E" w:rsidRPr="005F287B" w:rsidRDefault="00A97F1E" w:rsidP="00A97F1E">
      <w:pPr>
        <w:pStyle w:val="Prrafodelista"/>
        <w:spacing w:after="0" w:line="240" w:lineRule="auto"/>
        <w:contextualSpacing w:val="0"/>
        <w:jc w:val="both"/>
        <w:rPr>
          <w:rFonts w:ascii="ITC Avant Garde" w:hAnsi="ITC Avant Garde" w:cs="Arial"/>
          <w:color w:val="000000" w:themeColor="text1"/>
        </w:rPr>
      </w:pPr>
    </w:p>
    <w:p w:rsidR="00227A8E" w:rsidRPr="005F287B" w:rsidRDefault="00227A8E" w:rsidP="0069622D">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 xml:space="preserve">Las promociones deben ser sometidas a la prueba de replicabilidad de manera ex ante y como método de </w:t>
      </w:r>
      <w:r w:rsidR="009F2CFB" w:rsidRPr="005F287B">
        <w:rPr>
          <w:rFonts w:ascii="ITC Avant Garde" w:hAnsi="ITC Avant Garde" w:cs="Arial"/>
          <w:color w:val="000000" w:themeColor="text1"/>
        </w:rPr>
        <w:t>confirmación de manera ex post ya que como el mercado en cuestión se encuentra tan concentrado y el AEP tiene una cuota de mercado tan alta, sólo cabe la posibilidad de que las promociones se contabilicen bien como mayores costos o como menores ingresos.</w:t>
      </w:r>
    </w:p>
    <w:p w:rsidR="00A97F1E" w:rsidRPr="005F287B" w:rsidRDefault="00A97F1E" w:rsidP="00A97F1E">
      <w:pPr>
        <w:pStyle w:val="Prrafodelista"/>
        <w:rPr>
          <w:rFonts w:ascii="ITC Avant Garde" w:hAnsi="ITC Avant Garde" w:cs="Arial"/>
          <w:color w:val="000000" w:themeColor="text1"/>
        </w:rPr>
      </w:pPr>
    </w:p>
    <w:p w:rsidR="00227A8E" w:rsidRPr="005F287B" w:rsidRDefault="00227A8E" w:rsidP="0069622D">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Se debe considerar evaluar todas las promociones del AEP como cualquier oferta, ya que el AEP utiliza supuestas promociones de manera permanente o por periodos muy extensos.</w:t>
      </w:r>
    </w:p>
    <w:p w:rsidR="00A97F1E" w:rsidRPr="005F287B" w:rsidRDefault="00A97F1E" w:rsidP="00A97F1E">
      <w:pPr>
        <w:pStyle w:val="Prrafodelista"/>
        <w:rPr>
          <w:rFonts w:ascii="ITC Avant Garde" w:hAnsi="ITC Avant Garde" w:cs="Arial"/>
          <w:color w:val="000000" w:themeColor="text1"/>
        </w:rPr>
      </w:pPr>
    </w:p>
    <w:p w:rsidR="00611647" w:rsidRPr="005F287B" w:rsidRDefault="00611647" w:rsidP="00611647">
      <w:pPr>
        <w:pStyle w:val="Prrafodelista"/>
        <w:numPr>
          <w:ilvl w:val="0"/>
          <w:numId w:val="5"/>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Los ingresos y los costos de los servicios no regulados incluidos en las ofertas paquetizadas deben de ser especialmente considerados para asegurar la replicabilidad del resto del contenido del paquete.</w:t>
      </w:r>
    </w:p>
    <w:p w:rsidR="00431143" w:rsidRDefault="00431143" w:rsidP="0069622D">
      <w:pPr>
        <w:spacing w:after="0" w:line="240" w:lineRule="auto"/>
        <w:jc w:val="both"/>
        <w:rPr>
          <w:rFonts w:ascii="ITC Avant Garde" w:hAnsi="ITC Avant Garde" w:cs="Arial"/>
          <w:color w:val="000000" w:themeColor="text1"/>
        </w:rPr>
      </w:pPr>
    </w:p>
    <w:p w:rsidR="000067E2" w:rsidRPr="005F287B" w:rsidRDefault="004567D5" w:rsidP="0069622D">
      <w:pPr>
        <w:spacing w:after="0" w:line="240" w:lineRule="auto"/>
        <w:jc w:val="both"/>
        <w:rPr>
          <w:rFonts w:ascii="ITC Avant Garde" w:hAnsi="ITC Avant Garde" w:cs="Arial"/>
          <w:b/>
          <w:color w:val="000000" w:themeColor="text1"/>
        </w:rPr>
      </w:pPr>
      <w:r w:rsidRPr="005F287B">
        <w:rPr>
          <w:rFonts w:ascii="ITC Avant Garde" w:hAnsi="ITC Avant Garde" w:cs="Arial"/>
          <w:b/>
          <w:color w:val="000000" w:themeColor="text1"/>
        </w:rPr>
        <w:t>Consideraciones del Instituto:</w:t>
      </w:r>
    </w:p>
    <w:p w:rsidR="00A97F1E" w:rsidRPr="005F287B" w:rsidRDefault="004567D5" w:rsidP="0069622D">
      <w:pPr>
        <w:spacing w:after="0" w:line="240" w:lineRule="auto"/>
        <w:jc w:val="both"/>
        <w:rPr>
          <w:rFonts w:ascii="ITC Avant Garde" w:hAnsi="ITC Avant Garde" w:cs="Arial"/>
          <w:b/>
          <w:color w:val="000000" w:themeColor="text1"/>
        </w:rPr>
      </w:pPr>
      <w:r w:rsidRPr="005F287B">
        <w:rPr>
          <w:rFonts w:ascii="ITC Avant Garde" w:hAnsi="ITC Avant Garde" w:cs="Arial"/>
          <w:b/>
          <w:color w:val="000000" w:themeColor="text1"/>
        </w:rPr>
        <w:t xml:space="preserve"> </w:t>
      </w:r>
    </w:p>
    <w:p w:rsidR="00E90B2F" w:rsidRPr="005F287B" w:rsidRDefault="00E90B2F"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La propuesta de modelo</w:t>
      </w:r>
      <w:r w:rsidR="004E3E85">
        <w:rPr>
          <w:rFonts w:ascii="ITC Avant Garde" w:hAnsi="ITC Avant Garde" w:cs="Arial"/>
          <w:color w:val="000000" w:themeColor="text1"/>
        </w:rPr>
        <w:t xml:space="preserve"> de la prueba de replicabilidad económica</w:t>
      </w:r>
      <w:r w:rsidR="00745866" w:rsidRPr="005F287B">
        <w:rPr>
          <w:rFonts w:ascii="ITC Avant Garde" w:hAnsi="ITC Avant Garde" w:cs="Arial"/>
          <w:color w:val="000000" w:themeColor="text1"/>
        </w:rPr>
        <w:t xml:space="preserve"> </w:t>
      </w:r>
      <w:r w:rsidRPr="005F287B">
        <w:rPr>
          <w:rFonts w:ascii="ITC Avant Garde" w:hAnsi="ITC Avant Garde" w:cs="Arial"/>
          <w:color w:val="000000" w:themeColor="text1"/>
        </w:rPr>
        <w:t xml:space="preserve">señala que </w:t>
      </w:r>
      <w:r w:rsidRPr="005F287B">
        <w:rPr>
          <w:rFonts w:ascii="ITC Avant Garde" w:hAnsi="ITC Avant Garde" w:cs="Arial"/>
          <w:b/>
          <w:color w:val="000000" w:themeColor="text1"/>
          <w:u w:val="single"/>
        </w:rPr>
        <w:t>todos los ingresos, costos y descuentos</w:t>
      </w:r>
      <w:r w:rsidRPr="005F287B">
        <w:rPr>
          <w:rFonts w:ascii="ITC Avant Garde" w:hAnsi="ITC Avant Garde" w:cs="Arial"/>
          <w:color w:val="000000" w:themeColor="text1"/>
        </w:rPr>
        <w:t>, incluyendo aquellos derivados de las promociones</w:t>
      </w:r>
      <w:r w:rsidR="0076426E">
        <w:rPr>
          <w:rFonts w:ascii="ITC Avant Garde" w:hAnsi="ITC Avant Garde" w:cs="Arial"/>
          <w:color w:val="000000" w:themeColor="text1"/>
        </w:rPr>
        <w:t>,</w:t>
      </w:r>
      <w:r w:rsidRPr="005F287B">
        <w:rPr>
          <w:rFonts w:ascii="ITC Avant Garde" w:hAnsi="ITC Avant Garde" w:cs="Arial"/>
          <w:color w:val="000000" w:themeColor="text1"/>
        </w:rPr>
        <w:t xml:space="preserve"> deben ser considerados en la prueba</w:t>
      </w:r>
      <w:r w:rsidR="00745866" w:rsidRPr="005F287B">
        <w:rPr>
          <w:rFonts w:ascii="ITC Avant Garde" w:hAnsi="ITC Avant Garde" w:cs="Arial"/>
          <w:color w:val="000000" w:themeColor="text1"/>
        </w:rPr>
        <w:t>. Lo anterior</w:t>
      </w:r>
      <w:r w:rsidR="004E3E85">
        <w:rPr>
          <w:rFonts w:ascii="ITC Avant Garde" w:hAnsi="ITC Avant Garde" w:cs="Arial"/>
          <w:color w:val="000000" w:themeColor="text1"/>
        </w:rPr>
        <w:t>,</w:t>
      </w:r>
      <w:r w:rsidRPr="005F287B">
        <w:rPr>
          <w:rFonts w:ascii="ITC Avant Garde" w:hAnsi="ITC Avant Garde" w:cs="Arial"/>
          <w:color w:val="000000" w:themeColor="text1"/>
        </w:rPr>
        <w:t xml:space="preserve"> </w:t>
      </w:r>
      <w:r w:rsidR="008D08A0" w:rsidRPr="005F287B">
        <w:rPr>
          <w:rFonts w:ascii="ITC Avant Garde" w:hAnsi="ITC Avant Garde" w:cs="Arial"/>
          <w:color w:val="000000" w:themeColor="text1"/>
        </w:rPr>
        <w:t xml:space="preserve">debido a </w:t>
      </w:r>
      <w:r w:rsidRPr="005F287B">
        <w:rPr>
          <w:rFonts w:ascii="ITC Avant Garde" w:hAnsi="ITC Avant Garde" w:cs="Arial"/>
          <w:color w:val="000000" w:themeColor="text1"/>
        </w:rPr>
        <w:t>que el AEP presenta constantemente tarifas promocionales y estas pueden constituir un mecanismo importante para atraer y retener clientes, afianzando aún más su posición preponderante en el mercado</w:t>
      </w:r>
      <w:r w:rsidR="0076426E">
        <w:rPr>
          <w:rFonts w:ascii="ITC Avant Garde" w:hAnsi="ITC Avant Garde" w:cs="Arial"/>
          <w:color w:val="000000" w:themeColor="text1"/>
        </w:rPr>
        <w:t xml:space="preserve">, por lo que </w:t>
      </w:r>
      <w:r w:rsidR="008D08A0" w:rsidRPr="005F287B">
        <w:rPr>
          <w:rFonts w:ascii="ITC Avant Garde" w:hAnsi="ITC Avant Garde" w:cs="Arial"/>
          <w:color w:val="000000" w:themeColor="text1"/>
        </w:rPr>
        <w:t xml:space="preserve">se considera oportuno mantener la propuesta </w:t>
      </w:r>
      <w:r w:rsidR="004567D5" w:rsidRPr="005F287B">
        <w:rPr>
          <w:rFonts w:ascii="ITC Avant Garde" w:hAnsi="ITC Avant Garde" w:cs="Arial"/>
          <w:color w:val="000000" w:themeColor="text1"/>
        </w:rPr>
        <w:t>en los términos presentados</w:t>
      </w:r>
      <w:r w:rsidRPr="005F287B">
        <w:rPr>
          <w:rFonts w:ascii="ITC Avant Garde" w:hAnsi="ITC Avant Garde" w:cs="Arial"/>
          <w:color w:val="000000" w:themeColor="text1"/>
        </w:rPr>
        <w:t xml:space="preserve">. </w:t>
      </w:r>
    </w:p>
    <w:p w:rsidR="00213915" w:rsidRPr="005F287B" w:rsidRDefault="00213915" w:rsidP="0069622D">
      <w:pPr>
        <w:spacing w:after="0" w:line="240" w:lineRule="auto"/>
        <w:jc w:val="both"/>
        <w:rPr>
          <w:rFonts w:ascii="ITC Avant Garde" w:hAnsi="ITC Avant Garde" w:cs="Arial"/>
          <w:color w:val="000000" w:themeColor="text1"/>
        </w:rPr>
      </w:pPr>
    </w:p>
    <w:p w:rsidR="00DA29DD" w:rsidRPr="005F287B" w:rsidRDefault="00DA29DD" w:rsidP="0069622D">
      <w:pPr>
        <w:pStyle w:val="Ttulo2"/>
        <w:spacing w:before="0" w:line="240" w:lineRule="auto"/>
        <w:jc w:val="both"/>
        <w:rPr>
          <w:rFonts w:ascii="ITC Avant Garde" w:hAnsi="ITC Avant Garde"/>
          <w:b/>
          <w:color w:val="000000" w:themeColor="text1"/>
          <w:sz w:val="22"/>
          <w:szCs w:val="22"/>
        </w:rPr>
      </w:pPr>
      <w:r w:rsidRPr="005F287B">
        <w:rPr>
          <w:rFonts w:ascii="ITC Avant Garde" w:hAnsi="ITC Avant Garde"/>
          <w:b/>
          <w:color w:val="000000" w:themeColor="text1"/>
          <w:sz w:val="22"/>
          <w:szCs w:val="22"/>
        </w:rPr>
        <w:t>Tema: Precios mayoristas</w:t>
      </w:r>
    </w:p>
    <w:p w:rsidR="00A07C82" w:rsidRPr="005F287B" w:rsidRDefault="00A07C82" w:rsidP="0069622D">
      <w:pPr>
        <w:spacing w:after="0" w:line="240" w:lineRule="auto"/>
        <w:jc w:val="both"/>
        <w:rPr>
          <w:rFonts w:ascii="ITC Avant Garde" w:hAnsi="ITC Avant Garde" w:cs="Arial"/>
          <w:color w:val="000000" w:themeColor="text1"/>
        </w:rPr>
      </w:pPr>
    </w:p>
    <w:p w:rsidR="00DA29DD" w:rsidRPr="005F287B" w:rsidRDefault="00A97F1E"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Se sugiere que se dé</w:t>
      </w:r>
      <w:r w:rsidR="00DA29DD" w:rsidRPr="005F287B">
        <w:rPr>
          <w:rFonts w:ascii="ITC Avant Garde" w:hAnsi="ITC Avant Garde" w:cs="Arial"/>
          <w:color w:val="000000" w:themeColor="text1"/>
        </w:rPr>
        <w:t xml:space="preserve"> un tratamiento especial a los descuentos en los precios mayoristas. A continuación</w:t>
      </w:r>
      <w:r w:rsidRPr="005F287B">
        <w:rPr>
          <w:rFonts w:ascii="ITC Avant Garde" w:hAnsi="ITC Avant Garde" w:cs="Arial"/>
          <w:color w:val="000000" w:themeColor="text1"/>
        </w:rPr>
        <w:t>,</w:t>
      </w:r>
      <w:r w:rsidR="00DA29DD" w:rsidRPr="005F287B">
        <w:rPr>
          <w:rFonts w:ascii="ITC Avant Garde" w:hAnsi="ITC Avant Garde" w:cs="Arial"/>
          <w:color w:val="000000" w:themeColor="text1"/>
        </w:rPr>
        <w:t xml:space="preserve"> se mencionan los argumentos presentados para justificar dicha sugerencia:</w:t>
      </w:r>
    </w:p>
    <w:p w:rsidR="00A97F1E" w:rsidRPr="005F287B" w:rsidRDefault="00A97F1E" w:rsidP="0069622D">
      <w:pPr>
        <w:spacing w:after="0" w:line="240" w:lineRule="auto"/>
        <w:jc w:val="both"/>
        <w:rPr>
          <w:rFonts w:ascii="ITC Avant Garde" w:hAnsi="ITC Avant Garde" w:cs="Arial"/>
          <w:color w:val="000000" w:themeColor="text1"/>
        </w:rPr>
      </w:pPr>
    </w:p>
    <w:p w:rsidR="00DA29DD" w:rsidRPr="005F287B" w:rsidRDefault="00DA29DD" w:rsidP="0069622D">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 xml:space="preserve">Se </w:t>
      </w:r>
      <w:r w:rsidR="00A07C82" w:rsidRPr="005F287B">
        <w:rPr>
          <w:rFonts w:ascii="ITC Avant Garde" w:hAnsi="ITC Avant Garde" w:cs="Arial"/>
          <w:color w:val="000000" w:themeColor="text1"/>
        </w:rPr>
        <w:t>menciona</w:t>
      </w:r>
      <w:r w:rsidRPr="005F287B">
        <w:rPr>
          <w:rFonts w:ascii="ITC Avant Garde" w:hAnsi="ITC Avant Garde" w:cs="Arial"/>
          <w:color w:val="000000" w:themeColor="text1"/>
        </w:rPr>
        <w:t xml:space="preserve"> que para los descuentos de los pagos mayoristas no se considere el tamaño de un OMV, sino que se tome como referencia el tamaño de moda para reflejar la economía del OMV típico.</w:t>
      </w:r>
    </w:p>
    <w:p w:rsidR="00A97F1E" w:rsidRPr="005F287B" w:rsidRDefault="00A97F1E" w:rsidP="00A97F1E">
      <w:pPr>
        <w:pStyle w:val="Prrafodelista"/>
        <w:spacing w:after="0" w:line="240" w:lineRule="auto"/>
        <w:contextualSpacing w:val="0"/>
        <w:jc w:val="both"/>
        <w:rPr>
          <w:rFonts w:ascii="ITC Avant Garde" w:hAnsi="ITC Avant Garde" w:cs="Arial"/>
          <w:color w:val="000000" w:themeColor="text1"/>
        </w:rPr>
      </w:pPr>
    </w:p>
    <w:p w:rsidR="00DA29DD" w:rsidRPr="005F287B" w:rsidRDefault="00DA29DD" w:rsidP="0069622D">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Para los descuentos de los pagos mayoristas</w:t>
      </w:r>
      <w:r w:rsidR="00F04FA0" w:rsidRPr="005F287B">
        <w:rPr>
          <w:rFonts w:ascii="ITC Avant Garde" w:hAnsi="ITC Avant Garde" w:cs="Arial"/>
          <w:color w:val="000000" w:themeColor="text1"/>
        </w:rPr>
        <w:t>,</w:t>
      </w:r>
      <w:r w:rsidRPr="005F287B">
        <w:rPr>
          <w:rFonts w:ascii="ITC Avant Garde" w:hAnsi="ITC Avant Garde" w:cs="Arial"/>
          <w:color w:val="000000" w:themeColor="text1"/>
        </w:rPr>
        <w:t xml:space="preserve"> </w:t>
      </w:r>
      <w:r w:rsidR="0076426E">
        <w:rPr>
          <w:rFonts w:ascii="ITC Avant Garde" w:hAnsi="ITC Avant Garde" w:cs="Arial"/>
          <w:color w:val="000000" w:themeColor="text1"/>
        </w:rPr>
        <w:t xml:space="preserve">se </w:t>
      </w:r>
      <w:r w:rsidR="008F1B05" w:rsidRPr="005F287B">
        <w:rPr>
          <w:rFonts w:ascii="ITC Avant Garde" w:hAnsi="ITC Avant Garde" w:cs="Arial"/>
          <w:color w:val="000000" w:themeColor="text1"/>
        </w:rPr>
        <w:t xml:space="preserve">sugiere que </w:t>
      </w:r>
      <w:r w:rsidR="00F04FA0" w:rsidRPr="005F287B">
        <w:rPr>
          <w:rFonts w:ascii="ITC Avant Garde" w:hAnsi="ITC Avant Garde" w:cs="Arial"/>
          <w:color w:val="000000" w:themeColor="text1"/>
        </w:rPr>
        <w:t xml:space="preserve">el número promedio de usuarios </w:t>
      </w:r>
      <w:r w:rsidR="008F1B05" w:rsidRPr="005F287B">
        <w:rPr>
          <w:rFonts w:ascii="ITC Avant Garde" w:hAnsi="ITC Avant Garde" w:cs="Arial"/>
          <w:color w:val="000000" w:themeColor="text1"/>
        </w:rPr>
        <w:t xml:space="preserve">se </w:t>
      </w:r>
      <w:r w:rsidRPr="005F287B">
        <w:rPr>
          <w:rFonts w:ascii="ITC Avant Garde" w:hAnsi="ITC Avant Garde" w:cs="Arial"/>
          <w:color w:val="000000" w:themeColor="text1"/>
        </w:rPr>
        <w:t xml:space="preserve">considere siempre y cuando sólo se contabilicen los OMV que están en la red del AEP. </w:t>
      </w:r>
      <w:r w:rsidR="00F04FA0" w:rsidRPr="005F287B">
        <w:rPr>
          <w:rFonts w:ascii="ITC Avant Garde" w:hAnsi="ITC Avant Garde" w:cs="Arial"/>
          <w:color w:val="000000" w:themeColor="text1"/>
        </w:rPr>
        <w:t xml:space="preserve">Por lo tanto, si se </w:t>
      </w:r>
      <w:r w:rsidRPr="005F287B">
        <w:rPr>
          <w:rFonts w:ascii="ITC Avant Garde" w:hAnsi="ITC Avant Garde" w:cs="Arial"/>
          <w:color w:val="000000" w:themeColor="text1"/>
        </w:rPr>
        <w:t>toma el conjunto de todos los operadores</w:t>
      </w:r>
      <w:r w:rsidR="008F1B05" w:rsidRPr="005F287B">
        <w:rPr>
          <w:rFonts w:ascii="ITC Avant Garde" w:hAnsi="ITC Avant Garde" w:cs="Arial"/>
          <w:color w:val="000000" w:themeColor="text1"/>
        </w:rPr>
        <w:t>,</w:t>
      </w:r>
      <w:r w:rsidRPr="005F287B">
        <w:rPr>
          <w:rFonts w:ascii="ITC Avant Garde" w:hAnsi="ITC Avant Garde" w:cs="Arial"/>
          <w:color w:val="000000" w:themeColor="text1"/>
        </w:rPr>
        <w:t xml:space="preserve"> se deben descontar del cálculo los operadores que distorsionan el promedio.</w:t>
      </w:r>
    </w:p>
    <w:p w:rsidR="00A97F1E" w:rsidRPr="005F287B" w:rsidRDefault="00A97F1E" w:rsidP="00A97F1E">
      <w:pPr>
        <w:pStyle w:val="Prrafodelista"/>
        <w:rPr>
          <w:rFonts w:ascii="ITC Avant Garde" w:hAnsi="ITC Avant Garde" w:cs="Arial"/>
          <w:color w:val="000000" w:themeColor="text1"/>
        </w:rPr>
      </w:pPr>
    </w:p>
    <w:p w:rsidR="00DA29DD" w:rsidRPr="005F287B" w:rsidRDefault="00DA29DD" w:rsidP="0069622D">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 xml:space="preserve">Para considerar los descuentos de los pagos mayoristas se plantea que sea mediante la evolución del mercado y con el fin de asegurar la estabilidad, </w:t>
      </w:r>
      <w:r w:rsidR="008F1B05" w:rsidRPr="005F287B">
        <w:rPr>
          <w:rFonts w:ascii="ITC Avant Garde" w:hAnsi="ITC Avant Garde" w:cs="Arial"/>
          <w:color w:val="000000" w:themeColor="text1"/>
        </w:rPr>
        <w:t xml:space="preserve">se </w:t>
      </w:r>
      <w:r w:rsidRPr="005F287B">
        <w:rPr>
          <w:rFonts w:ascii="ITC Avant Garde" w:hAnsi="ITC Avant Garde" w:cs="Arial"/>
          <w:color w:val="000000" w:themeColor="text1"/>
        </w:rPr>
        <w:t>recomienda un OMV con una cuota del 5%.</w:t>
      </w:r>
    </w:p>
    <w:p w:rsidR="00A97F1E" w:rsidRPr="005F287B" w:rsidRDefault="00A97F1E" w:rsidP="00A97F1E">
      <w:pPr>
        <w:pStyle w:val="Prrafodelista"/>
        <w:rPr>
          <w:rFonts w:ascii="ITC Avant Garde" w:hAnsi="ITC Avant Garde" w:cs="Arial"/>
          <w:color w:val="000000" w:themeColor="text1"/>
        </w:rPr>
      </w:pPr>
    </w:p>
    <w:p w:rsidR="00DA29DD" w:rsidRPr="005F287B" w:rsidRDefault="00DA29DD" w:rsidP="0069622D">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Se recomienda realizar un análisis de replicabilidad considerando todos y cada uno de los descuentos otorgados, ya que el promedio de descuentos discrimina en favor de los OMV más grandes.</w:t>
      </w:r>
    </w:p>
    <w:p w:rsidR="00A97F1E" w:rsidRPr="005F287B" w:rsidRDefault="00A97F1E" w:rsidP="00A97F1E">
      <w:pPr>
        <w:pStyle w:val="Prrafodelista"/>
        <w:rPr>
          <w:rFonts w:ascii="ITC Avant Garde" w:hAnsi="ITC Avant Garde" w:cs="Arial"/>
          <w:color w:val="000000" w:themeColor="text1"/>
        </w:rPr>
      </w:pPr>
    </w:p>
    <w:p w:rsidR="00DA29DD" w:rsidRPr="005F287B" w:rsidRDefault="00DA29DD" w:rsidP="0069622D">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Para la estimación de los descuentos a los pagos mayoristas no se considera adecuado utilizar el promedio de usuarios de los OMV. Se sugiere pedir estos datos a los OMV y utilizar tres rangos.</w:t>
      </w:r>
    </w:p>
    <w:p w:rsidR="00A97F1E" w:rsidRPr="005F287B" w:rsidRDefault="00A97F1E" w:rsidP="00A97F1E">
      <w:pPr>
        <w:pStyle w:val="Prrafodelista"/>
        <w:rPr>
          <w:rFonts w:ascii="ITC Avant Garde" w:hAnsi="ITC Avant Garde" w:cs="Arial"/>
          <w:color w:val="000000" w:themeColor="text1"/>
        </w:rPr>
      </w:pPr>
    </w:p>
    <w:p w:rsidR="00F04FA0" w:rsidRDefault="009E07D8" w:rsidP="005F287B">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En referencia a los insumos mayoristas, se sugiere utilizar los precios mayoristas de un OMV revendedor pues utilizar datos promedios podría no representar la realidad.</w:t>
      </w:r>
    </w:p>
    <w:p w:rsidR="005F287B" w:rsidRPr="005F287B" w:rsidRDefault="005F287B" w:rsidP="005F287B">
      <w:pPr>
        <w:spacing w:after="0" w:line="240" w:lineRule="auto"/>
        <w:jc w:val="both"/>
        <w:rPr>
          <w:rFonts w:ascii="ITC Avant Garde" w:hAnsi="ITC Avant Garde" w:cs="Arial"/>
          <w:color w:val="000000" w:themeColor="text1"/>
        </w:rPr>
      </w:pPr>
    </w:p>
    <w:p w:rsidR="00A97F1E" w:rsidRPr="005F287B" w:rsidRDefault="004567D5" w:rsidP="0069622D">
      <w:pPr>
        <w:spacing w:after="0" w:line="240" w:lineRule="auto"/>
        <w:jc w:val="both"/>
        <w:rPr>
          <w:rFonts w:ascii="ITC Avant Garde" w:hAnsi="ITC Avant Garde" w:cs="Arial"/>
          <w:b/>
          <w:color w:val="000000" w:themeColor="text1"/>
        </w:rPr>
      </w:pPr>
      <w:r w:rsidRPr="005F287B">
        <w:rPr>
          <w:rFonts w:ascii="ITC Avant Garde" w:hAnsi="ITC Avant Garde" w:cs="Arial"/>
          <w:b/>
          <w:color w:val="000000" w:themeColor="text1"/>
        </w:rPr>
        <w:t xml:space="preserve">Consideraciones del Instituto: </w:t>
      </w:r>
    </w:p>
    <w:p w:rsidR="00F04FA0" w:rsidRPr="005F287B" w:rsidRDefault="00F04FA0" w:rsidP="0069622D">
      <w:pPr>
        <w:spacing w:after="0" w:line="240" w:lineRule="auto"/>
        <w:jc w:val="both"/>
        <w:rPr>
          <w:rFonts w:ascii="ITC Avant Garde" w:hAnsi="ITC Avant Garde" w:cs="Arial"/>
          <w:color w:val="000000" w:themeColor="text1"/>
        </w:rPr>
      </w:pPr>
    </w:p>
    <w:p w:rsidR="00DA29DD" w:rsidRPr="005F287B" w:rsidRDefault="00E90B2F"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La prueba está diseñada para OMV revendedores y</w:t>
      </w:r>
      <w:r w:rsidR="0076426E">
        <w:rPr>
          <w:rFonts w:ascii="ITC Avant Garde" w:hAnsi="ITC Avant Garde" w:cs="Arial"/>
          <w:color w:val="000000" w:themeColor="text1"/>
        </w:rPr>
        <w:t>,</w:t>
      </w:r>
      <w:r w:rsidRPr="005F287B">
        <w:rPr>
          <w:rFonts w:ascii="ITC Avant Garde" w:hAnsi="ITC Avant Garde" w:cs="Arial"/>
          <w:color w:val="000000" w:themeColor="text1"/>
        </w:rPr>
        <w:t xml:space="preserve"> en función de eso, </w:t>
      </w:r>
      <w:r w:rsidR="008D08A0" w:rsidRPr="005F287B">
        <w:rPr>
          <w:rFonts w:ascii="ITC Avant Garde" w:hAnsi="ITC Avant Garde" w:cs="Arial"/>
          <w:color w:val="000000" w:themeColor="text1"/>
        </w:rPr>
        <w:t>se</w:t>
      </w:r>
      <w:r w:rsidRPr="005F287B">
        <w:rPr>
          <w:rFonts w:ascii="ITC Avant Garde" w:hAnsi="ITC Avant Garde" w:cs="Arial"/>
          <w:color w:val="000000" w:themeColor="text1"/>
        </w:rPr>
        <w:t xml:space="preserve"> considera</w:t>
      </w:r>
      <w:r w:rsidR="008D08A0" w:rsidRPr="005F287B">
        <w:rPr>
          <w:rFonts w:ascii="ITC Avant Garde" w:hAnsi="ITC Avant Garde" w:cs="Arial"/>
          <w:color w:val="000000" w:themeColor="text1"/>
        </w:rPr>
        <w:t>n</w:t>
      </w:r>
      <w:r w:rsidRPr="005F287B">
        <w:rPr>
          <w:rFonts w:ascii="ITC Avant Garde" w:hAnsi="ITC Avant Garde" w:cs="Arial"/>
          <w:color w:val="000000" w:themeColor="text1"/>
        </w:rPr>
        <w:t xml:space="preserve"> los servicios mayoristas establecidos en la Oferta de Referencia para la Comercialización o Reventa de Servicios por parte de los Operadores Móviles Virtuales. En concordancia con lo anterior, lo </w:t>
      </w:r>
      <w:r w:rsidR="008D08A0" w:rsidRPr="005F287B">
        <w:rPr>
          <w:rFonts w:ascii="ITC Avant Garde" w:hAnsi="ITC Avant Garde" w:cs="Arial"/>
          <w:color w:val="000000" w:themeColor="text1"/>
        </w:rPr>
        <w:t xml:space="preserve">adecuado </w:t>
      </w:r>
      <w:r w:rsidR="00F04FA0" w:rsidRPr="005F287B">
        <w:rPr>
          <w:rFonts w:ascii="ITC Avant Garde" w:hAnsi="ITC Avant Garde" w:cs="Arial"/>
          <w:color w:val="000000" w:themeColor="text1"/>
        </w:rPr>
        <w:t>es</w:t>
      </w:r>
      <w:r w:rsidRPr="005F287B">
        <w:rPr>
          <w:rFonts w:ascii="ITC Avant Garde" w:hAnsi="ITC Avant Garde" w:cs="Arial"/>
          <w:color w:val="000000" w:themeColor="text1"/>
        </w:rPr>
        <w:t xml:space="preserve"> </w:t>
      </w:r>
      <w:r w:rsidR="00DA29DD" w:rsidRPr="005F287B">
        <w:rPr>
          <w:rFonts w:ascii="ITC Avant Garde" w:hAnsi="ITC Avant Garde" w:cs="Arial"/>
          <w:color w:val="000000" w:themeColor="text1"/>
        </w:rPr>
        <w:t xml:space="preserve">utilizar los precios mayoristas de catálogo para los usuarios mayoristas. </w:t>
      </w:r>
      <w:r w:rsidRPr="005F287B">
        <w:rPr>
          <w:rFonts w:ascii="ITC Avant Garde" w:hAnsi="ITC Avant Garde" w:cs="Arial"/>
          <w:color w:val="000000" w:themeColor="text1"/>
        </w:rPr>
        <w:t>En este mismo sentido</w:t>
      </w:r>
      <w:r w:rsidR="00DA29DD" w:rsidRPr="005F287B">
        <w:rPr>
          <w:rFonts w:ascii="ITC Avant Garde" w:hAnsi="ITC Avant Garde" w:cs="Arial"/>
          <w:color w:val="000000" w:themeColor="text1"/>
        </w:rPr>
        <w:t>, ante la posible existencia de descuentos a tarifas mayoristas y con el propósito de tomar en cuenta la realidad del mercado, considerar el descuento promedio aplicado a los servicios mayoristas regulados</w:t>
      </w:r>
      <w:r w:rsidRPr="005F287B">
        <w:rPr>
          <w:rFonts w:ascii="ITC Avant Garde" w:hAnsi="ITC Avant Garde" w:cs="Arial"/>
          <w:color w:val="000000" w:themeColor="text1"/>
        </w:rPr>
        <w:t xml:space="preserve"> resulta idóneo</w:t>
      </w:r>
      <w:r w:rsidR="00DA29DD" w:rsidRPr="005F287B">
        <w:rPr>
          <w:rFonts w:ascii="ITC Avant Garde" w:hAnsi="ITC Avant Garde" w:cs="Arial"/>
          <w:color w:val="000000" w:themeColor="text1"/>
        </w:rPr>
        <w:t>.</w:t>
      </w:r>
      <w:r w:rsidR="00082244" w:rsidRPr="005F287B">
        <w:rPr>
          <w:rFonts w:ascii="ITC Avant Garde" w:hAnsi="ITC Avant Garde" w:cs="Arial"/>
          <w:color w:val="000000" w:themeColor="text1"/>
        </w:rPr>
        <w:t xml:space="preserve"> Cabe señalar que los descuentos aplican en función del parámetro de la prueba llamado “Usuarios OMV” que se utilice, sin importar los que efectivamente estén en la red del AEP.</w:t>
      </w:r>
    </w:p>
    <w:p w:rsidR="00DA29DD" w:rsidRPr="005F287B" w:rsidRDefault="00DA29DD" w:rsidP="0069622D">
      <w:pPr>
        <w:spacing w:after="0" w:line="240" w:lineRule="auto"/>
        <w:jc w:val="both"/>
        <w:rPr>
          <w:rFonts w:ascii="ITC Avant Garde" w:hAnsi="ITC Avant Garde" w:cs="Arial"/>
          <w:color w:val="000000" w:themeColor="text1"/>
        </w:rPr>
      </w:pPr>
    </w:p>
    <w:p w:rsidR="00A97F1E" w:rsidRPr="005F287B" w:rsidRDefault="00DA29DD" w:rsidP="004567D5">
      <w:pPr>
        <w:pStyle w:val="Ttulo2"/>
        <w:spacing w:before="0" w:line="240" w:lineRule="auto"/>
        <w:jc w:val="both"/>
        <w:rPr>
          <w:rFonts w:ascii="ITC Avant Garde" w:hAnsi="ITC Avant Garde"/>
          <w:b/>
          <w:color w:val="000000" w:themeColor="text1"/>
          <w:sz w:val="22"/>
          <w:szCs w:val="22"/>
        </w:rPr>
      </w:pPr>
      <w:r w:rsidRPr="005F287B">
        <w:rPr>
          <w:rFonts w:ascii="ITC Avant Garde" w:hAnsi="ITC Avant Garde"/>
          <w:b/>
          <w:color w:val="000000" w:themeColor="text1"/>
          <w:sz w:val="22"/>
          <w:szCs w:val="22"/>
        </w:rPr>
        <w:t>Tema: Segmento empresarial</w:t>
      </w:r>
    </w:p>
    <w:p w:rsidR="001446E1" w:rsidRPr="005F287B" w:rsidRDefault="001446E1" w:rsidP="00A97F1E">
      <w:pPr>
        <w:spacing w:after="0" w:line="240" w:lineRule="auto"/>
        <w:jc w:val="both"/>
        <w:rPr>
          <w:rFonts w:ascii="ITC Avant Garde" w:hAnsi="ITC Avant Garde" w:cs="Arial"/>
          <w:color w:val="000000" w:themeColor="text1"/>
        </w:rPr>
      </w:pPr>
    </w:p>
    <w:p w:rsidR="00DA29DD" w:rsidRPr="005F287B" w:rsidRDefault="00DA29DD" w:rsidP="00A97F1E">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Se sugiere un tratamiento diferenciado al segmento empresarial. A </w:t>
      </w:r>
      <w:r w:rsidR="00A97F1E" w:rsidRPr="005F287B">
        <w:rPr>
          <w:rFonts w:ascii="ITC Avant Garde" w:hAnsi="ITC Avant Garde" w:cs="Arial"/>
          <w:color w:val="000000" w:themeColor="text1"/>
        </w:rPr>
        <w:t>continuación,</w:t>
      </w:r>
      <w:r w:rsidRPr="005F287B">
        <w:rPr>
          <w:rFonts w:ascii="ITC Avant Garde" w:hAnsi="ITC Avant Garde" w:cs="Arial"/>
          <w:color w:val="000000" w:themeColor="text1"/>
        </w:rPr>
        <w:t xml:space="preserve"> se mencionan los argumentos presentados para justificar dicha sugerencia:</w:t>
      </w:r>
    </w:p>
    <w:p w:rsidR="00A97F1E" w:rsidRPr="005F287B" w:rsidRDefault="00A97F1E" w:rsidP="0069622D">
      <w:pPr>
        <w:spacing w:after="0" w:line="240" w:lineRule="auto"/>
        <w:jc w:val="both"/>
        <w:rPr>
          <w:rFonts w:ascii="ITC Avant Garde" w:hAnsi="ITC Avant Garde" w:cs="Arial"/>
          <w:color w:val="000000" w:themeColor="text1"/>
        </w:rPr>
      </w:pPr>
    </w:p>
    <w:p w:rsidR="00DA29DD" w:rsidRPr="005F287B" w:rsidRDefault="00C5330D" w:rsidP="0069622D">
      <w:pPr>
        <w:pStyle w:val="Prrafodelista"/>
        <w:numPr>
          <w:ilvl w:val="0"/>
          <w:numId w:val="9"/>
        </w:numPr>
        <w:spacing w:after="0" w:line="240" w:lineRule="auto"/>
        <w:contextualSpacing w:val="0"/>
        <w:jc w:val="both"/>
        <w:rPr>
          <w:rFonts w:ascii="ITC Avant Garde" w:hAnsi="ITC Avant Garde"/>
          <w:color w:val="000000" w:themeColor="text1"/>
        </w:rPr>
      </w:pPr>
      <w:r w:rsidRPr="005F287B">
        <w:rPr>
          <w:rFonts w:ascii="ITC Avant Garde" w:hAnsi="ITC Avant Garde" w:cs="Arial"/>
          <w:color w:val="000000" w:themeColor="text1"/>
        </w:rPr>
        <w:t>Se c</w:t>
      </w:r>
      <w:r w:rsidR="00DA29DD" w:rsidRPr="005F287B">
        <w:rPr>
          <w:rFonts w:ascii="ITC Avant Garde" w:hAnsi="ITC Avant Garde" w:cs="Arial"/>
          <w:color w:val="000000" w:themeColor="text1"/>
        </w:rPr>
        <w:t>onsidera benéfico para la competencia</w:t>
      </w:r>
      <w:r w:rsidRPr="005F287B">
        <w:rPr>
          <w:rFonts w:ascii="ITC Avant Garde" w:hAnsi="ITC Avant Garde" w:cs="Arial"/>
          <w:color w:val="000000" w:themeColor="text1"/>
        </w:rPr>
        <w:t>,</w:t>
      </w:r>
      <w:r w:rsidR="00DA29DD" w:rsidRPr="005F287B">
        <w:rPr>
          <w:rFonts w:ascii="ITC Avant Garde" w:hAnsi="ITC Avant Garde" w:cs="Arial"/>
          <w:color w:val="000000" w:themeColor="text1"/>
        </w:rPr>
        <w:t xml:space="preserve"> a nivel empresarial, que las ofertas minoristas empresariales sean evaluadas con una prueba de replicabilidad, solo aquellas que sean seleccionadas por el Instituto.</w:t>
      </w:r>
    </w:p>
    <w:p w:rsidR="00A97F1E" w:rsidRPr="005F287B" w:rsidRDefault="00A97F1E" w:rsidP="00A97F1E">
      <w:pPr>
        <w:pStyle w:val="Prrafodelista"/>
        <w:spacing w:after="0" w:line="240" w:lineRule="auto"/>
        <w:contextualSpacing w:val="0"/>
        <w:jc w:val="both"/>
        <w:rPr>
          <w:rFonts w:ascii="ITC Avant Garde" w:hAnsi="ITC Avant Garde"/>
          <w:color w:val="000000" w:themeColor="text1"/>
        </w:rPr>
      </w:pPr>
    </w:p>
    <w:p w:rsidR="00DA29DD" w:rsidRPr="005F287B" w:rsidRDefault="00C5330D" w:rsidP="0069622D">
      <w:pPr>
        <w:pStyle w:val="Prrafodelista"/>
        <w:numPr>
          <w:ilvl w:val="0"/>
          <w:numId w:val="9"/>
        </w:numPr>
        <w:spacing w:after="0" w:line="240" w:lineRule="auto"/>
        <w:contextualSpacing w:val="0"/>
        <w:jc w:val="both"/>
        <w:rPr>
          <w:rFonts w:ascii="ITC Avant Garde" w:hAnsi="ITC Avant Garde"/>
          <w:color w:val="000000" w:themeColor="text1"/>
        </w:rPr>
      </w:pPr>
      <w:r w:rsidRPr="005F287B">
        <w:rPr>
          <w:rFonts w:ascii="ITC Avant Garde" w:hAnsi="ITC Avant Garde" w:cs="Arial"/>
          <w:color w:val="000000" w:themeColor="text1"/>
        </w:rPr>
        <w:t xml:space="preserve">Se propone que la prueba se aplique en paquetes que sean representativos en términos de la cuota de mercado que posean. Es decir, que efectivamente se incluya el segmento </w:t>
      </w:r>
      <w:r w:rsidR="00A97F1E" w:rsidRPr="005F287B">
        <w:rPr>
          <w:rFonts w:ascii="ITC Avant Garde" w:hAnsi="ITC Avant Garde" w:cs="Arial"/>
          <w:color w:val="000000" w:themeColor="text1"/>
        </w:rPr>
        <w:t>empresarial,</w:t>
      </w:r>
      <w:r w:rsidRPr="005F287B">
        <w:rPr>
          <w:rFonts w:ascii="ITC Avant Garde" w:hAnsi="ITC Avant Garde" w:cs="Arial"/>
          <w:color w:val="000000" w:themeColor="text1"/>
        </w:rPr>
        <w:t xml:space="preserve"> pero a diferencia de cómo está considerado en la metodología presentada, que se incluya de manera diferenciada y todo lo desagregada que sea posible para que el test de replicabilidad pueda pasarse para ofertas, servicios y productos específicos del segmento empresarial y, de esta manera, poder determinar su replicabilidad o </w:t>
      </w:r>
      <w:r w:rsidR="00273144" w:rsidRPr="005F287B">
        <w:rPr>
          <w:rFonts w:ascii="ITC Avant Garde" w:hAnsi="ITC Avant Garde" w:cs="Arial"/>
          <w:color w:val="000000" w:themeColor="text1"/>
        </w:rPr>
        <w:t xml:space="preserve">la </w:t>
      </w:r>
      <w:r w:rsidRPr="005F287B">
        <w:rPr>
          <w:rFonts w:ascii="ITC Avant Garde" w:hAnsi="ITC Avant Garde" w:cs="Arial"/>
          <w:color w:val="000000" w:themeColor="text1"/>
        </w:rPr>
        <w:t>falta de ella. Se recomienda que el Instituto requiera todos los contratos que superen cierto umbral (por ejemplo, $1.000.000 MXN) y los someta a un análisis de replicabilidad. Si el volumen de contratos es elevado, el Instituto puede hacer un muestreo de los más representativos o de los que los operadores alternativos hayan informado de posibles indicios de no replicabilidad.</w:t>
      </w:r>
    </w:p>
    <w:p w:rsidR="00A97F1E" w:rsidRPr="005F287B" w:rsidRDefault="00A97F1E" w:rsidP="00A97F1E">
      <w:pPr>
        <w:spacing w:after="0" w:line="240" w:lineRule="auto"/>
        <w:jc w:val="both"/>
        <w:rPr>
          <w:rFonts w:ascii="ITC Avant Garde" w:hAnsi="ITC Avant Garde"/>
          <w:color w:val="000000" w:themeColor="text1"/>
        </w:rPr>
      </w:pPr>
    </w:p>
    <w:p w:rsidR="00C5330D" w:rsidRPr="005F287B" w:rsidRDefault="00C5330D" w:rsidP="0069622D">
      <w:pPr>
        <w:pStyle w:val="Prrafodelista"/>
        <w:numPr>
          <w:ilvl w:val="0"/>
          <w:numId w:val="9"/>
        </w:numPr>
        <w:spacing w:after="0" w:line="240" w:lineRule="auto"/>
        <w:contextualSpacing w:val="0"/>
        <w:jc w:val="both"/>
        <w:rPr>
          <w:rFonts w:ascii="ITC Avant Garde" w:hAnsi="ITC Avant Garde"/>
          <w:color w:val="000000" w:themeColor="text1"/>
        </w:rPr>
      </w:pPr>
      <w:r w:rsidRPr="005F287B">
        <w:rPr>
          <w:rFonts w:ascii="ITC Avant Garde" w:hAnsi="ITC Avant Garde"/>
          <w:color w:val="000000" w:themeColor="text1"/>
        </w:rPr>
        <w:t>Se considera importante diferenciar el segmento empresarial del residencial, dado que el AEP tiene mayor participación en el segmento empresarial por sus ventajas competitivas.</w:t>
      </w:r>
    </w:p>
    <w:p w:rsidR="00A97F1E" w:rsidRPr="005F287B" w:rsidRDefault="00A97F1E" w:rsidP="00A97F1E">
      <w:pPr>
        <w:pStyle w:val="Prrafodelista"/>
        <w:rPr>
          <w:rFonts w:ascii="ITC Avant Garde" w:hAnsi="ITC Avant Garde"/>
          <w:color w:val="000000" w:themeColor="text1"/>
        </w:rPr>
      </w:pPr>
    </w:p>
    <w:p w:rsidR="00B7719B" w:rsidRPr="005F287B" w:rsidRDefault="004A14BD" w:rsidP="005F287B">
      <w:pPr>
        <w:pStyle w:val="Prrafodelista"/>
        <w:numPr>
          <w:ilvl w:val="0"/>
          <w:numId w:val="9"/>
        </w:numPr>
        <w:spacing w:after="0" w:line="240" w:lineRule="auto"/>
        <w:contextualSpacing w:val="0"/>
        <w:jc w:val="both"/>
      </w:pPr>
      <w:r w:rsidRPr="005F287B">
        <w:rPr>
          <w:rFonts w:ascii="ITC Avant Garde" w:hAnsi="ITC Avant Garde" w:cs="Arial"/>
          <w:color w:val="000000" w:themeColor="text1"/>
        </w:rPr>
        <w:t>Se recomienda incluir y analizar todas las ofertas empresariales en todos los segmentos de manera separada, debido a que los mercados de servicios empresariales pertenecen claramente a mercados relevantes distintos que los servicios residenciales, además de contar con una especial importancia por tratarse de servicios e insumos horizontales que afectan la productividad y competitividad de los distintos sectores de la actividad económica.</w:t>
      </w:r>
    </w:p>
    <w:p w:rsidR="00B7719B" w:rsidRDefault="00B7719B" w:rsidP="0069622D">
      <w:pPr>
        <w:spacing w:after="0" w:line="240" w:lineRule="auto"/>
        <w:jc w:val="both"/>
        <w:rPr>
          <w:rFonts w:ascii="ITC Avant Garde" w:hAnsi="ITC Avant Garde"/>
          <w:color w:val="000000" w:themeColor="text1"/>
        </w:rPr>
      </w:pPr>
    </w:p>
    <w:p w:rsidR="00A97F1E" w:rsidRPr="005F287B" w:rsidRDefault="004567D5" w:rsidP="0069622D">
      <w:pPr>
        <w:spacing w:after="0" w:line="240" w:lineRule="auto"/>
        <w:jc w:val="both"/>
        <w:rPr>
          <w:rFonts w:ascii="ITC Avant Garde" w:hAnsi="ITC Avant Garde" w:cs="Arial"/>
          <w:b/>
          <w:color w:val="000000" w:themeColor="text1"/>
        </w:rPr>
      </w:pPr>
      <w:r w:rsidRPr="005F287B">
        <w:rPr>
          <w:rFonts w:ascii="ITC Avant Garde" w:hAnsi="ITC Avant Garde" w:cs="Arial"/>
          <w:b/>
          <w:color w:val="000000" w:themeColor="text1"/>
        </w:rPr>
        <w:t xml:space="preserve">Consideraciones del Instituto: </w:t>
      </w:r>
    </w:p>
    <w:p w:rsidR="00273144" w:rsidRPr="005F287B" w:rsidRDefault="00273144" w:rsidP="0069622D">
      <w:pPr>
        <w:spacing w:after="0" w:line="240" w:lineRule="auto"/>
        <w:jc w:val="both"/>
        <w:rPr>
          <w:rFonts w:ascii="ITC Avant Garde" w:hAnsi="ITC Avant Garde"/>
          <w:color w:val="000000" w:themeColor="text1"/>
        </w:rPr>
      </w:pPr>
    </w:p>
    <w:p w:rsidR="00082244" w:rsidRDefault="00C5330D" w:rsidP="0069622D">
      <w:pPr>
        <w:spacing w:after="0" w:line="240" w:lineRule="auto"/>
        <w:jc w:val="both"/>
        <w:rPr>
          <w:rFonts w:ascii="ITC Avant Garde" w:hAnsi="ITC Avant Garde"/>
          <w:color w:val="000000" w:themeColor="text1"/>
        </w:rPr>
      </w:pPr>
      <w:r w:rsidRPr="005F287B">
        <w:rPr>
          <w:rFonts w:ascii="ITC Avant Garde" w:hAnsi="ITC Avant Garde"/>
          <w:color w:val="000000" w:themeColor="text1"/>
        </w:rPr>
        <w:t>El tratamiento agregado de los segmentos residencial y empresarial estandarizado resulta factible toda vez que las ofertas minoristas del AEP para este último presentan un</w:t>
      </w:r>
      <w:r w:rsidR="00A97F1E" w:rsidRPr="005F287B">
        <w:rPr>
          <w:rFonts w:ascii="ITC Avant Garde" w:hAnsi="ITC Avant Garde"/>
          <w:color w:val="000000" w:themeColor="text1"/>
        </w:rPr>
        <w:t>a</w:t>
      </w:r>
      <w:r w:rsidRPr="005F287B">
        <w:rPr>
          <w:rFonts w:ascii="ITC Avant Garde" w:hAnsi="ITC Avant Garde"/>
          <w:color w:val="000000" w:themeColor="text1"/>
        </w:rPr>
        <w:t xml:space="preserve"> estructura muy similar a la</w:t>
      </w:r>
      <w:r w:rsidR="00273144" w:rsidRPr="005F287B">
        <w:rPr>
          <w:rFonts w:ascii="ITC Avant Garde" w:hAnsi="ITC Avant Garde"/>
          <w:color w:val="000000" w:themeColor="text1"/>
        </w:rPr>
        <w:t>s</w:t>
      </w:r>
      <w:r w:rsidRPr="005F287B">
        <w:rPr>
          <w:rFonts w:ascii="ITC Avant Garde" w:hAnsi="ITC Avant Garde"/>
          <w:color w:val="000000" w:themeColor="text1"/>
        </w:rPr>
        <w:t xml:space="preserve"> del segmento residencial.</w:t>
      </w:r>
      <w:r w:rsidR="00082244" w:rsidRPr="005F287B">
        <w:rPr>
          <w:rFonts w:ascii="ITC Avant Garde" w:hAnsi="ITC Avant Garde"/>
          <w:color w:val="000000" w:themeColor="text1"/>
        </w:rPr>
        <w:t xml:space="preserve"> Esto descarta la necesidad de tener que realizar pruebas </w:t>
      </w:r>
      <w:r w:rsidR="0076426E">
        <w:rPr>
          <w:rFonts w:ascii="ITC Avant Garde" w:hAnsi="ITC Avant Garde"/>
          <w:color w:val="000000" w:themeColor="text1"/>
        </w:rPr>
        <w:t xml:space="preserve">específicas </w:t>
      </w:r>
      <w:r w:rsidR="00082244" w:rsidRPr="005F287B">
        <w:rPr>
          <w:rFonts w:ascii="ITC Avant Garde" w:hAnsi="ITC Avant Garde"/>
          <w:color w:val="000000" w:themeColor="text1"/>
        </w:rPr>
        <w:t>para el segmento empresarial</w:t>
      </w:r>
      <w:r w:rsidR="0076426E">
        <w:rPr>
          <w:rFonts w:ascii="ITC Avant Garde" w:hAnsi="ITC Avant Garde"/>
          <w:color w:val="000000" w:themeColor="text1"/>
        </w:rPr>
        <w:t>, además</w:t>
      </w:r>
      <w:r w:rsidR="00E92E36" w:rsidRPr="005F287B">
        <w:rPr>
          <w:rFonts w:ascii="ITC Avant Garde" w:hAnsi="ITC Avant Garde"/>
          <w:color w:val="000000" w:themeColor="text1"/>
        </w:rPr>
        <w:t>,</w:t>
      </w:r>
      <w:r w:rsidR="006F4ABF" w:rsidRPr="005F287B">
        <w:rPr>
          <w:rFonts w:ascii="ITC Avant Garde" w:hAnsi="ITC Avant Garde"/>
          <w:color w:val="000000" w:themeColor="text1"/>
        </w:rPr>
        <w:t xml:space="preserve"> desagregar los segmentos residencial y empresarial disminuiría</w:t>
      </w:r>
      <w:r w:rsidR="00E92E36" w:rsidRPr="005F287B">
        <w:rPr>
          <w:rFonts w:ascii="ITC Avant Garde" w:hAnsi="ITC Avant Garde"/>
          <w:color w:val="000000" w:themeColor="text1"/>
        </w:rPr>
        <w:t xml:space="preserve"> la fiabilidad</w:t>
      </w:r>
      <w:r w:rsidR="00082244" w:rsidRPr="005F287B">
        <w:rPr>
          <w:rFonts w:ascii="ITC Avant Garde" w:hAnsi="ITC Avant Garde"/>
          <w:color w:val="000000" w:themeColor="text1"/>
        </w:rPr>
        <w:t xml:space="preserve"> de la prueba</w:t>
      </w:r>
      <w:r w:rsidR="006F4ABF" w:rsidRPr="005F287B">
        <w:rPr>
          <w:rFonts w:ascii="ITC Avant Garde" w:hAnsi="ITC Avant Garde"/>
          <w:color w:val="000000" w:themeColor="text1"/>
        </w:rPr>
        <w:t xml:space="preserve">, </w:t>
      </w:r>
      <w:r w:rsidR="00082244" w:rsidRPr="005F287B">
        <w:rPr>
          <w:rFonts w:ascii="ITC Avant Garde" w:hAnsi="ITC Avant Garde"/>
          <w:color w:val="000000" w:themeColor="text1"/>
        </w:rPr>
        <w:t>ya que la asignación de costos que el AEP tendría que realizar para la provisión de servicios residenciales y empresariales estandarizados, podría alejarse de los costos reales en los que incurre el AEP.</w:t>
      </w:r>
    </w:p>
    <w:p w:rsidR="0076426E" w:rsidRDefault="0076426E" w:rsidP="0069622D">
      <w:pPr>
        <w:spacing w:after="0" w:line="240" w:lineRule="auto"/>
        <w:jc w:val="both"/>
        <w:rPr>
          <w:rFonts w:ascii="ITC Avant Garde" w:hAnsi="ITC Avant Garde"/>
          <w:color w:val="000000" w:themeColor="text1"/>
        </w:rPr>
      </w:pPr>
    </w:p>
    <w:p w:rsidR="0076426E" w:rsidRPr="005F287B" w:rsidRDefault="0076426E" w:rsidP="0069622D">
      <w:pPr>
        <w:spacing w:after="0" w:line="240" w:lineRule="auto"/>
        <w:jc w:val="both"/>
        <w:rPr>
          <w:rFonts w:ascii="ITC Avant Garde" w:hAnsi="ITC Avant Garde"/>
          <w:color w:val="000000" w:themeColor="text1"/>
        </w:rPr>
      </w:pPr>
      <w:r>
        <w:rPr>
          <w:rFonts w:ascii="ITC Avant Garde" w:hAnsi="ITC Avant Garde"/>
          <w:color w:val="000000" w:themeColor="text1"/>
        </w:rPr>
        <w:t>Adicionalmente, es importante tomar en cuenta que las ofertas empresariales no estandarizadas son diseñadas a la medida de cada cliente y habría que diseñar un modelo específico para realizar la prueba de replicabilidad económica a cada oferta que diseñe el AEP, lo cual no sería factible.</w:t>
      </w:r>
    </w:p>
    <w:p w:rsidR="00A97F1E" w:rsidRPr="005F287B" w:rsidRDefault="00A97F1E" w:rsidP="0069622D">
      <w:pPr>
        <w:spacing w:after="0" w:line="240" w:lineRule="auto"/>
        <w:jc w:val="both"/>
        <w:rPr>
          <w:rFonts w:ascii="ITC Avant Garde" w:hAnsi="ITC Avant Garde"/>
          <w:color w:val="000000" w:themeColor="text1"/>
        </w:rPr>
      </w:pPr>
    </w:p>
    <w:p w:rsidR="00A97F1E" w:rsidRPr="005F287B" w:rsidRDefault="009E07D8" w:rsidP="004567D5">
      <w:pPr>
        <w:pStyle w:val="Ttulo2"/>
        <w:spacing w:before="0" w:line="240" w:lineRule="auto"/>
        <w:jc w:val="both"/>
        <w:rPr>
          <w:rFonts w:ascii="ITC Avant Garde" w:hAnsi="ITC Avant Garde"/>
          <w:b/>
          <w:color w:val="000000" w:themeColor="text1"/>
          <w:sz w:val="22"/>
          <w:szCs w:val="22"/>
        </w:rPr>
      </w:pPr>
      <w:r w:rsidRPr="005F287B">
        <w:rPr>
          <w:rFonts w:ascii="ITC Avant Garde" w:hAnsi="ITC Avant Garde"/>
          <w:b/>
          <w:color w:val="000000" w:themeColor="text1"/>
          <w:sz w:val="22"/>
          <w:szCs w:val="22"/>
        </w:rPr>
        <w:t>Tema: OMV completo</w:t>
      </w:r>
    </w:p>
    <w:p w:rsidR="00273144" w:rsidRPr="005F287B" w:rsidRDefault="00273144" w:rsidP="00A97F1E">
      <w:pPr>
        <w:spacing w:after="0" w:line="240" w:lineRule="auto"/>
        <w:jc w:val="both"/>
        <w:rPr>
          <w:rFonts w:ascii="ITC Avant Garde" w:hAnsi="ITC Avant Garde" w:cs="Arial"/>
          <w:color w:val="000000" w:themeColor="text1"/>
        </w:rPr>
      </w:pPr>
    </w:p>
    <w:p w:rsidR="009E07D8" w:rsidRPr="005F287B" w:rsidRDefault="009E07D8" w:rsidP="00A97F1E">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Se sugiere establecer una prueba para un OMV completo y no uno revendedor. A </w:t>
      </w:r>
      <w:r w:rsidR="00A97F1E" w:rsidRPr="005F287B">
        <w:rPr>
          <w:rFonts w:ascii="ITC Avant Garde" w:hAnsi="ITC Avant Garde" w:cs="Arial"/>
          <w:color w:val="000000" w:themeColor="text1"/>
        </w:rPr>
        <w:t>continuación,</w:t>
      </w:r>
      <w:r w:rsidRPr="005F287B">
        <w:rPr>
          <w:rFonts w:ascii="ITC Avant Garde" w:hAnsi="ITC Avant Garde" w:cs="Arial"/>
          <w:color w:val="000000" w:themeColor="text1"/>
        </w:rPr>
        <w:t xml:space="preserve"> se mencionan los argumentos presentados para justificar dicha sugerencia:</w:t>
      </w:r>
    </w:p>
    <w:p w:rsidR="00A97F1E" w:rsidRPr="005F287B" w:rsidRDefault="00A97F1E" w:rsidP="00A97F1E">
      <w:pPr>
        <w:spacing w:after="0" w:line="240" w:lineRule="auto"/>
        <w:jc w:val="both"/>
        <w:rPr>
          <w:rFonts w:ascii="ITC Avant Garde" w:hAnsi="ITC Avant Garde" w:cs="Arial"/>
          <w:color w:val="000000" w:themeColor="text1"/>
        </w:rPr>
      </w:pPr>
    </w:p>
    <w:p w:rsidR="009E07D8" w:rsidRPr="005F287B" w:rsidRDefault="009E07D8" w:rsidP="0069622D">
      <w:pPr>
        <w:pStyle w:val="Prrafodelista"/>
        <w:numPr>
          <w:ilvl w:val="0"/>
          <w:numId w:val="9"/>
        </w:numPr>
        <w:spacing w:after="0" w:line="240" w:lineRule="auto"/>
        <w:contextualSpacing w:val="0"/>
        <w:jc w:val="both"/>
        <w:rPr>
          <w:rFonts w:ascii="ITC Avant Garde" w:hAnsi="ITC Avant Garde"/>
          <w:color w:val="000000" w:themeColor="text1"/>
        </w:rPr>
      </w:pPr>
      <w:r w:rsidRPr="005F287B">
        <w:rPr>
          <w:rFonts w:ascii="ITC Avant Garde" w:hAnsi="ITC Avant Garde" w:cs="Arial"/>
          <w:color w:val="000000" w:themeColor="text1"/>
        </w:rPr>
        <w:t>Se sugiere diseñar una prueba específica para un OMV completo, debido a que un OMV revendedor requiere menos recursos de la red del OMV para prestar los servicios, por lo que las consideraciones y supuestos para un OMV revendedor y un OMV completo debe ser distintos en la prueba. Plantea que en la prueba se consideren elementos fundamentales que determinan la capacidad de oferta de los operadores (espectro, radio bases, cobertura, economías en la compra de equipo, entre otros). El OMV completo instalaría la red de conmutación, la red de transporte, la plataforma de aplicaciones, el centro de administración de usuarios, lo sistemas de facturación y cobranza, los canales de comercialización, distribución empaquetamiento y aprovisionamiento, entre otros. Este modelo sería el más adecuado porque se establece una base de fomento de inversión.</w:t>
      </w:r>
    </w:p>
    <w:p w:rsidR="00A97F1E" w:rsidRPr="005F287B" w:rsidRDefault="00A97F1E" w:rsidP="00A97F1E">
      <w:pPr>
        <w:pStyle w:val="Prrafodelista"/>
        <w:spacing w:after="0" w:line="240" w:lineRule="auto"/>
        <w:contextualSpacing w:val="0"/>
        <w:jc w:val="both"/>
        <w:rPr>
          <w:rFonts w:ascii="ITC Avant Garde" w:hAnsi="ITC Avant Garde"/>
          <w:color w:val="000000" w:themeColor="text1"/>
        </w:rPr>
      </w:pPr>
    </w:p>
    <w:p w:rsidR="00A97F1E" w:rsidRPr="005F287B" w:rsidRDefault="004567D5" w:rsidP="0069622D">
      <w:pPr>
        <w:spacing w:after="0" w:line="240" w:lineRule="auto"/>
        <w:jc w:val="both"/>
        <w:rPr>
          <w:rFonts w:ascii="ITC Avant Garde" w:hAnsi="ITC Avant Garde" w:cs="Arial"/>
          <w:b/>
          <w:color w:val="000000" w:themeColor="text1"/>
        </w:rPr>
      </w:pPr>
      <w:r w:rsidRPr="005F287B">
        <w:rPr>
          <w:rFonts w:ascii="ITC Avant Garde" w:hAnsi="ITC Avant Garde" w:cs="Arial"/>
          <w:b/>
          <w:color w:val="000000" w:themeColor="text1"/>
        </w:rPr>
        <w:t xml:space="preserve">Consideraciones del Instituto: </w:t>
      </w:r>
    </w:p>
    <w:p w:rsidR="00273144" w:rsidRPr="005F287B" w:rsidRDefault="00273144" w:rsidP="0069622D">
      <w:pPr>
        <w:spacing w:after="0" w:line="240" w:lineRule="auto"/>
        <w:jc w:val="both"/>
        <w:rPr>
          <w:rFonts w:ascii="ITC Avant Garde" w:hAnsi="ITC Avant Garde"/>
          <w:color w:val="000000" w:themeColor="text1"/>
        </w:rPr>
      </w:pPr>
    </w:p>
    <w:p w:rsidR="009E07D8" w:rsidRPr="005F287B" w:rsidRDefault="006F4ABF" w:rsidP="0069622D">
      <w:pPr>
        <w:spacing w:after="0" w:line="240" w:lineRule="auto"/>
        <w:jc w:val="both"/>
        <w:rPr>
          <w:rFonts w:ascii="ITC Avant Garde" w:hAnsi="ITC Avant Garde"/>
          <w:color w:val="000000" w:themeColor="text1"/>
          <w:lang w:val="es-ES"/>
        </w:rPr>
      </w:pPr>
      <w:r w:rsidRPr="005F287B">
        <w:rPr>
          <w:rFonts w:ascii="ITC Avant Garde" w:hAnsi="ITC Avant Garde"/>
          <w:color w:val="000000" w:themeColor="text1"/>
        </w:rPr>
        <w:t>Al respecto, es importante mencionar que l</w:t>
      </w:r>
      <w:r w:rsidR="00C65745" w:rsidRPr="005F287B">
        <w:rPr>
          <w:rFonts w:ascii="ITC Avant Garde" w:hAnsi="ITC Avant Garde"/>
          <w:color w:val="000000" w:themeColor="text1"/>
        </w:rPr>
        <w:t xml:space="preserve">a resolución bienal en su medida SEXAGÉSIMA CUARTA establece que </w:t>
      </w:r>
      <w:r w:rsidR="00C65745" w:rsidRPr="005F287B">
        <w:rPr>
          <w:rFonts w:ascii="ITC Avant Garde" w:hAnsi="ITC Avant Garde"/>
          <w:i/>
          <w:color w:val="000000" w:themeColor="text1"/>
        </w:rPr>
        <w:t>“…A efecto de garantizar que las tarifas al público puedan ser replicables por los Operadores Móviles Virtuales, cuyo servicio esté activo al amparo de la Oferta de Referencia del Servicio Mayorista de Comercialización o Reventa de Servicios…”</w:t>
      </w:r>
      <w:r w:rsidR="00C65745" w:rsidRPr="005F287B">
        <w:rPr>
          <w:rFonts w:ascii="ITC Avant Garde" w:hAnsi="ITC Avant Garde"/>
          <w:color w:val="000000" w:themeColor="text1"/>
        </w:rPr>
        <w:t xml:space="preserve">, </w:t>
      </w:r>
      <w:r w:rsidRPr="005F287B">
        <w:rPr>
          <w:rFonts w:ascii="ITC Avant Garde" w:hAnsi="ITC Avant Garde"/>
          <w:color w:val="000000" w:themeColor="text1"/>
        </w:rPr>
        <w:t xml:space="preserve">por lo tanto, </w:t>
      </w:r>
      <w:r w:rsidR="00C65745" w:rsidRPr="005F287B">
        <w:rPr>
          <w:rFonts w:ascii="ITC Avant Garde" w:hAnsi="ITC Avant Garde"/>
          <w:color w:val="000000" w:themeColor="text1"/>
        </w:rPr>
        <w:t>la prueba deberá garantizar la replicabilidad económica para los OMV revendedores</w:t>
      </w:r>
      <w:r w:rsidR="00FC2532" w:rsidRPr="005F287B">
        <w:rPr>
          <w:rFonts w:ascii="ITC Avant Garde" w:hAnsi="ITC Avant Garde"/>
          <w:color w:val="000000" w:themeColor="text1"/>
        </w:rPr>
        <w:t>.</w:t>
      </w:r>
    </w:p>
    <w:p w:rsidR="00A97F1E" w:rsidRPr="005F287B" w:rsidRDefault="00A97F1E" w:rsidP="0069622D">
      <w:pPr>
        <w:spacing w:after="0" w:line="240" w:lineRule="auto"/>
        <w:jc w:val="both"/>
        <w:rPr>
          <w:rFonts w:ascii="ITC Avant Garde" w:hAnsi="ITC Avant Garde" w:cs="Arial"/>
          <w:color w:val="000000" w:themeColor="text1"/>
        </w:rPr>
      </w:pPr>
    </w:p>
    <w:p w:rsidR="00A97F1E" w:rsidRPr="005F287B" w:rsidRDefault="00213D1D" w:rsidP="004567D5">
      <w:pPr>
        <w:pStyle w:val="Ttulo2"/>
        <w:spacing w:before="0" w:line="240" w:lineRule="auto"/>
        <w:jc w:val="both"/>
        <w:rPr>
          <w:rFonts w:ascii="ITC Avant Garde" w:hAnsi="ITC Avant Garde"/>
          <w:b/>
          <w:color w:val="000000" w:themeColor="text1"/>
          <w:sz w:val="22"/>
          <w:szCs w:val="22"/>
        </w:rPr>
      </w:pPr>
      <w:r w:rsidRPr="005F287B">
        <w:rPr>
          <w:rFonts w:ascii="ITC Avant Garde" w:hAnsi="ITC Avant Garde"/>
          <w:b/>
          <w:color w:val="000000" w:themeColor="text1"/>
          <w:sz w:val="22"/>
          <w:szCs w:val="22"/>
        </w:rPr>
        <w:t>Tema: Supuestos de la prueba</w:t>
      </w:r>
    </w:p>
    <w:p w:rsidR="002469A5" w:rsidRPr="005F287B" w:rsidRDefault="002469A5" w:rsidP="00A97F1E">
      <w:pPr>
        <w:spacing w:after="0" w:line="240" w:lineRule="auto"/>
        <w:jc w:val="both"/>
        <w:rPr>
          <w:rFonts w:ascii="ITC Avant Garde" w:hAnsi="ITC Avant Garde" w:cs="Arial"/>
          <w:color w:val="000000" w:themeColor="text1"/>
        </w:rPr>
      </w:pPr>
    </w:p>
    <w:p w:rsidR="002469A5" w:rsidRPr="005F287B" w:rsidRDefault="00213D1D" w:rsidP="00A97F1E">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Se sugiere utilizar parámetros distintos a los establecidos en el modelo que se presentó en la consulta pública. A </w:t>
      </w:r>
      <w:r w:rsidR="00F500BC" w:rsidRPr="005F287B">
        <w:rPr>
          <w:rFonts w:ascii="ITC Avant Garde" w:hAnsi="ITC Avant Garde" w:cs="Arial"/>
          <w:color w:val="000000" w:themeColor="text1"/>
        </w:rPr>
        <w:t>continuación,</w:t>
      </w:r>
      <w:r w:rsidRPr="005F287B">
        <w:rPr>
          <w:rFonts w:ascii="ITC Avant Garde" w:hAnsi="ITC Avant Garde" w:cs="Arial"/>
          <w:color w:val="000000" w:themeColor="text1"/>
        </w:rPr>
        <w:t xml:space="preserve"> se mencionan las propuestas y los argumentos presentados:</w:t>
      </w:r>
    </w:p>
    <w:p w:rsidR="002469A5" w:rsidRPr="005F287B" w:rsidRDefault="002469A5" w:rsidP="00A97F1E">
      <w:pPr>
        <w:spacing w:after="0" w:line="240" w:lineRule="auto"/>
        <w:jc w:val="both"/>
        <w:rPr>
          <w:rFonts w:ascii="ITC Avant Garde" w:hAnsi="ITC Avant Garde" w:cs="Arial"/>
          <w:color w:val="000000" w:themeColor="text1"/>
        </w:rPr>
      </w:pPr>
    </w:p>
    <w:p w:rsidR="00213D1D" w:rsidRPr="005F287B" w:rsidRDefault="00213D1D" w:rsidP="0069622D">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Respecto al parámetro de la prueba llamado “Usuarios OMV”, se señala que el número de suscriptores promedio de un OMV revendedor en un periodo de tres años puede ser de 100,000 o 200,000.</w:t>
      </w:r>
    </w:p>
    <w:p w:rsidR="00F500BC" w:rsidRPr="005F287B" w:rsidRDefault="00F500BC" w:rsidP="00F500BC">
      <w:pPr>
        <w:pStyle w:val="Prrafodelista"/>
        <w:spacing w:after="0" w:line="240" w:lineRule="auto"/>
        <w:contextualSpacing w:val="0"/>
        <w:jc w:val="both"/>
        <w:rPr>
          <w:rFonts w:ascii="ITC Avant Garde" w:hAnsi="ITC Avant Garde" w:cs="Arial"/>
          <w:color w:val="000000" w:themeColor="text1"/>
        </w:rPr>
      </w:pPr>
    </w:p>
    <w:p w:rsidR="00213D1D" w:rsidRPr="005F287B" w:rsidRDefault="00213D1D" w:rsidP="0069622D">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Respecto al margen final con el que es posible acreditar la prueba, se debe considerar que, de acuerdo con el artículo 272 de la LFTR, se debe garantizar que los operadores puedan obtener un margen de utilidad, razonable y equitativo.</w:t>
      </w:r>
    </w:p>
    <w:p w:rsidR="00F500BC" w:rsidRPr="005F287B" w:rsidRDefault="00F500BC" w:rsidP="00F500BC">
      <w:pPr>
        <w:pStyle w:val="Prrafodelista"/>
        <w:rPr>
          <w:rFonts w:ascii="ITC Avant Garde" w:hAnsi="ITC Avant Garde" w:cs="Arial"/>
          <w:color w:val="000000" w:themeColor="text1"/>
        </w:rPr>
      </w:pPr>
    </w:p>
    <w:p w:rsidR="00213D1D" w:rsidRPr="005F287B" w:rsidRDefault="00213D1D" w:rsidP="0069622D">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Respecto al parámetro de la prueba llamado “Usuarios OMV”, se señala que el número de suscriptores promedios de un OMV revendedor en un periodo de tres años depende de las condiciones de mercado y la poca disponibilidad de dispositivos terminales compatibles con banda 28. Se estima que para el primer año haya 60,000 suscriptores, para el segundo año 180,000 suscriptores, para el tercer año 300,000 suscriptores, para el cuarto año 500,000 suscriptores y para el quinto año 600,000 suscriptores.</w:t>
      </w:r>
    </w:p>
    <w:p w:rsidR="00F500BC" w:rsidRPr="005F287B" w:rsidRDefault="00F500BC" w:rsidP="00F500BC">
      <w:pPr>
        <w:pStyle w:val="Prrafodelista"/>
        <w:rPr>
          <w:rFonts w:ascii="ITC Avant Garde" w:hAnsi="ITC Avant Garde" w:cs="Arial"/>
          <w:color w:val="000000" w:themeColor="text1"/>
        </w:rPr>
      </w:pPr>
    </w:p>
    <w:p w:rsidR="00213D1D" w:rsidRPr="005F287B" w:rsidRDefault="00213D1D" w:rsidP="0069622D">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Respecto a la totalidad de información proporcionada por el AEP para realizar la prueba de replicabilidad, se recomienda que corresponda a usuarios con una antigüedad no mayor a 2 años, esto debido a que las ofertas con las que los OMV competirán en el mercado se asemejaran a las lanzadas en los 2 últimos años por los demás operadores.</w:t>
      </w:r>
    </w:p>
    <w:p w:rsidR="00F500BC" w:rsidRPr="005F287B" w:rsidRDefault="00F500BC" w:rsidP="00F500BC">
      <w:pPr>
        <w:pStyle w:val="Prrafodelista"/>
        <w:rPr>
          <w:rFonts w:ascii="ITC Avant Garde" w:hAnsi="ITC Avant Garde" w:cs="Arial"/>
          <w:color w:val="000000" w:themeColor="text1"/>
        </w:rPr>
      </w:pPr>
    </w:p>
    <w:p w:rsidR="00213D1D" w:rsidRPr="005F287B" w:rsidRDefault="00213D1D" w:rsidP="0069622D">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Se menciona que</w:t>
      </w:r>
      <w:r w:rsidR="000F2EA0">
        <w:rPr>
          <w:rFonts w:ascii="ITC Avant Garde" w:hAnsi="ITC Avant Garde" w:cs="Arial"/>
          <w:color w:val="000000" w:themeColor="text1"/>
        </w:rPr>
        <w:t>,</w:t>
      </w:r>
      <w:r w:rsidRPr="005F287B">
        <w:rPr>
          <w:rFonts w:ascii="ITC Avant Garde" w:hAnsi="ITC Avant Garde" w:cs="Arial"/>
          <w:color w:val="000000" w:themeColor="text1"/>
        </w:rPr>
        <w:t xml:space="preserve"> en más de tres años de participar en el mercado, los OMV, con la excepción de Virgin Mobile quien registra más de 800 mil suscriptores y QBO Cel 120,000 suscriptores, cuentan con 50,000 o menos suscriptores enfocados a distintos perfiles de consumidores y que en ese sentido, utilizar un promedio los usuarios de las OMV existentes para obtener el parámetro “Usuarios OMV” podría distorsionar la replicabilidad en favor de ciertos modelos de negocio.</w:t>
      </w:r>
    </w:p>
    <w:p w:rsidR="00F500BC" w:rsidRPr="005F287B" w:rsidRDefault="00F500BC" w:rsidP="00F500BC">
      <w:pPr>
        <w:pStyle w:val="Prrafodelista"/>
        <w:rPr>
          <w:rFonts w:ascii="ITC Avant Garde" w:hAnsi="ITC Avant Garde" w:cs="Arial"/>
          <w:color w:val="000000" w:themeColor="text1"/>
        </w:rPr>
      </w:pPr>
    </w:p>
    <w:p w:rsidR="00213D1D" w:rsidRPr="005F287B" w:rsidRDefault="00213D1D" w:rsidP="0069622D">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Debido a la estructura de los contratos, el periodo de amortización debería ser de cinco años.</w:t>
      </w:r>
    </w:p>
    <w:p w:rsidR="00F500BC" w:rsidRPr="005F287B" w:rsidRDefault="00F500BC" w:rsidP="00F500BC">
      <w:pPr>
        <w:pStyle w:val="Prrafodelista"/>
        <w:rPr>
          <w:rFonts w:ascii="ITC Avant Garde" w:hAnsi="ITC Avant Garde" w:cs="Arial"/>
          <w:color w:val="000000" w:themeColor="text1"/>
        </w:rPr>
      </w:pPr>
    </w:p>
    <w:p w:rsidR="00F500BC" w:rsidRDefault="00213D1D" w:rsidP="005F287B">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En relación a la amortización, se sugiere que se amortice en función de la duración de los contratos.</w:t>
      </w:r>
    </w:p>
    <w:p w:rsidR="005F287B" w:rsidRPr="005F287B" w:rsidRDefault="005F287B" w:rsidP="005F287B">
      <w:pPr>
        <w:spacing w:after="0" w:line="240" w:lineRule="auto"/>
        <w:jc w:val="both"/>
        <w:rPr>
          <w:rFonts w:ascii="ITC Avant Garde" w:hAnsi="ITC Avant Garde" w:cs="Arial"/>
          <w:color w:val="000000" w:themeColor="text1"/>
        </w:rPr>
      </w:pPr>
    </w:p>
    <w:p w:rsidR="00F500BC" w:rsidRPr="005F287B" w:rsidRDefault="004567D5" w:rsidP="0069622D">
      <w:pPr>
        <w:spacing w:after="0" w:line="240" w:lineRule="auto"/>
        <w:jc w:val="both"/>
        <w:rPr>
          <w:rFonts w:ascii="ITC Avant Garde" w:hAnsi="ITC Avant Garde" w:cs="Arial"/>
          <w:b/>
          <w:color w:val="000000" w:themeColor="text1"/>
        </w:rPr>
      </w:pPr>
      <w:r w:rsidRPr="005F287B">
        <w:rPr>
          <w:rFonts w:ascii="ITC Avant Garde" w:hAnsi="ITC Avant Garde" w:cs="Arial"/>
          <w:b/>
          <w:color w:val="000000" w:themeColor="text1"/>
        </w:rPr>
        <w:t xml:space="preserve">Consideraciones del Instituto: </w:t>
      </w:r>
    </w:p>
    <w:p w:rsidR="003811A0" w:rsidRPr="005F287B" w:rsidRDefault="003811A0" w:rsidP="0069622D">
      <w:pPr>
        <w:spacing w:after="0" w:line="240" w:lineRule="auto"/>
        <w:jc w:val="both"/>
        <w:rPr>
          <w:rFonts w:ascii="ITC Avant Garde" w:hAnsi="ITC Avant Garde" w:cs="Arial"/>
          <w:color w:val="000000" w:themeColor="text1"/>
        </w:rPr>
      </w:pPr>
    </w:p>
    <w:p w:rsidR="00213D1D" w:rsidRPr="005F287B" w:rsidRDefault="00213D1D"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El periodo de amortización está considerado en función de la duración de los contratos entre el AEP y los OMV, en este sentido, para la construcción de este supuesto será necesario consultar al AEP y a los operadores que actualmente tienen firmado un convenio con éste, sobre los plazos firmados y definir un plazo adecuado. </w:t>
      </w:r>
    </w:p>
    <w:p w:rsidR="003811A0" w:rsidRPr="005F287B" w:rsidRDefault="003811A0" w:rsidP="0069622D">
      <w:pPr>
        <w:spacing w:after="0" w:line="240" w:lineRule="auto"/>
        <w:jc w:val="both"/>
        <w:rPr>
          <w:rFonts w:ascii="ITC Avant Garde" w:hAnsi="ITC Avant Garde" w:cs="Arial"/>
          <w:color w:val="000000" w:themeColor="text1"/>
        </w:rPr>
      </w:pPr>
    </w:p>
    <w:p w:rsidR="00213D1D" w:rsidRPr="005F287B" w:rsidRDefault="00F414A8"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El número de </w:t>
      </w:r>
      <w:r w:rsidR="00213D1D" w:rsidRPr="005F287B">
        <w:rPr>
          <w:rFonts w:ascii="ITC Avant Garde" w:hAnsi="ITC Avant Garde" w:cs="Arial"/>
          <w:color w:val="000000" w:themeColor="text1"/>
        </w:rPr>
        <w:t>usuarios por OMV es un parámetro de la prueba que resulta crucial para diseño de la misma. Para definir dicho parámetro, el Instituto evaluará el mercado y realizará las consultas de información con el AEP y los operadores que considere convenientes.</w:t>
      </w:r>
    </w:p>
    <w:p w:rsidR="00F500BC" w:rsidRPr="005F287B" w:rsidRDefault="00F500BC" w:rsidP="0069622D">
      <w:pPr>
        <w:spacing w:after="0" w:line="240" w:lineRule="auto"/>
        <w:jc w:val="both"/>
        <w:rPr>
          <w:rFonts w:ascii="ITC Avant Garde" w:hAnsi="ITC Avant Garde" w:cs="Arial"/>
          <w:color w:val="000000" w:themeColor="text1"/>
        </w:rPr>
      </w:pPr>
    </w:p>
    <w:p w:rsidR="00213D1D" w:rsidRPr="005F287B" w:rsidRDefault="00246BF9"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Con respecto al margen final</w:t>
      </w:r>
      <w:r w:rsidR="00213D1D" w:rsidRPr="005F287B">
        <w:rPr>
          <w:rFonts w:ascii="ITC Avant Garde" w:hAnsi="ITC Avant Garde" w:cs="Arial"/>
          <w:color w:val="000000" w:themeColor="text1"/>
        </w:rPr>
        <w:t>, el AEP acreditará satisfactoriamente la prueba al cumplirse la condición de que los ingresos sean mayores a los costos.</w:t>
      </w:r>
    </w:p>
    <w:p w:rsidR="00F500BC" w:rsidRPr="005F287B" w:rsidRDefault="00F500BC" w:rsidP="0069622D">
      <w:pPr>
        <w:spacing w:after="0" w:line="240" w:lineRule="auto"/>
        <w:jc w:val="both"/>
        <w:rPr>
          <w:rFonts w:ascii="ITC Avant Garde" w:hAnsi="ITC Avant Garde" w:cs="Arial"/>
          <w:color w:val="000000" w:themeColor="text1"/>
        </w:rPr>
      </w:pPr>
    </w:p>
    <w:p w:rsidR="00F414A8" w:rsidRPr="005F287B" w:rsidRDefault="00F414A8"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Por lo expuesto anteriormente, se considera oportuno que el Instituto se haga de la información necesaria para la construcción de los supuestos, los cuales deben estar listos antes de la primera prueba de replicabilidad económica, a través de requerimientos al AEP, requerimientos a otros agentes del sector, información en manos del Instituto y estándares internacionales. </w:t>
      </w:r>
    </w:p>
    <w:p w:rsidR="00213D1D" w:rsidRPr="005F287B" w:rsidRDefault="00213D1D" w:rsidP="0069622D">
      <w:pPr>
        <w:spacing w:after="0" w:line="240" w:lineRule="auto"/>
        <w:jc w:val="both"/>
        <w:rPr>
          <w:rFonts w:ascii="ITC Avant Garde" w:hAnsi="ITC Avant Garde" w:cs="Arial"/>
          <w:color w:val="000000" w:themeColor="text1"/>
        </w:rPr>
      </w:pPr>
    </w:p>
    <w:p w:rsidR="00C5682A" w:rsidRPr="005F287B" w:rsidRDefault="004C2893" w:rsidP="0069622D">
      <w:pPr>
        <w:pStyle w:val="Ttulo1"/>
        <w:spacing w:before="0" w:line="240" w:lineRule="auto"/>
        <w:jc w:val="both"/>
        <w:rPr>
          <w:rFonts w:ascii="ITC Avant Garde" w:hAnsi="ITC Avant Garde" w:cs="Arial"/>
          <w:color w:val="2E74B5" w:themeColor="accent1" w:themeShade="BF"/>
          <w:sz w:val="22"/>
          <w:szCs w:val="22"/>
          <w:u w:val="single"/>
        </w:rPr>
      </w:pPr>
      <w:r w:rsidRPr="005F287B">
        <w:rPr>
          <w:rFonts w:ascii="ITC Avant Garde" w:hAnsi="ITC Avant Garde" w:cs="Arial"/>
          <w:color w:val="2E74B5" w:themeColor="accent1" w:themeShade="BF"/>
          <w:sz w:val="22"/>
          <w:szCs w:val="22"/>
          <w:u w:val="single"/>
        </w:rPr>
        <w:t xml:space="preserve">Sobre </w:t>
      </w:r>
      <w:r w:rsidR="0074087B" w:rsidRPr="005F287B">
        <w:rPr>
          <w:rFonts w:ascii="ITC Avant Garde" w:hAnsi="ITC Avant Garde" w:cs="Arial"/>
          <w:color w:val="2E74B5" w:themeColor="accent1" w:themeShade="BF"/>
          <w:sz w:val="22"/>
          <w:szCs w:val="22"/>
          <w:u w:val="single"/>
        </w:rPr>
        <w:t>la Prueba aplicada a Servicios</w:t>
      </w:r>
      <w:r w:rsidR="00233DF9" w:rsidRPr="005F287B">
        <w:rPr>
          <w:rFonts w:ascii="ITC Avant Garde" w:hAnsi="ITC Avant Garde" w:cs="Arial"/>
          <w:color w:val="2E74B5" w:themeColor="accent1" w:themeShade="BF"/>
          <w:sz w:val="22"/>
          <w:szCs w:val="22"/>
          <w:u w:val="single"/>
        </w:rPr>
        <w:t xml:space="preserve"> Minoristas de Enlaces Dedicados</w:t>
      </w:r>
    </w:p>
    <w:p w:rsidR="00C629DC" w:rsidRDefault="00C629DC" w:rsidP="004567D5">
      <w:pPr>
        <w:pStyle w:val="Ttulo2"/>
        <w:spacing w:before="0" w:line="240" w:lineRule="auto"/>
        <w:jc w:val="both"/>
        <w:rPr>
          <w:rFonts w:ascii="ITC Avant Garde" w:hAnsi="ITC Avant Garde"/>
          <w:b/>
          <w:color w:val="000000" w:themeColor="text1"/>
          <w:sz w:val="22"/>
          <w:szCs w:val="22"/>
        </w:rPr>
      </w:pPr>
    </w:p>
    <w:p w:rsidR="00F500BC" w:rsidRPr="005F287B" w:rsidRDefault="00C629DC" w:rsidP="004567D5">
      <w:pPr>
        <w:pStyle w:val="Ttulo2"/>
        <w:spacing w:before="0" w:line="240" w:lineRule="auto"/>
        <w:jc w:val="both"/>
        <w:rPr>
          <w:rFonts w:ascii="ITC Avant Garde" w:hAnsi="ITC Avant Garde"/>
          <w:b/>
          <w:color w:val="000000" w:themeColor="text1"/>
          <w:sz w:val="22"/>
          <w:szCs w:val="22"/>
        </w:rPr>
      </w:pPr>
      <w:r>
        <w:rPr>
          <w:rFonts w:ascii="ITC Avant Garde" w:hAnsi="ITC Avant Garde"/>
          <w:b/>
          <w:color w:val="000000" w:themeColor="text1"/>
        </w:rPr>
        <w:t>T</w:t>
      </w:r>
      <w:r w:rsidR="0074341B" w:rsidRPr="005F287B">
        <w:rPr>
          <w:rFonts w:ascii="ITC Avant Garde" w:hAnsi="ITC Avant Garde"/>
          <w:b/>
          <w:color w:val="000000" w:themeColor="text1"/>
          <w:sz w:val="22"/>
          <w:szCs w:val="22"/>
        </w:rPr>
        <w:t xml:space="preserve">ema: </w:t>
      </w:r>
      <w:r w:rsidR="00D152CD" w:rsidRPr="005F287B">
        <w:rPr>
          <w:rFonts w:ascii="ITC Avant Garde" w:hAnsi="ITC Avant Garde"/>
          <w:b/>
          <w:color w:val="000000" w:themeColor="text1"/>
          <w:sz w:val="22"/>
          <w:szCs w:val="22"/>
        </w:rPr>
        <w:t xml:space="preserve">Momento </w:t>
      </w:r>
      <w:r w:rsidR="0074341B" w:rsidRPr="005F287B">
        <w:rPr>
          <w:rFonts w:ascii="ITC Avant Garde" w:hAnsi="ITC Avant Garde"/>
          <w:b/>
          <w:color w:val="000000" w:themeColor="text1"/>
          <w:sz w:val="22"/>
          <w:szCs w:val="22"/>
        </w:rPr>
        <w:t>de aplicación de la prueba</w:t>
      </w:r>
    </w:p>
    <w:p w:rsidR="00365222" w:rsidRPr="005F287B" w:rsidRDefault="00365222" w:rsidP="00F500BC">
      <w:pPr>
        <w:spacing w:after="0" w:line="240" w:lineRule="auto"/>
        <w:jc w:val="both"/>
        <w:rPr>
          <w:rFonts w:ascii="ITC Avant Garde" w:hAnsi="ITC Avant Garde" w:cs="Arial"/>
          <w:color w:val="000000" w:themeColor="text1"/>
        </w:rPr>
      </w:pPr>
    </w:p>
    <w:p w:rsidR="00F54B33" w:rsidRPr="005F287B" w:rsidRDefault="00F54B33" w:rsidP="00F500BC">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Se sugiere la implementación de pruebas ex ante y ex post. A </w:t>
      </w:r>
      <w:r w:rsidR="00F500BC" w:rsidRPr="005F287B">
        <w:rPr>
          <w:rFonts w:ascii="ITC Avant Garde" w:hAnsi="ITC Avant Garde" w:cs="Arial"/>
          <w:color w:val="000000" w:themeColor="text1"/>
        </w:rPr>
        <w:t>continuación,</w:t>
      </w:r>
      <w:r w:rsidRPr="005F287B">
        <w:rPr>
          <w:rFonts w:ascii="ITC Avant Garde" w:hAnsi="ITC Avant Garde" w:cs="Arial"/>
          <w:color w:val="000000" w:themeColor="text1"/>
        </w:rPr>
        <w:t xml:space="preserve"> se mencionan </w:t>
      </w:r>
      <w:r w:rsidR="00FC2532" w:rsidRPr="005F287B">
        <w:rPr>
          <w:rFonts w:ascii="ITC Avant Garde" w:hAnsi="ITC Avant Garde" w:cs="Arial"/>
          <w:color w:val="000000" w:themeColor="text1"/>
        </w:rPr>
        <w:t xml:space="preserve">las propuestas y </w:t>
      </w:r>
      <w:r w:rsidRPr="005F287B">
        <w:rPr>
          <w:rFonts w:ascii="ITC Avant Garde" w:hAnsi="ITC Avant Garde" w:cs="Arial"/>
          <w:color w:val="000000" w:themeColor="text1"/>
        </w:rPr>
        <w:t>los argumentos presentados</w:t>
      </w:r>
      <w:r w:rsidR="00F414A8" w:rsidRPr="005F287B">
        <w:rPr>
          <w:rFonts w:ascii="ITC Avant Garde" w:hAnsi="ITC Avant Garde" w:cs="Arial"/>
          <w:color w:val="000000" w:themeColor="text1"/>
        </w:rPr>
        <w:t>:</w:t>
      </w:r>
    </w:p>
    <w:p w:rsidR="00F500BC" w:rsidRPr="005F287B" w:rsidRDefault="00F500BC" w:rsidP="00F500BC">
      <w:pPr>
        <w:spacing w:after="0" w:line="240" w:lineRule="auto"/>
        <w:jc w:val="both"/>
        <w:rPr>
          <w:rFonts w:ascii="ITC Avant Garde" w:hAnsi="ITC Avant Garde" w:cs="Arial"/>
          <w:color w:val="000000" w:themeColor="text1"/>
        </w:rPr>
      </w:pPr>
    </w:p>
    <w:p w:rsidR="00A41F42" w:rsidRPr="005F287B" w:rsidRDefault="00F54B33" w:rsidP="0069622D">
      <w:pPr>
        <w:pStyle w:val="Prrafodelista"/>
        <w:numPr>
          <w:ilvl w:val="0"/>
          <w:numId w:val="6"/>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L</w:t>
      </w:r>
      <w:r w:rsidR="0074341B" w:rsidRPr="005F287B">
        <w:rPr>
          <w:rFonts w:ascii="ITC Avant Garde" w:hAnsi="ITC Avant Garde" w:cs="Arial"/>
          <w:color w:val="000000" w:themeColor="text1"/>
        </w:rPr>
        <w:t xml:space="preserve">a implementación de la prueba debe ser ex ante y ex post, </w:t>
      </w:r>
      <w:r w:rsidR="00315666" w:rsidRPr="005F287B">
        <w:rPr>
          <w:rFonts w:ascii="ITC Avant Garde" w:hAnsi="ITC Avant Garde" w:cs="Arial"/>
          <w:color w:val="000000" w:themeColor="text1"/>
        </w:rPr>
        <w:t>dada la ventaja competitiva del AEP</w:t>
      </w:r>
      <w:r w:rsidR="0074341B" w:rsidRPr="005F287B">
        <w:rPr>
          <w:rFonts w:ascii="ITC Avant Garde" w:hAnsi="ITC Avant Garde" w:cs="Arial"/>
          <w:color w:val="000000" w:themeColor="text1"/>
        </w:rPr>
        <w:t xml:space="preserve"> y porque de acuerdo a las medidas Sexagésima Cuarta del Anexo 1, Sexagésima Séptima del Anexo 2 y Cuadragésima Novena del Anexo 3, se define la adopción de una regulación ex ante en la evaluación de la replicabilidad económica de las tarifas del AEP y la metodología propuesta para enlaces dedicados únicamente considera la aplicación de pruebas ex post. Por lo </w:t>
      </w:r>
      <w:r w:rsidR="00F500BC" w:rsidRPr="005F287B">
        <w:rPr>
          <w:rFonts w:ascii="ITC Avant Garde" w:hAnsi="ITC Avant Garde" w:cs="Arial"/>
          <w:color w:val="000000" w:themeColor="text1"/>
        </w:rPr>
        <w:t>que,</w:t>
      </w:r>
      <w:r w:rsidR="0074341B" w:rsidRPr="005F287B">
        <w:rPr>
          <w:rFonts w:ascii="ITC Avant Garde" w:hAnsi="ITC Avant Garde" w:cs="Arial"/>
          <w:color w:val="000000" w:themeColor="text1"/>
        </w:rPr>
        <w:t xml:space="preserve"> para dar cumplimiento a lo dispuesto por la Resolución de Preponderancia, el Instituto debería aplicar pruebas de replicabilidad económica de tarifas ex ante a la totalidad de los planes comerciales ofrecidos por el AEP en Telecomunicaciones en el segmento minorista.</w:t>
      </w:r>
    </w:p>
    <w:p w:rsidR="00F500BC" w:rsidRPr="005F287B" w:rsidRDefault="00F500BC" w:rsidP="00F500BC">
      <w:pPr>
        <w:pStyle w:val="Prrafodelista"/>
        <w:spacing w:after="0" w:line="240" w:lineRule="auto"/>
        <w:contextualSpacing w:val="0"/>
        <w:jc w:val="both"/>
        <w:rPr>
          <w:rFonts w:ascii="ITC Avant Garde" w:hAnsi="ITC Avant Garde" w:cs="Arial"/>
          <w:color w:val="000000" w:themeColor="text1"/>
        </w:rPr>
      </w:pPr>
    </w:p>
    <w:p w:rsidR="00F500BC" w:rsidRDefault="008073EA" w:rsidP="005F287B">
      <w:pPr>
        <w:pStyle w:val="Prrafodelista"/>
        <w:numPr>
          <w:ilvl w:val="0"/>
          <w:numId w:val="6"/>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Se</w:t>
      </w:r>
      <w:r w:rsidR="0074341B" w:rsidRPr="005F287B">
        <w:rPr>
          <w:rFonts w:ascii="ITC Avant Garde" w:hAnsi="ITC Avant Garde" w:cs="Arial"/>
          <w:color w:val="000000" w:themeColor="text1"/>
        </w:rPr>
        <w:t xml:space="preserve"> considera que se debería realizar una revisión automática de contratos individuales que contengan enlaces dedicados por encima de un valor anual de 750,000 pesos</w:t>
      </w:r>
      <w:r w:rsidRPr="005F287B">
        <w:rPr>
          <w:rFonts w:ascii="ITC Avant Garde" w:hAnsi="ITC Avant Garde" w:cs="Arial"/>
          <w:color w:val="000000" w:themeColor="text1"/>
        </w:rPr>
        <w:t xml:space="preserve"> ya que se proporcionaría al Instituto la oportunidad de revisar contratos de tecnologías de la información y comunicación a su discreción o a petición de los concesionarios solicitantes.</w:t>
      </w:r>
    </w:p>
    <w:p w:rsidR="005F287B" w:rsidRPr="005F287B" w:rsidRDefault="005F287B" w:rsidP="005F287B">
      <w:pPr>
        <w:spacing w:after="0" w:line="240" w:lineRule="auto"/>
        <w:jc w:val="both"/>
        <w:rPr>
          <w:rFonts w:ascii="ITC Avant Garde" w:hAnsi="ITC Avant Garde" w:cs="Arial"/>
          <w:color w:val="000000" w:themeColor="text1"/>
        </w:rPr>
      </w:pPr>
    </w:p>
    <w:p w:rsidR="003643DB" w:rsidRPr="005F287B" w:rsidRDefault="003643DB" w:rsidP="0069622D">
      <w:pPr>
        <w:pStyle w:val="Prrafodelista"/>
        <w:numPr>
          <w:ilvl w:val="0"/>
          <w:numId w:val="6"/>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No es de utilidad una prueba ex-ante debido a que los enlaces dedicados rara vez son vendidos según su precio de lista, por lo que las pruebas individuales no podrían replicar precios reales. Aunque el mercado mayorista de enlaces dedicados no varía sus precios según la región, los precios minoristas pueden cambiar según la región o ciudad y por lo tanto</w:t>
      </w:r>
      <w:r w:rsidR="00B039D9" w:rsidRPr="005F287B">
        <w:rPr>
          <w:rFonts w:ascii="ITC Avant Garde" w:hAnsi="ITC Avant Garde" w:cs="Arial"/>
          <w:color w:val="000000" w:themeColor="text1"/>
        </w:rPr>
        <w:t>,</w:t>
      </w:r>
      <w:r w:rsidRPr="005F287B">
        <w:rPr>
          <w:rFonts w:ascii="ITC Avant Garde" w:hAnsi="ITC Avant Garde" w:cs="Arial"/>
          <w:color w:val="000000" w:themeColor="text1"/>
        </w:rPr>
        <w:t xml:space="preserve"> el AEP adapta sus tarifas para reflejar la presencia o ausencia de competencia, situación que una prueba ex-ante sería incapaz de identificar.</w:t>
      </w:r>
    </w:p>
    <w:p w:rsidR="00F500BC" w:rsidRPr="005F287B" w:rsidRDefault="00F500BC" w:rsidP="00F500BC">
      <w:pPr>
        <w:pStyle w:val="Prrafodelista"/>
        <w:rPr>
          <w:rFonts w:ascii="ITC Avant Garde" w:hAnsi="ITC Avant Garde" w:cs="Arial"/>
          <w:color w:val="000000" w:themeColor="text1"/>
        </w:rPr>
      </w:pPr>
    </w:p>
    <w:p w:rsidR="00F52F5F" w:rsidRPr="005F287B" w:rsidRDefault="003643DB" w:rsidP="005F287B">
      <w:pPr>
        <w:pStyle w:val="Prrafodelista"/>
        <w:numPr>
          <w:ilvl w:val="0"/>
          <w:numId w:val="6"/>
        </w:numPr>
        <w:spacing w:after="0" w:line="240" w:lineRule="auto"/>
        <w:contextualSpacing w:val="0"/>
        <w:jc w:val="both"/>
      </w:pPr>
      <w:r w:rsidRPr="005F287B">
        <w:rPr>
          <w:rFonts w:ascii="ITC Avant Garde" w:hAnsi="ITC Avant Garde" w:cs="Arial"/>
          <w:color w:val="000000" w:themeColor="text1"/>
        </w:rPr>
        <w:t>Siendo la oferta comercial de enlaces dedicados una que varía solo ligeramente a lo largo del tiempo, la aplicación de un análisis ex ante no representaría una carga regulatoria adicional de relevancia ni para el AEP ni para el Instituto. En este sentido, se sugiere que la prueba para enlaces dedicados incluya un análisis ex ante.</w:t>
      </w:r>
    </w:p>
    <w:p w:rsidR="00F52F5F" w:rsidRDefault="00F52F5F" w:rsidP="0069622D">
      <w:pPr>
        <w:spacing w:after="0" w:line="240" w:lineRule="auto"/>
        <w:jc w:val="both"/>
        <w:rPr>
          <w:rFonts w:ascii="ITC Avant Garde" w:hAnsi="ITC Avant Garde" w:cs="Arial"/>
          <w:b/>
          <w:color w:val="000000" w:themeColor="text1"/>
        </w:rPr>
      </w:pPr>
    </w:p>
    <w:p w:rsidR="00F500BC" w:rsidRPr="005F287B" w:rsidRDefault="004567D5" w:rsidP="0069622D">
      <w:pPr>
        <w:spacing w:after="0" w:line="240" w:lineRule="auto"/>
        <w:jc w:val="both"/>
        <w:rPr>
          <w:rFonts w:ascii="ITC Avant Garde" w:hAnsi="ITC Avant Garde" w:cs="Arial"/>
          <w:b/>
          <w:color w:val="000000" w:themeColor="text1"/>
        </w:rPr>
      </w:pPr>
      <w:r w:rsidRPr="005F287B">
        <w:rPr>
          <w:rFonts w:ascii="ITC Avant Garde" w:hAnsi="ITC Avant Garde" w:cs="Arial"/>
          <w:b/>
          <w:color w:val="000000" w:themeColor="text1"/>
        </w:rPr>
        <w:t xml:space="preserve">Consideraciones del Instituto: </w:t>
      </w:r>
    </w:p>
    <w:p w:rsidR="00743F6F" w:rsidRPr="005F287B" w:rsidRDefault="00743F6F" w:rsidP="0069622D">
      <w:pPr>
        <w:spacing w:after="0" w:line="240" w:lineRule="auto"/>
        <w:jc w:val="both"/>
        <w:rPr>
          <w:rFonts w:ascii="ITC Avant Garde" w:hAnsi="ITC Avant Garde" w:cs="Arial"/>
          <w:color w:val="000000" w:themeColor="text1"/>
        </w:rPr>
      </w:pPr>
    </w:p>
    <w:p w:rsidR="00743F6F" w:rsidRPr="005F287B" w:rsidRDefault="00956B98" w:rsidP="0069622D">
      <w:pPr>
        <w:spacing w:after="0" w:line="240" w:lineRule="auto"/>
        <w:jc w:val="both"/>
        <w:rPr>
          <w:rFonts w:ascii="ITC Avant Garde" w:hAnsi="ITC Avant Garde" w:cs="Arial"/>
          <w:color w:val="000000" w:themeColor="text1"/>
        </w:rPr>
      </w:pPr>
      <w:r w:rsidRPr="005E0309">
        <w:rPr>
          <w:rFonts w:ascii="ITC Avant Garde" w:hAnsi="ITC Avant Garde" w:cs="Arial"/>
          <w:color w:val="000000"/>
        </w:rPr>
        <w:t xml:space="preserve">Los enlaces dedicados minoristas son un servicio demandando por clientes del segmento empresarial. </w:t>
      </w:r>
      <w:r w:rsidR="005E0309">
        <w:rPr>
          <w:rFonts w:ascii="ITC Avant Garde" w:hAnsi="ITC Avant Garde" w:cs="Arial"/>
          <w:color w:val="000000"/>
        </w:rPr>
        <w:t>En ese sentido, l</w:t>
      </w:r>
      <w:r w:rsidRPr="005E0309">
        <w:rPr>
          <w:rFonts w:ascii="ITC Avant Garde" w:hAnsi="ITC Avant Garde" w:cs="Arial"/>
          <w:color w:val="000000"/>
        </w:rPr>
        <w:t xml:space="preserve">a flexibilidad comercial a la hora de responder a las solicitudes de conectividad de este segmento es importante, por lo que </w:t>
      </w:r>
      <w:r w:rsidR="005E0309">
        <w:rPr>
          <w:rFonts w:ascii="ITC Avant Garde" w:hAnsi="ITC Avant Garde" w:cs="Arial"/>
          <w:color w:val="000000"/>
        </w:rPr>
        <w:t>una</w:t>
      </w:r>
      <w:r w:rsidR="005E0309" w:rsidRPr="005E0309">
        <w:rPr>
          <w:rFonts w:ascii="ITC Avant Garde" w:hAnsi="ITC Avant Garde" w:cs="Arial"/>
          <w:color w:val="000000"/>
        </w:rPr>
        <w:t xml:space="preserve"> </w:t>
      </w:r>
      <w:r w:rsidRPr="005E0309">
        <w:rPr>
          <w:rFonts w:ascii="ITC Avant Garde" w:hAnsi="ITC Avant Garde" w:cs="Arial"/>
          <w:color w:val="000000"/>
        </w:rPr>
        <w:t xml:space="preserve">prueba ex ante resultaría en una disminución del dinamismo del mercado. </w:t>
      </w:r>
    </w:p>
    <w:p w:rsidR="00743F6F" w:rsidRPr="005F287B" w:rsidRDefault="00743F6F" w:rsidP="0069622D">
      <w:pPr>
        <w:spacing w:after="0" w:line="240" w:lineRule="auto"/>
        <w:jc w:val="both"/>
        <w:rPr>
          <w:rFonts w:ascii="ITC Avant Garde" w:hAnsi="ITC Avant Garde" w:cs="Arial"/>
          <w:color w:val="000000" w:themeColor="text1"/>
        </w:rPr>
      </w:pPr>
    </w:p>
    <w:p w:rsidR="00956B98" w:rsidRPr="005F287B" w:rsidRDefault="005E0309" w:rsidP="0069622D">
      <w:pPr>
        <w:spacing w:after="0" w:line="240" w:lineRule="auto"/>
        <w:jc w:val="both"/>
        <w:rPr>
          <w:rFonts w:ascii="ITC Avant Garde" w:hAnsi="ITC Avant Garde" w:cs="Arial"/>
          <w:color w:val="000000" w:themeColor="text1"/>
        </w:rPr>
      </w:pPr>
      <w:r>
        <w:rPr>
          <w:rFonts w:ascii="ITC Avant Garde" w:hAnsi="ITC Avant Garde" w:cs="Arial"/>
          <w:color w:val="000000"/>
        </w:rPr>
        <w:t>Al utilizar</w:t>
      </w:r>
      <w:r w:rsidRPr="005E0309">
        <w:rPr>
          <w:rFonts w:ascii="ITC Avant Garde" w:hAnsi="ITC Avant Garde" w:cs="Arial"/>
          <w:color w:val="000000"/>
        </w:rPr>
        <w:t xml:space="preserve"> </w:t>
      </w:r>
      <w:r w:rsidR="00F65B22" w:rsidRPr="005E0309">
        <w:rPr>
          <w:rFonts w:ascii="ITC Avant Garde" w:hAnsi="ITC Avant Garde" w:cs="Arial"/>
          <w:color w:val="000000"/>
        </w:rPr>
        <w:t>un enfoque ex post</w:t>
      </w:r>
      <w:r>
        <w:rPr>
          <w:rFonts w:ascii="ITC Avant Garde" w:hAnsi="ITC Avant Garde" w:cs="Arial"/>
          <w:color w:val="000000"/>
        </w:rPr>
        <w:t>,</w:t>
      </w:r>
      <w:r w:rsidR="00956B98" w:rsidRPr="005E0309">
        <w:rPr>
          <w:rFonts w:ascii="ITC Avant Garde" w:hAnsi="ITC Avant Garde" w:cs="Arial"/>
          <w:color w:val="000000"/>
        </w:rPr>
        <w:t xml:space="preserve"> se evita</w:t>
      </w:r>
      <w:r w:rsidR="005F287B">
        <w:rPr>
          <w:rFonts w:ascii="ITC Avant Garde" w:hAnsi="ITC Avant Garde" w:cs="Arial"/>
          <w:color w:val="000000"/>
        </w:rPr>
        <w:t xml:space="preserve"> </w:t>
      </w:r>
      <w:r w:rsidR="00956B98" w:rsidRPr="005E0309">
        <w:rPr>
          <w:rFonts w:ascii="ITC Avant Garde" w:hAnsi="ITC Avant Garde" w:cs="Arial"/>
          <w:color w:val="000000"/>
        </w:rPr>
        <w:t xml:space="preserve">la necesidad de realizar predicciones, como </w:t>
      </w:r>
      <w:r w:rsidR="00956B98" w:rsidRPr="005F287B">
        <w:rPr>
          <w:rFonts w:ascii="ITC Avant Garde" w:hAnsi="ITC Avant Garde" w:cs="Arial"/>
          <w:color w:val="000000" w:themeColor="text1"/>
        </w:rPr>
        <w:t>se requeriría con un enfoque ex – ante, con la incertidumbre que ello conlleva.</w:t>
      </w:r>
    </w:p>
    <w:p w:rsidR="00F500BC" w:rsidRPr="005F287B" w:rsidRDefault="00F500BC" w:rsidP="0069622D">
      <w:pPr>
        <w:spacing w:after="0" w:line="240" w:lineRule="auto"/>
        <w:jc w:val="both"/>
        <w:rPr>
          <w:rFonts w:ascii="ITC Avant Garde" w:hAnsi="ITC Avant Garde" w:cs="Arial"/>
          <w:color w:val="000000" w:themeColor="text1"/>
        </w:rPr>
      </w:pPr>
    </w:p>
    <w:p w:rsidR="00956B98" w:rsidRPr="005F287B" w:rsidRDefault="00956B98"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Respecto a la consideración de realizar una revisión automática de contratos de enlaces que superen un valor anual de 750,000 pesos</w:t>
      </w:r>
      <w:r w:rsidR="00C5162F" w:rsidRPr="005F287B">
        <w:rPr>
          <w:rFonts w:ascii="ITC Avant Garde" w:hAnsi="ITC Avant Garde" w:cs="Arial"/>
          <w:color w:val="000000" w:themeColor="text1"/>
        </w:rPr>
        <w:t xml:space="preserve"> (M.N.)</w:t>
      </w:r>
      <w:r w:rsidRPr="005F287B">
        <w:rPr>
          <w:rFonts w:ascii="ITC Avant Garde" w:hAnsi="ITC Avant Garde" w:cs="Arial"/>
          <w:color w:val="000000" w:themeColor="text1"/>
        </w:rPr>
        <w:t xml:space="preserve">, </w:t>
      </w:r>
      <w:r w:rsidR="00C5162F" w:rsidRPr="005F287B">
        <w:rPr>
          <w:rFonts w:ascii="ITC Avant Garde" w:hAnsi="ITC Avant Garde" w:cs="Arial"/>
          <w:color w:val="000000" w:themeColor="text1"/>
        </w:rPr>
        <w:t>se debe</w:t>
      </w:r>
      <w:r w:rsidRPr="005F287B">
        <w:rPr>
          <w:rFonts w:ascii="ITC Avant Garde" w:hAnsi="ITC Avant Garde" w:cs="Arial"/>
          <w:color w:val="000000" w:themeColor="text1"/>
        </w:rPr>
        <w:t xml:space="preserve"> señalar que una prueba oferta por oferta implica</w:t>
      </w:r>
      <w:r w:rsidR="00B1174C" w:rsidRPr="005F287B">
        <w:rPr>
          <w:rFonts w:ascii="ITC Avant Garde" w:hAnsi="ITC Avant Garde" w:cs="Arial"/>
          <w:color w:val="000000" w:themeColor="text1"/>
        </w:rPr>
        <w:t>ría</w:t>
      </w:r>
      <w:r w:rsidRPr="005F287B">
        <w:rPr>
          <w:rFonts w:ascii="ITC Avant Garde" w:hAnsi="ITC Avant Garde" w:cs="Arial"/>
          <w:color w:val="000000" w:themeColor="text1"/>
        </w:rPr>
        <w:t xml:space="preserve"> asignar </w:t>
      </w:r>
      <w:r w:rsidR="008F7491" w:rsidRPr="005F287B">
        <w:rPr>
          <w:rFonts w:ascii="ITC Avant Garde" w:hAnsi="ITC Avant Garde" w:cs="Arial"/>
          <w:color w:val="000000" w:themeColor="text1"/>
        </w:rPr>
        <w:t xml:space="preserve">una alta proporción de los </w:t>
      </w:r>
      <w:r w:rsidRPr="005F287B">
        <w:rPr>
          <w:rFonts w:ascii="ITC Avant Garde" w:hAnsi="ITC Avant Garde" w:cs="Arial"/>
          <w:color w:val="000000" w:themeColor="text1"/>
        </w:rPr>
        <w:t>costos comunes a las ofertas individuales, con el riesgo de producir una distorsión de los precios</w:t>
      </w:r>
      <w:r w:rsidR="00B1174C" w:rsidRPr="005F287B">
        <w:rPr>
          <w:rFonts w:ascii="ITC Avant Garde" w:hAnsi="ITC Avant Garde" w:cs="Arial"/>
          <w:color w:val="000000" w:themeColor="text1"/>
        </w:rPr>
        <w:t xml:space="preserve"> </w:t>
      </w:r>
      <w:r w:rsidR="008F7491" w:rsidRPr="005F287B">
        <w:rPr>
          <w:rFonts w:ascii="ITC Avant Garde" w:hAnsi="ITC Avant Garde" w:cs="Arial"/>
          <w:color w:val="000000" w:themeColor="text1"/>
        </w:rPr>
        <w:t xml:space="preserve">minoristas </w:t>
      </w:r>
      <w:r w:rsidR="00B1174C" w:rsidRPr="005F287B">
        <w:rPr>
          <w:rFonts w:ascii="ITC Avant Garde" w:hAnsi="ITC Avant Garde" w:cs="Arial"/>
          <w:color w:val="000000" w:themeColor="text1"/>
        </w:rPr>
        <w:t xml:space="preserve">y, por ende, disminuir la capacidad de la prueba para </w:t>
      </w:r>
      <w:r w:rsidR="008F7491" w:rsidRPr="005F287B">
        <w:rPr>
          <w:rFonts w:ascii="ITC Avant Garde" w:hAnsi="ITC Avant Garde" w:cs="Arial"/>
          <w:color w:val="000000" w:themeColor="text1"/>
        </w:rPr>
        <w:t>identificar correctamente las</w:t>
      </w:r>
      <w:r w:rsidR="00B1174C" w:rsidRPr="005F287B">
        <w:rPr>
          <w:rFonts w:ascii="ITC Avant Garde" w:hAnsi="ITC Avant Garde" w:cs="Arial"/>
          <w:color w:val="000000" w:themeColor="text1"/>
        </w:rPr>
        <w:t xml:space="preserve"> prácticas de estrechamiento de márgenes</w:t>
      </w:r>
      <w:r w:rsidR="00430FA1" w:rsidRPr="005F287B">
        <w:rPr>
          <w:rFonts w:ascii="ITC Avant Garde" w:hAnsi="ITC Avant Garde" w:cs="Arial"/>
          <w:color w:val="000000" w:themeColor="text1"/>
        </w:rPr>
        <w:t>.</w:t>
      </w:r>
    </w:p>
    <w:p w:rsidR="00F500BC" w:rsidRPr="005F287B" w:rsidRDefault="00F500BC" w:rsidP="0069622D">
      <w:pPr>
        <w:spacing w:after="0" w:line="240" w:lineRule="auto"/>
        <w:jc w:val="both"/>
        <w:rPr>
          <w:rFonts w:ascii="ITC Avant Garde" w:hAnsi="ITC Avant Garde" w:cs="Arial"/>
          <w:color w:val="000000" w:themeColor="text1"/>
        </w:rPr>
      </w:pPr>
    </w:p>
    <w:p w:rsidR="00F500BC" w:rsidRPr="005F287B" w:rsidRDefault="00315666" w:rsidP="004567D5">
      <w:pPr>
        <w:pStyle w:val="Ttulo2"/>
        <w:spacing w:before="0" w:line="240" w:lineRule="auto"/>
        <w:rPr>
          <w:rFonts w:ascii="ITC Avant Garde" w:hAnsi="ITC Avant Garde"/>
          <w:b/>
          <w:color w:val="000000" w:themeColor="text1"/>
          <w:sz w:val="22"/>
        </w:rPr>
      </w:pPr>
      <w:r w:rsidRPr="005F287B">
        <w:rPr>
          <w:rFonts w:ascii="ITC Avant Garde" w:hAnsi="ITC Avant Garde"/>
          <w:b/>
          <w:color w:val="000000" w:themeColor="text1"/>
          <w:sz w:val="22"/>
        </w:rPr>
        <w:t>Tema: Estándar de</w:t>
      </w:r>
      <w:r w:rsidR="0055657D" w:rsidRPr="005F287B">
        <w:rPr>
          <w:rFonts w:ascii="ITC Avant Garde" w:hAnsi="ITC Avant Garde"/>
          <w:b/>
          <w:color w:val="000000" w:themeColor="text1"/>
          <w:sz w:val="22"/>
        </w:rPr>
        <w:t xml:space="preserve"> costos</w:t>
      </w:r>
    </w:p>
    <w:p w:rsidR="00EE21A9" w:rsidRPr="005F287B" w:rsidRDefault="00EE21A9" w:rsidP="00F500BC">
      <w:pPr>
        <w:spacing w:after="0" w:line="240" w:lineRule="auto"/>
        <w:jc w:val="both"/>
        <w:rPr>
          <w:rFonts w:ascii="ITC Avant Garde" w:hAnsi="ITC Avant Garde" w:cs="Arial"/>
          <w:color w:val="000000" w:themeColor="text1"/>
        </w:rPr>
      </w:pPr>
    </w:p>
    <w:p w:rsidR="00A41F42" w:rsidRPr="005F287B" w:rsidRDefault="00A41F42" w:rsidP="00F500BC">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Se sugiere la implementación de un estándar LRIC+ o FAC. A </w:t>
      </w:r>
      <w:r w:rsidR="00F500BC" w:rsidRPr="005F287B">
        <w:rPr>
          <w:rFonts w:ascii="ITC Avant Garde" w:hAnsi="ITC Avant Garde" w:cs="Arial"/>
          <w:color w:val="000000" w:themeColor="text1"/>
        </w:rPr>
        <w:t>continuación,</w:t>
      </w:r>
      <w:r w:rsidRPr="005F287B">
        <w:rPr>
          <w:rFonts w:ascii="ITC Avant Garde" w:hAnsi="ITC Avant Garde" w:cs="Arial"/>
          <w:color w:val="000000" w:themeColor="text1"/>
        </w:rPr>
        <w:t xml:space="preserve"> se mencionan los argumentos presentados:</w:t>
      </w:r>
    </w:p>
    <w:p w:rsidR="00EE21A9" w:rsidRPr="005F287B" w:rsidRDefault="00EE21A9" w:rsidP="00F500BC">
      <w:pPr>
        <w:spacing w:after="0" w:line="240" w:lineRule="auto"/>
        <w:jc w:val="both"/>
        <w:rPr>
          <w:rFonts w:ascii="ITC Avant Garde" w:hAnsi="ITC Avant Garde" w:cs="Arial"/>
          <w:color w:val="000000" w:themeColor="text1"/>
        </w:rPr>
      </w:pPr>
    </w:p>
    <w:p w:rsidR="00A41F42" w:rsidRPr="005F287B" w:rsidRDefault="00A41F42" w:rsidP="0069622D">
      <w:pPr>
        <w:pStyle w:val="Prrafodelista"/>
        <w:numPr>
          <w:ilvl w:val="0"/>
          <w:numId w:val="7"/>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Se</w:t>
      </w:r>
      <w:r w:rsidR="00315666" w:rsidRPr="005F287B">
        <w:rPr>
          <w:rFonts w:ascii="ITC Avant Garde" w:hAnsi="ITC Avant Garde" w:cs="Arial"/>
          <w:color w:val="000000" w:themeColor="text1"/>
        </w:rPr>
        <w:t xml:space="preserve"> considera que utilizar un estándar FAC es más transparente y benefici</w:t>
      </w:r>
      <w:r w:rsidR="001B6114" w:rsidRPr="005F287B">
        <w:rPr>
          <w:rFonts w:ascii="ITC Avant Garde" w:hAnsi="ITC Avant Garde" w:cs="Arial"/>
          <w:color w:val="000000" w:themeColor="text1"/>
        </w:rPr>
        <w:t>a</w:t>
      </w:r>
      <w:r w:rsidR="00315666" w:rsidRPr="005F287B">
        <w:rPr>
          <w:rFonts w:ascii="ITC Avant Garde" w:hAnsi="ITC Avant Garde" w:cs="Arial"/>
          <w:color w:val="000000" w:themeColor="text1"/>
        </w:rPr>
        <w:t xml:space="preserve"> a la competencia, ya que permit</w:t>
      </w:r>
      <w:r w:rsidR="001B6114" w:rsidRPr="005F287B">
        <w:rPr>
          <w:rFonts w:ascii="ITC Avant Garde" w:hAnsi="ITC Avant Garde" w:cs="Arial"/>
          <w:color w:val="000000" w:themeColor="text1"/>
        </w:rPr>
        <w:t>e</w:t>
      </w:r>
      <w:r w:rsidR="00315666" w:rsidRPr="005F287B">
        <w:rPr>
          <w:rFonts w:ascii="ITC Avant Garde" w:hAnsi="ITC Avant Garde" w:cs="Arial"/>
          <w:color w:val="000000" w:themeColor="text1"/>
        </w:rPr>
        <w:t xml:space="preserve"> identificar claramente los costos en los que incurre el operador preponderante sobre todo porque estos pueden ser obtenidos a partir de la separación contable. Este estándar, además de permitir recuperar todos los costos comunes y compartidos entre los distintos servicios, supone una baja carga regulatoria si la información está disponible.</w:t>
      </w:r>
    </w:p>
    <w:p w:rsidR="00F500BC" w:rsidRPr="005F287B" w:rsidRDefault="00F500BC" w:rsidP="00F500BC">
      <w:pPr>
        <w:pStyle w:val="Prrafodelista"/>
        <w:spacing w:after="0" w:line="240" w:lineRule="auto"/>
        <w:contextualSpacing w:val="0"/>
        <w:jc w:val="both"/>
        <w:rPr>
          <w:rFonts w:ascii="ITC Avant Garde" w:hAnsi="ITC Avant Garde" w:cs="Arial"/>
          <w:color w:val="000000" w:themeColor="text1"/>
        </w:rPr>
      </w:pPr>
    </w:p>
    <w:p w:rsidR="008073EA" w:rsidRPr="005F287B" w:rsidRDefault="00A41F42" w:rsidP="0069622D">
      <w:pPr>
        <w:pStyle w:val="Prrafodelista"/>
        <w:numPr>
          <w:ilvl w:val="0"/>
          <w:numId w:val="7"/>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Se</w:t>
      </w:r>
      <w:r w:rsidR="00315666" w:rsidRPr="005F287B">
        <w:rPr>
          <w:rFonts w:ascii="ITC Avant Garde" w:hAnsi="ITC Avant Garde" w:cs="Arial"/>
          <w:color w:val="000000" w:themeColor="text1"/>
        </w:rPr>
        <w:t xml:space="preserve"> plantea utilizar un estándar LRIC+ o FAC si los costos son ajustados a la escala</w:t>
      </w:r>
      <w:r w:rsidR="008073EA" w:rsidRPr="005F287B">
        <w:rPr>
          <w:rFonts w:ascii="ITC Avant Garde" w:hAnsi="ITC Avant Garde" w:cs="Arial"/>
          <w:color w:val="000000" w:themeColor="text1"/>
        </w:rPr>
        <w:t xml:space="preserve"> del concesionario solicitante ya que se debe permitir la recuperación de costos comunes al AEP a través de todos sus contratos.</w:t>
      </w:r>
    </w:p>
    <w:p w:rsidR="00F500BC" w:rsidRPr="005F287B" w:rsidRDefault="00F500BC" w:rsidP="00F500BC">
      <w:pPr>
        <w:pStyle w:val="Prrafodelista"/>
        <w:rPr>
          <w:rFonts w:ascii="ITC Avant Garde" w:hAnsi="ITC Avant Garde" w:cs="Arial"/>
          <w:color w:val="000000" w:themeColor="text1"/>
        </w:rPr>
      </w:pPr>
    </w:p>
    <w:p w:rsidR="00A41F42" w:rsidRPr="005F287B" w:rsidRDefault="006038B6" w:rsidP="0069622D">
      <w:pPr>
        <w:pStyle w:val="Prrafodelista"/>
        <w:numPr>
          <w:ilvl w:val="0"/>
          <w:numId w:val="7"/>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Se</w:t>
      </w:r>
      <w:r w:rsidR="00315666" w:rsidRPr="005F287B">
        <w:rPr>
          <w:rFonts w:ascii="ITC Avant Garde" w:hAnsi="ITC Avant Garde" w:cs="Arial"/>
          <w:color w:val="000000" w:themeColor="text1"/>
        </w:rPr>
        <w:t xml:space="preserve"> sugiere que se utilice el modelo para el cual se disponga de datos para facilitar la construcción de los modelos lo antes posible.</w:t>
      </w:r>
    </w:p>
    <w:p w:rsidR="00F500BC" w:rsidRPr="005F287B" w:rsidRDefault="00F500BC" w:rsidP="00F500BC">
      <w:pPr>
        <w:pStyle w:val="Prrafodelista"/>
        <w:rPr>
          <w:rFonts w:ascii="ITC Avant Garde" w:hAnsi="ITC Avant Garde" w:cs="Arial"/>
          <w:color w:val="000000" w:themeColor="text1"/>
        </w:rPr>
      </w:pPr>
    </w:p>
    <w:p w:rsidR="00F84033" w:rsidRPr="005F287B" w:rsidRDefault="003E322D" w:rsidP="0069622D">
      <w:pPr>
        <w:pStyle w:val="Prrafodelista"/>
        <w:numPr>
          <w:ilvl w:val="0"/>
          <w:numId w:val="7"/>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LRIC+ no permite recuperar los costos minoristas incluidos en el “Módulo de cálculo</w:t>
      </w:r>
      <w:r w:rsidR="00A41F42" w:rsidRPr="005F287B">
        <w:rPr>
          <w:rFonts w:ascii="ITC Avant Garde" w:hAnsi="ITC Avant Garde" w:cs="Arial"/>
          <w:color w:val="000000" w:themeColor="text1"/>
        </w:rPr>
        <w:t>” de la prueba. Asimismo, no</w:t>
      </w:r>
      <w:r w:rsidRPr="005F287B">
        <w:rPr>
          <w:rFonts w:ascii="ITC Avant Garde" w:hAnsi="ITC Avant Garde" w:cs="Arial"/>
          <w:color w:val="000000" w:themeColor="text1"/>
        </w:rPr>
        <w:t xml:space="preserve"> queda claro por qué en móvil se usa LRIC y en enlaces dedicados LRIC+, o si los datos de América móvil serán auditados.</w:t>
      </w:r>
    </w:p>
    <w:p w:rsidR="00BC1C8E" w:rsidRDefault="00BC1C8E" w:rsidP="0069622D">
      <w:pPr>
        <w:spacing w:after="0" w:line="240" w:lineRule="auto"/>
        <w:jc w:val="both"/>
        <w:rPr>
          <w:rFonts w:ascii="ITC Avant Garde" w:hAnsi="ITC Avant Garde" w:cs="Arial"/>
          <w:color w:val="000000" w:themeColor="text1"/>
        </w:rPr>
      </w:pPr>
    </w:p>
    <w:p w:rsidR="00FC739F" w:rsidRPr="005F287B" w:rsidRDefault="00F52F5F" w:rsidP="0069622D">
      <w:pPr>
        <w:spacing w:after="0" w:line="240" w:lineRule="auto"/>
        <w:jc w:val="both"/>
        <w:rPr>
          <w:rFonts w:ascii="ITC Avant Garde" w:hAnsi="ITC Avant Garde" w:cs="Arial"/>
          <w:b/>
          <w:color w:val="000000" w:themeColor="text1"/>
        </w:rPr>
      </w:pPr>
      <w:r w:rsidRPr="00D11923">
        <w:rPr>
          <w:rFonts w:ascii="ITC Avant Garde" w:hAnsi="ITC Avant Garde" w:cs="Arial"/>
          <w:b/>
          <w:color w:val="000000" w:themeColor="text1"/>
        </w:rPr>
        <w:t>Consideraciones del Instituto</w:t>
      </w:r>
      <w:r w:rsidR="00F84033" w:rsidRPr="005F287B">
        <w:rPr>
          <w:rFonts w:ascii="ITC Avant Garde" w:hAnsi="ITC Avant Garde" w:cs="Arial"/>
          <w:b/>
          <w:color w:val="000000" w:themeColor="text1"/>
        </w:rPr>
        <w:t>:</w:t>
      </w:r>
    </w:p>
    <w:p w:rsidR="00F500BC" w:rsidRPr="005F287B" w:rsidRDefault="00F84033"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 </w:t>
      </w:r>
    </w:p>
    <w:p w:rsidR="003C3DC5" w:rsidRPr="005F287B" w:rsidRDefault="00F84033"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Debido a la segmentación por enlaces locales, </w:t>
      </w:r>
      <w:r w:rsidR="00447DC2" w:rsidRPr="005F287B">
        <w:rPr>
          <w:rFonts w:ascii="ITC Avant Garde" w:hAnsi="ITC Avant Garde" w:cs="Arial"/>
          <w:color w:val="000000" w:themeColor="text1"/>
        </w:rPr>
        <w:t xml:space="preserve">entre localidades </w:t>
      </w:r>
      <w:r w:rsidRPr="005F287B">
        <w:rPr>
          <w:rFonts w:ascii="ITC Avant Garde" w:hAnsi="ITC Avant Garde" w:cs="Arial"/>
          <w:color w:val="000000" w:themeColor="text1"/>
        </w:rPr>
        <w:t xml:space="preserve">e internacionales, es razonable adoptar un enfoque LRIC+. Esto se debe a </w:t>
      </w:r>
      <w:r w:rsidR="00F500BC" w:rsidRPr="005F287B">
        <w:rPr>
          <w:rFonts w:ascii="ITC Avant Garde" w:hAnsi="ITC Avant Garde" w:cs="Arial"/>
          <w:color w:val="000000" w:themeColor="text1"/>
        </w:rPr>
        <w:t>que,</w:t>
      </w:r>
      <w:r w:rsidRPr="005F287B">
        <w:rPr>
          <w:rFonts w:ascii="ITC Avant Garde" w:hAnsi="ITC Avant Garde" w:cs="Arial"/>
          <w:color w:val="000000" w:themeColor="text1"/>
        </w:rPr>
        <w:t xml:space="preserve"> al haber una desagregación, </w:t>
      </w:r>
      <w:r w:rsidR="003C3DC5" w:rsidRPr="005F287B">
        <w:rPr>
          <w:rFonts w:ascii="ITC Avant Garde" w:hAnsi="ITC Avant Garde" w:cs="Arial"/>
          <w:color w:val="000000" w:themeColor="text1"/>
        </w:rPr>
        <w:t>se puede</w:t>
      </w:r>
      <w:r w:rsidRPr="005F287B">
        <w:rPr>
          <w:rFonts w:ascii="ITC Avant Garde" w:hAnsi="ITC Avant Garde" w:cs="Arial"/>
          <w:color w:val="000000" w:themeColor="text1"/>
        </w:rPr>
        <w:t xml:space="preserve"> asegurar que el AEP esté recuperando una proporción de los costos comunes en cada uno de los segmentos en los que se desagrega la prueba. </w:t>
      </w:r>
      <w:r w:rsidR="00447DC2" w:rsidRPr="005F287B">
        <w:rPr>
          <w:rFonts w:ascii="ITC Avant Garde" w:hAnsi="ITC Avant Garde" w:cs="Arial"/>
          <w:color w:val="000000" w:themeColor="text1"/>
        </w:rPr>
        <w:t xml:space="preserve">El enfoque FAC también es adecuado, pero se estima que como primera opción no es </w:t>
      </w:r>
      <w:r w:rsidR="00F500BC" w:rsidRPr="005F287B">
        <w:rPr>
          <w:rFonts w:ascii="ITC Avant Garde" w:hAnsi="ITC Avant Garde" w:cs="Arial"/>
          <w:color w:val="000000" w:themeColor="text1"/>
        </w:rPr>
        <w:t>conveniente</w:t>
      </w:r>
      <w:r w:rsidR="00447DC2" w:rsidRPr="005F287B">
        <w:rPr>
          <w:rFonts w:ascii="ITC Avant Garde" w:hAnsi="ITC Avant Garde" w:cs="Arial"/>
          <w:color w:val="000000" w:themeColor="text1"/>
        </w:rPr>
        <w:t xml:space="preserve"> ya que implica un mayor nivel de desagregación </w:t>
      </w:r>
      <w:r w:rsidR="00244B81" w:rsidRPr="005F287B">
        <w:rPr>
          <w:rFonts w:ascii="ITC Avant Garde" w:hAnsi="ITC Avant Garde" w:cs="Arial"/>
          <w:color w:val="000000" w:themeColor="text1"/>
        </w:rPr>
        <w:t xml:space="preserve">al que posiblemente no se tenga acceso, al menos para las primeras pruebas. </w:t>
      </w:r>
    </w:p>
    <w:p w:rsidR="00F500BC" w:rsidRPr="005F287B" w:rsidRDefault="00F500BC" w:rsidP="0069622D">
      <w:pPr>
        <w:spacing w:after="0" w:line="240" w:lineRule="auto"/>
        <w:jc w:val="both"/>
        <w:rPr>
          <w:rFonts w:ascii="ITC Avant Garde" w:hAnsi="ITC Avant Garde" w:cs="Arial"/>
          <w:color w:val="000000" w:themeColor="text1"/>
        </w:rPr>
      </w:pPr>
    </w:p>
    <w:p w:rsidR="00447DC2" w:rsidRPr="005F287B" w:rsidRDefault="00447DC2"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Respecto a la duda de porque utilizar LRIC+ para enlaces dedicados y LRIC para los servicios móviles, debe entenderse que esa primera aproximación no estaba tomando en consideración alguna segmentación para la prueba de servicios móviles. </w:t>
      </w:r>
      <w:r w:rsidR="00237E0C" w:rsidRPr="005F287B">
        <w:rPr>
          <w:rFonts w:ascii="ITC Avant Garde" w:hAnsi="ITC Avant Garde" w:cs="Arial"/>
          <w:color w:val="000000" w:themeColor="text1"/>
        </w:rPr>
        <w:t>Por lo que, a</w:t>
      </w:r>
      <w:r w:rsidRPr="005F287B">
        <w:rPr>
          <w:rFonts w:ascii="ITC Avant Garde" w:hAnsi="ITC Avant Garde" w:cs="Arial"/>
          <w:color w:val="000000" w:themeColor="text1"/>
        </w:rPr>
        <w:t>l segmentar entre servicios prepago y pospago,</w:t>
      </w:r>
      <w:r w:rsidR="00E50CC0" w:rsidRPr="005F287B">
        <w:rPr>
          <w:rFonts w:ascii="ITC Avant Garde" w:hAnsi="ITC Avant Garde" w:cs="Arial"/>
          <w:color w:val="000000" w:themeColor="text1"/>
        </w:rPr>
        <w:t xml:space="preserve"> este instituto considera que </w:t>
      </w:r>
      <w:r w:rsidRPr="005F287B">
        <w:rPr>
          <w:rFonts w:ascii="ITC Avant Garde" w:hAnsi="ITC Avant Garde" w:cs="Arial"/>
          <w:color w:val="000000" w:themeColor="text1"/>
        </w:rPr>
        <w:t xml:space="preserve">la prueba de servicios móviles </w:t>
      </w:r>
      <w:r w:rsidR="00237E0C" w:rsidRPr="005F287B">
        <w:rPr>
          <w:rFonts w:ascii="ITC Avant Garde" w:hAnsi="ITC Avant Garde" w:cs="Arial"/>
          <w:color w:val="000000" w:themeColor="text1"/>
        </w:rPr>
        <w:t>debe ser implementada</w:t>
      </w:r>
      <w:r w:rsidR="00E50CC0" w:rsidRPr="005F287B">
        <w:rPr>
          <w:rFonts w:ascii="ITC Avant Garde" w:hAnsi="ITC Avant Garde" w:cs="Arial"/>
          <w:color w:val="000000" w:themeColor="text1"/>
        </w:rPr>
        <w:t xml:space="preserve"> bajo </w:t>
      </w:r>
      <w:r w:rsidRPr="005F287B">
        <w:rPr>
          <w:rFonts w:ascii="ITC Avant Garde" w:hAnsi="ITC Avant Garde" w:cs="Arial"/>
          <w:color w:val="000000" w:themeColor="text1"/>
        </w:rPr>
        <w:t xml:space="preserve">el estándar de costos a LRIC+, </w:t>
      </w:r>
      <w:r w:rsidR="00E50CC0" w:rsidRPr="005F287B">
        <w:rPr>
          <w:rFonts w:ascii="ITC Avant Garde" w:hAnsi="ITC Avant Garde" w:cs="Arial"/>
          <w:color w:val="000000" w:themeColor="text1"/>
        </w:rPr>
        <w:t>el cual</w:t>
      </w:r>
      <w:r w:rsidRPr="005F287B">
        <w:rPr>
          <w:rFonts w:ascii="ITC Avant Garde" w:hAnsi="ITC Avant Garde" w:cs="Arial"/>
          <w:color w:val="000000" w:themeColor="text1"/>
        </w:rPr>
        <w:t xml:space="preserve"> es el ideal para el caso de la prueba de enlaces dedicados. </w:t>
      </w:r>
    </w:p>
    <w:p w:rsidR="00F3340F" w:rsidRPr="005F287B" w:rsidRDefault="00F3340F" w:rsidP="0069622D">
      <w:pPr>
        <w:spacing w:after="0" w:line="240" w:lineRule="auto"/>
        <w:jc w:val="both"/>
        <w:rPr>
          <w:rFonts w:ascii="ITC Avant Garde" w:hAnsi="ITC Avant Garde" w:cs="Arial"/>
          <w:color w:val="000000" w:themeColor="text1"/>
        </w:rPr>
      </w:pPr>
    </w:p>
    <w:p w:rsidR="00F500BC" w:rsidRPr="005F287B" w:rsidRDefault="00F3340F" w:rsidP="004567D5">
      <w:pPr>
        <w:pStyle w:val="Ttulo2"/>
        <w:spacing w:before="0" w:line="240" w:lineRule="auto"/>
        <w:rPr>
          <w:rFonts w:ascii="ITC Avant Garde" w:hAnsi="ITC Avant Garde"/>
          <w:b/>
          <w:color w:val="000000" w:themeColor="text1"/>
          <w:sz w:val="22"/>
          <w:szCs w:val="22"/>
        </w:rPr>
      </w:pPr>
      <w:r w:rsidRPr="005F287B">
        <w:rPr>
          <w:rFonts w:ascii="ITC Avant Garde" w:hAnsi="ITC Avant Garde"/>
          <w:b/>
          <w:color w:val="000000" w:themeColor="text1"/>
          <w:sz w:val="22"/>
          <w:szCs w:val="22"/>
        </w:rPr>
        <w:t>Tem</w:t>
      </w:r>
      <w:r w:rsidR="0055657D" w:rsidRPr="005F287B">
        <w:rPr>
          <w:rFonts w:ascii="ITC Avant Garde" w:hAnsi="ITC Avant Garde"/>
          <w:b/>
          <w:color w:val="000000" w:themeColor="text1"/>
          <w:sz w:val="22"/>
          <w:szCs w:val="22"/>
        </w:rPr>
        <w:t>a: Nivel de eficiencia</w:t>
      </w:r>
    </w:p>
    <w:p w:rsidR="005F3510" w:rsidRPr="005F287B" w:rsidRDefault="005F3510" w:rsidP="00F500BC">
      <w:pPr>
        <w:spacing w:after="0" w:line="240" w:lineRule="auto"/>
        <w:jc w:val="both"/>
        <w:rPr>
          <w:rFonts w:ascii="ITC Avant Garde" w:hAnsi="ITC Avant Garde" w:cs="Arial"/>
          <w:color w:val="000000" w:themeColor="text1"/>
        </w:rPr>
      </w:pPr>
    </w:p>
    <w:p w:rsidR="00A41F42" w:rsidRPr="005F287B" w:rsidRDefault="00A41F42" w:rsidP="00F500BC">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Se sugiere un nivel de eficiencia distinto a EEO. A </w:t>
      </w:r>
      <w:r w:rsidR="00F500BC" w:rsidRPr="005F287B">
        <w:rPr>
          <w:rFonts w:ascii="ITC Avant Garde" w:hAnsi="ITC Avant Garde" w:cs="Arial"/>
          <w:color w:val="000000" w:themeColor="text1"/>
        </w:rPr>
        <w:t>continuación,</w:t>
      </w:r>
      <w:r w:rsidRPr="005F287B">
        <w:rPr>
          <w:rFonts w:ascii="ITC Avant Garde" w:hAnsi="ITC Avant Garde" w:cs="Arial"/>
          <w:color w:val="000000" w:themeColor="text1"/>
        </w:rPr>
        <w:t xml:space="preserve"> se mencionan</w:t>
      </w:r>
      <w:r w:rsidR="00447DC2" w:rsidRPr="005F287B">
        <w:rPr>
          <w:rFonts w:ascii="ITC Avant Garde" w:hAnsi="ITC Avant Garde" w:cs="Arial"/>
          <w:color w:val="000000" w:themeColor="text1"/>
        </w:rPr>
        <w:t xml:space="preserve"> las propuestas y</w:t>
      </w:r>
      <w:r w:rsidRPr="005F287B">
        <w:rPr>
          <w:rFonts w:ascii="ITC Avant Garde" w:hAnsi="ITC Avant Garde" w:cs="Arial"/>
          <w:color w:val="000000" w:themeColor="text1"/>
        </w:rPr>
        <w:t xml:space="preserve"> los argumentos presentados:</w:t>
      </w:r>
    </w:p>
    <w:p w:rsidR="00F500BC" w:rsidRPr="005F287B" w:rsidRDefault="00F500BC" w:rsidP="00F500BC">
      <w:pPr>
        <w:spacing w:after="0" w:line="240" w:lineRule="auto"/>
        <w:jc w:val="both"/>
        <w:rPr>
          <w:rFonts w:ascii="ITC Avant Garde" w:hAnsi="ITC Avant Garde" w:cs="Arial"/>
          <w:color w:val="000000" w:themeColor="text1"/>
        </w:rPr>
      </w:pPr>
    </w:p>
    <w:p w:rsidR="00A41F42" w:rsidRPr="005F287B" w:rsidRDefault="00A41F42" w:rsidP="0069622D">
      <w:pPr>
        <w:pStyle w:val="Prrafodelista"/>
        <w:numPr>
          <w:ilvl w:val="0"/>
          <w:numId w:val="8"/>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L</w:t>
      </w:r>
      <w:r w:rsidR="00F3340F" w:rsidRPr="005F287B">
        <w:rPr>
          <w:rFonts w:ascii="ITC Avant Garde" w:hAnsi="ITC Avant Garde" w:cs="Arial"/>
          <w:color w:val="000000" w:themeColor="text1"/>
        </w:rPr>
        <w:t xml:space="preserve">a prueba debe tener en cuenta la integración vertical para realizar el análisis, la cual refiere a los procesos necesarios para aprovisionar un enlace. Por tal razón, </w:t>
      </w:r>
      <w:r w:rsidRPr="005F287B">
        <w:rPr>
          <w:rFonts w:ascii="ITC Avant Garde" w:hAnsi="ITC Avant Garde" w:cs="Arial"/>
          <w:color w:val="000000" w:themeColor="text1"/>
        </w:rPr>
        <w:t xml:space="preserve">se </w:t>
      </w:r>
      <w:r w:rsidR="00F3340F" w:rsidRPr="005F287B">
        <w:rPr>
          <w:rFonts w:ascii="ITC Avant Garde" w:hAnsi="ITC Avant Garde" w:cs="Arial"/>
          <w:color w:val="000000" w:themeColor="text1"/>
        </w:rPr>
        <w:t>considera que lo más adecuado es utilizar un modelo EEO ajustado, es decir</w:t>
      </w:r>
      <w:r w:rsidRPr="005F287B">
        <w:rPr>
          <w:rFonts w:ascii="ITC Avant Garde" w:hAnsi="ITC Avant Garde" w:cs="Arial"/>
          <w:color w:val="000000" w:themeColor="text1"/>
        </w:rPr>
        <w:t>,</w:t>
      </w:r>
      <w:r w:rsidR="00F3340F" w:rsidRPr="005F287B">
        <w:rPr>
          <w:rFonts w:ascii="ITC Avant Garde" w:hAnsi="ITC Avant Garde" w:cs="Arial"/>
          <w:color w:val="000000" w:themeColor="text1"/>
        </w:rPr>
        <w:t xml:space="preserve"> un modelo de escala y eficiencia ajustada, que incluya diferencias en costo de capital y temporalidad de los usuarios, puesto que no </w:t>
      </w:r>
      <w:r w:rsidRPr="005F287B">
        <w:rPr>
          <w:rFonts w:ascii="ITC Avant Garde" w:hAnsi="ITC Avant Garde" w:cs="Arial"/>
          <w:color w:val="000000" w:themeColor="text1"/>
        </w:rPr>
        <w:t xml:space="preserve">se </w:t>
      </w:r>
      <w:r w:rsidR="00F3340F" w:rsidRPr="005F287B">
        <w:rPr>
          <w:rFonts w:ascii="ITC Avant Garde" w:hAnsi="ITC Avant Garde" w:cs="Arial"/>
          <w:color w:val="000000" w:themeColor="text1"/>
        </w:rPr>
        <w:t>estima posible considerar que en los procesos aguas abajo se contará con el mismo nivel de eficiencia y de costos que el AEP.</w:t>
      </w:r>
    </w:p>
    <w:p w:rsidR="00F500BC" w:rsidRPr="005F287B" w:rsidRDefault="00F500BC" w:rsidP="00F500BC">
      <w:pPr>
        <w:pStyle w:val="Prrafodelista"/>
        <w:spacing w:after="0" w:line="240" w:lineRule="auto"/>
        <w:contextualSpacing w:val="0"/>
        <w:jc w:val="both"/>
        <w:rPr>
          <w:rFonts w:ascii="ITC Avant Garde" w:hAnsi="ITC Avant Garde" w:cs="Arial"/>
          <w:color w:val="000000" w:themeColor="text1"/>
        </w:rPr>
      </w:pPr>
    </w:p>
    <w:p w:rsidR="00A41F42" w:rsidRPr="005F287B" w:rsidRDefault="00A41F42" w:rsidP="0069622D">
      <w:pPr>
        <w:pStyle w:val="Prrafodelista"/>
        <w:numPr>
          <w:ilvl w:val="0"/>
          <w:numId w:val="8"/>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S</w:t>
      </w:r>
      <w:r w:rsidR="00F3340F" w:rsidRPr="005F287B">
        <w:rPr>
          <w:rFonts w:ascii="ITC Avant Garde" w:hAnsi="ITC Avant Garde" w:cs="Arial"/>
          <w:color w:val="000000" w:themeColor="text1"/>
        </w:rPr>
        <w:t xml:space="preserve">e debe utilizar un nivel de eficiencia REO que refleje la escala acorde con los operadores para los que el Instituto espera abrir el mercado. En este </w:t>
      </w:r>
      <w:r w:rsidRPr="005F287B">
        <w:rPr>
          <w:rFonts w:ascii="ITC Avant Garde" w:hAnsi="ITC Avant Garde" w:cs="Arial"/>
          <w:color w:val="000000" w:themeColor="text1"/>
        </w:rPr>
        <w:t>sentido, se señala</w:t>
      </w:r>
      <w:r w:rsidR="00F3340F" w:rsidRPr="005F287B">
        <w:rPr>
          <w:rFonts w:ascii="ITC Avant Garde" w:hAnsi="ITC Avant Garde" w:cs="Arial"/>
          <w:color w:val="000000" w:themeColor="text1"/>
        </w:rPr>
        <w:t xml:space="preserve"> que el modelo REO es utilizado por los reguladores de Francia e Inglaterra.</w:t>
      </w:r>
    </w:p>
    <w:p w:rsidR="00F500BC" w:rsidRPr="005F287B" w:rsidRDefault="00F500BC" w:rsidP="00F500BC">
      <w:pPr>
        <w:pStyle w:val="Prrafodelista"/>
        <w:rPr>
          <w:rFonts w:ascii="ITC Avant Garde" w:hAnsi="ITC Avant Garde" w:cs="Arial"/>
          <w:color w:val="000000" w:themeColor="text1"/>
        </w:rPr>
      </w:pPr>
    </w:p>
    <w:p w:rsidR="00430FA1" w:rsidRPr="005F287B" w:rsidRDefault="00A41F42" w:rsidP="0069622D">
      <w:pPr>
        <w:pStyle w:val="Prrafodelista"/>
        <w:numPr>
          <w:ilvl w:val="0"/>
          <w:numId w:val="8"/>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U</w:t>
      </w:r>
      <w:r w:rsidR="00F3340F" w:rsidRPr="005F287B">
        <w:rPr>
          <w:rFonts w:ascii="ITC Avant Garde" w:hAnsi="ITC Avant Garde" w:cs="Arial"/>
          <w:color w:val="000000" w:themeColor="text1"/>
        </w:rPr>
        <w:t>tilizar EEO</w:t>
      </w:r>
      <w:r w:rsidR="00705553" w:rsidRPr="005F287B">
        <w:rPr>
          <w:rStyle w:val="Refdenotaalpie"/>
          <w:rFonts w:ascii="ITC Avant Garde" w:hAnsi="ITC Avant Garde" w:cs="Arial"/>
          <w:color w:val="000000" w:themeColor="text1"/>
        </w:rPr>
        <w:footnoteReference w:id="6"/>
      </w:r>
      <w:r w:rsidR="00F3340F" w:rsidRPr="005F287B">
        <w:rPr>
          <w:rFonts w:ascii="ITC Avant Garde" w:hAnsi="ITC Avant Garde" w:cs="Arial"/>
          <w:color w:val="000000" w:themeColor="text1"/>
        </w:rPr>
        <w:t xml:space="preserve"> no es adecuado, pues en este tipo de servicio la labor comercial es mayormente de gestión y no de captación.</w:t>
      </w:r>
    </w:p>
    <w:p w:rsidR="009C5751" w:rsidRDefault="009C5751" w:rsidP="0069622D">
      <w:pPr>
        <w:spacing w:after="0" w:line="240" w:lineRule="auto"/>
        <w:jc w:val="both"/>
        <w:rPr>
          <w:rFonts w:ascii="ITC Avant Garde" w:hAnsi="ITC Avant Garde" w:cs="Arial"/>
          <w:color w:val="000000" w:themeColor="text1"/>
        </w:rPr>
      </w:pPr>
    </w:p>
    <w:p w:rsidR="004E49AA" w:rsidRDefault="004E49AA" w:rsidP="0069622D">
      <w:pPr>
        <w:spacing w:after="0" w:line="240" w:lineRule="auto"/>
        <w:jc w:val="both"/>
        <w:rPr>
          <w:rFonts w:ascii="ITC Avant Garde" w:hAnsi="ITC Avant Garde" w:cs="Arial"/>
          <w:color w:val="000000" w:themeColor="text1"/>
        </w:rPr>
      </w:pPr>
    </w:p>
    <w:p w:rsidR="00F500BC" w:rsidRPr="005F287B" w:rsidRDefault="004567D5" w:rsidP="0069622D">
      <w:pPr>
        <w:spacing w:after="0" w:line="240" w:lineRule="auto"/>
        <w:jc w:val="both"/>
        <w:rPr>
          <w:rFonts w:ascii="ITC Avant Garde" w:hAnsi="ITC Avant Garde" w:cs="Arial"/>
          <w:b/>
          <w:color w:val="000000" w:themeColor="text1"/>
        </w:rPr>
      </w:pPr>
      <w:r w:rsidRPr="005F287B">
        <w:rPr>
          <w:rFonts w:ascii="ITC Avant Garde" w:hAnsi="ITC Avant Garde" w:cs="Arial"/>
          <w:b/>
          <w:color w:val="000000" w:themeColor="text1"/>
        </w:rPr>
        <w:t xml:space="preserve">Consideraciones del Instituto: </w:t>
      </w:r>
    </w:p>
    <w:p w:rsidR="00DF2934" w:rsidRPr="005F287B" w:rsidRDefault="00DF2934" w:rsidP="0069622D">
      <w:pPr>
        <w:spacing w:after="0" w:line="240" w:lineRule="auto"/>
        <w:jc w:val="both"/>
        <w:rPr>
          <w:rFonts w:ascii="ITC Avant Garde" w:hAnsi="ITC Avant Garde" w:cs="Arial"/>
          <w:color w:val="000000" w:themeColor="text1"/>
        </w:rPr>
      </w:pPr>
    </w:p>
    <w:p w:rsidR="00430FA1" w:rsidRPr="005F287B" w:rsidRDefault="00430FA1"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Al tratarse de un segmento de mercado maduro, </w:t>
      </w:r>
      <w:r w:rsidR="005E0309">
        <w:rPr>
          <w:rFonts w:ascii="ITC Avant Garde" w:hAnsi="ITC Avant Garde" w:cs="Arial"/>
          <w:color w:val="000000" w:themeColor="text1"/>
        </w:rPr>
        <w:t>aunado</w:t>
      </w:r>
      <w:r w:rsidRPr="005E0309">
        <w:rPr>
          <w:rFonts w:ascii="ITC Avant Garde" w:hAnsi="ITC Avant Garde" w:cs="Arial"/>
          <w:color w:val="000000"/>
        </w:rPr>
        <w:t xml:space="preserve"> a la existencia de operadores alternativos con red propia, el estándar de eficiencia </w:t>
      </w:r>
      <w:r w:rsidR="0031068D" w:rsidRPr="005E0309">
        <w:rPr>
          <w:rFonts w:ascii="ITC Avant Garde" w:hAnsi="ITC Avant Garde" w:cs="Arial"/>
          <w:color w:val="000000"/>
        </w:rPr>
        <w:t xml:space="preserve">del </w:t>
      </w:r>
      <w:r w:rsidRPr="005E0309">
        <w:rPr>
          <w:rFonts w:ascii="ITC Avant Garde" w:hAnsi="ITC Avant Garde" w:cs="Arial"/>
          <w:color w:val="000000"/>
        </w:rPr>
        <w:t>tipo EEO permite asegurar la competencia de empresas al menos tan eficientes como el AEP y promover la eficiencia estática. Considerar un enfoque menos eficiente subiría el piso de precios, lo cual restaría flexibilidad dada la regulación de precios a la que está sujeta el AEP. L</w:t>
      </w:r>
      <w:r w:rsidR="00BE17C6" w:rsidRPr="005E0309">
        <w:rPr>
          <w:rFonts w:ascii="ITC Avant Garde" w:hAnsi="ITC Avant Garde" w:cs="Arial"/>
          <w:color w:val="000000"/>
        </w:rPr>
        <w:t>as referencias a</w:t>
      </w:r>
      <w:r w:rsidRPr="005E0309">
        <w:rPr>
          <w:rFonts w:ascii="ITC Avant Garde" w:hAnsi="ITC Avant Garde" w:cs="Arial"/>
          <w:color w:val="000000"/>
        </w:rPr>
        <w:t xml:space="preserve"> las decisiones tomadas por reguladores de</w:t>
      </w:r>
      <w:r w:rsidR="00BE17C6" w:rsidRPr="005E0309">
        <w:rPr>
          <w:rFonts w:ascii="ITC Avant Garde" w:hAnsi="ITC Avant Garde" w:cs="Arial"/>
          <w:color w:val="000000"/>
        </w:rPr>
        <w:t xml:space="preserve"> otros países</w:t>
      </w:r>
      <w:r w:rsidRPr="005E0309">
        <w:rPr>
          <w:rFonts w:ascii="ITC Avant Garde" w:hAnsi="ITC Avant Garde" w:cs="Arial"/>
          <w:color w:val="000000"/>
        </w:rPr>
        <w:t xml:space="preserve"> deben de considerarse </w:t>
      </w:r>
      <w:r w:rsidR="00BE17C6" w:rsidRPr="005E0309">
        <w:rPr>
          <w:rFonts w:ascii="ITC Avant Garde" w:hAnsi="ITC Avant Garde" w:cs="Arial"/>
          <w:color w:val="000000"/>
        </w:rPr>
        <w:t>cuidadosamente</w:t>
      </w:r>
      <w:r w:rsidRPr="005E0309">
        <w:rPr>
          <w:rFonts w:ascii="ITC Avant Garde" w:hAnsi="ITC Avant Garde" w:cs="Arial"/>
          <w:color w:val="000000"/>
        </w:rPr>
        <w:t xml:space="preserve">, valorando las </w:t>
      </w:r>
      <w:r w:rsidR="00BE17C6" w:rsidRPr="005E0309">
        <w:rPr>
          <w:rFonts w:ascii="ITC Avant Garde" w:hAnsi="ITC Avant Garde" w:cs="Arial"/>
          <w:color w:val="000000"/>
        </w:rPr>
        <w:t>características</w:t>
      </w:r>
      <w:r w:rsidRPr="005E0309">
        <w:rPr>
          <w:rFonts w:ascii="ITC Avant Garde" w:hAnsi="ITC Avant Garde" w:cs="Arial"/>
          <w:color w:val="000000"/>
        </w:rPr>
        <w:t xml:space="preserve"> particulares del mercado analizado</w:t>
      </w:r>
      <w:r w:rsidR="007D3E3F" w:rsidRPr="005E0309">
        <w:rPr>
          <w:rFonts w:ascii="ITC Avant Garde" w:hAnsi="ITC Avant Garde" w:cs="Arial"/>
          <w:color w:val="000000"/>
        </w:rPr>
        <w:t xml:space="preserve"> y de cada servicio, en particular</w:t>
      </w:r>
      <w:r w:rsidRPr="005E0309">
        <w:rPr>
          <w:rFonts w:ascii="ITC Avant Garde" w:hAnsi="ITC Avant Garde" w:cs="Arial"/>
          <w:color w:val="000000"/>
        </w:rPr>
        <w:t>.</w:t>
      </w:r>
    </w:p>
    <w:p w:rsidR="00F500BC" w:rsidRPr="005F287B" w:rsidRDefault="00F500BC" w:rsidP="0069622D">
      <w:pPr>
        <w:spacing w:after="0" w:line="240" w:lineRule="auto"/>
        <w:jc w:val="both"/>
        <w:rPr>
          <w:rFonts w:ascii="ITC Avant Garde" w:hAnsi="ITC Avant Garde" w:cs="Arial"/>
          <w:color w:val="000000" w:themeColor="text1"/>
        </w:rPr>
      </w:pPr>
    </w:p>
    <w:p w:rsidR="00430FA1" w:rsidRPr="005F287B" w:rsidRDefault="00430FA1"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Además, los costos minoristas asociados al uso del servicio mayorista de enlaces dedicados son principalmente costos asociados a la captación y gestión de clientes, para los que las economías de escala son limitadas.</w:t>
      </w:r>
    </w:p>
    <w:p w:rsidR="003643DB" w:rsidRPr="005F287B" w:rsidRDefault="003643DB" w:rsidP="0069622D">
      <w:pPr>
        <w:spacing w:after="0" w:line="240" w:lineRule="auto"/>
        <w:jc w:val="both"/>
        <w:rPr>
          <w:rFonts w:ascii="ITC Avant Garde" w:hAnsi="ITC Avant Garde" w:cs="Arial"/>
          <w:color w:val="000000" w:themeColor="text1"/>
        </w:rPr>
      </w:pPr>
    </w:p>
    <w:p w:rsidR="00F500BC" w:rsidRPr="005F287B" w:rsidRDefault="00213D1D" w:rsidP="004567D5">
      <w:pPr>
        <w:pStyle w:val="Ttulo2"/>
        <w:spacing w:before="0" w:line="240" w:lineRule="auto"/>
        <w:rPr>
          <w:rFonts w:ascii="ITC Avant Garde" w:hAnsi="ITC Avant Garde"/>
          <w:b/>
          <w:color w:val="000000" w:themeColor="text1"/>
          <w:sz w:val="22"/>
          <w:szCs w:val="22"/>
        </w:rPr>
      </w:pPr>
      <w:r w:rsidRPr="005F287B">
        <w:rPr>
          <w:rFonts w:ascii="ITC Avant Garde" w:hAnsi="ITC Avant Garde"/>
          <w:b/>
          <w:color w:val="000000" w:themeColor="text1"/>
          <w:sz w:val="22"/>
          <w:szCs w:val="22"/>
        </w:rPr>
        <w:t>Tema: Nivel de agregación</w:t>
      </w:r>
    </w:p>
    <w:p w:rsidR="00242307" w:rsidRPr="005F287B" w:rsidRDefault="00242307" w:rsidP="00F500BC">
      <w:pPr>
        <w:spacing w:after="0" w:line="240" w:lineRule="auto"/>
        <w:jc w:val="both"/>
        <w:rPr>
          <w:rFonts w:ascii="ITC Avant Garde" w:hAnsi="ITC Avant Garde" w:cs="Arial"/>
          <w:color w:val="000000" w:themeColor="text1"/>
        </w:rPr>
      </w:pPr>
    </w:p>
    <w:p w:rsidR="00213D1D" w:rsidRPr="005F287B" w:rsidRDefault="00213D1D" w:rsidP="00F500BC">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Se sugiere considerar una agregación distinta. A </w:t>
      </w:r>
      <w:r w:rsidR="00F500BC" w:rsidRPr="005F287B">
        <w:rPr>
          <w:rFonts w:ascii="ITC Avant Garde" w:hAnsi="ITC Avant Garde" w:cs="Arial"/>
          <w:color w:val="000000" w:themeColor="text1"/>
        </w:rPr>
        <w:t>continuación,</w:t>
      </w:r>
      <w:r w:rsidRPr="005F287B">
        <w:rPr>
          <w:rFonts w:ascii="ITC Avant Garde" w:hAnsi="ITC Avant Garde" w:cs="Arial"/>
          <w:color w:val="000000" w:themeColor="text1"/>
        </w:rPr>
        <w:t xml:space="preserve"> se mencionan los argumentos presentados para justificar dicha sugerencia:</w:t>
      </w:r>
    </w:p>
    <w:p w:rsidR="00F500BC" w:rsidRPr="005F287B" w:rsidRDefault="00F500BC" w:rsidP="00F500BC">
      <w:pPr>
        <w:spacing w:after="0" w:line="240" w:lineRule="auto"/>
        <w:jc w:val="both"/>
        <w:rPr>
          <w:rFonts w:ascii="ITC Avant Garde" w:hAnsi="ITC Avant Garde" w:cs="Arial"/>
          <w:color w:val="000000" w:themeColor="text1"/>
        </w:rPr>
      </w:pPr>
    </w:p>
    <w:p w:rsidR="00213D1D" w:rsidRPr="005F287B" w:rsidRDefault="00213D1D" w:rsidP="0069622D">
      <w:pPr>
        <w:pStyle w:val="Prrafodelista"/>
        <w:numPr>
          <w:ilvl w:val="0"/>
          <w:numId w:val="8"/>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La prueba podría ser más transparente al considerar un subgrado de segmentación por capacidad. No se observa una racionalidad económica para la segmentación propuesta. Por ejemplo, los equipos necesarios para un enlace de alta capacidad son en algunos casos los que se utilizan para enlaces de baja capacidad.</w:t>
      </w:r>
    </w:p>
    <w:p w:rsidR="00F500BC" w:rsidRPr="005F287B" w:rsidRDefault="00F500BC" w:rsidP="00F500BC">
      <w:pPr>
        <w:pStyle w:val="Prrafodelista"/>
        <w:spacing w:after="0" w:line="240" w:lineRule="auto"/>
        <w:contextualSpacing w:val="0"/>
        <w:jc w:val="both"/>
        <w:rPr>
          <w:rFonts w:ascii="ITC Avant Garde" w:hAnsi="ITC Avant Garde" w:cs="Arial"/>
          <w:color w:val="000000" w:themeColor="text1"/>
        </w:rPr>
      </w:pPr>
    </w:p>
    <w:p w:rsidR="00213D1D" w:rsidRPr="005F287B" w:rsidRDefault="00213D1D" w:rsidP="0069622D">
      <w:pPr>
        <w:pStyle w:val="Prrafodelista"/>
        <w:numPr>
          <w:ilvl w:val="0"/>
          <w:numId w:val="8"/>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En relación al nivel de agregación, se recomienda hacer una división entre líneas tradicionales y líneas de Ethernet, las que incluyen Ethernet, Giga Ethernet y Hub. Esto incluye una segmentación por la distancia y la capacidad.</w:t>
      </w:r>
    </w:p>
    <w:p w:rsidR="00BC1C8E" w:rsidRDefault="00BC1C8E" w:rsidP="0069622D">
      <w:pPr>
        <w:spacing w:after="0" w:line="240" w:lineRule="auto"/>
        <w:jc w:val="both"/>
        <w:rPr>
          <w:rFonts w:ascii="ITC Avant Garde" w:hAnsi="ITC Avant Garde" w:cs="Arial"/>
          <w:color w:val="000000" w:themeColor="text1"/>
        </w:rPr>
      </w:pPr>
    </w:p>
    <w:p w:rsidR="00F500BC" w:rsidRPr="005F287B" w:rsidRDefault="004567D5" w:rsidP="0069622D">
      <w:pPr>
        <w:spacing w:after="0" w:line="240" w:lineRule="auto"/>
        <w:jc w:val="both"/>
        <w:rPr>
          <w:rFonts w:ascii="ITC Avant Garde" w:hAnsi="ITC Avant Garde" w:cs="Arial"/>
          <w:b/>
          <w:color w:val="000000" w:themeColor="text1"/>
        </w:rPr>
      </w:pPr>
      <w:r w:rsidRPr="005F287B">
        <w:rPr>
          <w:rFonts w:ascii="ITC Avant Garde" w:hAnsi="ITC Avant Garde" w:cs="Arial"/>
          <w:b/>
          <w:color w:val="000000" w:themeColor="text1"/>
        </w:rPr>
        <w:t xml:space="preserve">Consideraciones del Instituto: </w:t>
      </w:r>
    </w:p>
    <w:p w:rsidR="00751283" w:rsidRPr="005F287B" w:rsidRDefault="00751283" w:rsidP="0069622D">
      <w:pPr>
        <w:spacing w:after="0" w:line="240" w:lineRule="auto"/>
        <w:jc w:val="both"/>
        <w:rPr>
          <w:rFonts w:ascii="ITC Avant Garde" w:hAnsi="ITC Avant Garde" w:cs="Arial"/>
          <w:color w:val="000000" w:themeColor="text1"/>
        </w:rPr>
      </w:pPr>
    </w:p>
    <w:p w:rsidR="00751283" w:rsidRPr="005F287B" w:rsidRDefault="00751283"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Debe señalarse que l</w:t>
      </w:r>
      <w:r w:rsidR="00213D1D" w:rsidRPr="005F287B">
        <w:rPr>
          <w:rFonts w:ascii="ITC Avant Garde" w:hAnsi="ITC Avant Garde" w:cs="Arial"/>
          <w:color w:val="000000" w:themeColor="text1"/>
        </w:rPr>
        <w:t xml:space="preserve">os participantes de la consulta pública no han aportado </w:t>
      </w:r>
      <w:r w:rsidRPr="005F287B">
        <w:rPr>
          <w:rFonts w:ascii="ITC Avant Garde" w:hAnsi="ITC Avant Garde" w:cs="Arial"/>
          <w:color w:val="000000" w:themeColor="text1"/>
        </w:rPr>
        <w:t xml:space="preserve">argumentos fundados </w:t>
      </w:r>
      <w:r w:rsidR="00213D1D" w:rsidRPr="005F287B">
        <w:rPr>
          <w:rFonts w:ascii="ITC Avant Garde" w:hAnsi="ITC Avant Garde" w:cs="Arial"/>
          <w:color w:val="000000" w:themeColor="text1"/>
        </w:rPr>
        <w:t>que indique</w:t>
      </w:r>
      <w:r w:rsidRPr="005F287B">
        <w:rPr>
          <w:rFonts w:ascii="ITC Avant Garde" w:hAnsi="ITC Avant Garde" w:cs="Arial"/>
          <w:color w:val="000000" w:themeColor="text1"/>
        </w:rPr>
        <w:t>n</w:t>
      </w:r>
      <w:r w:rsidR="00213D1D" w:rsidRPr="005F287B">
        <w:rPr>
          <w:rFonts w:ascii="ITC Avant Garde" w:hAnsi="ITC Avant Garde" w:cs="Arial"/>
          <w:color w:val="000000" w:themeColor="text1"/>
        </w:rPr>
        <w:t xml:space="preserve"> que una desagregación por capacidades resulta ideal para la prueba de replicabilidad. </w:t>
      </w:r>
    </w:p>
    <w:p w:rsidR="00751283" w:rsidRPr="005F287B" w:rsidRDefault="00751283" w:rsidP="0069622D">
      <w:pPr>
        <w:spacing w:after="0" w:line="240" w:lineRule="auto"/>
        <w:jc w:val="both"/>
        <w:rPr>
          <w:rFonts w:ascii="ITC Avant Garde" w:hAnsi="ITC Avant Garde" w:cs="Arial"/>
          <w:color w:val="000000" w:themeColor="text1"/>
        </w:rPr>
      </w:pPr>
    </w:p>
    <w:p w:rsidR="00213D1D" w:rsidRPr="005F287B" w:rsidRDefault="00213D1D"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Por otro lado, </w:t>
      </w:r>
      <w:r w:rsidR="004E6067" w:rsidRPr="005F287B">
        <w:rPr>
          <w:rFonts w:ascii="ITC Avant Garde" w:hAnsi="ITC Avant Garde" w:cs="Arial"/>
          <w:color w:val="000000" w:themeColor="text1"/>
        </w:rPr>
        <w:t>este Instituto</w:t>
      </w:r>
      <w:r w:rsidRPr="005F287B">
        <w:rPr>
          <w:rFonts w:ascii="ITC Avant Garde" w:hAnsi="ITC Avant Garde" w:cs="Arial"/>
          <w:color w:val="000000" w:themeColor="text1"/>
        </w:rPr>
        <w:t xml:space="preserve"> considera adecuado utilizar una prueba agregada para todas las capacidades de los enlaces dedicados por dos </w:t>
      </w:r>
      <w:r w:rsidR="00970E69" w:rsidRPr="005F287B">
        <w:rPr>
          <w:rFonts w:ascii="ITC Avant Garde" w:hAnsi="ITC Avant Garde" w:cs="Arial"/>
          <w:color w:val="000000" w:themeColor="text1"/>
        </w:rPr>
        <w:t>razones</w:t>
      </w:r>
      <w:r w:rsidRPr="005F287B">
        <w:rPr>
          <w:rFonts w:ascii="ITC Avant Garde" w:hAnsi="ITC Avant Garde" w:cs="Arial"/>
          <w:color w:val="000000" w:themeColor="text1"/>
        </w:rPr>
        <w:t>:</w:t>
      </w:r>
    </w:p>
    <w:p w:rsidR="00BF4113" w:rsidRPr="005F287B" w:rsidRDefault="00BF4113" w:rsidP="0069622D">
      <w:pPr>
        <w:spacing w:after="0" w:line="240" w:lineRule="auto"/>
        <w:jc w:val="both"/>
        <w:rPr>
          <w:rFonts w:ascii="ITC Avant Garde" w:hAnsi="ITC Avant Garde" w:cs="Arial"/>
          <w:color w:val="000000" w:themeColor="text1"/>
        </w:rPr>
      </w:pPr>
    </w:p>
    <w:p w:rsidR="00970E69" w:rsidRPr="005F287B" w:rsidRDefault="00213D1D">
      <w:pPr>
        <w:pStyle w:val="Prrafodelista"/>
        <w:numPr>
          <w:ilvl w:val="0"/>
          <w:numId w:val="16"/>
        </w:numPr>
        <w:spacing w:after="0" w:line="240" w:lineRule="auto"/>
        <w:contextualSpacing w:val="0"/>
        <w:jc w:val="both"/>
        <w:rPr>
          <w:rFonts w:ascii="ITC Avant Garde" w:hAnsi="ITC Avant Garde"/>
          <w:color w:val="000000" w:themeColor="text1"/>
        </w:rPr>
      </w:pPr>
      <w:r w:rsidRPr="005F287B">
        <w:rPr>
          <w:rFonts w:ascii="ITC Avant Garde" w:hAnsi="ITC Avant Garde" w:cs="Arial"/>
          <w:color w:val="000000" w:themeColor="text1"/>
        </w:rPr>
        <w:t xml:space="preserve">Incentiva un modo de entrada </w:t>
      </w:r>
      <w:r w:rsidR="004E49AA">
        <w:rPr>
          <w:rFonts w:ascii="ITC Avant Garde" w:hAnsi="ITC Avant Garde" w:cs="Arial"/>
          <w:color w:val="000000" w:themeColor="text1"/>
        </w:rPr>
        <w:t>al mercado, el</w:t>
      </w:r>
      <w:r w:rsidR="006F2074" w:rsidRPr="005F287B">
        <w:rPr>
          <w:rFonts w:ascii="ITC Avant Garde" w:hAnsi="ITC Avant Garde" w:cs="Arial"/>
          <w:color w:val="000000" w:themeColor="text1"/>
        </w:rPr>
        <w:t xml:space="preserve"> cual se basa en </w:t>
      </w:r>
      <w:r w:rsidRPr="005F287B">
        <w:rPr>
          <w:rFonts w:ascii="ITC Avant Garde" w:hAnsi="ITC Avant Garde" w:cs="Arial"/>
          <w:color w:val="000000" w:themeColor="text1"/>
        </w:rPr>
        <w:t xml:space="preserve">un </w:t>
      </w:r>
      <w:r w:rsidR="006F2074" w:rsidRPr="005F287B">
        <w:rPr>
          <w:rFonts w:ascii="ITC Avant Garde" w:hAnsi="ITC Avant Garde" w:cs="Arial"/>
          <w:color w:val="000000" w:themeColor="text1"/>
        </w:rPr>
        <w:t xml:space="preserve">amplio </w:t>
      </w:r>
      <w:r w:rsidRPr="005F287B">
        <w:rPr>
          <w:rFonts w:ascii="ITC Avant Garde" w:hAnsi="ITC Avant Garde" w:cs="Arial"/>
          <w:color w:val="000000" w:themeColor="text1"/>
        </w:rPr>
        <w:t xml:space="preserve">abanico de capacidades (ancho de banda) y no un subconjunto de ellas. </w:t>
      </w:r>
    </w:p>
    <w:p w:rsidR="00970E69" w:rsidRPr="005F287B" w:rsidRDefault="00970E69" w:rsidP="005F287B">
      <w:pPr>
        <w:pStyle w:val="Prrafodelista"/>
        <w:spacing w:after="0" w:line="240" w:lineRule="auto"/>
        <w:contextualSpacing w:val="0"/>
        <w:jc w:val="both"/>
        <w:rPr>
          <w:rFonts w:ascii="ITC Avant Garde" w:hAnsi="ITC Avant Garde" w:cs="Arial"/>
          <w:color w:val="000000" w:themeColor="text1"/>
        </w:rPr>
      </w:pPr>
    </w:p>
    <w:p w:rsidR="00213D1D" w:rsidRPr="005F287B" w:rsidRDefault="00213D1D" w:rsidP="0069622D">
      <w:pPr>
        <w:pStyle w:val="Prrafodelista"/>
        <w:numPr>
          <w:ilvl w:val="0"/>
          <w:numId w:val="16"/>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 xml:space="preserve">Evita tener que asignar los costos no incrementales a las distintas capacidades. </w:t>
      </w:r>
      <w:r w:rsidR="00BF4113" w:rsidRPr="005F287B">
        <w:rPr>
          <w:rFonts w:ascii="ITC Avant Garde" w:hAnsi="ITC Avant Garde" w:cs="Arial"/>
          <w:color w:val="000000" w:themeColor="text1"/>
        </w:rPr>
        <w:t xml:space="preserve">Si no fuera así, es decir, </w:t>
      </w:r>
      <w:r w:rsidR="00816EAF" w:rsidRPr="005F287B">
        <w:rPr>
          <w:rFonts w:ascii="ITC Avant Garde" w:hAnsi="ITC Avant Garde" w:cs="Arial"/>
          <w:color w:val="000000" w:themeColor="text1"/>
        </w:rPr>
        <w:t>si la prueba se aplicara de</w:t>
      </w:r>
      <w:r w:rsidR="00BF4113" w:rsidRPr="005F287B">
        <w:rPr>
          <w:rFonts w:ascii="ITC Avant Garde" w:hAnsi="ITC Avant Garde" w:cs="Arial"/>
          <w:color w:val="000000" w:themeColor="text1"/>
        </w:rPr>
        <w:t xml:space="preserve"> manera desagregada, l</w:t>
      </w:r>
      <w:r w:rsidRPr="005F287B">
        <w:rPr>
          <w:rFonts w:ascii="ITC Avant Garde" w:hAnsi="ITC Avant Garde" w:cs="Arial"/>
          <w:color w:val="000000" w:themeColor="text1"/>
        </w:rPr>
        <w:t>os resultados de la replicabilidad se podrían ver afectados por la forma en que se asignan los costos no incrementales a las capacidades. Al agregar entre capacidades se garantiza flexibilidad comercial</w:t>
      </w:r>
      <w:r w:rsidR="00A21470" w:rsidRPr="005F287B">
        <w:rPr>
          <w:rFonts w:ascii="ITC Avant Garde" w:hAnsi="ITC Avant Garde" w:cs="Arial"/>
          <w:color w:val="000000" w:themeColor="text1"/>
        </w:rPr>
        <w:t xml:space="preserve"> y se minimiza la probabilidad de asignar costos sesgados dada la gran diversidad de capacidades de los enlaces</w:t>
      </w:r>
      <w:r w:rsidRPr="005F287B">
        <w:rPr>
          <w:rFonts w:ascii="ITC Avant Garde" w:hAnsi="ITC Avant Garde" w:cs="Arial"/>
          <w:color w:val="000000" w:themeColor="text1"/>
        </w:rPr>
        <w:t xml:space="preserve">. </w:t>
      </w:r>
    </w:p>
    <w:p w:rsidR="00F500BC" w:rsidRPr="005F287B" w:rsidRDefault="00F500BC" w:rsidP="00F500BC">
      <w:pPr>
        <w:pStyle w:val="Prrafodelista"/>
        <w:spacing w:after="0" w:line="240" w:lineRule="auto"/>
        <w:contextualSpacing w:val="0"/>
        <w:jc w:val="both"/>
        <w:rPr>
          <w:rFonts w:ascii="ITC Avant Garde" w:hAnsi="ITC Avant Garde" w:cs="Arial"/>
          <w:color w:val="000000" w:themeColor="text1"/>
        </w:rPr>
      </w:pPr>
    </w:p>
    <w:p w:rsidR="00213D1D" w:rsidRPr="005F287B" w:rsidRDefault="005C7590"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Aunado a lo anterior, </w:t>
      </w:r>
      <w:r w:rsidR="00213D1D" w:rsidRPr="005F287B">
        <w:rPr>
          <w:rFonts w:ascii="ITC Avant Garde" w:hAnsi="ITC Avant Garde" w:cs="Arial"/>
          <w:color w:val="000000" w:themeColor="text1"/>
        </w:rPr>
        <w:t>es posible que las condiciones de competencia y los costos asociados difieran según la tipología de enlace dedicado,</w:t>
      </w:r>
      <w:r w:rsidR="00DC00A5" w:rsidRPr="005F287B">
        <w:rPr>
          <w:rFonts w:ascii="ITC Avant Garde" w:hAnsi="ITC Avant Garde" w:cs="Arial"/>
          <w:color w:val="000000" w:themeColor="text1"/>
        </w:rPr>
        <w:t xml:space="preserve"> por lo que este Instituto</w:t>
      </w:r>
      <w:r w:rsidR="00213D1D" w:rsidRPr="005F287B">
        <w:rPr>
          <w:rFonts w:ascii="ITC Avant Garde" w:hAnsi="ITC Avant Garde" w:cs="Arial"/>
          <w:color w:val="000000" w:themeColor="text1"/>
        </w:rPr>
        <w:t xml:space="preserve"> considera adecuado implementar una prueba separada para cada tipología de e</w:t>
      </w:r>
      <w:r w:rsidR="000F2EA0">
        <w:rPr>
          <w:rFonts w:ascii="ITC Avant Garde" w:hAnsi="ITC Avant Garde" w:cs="Arial"/>
          <w:color w:val="000000" w:themeColor="text1"/>
        </w:rPr>
        <w:t>nlace: local, entre localidades</w:t>
      </w:r>
      <w:r w:rsidR="00826B6F" w:rsidRPr="005F287B">
        <w:rPr>
          <w:rFonts w:ascii="ITC Avant Garde" w:hAnsi="ITC Avant Garde" w:cs="Arial"/>
          <w:color w:val="000000" w:themeColor="text1"/>
        </w:rPr>
        <w:t xml:space="preserve"> e </w:t>
      </w:r>
      <w:r w:rsidR="00213D1D" w:rsidRPr="005F287B">
        <w:rPr>
          <w:rFonts w:ascii="ITC Avant Garde" w:hAnsi="ITC Avant Garde" w:cs="Arial"/>
          <w:color w:val="000000" w:themeColor="text1"/>
        </w:rPr>
        <w:t>internacionales.</w:t>
      </w:r>
    </w:p>
    <w:p w:rsidR="00213D1D" w:rsidRPr="005F287B" w:rsidRDefault="00213D1D" w:rsidP="0069622D">
      <w:pPr>
        <w:spacing w:after="0" w:line="240" w:lineRule="auto"/>
        <w:jc w:val="both"/>
        <w:rPr>
          <w:rFonts w:ascii="ITC Avant Garde" w:hAnsi="ITC Avant Garde" w:cs="Arial"/>
          <w:color w:val="000000" w:themeColor="text1"/>
        </w:rPr>
      </w:pPr>
    </w:p>
    <w:p w:rsidR="00F500BC" w:rsidRPr="005F287B" w:rsidRDefault="003643DB" w:rsidP="004567D5">
      <w:pPr>
        <w:pStyle w:val="Ttulo2"/>
        <w:spacing w:before="0" w:line="240" w:lineRule="auto"/>
        <w:rPr>
          <w:rFonts w:ascii="ITC Avant Garde" w:hAnsi="ITC Avant Garde"/>
          <w:b/>
          <w:color w:val="000000" w:themeColor="text1"/>
          <w:sz w:val="22"/>
          <w:szCs w:val="22"/>
        </w:rPr>
      </w:pPr>
      <w:r w:rsidRPr="005F287B">
        <w:rPr>
          <w:rFonts w:ascii="ITC Avant Garde" w:hAnsi="ITC Avant Garde"/>
          <w:b/>
          <w:color w:val="000000" w:themeColor="text1"/>
          <w:sz w:val="22"/>
          <w:szCs w:val="22"/>
        </w:rPr>
        <w:t xml:space="preserve">Tema: </w:t>
      </w:r>
      <w:r w:rsidR="00F24A61" w:rsidRPr="005F287B">
        <w:rPr>
          <w:rFonts w:ascii="ITC Avant Garde" w:hAnsi="ITC Avant Garde"/>
          <w:b/>
          <w:color w:val="000000" w:themeColor="text1"/>
          <w:sz w:val="22"/>
          <w:szCs w:val="22"/>
        </w:rPr>
        <w:t>Costos minoristas</w:t>
      </w:r>
    </w:p>
    <w:p w:rsidR="00EE0426" w:rsidRPr="005F287B" w:rsidRDefault="00EE0426" w:rsidP="00F500BC">
      <w:pPr>
        <w:spacing w:after="0" w:line="240" w:lineRule="auto"/>
        <w:jc w:val="both"/>
        <w:rPr>
          <w:rFonts w:ascii="ITC Avant Garde" w:hAnsi="ITC Avant Garde" w:cs="Arial"/>
          <w:color w:val="000000" w:themeColor="text1"/>
        </w:rPr>
      </w:pPr>
    </w:p>
    <w:p w:rsidR="003643DB" w:rsidRPr="005F287B" w:rsidRDefault="003643DB" w:rsidP="00F500BC">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Se sugiere considerar </w:t>
      </w:r>
      <w:r w:rsidR="00B15281" w:rsidRPr="005F287B">
        <w:rPr>
          <w:rFonts w:ascii="ITC Avant Garde" w:hAnsi="ITC Avant Garde" w:cs="Arial"/>
          <w:color w:val="000000" w:themeColor="text1"/>
        </w:rPr>
        <w:t>una diferente aproximación a los costos minoristas</w:t>
      </w:r>
      <w:r w:rsidRPr="005F287B">
        <w:rPr>
          <w:rFonts w:ascii="ITC Avant Garde" w:hAnsi="ITC Avant Garde" w:cs="Arial"/>
          <w:color w:val="000000" w:themeColor="text1"/>
        </w:rPr>
        <w:t xml:space="preserve">. A </w:t>
      </w:r>
      <w:r w:rsidR="00F500BC" w:rsidRPr="005F287B">
        <w:rPr>
          <w:rFonts w:ascii="ITC Avant Garde" w:hAnsi="ITC Avant Garde" w:cs="Arial"/>
          <w:color w:val="000000" w:themeColor="text1"/>
        </w:rPr>
        <w:t>continuación,</w:t>
      </w:r>
      <w:r w:rsidRPr="005F287B">
        <w:rPr>
          <w:rFonts w:ascii="ITC Avant Garde" w:hAnsi="ITC Avant Garde" w:cs="Arial"/>
          <w:color w:val="000000" w:themeColor="text1"/>
        </w:rPr>
        <w:t xml:space="preserve"> se mencionan los argumentos presentados para justificar dicha sugerencia:</w:t>
      </w:r>
    </w:p>
    <w:p w:rsidR="00F500BC" w:rsidRPr="005F287B" w:rsidRDefault="00F500BC" w:rsidP="00F500BC">
      <w:pPr>
        <w:spacing w:after="0" w:line="240" w:lineRule="auto"/>
        <w:jc w:val="both"/>
        <w:rPr>
          <w:rFonts w:ascii="ITC Avant Garde" w:hAnsi="ITC Avant Garde" w:cs="Arial"/>
          <w:color w:val="000000" w:themeColor="text1"/>
        </w:rPr>
      </w:pPr>
    </w:p>
    <w:p w:rsidR="003643DB" w:rsidRPr="005F287B" w:rsidRDefault="003643DB" w:rsidP="0069622D">
      <w:pPr>
        <w:pStyle w:val="Prrafodelista"/>
        <w:numPr>
          <w:ilvl w:val="0"/>
          <w:numId w:val="8"/>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La oferta del mercado minorista se compone de manera enunciativa más no limitativa de: servicios de banda ancha con o sin sobresuscripción, monitoreo, redes privadas virtuales, video, soluciones de tecnologías de la información (en lo sucesivo, “TI”), comunicaciones con puntos de venta, red de acceso local (LAN) extendida, redes dorsales, servicios de nube, servicios de gestión de red, comunicaciones unificadas, video vigilancia, priorización de tráfico, entre otros. Esto muestra que los costos en los que incurre un concesionario solicitante son mucho mayores que los asociados a la provisión de un servicio de enlace local, interurbano o internacional, ya que añade al enlace características específicas y únicas, no sólo de capacidad si no equipamiento y administración.</w:t>
      </w:r>
    </w:p>
    <w:p w:rsidR="00F500BC" w:rsidRPr="005F287B" w:rsidRDefault="00F500BC" w:rsidP="00F500BC">
      <w:pPr>
        <w:pStyle w:val="Prrafodelista"/>
        <w:spacing w:after="0" w:line="240" w:lineRule="auto"/>
        <w:contextualSpacing w:val="0"/>
        <w:jc w:val="both"/>
        <w:rPr>
          <w:rFonts w:ascii="ITC Avant Garde" w:hAnsi="ITC Avant Garde" w:cs="Arial"/>
          <w:color w:val="000000" w:themeColor="text1"/>
        </w:rPr>
      </w:pPr>
    </w:p>
    <w:p w:rsidR="00F24A61" w:rsidRPr="005F287B" w:rsidRDefault="00F24A61" w:rsidP="0069622D">
      <w:pPr>
        <w:pStyle w:val="Prrafodelista"/>
        <w:numPr>
          <w:ilvl w:val="0"/>
          <w:numId w:val="8"/>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 xml:space="preserve">Se consideran insuficientes los costos aguas abajo identificados, por lo que se debe hacer un análisis contrato por contrato. </w:t>
      </w:r>
      <w:r w:rsidR="00F500BC" w:rsidRPr="005F287B">
        <w:rPr>
          <w:rFonts w:ascii="ITC Avant Garde" w:hAnsi="ITC Avant Garde" w:cs="Arial"/>
          <w:color w:val="000000" w:themeColor="text1"/>
        </w:rPr>
        <w:t>Asimismo,</w:t>
      </w:r>
      <w:r w:rsidRPr="005F287B">
        <w:rPr>
          <w:rFonts w:ascii="ITC Avant Garde" w:hAnsi="ITC Avant Garde" w:cs="Arial"/>
          <w:color w:val="000000" w:themeColor="text1"/>
        </w:rPr>
        <w:t xml:space="preserve"> las pruebas de replicabilidad deben incluir los servicios regulados y no regulados por los que cobra el AEP en sus contratos.</w:t>
      </w:r>
    </w:p>
    <w:p w:rsidR="00F500BC" w:rsidRPr="005F287B" w:rsidRDefault="00F500BC" w:rsidP="00F500BC">
      <w:pPr>
        <w:spacing w:after="0" w:line="240" w:lineRule="auto"/>
        <w:jc w:val="both"/>
        <w:rPr>
          <w:rFonts w:ascii="ITC Avant Garde" w:hAnsi="ITC Avant Garde" w:cs="Arial"/>
          <w:color w:val="000000" w:themeColor="text1"/>
        </w:rPr>
      </w:pPr>
    </w:p>
    <w:p w:rsidR="00F24A61" w:rsidRPr="005F287B" w:rsidRDefault="00F24A61" w:rsidP="0069622D">
      <w:pPr>
        <w:pStyle w:val="Prrafodelista"/>
        <w:numPr>
          <w:ilvl w:val="0"/>
          <w:numId w:val="8"/>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Se recomienda que para los costos aguas abajo se deberían incluir los costos de los equipos y sistemas informáticos necesarios para el funcionamiento de la actividad.</w:t>
      </w:r>
    </w:p>
    <w:p w:rsidR="00F500BC" w:rsidRPr="005F287B" w:rsidRDefault="00F500BC" w:rsidP="00F500BC">
      <w:pPr>
        <w:pStyle w:val="Prrafodelista"/>
        <w:rPr>
          <w:rFonts w:ascii="ITC Avant Garde" w:hAnsi="ITC Avant Garde" w:cs="Arial"/>
          <w:color w:val="000000" w:themeColor="text1"/>
        </w:rPr>
      </w:pPr>
    </w:p>
    <w:p w:rsidR="00F24A61" w:rsidRPr="005F287B" w:rsidRDefault="00F24A61" w:rsidP="0069622D">
      <w:pPr>
        <w:pStyle w:val="Prrafodelista"/>
        <w:numPr>
          <w:ilvl w:val="0"/>
          <w:numId w:val="8"/>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 xml:space="preserve">Respecto a la categorización de los costos aguas abajo, </w:t>
      </w:r>
      <w:r w:rsidR="0097651B" w:rsidRPr="005F287B">
        <w:rPr>
          <w:rFonts w:ascii="ITC Avant Garde" w:hAnsi="ITC Avant Garde" w:cs="Arial"/>
          <w:color w:val="000000" w:themeColor="text1"/>
        </w:rPr>
        <w:t>se sugiere</w:t>
      </w:r>
      <w:r w:rsidRPr="005F287B">
        <w:rPr>
          <w:rFonts w:ascii="ITC Avant Garde" w:hAnsi="ITC Avant Garde" w:cs="Arial"/>
          <w:color w:val="000000" w:themeColor="text1"/>
        </w:rPr>
        <w:t xml:space="preserve"> que se ofrezca más información de cómo estas categorías se aplican para enlaces dedicados pues al momento no hay claridad, esto incluye el entendimiento del costo de capital.</w:t>
      </w:r>
    </w:p>
    <w:p w:rsidR="00BC1C8E" w:rsidRDefault="00BC1C8E" w:rsidP="0069622D">
      <w:pPr>
        <w:spacing w:after="0" w:line="240" w:lineRule="auto"/>
        <w:jc w:val="both"/>
        <w:rPr>
          <w:rFonts w:ascii="ITC Avant Garde" w:hAnsi="ITC Avant Garde" w:cs="Arial"/>
          <w:color w:val="000000" w:themeColor="text1"/>
        </w:rPr>
      </w:pPr>
    </w:p>
    <w:p w:rsidR="00F500BC" w:rsidRPr="005F287B" w:rsidRDefault="004567D5" w:rsidP="0069622D">
      <w:pPr>
        <w:spacing w:after="0" w:line="240" w:lineRule="auto"/>
        <w:jc w:val="both"/>
        <w:rPr>
          <w:rFonts w:ascii="ITC Avant Garde" w:hAnsi="ITC Avant Garde" w:cs="Arial"/>
          <w:b/>
          <w:color w:val="000000" w:themeColor="text1"/>
        </w:rPr>
      </w:pPr>
      <w:r w:rsidRPr="005F287B">
        <w:rPr>
          <w:rFonts w:ascii="ITC Avant Garde" w:hAnsi="ITC Avant Garde" w:cs="Arial"/>
          <w:b/>
          <w:color w:val="000000" w:themeColor="text1"/>
        </w:rPr>
        <w:t xml:space="preserve">Consideraciones del Instituto: </w:t>
      </w:r>
    </w:p>
    <w:p w:rsidR="00EE0426" w:rsidRPr="005F287B" w:rsidRDefault="00EE0426" w:rsidP="0069622D">
      <w:pPr>
        <w:spacing w:after="0" w:line="240" w:lineRule="auto"/>
        <w:jc w:val="both"/>
        <w:rPr>
          <w:rFonts w:ascii="ITC Avant Garde" w:hAnsi="ITC Avant Garde" w:cs="Arial"/>
          <w:color w:val="000000" w:themeColor="text1"/>
        </w:rPr>
      </w:pPr>
    </w:p>
    <w:p w:rsidR="007F38AF" w:rsidRPr="005F287B" w:rsidRDefault="00367141"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Considerando</w:t>
      </w:r>
      <w:r w:rsidR="007F38AF" w:rsidRPr="005F287B">
        <w:rPr>
          <w:rFonts w:ascii="ITC Avant Garde" w:hAnsi="ITC Avant Garde" w:cs="Arial"/>
          <w:color w:val="000000" w:themeColor="text1"/>
        </w:rPr>
        <w:t xml:space="preserve"> que es posible que las condiciones de competencia y los costos asociados difieran según la tipología de enlace dedicado, se </w:t>
      </w:r>
      <w:r w:rsidR="006D0517" w:rsidRPr="005F287B">
        <w:rPr>
          <w:rFonts w:ascii="ITC Avant Garde" w:hAnsi="ITC Avant Garde" w:cs="Arial"/>
          <w:color w:val="000000" w:themeColor="text1"/>
        </w:rPr>
        <w:t xml:space="preserve">considera adecuado </w:t>
      </w:r>
      <w:r w:rsidR="007F38AF" w:rsidRPr="005F287B">
        <w:rPr>
          <w:rFonts w:ascii="ITC Avant Garde" w:hAnsi="ITC Avant Garde" w:cs="Arial"/>
          <w:color w:val="000000" w:themeColor="text1"/>
        </w:rPr>
        <w:t>implementar una prueba separada para cada tipología de enlace: local, entre localidades e internacionales. De esta manera, se asegura la replicabilidad de cada tipo de enlace. Por otra parte, una desagregación de contrato por contrato, con los respectivos costos particulares, no sería viable pues requeriría diseñar un modelo específico para cada caso, aumentando la incertidumbre de los participantes en dicho contrato y la carga regulatoria.</w:t>
      </w:r>
    </w:p>
    <w:p w:rsidR="00F500BC" w:rsidRPr="005F287B" w:rsidRDefault="00F500BC" w:rsidP="0069622D">
      <w:pPr>
        <w:spacing w:after="0" w:line="240" w:lineRule="auto"/>
        <w:jc w:val="both"/>
        <w:rPr>
          <w:rFonts w:ascii="ITC Avant Garde" w:hAnsi="ITC Avant Garde" w:cs="Arial"/>
          <w:color w:val="000000" w:themeColor="text1"/>
        </w:rPr>
      </w:pPr>
    </w:p>
    <w:p w:rsidR="00BC1C8E" w:rsidRDefault="007F38AF" w:rsidP="004E49AA">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Con respecto a los costos considerados en las pruebas de replicabilidad, </w:t>
      </w:r>
      <w:r w:rsidR="00180FA8" w:rsidRPr="005F287B">
        <w:rPr>
          <w:rFonts w:ascii="ITC Avant Garde" w:hAnsi="ITC Avant Garde" w:cs="Arial"/>
          <w:color w:val="000000" w:themeColor="text1"/>
        </w:rPr>
        <w:t>si se utilizara un enfoque de eficiencia cuyo insumo para calcular los costos minoristas fuera la información de los competidores, como el REO, sería correcto que el Instituto utilizara la estructura de</w:t>
      </w:r>
      <w:r w:rsidR="004E49AA">
        <w:rPr>
          <w:rFonts w:ascii="ITC Avant Garde" w:hAnsi="ITC Avant Garde" w:cs="Arial"/>
          <w:color w:val="000000" w:themeColor="text1"/>
        </w:rPr>
        <w:t xml:space="preserve"> los competidores. Sin embargo,</w:t>
      </w:r>
      <w:r w:rsidR="00180FA8" w:rsidRPr="005F287B">
        <w:rPr>
          <w:rFonts w:ascii="ITC Avant Garde" w:hAnsi="ITC Avant Garde" w:cs="Arial"/>
          <w:color w:val="000000" w:themeColor="text1"/>
        </w:rPr>
        <w:t xml:space="preserve"> </w:t>
      </w:r>
      <w:r w:rsidR="00D60593" w:rsidRPr="005F287B">
        <w:rPr>
          <w:rFonts w:ascii="ITC Avant Garde" w:hAnsi="ITC Avant Garde" w:cs="Arial"/>
          <w:color w:val="000000" w:themeColor="text1"/>
        </w:rPr>
        <w:t>se debe recordar que bajo un enfoque EEO, es</w:t>
      </w:r>
      <w:r w:rsidRPr="005F287B">
        <w:rPr>
          <w:rFonts w:ascii="ITC Avant Garde" w:hAnsi="ITC Avant Garde" w:cs="Arial"/>
          <w:color w:val="000000" w:themeColor="text1"/>
        </w:rPr>
        <w:t xml:space="preserve"> el AEP </w:t>
      </w:r>
      <w:r w:rsidR="00D60593" w:rsidRPr="005F287B">
        <w:rPr>
          <w:rFonts w:ascii="ITC Avant Garde" w:hAnsi="ITC Avant Garde" w:cs="Arial"/>
          <w:color w:val="000000" w:themeColor="text1"/>
        </w:rPr>
        <w:t xml:space="preserve">el que debe </w:t>
      </w:r>
      <w:r w:rsidR="002D0C00" w:rsidRPr="005F287B">
        <w:rPr>
          <w:rFonts w:ascii="ITC Avant Garde" w:hAnsi="ITC Avant Garde" w:cs="Arial"/>
          <w:color w:val="000000" w:themeColor="text1"/>
        </w:rPr>
        <w:t>proporcionar</w:t>
      </w:r>
      <w:r w:rsidRPr="005F287B">
        <w:rPr>
          <w:rFonts w:ascii="ITC Avant Garde" w:hAnsi="ITC Avant Garde" w:cs="Arial"/>
          <w:color w:val="000000" w:themeColor="text1"/>
        </w:rPr>
        <w:t xml:space="preserve"> la información de costos minoristas</w:t>
      </w:r>
      <w:r w:rsidR="00180FA8" w:rsidRPr="005F287B">
        <w:rPr>
          <w:rFonts w:ascii="ITC Avant Garde" w:hAnsi="ITC Avant Garde" w:cs="Arial"/>
          <w:color w:val="000000" w:themeColor="text1"/>
        </w:rPr>
        <w:t xml:space="preserve"> al Instituto</w:t>
      </w:r>
      <w:r w:rsidRPr="005F287B">
        <w:rPr>
          <w:rFonts w:ascii="ITC Avant Garde" w:hAnsi="ITC Avant Garde" w:cs="Arial"/>
          <w:color w:val="000000" w:themeColor="text1"/>
        </w:rPr>
        <w:t xml:space="preserve">, incluyendo costos comunes y costos no regulados, </w:t>
      </w:r>
      <w:r w:rsidR="00180FA8" w:rsidRPr="005F287B">
        <w:rPr>
          <w:rFonts w:ascii="ITC Avant Garde" w:hAnsi="ITC Avant Garde" w:cs="Arial"/>
          <w:color w:val="000000" w:themeColor="text1"/>
        </w:rPr>
        <w:t>bajo</w:t>
      </w:r>
      <w:r w:rsidRPr="005F287B">
        <w:rPr>
          <w:rFonts w:ascii="ITC Avant Garde" w:hAnsi="ITC Avant Garde" w:cs="Arial"/>
          <w:color w:val="000000" w:themeColor="text1"/>
        </w:rPr>
        <w:t xml:space="preserve"> la estructura </w:t>
      </w:r>
      <w:r w:rsidR="00180FA8" w:rsidRPr="005F287B">
        <w:rPr>
          <w:rFonts w:ascii="ITC Avant Garde" w:hAnsi="ITC Avant Garde" w:cs="Arial"/>
          <w:color w:val="000000" w:themeColor="text1"/>
        </w:rPr>
        <w:t xml:space="preserve">en </w:t>
      </w:r>
      <w:r w:rsidRPr="005F287B">
        <w:rPr>
          <w:rFonts w:ascii="ITC Avant Garde" w:hAnsi="ITC Avant Garde" w:cs="Arial"/>
          <w:color w:val="000000" w:themeColor="text1"/>
        </w:rPr>
        <w:t>que presenta la separación contable. Esta desagregación de los costos favorece a la transparencia de la información y otorga certidumbre tanto para el AEP como para sus competidores.</w:t>
      </w:r>
    </w:p>
    <w:p w:rsidR="004E49AA" w:rsidRPr="004E49AA" w:rsidRDefault="004E49AA" w:rsidP="004E49AA">
      <w:pPr>
        <w:spacing w:after="0" w:line="240" w:lineRule="auto"/>
        <w:jc w:val="both"/>
        <w:rPr>
          <w:rFonts w:ascii="ITC Avant Garde" w:hAnsi="ITC Avant Garde" w:cs="Arial"/>
          <w:color w:val="000000" w:themeColor="text1"/>
        </w:rPr>
      </w:pPr>
    </w:p>
    <w:p w:rsidR="00BC1C8E" w:rsidRPr="004E49AA" w:rsidRDefault="00233DF9" w:rsidP="004567D5">
      <w:pPr>
        <w:pStyle w:val="Ttulo2"/>
        <w:spacing w:before="0" w:line="240" w:lineRule="auto"/>
        <w:jc w:val="both"/>
        <w:rPr>
          <w:rFonts w:ascii="ITC Avant Garde" w:hAnsi="ITC Avant Garde" w:cs="Arial"/>
          <w:b/>
          <w:sz w:val="22"/>
          <w:szCs w:val="22"/>
          <w:u w:val="single"/>
        </w:rPr>
      </w:pPr>
      <w:r w:rsidRPr="004E49AA">
        <w:rPr>
          <w:rFonts w:ascii="ITC Avant Garde" w:hAnsi="ITC Avant Garde" w:cs="Arial"/>
          <w:b/>
          <w:sz w:val="22"/>
          <w:szCs w:val="22"/>
          <w:u w:val="single"/>
        </w:rPr>
        <w:t>Sobre la Prueba aplicada a Servicios de Telefonía Fija</w:t>
      </w:r>
    </w:p>
    <w:p w:rsidR="004E49AA" w:rsidRDefault="004E49AA" w:rsidP="004567D5">
      <w:pPr>
        <w:pStyle w:val="Ttulo2"/>
        <w:spacing w:before="0" w:line="240" w:lineRule="auto"/>
        <w:jc w:val="both"/>
        <w:rPr>
          <w:rFonts w:ascii="ITC Avant Garde" w:hAnsi="ITC Avant Garde"/>
          <w:b/>
          <w:color w:val="000000" w:themeColor="text1"/>
          <w:sz w:val="22"/>
          <w:szCs w:val="22"/>
        </w:rPr>
      </w:pPr>
    </w:p>
    <w:p w:rsidR="00F500BC" w:rsidRPr="005F287B" w:rsidRDefault="00831AC4" w:rsidP="004567D5">
      <w:pPr>
        <w:pStyle w:val="Ttulo2"/>
        <w:spacing w:before="0" w:line="240" w:lineRule="auto"/>
        <w:jc w:val="both"/>
        <w:rPr>
          <w:rFonts w:ascii="ITC Avant Garde" w:hAnsi="ITC Avant Garde"/>
          <w:b/>
          <w:color w:val="000000" w:themeColor="text1"/>
          <w:sz w:val="22"/>
          <w:szCs w:val="22"/>
        </w:rPr>
      </w:pPr>
      <w:r w:rsidRPr="005F287B">
        <w:rPr>
          <w:rFonts w:ascii="ITC Avant Garde" w:hAnsi="ITC Avant Garde"/>
          <w:b/>
          <w:color w:val="000000" w:themeColor="text1"/>
          <w:sz w:val="22"/>
          <w:szCs w:val="22"/>
        </w:rPr>
        <w:t xml:space="preserve">Tema: </w:t>
      </w:r>
      <w:r w:rsidR="00D152CD" w:rsidRPr="005F287B">
        <w:rPr>
          <w:rFonts w:ascii="ITC Avant Garde" w:hAnsi="ITC Avant Garde"/>
          <w:b/>
          <w:color w:val="000000" w:themeColor="text1"/>
          <w:sz w:val="22"/>
          <w:szCs w:val="22"/>
        </w:rPr>
        <w:t xml:space="preserve">Momento </w:t>
      </w:r>
      <w:r w:rsidRPr="005F287B">
        <w:rPr>
          <w:rFonts w:ascii="ITC Avant Garde" w:hAnsi="ITC Avant Garde"/>
          <w:b/>
          <w:color w:val="000000" w:themeColor="text1"/>
          <w:sz w:val="22"/>
          <w:szCs w:val="22"/>
        </w:rPr>
        <w:t>de aplicación de la prueba</w:t>
      </w:r>
    </w:p>
    <w:p w:rsidR="00660B6E" w:rsidRPr="005F287B" w:rsidRDefault="00660B6E" w:rsidP="00F500BC">
      <w:pPr>
        <w:spacing w:after="0" w:line="240" w:lineRule="auto"/>
        <w:jc w:val="both"/>
        <w:rPr>
          <w:rFonts w:ascii="ITC Avant Garde" w:hAnsi="ITC Avant Garde" w:cs="Arial"/>
          <w:color w:val="000000" w:themeColor="text1"/>
        </w:rPr>
      </w:pPr>
    </w:p>
    <w:p w:rsidR="00A41F42" w:rsidRPr="005F287B" w:rsidRDefault="00A41F42" w:rsidP="00F500BC">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Se sugiere la implementación de pruebas ex ante </w:t>
      </w:r>
      <w:r w:rsidR="00793506" w:rsidRPr="005F287B">
        <w:rPr>
          <w:rFonts w:ascii="ITC Avant Garde" w:hAnsi="ITC Avant Garde" w:cs="Arial"/>
          <w:color w:val="000000" w:themeColor="text1"/>
        </w:rPr>
        <w:t>oferta por oferta</w:t>
      </w:r>
      <w:r w:rsidRPr="005F287B">
        <w:rPr>
          <w:rFonts w:ascii="ITC Avant Garde" w:hAnsi="ITC Avant Garde" w:cs="Arial"/>
          <w:color w:val="000000" w:themeColor="text1"/>
        </w:rPr>
        <w:t xml:space="preserve">. A </w:t>
      </w:r>
      <w:r w:rsidR="00F500BC" w:rsidRPr="005F287B">
        <w:rPr>
          <w:rFonts w:ascii="ITC Avant Garde" w:hAnsi="ITC Avant Garde" w:cs="Arial"/>
          <w:color w:val="000000" w:themeColor="text1"/>
        </w:rPr>
        <w:t>continuación,</w:t>
      </w:r>
      <w:r w:rsidRPr="005F287B">
        <w:rPr>
          <w:rFonts w:ascii="ITC Avant Garde" w:hAnsi="ITC Avant Garde" w:cs="Arial"/>
          <w:color w:val="000000" w:themeColor="text1"/>
        </w:rPr>
        <w:t xml:space="preserve"> se mencionan los argumentos presentados para justificar dicha sugerencia:</w:t>
      </w:r>
    </w:p>
    <w:p w:rsidR="007D5EF6" w:rsidRPr="005F287B" w:rsidRDefault="007D5EF6" w:rsidP="00F500BC">
      <w:pPr>
        <w:spacing w:after="0" w:line="240" w:lineRule="auto"/>
        <w:jc w:val="both"/>
        <w:rPr>
          <w:rFonts w:ascii="ITC Avant Garde" w:hAnsi="ITC Avant Garde" w:cs="Arial"/>
          <w:color w:val="000000" w:themeColor="text1"/>
        </w:rPr>
      </w:pPr>
    </w:p>
    <w:p w:rsidR="00831AC4" w:rsidRPr="005F287B" w:rsidRDefault="00A41F42" w:rsidP="0069622D">
      <w:pPr>
        <w:pStyle w:val="Prrafodelista"/>
        <w:numPr>
          <w:ilvl w:val="0"/>
          <w:numId w:val="9"/>
        </w:numPr>
        <w:spacing w:after="0" w:line="240" w:lineRule="auto"/>
        <w:contextualSpacing w:val="0"/>
        <w:jc w:val="both"/>
        <w:rPr>
          <w:rFonts w:ascii="ITC Avant Garde" w:hAnsi="ITC Avant Garde"/>
          <w:color w:val="000000" w:themeColor="text1"/>
        </w:rPr>
      </w:pPr>
      <w:r w:rsidRPr="005F287B">
        <w:rPr>
          <w:rFonts w:ascii="ITC Avant Garde" w:hAnsi="ITC Avant Garde"/>
          <w:color w:val="000000" w:themeColor="text1"/>
        </w:rPr>
        <w:t>Se recomienda</w:t>
      </w:r>
      <w:r w:rsidR="00831AC4" w:rsidRPr="005F287B">
        <w:rPr>
          <w:rFonts w:ascii="ITC Avant Garde" w:hAnsi="ITC Avant Garde"/>
          <w:color w:val="000000" w:themeColor="text1"/>
        </w:rPr>
        <w:t xml:space="preserve"> incorporar una prueba ex ante</w:t>
      </w:r>
      <w:r w:rsidR="00793506" w:rsidRPr="005F287B">
        <w:rPr>
          <w:rFonts w:ascii="ITC Avant Garde" w:hAnsi="ITC Avant Garde"/>
          <w:color w:val="000000" w:themeColor="text1"/>
        </w:rPr>
        <w:t xml:space="preserve"> oferta por oferta</w:t>
      </w:r>
      <w:r w:rsidR="00831AC4" w:rsidRPr="005F287B">
        <w:rPr>
          <w:rFonts w:ascii="ITC Avant Garde" w:hAnsi="ITC Avant Garde"/>
          <w:color w:val="000000" w:themeColor="text1"/>
        </w:rPr>
        <w:t xml:space="preserve"> ya que una prueba por cartera de productos en telefonía fija resulta poco relevante por el nivel de maduración y estabilidad de precios.</w:t>
      </w:r>
    </w:p>
    <w:p w:rsidR="00F500BC" w:rsidRPr="005F287B" w:rsidRDefault="00F500BC" w:rsidP="00F500BC">
      <w:pPr>
        <w:pStyle w:val="Prrafodelista"/>
        <w:spacing w:after="0" w:line="240" w:lineRule="auto"/>
        <w:contextualSpacing w:val="0"/>
        <w:jc w:val="both"/>
        <w:rPr>
          <w:rFonts w:ascii="ITC Avant Garde" w:hAnsi="ITC Avant Garde"/>
          <w:color w:val="000000" w:themeColor="text1"/>
        </w:rPr>
      </w:pPr>
    </w:p>
    <w:p w:rsidR="00F500BC" w:rsidRPr="005F287B" w:rsidRDefault="00831AC4" w:rsidP="0069622D">
      <w:pPr>
        <w:spacing w:after="0" w:line="240" w:lineRule="auto"/>
        <w:jc w:val="both"/>
        <w:rPr>
          <w:rFonts w:ascii="ITC Avant Garde" w:hAnsi="ITC Avant Garde" w:cs="Arial"/>
          <w:b/>
          <w:color w:val="000000" w:themeColor="text1"/>
        </w:rPr>
      </w:pPr>
      <w:r w:rsidRPr="005F287B">
        <w:rPr>
          <w:rFonts w:ascii="ITC Avant Garde" w:hAnsi="ITC Avant Garde"/>
          <w:color w:val="000000" w:themeColor="text1"/>
        </w:rPr>
        <w:t xml:space="preserve"> </w:t>
      </w:r>
      <w:r w:rsidR="004567D5" w:rsidRPr="005F287B">
        <w:rPr>
          <w:rFonts w:ascii="ITC Avant Garde" w:hAnsi="ITC Avant Garde" w:cs="Arial"/>
          <w:b/>
          <w:color w:val="000000" w:themeColor="text1"/>
        </w:rPr>
        <w:t xml:space="preserve">Consideraciones del Instituto: </w:t>
      </w:r>
    </w:p>
    <w:p w:rsidR="000F30B4" w:rsidRPr="005F287B" w:rsidRDefault="000F30B4" w:rsidP="0069622D">
      <w:pPr>
        <w:spacing w:after="0" w:line="240" w:lineRule="auto"/>
        <w:jc w:val="both"/>
        <w:rPr>
          <w:rFonts w:ascii="ITC Avant Garde" w:hAnsi="ITC Avant Garde"/>
          <w:color w:val="000000" w:themeColor="text1"/>
        </w:rPr>
      </w:pPr>
    </w:p>
    <w:p w:rsidR="00BE17C6" w:rsidRPr="005F287B" w:rsidRDefault="00BE17C6" w:rsidP="0069622D">
      <w:pPr>
        <w:spacing w:after="0" w:line="240" w:lineRule="auto"/>
        <w:jc w:val="both"/>
        <w:rPr>
          <w:rFonts w:ascii="ITC Avant Garde" w:hAnsi="ITC Avant Garde"/>
          <w:color w:val="000000" w:themeColor="text1"/>
        </w:rPr>
      </w:pPr>
      <w:r w:rsidRPr="005F287B">
        <w:rPr>
          <w:rFonts w:ascii="ITC Avant Garde" w:hAnsi="ITC Avant Garde"/>
          <w:color w:val="000000" w:themeColor="text1"/>
        </w:rPr>
        <w:t xml:space="preserve">Como acertadamente se menciona en </w:t>
      </w:r>
      <w:r w:rsidR="00971513" w:rsidRPr="005F287B">
        <w:rPr>
          <w:rFonts w:ascii="ITC Avant Garde" w:hAnsi="ITC Avant Garde"/>
          <w:color w:val="000000" w:themeColor="text1"/>
        </w:rPr>
        <w:t xml:space="preserve">el </w:t>
      </w:r>
      <w:r w:rsidRPr="005F287B">
        <w:rPr>
          <w:rFonts w:ascii="ITC Avant Garde" w:hAnsi="ITC Avant Garde"/>
          <w:color w:val="000000" w:themeColor="text1"/>
        </w:rPr>
        <w:t xml:space="preserve">comentario, el mercado de la telefonía fija es un mercado maduro en el que una parte creciente de las líneas fijas de voz ya se venden empaquetadas con el acceso a banda ancha. </w:t>
      </w:r>
      <w:r w:rsidR="00971513" w:rsidRPr="005F287B">
        <w:rPr>
          <w:rFonts w:ascii="ITC Avant Garde" w:hAnsi="ITC Avant Garde"/>
          <w:color w:val="000000" w:themeColor="text1"/>
        </w:rPr>
        <w:t>Al respecto debe señalarse que para el periodo entre 2006 y 2015, d</w:t>
      </w:r>
      <w:r w:rsidR="001633AF" w:rsidRPr="005F287B">
        <w:rPr>
          <w:rFonts w:ascii="ITC Avant Garde" w:hAnsi="ITC Avant Garde"/>
          <w:color w:val="000000" w:themeColor="text1"/>
        </w:rPr>
        <w:t xml:space="preserve">icho mercado </w:t>
      </w:r>
      <w:r w:rsidR="00971513" w:rsidRPr="005F287B">
        <w:rPr>
          <w:rFonts w:ascii="ITC Avant Garde" w:hAnsi="ITC Avant Garde"/>
          <w:color w:val="000000" w:themeColor="text1"/>
        </w:rPr>
        <w:t>registró</w:t>
      </w:r>
      <w:r w:rsidR="001633AF" w:rsidRPr="005F287B">
        <w:rPr>
          <w:rFonts w:ascii="ITC Avant Garde" w:hAnsi="ITC Avant Garde"/>
          <w:color w:val="000000" w:themeColor="text1"/>
        </w:rPr>
        <w:t xml:space="preserve"> un crecimiento en líneas de 0,01% anual y una </w:t>
      </w:r>
      <w:r w:rsidR="00971513" w:rsidRPr="005F287B">
        <w:rPr>
          <w:rFonts w:ascii="ITC Avant Garde" w:hAnsi="ITC Avant Garde"/>
          <w:color w:val="000000" w:themeColor="text1"/>
        </w:rPr>
        <w:t>caída en</w:t>
      </w:r>
      <w:r w:rsidR="001633AF" w:rsidRPr="005F287B">
        <w:rPr>
          <w:rFonts w:ascii="ITC Avant Garde" w:hAnsi="ITC Avant Garde"/>
          <w:color w:val="000000" w:themeColor="text1"/>
        </w:rPr>
        <w:t xml:space="preserve"> la </w:t>
      </w:r>
      <w:r w:rsidR="00F500BC" w:rsidRPr="005F287B">
        <w:rPr>
          <w:rFonts w:ascii="ITC Avant Garde" w:hAnsi="ITC Avant Garde"/>
          <w:color w:val="000000" w:themeColor="text1"/>
        </w:rPr>
        <w:t>penetración de</w:t>
      </w:r>
      <w:r w:rsidR="001633AF" w:rsidRPr="005F287B">
        <w:rPr>
          <w:rFonts w:ascii="ITC Avant Garde" w:hAnsi="ITC Avant Garde"/>
          <w:color w:val="000000" w:themeColor="text1"/>
        </w:rPr>
        <w:t xml:space="preserve"> -1,2% anual, mientras que la población de México ha crecido a una tasa de 1,5% anual en el mismo periodo. Respecto al volumen de minutos de uso por línea a nivel local, nacional e internacional, </w:t>
      </w:r>
      <w:r w:rsidR="0030224C" w:rsidRPr="005F287B">
        <w:rPr>
          <w:rFonts w:ascii="ITC Avant Garde" w:hAnsi="ITC Avant Garde"/>
          <w:color w:val="000000" w:themeColor="text1"/>
        </w:rPr>
        <w:t xml:space="preserve">para el periodo 2015 a 2016, </w:t>
      </w:r>
      <w:r w:rsidR="001633AF" w:rsidRPr="005F287B">
        <w:rPr>
          <w:rFonts w:ascii="ITC Avant Garde" w:hAnsi="ITC Avant Garde"/>
          <w:color w:val="000000" w:themeColor="text1"/>
        </w:rPr>
        <w:t xml:space="preserve">se </w:t>
      </w:r>
      <w:r w:rsidR="0030224C" w:rsidRPr="005F287B">
        <w:rPr>
          <w:rFonts w:ascii="ITC Avant Garde" w:hAnsi="ITC Avant Garde"/>
          <w:color w:val="000000" w:themeColor="text1"/>
        </w:rPr>
        <w:t>registró</w:t>
      </w:r>
      <w:r w:rsidR="001633AF" w:rsidRPr="005F287B">
        <w:rPr>
          <w:rFonts w:ascii="ITC Avant Garde" w:hAnsi="ITC Avant Garde"/>
          <w:color w:val="000000" w:themeColor="text1"/>
        </w:rPr>
        <w:t xml:space="preserve"> una caída de</w:t>
      </w:r>
      <w:r w:rsidR="0030224C" w:rsidRPr="005F287B">
        <w:rPr>
          <w:rFonts w:ascii="ITC Avant Garde" w:hAnsi="ITC Avant Garde"/>
          <w:color w:val="000000" w:themeColor="text1"/>
        </w:rPr>
        <w:t>l</w:t>
      </w:r>
      <w:r w:rsidR="001633AF" w:rsidRPr="005F287B">
        <w:rPr>
          <w:rFonts w:ascii="ITC Avant Garde" w:hAnsi="ITC Avant Garde"/>
          <w:color w:val="000000" w:themeColor="text1"/>
        </w:rPr>
        <w:t xml:space="preserve"> 11% </w:t>
      </w:r>
      <w:r w:rsidR="0030224C" w:rsidRPr="005F287B">
        <w:rPr>
          <w:rFonts w:ascii="ITC Avant Garde" w:hAnsi="ITC Avant Garde"/>
          <w:color w:val="000000" w:themeColor="text1"/>
        </w:rPr>
        <w:t>en el</w:t>
      </w:r>
      <w:r w:rsidR="001633AF" w:rsidRPr="005F287B">
        <w:rPr>
          <w:rFonts w:ascii="ITC Avant Garde" w:hAnsi="ITC Avant Garde"/>
          <w:color w:val="000000" w:themeColor="text1"/>
        </w:rPr>
        <w:t xml:space="preserve"> tráfico nacional y local y una caída del 10% del tráfico internacional.</w:t>
      </w:r>
    </w:p>
    <w:p w:rsidR="00F500BC" w:rsidRPr="005F287B" w:rsidRDefault="00F500BC" w:rsidP="0069622D">
      <w:pPr>
        <w:spacing w:after="0" w:line="240" w:lineRule="auto"/>
        <w:jc w:val="both"/>
        <w:rPr>
          <w:rFonts w:ascii="ITC Avant Garde" w:hAnsi="ITC Avant Garde"/>
          <w:color w:val="000000" w:themeColor="text1"/>
        </w:rPr>
      </w:pPr>
    </w:p>
    <w:p w:rsidR="00BE17C6" w:rsidRPr="005F287B" w:rsidRDefault="00BE17C6" w:rsidP="0069622D">
      <w:pPr>
        <w:spacing w:after="0" w:line="240" w:lineRule="auto"/>
        <w:jc w:val="both"/>
        <w:rPr>
          <w:rFonts w:ascii="ITC Avant Garde" w:hAnsi="ITC Avant Garde"/>
          <w:color w:val="000000" w:themeColor="text1"/>
        </w:rPr>
      </w:pPr>
      <w:r w:rsidRPr="005F287B">
        <w:rPr>
          <w:rFonts w:ascii="ITC Avant Garde" w:hAnsi="ITC Avant Garde"/>
          <w:color w:val="000000" w:themeColor="text1"/>
        </w:rPr>
        <w:t>En un mercado con estas características es adecuado adoptar un enfoque agregado para la prueba de replicabilidad en lugar de un enfoque oferta por oferta. Si el mercado</w:t>
      </w:r>
      <w:r w:rsidR="00793506" w:rsidRPr="005F287B">
        <w:rPr>
          <w:rFonts w:ascii="ITC Avant Garde" w:hAnsi="ITC Avant Garde"/>
          <w:color w:val="000000" w:themeColor="text1"/>
        </w:rPr>
        <w:t xml:space="preserve"> es</w:t>
      </w:r>
      <w:r w:rsidRPr="005F287B">
        <w:rPr>
          <w:rFonts w:ascii="ITC Avant Garde" w:hAnsi="ITC Avant Garde"/>
          <w:color w:val="000000" w:themeColor="text1"/>
        </w:rPr>
        <w:t xml:space="preserve"> maduro</w:t>
      </w:r>
      <w:r w:rsidR="00793506" w:rsidRPr="005F287B">
        <w:rPr>
          <w:rFonts w:ascii="ITC Avant Garde" w:hAnsi="ITC Avant Garde"/>
          <w:color w:val="000000" w:themeColor="text1"/>
        </w:rPr>
        <w:t>,</w:t>
      </w:r>
      <w:r w:rsidRPr="005F287B">
        <w:rPr>
          <w:rFonts w:ascii="ITC Avant Garde" w:hAnsi="ITC Avant Garde"/>
          <w:color w:val="000000" w:themeColor="text1"/>
        </w:rPr>
        <w:t xml:space="preserve"> no es probable que una oferta concreta con un bajo peso en el mercado (como para que no se vea reflejado en la prueba agregada) pueda dist</w:t>
      </w:r>
      <w:r w:rsidR="00F500BC" w:rsidRPr="005F287B">
        <w:rPr>
          <w:rFonts w:ascii="ITC Avant Garde" w:hAnsi="ITC Avant Garde"/>
          <w:color w:val="000000" w:themeColor="text1"/>
        </w:rPr>
        <w:t>orsionar la competencia futura.</w:t>
      </w:r>
    </w:p>
    <w:p w:rsidR="00F500BC" w:rsidRPr="005F287B" w:rsidRDefault="00F500BC" w:rsidP="0069622D">
      <w:pPr>
        <w:spacing w:after="0" w:line="240" w:lineRule="auto"/>
        <w:jc w:val="both"/>
        <w:rPr>
          <w:rFonts w:ascii="ITC Avant Garde" w:hAnsi="ITC Avant Garde"/>
          <w:color w:val="000000" w:themeColor="text1"/>
        </w:rPr>
      </w:pPr>
    </w:p>
    <w:p w:rsidR="00BE17C6" w:rsidRPr="005F287B" w:rsidRDefault="00BA115A" w:rsidP="0069622D">
      <w:pPr>
        <w:spacing w:after="0" w:line="240" w:lineRule="auto"/>
        <w:jc w:val="both"/>
        <w:rPr>
          <w:rFonts w:ascii="ITC Avant Garde" w:hAnsi="ITC Avant Garde"/>
          <w:color w:val="000000" w:themeColor="text1"/>
        </w:rPr>
      </w:pPr>
      <w:r w:rsidRPr="005F287B">
        <w:rPr>
          <w:rFonts w:ascii="ITC Avant Garde" w:hAnsi="ITC Avant Garde"/>
          <w:color w:val="000000" w:themeColor="text1"/>
        </w:rPr>
        <w:t xml:space="preserve">Asimismo, debido a que </w:t>
      </w:r>
      <w:r w:rsidR="00BE17C6" w:rsidRPr="005F287B">
        <w:rPr>
          <w:rFonts w:ascii="ITC Avant Garde" w:hAnsi="ITC Avant Garde"/>
          <w:color w:val="000000" w:themeColor="text1"/>
        </w:rPr>
        <w:t xml:space="preserve">el mercado es estable, el patrón de consumo no cambiará de forma significativa en el futuro </w:t>
      </w:r>
      <w:r w:rsidRPr="005F287B">
        <w:rPr>
          <w:rFonts w:ascii="ITC Avant Garde" w:hAnsi="ITC Avant Garde"/>
          <w:color w:val="000000" w:themeColor="text1"/>
        </w:rPr>
        <w:t xml:space="preserve">en grado tal que </w:t>
      </w:r>
      <w:r w:rsidR="00BE17C6" w:rsidRPr="005F287B">
        <w:rPr>
          <w:rFonts w:ascii="ITC Avant Garde" w:hAnsi="ITC Avant Garde"/>
          <w:color w:val="000000" w:themeColor="text1"/>
        </w:rPr>
        <w:t xml:space="preserve">esta oferta pueda convertirse en mayoritaria y esencial para la competencia. </w:t>
      </w:r>
      <w:r w:rsidR="00EB40DD" w:rsidRPr="005F287B">
        <w:rPr>
          <w:rFonts w:ascii="ITC Avant Garde" w:hAnsi="ITC Avant Garde"/>
          <w:color w:val="000000" w:themeColor="text1"/>
        </w:rPr>
        <w:t xml:space="preserve">Además, </w:t>
      </w:r>
      <w:r w:rsidR="00BE17C6" w:rsidRPr="005F287B">
        <w:rPr>
          <w:rFonts w:ascii="ITC Avant Garde" w:hAnsi="ITC Avant Garde"/>
          <w:color w:val="000000" w:themeColor="text1"/>
        </w:rPr>
        <w:t>si esto sucedi</w:t>
      </w:r>
      <w:r w:rsidR="00EB40DD" w:rsidRPr="005F287B">
        <w:rPr>
          <w:rFonts w:ascii="ITC Avant Garde" w:hAnsi="ITC Avant Garde"/>
          <w:color w:val="000000" w:themeColor="text1"/>
        </w:rPr>
        <w:t>era</w:t>
      </w:r>
      <w:r w:rsidR="00BE17C6" w:rsidRPr="005F287B">
        <w:rPr>
          <w:rFonts w:ascii="ITC Avant Garde" w:hAnsi="ITC Avant Garde"/>
          <w:color w:val="000000" w:themeColor="text1"/>
        </w:rPr>
        <w:t>, la prueba agregada reflejaría el mayor peso de esta oferta y detectaría la falta de replicabilidad.</w:t>
      </w:r>
    </w:p>
    <w:p w:rsidR="00F500BC" w:rsidRPr="005F287B" w:rsidRDefault="00F500BC" w:rsidP="0069622D">
      <w:pPr>
        <w:spacing w:after="0" w:line="240" w:lineRule="auto"/>
        <w:jc w:val="both"/>
        <w:rPr>
          <w:rFonts w:ascii="ITC Avant Garde" w:hAnsi="ITC Avant Garde"/>
          <w:color w:val="000000" w:themeColor="text1"/>
        </w:rPr>
      </w:pPr>
    </w:p>
    <w:p w:rsidR="00831AC4" w:rsidRPr="005F287B" w:rsidRDefault="00EB40DD" w:rsidP="0069622D">
      <w:pPr>
        <w:spacing w:after="0" w:line="240" w:lineRule="auto"/>
        <w:jc w:val="both"/>
        <w:rPr>
          <w:rFonts w:ascii="ITC Avant Garde" w:hAnsi="ITC Avant Garde"/>
          <w:color w:val="000000" w:themeColor="text1"/>
        </w:rPr>
      </w:pPr>
      <w:r w:rsidRPr="005F287B">
        <w:rPr>
          <w:rFonts w:ascii="ITC Avant Garde" w:hAnsi="ITC Avant Garde"/>
          <w:color w:val="000000" w:themeColor="text1"/>
        </w:rPr>
        <w:t>Por lo tanto, u</w:t>
      </w:r>
      <w:r w:rsidR="00BE17C6" w:rsidRPr="005F287B">
        <w:rPr>
          <w:rFonts w:ascii="ITC Avant Garde" w:hAnsi="ITC Avant Garde"/>
          <w:color w:val="000000" w:themeColor="text1"/>
        </w:rPr>
        <w:t xml:space="preserve">na prueba ex post cada seis meses permite equilibrar correctamente la carga regulatoria y la salvaguarda de la competencia. Además, </w:t>
      </w:r>
      <w:r w:rsidR="001F68ED" w:rsidRPr="005F287B">
        <w:rPr>
          <w:rFonts w:ascii="ITC Avant Garde" w:hAnsi="ITC Avant Garde"/>
          <w:color w:val="000000" w:themeColor="text1"/>
        </w:rPr>
        <w:t>brinda un</w:t>
      </w:r>
      <w:r w:rsidR="00BE17C6" w:rsidRPr="005F287B">
        <w:rPr>
          <w:rFonts w:ascii="ITC Avant Garde" w:hAnsi="ITC Avant Garde"/>
          <w:color w:val="000000" w:themeColor="text1"/>
        </w:rPr>
        <w:t xml:space="preserve"> margen suficiente al AEP para la actualización de su información contable y, </w:t>
      </w:r>
      <w:r w:rsidR="001F68ED" w:rsidRPr="005F287B">
        <w:rPr>
          <w:rFonts w:ascii="ITC Avant Garde" w:hAnsi="ITC Avant Garde"/>
          <w:color w:val="000000" w:themeColor="text1"/>
        </w:rPr>
        <w:t>al mismo tiempo</w:t>
      </w:r>
      <w:r w:rsidR="00BE17C6" w:rsidRPr="005F287B">
        <w:rPr>
          <w:rFonts w:ascii="ITC Avant Garde" w:hAnsi="ITC Avant Garde"/>
          <w:color w:val="000000" w:themeColor="text1"/>
        </w:rPr>
        <w:t>, permite implementar medidas corr</w:t>
      </w:r>
      <w:r w:rsidR="000F2EA0">
        <w:rPr>
          <w:rFonts w:ascii="ITC Avant Garde" w:hAnsi="ITC Avant Garde"/>
          <w:color w:val="000000" w:themeColor="text1"/>
        </w:rPr>
        <w:t>ectivas oportunas en el caso de</w:t>
      </w:r>
      <w:r w:rsidR="00BE17C6" w:rsidRPr="005F287B">
        <w:rPr>
          <w:rFonts w:ascii="ITC Avant Garde" w:hAnsi="ITC Avant Garde"/>
          <w:color w:val="000000" w:themeColor="text1"/>
        </w:rPr>
        <w:t xml:space="preserve"> que no exist</w:t>
      </w:r>
      <w:r w:rsidR="00781007">
        <w:rPr>
          <w:rFonts w:ascii="ITC Avant Garde" w:hAnsi="ITC Avant Garde"/>
          <w:color w:val="000000" w:themeColor="text1"/>
        </w:rPr>
        <w:t>a</w:t>
      </w:r>
      <w:r w:rsidR="00BE17C6" w:rsidRPr="005F287B">
        <w:rPr>
          <w:rFonts w:ascii="ITC Avant Garde" w:hAnsi="ITC Avant Garde"/>
          <w:color w:val="000000" w:themeColor="text1"/>
        </w:rPr>
        <w:t xml:space="preserve"> replicabilidad.</w:t>
      </w:r>
    </w:p>
    <w:p w:rsidR="00F500BC" w:rsidRPr="005F287B" w:rsidRDefault="00F500BC" w:rsidP="0069622D">
      <w:pPr>
        <w:spacing w:after="0" w:line="240" w:lineRule="auto"/>
        <w:jc w:val="both"/>
        <w:rPr>
          <w:rFonts w:ascii="ITC Avant Garde" w:hAnsi="ITC Avant Garde"/>
          <w:color w:val="000000" w:themeColor="text1"/>
        </w:rPr>
      </w:pPr>
    </w:p>
    <w:p w:rsidR="00793506" w:rsidRPr="005F287B" w:rsidRDefault="00793506" w:rsidP="0069622D">
      <w:pPr>
        <w:spacing w:after="0" w:line="240" w:lineRule="auto"/>
        <w:jc w:val="both"/>
        <w:rPr>
          <w:rFonts w:ascii="ITC Avant Garde" w:hAnsi="ITC Avant Garde"/>
          <w:color w:val="000000" w:themeColor="text1"/>
          <w:lang w:val="es-EC"/>
        </w:rPr>
      </w:pPr>
      <w:r w:rsidRPr="005F287B">
        <w:rPr>
          <w:rFonts w:ascii="ITC Avant Garde" w:hAnsi="ITC Avant Garde"/>
          <w:color w:val="000000" w:themeColor="text1"/>
          <w:lang w:val="es-EC"/>
        </w:rPr>
        <w:t>Finalmente, vale la pena mencionar que la mayoría de ofertas de telefonía fija incluyen banda ancha, las cuales si están consideradas para pasar por una prueba ex ante.</w:t>
      </w:r>
    </w:p>
    <w:p w:rsidR="00F500BC" w:rsidRPr="005F287B" w:rsidRDefault="00F500BC" w:rsidP="0069622D">
      <w:pPr>
        <w:spacing w:after="0" w:line="240" w:lineRule="auto"/>
        <w:jc w:val="both"/>
        <w:rPr>
          <w:rFonts w:ascii="ITC Avant Garde" w:hAnsi="ITC Avant Garde"/>
          <w:color w:val="000000" w:themeColor="text1"/>
        </w:rPr>
      </w:pPr>
    </w:p>
    <w:p w:rsidR="00F500BC" w:rsidRPr="005F287B" w:rsidRDefault="00831AC4" w:rsidP="004567D5">
      <w:pPr>
        <w:pStyle w:val="Ttulo2"/>
        <w:spacing w:before="0" w:line="240" w:lineRule="auto"/>
        <w:jc w:val="both"/>
        <w:rPr>
          <w:rFonts w:ascii="ITC Avant Garde" w:hAnsi="ITC Avant Garde"/>
          <w:b/>
          <w:color w:val="000000" w:themeColor="text1"/>
          <w:sz w:val="22"/>
          <w:szCs w:val="22"/>
        </w:rPr>
      </w:pPr>
      <w:r w:rsidRPr="005F287B">
        <w:rPr>
          <w:rFonts w:ascii="ITC Avant Garde" w:hAnsi="ITC Avant Garde"/>
          <w:b/>
          <w:color w:val="000000" w:themeColor="text1"/>
          <w:sz w:val="22"/>
          <w:szCs w:val="22"/>
        </w:rPr>
        <w:t>Tema: Nivel de e</w:t>
      </w:r>
      <w:r w:rsidR="0055657D" w:rsidRPr="005F287B">
        <w:rPr>
          <w:rFonts w:ascii="ITC Avant Garde" w:hAnsi="ITC Avant Garde"/>
          <w:b/>
          <w:color w:val="000000" w:themeColor="text1"/>
          <w:sz w:val="22"/>
          <w:szCs w:val="22"/>
        </w:rPr>
        <w:t>ficiencia</w:t>
      </w:r>
    </w:p>
    <w:p w:rsidR="00EB686E" w:rsidRPr="005F287B" w:rsidRDefault="00EB686E" w:rsidP="00F500BC">
      <w:pPr>
        <w:spacing w:after="0" w:line="240" w:lineRule="auto"/>
        <w:jc w:val="both"/>
        <w:rPr>
          <w:rFonts w:ascii="ITC Avant Garde" w:hAnsi="ITC Avant Garde" w:cs="Arial"/>
          <w:color w:val="000000" w:themeColor="text1"/>
        </w:rPr>
      </w:pPr>
    </w:p>
    <w:p w:rsidR="00A41F42" w:rsidRPr="005F287B" w:rsidRDefault="00A41F42" w:rsidP="00F500BC">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Se sugiere un nivel de eficiencia distinto a</w:t>
      </w:r>
      <w:r w:rsidR="00FF29BC" w:rsidRPr="005F287B">
        <w:rPr>
          <w:rFonts w:ascii="ITC Avant Garde" w:hAnsi="ITC Avant Garde" w:cs="Arial"/>
          <w:color w:val="000000" w:themeColor="text1"/>
        </w:rPr>
        <w:t>l</w:t>
      </w:r>
      <w:r w:rsidRPr="005F287B">
        <w:rPr>
          <w:rFonts w:ascii="ITC Avant Garde" w:hAnsi="ITC Avant Garde" w:cs="Arial"/>
          <w:color w:val="000000" w:themeColor="text1"/>
        </w:rPr>
        <w:t xml:space="preserve"> EEO. A </w:t>
      </w:r>
      <w:r w:rsidR="00F500BC" w:rsidRPr="005F287B">
        <w:rPr>
          <w:rFonts w:ascii="ITC Avant Garde" w:hAnsi="ITC Avant Garde" w:cs="Arial"/>
          <w:color w:val="000000" w:themeColor="text1"/>
        </w:rPr>
        <w:t>continuación,</w:t>
      </w:r>
      <w:r w:rsidRPr="005F287B">
        <w:rPr>
          <w:rFonts w:ascii="ITC Avant Garde" w:hAnsi="ITC Avant Garde" w:cs="Arial"/>
          <w:color w:val="000000" w:themeColor="text1"/>
        </w:rPr>
        <w:t xml:space="preserve"> se mencionan los argumentos presentados para justificar dicha sugerencia:</w:t>
      </w:r>
    </w:p>
    <w:p w:rsidR="00F500BC" w:rsidRPr="005F287B" w:rsidRDefault="00F500BC" w:rsidP="00F500BC">
      <w:pPr>
        <w:spacing w:after="0" w:line="240" w:lineRule="auto"/>
        <w:jc w:val="both"/>
        <w:rPr>
          <w:rFonts w:ascii="ITC Avant Garde" w:hAnsi="ITC Avant Garde" w:cs="Arial"/>
          <w:color w:val="000000" w:themeColor="text1"/>
        </w:rPr>
      </w:pPr>
    </w:p>
    <w:p w:rsidR="00A41F42" w:rsidRPr="005F287B" w:rsidRDefault="002307BC" w:rsidP="0069622D">
      <w:pPr>
        <w:pStyle w:val="Prrafodelista"/>
        <w:numPr>
          <w:ilvl w:val="0"/>
          <w:numId w:val="9"/>
        </w:numPr>
        <w:spacing w:after="0" w:line="240" w:lineRule="auto"/>
        <w:contextualSpacing w:val="0"/>
        <w:jc w:val="both"/>
        <w:rPr>
          <w:rFonts w:ascii="ITC Avant Garde" w:hAnsi="ITC Avant Garde"/>
          <w:color w:val="000000" w:themeColor="text1"/>
        </w:rPr>
      </w:pPr>
      <w:r w:rsidRPr="005F287B">
        <w:rPr>
          <w:rFonts w:ascii="ITC Avant Garde" w:hAnsi="ITC Avant Garde" w:cs="Arial"/>
          <w:color w:val="000000" w:themeColor="text1"/>
        </w:rPr>
        <w:t>Se señala que e</w:t>
      </w:r>
      <w:r w:rsidR="0058530C" w:rsidRPr="005F287B">
        <w:rPr>
          <w:rFonts w:ascii="ITC Avant Garde" w:hAnsi="ITC Avant Garde" w:cs="Arial"/>
          <w:color w:val="000000" w:themeColor="text1"/>
        </w:rPr>
        <w:t>l AEP tiene posición de dominancia y por ende goza de economías de escala y alcance que los rivales d</w:t>
      </w:r>
      <w:r w:rsidR="00A41F42" w:rsidRPr="005F287B">
        <w:rPr>
          <w:rFonts w:ascii="ITC Avant Garde" w:hAnsi="ITC Avant Garde" w:cs="Arial"/>
          <w:color w:val="000000" w:themeColor="text1"/>
        </w:rPr>
        <w:t>ifícilmente pueden replicar</w:t>
      </w:r>
      <w:r w:rsidR="0058530C" w:rsidRPr="005F287B">
        <w:rPr>
          <w:rFonts w:ascii="ITC Avant Garde" w:hAnsi="ITC Avant Garde" w:cs="Arial"/>
          <w:color w:val="000000" w:themeColor="text1"/>
        </w:rPr>
        <w:t xml:space="preserve"> (si es que no les resulta directamente imposible), por lo que </w:t>
      </w:r>
      <w:r w:rsidR="0097651B" w:rsidRPr="005F287B">
        <w:rPr>
          <w:rFonts w:ascii="ITC Avant Garde" w:hAnsi="ITC Avant Garde" w:cs="Arial"/>
          <w:color w:val="000000" w:themeColor="text1"/>
        </w:rPr>
        <w:t xml:space="preserve">se </w:t>
      </w:r>
      <w:r w:rsidR="0058530C" w:rsidRPr="005F287B">
        <w:rPr>
          <w:rFonts w:ascii="ITC Avant Garde" w:hAnsi="ITC Avant Garde" w:cs="Arial"/>
          <w:color w:val="000000" w:themeColor="text1"/>
        </w:rPr>
        <w:t>sugiere que se utilice para el cálculo de costos aguas abajo los costos de un REO. El estándar REO tomaría en consideración los costos reales de operadores entrantes y sería el más efectivo en promover el desarrollo</w:t>
      </w:r>
      <w:r w:rsidR="00F500BC" w:rsidRPr="005F287B">
        <w:rPr>
          <w:rFonts w:ascii="ITC Avant Garde" w:hAnsi="ITC Avant Garde" w:cs="Arial"/>
          <w:color w:val="000000" w:themeColor="text1"/>
        </w:rPr>
        <w:t xml:space="preserve"> de la desagregación en México.</w:t>
      </w:r>
    </w:p>
    <w:p w:rsidR="00F500BC" w:rsidRPr="005F287B" w:rsidRDefault="00F500BC" w:rsidP="00F500BC">
      <w:pPr>
        <w:pStyle w:val="Prrafodelista"/>
        <w:spacing w:after="0" w:line="240" w:lineRule="auto"/>
        <w:contextualSpacing w:val="0"/>
        <w:jc w:val="both"/>
        <w:rPr>
          <w:rFonts w:ascii="ITC Avant Garde" w:hAnsi="ITC Avant Garde"/>
          <w:color w:val="000000" w:themeColor="text1"/>
        </w:rPr>
      </w:pPr>
    </w:p>
    <w:p w:rsidR="00831AC4" w:rsidRPr="005F287B" w:rsidRDefault="00A41F42" w:rsidP="0069622D">
      <w:pPr>
        <w:pStyle w:val="Prrafodelista"/>
        <w:numPr>
          <w:ilvl w:val="0"/>
          <w:numId w:val="9"/>
        </w:numPr>
        <w:spacing w:after="0" w:line="240" w:lineRule="auto"/>
        <w:contextualSpacing w:val="0"/>
        <w:jc w:val="both"/>
        <w:rPr>
          <w:rFonts w:ascii="ITC Avant Garde" w:hAnsi="ITC Avant Garde"/>
          <w:color w:val="000000" w:themeColor="text1"/>
        </w:rPr>
      </w:pPr>
      <w:r w:rsidRPr="005F287B">
        <w:rPr>
          <w:rFonts w:ascii="ITC Avant Garde" w:hAnsi="ITC Avant Garde" w:cs="Arial"/>
          <w:color w:val="000000" w:themeColor="text1"/>
        </w:rPr>
        <w:t>Se</w:t>
      </w:r>
      <w:r w:rsidR="0058530C" w:rsidRPr="005F287B">
        <w:rPr>
          <w:rFonts w:ascii="ITC Avant Garde" w:hAnsi="ITC Avant Garde" w:cs="Arial"/>
          <w:color w:val="000000" w:themeColor="text1"/>
        </w:rPr>
        <w:t xml:space="preserve"> recomienda que el nivel de eficiencia del operador sea EEO ajustado o SEO</w:t>
      </w:r>
      <w:r w:rsidR="006038B6" w:rsidRPr="005F287B">
        <w:rPr>
          <w:rFonts w:ascii="ITC Avant Garde" w:hAnsi="ITC Avant Garde" w:cs="Arial"/>
          <w:color w:val="000000" w:themeColor="text1"/>
        </w:rPr>
        <w:t xml:space="preserve"> con el fin de promover la competencia en el mercado</w:t>
      </w:r>
      <w:r w:rsidR="0058530C" w:rsidRPr="005F287B">
        <w:rPr>
          <w:rFonts w:ascii="ITC Avant Garde" w:hAnsi="ITC Avant Garde" w:cs="Arial"/>
          <w:color w:val="000000" w:themeColor="text1"/>
        </w:rPr>
        <w:t>.</w:t>
      </w:r>
    </w:p>
    <w:p w:rsidR="00BC1C8E" w:rsidRDefault="00BC1C8E" w:rsidP="0069622D">
      <w:pPr>
        <w:spacing w:after="0" w:line="240" w:lineRule="auto"/>
        <w:jc w:val="both"/>
        <w:rPr>
          <w:rFonts w:ascii="ITC Avant Garde" w:hAnsi="ITC Avant Garde"/>
          <w:color w:val="000000" w:themeColor="text1"/>
        </w:rPr>
      </w:pPr>
    </w:p>
    <w:p w:rsidR="00F500BC" w:rsidRPr="005F287B" w:rsidRDefault="004567D5" w:rsidP="0069622D">
      <w:pPr>
        <w:spacing w:after="0" w:line="240" w:lineRule="auto"/>
        <w:jc w:val="both"/>
        <w:rPr>
          <w:rFonts w:ascii="ITC Avant Garde" w:hAnsi="ITC Avant Garde" w:cs="Arial"/>
          <w:b/>
          <w:color w:val="000000" w:themeColor="text1"/>
        </w:rPr>
      </w:pPr>
      <w:r w:rsidRPr="005F287B">
        <w:rPr>
          <w:rFonts w:ascii="ITC Avant Garde" w:hAnsi="ITC Avant Garde" w:cs="Arial"/>
          <w:b/>
          <w:color w:val="000000" w:themeColor="text1"/>
        </w:rPr>
        <w:t xml:space="preserve">Consideraciones del Instituto: </w:t>
      </w:r>
    </w:p>
    <w:p w:rsidR="00522251" w:rsidRPr="005F287B" w:rsidRDefault="00522251" w:rsidP="0069622D">
      <w:pPr>
        <w:spacing w:after="0" w:line="240" w:lineRule="auto"/>
        <w:jc w:val="both"/>
        <w:rPr>
          <w:rFonts w:ascii="ITC Avant Garde" w:hAnsi="ITC Avant Garde"/>
          <w:color w:val="000000" w:themeColor="text1"/>
        </w:rPr>
      </w:pPr>
    </w:p>
    <w:p w:rsidR="001633AF" w:rsidRPr="005F287B" w:rsidRDefault="001633AF" w:rsidP="0069622D">
      <w:pPr>
        <w:spacing w:after="0" w:line="240" w:lineRule="auto"/>
        <w:jc w:val="both"/>
        <w:rPr>
          <w:rFonts w:ascii="ITC Avant Garde" w:hAnsi="ITC Avant Garde"/>
          <w:color w:val="000000" w:themeColor="text1"/>
        </w:rPr>
      </w:pPr>
      <w:r w:rsidRPr="005F287B">
        <w:rPr>
          <w:rFonts w:ascii="ITC Avant Garde" w:hAnsi="ITC Avant Garde"/>
          <w:color w:val="000000" w:themeColor="text1"/>
        </w:rPr>
        <w:t>La elección de un estándar de eficiencia</w:t>
      </w:r>
      <w:r w:rsidR="002307BC" w:rsidRPr="005F287B">
        <w:rPr>
          <w:rFonts w:ascii="ITC Avant Garde" w:hAnsi="ITC Avant Garde"/>
          <w:color w:val="000000" w:themeColor="text1"/>
        </w:rPr>
        <w:t xml:space="preserve"> EEO para la prueba de telefonía fija</w:t>
      </w:r>
      <w:r w:rsidRPr="005F287B">
        <w:rPr>
          <w:rFonts w:ascii="ITC Avant Garde" w:hAnsi="ITC Avant Garde"/>
          <w:color w:val="000000" w:themeColor="text1"/>
        </w:rPr>
        <w:t xml:space="preserve"> responde a dos motivos, principalmente:</w:t>
      </w:r>
    </w:p>
    <w:p w:rsidR="00F500BC" w:rsidRPr="005F287B" w:rsidRDefault="00F500BC" w:rsidP="0069622D">
      <w:pPr>
        <w:spacing w:after="0" w:line="240" w:lineRule="auto"/>
        <w:jc w:val="both"/>
        <w:rPr>
          <w:rFonts w:ascii="ITC Avant Garde" w:hAnsi="ITC Avant Garde"/>
          <w:color w:val="000000" w:themeColor="text1"/>
        </w:rPr>
      </w:pPr>
    </w:p>
    <w:p w:rsidR="00233DF9" w:rsidRPr="005F287B" w:rsidRDefault="002307BC" w:rsidP="0069622D">
      <w:pPr>
        <w:pStyle w:val="Prrafodelista"/>
        <w:numPr>
          <w:ilvl w:val="0"/>
          <w:numId w:val="14"/>
        </w:numPr>
        <w:spacing w:after="0" w:line="240" w:lineRule="auto"/>
        <w:contextualSpacing w:val="0"/>
        <w:jc w:val="both"/>
        <w:rPr>
          <w:rFonts w:ascii="ITC Avant Garde" w:hAnsi="ITC Avant Garde"/>
          <w:color w:val="000000" w:themeColor="text1"/>
        </w:rPr>
      </w:pPr>
      <w:r w:rsidRPr="005F287B">
        <w:rPr>
          <w:rFonts w:ascii="ITC Avant Garde" w:hAnsi="ITC Avant Garde"/>
          <w:color w:val="000000" w:themeColor="text1"/>
        </w:rPr>
        <w:t xml:space="preserve">La telefonía fija </w:t>
      </w:r>
      <w:r w:rsidR="00944B1A" w:rsidRPr="005F287B">
        <w:rPr>
          <w:rFonts w:ascii="ITC Avant Garde" w:hAnsi="ITC Avant Garde"/>
          <w:color w:val="000000" w:themeColor="text1"/>
        </w:rPr>
        <w:t>es</w:t>
      </w:r>
      <w:r w:rsidR="001633AF" w:rsidRPr="005F287B">
        <w:rPr>
          <w:rFonts w:ascii="ITC Avant Garde" w:hAnsi="ITC Avant Garde"/>
          <w:color w:val="000000" w:themeColor="text1"/>
        </w:rPr>
        <w:t xml:space="preserve"> un segmento de mercado maduro</w:t>
      </w:r>
      <w:r w:rsidR="00944B1A" w:rsidRPr="005F287B">
        <w:rPr>
          <w:rFonts w:ascii="ITC Avant Garde" w:hAnsi="ITC Avant Garde"/>
          <w:color w:val="000000" w:themeColor="text1"/>
        </w:rPr>
        <w:t xml:space="preserve">, </w:t>
      </w:r>
      <w:r w:rsidR="00A256A8" w:rsidRPr="005F287B">
        <w:rPr>
          <w:rFonts w:ascii="ITC Avant Garde" w:hAnsi="ITC Avant Garde"/>
          <w:color w:val="000000" w:themeColor="text1"/>
        </w:rPr>
        <w:t xml:space="preserve">actualmente </w:t>
      </w:r>
      <w:r w:rsidR="001633AF" w:rsidRPr="005F287B">
        <w:rPr>
          <w:rFonts w:ascii="ITC Avant Garde" w:hAnsi="ITC Avant Garde"/>
          <w:color w:val="000000" w:themeColor="text1"/>
        </w:rPr>
        <w:t>abierto a la competenc</w:t>
      </w:r>
      <w:r w:rsidR="00A256A8" w:rsidRPr="005F287B">
        <w:rPr>
          <w:rFonts w:ascii="ITC Avant Garde" w:hAnsi="ITC Avant Garde"/>
          <w:color w:val="000000" w:themeColor="text1"/>
        </w:rPr>
        <w:t xml:space="preserve">ia, contando </w:t>
      </w:r>
      <w:r w:rsidR="00944B1A" w:rsidRPr="005F287B">
        <w:rPr>
          <w:rFonts w:ascii="ITC Avant Garde" w:hAnsi="ITC Avant Garde"/>
          <w:color w:val="000000" w:themeColor="text1"/>
        </w:rPr>
        <w:t xml:space="preserve">además con la presencia de </w:t>
      </w:r>
      <w:r w:rsidR="001633AF" w:rsidRPr="005F287B">
        <w:rPr>
          <w:rFonts w:ascii="ITC Avant Garde" w:hAnsi="ITC Avant Garde"/>
          <w:color w:val="000000" w:themeColor="text1"/>
        </w:rPr>
        <w:t xml:space="preserve">operadores alternativos con red propia. </w:t>
      </w:r>
      <w:r w:rsidR="00A256A8" w:rsidRPr="005F287B">
        <w:rPr>
          <w:rFonts w:ascii="ITC Avant Garde" w:hAnsi="ITC Avant Garde"/>
          <w:color w:val="000000" w:themeColor="text1"/>
        </w:rPr>
        <w:t>Por lo tanto, c</w:t>
      </w:r>
      <w:r w:rsidR="001633AF" w:rsidRPr="005F287B">
        <w:rPr>
          <w:rFonts w:ascii="ITC Avant Garde" w:hAnsi="ITC Avant Garde"/>
          <w:color w:val="000000" w:themeColor="text1"/>
        </w:rPr>
        <w:t xml:space="preserve">on </w:t>
      </w:r>
      <w:r w:rsidR="00FB2927" w:rsidRPr="005F287B">
        <w:rPr>
          <w:rFonts w:ascii="ITC Avant Garde" w:hAnsi="ITC Avant Garde"/>
          <w:color w:val="000000" w:themeColor="text1"/>
        </w:rPr>
        <w:t xml:space="preserve">un </w:t>
      </w:r>
      <w:r w:rsidR="001633AF" w:rsidRPr="005F287B">
        <w:rPr>
          <w:rFonts w:ascii="ITC Avant Garde" w:hAnsi="ITC Avant Garde"/>
          <w:color w:val="000000" w:themeColor="text1"/>
        </w:rPr>
        <w:t>enfoque</w:t>
      </w:r>
      <w:r w:rsidR="00FB2927" w:rsidRPr="005F287B">
        <w:rPr>
          <w:rFonts w:ascii="ITC Avant Garde" w:hAnsi="ITC Avant Garde"/>
          <w:color w:val="000000" w:themeColor="text1"/>
        </w:rPr>
        <w:t xml:space="preserve"> EEO</w:t>
      </w:r>
      <w:r w:rsidR="001633AF" w:rsidRPr="005F287B">
        <w:rPr>
          <w:rFonts w:ascii="ITC Avant Garde" w:hAnsi="ITC Avant Garde"/>
          <w:color w:val="000000" w:themeColor="text1"/>
        </w:rPr>
        <w:t xml:space="preserve"> se asegura la competencia de empresas al menos tan eficientes como el AEP.</w:t>
      </w:r>
    </w:p>
    <w:p w:rsidR="00F500BC" w:rsidRPr="005F287B" w:rsidRDefault="00F500BC" w:rsidP="00F500BC">
      <w:pPr>
        <w:pStyle w:val="Prrafodelista"/>
        <w:spacing w:after="0" w:line="240" w:lineRule="auto"/>
        <w:contextualSpacing w:val="0"/>
        <w:jc w:val="both"/>
        <w:rPr>
          <w:rFonts w:ascii="ITC Avant Garde" w:hAnsi="ITC Avant Garde"/>
          <w:color w:val="000000" w:themeColor="text1"/>
        </w:rPr>
      </w:pPr>
    </w:p>
    <w:p w:rsidR="001633AF" w:rsidRPr="005F287B" w:rsidRDefault="001633AF" w:rsidP="0069622D">
      <w:pPr>
        <w:pStyle w:val="Prrafodelista"/>
        <w:numPr>
          <w:ilvl w:val="0"/>
          <w:numId w:val="14"/>
        </w:numPr>
        <w:spacing w:after="0" w:line="240" w:lineRule="auto"/>
        <w:contextualSpacing w:val="0"/>
        <w:jc w:val="both"/>
        <w:rPr>
          <w:rFonts w:ascii="ITC Avant Garde" w:hAnsi="ITC Avant Garde"/>
          <w:color w:val="000000" w:themeColor="text1"/>
        </w:rPr>
      </w:pPr>
      <w:r w:rsidRPr="005F287B">
        <w:rPr>
          <w:rFonts w:ascii="ITC Avant Garde" w:hAnsi="ITC Avant Garde"/>
          <w:color w:val="000000" w:themeColor="text1"/>
        </w:rPr>
        <w:t>D</w:t>
      </w:r>
      <w:r w:rsidR="00DE4E3E" w:rsidRPr="005F287B">
        <w:rPr>
          <w:rFonts w:ascii="ITC Avant Garde" w:hAnsi="ITC Avant Garde"/>
          <w:color w:val="000000" w:themeColor="text1"/>
        </w:rPr>
        <w:t>ebido</w:t>
      </w:r>
      <w:r w:rsidRPr="005F287B">
        <w:rPr>
          <w:rFonts w:ascii="ITC Avant Garde" w:hAnsi="ITC Avant Garde"/>
          <w:color w:val="000000" w:themeColor="text1"/>
        </w:rPr>
        <w:t xml:space="preserve"> que la reventa es el servicio mayorista incluido en la prueba de replicabilidad, los costos aguas abajo a los que se enfrentan los operadores alternativos son puramente minoristas. </w:t>
      </w:r>
      <w:r w:rsidR="00DE4E3E" w:rsidRPr="005F287B">
        <w:rPr>
          <w:rFonts w:ascii="ITC Avant Garde" w:hAnsi="ITC Avant Garde"/>
          <w:color w:val="000000" w:themeColor="text1"/>
        </w:rPr>
        <w:t>En ese sentido, las</w:t>
      </w:r>
      <w:r w:rsidRPr="005F287B">
        <w:rPr>
          <w:rFonts w:ascii="ITC Avant Garde" w:hAnsi="ITC Avant Garde"/>
          <w:color w:val="000000" w:themeColor="text1"/>
        </w:rPr>
        <w:t xml:space="preserve"> economías de escala </w:t>
      </w:r>
      <w:r w:rsidR="00DB3892" w:rsidRPr="005F287B">
        <w:rPr>
          <w:rFonts w:ascii="ITC Avant Garde" w:hAnsi="ITC Avant Garde"/>
          <w:color w:val="000000" w:themeColor="text1"/>
        </w:rPr>
        <w:t>para</w:t>
      </w:r>
      <w:r w:rsidR="00DE4E3E" w:rsidRPr="005F287B">
        <w:rPr>
          <w:rFonts w:ascii="ITC Avant Garde" w:hAnsi="ITC Avant Garde"/>
          <w:color w:val="000000" w:themeColor="text1"/>
        </w:rPr>
        <w:t xml:space="preserve"> estos costos </w:t>
      </w:r>
      <w:r w:rsidRPr="005F287B">
        <w:rPr>
          <w:rFonts w:ascii="ITC Avant Garde" w:hAnsi="ITC Avant Garde"/>
          <w:color w:val="000000" w:themeColor="text1"/>
        </w:rPr>
        <w:t>son limitadas y, por tanto, un nuevo entrante no tendrá costos más altos debido a su menor tamaño.</w:t>
      </w:r>
    </w:p>
    <w:p w:rsidR="00F500BC" w:rsidRPr="005F287B" w:rsidRDefault="00F500BC" w:rsidP="00F500BC">
      <w:pPr>
        <w:pStyle w:val="Prrafodelista"/>
        <w:spacing w:after="0"/>
        <w:rPr>
          <w:rFonts w:ascii="ITC Avant Garde" w:hAnsi="ITC Avant Garde"/>
          <w:color w:val="000000" w:themeColor="text1"/>
        </w:rPr>
      </w:pPr>
    </w:p>
    <w:p w:rsidR="001633AF" w:rsidRPr="005F287B" w:rsidRDefault="002A392F" w:rsidP="00F500BC">
      <w:pPr>
        <w:spacing w:after="0" w:line="240" w:lineRule="auto"/>
        <w:jc w:val="both"/>
        <w:rPr>
          <w:rFonts w:ascii="ITC Avant Garde" w:hAnsi="ITC Avant Garde"/>
          <w:color w:val="000000" w:themeColor="text1"/>
        </w:rPr>
      </w:pPr>
      <w:r w:rsidRPr="005F287B">
        <w:rPr>
          <w:rFonts w:ascii="ITC Avant Garde" w:hAnsi="ITC Avant Garde"/>
          <w:color w:val="000000" w:themeColor="text1"/>
        </w:rPr>
        <w:t>Por lo comentado anteriormente</w:t>
      </w:r>
      <w:r w:rsidR="002307BC" w:rsidRPr="005F287B">
        <w:rPr>
          <w:rFonts w:ascii="ITC Avant Garde" w:hAnsi="ITC Avant Garde"/>
          <w:color w:val="000000" w:themeColor="text1"/>
        </w:rPr>
        <w:t xml:space="preserve">, </w:t>
      </w:r>
      <w:r w:rsidRPr="005F287B">
        <w:rPr>
          <w:rFonts w:ascii="ITC Avant Garde" w:hAnsi="ITC Avant Garde"/>
          <w:color w:val="000000" w:themeColor="text1"/>
        </w:rPr>
        <w:t xml:space="preserve">este Instituto </w:t>
      </w:r>
      <w:r w:rsidR="002307BC" w:rsidRPr="005F287B">
        <w:rPr>
          <w:rFonts w:ascii="ITC Avant Garde" w:hAnsi="ITC Avant Garde"/>
          <w:color w:val="000000" w:themeColor="text1"/>
        </w:rPr>
        <w:t xml:space="preserve">considera </w:t>
      </w:r>
      <w:r w:rsidR="00FB2927" w:rsidRPr="005F287B">
        <w:rPr>
          <w:rFonts w:ascii="ITC Avant Garde" w:hAnsi="ITC Avant Garde"/>
          <w:color w:val="000000" w:themeColor="text1"/>
        </w:rPr>
        <w:t>que</w:t>
      </w:r>
      <w:r w:rsidR="002307BC" w:rsidRPr="005F287B">
        <w:rPr>
          <w:rFonts w:ascii="ITC Avant Garde" w:hAnsi="ITC Avant Garde"/>
          <w:color w:val="000000" w:themeColor="text1"/>
        </w:rPr>
        <w:t xml:space="preserve"> </w:t>
      </w:r>
      <w:r w:rsidRPr="005F287B">
        <w:rPr>
          <w:rFonts w:ascii="ITC Avant Garde" w:hAnsi="ITC Avant Garde"/>
          <w:color w:val="000000" w:themeColor="text1"/>
        </w:rPr>
        <w:t xml:space="preserve">asumir </w:t>
      </w:r>
      <w:r w:rsidR="001633AF" w:rsidRPr="005F287B">
        <w:rPr>
          <w:rFonts w:ascii="ITC Avant Garde" w:hAnsi="ITC Avant Garde"/>
          <w:color w:val="000000" w:themeColor="text1"/>
        </w:rPr>
        <w:t xml:space="preserve">un enfoque </w:t>
      </w:r>
      <w:r w:rsidRPr="005F287B">
        <w:rPr>
          <w:rFonts w:ascii="ITC Avant Garde" w:hAnsi="ITC Avant Garde"/>
          <w:color w:val="000000" w:themeColor="text1"/>
        </w:rPr>
        <w:t>con menores niveles de</w:t>
      </w:r>
      <w:r w:rsidR="001633AF" w:rsidRPr="005F287B">
        <w:rPr>
          <w:rFonts w:ascii="ITC Avant Garde" w:hAnsi="ITC Avant Garde"/>
          <w:color w:val="000000" w:themeColor="text1"/>
        </w:rPr>
        <w:t xml:space="preserve"> eficie</w:t>
      </w:r>
      <w:r w:rsidRPr="005F287B">
        <w:rPr>
          <w:rFonts w:ascii="ITC Avant Garde" w:hAnsi="ITC Avant Garde"/>
          <w:color w:val="000000" w:themeColor="text1"/>
        </w:rPr>
        <w:t>ncia</w:t>
      </w:r>
      <w:r w:rsidR="00856821" w:rsidRPr="005F287B">
        <w:rPr>
          <w:rFonts w:ascii="ITC Avant Garde" w:hAnsi="ITC Avant Garde"/>
          <w:color w:val="000000" w:themeColor="text1"/>
        </w:rPr>
        <w:t xml:space="preserve"> </w:t>
      </w:r>
      <w:r w:rsidR="001633AF" w:rsidRPr="005F287B">
        <w:rPr>
          <w:rFonts w:ascii="ITC Avant Garde" w:hAnsi="ITC Avant Garde"/>
          <w:color w:val="000000" w:themeColor="text1"/>
        </w:rPr>
        <w:t xml:space="preserve">subiría el piso de precios, lo cual restaría flexibilidad </w:t>
      </w:r>
      <w:r w:rsidR="00B75296" w:rsidRPr="005F287B">
        <w:rPr>
          <w:rFonts w:ascii="ITC Avant Garde" w:hAnsi="ITC Avant Garde"/>
          <w:color w:val="000000" w:themeColor="text1"/>
        </w:rPr>
        <w:t xml:space="preserve">al AEP, </w:t>
      </w:r>
      <w:r w:rsidR="001633AF" w:rsidRPr="005F287B">
        <w:rPr>
          <w:rFonts w:ascii="ITC Avant Garde" w:hAnsi="ITC Avant Garde"/>
          <w:color w:val="000000" w:themeColor="text1"/>
        </w:rPr>
        <w:t>dada la regulación de precios a la que está sujet</w:t>
      </w:r>
      <w:r w:rsidR="00B75296" w:rsidRPr="005F287B">
        <w:rPr>
          <w:rFonts w:ascii="ITC Avant Garde" w:hAnsi="ITC Avant Garde"/>
          <w:color w:val="000000" w:themeColor="text1"/>
        </w:rPr>
        <w:t>o</w:t>
      </w:r>
      <w:r w:rsidR="001633AF" w:rsidRPr="005F287B">
        <w:rPr>
          <w:rFonts w:ascii="ITC Avant Garde" w:hAnsi="ITC Avant Garde"/>
          <w:color w:val="000000" w:themeColor="text1"/>
        </w:rPr>
        <w:t>.</w:t>
      </w:r>
    </w:p>
    <w:p w:rsidR="00BC1C8E" w:rsidRDefault="00BC1C8E" w:rsidP="004567D5">
      <w:pPr>
        <w:pStyle w:val="Ttulo2"/>
        <w:spacing w:before="0" w:line="240" w:lineRule="auto"/>
        <w:jc w:val="both"/>
        <w:rPr>
          <w:rFonts w:asciiTheme="minorHAnsi" w:eastAsiaTheme="minorHAnsi" w:hAnsiTheme="minorHAnsi" w:cstheme="minorBidi"/>
          <w:color w:val="auto"/>
          <w:sz w:val="22"/>
          <w:szCs w:val="22"/>
        </w:rPr>
      </w:pPr>
    </w:p>
    <w:p w:rsidR="00F500BC" w:rsidRPr="005F287B" w:rsidRDefault="00735F49" w:rsidP="004567D5">
      <w:pPr>
        <w:pStyle w:val="Ttulo2"/>
        <w:spacing w:before="0" w:line="240" w:lineRule="auto"/>
        <w:jc w:val="both"/>
        <w:rPr>
          <w:rFonts w:ascii="ITC Avant Garde" w:hAnsi="ITC Avant Garde"/>
          <w:b/>
          <w:color w:val="000000" w:themeColor="text1"/>
          <w:sz w:val="22"/>
          <w:szCs w:val="22"/>
        </w:rPr>
      </w:pPr>
      <w:r w:rsidRPr="005F287B">
        <w:rPr>
          <w:rFonts w:ascii="ITC Avant Garde" w:hAnsi="ITC Avant Garde"/>
          <w:b/>
          <w:color w:val="000000" w:themeColor="text1"/>
          <w:sz w:val="22"/>
          <w:szCs w:val="22"/>
        </w:rPr>
        <w:t>Tema: Segmento empresarial</w:t>
      </w:r>
    </w:p>
    <w:p w:rsidR="006376E9" w:rsidRPr="005F287B" w:rsidRDefault="006376E9" w:rsidP="00F500BC">
      <w:pPr>
        <w:spacing w:after="0" w:line="240" w:lineRule="auto"/>
        <w:jc w:val="both"/>
        <w:rPr>
          <w:rFonts w:ascii="ITC Avant Garde" w:hAnsi="ITC Avant Garde" w:cs="Arial"/>
          <w:color w:val="000000" w:themeColor="text1"/>
        </w:rPr>
      </w:pPr>
    </w:p>
    <w:p w:rsidR="00F500BC" w:rsidRPr="005F287B" w:rsidRDefault="00735F49" w:rsidP="00F500BC">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Se sugiere un tratamiento distinguido al segmento empresarial. A </w:t>
      </w:r>
      <w:r w:rsidR="00F500BC" w:rsidRPr="005F287B">
        <w:rPr>
          <w:rFonts w:ascii="ITC Avant Garde" w:hAnsi="ITC Avant Garde" w:cs="Arial"/>
          <w:color w:val="000000" w:themeColor="text1"/>
        </w:rPr>
        <w:t>continuación,</w:t>
      </w:r>
      <w:r w:rsidRPr="005F287B">
        <w:rPr>
          <w:rFonts w:ascii="ITC Avant Garde" w:hAnsi="ITC Avant Garde" w:cs="Arial"/>
          <w:color w:val="000000" w:themeColor="text1"/>
        </w:rPr>
        <w:t xml:space="preserve"> se mencionan los argumentos presentados para justificar dicha sugerencia:</w:t>
      </w:r>
    </w:p>
    <w:p w:rsidR="00F500BC" w:rsidRPr="005F287B" w:rsidRDefault="00F500BC" w:rsidP="00F500BC">
      <w:pPr>
        <w:spacing w:after="0" w:line="240" w:lineRule="auto"/>
        <w:jc w:val="both"/>
        <w:rPr>
          <w:rFonts w:ascii="ITC Avant Garde" w:hAnsi="ITC Avant Garde" w:cs="Arial"/>
          <w:color w:val="000000" w:themeColor="text1"/>
        </w:rPr>
      </w:pPr>
    </w:p>
    <w:p w:rsidR="00735F49" w:rsidRPr="005F287B" w:rsidRDefault="00735F49" w:rsidP="0069622D">
      <w:pPr>
        <w:pStyle w:val="Prrafodelista"/>
        <w:numPr>
          <w:ilvl w:val="0"/>
          <w:numId w:val="9"/>
        </w:numPr>
        <w:spacing w:after="0" w:line="240" w:lineRule="auto"/>
        <w:contextualSpacing w:val="0"/>
        <w:jc w:val="both"/>
        <w:rPr>
          <w:rFonts w:ascii="ITC Avant Garde" w:hAnsi="ITC Avant Garde"/>
          <w:color w:val="000000" w:themeColor="text1"/>
        </w:rPr>
      </w:pPr>
      <w:r w:rsidRPr="005F287B">
        <w:rPr>
          <w:rFonts w:ascii="ITC Avant Garde" w:hAnsi="ITC Avant Garde" w:cs="Arial"/>
          <w:color w:val="000000" w:themeColor="text1"/>
        </w:rPr>
        <w:t xml:space="preserve">Se propone un análisis de </w:t>
      </w:r>
      <w:r w:rsidR="000B3A7B" w:rsidRPr="005F287B">
        <w:rPr>
          <w:rFonts w:ascii="ITC Avant Garde" w:hAnsi="ITC Avant Garde" w:cs="Arial"/>
          <w:color w:val="000000" w:themeColor="text1"/>
        </w:rPr>
        <w:t xml:space="preserve">la </w:t>
      </w:r>
      <w:r w:rsidRPr="005F287B">
        <w:rPr>
          <w:rFonts w:ascii="ITC Avant Garde" w:hAnsi="ITC Avant Garde" w:cs="Arial"/>
          <w:color w:val="000000" w:themeColor="text1"/>
        </w:rPr>
        <w:t xml:space="preserve">prueba de replicabilidad específica para las ofertas del segmento empresarial, analizando de manera análoga al resto de segmentos </w:t>
      </w:r>
      <w:r w:rsidR="0097651B" w:rsidRPr="005F287B">
        <w:rPr>
          <w:rFonts w:ascii="ITC Avant Garde" w:hAnsi="ITC Avant Garde" w:cs="Arial"/>
          <w:color w:val="000000" w:themeColor="text1"/>
        </w:rPr>
        <w:t>con</w:t>
      </w:r>
      <w:r w:rsidRPr="005F287B">
        <w:rPr>
          <w:rFonts w:ascii="ITC Avant Garde" w:hAnsi="ITC Avant Garde" w:cs="Arial"/>
          <w:color w:val="000000" w:themeColor="text1"/>
        </w:rPr>
        <w:t xml:space="preserve"> base a un análisis oferta por oferta, como se explica a detalle en este documento. Esto con base en las problemáticas de prácticas abusivas y anticompetitivas observadas por parte del AEP en Telecomunicaciones y que no han permitido la replicabilidad económica de las tarifas ofertadas con base en los insumos esenciales mayoristas del mismo.</w:t>
      </w:r>
    </w:p>
    <w:p w:rsidR="00F500BC" w:rsidRPr="005F287B" w:rsidRDefault="00F500BC" w:rsidP="00F500BC">
      <w:pPr>
        <w:pStyle w:val="Prrafodelista"/>
        <w:spacing w:after="0" w:line="240" w:lineRule="auto"/>
        <w:contextualSpacing w:val="0"/>
        <w:jc w:val="both"/>
        <w:rPr>
          <w:rFonts w:ascii="ITC Avant Garde" w:hAnsi="ITC Avant Garde"/>
          <w:color w:val="000000" w:themeColor="text1"/>
        </w:rPr>
      </w:pPr>
    </w:p>
    <w:p w:rsidR="00735F49" w:rsidRPr="005F287B" w:rsidRDefault="0097651B" w:rsidP="0069622D">
      <w:pPr>
        <w:pStyle w:val="Prrafodelista"/>
        <w:numPr>
          <w:ilvl w:val="0"/>
          <w:numId w:val="9"/>
        </w:numPr>
        <w:spacing w:after="0" w:line="240" w:lineRule="auto"/>
        <w:contextualSpacing w:val="0"/>
        <w:jc w:val="both"/>
        <w:rPr>
          <w:rFonts w:ascii="ITC Avant Garde" w:hAnsi="ITC Avant Garde"/>
          <w:color w:val="000000" w:themeColor="text1"/>
        </w:rPr>
      </w:pPr>
      <w:r w:rsidRPr="005F287B">
        <w:rPr>
          <w:rFonts w:ascii="ITC Avant Garde" w:hAnsi="ITC Avant Garde" w:cs="Arial"/>
          <w:color w:val="000000" w:themeColor="text1"/>
        </w:rPr>
        <w:t>M</w:t>
      </w:r>
      <w:r w:rsidR="000B526C" w:rsidRPr="005F287B">
        <w:rPr>
          <w:rFonts w:ascii="ITC Avant Garde" w:hAnsi="ITC Avant Garde" w:cs="Arial"/>
          <w:color w:val="000000" w:themeColor="text1"/>
        </w:rPr>
        <w:t>ezclar las ofertas y los segmentos empresariales con residencial resultaría en una desviación enorme a cualquier prueba que se realice, debido a que los rendimientos promedio por línea telefónica del segmento residencial es significativamente menor al del segmento empresarial</w:t>
      </w:r>
      <w:r w:rsidRPr="005F287B">
        <w:rPr>
          <w:rFonts w:ascii="ITC Avant Garde" w:hAnsi="ITC Avant Garde" w:cs="Arial"/>
          <w:color w:val="000000" w:themeColor="text1"/>
        </w:rPr>
        <w:t>,</w:t>
      </w:r>
      <w:r w:rsidR="000B526C" w:rsidRPr="005F287B">
        <w:rPr>
          <w:rFonts w:ascii="ITC Avant Garde" w:hAnsi="ITC Avant Garde" w:cs="Arial"/>
          <w:color w:val="000000" w:themeColor="text1"/>
        </w:rPr>
        <w:t xml:space="preserve"> lo que contribuiría en incrementar la dificultad de identificar precios predatorios o costos excesivos.</w:t>
      </w:r>
    </w:p>
    <w:p w:rsidR="00BC1C8E" w:rsidRDefault="00BC1C8E" w:rsidP="0069622D">
      <w:pPr>
        <w:spacing w:after="0" w:line="240" w:lineRule="auto"/>
        <w:jc w:val="both"/>
        <w:rPr>
          <w:rFonts w:ascii="ITC Avant Garde" w:hAnsi="ITC Avant Garde"/>
          <w:color w:val="000000" w:themeColor="text1"/>
        </w:rPr>
      </w:pPr>
    </w:p>
    <w:p w:rsidR="00F500BC" w:rsidRPr="005F287B" w:rsidRDefault="004567D5" w:rsidP="0069622D">
      <w:pPr>
        <w:spacing w:after="0" w:line="240" w:lineRule="auto"/>
        <w:jc w:val="both"/>
        <w:rPr>
          <w:rFonts w:ascii="ITC Avant Garde" w:hAnsi="ITC Avant Garde" w:cs="Arial"/>
          <w:b/>
          <w:color w:val="000000" w:themeColor="text1"/>
        </w:rPr>
      </w:pPr>
      <w:r w:rsidRPr="004E49AA">
        <w:rPr>
          <w:rFonts w:ascii="ITC Avant Garde" w:hAnsi="ITC Avant Garde" w:cs="Arial"/>
          <w:b/>
          <w:color w:val="000000" w:themeColor="text1"/>
        </w:rPr>
        <w:t>Consideraciones del Instituto:</w:t>
      </w:r>
      <w:r w:rsidRPr="005F287B">
        <w:rPr>
          <w:rFonts w:ascii="ITC Avant Garde" w:hAnsi="ITC Avant Garde" w:cs="Arial"/>
          <w:b/>
          <w:color w:val="000000" w:themeColor="text1"/>
        </w:rPr>
        <w:t xml:space="preserve"> </w:t>
      </w:r>
    </w:p>
    <w:p w:rsidR="000B3A7B" w:rsidRPr="005F287B" w:rsidRDefault="000B3A7B" w:rsidP="0069622D">
      <w:pPr>
        <w:spacing w:after="0" w:line="240" w:lineRule="auto"/>
        <w:jc w:val="both"/>
        <w:rPr>
          <w:rFonts w:ascii="ITC Avant Garde" w:hAnsi="ITC Avant Garde"/>
          <w:color w:val="000000" w:themeColor="text1"/>
        </w:rPr>
      </w:pPr>
    </w:p>
    <w:p w:rsidR="00735F49" w:rsidRPr="005F287B" w:rsidRDefault="005C1B14" w:rsidP="0069622D">
      <w:pPr>
        <w:spacing w:after="0" w:line="240" w:lineRule="auto"/>
        <w:jc w:val="both"/>
        <w:rPr>
          <w:rFonts w:ascii="ITC Avant Garde" w:hAnsi="ITC Avant Garde"/>
          <w:color w:val="000000" w:themeColor="text1"/>
          <w:lang w:val="es-ES"/>
        </w:rPr>
      </w:pPr>
      <w:r w:rsidRPr="005F287B">
        <w:rPr>
          <w:rFonts w:ascii="ITC Avant Garde" w:hAnsi="ITC Avant Garde"/>
          <w:color w:val="000000" w:themeColor="text1"/>
        </w:rPr>
        <w:t>Este Instituto considera que</w:t>
      </w:r>
      <w:r w:rsidR="004E49AA">
        <w:rPr>
          <w:rFonts w:ascii="ITC Avant Garde" w:hAnsi="ITC Avant Garde"/>
          <w:color w:val="000000" w:themeColor="text1"/>
        </w:rPr>
        <w:t>,</w:t>
      </w:r>
      <w:r w:rsidRPr="005F287B">
        <w:rPr>
          <w:rFonts w:ascii="ITC Avant Garde" w:hAnsi="ITC Avant Garde"/>
          <w:color w:val="000000" w:themeColor="text1"/>
        </w:rPr>
        <w:t xml:space="preserve"> al</w:t>
      </w:r>
      <w:r w:rsidR="00B73C5E" w:rsidRPr="005F287B">
        <w:rPr>
          <w:rFonts w:ascii="ITC Avant Garde" w:hAnsi="ITC Avant Garde"/>
          <w:color w:val="000000" w:themeColor="text1"/>
          <w:lang w:val="es-ES"/>
        </w:rPr>
        <w:t xml:space="preserve"> no segmentar</w:t>
      </w:r>
      <w:r w:rsidRPr="005F287B">
        <w:rPr>
          <w:rFonts w:ascii="ITC Avant Garde" w:hAnsi="ITC Avant Garde"/>
          <w:color w:val="000000" w:themeColor="text1"/>
          <w:lang w:val="es-ES"/>
        </w:rPr>
        <w:t xml:space="preserve"> la prueba, </w:t>
      </w:r>
      <w:r w:rsidR="00B73C5E" w:rsidRPr="005F287B">
        <w:rPr>
          <w:rFonts w:ascii="ITC Avant Garde" w:hAnsi="ITC Avant Garde"/>
          <w:color w:val="000000" w:themeColor="text1"/>
          <w:lang w:val="es-ES"/>
        </w:rPr>
        <w:t xml:space="preserve">la entrada </w:t>
      </w:r>
      <w:r w:rsidRPr="005F287B">
        <w:rPr>
          <w:rFonts w:ascii="ITC Avant Garde" w:hAnsi="ITC Avant Garde"/>
          <w:color w:val="000000" w:themeColor="text1"/>
          <w:lang w:val="es-ES"/>
        </w:rPr>
        <w:t xml:space="preserve">de competidores </w:t>
      </w:r>
      <w:r w:rsidR="00010BEF">
        <w:rPr>
          <w:rFonts w:ascii="ITC Avant Garde" w:hAnsi="ITC Avant Garde"/>
          <w:color w:val="000000" w:themeColor="text1"/>
          <w:lang w:val="es-ES"/>
        </w:rPr>
        <w:t xml:space="preserve">podrá </w:t>
      </w:r>
      <w:r w:rsidR="00B73C5E" w:rsidRPr="005F287B">
        <w:rPr>
          <w:rFonts w:ascii="ITC Avant Garde" w:hAnsi="ITC Avant Garde"/>
          <w:color w:val="000000" w:themeColor="text1"/>
          <w:lang w:val="es-ES"/>
        </w:rPr>
        <w:t>benefici</w:t>
      </w:r>
      <w:r w:rsidR="00010BEF">
        <w:rPr>
          <w:rFonts w:ascii="ITC Avant Garde" w:hAnsi="ITC Avant Garde"/>
          <w:color w:val="000000" w:themeColor="text1"/>
          <w:lang w:val="es-ES"/>
        </w:rPr>
        <w:t>ar</w:t>
      </w:r>
      <w:r w:rsidR="00B73C5E" w:rsidRPr="005F287B">
        <w:rPr>
          <w:rFonts w:ascii="ITC Avant Garde" w:hAnsi="ITC Avant Garde"/>
          <w:color w:val="000000" w:themeColor="text1"/>
          <w:lang w:val="es-ES"/>
        </w:rPr>
        <w:t xml:space="preserve"> a todo tipo de consumidores y no solo a unos </w:t>
      </w:r>
      <w:r w:rsidR="00010BEF">
        <w:rPr>
          <w:rFonts w:ascii="ITC Avant Garde" w:hAnsi="ITC Avant Garde"/>
          <w:color w:val="000000" w:themeColor="text1"/>
          <w:lang w:val="es-ES"/>
        </w:rPr>
        <w:t>pocos</w:t>
      </w:r>
      <w:r w:rsidRPr="005F287B">
        <w:rPr>
          <w:rFonts w:ascii="ITC Avant Garde" w:hAnsi="ITC Avant Garde"/>
          <w:color w:val="000000" w:themeColor="text1"/>
          <w:lang w:val="es-ES"/>
        </w:rPr>
        <w:t>. Por lo tanto,</w:t>
      </w:r>
      <w:r w:rsidR="00B73C5E" w:rsidRPr="005F287B">
        <w:rPr>
          <w:rFonts w:ascii="ITC Avant Garde" w:hAnsi="ITC Avant Garde"/>
          <w:color w:val="000000" w:themeColor="text1"/>
          <w:lang w:val="es-ES"/>
        </w:rPr>
        <w:t xml:space="preserve"> se busca </w:t>
      </w:r>
      <w:r w:rsidR="00A74AC4" w:rsidRPr="005F287B">
        <w:rPr>
          <w:rFonts w:ascii="ITC Avant Garde" w:hAnsi="ITC Avant Garde"/>
          <w:color w:val="000000" w:themeColor="text1"/>
          <w:lang w:val="es-ES"/>
        </w:rPr>
        <w:t>incentivar a</w:t>
      </w:r>
      <w:r w:rsidR="00B73C5E" w:rsidRPr="005F287B">
        <w:rPr>
          <w:rFonts w:ascii="ITC Avant Garde" w:hAnsi="ITC Avant Garde"/>
          <w:color w:val="000000" w:themeColor="text1"/>
          <w:lang w:val="es-ES"/>
        </w:rPr>
        <w:t xml:space="preserve"> los</w:t>
      </w:r>
      <w:r w:rsidR="00F500BC" w:rsidRPr="005F287B">
        <w:rPr>
          <w:rFonts w:ascii="ITC Avant Garde" w:hAnsi="ITC Avant Garde"/>
          <w:color w:val="000000" w:themeColor="text1"/>
          <w:lang w:val="es-ES"/>
        </w:rPr>
        <w:t xml:space="preserve"> </w:t>
      </w:r>
      <w:r w:rsidR="00B3786B" w:rsidRPr="005F287B">
        <w:rPr>
          <w:rFonts w:ascii="ITC Avant Garde" w:hAnsi="ITC Avant Garde"/>
          <w:color w:val="000000" w:themeColor="text1"/>
          <w:lang w:val="es-ES"/>
        </w:rPr>
        <w:t xml:space="preserve">nuevos </w:t>
      </w:r>
      <w:r w:rsidR="00F500BC" w:rsidRPr="005F287B">
        <w:rPr>
          <w:rFonts w:ascii="ITC Avant Garde" w:hAnsi="ITC Avant Garde"/>
          <w:color w:val="000000" w:themeColor="text1"/>
          <w:lang w:val="es-ES"/>
        </w:rPr>
        <w:t xml:space="preserve">entrantes </w:t>
      </w:r>
      <w:r w:rsidR="00010BEF">
        <w:rPr>
          <w:rFonts w:ascii="ITC Avant Garde" w:hAnsi="ITC Avant Garde"/>
          <w:color w:val="000000" w:themeColor="text1"/>
          <w:lang w:val="es-ES"/>
        </w:rPr>
        <w:t xml:space="preserve">a que </w:t>
      </w:r>
      <w:r w:rsidR="00B3786B" w:rsidRPr="005F287B">
        <w:rPr>
          <w:rFonts w:ascii="ITC Avant Garde" w:hAnsi="ITC Avant Garde"/>
          <w:color w:val="000000" w:themeColor="text1"/>
          <w:lang w:val="es-ES"/>
        </w:rPr>
        <w:t>compitan</w:t>
      </w:r>
      <w:r w:rsidR="00F500BC" w:rsidRPr="005F287B">
        <w:rPr>
          <w:rFonts w:ascii="ITC Avant Garde" w:hAnsi="ITC Avant Garde"/>
          <w:color w:val="000000" w:themeColor="text1"/>
          <w:lang w:val="es-ES"/>
        </w:rPr>
        <w:t xml:space="preserve"> en ambos </w:t>
      </w:r>
      <w:r w:rsidR="00B73C5E" w:rsidRPr="005F287B">
        <w:rPr>
          <w:rFonts w:ascii="ITC Avant Garde" w:hAnsi="ITC Avant Garde"/>
          <w:color w:val="000000" w:themeColor="text1"/>
          <w:lang w:val="es-ES"/>
        </w:rPr>
        <w:t>segmentos</w:t>
      </w:r>
      <w:r w:rsidR="00FB2927" w:rsidRPr="005F287B">
        <w:rPr>
          <w:rFonts w:ascii="ITC Avant Garde" w:hAnsi="ITC Avant Garde"/>
          <w:color w:val="000000" w:themeColor="text1"/>
          <w:lang w:val="es-ES"/>
        </w:rPr>
        <w:t>, residencial y empresarial,</w:t>
      </w:r>
      <w:r w:rsidR="00B73C5E" w:rsidRPr="005F287B">
        <w:rPr>
          <w:rFonts w:ascii="ITC Avant Garde" w:hAnsi="ITC Avant Garde"/>
          <w:color w:val="000000" w:themeColor="text1"/>
          <w:lang w:val="es-ES"/>
        </w:rPr>
        <w:t xml:space="preserve"> y no </w:t>
      </w:r>
      <w:r w:rsidR="00010BEF">
        <w:rPr>
          <w:rFonts w:ascii="ITC Avant Garde" w:hAnsi="ITC Avant Garde"/>
          <w:color w:val="000000" w:themeColor="text1"/>
          <w:lang w:val="es-ES"/>
        </w:rPr>
        <w:t>sólo en uno</w:t>
      </w:r>
      <w:r w:rsidR="00B73C5E" w:rsidRPr="005F287B">
        <w:rPr>
          <w:rFonts w:ascii="ITC Avant Garde" w:hAnsi="ITC Avant Garde"/>
          <w:color w:val="000000" w:themeColor="text1"/>
          <w:lang w:val="es-ES"/>
        </w:rPr>
        <w:t>.</w:t>
      </w:r>
    </w:p>
    <w:p w:rsidR="00F500BC" w:rsidRPr="005F287B" w:rsidRDefault="00F500BC" w:rsidP="0069622D">
      <w:pPr>
        <w:spacing w:after="0" w:line="240" w:lineRule="auto"/>
        <w:jc w:val="both"/>
        <w:rPr>
          <w:rFonts w:ascii="ITC Avant Garde" w:hAnsi="ITC Avant Garde"/>
          <w:color w:val="000000" w:themeColor="text1"/>
          <w:lang w:val="es-ES"/>
        </w:rPr>
      </w:pPr>
    </w:p>
    <w:p w:rsidR="00B73C5E" w:rsidRPr="005F287B" w:rsidRDefault="00FB2927" w:rsidP="0069622D">
      <w:pPr>
        <w:spacing w:after="0" w:line="240" w:lineRule="auto"/>
        <w:jc w:val="both"/>
        <w:rPr>
          <w:rFonts w:ascii="ITC Avant Garde" w:hAnsi="ITC Avant Garde"/>
          <w:color w:val="000000" w:themeColor="text1"/>
        </w:rPr>
      </w:pPr>
      <w:r w:rsidRPr="005F287B">
        <w:rPr>
          <w:rFonts w:ascii="ITC Avant Garde" w:hAnsi="ITC Avant Garde"/>
          <w:color w:val="000000" w:themeColor="text1"/>
        </w:rPr>
        <w:t xml:space="preserve">Con base en </w:t>
      </w:r>
      <w:r w:rsidR="00A336FB" w:rsidRPr="005F287B">
        <w:rPr>
          <w:rFonts w:ascii="ITC Avant Garde" w:hAnsi="ITC Avant Garde"/>
          <w:color w:val="000000" w:themeColor="text1"/>
        </w:rPr>
        <w:t>los comentarios</w:t>
      </w:r>
      <w:r w:rsidRPr="005F287B">
        <w:rPr>
          <w:rFonts w:ascii="ITC Avant Garde" w:hAnsi="ITC Avant Garde"/>
          <w:color w:val="000000" w:themeColor="text1"/>
        </w:rPr>
        <w:t xml:space="preserve"> presentad</w:t>
      </w:r>
      <w:r w:rsidR="00A336FB" w:rsidRPr="005F287B">
        <w:rPr>
          <w:rFonts w:ascii="ITC Avant Garde" w:hAnsi="ITC Avant Garde"/>
          <w:color w:val="000000" w:themeColor="text1"/>
        </w:rPr>
        <w:t>os</w:t>
      </w:r>
      <w:r w:rsidRPr="005F287B">
        <w:rPr>
          <w:rFonts w:ascii="ITC Avant Garde" w:hAnsi="ITC Avant Garde"/>
          <w:color w:val="000000" w:themeColor="text1"/>
        </w:rPr>
        <w:t xml:space="preserve"> por los </w:t>
      </w:r>
      <w:r w:rsidR="00A336FB" w:rsidRPr="005F287B">
        <w:rPr>
          <w:rFonts w:ascii="ITC Avant Garde" w:hAnsi="ITC Avant Garde"/>
          <w:color w:val="000000" w:themeColor="text1"/>
        </w:rPr>
        <w:t>participante</w:t>
      </w:r>
      <w:r w:rsidR="00F57E73" w:rsidRPr="005F287B">
        <w:rPr>
          <w:rFonts w:ascii="ITC Avant Garde" w:hAnsi="ITC Avant Garde"/>
          <w:color w:val="000000" w:themeColor="text1"/>
        </w:rPr>
        <w:t>s</w:t>
      </w:r>
      <w:r w:rsidR="00A336FB" w:rsidRPr="005F287B">
        <w:rPr>
          <w:rFonts w:ascii="ITC Avant Garde" w:hAnsi="ITC Avant Garde"/>
          <w:color w:val="000000" w:themeColor="text1"/>
        </w:rPr>
        <w:t xml:space="preserve">, </w:t>
      </w:r>
      <w:r w:rsidRPr="005F287B">
        <w:rPr>
          <w:rFonts w:ascii="ITC Avant Garde" w:hAnsi="ITC Avant Garde"/>
          <w:color w:val="000000" w:themeColor="text1"/>
        </w:rPr>
        <w:t>n</w:t>
      </w:r>
      <w:r w:rsidR="00B73C5E" w:rsidRPr="005F287B">
        <w:rPr>
          <w:rFonts w:ascii="ITC Avant Garde" w:hAnsi="ITC Avant Garde"/>
          <w:color w:val="000000" w:themeColor="text1"/>
        </w:rPr>
        <w:t xml:space="preserve">o </w:t>
      </w:r>
      <w:r w:rsidR="00A336FB" w:rsidRPr="005F287B">
        <w:rPr>
          <w:rFonts w:ascii="ITC Avant Garde" w:hAnsi="ITC Avant Garde"/>
          <w:color w:val="000000" w:themeColor="text1"/>
        </w:rPr>
        <w:t xml:space="preserve">se </w:t>
      </w:r>
      <w:r w:rsidR="00B73C5E" w:rsidRPr="005F287B">
        <w:rPr>
          <w:rFonts w:ascii="ITC Avant Garde" w:hAnsi="ITC Avant Garde"/>
          <w:color w:val="000000" w:themeColor="text1"/>
        </w:rPr>
        <w:t xml:space="preserve">puede </w:t>
      </w:r>
      <w:r w:rsidRPr="005F287B">
        <w:rPr>
          <w:rFonts w:ascii="ITC Avant Garde" w:hAnsi="ITC Avant Garde"/>
          <w:color w:val="000000" w:themeColor="text1"/>
        </w:rPr>
        <w:t>aseverar</w:t>
      </w:r>
      <w:r w:rsidR="00B73C5E" w:rsidRPr="005F287B">
        <w:rPr>
          <w:rFonts w:ascii="ITC Avant Garde" w:hAnsi="ITC Avant Garde"/>
          <w:color w:val="000000" w:themeColor="text1"/>
        </w:rPr>
        <w:t xml:space="preserve"> que la entrada de </w:t>
      </w:r>
      <w:r w:rsidR="00A336FB" w:rsidRPr="005F287B">
        <w:rPr>
          <w:rFonts w:ascii="ITC Avant Garde" w:hAnsi="ITC Avant Garde"/>
          <w:color w:val="000000" w:themeColor="text1"/>
        </w:rPr>
        <w:t xml:space="preserve">nuevos </w:t>
      </w:r>
      <w:r w:rsidR="00B73C5E" w:rsidRPr="005F287B">
        <w:rPr>
          <w:rFonts w:ascii="ITC Avant Garde" w:hAnsi="ITC Avant Garde"/>
          <w:color w:val="000000" w:themeColor="text1"/>
        </w:rPr>
        <w:t>competidores se esté centrando en un segmento concreto</w:t>
      </w:r>
      <w:r w:rsidR="00191543" w:rsidRPr="005F287B">
        <w:rPr>
          <w:rFonts w:ascii="ITC Avant Garde" w:hAnsi="ITC Avant Garde"/>
          <w:color w:val="000000" w:themeColor="text1"/>
        </w:rPr>
        <w:t>, no obstante que</w:t>
      </w:r>
      <w:r w:rsidRPr="005F287B">
        <w:rPr>
          <w:rFonts w:ascii="ITC Avant Garde" w:hAnsi="ITC Avant Garde"/>
          <w:color w:val="000000" w:themeColor="text1"/>
        </w:rPr>
        <w:t xml:space="preserve"> resulta cierto </w:t>
      </w:r>
      <w:r w:rsidR="00191543" w:rsidRPr="005F287B">
        <w:rPr>
          <w:rFonts w:ascii="ITC Avant Garde" w:hAnsi="ITC Avant Garde"/>
          <w:color w:val="000000" w:themeColor="text1"/>
        </w:rPr>
        <w:t xml:space="preserve">el hecho de </w:t>
      </w:r>
      <w:r w:rsidRPr="005F287B">
        <w:rPr>
          <w:rFonts w:ascii="ITC Avant Garde" w:hAnsi="ITC Avant Garde"/>
          <w:color w:val="000000" w:themeColor="text1"/>
        </w:rPr>
        <w:t>que</w:t>
      </w:r>
      <w:r w:rsidR="00B73C5E" w:rsidRPr="005F287B">
        <w:rPr>
          <w:rFonts w:ascii="ITC Avant Garde" w:hAnsi="ITC Avant Garde"/>
          <w:color w:val="000000" w:themeColor="text1"/>
        </w:rPr>
        <w:t xml:space="preserve"> los competidores </w:t>
      </w:r>
      <w:r w:rsidR="00010BEF" w:rsidRPr="00502494">
        <w:rPr>
          <w:rFonts w:ascii="ITC Avant Garde" w:hAnsi="ITC Avant Garde"/>
          <w:color w:val="000000" w:themeColor="text1"/>
        </w:rPr>
        <w:t xml:space="preserve">del AEP </w:t>
      </w:r>
      <w:r w:rsidR="00B73C5E" w:rsidRPr="005F287B">
        <w:rPr>
          <w:rFonts w:ascii="ITC Avant Garde" w:hAnsi="ITC Avant Garde"/>
          <w:color w:val="000000" w:themeColor="text1"/>
        </w:rPr>
        <w:t xml:space="preserve">con infraestructura tienen </w:t>
      </w:r>
      <w:r w:rsidR="00F57E73" w:rsidRPr="005F287B">
        <w:rPr>
          <w:rFonts w:ascii="ITC Avant Garde" w:hAnsi="ITC Avant Garde"/>
          <w:color w:val="000000" w:themeColor="text1"/>
        </w:rPr>
        <w:t xml:space="preserve">la </w:t>
      </w:r>
      <w:r w:rsidR="00B73C5E" w:rsidRPr="005F287B">
        <w:rPr>
          <w:rFonts w:ascii="ITC Avant Garde" w:hAnsi="ITC Avant Garde"/>
          <w:color w:val="000000" w:themeColor="text1"/>
        </w:rPr>
        <w:t>capacidad para atender la demanda de servicios en diferentes segmentos. Además</w:t>
      </w:r>
      <w:r w:rsidR="004567D5" w:rsidRPr="005F287B">
        <w:rPr>
          <w:rFonts w:ascii="ITC Avant Garde" w:hAnsi="ITC Avant Garde"/>
          <w:color w:val="000000" w:themeColor="text1"/>
        </w:rPr>
        <w:t>,</w:t>
      </w:r>
      <w:r w:rsidR="00B73C5E" w:rsidRPr="005F287B">
        <w:rPr>
          <w:rFonts w:ascii="ITC Avant Garde" w:hAnsi="ITC Avant Garde"/>
          <w:color w:val="000000" w:themeColor="text1"/>
        </w:rPr>
        <w:t xml:space="preserve"> con una prueba de replicabilidad conjunta para las ofertas </w:t>
      </w:r>
      <w:r w:rsidR="00F500BC" w:rsidRPr="005F287B">
        <w:rPr>
          <w:rFonts w:ascii="ITC Avant Garde" w:hAnsi="ITC Avant Garde"/>
          <w:color w:val="000000" w:themeColor="text1"/>
        </w:rPr>
        <w:t>empresariales y</w:t>
      </w:r>
      <w:r w:rsidR="00B73C5E" w:rsidRPr="005F287B">
        <w:rPr>
          <w:rFonts w:ascii="ITC Avant Garde" w:hAnsi="ITC Avant Garde"/>
          <w:color w:val="000000" w:themeColor="text1"/>
        </w:rPr>
        <w:t xml:space="preserve"> residenciales se busca garantizar la replicabilidad </w:t>
      </w:r>
      <w:r w:rsidR="00F57E73" w:rsidRPr="005F287B">
        <w:rPr>
          <w:rFonts w:ascii="ITC Avant Garde" w:hAnsi="ITC Avant Garde"/>
          <w:color w:val="000000" w:themeColor="text1"/>
        </w:rPr>
        <w:t>para</w:t>
      </w:r>
      <w:r w:rsidR="00B73C5E" w:rsidRPr="005F287B">
        <w:rPr>
          <w:rFonts w:ascii="ITC Avant Garde" w:hAnsi="ITC Avant Garde"/>
          <w:color w:val="000000" w:themeColor="text1"/>
        </w:rPr>
        <w:t xml:space="preserve"> un operador que se </w:t>
      </w:r>
      <w:r w:rsidR="00010BEF" w:rsidRPr="005F287B">
        <w:rPr>
          <w:rFonts w:ascii="ITC Avant Garde" w:hAnsi="ITC Avant Garde"/>
          <w:color w:val="000000" w:themeColor="text1"/>
        </w:rPr>
        <w:t>diri</w:t>
      </w:r>
      <w:r w:rsidR="00010BEF">
        <w:rPr>
          <w:rFonts w:ascii="ITC Avant Garde" w:hAnsi="ITC Avant Garde"/>
          <w:color w:val="000000" w:themeColor="text1"/>
        </w:rPr>
        <w:t>ja</w:t>
      </w:r>
      <w:r w:rsidR="00010BEF" w:rsidRPr="005F287B">
        <w:rPr>
          <w:rFonts w:ascii="ITC Avant Garde" w:hAnsi="ITC Avant Garde"/>
          <w:color w:val="000000" w:themeColor="text1"/>
        </w:rPr>
        <w:t xml:space="preserve"> </w:t>
      </w:r>
      <w:r w:rsidR="00B73C5E" w:rsidRPr="005F287B">
        <w:rPr>
          <w:rFonts w:ascii="ITC Avant Garde" w:hAnsi="ITC Avant Garde"/>
          <w:color w:val="000000" w:themeColor="text1"/>
        </w:rPr>
        <w:t>a ambos segmentos de</w:t>
      </w:r>
      <w:r w:rsidR="00010BEF">
        <w:rPr>
          <w:rFonts w:ascii="ITC Avant Garde" w:hAnsi="ITC Avant Garde"/>
          <w:color w:val="000000" w:themeColor="text1"/>
        </w:rPr>
        <w:t>l</w:t>
      </w:r>
      <w:r w:rsidR="00B73C5E" w:rsidRPr="005F287B">
        <w:rPr>
          <w:rFonts w:ascii="ITC Avant Garde" w:hAnsi="ITC Avant Garde"/>
          <w:color w:val="000000" w:themeColor="text1"/>
        </w:rPr>
        <w:t xml:space="preserve"> mercado.</w:t>
      </w:r>
    </w:p>
    <w:p w:rsidR="00F858FB" w:rsidRPr="005F287B" w:rsidRDefault="00F858FB" w:rsidP="0069622D">
      <w:pPr>
        <w:spacing w:after="0" w:line="240" w:lineRule="auto"/>
        <w:jc w:val="both"/>
        <w:rPr>
          <w:rFonts w:ascii="ITC Avant Garde" w:hAnsi="ITC Avant Garde"/>
          <w:color w:val="000000" w:themeColor="text1"/>
        </w:rPr>
      </w:pPr>
    </w:p>
    <w:p w:rsidR="00F500BC" w:rsidRPr="005F287B" w:rsidRDefault="00F858FB" w:rsidP="004567D5">
      <w:pPr>
        <w:pStyle w:val="Ttulo2"/>
        <w:spacing w:before="0" w:line="240" w:lineRule="auto"/>
        <w:rPr>
          <w:rFonts w:ascii="ITC Avant Garde" w:hAnsi="ITC Avant Garde"/>
          <w:b/>
          <w:color w:val="000000" w:themeColor="text1"/>
          <w:sz w:val="22"/>
          <w:szCs w:val="22"/>
        </w:rPr>
      </w:pPr>
      <w:r w:rsidRPr="005F287B">
        <w:rPr>
          <w:rFonts w:ascii="ITC Avant Garde" w:hAnsi="ITC Avant Garde"/>
          <w:b/>
          <w:color w:val="000000" w:themeColor="text1"/>
          <w:sz w:val="22"/>
          <w:szCs w:val="22"/>
        </w:rPr>
        <w:t>Tema: Costos minoristas</w:t>
      </w:r>
    </w:p>
    <w:p w:rsidR="00B849BE" w:rsidRPr="005F287B" w:rsidRDefault="00B849BE" w:rsidP="00F500BC">
      <w:pPr>
        <w:spacing w:after="0" w:line="240" w:lineRule="auto"/>
        <w:jc w:val="both"/>
        <w:rPr>
          <w:rFonts w:ascii="ITC Avant Garde" w:hAnsi="ITC Avant Garde" w:cs="Arial"/>
          <w:color w:val="000000" w:themeColor="text1"/>
        </w:rPr>
      </w:pPr>
    </w:p>
    <w:p w:rsidR="00F858FB" w:rsidRPr="005F287B" w:rsidRDefault="00F858FB" w:rsidP="00F500BC">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Se sugiere considerar una diferente aproximación a los costos minoristas. A </w:t>
      </w:r>
      <w:r w:rsidR="00F500BC" w:rsidRPr="005F287B">
        <w:rPr>
          <w:rFonts w:ascii="ITC Avant Garde" w:hAnsi="ITC Avant Garde" w:cs="Arial"/>
          <w:color w:val="000000" w:themeColor="text1"/>
        </w:rPr>
        <w:t>continuación,</w:t>
      </w:r>
      <w:r w:rsidRPr="005F287B">
        <w:rPr>
          <w:rFonts w:ascii="ITC Avant Garde" w:hAnsi="ITC Avant Garde" w:cs="Arial"/>
          <w:color w:val="000000" w:themeColor="text1"/>
        </w:rPr>
        <w:t xml:space="preserve"> se mencionan los argumentos presentados para justificar dicha sugerencia:</w:t>
      </w:r>
    </w:p>
    <w:p w:rsidR="004567D5" w:rsidRPr="005F287B" w:rsidRDefault="004567D5" w:rsidP="00F500BC">
      <w:pPr>
        <w:spacing w:after="0" w:line="240" w:lineRule="auto"/>
        <w:jc w:val="both"/>
        <w:rPr>
          <w:rFonts w:ascii="ITC Avant Garde" w:hAnsi="ITC Avant Garde" w:cs="Arial"/>
          <w:color w:val="000000" w:themeColor="text1"/>
        </w:rPr>
      </w:pPr>
    </w:p>
    <w:p w:rsidR="00F858FB" w:rsidRPr="005F287B" w:rsidRDefault="00F858FB" w:rsidP="0069622D">
      <w:pPr>
        <w:pStyle w:val="Prrafodelista"/>
        <w:numPr>
          <w:ilvl w:val="0"/>
          <w:numId w:val="8"/>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Se recomienda necesario incluir los costos de atención a clientes en un rubro aparte de “Servicios generales y gestión”, ya que son significativos para una operación de reventa y la escala es muy importante.</w:t>
      </w:r>
    </w:p>
    <w:p w:rsidR="00F500BC" w:rsidRPr="005F287B" w:rsidRDefault="00F500BC" w:rsidP="00F500BC">
      <w:pPr>
        <w:pStyle w:val="Prrafodelista"/>
        <w:spacing w:after="0" w:line="240" w:lineRule="auto"/>
        <w:contextualSpacing w:val="0"/>
        <w:jc w:val="both"/>
        <w:rPr>
          <w:rFonts w:ascii="ITC Avant Garde" w:hAnsi="ITC Avant Garde" w:cs="Arial"/>
          <w:color w:val="000000" w:themeColor="text1"/>
        </w:rPr>
      </w:pPr>
    </w:p>
    <w:p w:rsidR="00F858FB" w:rsidRPr="005F287B" w:rsidRDefault="00F858FB" w:rsidP="0069622D">
      <w:pPr>
        <w:pStyle w:val="Prrafodelista"/>
        <w:numPr>
          <w:ilvl w:val="0"/>
          <w:numId w:val="8"/>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 xml:space="preserve">Se considera que la obtención de los rubros relativos a los costos </w:t>
      </w:r>
      <w:r w:rsidRPr="005F287B">
        <w:rPr>
          <w:rFonts w:ascii="ITC Avant Garde" w:hAnsi="ITC Avant Garde" w:cs="Arial"/>
          <w:i/>
          <w:color w:val="000000" w:themeColor="text1"/>
        </w:rPr>
        <w:t>downstream</w:t>
      </w:r>
      <w:r w:rsidRPr="005F287B">
        <w:rPr>
          <w:rFonts w:ascii="ITC Avant Garde" w:hAnsi="ITC Avant Garde" w:cs="Arial"/>
          <w:color w:val="000000" w:themeColor="text1"/>
        </w:rPr>
        <w:t xml:space="preserve"> serán posibles únicamente en caso de que el Instituto extraiga esta información de fuentes diferentes a la separación contable.</w:t>
      </w:r>
    </w:p>
    <w:p w:rsidR="00F500BC" w:rsidRPr="005F287B" w:rsidRDefault="00F500BC" w:rsidP="00F500BC">
      <w:pPr>
        <w:pStyle w:val="Prrafodelista"/>
        <w:rPr>
          <w:rFonts w:ascii="ITC Avant Garde" w:hAnsi="ITC Avant Garde" w:cs="Arial"/>
          <w:color w:val="000000" w:themeColor="text1"/>
        </w:rPr>
      </w:pPr>
    </w:p>
    <w:p w:rsidR="00F858FB" w:rsidRPr="005F287B" w:rsidRDefault="00F858FB" w:rsidP="0069622D">
      <w:pPr>
        <w:pStyle w:val="Prrafodelista"/>
        <w:numPr>
          <w:ilvl w:val="0"/>
          <w:numId w:val="8"/>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Para la categorización de los costos de aguas abajo se necesita mayor nivel de desagregación o detalle con respecto a dichos costos, para poder determinar si se incluyen los costos más relevantes para la prestación del servicio de telefonía fija minorista.</w:t>
      </w:r>
    </w:p>
    <w:p w:rsidR="00F500BC" w:rsidRPr="005F287B" w:rsidRDefault="00F500BC" w:rsidP="00F500BC">
      <w:pPr>
        <w:pStyle w:val="Prrafodelista"/>
        <w:rPr>
          <w:rFonts w:ascii="ITC Avant Garde" w:hAnsi="ITC Avant Garde" w:cs="Arial"/>
          <w:color w:val="000000" w:themeColor="text1"/>
        </w:rPr>
      </w:pPr>
    </w:p>
    <w:p w:rsidR="00F858FB" w:rsidRPr="005F287B" w:rsidRDefault="00F858FB" w:rsidP="0069622D">
      <w:pPr>
        <w:pStyle w:val="Prrafodelista"/>
        <w:numPr>
          <w:ilvl w:val="0"/>
          <w:numId w:val="8"/>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No se considera adecuada la categorización de los costos aguas abajo propuesta, ya que no permite identificar los servicios, componentes de infraestructura, funcionalidades o procesos que integran la oferta tarifaria del AEP. Los costos “aguas abajo” para la prueba de replicabilidad económica debe</w:t>
      </w:r>
      <w:r w:rsidR="00FB2927" w:rsidRPr="005F287B">
        <w:rPr>
          <w:rFonts w:ascii="ITC Avant Garde" w:hAnsi="ITC Avant Garde" w:cs="Arial"/>
          <w:color w:val="000000" w:themeColor="text1"/>
        </w:rPr>
        <w:t>n</w:t>
      </w:r>
      <w:r w:rsidRPr="005F287B">
        <w:rPr>
          <w:rFonts w:ascii="ITC Avant Garde" w:hAnsi="ITC Avant Garde" w:cs="Arial"/>
          <w:color w:val="000000" w:themeColor="text1"/>
        </w:rPr>
        <w:t xml:space="preserve"> considerar explícitamente los costos asociados a infraestructura, funcionalidades o procesos que se incluyan en los paquetes tarifarios ofertados, sean o no de telecomunicaciones, independientemente si son prestados directamente a través de empresas del mismo grupo económico. En el caso del servicio de telefonía fija residencial, por ejemplo, actualmente el AEP incluye los servicios de información de directorio, compra de tecnología con cargo a tu recibo y Línea Crédito Personal de Inbursa.</w:t>
      </w:r>
    </w:p>
    <w:p w:rsidR="00BC1C8E" w:rsidRDefault="00BC1C8E" w:rsidP="0069622D">
      <w:pPr>
        <w:spacing w:after="0" w:line="240" w:lineRule="auto"/>
        <w:jc w:val="both"/>
        <w:rPr>
          <w:rFonts w:ascii="ITC Avant Garde" w:hAnsi="ITC Avant Garde" w:cs="Arial"/>
          <w:color w:val="000000" w:themeColor="text1"/>
        </w:rPr>
      </w:pPr>
    </w:p>
    <w:p w:rsidR="00F500BC" w:rsidRPr="005F287B" w:rsidRDefault="004567D5" w:rsidP="0069622D">
      <w:pPr>
        <w:spacing w:after="0" w:line="240" w:lineRule="auto"/>
        <w:jc w:val="both"/>
        <w:rPr>
          <w:rFonts w:ascii="ITC Avant Garde" w:hAnsi="ITC Avant Garde" w:cs="Arial"/>
          <w:b/>
          <w:color w:val="000000" w:themeColor="text1"/>
        </w:rPr>
      </w:pPr>
      <w:r w:rsidRPr="005F287B">
        <w:rPr>
          <w:rFonts w:ascii="ITC Avant Garde" w:hAnsi="ITC Avant Garde" w:cs="Arial"/>
          <w:b/>
          <w:color w:val="000000" w:themeColor="text1"/>
        </w:rPr>
        <w:t xml:space="preserve">Consideraciones del Instituto: </w:t>
      </w:r>
    </w:p>
    <w:p w:rsidR="00520FED" w:rsidRPr="005F287B" w:rsidRDefault="00520FED" w:rsidP="0069622D">
      <w:pPr>
        <w:spacing w:after="0" w:line="240" w:lineRule="auto"/>
        <w:jc w:val="both"/>
        <w:rPr>
          <w:rFonts w:ascii="ITC Avant Garde" w:hAnsi="ITC Avant Garde" w:cs="Arial"/>
          <w:color w:val="000000" w:themeColor="text1"/>
        </w:rPr>
      </w:pPr>
    </w:p>
    <w:p w:rsidR="00EB1883" w:rsidRPr="005F287B" w:rsidRDefault="00010BEF" w:rsidP="0069622D">
      <w:pPr>
        <w:spacing w:after="0" w:line="240" w:lineRule="auto"/>
        <w:jc w:val="both"/>
        <w:rPr>
          <w:rFonts w:ascii="ITC Avant Garde" w:hAnsi="ITC Avant Garde" w:cs="Arial"/>
          <w:color w:val="000000" w:themeColor="text1"/>
        </w:rPr>
      </w:pPr>
      <w:r>
        <w:rPr>
          <w:rFonts w:ascii="ITC Avant Garde" w:hAnsi="ITC Avant Garde" w:cs="Arial"/>
          <w:color w:val="000000" w:themeColor="text1"/>
        </w:rPr>
        <w:t>No</w:t>
      </w:r>
      <w:r w:rsidR="00EB1883" w:rsidRPr="005F287B">
        <w:rPr>
          <w:rFonts w:ascii="ITC Avant Garde" w:hAnsi="ITC Avant Garde" w:cs="Arial"/>
          <w:color w:val="000000" w:themeColor="text1"/>
        </w:rPr>
        <w:t xml:space="preserve"> resulta necesario incluir los costos de atención a clientes en un rubro aparte de “Servicios generales y gestión”, </w:t>
      </w:r>
      <w:r w:rsidR="00FD7409" w:rsidRPr="005F287B">
        <w:rPr>
          <w:rFonts w:ascii="ITC Avant Garde" w:hAnsi="ITC Avant Garde" w:cs="Arial"/>
          <w:color w:val="000000" w:themeColor="text1"/>
        </w:rPr>
        <w:t>debido a</w:t>
      </w:r>
      <w:r w:rsidR="00EB1883" w:rsidRPr="005F287B">
        <w:rPr>
          <w:rFonts w:ascii="ITC Avant Garde" w:hAnsi="ITC Avant Garde" w:cs="Arial"/>
          <w:color w:val="000000" w:themeColor="text1"/>
        </w:rPr>
        <w:t xml:space="preserve"> que </w:t>
      </w:r>
      <w:r w:rsidR="00FD7409" w:rsidRPr="005F287B">
        <w:rPr>
          <w:rFonts w:ascii="ITC Avant Garde" w:hAnsi="ITC Avant Garde" w:cs="Arial"/>
          <w:color w:val="000000" w:themeColor="text1"/>
        </w:rPr>
        <w:t xml:space="preserve">el diseño de </w:t>
      </w:r>
      <w:r w:rsidR="00F500BC" w:rsidRPr="005F287B">
        <w:rPr>
          <w:rFonts w:ascii="ITC Avant Garde" w:hAnsi="ITC Avant Garde" w:cs="Arial"/>
          <w:color w:val="000000" w:themeColor="text1"/>
        </w:rPr>
        <w:t>la</w:t>
      </w:r>
      <w:r w:rsidR="00EB1883" w:rsidRPr="005F287B">
        <w:rPr>
          <w:rFonts w:ascii="ITC Avant Garde" w:hAnsi="ITC Avant Garde" w:cs="Arial"/>
          <w:color w:val="000000" w:themeColor="text1"/>
        </w:rPr>
        <w:t xml:space="preserve"> prueba </w:t>
      </w:r>
      <w:r w:rsidR="00FD7409" w:rsidRPr="005F287B">
        <w:rPr>
          <w:rFonts w:ascii="ITC Avant Garde" w:hAnsi="ITC Avant Garde" w:cs="Arial"/>
          <w:color w:val="000000" w:themeColor="text1"/>
        </w:rPr>
        <w:t>ya</w:t>
      </w:r>
      <w:r w:rsidR="00EB1883" w:rsidRPr="005F287B">
        <w:rPr>
          <w:rFonts w:ascii="ITC Avant Garde" w:hAnsi="ITC Avant Garde" w:cs="Arial"/>
          <w:color w:val="000000" w:themeColor="text1"/>
        </w:rPr>
        <w:t xml:space="preserve"> toma en cuenta </w:t>
      </w:r>
      <w:r w:rsidR="00E427BE" w:rsidRPr="005F287B">
        <w:rPr>
          <w:rFonts w:ascii="ITC Avant Garde" w:hAnsi="ITC Avant Garde" w:cs="Arial"/>
          <w:color w:val="000000" w:themeColor="text1"/>
        </w:rPr>
        <w:t>dichos costos</w:t>
      </w:r>
      <w:r w:rsidR="00FD7409" w:rsidRPr="005F287B">
        <w:rPr>
          <w:rFonts w:ascii="ITC Avant Garde" w:hAnsi="ITC Avant Garde" w:cs="Arial"/>
          <w:color w:val="000000" w:themeColor="text1"/>
        </w:rPr>
        <w:t xml:space="preserve"> </w:t>
      </w:r>
      <w:r w:rsidR="00EB1883" w:rsidRPr="005F287B">
        <w:rPr>
          <w:rFonts w:ascii="ITC Avant Garde" w:hAnsi="ITC Avant Garde" w:cs="Arial"/>
          <w:color w:val="000000" w:themeColor="text1"/>
        </w:rPr>
        <w:t>de manera adecuada.</w:t>
      </w:r>
    </w:p>
    <w:p w:rsidR="00F500BC" w:rsidRPr="005F287B" w:rsidRDefault="00F500BC" w:rsidP="0069622D">
      <w:pPr>
        <w:spacing w:after="0" w:line="240" w:lineRule="auto"/>
        <w:jc w:val="both"/>
        <w:rPr>
          <w:rFonts w:ascii="ITC Avant Garde" w:hAnsi="ITC Avant Garde" w:cs="Arial"/>
          <w:color w:val="000000" w:themeColor="text1"/>
        </w:rPr>
      </w:pPr>
    </w:p>
    <w:p w:rsidR="00EB1883" w:rsidRPr="005F287B" w:rsidRDefault="00EB1883"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Respecto a la extracción de información de </w:t>
      </w:r>
      <w:r w:rsidR="00C50FDD" w:rsidRPr="005F287B">
        <w:rPr>
          <w:rFonts w:ascii="ITC Avant Garde" w:hAnsi="ITC Avant Garde" w:cs="Arial"/>
          <w:color w:val="000000" w:themeColor="text1"/>
        </w:rPr>
        <w:t xml:space="preserve">diferentes </w:t>
      </w:r>
      <w:r w:rsidRPr="005F287B">
        <w:rPr>
          <w:rFonts w:ascii="ITC Avant Garde" w:hAnsi="ITC Avant Garde" w:cs="Arial"/>
          <w:color w:val="000000" w:themeColor="text1"/>
        </w:rPr>
        <w:t>fuentes a la separación contable, se señala que la separación contable resulta ideal para alimentar el modelo</w:t>
      </w:r>
      <w:r w:rsidR="00010BEF">
        <w:rPr>
          <w:rFonts w:ascii="ITC Avant Garde" w:hAnsi="ITC Avant Garde" w:cs="Arial"/>
          <w:color w:val="000000" w:themeColor="text1"/>
        </w:rPr>
        <w:t xml:space="preserve"> de replicabilidad económica</w:t>
      </w:r>
      <w:r w:rsidR="00D5204F" w:rsidRPr="005F287B">
        <w:rPr>
          <w:rFonts w:ascii="ITC Avant Garde" w:hAnsi="ITC Avant Garde" w:cs="Arial"/>
          <w:color w:val="000000" w:themeColor="text1"/>
        </w:rPr>
        <w:t>,</w:t>
      </w:r>
      <w:r w:rsidRPr="005F287B">
        <w:rPr>
          <w:rFonts w:ascii="ITC Avant Garde" w:hAnsi="ITC Avant Garde" w:cs="Arial"/>
          <w:color w:val="000000" w:themeColor="text1"/>
        </w:rPr>
        <w:t xml:space="preserve"> </w:t>
      </w:r>
      <w:r w:rsidR="00010BEF">
        <w:rPr>
          <w:rFonts w:ascii="ITC Avant Garde" w:hAnsi="ITC Avant Garde" w:cs="Arial"/>
          <w:color w:val="000000" w:themeColor="text1"/>
        </w:rPr>
        <w:t>motivo por el</w:t>
      </w:r>
      <w:r w:rsidR="00010BEF" w:rsidRPr="005F287B">
        <w:rPr>
          <w:rFonts w:ascii="ITC Avant Garde" w:hAnsi="ITC Avant Garde" w:cs="Arial"/>
          <w:color w:val="000000" w:themeColor="text1"/>
        </w:rPr>
        <w:t xml:space="preserve"> </w:t>
      </w:r>
      <w:r w:rsidRPr="005F287B">
        <w:rPr>
          <w:rFonts w:ascii="ITC Avant Garde" w:hAnsi="ITC Avant Garde" w:cs="Arial"/>
          <w:color w:val="000000" w:themeColor="text1"/>
        </w:rPr>
        <w:t xml:space="preserve">que el mismo </w:t>
      </w:r>
      <w:r w:rsidR="00010BEF">
        <w:rPr>
          <w:rFonts w:ascii="ITC Avant Garde" w:hAnsi="ITC Avant Garde" w:cs="Arial"/>
          <w:color w:val="000000" w:themeColor="text1"/>
        </w:rPr>
        <w:t xml:space="preserve">modelo </w:t>
      </w:r>
      <w:r w:rsidR="00C50FDD" w:rsidRPr="005F287B">
        <w:rPr>
          <w:rFonts w:ascii="ITC Avant Garde" w:hAnsi="ITC Avant Garde" w:cs="Arial"/>
          <w:color w:val="000000" w:themeColor="text1"/>
        </w:rPr>
        <w:t>ha sido diseñado por este Instituto</w:t>
      </w:r>
      <w:r w:rsidRPr="005F287B">
        <w:rPr>
          <w:rFonts w:ascii="ITC Avant Garde" w:hAnsi="ITC Avant Garde" w:cs="Arial"/>
          <w:color w:val="000000" w:themeColor="text1"/>
        </w:rPr>
        <w:t xml:space="preserve"> con base </w:t>
      </w:r>
      <w:r w:rsidR="00010BEF">
        <w:rPr>
          <w:rFonts w:ascii="ITC Avant Garde" w:hAnsi="ITC Avant Garde" w:cs="Arial"/>
          <w:color w:val="000000" w:themeColor="text1"/>
        </w:rPr>
        <w:t>dicha</w:t>
      </w:r>
      <w:r w:rsidRPr="005F287B">
        <w:rPr>
          <w:rFonts w:ascii="ITC Avant Garde" w:hAnsi="ITC Avant Garde" w:cs="Arial"/>
          <w:color w:val="000000" w:themeColor="text1"/>
        </w:rPr>
        <w:t xml:space="preserve"> separación contable. En ese sentido, no </w:t>
      </w:r>
      <w:r w:rsidR="00CD6D3F" w:rsidRPr="005F287B">
        <w:rPr>
          <w:rFonts w:ascii="ITC Avant Garde" w:hAnsi="ITC Avant Garde" w:cs="Arial"/>
          <w:color w:val="000000" w:themeColor="text1"/>
        </w:rPr>
        <w:t>resulta</w:t>
      </w:r>
      <w:r w:rsidRPr="005F287B">
        <w:rPr>
          <w:rFonts w:ascii="ITC Avant Garde" w:hAnsi="ITC Avant Garde" w:cs="Arial"/>
          <w:color w:val="000000" w:themeColor="text1"/>
        </w:rPr>
        <w:t xml:space="preserve"> </w:t>
      </w:r>
      <w:r w:rsidR="00CD6D3F" w:rsidRPr="005F287B">
        <w:rPr>
          <w:rFonts w:ascii="ITC Avant Garde" w:hAnsi="ITC Avant Garde" w:cs="Arial"/>
          <w:color w:val="000000" w:themeColor="text1"/>
        </w:rPr>
        <w:t>eficiente</w:t>
      </w:r>
      <w:r w:rsidR="00471253" w:rsidRPr="005F287B">
        <w:rPr>
          <w:rFonts w:ascii="ITC Avant Garde" w:hAnsi="ITC Avant Garde" w:cs="Arial"/>
          <w:color w:val="000000" w:themeColor="text1"/>
        </w:rPr>
        <w:t xml:space="preserve"> implementar</w:t>
      </w:r>
      <w:r w:rsidR="00C7495D" w:rsidRPr="005F287B">
        <w:rPr>
          <w:rFonts w:ascii="ITC Avant Garde" w:hAnsi="ITC Avant Garde" w:cs="Arial"/>
          <w:color w:val="000000" w:themeColor="text1"/>
        </w:rPr>
        <w:t xml:space="preserve"> </w:t>
      </w:r>
      <w:r w:rsidR="00067F04" w:rsidRPr="005F287B">
        <w:rPr>
          <w:rFonts w:ascii="ITC Avant Garde" w:hAnsi="ITC Avant Garde" w:cs="Arial"/>
          <w:color w:val="000000" w:themeColor="text1"/>
        </w:rPr>
        <w:t xml:space="preserve">la prueba </w:t>
      </w:r>
      <w:r w:rsidR="00CF1107" w:rsidRPr="005F287B">
        <w:rPr>
          <w:rFonts w:ascii="ITC Avant Garde" w:hAnsi="ITC Avant Garde" w:cs="Arial"/>
          <w:color w:val="000000" w:themeColor="text1"/>
        </w:rPr>
        <w:t>con</w:t>
      </w:r>
      <w:r w:rsidRPr="005F287B">
        <w:rPr>
          <w:rFonts w:ascii="ITC Avant Garde" w:hAnsi="ITC Avant Garde" w:cs="Arial"/>
          <w:color w:val="000000" w:themeColor="text1"/>
        </w:rPr>
        <w:t xml:space="preserve"> un mayor nivel de desagregación respecto a los costos aguas abajo.</w:t>
      </w:r>
    </w:p>
    <w:p w:rsidR="00F500BC" w:rsidRPr="005F287B" w:rsidRDefault="00F500BC" w:rsidP="0069622D">
      <w:pPr>
        <w:spacing w:after="0" w:line="240" w:lineRule="auto"/>
        <w:jc w:val="both"/>
        <w:rPr>
          <w:rFonts w:ascii="ITC Avant Garde" w:hAnsi="ITC Avant Garde" w:cs="Arial"/>
          <w:color w:val="000000" w:themeColor="text1"/>
        </w:rPr>
      </w:pPr>
    </w:p>
    <w:p w:rsidR="00FB2927" w:rsidRPr="005F287B" w:rsidRDefault="0075528E"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La</w:t>
      </w:r>
      <w:r w:rsidR="007871D0" w:rsidRPr="005F287B">
        <w:rPr>
          <w:rFonts w:ascii="ITC Avant Garde" w:hAnsi="ITC Avant Garde" w:cs="Arial"/>
          <w:color w:val="000000" w:themeColor="text1"/>
        </w:rPr>
        <w:t xml:space="preserve"> desagregación de los costos</w:t>
      </w:r>
      <w:r w:rsidRPr="005F287B">
        <w:rPr>
          <w:rFonts w:ascii="ITC Avant Garde" w:hAnsi="ITC Avant Garde" w:cs="Arial"/>
          <w:color w:val="000000" w:themeColor="text1"/>
        </w:rPr>
        <w:t xml:space="preserve"> propuesta por este Instituto</w:t>
      </w:r>
      <w:r w:rsidR="007871D0" w:rsidRPr="005F287B">
        <w:rPr>
          <w:rFonts w:ascii="ITC Avant Garde" w:hAnsi="ITC Avant Garde" w:cs="Arial"/>
          <w:color w:val="000000" w:themeColor="text1"/>
        </w:rPr>
        <w:t xml:space="preserve"> favorece la transparencia de la información y otorga certidumbre tanto para el AEP como para sus competidores. </w:t>
      </w:r>
    </w:p>
    <w:p w:rsidR="00F858FB" w:rsidRDefault="00F858FB" w:rsidP="0069622D">
      <w:pPr>
        <w:spacing w:after="0" w:line="240" w:lineRule="auto"/>
        <w:jc w:val="both"/>
        <w:rPr>
          <w:rFonts w:ascii="ITC Avant Garde" w:hAnsi="ITC Avant Garde" w:cs="Arial"/>
          <w:color w:val="000000" w:themeColor="text1"/>
        </w:rPr>
      </w:pPr>
    </w:p>
    <w:p w:rsidR="004E49AA" w:rsidRDefault="004E49AA" w:rsidP="0069622D">
      <w:pPr>
        <w:spacing w:after="0" w:line="240" w:lineRule="auto"/>
        <w:jc w:val="both"/>
        <w:rPr>
          <w:rFonts w:ascii="ITC Avant Garde" w:hAnsi="ITC Avant Garde" w:cs="Arial"/>
          <w:color w:val="000000" w:themeColor="text1"/>
        </w:rPr>
      </w:pPr>
    </w:p>
    <w:p w:rsidR="004E49AA" w:rsidRDefault="004E49AA" w:rsidP="0069622D">
      <w:pPr>
        <w:spacing w:after="0" w:line="240" w:lineRule="auto"/>
        <w:jc w:val="both"/>
        <w:rPr>
          <w:rFonts w:ascii="ITC Avant Garde" w:hAnsi="ITC Avant Garde" w:cs="Arial"/>
          <w:color w:val="000000" w:themeColor="text1"/>
        </w:rPr>
      </w:pPr>
    </w:p>
    <w:p w:rsidR="004E49AA" w:rsidRPr="005F287B" w:rsidRDefault="004E49AA" w:rsidP="0069622D">
      <w:pPr>
        <w:spacing w:after="0" w:line="240" w:lineRule="auto"/>
        <w:jc w:val="both"/>
        <w:rPr>
          <w:rFonts w:ascii="ITC Avant Garde" w:hAnsi="ITC Avant Garde" w:cs="Arial"/>
          <w:color w:val="000000" w:themeColor="text1"/>
        </w:rPr>
      </w:pPr>
    </w:p>
    <w:p w:rsidR="00F500BC" w:rsidRPr="005F287B" w:rsidRDefault="00F858FB" w:rsidP="004567D5">
      <w:pPr>
        <w:pStyle w:val="Ttulo2"/>
        <w:spacing w:before="0" w:line="240" w:lineRule="auto"/>
        <w:jc w:val="both"/>
        <w:rPr>
          <w:rFonts w:ascii="ITC Avant Garde" w:hAnsi="ITC Avant Garde"/>
          <w:b/>
          <w:color w:val="000000" w:themeColor="text1"/>
          <w:sz w:val="22"/>
          <w:szCs w:val="22"/>
        </w:rPr>
      </w:pPr>
      <w:r w:rsidRPr="005F287B">
        <w:rPr>
          <w:rFonts w:ascii="ITC Avant Garde" w:hAnsi="ITC Avant Garde"/>
          <w:b/>
          <w:color w:val="000000" w:themeColor="text1"/>
          <w:sz w:val="22"/>
          <w:szCs w:val="22"/>
        </w:rPr>
        <w:t>Tema: Supuestos de la prueba</w:t>
      </w:r>
    </w:p>
    <w:p w:rsidR="00EC114D" w:rsidRPr="005F287B" w:rsidRDefault="00EC114D" w:rsidP="00F500BC">
      <w:pPr>
        <w:spacing w:after="0" w:line="240" w:lineRule="auto"/>
        <w:jc w:val="both"/>
        <w:rPr>
          <w:rFonts w:ascii="ITC Avant Garde" w:hAnsi="ITC Avant Garde" w:cs="Arial"/>
          <w:color w:val="000000" w:themeColor="text1"/>
        </w:rPr>
      </w:pPr>
    </w:p>
    <w:p w:rsidR="00F858FB" w:rsidRPr="005F287B" w:rsidRDefault="00F858FB" w:rsidP="00F500BC">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Se sugiere utilizar parámetros distintos a los establecidos en el modelo que se presentó en la consulta pública. A </w:t>
      </w:r>
      <w:r w:rsidR="00F500BC" w:rsidRPr="005F287B">
        <w:rPr>
          <w:rFonts w:ascii="ITC Avant Garde" w:hAnsi="ITC Avant Garde" w:cs="Arial"/>
          <w:color w:val="000000" w:themeColor="text1"/>
        </w:rPr>
        <w:t>continuación,</w:t>
      </w:r>
      <w:r w:rsidRPr="005F287B">
        <w:rPr>
          <w:rFonts w:ascii="ITC Avant Garde" w:hAnsi="ITC Avant Garde" w:cs="Arial"/>
          <w:color w:val="000000" w:themeColor="text1"/>
        </w:rPr>
        <w:t xml:space="preserve"> se mencionan los argumentos presentados:</w:t>
      </w:r>
    </w:p>
    <w:p w:rsidR="00F500BC" w:rsidRPr="005F287B" w:rsidRDefault="00F500BC" w:rsidP="00F500BC">
      <w:pPr>
        <w:spacing w:after="0" w:line="240" w:lineRule="auto"/>
        <w:jc w:val="both"/>
        <w:rPr>
          <w:rFonts w:ascii="ITC Avant Garde" w:hAnsi="ITC Avant Garde" w:cs="Arial"/>
          <w:color w:val="000000" w:themeColor="text1"/>
        </w:rPr>
      </w:pPr>
    </w:p>
    <w:p w:rsidR="00F858FB" w:rsidRPr="005F287B" w:rsidRDefault="00F858FB" w:rsidP="0069622D">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Se considera fundamental que el Instituto emplee la vida útil de los concesionarios alternativos presentes en el mercado. Lo anterior permitirá reflejar de manera adecuada la distribución a lo largo del tiempo de los costos no recurrentes a los que deberá hacer frente el concesionario solicitante.</w:t>
      </w:r>
    </w:p>
    <w:p w:rsidR="00F500BC" w:rsidRPr="005F287B" w:rsidRDefault="00F500BC" w:rsidP="00F500BC">
      <w:pPr>
        <w:pStyle w:val="Prrafodelista"/>
        <w:spacing w:after="0" w:line="240" w:lineRule="auto"/>
        <w:contextualSpacing w:val="0"/>
        <w:jc w:val="both"/>
        <w:rPr>
          <w:rFonts w:ascii="ITC Avant Garde" w:hAnsi="ITC Avant Garde" w:cs="Arial"/>
          <w:color w:val="000000" w:themeColor="text1"/>
        </w:rPr>
      </w:pPr>
    </w:p>
    <w:p w:rsidR="00F500BC" w:rsidRDefault="00384BDD" w:rsidP="004E49AA">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En relación con la amortización de los pagos fijos en los que incurre el operador alternativo</w:t>
      </w:r>
      <w:r w:rsidR="0097651B" w:rsidRPr="005F287B">
        <w:rPr>
          <w:rFonts w:ascii="ITC Avant Garde" w:hAnsi="ITC Avant Garde" w:cs="Arial"/>
          <w:color w:val="000000" w:themeColor="text1"/>
        </w:rPr>
        <w:t>,</w:t>
      </w:r>
      <w:r w:rsidRPr="005F287B">
        <w:rPr>
          <w:rFonts w:ascii="ITC Avant Garde" w:hAnsi="ITC Avant Garde" w:cs="Arial"/>
          <w:color w:val="000000" w:themeColor="text1"/>
        </w:rPr>
        <w:t xml:space="preserve"> se debe de considerar un periodo de 12 meses para descontar los flujos de pagos en los que incurre el operador alternativo, ya que la mayoría de los clientes se encuentran bajo contratos de 12 meses.</w:t>
      </w:r>
    </w:p>
    <w:p w:rsidR="004E49AA" w:rsidRPr="004E49AA" w:rsidRDefault="004E49AA" w:rsidP="004E49AA">
      <w:pPr>
        <w:spacing w:after="0" w:line="240" w:lineRule="auto"/>
        <w:jc w:val="both"/>
        <w:rPr>
          <w:rFonts w:ascii="ITC Avant Garde" w:hAnsi="ITC Avant Garde" w:cs="Arial"/>
          <w:color w:val="000000" w:themeColor="text1"/>
        </w:rPr>
      </w:pPr>
    </w:p>
    <w:p w:rsidR="00F500BC" w:rsidRPr="005F287B" w:rsidRDefault="004567D5" w:rsidP="0069622D">
      <w:pPr>
        <w:spacing w:after="0" w:line="240" w:lineRule="auto"/>
        <w:jc w:val="both"/>
        <w:rPr>
          <w:rFonts w:ascii="ITC Avant Garde" w:hAnsi="ITC Avant Garde" w:cs="Arial"/>
          <w:b/>
          <w:color w:val="000000" w:themeColor="text1"/>
        </w:rPr>
      </w:pPr>
      <w:r w:rsidRPr="005F287B">
        <w:rPr>
          <w:rFonts w:ascii="ITC Avant Garde" w:hAnsi="ITC Avant Garde" w:cs="Arial"/>
          <w:b/>
          <w:color w:val="000000" w:themeColor="text1"/>
        </w:rPr>
        <w:t xml:space="preserve">Consideraciones del Instituto: </w:t>
      </w:r>
    </w:p>
    <w:p w:rsidR="00D6052D" w:rsidRPr="005F287B" w:rsidRDefault="00D6052D" w:rsidP="0069622D">
      <w:pPr>
        <w:spacing w:after="0" w:line="240" w:lineRule="auto"/>
        <w:jc w:val="both"/>
        <w:rPr>
          <w:rFonts w:ascii="ITC Avant Garde" w:hAnsi="ITC Avant Garde" w:cs="Arial"/>
          <w:color w:val="000000" w:themeColor="text1"/>
        </w:rPr>
      </w:pPr>
    </w:p>
    <w:p w:rsidR="0005500D" w:rsidRPr="005F287B" w:rsidRDefault="0005500D"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En relación con el diseño y validación de los supuestos de los modelos utilizados para realizar las pruebas de replicabilidad económica, el Instituto </w:t>
      </w:r>
      <w:r w:rsidR="00010BEF">
        <w:rPr>
          <w:rFonts w:ascii="ITC Avant Garde" w:hAnsi="ITC Avant Garde" w:cs="Arial"/>
          <w:color w:val="000000" w:themeColor="text1"/>
        </w:rPr>
        <w:t>determinará estos con base en información del AEP, información de la industria e información con la que el mismo Instituto cuente.</w:t>
      </w:r>
      <w:r w:rsidRPr="005F287B">
        <w:rPr>
          <w:rFonts w:ascii="ITC Avant Garde" w:hAnsi="ITC Avant Garde" w:cs="Arial"/>
          <w:color w:val="000000" w:themeColor="text1"/>
        </w:rPr>
        <w:t xml:space="preserve"> </w:t>
      </w:r>
      <w:r w:rsidR="00010BEF">
        <w:rPr>
          <w:rFonts w:ascii="ITC Avant Garde" w:hAnsi="ITC Avant Garde" w:cs="Arial"/>
          <w:color w:val="000000" w:themeColor="text1"/>
        </w:rPr>
        <w:t>Así mismo</w:t>
      </w:r>
      <w:r w:rsidRPr="005F287B">
        <w:rPr>
          <w:rFonts w:ascii="ITC Avant Garde" w:hAnsi="ITC Avant Garde" w:cs="Arial"/>
          <w:color w:val="000000" w:themeColor="text1"/>
        </w:rPr>
        <w:t xml:space="preserve">, a fin de asegurar que los elementos de las pruebas tanto ex-ante como ex-post sean lo más precisos y eficaces, </w:t>
      </w:r>
      <w:r w:rsidR="00AF2D5D" w:rsidRPr="005F287B">
        <w:rPr>
          <w:rFonts w:ascii="ITC Avant Garde" w:hAnsi="ITC Avant Garde" w:cs="Arial"/>
          <w:color w:val="000000" w:themeColor="text1"/>
        </w:rPr>
        <w:t>las pruebas</w:t>
      </w:r>
      <w:r w:rsidRPr="005F287B">
        <w:rPr>
          <w:rFonts w:ascii="ITC Avant Garde" w:hAnsi="ITC Avant Garde" w:cs="Arial"/>
          <w:color w:val="000000" w:themeColor="text1"/>
        </w:rPr>
        <w:t xml:space="preserve"> podrán actualizarse para adecuar los valores de los supuestos, así como las tarifas de los servicios mayoristas de las ofertas de referencia.</w:t>
      </w:r>
    </w:p>
    <w:p w:rsidR="00F500BC" w:rsidRPr="005F287B" w:rsidRDefault="00F500BC" w:rsidP="0069622D">
      <w:pPr>
        <w:spacing w:after="0" w:line="240" w:lineRule="auto"/>
        <w:jc w:val="both"/>
        <w:rPr>
          <w:rFonts w:ascii="ITC Avant Garde" w:hAnsi="ITC Avant Garde" w:cs="Arial"/>
          <w:color w:val="000000" w:themeColor="text1"/>
        </w:rPr>
      </w:pPr>
    </w:p>
    <w:p w:rsidR="0005500D" w:rsidRPr="005F287B" w:rsidRDefault="00010BEF" w:rsidP="0069622D">
      <w:pPr>
        <w:spacing w:after="0" w:line="240" w:lineRule="auto"/>
        <w:jc w:val="both"/>
        <w:rPr>
          <w:rFonts w:ascii="ITC Avant Garde" w:hAnsi="ITC Avant Garde" w:cs="Arial"/>
          <w:color w:val="000000" w:themeColor="text1"/>
        </w:rPr>
      </w:pPr>
      <w:r>
        <w:rPr>
          <w:rFonts w:ascii="ITC Avant Garde" w:hAnsi="ITC Avant Garde" w:cs="Arial"/>
          <w:color w:val="000000" w:themeColor="text1"/>
        </w:rPr>
        <w:t>Se</w:t>
      </w:r>
      <w:r w:rsidR="001F624B" w:rsidRPr="005F287B">
        <w:rPr>
          <w:rFonts w:ascii="ITC Avant Garde" w:hAnsi="ITC Avant Garde" w:cs="Arial"/>
          <w:color w:val="000000" w:themeColor="text1"/>
        </w:rPr>
        <w:t xml:space="preserve"> debe</w:t>
      </w:r>
      <w:r w:rsidR="0005500D" w:rsidRPr="005F287B">
        <w:rPr>
          <w:rFonts w:ascii="ITC Avant Garde" w:hAnsi="ITC Avant Garde" w:cs="Arial"/>
          <w:color w:val="000000" w:themeColor="text1"/>
        </w:rPr>
        <w:t xml:space="preserve"> destacar los siguientes puntos relacionados con las sugerencias propuestas en la consulta:</w:t>
      </w:r>
    </w:p>
    <w:p w:rsidR="00F500BC" w:rsidRPr="005F287B" w:rsidRDefault="00F500BC" w:rsidP="0069622D">
      <w:pPr>
        <w:spacing w:after="0" w:line="240" w:lineRule="auto"/>
        <w:jc w:val="both"/>
        <w:rPr>
          <w:rFonts w:ascii="ITC Avant Garde" w:hAnsi="ITC Avant Garde" w:cs="Arial"/>
          <w:color w:val="000000" w:themeColor="text1"/>
        </w:rPr>
      </w:pPr>
    </w:p>
    <w:p w:rsidR="0005500D" w:rsidRPr="005F287B" w:rsidRDefault="0005500D" w:rsidP="005134EB">
      <w:pPr>
        <w:pStyle w:val="Prrafodelista"/>
        <w:numPr>
          <w:ilvl w:val="0"/>
          <w:numId w:val="2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 xml:space="preserve">El periodo de amortización está considerado en función de la duración de los contratos entre el AEP y los OMV, en este sentido, para la construcción de este supuesto será necesario consultar al AEP y a los operadores que actualmente tienen firmado un convenio con éste, sobre los plazos firmados y definir un plazo adecuado. </w:t>
      </w:r>
    </w:p>
    <w:p w:rsidR="004565F9" w:rsidRPr="005F287B" w:rsidRDefault="004565F9" w:rsidP="005F287B">
      <w:pPr>
        <w:pStyle w:val="Prrafodelista"/>
        <w:spacing w:after="0" w:line="240" w:lineRule="auto"/>
        <w:contextualSpacing w:val="0"/>
        <w:jc w:val="both"/>
        <w:rPr>
          <w:rFonts w:ascii="ITC Avant Garde" w:hAnsi="ITC Avant Garde" w:cs="Arial"/>
          <w:color w:val="000000" w:themeColor="text1"/>
        </w:rPr>
      </w:pPr>
    </w:p>
    <w:p w:rsidR="0005500D" w:rsidRPr="005F287B" w:rsidRDefault="008A03E5" w:rsidP="005134EB">
      <w:pPr>
        <w:pStyle w:val="Prrafodelista"/>
        <w:numPr>
          <w:ilvl w:val="0"/>
          <w:numId w:val="2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Los usuarios por OMV es un parámetro de la prueba que resulta crucial para diseño de la misma. Para definir dicho parámetro, el Instituto evaluará el mercado y realizará las consultas de información con el AEP y los operadores que considere convenientes.</w:t>
      </w:r>
    </w:p>
    <w:p w:rsidR="008A03E5" w:rsidRDefault="008A03E5" w:rsidP="0069622D">
      <w:pPr>
        <w:pStyle w:val="Prrafodelista"/>
        <w:spacing w:after="0" w:line="240" w:lineRule="auto"/>
        <w:contextualSpacing w:val="0"/>
        <w:rPr>
          <w:rFonts w:ascii="ITC Avant Garde" w:hAnsi="ITC Avant Garde" w:cs="Arial"/>
          <w:color w:val="000000" w:themeColor="text1"/>
        </w:rPr>
      </w:pPr>
    </w:p>
    <w:p w:rsidR="004E49AA" w:rsidRDefault="004E49AA" w:rsidP="0069622D">
      <w:pPr>
        <w:pStyle w:val="Prrafodelista"/>
        <w:spacing w:after="0" w:line="240" w:lineRule="auto"/>
        <w:contextualSpacing w:val="0"/>
        <w:rPr>
          <w:rFonts w:ascii="ITC Avant Garde" w:hAnsi="ITC Avant Garde" w:cs="Arial"/>
          <w:color w:val="000000" w:themeColor="text1"/>
        </w:rPr>
      </w:pPr>
    </w:p>
    <w:p w:rsidR="004E49AA" w:rsidRDefault="004E49AA" w:rsidP="0069622D">
      <w:pPr>
        <w:pStyle w:val="Prrafodelista"/>
        <w:spacing w:after="0" w:line="240" w:lineRule="auto"/>
        <w:contextualSpacing w:val="0"/>
        <w:rPr>
          <w:rFonts w:ascii="ITC Avant Garde" w:hAnsi="ITC Avant Garde" w:cs="Arial"/>
          <w:color w:val="000000" w:themeColor="text1"/>
        </w:rPr>
      </w:pPr>
    </w:p>
    <w:p w:rsidR="004E49AA" w:rsidRDefault="004E49AA" w:rsidP="0069622D">
      <w:pPr>
        <w:pStyle w:val="Prrafodelista"/>
        <w:spacing w:after="0" w:line="240" w:lineRule="auto"/>
        <w:contextualSpacing w:val="0"/>
        <w:rPr>
          <w:rFonts w:ascii="ITC Avant Garde" w:hAnsi="ITC Avant Garde" w:cs="Arial"/>
          <w:color w:val="000000" w:themeColor="text1"/>
        </w:rPr>
      </w:pPr>
    </w:p>
    <w:p w:rsidR="004E49AA" w:rsidRPr="005F287B" w:rsidRDefault="004E49AA" w:rsidP="0069622D">
      <w:pPr>
        <w:pStyle w:val="Prrafodelista"/>
        <w:spacing w:after="0" w:line="240" w:lineRule="auto"/>
        <w:contextualSpacing w:val="0"/>
        <w:rPr>
          <w:rFonts w:ascii="ITC Avant Garde" w:hAnsi="ITC Avant Garde" w:cs="Arial"/>
          <w:color w:val="000000" w:themeColor="text1"/>
        </w:rPr>
      </w:pPr>
    </w:p>
    <w:p w:rsidR="0012485A" w:rsidRPr="005F287B" w:rsidRDefault="00233DF9" w:rsidP="0069622D">
      <w:pPr>
        <w:pStyle w:val="Ttulo1"/>
        <w:spacing w:before="0" w:line="240" w:lineRule="auto"/>
        <w:jc w:val="both"/>
        <w:rPr>
          <w:rFonts w:ascii="ITC Avant Garde" w:hAnsi="ITC Avant Garde" w:cs="Arial"/>
          <w:color w:val="2E74B5" w:themeColor="accent1" w:themeShade="BF"/>
          <w:sz w:val="22"/>
          <w:szCs w:val="22"/>
          <w:u w:val="single"/>
        </w:rPr>
      </w:pPr>
      <w:r w:rsidRPr="005F287B">
        <w:rPr>
          <w:rFonts w:ascii="ITC Avant Garde" w:hAnsi="ITC Avant Garde" w:cs="Arial"/>
          <w:color w:val="2E74B5" w:themeColor="accent1" w:themeShade="BF"/>
          <w:sz w:val="22"/>
          <w:szCs w:val="22"/>
          <w:u w:val="single"/>
        </w:rPr>
        <w:t>Sobre la Prueba aplicada a Servicios Minoristas de Banda Ancha y Banda Ancha Empaquetada con Telefonía Fija</w:t>
      </w:r>
    </w:p>
    <w:p w:rsidR="00233DF9" w:rsidRPr="005F287B" w:rsidRDefault="00233DF9" w:rsidP="0069622D">
      <w:pPr>
        <w:spacing w:after="0" w:line="240" w:lineRule="auto"/>
        <w:jc w:val="both"/>
        <w:rPr>
          <w:rFonts w:ascii="ITC Avant Garde" w:hAnsi="ITC Avant Garde"/>
          <w:color w:val="000000" w:themeColor="text1"/>
          <w:lang w:val="es-EC"/>
        </w:rPr>
      </w:pPr>
    </w:p>
    <w:p w:rsidR="005134EB" w:rsidRPr="005F287B" w:rsidRDefault="00213D1D" w:rsidP="004567D5">
      <w:pPr>
        <w:pStyle w:val="Ttulo2"/>
        <w:spacing w:before="0" w:line="240" w:lineRule="auto"/>
        <w:rPr>
          <w:rFonts w:ascii="ITC Avant Garde" w:hAnsi="ITC Avant Garde"/>
          <w:b/>
          <w:color w:val="000000" w:themeColor="text1"/>
          <w:sz w:val="22"/>
          <w:szCs w:val="22"/>
        </w:rPr>
      </w:pPr>
      <w:r w:rsidRPr="005F287B">
        <w:rPr>
          <w:rFonts w:ascii="ITC Avant Garde" w:hAnsi="ITC Avant Garde"/>
          <w:b/>
          <w:color w:val="000000" w:themeColor="text1"/>
          <w:sz w:val="22"/>
          <w:szCs w:val="22"/>
        </w:rPr>
        <w:t xml:space="preserve">Tema: </w:t>
      </w:r>
      <w:r w:rsidR="00D152CD" w:rsidRPr="005F287B">
        <w:rPr>
          <w:rFonts w:ascii="ITC Avant Garde" w:hAnsi="ITC Avant Garde"/>
          <w:b/>
          <w:color w:val="000000" w:themeColor="text1"/>
          <w:sz w:val="22"/>
          <w:szCs w:val="22"/>
        </w:rPr>
        <w:t xml:space="preserve">Momento </w:t>
      </w:r>
      <w:r w:rsidRPr="005F287B">
        <w:rPr>
          <w:rFonts w:ascii="ITC Avant Garde" w:hAnsi="ITC Avant Garde"/>
          <w:b/>
          <w:color w:val="000000" w:themeColor="text1"/>
          <w:sz w:val="22"/>
          <w:szCs w:val="22"/>
        </w:rPr>
        <w:t>de aplicación de la prueba</w:t>
      </w:r>
    </w:p>
    <w:p w:rsidR="004F16BB" w:rsidRPr="005F287B" w:rsidRDefault="004F16BB" w:rsidP="005134EB">
      <w:pPr>
        <w:spacing w:after="0" w:line="240" w:lineRule="auto"/>
        <w:jc w:val="both"/>
        <w:rPr>
          <w:rFonts w:ascii="ITC Avant Garde" w:hAnsi="ITC Avant Garde" w:cs="Arial"/>
          <w:color w:val="000000" w:themeColor="text1"/>
        </w:rPr>
      </w:pPr>
    </w:p>
    <w:p w:rsidR="00213D1D" w:rsidRPr="005F287B" w:rsidRDefault="00213D1D" w:rsidP="005134EB">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Se sugieren diferentes criterios relacionados a la periodicidad con la que debería realizarse la prueba. A </w:t>
      </w:r>
      <w:r w:rsidR="005134EB" w:rsidRPr="005F287B">
        <w:rPr>
          <w:rFonts w:ascii="ITC Avant Garde" w:hAnsi="ITC Avant Garde" w:cs="Arial"/>
          <w:color w:val="000000" w:themeColor="text1"/>
        </w:rPr>
        <w:t>continuación,</w:t>
      </w:r>
      <w:r w:rsidRPr="005F287B">
        <w:rPr>
          <w:rFonts w:ascii="ITC Avant Garde" w:hAnsi="ITC Avant Garde" w:cs="Arial"/>
          <w:color w:val="000000" w:themeColor="text1"/>
        </w:rPr>
        <w:t xml:space="preserve"> se mencionan los argumentos presentados para justificar dichas sugerencias:</w:t>
      </w:r>
    </w:p>
    <w:p w:rsidR="005134EB" w:rsidRPr="005F287B" w:rsidRDefault="005134EB" w:rsidP="005134EB">
      <w:pPr>
        <w:spacing w:after="0" w:line="240" w:lineRule="auto"/>
        <w:jc w:val="both"/>
        <w:rPr>
          <w:rFonts w:ascii="ITC Avant Garde" w:hAnsi="ITC Avant Garde" w:cs="Arial"/>
          <w:color w:val="000000" w:themeColor="text1"/>
        </w:rPr>
      </w:pPr>
    </w:p>
    <w:p w:rsidR="00213D1D" w:rsidRPr="005F287B" w:rsidRDefault="00213D1D" w:rsidP="0069622D">
      <w:pPr>
        <w:pStyle w:val="Prrafodelista"/>
        <w:numPr>
          <w:ilvl w:val="0"/>
          <w:numId w:val="12"/>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El análisis de oferta por oferta se debe llevar a cabo tanto ex ante como ex post e incluso esta medida debe preservarse hasta que el IHH</w:t>
      </w:r>
      <w:r w:rsidR="00395272" w:rsidRPr="005F287B">
        <w:rPr>
          <w:rStyle w:val="Refdenotaalpie"/>
          <w:rFonts w:ascii="ITC Avant Garde" w:hAnsi="ITC Avant Garde" w:cs="Arial"/>
          <w:color w:val="000000" w:themeColor="text1"/>
        </w:rPr>
        <w:footnoteReference w:id="7"/>
      </w:r>
      <w:r w:rsidRPr="005F287B">
        <w:rPr>
          <w:rFonts w:ascii="ITC Avant Garde" w:hAnsi="ITC Avant Garde" w:cs="Arial"/>
          <w:color w:val="000000" w:themeColor="text1"/>
        </w:rPr>
        <w:t xml:space="preserve"> sea menor a 2,500 puntos, esto con el propósito de asegurar que ya no exista una alta concentración de mercados.</w:t>
      </w:r>
    </w:p>
    <w:p w:rsidR="005134EB" w:rsidRPr="005F287B" w:rsidRDefault="005134EB" w:rsidP="005134EB">
      <w:pPr>
        <w:pStyle w:val="Prrafodelista"/>
        <w:spacing w:after="0" w:line="240" w:lineRule="auto"/>
        <w:contextualSpacing w:val="0"/>
        <w:jc w:val="both"/>
        <w:rPr>
          <w:rFonts w:ascii="ITC Avant Garde" w:hAnsi="ITC Avant Garde" w:cs="Arial"/>
          <w:color w:val="000000" w:themeColor="text1"/>
        </w:rPr>
      </w:pPr>
    </w:p>
    <w:p w:rsidR="00213D1D" w:rsidRPr="005F287B" w:rsidRDefault="00213D1D" w:rsidP="0069622D">
      <w:pPr>
        <w:pStyle w:val="Prrafodelista"/>
        <w:numPr>
          <w:ilvl w:val="0"/>
          <w:numId w:val="12"/>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La metodología ex ante afecta al dinamismo del mercado y podría implicar una menor diversidad de ofertas para los usuarios.</w:t>
      </w:r>
    </w:p>
    <w:p w:rsidR="005134EB" w:rsidRPr="005F287B" w:rsidRDefault="005134EB" w:rsidP="005134EB">
      <w:pPr>
        <w:pStyle w:val="Prrafodelista"/>
        <w:rPr>
          <w:rFonts w:ascii="ITC Avant Garde" w:hAnsi="ITC Avant Garde" w:cs="Arial"/>
          <w:color w:val="000000" w:themeColor="text1"/>
        </w:rPr>
      </w:pPr>
    </w:p>
    <w:p w:rsidR="00213D1D" w:rsidRPr="005F287B" w:rsidRDefault="00213D1D" w:rsidP="0069622D">
      <w:pPr>
        <w:pStyle w:val="Prrafodelista"/>
        <w:numPr>
          <w:ilvl w:val="0"/>
          <w:numId w:val="12"/>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Se recomienda realizar una prueba oferta por oferta o bien un esquema combinado donde se incluya un análisis ex ante oferta por oferta. El objetivo del análisis de replicabilidad debe ser ante todo promover la competencia en la prestación de servicios de telecomunicaciones y no darle flexibilidad o reducir la carga regulatoria al AEP.</w:t>
      </w:r>
    </w:p>
    <w:p w:rsidR="005134EB" w:rsidRPr="005F287B" w:rsidRDefault="005134EB" w:rsidP="005134EB">
      <w:pPr>
        <w:pStyle w:val="Prrafodelista"/>
        <w:rPr>
          <w:rFonts w:ascii="ITC Avant Garde" w:hAnsi="ITC Avant Garde" w:cs="Arial"/>
          <w:color w:val="000000" w:themeColor="text1"/>
        </w:rPr>
      </w:pPr>
    </w:p>
    <w:p w:rsidR="00213D1D" w:rsidRPr="005F287B" w:rsidRDefault="00213D1D" w:rsidP="0069622D">
      <w:pPr>
        <w:pStyle w:val="Prrafodelista"/>
        <w:numPr>
          <w:ilvl w:val="0"/>
          <w:numId w:val="12"/>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Respecto a la periodicidad de la prueba ex post, la prueba debería de requerirse de forma anual para ser consistente con otras regulaciones, en particular la separación contable.</w:t>
      </w:r>
    </w:p>
    <w:p w:rsidR="005260F3" w:rsidRDefault="005260F3" w:rsidP="0069622D">
      <w:pPr>
        <w:spacing w:after="0" w:line="240" w:lineRule="auto"/>
        <w:jc w:val="both"/>
        <w:rPr>
          <w:rFonts w:ascii="ITC Avant Garde" w:hAnsi="ITC Avant Garde" w:cs="Arial"/>
          <w:color w:val="000000" w:themeColor="text1"/>
        </w:rPr>
      </w:pPr>
    </w:p>
    <w:p w:rsidR="005134EB" w:rsidRPr="005F287B" w:rsidRDefault="004567D5" w:rsidP="0069622D">
      <w:pPr>
        <w:spacing w:after="0" w:line="240" w:lineRule="auto"/>
        <w:jc w:val="both"/>
        <w:rPr>
          <w:rFonts w:ascii="ITC Avant Garde" w:hAnsi="ITC Avant Garde" w:cs="Arial"/>
          <w:b/>
          <w:color w:val="000000" w:themeColor="text1"/>
        </w:rPr>
      </w:pPr>
      <w:r w:rsidRPr="005F287B">
        <w:rPr>
          <w:rFonts w:ascii="ITC Avant Garde" w:hAnsi="ITC Avant Garde" w:cs="Arial"/>
          <w:b/>
          <w:color w:val="000000" w:themeColor="text1"/>
        </w:rPr>
        <w:t xml:space="preserve">Consideraciones del Instituto: </w:t>
      </w:r>
    </w:p>
    <w:p w:rsidR="001C1052" w:rsidRPr="005F287B" w:rsidRDefault="001C1052" w:rsidP="0069622D">
      <w:pPr>
        <w:spacing w:after="0" w:line="240" w:lineRule="auto"/>
        <w:jc w:val="both"/>
        <w:rPr>
          <w:rFonts w:ascii="ITC Avant Garde" w:hAnsi="ITC Avant Garde"/>
          <w:color w:val="000000" w:themeColor="text1"/>
        </w:rPr>
      </w:pPr>
    </w:p>
    <w:p w:rsidR="00213D1D" w:rsidRPr="005F287B" w:rsidRDefault="00213D1D" w:rsidP="0069622D">
      <w:pPr>
        <w:spacing w:after="0" w:line="240" w:lineRule="auto"/>
        <w:jc w:val="both"/>
        <w:rPr>
          <w:rFonts w:ascii="ITC Avant Garde" w:hAnsi="ITC Avant Garde"/>
          <w:color w:val="000000" w:themeColor="text1"/>
        </w:rPr>
      </w:pPr>
      <w:r w:rsidRPr="005F287B">
        <w:rPr>
          <w:rFonts w:ascii="ITC Avant Garde" w:hAnsi="ITC Avant Garde"/>
          <w:color w:val="000000" w:themeColor="text1"/>
        </w:rPr>
        <w:t xml:space="preserve">El servicio de acceso a Internet fijo es un servicio en </w:t>
      </w:r>
      <w:r w:rsidR="005134EB" w:rsidRPr="005F287B">
        <w:rPr>
          <w:rFonts w:ascii="ITC Avant Garde" w:hAnsi="ITC Avant Garde"/>
          <w:color w:val="000000" w:themeColor="text1"/>
        </w:rPr>
        <w:t>crecimiento en</w:t>
      </w:r>
      <w:r w:rsidRPr="005F287B">
        <w:rPr>
          <w:rFonts w:ascii="ITC Avant Garde" w:hAnsi="ITC Avant Garde"/>
          <w:color w:val="000000" w:themeColor="text1"/>
        </w:rPr>
        <w:t xml:space="preserve"> el que hay cierta competencia en infraestructuras, aunque </w:t>
      </w:r>
      <w:r w:rsidR="00320237" w:rsidRPr="005F287B">
        <w:rPr>
          <w:rFonts w:ascii="ITC Avant Garde" w:hAnsi="ITC Avant Garde"/>
          <w:color w:val="000000" w:themeColor="text1"/>
        </w:rPr>
        <w:t xml:space="preserve">esta se concentra </w:t>
      </w:r>
      <w:r w:rsidRPr="005F287B">
        <w:rPr>
          <w:rFonts w:ascii="ITC Avant Garde" w:hAnsi="ITC Avant Garde"/>
          <w:color w:val="000000" w:themeColor="text1"/>
        </w:rPr>
        <w:t xml:space="preserve">en determinadas zonas geográficas, </w:t>
      </w:r>
      <w:r w:rsidR="00B106BB" w:rsidRPr="005F287B">
        <w:rPr>
          <w:rFonts w:ascii="ITC Avant Garde" w:hAnsi="ITC Avant Garde"/>
          <w:color w:val="000000" w:themeColor="text1"/>
        </w:rPr>
        <w:t>no obstante que</w:t>
      </w:r>
      <w:r w:rsidRPr="005F287B">
        <w:rPr>
          <w:rFonts w:ascii="ITC Avant Garde" w:hAnsi="ITC Avant Garde"/>
          <w:color w:val="000000" w:themeColor="text1"/>
        </w:rPr>
        <w:t xml:space="preserve"> la demanda de la oferta mayorista de servicios de banda ancha es </w:t>
      </w:r>
      <w:r w:rsidR="001623E2" w:rsidRPr="005F287B">
        <w:rPr>
          <w:rFonts w:ascii="ITC Avant Garde" w:hAnsi="ITC Avant Garde"/>
          <w:color w:val="000000" w:themeColor="text1"/>
        </w:rPr>
        <w:t xml:space="preserve">relativamente </w:t>
      </w:r>
      <w:r w:rsidR="00855257" w:rsidRPr="005F287B">
        <w:rPr>
          <w:rFonts w:ascii="ITC Avant Garde" w:hAnsi="ITC Avant Garde"/>
          <w:color w:val="000000" w:themeColor="text1"/>
        </w:rPr>
        <w:t>débil</w:t>
      </w:r>
      <w:r w:rsidRPr="005F287B">
        <w:rPr>
          <w:rFonts w:ascii="ITC Avant Garde" w:hAnsi="ITC Avant Garde"/>
          <w:color w:val="000000" w:themeColor="text1"/>
        </w:rPr>
        <w:t xml:space="preserve">. En este contexto, el objetivo de la prueba de replicabilidad en este segmento es incentivar el uso de los servicios mayoristas para la prestación de servicios minoristas de banda ancha fija y, por tanto, </w:t>
      </w:r>
      <w:r w:rsidR="00307CBF" w:rsidRPr="005F287B">
        <w:rPr>
          <w:rFonts w:ascii="ITC Avant Garde" w:hAnsi="ITC Avant Garde"/>
          <w:color w:val="000000" w:themeColor="text1"/>
        </w:rPr>
        <w:t xml:space="preserve">que </w:t>
      </w:r>
      <w:r w:rsidRPr="005F287B">
        <w:rPr>
          <w:rFonts w:ascii="ITC Avant Garde" w:hAnsi="ITC Avant Garde"/>
          <w:color w:val="000000" w:themeColor="text1"/>
        </w:rPr>
        <w:t>exista una competencia basada en el acceso a la infraestructura del AEP.</w:t>
      </w:r>
    </w:p>
    <w:p w:rsidR="005134EB" w:rsidRPr="005F287B" w:rsidRDefault="005134EB" w:rsidP="0069622D">
      <w:pPr>
        <w:spacing w:after="0" w:line="240" w:lineRule="auto"/>
        <w:jc w:val="both"/>
        <w:rPr>
          <w:rFonts w:ascii="ITC Avant Garde" w:hAnsi="ITC Avant Garde"/>
          <w:color w:val="000000" w:themeColor="text1"/>
        </w:rPr>
      </w:pPr>
    </w:p>
    <w:p w:rsidR="00213D1D" w:rsidRPr="005F287B" w:rsidRDefault="00213D1D" w:rsidP="0069622D">
      <w:pPr>
        <w:spacing w:after="0" w:line="240" w:lineRule="auto"/>
        <w:jc w:val="both"/>
        <w:rPr>
          <w:rFonts w:ascii="ITC Avant Garde" w:hAnsi="ITC Avant Garde"/>
          <w:color w:val="000000" w:themeColor="text1"/>
        </w:rPr>
      </w:pPr>
      <w:r w:rsidRPr="005F287B">
        <w:rPr>
          <w:rFonts w:ascii="ITC Avant Garde" w:hAnsi="ITC Avant Garde"/>
          <w:color w:val="000000" w:themeColor="text1"/>
        </w:rPr>
        <w:t xml:space="preserve">Es por esto que la prueba de replicabilidad combina una prueba ex ante con una prueba ex post. La prueba ex ante (oferta por oferta) busca asegurar que cada oferta comercial del AEP pueda ser replicada usando cualquiera de los servicios mayoristas de acceso al bucle de abonado. </w:t>
      </w:r>
      <w:r w:rsidR="00781B36" w:rsidRPr="005F287B">
        <w:rPr>
          <w:rFonts w:ascii="ITC Avant Garde" w:hAnsi="ITC Avant Garde"/>
          <w:color w:val="000000" w:themeColor="text1"/>
        </w:rPr>
        <w:t xml:space="preserve">Considerando </w:t>
      </w:r>
      <w:r w:rsidRPr="005F287B">
        <w:rPr>
          <w:rFonts w:ascii="ITC Avant Garde" w:hAnsi="ITC Avant Garde"/>
          <w:color w:val="000000" w:themeColor="text1"/>
        </w:rPr>
        <w:t>que la demanda de los servicios de acceso mayorista de banda ancha está en sus primeras fases de desarrollo, esta opción genera certidumbre a los nuevos operadores, al asegurar que las ofertas individuales del AEP se</w:t>
      </w:r>
      <w:r w:rsidR="00781B36" w:rsidRPr="005F287B">
        <w:rPr>
          <w:rFonts w:ascii="ITC Avant Garde" w:hAnsi="ITC Avant Garde"/>
          <w:color w:val="000000" w:themeColor="text1"/>
        </w:rPr>
        <w:t>an</w:t>
      </w:r>
      <w:r w:rsidRPr="005F287B">
        <w:rPr>
          <w:rFonts w:ascii="ITC Avant Garde" w:hAnsi="ITC Avant Garde"/>
          <w:color w:val="000000" w:themeColor="text1"/>
        </w:rPr>
        <w:t xml:space="preserve"> replicables cualquiera que sea e</w:t>
      </w:r>
      <w:r w:rsidR="005134EB" w:rsidRPr="005F287B">
        <w:rPr>
          <w:rFonts w:ascii="ITC Avant Garde" w:hAnsi="ITC Avant Garde"/>
          <w:color w:val="000000" w:themeColor="text1"/>
        </w:rPr>
        <w:t>l servicio mayorista demandado.</w:t>
      </w:r>
    </w:p>
    <w:p w:rsidR="005134EB" w:rsidRPr="005F287B" w:rsidRDefault="005134EB" w:rsidP="0069622D">
      <w:pPr>
        <w:spacing w:after="0" w:line="240" w:lineRule="auto"/>
        <w:jc w:val="both"/>
        <w:rPr>
          <w:rFonts w:ascii="ITC Avant Garde" w:hAnsi="ITC Avant Garde"/>
          <w:color w:val="000000" w:themeColor="text1"/>
        </w:rPr>
      </w:pPr>
    </w:p>
    <w:p w:rsidR="00213D1D" w:rsidRPr="005F287B" w:rsidRDefault="00213D1D" w:rsidP="0069622D">
      <w:pPr>
        <w:spacing w:after="0" w:line="240" w:lineRule="auto"/>
        <w:jc w:val="both"/>
        <w:rPr>
          <w:rFonts w:ascii="ITC Avant Garde" w:hAnsi="ITC Avant Garde"/>
          <w:color w:val="000000" w:themeColor="text1"/>
        </w:rPr>
      </w:pPr>
      <w:r w:rsidRPr="004E49AA">
        <w:rPr>
          <w:rFonts w:ascii="ITC Avant Garde" w:hAnsi="ITC Avant Garde"/>
          <w:color w:val="000000" w:themeColor="text1"/>
        </w:rPr>
        <w:t>La prueba ex-post se implementará cada seis meses.</w:t>
      </w:r>
      <w:r w:rsidR="00BF37A6" w:rsidRPr="004E49AA">
        <w:rPr>
          <w:rFonts w:ascii="ITC Avant Garde" w:hAnsi="ITC Avant Garde"/>
          <w:color w:val="000000" w:themeColor="text1"/>
        </w:rPr>
        <w:t xml:space="preserve"> </w:t>
      </w:r>
      <w:r w:rsidRPr="004E49AA">
        <w:rPr>
          <w:rFonts w:ascii="ITC Avant Garde" w:hAnsi="ITC Avant Garde"/>
          <w:color w:val="000000" w:themeColor="text1"/>
        </w:rPr>
        <w:t xml:space="preserve"> Aunque el servicio de banda ancha es más dinámico que el de telefonía fija y podría ameritar una prueba </w:t>
      </w:r>
      <w:r w:rsidR="00304FCE" w:rsidRPr="004E49AA">
        <w:rPr>
          <w:rFonts w:ascii="ITC Avant Garde" w:hAnsi="ITC Avant Garde"/>
          <w:color w:val="000000" w:themeColor="text1"/>
        </w:rPr>
        <w:t>con mayor frecuencia</w:t>
      </w:r>
      <w:r w:rsidRPr="004E49AA">
        <w:rPr>
          <w:rFonts w:ascii="ITC Avant Garde" w:hAnsi="ITC Avant Garde"/>
          <w:color w:val="000000" w:themeColor="text1"/>
        </w:rPr>
        <w:t xml:space="preserve"> el hecho de que exista un control ex-ante oferta</w:t>
      </w:r>
      <w:r w:rsidRPr="005F287B">
        <w:rPr>
          <w:rFonts w:ascii="ITC Avant Garde" w:hAnsi="ITC Avant Garde"/>
          <w:color w:val="000000" w:themeColor="text1"/>
        </w:rPr>
        <w:t xml:space="preserve"> por oferta permite reducir la frecuencia de la prueba a seis meses como en el caso de la telefonía fija.</w:t>
      </w:r>
    </w:p>
    <w:p w:rsidR="00BD41A6" w:rsidRPr="005F287B" w:rsidRDefault="00BD41A6" w:rsidP="0069622D">
      <w:pPr>
        <w:spacing w:after="0" w:line="240" w:lineRule="auto"/>
        <w:jc w:val="both"/>
        <w:rPr>
          <w:rFonts w:ascii="ITC Avant Garde" w:hAnsi="ITC Avant Garde"/>
          <w:color w:val="000000" w:themeColor="text1"/>
        </w:rPr>
      </w:pPr>
    </w:p>
    <w:p w:rsidR="00213D1D" w:rsidRPr="005F287B" w:rsidRDefault="00213D1D" w:rsidP="0069622D">
      <w:pPr>
        <w:spacing w:after="0" w:line="240" w:lineRule="auto"/>
        <w:jc w:val="both"/>
        <w:rPr>
          <w:rFonts w:ascii="ITC Avant Garde" w:hAnsi="ITC Avant Garde"/>
          <w:color w:val="000000" w:themeColor="text1"/>
        </w:rPr>
      </w:pPr>
      <w:r w:rsidRPr="005F287B">
        <w:rPr>
          <w:rFonts w:ascii="ITC Avant Garde" w:hAnsi="ITC Avant Garde"/>
          <w:color w:val="000000" w:themeColor="text1"/>
        </w:rPr>
        <w:t>Sin duda, un análisis oferta por oferta genera una importante carga regulatoria tanto para el AEP como para el Instituto. Sin embargo, el desarrollo de la competencia basada en el acceso mayorista es fundamental para la competencia en banda ancha. De ahí la conveniencia de realizar una prueba ex-ante.</w:t>
      </w:r>
    </w:p>
    <w:p w:rsidR="00213D1D" w:rsidRPr="005F287B" w:rsidRDefault="00213D1D" w:rsidP="0069622D">
      <w:pPr>
        <w:spacing w:after="0" w:line="240" w:lineRule="auto"/>
        <w:jc w:val="both"/>
        <w:rPr>
          <w:rFonts w:ascii="ITC Avant Garde" w:hAnsi="ITC Avant Garde"/>
          <w:color w:val="000000" w:themeColor="text1"/>
        </w:rPr>
      </w:pPr>
    </w:p>
    <w:p w:rsidR="005134EB" w:rsidRPr="005F287B" w:rsidRDefault="006C3338" w:rsidP="004567D5">
      <w:pPr>
        <w:pStyle w:val="Ttulo2"/>
        <w:spacing w:before="0" w:line="240" w:lineRule="auto"/>
        <w:jc w:val="both"/>
        <w:rPr>
          <w:rFonts w:ascii="ITC Avant Garde" w:hAnsi="ITC Avant Garde"/>
          <w:b/>
          <w:color w:val="000000" w:themeColor="text1"/>
          <w:sz w:val="22"/>
          <w:szCs w:val="22"/>
        </w:rPr>
      </w:pPr>
      <w:r w:rsidRPr="005F287B">
        <w:rPr>
          <w:rFonts w:ascii="ITC Avant Garde" w:hAnsi="ITC Avant Garde"/>
          <w:b/>
          <w:color w:val="000000" w:themeColor="text1"/>
          <w:sz w:val="22"/>
          <w:szCs w:val="22"/>
        </w:rPr>
        <w:t xml:space="preserve">Tema: </w:t>
      </w:r>
      <w:r w:rsidR="0055657D" w:rsidRPr="005F287B">
        <w:rPr>
          <w:rFonts w:ascii="ITC Avant Garde" w:hAnsi="ITC Avant Garde"/>
          <w:b/>
          <w:color w:val="000000" w:themeColor="text1"/>
          <w:sz w:val="22"/>
          <w:szCs w:val="22"/>
        </w:rPr>
        <w:t>S</w:t>
      </w:r>
      <w:r w:rsidRPr="005F287B">
        <w:rPr>
          <w:rFonts w:ascii="ITC Avant Garde" w:hAnsi="ITC Avant Garde"/>
          <w:b/>
          <w:color w:val="000000" w:themeColor="text1"/>
          <w:sz w:val="22"/>
          <w:szCs w:val="22"/>
        </w:rPr>
        <w:t xml:space="preserve">ervicios de acceso de </w:t>
      </w:r>
      <w:r w:rsidR="00EB1883" w:rsidRPr="005F287B">
        <w:rPr>
          <w:rFonts w:ascii="ITC Avant Garde" w:hAnsi="ITC Avant Garde"/>
          <w:b/>
          <w:color w:val="000000" w:themeColor="text1"/>
          <w:sz w:val="22"/>
          <w:szCs w:val="22"/>
        </w:rPr>
        <w:t>nueva</w:t>
      </w:r>
      <w:r w:rsidR="0055657D" w:rsidRPr="005F287B">
        <w:rPr>
          <w:rFonts w:ascii="ITC Avant Garde" w:hAnsi="ITC Avant Garde"/>
          <w:b/>
          <w:color w:val="000000" w:themeColor="text1"/>
          <w:sz w:val="22"/>
          <w:szCs w:val="22"/>
        </w:rPr>
        <w:t xml:space="preserve"> generación</w:t>
      </w:r>
      <w:r w:rsidR="00D152CD" w:rsidRPr="005F287B">
        <w:rPr>
          <w:rFonts w:ascii="ITC Avant Garde" w:hAnsi="ITC Avant Garde"/>
          <w:b/>
          <w:color w:val="000000" w:themeColor="text1"/>
          <w:sz w:val="22"/>
          <w:szCs w:val="22"/>
        </w:rPr>
        <w:t xml:space="preserve"> (NGA)</w:t>
      </w:r>
    </w:p>
    <w:p w:rsidR="001D2314" w:rsidRPr="005F287B" w:rsidRDefault="001D2314" w:rsidP="005134EB">
      <w:pPr>
        <w:spacing w:after="0" w:line="240" w:lineRule="auto"/>
        <w:jc w:val="both"/>
        <w:rPr>
          <w:rFonts w:ascii="ITC Avant Garde" w:hAnsi="ITC Avant Garde" w:cs="Arial"/>
          <w:color w:val="000000" w:themeColor="text1"/>
        </w:rPr>
      </w:pPr>
    </w:p>
    <w:p w:rsidR="00AD32E8" w:rsidRPr="005F287B" w:rsidRDefault="00AD32E8" w:rsidP="005134EB">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Se sugiere la inclusión de servicios considerados como NGA</w:t>
      </w:r>
      <w:r w:rsidR="00C9122F" w:rsidRPr="005F287B">
        <w:rPr>
          <w:rStyle w:val="Refdenotaalpie"/>
          <w:rFonts w:ascii="ITC Avant Garde" w:hAnsi="ITC Avant Garde" w:cs="Arial"/>
          <w:color w:val="000000" w:themeColor="text1"/>
        </w:rPr>
        <w:footnoteReference w:id="8"/>
      </w:r>
      <w:r w:rsidRPr="005F287B">
        <w:rPr>
          <w:rFonts w:ascii="ITC Avant Garde" w:hAnsi="ITC Avant Garde" w:cs="Arial"/>
          <w:color w:val="000000" w:themeColor="text1"/>
        </w:rPr>
        <w:t xml:space="preserve"> en la prueba. A </w:t>
      </w:r>
      <w:r w:rsidR="005134EB" w:rsidRPr="005F287B">
        <w:rPr>
          <w:rFonts w:ascii="ITC Avant Garde" w:hAnsi="ITC Avant Garde" w:cs="Arial"/>
          <w:color w:val="000000" w:themeColor="text1"/>
        </w:rPr>
        <w:t>continuación,</w:t>
      </w:r>
      <w:r w:rsidRPr="005F287B">
        <w:rPr>
          <w:rFonts w:ascii="ITC Avant Garde" w:hAnsi="ITC Avant Garde" w:cs="Arial"/>
          <w:color w:val="000000" w:themeColor="text1"/>
        </w:rPr>
        <w:t xml:space="preserve"> se mencionan los argumentos presentados para justificar dicha sugerencia:</w:t>
      </w:r>
    </w:p>
    <w:p w:rsidR="005134EB" w:rsidRPr="005F287B" w:rsidRDefault="005134EB" w:rsidP="005134EB">
      <w:pPr>
        <w:spacing w:after="0" w:line="240" w:lineRule="auto"/>
        <w:jc w:val="both"/>
        <w:rPr>
          <w:rFonts w:ascii="ITC Avant Garde" w:hAnsi="ITC Avant Garde" w:cs="Arial"/>
          <w:color w:val="000000" w:themeColor="text1"/>
        </w:rPr>
      </w:pPr>
    </w:p>
    <w:p w:rsidR="00AD32E8" w:rsidRPr="005F287B" w:rsidRDefault="00AD32E8" w:rsidP="0069622D">
      <w:pPr>
        <w:pStyle w:val="Prrafodelista"/>
        <w:numPr>
          <w:ilvl w:val="0"/>
          <w:numId w:val="10"/>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T</w:t>
      </w:r>
      <w:r w:rsidR="00180084" w:rsidRPr="005F287B">
        <w:rPr>
          <w:rFonts w:ascii="ITC Avant Garde" w:hAnsi="ITC Avant Garde" w:cs="Arial"/>
          <w:color w:val="000000" w:themeColor="text1"/>
        </w:rPr>
        <w:t>odas las ofertas NGA deberían ser incluidas en la prueba para asegurar que todas las ta</w:t>
      </w:r>
      <w:r w:rsidR="005134EB" w:rsidRPr="005F287B">
        <w:rPr>
          <w:rFonts w:ascii="ITC Avant Garde" w:hAnsi="ITC Avant Garde" w:cs="Arial"/>
          <w:color w:val="000000" w:themeColor="text1"/>
        </w:rPr>
        <w:t>rifas del AEP sean replicables.</w:t>
      </w:r>
    </w:p>
    <w:p w:rsidR="005134EB" w:rsidRPr="005F287B" w:rsidRDefault="005134EB" w:rsidP="005134EB">
      <w:pPr>
        <w:pStyle w:val="Prrafodelista"/>
        <w:spacing w:after="0" w:line="240" w:lineRule="auto"/>
        <w:contextualSpacing w:val="0"/>
        <w:jc w:val="both"/>
        <w:rPr>
          <w:rFonts w:ascii="ITC Avant Garde" w:hAnsi="ITC Avant Garde" w:cs="Arial"/>
          <w:color w:val="000000" w:themeColor="text1"/>
        </w:rPr>
      </w:pPr>
    </w:p>
    <w:p w:rsidR="00AD32E8" w:rsidRPr="005F287B" w:rsidRDefault="00AD32E8" w:rsidP="0069622D">
      <w:pPr>
        <w:pStyle w:val="Prrafodelista"/>
        <w:numPr>
          <w:ilvl w:val="0"/>
          <w:numId w:val="10"/>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L</w:t>
      </w:r>
      <w:r w:rsidR="00180084" w:rsidRPr="005F287B">
        <w:rPr>
          <w:rFonts w:ascii="ITC Avant Garde" w:hAnsi="ITC Avant Garde" w:cs="Arial"/>
          <w:color w:val="000000" w:themeColor="text1"/>
        </w:rPr>
        <w:t>a definición de servicios NGA, debe basarse en condiciones técnicas y no en la velocidad del servicio.</w:t>
      </w:r>
      <w:r w:rsidR="00AF2A84" w:rsidRPr="005F287B">
        <w:rPr>
          <w:rFonts w:ascii="ITC Avant Garde" w:hAnsi="ITC Avant Garde" w:cs="Arial"/>
          <w:color w:val="000000" w:themeColor="text1"/>
        </w:rPr>
        <w:t xml:space="preserve"> </w:t>
      </w:r>
      <w:r w:rsidR="006038B6" w:rsidRPr="005F287B">
        <w:rPr>
          <w:rFonts w:ascii="ITC Avant Garde" w:hAnsi="ITC Avant Garde" w:cs="Arial"/>
          <w:color w:val="000000" w:themeColor="text1"/>
        </w:rPr>
        <w:t>Por ejemplo, un usuario en una tecnología podría tener altas velocidades por una cuestión de distancia a la central sin estar siendo atendido por una red de NGA.</w:t>
      </w:r>
    </w:p>
    <w:p w:rsidR="005134EB" w:rsidRPr="005F287B" w:rsidRDefault="005134EB" w:rsidP="005134EB">
      <w:pPr>
        <w:pStyle w:val="Prrafodelista"/>
        <w:rPr>
          <w:rFonts w:ascii="ITC Avant Garde" w:hAnsi="ITC Avant Garde" w:cs="Arial"/>
          <w:color w:val="000000" w:themeColor="text1"/>
        </w:rPr>
      </w:pPr>
    </w:p>
    <w:p w:rsidR="006C3338" w:rsidRPr="005F287B" w:rsidRDefault="00AD32E8" w:rsidP="0069622D">
      <w:pPr>
        <w:pStyle w:val="Prrafodelista"/>
        <w:numPr>
          <w:ilvl w:val="0"/>
          <w:numId w:val="10"/>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R</w:t>
      </w:r>
      <w:r w:rsidR="00AF2A84" w:rsidRPr="005F287B">
        <w:rPr>
          <w:rFonts w:ascii="ITC Avant Garde" w:hAnsi="ITC Avant Garde" w:cs="Arial"/>
          <w:color w:val="000000" w:themeColor="text1"/>
        </w:rPr>
        <w:t>especto a la definición de ofertas como NGA, la velocidad de descarga no puede ser considerada un parámetro para definir un producto NGA por el nivel de disponibilidad existente. También</w:t>
      </w:r>
      <w:r w:rsidRPr="005F287B">
        <w:rPr>
          <w:rFonts w:ascii="ITC Avant Garde" w:hAnsi="ITC Avant Garde" w:cs="Arial"/>
          <w:color w:val="000000" w:themeColor="text1"/>
        </w:rPr>
        <w:t xml:space="preserve"> se considera</w:t>
      </w:r>
      <w:r w:rsidR="00AF2A84" w:rsidRPr="005F287B">
        <w:rPr>
          <w:rFonts w:ascii="ITC Avant Garde" w:hAnsi="ITC Avant Garde" w:cs="Arial"/>
          <w:color w:val="000000" w:themeColor="text1"/>
        </w:rPr>
        <w:t xml:space="preserve"> que la medida de 30 Mbps utilizada en Europa es caduca y no aplica al caso mexicano.</w:t>
      </w:r>
    </w:p>
    <w:p w:rsidR="005134EB" w:rsidRPr="005F287B" w:rsidRDefault="005134EB" w:rsidP="005134EB">
      <w:pPr>
        <w:pStyle w:val="Prrafodelista"/>
        <w:rPr>
          <w:rFonts w:ascii="ITC Avant Garde" w:hAnsi="ITC Avant Garde" w:cs="Arial"/>
          <w:color w:val="000000" w:themeColor="text1"/>
        </w:rPr>
      </w:pPr>
    </w:p>
    <w:p w:rsidR="00157025" w:rsidRPr="005F287B" w:rsidRDefault="00157025" w:rsidP="0069622D">
      <w:pPr>
        <w:pStyle w:val="Prrafodelista"/>
        <w:numPr>
          <w:ilvl w:val="0"/>
          <w:numId w:val="10"/>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Las ofertas minoristas de banda ancha NGA no deben ser excluidas de las pruebas de replicabilidad económica, pues constituiría una violación a lo dispuesto en el artículo 267 de la LFTyR, el cual establece que todas las tarifas del AEP deben ser replicables por los competidores sin distinción del tipo de tecnología</w:t>
      </w:r>
    </w:p>
    <w:p w:rsidR="005134EB" w:rsidRPr="005F287B" w:rsidRDefault="005134EB" w:rsidP="005134EB">
      <w:pPr>
        <w:pStyle w:val="Prrafodelista"/>
        <w:rPr>
          <w:rFonts w:ascii="ITC Avant Garde" w:hAnsi="ITC Avant Garde" w:cs="Arial"/>
          <w:color w:val="000000" w:themeColor="text1"/>
        </w:rPr>
      </w:pPr>
    </w:p>
    <w:p w:rsidR="00157025" w:rsidRPr="005F287B" w:rsidRDefault="00157025" w:rsidP="0069622D">
      <w:pPr>
        <w:pStyle w:val="Prrafodelista"/>
        <w:numPr>
          <w:ilvl w:val="0"/>
          <w:numId w:val="10"/>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Se deben incluir las ofertas NGA ya que se debe proteger dicho mercado incipiente y en crecimiento de comportamientos anticompetitivos o de condiciones de competencia desiguales que permitan al AEP apalancar su poder sustancial en mercados relacionados maduros para dominar también dicho mercado en crecimiento.</w:t>
      </w:r>
    </w:p>
    <w:p w:rsidR="005260F3" w:rsidRDefault="005260F3" w:rsidP="0069622D">
      <w:pPr>
        <w:spacing w:after="0" w:line="240" w:lineRule="auto"/>
        <w:jc w:val="both"/>
        <w:rPr>
          <w:rFonts w:ascii="ITC Avant Garde" w:hAnsi="ITC Avant Garde" w:cs="Arial"/>
          <w:color w:val="000000" w:themeColor="text1"/>
        </w:rPr>
      </w:pPr>
    </w:p>
    <w:p w:rsidR="004E49AA" w:rsidRDefault="004E49AA" w:rsidP="0069622D">
      <w:pPr>
        <w:spacing w:after="0" w:line="240" w:lineRule="auto"/>
        <w:jc w:val="both"/>
        <w:rPr>
          <w:rFonts w:ascii="ITC Avant Garde" w:hAnsi="ITC Avant Garde" w:cs="Arial"/>
          <w:color w:val="000000" w:themeColor="text1"/>
        </w:rPr>
      </w:pPr>
    </w:p>
    <w:p w:rsidR="005134EB" w:rsidRPr="005F287B" w:rsidRDefault="004567D5" w:rsidP="0069622D">
      <w:pPr>
        <w:spacing w:after="0" w:line="240" w:lineRule="auto"/>
        <w:jc w:val="both"/>
        <w:rPr>
          <w:rFonts w:ascii="ITC Avant Garde" w:hAnsi="ITC Avant Garde" w:cs="Arial"/>
          <w:b/>
          <w:color w:val="000000" w:themeColor="text1"/>
        </w:rPr>
      </w:pPr>
      <w:r w:rsidRPr="005F287B">
        <w:rPr>
          <w:rFonts w:ascii="ITC Avant Garde" w:hAnsi="ITC Avant Garde" w:cs="Arial"/>
          <w:b/>
          <w:color w:val="000000" w:themeColor="text1"/>
        </w:rPr>
        <w:t xml:space="preserve">Consideraciones del Instituto: </w:t>
      </w:r>
    </w:p>
    <w:p w:rsidR="003B5574" w:rsidRPr="005F287B" w:rsidRDefault="003B5574" w:rsidP="0069622D">
      <w:pPr>
        <w:spacing w:after="0" w:line="240" w:lineRule="auto"/>
        <w:jc w:val="both"/>
        <w:rPr>
          <w:rFonts w:ascii="ITC Avant Garde" w:hAnsi="ITC Avant Garde"/>
          <w:color w:val="000000" w:themeColor="text1"/>
        </w:rPr>
      </w:pPr>
    </w:p>
    <w:p w:rsidR="00233DF9" w:rsidRPr="005F287B" w:rsidRDefault="00C65068" w:rsidP="0069622D">
      <w:pPr>
        <w:spacing w:after="0" w:line="240" w:lineRule="auto"/>
        <w:jc w:val="both"/>
        <w:rPr>
          <w:rFonts w:ascii="ITC Avant Garde" w:hAnsi="ITC Avant Garde"/>
          <w:color w:val="000000" w:themeColor="text1"/>
        </w:rPr>
      </w:pPr>
      <w:r w:rsidRPr="005F287B">
        <w:rPr>
          <w:rFonts w:ascii="ITC Avant Garde" w:hAnsi="ITC Avant Garde"/>
          <w:color w:val="000000" w:themeColor="text1"/>
        </w:rPr>
        <w:t>Tomando en cuenta los comentarios provistos por los participantes y</w:t>
      </w:r>
      <w:r w:rsidR="00304FCE">
        <w:rPr>
          <w:rFonts w:ascii="ITC Avant Garde" w:hAnsi="ITC Avant Garde"/>
          <w:color w:val="000000" w:themeColor="text1"/>
        </w:rPr>
        <w:t>,</w:t>
      </w:r>
      <w:r w:rsidRPr="005F287B">
        <w:rPr>
          <w:rFonts w:ascii="ITC Avant Garde" w:hAnsi="ITC Avant Garde"/>
          <w:color w:val="000000" w:themeColor="text1"/>
        </w:rPr>
        <w:t xml:space="preserve"> c</w:t>
      </w:r>
      <w:r w:rsidR="00CB06AD" w:rsidRPr="005F287B">
        <w:rPr>
          <w:rFonts w:ascii="ITC Avant Garde" w:hAnsi="ITC Avant Garde"/>
          <w:color w:val="000000" w:themeColor="text1"/>
        </w:rPr>
        <w:t xml:space="preserve">on el propósito de ofrecer certidumbre a los nuevos operadores al asegurar que las ofertas individuales del AEP serán replicables con independencia de la tecnología o velocidad, </w:t>
      </w:r>
      <w:r w:rsidRPr="005F287B">
        <w:rPr>
          <w:rFonts w:ascii="ITC Avant Garde" w:hAnsi="ITC Avant Garde"/>
          <w:color w:val="000000" w:themeColor="text1"/>
        </w:rPr>
        <w:t>se consider</w:t>
      </w:r>
      <w:r w:rsidR="005134EB" w:rsidRPr="005F287B">
        <w:rPr>
          <w:rFonts w:ascii="ITC Avant Garde" w:hAnsi="ITC Avant Garde"/>
          <w:color w:val="000000" w:themeColor="text1"/>
        </w:rPr>
        <w:t>a oportuno incluir en la prueba</w:t>
      </w:r>
      <w:r w:rsidRPr="005F287B">
        <w:rPr>
          <w:rFonts w:ascii="ITC Avant Garde" w:hAnsi="ITC Avant Garde"/>
          <w:color w:val="000000" w:themeColor="text1"/>
        </w:rPr>
        <w:t xml:space="preserve"> todas las ofertas minoristas, con independencia de su banda ancha y de si puedan ser o no consideradas NGA.</w:t>
      </w:r>
      <w:r w:rsidR="00CB06AD" w:rsidRPr="005F287B">
        <w:rPr>
          <w:rFonts w:ascii="ITC Avant Garde" w:hAnsi="ITC Avant Garde"/>
          <w:color w:val="000000" w:themeColor="text1"/>
        </w:rPr>
        <w:t xml:space="preserve"> </w:t>
      </w:r>
    </w:p>
    <w:p w:rsidR="000C058F" w:rsidRPr="005F287B" w:rsidRDefault="000C058F" w:rsidP="0069622D">
      <w:pPr>
        <w:spacing w:after="0" w:line="240" w:lineRule="auto"/>
        <w:jc w:val="both"/>
        <w:rPr>
          <w:rFonts w:ascii="ITC Avant Garde" w:hAnsi="ITC Avant Garde"/>
          <w:color w:val="000000" w:themeColor="text1"/>
        </w:rPr>
      </w:pPr>
    </w:p>
    <w:p w:rsidR="005134EB" w:rsidRPr="005F287B" w:rsidRDefault="00180084" w:rsidP="004567D5">
      <w:pPr>
        <w:pStyle w:val="Ttulo2"/>
        <w:spacing w:before="0" w:line="240" w:lineRule="auto"/>
        <w:rPr>
          <w:rFonts w:ascii="ITC Avant Garde" w:hAnsi="ITC Avant Garde"/>
          <w:b/>
          <w:color w:val="000000" w:themeColor="text1"/>
          <w:sz w:val="22"/>
          <w:szCs w:val="22"/>
        </w:rPr>
      </w:pPr>
      <w:r w:rsidRPr="005F287B">
        <w:rPr>
          <w:rFonts w:ascii="ITC Avant Garde" w:hAnsi="ITC Avant Garde"/>
          <w:b/>
          <w:color w:val="000000" w:themeColor="text1"/>
          <w:sz w:val="22"/>
          <w:szCs w:val="22"/>
        </w:rPr>
        <w:t xml:space="preserve">Tema: </w:t>
      </w:r>
      <w:r w:rsidR="00AF2A84" w:rsidRPr="005F287B">
        <w:rPr>
          <w:rFonts w:ascii="ITC Avant Garde" w:hAnsi="ITC Avant Garde"/>
          <w:b/>
          <w:color w:val="000000" w:themeColor="text1"/>
          <w:sz w:val="22"/>
          <w:szCs w:val="22"/>
        </w:rPr>
        <w:t>Estándar de</w:t>
      </w:r>
      <w:r w:rsidR="0055657D" w:rsidRPr="005F287B">
        <w:rPr>
          <w:rFonts w:ascii="ITC Avant Garde" w:hAnsi="ITC Avant Garde"/>
          <w:b/>
          <w:color w:val="000000" w:themeColor="text1"/>
          <w:sz w:val="22"/>
          <w:szCs w:val="22"/>
        </w:rPr>
        <w:t xml:space="preserve"> costos</w:t>
      </w:r>
    </w:p>
    <w:p w:rsidR="0094071B" w:rsidRPr="005F287B" w:rsidRDefault="0094071B" w:rsidP="005134EB">
      <w:pPr>
        <w:spacing w:after="0" w:line="240" w:lineRule="auto"/>
        <w:jc w:val="both"/>
        <w:rPr>
          <w:rFonts w:ascii="ITC Avant Garde" w:hAnsi="ITC Avant Garde" w:cs="Arial"/>
          <w:color w:val="000000" w:themeColor="text1"/>
        </w:rPr>
      </w:pPr>
    </w:p>
    <w:p w:rsidR="005134EB" w:rsidRPr="005F287B" w:rsidRDefault="00AD32E8" w:rsidP="005134EB">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Se sugiere la implementación de un estándar LRIC+ o FAC. A </w:t>
      </w:r>
      <w:r w:rsidR="005134EB" w:rsidRPr="005F287B">
        <w:rPr>
          <w:rFonts w:ascii="ITC Avant Garde" w:hAnsi="ITC Avant Garde" w:cs="Arial"/>
          <w:color w:val="000000" w:themeColor="text1"/>
        </w:rPr>
        <w:t>continuación,</w:t>
      </w:r>
      <w:r w:rsidRPr="005F287B">
        <w:rPr>
          <w:rFonts w:ascii="ITC Avant Garde" w:hAnsi="ITC Avant Garde" w:cs="Arial"/>
          <w:color w:val="000000" w:themeColor="text1"/>
        </w:rPr>
        <w:t xml:space="preserve"> se mencionan los argumentos presentados para justificar dicha sugerencia:</w:t>
      </w:r>
    </w:p>
    <w:p w:rsidR="005134EB" w:rsidRPr="005F287B" w:rsidRDefault="005134EB" w:rsidP="005134EB">
      <w:pPr>
        <w:spacing w:after="0" w:line="240" w:lineRule="auto"/>
        <w:jc w:val="both"/>
        <w:rPr>
          <w:rFonts w:ascii="ITC Avant Garde" w:hAnsi="ITC Avant Garde" w:cs="Arial"/>
          <w:color w:val="000000" w:themeColor="text1"/>
        </w:rPr>
      </w:pPr>
    </w:p>
    <w:p w:rsidR="00AD32E8" w:rsidRPr="005F287B" w:rsidRDefault="00AD32E8" w:rsidP="0069622D">
      <w:pPr>
        <w:pStyle w:val="Prrafodelista"/>
        <w:numPr>
          <w:ilvl w:val="0"/>
          <w:numId w:val="11"/>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E</w:t>
      </w:r>
      <w:r w:rsidR="00AF2A84" w:rsidRPr="005F287B">
        <w:rPr>
          <w:rFonts w:ascii="ITC Avant Garde" w:hAnsi="ITC Avant Garde" w:cs="Arial"/>
          <w:color w:val="000000" w:themeColor="text1"/>
        </w:rPr>
        <w:t>l instituto no cuenta aún con los datos para la implementación de un estándar de costos LRIC, no obstante, si se utilizara esta metodología, se sugiere el uso de LRIC+ ya que se encuentra sustentado por varios reguladores en el m</w:t>
      </w:r>
      <w:r w:rsidR="005134EB" w:rsidRPr="005F287B">
        <w:rPr>
          <w:rFonts w:ascii="ITC Avant Garde" w:hAnsi="ITC Avant Garde" w:cs="Arial"/>
          <w:color w:val="000000" w:themeColor="text1"/>
        </w:rPr>
        <w:t>undo y por la Comisión Europea.</w:t>
      </w:r>
    </w:p>
    <w:p w:rsidR="005134EB" w:rsidRPr="005F287B" w:rsidRDefault="005134EB" w:rsidP="005134EB">
      <w:pPr>
        <w:pStyle w:val="Prrafodelista"/>
        <w:spacing w:after="0" w:line="240" w:lineRule="auto"/>
        <w:contextualSpacing w:val="0"/>
        <w:jc w:val="both"/>
        <w:rPr>
          <w:rFonts w:ascii="ITC Avant Garde" w:hAnsi="ITC Avant Garde" w:cs="Arial"/>
          <w:color w:val="000000" w:themeColor="text1"/>
        </w:rPr>
      </w:pPr>
    </w:p>
    <w:p w:rsidR="00AD32E8" w:rsidRPr="005F287B" w:rsidRDefault="00AD32E8" w:rsidP="0069622D">
      <w:pPr>
        <w:pStyle w:val="Prrafodelista"/>
        <w:numPr>
          <w:ilvl w:val="0"/>
          <w:numId w:val="11"/>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Se</w:t>
      </w:r>
      <w:r w:rsidR="00AF2A84" w:rsidRPr="005F287B">
        <w:rPr>
          <w:rFonts w:ascii="ITC Avant Garde" w:hAnsi="ITC Avant Garde" w:cs="Arial"/>
          <w:color w:val="000000" w:themeColor="text1"/>
        </w:rPr>
        <w:t xml:space="preserve"> considera conveniente utilizar un estándar de costos para las actividades aguas abajo correspondiente a FAC o en su defecto LRIC+, </w:t>
      </w:r>
      <w:r w:rsidR="005134EB" w:rsidRPr="005F287B">
        <w:rPr>
          <w:rFonts w:ascii="ITC Avant Garde" w:hAnsi="ITC Avant Garde" w:cs="Arial"/>
          <w:color w:val="000000" w:themeColor="text1"/>
        </w:rPr>
        <w:t>ya que,</w:t>
      </w:r>
      <w:r w:rsidR="00AF2A84" w:rsidRPr="005F287B">
        <w:rPr>
          <w:rFonts w:ascii="ITC Avant Garde" w:hAnsi="ITC Avant Garde" w:cs="Arial"/>
          <w:color w:val="000000" w:themeColor="text1"/>
        </w:rPr>
        <w:t xml:space="preserve"> de lo contrario, se pondría en condiciones de desventaja a operadores que sean nuevos entrantes al mercado en su totalidad o incluso que expandan su cobertura de </w:t>
      </w:r>
      <w:r w:rsidRPr="005F287B">
        <w:rPr>
          <w:rFonts w:ascii="ITC Avant Garde" w:hAnsi="ITC Avant Garde" w:cs="Arial"/>
          <w:color w:val="000000" w:themeColor="text1"/>
        </w:rPr>
        <w:t>servicios a nuevas localidades.</w:t>
      </w:r>
    </w:p>
    <w:p w:rsidR="005134EB" w:rsidRPr="005F287B" w:rsidRDefault="005134EB" w:rsidP="005134EB">
      <w:pPr>
        <w:pStyle w:val="Prrafodelista"/>
        <w:rPr>
          <w:rFonts w:ascii="ITC Avant Garde" w:hAnsi="ITC Avant Garde" w:cs="Arial"/>
          <w:color w:val="000000" w:themeColor="text1"/>
        </w:rPr>
      </w:pPr>
    </w:p>
    <w:p w:rsidR="00AD32E8" w:rsidRPr="005F287B" w:rsidRDefault="00AD32E8" w:rsidP="0069622D">
      <w:pPr>
        <w:pStyle w:val="Prrafodelista"/>
        <w:numPr>
          <w:ilvl w:val="0"/>
          <w:numId w:val="11"/>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L</w:t>
      </w:r>
      <w:r w:rsidR="00AF2A84" w:rsidRPr="005F287B">
        <w:rPr>
          <w:rFonts w:ascii="ITC Avant Garde" w:hAnsi="ITC Avant Garde" w:cs="Arial"/>
          <w:color w:val="000000" w:themeColor="text1"/>
        </w:rPr>
        <w:t>a utilización de LRIC+ sería consistente con la metodología de costos para los servicios mayoristas regulados del AEP</w:t>
      </w:r>
      <w:r w:rsidRPr="005F287B">
        <w:rPr>
          <w:rFonts w:ascii="ITC Avant Garde" w:hAnsi="ITC Avant Garde" w:cs="Arial"/>
          <w:color w:val="000000" w:themeColor="text1"/>
        </w:rPr>
        <w:t>.</w:t>
      </w:r>
    </w:p>
    <w:p w:rsidR="0040246C" w:rsidRPr="005F287B" w:rsidRDefault="0040246C" w:rsidP="005F287B">
      <w:pPr>
        <w:spacing w:after="0" w:line="240" w:lineRule="auto"/>
        <w:jc w:val="both"/>
        <w:rPr>
          <w:rFonts w:ascii="ITC Avant Garde" w:hAnsi="ITC Avant Garde" w:cs="Arial"/>
          <w:color w:val="000000" w:themeColor="text1"/>
        </w:rPr>
      </w:pPr>
    </w:p>
    <w:p w:rsidR="00AF2A84" w:rsidRPr="005F287B" w:rsidRDefault="00AF2A84" w:rsidP="0069622D">
      <w:pPr>
        <w:pStyle w:val="Prrafodelista"/>
        <w:numPr>
          <w:ilvl w:val="0"/>
          <w:numId w:val="11"/>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LRIC+ no resulta práctico pues contiene elemento</w:t>
      </w:r>
      <w:r w:rsidR="00467F46" w:rsidRPr="005F287B">
        <w:rPr>
          <w:rFonts w:ascii="ITC Avant Garde" w:hAnsi="ITC Avant Garde" w:cs="Arial"/>
          <w:color w:val="000000" w:themeColor="text1"/>
        </w:rPr>
        <w:t>s inflexibles</w:t>
      </w:r>
      <w:r w:rsidR="0097651B" w:rsidRPr="005F287B">
        <w:rPr>
          <w:rFonts w:ascii="ITC Avant Garde" w:hAnsi="ITC Avant Garde" w:cs="Arial"/>
          <w:color w:val="000000" w:themeColor="text1"/>
        </w:rPr>
        <w:t>. Se</w:t>
      </w:r>
      <w:r w:rsidR="00467F46" w:rsidRPr="005F287B">
        <w:rPr>
          <w:rFonts w:ascii="ITC Avant Garde" w:hAnsi="ITC Avant Garde" w:cs="Arial"/>
          <w:color w:val="000000" w:themeColor="text1"/>
        </w:rPr>
        <w:t xml:space="preserve"> propone</w:t>
      </w:r>
      <w:r w:rsidRPr="005F287B">
        <w:rPr>
          <w:rFonts w:ascii="ITC Avant Garde" w:hAnsi="ITC Avant Garde" w:cs="Arial"/>
          <w:color w:val="000000" w:themeColor="text1"/>
        </w:rPr>
        <w:t xml:space="preserve"> el uso de costos completamente distribuidos (FAC) para los costos aguas abajo.</w:t>
      </w:r>
    </w:p>
    <w:p w:rsidR="005260F3" w:rsidRDefault="005260F3" w:rsidP="0069622D">
      <w:pPr>
        <w:spacing w:after="0" w:line="240" w:lineRule="auto"/>
        <w:jc w:val="both"/>
        <w:rPr>
          <w:rFonts w:ascii="ITC Avant Garde" w:hAnsi="ITC Avant Garde" w:cs="Arial"/>
          <w:color w:val="000000" w:themeColor="text1"/>
        </w:rPr>
      </w:pPr>
    </w:p>
    <w:p w:rsidR="00180084" w:rsidRPr="005F287B" w:rsidRDefault="004567D5" w:rsidP="0069622D">
      <w:pPr>
        <w:spacing w:after="0" w:line="240" w:lineRule="auto"/>
        <w:jc w:val="both"/>
        <w:rPr>
          <w:rFonts w:ascii="ITC Avant Garde" w:hAnsi="ITC Avant Garde" w:cs="Arial"/>
          <w:b/>
          <w:color w:val="000000" w:themeColor="text1"/>
        </w:rPr>
      </w:pPr>
      <w:r w:rsidRPr="005F287B">
        <w:rPr>
          <w:rFonts w:ascii="ITC Avant Garde" w:hAnsi="ITC Avant Garde" w:cs="Arial"/>
          <w:b/>
          <w:color w:val="000000" w:themeColor="text1"/>
        </w:rPr>
        <w:t xml:space="preserve">Consideraciones del Instituto: </w:t>
      </w:r>
    </w:p>
    <w:p w:rsidR="00456BBC" w:rsidRPr="005F287B" w:rsidRDefault="00456BBC" w:rsidP="0069622D">
      <w:pPr>
        <w:spacing w:after="0" w:line="240" w:lineRule="auto"/>
        <w:jc w:val="both"/>
        <w:rPr>
          <w:rFonts w:ascii="ITC Avant Garde" w:hAnsi="ITC Avant Garde"/>
          <w:color w:val="000000" w:themeColor="text1"/>
        </w:rPr>
      </w:pPr>
    </w:p>
    <w:p w:rsidR="00C65068" w:rsidRPr="005F287B" w:rsidRDefault="00C65068" w:rsidP="0069622D">
      <w:pPr>
        <w:spacing w:after="0" w:line="240" w:lineRule="auto"/>
        <w:jc w:val="both"/>
        <w:rPr>
          <w:rFonts w:ascii="ITC Avant Garde" w:hAnsi="ITC Avant Garde"/>
          <w:color w:val="000000" w:themeColor="text1"/>
        </w:rPr>
      </w:pPr>
      <w:r w:rsidRPr="005F287B">
        <w:rPr>
          <w:rFonts w:ascii="ITC Avant Garde" w:hAnsi="ITC Avant Garde"/>
          <w:color w:val="000000" w:themeColor="text1"/>
        </w:rPr>
        <w:t xml:space="preserve">Respecto a que el Instituto no cuenta con los datos para la implementación de un estándar de costos LRIC, vale la pena </w:t>
      </w:r>
      <w:r w:rsidR="00304FCE">
        <w:rPr>
          <w:rFonts w:ascii="ITC Avant Garde" w:hAnsi="ITC Avant Garde"/>
          <w:color w:val="000000" w:themeColor="text1"/>
        </w:rPr>
        <w:t xml:space="preserve">señalar </w:t>
      </w:r>
      <w:r w:rsidRPr="005F287B">
        <w:rPr>
          <w:rFonts w:ascii="ITC Avant Garde" w:hAnsi="ITC Avant Garde"/>
          <w:color w:val="000000" w:themeColor="text1"/>
        </w:rPr>
        <w:t>que el AEP tendrá que presentar la información necesaria para llevar a cabo la prueba de replicabilidad.</w:t>
      </w:r>
    </w:p>
    <w:p w:rsidR="005134EB" w:rsidRPr="005F287B" w:rsidRDefault="005134EB" w:rsidP="0069622D">
      <w:pPr>
        <w:spacing w:after="0" w:line="240" w:lineRule="auto"/>
        <w:jc w:val="both"/>
        <w:rPr>
          <w:rFonts w:ascii="ITC Avant Garde" w:hAnsi="ITC Avant Garde"/>
          <w:color w:val="000000" w:themeColor="text1"/>
        </w:rPr>
      </w:pPr>
    </w:p>
    <w:p w:rsidR="008529AC" w:rsidRPr="005F287B" w:rsidRDefault="008529AC" w:rsidP="0069622D">
      <w:pPr>
        <w:spacing w:after="0" w:line="240" w:lineRule="auto"/>
        <w:jc w:val="both"/>
        <w:rPr>
          <w:rFonts w:ascii="ITC Avant Garde" w:hAnsi="ITC Avant Garde"/>
          <w:color w:val="000000" w:themeColor="text1"/>
        </w:rPr>
      </w:pPr>
      <w:r w:rsidRPr="005F287B">
        <w:rPr>
          <w:rFonts w:ascii="ITC Avant Garde" w:hAnsi="ITC Avant Garde"/>
          <w:color w:val="000000" w:themeColor="text1"/>
        </w:rPr>
        <w:t>Para que la prueba no restrinja de forma excesiva la flexibilidad comercial del AEP se considera oportuno emplear un estándar de costos tipo LRIC para analizar las ofertas individuales</w:t>
      </w:r>
      <w:r w:rsidR="00031A03" w:rsidRPr="005F287B">
        <w:rPr>
          <w:rFonts w:ascii="ITC Avant Garde" w:hAnsi="ITC Avant Garde"/>
          <w:color w:val="000000" w:themeColor="text1"/>
        </w:rPr>
        <w:t xml:space="preserve"> (ex ante)</w:t>
      </w:r>
      <w:r w:rsidRPr="005F287B">
        <w:rPr>
          <w:rFonts w:ascii="ITC Avant Garde" w:hAnsi="ITC Avant Garde"/>
          <w:color w:val="000000" w:themeColor="text1"/>
        </w:rPr>
        <w:t>. Esto permi</w:t>
      </w:r>
      <w:r w:rsidR="00071845" w:rsidRPr="005F287B">
        <w:rPr>
          <w:rFonts w:ascii="ITC Avant Garde" w:hAnsi="ITC Avant Garde"/>
          <w:color w:val="000000" w:themeColor="text1"/>
        </w:rPr>
        <w:t>te</w:t>
      </w:r>
      <w:r w:rsidRPr="005F287B">
        <w:rPr>
          <w:rFonts w:ascii="ITC Avant Garde" w:hAnsi="ITC Avant Garde"/>
          <w:color w:val="000000" w:themeColor="text1"/>
        </w:rPr>
        <w:t xml:space="preserve"> que el AEP elija cómo se recuperan los costos comunes entre las distintas ofertas.</w:t>
      </w:r>
    </w:p>
    <w:p w:rsidR="005134EB" w:rsidRPr="005F287B" w:rsidRDefault="005134EB" w:rsidP="0069622D">
      <w:pPr>
        <w:spacing w:after="0" w:line="240" w:lineRule="auto"/>
        <w:jc w:val="both"/>
        <w:rPr>
          <w:rFonts w:ascii="ITC Avant Garde" w:hAnsi="ITC Avant Garde"/>
          <w:color w:val="000000" w:themeColor="text1"/>
        </w:rPr>
      </w:pPr>
    </w:p>
    <w:p w:rsidR="000C058F" w:rsidRPr="005F287B" w:rsidRDefault="000C058F" w:rsidP="0069622D">
      <w:pPr>
        <w:spacing w:after="0" w:line="240" w:lineRule="auto"/>
        <w:jc w:val="both"/>
        <w:rPr>
          <w:rFonts w:ascii="ITC Avant Garde" w:hAnsi="ITC Avant Garde"/>
          <w:color w:val="000000" w:themeColor="text1"/>
        </w:rPr>
      </w:pPr>
      <w:r w:rsidRPr="004E49AA">
        <w:rPr>
          <w:rFonts w:ascii="ITC Avant Garde" w:hAnsi="ITC Avant Garde"/>
          <w:color w:val="000000" w:themeColor="text1"/>
        </w:rPr>
        <w:t>La prueba de replicabilidad combina una prueba ex-ante con una prueba ex-post. D</w:t>
      </w:r>
      <w:r w:rsidR="00B20F72" w:rsidRPr="004E49AA">
        <w:rPr>
          <w:rFonts w:ascii="ITC Avant Garde" w:hAnsi="ITC Avant Garde"/>
          <w:color w:val="000000" w:themeColor="text1"/>
        </w:rPr>
        <w:t>ebido a</w:t>
      </w:r>
      <w:r w:rsidRPr="004E49AA">
        <w:rPr>
          <w:rFonts w:ascii="ITC Avant Garde" w:hAnsi="ITC Avant Garde"/>
          <w:color w:val="000000" w:themeColor="text1"/>
        </w:rPr>
        <w:t xml:space="preserve"> que</w:t>
      </w:r>
      <w:r w:rsidRPr="005F287B">
        <w:rPr>
          <w:rFonts w:ascii="ITC Avant Garde" w:hAnsi="ITC Avant Garde"/>
          <w:color w:val="000000" w:themeColor="text1"/>
        </w:rPr>
        <w:t xml:space="preserve"> el </w:t>
      </w:r>
      <w:r w:rsidR="00B20F72" w:rsidRPr="005F287B">
        <w:rPr>
          <w:rFonts w:ascii="ITC Avant Garde" w:hAnsi="ITC Avant Garde"/>
          <w:color w:val="000000" w:themeColor="text1"/>
        </w:rPr>
        <w:t xml:space="preserve">uso </w:t>
      </w:r>
      <w:r w:rsidRPr="005F287B">
        <w:rPr>
          <w:rFonts w:ascii="ITC Avant Garde" w:hAnsi="ITC Avant Garde"/>
          <w:color w:val="000000" w:themeColor="text1"/>
        </w:rPr>
        <w:t>de un estándar LRIC para el análisis de las ofertas individuales no asegura la recuperación de los costos comunes en</w:t>
      </w:r>
      <w:r w:rsidR="00B20F72" w:rsidRPr="005F287B">
        <w:rPr>
          <w:rFonts w:ascii="ITC Avant Garde" w:hAnsi="ITC Avant Garde"/>
          <w:color w:val="000000" w:themeColor="text1"/>
        </w:rPr>
        <w:t>tre</w:t>
      </w:r>
      <w:r w:rsidRPr="005F287B">
        <w:rPr>
          <w:rFonts w:ascii="ITC Avant Garde" w:hAnsi="ITC Avant Garde"/>
          <w:color w:val="000000" w:themeColor="text1"/>
        </w:rPr>
        <w:t xml:space="preserve"> las distintas ofertas, </w:t>
      </w:r>
      <w:r w:rsidR="00C65068" w:rsidRPr="005F287B">
        <w:rPr>
          <w:rFonts w:ascii="ITC Avant Garde" w:hAnsi="ITC Avant Garde"/>
          <w:color w:val="000000" w:themeColor="text1"/>
        </w:rPr>
        <w:t>es más conveniente</w:t>
      </w:r>
      <w:r w:rsidR="005134EB" w:rsidRPr="005F287B">
        <w:rPr>
          <w:rFonts w:ascii="ITC Avant Garde" w:hAnsi="ITC Avant Garde"/>
          <w:color w:val="000000" w:themeColor="text1"/>
        </w:rPr>
        <w:t xml:space="preserve"> el uso del estándar LRIC+ </w:t>
      </w:r>
      <w:r w:rsidRPr="005F287B">
        <w:rPr>
          <w:rFonts w:ascii="ITC Avant Garde" w:hAnsi="ITC Avant Garde"/>
          <w:color w:val="000000" w:themeColor="text1"/>
        </w:rPr>
        <w:t xml:space="preserve">en la implementación de la prueba ex-post. La prueba ex-post </w:t>
      </w:r>
      <w:r w:rsidR="008056DB" w:rsidRPr="005F287B">
        <w:rPr>
          <w:rFonts w:ascii="ITC Avant Garde" w:hAnsi="ITC Avant Garde"/>
          <w:color w:val="000000" w:themeColor="text1"/>
        </w:rPr>
        <w:t>incluye</w:t>
      </w:r>
      <w:r w:rsidRPr="005F287B">
        <w:rPr>
          <w:rFonts w:ascii="ITC Avant Garde" w:hAnsi="ITC Avant Garde"/>
          <w:color w:val="000000" w:themeColor="text1"/>
        </w:rPr>
        <w:t xml:space="preserve"> todas las ofertas activas (tanto de banda ancha sol</w:t>
      </w:r>
      <w:r w:rsidR="00C65068" w:rsidRPr="005F287B">
        <w:rPr>
          <w:rFonts w:ascii="ITC Avant Garde" w:hAnsi="ITC Avant Garde"/>
          <w:color w:val="000000" w:themeColor="text1"/>
        </w:rPr>
        <w:t>a</w:t>
      </w:r>
      <w:r w:rsidRPr="005F287B">
        <w:rPr>
          <w:rFonts w:ascii="ITC Avant Garde" w:hAnsi="ITC Avant Garde"/>
          <w:color w:val="000000" w:themeColor="text1"/>
        </w:rPr>
        <w:t xml:space="preserve"> </w:t>
      </w:r>
      <w:r w:rsidR="00107494">
        <w:rPr>
          <w:rFonts w:ascii="ITC Avant Garde" w:hAnsi="ITC Avant Garde"/>
          <w:color w:val="000000" w:themeColor="text1"/>
        </w:rPr>
        <w:t>com</w:t>
      </w:r>
      <w:r w:rsidR="00242977" w:rsidRPr="005F287B">
        <w:rPr>
          <w:rFonts w:ascii="ITC Avant Garde" w:hAnsi="ITC Avant Garde"/>
          <w:color w:val="000000" w:themeColor="text1"/>
        </w:rPr>
        <w:t>o</w:t>
      </w:r>
      <w:r w:rsidRPr="005F287B">
        <w:rPr>
          <w:rFonts w:ascii="ITC Avant Garde" w:hAnsi="ITC Avant Garde"/>
          <w:color w:val="000000" w:themeColor="text1"/>
        </w:rPr>
        <w:t xml:space="preserve"> empaquetada) y</w:t>
      </w:r>
      <w:r w:rsidR="000F2EA0">
        <w:rPr>
          <w:rFonts w:ascii="ITC Avant Garde" w:hAnsi="ITC Avant Garde"/>
          <w:color w:val="000000" w:themeColor="text1"/>
        </w:rPr>
        <w:t xml:space="preserve"> al</w:t>
      </w:r>
      <w:r w:rsidRPr="005F287B">
        <w:rPr>
          <w:rFonts w:ascii="ITC Avant Garde" w:hAnsi="ITC Avant Garde"/>
          <w:color w:val="000000" w:themeColor="text1"/>
        </w:rPr>
        <w:t xml:space="preserve"> u</w:t>
      </w:r>
      <w:r w:rsidR="00033876" w:rsidRPr="005F287B">
        <w:rPr>
          <w:rFonts w:ascii="ITC Avant Garde" w:hAnsi="ITC Avant Garde"/>
          <w:color w:val="000000" w:themeColor="text1"/>
        </w:rPr>
        <w:t>tilizar</w:t>
      </w:r>
      <w:r w:rsidRPr="005F287B">
        <w:rPr>
          <w:rFonts w:ascii="ITC Avant Garde" w:hAnsi="ITC Avant Garde"/>
          <w:color w:val="000000" w:themeColor="text1"/>
        </w:rPr>
        <w:t xml:space="preserve"> el estándar LRIC+ </w:t>
      </w:r>
      <w:r w:rsidR="00033876" w:rsidRPr="005F287B">
        <w:rPr>
          <w:rFonts w:ascii="ITC Avant Garde" w:hAnsi="ITC Avant Garde"/>
          <w:color w:val="000000" w:themeColor="text1"/>
        </w:rPr>
        <w:t xml:space="preserve">se </w:t>
      </w:r>
      <w:r w:rsidRPr="005F287B">
        <w:rPr>
          <w:rFonts w:ascii="ITC Avant Garde" w:hAnsi="ITC Avant Garde"/>
          <w:color w:val="000000" w:themeColor="text1"/>
        </w:rPr>
        <w:t>asegura que el AEP est</w:t>
      </w:r>
      <w:r w:rsidR="00033876" w:rsidRPr="005F287B">
        <w:rPr>
          <w:rFonts w:ascii="ITC Avant Garde" w:hAnsi="ITC Avant Garde"/>
          <w:color w:val="000000" w:themeColor="text1"/>
        </w:rPr>
        <w:t>e</w:t>
      </w:r>
      <w:r w:rsidRPr="005F287B">
        <w:rPr>
          <w:rFonts w:ascii="ITC Avant Garde" w:hAnsi="ITC Avant Garde"/>
          <w:color w:val="000000" w:themeColor="text1"/>
        </w:rPr>
        <w:t xml:space="preserve"> recuperando todos los costos comunes.</w:t>
      </w:r>
    </w:p>
    <w:p w:rsidR="005134EB" w:rsidRPr="005F287B" w:rsidRDefault="005134EB" w:rsidP="0069622D">
      <w:pPr>
        <w:spacing w:after="0" w:line="240" w:lineRule="auto"/>
        <w:jc w:val="both"/>
        <w:rPr>
          <w:rFonts w:ascii="ITC Avant Garde" w:hAnsi="ITC Avant Garde"/>
          <w:color w:val="000000" w:themeColor="text1"/>
        </w:rPr>
      </w:pPr>
    </w:p>
    <w:p w:rsidR="000C058F" w:rsidRPr="005F287B" w:rsidRDefault="008529AC" w:rsidP="0069622D">
      <w:pPr>
        <w:spacing w:after="0" w:line="240" w:lineRule="auto"/>
        <w:jc w:val="both"/>
        <w:rPr>
          <w:rFonts w:ascii="ITC Avant Garde" w:hAnsi="ITC Avant Garde"/>
          <w:color w:val="000000" w:themeColor="text1"/>
        </w:rPr>
      </w:pPr>
      <w:r w:rsidRPr="005F287B">
        <w:rPr>
          <w:rFonts w:ascii="ITC Avant Garde" w:hAnsi="ITC Avant Garde"/>
          <w:color w:val="000000" w:themeColor="text1"/>
        </w:rPr>
        <w:t>L</w:t>
      </w:r>
      <w:r w:rsidR="000C058F" w:rsidRPr="005F287B">
        <w:rPr>
          <w:rFonts w:ascii="ITC Avant Garde" w:hAnsi="ITC Avant Garde"/>
          <w:color w:val="000000" w:themeColor="text1"/>
        </w:rPr>
        <w:t>a especificación de la prueba para los servicios empaquetados de banda ancha es también similar</w:t>
      </w:r>
      <w:r w:rsidRPr="005F287B">
        <w:rPr>
          <w:rFonts w:ascii="ITC Avant Garde" w:hAnsi="ITC Avant Garde"/>
          <w:color w:val="000000" w:themeColor="text1"/>
        </w:rPr>
        <w:t>, p</w:t>
      </w:r>
      <w:r w:rsidR="000C058F" w:rsidRPr="005F287B">
        <w:rPr>
          <w:rFonts w:ascii="ITC Avant Garde" w:hAnsi="ITC Avant Garde"/>
          <w:color w:val="000000" w:themeColor="text1"/>
        </w:rPr>
        <w:t>or lo</w:t>
      </w:r>
      <w:r w:rsidRPr="005F287B">
        <w:rPr>
          <w:rFonts w:ascii="ITC Avant Garde" w:hAnsi="ITC Avant Garde"/>
          <w:color w:val="000000" w:themeColor="text1"/>
        </w:rPr>
        <w:t xml:space="preserve"> que</w:t>
      </w:r>
      <w:r w:rsidR="000C058F" w:rsidRPr="005F287B">
        <w:rPr>
          <w:rFonts w:ascii="ITC Avant Garde" w:hAnsi="ITC Avant Garde"/>
          <w:color w:val="000000" w:themeColor="text1"/>
        </w:rPr>
        <w:t xml:space="preserve"> se </w:t>
      </w:r>
      <w:r w:rsidRPr="005F287B">
        <w:rPr>
          <w:rFonts w:ascii="ITC Avant Garde" w:hAnsi="ITC Avant Garde"/>
          <w:color w:val="000000" w:themeColor="text1"/>
        </w:rPr>
        <w:t>considera adecuado</w:t>
      </w:r>
      <w:r w:rsidR="000C058F" w:rsidRPr="005F287B">
        <w:rPr>
          <w:rFonts w:ascii="ITC Avant Garde" w:hAnsi="ITC Avant Garde"/>
          <w:color w:val="000000" w:themeColor="text1"/>
        </w:rPr>
        <w:t xml:space="preserve"> </w:t>
      </w:r>
      <w:r w:rsidRPr="005F287B">
        <w:rPr>
          <w:rFonts w:ascii="ITC Avant Garde" w:hAnsi="ITC Avant Garde"/>
          <w:color w:val="000000" w:themeColor="text1"/>
        </w:rPr>
        <w:t>hacer</w:t>
      </w:r>
      <w:r w:rsidR="000C058F" w:rsidRPr="005F287B">
        <w:rPr>
          <w:rFonts w:ascii="ITC Avant Garde" w:hAnsi="ITC Avant Garde"/>
          <w:color w:val="000000" w:themeColor="text1"/>
        </w:rPr>
        <w:t xml:space="preserve"> uso del estándar de costos tipo LRIC para el análisis a nivel de oferta y LRIC+ para la prueba ex-post aplicado a la cartera de productos.</w:t>
      </w:r>
    </w:p>
    <w:p w:rsidR="009B1CE8" w:rsidRPr="005F287B" w:rsidRDefault="009B1CE8" w:rsidP="0069622D">
      <w:pPr>
        <w:spacing w:after="0" w:line="240" w:lineRule="auto"/>
        <w:jc w:val="both"/>
        <w:rPr>
          <w:rFonts w:ascii="ITC Avant Garde" w:hAnsi="ITC Avant Garde"/>
          <w:color w:val="000000" w:themeColor="text1"/>
        </w:rPr>
      </w:pPr>
    </w:p>
    <w:p w:rsidR="005134EB" w:rsidRPr="005F287B" w:rsidRDefault="00BF1FC1" w:rsidP="004567D5">
      <w:pPr>
        <w:pStyle w:val="Ttulo2"/>
        <w:spacing w:before="0" w:line="240" w:lineRule="auto"/>
        <w:jc w:val="both"/>
        <w:rPr>
          <w:rFonts w:ascii="ITC Avant Garde" w:hAnsi="ITC Avant Garde"/>
          <w:b/>
          <w:color w:val="000000" w:themeColor="text1"/>
          <w:sz w:val="22"/>
          <w:szCs w:val="22"/>
        </w:rPr>
      </w:pPr>
      <w:r w:rsidRPr="005F287B">
        <w:rPr>
          <w:rFonts w:ascii="ITC Avant Garde" w:hAnsi="ITC Avant Garde"/>
          <w:b/>
          <w:color w:val="000000" w:themeColor="text1"/>
          <w:sz w:val="22"/>
          <w:szCs w:val="22"/>
        </w:rPr>
        <w:t>Tema: Nivel de eficiencia</w:t>
      </w:r>
    </w:p>
    <w:p w:rsidR="00591C76" w:rsidRPr="005F287B" w:rsidRDefault="00591C76" w:rsidP="005134EB">
      <w:pPr>
        <w:spacing w:after="0" w:line="240" w:lineRule="auto"/>
        <w:jc w:val="both"/>
        <w:rPr>
          <w:rFonts w:ascii="ITC Avant Garde" w:hAnsi="ITC Avant Garde" w:cs="Arial"/>
          <w:color w:val="000000" w:themeColor="text1"/>
        </w:rPr>
      </w:pPr>
    </w:p>
    <w:p w:rsidR="00BF1FC1" w:rsidRPr="005F287B" w:rsidRDefault="00BF1FC1" w:rsidP="005134EB">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Se sugiere un nivel de eficiencia distinto al elegido. A </w:t>
      </w:r>
      <w:r w:rsidR="005134EB" w:rsidRPr="005F287B">
        <w:rPr>
          <w:rFonts w:ascii="ITC Avant Garde" w:hAnsi="ITC Avant Garde" w:cs="Arial"/>
          <w:color w:val="000000" w:themeColor="text1"/>
        </w:rPr>
        <w:t>continuación,</w:t>
      </w:r>
      <w:r w:rsidRPr="005F287B">
        <w:rPr>
          <w:rFonts w:ascii="ITC Avant Garde" w:hAnsi="ITC Avant Garde" w:cs="Arial"/>
          <w:color w:val="000000" w:themeColor="text1"/>
        </w:rPr>
        <w:t xml:space="preserve"> se mencionan los argumentos presentados para justificar dicha sugerencia:</w:t>
      </w:r>
    </w:p>
    <w:p w:rsidR="00384045" w:rsidRPr="005F287B" w:rsidRDefault="00384045" w:rsidP="005134EB">
      <w:pPr>
        <w:spacing w:after="0" w:line="240" w:lineRule="auto"/>
        <w:jc w:val="both"/>
        <w:rPr>
          <w:rFonts w:ascii="ITC Avant Garde" w:hAnsi="ITC Avant Garde" w:cs="Arial"/>
          <w:color w:val="000000" w:themeColor="text1"/>
        </w:rPr>
      </w:pPr>
    </w:p>
    <w:p w:rsidR="00BF1FC1" w:rsidRPr="005F287B" w:rsidRDefault="00BF1FC1" w:rsidP="0069622D">
      <w:pPr>
        <w:pStyle w:val="Prrafodelista"/>
        <w:numPr>
          <w:ilvl w:val="0"/>
          <w:numId w:val="9"/>
        </w:numPr>
        <w:spacing w:after="0" w:line="240" w:lineRule="auto"/>
        <w:contextualSpacing w:val="0"/>
        <w:jc w:val="both"/>
        <w:rPr>
          <w:rFonts w:ascii="ITC Avant Garde" w:hAnsi="ITC Avant Garde"/>
          <w:color w:val="000000" w:themeColor="text1"/>
        </w:rPr>
      </w:pPr>
      <w:r w:rsidRPr="005F287B">
        <w:rPr>
          <w:rFonts w:ascii="ITC Avant Garde" w:hAnsi="ITC Avant Garde" w:cs="Arial"/>
          <w:color w:val="000000" w:themeColor="text1"/>
        </w:rPr>
        <w:t>El enfoque SEO parece un estándar de eficiencia insuficiente para replicar la escala. Se sugiere que se utilice para el cálculo de costos aguas abajo los costos de un REO. El estándar REO tomaría en consideración los costos reales de operadores entrantes y sería el más efectivo en promover el desarrollo de la desagregación. En su defecto, se sugiere utilizar EEO ajustado. REO y EEO ajustado han sido utilizados en diferentes países Dinamarca, Polonia, Reino Unido, etc.</w:t>
      </w:r>
    </w:p>
    <w:p w:rsidR="005134EB" w:rsidRPr="005F287B" w:rsidRDefault="005134EB" w:rsidP="005134EB">
      <w:pPr>
        <w:pStyle w:val="Prrafodelista"/>
        <w:spacing w:after="0" w:line="240" w:lineRule="auto"/>
        <w:contextualSpacing w:val="0"/>
        <w:jc w:val="both"/>
        <w:rPr>
          <w:rFonts w:ascii="ITC Avant Garde" w:hAnsi="ITC Avant Garde"/>
          <w:color w:val="000000" w:themeColor="text1"/>
        </w:rPr>
      </w:pPr>
    </w:p>
    <w:p w:rsidR="00BF1FC1" w:rsidRPr="005F287B" w:rsidRDefault="00BF1FC1" w:rsidP="0069622D">
      <w:pPr>
        <w:pStyle w:val="Prrafodelista"/>
        <w:numPr>
          <w:ilvl w:val="0"/>
          <w:numId w:val="9"/>
        </w:numPr>
        <w:spacing w:after="0" w:line="240" w:lineRule="auto"/>
        <w:contextualSpacing w:val="0"/>
        <w:jc w:val="both"/>
        <w:rPr>
          <w:rFonts w:ascii="ITC Avant Garde" w:hAnsi="ITC Avant Garde"/>
          <w:color w:val="000000" w:themeColor="text1"/>
        </w:rPr>
      </w:pPr>
      <w:r w:rsidRPr="005F287B">
        <w:rPr>
          <w:rFonts w:ascii="ITC Avant Garde" w:hAnsi="ITC Avant Garde" w:cs="Arial"/>
          <w:color w:val="000000" w:themeColor="text1"/>
        </w:rPr>
        <w:t>Se considera que con el objetivo de promover la competencia en los mercados correspondientes a los distintos servicios minoristas del AEP, se debe utilizar un nivel de eficiencia EEO ajustado por la escala o en su defecto SEO, ya que un esquema de replicabilidad con un nivel de eficiencia más estricto resultará más difícil generar condiciones equitativas de competencia entre el AEP y otros operadores.</w:t>
      </w:r>
    </w:p>
    <w:p w:rsidR="005134EB" w:rsidRPr="005F287B" w:rsidRDefault="005134EB" w:rsidP="005134EB">
      <w:pPr>
        <w:pStyle w:val="Prrafodelista"/>
        <w:rPr>
          <w:rFonts w:ascii="ITC Avant Garde" w:hAnsi="ITC Avant Garde"/>
          <w:color w:val="000000" w:themeColor="text1"/>
        </w:rPr>
      </w:pPr>
    </w:p>
    <w:p w:rsidR="00485455" w:rsidRPr="005F287B" w:rsidRDefault="00BF1FC1" w:rsidP="005F287B">
      <w:pPr>
        <w:pStyle w:val="Prrafodelista"/>
        <w:spacing w:after="0" w:line="240" w:lineRule="auto"/>
        <w:contextualSpacing w:val="0"/>
        <w:jc w:val="both"/>
        <w:rPr>
          <w:rFonts w:ascii="ITC Avant Garde" w:hAnsi="ITC Avant Garde"/>
          <w:color w:val="000000" w:themeColor="text1"/>
        </w:rPr>
      </w:pPr>
      <w:r w:rsidRPr="005F287B">
        <w:rPr>
          <w:rFonts w:ascii="ITC Avant Garde" w:hAnsi="ITC Avant Garde" w:cs="Arial"/>
          <w:color w:val="000000" w:themeColor="text1"/>
        </w:rPr>
        <w:t>Se debe reconocer que existen costos asimétricos, como obligaciones de cobertura, que solo asume el AEP.</w:t>
      </w:r>
    </w:p>
    <w:p w:rsidR="005260F3" w:rsidRDefault="005260F3" w:rsidP="0069622D">
      <w:pPr>
        <w:spacing w:after="0" w:line="240" w:lineRule="auto"/>
        <w:jc w:val="both"/>
        <w:rPr>
          <w:rFonts w:ascii="ITC Avant Garde" w:hAnsi="ITC Avant Garde"/>
          <w:color w:val="000000" w:themeColor="text1"/>
        </w:rPr>
      </w:pPr>
    </w:p>
    <w:p w:rsidR="005134EB" w:rsidRPr="005F287B" w:rsidRDefault="004567D5" w:rsidP="0069622D">
      <w:pPr>
        <w:spacing w:after="0" w:line="240" w:lineRule="auto"/>
        <w:jc w:val="both"/>
        <w:rPr>
          <w:rFonts w:ascii="ITC Avant Garde" w:hAnsi="ITC Avant Garde" w:cs="Arial"/>
          <w:b/>
          <w:color w:val="000000" w:themeColor="text1"/>
        </w:rPr>
      </w:pPr>
      <w:r w:rsidRPr="004E49AA">
        <w:rPr>
          <w:rFonts w:ascii="ITC Avant Garde" w:hAnsi="ITC Avant Garde" w:cs="Arial"/>
          <w:b/>
          <w:color w:val="000000" w:themeColor="text1"/>
        </w:rPr>
        <w:t>Consideraciones del Instituto:</w:t>
      </w:r>
      <w:r w:rsidRPr="005F287B">
        <w:rPr>
          <w:rFonts w:ascii="ITC Avant Garde" w:hAnsi="ITC Avant Garde" w:cs="Arial"/>
          <w:b/>
          <w:color w:val="000000" w:themeColor="text1"/>
        </w:rPr>
        <w:t xml:space="preserve"> </w:t>
      </w:r>
    </w:p>
    <w:p w:rsidR="00B63A7A" w:rsidRPr="005F287B" w:rsidRDefault="00B63A7A" w:rsidP="0069622D">
      <w:pPr>
        <w:spacing w:after="0" w:line="240" w:lineRule="auto"/>
        <w:jc w:val="both"/>
        <w:rPr>
          <w:rFonts w:ascii="ITC Avant Garde" w:hAnsi="ITC Avant Garde" w:cs="Arial"/>
          <w:color w:val="000000" w:themeColor="text1"/>
        </w:rPr>
      </w:pPr>
    </w:p>
    <w:p w:rsidR="00C24BEF" w:rsidRPr="005F287B" w:rsidRDefault="00C24BEF"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La demanda de los servicios mayoristas de banda ancha requiere cierta escala. Por ejemplo, el costo de coubicarse por central es fijo con independencia de las líneas que se desagreguen en la central, lo que significa que el costo por línea disminuye con el número de línea</w:t>
      </w:r>
      <w:r w:rsidR="005134EB" w:rsidRPr="005F287B">
        <w:rPr>
          <w:rFonts w:ascii="ITC Avant Garde" w:hAnsi="ITC Avant Garde" w:cs="Arial"/>
          <w:color w:val="000000" w:themeColor="text1"/>
        </w:rPr>
        <w:t>s desagregadas en esta central.</w:t>
      </w:r>
    </w:p>
    <w:p w:rsidR="005134EB" w:rsidRPr="005F287B" w:rsidRDefault="005134EB" w:rsidP="0069622D">
      <w:pPr>
        <w:spacing w:after="0" w:line="240" w:lineRule="auto"/>
        <w:jc w:val="both"/>
        <w:rPr>
          <w:rFonts w:ascii="ITC Avant Garde" w:hAnsi="ITC Avant Garde" w:cs="Arial"/>
          <w:color w:val="000000" w:themeColor="text1"/>
        </w:rPr>
      </w:pPr>
    </w:p>
    <w:p w:rsidR="00C24BEF" w:rsidRPr="005F287B" w:rsidRDefault="00C24BEF"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La siguiente figura muestra el costo unitario relativo al servicio de coubicación en función del número de suscriptores del operador. Inicialmente, un operador puede tener pocas líneas desagregadas con lo que el costo unitario puede ser muy elevado, no porque sea ineficiente</w:t>
      </w:r>
      <w:r w:rsidR="004E49AA">
        <w:rPr>
          <w:rFonts w:ascii="ITC Avant Garde" w:hAnsi="ITC Avant Garde" w:cs="Arial"/>
          <w:color w:val="000000" w:themeColor="text1"/>
        </w:rPr>
        <w:t>,</w:t>
      </w:r>
      <w:r w:rsidRPr="005F287B">
        <w:rPr>
          <w:rFonts w:ascii="ITC Avant Garde" w:hAnsi="ITC Avant Garde" w:cs="Arial"/>
          <w:color w:val="000000" w:themeColor="text1"/>
        </w:rPr>
        <w:t xml:space="preserve"> sino porque acaba de entrar en el mercado. Si para la prueba de replicabilidad se calculara el costo por línea según las líneas del AEP, se estaría</w:t>
      </w:r>
      <w:r w:rsidR="00275D1E" w:rsidRPr="005F287B">
        <w:rPr>
          <w:rFonts w:ascii="ITC Avant Garde" w:hAnsi="ITC Avant Garde" w:cs="Arial"/>
          <w:color w:val="000000" w:themeColor="text1"/>
        </w:rPr>
        <w:t xml:space="preserve"> asumiendo</w:t>
      </w:r>
      <w:r w:rsidRPr="005F287B">
        <w:rPr>
          <w:rFonts w:ascii="ITC Avant Garde" w:hAnsi="ITC Avant Garde" w:cs="Arial"/>
          <w:color w:val="000000" w:themeColor="text1"/>
        </w:rPr>
        <w:t xml:space="preserve"> que el solicitante de acceso mayorista es capaz de alcanzar una escala eficiente desde el primer momento. Es por </w:t>
      </w:r>
      <w:r w:rsidR="00EC03E2" w:rsidRPr="005F287B">
        <w:rPr>
          <w:rFonts w:ascii="ITC Avant Garde" w:hAnsi="ITC Avant Garde" w:cs="Arial"/>
          <w:color w:val="000000" w:themeColor="text1"/>
        </w:rPr>
        <w:t>ello</w:t>
      </w:r>
      <w:r w:rsidRPr="005F287B">
        <w:rPr>
          <w:rFonts w:ascii="ITC Avant Garde" w:hAnsi="ITC Avant Garde" w:cs="Arial"/>
          <w:color w:val="000000" w:themeColor="text1"/>
        </w:rPr>
        <w:t xml:space="preserve"> que se </w:t>
      </w:r>
      <w:r w:rsidR="008529AC" w:rsidRPr="005F287B">
        <w:rPr>
          <w:rFonts w:ascii="ITC Avant Garde" w:hAnsi="ITC Avant Garde" w:cs="Arial"/>
          <w:color w:val="000000" w:themeColor="text1"/>
        </w:rPr>
        <w:t xml:space="preserve">considera adecuado </w:t>
      </w:r>
      <w:r w:rsidRPr="005F287B">
        <w:rPr>
          <w:rFonts w:ascii="ITC Avant Garde" w:hAnsi="ITC Avant Garde" w:cs="Arial"/>
          <w:color w:val="000000" w:themeColor="text1"/>
        </w:rPr>
        <w:t>que los costos del AEP se</w:t>
      </w:r>
      <w:r w:rsidR="00EC03E2" w:rsidRPr="005F287B">
        <w:rPr>
          <w:rFonts w:ascii="ITC Avant Garde" w:hAnsi="ITC Avant Garde" w:cs="Arial"/>
          <w:color w:val="000000" w:themeColor="text1"/>
        </w:rPr>
        <w:t>an</w:t>
      </w:r>
      <w:r w:rsidRPr="005F287B">
        <w:rPr>
          <w:rFonts w:ascii="ITC Avant Garde" w:hAnsi="ITC Avant Garde" w:cs="Arial"/>
          <w:color w:val="000000" w:themeColor="text1"/>
        </w:rPr>
        <w:t xml:space="preserve"> ajust</w:t>
      </w:r>
      <w:r w:rsidR="00EC03E2" w:rsidRPr="005F287B">
        <w:rPr>
          <w:rFonts w:ascii="ITC Avant Garde" w:hAnsi="ITC Avant Garde" w:cs="Arial"/>
          <w:color w:val="000000" w:themeColor="text1"/>
        </w:rPr>
        <w:t>ados</w:t>
      </w:r>
      <w:r w:rsidRPr="005F287B">
        <w:rPr>
          <w:rFonts w:ascii="ITC Avant Garde" w:hAnsi="ITC Avant Garde" w:cs="Arial"/>
          <w:color w:val="000000" w:themeColor="text1"/>
        </w:rPr>
        <w:t xml:space="preserve"> para tener en cuenta una escala menor (estándar SEO) asociada al número de suscripto</w:t>
      </w:r>
      <w:r w:rsidR="005134EB" w:rsidRPr="005F287B">
        <w:rPr>
          <w:rFonts w:ascii="ITC Avant Garde" w:hAnsi="ITC Avant Garde" w:cs="Arial"/>
          <w:color w:val="000000" w:themeColor="text1"/>
        </w:rPr>
        <w:t>res de un operador alternativo.</w:t>
      </w:r>
    </w:p>
    <w:p w:rsidR="005134EB" w:rsidRPr="005F287B" w:rsidRDefault="005134EB" w:rsidP="0069622D">
      <w:pPr>
        <w:spacing w:after="0" w:line="240" w:lineRule="auto"/>
        <w:jc w:val="both"/>
        <w:rPr>
          <w:rFonts w:ascii="ITC Avant Garde" w:hAnsi="ITC Avant Garde" w:cs="Arial"/>
          <w:color w:val="000000" w:themeColor="text1"/>
        </w:rPr>
      </w:pPr>
    </w:p>
    <w:p w:rsidR="00C24BEF" w:rsidRPr="005F287B" w:rsidRDefault="00C24BEF"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El ajuste por escala se aplica tanto a la estimación de los costos asociados al uso de los servicios mayoristas como a la consideración de los costos aguas abajo a los que se enfrentan los demandantes de los servicios de acceso.</w:t>
      </w:r>
    </w:p>
    <w:p w:rsidR="004904EF" w:rsidRPr="005F287B" w:rsidRDefault="004904EF" w:rsidP="0069622D">
      <w:pPr>
        <w:spacing w:after="0" w:line="240" w:lineRule="auto"/>
        <w:jc w:val="both"/>
        <w:rPr>
          <w:rFonts w:ascii="ITC Avant Garde" w:hAnsi="ITC Avant Garde" w:cs="Arial"/>
          <w:color w:val="000000" w:themeColor="text1"/>
        </w:rPr>
      </w:pPr>
    </w:p>
    <w:tbl>
      <w:tblPr>
        <w:tblW w:w="8131" w:type="dxa"/>
        <w:tblCellMar>
          <w:left w:w="0" w:type="dxa"/>
          <w:right w:w="0" w:type="dxa"/>
        </w:tblCellMar>
        <w:tblLook w:val="04A0" w:firstRow="1" w:lastRow="0" w:firstColumn="1" w:lastColumn="0" w:noHBand="0" w:noVBand="1"/>
      </w:tblPr>
      <w:tblGrid>
        <w:gridCol w:w="8386"/>
      </w:tblGrid>
      <w:tr w:rsidR="00276405" w:rsidRPr="009C5751" w:rsidTr="007277C4">
        <w:trPr>
          <w:trHeight w:val="313"/>
        </w:trPr>
        <w:tc>
          <w:tcPr>
            <w:tcW w:w="0" w:type="auto"/>
            <w:noWrap/>
          </w:tcPr>
          <w:p w:rsidR="00C24BEF" w:rsidRPr="005F287B" w:rsidRDefault="00C24BEF" w:rsidP="0069622D">
            <w:pPr>
              <w:pStyle w:val="Descripcin"/>
              <w:spacing w:before="0" w:after="0"/>
              <w:jc w:val="center"/>
              <w:rPr>
                <w:rFonts w:ascii="ITC Avant Garde" w:hAnsi="ITC Avant Garde"/>
              </w:rPr>
            </w:pPr>
            <w:r w:rsidRPr="005F287B">
              <w:rPr>
                <w:rFonts w:ascii="ITC Avant Garde" w:hAnsi="ITC Avant Garde"/>
              </w:rPr>
              <w:t>Costo mayorista por usuario no recurrente relativo al servicio de coubicación.</w:t>
            </w:r>
            <w:r w:rsidRPr="005F287B">
              <w:rPr>
                <w:rStyle w:val="Refdenotaalpie"/>
                <w:rFonts w:ascii="ITC Avant Garde" w:hAnsi="ITC Avant Garde"/>
              </w:rPr>
              <w:footnoteReference w:id="9"/>
            </w:r>
          </w:p>
        </w:tc>
      </w:tr>
      <w:tr w:rsidR="00276405" w:rsidRPr="009C5751" w:rsidTr="007277C4">
        <w:trPr>
          <w:trHeight w:val="3527"/>
        </w:trPr>
        <w:tc>
          <w:tcPr>
            <w:tcW w:w="0" w:type="auto"/>
            <w:noWrap/>
          </w:tcPr>
          <w:p w:rsidR="00C24BEF" w:rsidRPr="005F287B" w:rsidRDefault="00C24BEF" w:rsidP="0069622D">
            <w:pPr>
              <w:pStyle w:val="GraphicLeft"/>
              <w:keepNext/>
              <w:jc w:val="center"/>
              <w:rPr>
                <w:rFonts w:ascii="ITC Avant Garde" w:hAnsi="ITC Avant Garde"/>
                <w:sz w:val="22"/>
              </w:rPr>
            </w:pPr>
            <w:r w:rsidRPr="005F287B">
              <w:rPr>
                <w:rFonts w:ascii="ITC Avant Garde" w:hAnsi="ITC Avant Garde"/>
                <w:noProof/>
                <w:sz w:val="22"/>
                <w:lang w:val="es-MX" w:eastAsia="es-MX"/>
              </w:rPr>
              <w:drawing>
                <wp:inline distT="0" distB="0" distL="0" distR="0" wp14:anchorId="7A913DEE" wp14:editId="3101CB33">
                  <wp:extent cx="5185741" cy="2193438"/>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9046" cy="2232904"/>
                          </a:xfrm>
                          <a:prstGeom prst="rect">
                            <a:avLst/>
                          </a:prstGeom>
                          <a:noFill/>
                        </pic:spPr>
                      </pic:pic>
                    </a:graphicData>
                  </a:graphic>
                </wp:inline>
              </w:drawing>
            </w:r>
          </w:p>
        </w:tc>
      </w:tr>
      <w:tr w:rsidR="00276405" w:rsidRPr="009C5751" w:rsidTr="007277C4">
        <w:trPr>
          <w:trHeight w:val="368"/>
        </w:trPr>
        <w:tc>
          <w:tcPr>
            <w:tcW w:w="0" w:type="auto"/>
            <w:noWrap/>
          </w:tcPr>
          <w:p w:rsidR="00C24BEF" w:rsidRPr="005F287B" w:rsidRDefault="00C24BEF" w:rsidP="0069622D">
            <w:pPr>
              <w:pStyle w:val="Source"/>
              <w:spacing w:before="0" w:after="0"/>
              <w:ind w:left="0" w:firstLine="0"/>
              <w:rPr>
                <w:rFonts w:ascii="ITC Avant Garde" w:hAnsi="ITC Avant Garde"/>
                <w:sz w:val="22"/>
              </w:rPr>
            </w:pPr>
            <w:r w:rsidRPr="005F287B">
              <w:rPr>
                <w:rFonts w:ascii="ITC Avant Garde" w:hAnsi="ITC Avant Garde"/>
                <w:sz w:val="22"/>
              </w:rPr>
              <w:t>Fuente:</w:t>
            </w:r>
            <w:r w:rsidRPr="005F287B">
              <w:rPr>
                <w:rFonts w:ascii="ITC Avant Garde" w:hAnsi="ITC Avant Garde"/>
                <w:sz w:val="22"/>
              </w:rPr>
              <w:tab/>
              <w:t xml:space="preserve">Frontier Economics. </w:t>
            </w:r>
          </w:p>
        </w:tc>
      </w:tr>
    </w:tbl>
    <w:p w:rsidR="00BF1FC1" w:rsidRPr="005F287B" w:rsidRDefault="00BA7D9D" w:rsidP="0069622D">
      <w:pPr>
        <w:spacing w:after="0" w:line="240" w:lineRule="auto"/>
        <w:jc w:val="both"/>
        <w:rPr>
          <w:rFonts w:ascii="ITC Avant Garde" w:hAnsi="ITC Avant Garde"/>
          <w:color w:val="000000" w:themeColor="text1"/>
        </w:rPr>
      </w:pPr>
      <w:r w:rsidRPr="005F287B">
        <w:rPr>
          <w:rFonts w:ascii="ITC Avant Garde" w:hAnsi="ITC Avant Garde" w:cs="Arial"/>
          <w:color w:val="000000" w:themeColor="text1"/>
        </w:rPr>
        <w:t>Persiguiendo</w:t>
      </w:r>
      <w:r w:rsidR="00C24BEF" w:rsidRPr="005F287B">
        <w:rPr>
          <w:rFonts w:ascii="ITC Avant Garde" w:hAnsi="ITC Avant Garde" w:cs="Arial"/>
          <w:color w:val="000000" w:themeColor="text1"/>
        </w:rPr>
        <w:t xml:space="preserve"> objetivos similares al caso del servicio de banda ancha fija sola, la especificación de la prueba para los servicios empaquetados de banda ancha empaquetada con telefonía fija es igual. Por lo tanto, se </w:t>
      </w:r>
      <w:r w:rsidR="008529AC" w:rsidRPr="005F287B">
        <w:rPr>
          <w:rFonts w:ascii="ITC Avant Garde" w:hAnsi="ITC Avant Garde" w:cs="Arial"/>
          <w:color w:val="000000" w:themeColor="text1"/>
        </w:rPr>
        <w:t xml:space="preserve">considera adecuado </w:t>
      </w:r>
      <w:r w:rsidR="00C24BEF" w:rsidRPr="005F287B">
        <w:rPr>
          <w:rFonts w:ascii="ITC Avant Garde" w:hAnsi="ITC Avant Garde" w:cs="Arial"/>
          <w:color w:val="000000" w:themeColor="text1"/>
        </w:rPr>
        <w:t>que el estándar de eficiencia aplicado sea de tipo SEO para asegurar la replicabilidad por parte de operadores que aún no cuentan con la escala suficiente, con independencia de que la oferta sea de banda ancha sola o empaquetada.</w:t>
      </w:r>
      <w:r w:rsidR="00CB673C" w:rsidRPr="005F287B">
        <w:rPr>
          <w:rFonts w:ascii="ITC Avant Garde" w:hAnsi="ITC Avant Garde" w:cs="Arial"/>
          <w:color w:val="000000" w:themeColor="text1"/>
        </w:rPr>
        <w:t xml:space="preserve"> Además, cabe destacar que</w:t>
      </w:r>
      <w:r w:rsidR="004E49AA">
        <w:rPr>
          <w:rFonts w:ascii="ITC Avant Garde" w:hAnsi="ITC Avant Garde" w:cs="Arial"/>
          <w:color w:val="000000" w:themeColor="text1"/>
        </w:rPr>
        <w:t>,</w:t>
      </w:r>
      <w:r w:rsidR="00984AE4" w:rsidRPr="005F287B">
        <w:rPr>
          <w:rFonts w:ascii="ITC Avant Garde" w:hAnsi="ITC Avant Garde" w:cs="Arial"/>
          <w:color w:val="000000" w:themeColor="text1"/>
        </w:rPr>
        <w:t xml:space="preserve"> con base a la separación contable</w:t>
      </w:r>
      <w:r w:rsidR="00C63D72" w:rsidRPr="005F287B">
        <w:rPr>
          <w:rFonts w:ascii="ITC Avant Garde" w:hAnsi="ITC Avant Garde" w:cs="Arial"/>
          <w:color w:val="000000" w:themeColor="text1"/>
        </w:rPr>
        <w:t>,</w:t>
      </w:r>
      <w:r w:rsidR="00CB673C" w:rsidRPr="005F287B">
        <w:rPr>
          <w:rFonts w:ascii="ITC Avant Garde" w:hAnsi="ITC Avant Garde" w:cs="Arial"/>
          <w:color w:val="000000" w:themeColor="text1"/>
        </w:rPr>
        <w:t xml:space="preserve"> </w:t>
      </w:r>
      <w:r w:rsidR="004C4B3A" w:rsidRPr="005F287B">
        <w:rPr>
          <w:rFonts w:ascii="ITC Avant Garde" w:hAnsi="ITC Avant Garde" w:cs="Arial"/>
          <w:color w:val="000000" w:themeColor="text1"/>
        </w:rPr>
        <w:t xml:space="preserve">en </w:t>
      </w:r>
      <w:r w:rsidR="00CB673C" w:rsidRPr="005F287B">
        <w:rPr>
          <w:rFonts w:ascii="ITC Avant Garde" w:hAnsi="ITC Avant Garde" w:cs="Arial"/>
          <w:color w:val="000000" w:themeColor="text1"/>
        </w:rPr>
        <w:t xml:space="preserve">el modelo </w:t>
      </w:r>
      <w:r w:rsidR="004C4B3A" w:rsidRPr="005F287B">
        <w:rPr>
          <w:rFonts w:ascii="ITC Avant Garde" w:hAnsi="ITC Avant Garde" w:cs="Arial"/>
          <w:color w:val="000000" w:themeColor="text1"/>
        </w:rPr>
        <w:t xml:space="preserve">se </w:t>
      </w:r>
      <w:r w:rsidR="00CB673C" w:rsidRPr="005F287B">
        <w:rPr>
          <w:rFonts w:ascii="ITC Avant Garde" w:hAnsi="ITC Avant Garde"/>
          <w:color w:val="000000" w:themeColor="text1"/>
        </w:rPr>
        <w:t xml:space="preserve">reconoce que existen costos asimétricos que solo asume el AEP y </w:t>
      </w:r>
      <w:r w:rsidR="005134EB" w:rsidRPr="005F287B">
        <w:rPr>
          <w:rFonts w:ascii="ITC Avant Garde" w:hAnsi="ITC Avant Garde"/>
          <w:color w:val="000000" w:themeColor="text1"/>
        </w:rPr>
        <w:t>que,</w:t>
      </w:r>
      <w:r w:rsidR="00CB673C" w:rsidRPr="005F287B">
        <w:rPr>
          <w:rFonts w:ascii="ITC Avant Garde" w:hAnsi="ITC Avant Garde"/>
          <w:color w:val="000000" w:themeColor="text1"/>
        </w:rPr>
        <w:t xml:space="preserve"> por lo tanto, no deben de tomarse en cuenta para el modelo.</w:t>
      </w:r>
    </w:p>
    <w:p w:rsidR="005134EB" w:rsidRPr="005F287B" w:rsidRDefault="005134EB" w:rsidP="0069622D">
      <w:pPr>
        <w:spacing w:after="0" w:line="240" w:lineRule="auto"/>
        <w:jc w:val="both"/>
        <w:rPr>
          <w:rFonts w:ascii="ITC Avant Garde" w:hAnsi="ITC Avant Garde" w:cs="Arial"/>
          <w:color w:val="000000" w:themeColor="text1"/>
        </w:rPr>
      </w:pPr>
    </w:p>
    <w:p w:rsidR="008529AC" w:rsidRPr="005F287B" w:rsidRDefault="008529AC"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Respecto a la solicitud de utilizar enfoques que se han elegido en países europeos, </w:t>
      </w:r>
      <w:r w:rsidR="003B462B" w:rsidRPr="005F287B">
        <w:rPr>
          <w:rFonts w:ascii="ITC Avant Garde" w:hAnsi="ITC Avant Garde" w:cs="Arial"/>
          <w:color w:val="000000" w:themeColor="text1"/>
        </w:rPr>
        <w:t>debe</w:t>
      </w:r>
      <w:r w:rsidRPr="005F287B">
        <w:rPr>
          <w:rFonts w:ascii="ITC Avant Garde" w:hAnsi="ITC Avant Garde" w:cs="Arial"/>
          <w:color w:val="000000" w:themeColor="text1"/>
        </w:rPr>
        <w:t xml:space="preserve"> señalarse que </w:t>
      </w:r>
      <w:r w:rsidR="00CB673C" w:rsidRPr="005F287B">
        <w:rPr>
          <w:rFonts w:ascii="ITC Avant Garde" w:hAnsi="ITC Avant Garde" w:cs="Arial"/>
          <w:color w:val="000000" w:themeColor="text1"/>
        </w:rPr>
        <w:t>el análisis para cada mercado arroja diferencias que justifican la elección de un enfoque u otro. Por lo antes expuesto, se considera adecuado que para el mercado de banda ancha mexicano se utilice un enfoque SEO</w:t>
      </w:r>
    </w:p>
    <w:p w:rsidR="00FE3914" w:rsidRPr="005F287B" w:rsidRDefault="00FE3914" w:rsidP="0069622D">
      <w:pPr>
        <w:spacing w:after="0" w:line="240" w:lineRule="auto"/>
        <w:jc w:val="both"/>
        <w:rPr>
          <w:rFonts w:ascii="ITC Avant Garde" w:hAnsi="ITC Avant Garde"/>
          <w:color w:val="000000" w:themeColor="text1"/>
        </w:rPr>
      </w:pPr>
    </w:p>
    <w:p w:rsidR="005134EB" w:rsidRPr="005F287B" w:rsidRDefault="00FE3914" w:rsidP="004567D5">
      <w:pPr>
        <w:pStyle w:val="Ttulo2"/>
        <w:spacing w:before="0" w:line="240" w:lineRule="auto"/>
        <w:jc w:val="both"/>
        <w:rPr>
          <w:rFonts w:ascii="ITC Avant Garde" w:hAnsi="ITC Avant Garde"/>
          <w:b/>
          <w:color w:val="000000" w:themeColor="text1"/>
          <w:sz w:val="22"/>
          <w:szCs w:val="22"/>
        </w:rPr>
      </w:pPr>
      <w:r w:rsidRPr="005F287B">
        <w:rPr>
          <w:rFonts w:ascii="ITC Avant Garde" w:hAnsi="ITC Avant Garde"/>
          <w:b/>
          <w:color w:val="000000" w:themeColor="text1"/>
          <w:sz w:val="22"/>
          <w:szCs w:val="22"/>
        </w:rPr>
        <w:t>Tema: Promociones</w:t>
      </w:r>
    </w:p>
    <w:p w:rsidR="003B462B" w:rsidRPr="005F287B" w:rsidRDefault="003B462B" w:rsidP="005134EB">
      <w:pPr>
        <w:spacing w:after="0" w:line="240" w:lineRule="auto"/>
        <w:jc w:val="both"/>
        <w:rPr>
          <w:rFonts w:ascii="ITC Avant Garde" w:hAnsi="ITC Avant Garde" w:cs="Arial"/>
          <w:color w:val="000000" w:themeColor="text1"/>
        </w:rPr>
      </w:pPr>
    </w:p>
    <w:p w:rsidR="00FE3914" w:rsidRPr="005F287B" w:rsidRDefault="00FE3914" w:rsidP="005134EB">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Se sugiere que </w:t>
      </w:r>
      <w:r w:rsidR="00BF1FC1" w:rsidRPr="005F287B">
        <w:rPr>
          <w:rFonts w:ascii="ITC Avant Garde" w:hAnsi="ITC Avant Garde" w:cs="Arial"/>
          <w:color w:val="000000" w:themeColor="text1"/>
        </w:rPr>
        <w:t>deben considerarse paquetes con promociones</w:t>
      </w:r>
      <w:r w:rsidRPr="005F287B">
        <w:rPr>
          <w:rFonts w:ascii="ITC Avant Garde" w:hAnsi="ITC Avant Garde" w:cs="Arial"/>
          <w:color w:val="000000" w:themeColor="text1"/>
        </w:rPr>
        <w:t xml:space="preserve">. A </w:t>
      </w:r>
      <w:r w:rsidR="005134EB" w:rsidRPr="005F287B">
        <w:rPr>
          <w:rFonts w:ascii="ITC Avant Garde" w:hAnsi="ITC Avant Garde" w:cs="Arial"/>
          <w:color w:val="000000" w:themeColor="text1"/>
        </w:rPr>
        <w:t>continuación,</w:t>
      </w:r>
      <w:r w:rsidRPr="005F287B">
        <w:rPr>
          <w:rFonts w:ascii="ITC Avant Garde" w:hAnsi="ITC Avant Garde" w:cs="Arial"/>
          <w:color w:val="000000" w:themeColor="text1"/>
        </w:rPr>
        <w:t xml:space="preserve"> se mencionan los argumentos presentados para justificar dicha sugerencia:</w:t>
      </w:r>
    </w:p>
    <w:p w:rsidR="005134EB" w:rsidRPr="005F287B" w:rsidRDefault="005134EB" w:rsidP="005134EB">
      <w:pPr>
        <w:spacing w:after="0" w:line="240" w:lineRule="auto"/>
        <w:jc w:val="both"/>
        <w:rPr>
          <w:rFonts w:ascii="ITC Avant Garde" w:hAnsi="ITC Avant Garde" w:cs="Arial"/>
          <w:color w:val="000000" w:themeColor="text1"/>
        </w:rPr>
      </w:pPr>
    </w:p>
    <w:p w:rsidR="00FE3914" w:rsidRPr="005F287B" w:rsidRDefault="00FE3914" w:rsidP="0069622D">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 xml:space="preserve">La inclusión de promociones no debe limitarse a servicios incluidos en la Oferta de Referencia de Desagregación (OREDA), sino también incluir paquetes que incluyen otros bienes o servicios, como computadoras portátiles, por </w:t>
      </w:r>
      <w:r w:rsidR="005134EB" w:rsidRPr="005F287B">
        <w:rPr>
          <w:rFonts w:ascii="ITC Avant Garde" w:hAnsi="ITC Avant Garde" w:cs="Arial"/>
          <w:color w:val="000000" w:themeColor="text1"/>
        </w:rPr>
        <w:t>ejemplo,</w:t>
      </w:r>
      <w:r w:rsidRPr="005F287B">
        <w:rPr>
          <w:rFonts w:ascii="ITC Avant Garde" w:hAnsi="ITC Avant Garde" w:cs="Arial"/>
          <w:color w:val="000000" w:themeColor="text1"/>
        </w:rPr>
        <w:t xml:space="preserve"> el paquete de “Paquete Infinitum + Lap Top Lenovo 14”. Esto con el propósito de evitar subsidios cruzados.</w:t>
      </w:r>
    </w:p>
    <w:p w:rsidR="005260F3" w:rsidRDefault="005260F3" w:rsidP="0069622D">
      <w:pPr>
        <w:spacing w:after="0" w:line="240" w:lineRule="auto"/>
        <w:jc w:val="both"/>
        <w:rPr>
          <w:rFonts w:ascii="ITC Avant Garde" w:hAnsi="ITC Avant Garde" w:cs="Arial"/>
          <w:b/>
          <w:color w:val="000000" w:themeColor="text1"/>
        </w:rPr>
      </w:pPr>
    </w:p>
    <w:p w:rsidR="005134EB" w:rsidRPr="005F287B" w:rsidRDefault="004567D5" w:rsidP="0069622D">
      <w:pPr>
        <w:spacing w:after="0" w:line="240" w:lineRule="auto"/>
        <w:jc w:val="both"/>
        <w:rPr>
          <w:rFonts w:ascii="ITC Avant Garde" w:hAnsi="ITC Avant Garde" w:cs="Arial"/>
          <w:b/>
          <w:color w:val="000000" w:themeColor="text1"/>
        </w:rPr>
      </w:pPr>
      <w:r w:rsidRPr="005F287B">
        <w:rPr>
          <w:rFonts w:ascii="ITC Avant Garde" w:hAnsi="ITC Avant Garde" w:cs="Arial"/>
          <w:b/>
          <w:color w:val="000000" w:themeColor="text1"/>
        </w:rPr>
        <w:t xml:space="preserve">Consideraciones del Instituto: </w:t>
      </w:r>
    </w:p>
    <w:p w:rsidR="002E4CA5" w:rsidRPr="005F287B" w:rsidRDefault="002E4CA5" w:rsidP="0069622D">
      <w:pPr>
        <w:spacing w:after="0" w:line="240" w:lineRule="auto"/>
        <w:jc w:val="both"/>
        <w:rPr>
          <w:rFonts w:ascii="ITC Avant Garde" w:hAnsi="ITC Avant Garde" w:cs="Arial"/>
          <w:b/>
          <w:color w:val="000000" w:themeColor="text1"/>
        </w:rPr>
      </w:pPr>
    </w:p>
    <w:p w:rsidR="00BF1FC1" w:rsidRPr="005F287B" w:rsidRDefault="00BF1FC1"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Al evaluarse las promociones dentro de la información agregada de ingresos y costos de</w:t>
      </w:r>
      <w:r w:rsidR="00CB673C" w:rsidRPr="005F287B">
        <w:rPr>
          <w:rFonts w:ascii="ITC Avant Garde" w:hAnsi="ITC Avant Garde" w:cs="Arial"/>
          <w:color w:val="000000" w:themeColor="text1"/>
        </w:rPr>
        <w:t>l AEP</w:t>
      </w:r>
      <w:r w:rsidRPr="005F287B">
        <w:rPr>
          <w:rFonts w:ascii="ITC Avant Garde" w:hAnsi="ITC Avant Garde" w:cs="Arial"/>
          <w:color w:val="000000" w:themeColor="text1"/>
        </w:rPr>
        <w:t xml:space="preserve">, se brinda mayor flexibilidad comercial a </w:t>
      </w:r>
      <w:r w:rsidR="00107494">
        <w:rPr>
          <w:rFonts w:ascii="ITC Avant Garde" w:hAnsi="ITC Avant Garde" w:cs="Arial"/>
          <w:color w:val="000000" w:themeColor="text1"/>
        </w:rPr>
        <w:t xml:space="preserve">este, </w:t>
      </w:r>
      <w:r w:rsidRPr="005F287B">
        <w:rPr>
          <w:rFonts w:ascii="ITC Avant Garde" w:hAnsi="ITC Avant Garde" w:cs="Arial"/>
          <w:color w:val="000000" w:themeColor="text1"/>
        </w:rPr>
        <w:t>criterio importante en un</w:t>
      </w:r>
      <w:r w:rsidR="005134EB" w:rsidRPr="005F287B">
        <w:rPr>
          <w:rFonts w:ascii="ITC Avant Garde" w:hAnsi="ITC Avant Garde" w:cs="Arial"/>
          <w:color w:val="000000" w:themeColor="text1"/>
        </w:rPr>
        <w:t xml:space="preserve"> mercado de competencia maduro.</w:t>
      </w:r>
    </w:p>
    <w:p w:rsidR="005134EB" w:rsidRPr="005F287B" w:rsidRDefault="005134EB" w:rsidP="0069622D">
      <w:pPr>
        <w:spacing w:after="0" w:line="240" w:lineRule="auto"/>
        <w:jc w:val="both"/>
        <w:rPr>
          <w:rFonts w:ascii="ITC Avant Garde" w:hAnsi="ITC Avant Garde" w:cs="Arial"/>
          <w:color w:val="000000" w:themeColor="text1"/>
        </w:rPr>
      </w:pPr>
    </w:p>
    <w:p w:rsidR="00233DF9" w:rsidRPr="005F287B" w:rsidRDefault="00BF1FC1"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Por lo anterior, se </w:t>
      </w:r>
      <w:r w:rsidR="008529AC" w:rsidRPr="005F287B">
        <w:rPr>
          <w:rFonts w:ascii="ITC Avant Garde" w:hAnsi="ITC Avant Garde" w:cs="Arial"/>
          <w:color w:val="000000" w:themeColor="text1"/>
        </w:rPr>
        <w:t>considera adecuado</w:t>
      </w:r>
      <w:r w:rsidRPr="005F287B">
        <w:rPr>
          <w:rFonts w:ascii="ITC Avant Garde" w:hAnsi="ITC Avant Garde" w:cs="Arial"/>
          <w:color w:val="000000" w:themeColor="text1"/>
        </w:rPr>
        <w:t xml:space="preserve"> que la prueba considere todos los ingresos, costos y descuentos derivados de las promociones. Para el caso del modelo agregado ex-post, si la empresa VI introduce promociones no replicables de forma recurrente, esta práctica se vería reflejada en la rentabilidad de la empresa. Asimismo, evidentemente en el modelo de re</w:t>
      </w:r>
      <w:r w:rsidR="009B5B28" w:rsidRPr="005F287B">
        <w:rPr>
          <w:rFonts w:ascii="ITC Avant Garde" w:hAnsi="ITC Avant Garde" w:cs="Arial"/>
          <w:color w:val="000000" w:themeColor="text1"/>
        </w:rPr>
        <w:t>plicabilidad</w:t>
      </w:r>
      <w:r w:rsidRPr="005F287B">
        <w:rPr>
          <w:rFonts w:ascii="ITC Avant Garde" w:hAnsi="ITC Avant Garde" w:cs="Arial"/>
          <w:color w:val="000000" w:themeColor="text1"/>
        </w:rPr>
        <w:t xml:space="preserve"> individual ex-ante</w:t>
      </w:r>
      <w:r w:rsidR="008533A8" w:rsidRPr="005F287B">
        <w:rPr>
          <w:rFonts w:ascii="ITC Avant Garde" w:hAnsi="ITC Avant Garde" w:cs="Arial"/>
          <w:color w:val="000000" w:themeColor="text1"/>
        </w:rPr>
        <w:t xml:space="preserve"> se incluirán las promociones junto </w:t>
      </w:r>
      <w:r w:rsidR="009B5B28" w:rsidRPr="005F287B">
        <w:rPr>
          <w:rFonts w:ascii="ITC Avant Garde" w:hAnsi="ITC Avant Garde" w:cs="Arial"/>
          <w:color w:val="000000" w:themeColor="text1"/>
        </w:rPr>
        <w:t>con</w:t>
      </w:r>
      <w:r w:rsidR="008533A8" w:rsidRPr="005F287B">
        <w:rPr>
          <w:rFonts w:ascii="ITC Avant Garde" w:hAnsi="ITC Avant Garde" w:cs="Arial"/>
          <w:color w:val="000000" w:themeColor="text1"/>
        </w:rPr>
        <w:t xml:space="preserve"> las estimaciones de ingres</w:t>
      </w:r>
      <w:r w:rsidRPr="005F287B">
        <w:rPr>
          <w:rFonts w:ascii="ITC Avant Garde" w:hAnsi="ITC Avant Garde" w:cs="Arial"/>
          <w:color w:val="000000" w:themeColor="text1"/>
        </w:rPr>
        <w:t>os y costos de cada oferta.</w:t>
      </w:r>
    </w:p>
    <w:p w:rsidR="00716EA1" w:rsidRPr="005F287B" w:rsidRDefault="00716EA1" w:rsidP="0069622D">
      <w:pPr>
        <w:spacing w:after="0" w:line="240" w:lineRule="auto"/>
        <w:jc w:val="both"/>
        <w:rPr>
          <w:rFonts w:ascii="ITC Avant Garde" w:hAnsi="ITC Avant Garde" w:cs="Arial"/>
          <w:color w:val="000000" w:themeColor="text1"/>
        </w:rPr>
      </w:pPr>
    </w:p>
    <w:p w:rsidR="005134EB" w:rsidRPr="005F287B" w:rsidRDefault="00716EA1" w:rsidP="004567D5">
      <w:pPr>
        <w:pStyle w:val="Ttulo2"/>
        <w:spacing w:before="0" w:line="240" w:lineRule="auto"/>
        <w:jc w:val="both"/>
        <w:rPr>
          <w:rFonts w:ascii="ITC Avant Garde" w:hAnsi="ITC Avant Garde"/>
          <w:b/>
          <w:color w:val="000000" w:themeColor="text1"/>
          <w:sz w:val="22"/>
          <w:szCs w:val="22"/>
        </w:rPr>
      </w:pPr>
      <w:r w:rsidRPr="005F287B">
        <w:rPr>
          <w:rFonts w:ascii="ITC Avant Garde" w:hAnsi="ITC Avant Garde"/>
          <w:b/>
          <w:color w:val="000000" w:themeColor="text1"/>
          <w:sz w:val="22"/>
          <w:szCs w:val="22"/>
        </w:rPr>
        <w:t>Tema: Segmento empresarial</w:t>
      </w:r>
    </w:p>
    <w:p w:rsidR="002B665A" w:rsidRPr="005F287B" w:rsidRDefault="002B665A" w:rsidP="0069622D">
      <w:pPr>
        <w:spacing w:after="0" w:line="240" w:lineRule="auto"/>
        <w:jc w:val="both"/>
        <w:rPr>
          <w:rFonts w:ascii="ITC Avant Garde" w:hAnsi="ITC Avant Garde" w:cs="Arial"/>
          <w:color w:val="000000" w:themeColor="text1"/>
        </w:rPr>
      </w:pPr>
    </w:p>
    <w:p w:rsidR="00716EA1" w:rsidRPr="005F287B" w:rsidRDefault="003E1E54"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Se sugiere un tratamiento distin</w:t>
      </w:r>
      <w:r w:rsidR="00961C31" w:rsidRPr="005F287B">
        <w:rPr>
          <w:rFonts w:ascii="ITC Avant Garde" w:hAnsi="ITC Avant Garde" w:cs="Arial"/>
          <w:color w:val="000000" w:themeColor="text1"/>
        </w:rPr>
        <w:t>to</w:t>
      </w:r>
      <w:r w:rsidRPr="005F287B">
        <w:rPr>
          <w:rFonts w:ascii="ITC Avant Garde" w:hAnsi="ITC Avant Garde" w:cs="Arial"/>
          <w:color w:val="000000" w:themeColor="text1"/>
        </w:rPr>
        <w:t xml:space="preserve"> </w:t>
      </w:r>
      <w:r w:rsidR="002B34F9" w:rsidRPr="005F287B">
        <w:rPr>
          <w:rFonts w:ascii="ITC Avant Garde" w:hAnsi="ITC Avant Garde" w:cs="Arial"/>
          <w:color w:val="000000" w:themeColor="text1"/>
        </w:rPr>
        <w:t>para el</w:t>
      </w:r>
      <w:r w:rsidRPr="005F287B">
        <w:rPr>
          <w:rFonts w:ascii="ITC Avant Garde" w:hAnsi="ITC Avant Garde" w:cs="Arial"/>
          <w:color w:val="000000" w:themeColor="text1"/>
        </w:rPr>
        <w:t xml:space="preserve"> segmento empresarial. A </w:t>
      </w:r>
      <w:r w:rsidR="005134EB" w:rsidRPr="005F287B">
        <w:rPr>
          <w:rFonts w:ascii="ITC Avant Garde" w:hAnsi="ITC Avant Garde" w:cs="Arial"/>
          <w:color w:val="000000" w:themeColor="text1"/>
        </w:rPr>
        <w:t>continuación,</w:t>
      </w:r>
      <w:r w:rsidRPr="005F287B">
        <w:rPr>
          <w:rFonts w:ascii="ITC Avant Garde" w:hAnsi="ITC Avant Garde" w:cs="Arial"/>
          <w:color w:val="000000" w:themeColor="text1"/>
        </w:rPr>
        <w:t xml:space="preserve"> se mencionan los argumentos presentados para justificar dicha sugerencia:</w:t>
      </w:r>
    </w:p>
    <w:p w:rsidR="005134EB" w:rsidRPr="005F287B" w:rsidRDefault="005134EB" w:rsidP="0069622D">
      <w:pPr>
        <w:spacing w:after="0" w:line="240" w:lineRule="auto"/>
        <w:jc w:val="both"/>
        <w:rPr>
          <w:rFonts w:ascii="ITC Avant Garde" w:hAnsi="ITC Avant Garde" w:cs="Arial"/>
          <w:color w:val="000000" w:themeColor="text1"/>
        </w:rPr>
      </w:pPr>
    </w:p>
    <w:p w:rsidR="00716EA1" w:rsidRPr="005F287B" w:rsidRDefault="0097651B" w:rsidP="0069622D">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Se sugiere i</w:t>
      </w:r>
      <w:r w:rsidR="003E1E54" w:rsidRPr="005F287B">
        <w:rPr>
          <w:rFonts w:ascii="ITC Avant Garde" w:hAnsi="ITC Avant Garde" w:cs="Arial"/>
          <w:color w:val="000000" w:themeColor="text1"/>
        </w:rPr>
        <w:t xml:space="preserve">ncluir pruebas de replicabilidad para ofertas de servicios empresariales o corporativos fijos y </w:t>
      </w:r>
      <w:r w:rsidRPr="005F287B">
        <w:rPr>
          <w:rFonts w:ascii="ITC Avant Garde" w:hAnsi="ITC Avant Garde" w:cs="Arial"/>
          <w:color w:val="000000" w:themeColor="text1"/>
        </w:rPr>
        <w:t xml:space="preserve">que </w:t>
      </w:r>
      <w:r w:rsidR="003E1E54" w:rsidRPr="005F287B">
        <w:rPr>
          <w:rFonts w:ascii="ITC Avant Garde" w:hAnsi="ITC Avant Garde" w:cs="Arial"/>
          <w:color w:val="000000" w:themeColor="text1"/>
        </w:rPr>
        <w:t>las mismas deb</w:t>
      </w:r>
      <w:r w:rsidRPr="005F287B">
        <w:rPr>
          <w:rFonts w:ascii="ITC Avant Garde" w:hAnsi="ITC Avant Garde" w:cs="Arial"/>
          <w:color w:val="000000" w:themeColor="text1"/>
        </w:rPr>
        <w:t>a</w:t>
      </w:r>
      <w:r w:rsidR="003E1E54" w:rsidRPr="005F287B">
        <w:rPr>
          <w:rFonts w:ascii="ITC Avant Garde" w:hAnsi="ITC Avant Garde" w:cs="Arial"/>
          <w:color w:val="000000" w:themeColor="text1"/>
        </w:rPr>
        <w:t>n poner especial atención en el servicio de internet dedicado “simétrico”.</w:t>
      </w:r>
    </w:p>
    <w:p w:rsidR="005134EB" w:rsidRPr="005F287B" w:rsidRDefault="005134EB" w:rsidP="005134EB">
      <w:pPr>
        <w:pStyle w:val="Prrafodelista"/>
        <w:spacing w:after="0" w:line="240" w:lineRule="auto"/>
        <w:contextualSpacing w:val="0"/>
        <w:jc w:val="both"/>
        <w:rPr>
          <w:rFonts w:ascii="ITC Avant Garde" w:hAnsi="ITC Avant Garde" w:cs="Arial"/>
          <w:color w:val="000000" w:themeColor="text1"/>
        </w:rPr>
      </w:pPr>
    </w:p>
    <w:p w:rsidR="003E1E54" w:rsidRPr="005F287B" w:rsidRDefault="0097651B" w:rsidP="0069622D">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Se recomienda h</w:t>
      </w:r>
      <w:r w:rsidR="003E1E54" w:rsidRPr="005F287B">
        <w:rPr>
          <w:rFonts w:ascii="ITC Avant Garde" w:hAnsi="ITC Avant Garde" w:cs="Arial"/>
          <w:color w:val="000000" w:themeColor="text1"/>
        </w:rPr>
        <w:t>acer pruebas ex post por separado para los segmentos residencial y empresarial, de no ser así, puede distorsionarse el análisis, pues cada segmento tiene una dinámica competitiva distinta.</w:t>
      </w:r>
    </w:p>
    <w:p w:rsidR="005134EB" w:rsidRPr="005F287B" w:rsidRDefault="005134EB" w:rsidP="005134EB">
      <w:pPr>
        <w:pStyle w:val="Prrafodelista"/>
        <w:spacing w:after="0" w:line="240" w:lineRule="auto"/>
        <w:contextualSpacing w:val="0"/>
        <w:jc w:val="both"/>
        <w:rPr>
          <w:rFonts w:ascii="ITC Avant Garde" w:hAnsi="ITC Avant Garde" w:cs="Arial"/>
          <w:color w:val="000000" w:themeColor="text1"/>
        </w:rPr>
      </w:pPr>
    </w:p>
    <w:p w:rsidR="003E1E54" w:rsidRPr="005F287B" w:rsidRDefault="003E1E54" w:rsidP="0069622D">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Se recomienda incluir y analizar todas las ofertas empresariales en todos los segmentos de manera separada, incluso aquellas que se consideran como “ofertas adaptadas a cada cliente” ya que los mercados de servicios empresariales pertenecen claramente a mercados relevantes distintos que los servicios residenciales, además de contar con una especial importancia por tratarse de servicios e insumos horizontales que afectan la productividad y competitividad de los distintos sectores de la actividad económica.</w:t>
      </w:r>
    </w:p>
    <w:p w:rsidR="000D2899" w:rsidRDefault="000D2899" w:rsidP="004567D5">
      <w:pPr>
        <w:spacing w:after="0" w:line="240" w:lineRule="auto"/>
        <w:jc w:val="both"/>
        <w:rPr>
          <w:rFonts w:ascii="ITC Avant Garde" w:hAnsi="ITC Avant Garde" w:cs="Arial"/>
          <w:color w:val="000000" w:themeColor="text1"/>
        </w:rPr>
      </w:pPr>
    </w:p>
    <w:p w:rsidR="004567D5" w:rsidRPr="005F287B" w:rsidRDefault="004567D5" w:rsidP="004567D5">
      <w:pPr>
        <w:spacing w:after="0" w:line="240" w:lineRule="auto"/>
        <w:jc w:val="both"/>
        <w:rPr>
          <w:rFonts w:ascii="ITC Avant Garde" w:hAnsi="ITC Avant Garde" w:cs="Arial"/>
          <w:b/>
          <w:color w:val="000000" w:themeColor="text1"/>
        </w:rPr>
      </w:pPr>
      <w:r w:rsidRPr="005F287B">
        <w:rPr>
          <w:rFonts w:ascii="ITC Avant Garde" w:hAnsi="ITC Avant Garde" w:cs="Arial"/>
          <w:b/>
          <w:color w:val="000000" w:themeColor="text1"/>
        </w:rPr>
        <w:t xml:space="preserve">Consideraciones del Instituto: </w:t>
      </w:r>
    </w:p>
    <w:p w:rsidR="008E4A3A" w:rsidRPr="005F287B" w:rsidRDefault="004567D5" w:rsidP="004567D5">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 </w:t>
      </w:r>
    </w:p>
    <w:p w:rsidR="007F38AF" w:rsidRPr="005F287B" w:rsidRDefault="007F38AF" w:rsidP="004567D5">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El AEP tiene dos tipos de ofertas empresariales: negocio y empresa. Las ofertas “negocio” están estandarizadas y son</w:t>
      </w:r>
      <w:r w:rsidR="003A3650" w:rsidRPr="005F287B">
        <w:rPr>
          <w:rFonts w:ascii="ITC Avant Garde" w:hAnsi="ITC Avant Garde" w:cs="Arial"/>
          <w:color w:val="000000" w:themeColor="text1"/>
        </w:rPr>
        <w:t>,</w:t>
      </w:r>
      <w:r w:rsidRPr="005F287B">
        <w:rPr>
          <w:rFonts w:ascii="ITC Avant Garde" w:hAnsi="ITC Avant Garde" w:cs="Arial"/>
          <w:color w:val="000000" w:themeColor="text1"/>
        </w:rPr>
        <w:t xml:space="preserve"> en ciertos aspectos, similares a las ofertas en el segmento residencial. Las ofertas a grandes empresas, por el contrario, no están estandarizadas. En este caso el AEP ofrece un rango amplio de servicios, tales como conectividad, gestión de red, seguridad IT, soluciones verticales, servicios en la nube, etc.</w:t>
      </w:r>
    </w:p>
    <w:p w:rsidR="005134EB" w:rsidRPr="005F287B" w:rsidRDefault="005134EB" w:rsidP="0069622D">
      <w:pPr>
        <w:spacing w:after="0" w:line="240" w:lineRule="auto"/>
        <w:jc w:val="both"/>
        <w:rPr>
          <w:rFonts w:ascii="ITC Avant Garde" w:hAnsi="ITC Avant Garde" w:cs="Arial"/>
          <w:color w:val="000000" w:themeColor="text1"/>
        </w:rPr>
      </w:pPr>
    </w:p>
    <w:p w:rsidR="007F38AF" w:rsidRPr="005F287B" w:rsidRDefault="007F38AF"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Un análisis ex-ante de este último tipo de ofertas “a</w:t>
      </w:r>
      <w:r w:rsidR="00EB6933" w:rsidRPr="005F287B">
        <w:rPr>
          <w:rFonts w:ascii="ITC Avant Garde" w:hAnsi="ITC Avant Garde" w:cs="Arial"/>
          <w:color w:val="000000" w:themeColor="text1"/>
        </w:rPr>
        <w:t xml:space="preserve"> la</w:t>
      </w:r>
      <w:r w:rsidRPr="005F287B">
        <w:rPr>
          <w:rFonts w:ascii="ITC Avant Garde" w:hAnsi="ITC Avant Garde" w:cs="Arial"/>
          <w:color w:val="000000" w:themeColor="text1"/>
        </w:rPr>
        <w:t xml:space="preserve"> medida” plantea dos </w:t>
      </w:r>
      <w:r w:rsidR="00764A0E" w:rsidRPr="005F287B">
        <w:rPr>
          <w:rFonts w:ascii="ITC Avant Garde" w:hAnsi="ITC Avant Garde" w:cs="Arial"/>
          <w:color w:val="000000" w:themeColor="text1"/>
        </w:rPr>
        <w:t>elementos</w:t>
      </w:r>
      <w:r w:rsidRPr="005F287B">
        <w:rPr>
          <w:rFonts w:ascii="ITC Avant Garde" w:hAnsi="ITC Avant Garde" w:cs="Arial"/>
          <w:color w:val="000000" w:themeColor="text1"/>
        </w:rPr>
        <w:t>:</w:t>
      </w:r>
    </w:p>
    <w:p w:rsidR="00BF5F5A" w:rsidRPr="005F287B" w:rsidRDefault="00BF5F5A" w:rsidP="0069622D">
      <w:pPr>
        <w:spacing w:after="0" w:line="240" w:lineRule="auto"/>
        <w:jc w:val="both"/>
        <w:rPr>
          <w:rFonts w:ascii="ITC Avant Garde" w:hAnsi="ITC Avant Garde" w:cs="Arial"/>
          <w:color w:val="000000" w:themeColor="text1"/>
        </w:rPr>
      </w:pPr>
    </w:p>
    <w:p w:rsidR="007F38AF" w:rsidRPr="005F287B" w:rsidRDefault="007F38AF" w:rsidP="0069622D">
      <w:pPr>
        <w:pStyle w:val="Prrafodelista"/>
        <w:numPr>
          <w:ilvl w:val="0"/>
          <w:numId w:val="18"/>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Ofertas adaptadas a cada cliente. La prestación de servicios de banda anc</w:t>
      </w:r>
      <w:r w:rsidR="00BF5F5A" w:rsidRPr="005F287B">
        <w:rPr>
          <w:rFonts w:ascii="ITC Avant Garde" w:hAnsi="ITC Avant Garde" w:cs="Arial"/>
          <w:color w:val="000000" w:themeColor="text1"/>
        </w:rPr>
        <w:t>ha a las grandes empresas suele</w:t>
      </w:r>
      <w:r w:rsidRPr="005F287B">
        <w:rPr>
          <w:rFonts w:ascii="ITC Avant Garde" w:hAnsi="ITC Avant Garde" w:cs="Arial"/>
          <w:color w:val="000000" w:themeColor="text1"/>
        </w:rPr>
        <w:t xml:space="preserve"> ser “a </w:t>
      </w:r>
      <w:r w:rsidR="00C32078" w:rsidRPr="005F287B">
        <w:rPr>
          <w:rFonts w:ascii="ITC Avant Garde" w:hAnsi="ITC Avant Garde" w:cs="Arial"/>
          <w:color w:val="000000" w:themeColor="text1"/>
        </w:rPr>
        <w:t xml:space="preserve">la </w:t>
      </w:r>
      <w:r w:rsidRPr="005F287B">
        <w:rPr>
          <w:rFonts w:ascii="ITC Avant Garde" w:hAnsi="ITC Avant Garde" w:cs="Arial"/>
          <w:color w:val="000000" w:themeColor="text1"/>
        </w:rPr>
        <w:t xml:space="preserve">medida” y en combinación con servicios adicionales tales como seguridad, servicios en la nube, etc. Esto </w:t>
      </w:r>
      <w:r w:rsidR="0019606F" w:rsidRPr="005F287B">
        <w:rPr>
          <w:rFonts w:ascii="ITC Avant Garde" w:hAnsi="ITC Avant Garde" w:cs="Arial"/>
          <w:color w:val="000000" w:themeColor="text1"/>
        </w:rPr>
        <w:t>dificulta la</w:t>
      </w:r>
      <w:r w:rsidRPr="005F287B">
        <w:rPr>
          <w:rFonts w:ascii="ITC Avant Garde" w:hAnsi="ITC Avant Garde" w:cs="Arial"/>
          <w:color w:val="000000" w:themeColor="text1"/>
        </w:rPr>
        <w:t xml:space="preserve"> factib</w:t>
      </w:r>
      <w:r w:rsidR="0019606F" w:rsidRPr="005F287B">
        <w:rPr>
          <w:rFonts w:ascii="ITC Avant Garde" w:hAnsi="ITC Avant Garde" w:cs="Arial"/>
          <w:color w:val="000000" w:themeColor="text1"/>
        </w:rPr>
        <w:t>ilidad</w:t>
      </w:r>
      <w:r w:rsidRPr="005F287B">
        <w:rPr>
          <w:rFonts w:ascii="ITC Avant Garde" w:hAnsi="ITC Avant Garde" w:cs="Arial"/>
          <w:color w:val="000000" w:themeColor="text1"/>
        </w:rPr>
        <w:t xml:space="preserve"> </w:t>
      </w:r>
      <w:r w:rsidR="00782847" w:rsidRPr="005F287B">
        <w:rPr>
          <w:rFonts w:ascii="ITC Avant Garde" w:hAnsi="ITC Avant Garde" w:cs="Arial"/>
          <w:color w:val="000000" w:themeColor="text1"/>
        </w:rPr>
        <w:t xml:space="preserve">de </w:t>
      </w:r>
      <w:r w:rsidRPr="005F287B">
        <w:rPr>
          <w:rFonts w:ascii="ITC Avant Garde" w:hAnsi="ITC Avant Garde" w:cs="Arial"/>
          <w:color w:val="000000" w:themeColor="text1"/>
        </w:rPr>
        <w:t>desarrollar una prueba ex-ante que sirva para todas las ofertas comerciales, teniendo además que combinar información sobre otros servicios accesorios a los de banda ancha.</w:t>
      </w:r>
    </w:p>
    <w:p w:rsidR="00BF5F5A" w:rsidRPr="005F287B" w:rsidRDefault="00BF5F5A" w:rsidP="00BF5F5A">
      <w:pPr>
        <w:pStyle w:val="Prrafodelista"/>
        <w:spacing w:after="0" w:line="240" w:lineRule="auto"/>
        <w:contextualSpacing w:val="0"/>
        <w:jc w:val="both"/>
        <w:rPr>
          <w:rFonts w:ascii="ITC Avant Garde" w:hAnsi="ITC Avant Garde" w:cs="Arial"/>
          <w:color w:val="000000" w:themeColor="text1"/>
        </w:rPr>
      </w:pPr>
    </w:p>
    <w:p w:rsidR="007F38AF" w:rsidRPr="005F287B" w:rsidRDefault="007F38AF" w:rsidP="0069622D">
      <w:pPr>
        <w:pStyle w:val="Prrafodelista"/>
        <w:numPr>
          <w:ilvl w:val="0"/>
          <w:numId w:val="18"/>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 xml:space="preserve">Plazos de tiempo y riesgos de interferencia en los concursos. En ocasiones, los clientes de negocios seleccionan a su proveedor de comunicaciones a través de una petición competitiva de ofertas a las que hay que responder con plazos ajustados. Requerir la replicabilidad ex-ante de las ofertas del AEP previo a su lanzamiento </w:t>
      </w:r>
      <w:r w:rsidR="00A12C18" w:rsidRPr="005F287B">
        <w:rPr>
          <w:rFonts w:ascii="ITC Avant Garde" w:hAnsi="ITC Avant Garde" w:cs="Arial"/>
          <w:color w:val="000000" w:themeColor="text1"/>
        </w:rPr>
        <w:t xml:space="preserve">podría </w:t>
      </w:r>
      <w:r w:rsidRPr="005F287B">
        <w:rPr>
          <w:rFonts w:ascii="ITC Avant Garde" w:hAnsi="ITC Avant Garde" w:cs="Arial"/>
          <w:color w:val="000000" w:themeColor="text1"/>
        </w:rPr>
        <w:t xml:space="preserve">ponerlo en desventaja. </w:t>
      </w:r>
      <w:r w:rsidR="00A12C18" w:rsidRPr="005F287B">
        <w:rPr>
          <w:rFonts w:ascii="ITC Avant Garde" w:hAnsi="ITC Avant Garde" w:cs="Arial"/>
          <w:color w:val="000000" w:themeColor="text1"/>
        </w:rPr>
        <w:t xml:space="preserve">Es decir, </w:t>
      </w:r>
      <w:r w:rsidRPr="005F287B">
        <w:rPr>
          <w:rFonts w:ascii="ITC Avant Garde" w:hAnsi="ITC Avant Garde" w:cs="Arial"/>
          <w:color w:val="000000" w:themeColor="text1"/>
        </w:rPr>
        <w:t>no ser</w:t>
      </w:r>
      <w:r w:rsidR="00A12C18" w:rsidRPr="005F287B">
        <w:rPr>
          <w:rFonts w:ascii="ITC Avant Garde" w:hAnsi="ITC Avant Garde" w:cs="Arial"/>
          <w:color w:val="000000" w:themeColor="text1"/>
        </w:rPr>
        <w:t>ía</w:t>
      </w:r>
      <w:r w:rsidRPr="005F287B">
        <w:rPr>
          <w:rFonts w:ascii="ITC Avant Garde" w:hAnsi="ITC Avant Garde" w:cs="Arial"/>
          <w:color w:val="000000" w:themeColor="text1"/>
        </w:rPr>
        <w:t xml:space="preserve"> capaz de cumplir con el calendario requerido por el licitador, sobre todo </w:t>
      </w:r>
      <w:r w:rsidR="005839E6" w:rsidRPr="005F287B">
        <w:rPr>
          <w:rFonts w:ascii="ITC Avant Garde" w:hAnsi="ITC Avant Garde" w:cs="Arial"/>
          <w:color w:val="000000" w:themeColor="text1"/>
        </w:rPr>
        <w:t xml:space="preserve">por </w:t>
      </w:r>
      <w:r w:rsidRPr="005F287B">
        <w:rPr>
          <w:rFonts w:ascii="ITC Avant Garde" w:hAnsi="ITC Avant Garde" w:cs="Arial"/>
          <w:color w:val="000000" w:themeColor="text1"/>
        </w:rPr>
        <w:t>la complejidad que presenta el análisis de las mismas.</w:t>
      </w:r>
    </w:p>
    <w:p w:rsidR="008D5ABE" w:rsidRPr="005F287B" w:rsidRDefault="008D5ABE" w:rsidP="008D5ABE">
      <w:pPr>
        <w:pStyle w:val="Prrafodelista"/>
        <w:spacing w:after="0"/>
        <w:rPr>
          <w:rFonts w:ascii="ITC Avant Garde" w:hAnsi="ITC Avant Garde" w:cs="Arial"/>
          <w:color w:val="000000" w:themeColor="text1"/>
        </w:rPr>
      </w:pPr>
    </w:p>
    <w:p w:rsidR="00716EA1" w:rsidRPr="005F287B" w:rsidRDefault="007F38AF"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Por las razones anterior</w:t>
      </w:r>
      <w:r w:rsidR="00182073" w:rsidRPr="005F287B">
        <w:rPr>
          <w:rFonts w:ascii="ITC Avant Garde" w:hAnsi="ITC Avant Garde" w:cs="Arial"/>
          <w:color w:val="000000" w:themeColor="text1"/>
        </w:rPr>
        <w:t>mente expuestas</w:t>
      </w:r>
      <w:r w:rsidRPr="005F287B">
        <w:rPr>
          <w:rFonts w:ascii="ITC Avant Garde" w:hAnsi="ITC Avant Garde" w:cs="Arial"/>
          <w:color w:val="000000" w:themeColor="text1"/>
        </w:rPr>
        <w:t xml:space="preserve">, para el caso específico de banda ancha fija y banda ancha fija empaquetada con telefonía, en la realización de pruebas ex-ante, se plantea que sólo las ofertas empresariales estandarizadas formen parte de la prueba, </w:t>
      </w:r>
      <w:r w:rsidR="00BA21D7" w:rsidRPr="005F287B">
        <w:rPr>
          <w:rFonts w:ascii="ITC Avant Garde" w:hAnsi="ITC Avant Garde" w:cs="Arial"/>
          <w:color w:val="000000" w:themeColor="text1"/>
        </w:rPr>
        <w:t xml:space="preserve">debido a la </w:t>
      </w:r>
      <w:r w:rsidRPr="005F287B">
        <w:rPr>
          <w:rFonts w:ascii="ITC Avant Garde" w:hAnsi="ITC Avant Garde" w:cs="Arial"/>
          <w:color w:val="000000" w:themeColor="text1"/>
        </w:rPr>
        <w:t>complejidad en el desarrollo de modelos específicos para ofert</w:t>
      </w:r>
      <w:r w:rsidR="00BF5F5A" w:rsidRPr="005F287B">
        <w:rPr>
          <w:rFonts w:ascii="ITC Avant Garde" w:hAnsi="ITC Avant Garde" w:cs="Arial"/>
          <w:color w:val="000000" w:themeColor="text1"/>
        </w:rPr>
        <w:t xml:space="preserve">as empresariales </w:t>
      </w:r>
      <w:r w:rsidR="00BA21D7" w:rsidRPr="005F287B">
        <w:rPr>
          <w:rFonts w:ascii="ITC Avant Garde" w:hAnsi="ITC Avant Garde" w:cs="Arial"/>
          <w:color w:val="000000" w:themeColor="text1"/>
        </w:rPr>
        <w:t>“</w:t>
      </w:r>
      <w:r w:rsidR="00BF5F5A" w:rsidRPr="005F287B">
        <w:rPr>
          <w:rFonts w:ascii="ITC Avant Garde" w:hAnsi="ITC Avant Garde" w:cs="Arial"/>
          <w:color w:val="000000" w:themeColor="text1"/>
        </w:rPr>
        <w:t>a la medida”.</w:t>
      </w:r>
    </w:p>
    <w:p w:rsidR="00BF5F5A" w:rsidRPr="005F287B" w:rsidRDefault="00BF5F5A" w:rsidP="0069622D">
      <w:pPr>
        <w:spacing w:after="0" w:line="240" w:lineRule="auto"/>
        <w:jc w:val="both"/>
        <w:rPr>
          <w:rFonts w:ascii="ITC Avant Garde" w:hAnsi="ITC Avant Garde" w:cs="Arial"/>
          <w:color w:val="000000" w:themeColor="text1"/>
        </w:rPr>
      </w:pPr>
    </w:p>
    <w:p w:rsidR="00BF5F5A" w:rsidRPr="005F287B" w:rsidRDefault="00BC2160" w:rsidP="008D5ABE">
      <w:pPr>
        <w:pStyle w:val="Ttulo2"/>
        <w:spacing w:before="0" w:line="240" w:lineRule="auto"/>
        <w:jc w:val="both"/>
        <w:rPr>
          <w:rFonts w:ascii="ITC Avant Garde" w:hAnsi="ITC Avant Garde"/>
          <w:b/>
          <w:color w:val="000000" w:themeColor="text1"/>
          <w:sz w:val="22"/>
          <w:szCs w:val="22"/>
        </w:rPr>
      </w:pPr>
      <w:r w:rsidRPr="005F287B">
        <w:rPr>
          <w:rFonts w:ascii="ITC Avant Garde" w:hAnsi="ITC Avant Garde"/>
          <w:b/>
          <w:color w:val="000000" w:themeColor="text1"/>
          <w:sz w:val="22"/>
          <w:szCs w:val="22"/>
        </w:rPr>
        <w:t>Tema: Servicios mayoristas</w:t>
      </w:r>
    </w:p>
    <w:p w:rsidR="008134B0" w:rsidRPr="005F287B" w:rsidRDefault="008134B0" w:rsidP="00BF5F5A">
      <w:pPr>
        <w:spacing w:after="0" w:line="240" w:lineRule="auto"/>
        <w:jc w:val="both"/>
        <w:rPr>
          <w:rFonts w:ascii="ITC Avant Garde" w:hAnsi="ITC Avant Garde" w:cs="Arial"/>
          <w:color w:val="000000" w:themeColor="text1"/>
        </w:rPr>
      </w:pPr>
    </w:p>
    <w:p w:rsidR="00BC2160" w:rsidRPr="005F287B" w:rsidRDefault="00BC2160" w:rsidP="00BF5F5A">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Se sugiere un tratamiento distinguido a cada servicio mayorista. A </w:t>
      </w:r>
      <w:r w:rsidR="00BF5F5A" w:rsidRPr="005F287B">
        <w:rPr>
          <w:rFonts w:ascii="ITC Avant Garde" w:hAnsi="ITC Avant Garde" w:cs="Arial"/>
          <w:color w:val="000000" w:themeColor="text1"/>
        </w:rPr>
        <w:t>continuación,</w:t>
      </w:r>
      <w:r w:rsidRPr="005F287B">
        <w:rPr>
          <w:rFonts w:ascii="ITC Avant Garde" w:hAnsi="ITC Avant Garde" w:cs="Arial"/>
          <w:color w:val="000000" w:themeColor="text1"/>
        </w:rPr>
        <w:t xml:space="preserve"> se mencionan los argumentos presentados para justificar dicha sugerencia:</w:t>
      </w:r>
    </w:p>
    <w:p w:rsidR="00BF5F5A" w:rsidRPr="005F287B" w:rsidRDefault="00BF5F5A" w:rsidP="00BF5F5A">
      <w:pPr>
        <w:spacing w:after="0" w:line="240" w:lineRule="auto"/>
        <w:jc w:val="both"/>
        <w:rPr>
          <w:rFonts w:ascii="ITC Avant Garde" w:hAnsi="ITC Avant Garde" w:cs="Arial"/>
          <w:color w:val="000000" w:themeColor="text1"/>
        </w:rPr>
      </w:pPr>
    </w:p>
    <w:p w:rsidR="00BC2160" w:rsidRPr="005F287B" w:rsidRDefault="00B114F1" w:rsidP="0069622D">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Se sugiere e</w:t>
      </w:r>
      <w:r w:rsidR="00BC2160" w:rsidRPr="005F287B">
        <w:rPr>
          <w:rFonts w:ascii="ITC Avant Garde" w:hAnsi="ITC Avant Garde" w:cs="Arial"/>
          <w:color w:val="000000" w:themeColor="text1"/>
        </w:rPr>
        <w:t>valuar la replicabilidad para cada servicio mayorista por separado. De lo contario se corre el riesgo de comportamiento estratégico del AEP para limitar la oferta competitiva de sus servicios mayoristas a uno de ellos</w:t>
      </w:r>
      <w:r w:rsidRPr="005F287B">
        <w:rPr>
          <w:rFonts w:ascii="ITC Avant Garde" w:hAnsi="ITC Avant Garde" w:cs="Arial"/>
          <w:color w:val="000000" w:themeColor="text1"/>
        </w:rPr>
        <w:t>,</w:t>
      </w:r>
      <w:r w:rsidR="00BC2160" w:rsidRPr="005F287B">
        <w:rPr>
          <w:rFonts w:ascii="ITC Avant Garde" w:hAnsi="ITC Avant Garde" w:cs="Arial"/>
          <w:color w:val="000000" w:themeColor="text1"/>
        </w:rPr>
        <w:t xml:space="preserve"> lo que puede afectar las posibilidades de competir efectivamente de otros operadores actuales o potenciales.</w:t>
      </w:r>
    </w:p>
    <w:p w:rsidR="00BF5F5A" w:rsidRPr="005F287B" w:rsidRDefault="00BF5F5A" w:rsidP="00BF5F5A">
      <w:pPr>
        <w:pStyle w:val="Prrafodelista"/>
        <w:spacing w:after="0" w:line="240" w:lineRule="auto"/>
        <w:contextualSpacing w:val="0"/>
        <w:jc w:val="both"/>
        <w:rPr>
          <w:rFonts w:ascii="ITC Avant Garde" w:hAnsi="ITC Avant Garde" w:cs="Arial"/>
          <w:color w:val="000000" w:themeColor="text1"/>
        </w:rPr>
      </w:pPr>
    </w:p>
    <w:p w:rsidR="00BC2160" w:rsidRPr="005F287B" w:rsidRDefault="00BC2160" w:rsidP="0069622D">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Con relación a los servicios mayoristas contemplados, se señala la falta de los servicios de reventa.</w:t>
      </w:r>
    </w:p>
    <w:p w:rsidR="00BF5F5A" w:rsidRPr="005F287B" w:rsidRDefault="00BF5F5A" w:rsidP="00BF5F5A">
      <w:pPr>
        <w:pStyle w:val="Prrafodelista"/>
        <w:rPr>
          <w:rFonts w:ascii="ITC Avant Garde" w:hAnsi="ITC Avant Garde" w:cs="Arial"/>
          <w:color w:val="000000" w:themeColor="text1"/>
        </w:rPr>
      </w:pPr>
    </w:p>
    <w:p w:rsidR="00BC2160" w:rsidRPr="005F287B" w:rsidRDefault="00BC2160" w:rsidP="0069622D">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No se consideran adecuados los servicios mayoristas propuestos para prestar los servicios de empaquetamiento, ya que se omiten servicios que el AEP comercializa y en la metodología actual no se establece como han de incorporarse estos servicios.</w:t>
      </w:r>
    </w:p>
    <w:p w:rsidR="00BF5F5A" w:rsidRPr="005F287B" w:rsidRDefault="00BF5F5A" w:rsidP="00BF5F5A">
      <w:pPr>
        <w:pStyle w:val="Prrafodelista"/>
        <w:rPr>
          <w:rFonts w:ascii="ITC Avant Garde" w:hAnsi="ITC Avant Garde" w:cs="Arial"/>
          <w:color w:val="000000" w:themeColor="text1"/>
        </w:rPr>
      </w:pPr>
    </w:p>
    <w:p w:rsidR="000D2899" w:rsidRDefault="000D2899" w:rsidP="008D5ABE">
      <w:pPr>
        <w:spacing w:after="0" w:line="240" w:lineRule="auto"/>
        <w:jc w:val="both"/>
        <w:rPr>
          <w:rFonts w:ascii="ITC Avant Garde" w:hAnsi="ITC Avant Garde" w:cs="Arial"/>
          <w:b/>
          <w:color w:val="000000" w:themeColor="text1"/>
        </w:rPr>
      </w:pPr>
    </w:p>
    <w:p w:rsidR="000D2899" w:rsidRDefault="000D2899" w:rsidP="008D5ABE">
      <w:pPr>
        <w:spacing w:after="0" w:line="240" w:lineRule="auto"/>
        <w:jc w:val="both"/>
        <w:rPr>
          <w:rFonts w:ascii="ITC Avant Garde" w:hAnsi="ITC Avant Garde" w:cs="Arial"/>
          <w:b/>
          <w:color w:val="000000" w:themeColor="text1"/>
        </w:rPr>
      </w:pPr>
    </w:p>
    <w:p w:rsidR="008D5ABE" w:rsidRPr="005F287B" w:rsidRDefault="008D5ABE" w:rsidP="008D5ABE">
      <w:pPr>
        <w:spacing w:after="0" w:line="240" w:lineRule="auto"/>
        <w:jc w:val="both"/>
        <w:rPr>
          <w:rFonts w:ascii="ITC Avant Garde" w:hAnsi="ITC Avant Garde" w:cs="Arial"/>
          <w:b/>
          <w:color w:val="000000" w:themeColor="text1"/>
        </w:rPr>
      </w:pPr>
      <w:r w:rsidRPr="005F287B">
        <w:rPr>
          <w:rFonts w:ascii="ITC Avant Garde" w:hAnsi="ITC Avant Garde" w:cs="Arial"/>
          <w:b/>
          <w:color w:val="000000" w:themeColor="text1"/>
        </w:rPr>
        <w:t xml:space="preserve">Consideraciones del Instituto: </w:t>
      </w:r>
    </w:p>
    <w:p w:rsidR="00BF5F5A" w:rsidRPr="005F287B" w:rsidRDefault="00BF5F5A" w:rsidP="0069622D">
      <w:pPr>
        <w:spacing w:after="0" w:line="240" w:lineRule="auto"/>
        <w:jc w:val="both"/>
        <w:rPr>
          <w:rFonts w:ascii="ITC Avant Garde" w:hAnsi="ITC Avant Garde" w:cs="Arial"/>
          <w:b/>
          <w:color w:val="000000" w:themeColor="text1"/>
        </w:rPr>
      </w:pPr>
    </w:p>
    <w:p w:rsidR="00BC2160" w:rsidRPr="005F287B" w:rsidRDefault="00BC2160"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Con el objetivo de fomentar el uso de los distintos servicios mayoristas prevalentes</w:t>
      </w:r>
      <w:r w:rsidR="005F287B">
        <w:rPr>
          <w:rFonts w:ascii="ITC Avant Garde" w:hAnsi="ITC Avant Garde" w:cs="Arial"/>
          <w:color w:val="000000" w:themeColor="text1"/>
        </w:rPr>
        <w:t>,</w:t>
      </w:r>
      <w:r w:rsidRPr="005F287B">
        <w:rPr>
          <w:rFonts w:ascii="ITC Avant Garde" w:hAnsi="ITC Avant Garde" w:cs="Arial"/>
          <w:color w:val="000000" w:themeColor="text1"/>
        </w:rPr>
        <w:t xml:space="preserve"> la prueba se aplicará a cada modalidad de acceso mayorista (desagregado e indirecto). Tanto en la prueba ex-ante como en la ex-post se analizará la replicabilidad </w:t>
      </w:r>
      <w:r w:rsidR="00CB673C" w:rsidRPr="005F287B">
        <w:rPr>
          <w:rFonts w:ascii="ITC Avant Garde" w:hAnsi="ITC Avant Garde" w:cs="Arial"/>
          <w:color w:val="000000" w:themeColor="text1"/>
        </w:rPr>
        <w:t>del servicio minorista, haciendo uso</w:t>
      </w:r>
      <w:r w:rsidRPr="005F287B">
        <w:rPr>
          <w:rFonts w:ascii="ITC Avant Garde" w:hAnsi="ITC Avant Garde" w:cs="Arial"/>
          <w:color w:val="000000" w:themeColor="text1"/>
        </w:rPr>
        <w:t xml:space="preserve"> de los servicios mayoristas que en principio podrían utilizarse para la prestación del servicio minorista. De esta forma se garantiza la replicabilidad bajo </w:t>
      </w:r>
      <w:r w:rsidR="00A20C96" w:rsidRPr="005F287B">
        <w:rPr>
          <w:rFonts w:ascii="ITC Avant Garde" w:hAnsi="ITC Avant Garde" w:cs="Arial"/>
          <w:color w:val="000000" w:themeColor="text1"/>
        </w:rPr>
        <w:t xml:space="preserve">las siguientes </w:t>
      </w:r>
      <w:r w:rsidRPr="005F287B">
        <w:rPr>
          <w:rFonts w:ascii="ITC Avant Garde" w:hAnsi="ITC Avant Garde" w:cs="Arial"/>
          <w:color w:val="000000" w:themeColor="text1"/>
        </w:rPr>
        <w:t>modalidad</w:t>
      </w:r>
      <w:r w:rsidR="00A20C96" w:rsidRPr="005F287B">
        <w:rPr>
          <w:rFonts w:ascii="ITC Avant Garde" w:hAnsi="ITC Avant Garde" w:cs="Arial"/>
          <w:color w:val="000000" w:themeColor="text1"/>
        </w:rPr>
        <w:t>es</w:t>
      </w:r>
      <w:r w:rsidRPr="005F287B">
        <w:rPr>
          <w:rFonts w:ascii="ITC Avant Garde" w:hAnsi="ITC Avant Garde" w:cs="Arial"/>
          <w:color w:val="000000" w:themeColor="text1"/>
        </w:rPr>
        <w:t xml:space="preserve"> de acceso:</w:t>
      </w:r>
    </w:p>
    <w:p w:rsidR="00BF5F5A" w:rsidRPr="005F287B" w:rsidRDefault="00BF5F5A" w:rsidP="0069622D">
      <w:pPr>
        <w:spacing w:after="0" w:line="240" w:lineRule="auto"/>
        <w:jc w:val="both"/>
        <w:rPr>
          <w:rFonts w:ascii="ITC Avant Garde" w:hAnsi="ITC Avant Garde" w:cs="Arial"/>
          <w:color w:val="000000" w:themeColor="text1"/>
        </w:rPr>
      </w:pPr>
    </w:p>
    <w:p w:rsidR="00BC2160" w:rsidRPr="005F287B" w:rsidRDefault="00BC2160" w:rsidP="0069622D">
      <w:pPr>
        <w:pStyle w:val="ParaBullet1"/>
        <w:numPr>
          <w:ilvl w:val="0"/>
          <w:numId w:val="22"/>
        </w:numPr>
        <w:spacing w:before="0" w:after="0" w:line="240" w:lineRule="auto"/>
        <w:rPr>
          <w:rFonts w:ascii="ITC Avant Garde" w:eastAsiaTheme="minorHAnsi" w:hAnsi="ITC Avant Garde"/>
          <w:lang w:val="es-MX"/>
        </w:rPr>
      </w:pPr>
      <w:r w:rsidRPr="005F287B">
        <w:rPr>
          <w:rFonts w:ascii="ITC Avant Garde" w:eastAsiaTheme="minorHAnsi" w:hAnsi="ITC Avant Garde"/>
          <w:lang w:val="es-MX"/>
        </w:rPr>
        <w:t>Servicio de acceso indirecto al bucle a nivel nacional.</w:t>
      </w:r>
    </w:p>
    <w:p w:rsidR="00BC2160" w:rsidRPr="005F287B" w:rsidRDefault="00BC2160" w:rsidP="0069622D">
      <w:pPr>
        <w:pStyle w:val="ParaBullet1"/>
        <w:numPr>
          <w:ilvl w:val="0"/>
          <w:numId w:val="22"/>
        </w:numPr>
        <w:spacing w:before="0" w:after="0" w:line="240" w:lineRule="auto"/>
        <w:rPr>
          <w:rFonts w:ascii="ITC Avant Garde" w:eastAsiaTheme="minorHAnsi" w:hAnsi="ITC Avant Garde"/>
          <w:lang w:val="es-MX"/>
        </w:rPr>
      </w:pPr>
      <w:r w:rsidRPr="005F287B">
        <w:rPr>
          <w:rFonts w:ascii="ITC Avant Garde" w:eastAsiaTheme="minorHAnsi" w:hAnsi="ITC Avant Garde"/>
          <w:lang w:val="es-MX"/>
        </w:rPr>
        <w:t>Servicio de acceso indirecto al bucle a nivel regional.</w:t>
      </w:r>
    </w:p>
    <w:p w:rsidR="00BC2160" w:rsidRPr="005F287B" w:rsidRDefault="00BC2160" w:rsidP="0069622D">
      <w:pPr>
        <w:pStyle w:val="ParaBullet1"/>
        <w:numPr>
          <w:ilvl w:val="0"/>
          <w:numId w:val="22"/>
        </w:numPr>
        <w:spacing w:before="0" w:after="0" w:line="240" w:lineRule="auto"/>
        <w:rPr>
          <w:rFonts w:ascii="ITC Avant Garde" w:eastAsiaTheme="minorHAnsi" w:hAnsi="ITC Avant Garde"/>
          <w:lang w:val="es-MX"/>
        </w:rPr>
      </w:pPr>
      <w:r w:rsidRPr="005F287B">
        <w:rPr>
          <w:rFonts w:ascii="ITC Avant Garde" w:eastAsiaTheme="minorHAnsi" w:hAnsi="ITC Avant Garde"/>
          <w:lang w:val="es-MX"/>
        </w:rPr>
        <w:t>Servicio de acceso indirecto al bucle a nivel local.</w:t>
      </w:r>
    </w:p>
    <w:p w:rsidR="00BC2160" w:rsidRPr="005F287B" w:rsidRDefault="00BC2160" w:rsidP="0069622D">
      <w:pPr>
        <w:pStyle w:val="ParaBullet1"/>
        <w:numPr>
          <w:ilvl w:val="0"/>
          <w:numId w:val="22"/>
        </w:numPr>
        <w:spacing w:before="0" w:after="0" w:line="240" w:lineRule="auto"/>
        <w:rPr>
          <w:rFonts w:ascii="ITC Avant Garde" w:eastAsiaTheme="minorHAnsi" w:hAnsi="ITC Avant Garde"/>
          <w:lang w:val="es-MX"/>
        </w:rPr>
      </w:pPr>
      <w:r w:rsidRPr="005F287B">
        <w:rPr>
          <w:rFonts w:ascii="ITC Avant Garde" w:eastAsiaTheme="minorHAnsi" w:hAnsi="ITC Avant Garde"/>
          <w:lang w:val="es-MX"/>
        </w:rPr>
        <w:t>Servicio de desagregación compartida de bucle local.</w:t>
      </w:r>
    </w:p>
    <w:p w:rsidR="00CB673C" w:rsidRPr="005F287B" w:rsidRDefault="00A20C96" w:rsidP="0069622D">
      <w:pPr>
        <w:pStyle w:val="ParaBullet1"/>
        <w:numPr>
          <w:ilvl w:val="0"/>
          <w:numId w:val="22"/>
        </w:numPr>
        <w:spacing w:before="0" w:after="0" w:line="240" w:lineRule="auto"/>
        <w:rPr>
          <w:rFonts w:ascii="ITC Avant Garde" w:eastAsiaTheme="minorHAnsi" w:hAnsi="ITC Avant Garde"/>
          <w:lang w:val="es-MX"/>
        </w:rPr>
      </w:pPr>
      <w:r w:rsidRPr="005F287B">
        <w:rPr>
          <w:rFonts w:ascii="ITC Avant Garde" w:eastAsiaTheme="minorHAnsi" w:hAnsi="ITC Avant Garde"/>
          <w:lang w:val="es-MX"/>
        </w:rPr>
        <w:t>Servicio de d</w:t>
      </w:r>
      <w:r w:rsidR="00CB673C" w:rsidRPr="005F287B">
        <w:rPr>
          <w:rFonts w:ascii="ITC Avant Garde" w:eastAsiaTheme="minorHAnsi" w:hAnsi="ITC Avant Garde"/>
          <w:lang w:val="es-MX"/>
        </w:rPr>
        <w:t>esagregación total del bucle local</w:t>
      </w:r>
      <w:r w:rsidRPr="005F287B">
        <w:rPr>
          <w:rFonts w:ascii="ITC Avant Garde" w:eastAsiaTheme="minorHAnsi" w:hAnsi="ITC Avant Garde"/>
          <w:lang w:val="es-MX"/>
        </w:rPr>
        <w:t>.</w:t>
      </w:r>
    </w:p>
    <w:p w:rsidR="00BF5F5A" w:rsidRPr="005F287B" w:rsidRDefault="00BF5F5A" w:rsidP="00BF5F5A">
      <w:pPr>
        <w:pStyle w:val="ParaBullet1"/>
        <w:numPr>
          <w:ilvl w:val="0"/>
          <w:numId w:val="0"/>
        </w:numPr>
        <w:spacing w:before="0" w:after="0" w:line="240" w:lineRule="auto"/>
        <w:ind w:left="720"/>
        <w:rPr>
          <w:rFonts w:ascii="ITC Avant Garde" w:eastAsiaTheme="minorHAnsi" w:hAnsi="ITC Avant Garde"/>
          <w:lang w:val="es-MX"/>
        </w:rPr>
      </w:pPr>
    </w:p>
    <w:p w:rsidR="00BC2160" w:rsidRPr="005F287B" w:rsidRDefault="00BC2160" w:rsidP="0069622D">
      <w:pPr>
        <w:pStyle w:val="ParaBullet1"/>
        <w:numPr>
          <w:ilvl w:val="0"/>
          <w:numId w:val="0"/>
        </w:numPr>
        <w:spacing w:before="0" w:after="0" w:line="240" w:lineRule="auto"/>
        <w:rPr>
          <w:rFonts w:ascii="ITC Avant Garde" w:eastAsiaTheme="minorHAnsi" w:hAnsi="ITC Avant Garde"/>
          <w:lang w:val="es-MX"/>
        </w:rPr>
      </w:pPr>
      <w:r w:rsidRPr="005F287B">
        <w:rPr>
          <w:rFonts w:ascii="ITC Avant Garde" w:eastAsiaTheme="minorHAnsi" w:hAnsi="ITC Avant Garde"/>
          <w:lang w:val="es-MX"/>
        </w:rPr>
        <w:t xml:space="preserve">El propósito de fomentar la competencia a través de cualquier modalidad mayorista debe ir acompañado de un uso eficiente de estos servicios. Es por esta razón por lo que la entrega de servicio será de calidad </w:t>
      </w:r>
      <w:r w:rsidRPr="005F287B">
        <w:rPr>
          <w:rFonts w:ascii="ITC Avant Garde" w:eastAsiaTheme="minorHAnsi" w:hAnsi="ITC Avant Garde"/>
          <w:i/>
          <w:lang w:val="es-MX"/>
        </w:rPr>
        <w:t>Best Effort</w:t>
      </w:r>
      <w:r w:rsidRPr="005F287B">
        <w:rPr>
          <w:rFonts w:ascii="ITC Avant Garde" w:eastAsiaTheme="minorHAnsi" w:hAnsi="ITC Avant Garde"/>
          <w:lang w:val="es-MX"/>
        </w:rPr>
        <w:t xml:space="preserve"> para la provisión de acceso a internet y de calidad </w:t>
      </w:r>
      <w:r w:rsidRPr="005F287B">
        <w:rPr>
          <w:rFonts w:ascii="ITC Avant Garde" w:eastAsiaTheme="minorHAnsi" w:hAnsi="ITC Avant Garde"/>
          <w:i/>
          <w:lang w:val="es-MX"/>
        </w:rPr>
        <w:t>VoIP</w:t>
      </w:r>
      <w:r w:rsidR="000B71F6" w:rsidRPr="005F287B">
        <w:rPr>
          <w:rStyle w:val="Refdenotaalpie"/>
          <w:rFonts w:ascii="ITC Avant Garde" w:eastAsiaTheme="minorHAnsi" w:hAnsi="ITC Avant Garde"/>
          <w:i/>
          <w:lang w:val="es-MX"/>
        </w:rPr>
        <w:footnoteReference w:id="10"/>
      </w:r>
      <w:r w:rsidRPr="005F287B">
        <w:rPr>
          <w:rFonts w:ascii="ITC Avant Garde" w:eastAsiaTheme="minorHAnsi" w:hAnsi="ITC Avant Garde"/>
          <w:lang w:val="es-MX"/>
        </w:rPr>
        <w:t xml:space="preserve"> para el empaquetamiento con telefonía fija. Los servicios de reven</w:t>
      </w:r>
      <w:r w:rsidR="007D6D59" w:rsidRPr="005F287B">
        <w:rPr>
          <w:rFonts w:ascii="ITC Avant Garde" w:eastAsiaTheme="minorHAnsi" w:hAnsi="ITC Avant Garde"/>
          <w:lang w:val="es-MX"/>
        </w:rPr>
        <w:t>ta no se consideran debido a que no es necesario que el concesionario solicitante realice una instalación mayor a la colocación del m</w:t>
      </w:r>
      <w:r w:rsidR="0081325C" w:rsidRPr="005F287B">
        <w:rPr>
          <w:rFonts w:ascii="ITC Avant Garde" w:eastAsiaTheme="minorHAnsi" w:hAnsi="ITC Avant Garde"/>
          <w:lang w:val="es-MX"/>
        </w:rPr>
        <w:t>ó</w:t>
      </w:r>
      <w:r w:rsidR="007D6D59" w:rsidRPr="005F287B">
        <w:rPr>
          <w:rFonts w:ascii="ITC Avant Garde" w:eastAsiaTheme="minorHAnsi" w:hAnsi="ITC Avant Garde"/>
          <w:lang w:val="es-MX"/>
        </w:rPr>
        <w:t>dem en el domicilio del usuario.</w:t>
      </w:r>
    </w:p>
    <w:p w:rsidR="00BF5F5A" w:rsidRPr="005F287B" w:rsidRDefault="00BF5F5A" w:rsidP="0069622D">
      <w:pPr>
        <w:pStyle w:val="ParaBullet1"/>
        <w:numPr>
          <w:ilvl w:val="0"/>
          <w:numId w:val="0"/>
        </w:numPr>
        <w:spacing w:before="0" w:after="0" w:line="240" w:lineRule="auto"/>
        <w:rPr>
          <w:rFonts w:ascii="ITC Avant Garde" w:eastAsiaTheme="minorHAnsi" w:hAnsi="ITC Avant Garde"/>
          <w:lang w:val="es-MX"/>
        </w:rPr>
      </w:pPr>
    </w:p>
    <w:p w:rsidR="00AC5793" w:rsidRPr="005F287B" w:rsidRDefault="00A44027"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Persiguiendo</w:t>
      </w:r>
      <w:r w:rsidR="00BC2160" w:rsidRPr="005F287B">
        <w:rPr>
          <w:rFonts w:ascii="ITC Avant Garde" w:hAnsi="ITC Avant Garde" w:cs="Arial"/>
          <w:color w:val="000000" w:themeColor="text1"/>
        </w:rPr>
        <w:t xml:space="preserve"> objetivos similares </w:t>
      </w:r>
      <w:r w:rsidR="007902FE" w:rsidRPr="005F287B">
        <w:rPr>
          <w:rFonts w:ascii="ITC Avant Garde" w:hAnsi="ITC Avant Garde" w:cs="Arial"/>
          <w:color w:val="000000" w:themeColor="text1"/>
        </w:rPr>
        <w:t>para e</w:t>
      </w:r>
      <w:r w:rsidR="00BC2160" w:rsidRPr="005F287B">
        <w:rPr>
          <w:rFonts w:ascii="ITC Avant Garde" w:hAnsi="ITC Avant Garde" w:cs="Arial"/>
          <w:color w:val="000000" w:themeColor="text1"/>
        </w:rPr>
        <w:t>l caso del servicio de banda ancha fija</w:t>
      </w:r>
      <w:r w:rsidR="00A20C96" w:rsidRPr="005F287B">
        <w:rPr>
          <w:rFonts w:ascii="ITC Avant Garde" w:hAnsi="ITC Avant Garde" w:cs="Arial"/>
          <w:color w:val="000000" w:themeColor="text1"/>
        </w:rPr>
        <w:t xml:space="preserve"> sola</w:t>
      </w:r>
      <w:r w:rsidR="00BC2160" w:rsidRPr="005F287B">
        <w:rPr>
          <w:rFonts w:ascii="ITC Avant Garde" w:hAnsi="ITC Avant Garde" w:cs="Arial"/>
          <w:color w:val="000000" w:themeColor="text1"/>
        </w:rPr>
        <w:t xml:space="preserve">, la especificación de la prueba para los servicios empaquetados de banda ancha también </w:t>
      </w:r>
      <w:r w:rsidR="007902FE" w:rsidRPr="005F287B">
        <w:rPr>
          <w:rFonts w:ascii="ITC Avant Garde" w:hAnsi="ITC Avant Garde" w:cs="Arial"/>
          <w:color w:val="000000" w:themeColor="text1"/>
        </w:rPr>
        <w:t xml:space="preserve">es </w:t>
      </w:r>
      <w:r w:rsidR="00BC2160" w:rsidRPr="005F287B">
        <w:rPr>
          <w:rFonts w:ascii="ITC Avant Garde" w:hAnsi="ITC Avant Garde" w:cs="Arial"/>
          <w:color w:val="000000" w:themeColor="text1"/>
        </w:rPr>
        <w:t>similar. Cada un</w:t>
      </w:r>
      <w:r w:rsidR="00A35440" w:rsidRPr="005F287B">
        <w:rPr>
          <w:rFonts w:ascii="ITC Avant Garde" w:hAnsi="ITC Avant Garde" w:cs="Arial"/>
          <w:color w:val="000000" w:themeColor="text1"/>
        </w:rPr>
        <w:t>a</w:t>
      </w:r>
      <w:r w:rsidR="00BC2160" w:rsidRPr="005F287B">
        <w:rPr>
          <w:rFonts w:ascii="ITC Avant Garde" w:hAnsi="ITC Avant Garde" w:cs="Arial"/>
          <w:color w:val="000000" w:themeColor="text1"/>
        </w:rPr>
        <w:t xml:space="preserve"> de estas pruebas se realizará por separado para cada modalidad de acceso mayorista</w:t>
      </w:r>
      <w:r w:rsidR="004D545D" w:rsidRPr="005F287B">
        <w:rPr>
          <w:rFonts w:ascii="ITC Avant Garde" w:hAnsi="ITC Avant Garde" w:cs="Arial"/>
          <w:color w:val="000000" w:themeColor="text1"/>
        </w:rPr>
        <w:t xml:space="preserve">. </w:t>
      </w:r>
    </w:p>
    <w:p w:rsidR="00AC5793" w:rsidRPr="005F287B" w:rsidRDefault="00AC5793" w:rsidP="0069622D">
      <w:pPr>
        <w:spacing w:after="0" w:line="240" w:lineRule="auto"/>
        <w:jc w:val="both"/>
        <w:rPr>
          <w:rFonts w:ascii="ITC Avant Garde" w:hAnsi="ITC Avant Garde" w:cs="Arial"/>
          <w:color w:val="000000" w:themeColor="text1"/>
        </w:rPr>
      </w:pPr>
    </w:p>
    <w:p w:rsidR="00BC2160" w:rsidRPr="005F287B" w:rsidRDefault="004D545D"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En l</w:t>
      </w:r>
      <w:r w:rsidR="00E61557" w:rsidRPr="005F287B">
        <w:rPr>
          <w:rFonts w:ascii="ITC Avant Garde" w:hAnsi="ITC Avant Garde" w:cs="Arial"/>
          <w:color w:val="000000" w:themeColor="text1"/>
        </w:rPr>
        <w:t>o</w:t>
      </w:r>
      <w:r w:rsidRPr="005F287B">
        <w:rPr>
          <w:rFonts w:ascii="ITC Avant Garde" w:hAnsi="ITC Avant Garde" w:cs="Arial"/>
          <w:color w:val="000000" w:themeColor="text1"/>
        </w:rPr>
        <w:t xml:space="preserve">s </w:t>
      </w:r>
      <w:r w:rsidR="005B2509" w:rsidRPr="005F287B">
        <w:rPr>
          <w:rFonts w:ascii="ITC Avant Garde" w:hAnsi="ITC Avant Garde" w:cs="Arial"/>
          <w:color w:val="000000" w:themeColor="text1"/>
        </w:rPr>
        <w:t>argumentos</w:t>
      </w:r>
      <w:r w:rsidR="00E61557" w:rsidRPr="005F287B">
        <w:rPr>
          <w:rFonts w:ascii="ITC Avant Garde" w:hAnsi="ITC Avant Garde" w:cs="Arial"/>
          <w:color w:val="000000" w:themeColor="text1"/>
        </w:rPr>
        <w:t xml:space="preserve"> </w:t>
      </w:r>
      <w:r w:rsidRPr="005F287B">
        <w:rPr>
          <w:rFonts w:ascii="ITC Avant Garde" w:hAnsi="ITC Avant Garde" w:cs="Arial"/>
          <w:color w:val="000000" w:themeColor="text1"/>
        </w:rPr>
        <w:t xml:space="preserve">se menciona que los servicios mayoristas propuestos para prestar los servicios de empaquetamiento omiten servicios que el AEP comercializa, sin embargo, </w:t>
      </w:r>
      <w:r w:rsidR="00A35440" w:rsidRPr="005F287B">
        <w:rPr>
          <w:rFonts w:ascii="ITC Avant Garde" w:hAnsi="ITC Avant Garde" w:cs="Arial"/>
          <w:color w:val="000000" w:themeColor="text1"/>
        </w:rPr>
        <w:t xml:space="preserve">debe </w:t>
      </w:r>
      <w:r w:rsidR="00777840" w:rsidRPr="005F287B">
        <w:rPr>
          <w:rFonts w:ascii="ITC Avant Garde" w:hAnsi="ITC Avant Garde" w:cs="Arial"/>
          <w:color w:val="000000" w:themeColor="text1"/>
        </w:rPr>
        <w:t>señalarse que únicamente se consideran los servicios de telecomunicaciones.</w:t>
      </w:r>
    </w:p>
    <w:p w:rsidR="00BF5F5A" w:rsidRPr="005F287B" w:rsidRDefault="00BF5F5A" w:rsidP="0069622D">
      <w:pPr>
        <w:spacing w:after="0" w:line="240" w:lineRule="auto"/>
        <w:jc w:val="both"/>
        <w:rPr>
          <w:rFonts w:ascii="ITC Avant Garde" w:hAnsi="ITC Avant Garde" w:cs="Arial"/>
          <w:color w:val="000000" w:themeColor="text1"/>
        </w:rPr>
      </w:pPr>
    </w:p>
    <w:p w:rsidR="00BC2160" w:rsidRPr="005F287B" w:rsidRDefault="005B2509"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Con r</w:t>
      </w:r>
      <w:r w:rsidR="00A20C96" w:rsidRPr="005F287B">
        <w:rPr>
          <w:rFonts w:ascii="ITC Avant Garde" w:hAnsi="ITC Avant Garde" w:cs="Arial"/>
          <w:color w:val="000000" w:themeColor="text1"/>
        </w:rPr>
        <w:t xml:space="preserve">especto a la </w:t>
      </w:r>
      <w:r w:rsidR="004A0CFF" w:rsidRPr="005F287B">
        <w:rPr>
          <w:rFonts w:ascii="ITC Avant Garde" w:hAnsi="ITC Avant Garde" w:cs="Arial"/>
          <w:color w:val="000000" w:themeColor="text1"/>
        </w:rPr>
        <w:t xml:space="preserve">observación </w:t>
      </w:r>
      <w:r w:rsidR="00A20C96" w:rsidRPr="005F287B">
        <w:rPr>
          <w:rFonts w:ascii="ITC Avant Garde" w:hAnsi="ITC Avant Garde" w:cs="Arial"/>
          <w:color w:val="000000" w:themeColor="text1"/>
        </w:rPr>
        <w:t>de</w:t>
      </w:r>
      <w:r w:rsidR="004A0CFF" w:rsidRPr="005F287B">
        <w:rPr>
          <w:rFonts w:ascii="ITC Avant Garde" w:hAnsi="ITC Avant Garde" w:cs="Arial"/>
          <w:color w:val="000000" w:themeColor="text1"/>
        </w:rPr>
        <w:t xml:space="preserve"> que</w:t>
      </w:r>
      <w:r w:rsidR="00A20C96" w:rsidRPr="005F287B">
        <w:rPr>
          <w:rFonts w:ascii="ITC Avant Garde" w:hAnsi="ITC Avant Garde" w:cs="Arial"/>
          <w:color w:val="000000" w:themeColor="text1"/>
        </w:rPr>
        <w:t xml:space="preserve"> se evalúe la replicabilidad para cada servicio mayorista por separado, con base en lo señalado con anterioridad, </w:t>
      </w:r>
      <w:r w:rsidR="00704F1B" w:rsidRPr="005F287B">
        <w:rPr>
          <w:rFonts w:ascii="ITC Avant Garde" w:hAnsi="ITC Avant Garde" w:cs="Arial"/>
          <w:color w:val="000000" w:themeColor="text1"/>
        </w:rPr>
        <w:t xml:space="preserve">debe </w:t>
      </w:r>
      <w:r w:rsidR="00A20C96" w:rsidRPr="005F287B">
        <w:rPr>
          <w:rFonts w:ascii="ITC Avant Garde" w:hAnsi="ITC Avant Garde" w:cs="Arial"/>
          <w:color w:val="000000" w:themeColor="text1"/>
        </w:rPr>
        <w:t>destacarse que la prueba sí evalúa la replicabilidad para cada servicio mayorista por separado</w:t>
      </w:r>
      <w:r w:rsidR="00821CBA" w:rsidRPr="005F287B">
        <w:rPr>
          <w:rFonts w:ascii="ITC Avant Garde" w:hAnsi="ITC Avant Garde" w:cs="Arial"/>
          <w:color w:val="000000" w:themeColor="text1"/>
        </w:rPr>
        <w:t>.</w:t>
      </w:r>
    </w:p>
    <w:p w:rsidR="00BF5F5A" w:rsidRPr="005F287B" w:rsidRDefault="00BF5F5A" w:rsidP="0069622D">
      <w:pPr>
        <w:spacing w:after="0" w:line="240" w:lineRule="auto"/>
        <w:jc w:val="both"/>
        <w:rPr>
          <w:rFonts w:ascii="ITC Avant Garde" w:hAnsi="ITC Avant Garde"/>
          <w:color w:val="000000" w:themeColor="text1"/>
        </w:rPr>
      </w:pPr>
    </w:p>
    <w:p w:rsidR="00BF5F5A" w:rsidRPr="005F287B" w:rsidRDefault="00213D1D" w:rsidP="008D5ABE">
      <w:pPr>
        <w:pStyle w:val="Ttulo2"/>
        <w:spacing w:before="0" w:line="240" w:lineRule="auto"/>
        <w:jc w:val="both"/>
        <w:rPr>
          <w:rFonts w:ascii="ITC Avant Garde" w:hAnsi="ITC Avant Garde"/>
          <w:b/>
          <w:color w:val="000000" w:themeColor="text1"/>
          <w:sz w:val="22"/>
          <w:szCs w:val="22"/>
        </w:rPr>
      </w:pPr>
      <w:r w:rsidRPr="005F287B">
        <w:rPr>
          <w:rFonts w:ascii="ITC Avant Garde" w:hAnsi="ITC Avant Garde"/>
          <w:b/>
          <w:color w:val="000000" w:themeColor="text1"/>
          <w:sz w:val="22"/>
          <w:szCs w:val="22"/>
        </w:rPr>
        <w:t>Tema: Supuestos de la prueba</w:t>
      </w:r>
    </w:p>
    <w:p w:rsidR="00F87E24" w:rsidRPr="005F287B" w:rsidRDefault="00F87E24" w:rsidP="00BF5F5A">
      <w:pPr>
        <w:spacing w:after="0" w:line="240" w:lineRule="auto"/>
        <w:jc w:val="both"/>
        <w:rPr>
          <w:rFonts w:ascii="ITC Avant Garde" w:hAnsi="ITC Avant Garde" w:cs="Arial"/>
          <w:color w:val="000000" w:themeColor="text1"/>
        </w:rPr>
      </w:pPr>
    </w:p>
    <w:p w:rsidR="00213D1D" w:rsidRPr="005F287B" w:rsidRDefault="00213D1D" w:rsidP="00BF5F5A">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Se sugieren utilizar parámetros distintos a los establecidos en el modelo que se presentó en la consulta pública. A </w:t>
      </w:r>
      <w:r w:rsidR="00BF5F5A" w:rsidRPr="005F287B">
        <w:rPr>
          <w:rFonts w:ascii="ITC Avant Garde" w:hAnsi="ITC Avant Garde" w:cs="Arial"/>
          <w:color w:val="000000" w:themeColor="text1"/>
        </w:rPr>
        <w:t>continuación,</w:t>
      </w:r>
      <w:r w:rsidRPr="005F287B">
        <w:rPr>
          <w:rFonts w:ascii="ITC Avant Garde" w:hAnsi="ITC Avant Garde" w:cs="Arial"/>
          <w:color w:val="000000" w:themeColor="text1"/>
        </w:rPr>
        <w:t xml:space="preserve"> se mencionan los argumentos presentados:</w:t>
      </w:r>
    </w:p>
    <w:p w:rsidR="00BF5F5A" w:rsidRPr="005F287B" w:rsidRDefault="00BF5F5A" w:rsidP="00BF5F5A">
      <w:pPr>
        <w:spacing w:after="0" w:line="240" w:lineRule="auto"/>
        <w:jc w:val="both"/>
        <w:rPr>
          <w:rFonts w:ascii="ITC Avant Garde" w:hAnsi="ITC Avant Garde" w:cs="Arial"/>
          <w:color w:val="000000" w:themeColor="text1"/>
        </w:rPr>
      </w:pPr>
    </w:p>
    <w:p w:rsidR="00213D1D" w:rsidRPr="005F287B" w:rsidRDefault="00213D1D" w:rsidP="0069622D">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Utilizar un Costo Promedio Ponderado de Capital (en lo sucesivo, “WACC”) promedio de la industria que refleje de manera más puntual el tamaño y capacidad de obtener recursos de capital de las empresas comparables al AEP, y con ello se obtengan valores presentes de los flujos futuros más acorde a la realidad económica y financiera de cualquier concesionario solicitante. Se señala que los WACC de Televisa (12.3%), Megacable (11.7%) y Axtel (10.4%), las cuales promedian 11.47%. Se aclara que el WACC del AEP será más bajo que el del resto.</w:t>
      </w:r>
    </w:p>
    <w:p w:rsidR="00BF5F5A" w:rsidRPr="005F287B" w:rsidRDefault="00BF5F5A" w:rsidP="00BF5F5A">
      <w:pPr>
        <w:pStyle w:val="Prrafodelista"/>
        <w:spacing w:after="0" w:line="240" w:lineRule="auto"/>
        <w:contextualSpacing w:val="0"/>
        <w:jc w:val="both"/>
        <w:rPr>
          <w:rFonts w:ascii="ITC Avant Garde" w:hAnsi="ITC Avant Garde" w:cs="Arial"/>
          <w:color w:val="000000" w:themeColor="text1"/>
        </w:rPr>
      </w:pPr>
    </w:p>
    <w:p w:rsidR="00213D1D" w:rsidRPr="005F287B" w:rsidRDefault="00213D1D" w:rsidP="0069622D">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No se considera congruente utilizar la WACC del AEP ya que no es un reflejo adecuado de las condiciones del mercado.</w:t>
      </w:r>
    </w:p>
    <w:p w:rsidR="00BF5F5A" w:rsidRPr="005F287B" w:rsidRDefault="00BF5F5A" w:rsidP="00BF5F5A">
      <w:pPr>
        <w:pStyle w:val="Prrafodelista"/>
        <w:rPr>
          <w:rFonts w:ascii="ITC Avant Garde" w:hAnsi="ITC Avant Garde" w:cs="Arial"/>
          <w:color w:val="000000" w:themeColor="text1"/>
        </w:rPr>
      </w:pPr>
    </w:p>
    <w:p w:rsidR="00213D1D" w:rsidRPr="005F287B" w:rsidRDefault="00213D1D" w:rsidP="0069622D">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Respecto al margen final con el que es posible acreditar la prueba, se debe de definir un margen razonable y equitativo.</w:t>
      </w:r>
    </w:p>
    <w:p w:rsidR="00BF5F5A" w:rsidRPr="005F287B" w:rsidRDefault="00BF5F5A" w:rsidP="00BF5F5A">
      <w:pPr>
        <w:pStyle w:val="Prrafodelista"/>
        <w:rPr>
          <w:rFonts w:ascii="ITC Avant Garde" w:hAnsi="ITC Avant Garde" w:cs="Arial"/>
          <w:color w:val="000000" w:themeColor="text1"/>
        </w:rPr>
      </w:pPr>
    </w:p>
    <w:p w:rsidR="00213D1D" w:rsidRPr="005F287B" w:rsidRDefault="00213D1D" w:rsidP="0069622D">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Los concesionarios solicitantes tendrán una penetración “más lenta” por la resistencia del AEP a permitir el desarrollo de los servicios de desagregación. Al respecto, se estima que un concesionario entrante podría en tres años lograr una participación de mercado entre el 0.5% y 1.0%, es decir, entre 80,000 y 160,000 suscriptores de SAIB. En lo que respecta a la desagregación total, en una ventana de tiempo de tres años, se estima una participación de entre 1,000 y 2,000 suscriptores.</w:t>
      </w:r>
    </w:p>
    <w:p w:rsidR="00D33A85" w:rsidRPr="005F287B" w:rsidRDefault="00D33A85" w:rsidP="005F287B">
      <w:pPr>
        <w:spacing w:after="0" w:line="240" w:lineRule="auto"/>
        <w:jc w:val="both"/>
        <w:rPr>
          <w:rFonts w:ascii="ITC Avant Garde" w:hAnsi="ITC Avant Garde" w:cs="Arial"/>
          <w:color w:val="000000" w:themeColor="text1"/>
        </w:rPr>
      </w:pPr>
    </w:p>
    <w:p w:rsidR="00213D1D" w:rsidRPr="005F287B" w:rsidRDefault="00213D1D" w:rsidP="0069622D">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Respecto al parámetro de periodo de amortización utilizado en la prueba, se señala que comparativos internacionales, como los de la OECD, amortizan los costos de instalación a 60 meses.</w:t>
      </w:r>
    </w:p>
    <w:p w:rsidR="00BF5F5A" w:rsidRPr="005F287B" w:rsidRDefault="00BF5F5A" w:rsidP="00BF5F5A">
      <w:pPr>
        <w:spacing w:after="0" w:line="240" w:lineRule="auto"/>
        <w:ind w:left="360"/>
        <w:jc w:val="both"/>
        <w:rPr>
          <w:rFonts w:ascii="ITC Avant Garde" w:hAnsi="ITC Avant Garde" w:cs="Arial"/>
          <w:color w:val="000000" w:themeColor="text1"/>
        </w:rPr>
      </w:pPr>
    </w:p>
    <w:p w:rsidR="00213D1D" w:rsidRPr="005F287B" w:rsidRDefault="00213D1D" w:rsidP="0069622D">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Con referencia al horizonte temporal utilizado en la prueba, se considera que un periodo de 12 meses es el adecuado para amortizar los flujos de pago ya que la mayoría de los contratos con a 12 meses.</w:t>
      </w:r>
    </w:p>
    <w:p w:rsidR="00BF5F5A" w:rsidRPr="005F287B" w:rsidRDefault="00BF5F5A" w:rsidP="00BF5F5A">
      <w:pPr>
        <w:pStyle w:val="Prrafodelista"/>
        <w:rPr>
          <w:rFonts w:ascii="ITC Avant Garde" w:hAnsi="ITC Avant Garde" w:cs="Arial"/>
          <w:color w:val="000000" w:themeColor="text1"/>
        </w:rPr>
      </w:pPr>
    </w:p>
    <w:p w:rsidR="00213D1D" w:rsidRPr="005F287B" w:rsidRDefault="00213D1D" w:rsidP="0069622D">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En relación a la vida útil de los clientes, se considera que el AEP tiene un periodo de vida útil mayor pues los clientes de los concesionarios son “más informados respecto a sus alternativas de planes tarifarios”.</w:t>
      </w:r>
    </w:p>
    <w:p w:rsidR="00BF5F5A" w:rsidRPr="005F287B" w:rsidRDefault="00BF5F5A" w:rsidP="00BF5F5A">
      <w:pPr>
        <w:pStyle w:val="Prrafodelista"/>
        <w:rPr>
          <w:rFonts w:ascii="ITC Avant Garde" w:hAnsi="ITC Avant Garde" w:cs="Arial"/>
          <w:color w:val="000000" w:themeColor="text1"/>
        </w:rPr>
      </w:pPr>
    </w:p>
    <w:p w:rsidR="00213D1D" w:rsidRPr="005F287B" w:rsidRDefault="00213D1D" w:rsidP="0069622D">
      <w:pPr>
        <w:pStyle w:val="Prrafodelista"/>
        <w:numPr>
          <w:ilvl w:val="0"/>
          <w:numId w:val="1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En relación al periodo de amortización de los pagos mayoristas, se considera que debería ser congruentes con los que se utilizan en los modelos para la determinación de tarifas mayoristas.</w:t>
      </w:r>
    </w:p>
    <w:p w:rsidR="00BF5F5A" w:rsidRPr="005F287B" w:rsidRDefault="00BF5F5A" w:rsidP="00BF5F5A">
      <w:pPr>
        <w:pStyle w:val="Prrafodelista"/>
        <w:rPr>
          <w:rFonts w:ascii="ITC Avant Garde" w:hAnsi="ITC Avant Garde" w:cs="Arial"/>
          <w:color w:val="000000" w:themeColor="text1"/>
        </w:rPr>
      </w:pPr>
    </w:p>
    <w:p w:rsidR="00055EC9" w:rsidRPr="005F287B" w:rsidRDefault="00213D1D" w:rsidP="005F287B">
      <w:pPr>
        <w:pStyle w:val="Prrafodelista"/>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Con relación al número de usuarios o las “cuotas de acuerdo”, se señala que la experiencia internacional muestra fundamental el uso de la escalera de inversión. Esta escalera atiende no solo al número de usuarios, sino también al número de equipos o infraestructura instalada, afectando su eficiencia. Se resalta que cada caso es particular y depende de los planes de largo plazo de cada operador.</w:t>
      </w:r>
    </w:p>
    <w:p w:rsidR="00BF5F5A" w:rsidRPr="005F287B" w:rsidRDefault="00BF5F5A" w:rsidP="005F287B">
      <w:pPr>
        <w:pStyle w:val="Prrafodelista"/>
        <w:spacing w:after="0" w:line="240" w:lineRule="auto"/>
        <w:contextualSpacing w:val="0"/>
        <w:jc w:val="both"/>
        <w:rPr>
          <w:rFonts w:ascii="ITC Avant Garde" w:hAnsi="ITC Avant Garde" w:cs="Arial"/>
          <w:color w:val="000000" w:themeColor="text1"/>
        </w:rPr>
      </w:pPr>
    </w:p>
    <w:p w:rsidR="00213D1D" w:rsidRPr="005F287B" w:rsidRDefault="008D5ABE" w:rsidP="0069622D">
      <w:pPr>
        <w:spacing w:after="0" w:line="240" w:lineRule="auto"/>
        <w:jc w:val="both"/>
        <w:rPr>
          <w:rFonts w:ascii="ITC Avant Garde" w:hAnsi="ITC Avant Garde" w:cs="Arial"/>
          <w:b/>
          <w:color w:val="000000" w:themeColor="text1"/>
        </w:rPr>
      </w:pPr>
      <w:r w:rsidRPr="005F287B">
        <w:rPr>
          <w:rFonts w:ascii="ITC Avant Garde" w:hAnsi="ITC Avant Garde" w:cs="Arial"/>
          <w:b/>
          <w:color w:val="000000" w:themeColor="text1"/>
        </w:rPr>
        <w:t>Consideraciones del Instituto</w:t>
      </w:r>
      <w:r w:rsidR="00BF5F5A" w:rsidRPr="005F287B">
        <w:rPr>
          <w:rFonts w:ascii="ITC Avant Garde" w:hAnsi="ITC Avant Garde" w:cs="Arial"/>
          <w:b/>
          <w:color w:val="000000" w:themeColor="text1"/>
        </w:rPr>
        <w:t>:</w:t>
      </w:r>
    </w:p>
    <w:p w:rsidR="00BF5F5A" w:rsidRPr="005F287B" w:rsidRDefault="00BF5F5A" w:rsidP="0069622D">
      <w:pPr>
        <w:spacing w:after="0" w:line="240" w:lineRule="auto"/>
        <w:jc w:val="both"/>
        <w:rPr>
          <w:rFonts w:ascii="ITC Avant Garde" w:hAnsi="ITC Avant Garde" w:cs="Arial"/>
          <w:b/>
          <w:color w:val="000000" w:themeColor="text1"/>
        </w:rPr>
      </w:pPr>
    </w:p>
    <w:p w:rsidR="00213D1D" w:rsidRPr="005F287B" w:rsidRDefault="0087660A"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Con el</w:t>
      </w:r>
      <w:r w:rsidR="00213D1D" w:rsidRPr="005F287B">
        <w:rPr>
          <w:rFonts w:ascii="ITC Avant Garde" w:hAnsi="ITC Avant Garde" w:cs="Arial"/>
          <w:color w:val="000000" w:themeColor="text1"/>
        </w:rPr>
        <w:t xml:space="preserve"> fin de asegurar que los elementos de las pruebas</w:t>
      </w:r>
      <w:r w:rsidRPr="005F287B">
        <w:rPr>
          <w:rFonts w:ascii="ITC Avant Garde" w:hAnsi="ITC Avant Garde" w:cs="Arial"/>
          <w:color w:val="000000" w:themeColor="text1"/>
        </w:rPr>
        <w:t xml:space="preserve"> de replicabilidad,</w:t>
      </w:r>
      <w:r w:rsidR="00213D1D" w:rsidRPr="005F287B">
        <w:rPr>
          <w:rFonts w:ascii="ITC Avant Garde" w:hAnsi="ITC Avant Garde" w:cs="Arial"/>
          <w:color w:val="000000" w:themeColor="text1"/>
        </w:rPr>
        <w:t xml:space="preserve"> tanto ex-ante como ex-post</w:t>
      </w:r>
      <w:r w:rsidRPr="005F287B">
        <w:rPr>
          <w:rFonts w:ascii="ITC Avant Garde" w:hAnsi="ITC Avant Garde" w:cs="Arial"/>
          <w:color w:val="000000" w:themeColor="text1"/>
        </w:rPr>
        <w:t>,</w:t>
      </w:r>
      <w:r w:rsidR="00213D1D" w:rsidRPr="005F287B">
        <w:rPr>
          <w:rFonts w:ascii="ITC Avant Garde" w:hAnsi="ITC Avant Garde" w:cs="Arial"/>
          <w:color w:val="000000" w:themeColor="text1"/>
        </w:rPr>
        <w:t xml:space="preserve"> sean lo más precisos y eficaces, </w:t>
      </w:r>
      <w:r w:rsidR="00F4594A" w:rsidRPr="005F287B">
        <w:rPr>
          <w:rFonts w:ascii="ITC Avant Garde" w:hAnsi="ITC Avant Garde" w:cs="Arial"/>
          <w:color w:val="000000" w:themeColor="text1"/>
        </w:rPr>
        <w:t xml:space="preserve">los supuestos </w:t>
      </w:r>
      <w:r w:rsidR="00213D1D" w:rsidRPr="005F287B">
        <w:rPr>
          <w:rFonts w:ascii="ITC Avant Garde" w:hAnsi="ITC Avant Garde" w:cs="Arial"/>
          <w:color w:val="000000" w:themeColor="text1"/>
        </w:rPr>
        <w:t xml:space="preserve">podrán actualizarse para adecuar </w:t>
      </w:r>
      <w:r w:rsidR="00F4594A" w:rsidRPr="005F287B">
        <w:rPr>
          <w:rFonts w:ascii="ITC Avant Garde" w:hAnsi="ITC Avant Garde" w:cs="Arial"/>
          <w:color w:val="000000" w:themeColor="text1"/>
        </w:rPr>
        <w:t xml:space="preserve">los </w:t>
      </w:r>
      <w:r w:rsidR="00213D1D" w:rsidRPr="005F287B">
        <w:rPr>
          <w:rFonts w:ascii="ITC Avant Garde" w:hAnsi="ITC Avant Garde" w:cs="Arial"/>
          <w:color w:val="000000" w:themeColor="text1"/>
        </w:rPr>
        <w:t>valores</w:t>
      </w:r>
      <w:r w:rsidR="00F4594A" w:rsidRPr="005F287B">
        <w:rPr>
          <w:rFonts w:ascii="ITC Avant Garde" w:hAnsi="ITC Avant Garde" w:cs="Arial"/>
          <w:color w:val="000000" w:themeColor="text1"/>
        </w:rPr>
        <w:t xml:space="preserve"> de acuerdo a las condiciones del mercado</w:t>
      </w:r>
      <w:r w:rsidR="00213D1D" w:rsidRPr="005F287B">
        <w:rPr>
          <w:rFonts w:ascii="ITC Avant Garde" w:hAnsi="ITC Avant Garde" w:cs="Arial"/>
          <w:color w:val="000000" w:themeColor="text1"/>
        </w:rPr>
        <w:t>, así como las tarifas de los servicios mayoristas de las ofertas de referencia.</w:t>
      </w:r>
    </w:p>
    <w:p w:rsidR="00BF5F5A" w:rsidRPr="005F287B" w:rsidRDefault="00BF5F5A" w:rsidP="0069622D">
      <w:pPr>
        <w:spacing w:after="0" w:line="240" w:lineRule="auto"/>
        <w:jc w:val="both"/>
        <w:rPr>
          <w:rFonts w:ascii="ITC Avant Garde" w:hAnsi="ITC Avant Garde" w:cs="Arial"/>
          <w:color w:val="000000" w:themeColor="text1"/>
        </w:rPr>
      </w:pPr>
    </w:p>
    <w:p w:rsidR="00BF5F5A" w:rsidRPr="005F287B" w:rsidRDefault="00213D1D" w:rsidP="0069622D">
      <w:pPr>
        <w:spacing w:after="0" w:line="240" w:lineRule="auto"/>
        <w:jc w:val="both"/>
        <w:rPr>
          <w:rFonts w:ascii="ITC Avant Garde" w:hAnsi="ITC Avant Garde" w:cs="Arial"/>
          <w:color w:val="000000" w:themeColor="text1"/>
        </w:rPr>
      </w:pPr>
      <w:r w:rsidRPr="005F287B">
        <w:rPr>
          <w:rFonts w:ascii="ITC Avant Garde" w:hAnsi="ITC Avant Garde" w:cs="Arial"/>
          <w:color w:val="000000" w:themeColor="text1"/>
        </w:rPr>
        <w:t xml:space="preserve">Habiendo dicho lo anterior, </w:t>
      </w:r>
      <w:r w:rsidR="008154D8" w:rsidRPr="005F287B">
        <w:rPr>
          <w:rFonts w:ascii="ITC Avant Garde" w:hAnsi="ITC Avant Garde" w:cs="Arial"/>
          <w:color w:val="000000" w:themeColor="text1"/>
        </w:rPr>
        <w:t>se debe</w:t>
      </w:r>
      <w:r w:rsidR="00917A74" w:rsidRPr="005F287B">
        <w:rPr>
          <w:rFonts w:ascii="ITC Avant Garde" w:hAnsi="ITC Avant Garde" w:cs="Arial"/>
          <w:color w:val="000000" w:themeColor="text1"/>
        </w:rPr>
        <w:t>n</w:t>
      </w:r>
      <w:r w:rsidRPr="005F287B">
        <w:rPr>
          <w:rFonts w:ascii="ITC Avant Garde" w:hAnsi="ITC Avant Garde" w:cs="Arial"/>
          <w:color w:val="000000" w:themeColor="text1"/>
        </w:rPr>
        <w:t xml:space="preserve"> destacar los siguientes puntos relacionados con las sugerencias propuestas en la consulta:</w:t>
      </w:r>
    </w:p>
    <w:p w:rsidR="00BF5F5A" w:rsidRPr="005F287B" w:rsidRDefault="00BF5F5A" w:rsidP="0069622D">
      <w:pPr>
        <w:spacing w:after="0" w:line="240" w:lineRule="auto"/>
        <w:jc w:val="both"/>
        <w:rPr>
          <w:rFonts w:ascii="ITC Avant Garde" w:hAnsi="ITC Avant Garde" w:cs="Arial"/>
          <w:color w:val="000000" w:themeColor="text1"/>
        </w:rPr>
      </w:pPr>
    </w:p>
    <w:p w:rsidR="00213D1D" w:rsidRPr="005F287B" w:rsidRDefault="00213D1D" w:rsidP="0069622D">
      <w:pPr>
        <w:pStyle w:val="Prrafodelista"/>
        <w:numPr>
          <w:ilvl w:val="0"/>
          <w:numId w:val="2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 xml:space="preserve">La elección WACC a utilizar </w:t>
      </w:r>
      <w:r w:rsidR="004E49AA">
        <w:rPr>
          <w:rFonts w:ascii="ITC Avant Garde" w:hAnsi="ITC Avant Garde" w:cs="Arial"/>
          <w:color w:val="000000" w:themeColor="text1"/>
        </w:rPr>
        <w:t>debe ser congruente</w:t>
      </w:r>
      <w:r w:rsidR="0094776E" w:rsidRPr="005F287B">
        <w:rPr>
          <w:rFonts w:ascii="ITC Avant Garde" w:hAnsi="ITC Avant Garde" w:cs="Arial"/>
          <w:color w:val="000000" w:themeColor="text1"/>
        </w:rPr>
        <w:t xml:space="preserve"> con la información de costos del AEP, ya que baj</w:t>
      </w:r>
      <w:r w:rsidR="00F53F98" w:rsidRPr="005F287B">
        <w:rPr>
          <w:rFonts w:ascii="ITC Avant Garde" w:hAnsi="ITC Avant Garde" w:cs="Arial"/>
          <w:color w:val="000000" w:themeColor="text1"/>
        </w:rPr>
        <w:t xml:space="preserve">o un enfoque de eficiencia SEO se </w:t>
      </w:r>
      <w:r w:rsidR="00701AF5" w:rsidRPr="005F287B">
        <w:rPr>
          <w:rFonts w:ascii="ITC Avant Garde" w:hAnsi="ITC Avant Garde" w:cs="Arial"/>
          <w:color w:val="000000" w:themeColor="text1"/>
        </w:rPr>
        <w:t xml:space="preserve">modela la replicabilidad </w:t>
      </w:r>
      <w:r w:rsidR="00F53F98" w:rsidRPr="005F287B">
        <w:rPr>
          <w:rFonts w:ascii="ITC Avant Garde" w:hAnsi="ITC Avant Garde" w:cs="Arial"/>
          <w:color w:val="000000" w:themeColor="text1"/>
        </w:rPr>
        <w:t>de</w:t>
      </w:r>
      <w:r w:rsidR="00701AF5" w:rsidRPr="005F287B">
        <w:rPr>
          <w:rFonts w:ascii="ITC Avant Garde" w:hAnsi="ITC Avant Garde" w:cs="Arial"/>
          <w:color w:val="000000" w:themeColor="text1"/>
        </w:rPr>
        <w:t xml:space="preserve"> los servicios</w:t>
      </w:r>
      <w:r w:rsidR="00C0604B" w:rsidRPr="005F287B">
        <w:rPr>
          <w:rFonts w:ascii="ITC Avant Garde" w:hAnsi="ITC Avant Garde" w:cs="Arial"/>
          <w:color w:val="000000" w:themeColor="text1"/>
        </w:rPr>
        <w:t xml:space="preserve"> </w:t>
      </w:r>
      <w:r w:rsidR="00F53F98" w:rsidRPr="005F287B">
        <w:rPr>
          <w:rFonts w:ascii="ITC Avant Garde" w:hAnsi="ITC Avant Garde" w:cs="Arial"/>
          <w:color w:val="000000" w:themeColor="text1"/>
        </w:rPr>
        <w:t xml:space="preserve">minoristas </w:t>
      </w:r>
      <w:r w:rsidR="00C0604B" w:rsidRPr="005F287B">
        <w:rPr>
          <w:rFonts w:ascii="ITC Avant Garde" w:hAnsi="ITC Avant Garde" w:cs="Arial"/>
          <w:color w:val="000000" w:themeColor="text1"/>
        </w:rPr>
        <w:t>utilizando la función de costos</w:t>
      </w:r>
      <w:r w:rsidR="004E5D17" w:rsidRPr="005F287B">
        <w:rPr>
          <w:rFonts w:ascii="ITC Avant Garde" w:hAnsi="ITC Avant Garde" w:cs="Arial"/>
          <w:color w:val="000000" w:themeColor="text1"/>
        </w:rPr>
        <w:t xml:space="preserve"> minoristas</w:t>
      </w:r>
      <w:r w:rsidR="00C0604B" w:rsidRPr="005F287B">
        <w:rPr>
          <w:rFonts w:ascii="ITC Avant Garde" w:hAnsi="ITC Avant Garde" w:cs="Arial"/>
          <w:color w:val="000000" w:themeColor="text1"/>
        </w:rPr>
        <w:t xml:space="preserve"> del AEP</w:t>
      </w:r>
      <w:r w:rsidR="008D3671" w:rsidRPr="005F287B">
        <w:rPr>
          <w:rFonts w:ascii="ITC Avant Garde" w:hAnsi="ITC Avant Garde" w:cs="Arial"/>
          <w:color w:val="000000" w:themeColor="text1"/>
        </w:rPr>
        <w:t>, es decir, se le imputan los costos mayoristas</w:t>
      </w:r>
      <w:r w:rsidR="00C0604B" w:rsidRPr="005F287B">
        <w:rPr>
          <w:rFonts w:ascii="ITC Avant Garde" w:hAnsi="ITC Avant Garde" w:cs="Arial"/>
          <w:color w:val="000000" w:themeColor="text1"/>
        </w:rPr>
        <w:t xml:space="preserve"> como </w:t>
      </w:r>
      <w:r w:rsidR="004E49AA">
        <w:rPr>
          <w:rFonts w:ascii="ITC Avant Garde" w:hAnsi="ITC Avant Garde" w:cs="Arial"/>
          <w:color w:val="000000" w:themeColor="text1"/>
        </w:rPr>
        <w:t xml:space="preserve">si se prestara así </w:t>
      </w:r>
      <w:r w:rsidR="00C0604B" w:rsidRPr="005F287B">
        <w:rPr>
          <w:rFonts w:ascii="ITC Avant Garde" w:hAnsi="ITC Avant Garde" w:cs="Arial"/>
          <w:color w:val="000000" w:themeColor="text1"/>
        </w:rPr>
        <w:t>mismo</w:t>
      </w:r>
      <w:r w:rsidR="00701AF5" w:rsidRPr="005F287B">
        <w:rPr>
          <w:rFonts w:ascii="ITC Avant Garde" w:hAnsi="ITC Avant Garde" w:cs="Arial"/>
          <w:color w:val="000000" w:themeColor="text1"/>
        </w:rPr>
        <w:t xml:space="preserve"> </w:t>
      </w:r>
      <w:r w:rsidR="00C0604B" w:rsidRPr="005F287B">
        <w:rPr>
          <w:rFonts w:ascii="ITC Avant Garde" w:hAnsi="ITC Avant Garde" w:cs="Arial"/>
          <w:color w:val="000000" w:themeColor="text1"/>
        </w:rPr>
        <w:t>los servicios mayoristas.</w:t>
      </w:r>
      <w:r w:rsidR="0094776E" w:rsidRPr="005F287B">
        <w:rPr>
          <w:rFonts w:ascii="ITC Avant Garde" w:hAnsi="ITC Avant Garde" w:cs="Arial"/>
          <w:color w:val="000000" w:themeColor="text1"/>
        </w:rPr>
        <w:t xml:space="preserve"> </w:t>
      </w:r>
    </w:p>
    <w:p w:rsidR="00BF5F5A" w:rsidRPr="005F287B" w:rsidRDefault="00BF5F5A" w:rsidP="00BF5F5A">
      <w:pPr>
        <w:pStyle w:val="Prrafodelista"/>
        <w:spacing w:after="0" w:line="240" w:lineRule="auto"/>
        <w:contextualSpacing w:val="0"/>
        <w:jc w:val="both"/>
        <w:rPr>
          <w:rFonts w:ascii="ITC Avant Garde" w:hAnsi="ITC Avant Garde" w:cs="Arial"/>
          <w:color w:val="000000" w:themeColor="text1"/>
        </w:rPr>
      </w:pPr>
    </w:p>
    <w:p w:rsidR="00213D1D" w:rsidRPr="005F287B" w:rsidRDefault="00057377" w:rsidP="0069622D">
      <w:pPr>
        <w:pStyle w:val="Prrafodelista"/>
        <w:numPr>
          <w:ilvl w:val="0"/>
          <w:numId w:val="2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Con respecto al margen de replicabilidad</w:t>
      </w:r>
      <w:r w:rsidR="00213D1D" w:rsidRPr="005F287B">
        <w:rPr>
          <w:rFonts w:ascii="ITC Avant Garde" w:hAnsi="ITC Avant Garde" w:cs="Arial"/>
          <w:color w:val="000000" w:themeColor="text1"/>
        </w:rPr>
        <w:t>, el AEP acreditará satisfactoriamente la prueba al cumplirse la condición de que los ingresos sean mayores a los costos.</w:t>
      </w:r>
    </w:p>
    <w:p w:rsidR="00BF5F5A" w:rsidRPr="005F287B" w:rsidRDefault="00BF5F5A" w:rsidP="00BF5F5A">
      <w:pPr>
        <w:pStyle w:val="Prrafodelista"/>
        <w:rPr>
          <w:rFonts w:ascii="ITC Avant Garde" w:hAnsi="ITC Avant Garde" w:cs="Arial"/>
          <w:color w:val="000000" w:themeColor="text1"/>
        </w:rPr>
      </w:pPr>
    </w:p>
    <w:p w:rsidR="00213D1D" w:rsidRPr="005F287B" w:rsidRDefault="00213D1D" w:rsidP="0069622D">
      <w:pPr>
        <w:pStyle w:val="Prrafodelista"/>
        <w:numPr>
          <w:ilvl w:val="0"/>
          <w:numId w:val="2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Los usuarios por</w:t>
      </w:r>
      <w:r w:rsidR="00F54D16" w:rsidRPr="005F287B">
        <w:rPr>
          <w:rFonts w:ascii="ITC Avant Garde" w:hAnsi="ITC Avant Garde" w:cs="Arial"/>
          <w:color w:val="000000" w:themeColor="text1"/>
        </w:rPr>
        <w:t xml:space="preserve"> concesionario</w:t>
      </w:r>
      <w:r w:rsidRPr="005F287B">
        <w:rPr>
          <w:rFonts w:ascii="ITC Avant Garde" w:hAnsi="ITC Avant Garde" w:cs="Arial"/>
          <w:color w:val="000000" w:themeColor="text1"/>
        </w:rPr>
        <w:t xml:space="preserve"> es un parámetro de la prueba que resulta crucial para diseño de la misma. Para definir dicho parámetro, el Instituto </w:t>
      </w:r>
      <w:r w:rsidR="004D3972" w:rsidRPr="005F287B">
        <w:rPr>
          <w:rFonts w:ascii="ITC Avant Garde" w:hAnsi="ITC Avant Garde" w:cs="Arial"/>
          <w:color w:val="000000" w:themeColor="text1"/>
        </w:rPr>
        <w:t xml:space="preserve">tiene que </w:t>
      </w:r>
      <w:r w:rsidRPr="005F287B">
        <w:rPr>
          <w:rFonts w:ascii="ITC Avant Garde" w:hAnsi="ITC Avant Garde" w:cs="Arial"/>
          <w:color w:val="000000" w:themeColor="text1"/>
        </w:rPr>
        <w:t>evaluar el mercado y realizar las solicitudes de información que considere convenientes.</w:t>
      </w:r>
    </w:p>
    <w:p w:rsidR="00BF5F5A" w:rsidRPr="005F287B" w:rsidRDefault="00BF5F5A" w:rsidP="00BF5F5A">
      <w:pPr>
        <w:pStyle w:val="Prrafodelista"/>
        <w:rPr>
          <w:rFonts w:ascii="ITC Avant Garde" w:hAnsi="ITC Avant Garde" w:cs="Arial"/>
          <w:color w:val="000000" w:themeColor="text1"/>
        </w:rPr>
      </w:pPr>
    </w:p>
    <w:p w:rsidR="00213D1D" w:rsidRPr="005F287B" w:rsidRDefault="00213D1D" w:rsidP="0069622D">
      <w:pPr>
        <w:pStyle w:val="Prrafodelista"/>
        <w:numPr>
          <w:ilvl w:val="0"/>
          <w:numId w:val="2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 xml:space="preserve">El periodo de amortización </w:t>
      </w:r>
      <w:r w:rsidR="00C80168" w:rsidRPr="005F287B">
        <w:rPr>
          <w:rFonts w:ascii="ITC Avant Garde" w:hAnsi="ITC Avant Garde" w:cs="Arial"/>
          <w:color w:val="000000" w:themeColor="text1"/>
        </w:rPr>
        <w:t xml:space="preserve">de la prueba u horizonte temporal </w:t>
      </w:r>
      <w:r w:rsidRPr="005F287B">
        <w:rPr>
          <w:rFonts w:ascii="ITC Avant Garde" w:hAnsi="ITC Avant Garde" w:cs="Arial"/>
          <w:color w:val="000000" w:themeColor="text1"/>
        </w:rPr>
        <w:t xml:space="preserve">estará en función de la vida media de los clientes. Para obtener dicho parámetro, el </w:t>
      </w:r>
      <w:r w:rsidR="00A607F6" w:rsidRPr="005F287B">
        <w:rPr>
          <w:rFonts w:ascii="ITC Avant Garde" w:hAnsi="ITC Avant Garde" w:cs="Arial"/>
          <w:color w:val="000000" w:themeColor="text1"/>
        </w:rPr>
        <w:t xml:space="preserve">Instituto </w:t>
      </w:r>
      <w:r w:rsidRPr="005F287B">
        <w:rPr>
          <w:rFonts w:ascii="ITC Avant Garde" w:hAnsi="ITC Avant Garde" w:cs="Arial"/>
          <w:color w:val="000000" w:themeColor="text1"/>
        </w:rPr>
        <w:t xml:space="preserve">realizará solicitudes de información relativas al tiempo </w:t>
      </w:r>
      <w:r w:rsidR="00171786" w:rsidRPr="005F287B">
        <w:rPr>
          <w:rFonts w:ascii="ITC Avant Garde" w:hAnsi="ITC Avant Garde" w:cs="Arial"/>
          <w:color w:val="000000" w:themeColor="text1"/>
        </w:rPr>
        <w:t>de vida promedio de un cliente</w:t>
      </w:r>
      <w:r w:rsidRPr="005F287B">
        <w:rPr>
          <w:rFonts w:ascii="ITC Avant Garde" w:hAnsi="ITC Avant Garde" w:cs="Arial"/>
          <w:color w:val="000000" w:themeColor="text1"/>
        </w:rPr>
        <w:t>.</w:t>
      </w:r>
    </w:p>
    <w:p w:rsidR="00171786" w:rsidRPr="005F287B" w:rsidRDefault="00171786" w:rsidP="005F287B">
      <w:pPr>
        <w:pStyle w:val="Prrafodelista"/>
        <w:rPr>
          <w:rFonts w:ascii="ITC Avant Garde" w:hAnsi="ITC Avant Garde" w:cs="Arial"/>
          <w:color w:val="000000" w:themeColor="text1"/>
        </w:rPr>
      </w:pPr>
    </w:p>
    <w:p w:rsidR="00171786" w:rsidRPr="005F287B" w:rsidRDefault="00BF109C" w:rsidP="0069622D">
      <w:pPr>
        <w:pStyle w:val="Prrafodelista"/>
        <w:numPr>
          <w:ilvl w:val="0"/>
          <w:numId w:val="23"/>
        </w:numPr>
        <w:spacing w:after="0" w:line="240" w:lineRule="auto"/>
        <w:contextualSpacing w:val="0"/>
        <w:jc w:val="both"/>
        <w:rPr>
          <w:rFonts w:ascii="ITC Avant Garde" w:hAnsi="ITC Avant Garde" w:cs="Arial"/>
          <w:color w:val="000000" w:themeColor="text1"/>
        </w:rPr>
      </w:pPr>
      <w:r w:rsidRPr="005F287B">
        <w:rPr>
          <w:rFonts w:ascii="ITC Avant Garde" w:hAnsi="ITC Avant Garde" w:cs="Arial"/>
          <w:color w:val="000000" w:themeColor="text1"/>
        </w:rPr>
        <w:t xml:space="preserve">El periodo para la amortización de los pagos mayoristas debe establecerse en función del plan de negocio de los concesionarios solicitantes. En ese sentido, </w:t>
      </w:r>
      <w:r w:rsidR="005D0613" w:rsidRPr="005F287B">
        <w:rPr>
          <w:rFonts w:ascii="ITC Avant Garde" w:hAnsi="ITC Avant Garde" w:cs="Arial"/>
          <w:color w:val="000000" w:themeColor="text1"/>
        </w:rPr>
        <w:t xml:space="preserve">el Instituto utilizará la información de los competidores para </w:t>
      </w:r>
      <w:r w:rsidR="00CA4103" w:rsidRPr="005F287B">
        <w:rPr>
          <w:rFonts w:ascii="ITC Avant Garde" w:hAnsi="ITC Avant Garde" w:cs="Arial"/>
          <w:color w:val="000000" w:themeColor="text1"/>
        </w:rPr>
        <w:t>obtener el</w:t>
      </w:r>
      <w:r w:rsidR="005D0613" w:rsidRPr="005F287B">
        <w:rPr>
          <w:rFonts w:ascii="ITC Avant Garde" w:hAnsi="ITC Avant Garde" w:cs="Arial"/>
          <w:color w:val="000000" w:themeColor="text1"/>
        </w:rPr>
        <w:t xml:space="preserve"> plan de negocio</w:t>
      </w:r>
      <w:r w:rsidR="00F36628" w:rsidRPr="005F287B">
        <w:rPr>
          <w:rFonts w:ascii="ITC Avant Garde" w:hAnsi="ITC Avant Garde" w:cs="Arial"/>
          <w:color w:val="000000" w:themeColor="text1"/>
        </w:rPr>
        <w:t xml:space="preserve">, como una variable que </w:t>
      </w:r>
      <w:r w:rsidR="00F36628" w:rsidRPr="005F287B">
        <w:rPr>
          <w:rFonts w:ascii="ITC Avant Garde" w:hAnsi="ITC Avant Garde" w:cs="Arial"/>
          <w:b/>
          <w:color w:val="000000" w:themeColor="text1"/>
        </w:rPr>
        <w:t>aproxime</w:t>
      </w:r>
      <w:r w:rsidR="00F36628" w:rsidRPr="005F287B">
        <w:rPr>
          <w:rFonts w:ascii="ITC Avant Garde" w:hAnsi="ITC Avant Garde" w:cs="Arial"/>
          <w:color w:val="000000" w:themeColor="text1"/>
        </w:rPr>
        <w:t xml:space="preserve"> la amortización</w:t>
      </w:r>
      <w:r w:rsidR="005D0613" w:rsidRPr="005F287B">
        <w:rPr>
          <w:rFonts w:ascii="ITC Avant Garde" w:hAnsi="ITC Avant Garde" w:cs="Arial"/>
          <w:color w:val="000000" w:themeColor="text1"/>
        </w:rPr>
        <w:t>.</w:t>
      </w:r>
      <w:r w:rsidR="0079178D" w:rsidRPr="005F287B">
        <w:rPr>
          <w:rFonts w:ascii="ITC Avant Garde" w:hAnsi="ITC Avant Garde" w:cs="Arial"/>
          <w:color w:val="000000" w:themeColor="text1"/>
        </w:rPr>
        <w:t xml:space="preserve"> </w:t>
      </w:r>
      <w:r w:rsidR="00F36628" w:rsidRPr="005F287B">
        <w:rPr>
          <w:rFonts w:ascii="ITC Avant Garde" w:hAnsi="ITC Avant Garde" w:cs="Arial"/>
          <w:color w:val="000000" w:themeColor="text1"/>
        </w:rPr>
        <w:t>Al respecto</w:t>
      </w:r>
      <w:r w:rsidR="0079178D" w:rsidRPr="005F287B">
        <w:rPr>
          <w:rFonts w:ascii="ITC Avant Garde" w:hAnsi="ITC Avant Garde" w:cs="Arial"/>
          <w:color w:val="000000" w:themeColor="text1"/>
        </w:rPr>
        <w:t xml:space="preserve">, debe señalarse que el modelo de replicabilidad económica no es comparable con los modelos para determinar tarifas, </w:t>
      </w:r>
      <w:r w:rsidR="00B5519D" w:rsidRPr="005F287B">
        <w:rPr>
          <w:rFonts w:ascii="ITC Avant Garde" w:hAnsi="ITC Avant Garde" w:cs="Arial"/>
          <w:color w:val="000000" w:themeColor="text1"/>
        </w:rPr>
        <w:t>que,</w:t>
      </w:r>
      <w:r w:rsidR="0079178D" w:rsidRPr="005F287B">
        <w:rPr>
          <w:rFonts w:ascii="ITC Avant Garde" w:hAnsi="ITC Avant Garde" w:cs="Arial"/>
          <w:color w:val="000000" w:themeColor="text1"/>
        </w:rPr>
        <w:t xml:space="preserve"> si bien algunos supuestos o parámetros de los modelos que </w:t>
      </w:r>
      <w:r w:rsidR="00F36628" w:rsidRPr="005F287B">
        <w:rPr>
          <w:rFonts w:ascii="ITC Avant Garde" w:hAnsi="ITC Avant Garde" w:cs="Arial"/>
          <w:color w:val="000000" w:themeColor="text1"/>
        </w:rPr>
        <w:t>utiliza el Instituto</w:t>
      </w:r>
      <w:r w:rsidR="00467466" w:rsidRPr="005F287B">
        <w:rPr>
          <w:rFonts w:ascii="ITC Avant Garde" w:hAnsi="ITC Avant Garde" w:cs="Arial"/>
          <w:color w:val="000000" w:themeColor="text1"/>
        </w:rPr>
        <w:t xml:space="preserve"> pueden o deben coincidir</w:t>
      </w:r>
      <w:r w:rsidR="0079178D" w:rsidRPr="005F287B">
        <w:rPr>
          <w:rFonts w:ascii="ITC Avant Garde" w:hAnsi="ITC Avant Garde" w:cs="Arial"/>
          <w:color w:val="000000" w:themeColor="text1"/>
        </w:rPr>
        <w:t xml:space="preserve">, </w:t>
      </w:r>
      <w:r w:rsidR="00F36628" w:rsidRPr="005F287B">
        <w:rPr>
          <w:rFonts w:ascii="ITC Avant Garde" w:hAnsi="ITC Avant Garde" w:cs="Arial"/>
          <w:color w:val="000000" w:themeColor="text1"/>
        </w:rPr>
        <w:t xml:space="preserve">no </w:t>
      </w:r>
      <w:r w:rsidR="00A040CB" w:rsidRPr="005F287B">
        <w:rPr>
          <w:rFonts w:ascii="ITC Avant Garde" w:hAnsi="ITC Avant Garde" w:cs="Arial"/>
          <w:color w:val="000000" w:themeColor="text1"/>
        </w:rPr>
        <w:t>se debe confundir</w:t>
      </w:r>
      <w:r w:rsidR="00F36628" w:rsidRPr="005F287B">
        <w:rPr>
          <w:rFonts w:ascii="ITC Avant Garde" w:hAnsi="ITC Avant Garde" w:cs="Arial"/>
          <w:color w:val="000000" w:themeColor="text1"/>
        </w:rPr>
        <w:t xml:space="preserve"> el objetivo de cada </w:t>
      </w:r>
      <w:r w:rsidR="00A25A2F" w:rsidRPr="005F287B">
        <w:rPr>
          <w:rFonts w:ascii="ITC Avant Garde" w:hAnsi="ITC Avant Garde" w:cs="Arial"/>
          <w:color w:val="000000" w:themeColor="text1"/>
        </w:rPr>
        <w:t>variable</w:t>
      </w:r>
      <w:r w:rsidR="0083446E" w:rsidRPr="005F287B">
        <w:rPr>
          <w:rFonts w:ascii="ITC Avant Garde" w:hAnsi="ITC Avant Garde" w:cs="Arial"/>
          <w:color w:val="000000" w:themeColor="text1"/>
        </w:rPr>
        <w:t xml:space="preserve"> en el contexto. En este caso,</w:t>
      </w:r>
      <w:r w:rsidR="00F24638" w:rsidRPr="005F287B">
        <w:rPr>
          <w:rFonts w:ascii="ITC Avant Garde" w:hAnsi="ITC Avant Garde" w:cs="Arial"/>
          <w:color w:val="000000" w:themeColor="text1"/>
        </w:rPr>
        <w:t xml:space="preserve"> </w:t>
      </w:r>
      <w:r w:rsidR="0083446E" w:rsidRPr="005F287B">
        <w:rPr>
          <w:rFonts w:ascii="ITC Avant Garde" w:hAnsi="ITC Avant Garde" w:cs="Arial"/>
          <w:color w:val="000000" w:themeColor="text1"/>
        </w:rPr>
        <w:t xml:space="preserve">el plan de negocio se utiliza como </w:t>
      </w:r>
      <w:r w:rsidR="00F44F4F" w:rsidRPr="005F287B">
        <w:rPr>
          <w:rFonts w:ascii="ITC Avant Garde" w:hAnsi="ITC Avant Garde" w:cs="Arial"/>
          <w:color w:val="000000" w:themeColor="text1"/>
        </w:rPr>
        <w:t>un variable proxy</w:t>
      </w:r>
      <w:r w:rsidR="00205C1D" w:rsidRPr="005F287B">
        <w:rPr>
          <w:rFonts w:ascii="ITC Avant Garde" w:hAnsi="ITC Avant Garde" w:cs="Arial"/>
          <w:color w:val="000000" w:themeColor="text1"/>
        </w:rPr>
        <w:t xml:space="preserve"> para la amortización de </w:t>
      </w:r>
      <w:r w:rsidR="00BB7E91" w:rsidRPr="005F287B">
        <w:rPr>
          <w:rFonts w:ascii="ITC Avant Garde" w:hAnsi="ITC Avant Garde" w:cs="Arial"/>
          <w:color w:val="000000" w:themeColor="text1"/>
        </w:rPr>
        <w:t>pagos</w:t>
      </w:r>
      <w:r w:rsidR="00205C1D" w:rsidRPr="005F287B">
        <w:rPr>
          <w:rFonts w:ascii="ITC Avant Garde" w:hAnsi="ITC Avant Garde" w:cs="Arial"/>
          <w:color w:val="000000" w:themeColor="text1"/>
        </w:rPr>
        <w:t xml:space="preserve"> mayoristas de los servicios de desagregación total y compartida.</w:t>
      </w:r>
      <w:r w:rsidR="00F36628" w:rsidRPr="005F287B">
        <w:rPr>
          <w:rFonts w:ascii="ITC Avant Garde" w:hAnsi="ITC Avant Garde" w:cs="Arial"/>
          <w:color w:val="000000" w:themeColor="text1"/>
        </w:rPr>
        <w:t xml:space="preserve"> </w:t>
      </w:r>
    </w:p>
    <w:p w:rsidR="00E47C11" w:rsidRPr="005F287B" w:rsidRDefault="00E47C11" w:rsidP="0069622D">
      <w:pPr>
        <w:spacing w:after="0" w:line="240" w:lineRule="auto"/>
        <w:jc w:val="both"/>
        <w:rPr>
          <w:rFonts w:ascii="ITC Avant Garde" w:hAnsi="ITC Avant Garde"/>
          <w:color w:val="000000" w:themeColor="text1"/>
        </w:rPr>
      </w:pPr>
    </w:p>
    <w:p w:rsidR="00213D1D" w:rsidRPr="005F287B" w:rsidRDefault="00213D1D" w:rsidP="0069622D">
      <w:pPr>
        <w:spacing w:after="0" w:line="240" w:lineRule="auto"/>
        <w:rPr>
          <w:rFonts w:ascii="ITC Avant Garde" w:hAnsi="ITC Avant Garde"/>
          <w:color w:val="000000" w:themeColor="text1"/>
        </w:rPr>
      </w:pPr>
    </w:p>
    <w:sectPr w:rsidR="00213D1D" w:rsidRPr="005F287B" w:rsidSect="00846E3F">
      <w:footerReference w:type="default" r:id="rId12"/>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CCA" w:rsidRDefault="006B0CCA" w:rsidP="00CC7417">
      <w:pPr>
        <w:spacing w:after="0" w:line="240" w:lineRule="auto"/>
      </w:pPr>
      <w:r>
        <w:separator/>
      </w:r>
    </w:p>
  </w:endnote>
  <w:endnote w:type="continuationSeparator" w:id="0">
    <w:p w:rsidR="006B0CCA" w:rsidRDefault="006B0CCA" w:rsidP="00CC7417">
      <w:pPr>
        <w:spacing w:after="0" w:line="240" w:lineRule="auto"/>
      </w:pPr>
      <w:r>
        <w:continuationSeparator/>
      </w:r>
    </w:p>
  </w:endnote>
  <w:endnote w:type="continuationNotice" w:id="1">
    <w:p w:rsidR="006B0CCA" w:rsidRDefault="006B0C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n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449072"/>
      <w:docPartObj>
        <w:docPartGallery w:val="Page Numbers (Bottom of Page)"/>
        <w:docPartUnique/>
      </w:docPartObj>
    </w:sdtPr>
    <w:sdtContent>
      <w:sdt>
        <w:sdtPr>
          <w:id w:val="-1769616900"/>
          <w:docPartObj>
            <w:docPartGallery w:val="Page Numbers (Top of Page)"/>
            <w:docPartUnique/>
          </w:docPartObj>
        </w:sdtPr>
        <w:sdtContent>
          <w:p w:rsidR="005F287B" w:rsidRDefault="005F287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817B4">
              <w:rPr>
                <w:b/>
                <w:bCs/>
                <w:noProof/>
              </w:rPr>
              <w:t>33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817B4">
              <w:rPr>
                <w:b/>
                <w:bCs/>
                <w:noProof/>
              </w:rPr>
              <w:t>33</w:t>
            </w:r>
            <w:r>
              <w:rPr>
                <w:b/>
                <w:bCs/>
                <w:sz w:val="24"/>
                <w:szCs w:val="24"/>
              </w:rPr>
              <w:fldChar w:fldCharType="end"/>
            </w:r>
          </w:p>
        </w:sdtContent>
      </w:sdt>
    </w:sdtContent>
  </w:sdt>
  <w:p w:rsidR="005F287B" w:rsidRDefault="005F28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CCA" w:rsidRDefault="006B0CCA" w:rsidP="00CC7417">
      <w:pPr>
        <w:spacing w:after="0" w:line="240" w:lineRule="auto"/>
      </w:pPr>
      <w:r>
        <w:separator/>
      </w:r>
    </w:p>
  </w:footnote>
  <w:footnote w:type="continuationSeparator" w:id="0">
    <w:p w:rsidR="006B0CCA" w:rsidRDefault="006B0CCA" w:rsidP="00CC7417">
      <w:pPr>
        <w:spacing w:after="0" w:line="240" w:lineRule="auto"/>
      </w:pPr>
      <w:r>
        <w:continuationSeparator/>
      </w:r>
    </w:p>
  </w:footnote>
  <w:footnote w:type="continuationNotice" w:id="1">
    <w:p w:rsidR="006B0CCA" w:rsidRDefault="006B0CCA">
      <w:pPr>
        <w:spacing w:after="0" w:line="240" w:lineRule="auto"/>
      </w:pPr>
    </w:p>
  </w:footnote>
  <w:footnote w:id="2">
    <w:p w:rsidR="005F287B" w:rsidRPr="00BE5D49" w:rsidRDefault="005F287B" w:rsidP="00BE5D49">
      <w:pPr>
        <w:pStyle w:val="Textonotapie"/>
        <w:jc w:val="both"/>
        <w:rPr>
          <w:rFonts w:ascii="ITC Avant Garde" w:hAnsi="ITC Avant Garde"/>
          <w:sz w:val="14"/>
          <w:szCs w:val="14"/>
          <w:lang w:val="es-MX"/>
        </w:rPr>
      </w:pPr>
      <w:r w:rsidRPr="00BE5D49">
        <w:rPr>
          <w:rStyle w:val="Refdenotaalpie"/>
          <w:rFonts w:ascii="ITC Avant Garde" w:hAnsi="ITC Avant Garde"/>
        </w:rPr>
        <w:footnoteRef/>
      </w:r>
      <w:r w:rsidRPr="00BE5D49">
        <w:rPr>
          <w:rFonts w:ascii="ITC Avant Garde" w:hAnsi="ITC Avant Garde"/>
        </w:rPr>
        <w:t xml:space="preserve"> </w:t>
      </w:r>
      <w:r w:rsidRPr="00BE5D49">
        <w:rPr>
          <w:rFonts w:ascii="ITC Avant Garde" w:hAnsi="ITC Avant Garde"/>
          <w:sz w:val="14"/>
          <w:szCs w:val="14"/>
        </w:rPr>
        <w:t>Núm. de Resolución: P/IFT/EXT/270217/119, “</w:t>
      </w:r>
      <w:r w:rsidRPr="00BE5D49">
        <w:rPr>
          <w:rFonts w:ascii="ITC Avant Garde" w:hAnsi="ITC Avant Garde"/>
          <w:i/>
          <w:sz w:val="14"/>
          <w:szCs w:val="14"/>
        </w:rPr>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w:t>
      </w:r>
      <w:r w:rsidRPr="00C83D6E">
        <w:rPr>
          <w:rFonts w:ascii="ITC Avant Garde" w:hAnsi="ITC Avant Garde"/>
          <w:sz w:val="14"/>
          <w:szCs w:val="14"/>
        </w:rPr>
        <w:t xml:space="preserve">” Disponible en </w:t>
      </w:r>
      <w:hyperlink r:id="rId1" w:history="1">
        <w:r w:rsidRPr="00C83D6E">
          <w:rPr>
            <w:rStyle w:val="Hipervnculo"/>
            <w:rFonts w:ascii="ITC Avant Garde" w:hAnsi="ITC Avant Garde"/>
            <w:sz w:val="14"/>
            <w:szCs w:val="14"/>
          </w:rPr>
          <w:t>http://www.ift.org.mx/conocenos/pleno/sesiones/iv-extraordinaria-del-pleno-27-de-febrero-de-2017</w:t>
        </w:r>
      </w:hyperlink>
      <w:r w:rsidRPr="00C83D6E">
        <w:rPr>
          <w:rFonts w:ascii="ITC Avant Garde" w:hAnsi="ITC Avant Garde"/>
          <w:sz w:val="14"/>
          <w:szCs w:val="14"/>
        </w:rPr>
        <w:t xml:space="preserve"> </w:t>
      </w:r>
    </w:p>
  </w:footnote>
  <w:footnote w:id="3">
    <w:p w:rsidR="005F287B" w:rsidRPr="00BE5D49" w:rsidRDefault="005F287B" w:rsidP="00AF62F3">
      <w:pPr>
        <w:pStyle w:val="Textonotapie"/>
        <w:jc w:val="both"/>
        <w:rPr>
          <w:rFonts w:ascii="ITC Avant Garde" w:hAnsi="ITC Avant Garde"/>
          <w:sz w:val="14"/>
          <w:szCs w:val="14"/>
          <w:lang w:val="es-MX"/>
        </w:rPr>
      </w:pPr>
      <w:r w:rsidRPr="0041567D">
        <w:rPr>
          <w:rStyle w:val="Refdenotaalpie"/>
          <w:rFonts w:ascii="ITC Avant Garde" w:hAnsi="ITC Avant Garde"/>
          <w:sz w:val="16"/>
          <w:szCs w:val="16"/>
        </w:rPr>
        <w:footnoteRef/>
      </w:r>
      <w:r w:rsidRPr="0041567D">
        <w:rPr>
          <w:rFonts w:ascii="ITC Avant Garde" w:hAnsi="ITC Avant Garde"/>
          <w:sz w:val="16"/>
          <w:szCs w:val="16"/>
        </w:rPr>
        <w:t xml:space="preserve"> </w:t>
      </w:r>
      <w:r w:rsidRPr="00BE5D49">
        <w:rPr>
          <w:rFonts w:ascii="ITC Avant Garde" w:hAnsi="ITC Avant Garde"/>
          <w:sz w:val="14"/>
          <w:szCs w:val="14"/>
        </w:rPr>
        <w:t>Con base en la información del Registro Público de Concesiones, en un año pueden registrarse más de mil tarifas de servicios móviles.</w:t>
      </w:r>
    </w:p>
  </w:footnote>
  <w:footnote w:id="4">
    <w:p w:rsidR="005F287B" w:rsidRPr="005F287B" w:rsidRDefault="005F287B" w:rsidP="005F287B">
      <w:pPr>
        <w:pStyle w:val="Textonotapie"/>
        <w:jc w:val="both"/>
        <w:rPr>
          <w:rFonts w:ascii="ITC Avant Garde" w:hAnsi="ITC Avant Garde"/>
          <w:lang w:val="es-MX"/>
        </w:rPr>
      </w:pPr>
      <w:r w:rsidRPr="005F287B">
        <w:rPr>
          <w:rStyle w:val="Refdenotaalpie"/>
          <w:rFonts w:ascii="ITC Avant Garde" w:hAnsi="ITC Avant Garde"/>
        </w:rPr>
        <w:footnoteRef/>
      </w:r>
      <w:r w:rsidRPr="005F287B">
        <w:rPr>
          <w:rFonts w:ascii="ITC Avant Garde" w:hAnsi="ITC Avant Garde"/>
        </w:rPr>
        <w:t xml:space="preserve"> </w:t>
      </w:r>
      <w:r w:rsidRPr="005F287B">
        <w:rPr>
          <w:rFonts w:ascii="ITC Avant Garde" w:hAnsi="ITC Avant Garde"/>
          <w:sz w:val="14"/>
          <w:szCs w:val="14"/>
        </w:rPr>
        <w:t xml:space="preserve">LRIC es el acrónimo en inglés de </w:t>
      </w:r>
      <w:r w:rsidRPr="005F287B">
        <w:rPr>
          <w:rFonts w:ascii="ITC Avant Garde" w:hAnsi="ITC Avant Garde"/>
          <w:i/>
          <w:sz w:val="14"/>
          <w:szCs w:val="14"/>
        </w:rPr>
        <w:t xml:space="preserve">Long Run Incremental Costs </w:t>
      </w:r>
      <w:r w:rsidRPr="005F287B">
        <w:rPr>
          <w:rFonts w:ascii="ITC Avant Garde" w:hAnsi="ITC Avant Garde"/>
          <w:sz w:val="14"/>
          <w:szCs w:val="14"/>
        </w:rPr>
        <w:t>(Costos Incrementales de Largo Plazo).</w:t>
      </w:r>
      <w:r>
        <w:rPr>
          <w:rFonts w:ascii="ITC Avant Garde" w:hAnsi="ITC Avant Garde"/>
          <w:sz w:val="14"/>
          <w:szCs w:val="14"/>
        </w:rPr>
        <w:t xml:space="preserve"> </w:t>
      </w:r>
      <w:r w:rsidRPr="005F287B">
        <w:rPr>
          <w:rFonts w:ascii="ITC Avant Garde" w:hAnsi="ITC Avant Garde"/>
          <w:sz w:val="14"/>
          <w:szCs w:val="14"/>
        </w:rPr>
        <w:t>El</w:t>
      </w:r>
      <w:r>
        <w:rPr>
          <w:rFonts w:ascii="ITC Avant Garde" w:hAnsi="ITC Avant Garde"/>
          <w:sz w:val="14"/>
          <w:szCs w:val="14"/>
        </w:rPr>
        <w:t xml:space="preserve"> signo</w:t>
      </w:r>
      <w:r w:rsidRPr="005F287B">
        <w:rPr>
          <w:rFonts w:ascii="ITC Avant Garde" w:hAnsi="ITC Avant Garde"/>
          <w:sz w:val="14"/>
          <w:szCs w:val="14"/>
        </w:rPr>
        <w:t xml:space="preserve"> “+” hace referencia a la adición de un margen para la recuperación de los costos comunes.</w:t>
      </w:r>
    </w:p>
  </w:footnote>
  <w:footnote w:id="5">
    <w:p w:rsidR="005F287B" w:rsidRPr="005F287B" w:rsidRDefault="005F287B">
      <w:pPr>
        <w:pStyle w:val="Textonotapie"/>
        <w:rPr>
          <w:rFonts w:ascii="ITC Avant Garde" w:hAnsi="ITC Avant Garde"/>
          <w:lang w:val="es-MX"/>
        </w:rPr>
      </w:pPr>
      <w:r w:rsidRPr="005F287B">
        <w:rPr>
          <w:rStyle w:val="Refdenotaalpie"/>
          <w:rFonts w:ascii="ITC Avant Garde" w:hAnsi="ITC Avant Garde"/>
        </w:rPr>
        <w:footnoteRef/>
      </w:r>
      <w:r w:rsidRPr="005F287B">
        <w:rPr>
          <w:rFonts w:ascii="ITC Avant Garde" w:hAnsi="ITC Avant Garde"/>
        </w:rPr>
        <w:t xml:space="preserve"> </w:t>
      </w:r>
      <w:r w:rsidRPr="005F287B">
        <w:rPr>
          <w:rFonts w:ascii="ITC Avant Garde" w:hAnsi="ITC Avant Garde"/>
          <w:sz w:val="14"/>
          <w:szCs w:val="14"/>
        </w:rPr>
        <w:t>SEO es el acrónimo en inglés de Similarly Efficient Operator (Operador Similarmente Eficiente).</w:t>
      </w:r>
    </w:p>
  </w:footnote>
  <w:footnote w:id="6">
    <w:p w:rsidR="005F287B" w:rsidRPr="005F287B" w:rsidRDefault="005F287B">
      <w:pPr>
        <w:pStyle w:val="Textonotapie"/>
        <w:rPr>
          <w:rFonts w:ascii="ITC Avant Garde" w:hAnsi="ITC Avant Garde"/>
          <w:sz w:val="14"/>
          <w:szCs w:val="14"/>
          <w:lang w:val="es-MX"/>
        </w:rPr>
      </w:pPr>
      <w:r>
        <w:rPr>
          <w:rStyle w:val="Refdenotaalpie"/>
        </w:rPr>
        <w:footnoteRef/>
      </w:r>
      <w:r>
        <w:t xml:space="preserve"> </w:t>
      </w:r>
      <w:r w:rsidRPr="005F287B">
        <w:rPr>
          <w:rFonts w:ascii="ITC Avant Garde" w:hAnsi="ITC Avant Garde"/>
          <w:sz w:val="14"/>
          <w:szCs w:val="14"/>
        </w:rPr>
        <w:t>EEO es el acrónimo en inglés de Equal Efficient Operator (Operador Igualmente Eficiente).</w:t>
      </w:r>
    </w:p>
  </w:footnote>
  <w:footnote w:id="7">
    <w:p w:rsidR="005F287B" w:rsidRPr="005F287B" w:rsidRDefault="005F287B">
      <w:pPr>
        <w:pStyle w:val="Textonotapie"/>
        <w:rPr>
          <w:rFonts w:ascii="ITC Avant Garde" w:hAnsi="ITC Avant Garde"/>
          <w:sz w:val="14"/>
          <w:szCs w:val="14"/>
          <w:lang w:val="es-MX"/>
        </w:rPr>
      </w:pPr>
      <w:r>
        <w:rPr>
          <w:rStyle w:val="Refdenotaalpie"/>
        </w:rPr>
        <w:footnoteRef/>
      </w:r>
      <w:r>
        <w:t xml:space="preserve"> </w:t>
      </w:r>
      <w:r w:rsidRPr="005F287B">
        <w:rPr>
          <w:rFonts w:ascii="ITC Avant Garde" w:hAnsi="ITC Avant Garde"/>
          <w:sz w:val="14"/>
          <w:szCs w:val="14"/>
          <w:lang w:val="es-MX"/>
        </w:rPr>
        <w:t>Es el acrónimo en inglés del Índice de Herfindahl e Hirschman (IHH).</w:t>
      </w:r>
    </w:p>
  </w:footnote>
  <w:footnote w:id="8">
    <w:p w:rsidR="005F287B" w:rsidRPr="005F287B" w:rsidRDefault="005F287B">
      <w:pPr>
        <w:pStyle w:val="Textonotapie"/>
        <w:rPr>
          <w:lang w:val="es-MX"/>
        </w:rPr>
      </w:pPr>
      <w:r>
        <w:rPr>
          <w:rStyle w:val="Refdenotaalpie"/>
        </w:rPr>
        <w:footnoteRef/>
      </w:r>
      <w:r>
        <w:t xml:space="preserve"> </w:t>
      </w:r>
      <w:r w:rsidRPr="005F287B">
        <w:rPr>
          <w:rFonts w:ascii="ITC Avant Garde" w:hAnsi="ITC Avant Garde"/>
          <w:sz w:val="14"/>
          <w:szCs w:val="14"/>
          <w:lang w:val="es-MX"/>
        </w:rPr>
        <w:t xml:space="preserve">Es el acrónimo en inglés de </w:t>
      </w:r>
      <w:r>
        <w:rPr>
          <w:rFonts w:ascii="ITC Avant Garde" w:hAnsi="ITC Avant Garde"/>
          <w:sz w:val="14"/>
          <w:szCs w:val="14"/>
          <w:lang w:val="es-MX"/>
        </w:rPr>
        <w:t>Ne</w:t>
      </w:r>
      <w:r w:rsidRPr="005F287B">
        <w:rPr>
          <w:rFonts w:ascii="ITC Avant Garde" w:hAnsi="ITC Avant Garde"/>
          <w:sz w:val="14"/>
          <w:szCs w:val="14"/>
          <w:lang w:val="es-MX"/>
        </w:rPr>
        <w:t>xt Generation Access</w:t>
      </w:r>
      <w:r>
        <w:rPr>
          <w:rFonts w:ascii="ITC Avant Garde" w:hAnsi="ITC Avant Garde"/>
          <w:sz w:val="14"/>
          <w:szCs w:val="14"/>
          <w:lang w:val="es-MX"/>
        </w:rPr>
        <w:t xml:space="preserve"> (NGA).</w:t>
      </w:r>
    </w:p>
  </w:footnote>
  <w:footnote w:id="9">
    <w:p w:rsidR="005F287B" w:rsidRPr="00F97BB6" w:rsidRDefault="005F287B" w:rsidP="00C24BEF">
      <w:pPr>
        <w:pStyle w:val="Textonotapie"/>
        <w:jc w:val="both"/>
        <w:rPr>
          <w:rFonts w:ascii="ITC Avant Garde" w:hAnsi="ITC Avant Garde"/>
          <w:sz w:val="14"/>
          <w:szCs w:val="14"/>
        </w:rPr>
      </w:pPr>
      <w:r w:rsidRPr="00F97BB6">
        <w:rPr>
          <w:rStyle w:val="Refdenotaalpie"/>
          <w:rFonts w:ascii="ITC Avant Garde" w:hAnsi="ITC Avant Garde"/>
          <w:sz w:val="14"/>
          <w:szCs w:val="14"/>
        </w:rPr>
        <w:footnoteRef/>
      </w:r>
      <w:r w:rsidRPr="00F97BB6">
        <w:rPr>
          <w:rFonts w:ascii="ITC Avant Garde" w:hAnsi="ITC Avant Garde"/>
          <w:sz w:val="14"/>
          <w:szCs w:val="14"/>
        </w:rPr>
        <w:t xml:space="preserve"> Nota: El gráfico se ha realizado con los gastos de instalación de coubicación de tipo1 Interna, sección 7 del Anexo A de la OREDA 2017-2018.</w:t>
      </w:r>
    </w:p>
  </w:footnote>
  <w:footnote w:id="10">
    <w:p w:rsidR="005F287B" w:rsidRPr="000B71F6" w:rsidRDefault="005F287B" w:rsidP="000B71F6">
      <w:pPr>
        <w:pStyle w:val="Textonotapie"/>
      </w:pPr>
      <w:r>
        <w:rPr>
          <w:rStyle w:val="Refdenotaalpie"/>
        </w:rPr>
        <w:footnoteRef/>
      </w:r>
      <w:r>
        <w:t xml:space="preserve"> </w:t>
      </w:r>
      <w:r w:rsidRPr="005F287B">
        <w:rPr>
          <w:rFonts w:ascii="ITC Avant Garde" w:hAnsi="ITC Avant Garde"/>
          <w:sz w:val="14"/>
          <w:szCs w:val="14"/>
        </w:rPr>
        <w:t>Voz sobre protocolo de internet o Voz por protocolo de internet</w:t>
      </w:r>
      <w:r>
        <w:rPr>
          <w:rFonts w:ascii="ITC Avant Garde" w:hAnsi="ITC Avant Garde"/>
          <w:sz w:val="14"/>
          <w:szCs w:val="14"/>
        </w:rPr>
        <w:t xml:space="preserve"> (</w:t>
      </w:r>
      <w:r w:rsidRPr="00147FF0">
        <w:rPr>
          <w:rFonts w:ascii="ITC Avant Garde" w:hAnsi="ITC Avant Garde"/>
          <w:sz w:val="14"/>
          <w:szCs w:val="14"/>
        </w:rPr>
        <w:t>VoIP</w:t>
      </w:r>
      <w:r>
        <w:rPr>
          <w:rFonts w:ascii="ITC Avant Garde" w:hAnsi="ITC Avant Garde"/>
          <w:sz w:val="14"/>
          <w:szCs w:val="14"/>
        </w:rPr>
        <w:t>)</w:t>
      </w:r>
      <w:r w:rsidRPr="005F287B">
        <w:rPr>
          <w:rFonts w:ascii="ITC Avant Garde" w:hAnsi="ITC Avant Garde"/>
          <w:sz w:val="14"/>
          <w:szCs w:val="1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75781"/>
    <w:multiLevelType w:val="hybridMultilevel"/>
    <w:tmpl w:val="5C86F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344EC1"/>
    <w:multiLevelType w:val="hybridMultilevel"/>
    <w:tmpl w:val="0E6A5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617CA6"/>
    <w:multiLevelType w:val="hybridMultilevel"/>
    <w:tmpl w:val="8B801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5B1550"/>
    <w:multiLevelType w:val="hybridMultilevel"/>
    <w:tmpl w:val="97EA6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A77E88"/>
    <w:multiLevelType w:val="hybridMultilevel"/>
    <w:tmpl w:val="F604B6C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197B4964"/>
    <w:multiLevelType w:val="hybridMultilevel"/>
    <w:tmpl w:val="74CC3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786876"/>
    <w:multiLevelType w:val="hybridMultilevel"/>
    <w:tmpl w:val="763686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4D3265"/>
    <w:multiLevelType w:val="hybridMultilevel"/>
    <w:tmpl w:val="208E619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6D74882"/>
    <w:multiLevelType w:val="hybridMultilevel"/>
    <w:tmpl w:val="D48CA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0441ED"/>
    <w:multiLevelType w:val="hybridMultilevel"/>
    <w:tmpl w:val="C52E24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6C417F"/>
    <w:multiLevelType w:val="hybridMultilevel"/>
    <w:tmpl w:val="5BC28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BE7E8B"/>
    <w:multiLevelType w:val="hybridMultilevel"/>
    <w:tmpl w:val="C114D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90A629E"/>
    <w:multiLevelType w:val="hybridMultilevel"/>
    <w:tmpl w:val="001C8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1D25CC2"/>
    <w:multiLevelType w:val="hybridMultilevel"/>
    <w:tmpl w:val="D74C1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0744BE"/>
    <w:multiLevelType w:val="multilevel"/>
    <w:tmpl w:val="8DE03F20"/>
    <w:name w:val="ParaBulletList"/>
    <w:lvl w:ilvl="0">
      <w:start w:val="1"/>
      <w:numFmt w:val="bullet"/>
      <w:pStyle w:val="ParaBullet1"/>
      <w:lvlText w:val=""/>
      <w:lvlJc w:val="left"/>
      <w:pPr>
        <w:tabs>
          <w:tab w:val="num" w:pos="340"/>
        </w:tabs>
        <w:ind w:left="340" w:hanging="340"/>
      </w:pPr>
      <w:rPr>
        <w:rFonts w:ascii="Wingdings 2" w:hAnsi="Wingdings 2" w:cs="Wingdings 2" w:hint="default"/>
        <w:color w:val="5B9BD5" w:themeColor="accent1"/>
      </w:rPr>
    </w:lvl>
    <w:lvl w:ilvl="1">
      <w:start w:val="1"/>
      <w:numFmt w:val="bullet"/>
      <w:pStyle w:val="ParaBullet2"/>
      <w:lvlText w:val="□"/>
      <w:lvlJc w:val="left"/>
      <w:pPr>
        <w:tabs>
          <w:tab w:val="num" w:pos="680"/>
        </w:tabs>
        <w:ind w:left="680" w:hanging="340"/>
      </w:pPr>
      <w:rPr>
        <w:rFonts w:ascii="Calibri" w:hAnsi="Calibri" w:hint="default"/>
        <w:color w:val="5B9BD5" w:themeColor="accent1"/>
      </w:rPr>
    </w:lvl>
    <w:lvl w:ilvl="2">
      <w:start w:val="1"/>
      <w:numFmt w:val="bullet"/>
      <w:pStyle w:val="ParaBullet3"/>
      <w:lvlText w:val="–"/>
      <w:lvlJc w:val="left"/>
      <w:pPr>
        <w:tabs>
          <w:tab w:val="num" w:pos="1021"/>
        </w:tabs>
        <w:ind w:left="1021" w:hanging="341"/>
      </w:pPr>
      <w:rPr>
        <w:rFonts w:ascii="(none)" w:hAnsi="(none)" w:cs="(none)" w:hint="default"/>
        <w:color w:val="5B9BD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5" w15:restartNumberingAfterBreak="0">
    <w:nsid w:val="4C63310D"/>
    <w:multiLevelType w:val="hybridMultilevel"/>
    <w:tmpl w:val="F81AA35A"/>
    <w:lvl w:ilvl="0" w:tplc="31BED460">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E3A52A8"/>
    <w:multiLevelType w:val="hybridMultilevel"/>
    <w:tmpl w:val="6E1804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61414A8"/>
    <w:multiLevelType w:val="hybridMultilevel"/>
    <w:tmpl w:val="4718E5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66762DC"/>
    <w:multiLevelType w:val="hybridMultilevel"/>
    <w:tmpl w:val="1A42B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C697285"/>
    <w:multiLevelType w:val="hybridMultilevel"/>
    <w:tmpl w:val="3362B5FC"/>
    <w:lvl w:ilvl="0" w:tplc="080A000F">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383BAD"/>
    <w:multiLevelType w:val="hybridMultilevel"/>
    <w:tmpl w:val="C52E24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BD244F"/>
    <w:multiLevelType w:val="hybridMultilevel"/>
    <w:tmpl w:val="46000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CD571CF"/>
    <w:multiLevelType w:val="hybridMultilevel"/>
    <w:tmpl w:val="FCEA6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391605D"/>
    <w:multiLevelType w:val="hybridMultilevel"/>
    <w:tmpl w:val="25D4B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57C550B"/>
    <w:multiLevelType w:val="hybridMultilevel"/>
    <w:tmpl w:val="2DF8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6"/>
  </w:num>
  <w:num w:numId="4">
    <w:abstractNumId w:val="21"/>
  </w:num>
  <w:num w:numId="5">
    <w:abstractNumId w:val="16"/>
  </w:num>
  <w:num w:numId="6">
    <w:abstractNumId w:val="1"/>
  </w:num>
  <w:num w:numId="7">
    <w:abstractNumId w:val="8"/>
  </w:num>
  <w:num w:numId="8">
    <w:abstractNumId w:val="17"/>
  </w:num>
  <w:num w:numId="9">
    <w:abstractNumId w:val="10"/>
  </w:num>
  <w:num w:numId="10">
    <w:abstractNumId w:val="2"/>
  </w:num>
  <w:num w:numId="11">
    <w:abstractNumId w:val="5"/>
  </w:num>
  <w:num w:numId="12">
    <w:abstractNumId w:val="0"/>
  </w:num>
  <w:num w:numId="13">
    <w:abstractNumId w:val="23"/>
  </w:num>
  <w:num w:numId="14">
    <w:abstractNumId w:val="9"/>
  </w:num>
  <w:num w:numId="15">
    <w:abstractNumId w:val="22"/>
  </w:num>
  <w:num w:numId="16">
    <w:abstractNumId w:val="15"/>
  </w:num>
  <w:num w:numId="17">
    <w:abstractNumId w:val="20"/>
  </w:num>
  <w:num w:numId="18">
    <w:abstractNumId w:val="18"/>
  </w:num>
  <w:num w:numId="19">
    <w:abstractNumId w:val="11"/>
  </w:num>
  <w:num w:numId="20">
    <w:abstractNumId w:val="13"/>
  </w:num>
  <w:num w:numId="21">
    <w:abstractNumId w:val="14"/>
  </w:num>
  <w:num w:numId="22">
    <w:abstractNumId w:val="3"/>
  </w:num>
  <w:num w:numId="23">
    <w:abstractNumId w:val="24"/>
  </w:num>
  <w:num w:numId="24">
    <w:abstractNumId w:val="7"/>
  </w:num>
  <w:num w:numId="2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C6"/>
    <w:rsid w:val="00000240"/>
    <w:rsid w:val="00000850"/>
    <w:rsid w:val="000013A2"/>
    <w:rsid w:val="00002FF3"/>
    <w:rsid w:val="00003413"/>
    <w:rsid w:val="0000552E"/>
    <w:rsid w:val="000067E2"/>
    <w:rsid w:val="00010BEF"/>
    <w:rsid w:val="00011260"/>
    <w:rsid w:val="00014A9A"/>
    <w:rsid w:val="00015FCB"/>
    <w:rsid w:val="00016490"/>
    <w:rsid w:val="000179B4"/>
    <w:rsid w:val="000249B2"/>
    <w:rsid w:val="00027641"/>
    <w:rsid w:val="00031A03"/>
    <w:rsid w:val="00031C4C"/>
    <w:rsid w:val="000327A1"/>
    <w:rsid w:val="000333F7"/>
    <w:rsid w:val="00033876"/>
    <w:rsid w:val="0003456E"/>
    <w:rsid w:val="00040B94"/>
    <w:rsid w:val="000544D3"/>
    <w:rsid w:val="0005500D"/>
    <w:rsid w:val="00055EC9"/>
    <w:rsid w:val="00057377"/>
    <w:rsid w:val="00060955"/>
    <w:rsid w:val="000638CB"/>
    <w:rsid w:val="00067400"/>
    <w:rsid w:val="000677C7"/>
    <w:rsid w:val="00067F04"/>
    <w:rsid w:val="000710E8"/>
    <w:rsid w:val="00071845"/>
    <w:rsid w:val="000741A7"/>
    <w:rsid w:val="000777CA"/>
    <w:rsid w:val="000777EE"/>
    <w:rsid w:val="00082244"/>
    <w:rsid w:val="00082943"/>
    <w:rsid w:val="000829A0"/>
    <w:rsid w:val="000951E0"/>
    <w:rsid w:val="000A30C6"/>
    <w:rsid w:val="000A6AE3"/>
    <w:rsid w:val="000B3A7B"/>
    <w:rsid w:val="000B3EBC"/>
    <w:rsid w:val="000B526C"/>
    <w:rsid w:val="000B60E6"/>
    <w:rsid w:val="000B71F6"/>
    <w:rsid w:val="000C058F"/>
    <w:rsid w:val="000C1A8C"/>
    <w:rsid w:val="000C1E4C"/>
    <w:rsid w:val="000D1951"/>
    <w:rsid w:val="000D1D57"/>
    <w:rsid w:val="000D2899"/>
    <w:rsid w:val="000D40C5"/>
    <w:rsid w:val="000D50F9"/>
    <w:rsid w:val="000D5C59"/>
    <w:rsid w:val="000E70E9"/>
    <w:rsid w:val="000F2EA0"/>
    <w:rsid w:val="000F30B4"/>
    <w:rsid w:val="000F60C2"/>
    <w:rsid w:val="0010062D"/>
    <w:rsid w:val="00104F61"/>
    <w:rsid w:val="00106079"/>
    <w:rsid w:val="00107494"/>
    <w:rsid w:val="001078DC"/>
    <w:rsid w:val="00120474"/>
    <w:rsid w:val="00120D04"/>
    <w:rsid w:val="0012485A"/>
    <w:rsid w:val="00124EFD"/>
    <w:rsid w:val="00127E4E"/>
    <w:rsid w:val="0013356F"/>
    <w:rsid w:val="00143248"/>
    <w:rsid w:val="00143A79"/>
    <w:rsid w:val="001446E1"/>
    <w:rsid w:val="00144B27"/>
    <w:rsid w:val="00146A8C"/>
    <w:rsid w:val="00147FF0"/>
    <w:rsid w:val="00150986"/>
    <w:rsid w:val="0015340E"/>
    <w:rsid w:val="00157025"/>
    <w:rsid w:val="001623E2"/>
    <w:rsid w:val="00163208"/>
    <w:rsid w:val="00163344"/>
    <w:rsid w:val="001633AF"/>
    <w:rsid w:val="00163BAF"/>
    <w:rsid w:val="00171786"/>
    <w:rsid w:val="001720CB"/>
    <w:rsid w:val="00172BE1"/>
    <w:rsid w:val="00174AC6"/>
    <w:rsid w:val="00180084"/>
    <w:rsid w:val="00180FA8"/>
    <w:rsid w:val="00182073"/>
    <w:rsid w:val="00182F8A"/>
    <w:rsid w:val="00184DB3"/>
    <w:rsid w:val="00184DFE"/>
    <w:rsid w:val="00185B25"/>
    <w:rsid w:val="00186A79"/>
    <w:rsid w:val="00186DEE"/>
    <w:rsid w:val="00187CE0"/>
    <w:rsid w:val="00191543"/>
    <w:rsid w:val="00193304"/>
    <w:rsid w:val="0019490F"/>
    <w:rsid w:val="0019606F"/>
    <w:rsid w:val="001A13E7"/>
    <w:rsid w:val="001A2D85"/>
    <w:rsid w:val="001A56D2"/>
    <w:rsid w:val="001A738D"/>
    <w:rsid w:val="001A77BD"/>
    <w:rsid w:val="001B2234"/>
    <w:rsid w:val="001B6114"/>
    <w:rsid w:val="001C0FF0"/>
    <w:rsid w:val="001C1052"/>
    <w:rsid w:val="001C2A27"/>
    <w:rsid w:val="001C43AA"/>
    <w:rsid w:val="001C4D00"/>
    <w:rsid w:val="001C7469"/>
    <w:rsid w:val="001C77C6"/>
    <w:rsid w:val="001D21A7"/>
    <w:rsid w:val="001D2314"/>
    <w:rsid w:val="001E19FF"/>
    <w:rsid w:val="001E416F"/>
    <w:rsid w:val="001E4E7A"/>
    <w:rsid w:val="001F035B"/>
    <w:rsid w:val="001F1F42"/>
    <w:rsid w:val="001F2BC9"/>
    <w:rsid w:val="001F3877"/>
    <w:rsid w:val="001F4DE6"/>
    <w:rsid w:val="001F581E"/>
    <w:rsid w:val="001F624B"/>
    <w:rsid w:val="001F68ED"/>
    <w:rsid w:val="001F6979"/>
    <w:rsid w:val="001F7003"/>
    <w:rsid w:val="00201752"/>
    <w:rsid w:val="0020373D"/>
    <w:rsid w:val="00205C1D"/>
    <w:rsid w:val="0021012B"/>
    <w:rsid w:val="00210790"/>
    <w:rsid w:val="00212A57"/>
    <w:rsid w:val="00213915"/>
    <w:rsid w:val="00213D1D"/>
    <w:rsid w:val="0021537B"/>
    <w:rsid w:val="00217EFA"/>
    <w:rsid w:val="00222139"/>
    <w:rsid w:val="002233BC"/>
    <w:rsid w:val="00227A8E"/>
    <w:rsid w:val="002307BC"/>
    <w:rsid w:val="002312C1"/>
    <w:rsid w:val="00233411"/>
    <w:rsid w:val="00233DF9"/>
    <w:rsid w:val="00237E0C"/>
    <w:rsid w:val="00240323"/>
    <w:rsid w:val="00240B9A"/>
    <w:rsid w:val="00242307"/>
    <w:rsid w:val="00242977"/>
    <w:rsid w:val="00244B81"/>
    <w:rsid w:val="002469A5"/>
    <w:rsid w:val="00246BF9"/>
    <w:rsid w:val="002519AE"/>
    <w:rsid w:val="0025373B"/>
    <w:rsid w:val="00256DD8"/>
    <w:rsid w:val="002577D5"/>
    <w:rsid w:val="002610C3"/>
    <w:rsid w:val="00262DE6"/>
    <w:rsid w:val="002652BC"/>
    <w:rsid w:val="002669C8"/>
    <w:rsid w:val="00273144"/>
    <w:rsid w:val="00274857"/>
    <w:rsid w:val="00275D1E"/>
    <w:rsid w:val="00276405"/>
    <w:rsid w:val="00276D93"/>
    <w:rsid w:val="0027726A"/>
    <w:rsid w:val="002817B4"/>
    <w:rsid w:val="002853A6"/>
    <w:rsid w:val="00285EC4"/>
    <w:rsid w:val="0029148A"/>
    <w:rsid w:val="0029273D"/>
    <w:rsid w:val="002939A5"/>
    <w:rsid w:val="00293F03"/>
    <w:rsid w:val="00294F97"/>
    <w:rsid w:val="0029674F"/>
    <w:rsid w:val="002979BC"/>
    <w:rsid w:val="002A392F"/>
    <w:rsid w:val="002B134D"/>
    <w:rsid w:val="002B1D1A"/>
    <w:rsid w:val="002B34F9"/>
    <w:rsid w:val="002B38A4"/>
    <w:rsid w:val="002B62F2"/>
    <w:rsid w:val="002B665A"/>
    <w:rsid w:val="002D0C00"/>
    <w:rsid w:val="002D1CF2"/>
    <w:rsid w:val="002D7954"/>
    <w:rsid w:val="002D7B36"/>
    <w:rsid w:val="002E4CA5"/>
    <w:rsid w:val="002F2557"/>
    <w:rsid w:val="002F7CED"/>
    <w:rsid w:val="0030224C"/>
    <w:rsid w:val="00304FCE"/>
    <w:rsid w:val="00305747"/>
    <w:rsid w:val="00307CBF"/>
    <w:rsid w:val="0031068D"/>
    <w:rsid w:val="00311020"/>
    <w:rsid w:val="00311B15"/>
    <w:rsid w:val="00311FD7"/>
    <w:rsid w:val="003121C5"/>
    <w:rsid w:val="00314100"/>
    <w:rsid w:val="00315666"/>
    <w:rsid w:val="003178F4"/>
    <w:rsid w:val="00320237"/>
    <w:rsid w:val="00323793"/>
    <w:rsid w:val="00323B92"/>
    <w:rsid w:val="00323DB7"/>
    <w:rsid w:val="003242B7"/>
    <w:rsid w:val="00325B02"/>
    <w:rsid w:val="00325DD6"/>
    <w:rsid w:val="0032765F"/>
    <w:rsid w:val="00327748"/>
    <w:rsid w:val="00331140"/>
    <w:rsid w:val="0033239A"/>
    <w:rsid w:val="0033390A"/>
    <w:rsid w:val="00336CF4"/>
    <w:rsid w:val="00343851"/>
    <w:rsid w:val="003463D0"/>
    <w:rsid w:val="00346AE1"/>
    <w:rsid w:val="003539D3"/>
    <w:rsid w:val="00360B7D"/>
    <w:rsid w:val="00360BEF"/>
    <w:rsid w:val="00364064"/>
    <w:rsid w:val="003643DB"/>
    <w:rsid w:val="00365222"/>
    <w:rsid w:val="00367141"/>
    <w:rsid w:val="00370224"/>
    <w:rsid w:val="00370E7A"/>
    <w:rsid w:val="00371629"/>
    <w:rsid w:val="00371663"/>
    <w:rsid w:val="00373760"/>
    <w:rsid w:val="00374648"/>
    <w:rsid w:val="00374B5F"/>
    <w:rsid w:val="003807B2"/>
    <w:rsid w:val="003811A0"/>
    <w:rsid w:val="00382F7F"/>
    <w:rsid w:val="00384045"/>
    <w:rsid w:val="00384BDD"/>
    <w:rsid w:val="00386629"/>
    <w:rsid w:val="00387806"/>
    <w:rsid w:val="003878C2"/>
    <w:rsid w:val="00393563"/>
    <w:rsid w:val="00395272"/>
    <w:rsid w:val="00395E83"/>
    <w:rsid w:val="00397E1E"/>
    <w:rsid w:val="003A084D"/>
    <w:rsid w:val="003A316A"/>
    <w:rsid w:val="003A3650"/>
    <w:rsid w:val="003A433E"/>
    <w:rsid w:val="003A6DE8"/>
    <w:rsid w:val="003B0A96"/>
    <w:rsid w:val="003B1650"/>
    <w:rsid w:val="003B2C62"/>
    <w:rsid w:val="003B4246"/>
    <w:rsid w:val="003B462B"/>
    <w:rsid w:val="003B5574"/>
    <w:rsid w:val="003C0878"/>
    <w:rsid w:val="003C3DC5"/>
    <w:rsid w:val="003C54FF"/>
    <w:rsid w:val="003D2141"/>
    <w:rsid w:val="003D4132"/>
    <w:rsid w:val="003D5340"/>
    <w:rsid w:val="003D554A"/>
    <w:rsid w:val="003D695F"/>
    <w:rsid w:val="003E1E54"/>
    <w:rsid w:val="003E322D"/>
    <w:rsid w:val="003E42CC"/>
    <w:rsid w:val="003F0D99"/>
    <w:rsid w:val="003F39D5"/>
    <w:rsid w:val="0040056D"/>
    <w:rsid w:val="0040246C"/>
    <w:rsid w:val="00407351"/>
    <w:rsid w:val="00407CA6"/>
    <w:rsid w:val="00414CD9"/>
    <w:rsid w:val="00416439"/>
    <w:rsid w:val="00417F30"/>
    <w:rsid w:val="00421DD2"/>
    <w:rsid w:val="00424426"/>
    <w:rsid w:val="00430FA1"/>
    <w:rsid w:val="00431143"/>
    <w:rsid w:val="00434BEE"/>
    <w:rsid w:val="00436F64"/>
    <w:rsid w:val="00443E30"/>
    <w:rsid w:val="0044564D"/>
    <w:rsid w:val="00446BDC"/>
    <w:rsid w:val="00447594"/>
    <w:rsid w:val="00447DC2"/>
    <w:rsid w:val="0045032C"/>
    <w:rsid w:val="0045209E"/>
    <w:rsid w:val="004539B7"/>
    <w:rsid w:val="004565F9"/>
    <w:rsid w:val="004567D5"/>
    <w:rsid w:val="00456BBC"/>
    <w:rsid w:val="0046026A"/>
    <w:rsid w:val="00460AEA"/>
    <w:rsid w:val="00465A0A"/>
    <w:rsid w:val="00466B6B"/>
    <w:rsid w:val="00466CFF"/>
    <w:rsid w:val="00467466"/>
    <w:rsid w:val="00467F46"/>
    <w:rsid w:val="0047046D"/>
    <w:rsid w:val="00471253"/>
    <w:rsid w:val="00477DF5"/>
    <w:rsid w:val="00477F96"/>
    <w:rsid w:val="00485455"/>
    <w:rsid w:val="004854CD"/>
    <w:rsid w:val="004904EF"/>
    <w:rsid w:val="00490951"/>
    <w:rsid w:val="004A0CFF"/>
    <w:rsid w:val="004A1188"/>
    <w:rsid w:val="004A14BD"/>
    <w:rsid w:val="004A5293"/>
    <w:rsid w:val="004A560C"/>
    <w:rsid w:val="004A6E5D"/>
    <w:rsid w:val="004B059C"/>
    <w:rsid w:val="004B1F55"/>
    <w:rsid w:val="004B404B"/>
    <w:rsid w:val="004B572D"/>
    <w:rsid w:val="004B6089"/>
    <w:rsid w:val="004B714E"/>
    <w:rsid w:val="004C2893"/>
    <w:rsid w:val="004C4B3A"/>
    <w:rsid w:val="004C673C"/>
    <w:rsid w:val="004D1908"/>
    <w:rsid w:val="004D3972"/>
    <w:rsid w:val="004D545D"/>
    <w:rsid w:val="004D6AAF"/>
    <w:rsid w:val="004E3ABD"/>
    <w:rsid w:val="004E3E85"/>
    <w:rsid w:val="004E49AA"/>
    <w:rsid w:val="004E5D17"/>
    <w:rsid w:val="004E6067"/>
    <w:rsid w:val="004E6F9E"/>
    <w:rsid w:val="004F16BB"/>
    <w:rsid w:val="004F1A78"/>
    <w:rsid w:val="004F27DD"/>
    <w:rsid w:val="004F3AD7"/>
    <w:rsid w:val="00500A18"/>
    <w:rsid w:val="0050218F"/>
    <w:rsid w:val="00503BD5"/>
    <w:rsid w:val="00503E80"/>
    <w:rsid w:val="00505CBE"/>
    <w:rsid w:val="00506661"/>
    <w:rsid w:val="005134EB"/>
    <w:rsid w:val="00520FED"/>
    <w:rsid w:val="00522251"/>
    <w:rsid w:val="00522C81"/>
    <w:rsid w:val="005237E2"/>
    <w:rsid w:val="00524335"/>
    <w:rsid w:val="005260F3"/>
    <w:rsid w:val="00526EA4"/>
    <w:rsid w:val="00530125"/>
    <w:rsid w:val="00532D78"/>
    <w:rsid w:val="00541E60"/>
    <w:rsid w:val="00543A8A"/>
    <w:rsid w:val="00543E65"/>
    <w:rsid w:val="00546772"/>
    <w:rsid w:val="00553718"/>
    <w:rsid w:val="0055571C"/>
    <w:rsid w:val="0055657D"/>
    <w:rsid w:val="005639A0"/>
    <w:rsid w:val="00566CFD"/>
    <w:rsid w:val="00574210"/>
    <w:rsid w:val="005765C9"/>
    <w:rsid w:val="00577922"/>
    <w:rsid w:val="0058267C"/>
    <w:rsid w:val="0058280D"/>
    <w:rsid w:val="005836F0"/>
    <w:rsid w:val="005839E6"/>
    <w:rsid w:val="0058530C"/>
    <w:rsid w:val="00586274"/>
    <w:rsid w:val="005872DD"/>
    <w:rsid w:val="00587D5A"/>
    <w:rsid w:val="0059058B"/>
    <w:rsid w:val="00590F98"/>
    <w:rsid w:val="00591C76"/>
    <w:rsid w:val="005959E3"/>
    <w:rsid w:val="005A2B2D"/>
    <w:rsid w:val="005A496C"/>
    <w:rsid w:val="005A54D9"/>
    <w:rsid w:val="005A64E4"/>
    <w:rsid w:val="005B17BB"/>
    <w:rsid w:val="005B2509"/>
    <w:rsid w:val="005B2BED"/>
    <w:rsid w:val="005B3F1E"/>
    <w:rsid w:val="005B5638"/>
    <w:rsid w:val="005C0EB1"/>
    <w:rsid w:val="005C1B14"/>
    <w:rsid w:val="005C323A"/>
    <w:rsid w:val="005C3FEC"/>
    <w:rsid w:val="005C539B"/>
    <w:rsid w:val="005C7590"/>
    <w:rsid w:val="005D0613"/>
    <w:rsid w:val="005D1728"/>
    <w:rsid w:val="005D24FB"/>
    <w:rsid w:val="005D27F7"/>
    <w:rsid w:val="005D45CA"/>
    <w:rsid w:val="005D4FDE"/>
    <w:rsid w:val="005D5D4A"/>
    <w:rsid w:val="005D6925"/>
    <w:rsid w:val="005D7922"/>
    <w:rsid w:val="005E0309"/>
    <w:rsid w:val="005E07BC"/>
    <w:rsid w:val="005E3B68"/>
    <w:rsid w:val="005F10F9"/>
    <w:rsid w:val="005F287B"/>
    <w:rsid w:val="005F3510"/>
    <w:rsid w:val="00600FA8"/>
    <w:rsid w:val="00602841"/>
    <w:rsid w:val="006038B6"/>
    <w:rsid w:val="0060431F"/>
    <w:rsid w:val="00604818"/>
    <w:rsid w:val="006049D6"/>
    <w:rsid w:val="00605D11"/>
    <w:rsid w:val="0060684F"/>
    <w:rsid w:val="00610DBC"/>
    <w:rsid w:val="00611647"/>
    <w:rsid w:val="006127B2"/>
    <w:rsid w:val="00614C3E"/>
    <w:rsid w:val="00616344"/>
    <w:rsid w:val="00617F41"/>
    <w:rsid w:val="00621596"/>
    <w:rsid w:val="00630460"/>
    <w:rsid w:val="0063049B"/>
    <w:rsid w:val="00631F7D"/>
    <w:rsid w:val="00636947"/>
    <w:rsid w:val="006376E9"/>
    <w:rsid w:val="0064420B"/>
    <w:rsid w:val="00645FD9"/>
    <w:rsid w:val="006460BC"/>
    <w:rsid w:val="0065417F"/>
    <w:rsid w:val="00660892"/>
    <w:rsid w:val="00660B6E"/>
    <w:rsid w:val="00660BA2"/>
    <w:rsid w:val="0066538F"/>
    <w:rsid w:val="0066687F"/>
    <w:rsid w:val="00670DBC"/>
    <w:rsid w:val="0067321B"/>
    <w:rsid w:val="006733CC"/>
    <w:rsid w:val="006737F7"/>
    <w:rsid w:val="00673DFB"/>
    <w:rsid w:val="00674388"/>
    <w:rsid w:val="0067645D"/>
    <w:rsid w:val="00676FAD"/>
    <w:rsid w:val="006835F7"/>
    <w:rsid w:val="00684B37"/>
    <w:rsid w:val="00685664"/>
    <w:rsid w:val="0068682F"/>
    <w:rsid w:val="00686C97"/>
    <w:rsid w:val="00690BDD"/>
    <w:rsid w:val="0069403A"/>
    <w:rsid w:val="0069622D"/>
    <w:rsid w:val="006A0329"/>
    <w:rsid w:val="006A0CBE"/>
    <w:rsid w:val="006A7AD5"/>
    <w:rsid w:val="006A7DF9"/>
    <w:rsid w:val="006B0231"/>
    <w:rsid w:val="006B0CCA"/>
    <w:rsid w:val="006B10E5"/>
    <w:rsid w:val="006C3338"/>
    <w:rsid w:val="006C6CD8"/>
    <w:rsid w:val="006D0517"/>
    <w:rsid w:val="006D7A09"/>
    <w:rsid w:val="006E0EC5"/>
    <w:rsid w:val="006E135F"/>
    <w:rsid w:val="006E1D9F"/>
    <w:rsid w:val="006E7A41"/>
    <w:rsid w:val="006F2074"/>
    <w:rsid w:val="006F2A42"/>
    <w:rsid w:val="006F32EA"/>
    <w:rsid w:val="006F4ABF"/>
    <w:rsid w:val="006F4FAC"/>
    <w:rsid w:val="006F593B"/>
    <w:rsid w:val="00701AF5"/>
    <w:rsid w:val="00703B93"/>
    <w:rsid w:val="0070439F"/>
    <w:rsid w:val="00704F1B"/>
    <w:rsid w:val="00705553"/>
    <w:rsid w:val="00705A73"/>
    <w:rsid w:val="00707C6F"/>
    <w:rsid w:val="007108E3"/>
    <w:rsid w:val="0071437C"/>
    <w:rsid w:val="00716EA1"/>
    <w:rsid w:val="0072026B"/>
    <w:rsid w:val="00723AFF"/>
    <w:rsid w:val="007242DB"/>
    <w:rsid w:val="007262B1"/>
    <w:rsid w:val="007263F4"/>
    <w:rsid w:val="007277C4"/>
    <w:rsid w:val="0073258A"/>
    <w:rsid w:val="00733519"/>
    <w:rsid w:val="00735F49"/>
    <w:rsid w:val="007401DB"/>
    <w:rsid w:val="0074087B"/>
    <w:rsid w:val="0074341B"/>
    <w:rsid w:val="00743F6F"/>
    <w:rsid w:val="00744938"/>
    <w:rsid w:val="00745866"/>
    <w:rsid w:val="00746D6D"/>
    <w:rsid w:val="00751283"/>
    <w:rsid w:val="0075211F"/>
    <w:rsid w:val="0075222C"/>
    <w:rsid w:val="007525E4"/>
    <w:rsid w:val="007544F0"/>
    <w:rsid w:val="0075528E"/>
    <w:rsid w:val="00761D11"/>
    <w:rsid w:val="007626A0"/>
    <w:rsid w:val="0076426E"/>
    <w:rsid w:val="00764A0E"/>
    <w:rsid w:val="00773CD3"/>
    <w:rsid w:val="00776E86"/>
    <w:rsid w:val="007773CC"/>
    <w:rsid w:val="00777840"/>
    <w:rsid w:val="007802A3"/>
    <w:rsid w:val="00780457"/>
    <w:rsid w:val="00781007"/>
    <w:rsid w:val="00781B36"/>
    <w:rsid w:val="00782847"/>
    <w:rsid w:val="00784335"/>
    <w:rsid w:val="007871D0"/>
    <w:rsid w:val="007872A9"/>
    <w:rsid w:val="007902FE"/>
    <w:rsid w:val="0079178D"/>
    <w:rsid w:val="00793506"/>
    <w:rsid w:val="007A1153"/>
    <w:rsid w:val="007A59AA"/>
    <w:rsid w:val="007A67EE"/>
    <w:rsid w:val="007B41A6"/>
    <w:rsid w:val="007B4905"/>
    <w:rsid w:val="007C0819"/>
    <w:rsid w:val="007C7302"/>
    <w:rsid w:val="007D3E3F"/>
    <w:rsid w:val="007D5EF6"/>
    <w:rsid w:val="007D6D59"/>
    <w:rsid w:val="007E1D97"/>
    <w:rsid w:val="007E30C6"/>
    <w:rsid w:val="007E58BB"/>
    <w:rsid w:val="007F0640"/>
    <w:rsid w:val="007F38AF"/>
    <w:rsid w:val="007F795D"/>
    <w:rsid w:val="00802048"/>
    <w:rsid w:val="00802A84"/>
    <w:rsid w:val="008031A7"/>
    <w:rsid w:val="00805336"/>
    <w:rsid w:val="008056DB"/>
    <w:rsid w:val="008073EA"/>
    <w:rsid w:val="00807DF1"/>
    <w:rsid w:val="0081325C"/>
    <w:rsid w:val="008134B0"/>
    <w:rsid w:val="00814E28"/>
    <w:rsid w:val="008154D8"/>
    <w:rsid w:val="00816EAF"/>
    <w:rsid w:val="0082199A"/>
    <w:rsid w:val="00821CBA"/>
    <w:rsid w:val="00826B6F"/>
    <w:rsid w:val="00831AC4"/>
    <w:rsid w:val="0083426F"/>
    <w:rsid w:val="0083446E"/>
    <w:rsid w:val="00835E5B"/>
    <w:rsid w:val="0083664A"/>
    <w:rsid w:val="00837273"/>
    <w:rsid w:val="00837FD5"/>
    <w:rsid w:val="00840419"/>
    <w:rsid w:val="0084083B"/>
    <w:rsid w:val="00843CFB"/>
    <w:rsid w:val="0084682B"/>
    <w:rsid w:val="00846E3F"/>
    <w:rsid w:val="008508F2"/>
    <w:rsid w:val="008529AC"/>
    <w:rsid w:val="008533A8"/>
    <w:rsid w:val="00853BF2"/>
    <w:rsid w:val="00855257"/>
    <w:rsid w:val="00856441"/>
    <w:rsid w:val="00856821"/>
    <w:rsid w:val="00856FD7"/>
    <w:rsid w:val="00860292"/>
    <w:rsid w:val="00862646"/>
    <w:rsid w:val="00864965"/>
    <w:rsid w:val="00864CE4"/>
    <w:rsid w:val="00867F48"/>
    <w:rsid w:val="008729D4"/>
    <w:rsid w:val="0087660A"/>
    <w:rsid w:val="0087711C"/>
    <w:rsid w:val="008811FC"/>
    <w:rsid w:val="00882439"/>
    <w:rsid w:val="0088301C"/>
    <w:rsid w:val="008838FD"/>
    <w:rsid w:val="008854F1"/>
    <w:rsid w:val="00885898"/>
    <w:rsid w:val="00890C9B"/>
    <w:rsid w:val="00891D46"/>
    <w:rsid w:val="0089788E"/>
    <w:rsid w:val="008A03E5"/>
    <w:rsid w:val="008A4836"/>
    <w:rsid w:val="008A5E42"/>
    <w:rsid w:val="008B507A"/>
    <w:rsid w:val="008C0435"/>
    <w:rsid w:val="008C4AB9"/>
    <w:rsid w:val="008C5077"/>
    <w:rsid w:val="008C616C"/>
    <w:rsid w:val="008D08A0"/>
    <w:rsid w:val="008D0E91"/>
    <w:rsid w:val="008D3671"/>
    <w:rsid w:val="008D4F9D"/>
    <w:rsid w:val="008D5ABE"/>
    <w:rsid w:val="008E0507"/>
    <w:rsid w:val="008E13A1"/>
    <w:rsid w:val="008E3375"/>
    <w:rsid w:val="008E3F5C"/>
    <w:rsid w:val="008E4A3A"/>
    <w:rsid w:val="008E591C"/>
    <w:rsid w:val="008E7F9F"/>
    <w:rsid w:val="008F1B05"/>
    <w:rsid w:val="008F20B5"/>
    <w:rsid w:val="008F27F4"/>
    <w:rsid w:val="008F3F04"/>
    <w:rsid w:val="008F7491"/>
    <w:rsid w:val="008F7819"/>
    <w:rsid w:val="00902C72"/>
    <w:rsid w:val="00902EC4"/>
    <w:rsid w:val="0090390E"/>
    <w:rsid w:val="00905F1F"/>
    <w:rsid w:val="00905FAF"/>
    <w:rsid w:val="00910458"/>
    <w:rsid w:val="00915C03"/>
    <w:rsid w:val="00917A74"/>
    <w:rsid w:val="00917FF2"/>
    <w:rsid w:val="00920BAB"/>
    <w:rsid w:val="00921876"/>
    <w:rsid w:val="009266F3"/>
    <w:rsid w:val="00926E63"/>
    <w:rsid w:val="009300CE"/>
    <w:rsid w:val="009307EB"/>
    <w:rsid w:val="009326A2"/>
    <w:rsid w:val="0094071B"/>
    <w:rsid w:val="009408B2"/>
    <w:rsid w:val="00944B1A"/>
    <w:rsid w:val="0094776E"/>
    <w:rsid w:val="00947995"/>
    <w:rsid w:val="00952EF9"/>
    <w:rsid w:val="0095397E"/>
    <w:rsid w:val="00953C4E"/>
    <w:rsid w:val="00954B5F"/>
    <w:rsid w:val="00956B98"/>
    <w:rsid w:val="00957205"/>
    <w:rsid w:val="00961C31"/>
    <w:rsid w:val="009629CE"/>
    <w:rsid w:val="00963120"/>
    <w:rsid w:val="0096398C"/>
    <w:rsid w:val="00965D84"/>
    <w:rsid w:val="00965EC4"/>
    <w:rsid w:val="00966D01"/>
    <w:rsid w:val="009672C9"/>
    <w:rsid w:val="00970787"/>
    <w:rsid w:val="00970E69"/>
    <w:rsid w:val="00971513"/>
    <w:rsid w:val="00974A59"/>
    <w:rsid w:val="0097651B"/>
    <w:rsid w:val="00977FA4"/>
    <w:rsid w:val="00982A62"/>
    <w:rsid w:val="0098314C"/>
    <w:rsid w:val="00984AE4"/>
    <w:rsid w:val="00987EF6"/>
    <w:rsid w:val="009933D8"/>
    <w:rsid w:val="00997CBA"/>
    <w:rsid w:val="009A02BC"/>
    <w:rsid w:val="009A17C0"/>
    <w:rsid w:val="009B0B14"/>
    <w:rsid w:val="009B1CE8"/>
    <w:rsid w:val="009B23DA"/>
    <w:rsid w:val="009B5B28"/>
    <w:rsid w:val="009B73BF"/>
    <w:rsid w:val="009B7578"/>
    <w:rsid w:val="009C11A0"/>
    <w:rsid w:val="009C16B4"/>
    <w:rsid w:val="009C3445"/>
    <w:rsid w:val="009C3DA0"/>
    <w:rsid w:val="009C4E07"/>
    <w:rsid w:val="009C5751"/>
    <w:rsid w:val="009C6E0B"/>
    <w:rsid w:val="009C714A"/>
    <w:rsid w:val="009D1978"/>
    <w:rsid w:val="009E07D8"/>
    <w:rsid w:val="009E74B2"/>
    <w:rsid w:val="009E7D77"/>
    <w:rsid w:val="009F27A1"/>
    <w:rsid w:val="009F2CFB"/>
    <w:rsid w:val="009F30F5"/>
    <w:rsid w:val="009F33BA"/>
    <w:rsid w:val="009F44BE"/>
    <w:rsid w:val="009F7556"/>
    <w:rsid w:val="009F7B4E"/>
    <w:rsid w:val="00A040CB"/>
    <w:rsid w:val="00A0622A"/>
    <w:rsid w:val="00A069A6"/>
    <w:rsid w:val="00A07C82"/>
    <w:rsid w:val="00A10CB3"/>
    <w:rsid w:val="00A12C18"/>
    <w:rsid w:val="00A15537"/>
    <w:rsid w:val="00A16788"/>
    <w:rsid w:val="00A200D8"/>
    <w:rsid w:val="00A20C96"/>
    <w:rsid w:val="00A21470"/>
    <w:rsid w:val="00A22BBB"/>
    <w:rsid w:val="00A256A8"/>
    <w:rsid w:val="00A25A2F"/>
    <w:rsid w:val="00A2799A"/>
    <w:rsid w:val="00A32A39"/>
    <w:rsid w:val="00A336FB"/>
    <w:rsid w:val="00A35440"/>
    <w:rsid w:val="00A35F66"/>
    <w:rsid w:val="00A41F42"/>
    <w:rsid w:val="00A44027"/>
    <w:rsid w:val="00A4526F"/>
    <w:rsid w:val="00A45475"/>
    <w:rsid w:val="00A52421"/>
    <w:rsid w:val="00A53DE5"/>
    <w:rsid w:val="00A5467B"/>
    <w:rsid w:val="00A54A6B"/>
    <w:rsid w:val="00A607F6"/>
    <w:rsid w:val="00A62D1E"/>
    <w:rsid w:val="00A74AC4"/>
    <w:rsid w:val="00A80292"/>
    <w:rsid w:val="00A80607"/>
    <w:rsid w:val="00A81635"/>
    <w:rsid w:val="00A81F34"/>
    <w:rsid w:val="00A83564"/>
    <w:rsid w:val="00A83D5C"/>
    <w:rsid w:val="00A8713B"/>
    <w:rsid w:val="00A96A9F"/>
    <w:rsid w:val="00A97F1E"/>
    <w:rsid w:val="00AA1C8F"/>
    <w:rsid w:val="00AA32CC"/>
    <w:rsid w:val="00AA7021"/>
    <w:rsid w:val="00AA76E0"/>
    <w:rsid w:val="00AA793B"/>
    <w:rsid w:val="00AB1E81"/>
    <w:rsid w:val="00AB2C3A"/>
    <w:rsid w:val="00AC1E13"/>
    <w:rsid w:val="00AC2041"/>
    <w:rsid w:val="00AC5793"/>
    <w:rsid w:val="00AD2D17"/>
    <w:rsid w:val="00AD32E8"/>
    <w:rsid w:val="00AD4101"/>
    <w:rsid w:val="00AD5EBA"/>
    <w:rsid w:val="00AD6F43"/>
    <w:rsid w:val="00AD7A1B"/>
    <w:rsid w:val="00AD7A71"/>
    <w:rsid w:val="00AE51CE"/>
    <w:rsid w:val="00AE5A40"/>
    <w:rsid w:val="00AF1B17"/>
    <w:rsid w:val="00AF2A84"/>
    <w:rsid w:val="00AF2D5D"/>
    <w:rsid w:val="00AF4874"/>
    <w:rsid w:val="00AF62F3"/>
    <w:rsid w:val="00AF68B5"/>
    <w:rsid w:val="00AF7B24"/>
    <w:rsid w:val="00B039D9"/>
    <w:rsid w:val="00B05756"/>
    <w:rsid w:val="00B106BB"/>
    <w:rsid w:val="00B10DF6"/>
    <w:rsid w:val="00B114F1"/>
    <w:rsid w:val="00B1174C"/>
    <w:rsid w:val="00B117AC"/>
    <w:rsid w:val="00B15281"/>
    <w:rsid w:val="00B1554C"/>
    <w:rsid w:val="00B17232"/>
    <w:rsid w:val="00B20F72"/>
    <w:rsid w:val="00B229F7"/>
    <w:rsid w:val="00B2302C"/>
    <w:rsid w:val="00B23AB1"/>
    <w:rsid w:val="00B26A61"/>
    <w:rsid w:val="00B27987"/>
    <w:rsid w:val="00B311C1"/>
    <w:rsid w:val="00B32266"/>
    <w:rsid w:val="00B3786B"/>
    <w:rsid w:val="00B47188"/>
    <w:rsid w:val="00B47F32"/>
    <w:rsid w:val="00B5519D"/>
    <w:rsid w:val="00B574FC"/>
    <w:rsid w:val="00B6012C"/>
    <w:rsid w:val="00B633CE"/>
    <w:rsid w:val="00B63A7A"/>
    <w:rsid w:val="00B652D4"/>
    <w:rsid w:val="00B65ED1"/>
    <w:rsid w:val="00B70791"/>
    <w:rsid w:val="00B710D8"/>
    <w:rsid w:val="00B73C5E"/>
    <w:rsid w:val="00B75296"/>
    <w:rsid w:val="00B76731"/>
    <w:rsid w:val="00B76B90"/>
    <w:rsid w:val="00B7719B"/>
    <w:rsid w:val="00B843CC"/>
    <w:rsid w:val="00B8472C"/>
    <w:rsid w:val="00B849BE"/>
    <w:rsid w:val="00B86F83"/>
    <w:rsid w:val="00B8796F"/>
    <w:rsid w:val="00B91C5E"/>
    <w:rsid w:val="00B92665"/>
    <w:rsid w:val="00B92AA3"/>
    <w:rsid w:val="00B9340F"/>
    <w:rsid w:val="00B936FD"/>
    <w:rsid w:val="00B97E88"/>
    <w:rsid w:val="00BA115A"/>
    <w:rsid w:val="00BA198C"/>
    <w:rsid w:val="00BA21D7"/>
    <w:rsid w:val="00BA4CBB"/>
    <w:rsid w:val="00BA546C"/>
    <w:rsid w:val="00BA762E"/>
    <w:rsid w:val="00BA7D9D"/>
    <w:rsid w:val="00BB24C7"/>
    <w:rsid w:val="00BB371E"/>
    <w:rsid w:val="00BB447C"/>
    <w:rsid w:val="00BB7E91"/>
    <w:rsid w:val="00BC1C8E"/>
    <w:rsid w:val="00BC2160"/>
    <w:rsid w:val="00BC31E6"/>
    <w:rsid w:val="00BC405F"/>
    <w:rsid w:val="00BC4F3E"/>
    <w:rsid w:val="00BC7169"/>
    <w:rsid w:val="00BD1478"/>
    <w:rsid w:val="00BD3109"/>
    <w:rsid w:val="00BD41A6"/>
    <w:rsid w:val="00BE17C6"/>
    <w:rsid w:val="00BE58AF"/>
    <w:rsid w:val="00BE5D49"/>
    <w:rsid w:val="00BE6E7A"/>
    <w:rsid w:val="00BE7226"/>
    <w:rsid w:val="00BE77BD"/>
    <w:rsid w:val="00BF109C"/>
    <w:rsid w:val="00BF1FC1"/>
    <w:rsid w:val="00BF2A70"/>
    <w:rsid w:val="00BF37A6"/>
    <w:rsid w:val="00BF37CD"/>
    <w:rsid w:val="00BF4113"/>
    <w:rsid w:val="00BF5F5A"/>
    <w:rsid w:val="00BF6B87"/>
    <w:rsid w:val="00BF7EF3"/>
    <w:rsid w:val="00C0604B"/>
    <w:rsid w:val="00C06362"/>
    <w:rsid w:val="00C136B2"/>
    <w:rsid w:val="00C13932"/>
    <w:rsid w:val="00C21F37"/>
    <w:rsid w:val="00C22AC4"/>
    <w:rsid w:val="00C247B7"/>
    <w:rsid w:val="00C24BEF"/>
    <w:rsid w:val="00C25917"/>
    <w:rsid w:val="00C32078"/>
    <w:rsid w:val="00C33D61"/>
    <w:rsid w:val="00C35ED2"/>
    <w:rsid w:val="00C3784E"/>
    <w:rsid w:val="00C43801"/>
    <w:rsid w:val="00C43AC2"/>
    <w:rsid w:val="00C464AE"/>
    <w:rsid w:val="00C465A5"/>
    <w:rsid w:val="00C47682"/>
    <w:rsid w:val="00C5080B"/>
    <w:rsid w:val="00C50FDD"/>
    <w:rsid w:val="00C5162F"/>
    <w:rsid w:val="00C53081"/>
    <w:rsid w:val="00C5330D"/>
    <w:rsid w:val="00C53AF8"/>
    <w:rsid w:val="00C542DC"/>
    <w:rsid w:val="00C5682A"/>
    <w:rsid w:val="00C57984"/>
    <w:rsid w:val="00C60589"/>
    <w:rsid w:val="00C629DC"/>
    <w:rsid w:val="00C63D72"/>
    <w:rsid w:val="00C63EDD"/>
    <w:rsid w:val="00C64E0A"/>
    <w:rsid w:val="00C65068"/>
    <w:rsid w:val="00C65745"/>
    <w:rsid w:val="00C66E00"/>
    <w:rsid w:val="00C72889"/>
    <w:rsid w:val="00C72B2D"/>
    <w:rsid w:val="00C7495D"/>
    <w:rsid w:val="00C7779B"/>
    <w:rsid w:val="00C80168"/>
    <w:rsid w:val="00C80441"/>
    <w:rsid w:val="00C81B4F"/>
    <w:rsid w:val="00C83D6E"/>
    <w:rsid w:val="00C8604A"/>
    <w:rsid w:val="00C865CA"/>
    <w:rsid w:val="00C86CDD"/>
    <w:rsid w:val="00C86DAB"/>
    <w:rsid w:val="00C9122F"/>
    <w:rsid w:val="00C9462B"/>
    <w:rsid w:val="00CA1E64"/>
    <w:rsid w:val="00CA3BAE"/>
    <w:rsid w:val="00CA4103"/>
    <w:rsid w:val="00CA5826"/>
    <w:rsid w:val="00CA5988"/>
    <w:rsid w:val="00CA6D96"/>
    <w:rsid w:val="00CB0211"/>
    <w:rsid w:val="00CB06AD"/>
    <w:rsid w:val="00CB2994"/>
    <w:rsid w:val="00CB472E"/>
    <w:rsid w:val="00CB4E04"/>
    <w:rsid w:val="00CB673C"/>
    <w:rsid w:val="00CB724E"/>
    <w:rsid w:val="00CB7855"/>
    <w:rsid w:val="00CC20B1"/>
    <w:rsid w:val="00CC7417"/>
    <w:rsid w:val="00CC7A68"/>
    <w:rsid w:val="00CD012A"/>
    <w:rsid w:val="00CD1CB6"/>
    <w:rsid w:val="00CD294D"/>
    <w:rsid w:val="00CD5490"/>
    <w:rsid w:val="00CD5CB4"/>
    <w:rsid w:val="00CD6D3F"/>
    <w:rsid w:val="00CE08AB"/>
    <w:rsid w:val="00CE41CD"/>
    <w:rsid w:val="00CE4341"/>
    <w:rsid w:val="00CF1107"/>
    <w:rsid w:val="00CF41F4"/>
    <w:rsid w:val="00CF5831"/>
    <w:rsid w:val="00D004B7"/>
    <w:rsid w:val="00D0118C"/>
    <w:rsid w:val="00D07967"/>
    <w:rsid w:val="00D12403"/>
    <w:rsid w:val="00D14171"/>
    <w:rsid w:val="00D152CD"/>
    <w:rsid w:val="00D202DA"/>
    <w:rsid w:val="00D2140A"/>
    <w:rsid w:val="00D247E2"/>
    <w:rsid w:val="00D267C2"/>
    <w:rsid w:val="00D33A85"/>
    <w:rsid w:val="00D33BCB"/>
    <w:rsid w:val="00D34092"/>
    <w:rsid w:val="00D37C49"/>
    <w:rsid w:val="00D44A13"/>
    <w:rsid w:val="00D456D4"/>
    <w:rsid w:val="00D45DDE"/>
    <w:rsid w:val="00D474CB"/>
    <w:rsid w:val="00D5148D"/>
    <w:rsid w:val="00D5204F"/>
    <w:rsid w:val="00D52429"/>
    <w:rsid w:val="00D55EF1"/>
    <w:rsid w:val="00D55FDA"/>
    <w:rsid w:val="00D6052D"/>
    <w:rsid w:val="00D60593"/>
    <w:rsid w:val="00D60886"/>
    <w:rsid w:val="00D652F5"/>
    <w:rsid w:val="00D66561"/>
    <w:rsid w:val="00D66CC1"/>
    <w:rsid w:val="00D70338"/>
    <w:rsid w:val="00D72377"/>
    <w:rsid w:val="00D76DD7"/>
    <w:rsid w:val="00D77A0C"/>
    <w:rsid w:val="00D82F31"/>
    <w:rsid w:val="00D830F6"/>
    <w:rsid w:val="00D83CB5"/>
    <w:rsid w:val="00D87B96"/>
    <w:rsid w:val="00D925E5"/>
    <w:rsid w:val="00D95902"/>
    <w:rsid w:val="00DA0F1D"/>
    <w:rsid w:val="00DA230E"/>
    <w:rsid w:val="00DA29DD"/>
    <w:rsid w:val="00DA2E13"/>
    <w:rsid w:val="00DA3D0E"/>
    <w:rsid w:val="00DA40F3"/>
    <w:rsid w:val="00DB3892"/>
    <w:rsid w:val="00DC00A5"/>
    <w:rsid w:val="00DC00A8"/>
    <w:rsid w:val="00DC113D"/>
    <w:rsid w:val="00DC37C6"/>
    <w:rsid w:val="00DC39F2"/>
    <w:rsid w:val="00DC3D8C"/>
    <w:rsid w:val="00DC5335"/>
    <w:rsid w:val="00DC6B6A"/>
    <w:rsid w:val="00DC6E62"/>
    <w:rsid w:val="00DD300B"/>
    <w:rsid w:val="00DD3214"/>
    <w:rsid w:val="00DE114F"/>
    <w:rsid w:val="00DE2CF1"/>
    <w:rsid w:val="00DE3EA5"/>
    <w:rsid w:val="00DE4E3E"/>
    <w:rsid w:val="00DF0410"/>
    <w:rsid w:val="00DF14B2"/>
    <w:rsid w:val="00DF19A0"/>
    <w:rsid w:val="00DF200D"/>
    <w:rsid w:val="00DF2697"/>
    <w:rsid w:val="00DF2934"/>
    <w:rsid w:val="00DF6835"/>
    <w:rsid w:val="00DF7AC6"/>
    <w:rsid w:val="00DF7ECC"/>
    <w:rsid w:val="00E0474F"/>
    <w:rsid w:val="00E11342"/>
    <w:rsid w:val="00E1624D"/>
    <w:rsid w:val="00E237FE"/>
    <w:rsid w:val="00E25347"/>
    <w:rsid w:val="00E31150"/>
    <w:rsid w:val="00E327B7"/>
    <w:rsid w:val="00E34DD6"/>
    <w:rsid w:val="00E37956"/>
    <w:rsid w:val="00E400CF"/>
    <w:rsid w:val="00E42627"/>
    <w:rsid w:val="00E427BE"/>
    <w:rsid w:val="00E43845"/>
    <w:rsid w:val="00E43D36"/>
    <w:rsid w:val="00E47C11"/>
    <w:rsid w:val="00E50CC0"/>
    <w:rsid w:val="00E52E3F"/>
    <w:rsid w:val="00E55660"/>
    <w:rsid w:val="00E561CB"/>
    <w:rsid w:val="00E56C63"/>
    <w:rsid w:val="00E578B7"/>
    <w:rsid w:val="00E61557"/>
    <w:rsid w:val="00E62D10"/>
    <w:rsid w:val="00E63480"/>
    <w:rsid w:val="00E73845"/>
    <w:rsid w:val="00E74FC5"/>
    <w:rsid w:val="00E75976"/>
    <w:rsid w:val="00E76931"/>
    <w:rsid w:val="00E81B54"/>
    <w:rsid w:val="00E84CE6"/>
    <w:rsid w:val="00E85BB0"/>
    <w:rsid w:val="00E86F04"/>
    <w:rsid w:val="00E90B2F"/>
    <w:rsid w:val="00E928D1"/>
    <w:rsid w:val="00E92E36"/>
    <w:rsid w:val="00E94766"/>
    <w:rsid w:val="00E96A3C"/>
    <w:rsid w:val="00EA038E"/>
    <w:rsid w:val="00EA4897"/>
    <w:rsid w:val="00EA5706"/>
    <w:rsid w:val="00EB0E11"/>
    <w:rsid w:val="00EB1883"/>
    <w:rsid w:val="00EB1FDD"/>
    <w:rsid w:val="00EB2089"/>
    <w:rsid w:val="00EB29BB"/>
    <w:rsid w:val="00EB39F3"/>
    <w:rsid w:val="00EB40DD"/>
    <w:rsid w:val="00EB5114"/>
    <w:rsid w:val="00EB5622"/>
    <w:rsid w:val="00EB686E"/>
    <w:rsid w:val="00EB6933"/>
    <w:rsid w:val="00EB7B4B"/>
    <w:rsid w:val="00EC03E2"/>
    <w:rsid w:val="00EC114D"/>
    <w:rsid w:val="00EC16BD"/>
    <w:rsid w:val="00EC26D5"/>
    <w:rsid w:val="00EC37EA"/>
    <w:rsid w:val="00EC47E7"/>
    <w:rsid w:val="00EC748F"/>
    <w:rsid w:val="00EC77EA"/>
    <w:rsid w:val="00ED08DE"/>
    <w:rsid w:val="00ED1AD4"/>
    <w:rsid w:val="00ED530B"/>
    <w:rsid w:val="00EE0426"/>
    <w:rsid w:val="00EE21A9"/>
    <w:rsid w:val="00EE301A"/>
    <w:rsid w:val="00EE409D"/>
    <w:rsid w:val="00EF05D9"/>
    <w:rsid w:val="00EF0751"/>
    <w:rsid w:val="00EF2553"/>
    <w:rsid w:val="00EF6011"/>
    <w:rsid w:val="00F00244"/>
    <w:rsid w:val="00F02FD2"/>
    <w:rsid w:val="00F04FA0"/>
    <w:rsid w:val="00F054CF"/>
    <w:rsid w:val="00F0662C"/>
    <w:rsid w:val="00F07B74"/>
    <w:rsid w:val="00F1076B"/>
    <w:rsid w:val="00F10990"/>
    <w:rsid w:val="00F111CC"/>
    <w:rsid w:val="00F12364"/>
    <w:rsid w:val="00F14771"/>
    <w:rsid w:val="00F1582E"/>
    <w:rsid w:val="00F175EA"/>
    <w:rsid w:val="00F20069"/>
    <w:rsid w:val="00F20D84"/>
    <w:rsid w:val="00F22AEA"/>
    <w:rsid w:val="00F24638"/>
    <w:rsid w:val="00F24A61"/>
    <w:rsid w:val="00F2601E"/>
    <w:rsid w:val="00F26C44"/>
    <w:rsid w:val="00F3340F"/>
    <w:rsid w:val="00F360C7"/>
    <w:rsid w:val="00F36628"/>
    <w:rsid w:val="00F36FEA"/>
    <w:rsid w:val="00F375B0"/>
    <w:rsid w:val="00F414A8"/>
    <w:rsid w:val="00F4224C"/>
    <w:rsid w:val="00F43716"/>
    <w:rsid w:val="00F44F4F"/>
    <w:rsid w:val="00F4594A"/>
    <w:rsid w:val="00F47331"/>
    <w:rsid w:val="00F500BC"/>
    <w:rsid w:val="00F51B98"/>
    <w:rsid w:val="00F523D9"/>
    <w:rsid w:val="00F52908"/>
    <w:rsid w:val="00F52F5F"/>
    <w:rsid w:val="00F53F98"/>
    <w:rsid w:val="00F5469A"/>
    <w:rsid w:val="00F54B33"/>
    <w:rsid w:val="00F54D16"/>
    <w:rsid w:val="00F54F58"/>
    <w:rsid w:val="00F558FA"/>
    <w:rsid w:val="00F560FA"/>
    <w:rsid w:val="00F57E73"/>
    <w:rsid w:val="00F615B7"/>
    <w:rsid w:val="00F61CED"/>
    <w:rsid w:val="00F63425"/>
    <w:rsid w:val="00F63BE3"/>
    <w:rsid w:val="00F6513C"/>
    <w:rsid w:val="00F65B22"/>
    <w:rsid w:val="00F66072"/>
    <w:rsid w:val="00F7285F"/>
    <w:rsid w:val="00F74CD6"/>
    <w:rsid w:val="00F75D2E"/>
    <w:rsid w:val="00F7631F"/>
    <w:rsid w:val="00F8053A"/>
    <w:rsid w:val="00F8248C"/>
    <w:rsid w:val="00F84033"/>
    <w:rsid w:val="00F858FB"/>
    <w:rsid w:val="00F878B4"/>
    <w:rsid w:val="00F87E24"/>
    <w:rsid w:val="00F902A6"/>
    <w:rsid w:val="00F94E71"/>
    <w:rsid w:val="00F9704E"/>
    <w:rsid w:val="00FA14BC"/>
    <w:rsid w:val="00FA32A2"/>
    <w:rsid w:val="00FA4A12"/>
    <w:rsid w:val="00FA4ADD"/>
    <w:rsid w:val="00FA5E10"/>
    <w:rsid w:val="00FB2927"/>
    <w:rsid w:val="00FB64CC"/>
    <w:rsid w:val="00FB6FCE"/>
    <w:rsid w:val="00FB7BCF"/>
    <w:rsid w:val="00FC1F57"/>
    <w:rsid w:val="00FC2532"/>
    <w:rsid w:val="00FC6E46"/>
    <w:rsid w:val="00FC739F"/>
    <w:rsid w:val="00FD6236"/>
    <w:rsid w:val="00FD7409"/>
    <w:rsid w:val="00FE01FA"/>
    <w:rsid w:val="00FE2761"/>
    <w:rsid w:val="00FE3914"/>
    <w:rsid w:val="00FE5227"/>
    <w:rsid w:val="00FF06D9"/>
    <w:rsid w:val="00FF116A"/>
    <w:rsid w:val="00FF1480"/>
    <w:rsid w:val="00FF2170"/>
    <w:rsid w:val="00FF29BC"/>
    <w:rsid w:val="00FF43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6C2A"/>
  <w15:docId w15:val="{19443495-7670-4BE3-BCB6-C80EA02E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47682"/>
    <w:pPr>
      <w:keepNext/>
      <w:keepLines/>
      <w:spacing w:before="240" w:after="0" w:line="276" w:lineRule="auto"/>
      <w:outlineLvl w:val="0"/>
    </w:pPr>
    <w:rPr>
      <w:rFonts w:asciiTheme="majorHAnsi" w:eastAsiaTheme="majorEastAsia" w:hAnsiTheme="majorHAnsi" w:cstheme="majorBidi"/>
      <w:b/>
      <w:sz w:val="32"/>
      <w:szCs w:val="32"/>
      <w:lang w:val="es-EC"/>
    </w:rPr>
  </w:style>
  <w:style w:type="paragraph" w:styleId="Ttulo2">
    <w:name w:val="heading 2"/>
    <w:basedOn w:val="Normal"/>
    <w:next w:val="Normal"/>
    <w:link w:val="Ttulo2Car"/>
    <w:uiPriority w:val="9"/>
    <w:unhideWhenUsed/>
    <w:qFormat/>
    <w:rsid w:val="001006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6">
    <w:name w:val="heading 6"/>
    <w:basedOn w:val="Normal"/>
    <w:next w:val="Normal"/>
    <w:link w:val="Ttulo6Car"/>
    <w:uiPriority w:val="9"/>
    <w:semiHidden/>
    <w:unhideWhenUsed/>
    <w:qFormat/>
    <w:rsid w:val="003E42C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865CA"/>
    <w:pPr>
      <w:ind w:left="720"/>
      <w:contextualSpacing/>
    </w:pPr>
  </w:style>
  <w:style w:type="character" w:customStyle="1" w:styleId="PrrafodelistaCar">
    <w:name w:val="Párrafo de lista Car"/>
    <w:link w:val="Prrafodelista"/>
    <w:uiPriority w:val="34"/>
    <w:locked/>
    <w:rsid w:val="00CC7417"/>
  </w:style>
  <w:style w:type="paragraph" w:styleId="Encabezado">
    <w:name w:val="header"/>
    <w:basedOn w:val="Normal"/>
    <w:link w:val="EncabezadoCar"/>
    <w:uiPriority w:val="99"/>
    <w:unhideWhenUsed/>
    <w:rsid w:val="00CC74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7417"/>
  </w:style>
  <w:style w:type="paragraph" w:styleId="Piedepgina">
    <w:name w:val="footer"/>
    <w:basedOn w:val="Normal"/>
    <w:link w:val="PiedepginaCar"/>
    <w:uiPriority w:val="99"/>
    <w:unhideWhenUsed/>
    <w:rsid w:val="00CC74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7417"/>
  </w:style>
  <w:style w:type="paragraph" w:customStyle="1" w:styleId="Default">
    <w:name w:val="Default"/>
    <w:rsid w:val="00621596"/>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Text,Pie depágina,Footnote Text Char1,Footnote Text Char Char1,Footnote Text Char4 Char Char,Footnote Text Char1 Char1 Char1 Char,Footnote Text Char Char1 Char1 Char Char,Footnote Text Char1 Char1 Char1 Char Char Char1,fn"/>
    <w:basedOn w:val="Normal"/>
    <w:link w:val="TextonotapieCar"/>
    <w:uiPriority w:val="19"/>
    <w:unhideWhenUsed/>
    <w:qFormat/>
    <w:rsid w:val="002519AE"/>
    <w:pPr>
      <w:spacing w:after="0" w:line="240" w:lineRule="auto"/>
    </w:pPr>
    <w:rPr>
      <w:sz w:val="20"/>
      <w:szCs w:val="20"/>
      <w:lang w:val="es-EC"/>
    </w:rPr>
  </w:style>
  <w:style w:type="character" w:customStyle="1" w:styleId="TextonotapieCar">
    <w:name w:val="Texto nota pie Car"/>
    <w:aliases w:val="~FootnoteText Car,Pie depágina Car,Footnote Text Char1 Car,Footnote Text Char Char1 Car,Footnote Text Char4 Char Char Car,Footnote Text Char1 Char1 Char1 Char Car,Footnote Text Char Char1 Char1 Char Char Car,fn Car"/>
    <w:basedOn w:val="Fuentedeprrafopredeter"/>
    <w:link w:val="Textonotapie"/>
    <w:uiPriority w:val="19"/>
    <w:rsid w:val="002519AE"/>
    <w:rPr>
      <w:sz w:val="20"/>
      <w:szCs w:val="20"/>
      <w:lang w:val="es-EC"/>
    </w:rPr>
  </w:style>
  <w:style w:type="paragraph" w:styleId="Textocomentario">
    <w:name w:val="annotation text"/>
    <w:basedOn w:val="Normal"/>
    <w:link w:val="TextocomentarioCar"/>
    <w:uiPriority w:val="99"/>
    <w:unhideWhenUsed/>
    <w:rsid w:val="002519AE"/>
    <w:pPr>
      <w:spacing w:after="200" w:line="240" w:lineRule="auto"/>
    </w:pPr>
    <w:rPr>
      <w:sz w:val="20"/>
      <w:szCs w:val="20"/>
      <w:lang w:val="es-EC"/>
    </w:rPr>
  </w:style>
  <w:style w:type="character" w:customStyle="1" w:styleId="TextocomentarioCar">
    <w:name w:val="Texto comentario Car"/>
    <w:basedOn w:val="Fuentedeprrafopredeter"/>
    <w:link w:val="Textocomentario"/>
    <w:uiPriority w:val="99"/>
    <w:rsid w:val="002519AE"/>
    <w:rPr>
      <w:sz w:val="20"/>
      <w:szCs w:val="20"/>
      <w:lang w:val="es-EC"/>
    </w:rPr>
  </w:style>
  <w:style w:type="character" w:styleId="Refdenotaalpie">
    <w:name w:val="footnote reference"/>
    <w:aliases w:val="~FootnoteRef,Ref. de nota al pie 2,Footnotes refss,Texto de nota al pie,Ref,de nota al pie,Appel note de bas de page,fr,(NECG) Footnote Reference,o,Appel note de bas de p,Style 12,Style 124,Style 13,Style 3,Style 17,FR,callout,Italic"/>
    <w:basedOn w:val="Fuentedeprrafopredeter"/>
    <w:uiPriority w:val="19"/>
    <w:unhideWhenUsed/>
    <w:qFormat/>
    <w:rsid w:val="002519AE"/>
    <w:rPr>
      <w:vertAlign w:val="superscript"/>
    </w:rPr>
  </w:style>
  <w:style w:type="character" w:styleId="Refdecomentario">
    <w:name w:val="annotation reference"/>
    <w:basedOn w:val="Fuentedeprrafopredeter"/>
    <w:uiPriority w:val="99"/>
    <w:semiHidden/>
    <w:unhideWhenUsed/>
    <w:rsid w:val="002519AE"/>
    <w:rPr>
      <w:sz w:val="16"/>
      <w:szCs w:val="16"/>
    </w:rPr>
  </w:style>
  <w:style w:type="paragraph" w:styleId="Textodeglobo">
    <w:name w:val="Balloon Text"/>
    <w:basedOn w:val="Normal"/>
    <w:link w:val="TextodegloboCar"/>
    <w:uiPriority w:val="99"/>
    <w:semiHidden/>
    <w:unhideWhenUsed/>
    <w:rsid w:val="00AA70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021"/>
    <w:rPr>
      <w:rFonts w:ascii="Segoe UI" w:hAnsi="Segoe UI" w:cs="Segoe UI"/>
      <w:sz w:val="18"/>
      <w:szCs w:val="18"/>
    </w:rPr>
  </w:style>
  <w:style w:type="table" w:customStyle="1" w:styleId="Tabladelista6concolores1">
    <w:name w:val="Tabla de lista 6 con colores1"/>
    <w:basedOn w:val="Tablanormal"/>
    <w:uiPriority w:val="51"/>
    <w:rsid w:val="00CA6D9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0013A2"/>
    <w:pPr>
      <w:spacing w:after="160"/>
    </w:pPr>
    <w:rPr>
      <w:b/>
      <w:bCs/>
      <w:lang w:val="es-MX"/>
    </w:rPr>
  </w:style>
  <w:style w:type="character" w:customStyle="1" w:styleId="AsuntodelcomentarioCar">
    <w:name w:val="Asunto del comentario Car"/>
    <w:basedOn w:val="TextocomentarioCar"/>
    <w:link w:val="Asuntodelcomentario"/>
    <w:uiPriority w:val="99"/>
    <w:semiHidden/>
    <w:rsid w:val="000013A2"/>
    <w:rPr>
      <w:b/>
      <w:bCs/>
      <w:sz w:val="20"/>
      <w:szCs w:val="20"/>
      <w:lang w:val="es-EC"/>
    </w:rPr>
  </w:style>
  <w:style w:type="character" w:customStyle="1" w:styleId="Ttulo1Car">
    <w:name w:val="Título 1 Car"/>
    <w:basedOn w:val="Fuentedeprrafopredeter"/>
    <w:link w:val="Ttulo1"/>
    <w:uiPriority w:val="9"/>
    <w:rsid w:val="00C47682"/>
    <w:rPr>
      <w:rFonts w:asciiTheme="majorHAnsi" w:eastAsiaTheme="majorEastAsia" w:hAnsiTheme="majorHAnsi" w:cstheme="majorBidi"/>
      <w:b/>
      <w:sz w:val="32"/>
      <w:szCs w:val="32"/>
      <w:lang w:val="es-EC"/>
    </w:rPr>
  </w:style>
  <w:style w:type="character" w:customStyle="1" w:styleId="apple-converted-space">
    <w:name w:val="apple-converted-space"/>
    <w:basedOn w:val="Fuentedeprrafopredeter"/>
    <w:rsid w:val="00A53DE5"/>
  </w:style>
  <w:style w:type="character" w:styleId="Hipervnculo">
    <w:name w:val="Hyperlink"/>
    <w:basedOn w:val="Fuentedeprrafopredeter"/>
    <w:uiPriority w:val="99"/>
    <w:unhideWhenUsed/>
    <w:rsid w:val="00A53DE5"/>
    <w:rPr>
      <w:color w:val="0000FF"/>
      <w:u w:val="single"/>
    </w:rPr>
  </w:style>
  <w:style w:type="table" w:styleId="Tablaconcuadrcula">
    <w:name w:val="Table Grid"/>
    <w:basedOn w:val="Tablanormal"/>
    <w:uiPriority w:val="39"/>
    <w:rsid w:val="00414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7A4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360B7D"/>
    <w:pPr>
      <w:spacing w:after="0" w:line="240" w:lineRule="auto"/>
    </w:pPr>
  </w:style>
  <w:style w:type="character" w:customStyle="1" w:styleId="Ttulo2Car">
    <w:name w:val="Título 2 Car"/>
    <w:basedOn w:val="Fuentedeprrafopredeter"/>
    <w:link w:val="Ttulo2"/>
    <w:uiPriority w:val="9"/>
    <w:rsid w:val="0010062D"/>
    <w:rPr>
      <w:rFonts w:asciiTheme="majorHAnsi" w:eastAsiaTheme="majorEastAsia" w:hAnsiTheme="majorHAnsi" w:cstheme="majorBidi"/>
      <w:color w:val="2E74B5" w:themeColor="accent1" w:themeShade="BF"/>
      <w:sz w:val="26"/>
      <w:szCs w:val="26"/>
    </w:rPr>
  </w:style>
  <w:style w:type="table" w:customStyle="1" w:styleId="Tabladelista6concolores11">
    <w:name w:val="Tabla de lista 6 con colores11"/>
    <w:basedOn w:val="Tablanormal"/>
    <w:uiPriority w:val="51"/>
    <w:rsid w:val="009F7B4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Descripcin">
    <w:name w:val="caption"/>
    <w:aliases w:val="~Caption"/>
    <w:basedOn w:val="Normal"/>
    <w:next w:val="Normal"/>
    <w:link w:val="DescripcinCar"/>
    <w:uiPriority w:val="2"/>
    <w:qFormat/>
    <w:rsid w:val="00C24BEF"/>
    <w:pPr>
      <w:keepNext/>
      <w:tabs>
        <w:tab w:val="left" w:pos="1276"/>
      </w:tabs>
      <w:spacing w:before="120" w:after="60" w:line="240" w:lineRule="auto"/>
      <w:ind w:left="1276" w:hanging="1276"/>
      <w:jc w:val="both"/>
    </w:pPr>
    <w:rPr>
      <w:rFonts w:eastAsia="Calibri" w:cs="Arial"/>
      <w:b/>
      <w:color w:val="000000" w:themeColor="text1"/>
      <w:lang w:val="es-ES_tradnl"/>
    </w:rPr>
  </w:style>
  <w:style w:type="character" w:customStyle="1" w:styleId="DescripcinCar">
    <w:name w:val="Descripción Car"/>
    <w:aliases w:val="~Caption Car"/>
    <w:basedOn w:val="Fuentedeprrafopredeter"/>
    <w:link w:val="Descripcin"/>
    <w:uiPriority w:val="2"/>
    <w:rsid w:val="00C24BEF"/>
    <w:rPr>
      <w:rFonts w:eastAsia="Calibri" w:cs="Arial"/>
      <w:b/>
      <w:color w:val="000000" w:themeColor="text1"/>
      <w:lang w:val="es-ES_tradnl"/>
    </w:rPr>
  </w:style>
  <w:style w:type="paragraph" w:customStyle="1" w:styleId="Source">
    <w:name w:val="~Source"/>
    <w:basedOn w:val="Normal"/>
    <w:next w:val="Normal"/>
    <w:uiPriority w:val="2"/>
    <w:qFormat/>
    <w:rsid w:val="00C24BEF"/>
    <w:pPr>
      <w:tabs>
        <w:tab w:val="left" w:pos="709"/>
      </w:tabs>
      <w:spacing w:before="60" w:after="60" w:line="240" w:lineRule="auto"/>
      <w:ind w:left="709" w:hanging="709"/>
    </w:pPr>
    <w:rPr>
      <w:rFonts w:eastAsia="Calibri" w:cs="Arial"/>
      <w:i/>
      <w:color w:val="000000" w:themeColor="text1"/>
      <w:sz w:val="16"/>
      <w:lang w:val="es-ES_tradnl"/>
    </w:rPr>
  </w:style>
  <w:style w:type="paragraph" w:customStyle="1" w:styleId="GraphicLeft">
    <w:name w:val="~GraphicLeft"/>
    <w:basedOn w:val="Sinespaciado"/>
    <w:uiPriority w:val="9"/>
    <w:rsid w:val="00C24BEF"/>
    <w:rPr>
      <w:rFonts w:cs="Arial"/>
      <w:color w:val="000000" w:themeColor="text1"/>
      <w:sz w:val="20"/>
      <w:lang w:val="es-ES_tradnl"/>
    </w:rPr>
  </w:style>
  <w:style w:type="paragraph" w:styleId="Sinespaciado">
    <w:name w:val="No Spacing"/>
    <w:uiPriority w:val="1"/>
    <w:qFormat/>
    <w:rsid w:val="00C24BEF"/>
    <w:pPr>
      <w:spacing w:after="0" w:line="240" w:lineRule="auto"/>
    </w:pPr>
  </w:style>
  <w:style w:type="paragraph" w:customStyle="1" w:styleId="ParaBullet1">
    <w:name w:val="~ParaBullet1"/>
    <w:basedOn w:val="Normal"/>
    <w:uiPriority w:val="3"/>
    <w:qFormat/>
    <w:rsid w:val="00BC2160"/>
    <w:pPr>
      <w:numPr>
        <w:numId w:val="21"/>
      </w:numPr>
      <w:spacing w:before="120" w:after="120" w:line="264" w:lineRule="auto"/>
      <w:jc w:val="both"/>
    </w:pPr>
    <w:rPr>
      <w:rFonts w:eastAsia="Calibri" w:cs="Arial"/>
      <w:color w:val="000000" w:themeColor="text1"/>
      <w:lang w:val="es-ES_tradnl"/>
    </w:rPr>
  </w:style>
  <w:style w:type="paragraph" w:customStyle="1" w:styleId="ParaBullet2">
    <w:name w:val="~ParaBullet2"/>
    <w:basedOn w:val="ParaBullet1"/>
    <w:uiPriority w:val="3"/>
    <w:qFormat/>
    <w:rsid w:val="00BC2160"/>
    <w:pPr>
      <w:numPr>
        <w:ilvl w:val="1"/>
      </w:numPr>
    </w:pPr>
  </w:style>
  <w:style w:type="paragraph" w:customStyle="1" w:styleId="ParaBullet3">
    <w:name w:val="~ParaBullet3"/>
    <w:basedOn w:val="ParaBullet2"/>
    <w:uiPriority w:val="3"/>
    <w:qFormat/>
    <w:rsid w:val="00BC2160"/>
    <w:pPr>
      <w:numPr>
        <w:ilvl w:val="2"/>
      </w:numPr>
    </w:pPr>
  </w:style>
  <w:style w:type="character" w:customStyle="1" w:styleId="Ttulo6Car">
    <w:name w:val="Título 6 Car"/>
    <w:basedOn w:val="Fuentedeprrafopredeter"/>
    <w:link w:val="Ttulo6"/>
    <w:uiPriority w:val="9"/>
    <w:rsid w:val="003E42CC"/>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9435">
      <w:bodyDiv w:val="1"/>
      <w:marLeft w:val="0"/>
      <w:marRight w:val="0"/>
      <w:marTop w:val="0"/>
      <w:marBottom w:val="0"/>
      <w:divBdr>
        <w:top w:val="none" w:sz="0" w:space="0" w:color="auto"/>
        <w:left w:val="none" w:sz="0" w:space="0" w:color="auto"/>
        <w:bottom w:val="none" w:sz="0" w:space="0" w:color="auto"/>
        <w:right w:val="none" w:sz="0" w:space="0" w:color="auto"/>
      </w:divBdr>
    </w:div>
    <w:div w:id="88162961">
      <w:bodyDiv w:val="1"/>
      <w:marLeft w:val="0"/>
      <w:marRight w:val="0"/>
      <w:marTop w:val="0"/>
      <w:marBottom w:val="0"/>
      <w:divBdr>
        <w:top w:val="none" w:sz="0" w:space="0" w:color="auto"/>
        <w:left w:val="none" w:sz="0" w:space="0" w:color="auto"/>
        <w:bottom w:val="none" w:sz="0" w:space="0" w:color="auto"/>
        <w:right w:val="none" w:sz="0" w:space="0" w:color="auto"/>
      </w:divBdr>
    </w:div>
    <w:div w:id="99104592">
      <w:bodyDiv w:val="1"/>
      <w:marLeft w:val="0"/>
      <w:marRight w:val="0"/>
      <w:marTop w:val="0"/>
      <w:marBottom w:val="0"/>
      <w:divBdr>
        <w:top w:val="none" w:sz="0" w:space="0" w:color="auto"/>
        <w:left w:val="none" w:sz="0" w:space="0" w:color="auto"/>
        <w:bottom w:val="none" w:sz="0" w:space="0" w:color="auto"/>
        <w:right w:val="none" w:sz="0" w:space="0" w:color="auto"/>
      </w:divBdr>
    </w:div>
    <w:div w:id="106581371">
      <w:bodyDiv w:val="1"/>
      <w:marLeft w:val="0"/>
      <w:marRight w:val="0"/>
      <w:marTop w:val="0"/>
      <w:marBottom w:val="0"/>
      <w:divBdr>
        <w:top w:val="none" w:sz="0" w:space="0" w:color="auto"/>
        <w:left w:val="none" w:sz="0" w:space="0" w:color="auto"/>
        <w:bottom w:val="none" w:sz="0" w:space="0" w:color="auto"/>
        <w:right w:val="none" w:sz="0" w:space="0" w:color="auto"/>
      </w:divBdr>
    </w:div>
    <w:div w:id="123622613">
      <w:bodyDiv w:val="1"/>
      <w:marLeft w:val="0"/>
      <w:marRight w:val="0"/>
      <w:marTop w:val="0"/>
      <w:marBottom w:val="0"/>
      <w:divBdr>
        <w:top w:val="none" w:sz="0" w:space="0" w:color="auto"/>
        <w:left w:val="none" w:sz="0" w:space="0" w:color="auto"/>
        <w:bottom w:val="none" w:sz="0" w:space="0" w:color="auto"/>
        <w:right w:val="none" w:sz="0" w:space="0" w:color="auto"/>
      </w:divBdr>
    </w:div>
    <w:div w:id="130290611">
      <w:bodyDiv w:val="1"/>
      <w:marLeft w:val="0"/>
      <w:marRight w:val="0"/>
      <w:marTop w:val="0"/>
      <w:marBottom w:val="0"/>
      <w:divBdr>
        <w:top w:val="none" w:sz="0" w:space="0" w:color="auto"/>
        <w:left w:val="none" w:sz="0" w:space="0" w:color="auto"/>
        <w:bottom w:val="none" w:sz="0" w:space="0" w:color="auto"/>
        <w:right w:val="none" w:sz="0" w:space="0" w:color="auto"/>
      </w:divBdr>
    </w:div>
    <w:div w:id="166334651">
      <w:bodyDiv w:val="1"/>
      <w:marLeft w:val="0"/>
      <w:marRight w:val="0"/>
      <w:marTop w:val="0"/>
      <w:marBottom w:val="0"/>
      <w:divBdr>
        <w:top w:val="none" w:sz="0" w:space="0" w:color="auto"/>
        <w:left w:val="none" w:sz="0" w:space="0" w:color="auto"/>
        <w:bottom w:val="none" w:sz="0" w:space="0" w:color="auto"/>
        <w:right w:val="none" w:sz="0" w:space="0" w:color="auto"/>
      </w:divBdr>
    </w:div>
    <w:div w:id="174268332">
      <w:bodyDiv w:val="1"/>
      <w:marLeft w:val="0"/>
      <w:marRight w:val="0"/>
      <w:marTop w:val="0"/>
      <w:marBottom w:val="0"/>
      <w:divBdr>
        <w:top w:val="none" w:sz="0" w:space="0" w:color="auto"/>
        <w:left w:val="none" w:sz="0" w:space="0" w:color="auto"/>
        <w:bottom w:val="none" w:sz="0" w:space="0" w:color="auto"/>
        <w:right w:val="none" w:sz="0" w:space="0" w:color="auto"/>
      </w:divBdr>
    </w:div>
    <w:div w:id="211618140">
      <w:bodyDiv w:val="1"/>
      <w:marLeft w:val="0"/>
      <w:marRight w:val="0"/>
      <w:marTop w:val="0"/>
      <w:marBottom w:val="0"/>
      <w:divBdr>
        <w:top w:val="none" w:sz="0" w:space="0" w:color="auto"/>
        <w:left w:val="none" w:sz="0" w:space="0" w:color="auto"/>
        <w:bottom w:val="none" w:sz="0" w:space="0" w:color="auto"/>
        <w:right w:val="none" w:sz="0" w:space="0" w:color="auto"/>
      </w:divBdr>
    </w:div>
    <w:div w:id="228539051">
      <w:bodyDiv w:val="1"/>
      <w:marLeft w:val="0"/>
      <w:marRight w:val="0"/>
      <w:marTop w:val="0"/>
      <w:marBottom w:val="0"/>
      <w:divBdr>
        <w:top w:val="none" w:sz="0" w:space="0" w:color="auto"/>
        <w:left w:val="none" w:sz="0" w:space="0" w:color="auto"/>
        <w:bottom w:val="none" w:sz="0" w:space="0" w:color="auto"/>
        <w:right w:val="none" w:sz="0" w:space="0" w:color="auto"/>
      </w:divBdr>
    </w:div>
    <w:div w:id="249583930">
      <w:bodyDiv w:val="1"/>
      <w:marLeft w:val="0"/>
      <w:marRight w:val="0"/>
      <w:marTop w:val="0"/>
      <w:marBottom w:val="0"/>
      <w:divBdr>
        <w:top w:val="none" w:sz="0" w:space="0" w:color="auto"/>
        <w:left w:val="none" w:sz="0" w:space="0" w:color="auto"/>
        <w:bottom w:val="none" w:sz="0" w:space="0" w:color="auto"/>
        <w:right w:val="none" w:sz="0" w:space="0" w:color="auto"/>
      </w:divBdr>
    </w:div>
    <w:div w:id="270666145">
      <w:bodyDiv w:val="1"/>
      <w:marLeft w:val="0"/>
      <w:marRight w:val="0"/>
      <w:marTop w:val="0"/>
      <w:marBottom w:val="0"/>
      <w:divBdr>
        <w:top w:val="none" w:sz="0" w:space="0" w:color="auto"/>
        <w:left w:val="none" w:sz="0" w:space="0" w:color="auto"/>
        <w:bottom w:val="none" w:sz="0" w:space="0" w:color="auto"/>
        <w:right w:val="none" w:sz="0" w:space="0" w:color="auto"/>
      </w:divBdr>
    </w:div>
    <w:div w:id="306400285">
      <w:bodyDiv w:val="1"/>
      <w:marLeft w:val="0"/>
      <w:marRight w:val="0"/>
      <w:marTop w:val="0"/>
      <w:marBottom w:val="0"/>
      <w:divBdr>
        <w:top w:val="none" w:sz="0" w:space="0" w:color="auto"/>
        <w:left w:val="none" w:sz="0" w:space="0" w:color="auto"/>
        <w:bottom w:val="none" w:sz="0" w:space="0" w:color="auto"/>
        <w:right w:val="none" w:sz="0" w:space="0" w:color="auto"/>
      </w:divBdr>
    </w:div>
    <w:div w:id="319889523">
      <w:bodyDiv w:val="1"/>
      <w:marLeft w:val="0"/>
      <w:marRight w:val="0"/>
      <w:marTop w:val="0"/>
      <w:marBottom w:val="0"/>
      <w:divBdr>
        <w:top w:val="none" w:sz="0" w:space="0" w:color="auto"/>
        <w:left w:val="none" w:sz="0" w:space="0" w:color="auto"/>
        <w:bottom w:val="none" w:sz="0" w:space="0" w:color="auto"/>
        <w:right w:val="none" w:sz="0" w:space="0" w:color="auto"/>
      </w:divBdr>
    </w:div>
    <w:div w:id="341322418">
      <w:bodyDiv w:val="1"/>
      <w:marLeft w:val="0"/>
      <w:marRight w:val="0"/>
      <w:marTop w:val="0"/>
      <w:marBottom w:val="0"/>
      <w:divBdr>
        <w:top w:val="none" w:sz="0" w:space="0" w:color="auto"/>
        <w:left w:val="none" w:sz="0" w:space="0" w:color="auto"/>
        <w:bottom w:val="none" w:sz="0" w:space="0" w:color="auto"/>
        <w:right w:val="none" w:sz="0" w:space="0" w:color="auto"/>
      </w:divBdr>
    </w:div>
    <w:div w:id="342904210">
      <w:bodyDiv w:val="1"/>
      <w:marLeft w:val="0"/>
      <w:marRight w:val="0"/>
      <w:marTop w:val="0"/>
      <w:marBottom w:val="0"/>
      <w:divBdr>
        <w:top w:val="none" w:sz="0" w:space="0" w:color="auto"/>
        <w:left w:val="none" w:sz="0" w:space="0" w:color="auto"/>
        <w:bottom w:val="none" w:sz="0" w:space="0" w:color="auto"/>
        <w:right w:val="none" w:sz="0" w:space="0" w:color="auto"/>
      </w:divBdr>
    </w:div>
    <w:div w:id="344988058">
      <w:bodyDiv w:val="1"/>
      <w:marLeft w:val="0"/>
      <w:marRight w:val="0"/>
      <w:marTop w:val="0"/>
      <w:marBottom w:val="0"/>
      <w:divBdr>
        <w:top w:val="none" w:sz="0" w:space="0" w:color="auto"/>
        <w:left w:val="none" w:sz="0" w:space="0" w:color="auto"/>
        <w:bottom w:val="none" w:sz="0" w:space="0" w:color="auto"/>
        <w:right w:val="none" w:sz="0" w:space="0" w:color="auto"/>
      </w:divBdr>
    </w:div>
    <w:div w:id="373971903">
      <w:bodyDiv w:val="1"/>
      <w:marLeft w:val="0"/>
      <w:marRight w:val="0"/>
      <w:marTop w:val="0"/>
      <w:marBottom w:val="0"/>
      <w:divBdr>
        <w:top w:val="none" w:sz="0" w:space="0" w:color="auto"/>
        <w:left w:val="none" w:sz="0" w:space="0" w:color="auto"/>
        <w:bottom w:val="none" w:sz="0" w:space="0" w:color="auto"/>
        <w:right w:val="none" w:sz="0" w:space="0" w:color="auto"/>
      </w:divBdr>
    </w:div>
    <w:div w:id="389967194">
      <w:bodyDiv w:val="1"/>
      <w:marLeft w:val="0"/>
      <w:marRight w:val="0"/>
      <w:marTop w:val="0"/>
      <w:marBottom w:val="0"/>
      <w:divBdr>
        <w:top w:val="none" w:sz="0" w:space="0" w:color="auto"/>
        <w:left w:val="none" w:sz="0" w:space="0" w:color="auto"/>
        <w:bottom w:val="none" w:sz="0" w:space="0" w:color="auto"/>
        <w:right w:val="none" w:sz="0" w:space="0" w:color="auto"/>
      </w:divBdr>
    </w:div>
    <w:div w:id="420299286">
      <w:bodyDiv w:val="1"/>
      <w:marLeft w:val="0"/>
      <w:marRight w:val="0"/>
      <w:marTop w:val="0"/>
      <w:marBottom w:val="0"/>
      <w:divBdr>
        <w:top w:val="none" w:sz="0" w:space="0" w:color="auto"/>
        <w:left w:val="none" w:sz="0" w:space="0" w:color="auto"/>
        <w:bottom w:val="none" w:sz="0" w:space="0" w:color="auto"/>
        <w:right w:val="none" w:sz="0" w:space="0" w:color="auto"/>
      </w:divBdr>
    </w:div>
    <w:div w:id="446436804">
      <w:bodyDiv w:val="1"/>
      <w:marLeft w:val="0"/>
      <w:marRight w:val="0"/>
      <w:marTop w:val="0"/>
      <w:marBottom w:val="0"/>
      <w:divBdr>
        <w:top w:val="none" w:sz="0" w:space="0" w:color="auto"/>
        <w:left w:val="none" w:sz="0" w:space="0" w:color="auto"/>
        <w:bottom w:val="none" w:sz="0" w:space="0" w:color="auto"/>
        <w:right w:val="none" w:sz="0" w:space="0" w:color="auto"/>
      </w:divBdr>
    </w:div>
    <w:div w:id="462386774">
      <w:bodyDiv w:val="1"/>
      <w:marLeft w:val="0"/>
      <w:marRight w:val="0"/>
      <w:marTop w:val="0"/>
      <w:marBottom w:val="0"/>
      <w:divBdr>
        <w:top w:val="none" w:sz="0" w:space="0" w:color="auto"/>
        <w:left w:val="none" w:sz="0" w:space="0" w:color="auto"/>
        <w:bottom w:val="none" w:sz="0" w:space="0" w:color="auto"/>
        <w:right w:val="none" w:sz="0" w:space="0" w:color="auto"/>
      </w:divBdr>
    </w:div>
    <w:div w:id="514348209">
      <w:bodyDiv w:val="1"/>
      <w:marLeft w:val="0"/>
      <w:marRight w:val="0"/>
      <w:marTop w:val="0"/>
      <w:marBottom w:val="0"/>
      <w:divBdr>
        <w:top w:val="none" w:sz="0" w:space="0" w:color="auto"/>
        <w:left w:val="none" w:sz="0" w:space="0" w:color="auto"/>
        <w:bottom w:val="none" w:sz="0" w:space="0" w:color="auto"/>
        <w:right w:val="none" w:sz="0" w:space="0" w:color="auto"/>
      </w:divBdr>
    </w:div>
    <w:div w:id="522673669">
      <w:bodyDiv w:val="1"/>
      <w:marLeft w:val="0"/>
      <w:marRight w:val="0"/>
      <w:marTop w:val="0"/>
      <w:marBottom w:val="0"/>
      <w:divBdr>
        <w:top w:val="none" w:sz="0" w:space="0" w:color="auto"/>
        <w:left w:val="none" w:sz="0" w:space="0" w:color="auto"/>
        <w:bottom w:val="none" w:sz="0" w:space="0" w:color="auto"/>
        <w:right w:val="none" w:sz="0" w:space="0" w:color="auto"/>
      </w:divBdr>
    </w:div>
    <w:div w:id="523132810">
      <w:bodyDiv w:val="1"/>
      <w:marLeft w:val="0"/>
      <w:marRight w:val="0"/>
      <w:marTop w:val="0"/>
      <w:marBottom w:val="0"/>
      <w:divBdr>
        <w:top w:val="none" w:sz="0" w:space="0" w:color="auto"/>
        <w:left w:val="none" w:sz="0" w:space="0" w:color="auto"/>
        <w:bottom w:val="none" w:sz="0" w:space="0" w:color="auto"/>
        <w:right w:val="none" w:sz="0" w:space="0" w:color="auto"/>
      </w:divBdr>
    </w:div>
    <w:div w:id="551500370">
      <w:bodyDiv w:val="1"/>
      <w:marLeft w:val="0"/>
      <w:marRight w:val="0"/>
      <w:marTop w:val="0"/>
      <w:marBottom w:val="0"/>
      <w:divBdr>
        <w:top w:val="none" w:sz="0" w:space="0" w:color="auto"/>
        <w:left w:val="none" w:sz="0" w:space="0" w:color="auto"/>
        <w:bottom w:val="none" w:sz="0" w:space="0" w:color="auto"/>
        <w:right w:val="none" w:sz="0" w:space="0" w:color="auto"/>
      </w:divBdr>
    </w:div>
    <w:div w:id="564031205">
      <w:bodyDiv w:val="1"/>
      <w:marLeft w:val="0"/>
      <w:marRight w:val="0"/>
      <w:marTop w:val="0"/>
      <w:marBottom w:val="0"/>
      <w:divBdr>
        <w:top w:val="none" w:sz="0" w:space="0" w:color="auto"/>
        <w:left w:val="none" w:sz="0" w:space="0" w:color="auto"/>
        <w:bottom w:val="none" w:sz="0" w:space="0" w:color="auto"/>
        <w:right w:val="none" w:sz="0" w:space="0" w:color="auto"/>
      </w:divBdr>
    </w:div>
    <w:div w:id="572666258">
      <w:bodyDiv w:val="1"/>
      <w:marLeft w:val="0"/>
      <w:marRight w:val="0"/>
      <w:marTop w:val="0"/>
      <w:marBottom w:val="0"/>
      <w:divBdr>
        <w:top w:val="none" w:sz="0" w:space="0" w:color="auto"/>
        <w:left w:val="none" w:sz="0" w:space="0" w:color="auto"/>
        <w:bottom w:val="none" w:sz="0" w:space="0" w:color="auto"/>
        <w:right w:val="none" w:sz="0" w:space="0" w:color="auto"/>
      </w:divBdr>
    </w:div>
    <w:div w:id="576091365">
      <w:bodyDiv w:val="1"/>
      <w:marLeft w:val="0"/>
      <w:marRight w:val="0"/>
      <w:marTop w:val="0"/>
      <w:marBottom w:val="0"/>
      <w:divBdr>
        <w:top w:val="none" w:sz="0" w:space="0" w:color="auto"/>
        <w:left w:val="none" w:sz="0" w:space="0" w:color="auto"/>
        <w:bottom w:val="none" w:sz="0" w:space="0" w:color="auto"/>
        <w:right w:val="none" w:sz="0" w:space="0" w:color="auto"/>
      </w:divBdr>
    </w:div>
    <w:div w:id="588201800">
      <w:bodyDiv w:val="1"/>
      <w:marLeft w:val="0"/>
      <w:marRight w:val="0"/>
      <w:marTop w:val="0"/>
      <w:marBottom w:val="0"/>
      <w:divBdr>
        <w:top w:val="none" w:sz="0" w:space="0" w:color="auto"/>
        <w:left w:val="none" w:sz="0" w:space="0" w:color="auto"/>
        <w:bottom w:val="none" w:sz="0" w:space="0" w:color="auto"/>
        <w:right w:val="none" w:sz="0" w:space="0" w:color="auto"/>
      </w:divBdr>
    </w:div>
    <w:div w:id="621227678">
      <w:bodyDiv w:val="1"/>
      <w:marLeft w:val="0"/>
      <w:marRight w:val="0"/>
      <w:marTop w:val="0"/>
      <w:marBottom w:val="0"/>
      <w:divBdr>
        <w:top w:val="none" w:sz="0" w:space="0" w:color="auto"/>
        <w:left w:val="none" w:sz="0" w:space="0" w:color="auto"/>
        <w:bottom w:val="none" w:sz="0" w:space="0" w:color="auto"/>
        <w:right w:val="none" w:sz="0" w:space="0" w:color="auto"/>
      </w:divBdr>
    </w:div>
    <w:div w:id="667178259">
      <w:bodyDiv w:val="1"/>
      <w:marLeft w:val="0"/>
      <w:marRight w:val="0"/>
      <w:marTop w:val="0"/>
      <w:marBottom w:val="0"/>
      <w:divBdr>
        <w:top w:val="none" w:sz="0" w:space="0" w:color="auto"/>
        <w:left w:val="none" w:sz="0" w:space="0" w:color="auto"/>
        <w:bottom w:val="none" w:sz="0" w:space="0" w:color="auto"/>
        <w:right w:val="none" w:sz="0" w:space="0" w:color="auto"/>
      </w:divBdr>
    </w:div>
    <w:div w:id="668218466">
      <w:bodyDiv w:val="1"/>
      <w:marLeft w:val="0"/>
      <w:marRight w:val="0"/>
      <w:marTop w:val="0"/>
      <w:marBottom w:val="0"/>
      <w:divBdr>
        <w:top w:val="none" w:sz="0" w:space="0" w:color="auto"/>
        <w:left w:val="none" w:sz="0" w:space="0" w:color="auto"/>
        <w:bottom w:val="none" w:sz="0" w:space="0" w:color="auto"/>
        <w:right w:val="none" w:sz="0" w:space="0" w:color="auto"/>
      </w:divBdr>
    </w:div>
    <w:div w:id="676004937">
      <w:bodyDiv w:val="1"/>
      <w:marLeft w:val="0"/>
      <w:marRight w:val="0"/>
      <w:marTop w:val="0"/>
      <w:marBottom w:val="0"/>
      <w:divBdr>
        <w:top w:val="none" w:sz="0" w:space="0" w:color="auto"/>
        <w:left w:val="none" w:sz="0" w:space="0" w:color="auto"/>
        <w:bottom w:val="none" w:sz="0" w:space="0" w:color="auto"/>
        <w:right w:val="none" w:sz="0" w:space="0" w:color="auto"/>
      </w:divBdr>
    </w:div>
    <w:div w:id="692345804">
      <w:bodyDiv w:val="1"/>
      <w:marLeft w:val="0"/>
      <w:marRight w:val="0"/>
      <w:marTop w:val="0"/>
      <w:marBottom w:val="0"/>
      <w:divBdr>
        <w:top w:val="none" w:sz="0" w:space="0" w:color="auto"/>
        <w:left w:val="none" w:sz="0" w:space="0" w:color="auto"/>
        <w:bottom w:val="none" w:sz="0" w:space="0" w:color="auto"/>
        <w:right w:val="none" w:sz="0" w:space="0" w:color="auto"/>
      </w:divBdr>
    </w:div>
    <w:div w:id="723718824">
      <w:bodyDiv w:val="1"/>
      <w:marLeft w:val="0"/>
      <w:marRight w:val="0"/>
      <w:marTop w:val="0"/>
      <w:marBottom w:val="0"/>
      <w:divBdr>
        <w:top w:val="none" w:sz="0" w:space="0" w:color="auto"/>
        <w:left w:val="none" w:sz="0" w:space="0" w:color="auto"/>
        <w:bottom w:val="none" w:sz="0" w:space="0" w:color="auto"/>
        <w:right w:val="none" w:sz="0" w:space="0" w:color="auto"/>
      </w:divBdr>
    </w:div>
    <w:div w:id="766854411">
      <w:bodyDiv w:val="1"/>
      <w:marLeft w:val="0"/>
      <w:marRight w:val="0"/>
      <w:marTop w:val="0"/>
      <w:marBottom w:val="0"/>
      <w:divBdr>
        <w:top w:val="none" w:sz="0" w:space="0" w:color="auto"/>
        <w:left w:val="none" w:sz="0" w:space="0" w:color="auto"/>
        <w:bottom w:val="none" w:sz="0" w:space="0" w:color="auto"/>
        <w:right w:val="none" w:sz="0" w:space="0" w:color="auto"/>
      </w:divBdr>
      <w:divsChild>
        <w:div w:id="99423124">
          <w:marLeft w:val="446"/>
          <w:marRight w:val="0"/>
          <w:marTop w:val="0"/>
          <w:marBottom w:val="0"/>
          <w:divBdr>
            <w:top w:val="none" w:sz="0" w:space="0" w:color="auto"/>
            <w:left w:val="none" w:sz="0" w:space="0" w:color="auto"/>
            <w:bottom w:val="none" w:sz="0" w:space="0" w:color="auto"/>
            <w:right w:val="none" w:sz="0" w:space="0" w:color="auto"/>
          </w:divBdr>
        </w:div>
        <w:div w:id="290090729">
          <w:marLeft w:val="446"/>
          <w:marRight w:val="0"/>
          <w:marTop w:val="0"/>
          <w:marBottom w:val="0"/>
          <w:divBdr>
            <w:top w:val="none" w:sz="0" w:space="0" w:color="auto"/>
            <w:left w:val="none" w:sz="0" w:space="0" w:color="auto"/>
            <w:bottom w:val="none" w:sz="0" w:space="0" w:color="auto"/>
            <w:right w:val="none" w:sz="0" w:space="0" w:color="auto"/>
          </w:divBdr>
        </w:div>
        <w:div w:id="143395249">
          <w:marLeft w:val="446"/>
          <w:marRight w:val="0"/>
          <w:marTop w:val="0"/>
          <w:marBottom w:val="0"/>
          <w:divBdr>
            <w:top w:val="none" w:sz="0" w:space="0" w:color="auto"/>
            <w:left w:val="none" w:sz="0" w:space="0" w:color="auto"/>
            <w:bottom w:val="none" w:sz="0" w:space="0" w:color="auto"/>
            <w:right w:val="none" w:sz="0" w:space="0" w:color="auto"/>
          </w:divBdr>
        </w:div>
        <w:div w:id="1430466146">
          <w:marLeft w:val="446"/>
          <w:marRight w:val="0"/>
          <w:marTop w:val="0"/>
          <w:marBottom w:val="0"/>
          <w:divBdr>
            <w:top w:val="none" w:sz="0" w:space="0" w:color="auto"/>
            <w:left w:val="none" w:sz="0" w:space="0" w:color="auto"/>
            <w:bottom w:val="none" w:sz="0" w:space="0" w:color="auto"/>
            <w:right w:val="none" w:sz="0" w:space="0" w:color="auto"/>
          </w:divBdr>
        </w:div>
        <w:div w:id="1496263108">
          <w:marLeft w:val="446"/>
          <w:marRight w:val="0"/>
          <w:marTop w:val="0"/>
          <w:marBottom w:val="0"/>
          <w:divBdr>
            <w:top w:val="none" w:sz="0" w:space="0" w:color="auto"/>
            <w:left w:val="none" w:sz="0" w:space="0" w:color="auto"/>
            <w:bottom w:val="none" w:sz="0" w:space="0" w:color="auto"/>
            <w:right w:val="none" w:sz="0" w:space="0" w:color="auto"/>
          </w:divBdr>
        </w:div>
        <w:div w:id="857356318">
          <w:marLeft w:val="446"/>
          <w:marRight w:val="0"/>
          <w:marTop w:val="0"/>
          <w:marBottom w:val="0"/>
          <w:divBdr>
            <w:top w:val="none" w:sz="0" w:space="0" w:color="auto"/>
            <w:left w:val="none" w:sz="0" w:space="0" w:color="auto"/>
            <w:bottom w:val="none" w:sz="0" w:space="0" w:color="auto"/>
            <w:right w:val="none" w:sz="0" w:space="0" w:color="auto"/>
          </w:divBdr>
        </w:div>
        <w:div w:id="279533884">
          <w:marLeft w:val="446"/>
          <w:marRight w:val="0"/>
          <w:marTop w:val="0"/>
          <w:marBottom w:val="0"/>
          <w:divBdr>
            <w:top w:val="none" w:sz="0" w:space="0" w:color="auto"/>
            <w:left w:val="none" w:sz="0" w:space="0" w:color="auto"/>
            <w:bottom w:val="none" w:sz="0" w:space="0" w:color="auto"/>
            <w:right w:val="none" w:sz="0" w:space="0" w:color="auto"/>
          </w:divBdr>
        </w:div>
        <w:div w:id="540939196">
          <w:marLeft w:val="446"/>
          <w:marRight w:val="0"/>
          <w:marTop w:val="0"/>
          <w:marBottom w:val="0"/>
          <w:divBdr>
            <w:top w:val="none" w:sz="0" w:space="0" w:color="auto"/>
            <w:left w:val="none" w:sz="0" w:space="0" w:color="auto"/>
            <w:bottom w:val="none" w:sz="0" w:space="0" w:color="auto"/>
            <w:right w:val="none" w:sz="0" w:space="0" w:color="auto"/>
          </w:divBdr>
        </w:div>
      </w:divsChild>
    </w:div>
    <w:div w:id="803044037">
      <w:bodyDiv w:val="1"/>
      <w:marLeft w:val="0"/>
      <w:marRight w:val="0"/>
      <w:marTop w:val="0"/>
      <w:marBottom w:val="0"/>
      <w:divBdr>
        <w:top w:val="none" w:sz="0" w:space="0" w:color="auto"/>
        <w:left w:val="none" w:sz="0" w:space="0" w:color="auto"/>
        <w:bottom w:val="none" w:sz="0" w:space="0" w:color="auto"/>
        <w:right w:val="none" w:sz="0" w:space="0" w:color="auto"/>
      </w:divBdr>
    </w:div>
    <w:div w:id="820317949">
      <w:bodyDiv w:val="1"/>
      <w:marLeft w:val="0"/>
      <w:marRight w:val="0"/>
      <w:marTop w:val="0"/>
      <w:marBottom w:val="0"/>
      <w:divBdr>
        <w:top w:val="none" w:sz="0" w:space="0" w:color="auto"/>
        <w:left w:val="none" w:sz="0" w:space="0" w:color="auto"/>
        <w:bottom w:val="none" w:sz="0" w:space="0" w:color="auto"/>
        <w:right w:val="none" w:sz="0" w:space="0" w:color="auto"/>
      </w:divBdr>
    </w:div>
    <w:div w:id="825054260">
      <w:bodyDiv w:val="1"/>
      <w:marLeft w:val="0"/>
      <w:marRight w:val="0"/>
      <w:marTop w:val="0"/>
      <w:marBottom w:val="0"/>
      <w:divBdr>
        <w:top w:val="none" w:sz="0" w:space="0" w:color="auto"/>
        <w:left w:val="none" w:sz="0" w:space="0" w:color="auto"/>
        <w:bottom w:val="none" w:sz="0" w:space="0" w:color="auto"/>
        <w:right w:val="none" w:sz="0" w:space="0" w:color="auto"/>
      </w:divBdr>
    </w:div>
    <w:div w:id="860628909">
      <w:bodyDiv w:val="1"/>
      <w:marLeft w:val="0"/>
      <w:marRight w:val="0"/>
      <w:marTop w:val="0"/>
      <w:marBottom w:val="0"/>
      <w:divBdr>
        <w:top w:val="none" w:sz="0" w:space="0" w:color="auto"/>
        <w:left w:val="none" w:sz="0" w:space="0" w:color="auto"/>
        <w:bottom w:val="none" w:sz="0" w:space="0" w:color="auto"/>
        <w:right w:val="none" w:sz="0" w:space="0" w:color="auto"/>
      </w:divBdr>
    </w:div>
    <w:div w:id="863710503">
      <w:bodyDiv w:val="1"/>
      <w:marLeft w:val="0"/>
      <w:marRight w:val="0"/>
      <w:marTop w:val="0"/>
      <w:marBottom w:val="0"/>
      <w:divBdr>
        <w:top w:val="none" w:sz="0" w:space="0" w:color="auto"/>
        <w:left w:val="none" w:sz="0" w:space="0" w:color="auto"/>
        <w:bottom w:val="none" w:sz="0" w:space="0" w:color="auto"/>
        <w:right w:val="none" w:sz="0" w:space="0" w:color="auto"/>
      </w:divBdr>
    </w:div>
    <w:div w:id="872156419">
      <w:bodyDiv w:val="1"/>
      <w:marLeft w:val="0"/>
      <w:marRight w:val="0"/>
      <w:marTop w:val="0"/>
      <w:marBottom w:val="0"/>
      <w:divBdr>
        <w:top w:val="none" w:sz="0" w:space="0" w:color="auto"/>
        <w:left w:val="none" w:sz="0" w:space="0" w:color="auto"/>
        <w:bottom w:val="none" w:sz="0" w:space="0" w:color="auto"/>
        <w:right w:val="none" w:sz="0" w:space="0" w:color="auto"/>
      </w:divBdr>
    </w:div>
    <w:div w:id="928276584">
      <w:bodyDiv w:val="1"/>
      <w:marLeft w:val="0"/>
      <w:marRight w:val="0"/>
      <w:marTop w:val="0"/>
      <w:marBottom w:val="0"/>
      <w:divBdr>
        <w:top w:val="none" w:sz="0" w:space="0" w:color="auto"/>
        <w:left w:val="none" w:sz="0" w:space="0" w:color="auto"/>
        <w:bottom w:val="none" w:sz="0" w:space="0" w:color="auto"/>
        <w:right w:val="none" w:sz="0" w:space="0" w:color="auto"/>
      </w:divBdr>
    </w:div>
    <w:div w:id="944070112">
      <w:bodyDiv w:val="1"/>
      <w:marLeft w:val="0"/>
      <w:marRight w:val="0"/>
      <w:marTop w:val="0"/>
      <w:marBottom w:val="0"/>
      <w:divBdr>
        <w:top w:val="none" w:sz="0" w:space="0" w:color="auto"/>
        <w:left w:val="none" w:sz="0" w:space="0" w:color="auto"/>
        <w:bottom w:val="none" w:sz="0" w:space="0" w:color="auto"/>
        <w:right w:val="none" w:sz="0" w:space="0" w:color="auto"/>
      </w:divBdr>
    </w:div>
    <w:div w:id="944465084">
      <w:bodyDiv w:val="1"/>
      <w:marLeft w:val="0"/>
      <w:marRight w:val="0"/>
      <w:marTop w:val="0"/>
      <w:marBottom w:val="0"/>
      <w:divBdr>
        <w:top w:val="none" w:sz="0" w:space="0" w:color="auto"/>
        <w:left w:val="none" w:sz="0" w:space="0" w:color="auto"/>
        <w:bottom w:val="none" w:sz="0" w:space="0" w:color="auto"/>
        <w:right w:val="none" w:sz="0" w:space="0" w:color="auto"/>
      </w:divBdr>
    </w:div>
    <w:div w:id="947002049">
      <w:bodyDiv w:val="1"/>
      <w:marLeft w:val="0"/>
      <w:marRight w:val="0"/>
      <w:marTop w:val="0"/>
      <w:marBottom w:val="0"/>
      <w:divBdr>
        <w:top w:val="none" w:sz="0" w:space="0" w:color="auto"/>
        <w:left w:val="none" w:sz="0" w:space="0" w:color="auto"/>
        <w:bottom w:val="none" w:sz="0" w:space="0" w:color="auto"/>
        <w:right w:val="none" w:sz="0" w:space="0" w:color="auto"/>
      </w:divBdr>
    </w:div>
    <w:div w:id="957642895">
      <w:bodyDiv w:val="1"/>
      <w:marLeft w:val="0"/>
      <w:marRight w:val="0"/>
      <w:marTop w:val="0"/>
      <w:marBottom w:val="0"/>
      <w:divBdr>
        <w:top w:val="none" w:sz="0" w:space="0" w:color="auto"/>
        <w:left w:val="none" w:sz="0" w:space="0" w:color="auto"/>
        <w:bottom w:val="none" w:sz="0" w:space="0" w:color="auto"/>
        <w:right w:val="none" w:sz="0" w:space="0" w:color="auto"/>
      </w:divBdr>
    </w:div>
    <w:div w:id="1024749613">
      <w:bodyDiv w:val="1"/>
      <w:marLeft w:val="0"/>
      <w:marRight w:val="0"/>
      <w:marTop w:val="0"/>
      <w:marBottom w:val="0"/>
      <w:divBdr>
        <w:top w:val="none" w:sz="0" w:space="0" w:color="auto"/>
        <w:left w:val="none" w:sz="0" w:space="0" w:color="auto"/>
        <w:bottom w:val="none" w:sz="0" w:space="0" w:color="auto"/>
        <w:right w:val="none" w:sz="0" w:space="0" w:color="auto"/>
      </w:divBdr>
    </w:div>
    <w:div w:id="1042317249">
      <w:bodyDiv w:val="1"/>
      <w:marLeft w:val="0"/>
      <w:marRight w:val="0"/>
      <w:marTop w:val="0"/>
      <w:marBottom w:val="0"/>
      <w:divBdr>
        <w:top w:val="none" w:sz="0" w:space="0" w:color="auto"/>
        <w:left w:val="none" w:sz="0" w:space="0" w:color="auto"/>
        <w:bottom w:val="none" w:sz="0" w:space="0" w:color="auto"/>
        <w:right w:val="none" w:sz="0" w:space="0" w:color="auto"/>
      </w:divBdr>
    </w:div>
    <w:div w:id="1051731869">
      <w:bodyDiv w:val="1"/>
      <w:marLeft w:val="0"/>
      <w:marRight w:val="0"/>
      <w:marTop w:val="0"/>
      <w:marBottom w:val="0"/>
      <w:divBdr>
        <w:top w:val="none" w:sz="0" w:space="0" w:color="auto"/>
        <w:left w:val="none" w:sz="0" w:space="0" w:color="auto"/>
        <w:bottom w:val="none" w:sz="0" w:space="0" w:color="auto"/>
        <w:right w:val="none" w:sz="0" w:space="0" w:color="auto"/>
      </w:divBdr>
    </w:div>
    <w:div w:id="1061059594">
      <w:bodyDiv w:val="1"/>
      <w:marLeft w:val="0"/>
      <w:marRight w:val="0"/>
      <w:marTop w:val="0"/>
      <w:marBottom w:val="0"/>
      <w:divBdr>
        <w:top w:val="none" w:sz="0" w:space="0" w:color="auto"/>
        <w:left w:val="none" w:sz="0" w:space="0" w:color="auto"/>
        <w:bottom w:val="none" w:sz="0" w:space="0" w:color="auto"/>
        <w:right w:val="none" w:sz="0" w:space="0" w:color="auto"/>
      </w:divBdr>
    </w:div>
    <w:div w:id="1067536552">
      <w:bodyDiv w:val="1"/>
      <w:marLeft w:val="0"/>
      <w:marRight w:val="0"/>
      <w:marTop w:val="0"/>
      <w:marBottom w:val="0"/>
      <w:divBdr>
        <w:top w:val="none" w:sz="0" w:space="0" w:color="auto"/>
        <w:left w:val="none" w:sz="0" w:space="0" w:color="auto"/>
        <w:bottom w:val="none" w:sz="0" w:space="0" w:color="auto"/>
        <w:right w:val="none" w:sz="0" w:space="0" w:color="auto"/>
      </w:divBdr>
    </w:div>
    <w:div w:id="1067847564">
      <w:bodyDiv w:val="1"/>
      <w:marLeft w:val="0"/>
      <w:marRight w:val="0"/>
      <w:marTop w:val="0"/>
      <w:marBottom w:val="0"/>
      <w:divBdr>
        <w:top w:val="none" w:sz="0" w:space="0" w:color="auto"/>
        <w:left w:val="none" w:sz="0" w:space="0" w:color="auto"/>
        <w:bottom w:val="none" w:sz="0" w:space="0" w:color="auto"/>
        <w:right w:val="none" w:sz="0" w:space="0" w:color="auto"/>
      </w:divBdr>
    </w:div>
    <w:div w:id="1090155298">
      <w:bodyDiv w:val="1"/>
      <w:marLeft w:val="0"/>
      <w:marRight w:val="0"/>
      <w:marTop w:val="0"/>
      <w:marBottom w:val="0"/>
      <w:divBdr>
        <w:top w:val="none" w:sz="0" w:space="0" w:color="auto"/>
        <w:left w:val="none" w:sz="0" w:space="0" w:color="auto"/>
        <w:bottom w:val="none" w:sz="0" w:space="0" w:color="auto"/>
        <w:right w:val="none" w:sz="0" w:space="0" w:color="auto"/>
      </w:divBdr>
    </w:div>
    <w:div w:id="1108426681">
      <w:bodyDiv w:val="1"/>
      <w:marLeft w:val="0"/>
      <w:marRight w:val="0"/>
      <w:marTop w:val="0"/>
      <w:marBottom w:val="0"/>
      <w:divBdr>
        <w:top w:val="none" w:sz="0" w:space="0" w:color="auto"/>
        <w:left w:val="none" w:sz="0" w:space="0" w:color="auto"/>
        <w:bottom w:val="none" w:sz="0" w:space="0" w:color="auto"/>
        <w:right w:val="none" w:sz="0" w:space="0" w:color="auto"/>
      </w:divBdr>
    </w:div>
    <w:div w:id="1120689040">
      <w:bodyDiv w:val="1"/>
      <w:marLeft w:val="0"/>
      <w:marRight w:val="0"/>
      <w:marTop w:val="0"/>
      <w:marBottom w:val="0"/>
      <w:divBdr>
        <w:top w:val="none" w:sz="0" w:space="0" w:color="auto"/>
        <w:left w:val="none" w:sz="0" w:space="0" w:color="auto"/>
        <w:bottom w:val="none" w:sz="0" w:space="0" w:color="auto"/>
        <w:right w:val="none" w:sz="0" w:space="0" w:color="auto"/>
      </w:divBdr>
    </w:div>
    <w:div w:id="1124420986">
      <w:bodyDiv w:val="1"/>
      <w:marLeft w:val="0"/>
      <w:marRight w:val="0"/>
      <w:marTop w:val="0"/>
      <w:marBottom w:val="0"/>
      <w:divBdr>
        <w:top w:val="none" w:sz="0" w:space="0" w:color="auto"/>
        <w:left w:val="none" w:sz="0" w:space="0" w:color="auto"/>
        <w:bottom w:val="none" w:sz="0" w:space="0" w:color="auto"/>
        <w:right w:val="none" w:sz="0" w:space="0" w:color="auto"/>
      </w:divBdr>
    </w:div>
    <w:div w:id="1141075826">
      <w:bodyDiv w:val="1"/>
      <w:marLeft w:val="0"/>
      <w:marRight w:val="0"/>
      <w:marTop w:val="0"/>
      <w:marBottom w:val="0"/>
      <w:divBdr>
        <w:top w:val="none" w:sz="0" w:space="0" w:color="auto"/>
        <w:left w:val="none" w:sz="0" w:space="0" w:color="auto"/>
        <w:bottom w:val="none" w:sz="0" w:space="0" w:color="auto"/>
        <w:right w:val="none" w:sz="0" w:space="0" w:color="auto"/>
      </w:divBdr>
    </w:div>
    <w:div w:id="1160080608">
      <w:bodyDiv w:val="1"/>
      <w:marLeft w:val="0"/>
      <w:marRight w:val="0"/>
      <w:marTop w:val="0"/>
      <w:marBottom w:val="0"/>
      <w:divBdr>
        <w:top w:val="none" w:sz="0" w:space="0" w:color="auto"/>
        <w:left w:val="none" w:sz="0" w:space="0" w:color="auto"/>
        <w:bottom w:val="none" w:sz="0" w:space="0" w:color="auto"/>
        <w:right w:val="none" w:sz="0" w:space="0" w:color="auto"/>
      </w:divBdr>
    </w:div>
    <w:div w:id="1176841977">
      <w:bodyDiv w:val="1"/>
      <w:marLeft w:val="0"/>
      <w:marRight w:val="0"/>
      <w:marTop w:val="0"/>
      <w:marBottom w:val="0"/>
      <w:divBdr>
        <w:top w:val="none" w:sz="0" w:space="0" w:color="auto"/>
        <w:left w:val="none" w:sz="0" w:space="0" w:color="auto"/>
        <w:bottom w:val="none" w:sz="0" w:space="0" w:color="auto"/>
        <w:right w:val="none" w:sz="0" w:space="0" w:color="auto"/>
      </w:divBdr>
    </w:div>
    <w:div w:id="1227764088">
      <w:bodyDiv w:val="1"/>
      <w:marLeft w:val="0"/>
      <w:marRight w:val="0"/>
      <w:marTop w:val="0"/>
      <w:marBottom w:val="0"/>
      <w:divBdr>
        <w:top w:val="none" w:sz="0" w:space="0" w:color="auto"/>
        <w:left w:val="none" w:sz="0" w:space="0" w:color="auto"/>
        <w:bottom w:val="none" w:sz="0" w:space="0" w:color="auto"/>
        <w:right w:val="none" w:sz="0" w:space="0" w:color="auto"/>
      </w:divBdr>
    </w:div>
    <w:div w:id="1233930400">
      <w:bodyDiv w:val="1"/>
      <w:marLeft w:val="0"/>
      <w:marRight w:val="0"/>
      <w:marTop w:val="0"/>
      <w:marBottom w:val="0"/>
      <w:divBdr>
        <w:top w:val="none" w:sz="0" w:space="0" w:color="auto"/>
        <w:left w:val="none" w:sz="0" w:space="0" w:color="auto"/>
        <w:bottom w:val="none" w:sz="0" w:space="0" w:color="auto"/>
        <w:right w:val="none" w:sz="0" w:space="0" w:color="auto"/>
      </w:divBdr>
    </w:div>
    <w:div w:id="1235358643">
      <w:bodyDiv w:val="1"/>
      <w:marLeft w:val="0"/>
      <w:marRight w:val="0"/>
      <w:marTop w:val="0"/>
      <w:marBottom w:val="0"/>
      <w:divBdr>
        <w:top w:val="none" w:sz="0" w:space="0" w:color="auto"/>
        <w:left w:val="none" w:sz="0" w:space="0" w:color="auto"/>
        <w:bottom w:val="none" w:sz="0" w:space="0" w:color="auto"/>
        <w:right w:val="none" w:sz="0" w:space="0" w:color="auto"/>
      </w:divBdr>
    </w:div>
    <w:div w:id="1312171095">
      <w:bodyDiv w:val="1"/>
      <w:marLeft w:val="0"/>
      <w:marRight w:val="0"/>
      <w:marTop w:val="0"/>
      <w:marBottom w:val="0"/>
      <w:divBdr>
        <w:top w:val="none" w:sz="0" w:space="0" w:color="auto"/>
        <w:left w:val="none" w:sz="0" w:space="0" w:color="auto"/>
        <w:bottom w:val="none" w:sz="0" w:space="0" w:color="auto"/>
        <w:right w:val="none" w:sz="0" w:space="0" w:color="auto"/>
      </w:divBdr>
    </w:div>
    <w:div w:id="1430354277">
      <w:bodyDiv w:val="1"/>
      <w:marLeft w:val="0"/>
      <w:marRight w:val="0"/>
      <w:marTop w:val="0"/>
      <w:marBottom w:val="0"/>
      <w:divBdr>
        <w:top w:val="none" w:sz="0" w:space="0" w:color="auto"/>
        <w:left w:val="none" w:sz="0" w:space="0" w:color="auto"/>
        <w:bottom w:val="none" w:sz="0" w:space="0" w:color="auto"/>
        <w:right w:val="none" w:sz="0" w:space="0" w:color="auto"/>
      </w:divBdr>
    </w:div>
    <w:div w:id="1444494072">
      <w:bodyDiv w:val="1"/>
      <w:marLeft w:val="0"/>
      <w:marRight w:val="0"/>
      <w:marTop w:val="0"/>
      <w:marBottom w:val="0"/>
      <w:divBdr>
        <w:top w:val="none" w:sz="0" w:space="0" w:color="auto"/>
        <w:left w:val="none" w:sz="0" w:space="0" w:color="auto"/>
        <w:bottom w:val="none" w:sz="0" w:space="0" w:color="auto"/>
        <w:right w:val="none" w:sz="0" w:space="0" w:color="auto"/>
      </w:divBdr>
    </w:div>
    <w:div w:id="1481654628">
      <w:bodyDiv w:val="1"/>
      <w:marLeft w:val="0"/>
      <w:marRight w:val="0"/>
      <w:marTop w:val="0"/>
      <w:marBottom w:val="0"/>
      <w:divBdr>
        <w:top w:val="none" w:sz="0" w:space="0" w:color="auto"/>
        <w:left w:val="none" w:sz="0" w:space="0" w:color="auto"/>
        <w:bottom w:val="none" w:sz="0" w:space="0" w:color="auto"/>
        <w:right w:val="none" w:sz="0" w:space="0" w:color="auto"/>
      </w:divBdr>
    </w:div>
    <w:div w:id="1567762532">
      <w:bodyDiv w:val="1"/>
      <w:marLeft w:val="0"/>
      <w:marRight w:val="0"/>
      <w:marTop w:val="0"/>
      <w:marBottom w:val="0"/>
      <w:divBdr>
        <w:top w:val="none" w:sz="0" w:space="0" w:color="auto"/>
        <w:left w:val="none" w:sz="0" w:space="0" w:color="auto"/>
        <w:bottom w:val="none" w:sz="0" w:space="0" w:color="auto"/>
        <w:right w:val="none" w:sz="0" w:space="0" w:color="auto"/>
      </w:divBdr>
    </w:div>
    <w:div w:id="1595934919">
      <w:bodyDiv w:val="1"/>
      <w:marLeft w:val="0"/>
      <w:marRight w:val="0"/>
      <w:marTop w:val="0"/>
      <w:marBottom w:val="0"/>
      <w:divBdr>
        <w:top w:val="none" w:sz="0" w:space="0" w:color="auto"/>
        <w:left w:val="none" w:sz="0" w:space="0" w:color="auto"/>
        <w:bottom w:val="none" w:sz="0" w:space="0" w:color="auto"/>
        <w:right w:val="none" w:sz="0" w:space="0" w:color="auto"/>
      </w:divBdr>
    </w:div>
    <w:div w:id="1613248645">
      <w:bodyDiv w:val="1"/>
      <w:marLeft w:val="0"/>
      <w:marRight w:val="0"/>
      <w:marTop w:val="0"/>
      <w:marBottom w:val="0"/>
      <w:divBdr>
        <w:top w:val="none" w:sz="0" w:space="0" w:color="auto"/>
        <w:left w:val="none" w:sz="0" w:space="0" w:color="auto"/>
        <w:bottom w:val="none" w:sz="0" w:space="0" w:color="auto"/>
        <w:right w:val="none" w:sz="0" w:space="0" w:color="auto"/>
      </w:divBdr>
      <w:divsChild>
        <w:div w:id="902713989">
          <w:marLeft w:val="288"/>
          <w:marRight w:val="0"/>
          <w:marTop w:val="40"/>
          <w:marBottom w:val="40"/>
          <w:divBdr>
            <w:top w:val="none" w:sz="0" w:space="0" w:color="auto"/>
            <w:left w:val="none" w:sz="0" w:space="0" w:color="auto"/>
            <w:bottom w:val="none" w:sz="0" w:space="0" w:color="auto"/>
            <w:right w:val="none" w:sz="0" w:space="0" w:color="auto"/>
          </w:divBdr>
        </w:div>
      </w:divsChild>
    </w:div>
    <w:div w:id="1641111214">
      <w:bodyDiv w:val="1"/>
      <w:marLeft w:val="0"/>
      <w:marRight w:val="0"/>
      <w:marTop w:val="0"/>
      <w:marBottom w:val="0"/>
      <w:divBdr>
        <w:top w:val="none" w:sz="0" w:space="0" w:color="auto"/>
        <w:left w:val="none" w:sz="0" w:space="0" w:color="auto"/>
        <w:bottom w:val="none" w:sz="0" w:space="0" w:color="auto"/>
        <w:right w:val="none" w:sz="0" w:space="0" w:color="auto"/>
      </w:divBdr>
    </w:div>
    <w:div w:id="1654798805">
      <w:bodyDiv w:val="1"/>
      <w:marLeft w:val="0"/>
      <w:marRight w:val="0"/>
      <w:marTop w:val="0"/>
      <w:marBottom w:val="0"/>
      <w:divBdr>
        <w:top w:val="none" w:sz="0" w:space="0" w:color="auto"/>
        <w:left w:val="none" w:sz="0" w:space="0" w:color="auto"/>
        <w:bottom w:val="none" w:sz="0" w:space="0" w:color="auto"/>
        <w:right w:val="none" w:sz="0" w:space="0" w:color="auto"/>
      </w:divBdr>
    </w:div>
    <w:div w:id="1675306816">
      <w:bodyDiv w:val="1"/>
      <w:marLeft w:val="0"/>
      <w:marRight w:val="0"/>
      <w:marTop w:val="0"/>
      <w:marBottom w:val="0"/>
      <w:divBdr>
        <w:top w:val="none" w:sz="0" w:space="0" w:color="auto"/>
        <w:left w:val="none" w:sz="0" w:space="0" w:color="auto"/>
        <w:bottom w:val="none" w:sz="0" w:space="0" w:color="auto"/>
        <w:right w:val="none" w:sz="0" w:space="0" w:color="auto"/>
      </w:divBdr>
    </w:div>
    <w:div w:id="1689989675">
      <w:bodyDiv w:val="1"/>
      <w:marLeft w:val="0"/>
      <w:marRight w:val="0"/>
      <w:marTop w:val="0"/>
      <w:marBottom w:val="0"/>
      <w:divBdr>
        <w:top w:val="none" w:sz="0" w:space="0" w:color="auto"/>
        <w:left w:val="none" w:sz="0" w:space="0" w:color="auto"/>
        <w:bottom w:val="none" w:sz="0" w:space="0" w:color="auto"/>
        <w:right w:val="none" w:sz="0" w:space="0" w:color="auto"/>
      </w:divBdr>
    </w:div>
    <w:div w:id="1691562494">
      <w:bodyDiv w:val="1"/>
      <w:marLeft w:val="0"/>
      <w:marRight w:val="0"/>
      <w:marTop w:val="0"/>
      <w:marBottom w:val="0"/>
      <w:divBdr>
        <w:top w:val="none" w:sz="0" w:space="0" w:color="auto"/>
        <w:left w:val="none" w:sz="0" w:space="0" w:color="auto"/>
        <w:bottom w:val="none" w:sz="0" w:space="0" w:color="auto"/>
        <w:right w:val="none" w:sz="0" w:space="0" w:color="auto"/>
      </w:divBdr>
    </w:div>
    <w:div w:id="1691637375">
      <w:bodyDiv w:val="1"/>
      <w:marLeft w:val="0"/>
      <w:marRight w:val="0"/>
      <w:marTop w:val="0"/>
      <w:marBottom w:val="0"/>
      <w:divBdr>
        <w:top w:val="none" w:sz="0" w:space="0" w:color="auto"/>
        <w:left w:val="none" w:sz="0" w:space="0" w:color="auto"/>
        <w:bottom w:val="none" w:sz="0" w:space="0" w:color="auto"/>
        <w:right w:val="none" w:sz="0" w:space="0" w:color="auto"/>
      </w:divBdr>
    </w:div>
    <w:div w:id="1707631541">
      <w:bodyDiv w:val="1"/>
      <w:marLeft w:val="0"/>
      <w:marRight w:val="0"/>
      <w:marTop w:val="0"/>
      <w:marBottom w:val="0"/>
      <w:divBdr>
        <w:top w:val="none" w:sz="0" w:space="0" w:color="auto"/>
        <w:left w:val="none" w:sz="0" w:space="0" w:color="auto"/>
        <w:bottom w:val="none" w:sz="0" w:space="0" w:color="auto"/>
        <w:right w:val="none" w:sz="0" w:space="0" w:color="auto"/>
      </w:divBdr>
    </w:div>
    <w:div w:id="1734425212">
      <w:bodyDiv w:val="1"/>
      <w:marLeft w:val="0"/>
      <w:marRight w:val="0"/>
      <w:marTop w:val="0"/>
      <w:marBottom w:val="0"/>
      <w:divBdr>
        <w:top w:val="none" w:sz="0" w:space="0" w:color="auto"/>
        <w:left w:val="none" w:sz="0" w:space="0" w:color="auto"/>
        <w:bottom w:val="none" w:sz="0" w:space="0" w:color="auto"/>
        <w:right w:val="none" w:sz="0" w:space="0" w:color="auto"/>
      </w:divBdr>
    </w:div>
    <w:div w:id="1790732865">
      <w:bodyDiv w:val="1"/>
      <w:marLeft w:val="0"/>
      <w:marRight w:val="0"/>
      <w:marTop w:val="0"/>
      <w:marBottom w:val="0"/>
      <w:divBdr>
        <w:top w:val="none" w:sz="0" w:space="0" w:color="auto"/>
        <w:left w:val="none" w:sz="0" w:space="0" w:color="auto"/>
        <w:bottom w:val="none" w:sz="0" w:space="0" w:color="auto"/>
        <w:right w:val="none" w:sz="0" w:space="0" w:color="auto"/>
      </w:divBdr>
    </w:div>
    <w:div w:id="1794640454">
      <w:bodyDiv w:val="1"/>
      <w:marLeft w:val="0"/>
      <w:marRight w:val="0"/>
      <w:marTop w:val="0"/>
      <w:marBottom w:val="0"/>
      <w:divBdr>
        <w:top w:val="none" w:sz="0" w:space="0" w:color="auto"/>
        <w:left w:val="none" w:sz="0" w:space="0" w:color="auto"/>
        <w:bottom w:val="none" w:sz="0" w:space="0" w:color="auto"/>
        <w:right w:val="none" w:sz="0" w:space="0" w:color="auto"/>
      </w:divBdr>
    </w:div>
    <w:div w:id="1803693188">
      <w:bodyDiv w:val="1"/>
      <w:marLeft w:val="0"/>
      <w:marRight w:val="0"/>
      <w:marTop w:val="0"/>
      <w:marBottom w:val="0"/>
      <w:divBdr>
        <w:top w:val="none" w:sz="0" w:space="0" w:color="auto"/>
        <w:left w:val="none" w:sz="0" w:space="0" w:color="auto"/>
        <w:bottom w:val="none" w:sz="0" w:space="0" w:color="auto"/>
        <w:right w:val="none" w:sz="0" w:space="0" w:color="auto"/>
      </w:divBdr>
    </w:div>
    <w:div w:id="1860850062">
      <w:bodyDiv w:val="1"/>
      <w:marLeft w:val="0"/>
      <w:marRight w:val="0"/>
      <w:marTop w:val="0"/>
      <w:marBottom w:val="0"/>
      <w:divBdr>
        <w:top w:val="none" w:sz="0" w:space="0" w:color="auto"/>
        <w:left w:val="none" w:sz="0" w:space="0" w:color="auto"/>
        <w:bottom w:val="none" w:sz="0" w:space="0" w:color="auto"/>
        <w:right w:val="none" w:sz="0" w:space="0" w:color="auto"/>
      </w:divBdr>
    </w:div>
    <w:div w:id="1871644293">
      <w:bodyDiv w:val="1"/>
      <w:marLeft w:val="0"/>
      <w:marRight w:val="0"/>
      <w:marTop w:val="0"/>
      <w:marBottom w:val="0"/>
      <w:divBdr>
        <w:top w:val="none" w:sz="0" w:space="0" w:color="auto"/>
        <w:left w:val="none" w:sz="0" w:space="0" w:color="auto"/>
        <w:bottom w:val="none" w:sz="0" w:space="0" w:color="auto"/>
        <w:right w:val="none" w:sz="0" w:space="0" w:color="auto"/>
      </w:divBdr>
    </w:div>
    <w:div w:id="1882084281">
      <w:bodyDiv w:val="1"/>
      <w:marLeft w:val="0"/>
      <w:marRight w:val="0"/>
      <w:marTop w:val="0"/>
      <w:marBottom w:val="0"/>
      <w:divBdr>
        <w:top w:val="none" w:sz="0" w:space="0" w:color="auto"/>
        <w:left w:val="none" w:sz="0" w:space="0" w:color="auto"/>
        <w:bottom w:val="none" w:sz="0" w:space="0" w:color="auto"/>
        <w:right w:val="none" w:sz="0" w:space="0" w:color="auto"/>
      </w:divBdr>
      <w:divsChild>
        <w:div w:id="1662351159">
          <w:marLeft w:val="288"/>
          <w:marRight w:val="0"/>
          <w:marTop w:val="40"/>
          <w:marBottom w:val="40"/>
          <w:divBdr>
            <w:top w:val="none" w:sz="0" w:space="0" w:color="auto"/>
            <w:left w:val="none" w:sz="0" w:space="0" w:color="auto"/>
            <w:bottom w:val="none" w:sz="0" w:space="0" w:color="auto"/>
            <w:right w:val="none" w:sz="0" w:space="0" w:color="auto"/>
          </w:divBdr>
        </w:div>
        <w:div w:id="85081096">
          <w:marLeft w:val="850"/>
          <w:marRight w:val="0"/>
          <w:marTop w:val="40"/>
          <w:marBottom w:val="40"/>
          <w:divBdr>
            <w:top w:val="none" w:sz="0" w:space="0" w:color="auto"/>
            <w:left w:val="none" w:sz="0" w:space="0" w:color="auto"/>
            <w:bottom w:val="none" w:sz="0" w:space="0" w:color="auto"/>
            <w:right w:val="none" w:sz="0" w:space="0" w:color="auto"/>
          </w:divBdr>
        </w:div>
        <w:div w:id="711997166">
          <w:marLeft w:val="850"/>
          <w:marRight w:val="0"/>
          <w:marTop w:val="40"/>
          <w:marBottom w:val="40"/>
          <w:divBdr>
            <w:top w:val="none" w:sz="0" w:space="0" w:color="auto"/>
            <w:left w:val="none" w:sz="0" w:space="0" w:color="auto"/>
            <w:bottom w:val="none" w:sz="0" w:space="0" w:color="auto"/>
            <w:right w:val="none" w:sz="0" w:space="0" w:color="auto"/>
          </w:divBdr>
        </w:div>
      </w:divsChild>
    </w:div>
    <w:div w:id="1909146205">
      <w:bodyDiv w:val="1"/>
      <w:marLeft w:val="0"/>
      <w:marRight w:val="0"/>
      <w:marTop w:val="0"/>
      <w:marBottom w:val="0"/>
      <w:divBdr>
        <w:top w:val="none" w:sz="0" w:space="0" w:color="auto"/>
        <w:left w:val="none" w:sz="0" w:space="0" w:color="auto"/>
        <w:bottom w:val="none" w:sz="0" w:space="0" w:color="auto"/>
        <w:right w:val="none" w:sz="0" w:space="0" w:color="auto"/>
      </w:divBdr>
    </w:div>
    <w:div w:id="1971787838">
      <w:bodyDiv w:val="1"/>
      <w:marLeft w:val="0"/>
      <w:marRight w:val="0"/>
      <w:marTop w:val="0"/>
      <w:marBottom w:val="0"/>
      <w:divBdr>
        <w:top w:val="none" w:sz="0" w:space="0" w:color="auto"/>
        <w:left w:val="none" w:sz="0" w:space="0" w:color="auto"/>
        <w:bottom w:val="none" w:sz="0" w:space="0" w:color="auto"/>
        <w:right w:val="none" w:sz="0" w:space="0" w:color="auto"/>
      </w:divBdr>
    </w:div>
    <w:div w:id="1996375770">
      <w:bodyDiv w:val="1"/>
      <w:marLeft w:val="0"/>
      <w:marRight w:val="0"/>
      <w:marTop w:val="0"/>
      <w:marBottom w:val="0"/>
      <w:divBdr>
        <w:top w:val="none" w:sz="0" w:space="0" w:color="auto"/>
        <w:left w:val="none" w:sz="0" w:space="0" w:color="auto"/>
        <w:bottom w:val="none" w:sz="0" w:space="0" w:color="auto"/>
        <w:right w:val="none" w:sz="0" w:space="0" w:color="auto"/>
      </w:divBdr>
    </w:div>
    <w:div w:id="2016758402">
      <w:bodyDiv w:val="1"/>
      <w:marLeft w:val="0"/>
      <w:marRight w:val="0"/>
      <w:marTop w:val="0"/>
      <w:marBottom w:val="0"/>
      <w:divBdr>
        <w:top w:val="none" w:sz="0" w:space="0" w:color="auto"/>
        <w:left w:val="none" w:sz="0" w:space="0" w:color="auto"/>
        <w:bottom w:val="none" w:sz="0" w:space="0" w:color="auto"/>
        <w:right w:val="none" w:sz="0" w:space="0" w:color="auto"/>
      </w:divBdr>
    </w:div>
    <w:div w:id="2044673699">
      <w:bodyDiv w:val="1"/>
      <w:marLeft w:val="0"/>
      <w:marRight w:val="0"/>
      <w:marTop w:val="0"/>
      <w:marBottom w:val="0"/>
      <w:divBdr>
        <w:top w:val="none" w:sz="0" w:space="0" w:color="auto"/>
        <w:left w:val="none" w:sz="0" w:space="0" w:color="auto"/>
        <w:bottom w:val="none" w:sz="0" w:space="0" w:color="auto"/>
        <w:right w:val="none" w:sz="0" w:space="0" w:color="auto"/>
      </w:divBdr>
    </w:div>
    <w:div w:id="2071731173">
      <w:bodyDiv w:val="1"/>
      <w:marLeft w:val="0"/>
      <w:marRight w:val="0"/>
      <w:marTop w:val="0"/>
      <w:marBottom w:val="0"/>
      <w:divBdr>
        <w:top w:val="none" w:sz="0" w:space="0" w:color="auto"/>
        <w:left w:val="none" w:sz="0" w:space="0" w:color="auto"/>
        <w:bottom w:val="none" w:sz="0" w:space="0" w:color="auto"/>
        <w:right w:val="none" w:sz="0" w:space="0" w:color="auto"/>
      </w:divBdr>
    </w:div>
    <w:div w:id="2075809355">
      <w:bodyDiv w:val="1"/>
      <w:marLeft w:val="0"/>
      <w:marRight w:val="0"/>
      <w:marTop w:val="0"/>
      <w:marBottom w:val="0"/>
      <w:divBdr>
        <w:top w:val="none" w:sz="0" w:space="0" w:color="auto"/>
        <w:left w:val="none" w:sz="0" w:space="0" w:color="auto"/>
        <w:bottom w:val="none" w:sz="0" w:space="0" w:color="auto"/>
        <w:right w:val="none" w:sz="0" w:space="0" w:color="auto"/>
      </w:divBdr>
    </w:div>
    <w:div w:id="2093818371">
      <w:bodyDiv w:val="1"/>
      <w:marLeft w:val="0"/>
      <w:marRight w:val="0"/>
      <w:marTop w:val="0"/>
      <w:marBottom w:val="0"/>
      <w:divBdr>
        <w:top w:val="none" w:sz="0" w:space="0" w:color="auto"/>
        <w:left w:val="none" w:sz="0" w:space="0" w:color="auto"/>
        <w:bottom w:val="none" w:sz="0" w:space="0" w:color="auto"/>
        <w:right w:val="none" w:sz="0" w:space="0" w:color="auto"/>
      </w:divBdr>
    </w:div>
    <w:div w:id="2113695077">
      <w:bodyDiv w:val="1"/>
      <w:marLeft w:val="0"/>
      <w:marRight w:val="0"/>
      <w:marTop w:val="0"/>
      <w:marBottom w:val="0"/>
      <w:divBdr>
        <w:top w:val="none" w:sz="0" w:space="0" w:color="auto"/>
        <w:left w:val="none" w:sz="0" w:space="0" w:color="auto"/>
        <w:bottom w:val="none" w:sz="0" w:space="0" w:color="auto"/>
        <w:right w:val="none" w:sz="0" w:space="0" w:color="auto"/>
      </w:divBdr>
    </w:div>
    <w:div w:id="2130582641">
      <w:bodyDiv w:val="1"/>
      <w:marLeft w:val="0"/>
      <w:marRight w:val="0"/>
      <w:marTop w:val="0"/>
      <w:marBottom w:val="0"/>
      <w:divBdr>
        <w:top w:val="none" w:sz="0" w:space="0" w:color="auto"/>
        <w:left w:val="none" w:sz="0" w:space="0" w:color="auto"/>
        <w:bottom w:val="none" w:sz="0" w:space="0" w:color="auto"/>
        <w:right w:val="none" w:sz="0" w:space="0" w:color="auto"/>
      </w:divBdr>
    </w:div>
    <w:div w:id="213289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ft.org.mx/conocenos/pleno/sesiones/iv-extraordinaria-del-pleno-27-de-febrero-de-20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FD35B98907514428905968C64F00757" ma:contentTypeVersion="0" ma:contentTypeDescription="Crear nuevo documento." ma:contentTypeScope="" ma:versionID="f7a75ae963fd4e49eba738334529be9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030C1-4FF1-4483-B096-05D6772F5F03}">
  <ds:schemaRefs>
    <ds:schemaRef ds:uri="http://schemas.microsoft.com/sharepoint/v3/contenttype/forms"/>
  </ds:schemaRefs>
</ds:datastoreItem>
</file>

<file path=customXml/itemProps2.xml><?xml version="1.0" encoding="utf-8"?>
<ds:datastoreItem xmlns:ds="http://schemas.openxmlformats.org/officeDocument/2006/customXml" ds:itemID="{A023F757-A17C-42C7-BF69-0148DE3CF0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2EC7AD-790B-462E-8691-5C01CA38A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BA6001-3752-4F75-A575-4CDF25CDD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12029</Words>
  <Characters>66163</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Quiroz</dc:creator>
  <cp:keywords/>
  <dc:description/>
  <cp:lastModifiedBy>Armando Isaias Zacateco Rivera</cp:lastModifiedBy>
  <cp:revision>9</cp:revision>
  <dcterms:created xsi:type="dcterms:W3CDTF">2018-08-07T17:36:00Z</dcterms:created>
  <dcterms:modified xsi:type="dcterms:W3CDTF">2018-08-07T22:23:00Z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0x0101005FD35B98907514428905968C64F00757</vt:lpwstr>
  </property>
</Properties>
</file>