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ADE" w:rsidRDefault="001A4ADE" w:rsidP="001A4ADE">
      <w:bookmarkStart w:id="0" w:name="_GoBack"/>
      <w:bookmarkEnd w:id="0"/>
    </w:p>
    <w:tbl>
      <w:tblPr>
        <w:tblpPr w:vertAnchor="page" w:horzAnchor="margin" w:tblpY="1135"/>
        <w:tblW w:w="6173" w:type="dxa"/>
        <w:tblLayout w:type="fixed"/>
        <w:tblCellMar>
          <w:left w:w="0" w:type="dxa"/>
          <w:right w:w="0" w:type="dxa"/>
        </w:tblCellMar>
        <w:tblLook w:val="04A0" w:firstRow="1" w:lastRow="0" w:firstColumn="1" w:lastColumn="0" w:noHBand="0" w:noVBand="1"/>
      </w:tblPr>
      <w:tblGrid>
        <w:gridCol w:w="6173"/>
      </w:tblGrid>
      <w:tr w:rsidR="001A4ADE" w:rsidRPr="002B7EB1" w:rsidTr="00206FFD">
        <w:trPr>
          <w:cantSplit/>
        </w:trPr>
        <w:tc>
          <w:tcPr>
            <w:tcW w:w="6173" w:type="dxa"/>
          </w:tcPr>
          <w:p w:rsidR="001A4ADE" w:rsidRPr="002B7EB1" w:rsidRDefault="001A4ADE" w:rsidP="00EF0376">
            <w:pPr>
              <w:pStyle w:val="Draft"/>
            </w:pPr>
            <w:bookmarkStart w:id="1" w:name="BM_DocDraft" w:colFirst="0" w:colLast="0"/>
          </w:p>
        </w:tc>
      </w:tr>
    </w:tbl>
    <w:tbl>
      <w:tblPr>
        <w:tblpPr w:leftFromText="181" w:rightFromText="181" w:vertAnchor="page" w:tblpY="4367"/>
        <w:tblW w:w="5000" w:type="pct"/>
        <w:tblLayout w:type="fixed"/>
        <w:tblCellMar>
          <w:top w:w="85" w:type="dxa"/>
          <w:left w:w="0" w:type="dxa"/>
          <w:bottom w:w="85" w:type="dxa"/>
          <w:right w:w="0" w:type="dxa"/>
        </w:tblCellMar>
        <w:tblLook w:val="04A0" w:firstRow="1" w:lastRow="0" w:firstColumn="1" w:lastColumn="0" w:noHBand="0" w:noVBand="1"/>
      </w:tblPr>
      <w:tblGrid>
        <w:gridCol w:w="10204"/>
      </w:tblGrid>
      <w:tr w:rsidR="001A4ADE" w:rsidTr="00AC51F7">
        <w:trPr>
          <w:cantSplit/>
          <w:trHeight w:val="1418"/>
        </w:trPr>
        <w:tc>
          <w:tcPr>
            <w:tcW w:w="5000" w:type="pct"/>
            <w:tcBorders>
              <w:bottom w:val="single" w:sz="12" w:space="0" w:color="E83F35" w:themeColor="accent1"/>
            </w:tcBorders>
            <w:vAlign w:val="bottom"/>
          </w:tcPr>
          <w:p w:rsidR="001A4ADE" w:rsidRDefault="004B583B" w:rsidP="00AC51F7">
            <w:pPr>
              <w:pStyle w:val="DocTitle"/>
            </w:pPr>
            <w:bookmarkStart w:id="2" w:name="BM_DocTitle" w:colFirst="0" w:colLast="0"/>
            <w:bookmarkEnd w:id="1"/>
            <w:r>
              <w:t>MANUAL DEL MODELO DE REPLICABILIDAD</w:t>
            </w:r>
          </w:p>
        </w:tc>
      </w:tr>
      <w:tr w:rsidR="001A4ADE" w:rsidTr="00FD59A2">
        <w:trPr>
          <w:cantSplit/>
        </w:trPr>
        <w:tc>
          <w:tcPr>
            <w:tcW w:w="5000" w:type="pct"/>
            <w:tcBorders>
              <w:top w:val="single" w:sz="12" w:space="0" w:color="E83F35" w:themeColor="accent1"/>
            </w:tcBorders>
          </w:tcPr>
          <w:p w:rsidR="001A4ADE" w:rsidRPr="004A3151" w:rsidRDefault="004B583B" w:rsidP="008C2C1A">
            <w:pPr>
              <w:pStyle w:val="DocSubTitle"/>
            </w:pPr>
            <w:bookmarkStart w:id="3" w:name="BM_DocSubTitle" w:colFirst="0" w:colLast="0"/>
            <w:bookmarkEnd w:id="2"/>
            <w:r>
              <w:t>Servicios minoristas de banda ancha y banda ancha empaquetada con telefonía fija</w:t>
            </w:r>
          </w:p>
        </w:tc>
      </w:tr>
      <w:tr w:rsidR="005D462D" w:rsidRPr="004A3151" w:rsidTr="00AC51F7">
        <w:trPr>
          <w:cantSplit/>
          <w:trHeight w:hRule="exact" w:val="369"/>
        </w:trPr>
        <w:tc>
          <w:tcPr>
            <w:tcW w:w="5000" w:type="pct"/>
          </w:tcPr>
          <w:p w:rsidR="005D462D" w:rsidRPr="004A3151" w:rsidRDefault="00315E25" w:rsidP="002D63B9">
            <w:pPr>
              <w:pStyle w:val="DocDate"/>
            </w:pPr>
            <w:bookmarkStart w:id="4" w:name="BM_DocDate" w:colFirst="0" w:colLast="0"/>
            <w:bookmarkEnd w:id="3"/>
            <w:r>
              <w:t>Junio</w:t>
            </w:r>
            <w:r w:rsidR="004B583B">
              <w:t xml:space="preserve"> de 2017</w:t>
            </w:r>
            <w:r w:rsidR="001D2D0A">
              <w:t xml:space="preserve"> </w:t>
            </w:r>
          </w:p>
        </w:tc>
      </w:tr>
    </w:tbl>
    <w:tbl>
      <w:tblPr>
        <w:tblpPr w:horzAnchor="margin" w:tblpYSpec="bottom"/>
        <w:tblW w:w="7726" w:type="dxa"/>
        <w:tblLayout w:type="fixed"/>
        <w:tblCellMar>
          <w:left w:w="0" w:type="dxa"/>
          <w:right w:w="0" w:type="dxa"/>
        </w:tblCellMar>
        <w:tblLook w:val="04A0" w:firstRow="1" w:lastRow="0" w:firstColumn="1" w:lastColumn="0" w:noHBand="0" w:noVBand="1"/>
      </w:tblPr>
      <w:tblGrid>
        <w:gridCol w:w="7726"/>
      </w:tblGrid>
      <w:tr w:rsidR="001A4ADE" w:rsidTr="004F25A6">
        <w:trPr>
          <w:cantSplit/>
          <w:trHeight w:hRule="exact" w:val="1706"/>
        </w:trPr>
        <w:tc>
          <w:tcPr>
            <w:tcW w:w="7726" w:type="dxa"/>
            <w:vAlign w:val="bottom"/>
          </w:tcPr>
          <w:p w:rsidR="001A4ADE" w:rsidRDefault="00315E25" w:rsidP="001E2268">
            <w:pPr>
              <w:pStyle w:val="GraphicLeft"/>
              <w:jc w:val="both"/>
            </w:pPr>
            <w:bookmarkStart w:id="5" w:name="BM_DocClientLogo" w:colFirst="0" w:colLast="0"/>
            <w:bookmarkEnd w:id="4"/>
            <w:r w:rsidRPr="00346100">
              <w:t xml:space="preserve">Copyright </w:t>
            </w:r>
            <w:r>
              <w:rPr>
                <w:rFonts w:cstheme="minorHAnsi"/>
              </w:rPr>
              <w:t>©</w:t>
            </w:r>
            <w:r w:rsidRPr="00346100">
              <w:t xml:space="preserve"> 2017. Todo el material incluido en el presente documento se rige por el contrato entre Frontier Economics LTD y el Instituto Federal de Telecomunicaciones, y se utilizará solamente para los fines indicados en el contrato entre las partes</w:t>
            </w:r>
            <w:r w:rsidR="007E3D99">
              <w:t>.</w:t>
            </w:r>
          </w:p>
          <w:p w:rsidR="004F25A6" w:rsidRDefault="004F25A6" w:rsidP="001E2268">
            <w:pPr>
              <w:pStyle w:val="GraphicLeft"/>
              <w:jc w:val="both"/>
            </w:pPr>
          </w:p>
          <w:p w:rsidR="004F25A6" w:rsidRDefault="004F25A6" w:rsidP="001E2268">
            <w:pPr>
              <w:pStyle w:val="GraphicLeft"/>
              <w:jc w:val="both"/>
            </w:pPr>
            <w:r>
              <w:t>La información utilizada en el modelo es ficticia, salvo en aquellos casos referentes a los precios mayoristas provenientes de las Ofertas de Referencia, modelos de costos, convenios públicos o listados por el AEP.</w:t>
            </w:r>
          </w:p>
        </w:tc>
      </w:tr>
      <w:tr w:rsidR="001A4ADE" w:rsidTr="001E2268">
        <w:trPr>
          <w:cantSplit/>
          <w:trHeight w:val="206"/>
        </w:trPr>
        <w:tc>
          <w:tcPr>
            <w:tcW w:w="7726" w:type="dxa"/>
            <w:tcMar>
              <w:top w:w="284" w:type="dxa"/>
            </w:tcMar>
            <w:vAlign w:val="bottom"/>
          </w:tcPr>
          <w:p w:rsidR="001A4ADE" w:rsidRDefault="001A4ADE" w:rsidP="00AC51F7">
            <w:pPr>
              <w:pStyle w:val="Confidential"/>
            </w:pPr>
            <w:bookmarkStart w:id="6" w:name="BM_DocConfi" w:colFirst="0" w:colLast="0"/>
            <w:bookmarkEnd w:id="5"/>
          </w:p>
        </w:tc>
      </w:tr>
    </w:tbl>
    <w:bookmarkEnd w:id="6" w:displacedByCustomXml="next"/>
    <w:bookmarkStart w:id="7" w:name="BM_SecBreakTitle" w:displacedByCustomXml="next"/>
    <w:sdt>
      <w:sdtPr>
        <w:alias w:val="Locked Section Break"/>
        <w:tag w:val="Locked Section Break"/>
        <w:id w:val="757713686"/>
        <w:placeholder>
          <w:docPart w:val="D42C4352C4504E0A94E673B24F65EC17"/>
        </w:placeholder>
      </w:sdtPr>
      <w:sdtEndPr/>
      <w:sdtContent>
        <w:p w:rsidR="00315E25" w:rsidRDefault="001A4ADE" w:rsidP="001A4ADE">
          <w:pPr>
            <w:pStyle w:val="GraphicLeft"/>
          </w:pPr>
          <w:r w:rsidRPr="005E0E52">
            <w:t xml:space="preserve"> </w:t>
          </w:r>
          <w:r>
            <w:rPr>
              <w:noProof/>
              <w:lang w:val="es-MX" w:eastAsia="es-MX"/>
            </w:rPr>
            <mc:AlternateContent>
              <mc:Choice Requires="wps">
                <w:drawing>
                  <wp:anchor distT="0" distB="0" distL="114300" distR="114300" simplePos="0" relativeHeight="251658240" behindDoc="1" locked="1" layoutInCell="1" allowOverlap="1" wp14:anchorId="777351C6" wp14:editId="1E15098D">
                    <wp:simplePos x="0" y="0"/>
                    <wp:positionH relativeFrom="page">
                      <wp:posOffset>-38100</wp:posOffset>
                    </wp:positionH>
                    <wp:positionV relativeFrom="page">
                      <wp:posOffset>1620520</wp:posOffset>
                    </wp:positionV>
                    <wp:extent cx="7649845" cy="10691495"/>
                    <wp:effectExtent l="0" t="0" r="0" b="0"/>
                    <wp:wrapNone/>
                    <wp:docPr id="1049" name="Swoosh"/>
                    <wp:cNvGraphicFramePr/>
                    <a:graphic xmlns:a="http://schemas.openxmlformats.org/drawingml/2006/main">
                      <a:graphicData uri="http://schemas.microsoft.com/office/word/2010/wordprocessingShape">
                        <wps:wsp>
                          <wps:cNvSpPr/>
                          <wps:spPr>
                            <a:xfrm>
                              <a:off x="0" y="0"/>
                              <a:ext cx="7649845" cy="10691495"/>
                            </a:xfrm>
                            <a:custGeom>
                              <a:avLst/>
                              <a:gdLst/>
                              <a:ahLst/>
                              <a:cxnLst/>
                              <a:rect l="l" t="t" r="r" b="b"/>
                              <a:pathLst>
                                <a:path w="7546770" h="10693400">
                                  <a:moveTo>
                                    <a:pt x="7546770" y="9222821"/>
                                  </a:moveTo>
                                  <a:lnTo>
                                    <a:pt x="7546770" y="10693400"/>
                                  </a:lnTo>
                                  <a:lnTo>
                                    <a:pt x="6816008" y="10693400"/>
                                  </a:lnTo>
                                  <a:close/>
                                  <a:moveTo>
                                    <a:pt x="0" y="0"/>
                                  </a:moveTo>
                                  <a:lnTo>
                                    <a:pt x="7546770" y="0"/>
                                  </a:lnTo>
                                  <a:lnTo>
                                    <a:pt x="7546770" y="9092316"/>
                                  </a:lnTo>
                                  <a:lnTo>
                                    <a:pt x="7244970" y="8560760"/>
                                  </a:lnTo>
                                  <a:cubicBezTo>
                                    <a:pt x="5878986" y="6376893"/>
                                    <a:pt x="3352833" y="4647207"/>
                                    <a:pt x="1" y="3919744"/>
                                  </a:cubicBezTo>
                                  <a:lnTo>
                                    <a:pt x="1" y="5101579"/>
                                  </a:lnTo>
                                  <a:cubicBezTo>
                                    <a:pt x="3051926" y="6187077"/>
                                    <a:pt x="5093910" y="8256193"/>
                                    <a:pt x="5911246" y="10693400"/>
                                  </a:cubicBezTo>
                                  <a:lnTo>
                                    <a:pt x="0" y="1069340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43CE8EBF" id="Swoosh" o:spid="_x0000_s1026" style="position:absolute;margin-left:-3pt;margin-top:127.6pt;width:602.35pt;height:84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7546770,1069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" path="m7546770,9222821r,1470579l6816008,10693400,7546770,9222821xm,l7546770,r,9092316l7244970,8560760c5878986,6376893,3352833,4647207,1,3919744r,1181835c3051926,6187077,5093910,8256193,5911246,10693400l,10693400,,xe" fillcolor="white [3212]" stroked="f" strokeweight="1pt">
                    <v:stroke joinstyle="miter"/>
                    <v:path arrowok="t"/>
                    <w10:wrap anchorx="page" anchory="page"/>
                    <w10:anchorlock/>
                  </v:shape>
                </w:pict>
              </mc:Fallback>
            </mc:AlternateContent>
          </w:r>
        </w:p>
      </w:sdtContent>
    </w:sdt>
    <w:p w:rsidR="00315E25" w:rsidRPr="001E2268" w:rsidRDefault="00315E25" w:rsidP="001E2268"/>
    <w:p w:rsidR="00315E25" w:rsidRPr="001E2268" w:rsidRDefault="00315E25" w:rsidP="001E2268"/>
    <w:p w:rsidR="00315E25" w:rsidRPr="001E2268" w:rsidRDefault="00315E25" w:rsidP="001E2268"/>
    <w:p w:rsidR="00315E25" w:rsidRPr="001E2268" w:rsidRDefault="00315E25" w:rsidP="001E2268"/>
    <w:p w:rsidR="00315E25" w:rsidRPr="001E2268" w:rsidRDefault="00315E25" w:rsidP="001E2268"/>
    <w:p w:rsidR="00315E25" w:rsidRPr="001E2268" w:rsidRDefault="00315E25" w:rsidP="001E2268"/>
    <w:p w:rsidR="00315E25" w:rsidRPr="001E2268" w:rsidRDefault="00315E25" w:rsidP="001E2268"/>
    <w:p w:rsidR="00315E25" w:rsidRPr="001E2268" w:rsidRDefault="00315E25" w:rsidP="001E2268"/>
    <w:p w:rsidR="00315E25" w:rsidRPr="001E2268" w:rsidRDefault="00315E25" w:rsidP="001E2268"/>
    <w:p w:rsidR="00315E25" w:rsidRPr="001E2268" w:rsidRDefault="00315E25" w:rsidP="001E2268"/>
    <w:p w:rsidR="00315E25" w:rsidRPr="001E2268" w:rsidRDefault="00315E25" w:rsidP="001E2268"/>
    <w:p w:rsidR="00315E25" w:rsidRPr="001E2268" w:rsidRDefault="00315E25" w:rsidP="001E2268"/>
    <w:p w:rsidR="00315E25" w:rsidRPr="001E2268" w:rsidRDefault="00315E25" w:rsidP="001E2268"/>
    <w:p w:rsidR="00315E25" w:rsidRPr="001E2268" w:rsidRDefault="00315E25" w:rsidP="001E2268"/>
    <w:bookmarkEnd w:id="7" w:displacedByCustomXml="next"/>
    <w:bookmarkStart w:id="8" w:name="BM_SecBreakDisclaimer" w:displacedByCustomXml="next"/>
    <w:sdt>
      <w:sdtPr>
        <w:alias w:val="Locked Section Break"/>
        <w:tag w:val="Locked Section Break"/>
        <w:id w:val="-890347149"/>
        <w:placeholder>
          <w:docPart w:val="873F224A08544FC5AD311C89720F5B4A"/>
        </w:placeholder>
      </w:sdtPr>
      <w:sdtEndPr/>
      <w:sdtContent>
        <w:p w:rsidR="006C2C39" w:rsidRPr="00F67F5C" w:rsidRDefault="006C2C39" w:rsidP="00D1424C">
          <w:pPr>
            <w:pStyle w:val="Sinespaciado"/>
          </w:pPr>
        </w:p>
        <w:p w:rsidR="006C2C39" w:rsidRPr="00F67F5C" w:rsidRDefault="00F310FD" w:rsidP="00D1424C">
          <w:pPr>
            <w:pStyle w:val="Sinespaciado"/>
            <w:sectPr w:rsidR="006C2C39" w:rsidRPr="00F67F5C" w:rsidSect="00CE2B46">
              <w:footerReference w:type="first" r:id="rId9"/>
              <w:pgSz w:w="11906" w:h="16838" w:code="9"/>
              <w:pgMar w:top="851" w:right="851" w:bottom="851" w:left="851" w:header="709" w:footer="709" w:gutter="0"/>
              <w:cols w:space="708"/>
              <w:docGrid w:linePitch="360"/>
            </w:sectPr>
          </w:pPr>
        </w:p>
      </w:sdtContent>
    </w:sdt>
    <w:bookmarkEnd w:id="8"/>
    <w:p w:rsidR="00CE2B46" w:rsidRPr="002957CD" w:rsidRDefault="00954CF0" w:rsidP="002957CD">
      <w:pPr>
        <w:pStyle w:val="SecHeadNonToc"/>
      </w:pPr>
      <w:r>
        <w:lastRenderedPageBreak/>
        <w:t>Contenido</w:t>
      </w:r>
    </w:p>
    <w:tbl>
      <w:tblPr>
        <w:tblW w:w="5000" w:type="pct"/>
        <w:tblLayout w:type="fixed"/>
        <w:tblCellMar>
          <w:left w:w="0" w:type="dxa"/>
          <w:right w:w="0" w:type="dxa"/>
        </w:tblCellMar>
        <w:tblLook w:val="04A0" w:firstRow="1" w:lastRow="0" w:firstColumn="1" w:lastColumn="0" w:noHBand="0" w:noVBand="1"/>
      </w:tblPr>
      <w:tblGrid>
        <w:gridCol w:w="7936"/>
      </w:tblGrid>
      <w:tr w:rsidR="00CE2B46" w:rsidTr="001A6720">
        <w:tc>
          <w:tcPr>
            <w:tcW w:w="5000" w:type="pct"/>
          </w:tcPr>
          <w:bookmarkStart w:id="9" w:name="BM_ToC" w:colFirst="0" w:colLast="0"/>
          <w:p w:rsidR="00DD1E8D" w:rsidRDefault="00CE2B46">
            <w:pPr>
              <w:pStyle w:val="TDC1"/>
              <w:rPr>
                <w:rFonts w:asciiTheme="minorHAnsi" w:hAnsiTheme="minorHAnsi" w:cstheme="minorBidi"/>
                <w:color w:val="auto"/>
                <w:sz w:val="22"/>
                <w:szCs w:val="22"/>
                <w:lang w:val="en-US" w:eastAsia="en-US"/>
              </w:rPr>
            </w:pPr>
            <w:r w:rsidRPr="00DF612F">
              <w:fldChar w:fldCharType="begin"/>
            </w:r>
            <w:r w:rsidR="0054473A">
              <w:instrText>TOC \h \t "~SectionHeading,1,~SubHea</w:instrText>
            </w:r>
            <w:r w:rsidR="005963B1">
              <w:instrText>ding,2,~ExecSumHead,5,~AnxHead,7</w:instrText>
            </w:r>
            <w:r w:rsidR="0054473A">
              <w:instrText xml:space="preserve">" </w:instrText>
            </w:r>
            <w:r w:rsidRPr="00DF612F">
              <w:fldChar w:fldCharType="separate"/>
            </w:r>
            <w:hyperlink w:anchor="_Toc485157526" w:history="1">
              <w:r w:rsidR="00DD1E8D" w:rsidRPr="00FD25C5">
                <w:rPr>
                  <w:rStyle w:val="Hipervnculo"/>
                </w:rPr>
                <w:t>1</w:t>
              </w:r>
              <w:r w:rsidR="00DD1E8D">
                <w:rPr>
                  <w:rFonts w:asciiTheme="minorHAnsi" w:hAnsiTheme="minorHAnsi" w:cstheme="minorBidi"/>
                  <w:color w:val="auto"/>
                  <w:sz w:val="22"/>
                  <w:szCs w:val="22"/>
                  <w:lang w:val="en-US" w:eastAsia="en-US"/>
                </w:rPr>
                <w:tab/>
              </w:r>
              <w:r w:rsidR="00DD1E8D" w:rsidRPr="00FD25C5">
                <w:rPr>
                  <w:rStyle w:val="Hipervnculo"/>
                </w:rPr>
                <w:t>Introducción</w:t>
              </w:r>
              <w:r w:rsidR="00DD1E8D">
                <w:tab/>
              </w:r>
              <w:r w:rsidR="00DD1E8D">
                <w:fldChar w:fldCharType="begin"/>
              </w:r>
              <w:r w:rsidR="00DD1E8D">
                <w:instrText xml:space="preserve"> PAGEREF _Toc485157526 \h </w:instrText>
              </w:r>
              <w:r w:rsidR="00DD1E8D">
                <w:fldChar w:fldCharType="separate"/>
              </w:r>
              <w:r w:rsidR="009D4D90">
                <w:t>3</w:t>
              </w:r>
              <w:r w:rsidR="00DD1E8D">
                <w:fldChar w:fldCharType="end"/>
              </w:r>
            </w:hyperlink>
          </w:p>
          <w:p w:rsidR="00DD1E8D" w:rsidRDefault="00F310FD">
            <w:pPr>
              <w:pStyle w:val="TDC1"/>
              <w:rPr>
                <w:rFonts w:asciiTheme="minorHAnsi" w:hAnsiTheme="minorHAnsi" w:cstheme="minorBidi"/>
                <w:color w:val="auto"/>
                <w:sz w:val="22"/>
                <w:szCs w:val="22"/>
                <w:lang w:val="en-US" w:eastAsia="en-US"/>
              </w:rPr>
            </w:pPr>
            <w:hyperlink w:anchor="_Toc485157527" w:history="1">
              <w:r w:rsidR="00DD1E8D" w:rsidRPr="00FD25C5">
                <w:rPr>
                  <w:rStyle w:val="Hipervnculo"/>
                </w:rPr>
                <w:t>2</w:t>
              </w:r>
              <w:r w:rsidR="00DD1E8D">
                <w:rPr>
                  <w:rFonts w:asciiTheme="minorHAnsi" w:hAnsiTheme="minorHAnsi" w:cstheme="minorBidi"/>
                  <w:color w:val="auto"/>
                  <w:sz w:val="22"/>
                  <w:szCs w:val="22"/>
                  <w:lang w:val="en-US" w:eastAsia="en-US"/>
                </w:rPr>
                <w:tab/>
              </w:r>
              <w:r w:rsidR="00DD1E8D" w:rsidRPr="00FD25C5">
                <w:rPr>
                  <w:rStyle w:val="Hipervnculo"/>
                </w:rPr>
                <w:t>Estructura y funcionamiento de los modelos</w:t>
              </w:r>
              <w:r w:rsidR="00DD1E8D">
                <w:tab/>
              </w:r>
              <w:r w:rsidR="00DD1E8D">
                <w:fldChar w:fldCharType="begin"/>
              </w:r>
              <w:r w:rsidR="00DD1E8D">
                <w:instrText xml:space="preserve"> PAGEREF _Toc485157527 \h </w:instrText>
              </w:r>
              <w:r w:rsidR="00DD1E8D">
                <w:fldChar w:fldCharType="separate"/>
              </w:r>
              <w:r w:rsidR="009D4D90">
                <w:t>5</w:t>
              </w:r>
              <w:r w:rsidR="00DD1E8D">
                <w:fldChar w:fldCharType="end"/>
              </w:r>
            </w:hyperlink>
          </w:p>
          <w:p w:rsidR="00DD1E8D" w:rsidRDefault="00F310FD">
            <w:pPr>
              <w:pStyle w:val="TDC2"/>
              <w:rPr>
                <w:rFonts w:asciiTheme="minorHAnsi" w:hAnsiTheme="minorHAnsi" w:cstheme="minorBidi"/>
                <w:color w:val="auto"/>
                <w:sz w:val="22"/>
                <w:szCs w:val="22"/>
                <w:lang w:val="en-US" w:eastAsia="en-US"/>
              </w:rPr>
            </w:pPr>
            <w:hyperlink w:anchor="_Toc485157528" w:history="1">
              <w:r w:rsidR="00DD1E8D" w:rsidRPr="00FD25C5">
                <w:rPr>
                  <w:rStyle w:val="Hipervnculo"/>
                </w:rPr>
                <w:t>2.1</w:t>
              </w:r>
              <w:r w:rsidR="00DD1E8D">
                <w:rPr>
                  <w:rFonts w:asciiTheme="minorHAnsi" w:hAnsiTheme="minorHAnsi" w:cstheme="minorBidi"/>
                  <w:color w:val="auto"/>
                  <w:sz w:val="22"/>
                  <w:szCs w:val="22"/>
                  <w:lang w:val="en-US" w:eastAsia="en-US"/>
                </w:rPr>
                <w:tab/>
              </w:r>
              <w:r w:rsidR="00DD1E8D" w:rsidRPr="00FD25C5">
                <w:rPr>
                  <w:rStyle w:val="Hipervnculo"/>
                </w:rPr>
                <w:t>Módulo de resultados</w:t>
              </w:r>
              <w:r w:rsidR="00DD1E8D">
                <w:tab/>
              </w:r>
              <w:r w:rsidR="00DD1E8D">
                <w:fldChar w:fldCharType="begin"/>
              </w:r>
              <w:r w:rsidR="00DD1E8D">
                <w:instrText xml:space="preserve"> PAGEREF _Toc485157528 \h </w:instrText>
              </w:r>
              <w:r w:rsidR="00DD1E8D">
                <w:fldChar w:fldCharType="separate"/>
              </w:r>
              <w:r w:rsidR="009D4D90">
                <w:t>7</w:t>
              </w:r>
              <w:r w:rsidR="00DD1E8D">
                <w:fldChar w:fldCharType="end"/>
              </w:r>
            </w:hyperlink>
          </w:p>
          <w:p w:rsidR="00DD1E8D" w:rsidRDefault="00F310FD">
            <w:pPr>
              <w:pStyle w:val="TDC2"/>
              <w:rPr>
                <w:rFonts w:asciiTheme="minorHAnsi" w:hAnsiTheme="minorHAnsi" w:cstheme="minorBidi"/>
                <w:color w:val="auto"/>
                <w:sz w:val="22"/>
                <w:szCs w:val="22"/>
                <w:lang w:val="en-US" w:eastAsia="en-US"/>
              </w:rPr>
            </w:pPr>
            <w:hyperlink w:anchor="_Toc485157529" w:history="1">
              <w:r w:rsidR="00DD1E8D" w:rsidRPr="00FD25C5">
                <w:rPr>
                  <w:rStyle w:val="Hipervnculo"/>
                </w:rPr>
                <w:t>2.2</w:t>
              </w:r>
              <w:r w:rsidR="00DD1E8D">
                <w:rPr>
                  <w:rFonts w:asciiTheme="minorHAnsi" w:hAnsiTheme="minorHAnsi" w:cstheme="minorBidi"/>
                  <w:color w:val="auto"/>
                  <w:sz w:val="22"/>
                  <w:szCs w:val="22"/>
                  <w:lang w:val="en-US" w:eastAsia="en-US"/>
                </w:rPr>
                <w:tab/>
              </w:r>
              <w:r w:rsidR="00DD1E8D" w:rsidRPr="00FD25C5">
                <w:rPr>
                  <w:rStyle w:val="Hipervnculo"/>
                </w:rPr>
                <w:t>Módulo de cálculos</w:t>
              </w:r>
              <w:r w:rsidR="00DD1E8D">
                <w:tab/>
              </w:r>
              <w:r w:rsidR="00DD1E8D">
                <w:fldChar w:fldCharType="begin"/>
              </w:r>
              <w:r w:rsidR="00DD1E8D">
                <w:instrText xml:space="preserve"> PAGEREF _Toc485157529 \h </w:instrText>
              </w:r>
              <w:r w:rsidR="00DD1E8D">
                <w:fldChar w:fldCharType="separate"/>
              </w:r>
              <w:r w:rsidR="009D4D90">
                <w:t>8</w:t>
              </w:r>
              <w:r w:rsidR="00DD1E8D">
                <w:fldChar w:fldCharType="end"/>
              </w:r>
            </w:hyperlink>
          </w:p>
          <w:p w:rsidR="00DD1E8D" w:rsidRDefault="00F310FD">
            <w:pPr>
              <w:pStyle w:val="TDC2"/>
              <w:rPr>
                <w:rFonts w:asciiTheme="minorHAnsi" w:hAnsiTheme="minorHAnsi" w:cstheme="minorBidi"/>
                <w:color w:val="auto"/>
                <w:sz w:val="22"/>
                <w:szCs w:val="22"/>
                <w:lang w:val="en-US" w:eastAsia="en-US"/>
              </w:rPr>
            </w:pPr>
            <w:hyperlink w:anchor="_Toc485157530" w:history="1">
              <w:r w:rsidR="00DD1E8D" w:rsidRPr="00FD25C5">
                <w:rPr>
                  <w:rStyle w:val="Hipervnculo"/>
                </w:rPr>
                <w:t>2.3</w:t>
              </w:r>
              <w:r w:rsidR="00DD1E8D">
                <w:rPr>
                  <w:rFonts w:asciiTheme="minorHAnsi" w:hAnsiTheme="minorHAnsi" w:cstheme="minorBidi"/>
                  <w:color w:val="auto"/>
                  <w:sz w:val="22"/>
                  <w:szCs w:val="22"/>
                  <w:lang w:val="en-US" w:eastAsia="en-US"/>
                </w:rPr>
                <w:tab/>
              </w:r>
              <w:r w:rsidR="00DD1E8D" w:rsidRPr="00FD25C5">
                <w:rPr>
                  <w:rStyle w:val="Hipervnculo"/>
                </w:rPr>
                <w:t>Módulo de supuestos</w:t>
              </w:r>
              <w:r w:rsidR="00DD1E8D">
                <w:tab/>
              </w:r>
              <w:r w:rsidR="00DD1E8D">
                <w:fldChar w:fldCharType="begin"/>
              </w:r>
              <w:r w:rsidR="00DD1E8D">
                <w:instrText xml:space="preserve"> PAGEREF _Toc485157530 \h </w:instrText>
              </w:r>
              <w:r w:rsidR="00DD1E8D">
                <w:fldChar w:fldCharType="separate"/>
              </w:r>
              <w:r w:rsidR="009D4D90">
                <w:t>12</w:t>
              </w:r>
              <w:r w:rsidR="00DD1E8D">
                <w:fldChar w:fldCharType="end"/>
              </w:r>
            </w:hyperlink>
          </w:p>
          <w:p w:rsidR="00DD1E8D" w:rsidRDefault="00F310FD">
            <w:pPr>
              <w:pStyle w:val="TDC1"/>
              <w:rPr>
                <w:rFonts w:asciiTheme="minorHAnsi" w:hAnsiTheme="minorHAnsi" w:cstheme="minorBidi"/>
                <w:color w:val="auto"/>
                <w:sz w:val="22"/>
                <w:szCs w:val="22"/>
                <w:lang w:val="en-US" w:eastAsia="en-US"/>
              </w:rPr>
            </w:pPr>
            <w:hyperlink w:anchor="_Toc485157531" w:history="1">
              <w:r w:rsidR="00DD1E8D" w:rsidRPr="00FD25C5">
                <w:rPr>
                  <w:rStyle w:val="Hipervnculo"/>
                </w:rPr>
                <w:t>3</w:t>
              </w:r>
              <w:r w:rsidR="00DD1E8D">
                <w:rPr>
                  <w:rFonts w:asciiTheme="minorHAnsi" w:hAnsiTheme="minorHAnsi" w:cstheme="minorBidi"/>
                  <w:color w:val="auto"/>
                  <w:sz w:val="22"/>
                  <w:szCs w:val="22"/>
                  <w:lang w:val="en-US" w:eastAsia="en-US"/>
                </w:rPr>
                <w:tab/>
              </w:r>
              <w:r w:rsidR="00DD1E8D" w:rsidRPr="00FD25C5">
                <w:rPr>
                  <w:rStyle w:val="Hipervnculo"/>
                </w:rPr>
                <w:t>Actualización del modelo</w:t>
              </w:r>
              <w:r w:rsidR="00DD1E8D">
                <w:tab/>
              </w:r>
              <w:r w:rsidR="00DD1E8D">
                <w:fldChar w:fldCharType="begin"/>
              </w:r>
              <w:r w:rsidR="00DD1E8D">
                <w:instrText xml:space="preserve"> PAGEREF _Toc485157531 \h </w:instrText>
              </w:r>
              <w:r w:rsidR="00DD1E8D">
                <w:fldChar w:fldCharType="separate"/>
              </w:r>
              <w:r w:rsidR="009D4D90">
                <w:t>14</w:t>
              </w:r>
              <w:r w:rsidR="00DD1E8D">
                <w:fldChar w:fldCharType="end"/>
              </w:r>
            </w:hyperlink>
          </w:p>
          <w:p w:rsidR="00DD1E8D" w:rsidRDefault="00F310FD">
            <w:pPr>
              <w:pStyle w:val="TDC2"/>
              <w:rPr>
                <w:rFonts w:asciiTheme="minorHAnsi" w:hAnsiTheme="minorHAnsi" w:cstheme="minorBidi"/>
                <w:color w:val="auto"/>
                <w:sz w:val="22"/>
                <w:szCs w:val="22"/>
                <w:lang w:val="en-US" w:eastAsia="en-US"/>
              </w:rPr>
            </w:pPr>
            <w:hyperlink w:anchor="_Toc485157532" w:history="1">
              <w:r w:rsidR="00DD1E8D" w:rsidRPr="00FD25C5">
                <w:rPr>
                  <w:rStyle w:val="Hipervnculo"/>
                </w:rPr>
                <w:t>3.1</w:t>
              </w:r>
              <w:r w:rsidR="00DD1E8D">
                <w:rPr>
                  <w:rFonts w:asciiTheme="minorHAnsi" w:hAnsiTheme="minorHAnsi" w:cstheme="minorBidi"/>
                  <w:color w:val="auto"/>
                  <w:sz w:val="22"/>
                  <w:szCs w:val="22"/>
                  <w:lang w:val="en-US" w:eastAsia="en-US"/>
                </w:rPr>
                <w:tab/>
              </w:r>
              <w:r w:rsidR="00DD1E8D" w:rsidRPr="00FD25C5">
                <w:rPr>
                  <w:rStyle w:val="Hipervnculo"/>
                </w:rPr>
                <w:t>Información requerida</w:t>
              </w:r>
              <w:r w:rsidR="00DD1E8D">
                <w:tab/>
              </w:r>
              <w:r w:rsidR="00DD1E8D">
                <w:fldChar w:fldCharType="begin"/>
              </w:r>
              <w:r w:rsidR="00DD1E8D">
                <w:instrText xml:space="preserve"> PAGEREF _Toc485157532 \h </w:instrText>
              </w:r>
              <w:r w:rsidR="00DD1E8D">
                <w:fldChar w:fldCharType="separate"/>
              </w:r>
              <w:r w:rsidR="009D4D90">
                <w:t>14</w:t>
              </w:r>
              <w:r w:rsidR="00DD1E8D">
                <w:fldChar w:fldCharType="end"/>
              </w:r>
            </w:hyperlink>
          </w:p>
          <w:p w:rsidR="00CE2B46" w:rsidRPr="00DF612F" w:rsidRDefault="00CE2B46" w:rsidP="00F25DFA">
            <w:pPr>
              <w:pStyle w:val="Spacer"/>
            </w:pPr>
            <w:r w:rsidRPr="00DF612F">
              <w:fldChar w:fldCharType="end"/>
            </w:r>
          </w:p>
        </w:tc>
      </w:tr>
      <w:tr w:rsidR="005646E5" w:rsidRPr="00DF612F" w:rsidTr="00DF612F">
        <w:tc>
          <w:tcPr>
            <w:tcW w:w="5000" w:type="pct"/>
            <w:tcMar>
              <w:top w:w="142" w:type="dxa"/>
            </w:tcMar>
          </w:tcPr>
          <w:p w:rsidR="005646E5" w:rsidRPr="005646E5" w:rsidRDefault="005646E5" w:rsidP="005646E5">
            <w:pPr>
              <w:pStyle w:val="Spacer"/>
            </w:pPr>
            <w:bookmarkStart w:id="10" w:name="BM_ToF" w:colFirst="0" w:colLast="0"/>
            <w:bookmarkEnd w:id="9"/>
          </w:p>
        </w:tc>
      </w:tr>
      <w:tr w:rsidR="005646E5" w:rsidRPr="00DF612F" w:rsidTr="00DF612F">
        <w:tc>
          <w:tcPr>
            <w:tcW w:w="5000" w:type="pct"/>
            <w:tcMar>
              <w:top w:w="142" w:type="dxa"/>
            </w:tcMar>
          </w:tcPr>
          <w:p w:rsidR="005646E5" w:rsidRPr="005646E5" w:rsidRDefault="005646E5" w:rsidP="005646E5">
            <w:pPr>
              <w:pStyle w:val="Spacer"/>
            </w:pPr>
            <w:bookmarkStart w:id="11" w:name="BM_ToT" w:colFirst="0" w:colLast="0"/>
            <w:bookmarkEnd w:id="10"/>
          </w:p>
        </w:tc>
      </w:tr>
      <w:tr w:rsidR="00E17173" w:rsidRPr="00DF612F" w:rsidTr="00DF612F">
        <w:tc>
          <w:tcPr>
            <w:tcW w:w="5000" w:type="pct"/>
            <w:tcMar>
              <w:top w:w="142" w:type="dxa"/>
            </w:tcMar>
          </w:tcPr>
          <w:p w:rsidR="00E95922" w:rsidRPr="005646E5" w:rsidRDefault="00E95922" w:rsidP="005646E5">
            <w:pPr>
              <w:pStyle w:val="Spacer"/>
            </w:pPr>
            <w:bookmarkStart w:id="12" w:name="BM_Exhibits" w:colFirst="0" w:colLast="0"/>
            <w:bookmarkEnd w:id="11"/>
          </w:p>
        </w:tc>
      </w:tr>
    </w:tbl>
    <w:bookmarkEnd w:id="12" w:displacedByCustomXml="next"/>
    <w:bookmarkStart w:id="13" w:name="BM_SecBreakToC" w:displacedByCustomXml="next"/>
    <w:sdt>
      <w:sdtPr>
        <w:alias w:val="Locked Section Break"/>
        <w:tag w:val="Locked Section Break"/>
        <w:id w:val="618500258"/>
        <w:lock w:val="contentLocked"/>
        <w:placeholder>
          <w:docPart w:val="DB3EC2439D6B475590EA538822C20D1E"/>
        </w:placeholder>
        <w:showingPlcHdr/>
      </w:sdtPr>
      <w:sdtEndPr/>
      <w:sdtContent>
        <w:p w:rsidR="00CE2B46" w:rsidRDefault="00CE2B46" w:rsidP="00CE2B46">
          <w:pPr>
            <w:sectPr w:rsidR="00CE2B46" w:rsidSect="00F0455F">
              <w:headerReference w:type="default" r:id="rId10"/>
              <w:footerReference w:type="default" r:id="rId11"/>
              <w:pgSz w:w="11906" w:h="16838" w:code="9"/>
              <w:pgMar w:top="1701" w:right="1985" w:bottom="1418" w:left="1985" w:header="709" w:footer="397" w:gutter="0"/>
              <w:cols w:space="708"/>
              <w:docGrid w:linePitch="360"/>
            </w:sectPr>
          </w:pPr>
          <w:r>
            <w:t xml:space="preserve"> </w:t>
          </w:r>
        </w:p>
      </w:sdtContent>
    </w:sdt>
    <w:p w:rsidR="001E633B" w:rsidRDefault="00E370D0" w:rsidP="00E370D0">
      <w:pPr>
        <w:pStyle w:val="Ttulo1"/>
      </w:pPr>
      <w:bookmarkStart w:id="14" w:name="_Toc485157526"/>
      <w:bookmarkStart w:id="15" w:name="_Toc405820911"/>
      <w:bookmarkEnd w:id="13"/>
      <w:r>
        <w:lastRenderedPageBreak/>
        <w:t>Introducción</w:t>
      </w:r>
      <w:bookmarkEnd w:id="14"/>
    </w:p>
    <w:p w:rsidR="00C8183A" w:rsidRDefault="00C8183A" w:rsidP="00C8183A">
      <w:r>
        <w:t>Frontier Economics ha sido contratado por el</w:t>
      </w:r>
      <w:r w:rsidR="004702D0">
        <w:t xml:space="preserve"> Instituto Federal de Telecomunicaciones (</w:t>
      </w:r>
      <w:r>
        <w:t>IFT</w:t>
      </w:r>
      <w:r w:rsidR="004702D0">
        <w:t>)</w:t>
      </w:r>
      <w:r>
        <w:t xml:space="preserve"> para desarrollar la metodología y modelización para la evaluación de la replicabilidad de las tarifas al usuario final del Agente Económico Preponderante</w:t>
      </w:r>
      <w:r w:rsidR="00625BE2">
        <w:t xml:space="preserve"> en telecomunicaciones</w:t>
      </w:r>
      <w:r>
        <w:t xml:space="preserve"> (AEP), tal y como se prevé en las med</w:t>
      </w:r>
      <w:r w:rsidR="009811A8">
        <w:t>idas de preponderancia</w:t>
      </w:r>
      <w:r>
        <w:t>.</w:t>
      </w:r>
      <w:r>
        <w:rPr>
          <w:rStyle w:val="Refdenotaalpie"/>
        </w:rPr>
        <w:footnoteReference w:id="2"/>
      </w:r>
    </w:p>
    <w:p w:rsidR="00C8183A" w:rsidRDefault="00C8183A" w:rsidP="00C8183A">
      <w:r>
        <w:t>Este documento hace referencia a</w:t>
      </w:r>
      <w:r w:rsidR="00B37458">
        <w:t xml:space="preserve"> la prueba </w:t>
      </w:r>
      <w:r>
        <w:t xml:space="preserve">de replicabilidad a aplicar a los </w:t>
      </w:r>
      <w:r w:rsidRPr="002555A2">
        <w:rPr>
          <w:b/>
        </w:rPr>
        <w:t xml:space="preserve">servicios minoristas de </w:t>
      </w:r>
      <w:r>
        <w:rPr>
          <w:b/>
        </w:rPr>
        <w:t>banda ancha y de banda ancha empaquetada con telefonía fija</w:t>
      </w:r>
      <w:r>
        <w:t xml:space="preserve">. El objetivo de </w:t>
      </w:r>
      <w:r w:rsidR="00B37458">
        <w:t xml:space="preserve">la prueba </w:t>
      </w:r>
      <w:r>
        <w:t xml:space="preserve">de replicabilidad es evaluar si un operador alternativo que hace uso de los servicios mayoristas regulados puede replicar rentablemente la oferta minorista del AEP para el servicio analizado. </w:t>
      </w:r>
    </w:p>
    <w:p w:rsidR="00AC36BD" w:rsidRDefault="00C8183A" w:rsidP="00C8183A">
      <w:r>
        <w:t>En el caso de los servicios de banda ancha y banda ancha empaquetada con telefonía fija, las principales dimensiones de</w:t>
      </w:r>
      <w:r w:rsidR="00B37458">
        <w:t xml:space="preserve"> la prueba </w:t>
      </w:r>
      <w:r>
        <w:t xml:space="preserve">se resumen en la </w:t>
      </w:r>
      <w:r>
        <w:fldChar w:fldCharType="begin"/>
      </w:r>
      <w:r>
        <w:instrText xml:space="preserve"> REF _Ref482888419 \h </w:instrText>
      </w:r>
      <w:r>
        <w:fldChar w:fldCharType="separate"/>
      </w:r>
      <w:r w:rsidR="00EF7AFF">
        <w:t xml:space="preserve">Figura </w:t>
      </w:r>
      <w:r w:rsidR="00EF7AFF">
        <w:rPr>
          <w:noProof/>
        </w:rPr>
        <w:t>1</w:t>
      </w:r>
      <w:r>
        <w:fldChar w:fldCharType="end"/>
      </w:r>
      <w:r>
        <w:t>.</w:t>
      </w:r>
    </w:p>
    <w:p w:rsidR="00C8183A" w:rsidRDefault="00C8183A" w:rsidP="00C8183A">
      <w:pPr>
        <w:pStyle w:val="Descripcin"/>
      </w:pPr>
      <w:bookmarkStart w:id="16" w:name="_Ref482888419"/>
      <w:r>
        <w:lastRenderedPageBreak/>
        <w:t xml:space="preserve">Figura </w:t>
      </w:r>
      <w:r>
        <w:fldChar w:fldCharType="begin"/>
      </w:r>
      <w:r>
        <w:instrText xml:space="preserve"> SEQ Figura </w:instrText>
      </w:r>
      <w:r>
        <w:fldChar w:fldCharType="separate"/>
      </w:r>
      <w:r w:rsidR="00EF7AFF">
        <w:rPr>
          <w:noProof/>
        </w:rPr>
        <w:t>1</w:t>
      </w:r>
      <w:r>
        <w:rPr>
          <w:noProof/>
        </w:rPr>
        <w:fldChar w:fldCharType="end"/>
      </w:r>
      <w:bookmarkEnd w:id="16"/>
      <w:r>
        <w:tab/>
        <w:t>Dimensiones de</w:t>
      </w:r>
      <w:r w:rsidR="00B37458">
        <w:t xml:space="preserve"> la prueba </w:t>
      </w:r>
      <w:r>
        <w:t>de banda ancha y banda ancha empaquetada con telefonía fija</w:t>
      </w:r>
    </w:p>
    <w:tbl>
      <w:tblPr>
        <w:tblStyle w:val="Frontier"/>
        <w:tblW w:w="7940" w:type="dxa"/>
        <w:tblInd w:w="108" w:type="dxa"/>
        <w:tblLayout w:type="fixed"/>
        <w:tblLook w:val="0420" w:firstRow="1" w:lastRow="0" w:firstColumn="0" w:lastColumn="0" w:noHBand="0" w:noVBand="1"/>
      </w:tblPr>
      <w:tblGrid>
        <w:gridCol w:w="3957"/>
        <w:gridCol w:w="3983"/>
      </w:tblGrid>
      <w:tr w:rsidR="00C8183A" w:rsidRPr="00263104" w:rsidTr="00C8183A">
        <w:trPr>
          <w:cnfStyle w:val="100000000000" w:firstRow="1" w:lastRow="0" w:firstColumn="0" w:lastColumn="0" w:oddVBand="0" w:evenVBand="0" w:oddHBand="0" w:evenHBand="0" w:firstRowFirstColumn="0" w:firstRowLastColumn="0" w:lastRowFirstColumn="0" w:lastRowLastColumn="0"/>
          <w:trHeight w:val="20"/>
          <w:tblHeader/>
        </w:trPr>
        <w:tc>
          <w:tcPr>
            <w:tcW w:w="2492" w:type="pct"/>
          </w:tcPr>
          <w:p w:rsidR="00C8183A" w:rsidRPr="00263104" w:rsidRDefault="00C8183A" w:rsidP="00C8183A">
            <w:pPr>
              <w:pStyle w:val="TableHeadingLeft"/>
            </w:pPr>
            <w:r>
              <w:t>Dimensión</w:t>
            </w:r>
          </w:p>
        </w:tc>
        <w:tc>
          <w:tcPr>
            <w:tcW w:w="2508" w:type="pct"/>
          </w:tcPr>
          <w:p w:rsidR="00C8183A" w:rsidRPr="00263104" w:rsidRDefault="00C8183A" w:rsidP="003A0FC1">
            <w:pPr>
              <w:pStyle w:val="TableHeadingRight"/>
              <w:jc w:val="both"/>
            </w:pPr>
            <w:r>
              <w:t>Especificación</w:t>
            </w:r>
          </w:p>
        </w:tc>
      </w:tr>
      <w:tr w:rsidR="00C8183A" w:rsidRPr="007F007E" w:rsidTr="00C8183A">
        <w:trPr>
          <w:cnfStyle w:val="000000100000" w:firstRow="0" w:lastRow="0" w:firstColumn="0" w:lastColumn="0" w:oddVBand="0" w:evenVBand="0" w:oddHBand="1" w:evenHBand="0" w:firstRowFirstColumn="0" w:firstRowLastColumn="0" w:lastRowFirstColumn="0" w:lastRowLastColumn="0"/>
          <w:trHeight w:val="20"/>
        </w:trPr>
        <w:tc>
          <w:tcPr>
            <w:tcW w:w="2492" w:type="pct"/>
          </w:tcPr>
          <w:p w:rsidR="00C8183A" w:rsidRPr="00771C5E" w:rsidRDefault="00C8183A" w:rsidP="00C8183A">
            <w:pPr>
              <w:pStyle w:val="TableTextLeft"/>
              <w:rPr>
                <w:b/>
              </w:rPr>
            </w:pPr>
            <w:r w:rsidRPr="00771C5E">
              <w:rPr>
                <w:b/>
              </w:rPr>
              <w:t>Implementación</w:t>
            </w:r>
          </w:p>
        </w:tc>
        <w:tc>
          <w:tcPr>
            <w:tcW w:w="2508" w:type="pct"/>
          </w:tcPr>
          <w:p w:rsidR="00C8183A" w:rsidRPr="007F007E" w:rsidRDefault="00C8183A" w:rsidP="004702D0">
            <w:pPr>
              <w:pStyle w:val="TableTextRight"/>
              <w:jc w:val="left"/>
            </w:pPr>
            <w:r>
              <w:t xml:space="preserve">Ex – ante y ex – post, cada </w:t>
            </w:r>
            <w:r w:rsidR="004702D0">
              <w:t>seis</w:t>
            </w:r>
            <w:r>
              <w:t xml:space="preserve"> meses</w:t>
            </w:r>
          </w:p>
        </w:tc>
      </w:tr>
      <w:tr w:rsidR="00C8183A" w:rsidRPr="007F007E" w:rsidTr="00C8183A">
        <w:trPr>
          <w:trHeight w:val="20"/>
        </w:trPr>
        <w:tc>
          <w:tcPr>
            <w:tcW w:w="2492" w:type="pct"/>
          </w:tcPr>
          <w:p w:rsidR="00C8183A" w:rsidRPr="00771C5E" w:rsidRDefault="00C8183A" w:rsidP="00C8183A">
            <w:pPr>
              <w:pStyle w:val="TableTextLeft"/>
              <w:rPr>
                <w:b/>
              </w:rPr>
            </w:pPr>
            <w:r w:rsidRPr="00771C5E">
              <w:rPr>
                <w:b/>
              </w:rPr>
              <w:t>Nivel de eficiencia</w:t>
            </w:r>
          </w:p>
        </w:tc>
        <w:tc>
          <w:tcPr>
            <w:tcW w:w="2508" w:type="pct"/>
          </w:tcPr>
          <w:p w:rsidR="00C8183A" w:rsidRPr="007F007E" w:rsidRDefault="00017538" w:rsidP="00C8183A">
            <w:pPr>
              <w:pStyle w:val="TableTextRight"/>
              <w:jc w:val="left"/>
            </w:pPr>
            <w:r>
              <w:t>SEO</w:t>
            </w:r>
            <w:r w:rsidR="00AC0960">
              <w:rPr>
                <w:rStyle w:val="Refdenotaalpie"/>
              </w:rPr>
              <w:footnoteReference w:id="3"/>
            </w:r>
          </w:p>
        </w:tc>
      </w:tr>
      <w:tr w:rsidR="00C8183A" w:rsidRPr="007F007E" w:rsidTr="00C8183A">
        <w:trPr>
          <w:cnfStyle w:val="000000100000" w:firstRow="0" w:lastRow="0" w:firstColumn="0" w:lastColumn="0" w:oddVBand="0" w:evenVBand="0" w:oddHBand="1" w:evenHBand="0" w:firstRowFirstColumn="0" w:firstRowLastColumn="0" w:lastRowFirstColumn="0" w:lastRowLastColumn="0"/>
          <w:trHeight w:val="20"/>
        </w:trPr>
        <w:tc>
          <w:tcPr>
            <w:tcW w:w="2492" w:type="pct"/>
          </w:tcPr>
          <w:p w:rsidR="00C8183A" w:rsidRPr="00771C5E" w:rsidRDefault="00C8183A" w:rsidP="00C8183A">
            <w:pPr>
              <w:pStyle w:val="TableTextLeft"/>
              <w:rPr>
                <w:b/>
              </w:rPr>
            </w:pPr>
            <w:r w:rsidRPr="00771C5E">
              <w:rPr>
                <w:b/>
              </w:rPr>
              <w:t>Nivel de agregación</w:t>
            </w:r>
          </w:p>
        </w:tc>
        <w:tc>
          <w:tcPr>
            <w:tcW w:w="2508" w:type="pct"/>
          </w:tcPr>
          <w:p w:rsidR="00C8183A" w:rsidRPr="007F007E" w:rsidRDefault="00C8183A" w:rsidP="00C8183A">
            <w:pPr>
              <w:pStyle w:val="TableTextRight"/>
              <w:jc w:val="left"/>
            </w:pPr>
            <w:r>
              <w:t>Individual y cartera de productos</w:t>
            </w:r>
          </w:p>
        </w:tc>
      </w:tr>
      <w:tr w:rsidR="00C8183A" w:rsidRPr="007F007E" w:rsidTr="00C8183A">
        <w:trPr>
          <w:trHeight w:val="20"/>
        </w:trPr>
        <w:tc>
          <w:tcPr>
            <w:tcW w:w="2492" w:type="pct"/>
          </w:tcPr>
          <w:p w:rsidR="00C8183A" w:rsidRPr="00771C5E" w:rsidRDefault="00C8183A" w:rsidP="00C8183A">
            <w:pPr>
              <w:pStyle w:val="TableTextLeft"/>
              <w:rPr>
                <w:b/>
              </w:rPr>
            </w:pPr>
            <w:r w:rsidRPr="00771C5E">
              <w:rPr>
                <w:b/>
              </w:rPr>
              <w:t>Estándar de costos</w:t>
            </w:r>
          </w:p>
        </w:tc>
        <w:tc>
          <w:tcPr>
            <w:tcW w:w="2508" w:type="pct"/>
          </w:tcPr>
          <w:p w:rsidR="00C8183A" w:rsidRPr="007F007E" w:rsidRDefault="00C8183A" w:rsidP="00C8183A">
            <w:pPr>
              <w:pStyle w:val="TableTextRight"/>
              <w:jc w:val="left"/>
            </w:pPr>
            <w:r>
              <w:t>LRIC</w:t>
            </w:r>
            <w:r w:rsidR="00AC36BD">
              <w:rPr>
                <w:rStyle w:val="Refdenotaalpie"/>
              </w:rPr>
              <w:footnoteReference w:id="4"/>
            </w:r>
            <w:r>
              <w:t xml:space="preserve"> y LRIC+</w:t>
            </w:r>
            <w:r w:rsidR="00AC36BD">
              <w:rPr>
                <w:rStyle w:val="Refdenotaalpie"/>
              </w:rPr>
              <w:footnoteReference w:id="5"/>
            </w:r>
          </w:p>
        </w:tc>
      </w:tr>
      <w:tr w:rsidR="00C8183A" w:rsidRPr="007F007E" w:rsidTr="00C8183A">
        <w:trPr>
          <w:cnfStyle w:val="000000100000" w:firstRow="0" w:lastRow="0" w:firstColumn="0" w:lastColumn="0" w:oddVBand="0" w:evenVBand="0" w:oddHBand="1" w:evenHBand="0" w:firstRowFirstColumn="0" w:firstRowLastColumn="0" w:lastRowFirstColumn="0" w:lastRowLastColumn="0"/>
          <w:trHeight w:val="20"/>
        </w:trPr>
        <w:tc>
          <w:tcPr>
            <w:tcW w:w="2492" w:type="pct"/>
          </w:tcPr>
          <w:p w:rsidR="00C8183A" w:rsidRPr="00771C5E" w:rsidRDefault="00C8183A" w:rsidP="00C8183A">
            <w:pPr>
              <w:pStyle w:val="TableTextLeft"/>
              <w:rPr>
                <w:b/>
              </w:rPr>
            </w:pPr>
            <w:r w:rsidRPr="00771C5E">
              <w:rPr>
                <w:b/>
              </w:rPr>
              <w:t>Tratamiento del segmento empresarial</w:t>
            </w:r>
          </w:p>
        </w:tc>
        <w:tc>
          <w:tcPr>
            <w:tcW w:w="2508" w:type="pct"/>
          </w:tcPr>
          <w:p w:rsidR="00C8183A" w:rsidRPr="007F007E" w:rsidRDefault="00C8183A" w:rsidP="00C8183A">
            <w:pPr>
              <w:pStyle w:val="TableTextRight"/>
              <w:jc w:val="left"/>
            </w:pPr>
            <w:r>
              <w:t>Incluidas las ofertas empresariales</w:t>
            </w:r>
            <w:r w:rsidR="004B583B">
              <w:t xml:space="preserve"> estandarizadas</w:t>
            </w:r>
          </w:p>
        </w:tc>
      </w:tr>
      <w:tr w:rsidR="00C8183A" w:rsidRPr="007F007E" w:rsidTr="00C8183A">
        <w:trPr>
          <w:trHeight w:val="20"/>
        </w:trPr>
        <w:tc>
          <w:tcPr>
            <w:tcW w:w="2492" w:type="pct"/>
          </w:tcPr>
          <w:p w:rsidR="00C8183A" w:rsidRPr="00771C5E" w:rsidRDefault="00C8183A" w:rsidP="00C8183A">
            <w:pPr>
              <w:pStyle w:val="TableTextLeft"/>
              <w:rPr>
                <w:b/>
              </w:rPr>
            </w:pPr>
            <w:r w:rsidRPr="00771C5E">
              <w:rPr>
                <w:b/>
              </w:rPr>
              <w:t>Servicios mayoristas</w:t>
            </w:r>
          </w:p>
        </w:tc>
        <w:tc>
          <w:tcPr>
            <w:tcW w:w="2508" w:type="pct"/>
          </w:tcPr>
          <w:p w:rsidR="00C8183A" w:rsidRPr="007F007E" w:rsidRDefault="00C8183A" w:rsidP="00C8183A">
            <w:pPr>
              <w:pStyle w:val="TableTextRight"/>
              <w:jc w:val="left"/>
            </w:pPr>
            <w:r>
              <w:t>Acceso indirecto nacional, regional y local; acceso desagregado al bucle local compartido y completo</w:t>
            </w:r>
          </w:p>
        </w:tc>
      </w:tr>
      <w:tr w:rsidR="00C8183A" w:rsidRPr="007F007E" w:rsidTr="00C8183A">
        <w:trPr>
          <w:cnfStyle w:val="000000100000" w:firstRow="0" w:lastRow="0" w:firstColumn="0" w:lastColumn="0" w:oddVBand="0" w:evenVBand="0" w:oddHBand="1" w:evenHBand="0" w:firstRowFirstColumn="0" w:firstRowLastColumn="0" w:lastRowFirstColumn="0" w:lastRowLastColumn="0"/>
          <w:trHeight w:val="20"/>
        </w:trPr>
        <w:tc>
          <w:tcPr>
            <w:tcW w:w="2492" w:type="pct"/>
          </w:tcPr>
          <w:p w:rsidR="00C8183A" w:rsidRPr="00771C5E" w:rsidRDefault="00C8183A" w:rsidP="00C8183A">
            <w:pPr>
              <w:pStyle w:val="TableTextLeft"/>
              <w:rPr>
                <w:b/>
              </w:rPr>
            </w:pPr>
            <w:r w:rsidRPr="00771C5E">
              <w:rPr>
                <w:b/>
              </w:rPr>
              <w:t>Precio de los insumos mayoristas</w:t>
            </w:r>
          </w:p>
        </w:tc>
        <w:tc>
          <w:tcPr>
            <w:tcW w:w="2508" w:type="pct"/>
          </w:tcPr>
          <w:p w:rsidR="00C8183A" w:rsidRPr="00CD3FFE" w:rsidRDefault="00B141C0" w:rsidP="00C8183A">
            <w:pPr>
              <w:pStyle w:val="TableTextRight"/>
              <w:jc w:val="left"/>
              <w:rPr>
                <w:lang w:val="es-MX"/>
              </w:rPr>
            </w:pPr>
            <w:r>
              <w:rPr>
                <w:lang w:val="es-MX"/>
              </w:rPr>
              <w:t>Precios de catálogo (T</w:t>
            </w:r>
            <w:r w:rsidR="007332C6">
              <w:rPr>
                <w:lang w:val="es-MX"/>
              </w:rPr>
              <w:t xml:space="preserve">arifas de Oferta de Referencia) </w:t>
            </w:r>
          </w:p>
        </w:tc>
      </w:tr>
      <w:tr w:rsidR="00C8183A" w:rsidRPr="007F007E" w:rsidTr="00C8183A">
        <w:trPr>
          <w:trHeight w:val="20"/>
        </w:trPr>
        <w:tc>
          <w:tcPr>
            <w:tcW w:w="2492" w:type="pct"/>
          </w:tcPr>
          <w:p w:rsidR="00C8183A" w:rsidRPr="00771C5E" w:rsidRDefault="00C8183A" w:rsidP="00C8183A">
            <w:pPr>
              <w:pStyle w:val="TableTextLeft"/>
              <w:rPr>
                <w:b/>
              </w:rPr>
            </w:pPr>
            <w:r w:rsidRPr="00771C5E">
              <w:rPr>
                <w:b/>
              </w:rPr>
              <w:t>Tratamiento de las promociones</w:t>
            </w:r>
          </w:p>
        </w:tc>
        <w:tc>
          <w:tcPr>
            <w:tcW w:w="2508" w:type="pct"/>
          </w:tcPr>
          <w:p w:rsidR="00C8183A" w:rsidRPr="007F007E" w:rsidRDefault="00C8183A" w:rsidP="00C8183A">
            <w:pPr>
              <w:pStyle w:val="TableTextRight"/>
              <w:jc w:val="left"/>
            </w:pPr>
            <w:r>
              <w:t>Incluidas en el análisis</w:t>
            </w:r>
          </w:p>
        </w:tc>
      </w:tr>
      <w:tr w:rsidR="00C8183A" w:rsidRPr="00263104" w:rsidTr="00C8183A">
        <w:trPr>
          <w:cnfStyle w:val="000000100000" w:firstRow="0" w:lastRow="0" w:firstColumn="0" w:lastColumn="0" w:oddVBand="0" w:evenVBand="0" w:oddHBand="1" w:evenHBand="0" w:firstRowFirstColumn="0" w:firstRowLastColumn="0" w:lastRowFirstColumn="0" w:lastRowLastColumn="0"/>
          <w:trHeight w:val="20"/>
        </w:trPr>
        <w:tc>
          <w:tcPr>
            <w:tcW w:w="2492" w:type="pct"/>
          </w:tcPr>
          <w:p w:rsidR="00C8183A" w:rsidRPr="00771C5E" w:rsidRDefault="00C8183A" w:rsidP="00C8183A">
            <w:pPr>
              <w:pStyle w:val="TableTextLeft"/>
              <w:rPr>
                <w:b/>
              </w:rPr>
            </w:pPr>
            <w:r w:rsidRPr="00771C5E">
              <w:rPr>
                <w:b/>
              </w:rPr>
              <w:t xml:space="preserve">Evaluación de la rentabilidad </w:t>
            </w:r>
          </w:p>
        </w:tc>
        <w:tc>
          <w:tcPr>
            <w:tcW w:w="2508" w:type="pct"/>
          </w:tcPr>
          <w:p w:rsidR="00C8183A" w:rsidRPr="00263104" w:rsidRDefault="00C8183A" w:rsidP="00C8183A">
            <w:pPr>
              <w:pStyle w:val="TableTextRight"/>
              <w:jc w:val="left"/>
            </w:pPr>
            <w:r>
              <w:t>Valor presente neto</w:t>
            </w:r>
            <w:r w:rsidR="004B583B">
              <w:t xml:space="preserve"> (VPN)</w:t>
            </w:r>
          </w:p>
        </w:tc>
      </w:tr>
    </w:tbl>
    <w:p w:rsidR="00C8183A" w:rsidRPr="001631D3" w:rsidRDefault="00C8183A" w:rsidP="00C8183A">
      <w:pPr>
        <w:pStyle w:val="Source"/>
      </w:pPr>
      <w:r>
        <w:t>Fuente</w:t>
      </w:r>
      <w:r w:rsidRPr="001631D3">
        <w:t xml:space="preserve">: </w:t>
      </w:r>
      <w:r>
        <w:tab/>
        <w:t>Frontier Economics.</w:t>
      </w:r>
    </w:p>
    <w:p w:rsidR="00C8183A" w:rsidRDefault="00C8183A" w:rsidP="00FD0A40">
      <w:pPr>
        <w:pStyle w:val="Source"/>
      </w:pPr>
      <w:r w:rsidRPr="00771C5E">
        <w:t>Nota:</w:t>
      </w:r>
      <w:r w:rsidRPr="00771C5E">
        <w:tab/>
      </w:r>
      <w:r>
        <w:t xml:space="preserve">Para más detalle véase el documento de consulta </w:t>
      </w:r>
      <w:r w:rsidR="001A5BEA">
        <w:t xml:space="preserve">MARCO </w:t>
      </w:r>
      <w:r w:rsidR="003D73B9">
        <w:t>METODOLÓGICO</w:t>
      </w:r>
    </w:p>
    <w:p w:rsidR="00FD0A40" w:rsidRPr="00FD0A40" w:rsidRDefault="00FD0A40" w:rsidP="00FD0A40"/>
    <w:p w:rsidR="00C8183A" w:rsidRDefault="00C8183A" w:rsidP="00C8183A">
      <w:r>
        <w:lastRenderedPageBreak/>
        <w:t xml:space="preserve">Este manual describe el modelo desarrollado con el objetivo de guiar </w:t>
      </w:r>
      <w:r w:rsidR="004D1E68">
        <w:t>la</w:t>
      </w:r>
      <w:r>
        <w:t xml:space="preserve"> implementación </w:t>
      </w:r>
      <w:r w:rsidR="004D1E68">
        <w:t>de la prueba de replicabilidad económica</w:t>
      </w:r>
      <w:r>
        <w:t>.</w:t>
      </w:r>
    </w:p>
    <w:p w:rsidR="00D07D90" w:rsidRDefault="00D07D90" w:rsidP="00C8183A"/>
    <w:p w:rsidR="00D07D90" w:rsidRDefault="00D07D90" w:rsidP="00C8183A"/>
    <w:p w:rsidR="00C8183A" w:rsidRDefault="00C8183A" w:rsidP="00C8183A">
      <w:r>
        <w:t>El documento se estructura de la siguiente manera:</w:t>
      </w:r>
    </w:p>
    <w:p w:rsidR="00C8183A" w:rsidRDefault="00C8183A" w:rsidP="00C8183A">
      <w:pPr>
        <w:pStyle w:val="ListBullet1"/>
      </w:pPr>
      <w:r>
        <w:t xml:space="preserve">En la sección </w:t>
      </w:r>
      <w:r w:rsidR="008917F2">
        <w:t xml:space="preserve">2 </w:t>
      </w:r>
      <w:r>
        <w:t>se explica la estruct</w:t>
      </w:r>
      <w:r w:rsidR="00CD3FFE">
        <w:t>ura y funcionamiento del modelo; y</w:t>
      </w:r>
    </w:p>
    <w:p w:rsidR="00C8183A" w:rsidRDefault="00C8183A" w:rsidP="00C8183A">
      <w:pPr>
        <w:pStyle w:val="ListBullet1"/>
      </w:pPr>
      <w:r>
        <w:t xml:space="preserve">La sección </w:t>
      </w:r>
      <w:r w:rsidR="008917F2">
        <w:t xml:space="preserve">3 </w:t>
      </w:r>
      <w:r>
        <w:t xml:space="preserve">detalla la información requerida para poblarlo. </w:t>
      </w:r>
    </w:p>
    <w:p w:rsidR="00A375BB" w:rsidRDefault="002344E0" w:rsidP="002344E0">
      <w:pPr>
        <w:pStyle w:val="Ttulo1"/>
      </w:pPr>
      <w:bookmarkStart w:id="17" w:name="_Ref482972316"/>
      <w:bookmarkStart w:id="18" w:name="_Toc485157527"/>
      <w:r>
        <w:lastRenderedPageBreak/>
        <w:t>Estructura</w:t>
      </w:r>
      <w:r w:rsidR="00385933">
        <w:t xml:space="preserve"> y funcionamiento</w:t>
      </w:r>
      <w:r>
        <w:t xml:space="preserve"> de</w:t>
      </w:r>
      <w:r w:rsidR="00E545EC">
        <w:t xml:space="preserve"> </w:t>
      </w:r>
      <w:r>
        <w:t>l</w:t>
      </w:r>
      <w:r w:rsidR="00E545EC">
        <w:t>os</w:t>
      </w:r>
      <w:r>
        <w:t xml:space="preserve"> modelo</w:t>
      </w:r>
      <w:r w:rsidR="00E545EC">
        <w:t>s</w:t>
      </w:r>
      <w:bookmarkEnd w:id="17"/>
      <w:bookmarkEnd w:id="18"/>
      <w:r>
        <w:t xml:space="preserve"> </w:t>
      </w:r>
    </w:p>
    <w:p w:rsidR="00E545EC" w:rsidRDefault="00E545EC" w:rsidP="00E42C73">
      <w:r>
        <w:t>La evaluación de la replicabilidad de las ofertas de banda ancha requiere el uso dos modelos:</w:t>
      </w:r>
    </w:p>
    <w:p w:rsidR="00E545EC" w:rsidRDefault="00E545EC" w:rsidP="00054812">
      <w:pPr>
        <w:pStyle w:val="ParaBullet1"/>
      </w:pPr>
      <w:r>
        <w:t>Uno para analizar las ofertas individuales, previo a su lanzamiento en el mercado</w:t>
      </w:r>
      <w:r w:rsidR="003D73B9">
        <w:t>; y</w:t>
      </w:r>
    </w:p>
    <w:p w:rsidR="00E545EC" w:rsidRDefault="00E545EC" w:rsidP="00054812">
      <w:pPr>
        <w:pStyle w:val="ParaBullet1"/>
      </w:pPr>
      <w:r>
        <w:t>Otro para evaluar de forma regular</w:t>
      </w:r>
      <w:r w:rsidR="00C207B9">
        <w:t xml:space="preserve">, cada </w:t>
      </w:r>
      <w:r w:rsidR="004702D0">
        <w:t>seis</w:t>
      </w:r>
      <w:r w:rsidR="00C207B9">
        <w:t xml:space="preserve"> meses,</w:t>
      </w:r>
      <w:r>
        <w:t xml:space="preserve"> ex – post </w:t>
      </w:r>
      <w:r w:rsidR="00C207B9">
        <w:t>la replicab</w:t>
      </w:r>
      <w:r w:rsidR="00BA3AD8">
        <w:t>i</w:t>
      </w:r>
      <w:r w:rsidR="00C207B9">
        <w:t xml:space="preserve">lidad agregada de la cartera de ofertas del AEP. </w:t>
      </w:r>
    </w:p>
    <w:p w:rsidR="00B17214" w:rsidRDefault="00C207B9" w:rsidP="00E42C73">
      <w:r>
        <w:t>Ambos modelos</w:t>
      </w:r>
      <w:r w:rsidR="00E545EC">
        <w:t xml:space="preserve"> </w:t>
      </w:r>
      <w:r w:rsidR="00B17214">
        <w:t>reportan</w:t>
      </w:r>
      <w:r w:rsidR="00E545EC">
        <w:t xml:space="preserve"> </w:t>
      </w:r>
      <w:r w:rsidR="009811A8">
        <w:t>los</w:t>
      </w:r>
      <w:r w:rsidR="00E42C73">
        <w:t xml:space="preserve"> márgenes en el período considerado</w:t>
      </w:r>
      <w:r w:rsidR="00E545EC">
        <w:t>,</w:t>
      </w:r>
      <w:r w:rsidR="00E42C73">
        <w:t xml:space="preserve"> en términos porcentuales sobre los ingresos, asociados a la provisión minorista de los servicios de </w:t>
      </w:r>
      <w:r w:rsidR="00B17214">
        <w:t>banda ancha y los servicios empaquetados de banda ancha con telefonía fija</w:t>
      </w:r>
      <w:r>
        <w:t xml:space="preserve"> </w:t>
      </w:r>
      <w:r w:rsidR="00EC1510">
        <w:t xml:space="preserve">y </w:t>
      </w:r>
      <w:r w:rsidR="00E545EC">
        <w:t>con Claro Vídeo</w:t>
      </w:r>
      <w:r w:rsidR="003D73B9">
        <w:t>.</w:t>
      </w:r>
      <w:r w:rsidR="00B17214">
        <w:t xml:space="preserve"> </w:t>
      </w:r>
    </w:p>
    <w:p w:rsidR="00C207B9" w:rsidRDefault="00C207B9" w:rsidP="00E42C73">
      <w:r>
        <w:t xml:space="preserve">Tanto en el análisis ex – ante como ex – post </w:t>
      </w:r>
      <w:r w:rsidR="00B37458">
        <w:t xml:space="preserve">la prueba </w:t>
      </w:r>
      <w:r w:rsidR="00B17214">
        <w:t>se aplica de forma separada para cada una de las diferentes modalidades de acceso mayorista</w:t>
      </w:r>
      <w:r>
        <w:t xml:space="preserve"> relevantes. </w:t>
      </w:r>
    </w:p>
    <w:p w:rsidR="00C207B9" w:rsidRDefault="00C207B9" w:rsidP="00E42C73">
      <w:r>
        <w:t>En el caso de las ofertas individuales de banda ancha, se consideran las siguientes opciones mayoristas:</w:t>
      </w:r>
    </w:p>
    <w:p w:rsidR="00C207B9" w:rsidRDefault="00F67EAF" w:rsidP="00054812">
      <w:pPr>
        <w:pStyle w:val="ParaBullet1"/>
      </w:pPr>
      <w:r>
        <w:lastRenderedPageBreak/>
        <w:t>Acceso indirecto nacional;</w:t>
      </w:r>
    </w:p>
    <w:p w:rsidR="00C207B9" w:rsidRDefault="00F67EAF" w:rsidP="00054812">
      <w:pPr>
        <w:pStyle w:val="ParaBullet1"/>
      </w:pPr>
      <w:r>
        <w:t>Acceso indirecto regional;</w:t>
      </w:r>
    </w:p>
    <w:p w:rsidR="00C207B9" w:rsidRDefault="00F67EAF" w:rsidP="00054812">
      <w:pPr>
        <w:pStyle w:val="ParaBullet1"/>
      </w:pPr>
      <w:r>
        <w:t>Acceso indirecto local</w:t>
      </w:r>
      <w:r w:rsidR="003D73B9">
        <w:t>; y</w:t>
      </w:r>
    </w:p>
    <w:p w:rsidR="00B17214" w:rsidRDefault="00C207B9" w:rsidP="00054812">
      <w:pPr>
        <w:pStyle w:val="ParaBullet1"/>
      </w:pPr>
      <w:r>
        <w:t xml:space="preserve">Acceso desagregado al bucle local compartido. </w:t>
      </w:r>
    </w:p>
    <w:p w:rsidR="00C207B9" w:rsidRDefault="00C207B9" w:rsidP="00E42C73">
      <w:r>
        <w:t>Para el análisis de las ofertas de banda ancha empaquetadas con servicios de telefonía fija:</w:t>
      </w:r>
    </w:p>
    <w:p w:rsidR="00C207B9" w:rsidRDefault="00C207B9" w:rsidP="00C207B9">
      <w:pPr>
        <w:pStyle w:val="ParaBullet1"/>
      </w:pPr>
      <w:r>
        <w:t>Acceso indi</w:t>
      </w:r>
      <w:r w:rsidR="00F67EAF">
        <w:t>recto nacional con calidad VoIP;</w:t>
      </w:r>
    </w:p>
    <w:p w:rsidR="00C207B9" w:rsidRDefault="00C207B9" w:rsidP="00C207B9">
      <w:pPr>
        <w:pStyle w:val="ParaBullet1"/>
      </w:pPr>
      <w:r>
        <w:t>Acceso indi</w:t>
      </w:r>
      <w:r w:rsidR="00F67EAF">
        <w:t>recto regional con calidad VoIP;</w:t>
      </w:r>
    </w:p>
    <w:p w:rsidR="00C207B9" w:rsidRDefault="00C207B9" w:rsidP="00C207B9">
      <w:pPr>
        <w:pStyle w:val="ParaBullet1"/>
      </w:pPr>
      <w:r>
        <w:t>Acceso i</w:t>
      </w:r>
      <w:r w:rsidR="00F67EAF">
        <w:t>ndirecto local con calidad VoIP</w:t>
      </w:r>
      <w:r w:rsidR="003D73B9">
        <w:t>; y</w:t>
      </w:r>
    </w:p>
    <w:p w:rsidR="00C207B9" w:rsidRDefault="00C207B9" w:rsidP="00C207B9">
      <w:pPr>
        <w:pStyle w:val="ParaBullet1"/>
      </w:pPr>
      <w:r>
        <w:t xml:space="preserve">Acceso al bucle local </w:t>
      </w:r>
      <w:r w:rsidR="007332C6">
        <w:t xml:space="preserve">totalmente </w:t>
      </w:r>
      <w:r>
        <w:t xml:space="preserve">desagregado. </w:t>
      </w:r>
    </w:p>
    <w:p w:rsidR="00C207B9" w:rsidRDefault="00CF1603" w:rsidP="00E42C73">
      <w:r>
        <w:t xml:space="preserve">El margen se estima como </w:t>
      </w:r>
      <w:r w:rsidR="00C207B9">
        <w:t>la diferencia</w:t>
      </w:r>
      <w:r w:rsidR="00F7201D">
        <w:t xml:space="preserve"> </w:t>
      </w:r>
      <w:r w:rsidR="00C207B9">
        <w:t xml:space="preserve">entre los ingresos y los costos asociados a la provisión de la oferta. </w:t>
      </w:r>
    </w:p>
    <w:p w:rsidR="00C8183A" w:rsidRDefault="00C207B9" w:rsidP="00EC1510">
      <w:pPr>
        <w:pStyle w:val="ParaBullet1"/>
      </w:pPr>
      <w:r>
        <w:t>L</w:t>
      </w:r>
      <w:r w:rsidR="00CF1603">
        <w:t xml:space="preserve">os ingresos </w:t>
      </w:r>
      <w:r w:rsidR="00027018">
        <w:t xml:space="preserve">previstos </w:t>
      </w:r>
      <w:r>
        <w:t>se estiman a partir de la información provista por el AEP sobre precios, usuarios y uso</w:t>
      </w:r>
      <w:r w:rsidR="00C8183A">
        <w:t>.</w:t>
      </w:r>
    </w:p>
    <w:p w:rsidR="00F7201D" w:rsidRDefault="00F7201D" w:rsidP="00EC1510">
      <w:pPr>
        <w:pStyle w:val="ParaBullet1"/>
      </w:pPr>
      <w:r>
        <w:t xml:space="preserve">Los costos </w:t>
      </w:r>
      <w:r w:rsidR="00C207B9">
        <w:t>se componen de las siguientes categorías</w:t>
      </w:r>
      <w:r>
        <w:t>:</w:t>
      </w:r>
    </w:p>
    <w:p w:rsidR="00F7201D" w:rsidRDefault="00F7201D" w:rsidP="00054812">
      <w:pPr>
        <w:pStyle w:val="ParaBullet2"/>
      </w:pPr>
      <w:r>
        <w:t>L</w:t>
      </w:r>
      <w:r w:rsidR="00CF1603">
        <w:t>os pagos mayoristas asociados a</w:t>
      </w:r>
      <w:r w:rsidR="00027018">
        <w:t xml:space="preserve"> </w:t>
      </w:r>
      <w:r w:rsidR="00CF1603">
        <w:t>l</w:t>
      </w:r>
      <w:r w:rsidR="00027018">
        <w:t>as diferentes m</w:t>
      </w:r>
      <w:r>
        <w:t>odalidades de acceso mayorista</w:t>
      </w:r>
      <w:r w:rsidR="00F67EAF">
        <w:t>;</w:t>
      </w:r>
    </w:p>
    <w:p w:rsidR="00F7201D" w:rsidRDefault="00F7201D" w:rsidP="00054812">
      <w:pPr>
        <w:pStyle w:val="ParaBullet2"/>
      </w:pPr>
      <w:r>
        <w:t>L</w:t>
      </w:r>
      <w:r w:rsidR="00027018">
        <w:t>os costos de red ajustados por la es</w:t>
      </w:r>
      <w:r>
        <w:t>cala del operador alternativo para cada modalidad del servicio mayorista</w:t>
      </w:r>
      <w:r w:rsidR="003D73B9">
        <w:t>; y</w:t>
      </w:r>
      <w:r w:rsidR="00EC1510">
        <w:t xml:space="preserve"> </w:t>
      </w:r>
    </w:p>
    <w:p w:rsidR="00CF1603" w:rsidRDefault="00F7201D" w:rsidP="00054812">
      <w:pPr>
        <w:pStyle w:val="ParaBullet2"/>
      </w:pPr>
      <w:r>
        <w:lastRenderedPageBreak/>
        <w:t>L</w:t>
      </w:r>
      <w:r w:rsidR="00CF1603">
        <w:t xml:space="preserve">os costos minoristas que conlleva la comercialización minorista de los servicios. </w:t>
      </w:r>
    </w:p>
    <w:p w:rsidR="00F57926" w:rsidRDefault="00E45B9D" w:rsidP="00E42C73">
      <w:r>
        <w:t>Si el margen es positivo, el modelo indica la replicabilidad de la oferta analizada. A continuación</w:t>
      </w:r>
      <w:r w:rsidR="00BA3AD8">
        <w:t>,</w:t>
      </w:r>
      <w:r>
        <w:t xml:space="preserve"> se presenta una guía de apoyo par</w:t>
      </w:r>
      <w:r w:rsidR="00610B0F">
        <w:t xml:space="preserve">a los diferentes bloques del modelo: Resultados, Cálculos, Requerimiento de información y Supuestos. </w:t>
      </w:r>
      <w:r>
        <w:t xml:space="preserve"> </w:t>
      </w:r>
    </w:p>
    <w:p w:rsidR="005464B3" w:rsidRDefault="005464B3" w:rsidP="00E42C73">
      <w:r>
        <w:t xml:space="preserve">Las figuras a continuación muestran la estructura de </w:t>
      </w:r>
      <w:r w:rsidR="00EC1510">
        <w:t>los modelos para el análisis in</w:t>
      </w:r>
      <w:r>
        <w:t xml:space="preserve">dividual y agregado de las ofertas de banda ancha. </w:t>
      </w:r>
    </w:p>
    <w:tbl>
      <w:tblPr>
        <w:tblW w:w="7940" w:type="dxa"/>
        <w:tblLayout w:type="fixed"/>
        <w:tblCellMar>
          <w:left w:w="0" w:type="dxa"/>
          <w:right w:w="0" w:type="dxa"/>
        </w:tblCellMar>
        <w:tblLook w:val="04A0" w:firstRow="1" w:lastRow="0" w:firstColumn="1" w:lastColumn="0" w:noHBand="0" w:noVBand="1"/>
      </w:tblPr>
      <w:tblGrid>
        <w:gridCol w:w="7940"/>
      </w:tblGrid>
      <w:tr w:rsidR="005464B3" w:rsidTr="00054812">
        <w:tc>
          <w:tcPr>
            <w:tcW w:w="5000" w:type="pct"/>
            <w:noWrap/>
          </w:tcPr>
          <w:p w:rsidR="005464B3" w:rsidRPr="00F52EB6" w:rsidRDefault="005464B3" w:rsidP="005464B3">
            <w:pPr>
              <w:pStyle w:val="Descripcin"/>
            </w:pPr>
            <w:r>
              <w:t xml:space="preserve">Figura </w:t>
            </w:r>
            <w:r>
              <w:fldChar w:fldCharType="begin"/>
            </w:r>
            <w:r>
              <w:instrText xml:space="preserve"> SEQ Figura </w:instrText>
            </w:r>
            <w:r>
              <w:fldChar w:fldCharType="separate"/>
            </w:r>
            <w:r w:rsidR="00EF7AFF">
              <w:rPr>
                <w:noProof/>
              </w:rPr>
              <w:t>2</w:t>
            </w:r>
            <w:r>
              <w:rPr>
                <w:noProof/>
              </w:rPr>
              <w:fldChar w:fldCharType="end"/>
            </w:r>
            <w:r>
              <w:tab/>
              <w:t>Estructura del modelo para el análisis individual de las ofertas de banda ancha</w:t>
            </w:r>
          </w:p>
        </w:tc>
      </w:tr>
      <w:tr w:rsidR="005464B3" w:rsidRPr="005464B3" w:rsidTr="00054812">
        <w:tc>
          <w:tcPr>
            <w:tcW w:w="5000" w:type="pct"/>
            <w:noWrap/>
          </w:tcPr>
          <w:p w:rsidR="005464B3" w:rsidRPr="00DB6BB4" w:rsidRDefault="001A5BEA" w:rsidP="0055405C">
            <w:pPr>
              <w:pStyle w:val="GraphicLeft"/>
              <w:keepNext/>
            </w:pPr>
            <w:r>
              <w:rPr>
                <w:noProof/>
                <w:lang w:val="es-MX" w:eastAsia="es-MX"/>
              </w:rPr>
              <w:drawing>
                <wp:inline distT="0" distB="0" distL="0" distR="0" wp14:anchorId="58C55A3B" wp14:editId="26235EC7">
                  <wp:extent cx="5943600" cy="30289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3028950"/>
                          </a:xfrm>
                          <a:prstGeom prst="rect">
                            <a:avLst/>
                          </a:prstGeom>
                        </pic:spPr>
                      </pic:pic>
                    </a:graphicData>
                  </a:graphic>
                </wp:inline>
              </w:drawing>
            </w:r>
          </w:p>
        </w:tc>
      </w:tr>
      <w:tr w:rsidR="005464B3" w:rsidRPr="005464B3" w:rsidTr="00054812">
        <w:tc>
          <w:tcPr>
            <w:tcW w:w="5000" w:type="pct"/>
            <w:noWrap/>
          </w:tcPr>
          <w:p w:rsidR="001A5BEA" w:rsidRPr="001A5BEA" w:rsidRDefault="005464B3" w:rsidP="009811A8">
            <w:pPr>
              <w:pStyle w:val="Source"/>
            </w:pPr>
            <w:r w:rsidRPr="00A0617A">
              <w:lastRenderedPageBreak/>
              <w:t>Fuente:</w:t>
            </w:r>
            <w:r w:rsidRPr="00A0617A">
              <w:tab/>
            </w:r>
            <w:r w:rsidR="009811A8" w:rsidRPr="00857EC0">
              <w:t>Prueba de Replica</w:t>
            </w:r>
            <w:r w:rsidR="009811A8">
              <w:t>bilidad Banda Ancha INDIVIDUAL.</w:t>
            </w:r>
            <w:r w:rsidRPr="00A0617A">
              <w:tab/>
            </w:r>
          </w:p>
        </w:tc>
      </w:tr>
    </w:tbl>
    <w:p w:rsidR="005464B3" w:rsidRDefault="005464B3" w:rsidP="005464B3"/>
    <w:tbl>
      <w:tblPr>
        <w:tblW w:w="7940" w:type="dxa"/>
        <w:tblLayout w:type="fixed"/>
        <w:tblCellMar>
          <w:left w:w="0" w:type="dxa"/>
          <w:right w:w="0" w:type="dxa"/>
        </w:tblCellMar>
        <w:tblLook w:val="04A0" w:firstRow="1" w:lastRow="0" w:firstColumn="1" w:lastColumn="0" w:noHBand="0" w:noVBand="1"/>
      </w:tblPr>
      <w:tblGrid>
        <w:gridCol w:w="7940"/>
      </w:tblGrid>
      <w:tr w:rsidR="005464B3" w:rsidTr="00054812">
        <w:tc>
          <w:tcPr>
            <w:tcW w:w="5000" w:type="pct"/>
            <w:noWrap/>
          </w:tcPr>
          <w:p w:rsidR="005464B3" w:rsidRPr="00F52EB6" w:rsidRDefault="005464B3" w:rsidP="005464B3">
            <w:pPr>
              <w:pStyle w:val="Descripcin"/>
            </w:pPr>
            <w:r>
              <w:t xml:space="preserve">Figura </w:t>
            </w:r>
            <w:r>
              <w:fldChar w:fldCharType="begin"/>
            </w:r>
            <w:r>
              <w:instrText xml:space="preserve"> SEQ Figura </w:instrText>
            </w:r>
            <w:r>
              <w:fldChar w:fldCharType="separate"/>
            </w:r>
            <w:r w:rsidR="00EF7AFF">
              <w:rPr>
                <w:noProof/>
              </w:rPr>
              <w:t>3</w:t>
            </w:r>
            <w:r>
              <w:rPr>
                <w:noProof/>
              </w:rPr>
              <w:fldChar w:fldCharType="end"/>
            </w:r>
            <w:r>
              <w:tab/>
              <w:t>Estructura del modelo para el análisis agregado de las ofertas de banda ancha</w:t>
            </w:r>
          </w:p>
        </w:tc>
      </w:tr>
      <w:tr w:rsidR="005464B3" w:rsidRPr="005464B3" w:rsidTr="00054812">
        <w:tc>
          <w:tcPr>
            <w:tcW w:w="5000" w:type="pct"/>
            <w:noWrap/>
          </w:tcPr>
          <w:p w:rsidR="005464B3" w:rsidRPr="00054812" w:rsidRDefault="00F67EAF" w:rsidP="0055405C">
            <w:pPr>
              <w:pStyle w:val="GraphicLeft"/>
              <w:keepNext/>
              <w:rPr>
                <w:lang w:val="en-GB"/>
              </w:rPr>
            </w:pPr>
            <w:r>
              <w:rPr>
                <w:noProof/>
                <w:lang w:val="es-MX" w:eastAsia="es-MX"/>
              </w:rPr>
              <w:drawing>
                <wp:inline distT="0" distB="0" distL="0" distR="0" wp14:anchorId="35F7CDDD" wp14:editId="7EA15B64">
                  <wp:extent cx="5041900" cy="1606550"/>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41900" cy="1606550"/>
                          </a:xfrm>
                          <a:prstGeom prst="rect">
                            <a:avLst/>
                          </a:prstGeom>
                        </pic:spPr>
                      </pic:pic>
                    </a:graphicData>
                  </a:graphic>
                </wp:inline>
              </w:drawing>
            </w:r>
          </w:p>
        </w:tc>
      </w:tr>
      <w:tr w:rsidR="005464B3" w:rsidRPr="005464B3" w:rsidTr="00054812">
        <w:tc>
          <w:tcPr>
            <w:tcW w:w="5000" w:type="pct"/>
            <w:noWrap/>
          </w:tcPr>
          <w:p w:rsidR="005464B3" w:rsidRPr="00A0617A" w:rsidRDefault="005464B3" w:rsidP="005464B3">
            <w:pPr>
              <w:pStyle w:val="Source"/>
            </w:pPr>
            <w:r w:rsidRPr="00A0617A">
              <w:t>Fuente:</w:t>
            </w:r>
            <w:r w:rsidRPr="00A0617A">
              <w:tab/>
            </w:r>
            <w:r w:rsidR="009811A8" w:rsidRPr="00857EC0">
              <w:t>Prueba de Replica</w:t>
            </w:r>
            <w:r w:rsidR="009811A8">
              <w:t>bilidad Banda Ancha</w:t>
            </w:r>
            <w:r w:rsidR="00F67EAF">
              <w:t xml:space="preserve"> INDIVIDUAL y </w:t>
            </w:r>
            <w:r w:rsidR="009811A8">
              <w:t>AGREGADO.</w:t>
            </w:r>
          </w:p>
          <w:p w:rsidR="005464B3" w:rsidRPr="005464B3" w:rsidRDefault="005464B3" w:rsidP="005464B3">
            <w:pPr>
              <w:pStyle w:val="Source"/>
            </w:pPr>
          </w:p>
        </w:tc>
      </w:tr>
    </w:tbl>
    <w:p w:rsidR="005464B3" w:rsidRPr="005464B3" w:rsidRDefault="005464B3" w:rsidP="005464B3"/>
    <w:p w:rsidR="002344E0" w:rsidRDefault="009811A8" w:rsidP="000F6134">
      <w:pPr>
        <w:pStyle w:val="Ttulo2"/>
      </w:pPr>
      <w:bookmarkStart w:id="19" w:name="_Toc485157528"/>
      <w:r>
        <w:t>Módulo de r</w:t>
      </w:r>
      <w:r w:rsidR="000F6134">
        <w:t>esultados</w:t>
      </w:r>
      <w:bookmarkEnd w:id="19"/>
    </w:p>
    <w:p w:rsidR="00027018" w:rsidRDefault="00B37458" w:rsidP="00027018">
      <w:pPr>
        <w:pStyle w:val="Ttulo4"/>
      </w:pPr>
      <w:r>
        <w:t xml:space="preserve">Prueba </w:t>
      </w:r>
      <w:r w:rsidR="000040E0">
        <w:t>individual</w:t>
      </w:r>
    </w:p>
    <w:p w:rsidR="000040E0" w:rsidRDefault="00027018" w:rsidP="00027018">
      <w:r>
        <w:t>El modelo presenta los resultados de la oferta en la hoja “Resultados (Individual)”.</w:t>
      </w:r>
      <w:r w:rsidR="002A5B39">
        <w:t xml:space="preserve"> Esta hoja muestra la obtención del margen por usuario </w:t>
      </w:r>
      <w:r w:rsidR="002772E2">
        <w:t>como porcentaje de los ingresos</w:t>
      </w:r>
      <w:r w:rsidR="002A5B39">
        <w:t xml:space="preserve"> </w:t>
      </w:r>
      <w:r w:rsidR="000040E0">
        <w:t>a partir de:</w:t>
      </w:r>
    </w:p>
    <w:p w:rsidR="000040E0" w:rsidRDefault="000040E0" w:rsidP="000040E0">
      <w:pPr>
        <w:pStyle w:val="ParaBullet1"/>
      </w:pPr>
      <w:r>
        <w:t xml:space="preserve">Los ingresos </w:t>
      </w:r>
      <w:r w:rsidR="00B34E8B">
        <w:t xml:space="preserve">por usuario </w:t>
      </w:r>
      <w:r>
        <w:t>de la oferta previstos durante el período.</w:t>
      </w:r>
    </w:p>
    <w:p w:rsidR="000040E0" w:rsidRDefault="000040E0" w:rsidP="000040E0">
      <w:pPr>
        <w:pStyle w:val="ParaBullet1"/>
      </w:pPr>
      <w:r>
        <w:lastRenderedPageBreak/>
        <w:t xml:space="preserve">Los pagos mayoristas </w:t>
      </w:r>
      <w:r w:rsidR="00B34E8B">
        <w:t xml:space="preserve">por usuario </w:t>
      </w:r>
      <w:r>
        <w:t xml:space="preserve">asociados a la modalidad mayorista escogida y al número de clientes promedio por central del operador alternativo. </w:t>
      </w:r>
    </w:p>
    <w:p w:rsidR="000040E0" w:rsidRDefault="000040E0" w:rsidP="000040E0">
      <w:pPr>
        <w:pStyle w:val="ParaBullet1"/>
      </w:pPr>
      <w:r>
        <w:t xml:space="preserve">Los costos de red </w:t>
      </w:r>
      <w:r w:rsidR="00B34E8B">
        <w:t xml:space="preserve">por usuario </w:t>
      </w:r>
      <w:r>
        <w:t>asociados a la oferta teniendo en cuenta la modalidad de acceso mayorista escogida.</w:t>
      </w:r>
    </w:p>
    <w:p w:rsidR="000040E0" w:rsidRDefault="000040E0" w:rsidP="000040E0">
      <w:pPr>
        <w:pStyle w:val="ParaBullet1"/>
      </w:pPr>
      <w:r>
        <w:t xml:space="preserve">Los costos minoristas </w:t>
      </w:r>
      <w:r w:rsidR="00B34E8B">
        <w:t xml:space="preserve">por usuario </w:t>
      </w:r>
      <w:r>
        <w:t>asociados a la comercialización de la oferta que han sido asignados a la oferta.</w:t>
      </w:r>
    </w:p>
    <w:p w:rsidR="002772E2" w:rsidRDefault="002772E2" w:rsidP="00054812">
      <w:r>
        <w:t xml:space="preserve">Al tratarse de un modelo de flujos de caja descontados los márgenes están expresados en términos del VPN. </w:t>
      </w:r>
    </w:p>
    <w:p w:rsidR="000040E0" w:rsidRDefault="00B37458" w:rsidP="000040E0">
      <w:pPr>
        <w:pStyle w:val="Ttulo4"/>
      </w:pPr>
      <w:r>
        <w:t xml:space="preserve">Prueba </w:t>
      </w:r>
      <w:r w:rsidR="00B448F3">
        <w:t>agregad</w:t>
      </w:r>
      <w:r>
        <w:t>a</w:t>
      </w:r>
    </w:p>
    <w:p w:rsidR="00B34E8B" w:rsidRDefault="000040E0" w:rsidP="000040E0">
      <w:r>
        <w:t>El modelo muestra los resultados de</w:t>
      </w:r>
      <w:r w:rsidR="00B37458">
        <w:t xml:space="preserve"> la prueba </w:t>
      </w:r>
      <w:r>
        <w:t>agregad</w:t>
      </w:r>
      <w:r w:rsidR="00B37458">
        <w:t>a</w:t>
      </w:r>
      <w:r>
        <w:t xml:space="preserve"> en la hoja “Resultados”. Como en el caso de</w:t>
      </w:r>
      <w:r w:rsidR="00B37458">
        <w:t xml:space="preserve"> la prueba </w:t>
      </w:r>
      <w:r w:rsidR="00B34E8B">
        <w:t>individual, el margen se obtiene a partir de los ingresos, los pagos mayoristas, los costos de red, y los costos minoristas de cada oferta que forma parte de</w:t>
      </w:r>
      <w:r w:rsidR="00B37458">
        <w:t xml:space="preserve"> la prueba </w:t>
      </w:r>
      <w:r w:rsidR="00B448F3">
        <w:t>agregad</w:t>
      </w:r>
      <w:r w:rsidR="00B37458">
        <w:t>a</w:t>
      </w:r>
      <w:r w:rsidR="00B34E8B">
        <w:t>.</w:t>
      </w:r>
      <w:r w:rsidR="00B448F3">
        <w:t xml:space="preserve"> Para la realización de</w:t>
      </w:r>
      <w:r w:rsidR="00B0280B">
        <w:t xml:space="preserve"> est</w:t>
      </w:r>
      <w:r w:rsidR="00B37458">
        <w:t>a prueba</w:t>
      </w:r>
      <w:r w:rsidR="00B0280B">
        <w:t xml:space="preserve">, </w:t>
      </w:r>
      <w:r w:rsidR="002772E2">
        <w:t>el margen de cada oferta</w:t>
      </w:r>
      <w:r w:rsidR="00B0280B">
        <w:t xml:space="preserve"> se pondera por el número de suscriptores</w:t>
      </w:r>
      <w:r w:rsidR="002772E2">
        <w:t xml:space="preserve"> para así obtener un margen agregado</w:t>
      </w:r>
      <w:r w:rsidR="00B0280B">
        <w:t>.</w:t>
      </w:r>
      <w:r w:rsidR="00B34E8B">
        <w:t xml:space="preserve"> </w:t>
      </w:r>
    </w:p>
    <w:p w:rsidR="00B448F3" w:rsidRDefault="00B448F3" w:rsidP="000040E0">
      <w:r>
        <w:t>Los insumos para llevar a cabo</w:t>
      </w:r>
      <w:r w:rsidR="00B37458">
        <w:t xml:space="preserve"> la prueba </w:t>
      </w:r>
      <w:r>
        <w:t>agregad</w:t>
      </w:r>
      <w:r w:rsidR="00B37458">
        <w:t>a</w:t>
      </w:r>
      <w:r>
        <w:t xml:space="preserve"> se encuentran en la hoja “Resultados (Agregado)” del modelo relativo a</w:t>
      </w:r>
      <w:r w:rsidR="00B37458">
        <w:t xml:space="preserve"> la prueba </w:t>
      </w:r>
      <w:r>
        <w:t>individual. Esta información deberá traslada</w:t>
      </w:r>
      <w:r w:rsidR="00353A61">
        <w:t>rse al modelo de</w:t>
      </w:r>
      <w:r w:rsidR="00894779">
        <w:t xml:space="preserve"> la prueba</w:t>
      </w:r>
      <w:r w:rsidR="001A5BEA">
        <w:t xml:space="preserve"> </w:t>
      </w:r>
      <w:r w:rsidR="00353A61">
        <w:t>agregad</w:t>
      </w:r>
      <w:r w:rsidR="00894779">
        <w:t>a</w:t>
      </w:r>
      <w:r w:rsidR="00353A61">
        <w:t>, tal y como muestra la siguiente figura.</w:t>
      </w:r>
    </w:p>
    <w:tbl>
      <w:tblPr>
        <w:tblW w:w="7940" w:type="dxa"/>
        <w:tblLayout w:type="fixed"/>
        <w:tblCellMar>
          <w:left w:w="0" w:type="dxa"/>
          <w:right w:w="0" w:type="dxa"/>
        </w:tblCellMar>
        <w:tblLook w:val="04A0" w:firstRow="1" w:lastRow="0" w:firstColumn="1" w:lastColumn="0" w:noHBand="0" w:noVBand="1"/>
      </w:tblPr>
      <w:tblGrid>
        <w:gridCol w:w="7940"/>
      </w:tblGrid>
      <w:tr w:rsidR="00B448F3" w:rsidTr="00B448F3">
        <w:tc>
          <w:tcPr>
            <w:tcW w:w="5000" w:type="pct"/>
            <w:noWrap/>
          </w:tcPr>
          <w:p w:rsidR="0018228C" w:rsidRPr="0018228C" w:rsidRDefault="00B448F3" w:rsidP="0018228C">
            <w:pPr>
              <w:pStyle w:val="Descripcin"/>
            </w:pPr>
            <w:r>
              <w:lastRenderedPageBreak/>
              <w:t xml:space="preserve">Figura </w:t>
            </w:r>
            <w:r>
              <w:fldChar w:fldCharType="begin"/>
            </w:r>
            <w:r>
              <w:instrText xml:space="preserve"> SEQ Figura </w:instrText>
            </w:r>
            <w:r>
              <w:fldChar w:fldCharType="separate"/>
            </w:r>
            <w:r w:rsidR="00EF7AFF">
              <w:rPr>
                <w:noProof/>
              </w:rPr>
              <w:t>4</w:t>
            </w:r>
            <w:r>
              <w:rPr>
                <w:noProof/>
              </w:rPr>
              <w:fldChar w:fldCharType="end"/>
            </w:r>
            <w:r>
              <w:tab/>
            </w:r>
            <w:r w:rsidR="00E45B9D">
              <w:t>Incorporación de la información de</w:t>
            </w:r>
            <w:r w:rsidR="00CA78EB">
              <w:t xml:space="preserve"> la prueba </w:t>
            </w:r>
            <w:r w:rsidR="00E45B9D">
              <w:t>individual a</w:t>
            </w:r>
            <w:r w:rsidR="00894779">
              <w:t xml:space="preserve"> la prueba </w:t>
            </w:r>
            <w:r w:rsidR="00E45B9D">
              <w:t>agregad</w:t>
            </w:r>
            <w:r w:rsidR="00894779">
              <w:t>a</w:t>
            </w:r>
          </w:p>
          <w:p w:rsidR="008D5D8C" w:rsidRDefault="008D5D8C" w:rsidP="001E2268">
            <w:pPr>
              <w:rPr>
                <w:noProof/>
                <w:lang w:val="es-MX" w:eastAsia="es-MX"/>
              </w:rPr>
            </w:pPr>
          </w:p>
          <w:p w:rsidR="00CA78EB" w:rsidRPr="00CA78EB" w:rsidRDefault="008D5D8C" w:rsidP="001E2268">
            <w:r>
              <w:rPr>
                <w:noProof/>
                <w:lang w:val="es-MX" w:eastAsia="es-MX"/>
              </w:rPr>
              <w:drawing>
                <wp:inline distT="0" distB="0" distL="0" distR="0" wp14:anchorId="0F3C0FCE" wp14:editId="0E370AB6">
                  <wp:extent cx="5041900" cy="741600"/>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23718"/>
                          <a:stretch/>
                        </pic:blipFill>
                        <pic:spPr bwMode="auto">
                          <a:xfrm>
                            <a:off x="0" y="0"/>
                            <a:ext cx="5041900" cy="741600"/>
                          </a:xfrm>
                          <a:prstGeom prst="rect">
                            <a:avLst/>
                          </a:prstGeom>
                          <a:ln>
                            <a:noFill/>
                          </a:ln>
                          <a:extLst>
                            <a:ext uri="{53640926-AAD7-44D8-BBD7-CCE9431645EC}">
                              <a14:shadowObscured xmlns:a14="http://schemas.microsoft.com/office/drawing/2010/main"/>
                            </a:ext>
                          </a:extLst>
                        </pic:spPr>
                      </pic:pic>
                    </a:graphicData>
                  </a:graphic>
                </wp:inline>
              </w:drawing>
            </w:r>
          </w:p>
        </w:tc>
      </w:tr>
      <w:tr w:rsidR="00B448F3" w:rsidTr="00B448F3">
        <w:tc>
          <w:tcPr>
            <w:tcW w:w="5000" w:type="pct"/>
            <w:noWrap/>
          </w:tcPr>
          <w:p w:rsidR="00CA78EB" w:rsidRDefault="00AB3407" w:rsidP="00B52EB4">
            <w:pPr>
              <w:pStyle w:val="GraphicLeft"/>
              <w:keepNext/>
            </w:pPr>
            <w:r>
              <w:rPr>
                <w:noProof/>
                <w:lang w:val="es-MX" w:eastAsia="es-MX"/>
              </w:rPr>
              <w:drawing>
                <wp:inline distT="0" distB="0" distL="0" distR="0" wp14:anchorId="70A2966C" wp14:editId="287190D1">
                  <wp:extent cx="5067300" cy="230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37451" b="34578"/>
                          <a:stretch/>
                        </pic:blipFill>
                        <pic:spPr bwMode="auto">
                          <a:xfrm>
                            <a:off x="0" y="0"/>
                            <a:ext cx="5463082" cy="248395"/>
                          </a:xfrm>
                          <a:prstGeom prst="rect">
                            <a:avLst/>
                          </a:prstGeom>
                          <a:noFill/>
                          <a:ln>
                            <a:noFill/>
                          </a:ln>
                          <a:extLst>
                            <a:ext uri="{53640926-AAD7-44D8-BBD7-CCE9431645EC}">
                              <a14:shadowObscured xmlns:a14="http://schemas.microsoft.com/office/drawing/2010/main"/>
                            </a:ext>
                          </a:extLst>
                        </pic:spPr>
                      </pic:pic>
                    </a:graphicData>
                  </a:graphic>
                </wp:inline>
              </w:drawing>
            </w:r>
          </w:p>
          <w:p w:rsidR="00B448F3" w:rsidRDefault="008D5D8C" w:rsidP="00B52EB4">
            <w:pPr>
              <w:pStyle w:val="GraphicLeft"/>
              <w:keepNext/>
            </w:pPr>
            <w:r>
              <w:rPr>
                <w:noProof/>
                <w:lang w:val="es-MX" w:eastAsia="es-MX"/>
              </w:rPr>
              <w:drawing>
                <wp:inline distT="0" distB="0" distL="0" distR="0" wp14:anchorId="27CD64D7" wp14:editId="0DA24774">
                  <wp:extent cx="5041900" cy="954405"/>
                  <wp:effectExtent l="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41900" cy="954405"/>
                          </a:xfrm>
                          <a:prstGeom prst="rect">
                            <a:avLst/>
                          </a:prstGeom>
                        </pic:spPr>
                      </pic:pic>
                    </a:graphicData>
                  </a:graphic>
                </wp:inline>
              </w:drawing>
            </w:r>
          </w:p>
        </w:tc>
      </w:tr>
      <w:tr w:rsidR="00B448F3" w:rsidTr="00B448F3">
        <w:tc>
          <w:tcPr>
            <w:tcW w:w="5000" w:type="pct"/>
            <w:noWrap/>
          </w:tcPr>
          <w:p w:rsidR="00B448F3" w:rsidRDefault="00B448F3" w:rsidP="00B52EB4">
            <w:pPr>
              <w:pStyle w:val="Source"/>
            </w:pPr>
            <w:r>
              <w:t>Fuente</w:t>
            </w:r>
            <w:r w:rsidRPr="007C15CB">
              <w:t>:</w:t>
            </w:r>
            <w:r w:rsidRPr="007C15CB">
              <w:tab/>
            </w:r>
            <w:r w:rsidR="00857EC0" w:rsidRPr="00857EC0">
              <w:t xml:space="preserve">Prueba de Replicabilidad Banda </w:t>
            </w:r>
            <w:r w:rsidR="00857EC0">
              <w:t>Ancha INDIVIDUAL</w:t>
            </w:r>
            <w:r w:rsidR="002772E2">
              <w:t xml:space="preserve"> </w:t>
            </w:r>
            <w:r w:rsidR="00BA3AD8">
              <w:t>y</w:t>
            </w:r>
            <w:r w:rsidR="00726A7C">
              <w:t xml:space="preserve"> Prueba de </w:t>
            </w:r>
            <w:r w:rsidR="00857EC0" w:rsidRPr="00857EC0">
              <w:t>Replica</w:t>
            </w:r>
            <w:r w:rsidR="00857EC0">
              <w:t>bilidad Banda Ancha AGREGADO</w:t>
            </w:r>
            <w:r w:rsidR="002772E2">
              <w:t>.</w:t>
            </w:r>
          </w:p>
          <w:p w:rsidR="00B448F3" w:rsidRPr="00F078BE" w:rsidRDefault="00B448F3" w:rsidP="00E45B9D">
            <w:pPr>
              <w:pStyle w:val="Source"/>
            </w:pPr>
            <w:r>
              <w:tab/>
            </w:r>
          </w:p>
        </w:tc>
      </w:tr>
    </w:tbl>
    <w:p w:rsidR="00FD7C9B" w:rsidRPr="000040E0" w:rsidRDefault="00B448F3" w:rsidP="000040E0">
      <w:r>
        <w:t xml:space="preserve"> </w:t>
      </w:r>
    </w:p>
    <w:p w:rsidR="000F6134" w:rsidRDefault="009811A8" w:rsidP="000F6134">
      <w:pPr>
        <w:pStyle w:val="Ttulo2"/>
      </w:pPr>
      <w:bookmarkStart w:id="20" w:name="_Toc485157529"/>
      <w:r>
        <w:t>Módulo de c</w:t>
      </w:r>
      <w:r w:rsidR="000F6134">
        <w:t>álculos</w:t>
      </w:r>
      <w:bookmarkEnd w:id="20"/>
    </w:p>
    <w:p w:rsidR="000F6134" w:rsidRDefault="000F6134" w:rsidP="000F6134">
      <w:pPr>
        <w:pStyle w:val="Ttulo3"/>
      </w:pPr>
      <w:r>
        <w:t>Ingresos</w:t>
      </w:r>
    </w:p>
    <w:p w:rsidR="00B34E8B" w:rsidRDefault="009378E8" w:rsidP="00B34E8B">
      <w:pPr>
        <w:pStyle w:val="Ttulo4"/>
      </w:pPr>
      <w:r>
        <w:t xml:space="preserve">Prueba </w:t>
      </w:r>
      <w:r w:rsidR="00B34E8B">
        <w:t>individual</w:t>
      </w:r>
    </w:p>
    <w:p w:rsidR="00537F9D" w:rsidRDefault="00B34E8B" w:rsidP="00B34E8B">
      <w:r>
        <w:t xml:space="preserve">El modelo obtiene el valor presente neto de los ingresos por usuario previstos del AEP asociados a la oferta durante el horizonte </w:t>
      </w:r>
      <w:r>
        <w:lastRenderedPageBreak/>
        <w:t xml:space="preserve">temporal </w:t>
      </w:r>
      <w:r w:rsidR="00353A61">
        <w:t>fijado</w:t>
      </w:r>
      <w:r>
        <w:t>.</w:t>
      </w:r>
      <w:r w:rsidR="00537F9D">
        <w:t xml:space="preserve"> Esta información se encuentra en la hoja “Resumen Ingresos”.</w:t>
      </w:r>
      <w:r>
        <w:t xml:space="preserve"> </w:t>
      </w:r>
    </w:p>
    <w:p w:rsidR="00B34E8B" w:rsidRDefault="00353A61" w:rsidP="00B34E8B">
      <w:r>
        <w:t>Los</w:t>
      </w:r>
      <w:r w:rsidR="00537F9D">
        <w:t xml:space="preserve"> ingresos pueden verse de manera desglosada en la hoja “Ingresos”. El desglose consiste en los siguientes componentes:</w:t>
      </w:r>
    </w:p>
    <w:p w:rsidR="00537F9D" w:rsidRDefault="00537F9D" w:rsidP="00537F9D">
      <w:pPr>
        <w:pStyle w:val="ParaBullet1"/>
      </w:pPr>
      <w:r>
        <w:t>Ingresos por usuario no recurrentes, tales como la cuota de instalación, la cuota de alta, aparatos y otros.</w:t>
      </w:r>
      <w:r w:rsidR="002D5E43">
        <w:t xml:space="preserve"> Estos ingresos se calculan a partir del requerimiento de información al AEP</w:t>
      </w:r>
      <w:r w:rsidR="00D11957">
        <w:t xml:space="preserve"> en la hoja “Info oferta y consumo”</w:t>
      </w:r>
      <w:r w:rsidR="00F67EAF">
        <w:t>;</w:t>
      </w:r>
    </w:p>
    <w:p w:rsidR="00537F9D" w:rsidRDefault="00537F9D" w:rsidP="00537F9D">
      <w:pPr>
        <w:pStyle w:val="ParaBullet1"/>
      </w:pPr>
      <w:r>
        <w:t xml:space="preserve">Ingresos por usuario recurrentes, tales como la renta mensual, el alquiler de equipos y otros (por ejemplo: ingresos asociados </w:t>
      </w:r>
      <w:r w:rsidR="00C63289">
        <w:t xml:space="preserve">al </w:t>
      </w:r>
      <w:r>
        <w:t xml:space="preserve">uso </w:t>
      </w:r>
      <w:r w:rsidR="00C63289">
        <w:t xml:space="preserve">del servicio </w:t>
      </w:r>
      <w:r>
        <w:t>Claro video).</w:t>
      </w:r>
      <w:r w:rsidR="002D5E43">
        <w:t xml:space="preserve"> Estos ingresos se calculan a partir del requerimiento de informaci</w:t>
      </w:r>
      <w:r w:rsidR="00D11957">
        <w:t xml:space="preserve">ón al AEP en la hoja </w:t>
      </w:r>
      <w:r w:rsidR="00C63289">
        <w:t>“Info oferta y consumo</w:t>
      </w:r>
      <w:r w:rsidR="007C1B68">
        <w:t>”</w:t>
      </w:r>
      <w:r w:rsidR="00F67EAF">
        <w:t>;</w:t>
      </w:r>
    </w:p>
    <w:p w:rsidR="00537F9D" w:rsidRDefault="002D5E43" w:rsidP="00537F9D">
      <w:pPr>
        <w:pStyle w:val="ParaBullet1"/>
      </w:pPr>
      <w:r>
        <w:t>Ingresos por usuario relativos a consumos fuera de la renta mensual, tales como llamadas y tráfico. Estos ingresos se calculan a partir del requerimiento de informaci</w:t>
      </w:r>
      <w:r w:rsidR="00D11957">
        <w:t xml:space="preserve">ón al AEP en la hoja </w:t>
      </w:r>
      <w:r w:rsidR="00F67EAF">
        <w:t>“Info oferta y consumo”</w:t>
      </w:r>
      <w:r w:rsidR="003D73B9">
        <w:t>; y</w:t>
      </w:r>
    </w:p>
    <w:p w:rsidR="00C70D19" w:rsidRDefault="002D5E43" w:rsidP="003D77C4">
      <w:pPr>
        <w:pStyle w:val="ParaBullet1"/>
      </w:pPr>
      <w:r>
        <w:t xml:space="preserve">Ingresos por usuario relativos a la terminación de llamadas en la red del AEP. </w:t>
      </w:r>
      <w:r w:rsidR="00C70D19">
        <w:t>Debido a que el AEP no tiene ingresos por terminación estos son considerados como “cero”.</w:t>
      </w:r>
    </w:p>
    <w:p w:rsidR="002D5E43" w:rsidRDefault="009378E8" w:rsidP="00D11957">
      <w:pPr>
        <w:pStyle w:val="Ttulo4"/>
      </w:pPr>
      <w:r>
        <w:lastRenderedPageBreak/>
        <w:t xml:space="preserve">Prueba </w:t>
      </w:r>
      <w:r w:rsidR="00D11957">
        <w:t>agregad</w:t>
      </w:r>
      <w:r>
        <w:t>a</w:t>
      </w:r>
    </w:p>
    <w:p w:rsidR="00B34E8B" w:rsidRPr="00B34E8B" w:rsidRDefault="00D11957" w:rsidP="00B34E8B">
      <w:r>
        <w:t>En</w:t>
      </w:r>
      <w:r w:rsidR="009378E8">
        <w:t xml:space="preserve"> la prueba </w:t>
      </w:r>
      <w:r>
        <w:t xml:space="preserve">agregado el modelo recoge el valor presente neto de los ingresos previstos de cada una de las ofertas consideradas. Esta </w:t>
      </w:r>
      <w:r w:rsidR="00BF162A">
        <w:t>información puede obtenerse en</w:t>
      </w:r>
      <w:r>
        <w:t xml:space="preserve"> la hoja “Resultados (Agregado)”</w:t>
      </w:r>
      <w:r w:rsidR="00BF162A">
        <w:t xml:space="preserve"> dentro de</w:t>
      </w:r>
      <w:r w:rsidR="009378E8" w:rsidRPr="009378E8">
        <w:t xml:space="preserve"> la prueba </w:t>
      </w:r>
      <w:r w:rsidR="00BF162A">
        <w:t>individual. Los ingresos se derivan con el mismo procedimiento que en el caso de</w:t>
      </w:r>
      <w:r w:rsidR="009378E8">
        <w:t xml:space="preserve"> la prueba </w:t>
      </w:r>
      <w:r w:rsidR="00BF162A">
        <w:t xml:space="preserve">individual. </w:t>
      </w:r>
      <w:r>
        <w:t xml:space="preserve"> </w:t>
      </w:r>
    </w:p>
    <w:p w:rsidR="000F6134" w:rsidRDefault="000F6134" w:rsidP="000F6134">
      <w:pPr>
        <w:pStyle w:val="Ttulo3"/>
      </w:pPr>
      <w:r>
        <w:t>Costos</w:t>
      </w:r>
    </w:p>
    <w:p w:rsidR="000F6134" w:rsidRDefault="000F6134" w:rsidP="000F6134">
      <w:pPr>
        <w:pStyle w:val="Ttulo4"/>
      </w:pPr>
      <w:r>
        <w:t>Pagos mayoristas</w:t>
      </w:r>
    </w:p>
    <w:p w:rsidR="00BF162A" w:rsidRDefault="00BF162A" w:rsidP="00BF162A">
      <w:r>
        <w:t>El modelo realiza</w:t>
      </w:r>
      <w:r w:rsidR="00374221">
        <w:t xml:space="preserve"> la prueba </w:t>
      </w:r>
      <w:r>
        <w:t>de replicabilidad económica para cada uno de los siguientes servicios mayoristas:</w:t>
      </w:r>
      <w:r w:rsidR="005E3432">
        <w:rPr>
          <w:rStyle w:val="Refdenotaalpie"/>
        </w:rPr>
        <w:footnoteReference w:id="6"/>
      </w:r>
    </w:p>
    <w:p w:rsidR="00BF162A" w:rsidRDefault="00C07D30" w:rsidP="00BF162A">
      <w:pPr>
        <w:pStyle w:val="ParaBullet1"/>
      </w:pPr>
      <w:r>
        <w:t xml:space="preserve">SAIB </w:t>
      </w:r>
      <w:r w:rsidR="00BF162A">
        <w:t>Nacional</w:t>
      </w:r>
      <w:r w:rsidR="00F67EAF">
        <w:t>;</w:t>
      </w:r>
    </w:p>
    <w:p w:rsidR="00BF162A" w:rsidRDefault="00C07D30" w:rsidP="00BF162A">
      <w:pPr>
        <w:pStyle w:val="ParaBullet1"/>
      </w:pPr>
      <w:r>
        <w:t>SAIB</w:t>
      </w:r>
      <w:r w:rsidR="00BF162A">
        <w:t xml:space="preserve"> Regional</w:t>
      </w:r>
      <w:r w:rsidR="00F67EAF">
        <w:t>;</w:t>
      </w:r>
    </w:p>
    <w:p w:rsidR="00BF162A" w:rsidRDefault="00C07D30" w:rsidP="00BF162A">
      <w:pPr>
        <w:pStyle w:val="ParaBullet1"/>
      </w:pPr>
      <w:r>
        <w:t>SAIB</w:t>
      </w:r>
      <w:r w:rsidR="00BF162A">
        <w:t xml:space="preserve"> Local</w:t>
      </w:r>
      <w:r w:rsidR="00F67EAF">
        <w:t>;</w:t>
      </w:r>
    </w:p>
    <w:p w:rsidR="00BF162A" w:rsidRDefault="00BF162A" w:rsidP="00BF162A">
      <w:pPr>
        <w:pStyle w:val="ParaBullet1"/>
      </w:pPr>
      <w:r>
        <w:t>Desagregación compartida del bucle de cobre</w:t>
      </w:r>
      <w:r w:rsidR="003D73B9">
        <w:t>; y</w:t>
      </w:r>
    </w:p>
    <w:p w:rsidR="00BF162A" w:rsidRDefault="00BF162A" w:rsidP="00BF162A">
      <w:pPr>
        <w:pStyle w:val="ParaBullet1"/>
      </w:pPr>
      <w:r>
        <w:t xml:space="preserve">Desagregación </w:t>
      </w:r>
      <w:r w:rsidR="0018228C">
        <w:t>total del</w:t>
      </w:r>
      <w:r>
        <w:t xml:space="preserve"> bucle de cobre</w:t>
      </w:r>
      <w:r w:rsidR="00F67EAF">
        <w:t>.</w:t>
      </w:r>
    </w:p>
    <w:p w:rsidR="008C2C1A" w:rsidRDefault="008C2C1A" w:rsidP="008C2C1A">
      <w:pPr>
        <w:pStyle w:val="ParaBullet1"/>
        <w:numPr>
          <w:ilvl w:val="0"/>
          <w:numId w:val="0"/>
        </w:numPr>
      </w:pPr>
      <w:r>
        <w:lastRenderedPageBreak/>
        <w:t>A la hora de realizar</w:t>
      </w:r>
      <w:r w:rsidR="009378E8" w:rsidRPr="009378E8">
        <w:t xml:space="preserve"> la prueba</w:t>
      </w:r>
      <w:r>
        <w:t xml:space="preserve">, la hoja “Resultados (Individual)” contiene una lista desplegable que permite la selección del servicio mayorista con el </w:t>
      </w:r>
      <w:r w:rsidR="00726A7C">
        <w:t>cual</w:t>
      </w:r>
      <w:r>
        <w:t xml:space="preserve"> </w:t>
      </w:r>
      <w:r w:rsidR="00726A7C">
        <w:t xml:space="preserve">se </w:t>
      </w:r>
      <w:r>
        <w:t>llevar</w:t>
      </w:r>
      <w:r w:rsidR="00726A7C">
        <w:t>á</w:t>
      </w:r>
      <w:r>
        <w:t xml:space="preserve"> a cabo</w:t>
      </w:r>
      <w:r w:rsidR="009378E8">
        <w:t xml:space="preserve"> la prueba</w:t>
      </w:r>
      <w:r w:rsidR="00DE3B85">
        <w:t xml:space="preserve"> (celda C</w:t>
      </w:r>
      <w:r w:rsidR="00726A7C">
        <w:t>3)</w:t>
      </w:r>
      <w:r>
        <w:t xml:space="preserve">. </w:t>
      </w:r>
    </w:p>
    <w:p w:rsidR="00BF162A" w:rsidRDefault="003934D6" w:rsidP="00465EC5">
      <w:pPr>
        <w:pStyle w:val="ParaBullet1"/>
        <w:numPr>
          <w:ilvl w:val="0"/>
          <w:numId w:val="0"/>
        </w:numPr>
      </w:pPr>
      <w:r>
        <w:t>E</w:t>
      </w:r>
      <w:r w:rsidR="00465EC5">
        <w:t xml:space="preserve">l modelo obtiene el valor presente neto de los costos mayoristas por usuario para cada uno de </w:t>
      </w:r>
      <w:r w:rsidR="008C2C1A">
        <w:t>los</w:t>
      </w:r>
      <w:r w:rsidR="00465EC5">
        <w:t xml:space="preserve"> servicios</w:t>
      </w:r>
      <w:r w:rsidR="008C2C1A">
        <w:t xml:space="preserve"> mencionados</w:t>
      </w:r>
      <w:r w:rsidR="00465EC5">
        <w:t>. Esta información puede verse en la hoja “Resumen pagos mayoristas”.</w:t>
      </w:r>
    </w:p>
    <w:tbl>
      <w:tblPr>
        <w:tblW w:w="7940" w:type="dxa"/>
        <w:tblLayout w:type="fixed"/>
        <w:tblCellMar>
          <w:left w:w="0" w:type="dxa"/>
          <w:right w:w="0" w:type="dxa"/>
        </w:tblCellMar>
        <w:tblLook w:val="04A0" w:firstRow="1" w:lastRow="0" w:firstColumn="1" w:lastColumn="0" w:noHBand="0" w:noVBand="1"/>
      </w:tblPr>
      <w:tblGrid>
        <w:gridCol w:w="7940"/>
      </w:tblGrid>
      <w:tr w:rsidR="00FD7C9B" w:rsidTr="00FD7C9B">
        <w:tc>
          <w:tcPr>
            <w:tcW w:w="5000" w:type="pct"/>
            <w:noWrap/>
          </w:tcPr>
          <w:p w:rsidR="00FD7C9B" w:rsidRPr="00F52EB6" w:rsidRDefault="00FD7C9B" w:rsidP="00FD7C9B">
            <w:pPr>
              <w:pStyle w:val="Descripcin"/>
            </w:pPr>
            <w:r>
              <w:t xml:space="preserve">Figura </w:t>
            </w:r>
            <w:r>
              <w:fldChar w:fldCharType="begin"/>
            </w:r>
            <w:r>
              <w:instrText xml:space="preserve"> SEQ Figura </w:instrText>
            </w:r>
            <w:r>
              <w:fldChar w:fldCharType="separate"/>
            </w:r>
            <w:r w:rsidR="00EF7AFF">
              <w:rPr>
                <w:noProof/>
              </w:rPr>
              <w:t>5</w:t>
            </w:r>
            <w:r>
              <w:rPr>
                <w:noProof/>
              </w:rPr>
              <w:fldChar w:fldCharType="end"/>
            </w:r>
            <w:r>
              <w:tab/>
              <w:t>Pagos mayoristas en función de la modalidad de acceso mayorista</w:t>
            </w:r>
          </w:p>
        </w:tc>
      </w:tr>
      <w:tr w:rsidR="00FD7C9B" w:rsidTr="00FD7C9B">
        <w:tc>
          <w:tcPr>
            <w:tcW w:w="5000" w:type="pct"/>
            <w:noWrap/>
          </w:tcPr>
          <w:p w:rsidR="00FD7C9B" w:rsidRDefault="008917F2" w:rsidP="00FD7C9B">
            <w:pPr>
              <w:pStyle w:val="GraphicLeft"/>
              <w:keepNext/>
            </w:pPr>
            <w:r>
              <w:rPr>
                <w:noProof/>
                <w:lang w:val="es-MX" w:eastAsia="es-MX"/>
              </w:rPr>
              <w:drawing>
                <wp:inline distT="0" distB="0" distL="0" distR="0" wp14:anchorId="259BDB39" wp14:editId="6735E861">
                  <wp:extent cx="2587548" cy="3824578"/>
                  <wp:effectExtent l="0" t="0" r="3810" b="508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588817" cy="3826454"/>
                          </a:xfrm>
                          <a:prstGeom prst="rect">
                            <a:avLst/>
                          </a:prstGeom>
                        </pic:spPr>
                      </pic:pic>
                    </a:graphicData>
                  </a:graphic>
                </wp:inline>
              </w:drawing>
            </w:r>
          </w:p>
        </w:tc>
      </w:tr>
      <w:tr w:rsidR="00FD7C9B" w:rsidTr="00FD7C9B">
        <w:tc>
          <w:tcPr>
            <w:tcW w:w="5000" w:type="pct"/>
            <w:noWrap/>
          </w:tcPr>
          <w:p w:rsidR="00FD7C9B" w:rsidRDefault="00FD7C9B" w:rsidP="00B52EB4">
            <w:pPr>
              <w:pStyle w:val="Source"/>
            </w:pPr>
            <w:r>
              <w:lastRenderedPageBreak/>
              <w:t>Fuente</w:t>
            </w:r>
            <w:r w:rsidRPr="007C15CB">
              <w:t>:</w:t>
            </w:r>
            <w:r w:rsidRPr="007C15CB">
              <w:tab/>
            </w:r>
            <w:r w:rsidR="003D77C4" w:rsidRPr="00857EC0">
              <w:t xml:space="preserve">Prueba de Replicabilidad Banda </w:t>
            </w:r>
            <w:r w:rsidR="003D77C4">
              <w:t>Ancha INDIVIDUAL.</w:t>
            </w:r>
          </w:p>
          <w:p w:rsidR="00FD7C9B" w:rsidRPr="00F078BE" w:rsidRDefault="00FD7C9B" w:rsidP="00FD7C9B">
            <w:pPr>
              <w:pStyle w:val="Source"/>
            </w:pPr>
            <w:r>
              <w:tab/>
            </w:r>
          </w:p>
        </w:tc>
      </w:tr>
    </w:tbl>
    <w:p w:rsidR="00465EC5" w:rsidRDefault="00465EC5" w:rsidP="00465EC5">
      <w:pPr>
        <w:pStyle w:val="ParaBullet1"/>
        <w:numPr>
          <w:ilvl w:val="0"/>
          <w:numId w:val="0"/>
        </w:numPr>
      </w:pPr>
      <w:r>
        <w:t xml:space="preserve">En relación a la </w:t>
      </w:r>
      <w:r w:rsidRPr="00B366F9">
        <w:rPr>
          <w:b/>
        </w:rPr>
        <w:t xml:space="preserve">desagregación </w:t>
      </w:r>
      <w:r w:rsidR="003D73B9">
        <w:rPr>
          <w:b/>
        </w:rPr>
        <w:t>total</w:t>
      </w:r>
      <w:r w:rsidRPr="00B366F9">
        <w:rPr>
          <w:b/>
        </w:rPr>
        <w:t xml:space="preserve"> y compartida del bucle</w:t>
      </w:r>
      <w:r>
        <w:t>, los costos se han construido en la hoja “Dim. Costos mayoristas cobre”. Estos costos se han calculado tenie</w:t>
      </w:r>
      <w:r w:rsidR="00882237">
        <w:t>ndo en cuenta el número de suscriptores a nivel de central</w:t>
      </w:r>
      <w:r w:rsidR="00D30EA1">
        <w:t xml:space="preserve"> del operador alternativo</w:t>
      </w:r>
      <w:r w:rsidR="003B773F">
        <w:rPr>
          <w:rStyle w:val="Refdenotaalpie"/>
        </w:rPr>
        <w:footnoteReference w:id="7"/>
      </w:r>
      <w:r w:rsidR="00882237">
        <w:t xml:space="preserve"> para tener en cuenta la presen</w:t>
      </w:r>
      <w:r w:rsidR="004A022A">
        <w:t>cia de economías de escala en diversos cobros del servicio de desagregación</w:t>
      </w:r>
      <w:r w:rsidR="00882237">
        <w:t>.</w:t>
      </w:r>
    </w:p>
    <w:p w:rsidR="00BC7BFE" w:rsidRDefault="00882237" w:rsidP="00465EC5">
      <w:pPr>
        <w:pStyle w:val="ParaBullet1"/>
        <w:numPr>
          <w:ilvl w:val="0"/>
          <w:numId w:val="0"/>
        </w:numPr>
      </w:pPr>
      <w:r>
        <w:t>Las diferente</w:t>
      </w:r>
      <w:r w:rsidR="006E6708">
        <w:t xml:space="preserve">s partidas </w:t>
      </w:r>
      <w:r w:rsidR="00BC7BFE">
        <w:t>de costos recurrentes y no recurrentes</w:t>
      </w:r>
      <w:r w:rsidR="006E6708">
        <w:t xml:space="preserve"> </w:t>
      </w:r>
      <w:r w:rsidR="00BC7BFE">
        <w:t>asociada</w:t>
      </w:r>
      <w:r w:rsidR="006E6708">
        <w:t>s al servicio de desagregaci</w:t>
      </w:r>
      <w:r w:rsidR="00BC7BFE">
        <w:t xml:space="preserve">ón </w:t>
      </w:r>
      <w:r w:rsidR="009E27FA">
        <w:t xml:space="preserve">que se han considerado </w:t>
      </w:r>
      <w:r w:rsidR="00BC7BFE">
        <w:t>son la</w:t>
      </w:r>
      <w:r w:rsidR="006E6708">
        <w:t>s siguientes</w:t>
      </w:r>
      <w:r w:rsidR="009E27FA">
        <w:rPr>
          <w:rStyle w:val="Refdenotaalpie"/>
        </w:rPr>
        <w:footnoteReference w:id="8"/>
      </w:r>
      <w:r w:rsidR="006E6708">
        <w:t>:</w:t>
      </w:r>
    </w:p>
    <w:p w:rsidR="00BC7BFE" w:rsidRDefault="00BC7BFE" w:rsidP="00BC7BFE">
      <w:pPr>
        <w:pStyle w:val="ParaBullet1"/>
      </w:pPr>
      <w:r w:rsidRPr="004A022A">
        <w:rPr>
          <w:i/>
        </w:rPr>
        <w:t>Servicio de desagregación total o compartida del bucle</w:t>
      </w:r>
      <w:r>
        <w:t xml:space="preserve">: pagos </w:t>
      </w:r>
      <w:r w:rsidR="004A022A">
        <w:t xml:space="preserve">no recurrentes </w:t>
      </w:r>
      <w:r>
        <w:t>por habilitaci</w:t>
      </w:r>
      <w:r w:rsidR="00F67EAF">
        <w:t>ón del servicio y renta mensual;</w:t>
      </w:r>
    </w:p>
    <w:p w:rsidR="009A3F63" w:rsidRDefault="00BC7BFE" w:rsidP="00BC7BFE">
      <w:pPr>
        <w:pStyle w:val="ParaBullet1"/>
      </w:pPr>
      <w:r w:rsidRPr="004A022A">
        <w:rPr>
          <w:i/>
        </w:rPr>
        <w:lastRenderedPageBreak/>
        <w:t>Servicio de coubicación para desagregaci</w:t>
      </w:r>
      <w:r w:rsidR="009E27FA" w:rsidRPr="004A022A">
        <w:rPr>
          <w:i/>
        </w:rPr>
        <w:t>ón</w:t>
      </w:r>
      <w:r w:rsidR="009E27FA">
        <w:t>:</w:t>
      </w:r>
      <w:r>
        <w:t xml:space="preserve"> </w:t>
      </w:r>
      <w:r w:rsidR="009E27FA">
        <w:t>p</w:t>
      </w:r>
      <w:r>
        <w:t>agos por g</w:t>
      </w:r>
      <w:r w:rsidR="009A3F63">
        <w:t>astos de instalació</w:t>
      </w:r>
      <w:r w:rsidRPr="00BC7BFE">
        <w:t xml:space="preserve">n </w:t>
      </w:r>
      <w:r w:rsidR="004A022A">
        <w:t xml:space="preserve">por </w:t>
      </w:r>
      <w:r w:rsidRPr="00BC7BFE">
        <w:t>coubicación</w:t>
      </w:r>
      <w:r>
        <w:t>, g</w:t>
      </w:r>
      <w:r w:rsidRPr="00BC7BFE">
        <w:t xml:space="preserve">astos </w:t>
      </w:r>
      <w:r w:rsidR="004A022A">
        <w:t xml:space="preserve">de la </w:t>
      </w:r>
      <w:r w:rsidRPr="00BC7BFE">
        <w:t xml:space="preserve">instalación </w:t>
      </w:r>
      <w:r w:rsidR="004A022A">
        <w:t xml:space="preserve">de </w:t>
      </w:r>
      <w:r w:rsidRPr="00BC7BFE">
        <w:t>metro lineal por escalerilla</w:t>
      </w:r>
      <w:r>
        <w:t xml:space="preserve">, renta mensual </w:t>
      </w:r>
      <w:r w:rsidR="004A022A">
        <w:t>de la co</w:t>
      </w:r>
      <w:r>
        <w:t xml:space="preserve">ubicación por </w:t>
      </w:r>
      <w:r w:rsidR="00553863">
        <w:t>metro cuadrado</w:t>
      </w:r>
      <w:r w:rsidR="009A3F63">
        <w:rPr>
          <w:rStyle w:val="Refdenotaalpie"/>
        </w:rPr>
        <w:footnoteReference w:id="9"/>
      </w:r>
      <w:r>
        <w:t xml:space="preserve"> y m</w:t>
      </w:r>
      <w:r w:rsidRPr="00BC7BFE">
        <w:t>etro lineal de escalerilla</w:t>
      </w:r>
      <w:r w:rsidR="003D73B9">
        <w:t>; y</w:t>
      </w:r>
    </w:p>
    <w:p w:rsidR="00BC7BFE" w:rsidRDefault="009E27FA" w:rsidP="009E27FA">
      <w:pPr>
        <w:pStyle w:val="ParaBullet1"/>
      </w:pPr>
      <w:r w:rsidRPr="004A022A">
        <w:rPr>
          <w:i/>
        </w:rPr>
        <w:t>Servicio auxiliar de cableado multipar</w:t>
      </w:r>
      <w:r>
        <w:t xml:space="preserve">: </w:t>
      </w:r>
      <w:r w:rsidR="004A022A">
        <w:t xml:space="preserve">pagos por cada </w:t>
      </w:r>
      <w:r>
        <w:t>t</w:t>
      </w:r>
      <w:r w:rsidRPr="009E27FA">
        <w:t>ablilla de 64 pu</w:t>
      </w:r>
      <w:r>
        <w:t>ertos y módulo Splitter VDSL 2, e</w:t>
      </w:r>
      <w:r w:rsidRPr="009E27FA">
        <w:t>scalerilla de aluminio de 6" a 8</w:t>
      </w:r>
      <w:r w:rsidR="004A022A">
        <w:t>" para cableado UTP y/o coaxial y metro lineal del</w:t>
      </w:r>
      <w:r w:rsidR="00B366F9">
        <w:t xml:space="preserve"> c</w:t>
      </w:r>
      <w:r w:rsidRPr="009E27FA">
        <w:t>ableado multipar de 70 pares con blindaje y estañado de línea</w:t>
      </w:r>
      <w:r w:rsidR="00F67EAF">
        <w:t>.</w:t>
      </w:r>
    </w:p>
    <w:p w:rsidR="00563FC0" w:rsidRDefault="00563FC0" w:rsidP="00BF162A">
      <w:pPr>
        <w:rPr>
          <w:rFonts w:eastAsia="Calibri"/>
        </w:rPr>
      </w:pPr>
      <w:r>
        <w:rPr>
          <w:rFonts w:eastAsia="Calibri"/>
        </w:rPr>
        <w:t xml:space="preserve">Los pagos mayoristas relativos a las distintas modalidades del </w:t>
      </w:r>
      <w:r w:rsidRPr="00563FC0">
        <w:rPr>
          <w:rFonts w:eastAsia="Calibri"/>
          <w:b/>
        </w:rPr>
        <w:t>servicio de acceso indirecto</w:t>
      </w:r>
      <w:r>
        <w:rPr>
          <w:rFonts w:eastAsia="Calibri"/>
        </w:rPr>
        <w:t xml:space="preserve"> </w:t>
      </w:r>
      <w:r w:rsidRPr="00563FC0">
        <w:rPr>
          <w:rFonts w:eastAsia="Calibri"/>
          <w:b/>
        </w:rPr>
        <w:t>al bucle</w:t>
      </w:r>
      <w:r>
        <w:rPr>
          <w:rFonts w:eastAsia="Calibri"/>
        </w:rPr>
        <w:t xml:space="preserve"> </w:t>
      </w:r>
      <w:r w:rsidRPr="00563FC0">
        <w:rPr>
          <w:rFonts w:eastAsia="Calibri"/>
          <w:b/>
        </w:rPr>
        <w:t xml:space="preserve">o </w:t>
      </w:r>
      <w:r w:rsidR="00C07D30">
        <w:rPr>
          <w:rFonts w:eastAsia="Calibri"/>
          <w:b/>
        </w:rPr>
        <w:t>SAIB</w:t>
      </w:r>
      <w:r>
        <w:rPr>
          <w:rFonts w:eastAsia="Calibri"/>
        </w:rPr>
        <w:t xml:space="preserve"> </w:t>
      </w:r>
      <w:r w:rsidR="00106946">
        <w:rPr>
          <w:rFonts w:eastAsia="Calibri"/>
        </w:rPr>
        <w:t>tienen en cuenta los siguientes servicios y descuentos</w:t>
      </w:r>
      <w:r w:rsidR="006A1201">
        <w:rPr>
          <w:rStyle w:val="Refdenotaalpie"/>
          <w:rFonts w:eastAsia="Calibri"/>
        </w:rPr>
        <w:footnoteReference w:id="10"/>
      </w:r>
      <w:r w:rsidR="00106946">
        <w:rPr>
          <w:rFonts w:eastAsia="Calibri"/>
        </w:rPr>
        <w:t>:</w:t>
      </w:r>
    </w:p>
    <w:p w:rsidR="00106946" w:rsidRDefault="00102256" w:rsidP="00106946">
      <w:pPr>
        <w:pStyle w:val="ParaBullet1"/>
      </w:pPr>
      <w:r>
        <w:t>Entrega del servicio.</w:t>
      </w:r>
      <w:r w:rsidR="00106946">
        <w:t xml:space="preserve"> El pago mayorista considera la velocidad de bajada contratada, la tecnología de provisión de la oferta (fibra o cobre) y asigna la calidad </w:t>
      </w:r>
      <w:r w:rsidR="00106946" w:rsidRPr="00054812">
        <w:rPr>
          <w:i/>
        </w:rPr>
        <w:t>Best Effort</w:t>
      </w:r>
      <w:r w:rsidR="00106946">
        <w:t xml:space="preserve"> para las ofertas de banda ancha y la calidad </w:t>
      </w:r>
      <w:r w:rsidR="00106946" w:rsidRPr="00054812">
        <w:rPr>
          <w:i/>
        </w:rPr>
        <w:t>VoIP</w:t>
      </w:r>
      <w:r w:rsidR="00106946">
        <w:t xml:space="preserve"> para las ofertas empaquetas </w:t>
      </w:r>
      <w:r w:rsidR="00106946">
        <w:lastRenderedPageBreak/>
        <w:t>de banda ancha con telefonía fija.</w:t>
      </w:r>
      <w:r>
        <w:t xml:space="preserve"> Estos pagos se incluyen en la h</w:t>
      </w:r>
      <w:r w:rsidR="00D528B8">
        <w:t>oja “Entrega del servicio SAIB”;</w:t>
      </w:r>
    </w:p>
    <w:p w:rsidR="00106946" w:rsidRDefault="00106946" w:rsidP="00106946">
      <w:pPr>
        <w:pStyle w:val="ParaBullet1"/>
      </w:pPr>
      <w:r>
        <w:t>Gastos relativos a la habilitación del SAIB, del PCAI, y equipos de acceso del NCAI asociados a un SCyD.</w:t>
      </w:r>
      <w:r w:rsidR="00102256">
        <w:t xml:space="preserve"> Estos pagos se incluy</w:t>
      </w:r>
      <w:r w:rsidR="00D528B8">
        <w:t>en en la hoja “Dim costos SAIB”;</w:t>
      </w:r>
    </w:p>
    <w:p w:rsidR="00106946" w:rsidRDefault="00106946" w:rsidP="00106946">
      <w:pPr>
        <w:pStyle w:val="ParaBullet1"/>
      </w:pPr>
      <w:r>
        <w:t xml:space="preserve">Otros cobros no recurrentes como los relativos a procedimientos masivos, instalación de acometidas, el cableado interior, visitas en falso o atención de averías inexistentes. </w:t>
      </w:r>
      <w:r w:rsidR="00102256">
        <w:t>Estos pagos se incluy</w:t>
      </w:r>
      <w:r w:rsidR="00D528B8">
        <w:t>en en la hoja “Dim costos SAIB”</w:t>
      </w:r>
      <w:r w:rsidR="003D73B9">
        <w:t>; y</w:t>
      </w:r>
    </w:p>
    <w:p w:rsidR="00106946" w:rsidRDefault="00106946" w:rsidP="006A1201">
      <w:pPr>
        <w:pStyle w:val="ParaBullet1"/>
      </w:pPr>
      <w:r>
        <w:t xml:space="preserve">Descuentos recurrentes relativos a la instalación de acometidas, adquisición de aparatos a través del AEP, mensajería y </w:t>
      </w:r>
      <w:r w:rsidR="006A1201">
        <w:t>r</w:t>
      </w:r>
      <w:r w:rsidR="006A1201" w:rsidRPr="006A1201">
        <w:t>elativos a</w:t>
      </w:r>
      <w:r w:rsidR="006A1201">
        <w:t>l “</w:t>
      </w:r>
      <w:r w:rsidR="006A1201" w:rsidRPr="006A1201">
        <w:t>Servicio de Entrega de Equipo por Personal Telmex en SAIB"</w:t>
      </w:r>
      <w:r w:rsidR="006A1201">
        <w:t>.</w:t>
      </w:r>
      <w:r w:rsidR="00102256">
        <w:t xml:space="preserve"> Estos pagos se incluyen en la hoja “Dim costos SAIB”.</w:t>
      </w:r>
    </w:p>
    <w:p w:rsidR="00E04DE2" w:rsidRDefault="00E04DE2" w:rsidP="00E04DE2">
      <w:pPr>
        <w:pStyle w:val="ParaBullet1"/>
        <w:numPr>
          <w:ilvl w:val="0"/>
          <w:numId w:val="0"/>
        </w:numPr>
      </w:pPr>
      <w:r>
        <w:t>Los pagos mayoristas considerados en</w:t>
      </w:r>
      <w:r w:rsidR="009378E8">
        <w:t xml:space="preserve"> la prueba </w:t>
      </w:r>
      <w:r>
        <w:t>individual coinciden con los costos a tener en cuenta en la realización de</w:t>
      </w:r>
      <w:r w:rsidR="009378E8">
        <w:t xml:space="preserve"> la prueba </w:t>
      </w:r>
      <w:r w:rsidR="003D77C4">
        <w:t>agregad</w:t>
      </w:r>
      <w:r w:rsidR="009378E8">
        <w:t>a</w:t>
      </w:r>
      <w:r>
        <w:t>. Estos pueden verse e</w:t>
      </w:r>
      <w:r w:rsidR="00726A7C">
        <w:t>n la hoja “Resultados (Agregados)</w:t>
      </w:r>
      <w:r>
        <w:t>”</w:t>
      </w:r>
      <w:r w:rsidR="00DE3B85">
        <w:t xml:space="preserve"> (celdas F6 y G</w:t>
      </w:r>
      <w:r w:rsidR="00726A7C">
        <w:t>6)</w:t>
      </w:r>
      <w:r w:rsidR="0028695B">
        <w:t>.</w:t>
      </w:r>
    </w:p>
    <w:p w:rsidR="00E04DE2" w:rsidRDefault="00E04DE2" w:rsidP="00E04DE2">
      <w:pPr>
        <w:pStyle w:val="Ttulo4"/>
      </w:pPr>
      <w:r>
        <w:t xml:space="preserve">Costos </w:t>
      </w:r>
      <w:r w:rsidR="005E7E80">
        <w:t>aguas abajo</w:t>
      </w:r>
    </w:p>
    <w:p w:rsidR="00E04DE2" w:rsidRDefault="00E04DE2" w:rsidP="00E04DE2">
      <w:r>
        <w:t xml:space="preserve">El modelo obtiene el valor presente neto de los costos </w:t>
      </w:r>
      <w:r w:rsidR="007B7D63">
        <w:t xml:space="preserve">minoristas </w:t>
      </w:r>
      <w:r>
        <w:t xml:space="preserve">por usuario en la hoja “Resumen costos </w:t>
      </w:r>
      <w:r w:rsidR="007B7D63">
        <w:t>minoristas</w:t>
      </w:r>
      <w:r>
        <w:t xml:space="preserve">”. </w:t>
      </w:r>
    </w:p>
    <w:p w:rsidR="00FD7C9B" w:rsidRDefault="00E04DE2" w:rsidP="00E04DE2">
      <w:r>
        <w:lastRenderedPageBreak/>
        <w:t xml:space="preserve">Se han calculado los costos </w:t>
      </w:r>
      <w:r w:rsidR="007B7D63">
        <w:t xml:space="preserve">minoristas </w:t>
      </w:r>
      <w:r>
        <w:t xml:space="preserve">asociados </w:t>
      </w:r>
      <w:r w:rsidR="00F47AB1">
        <w:t xml:space="preserve">a </w:t>
      </w:r>
      <w:r>
        <w:t>cada una de las distintas modalidades mayoristas</w:t>
      </w:r>
      <w:r w:rsidR="00F47AB1">
        <w:t xml:space="preserve"> mencionadas en el apartado anterior. Por lo que respecta a la asignación de l</w:t>
      </w:r>
      <w:r w:rsidR="007F467A">
        <w:t>a</w:t>
      </w:r>
      <w:r w:rsidR="00F47AB1">
        <w:t xml:space="preserve">s </w:t>
      </w:r>
      <w:r w:rsidR="007F467A">
        <w:t>distintas categorías de costo</w:t>
      </w:r>
      <w:r w:rsidR="00F47AB1">
        <w:t xml:space="preserve">, la hoja “Costos </w:t>
      </w:r>
      <w:r w:rsidR="007B7D63">
        <w:t xml:space="preserve">minoristas </w:t>
      </w:r>
      <w:r w:rsidR="00F47AB1">
        <w:t>de la oferta” presenta una matriz de tipo 0/1, donde 1 considera la imputaci</w:t>
      </w:r>
      <w:r w:rsidR="007F467A">
        <w:t>ón de la categoría a la modalidad de acceso</w:t>
      </w:r>
      <w:r w:rsidR="00F47AB1">
        <w:t>, y 0 considera lo contrario.</w:t>
      </w:r>
    </w:p>
    <w:tbl>
      <w:tblPr>
        <w:tblW w:w="7940" w:type="dxa"/>
        <w:tblLayout w:type="fixed"/>
        <w:tblCellMar>
          <w:left w:w="0" w:type="dxa"/>
          <w:right w:w="0" w:type="dxa"/>
        </w:tblCellMar>
        <w:tblLook w:val="04A0" w:firstRow="1" w:lastRow="0" w:firstColumn="1" w:lastColumn="0" w:noHBand="0" w:noVBand="1"/>
      </w:tblPr>
      <w:tblGrid>
        <w:gridCol w:w="7940"/>
      </w:tblGrid>
      <w:tr w:rsidR="00FD7C9B" w:rsidTr="00B52EB4">
        <w:tc>
          <w:tcPr>
            <w:tcW w:w="5000" w:type="pct"/>
            <w:noWrap/>
          </w:tcPr>
          <w:p w:rsidR="00FD7C9B" w:rsidRPr="00F52EB6" w:rsidRDefault="00FD7C9B" w:rsidP="00B52EB4">
            <w:pPr>
              <w:pStyle w:val="Descripcin"/>
            </w:pPr>
            <w:r>
              <w:t xml:space="preserve">Figura </w:t>
            </w:r>
            <w:r>
              <w:fldChar w:fldCharType="begin"/>
            </w:r>
            <w:r>
              <w:instrText xml:space="preserve"> SEQ Figura </w:instrText>
            </w:r>
            <w:r>
              <w:fldChar w:fldCharType="separate"/>
            </w:r>
            <w:r w:rsidR="00EF7AFF">
              <w:rPr>
                <w:noProof/>
              </w:rPr>
              <w:t>6</w:t>
            </w:r>
            <w:r>
              <w:rPr>
                <w:noProof/>
              </w:rPr>
              <w:fldChar w:fldCharType="end"/>
            </w:r>
            <w:r>
              <w:tab/>
              <w:t xml:space="preserve">Asignación de costos </w:t>
            </w:r>
            <w:r w:rsidR="005E7E80">
              <w:t>aguas abajo</w:t>
            </w:r>
            <w:r>
              <w:t xml:space="preserve"> según modalidad de acceso mayorista</w:t>
            </w:r>
          </w:p>
        </w:tc>
      </w:tr>
      <w:tr w:rsidR="00FD7C9B" w:rsidTr="00B52EB4">
        <w:tc>
          <w:tcPr>
            <w:tcW w:w="5000" w:type="pct"/>
            <w:noWrap/>
          </w:tcPr>
          <w:p w:rsidR="00FD7C9B" w:rsidRDefault="00054812" w:rsidP="00B52EB4">
            <w:pPr>
              <w:pStyle w:val="GraphicLeft"/>
              <w:keepNext/>
            </w:pPr>
            <w:r>
              <w:rPr>
                <w:noProof/>
                <w:lang w:val="es-MX" w:eastAsia="es-MX"/>
              </w:rPr>
              <w:drawing>
                <wp:inline distT="0" distB="0" distL="0" distR="0" wp14:anchorId="1A20C6CE" wp14:editId="76778015">
                  <wp:extent cx="5077386" cy="2441051"/>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082690" cy="2443601"/>
                          </a:xfrm>
                          <a:prstGeom prst="rect">
                            <a:avLst/>
                          </a:prstGeom>
                        </pic:spPr>
                      </pic:pic>
                    </a:graphicData>
                  </a:graphic>
                </wp:inline>
              </w:drawing>
            </w:r>
          </w:p>
        </w:tc>
      </w:tr>
      <w:tr w:rsidR="00FD7C9B" w:rsidTr="00B52EB4">
        <w:trPr>
          <w:trHeight w:val="617"/>
        </w:trPr>
        <w:tc>
          <w:tcPr>
            <w:tcW w:w="5000" w:type="pct"/>
            <w:noWrap/>
          </w:tcPr>
          <w:p w:rsidR="00FD7C9B" w:rsidRDefault="00FD7C9B" w:rsidP="00B52EB4">
            <w:pPr>
              <w:pStyle w:val="Source"/>
            </w:pPr>
            <w:r>
              <w:t>Fuente</w:t>
            </w:r>
            <w:r w:rsidRPr="007C15CB">
              <w:t>:</w:t>
            </w:r>
            <w:r w:rsidRPr="007C15CB">
              <w:tab/>
            </w:r>
            <w:r w:rsidR="003D77C4" w:rsidRPr="00857EC0">
              <w:t xml:space="preserve">Prueba de Replicabilidad Banda </w:t>
            </w:r>
            <w:r w:rsidR="003D77C4">
              <w:t>Ancha INDIVIDUAL.</w:t>
            </w:r>
          </w:p>
          <w:p w:rsidR="00FD7C9B" w:rsidRPr="00F078BE" w:rsidRDefault="00FD7C9B" w:rsidP="00B52EB4">
            <w:pPr>
              <w:pStyle w:val="Source"/>
            </w:pPr>
            <w:r>
              <w:tab/>
            </w:r>
          </w:p>
        </w:tc>
      </w:tr>
    </w:tbl>
    <w:p w:rsidR="00F47AB1" w:rsidRDefault="00F47AB1" w:rsidP="00E04DE2">
      <w:r>
        <w:t xml:space="preserve">Asimismo, se han considerado tres </w:t>
      </w:r>
      <w:r w:rsidRPr="00054812">
        <w:rPr>
          <w:i/>
        </w:rPr>
        <w:t>drivers</w:t>
      </w:r>
      <w:r w:rsidR="00FE611F">
        <w:t xml:space="preserve"> para la</w:t>
      </w:r>
      <w:r>
        <w:t xml:space="preserve"> asignación </w:t>
      </w:r>
      <w:r w:rsidR="00FE611F">
        <w:t>de cada</w:t>
      </w:r>
      <w:r w:rsidR="007F467A">
        <w:t xml:space="preserve"> uno de los componentes</w:t>
      </w:r>
      <w:r w:rsidR="007B7D63">
        <w:t xml:space="preserve"> a las ofertas</w:t>
      </w:r>
      <w:r>
        <w:t>:</w:t>
      </w:r>
    </w:p>
    <w:p w:rsidR="00DE73C1" w:rsidRDefault="00DE73C1" w:rsidP="00F47AB1">
      <w:pPr>
        <w:pStyle w:val="ParaBullet1"/>
      </w:pPr>
      <w:r w:rsidRPr="00D952A6">
        <w:rPr>
          <w:i/>
        </w:rPr>
        <w:lastRenderedPageBreak/>
        <w:t>Por capacidad</w:t>
      </w:r>
      <w:r>
        <w:t xml:space="preserve">: </w:t>
      </w:r>
      <w:r w:rsidR="00D952A6">
        <w:t xml:space="preserve">considera la proporción de capacidad </w:t>
      </w:r>
      <w:r w:rsidR="003D3252">
        <w:t>dedicada a la oferta</w:t>
      </w:r>
      <w:r w:rsidR="00D952A6">
        <w:rPr>
          <w:rStyle w:val="Refdenotaalpie"/>
        </w:rPr>
        <w:footnoteReference w:id="11"/>
      </w:r>
      <w:r w:rsidR="00FE611F">
        <w:t xml:space="preserve"> respecto de la capacidad dedicada en el</w:t>
      </w:r>
      <w:r w:rsidR="00D952A6">
        <w:t xml:space="preserve"> segmento de velocid</w:t>
      </w:r>
      <w:r w:rsidR="00D528B8">
        <w:t>ad a la que pertenece la oferta;</w:t>
      </w:r>
    </w:p>
    <w:p w:rsidR="00DE73C1" w:rsidRDefault="00DE73C1" w:rsidP="00F47AB1">
      <w:pPr>
        <w:pStyle w:val="ParaBullet1"/>
      </w:pPr>
      <w:r w:rsidRPr="00D952A6">
        <w:rPr>
          <w:i/>
        </w:rPr>
        <w:t>Por suscriptores</w:t>
      </w:r>
      <w:r>
        <w:t>:</w:t>
      </w:r>
      <w:r w:rsidR="00D952A6">
        <w:t xml:space="preserve"> considera la proporción de suscriptores respecto del total de suscriptores dentro del segmento de velocid</w:t>
      </w:r>
      <w:r w:rsidR="00D528B8">
        <w:t>ad a la que pertenece la oferta</w:t>
      </w:r>
      <w:r w:rsidR="003D73B9">
        <w:t>; y</w:t>
      </w:r>
    </w:p>
    <w:p w:rsidR="007F467A" w:rsidRDefault="00DE73C1" w:rsidP="007F467A">
      <w:pPr>
        <w:pStyle w:val="ParaBullet1"/>
      </w:pPr>
      <w:r w:rsidRPr="00D952A6">
        <w:rPr>
          <w:i/>
        </w:rPr>
        <w:t>Por tráfico</w:t>
      </w:r>
      <w:r>
        <w:t>:</w:t>
      </w:r>
      <w:r w:rsidR="00F47AB1">
        <w:t xml:space="preserve"> </w:t>
      </w:r>
      <w:r w:rsidR="00D952A6">
        <w:t>considera la proporción de tráfico que consume la oferta con respecto del tráfico consumido en el segmento de velocidad a la que pertenece la oferta.</w:t>
      </w:r>
      <w:r w:rsidR="00F47AB1">
        <w:t xml:space="preserve"> </w:t>
      </w:r>
    </w:p>
    <w:tbl>
      <w:tblPr>
        <w:tblW w:w="7940" w:type="dxa"/>
        <w:tblLayout w:type="fixed"/>
        <w:tblCellMar>
          <w:left w:w="0" w:type="dxa"/>
          <w:right w:w="0" w:type="dxa"/>
        </w:tblCellMar>
        <w:tblLook w:val="04A0" w:firstRow="1" w:lastRow="0" w:firstColumn="1" w:lastColumn="0" w:noHBand="0" w:noVBand="1"/>
      </w:tblPr>
      <w:tblGrid>
        <w:gridCol w:w="7940"/>
      </w:tblGrid>
      <w:tr w:rsidR="00FD7C9B" w:rsidTr="00B52EB4">
        <w:tc>
          <w:tcPr>
            <w:tcW w:w="5000" w:type="pct"/>
            <w:noWrap/>
          </w:tcPr>
          <w:p w:rsidR="00FD7C9B" w:rsidRPr="00F52EB6" w:rsidRDefault="00FD7C9B" w:rsidP="00054812">
            <w:pPr>
              <w:pStyle w:val="Descripcin"/>
            </w:pPr>
            <w:r>
              <w:t xml:space="preserve">Figura </w:t>
            </w:r>
            <w:r>
              <w:fldChar w:fldCharType="begin"/>
            </w:r>
            <w:r>
              <w:instrText xml:space="preserve"> SEQ Figura </w:instrText>
            </w:r>
            <w:r>
              <w:fldChar w:fldCharType="separate"/>
            </w:r>
            <w:r w:rsidR="00EF7AFF">
              <w:rPr>
                <w:noProof/>
              </w:rPr>
              <w:t>7</w:t>
            </w:r>
            <w:r>
              <w:rPr>
                <w:noProof/>
              </w:rPr>
              <w:fldChar w:fldCharType="end"/>
            </w:r>
            <w:r>
              <w:tab/>
              <w:t xml:space="preserve">Asignación de costos </w:t>
            </w:r>
            <w:r w:rsidR="005E7E80">
              <w:t>aguas abajo</w:t>
            </w:r>
            <w:r w:rsidR="007B7D63">
              <w:t xml:space="preserve"> </w:t>
            </w:r>
            <w:r>
              <w:t>según driver</w:t>
            </w:r>
          </w:p>
        </w:tc>
      </w:tr>
      <w:tr w:rsidR="00FD7C9B" w:rsidTr="00B52EB4">
        <w:tc>
          <w:tcPr>
            <w:tcW w:w="5000" w:type="pct"/>
            <w:noWrap/>
          </w:tcPr>
          <w:p w:rsidR="00FD7C9B" w:rsidRDefault="00FD7C9B" w:rsidP="00B52EB4">
            <w:pPr>
              <w:pStyle w:val="GraphicLeft"/>
              <w:keepNext/>
            </w:pPr>
            <w:r>
              <w:rPr>
                <w:noProof/>
                <w:lang w:val="es-MX" w:eastAsia="es-MX"/>
              </w:rPr>
              <w:drawing>
                <wp:inline distT="0" distB="0" distL="0" distR="0" wp14:anchorId="6179AF1F" wp14:editId="14401E18">
                  <wp:extent cx="5072933" cy="829771"/>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084051" cy="831590"/>
                          </a:xfrm>
                          <a:prstGeom prst="rect">
                            <a:avLst/>
                          </a:prstGeom>
                        </pic:spPr>
                      </pic:pic>
                    </a:graphicData>
                  </a:graphic>
                </wp:inline>
              </w:drawing>
            </w:r>
          </w:p>
        </w:tc>
      </w:tr>
      <w:tr w:rsidR="00FD7C9B" w:rsidTr="00B52EB4">
        <w:trPr>
          <w:trHeight w:val="617"/>
        </w:trPr>
        <w:tc>
          <w:tcPr>
            <w:tcW w:w="5000" w:type="pct"/>
            <w:noWrap/>
          </w:tcPr>
          <w:p w:rsidR="00FD7C9B" w:rsidRDefault="00FD7C9B" w:rsidP="00B52EB4">
            <w:pPr>
              <w:pStyle w:val="Source"/>
            </w:pPr>
            <w:r>
              <w:t>Fuente</w:t>
            </w:r>
            <w:r w:rsidRPr="007C15CB">
              <w:t>:</w:t>
            </w:r>
            <w:r w:rsidRPr="007C15CB">
              <w:tab/>
            </w:r>
            <w:r w:rsidR="003D77C4" w:rsidRPr="00857EC0">
              <w:t xml:space="preserve">Prueba de Replicabilidad Banda </w:t>
            </w:r>
            <w:r w:rsidR="003D77C4">
              <w:t>Ancha INDIVIDUAL.</w:t>
            </w:r>
          </w:p>
          <w:p w:rsidR="00FD7C9B" w:rsidRPr="00F078BE" w:rsidRDefault="00FD7C9B" w:rsidP="00B52EB4">
            <w:pPr>
              <w:pStyle w:val="Source"/>
            </w:pPr>
            <w:r>
              <w:tab/>
            </w:r>
          </w:p>
        </w:tc>
      </w:tr>
    </w:tbl>
    <w:p w:rsidR="007B7D63" w:rsidRDefault="007B7D63" w:rsidP="007F467A">
      <w:pPr>
        <w:pStyle w:val="ParaBullet1"/>
        <w:numPr>
          <w:ilvl w:val="0"/>
          <w:numId w:val="0"/>
        </w:numPr>
      </w:pPr>
      <w:r>
        <w:t xml:space="preserve">El </w:t>
      </w:r>
      <w:r w:rsidRPr="00054812">
        <w:rPr>
          <w:i/>
        </w:rPr>
        <w:t>driver</w:t>
      </w:r>
      <w:r>
        <w:t xml:space="preserve"> se puede escoger en la</w:t>
      </w:r>
      <w:r w:rsidR="001C2645">
        <w:t xml:space="preserve"> columna </w:t>
      </w:r>
      <w:r w:rsidR="00A3032C">
        <w:t xml:space="preserve">“I” </w:t>
      </w:r>
      <w:r w:rsidR="001C2645">
        <w:t xml:space="preserve">de la hoja “Costos </w:t>
      </w:r>
      <w:r w:rsidR="005E7E80">
        <w:t>aguas abajo</w:t>
      </w:r>
      <w:r w:rsidR="001C2645">
        <w:t xml:space="preserve"> de la oferta</w:t>
      </w:r>
      <w:r>
        <w:t xml:space="preserve">”. </w:t>
      </w:r>
    </w:p>
    <w:p w:rsidR="006A1201" w:rsidRDefault="00A23FEF" w:rsidP="007F467A">
      <w:pPr>
        <w:pStyle w:val="ParaBullet1"/>
        <w:numPr>
          <w:ilvl w:val="0"/>
          <w:numId w:val="0"/>
        </w:numPr>
      </w:pPr>
      <w:r>
        <w:lastRenderedPageBreak/>
        <w:t>Por último</w:t>
      </w:r>
      <w:r w:rsidR="007F467A">
        <w:t xml:space="preserve">, en la misma matriz se </w:t>
      </w:r>
      <w:r>
        <w:t>asigna</w:t>
      </w:r>
      <w:r w:rsidR="007F467A">
        <w:t xml:space="preserve"> </w:t>
      </w:r>
      <w:r>
        <w:t>la imputación</w:t>
      </w:r>
      <w:r w:rsidR="007F467A">
        <w:t xml:space="preserve"> </w:t>
      </w:r>
      <w:r>
        <w:t xml:space="preserve">del </w:t>
      </w:r>
      <w:r w:rsidR="007F467A">
        <w:t>costo en</w:t>
      </w:r>
      <w:r>
        <w:t xml:space="preserve"> función de si la oferta se analiza a nivel individual o dentro de</w:t>
      </w:r>
      <w:r w:rsidR="00374221">
        <w:t xml:space="preserve"> la prueba </w:t>
      </w:r>
      <w:r>
        <w:t>agregad</w:t>
      </w:r>
      <w:r w:rsidR="00374221">
        <w:t>a</w:t>
      </w:r>
      <w:r>
        <w:t xml:space="preserve"> dado que en el primer caso se considera un enfoque LRIC mientras que en el segundo caso se opta por un enfoque LRIC+.  </w:t>
      </w:r>
      <w:r w:rsidR="007F467A">
        <w:t xml:space="preserve"> </w:t>
      </w:r>
    </w:p>
    <w:p w:rsidR="000F6134" w:rsidRDefault="00985B84" w:rsidP="000F6134">
      <w:pPr>
        <w:pStyle w:val="Ttulo2"/>
      </w:pPr>
      <w:bookmarkStart w:id="21" w:name="_Toc485157530"/>
      <w:r>
        <w:t>Módulo de s</w:t>
      </w:r>
      <w:r w:rsidR="000F6134">
        <w:t>upuestos</w:t>
      </w:r>
      <w:bookmarkEnd w:id="21"/>
      <w:r w:rsidR="000F6134">
        <w:t xml:space="preserve">  </w:t>
      </w:r>
    </w:p>
    <w:p w:rsidR="00353A61" w:rsidRDefault="00353A61" w:rsidP="00353A61">
      <w:r>
        <w:t>La hoja “Supuestos” contiene el conjunto de supuestos que se han empleado para la construc</w:t>
      </w:r>
      <w:r w:rsidR="004421F0">
        <w:t>ción de</w:t>
      </w:r>
      <w:r w:rsidR="00374221">
        <w:t xml:space="preserve"> la prueba</w:t>
      </w:r>
      <w:r w:rsidR="004421F0">
        <w:t xml:space="preserve">. </w:t>
      </w:r>
      <w:r>
        <w:t xml:space="preserve">En la siguiente tabla </w:t>
      </w:r>
      <w:r w:rsidR="003D3252">
        <w:t>quedan detallados.</w:t>
      </w:r>
    </w:p>
    <w:p w:rsidR="00A148E2" w:rsidRDefault="00A148E2" w:rsidP="00353A61"/>
    <w:p w:rsidR="00A148E2" w:rsidRPr="00A148E2" w:rsidRDefault="00353A61" w:rsidP="00A148E2">
      <w:pPr>
        <w:pStyle w:val="Descripcin"/>
      </w:pPr>
      <w:r>
        <w:t xml:space="preserve">Figura </w:t>
      </w:r>
      <w:r>
        <w:fldChar w:fldCharType="begin"/>
      </w:r>
      <w:r>
        <w:instrText xml:space="preserve"> SEQ Figura </w:instrText>
      </w:r>
      <w:r>
        <w:fldChar w:fldCharType="separate"/>
      </w:r>
      <w:r w:rsidR="00EF7AFF">
        <w:rPr>
          <w:noProof/>
        </w:rPr>
        <w:t>8</w:t>
      </w:r>
      <w:r>
        <w:rPr>
          <w:noProof/>
        </w:rPr>
        <w:fldChar w:fldCharType="end"/>
      </w:r>
      <w:r>
        <w:tab/>
      </w:r>
      <w:r w:rsidR="003D3252">
        <w:t>Supuestos empleados en la elaboración de</w:t>
      </w:r>
      <w:r w:rsidR="00374221">
        <w:t xml:space="preserve"> la prueba</w:t>
      </w:r>
    </w:p>
    <w:tbl>
      <w:tblPr>
        <w:tblStyle w:val="Frontier"/>
        <w:tblpPr w:leftFromText="141" w:rightFromText="141" w:vertAnchor="text" w:tblpXSpec="center" w:tblpY="1"/>
        <w:tblOverlap w:val="never"/>
        <w:tblW w:w="7940" w:type="dxa"/>
        <w:tblLayout w:type="fixed"/>
        <w:tblLook w:val="0420" w:firstRow="1" w:lastRow="0" w:firstColumn="0" w:lastColumn="0" w:noHBand="0" w:noVBand="1"/>
      </w:tblPr>
      <w:tblGrid>
        <w:gridCol w:w="3957"/>
        <w:gridCol w:w="3983"/>
      </w:tblGrid>
      <w:tr w:rsidR="00353A61" w:rsidRPr="00263104" w:rsidTr="00A148E2">
        <w:trPr>
          <w:cnfStyle w:val="100000000000" w:firstRow="1" w:lastRow="0" w:firstColumn="0" w:lastColumn="0" w:oddVBand="0" w:evenVBand="0" w:oddHBand="0" w:evenHBand="0" w:firstRowFirstColumn="0" w:firstRowLastColumn="0" w:lastRowFirstColumn="0" w:lastRowLastColumn="0"/>
          <w:trHeight w:val="20"/>
          <w:tblHeader/>
        </w:trPr>
        <w:tc>
          <w:tcPr>
            <w:tcW w:w="2492" w:type="pct"/>
          </w:tcPr>
          <w:p w:rsidR="00353A61" w:rsidRPr="00263104" w:rsidRDefault="003D3252" w:rsidP="00A148E2">
            <w:pPr>
              <w:pStyle w:val="TableHeadingLeft"/>
            </w:pPr>
            <w:r>
              <w:t>Parámetro</w:t>
            </w:r>
          </w:p>
        </w:tc>
        <w:tc>
          <w:tcPr>
            <w:tcW w:w="2508" w:type="pct"/>
          </w:tcPr>
          <w:p w:rsidR="00353A61" w:rsidRPr="00263104" w:rsidRDefault="003D3252" w:rsidP="00A148E2">
            <w:pPr>
              <w:pStyle w:val="TableHeadingRight"/>
              <w:jc w:val="left"/>
            </w:pPr>
            <w:r>
              <w:t>Descripción</w:t>
            </w:r>
          </w:p>
        </w:tc>
      </w:tr>
      <w:tr w:rsidR="007E567C" w:rsidRPr="007F007E" w:rsidTr="00A148E2">
        <w:trPr>
          <w:cnfStyle w:val="000000100000" w:firstRow="0" w:lastRow="0" w:firstColumn="0" w:lastColumn="0" w:oddVBand="0" w:evenVBand="0" w:oddHBand="1" w:evenHBand="0" w:firstRowFirstColumn="0" w:firstRowLastColumn="0" w:lastRowFirstColumn="0" w:lastRowLastColumn="0"/>
          <w:trHeight w:val="20"/>
        </w:trPr>
        <w:tc>
          <w:tcPr>
            <w:tcW w:w="2492" w:type="pct"/>
          </w:tcPr>
          <w:p w:rsidR="007E567C" w:rsidRPr="00B0280B" w:rsidRDefault="007E567C" w:rsidP="00A148E2">
            <w:pPr>
              <w:pStyle w:val="TableTextLeft"/>
              <w:rPr>
                <w:b/>
                <w:sz w:val="18"/>
                <w:szCs w:val="18"/>
              </w:rPr>
            </w:pPr>
            <w:r w:rsidRPr="00B0280B">
              <w:rPr>
                <w:b/>
                <w:sz w:val="18"/>
                <w:szCs w:val="18"/>
              </w:rPr>
              <w:t>Especificación de</w:t>
            </w:r>
            <w:r w:rsidR="00374221" w:rsidRPr="00374221">
              <w:rPr>
                <w:b/>
                <w:sz w:val="18"/>
                <w:szCs w:val="18"/>
              </w:rPr>
              <w:t xml:space="preserve"> la prueba </w:t>
            </w:r>
          </w:p>
        </w:tc>
        <w:tc>
          <w:tcPr>
            <w:tcW w:w="2508" w:type="pct"/>
          </w:tcPr>
          <w:p w:rsidR="007E567C" w:rsidRPr="00B0280B" w:rsidRDefault="007E567C" w:rsidP="00A148E2">
            <w:pPr>
              <w:pStyle w:val="TableTextRight"/>
              <w:jc w:val="left"/>
              <w:rPr>
                <w:sz w:val="18"/>
                <w:szCs w:val="18"/>
              </w:rPr>
            </w:pPr>
          </w:p>
        </w:tc>
      </w:tr>
      <w:tr w:rsidR="00353A61" w:rsidRPr="007F007E" w:rsidTr="00A148E2">
        <w:trPr>
          <w:trHeight w:val="20"/>
        </w:trPr>
        <w:tc>
          <w:tcPr>
            <w:tcW w:w="2492" w:type="pct"/>
          </w:tcPr>
          <w:p w:rsidR="00353A61" w:rsidRPr="00B0280B" w:rsidRDefault="00353A61" w:rsidP="00A148E2">
            <w:pPr>
              <w:pStyle w:val="TableTextLeft"/>
              <w:rPr>
                <w:sz w:val="18"/>
                <w:szCs w:val="18"/>
              </w:rPr>
            </w:pPr>
            <w:r w:rsidRPr="00B0280B">
              <w:rPr>
                <w:sz w:val="18"/>
                <w:szCs w:val="18"/>
              </w:rPr>
              <w:t>Horizonte temporal de</w:t>
            </w:r>
            <w:r w:rsidR="00374221" w:rsidRPr="00374221">
              <w:rPr>
                <w:sz w:val="18"/>
                <w:szCs w:val="18"/>
              </w:rPr>
              <w:t xml:space="preserve"> la prueba </w:t>
            </w:r>
          </w:p>
        </w:tc>
        <w:tc>
          <w:tcPr>
            <w:tcW w:w="2508" w:type="pct"/>
          </w:tcPr>
          <w:p w:rsidR="00353A61" w:rsidRPr="00B0280B" w:rsidRDefault="00353A61" w:rsidP="00A148E2">
            <w:pPr>
              <w:pStyle w:val="TableTextRight"/>
              <w:jc w:val="left"/>
              <w:rPr>
                <w:sz w:val="18"/>
                <w:szCs w:val="18"/>
              </w:rPr>
            </w:pPr>
            <w:r w:rsidRPr="00B0280B">
              <w:rPr>
                <w:sz w:val="18"/>
                <w:szCs w:val="18"/>
              </w:rPr>
              <w:t xml:space="preserve">Número de mensualidades </w:t>
            </w:r>
            <w:r w:rsidR="000B6668" w:rsidRPr="00B0280B">
              <w:rPr>
                <w:sz w:val="18"/>
                <w:szCs w:val="18"/>
              </w:rPr>
              <w:t>para estimar</w:t>
            </w:r>
            <w:r w:rsidR="007E567C" w:rsidRPr="00B0280B">
              <w:rPr>
                <w:sz w:val="18"/>
                <w:szCs w:val="18"/>
              </w:rPr>
              <w:t xml:space="preserve"> </w:t>
            </w:r>
            <w:r w:rsidR="000B6668" w:rsidRPr="00B0280B">
              <w:rPr>
                <w:sz w:val="18"/>
                <w:szCs w:val="18"/>
              </w:rPr>
              <w:t>el valor presente neto</w:t>
            </w:r>
          </w:p>
        </w:tc>
      </w:tr>
      <w:tr w:rsidR="007E567C" w:rsidRPr="007F007E" w:rsidTr="00A148E2">
        <w:trPr>
          <w:cnfStyle w:val="000000100000" w:firstRow="0" w:lastRow="0" w:firstColumn="0" w:lastColumn="0" w:oddVBand="0" w:evenVBand="0" w:oddHBand="1" w:evenHBand="0" w:firstRowFirstColumn="0" w:firstRowLastColumn="0" w:lastRowFirstColumn="0" w:lastRowLastColumn="0"/>
          <w:trHeight w:val="20"/>
        </w:trPr>
        <w:tc>
          <w:tcPr>
            <w:tcW w:w="2492" w:type="pct"/>
          </w:tcPr>
          <w:p w:rsidR="007E567C" w:rsidRPr="00B0280B" w:rsidRDefault="007E567C" w:rsidP="00A148E2">
            <w:pPr>
              <w:pStyle w:val="TableTextLeft"/>
              <w:rPr>
                <w:b/>
                <w:sz w:val="18"/>
                <w:szCs w:val="18"/>
              </w:rPr>
            </w:pPr>
            <w:r w:rsidRPr="00B0280B">
              <w:rPr>
                <w:b/>
                <w:sz w:val="18"/>
                <w:szCs w:val="18"/>
              </w:rPr>
              <w:t>WACC</w:t>
            </w:r>
          </w:p>
        </w:tc>
        <w:tc>
          <w:tcPr>
            <w:tcW w:w="2508" w:type="pct"/>
          </w:tcPr>
          <w:p w:rsidR="007E567C" w:rsidRPr="00B0280B" w:rsidRDefault="007E567C" w:rsidP="00A148E2">
            <w:pPr>
              <w:pStyle w:val="TableTextRight"/>
              <w:jc w:val="left"/>
              <w:rPr>
                <w:sz w:val="18"/>
                <w:szCs w:val="18"/>
              </w:rPr>
            </w:pPr>
          </w:p>
        </w:tc>
      </w:tr>
      <w:tr w:rsidR="00353A61" w:rsidRPr="007F007E" w:rsidTr="00A148E2">
        <w:trPr>
          <w:trHeight w:val="20"/>
        </w:trPr>
        <w:tc>
          <w:tcPr>
            <w:tcW w:w="2492" w:type="pct"/>
          </w:tcPr>
          <w:p w:rsidR="00353A61" w:rsidRPr="00B0280B" w:rsidRDefault="007E567C" w:rsidP="00A148E2">
            <w:pPr>
              <w:pStyle w:val="TableTextLeft"/>
              <w:rPr>
                <w:sz w:val="18"/>
                <w:szCs w:val="18"/>
              </w:rPr>
            </w:pPr>
            <w:r w:rsidRPr="00B0280B">
              <w:rPr>
                <w:sz w:val="18"/>
                <w:szCs w:val="18"/>
              </w:rPr>
              <w:t>WACC de</w:t>
            </w:r>
            <w:r w:rsidR="007133F3">
              <w:rPr>
                <w:sz w:val="18"/>
                <w:szCs w:val="18"/>
              </w:rPr>
              <w:t>l AEP</w:t>
            </w:r>
          </w:p>
        </w:tc>
        <w:tc>
          <w:tcPr>
            <w:tcW w:w="2508" w:type="pct"/>
          </w:tcPr>
          <w:p w:rsidR="00353A61" w:rsidRPr="00B0280B" w:rsidRDefault="007E567C" w:rsidP="00A148E2">
            <w:pPr>
              <w:pStyle w:val="TableTextRight"/>
              <w:jc w:val="left"/>
              <w:rPr>
                <w:sz w:val="18"/>
                <w:szCs w:val="18"/>
              </w:rPr>
            </w:pPr>
            <w:r w:rsidRPr="00B0280B">
              <w:rPr>
                <w:sz w:val="18"/>
                <w:szCs w:val="18"/>
              </w:rPr>
              <w:t>WACC anual del AEP. Se emplea como tasa de descuento para el cálculo del VPN de los flujos de caja</w:t>
            </w:r>
          </w:p>
        </w:tc>
      </w:tr>
      <w:tr w:rsidR="001623CA" w:rsidRPr="007F007E" w:rsidTr="00A148E2">
        <w:trPr>
          <w:cnfStyle w:val="000000100000" w:firstRow="0" w:lastRow="0" w:firstColumn="0" w:lastColumn="0" w:oddVBand="0" w:evenVBand="0" w:oddHBand="1" w:evenHBand="0" w:firstRowFirstColumn="0" w:firstRowLastColumn="0" w:lastRowFirstColumn="0" w:lastRowLastColumn="0"/>
          <w:trHeight w:val="20"/>
        </w:trPr>
        <w:tc>
          <w:tcPr>
            <w:tcW w:w="5000" w:type="pct"/>
            <w:gridSpan w:val="2"/>
          </w:tcPr>
          <w:p w:rsidR="001623CA" w:rsidRPr="00B0280B" w:rsidRDefault="001623CA" w:rsidP="00A148E2">
            <w:pPr>
              <w:pStyle w:val="TableTextRight"/>
              <w:jc w:val="left"/>
              <w:rPr>
                <w:sz w:val="18"/>
                <w:szCs w:val="18"/>
              </w:rPr>
            </w:pPr>
            <w:r w:rsidRPr="00B0280B">
              <w:rPr>
                <w:b/>
                <w:sz w:val="18"/>
                <w:szCs w:val="18"/>
              </w:rPr>
              <w:t>Dimensionamiento MSAN (para espacio)</w:t>
            </w:r>
          </w:p>
        </w:tc>
      </w:tr>
      <w:tr w:rsidR="00353A61" w:rsidRPr="007F007E" w:rsidTr="00A148E2">
        <w:trPr>
          <w:trHeight w:val="20"/>
        </w:trPr>
        <w:tc>
          <w:tcPr>
            <w:tcW w:w="2492" w:type="pct"/>
          </w:tcPr>
          <w:p w:rsidR="00353A61" w:rsidRPr="00B0280B" w:rsidRDefault="007E567C" w:rsidP="00A148E2">
            <w:pPr>
              <w:pStyle w:val="TableTextLeft"/>
              <w:rPr>
                <w:sz w:val="18"/>
                <w:szCs w:val="18"/>
              </w:rPr>
            </w:pPr>
            <w:r w:rsidRPr="00B0280B">
              <w:rPr>
                <w:sz w:val="18"/>
                <w:szCs w:val="18"/>
              </w:rPr>
              <w:t>Factor de utilización de cada puerto</w:t>
            </w:r>
          </w:p>
        </w:tc>
        <w:tc>
          <w:tcPr>
            <w:tcW w:w="2508" w:type="pct"/>
          </w:tcPr>
          <w:p w:rsidR="00353A61" w:rsidRPr="00B0280B" w:rsidRDefault="007E567C" w:rsidP="00A148E2">
            <w:pPr>
              <w:pStyle w:val="TableTextRight"/>
              <w:jc w:val="left"/>
              <w:rPr>
                <w:sz w:val="18"/>
                <w:szCs w:val="18"/>
              </w:rPr>
            </w:pPr>
            <w:r w:rsidRPr="00B0280B">
              <w:rPr>
                <w:sz w:val="18"/>
                <w:szCs w:val="18"/>
              </w:rPr>
              <w:t>Los módulos de los equipos DSLAM pueden tener un factor de utilización de los puertos menor al 100%</w:t>
            </w:r>
            <w:r w:rsidR="00271755" w:rsidRPr="00B0280B">
              <w:rPr>
                <w:sz w:val="18"/>
                <w:szCs w:val="18"/>
              </w:rPr>
              <w:t>.</w:t>
            </w:r>
          </w:p>
        </w:tc>
      </w:tr>
      <w:tr w:rsidR="00353A61" w:rsidRPr="007F007E" w:rsidTr="00A148E2">
        <w:trPr>
          <w:cnfStyle w:val="000000100000" w:firstRow="0" w:lastRow="0" w:firstColumn="0" w:lastColumn="0" w:oddVBand="0" w:evenVBand="0" w:oddHBand="1" w:evenHBand="0" w:firstRowFirstColumn="0" w:firstRowLastColumn="0" w:lastRowFirstColumn="0" w:lastRowLastColumn="0"/>
          <w:trHeight w:val="20"/>
        </w:trPr>
        <w:tc>
          <w:tcPr>
            <w:tcW w:w="2492" w:type="pct"/>
          </w:tcPr>
          <w:p w:rsidR="00353A61" w:rsidRPr="00B0280B" w:rsidRDefault="007E567C" w:rsidP="00A148E2">
            <w:pPr>
              <w:pStyle w:val="TableTextLeft"/>
              <w:rPr>
                <w:sz w:val="18"/>
                <w:szCs w:val="18"/>
              </w:rPr>
            </w:pPr>
            <w:r w:rsidRPr="00B0280B">
              <w:rPr>
                <w:sz w:val="18"/>
                <w:szCs w:val="18"/>
              </w:rPr>
              <w:lastRenderedPageBreak/>
              <w:t>Número de puertos por módulo</w:t>
            </w:r>
          </w:p>
        </w:tc>
        <w:tc>
          <w:tcPr>
            <w:tcW w:w="2508" w:type="pct"/>
          </w:tcPr>
          <w:p w:rsidR="00353A61" w:rsidRPr="00B0280B" w:rsidRDefault="00102256" w:rsidP="00A148E2">
            <w:pPr>
              <w:pStyle w:val="TableTextRight"/>
              <w:jc w:val="left"/>
              <w:rPr>
                <w:sz w:val="18"/>
                <w:szCs w:val="18"/>
              </w:rPr>
            </w:pPr>
            <w:r w:rsidRPr="00B0280B">
              <w:rPr>
                <w:sz w:val="18"/>
                <w:szCs w:val="18"/>
              </w:rPr>
              <w:t>Cantidad de puertos que contiene un módulo.</w:t>
            </w:r>
          </w:p>
        </w:tc>
      </w:tr>
      <w:tr w:rsidR="00353A61" w:rsidRPr="007F007E" w:rsidTr="00A148E2">
        <w:trPr>
          <w:trHeight w:val="20"/>
        </w:trPr>
        <w:tc>
          <w:tcPr>
            <w:tcW w:w="2492" w:type="pct"/>
          </w:tcPr>
          <w:p w:rsidR="00353A61" w:rsidRPr="00B0280B" w:rsidRDefault="0055565E" w:rsidP="00A148E2">
            <w:pPr>
              <w:pStyle w:val="TableTextLeft"/>
              <w:rPr>
                <w:sz w:val="18"/>
                <w:szCs w:val="18"/>
              </w:rPr>
            </w:pPr>
            <w:r w:rsidRPr="00B0280B">
              <w:rPr>
                <w:sz w:val="18"/>
                <w:szCs w:val="18"/>
              </w:rPr>
              <w:t>Equipos DSLAM</w:t>
            </w:r>
          </w:p>
        </w:tc>
        <w:tc>
          <w:tcPr>
            <w:tcW w:w="2508" w:type="pct"/>
          </w:tcPr>
          <w:p w:rsidR="00353A61" w:rsidRPr="00B0280B" w:rsidRDefault="0055565E" w:rsidP="00A148E2">
            <w:pPr>
              <w:pStyle w:val="TableTextRight"/>
              <w:jc w:val="left"/>
              <w:rPr>
                <w:sz w:val="18"/>
                <w:szCs w:val="18"/>
              </w:rPr>
            </w:pPr>
            <w:r w:rsidRPr="00B0280B">
              <w:rPr>
                <w:sz w:val="18"/>
                <w:szCs w:val="18"/>
              </w:rPr>
              <w:t>Se han considerado equipos del fabricante NOKIA</w:t>
            </w:r>
            <w:r w:rsidR="006304EF" w:rsidRPr="00B0280B">
              <w:rPr>
                <w:sz w:val="18"/>
                <w:szCs w:val="18"/>
              </w:rPr>
              <w:t xml:space="preserve"> a modo de ejemplo</w:t>
            </w:r>
            <w:r w:rsidR="00A029E5" w:rsidRPr="00B0280B">
              <w:rPr>
                <w:sz w:val="18"/>
                <w:szCs w:val="18"/>
              </w:rPr>
              <w:t>. El número de módulos dimensiona el número de chasis necesarios.</w:t>
            </w:r>
            <w:r w:rsidRPr="00B0280B">
              <w:rPr>
                <w:sz w:val="18"/>
                <w:szCs w:val="18"/>
              </w:rPr>
              <w:t xml:space="preserve"> </w:t>
            </w:r>
          </w:p>
        </w:tc>
      </w:tr>
      <w:tr w:rsidR="00353A61" w:rsidRPr="007F007E" w:rsidTr="00A148E2">
        <w:trPr>
          <w:cnfStyle w:val="000000100000" w:firstRow="0" w:lastRow="0" w:firstColumn="0" w:lastColumn="0" w:oddVBand="0" w:evenVBand="0" w:oddHBand="1" w:evenHBand="0" w:firstRowFirstColumn="0" w:firstRowLastColumn="0" w:lastRowFirstColumn="0" w:lastRowLastColumn="0"/>
          <w:trHeight w:val="20"/>
        </w:trPr>
        <w:tc>
          <w:tcPr>
            <w:tcW w:w="2492" w:type="pct"/>
          </w:tcPr>
          <w:p w:rsidR="00353A61" w:rsidRPr="00B0280B" w:rsidRDefault="0021510E" w:rsidP="00A148E2">
            <w:pPr>
              <w:pStyle w:val="TableTextLeft"/>
              <w:rPr>
                <w:sz w:val="18"/>
                <w:szCs w:val="18"/>
              </w:rPr>
            </w:pPr>
            <w:r>
              <w:rPr>
                <w:sz w:val="18"/>
                <w:szCs w:val="18"/>
              </w:rPr>
              <w:t>Espacio del armario o rack (metro cuadrado</w:t>
            </w:r>
            <w:r w:rsidR="00407556" w:rsidRPr="00B0280B">
              <w:rPr>
                <w:sz w:val="18"/>
                <w:szCs w:val="18"/>
              </w:rPr>
              <w:t xml:space="preserve">) </w:t>
            </w:r>
          </w:p>
        </w:tc>
        <w:tc>
          <w:tcPr>
            <w:tcW w:w="2508" w:type="pct"/>
          </w:tcPr>
          <w:p w:rsidR="00353A61" w:rsidRPr="00B0280B" w:rsidRDefault="00407556" w:rsidP="00A148E2">
            <w:pPr>
              <w:pStyle w:val="TableTextRight"/>
              <w:jc w:val="left"/>
              <w:rPr>
                <w:sz w:val="18"/>
                <w:szCs w:val="18"/>
              </w:rPr>
            </w:pPr>
            <w:r w:rsidRPr="00B0280B">
              <w:rPr>
                <w:sz w:val="18"/>
                <w:szCs w:val="18"/>
              </w:rPr>
              <w:t xml:space="preserve">Espacio del armario </w:t>
            </w:r>
            <w:r w:rsidR="003D3252" w:rsidRPr="00B0280B">
              <w:rPr>
                <w:sz w:val="18"/>
                <w:szCs w:val="18"/>
              </w:rPr>
              <w:t>que acompaña el chasis. El espacio requer</w:t>
            </w:r>
            <w:r w:rsidRPr="00B0280B">
              <w:rPr>
                <w:sz w:val="18"/>
                <w:szCs w:val="18"/>
              </w:rPr>
              <w:t xml:space="preserve">ido </w:t>
            </w:r>
            <w:r w:rsidR="003D3252" w:rsidRPr="00B0280B">
              <w:rPr>
                <w:sz w:val="18"/>
                <w:szCs w:val="18"/>
              </w:rPr>
              <w:t xml:space="preserve">por el armario </w:t>
            </w:r>
            <w:r w:rsidRPr="00B0280B">
              <w:rPr>
                <w:sz w:val="18"/>
                <w:szCs w:val="18"/>
              </w:rPr>
              <w:t>se emplea para calcular la renta mensual de la coubicación.</w:t>
            </w:r>
          </w:p>
        </w:tc>
      </w:tr>
      <w:tr w:rsidR="00407556" w:rsidRPr="007F007E" w:rsidTr="00A148E2">
        <w:trPr>
          <w:trHeight w:val="20"/>
        </w:trPr>
        <w:tc>
          <w:tcPr>
            <w:tcW w:w="2492" w:type="pct"/>
          </w:tcPr>
          <w:p w:rsidR="00407556" w:rsidRPr="00B0280B" w:rsidRDefault="00407556" w:rsidP="00A148E2">
            <w:pPr>
              <w:pStyle w:val="TableTextLeft"/>
              <w:rPr>
                <w:b/>
                <w:sz w:val="18"/>
                <w:szCs w:val="18"/>
              </w:rPr>
            </w:pPr>
            <w:r w:rsidRPr="00B0280B">
              <w:rPr>
                <w:b/>
                <w:sz w:val="18"/>
                <w:szCs w:val="18"/>
              </w:rPr>
              <w:t>Velocidades según separación contable</w:t>
            </w:r>
          </w:p>
        </w:tc>
        <w:tc>
          <w:tcPr>
            <w:tcW w:w="2508" w:type="pct"/>
          </w:tcPr>
          <w:p w:rsidR="00407556" w:rsidRPr="00B0280B" w:rsidRDefault="00407556" w:rsidP="00A148E2">
            <w:pPr>
              <w:pStyle w:val="TableTextRight"/>
              <w:jc w:val="left"/>
              <w:rPr>
                <w:sz w:val="18"/>
                <w:szCs w:val="18"/>
              </w:rPr>
            </w:pPr>
            <w:r w:rsidRPr="00B0280B">
              <w:rPr>
                <w:sz w:val="18"/>
                <w:szCs w:val="18"/>
              </w:rPr>
              <w:t xml:space="preserve">Segmentos de velocidad en línea con la separación contable. Los segmentos se emplean para la asignación de costos </w:t>
            </w:r>
            <w:r w:rsidR="005E7E80">
              <w:rPr>
                <w:sz w:val="18"/>
                <w:szCs w:val="18"/>
              </w:rPr>
              <w:t>aguas abajo</w:t>
            </w:r>
            <w:r w:rsidRPr="00B0280B">
              <w:rPr>
                <w:sz w:val="18"/>
                <w:szCs w:val="18"/>
              </w:rPr>
              <w:t>.</w:t>
            </w:r>
          </w:p>
        </w:tc>
      </w:tr>
      <w:tr w:rsidR="00407556" w:rsidRPr="007F007E" w:rsidTr="00A148E2">
        <w:trPr>
          <w:cnfStyle w:val="000000100000" w:firstRow="0" w:lastRow="0" w:firstColumn="0" w:lastColumn="0" w:oddVBand="0" w:evenVBand="0" w:oddHBand="1" w:evenHBand="0" w:firstRowFirstColumn="0" w:firstRowLastColumn="0" w:lastRowFirstColumn="0" w:lastRowLastColumn="0"/>
          <w:trHeight w:val="20"/>
        </w:trPr>
        <w:tc>
          <w:tcPr>
            <w:tcW w:w="2492" w:type="pct"/>
          </w:tcPr>
          <w:p w:rsidR="00407556" w:rsidRPr="00B0280B" w:rsidRDefault="00407556" w:rsidP="00A148E2">
            <w:pPr>
              <w:pStyle w:val="TableTextLeft"/>
              <w:rPr>
                <w:b/>
                <w:sz w:val="18"/>
                <w:szCs w:val="18"/>
              </w:rPr>
            </w:pPr>
            <w:r w:rsidRPr="00B0280B">
              <w:rPr>
                <w:b/>
                <w:sz w:val="18"/>
                <w:szCs w:val="18"/>
              </w:rPr>
              <w:t>Clientes y centrales</w:t>
            </w:r>
          </w:p>
        </w:tc>
        <w:tc>
          <w:tcPr>
            <w:tcW w:w="2508" w:type="pct"/>
          </w:tcPr>
          <w:p w:rsidR="00407556" w:rsidRPr="00B0280B" w:rsidRDefault="00407556" w:rsidP="00A148E2">
            <w:pPr>
              <w:pStyle w:val="TableTextRight"/>
              <w:jc w:val="left"/>
              <w:rPr>
                <w:sz w:val="18"/>
                <w:szCs w:val="18"/>
              </w:rPr>
            </w:pPr>
          </w:p>
        </w:tc>
      </w:tr>
      <w:tr w:rsidR="00407556" w:rsidRPr="007F007E" w:rsidTr="00A148E2">
        <w:trPr>
          <w:trHeight w:val="20"/>
        </w:trPr>
        <w:tc>
          <w:tcPr>
            <w:tcW w:w="2492" w:type="pct"/>
          </w:tcPr>
          <w:p w:rsidR="00407556" w:rsidRPr="00B0280B" w:rsidRDefault="00D10BEF" w:rsidP="00A148E2">
            <w:pPr>
              <w:pStyle w:val="TableTextLeft"/>
              <w:rPr>
                <w:sz w:val="18"/>
                <w:szCs w:val="18"/>
              </w:rPr>
            </w:pPr>
            <w:r w:rsidRPr="00B0280B">
              <w:rPr>
                <w:sz w:val="18"/>
                <w:szCs w:val="18"/>
              </w:rPr>
              <w:t>Número de clientes del CS servidos a través del SAIB</w:t>
            </w:r>
          </w:p>
        </w:tc>
        <w:tc>
          <w:tcPr>
            <w:tcW w:w="2508" w:type="pct"/>
          </w:tcPr>
          <w:p w:rsidR="00407556" w:rsidRPr="00B0280B" w:rsidRDefault="00D10BEF" w:rsidP="00A148E2">
            <w:pPr>
              <w:pStyle w:val="TableTextRight"/>
              <w:jc w:val="left"/>
              <w:rPr>
                <w:sz w:val="18"/>
                <w:szCs w:val="18"/>
              </w:rPr>
            </w:pPr>
            <w:r w:rsidRPr="00B0280B">
              <w:rPr>
                <w:sz w:val="18"/>
                <w:szCs w:val="18"/>
              </w:rPr>
              <w:t>Información necesaria para obtener el costo por usuario asociado a los pagos mayoristas del SAIB.</w:t>
            </w:r>
          </w:p>
        </w:tc>
      </w:tr>
      <w:tr w:rsidR="00407556" w:rsidRPr="007F007E" w:rsidTr="00A148E2">
        <w:trPr>
          <w:cnfStyle w:val="000000100000" w:firstRow="0" w:lastRow="0" w:firstColumn="0" w:lastColumn="0" w:oddVBand="0" w:evenVBand="0" w:oddHBand="1" w:evenHBand="0" w:firstRowFirstColumn="0" w:firstRowLastColumn="0" w:lastRowFirstColumn="0" w:lastRowLastColumn="0"/>
          <w:trHeight w:val="20"/>
        </w:trPr>
        <w:tc>
          <w:tcPr>
            <w:tcW w:w="2492" w:type="pct"/>
          </w:tcPr>
          <w:p w:rsidR="00407556" w:rsidRPr="00B0280B" w:rsidRDefault="00D10BEF" w:rsidP="00A148E2">
            <w:pPr>
              <w:pStyle w:val="TableTextLeft"/>
              <w:rPr>
                <w:sz w:val="18"/>
                <w:szCs w:val="18"/>
              </w:rPr>
            </w:pPr>
            <w:r w:rsidRPr="00B0280B">
              <w:rPr>
                <w:sz w:val="18"/>
                <w:szCs w:val="18"/>
              </w:rPr>
              <w:t xml:space="preserve">Número de clientes del CS servidos a través de desagregación </w:t>
            </w:r>
            <w:r w:rsidR="003D73B9">
              <w:rPr>
                <w:sz w:val="18"/>
                <w:szCs w:val="18"/>
              </w:rPr>
              <w:t>total</w:t>
            </w:r>
            <w:r w:rsidR="00E755CB" w:rsidRPr="00B0280B">
              <w:rPr>
                <w:sz w:val="18"/>
                <w:szCs w:val="18"/>
              </w:rPr>
              <w:t xml:space="preserve"> del bucle</w:t>
            </w:r>
          </w:p>
        </w:tc>
        <w:tc>
          <w:tcPr>
            <w:tcW w:w="2508" w:type="pct"/>
          </w:tcPr>
          <w:p w:rsidR="00407556" w:rsidRPr="00B0280B" w:rsidRDefault="00D10BEF" w:rsidP="00A148E2">
            <w:pPr>
              <w:pStyle w:val="TableTextRight"/>
              <w:jc w:val="left"/>
              <w:rPr>
                <w:sz w:val="18"/>
                <w:szCs w:val="18"/>
              </w:rPr>
            </w:pPr>
            <w:r w:rsidRPr="00B0280B">
              <w:rPr>
                <w:sz w:val="18"/>
                <w:szCs w:val="18"/>
              </w:rPr>
              <w:t xml:space="preserve">Información necesaria para obtener el costo por usuario asociado a los pagos mayoristas </w:t>
            </w:r>
            <w:r w:rsidR="00E755CB" w:rsidRPr="00B0280B">
              <w:rPr>
                <w:sz w:val="18"/>
                <w:szCs w:val="18"/>
              </w:rPr>
              <w:t xml:space="preserve">relativos al servicio de desagregación </w:t>
            </w:r>
            <w:r w:rsidR="003D73B9">
              <w:rPr>
                <w:sz w:val="18"/>
                <w:szCs w:val="18"/>
              </w:rPr>
              <w:t>total</w:t>
            </w:r>
            <w:r w:rsidR="00E755CB" w:rsidRPr="00B0280B">
              <w:rPr>
                <w:sz w:val="18"/>
                <w:szCs w:val="18"/>
              </w:rPr>
              <w:t xml:space="preserve"> del bucle</w:t>
            </w:r>
          </w:p>
        </w:tc>
      </w:tr>
      <w:tr w:rsidR="00407556" w:rsidRPr="007F007E" w:rsidTr="00A148E2">
        <w:trPr>
          <w:trHeight w:val="20"/>
        </w:trPr>
        <w:tc>
          <w:tcPr>
            <w:tcW w:w="2492" w:type="pct"/>
          </w:tcPr>
          <w:p w:rsidR="00407556" w:rsidRPr="00B0280B" w:rsidRDefault="00E755CB" w:rsidP="00A148E2">
            <w:pPr>
              <w:pStyle w:val="TableTextLeft"/>
              <w:rPr>
                <w:sz w:val="18"/>
                <w:szCs w:val="18"/>
              </w:rPr>
            </w:pPr>
            <w:r w:rsidRPr="00B0280B">
              <w:rPr>
                <w:sz w:val="18"/>
                <w:szCs w:val="18"/>
              </w:rPr>
              <w:t>Número de clientes del CS servidos a través de desagregación compartida del bucle</w:t>
            </w:r>
          </w:p>
        </w:tc>
        <w:tc>
          <w:tcPr>
            <w:tcW w:w="2508" w:type="pct"/>
          </w:tcPr>
          <w:p w:rsidR="00407556" w:rsidRPr="00B0280B" w:rsidRDefault="00E755CB" w:rsidP="00A148E2">
            <w:pPr>
              <w:pStyle w:val="TableTextRight"/>
              <w:jc w:val="left"/>
              <w:rPr>
                <w:sz w:val="18"/>
                <w:szCs w:val="18"/>
              </w:rPr>
            </w:pPr>
            <w:r w:rsidRPr="00B0280B">
              <w:rPr>
                <w:sz w:val="18"/>
                <w:szCs w:val="18"/>
              </w:rPr>
              <w:t>Información necesaria para obtener el costo por usuario asociado a los pagos mayoristas relativos al servicio de desagregación compartida del bucle</w:t>
            </w:r>
          </w:p>
        </w:tc>
      </w:tr>
      <w:tr w:rsidR="00407556" w:rsidRPr="007F007E" w:rsidTr="00A148E2">
        <w:trPr>
          <w:cnfStyle w:val="000000100000" w:firstRow="0" w:lastRow="0" w:firstColumn="0" w:lastColumn="0" w:oddVBand="0" w:evenVBand="0" w:oddHBand="1" w:evenHBand="0" w:firstRowFirstColumn="0" w:firstRowLastColumn="0" w:lastRowFirstColumn="0" w:lastRowLastColumn="0"/>
          <w:trHeight w:val="20"/>
        </w:trPr>
        <w:tc>
          <w:tcPr>
            <w:tcW w:w="2492" w:type="pct"/>
          </w:tcPr>
          <w:p w:rsidR="00407556" w:rsidRPr="00B0280B" w:rsidRDefault="00E755CB" w:rsidP="00A148E2">
            <w:pPr>
              <w:pStyle w:val="TableTextLeft"/>
              <w:rPr>
                <w:sz w:val="18"/>
                <w:szCs w:val="18"/>
              </w:rPr>
            </w:pPr>
            <w:r w:rsidRPr="00B0280B">
              <w:rPr>
                <w:sz w:val="18"/>
                <w:szCs w:val="18"/>
              </w:rPr>
              <w:t>Clientes por central del CS</w:t>
            </w:r>
          </w:p>
        </w:tc>
        <w:tc>
          <w:tcPr>
            <w:tcW w:w="2508" w:type="pct"/>
          </w:tcPr>
          <w:p w:rsidR="00407556" w:rsidRPr="00B0280B" w:rsidRDefault="00E755CB" w:rsidP="00A148E2">
            <w:pPr>
              <w:pStyle w:val="TableTextRight"/>
              <w:jc w:val="left"/>
              <w:rPr>
                <w:sz w:val="18"/>
                <w:szCs w:val="18"/>
              </w:rPr>
            </w:pPr>
            <w:r w:rsidRPr="00B0280B">
              <w:rPr>
                <w:sz w:val="18"/>
                <w:szCs w:val="18"/>
              </w:rPr>
              <w:t xml:space="preserve">Información necesaria para calcular los pagos mayoristas totales del CS una vez obtenidos los pagos mayoristas por central. </w:t>
            </w:r>
          </w:p>
        </w:tc>
      </w:tr>
      <w:tr w:rsidR="00407556" w:rsidRPr="00263104" w:rsidTr="00A148E2">
        <w:trPr>
          <w:trHeight w:val="20"/>
        </w:trPr>
        <w:tc>
          <w:tcPr>
            <w:tcW w:w="2492" w:type="pct"/>
          </w:tcPr>
          <w:p w:rsidR="00407556" w:rsidRPr="00B0280B" w:rsidRDefault="00E755CB" w:rsidP="00A148E2">
            <w:pPr>
              <w:pStyle w:val="TableTextLeft"/>
              <w:rPr>
                <w:sz w:val="18"/>
                <w:szCs w:val="18"/>
              </w:rPr>
            </w:pPr>
            <w:r w:rsidRPr="00B0280B">
              <w:rPr>
                <w:sz w:val="18"/>
                <w:szCs w:val="18"/>
              </w:rPr>
              <w:t>Horizonte temporal para los costos no recurrentes</w:t>
            </w:r>
          </w:p>
        </w:tc>
        <w:tc>
          <w:tcPr>
            <w:tcW w:w="2508" w:type="pct"/>
          </w:tcPr>
          <w:p w:rsidR="00407556" w:rsidRPr="00B0280B" w:rsidRDefault="00E755CB" w:rsidP="00A148E2">
            <w:pPr>
              <w:pStyle w:val="TableTextRight"/>
              <w:jc w:val="left"/>
              <w:rPr>
                <w:sz w:val="18"/>
                <w:szCs w:val="18"/>
              </w:rPr>
            </w:pPr>
            <w:r w:rsidRPr="00B0280B">
              <w:rPr>
                <w:sz w:val="18"/>
                <w:szCs w:val="18"/>
              </w:rPr>
              <w:t>Período de amortización de los costos no recurrentes. Se aplica el mismo período para las diferentes modalidades de acceso.</w:t>
            </w:r>
          </w:p>
        </w:tc>
      </w:tr>
      <w:tr w:rsidR="001623CA" w:rsidRPr="00263104" w:rsidTr="00A148E2">
        <w:trPr>
          <w:cnfStyle w:val="000000100000" w:firstRow="0" w:lastRow="0" w:firstColumn="0" w:lastColumn="0" w:oddVBand="0" w:evenVBand="0" w:oddHBand="1" w:evenHBand="0" w:firstRowFirstColumn="0" w:firstRowLastColumn="0" w:lastRowFirstColumn="0" w:lastRowLastColumn="0"/>
          <w:trHeight w:val="20"/>
        </w:trPr>
        <w:tc>
          <w:tcPr>
            <w:tcW w:w="5000" w:type="pct"/>
            <w:gridSpan w:val="2"/>
          </w:tcPr>
          <w:p w:rsidR="001623CA" w:rsidRPr="00B0280B" w:rsidRDefault="001623CA" w:rsidP="00A148E2">
            <w:pPr>
              <w:pStyle w:val="TableTextRight"/>
              <w:jc w:val="left"/>
              <w:rPr>
                <w:sz w:val="18"/>
                <w:szCs w:val="18"/>
              </w:rPr>
            </w:pPr>
            <w:r w:rsidRPr="00B0280B">
              <w:rPr>
                <w:b/>
                <w:sz w:val="18"/>
                <w:szCs w:val="18"/>
              </w:rPr>
              <w:t>OREDA. Servicio de acceso indirecto al bucle</w:t>
            </w:r>
          </w:p>
        </w:tc>
      </w:tr>
      <w:tr w:rsidR="00E755CB" w:rsidRPr="00263104" w:rsidTr="00A148E2">
        <w:trPr>
          <w:trHeight w:val="20"/>
        </w:trPr>
        <w:tc>
          <w:tcPr>
            <w:tcW w:w="2492" w:type="pct"/>
          </w:tcPr>
          <w:p w:rsidR="00E755CB" w:rsidRPr="00B0280B" w:rsidRDefault="00E755CB" w:rsidP="00A148E2">
            <w:pPr>
              <w:pStyle w:val="TableTextLeft"/>
              <w:rPr>
                <w:sz w:val="18"/>
                <w:szCs w:val="18"/>
              </w:rPr>
            </w:pPr>
            <w:r w:rsidRPr="00B0280B">
              <w:rPr>
                <w:sz w:val="18"/>
                <w:szCs w:val="18"/>
              </w:rPr>
              <w:lastRenderedPageBreak/>
              <w:t>Habilitación por equipo de acceso de un NCAI asociado a un SCyD</w:t>
            </w:r>
          </w:p>
        </w:tc>
        <w:tc>
          <w:tcPr>
            <w:tcW w:w="2508" w:type="pct"/>
          </w:tcPr>
          <w:p w:rsidR="00E755CB" w:rsidRPr="00B0280B" w:rsidRDefault="00271755" w:rsidP="00A148E2">
            <w:pPr>
              <w:pStyle w:val="TableTextRight"/>
              <w:jc w:val="left"/>
              <w:rPr>
                <w:sz w:val="18"/>
                <w:szCs w:val="18"/>
              </w:rPr>
            </w:pPr>
            <w:r w:rsidRPr="00B0280B">
              <w:rPr>
                <w:sz w:val="18"/>
                <w:szCs w:val="18"/>
              </w:rPr>
              <w:t>Ratio de usuarios / habilitación. Se emplea para el dimensionamiento de los costos del SAIB.</w:t>
            </w:r>
          </w:p>
        </w:tc>
      </w:tr>
      <w:tr w:rsidR="00E755CB" w:rsidRPr="00263104" w:rsidTr="00A148E2">
        <w:trPr>
          <w:cnfStyle w:val="000000100000" w:firstRow="0" w:lastRow="0" w:firstColumn="0" w:lastColumn="0" w:oddVBand="0" w:evenVBand="0" w:oddHBand="1" w:evenHBand="0" w:firstRowFirstColumn="0" w:firstRowLastColumn="0" w:lastRowFirstColumn="0" w:lastRowLastColumn="0"/>
          <w:trHeight w:val="20"/>
        </w:trPr>
        <w:tc>
          <w:tcPr>
            <w:tcW w:w="2492" w:type="pct"/>
          </w:tcPr>
          <w:p w:rsidR="00E755CB" w:rsidRPr="00B0280B" w:rsidRDefault="00271755" w:rsidP="00A148E2">
            <w:pPr>
              <w:pStyle w:val="TableTextLeft"/>
              <w:rPr>
                <w:sz w:val="18"/>
                <w:szCs w:val="18"/>
              </w:rPr>
            </w:pPr>
            <w:r w:rsidRPr="00B0280B">
              <w:rPr>
                <w:sz w:val="18"/>
                <w:szCs w:val="18"/>
              </w:rPr>
              <w:t>Habilitación por pCAI Local / Regional / Nacional</w:t>
            </w:r>
          </w:p>
        </w:tc>
        <w:tc>
          <w:tcPr>
            <w:tcW w:w="2508" w:type="pct"/>
          </w:tcPr>
          <w:p w:rsidR="00E755CB" w:rsidRPr="00B0280B" w:rsidRDefault="00271755" w:rsidP="00A148E2">
            <w:pPr>
              <w:pStyle w:val="TableTextRight"/>
              <w:jc w:val="left"/>
              <w:rPr>
                <w:sz w:val="18"/>
                <w:szCs w:val="18"/>
              </w:rPr>
            </w:pPr>
            <w:r w:rsidRPr="00B0280B">
              <w:rPr>
                <w:sz w:val="18"/>
                <w:szCs w:val="18"/>
              </w:rPr>
              <w:t>Ratio de usuarios / habilitación. Se emplea para el dimensionamiento de los costos del SAIB.</w:t>
            </w:r>
          </w:p>
        </w:tc>
      </w:tr>
      <w:tr w:rsidR="00E755CB" w:rsidRPr="00263104" w:rsidTr="00A148E2">
        <w:trPr>
          <w:trHeight w:val="20"/>
        </w:trPr>
        <w:tc>
          <w:tcPr>
            <w:tcW w:w="2492" w:type="pct"/>
          </w:tcPr>
          <w:p w:rsidR="00E755CB" w:rsidRPr="00B0280B" w:rsidRDefault="00271755" w:rsidP="00A148E2">
            <w:pPr>
              <w:pStyle w:val="TableTextLeft"/>
              <w:rPr>
                <w:sz w:val="18"/>
                <w:szCs w:val="18"/>
              </w:rPr>
            </w:pPr>
            <w:r w:rsidRPr="00B0280B">
              <w:rPr>
                <w:sz w:val="18"/>
                <w:szCs w:val="18"/>
              </w:rPr>
              <w:t>Modificación de ancho de banda</w:t>
            </w:r>
          </w:p>
        </w:tc>
        <w:tc>
          <w:tcPr>
            <w:tcW w:w="2508" w:type="pct"/>
          </w:tcPr>
          <w:p w:rsidR="00E755CB" w:rsidRPr="00B0280B" w:rsidRDefault="00FE611F" w:rsidP="00A148E2">
            <w:pPr>
              <w:pStyle w:val="TableTextRight"/>
              <w:jc w:val="left"/>
              <w:rPr>
                <w:sz w:val="18"/>
                <w:szCs w:val="18"/>
              </w:rPr>
            </w:pPr>
            <w:r w:rsidRPr="00B0280B">
              <w:rPr>
                <w:sz w:val="18"/>
                <w:szCs w:val="18"/>
              </w:rPr>
              <w:t>Porcentaje (%)</w:t>
            </w:r>
            <w:r w:rsidR="00271755" w:rsidRPr="00B0280B">
              <w:rPr>
                <w:sz w:val="18"/>
                <w:szCs w:val="18"/>
              </w:rPr>
              <w:t xml:space="preserve"> de usuarios que modificaron el ancho de banda durante el periodo. Se emplea para el dimensionamiento de los costos del SAIB.</w:t>
            </w:r>
          </w:p>
        </w:tc>
      </w:tr>
      <w:tr w:rsidR="00E755CB" w:rsidRPr="00263104" w:rsidTr="00A148E2">
        <w:trPr>
          <w:cnfStyle w:val="000000100000" w:firstRow="0" w:lastRow="0" w:firstColumn="0" w:lastColumn="0" w:oddVBand="0" w:evenVBand="0" w:oddHBand="1" w:evenHBand="0" w:firstRowFirstColumn="0" w:firstRowLastColumn="0" w:lastRowFirstColumn="0" w:lastRowLastColumn="0"/>
          <w:trHeight w:val="20"/>
        </w:trPr>
        <w:tc>
          <w:tcPr>
            <w:tcW w:w="2492" w:type="pct"/>
          </w:tcPr>
          <w:p w:rsidR="00E755CB" w:rsidRPr="00B0280B" w:rsidRDefault="00271755" w:rsidP="00A148E2">
            <w:pPr>
              <w:pStyle w:val="TableTextLeft"/>
              <w:rPr>
                <w:sz w:val="18"/>
                <w:szCs w:val="18"/>
              </w:rPr>
            </w:pPr>
            <w:r w:rsidRPr="00B0280B">
              <w:rPr>
                <w:sz w:val="18"/>
                <w:szCs w:val="18"/>
              </w:rPr>
              <w:t>Instalación de acometida</w:t>
            </w:r>
          </w:p>
        </w:tc>
        <w:tc>
          <w:tcPr>
            <w:tcW w:w="2508" w:type="pct"/>
          </w:tcPr>
          <w:p w:rsidR="00E755CB" w:rsidRPr="00B0280B" w:rsidRDefault="00271755" w:rsidP="00A148E2">
            <w:pPr>
              <w:pStyle w:val="TableTextRight"/>
              <w:jc w:val="left"/>
              <w:rPr>
                <w:sz w:val="18"/>
                <w:szCs w:val="18"/>
              </w:rPr>
            </w:pPr>
            <w:r w:rsidRPr="00B0280B">
              <w:rPr>
                <w:sz w:val="18"/>
                <w:szCs w:val="18"/>
              </w:rPr>
              <w:t>Ratio de usuarios / instalaciones de acometida. Se emplea para el dimensionamiento de los costos del SAIB.</w:t>
            </w:r>
          </w:p>
          <w:p w:rsidR="00271755" w:rsidRPr="00B0280B" w:rsidRDefault="00FE611F" w:rsidP="00A148E2">
            <w:pPr>
              <w:pStyle w:val="TableTextRight"/>
              <w:jc w:val="left"/>
              <w:rPr>
                <w:sz w:val="18"/>
                <w:szCs w:val="18"/>
              </w:rPr>
            </w:pPr>
            <w:r w:rsidRPr="00B0280B">
              <w:rPr>
                <w:sz w:val="18"/>
                <w:szCs w:val="18"/>
              </w:rPr>
              <w:t>Porcentaje (%)</w:t>
            </w:r>
            <w:r w:rsidR="00271755" w:rsidRPr="00B0280B">
              <w:rPr>
                <w:sz w:val="18"/>
                <w:szCs w:val="18"/>
              </w:rPr>
              <w:t xml:space="preserve"> </w:t>
            </w:r>
            <w:r w:rsidRPr="00B0280B">
              <w:rPr>
                <w:sz w:val="18"/>
                <w:szCs w:val="18"/>
              </w:rPr>
              <w:t xml:space="preserve">de </w:t>
            </w:r>
            <w:r w:rsidR="00271755" w:rsidRPr="00B0280B">
              <w:rPr>
                <w:sz w:val="18"/>
                <w:szCs w:val="18"/>
              </w:rPr>
              <w:t>pagos por acometida en una sola exhibición. Se emplea para la aplicación de los descuentos en la renta mensual del SAIB</w:t>
            </w:r>
          </w:p>
        </w:tc>
      </w:tr>
      <w:tr w:rsidR="00E755CB" w:rsidRPr="00263104" w:rsidTr="00A148E2">
        <w:trPr>
          <w:trHeight w:val="20"/>
        </w:trPr>
        <w:tc>
          <w:tcPr>
            <w:tcW w:w="2492" w:type="pct"/>
          </w:tcPr>
          <w:p w:rsidR="00E755CB" w:rsidRPr="00B0280B" w:rsidRDefault="00271755" w:rsidP="00A148E2">
            <w:pPr>
              <w:pStyle w:val="TableTextLeft"/>
              <w:rPr>
                <w:sz w:val="18"/>
                <w:szCs w:val="18"/>
              </w:rPr>
            </w:pPr>
            <w:r w:rsidRPr="00B0280B">
              <w:rPr>
                <w:sz w:val="18"/>
                <w:szCs w:val="18"/>
              </w:rPr>
              <w:t>Servicio de "Mensajería de equipo"</w:t>
            </w:r>
          </w:p>
        </w:tc>
        <w:tc>
          <w:tcPr>
            <w:tcW w:w="2508" w:type="pct"/>
          </w:tcPr>
          <w:p w:rsidR="00E755CB" w:rsidRPr="00B0280B" w:rsidRDefault="00FE611F" w:rsidP="00A148E2">
            <w:pPr>
              <w:pStyle w:val="TableTextRight"/>
              <w:jc w:val="left"/>
              <w:rPr>
                <w:sz w:val="18"/>
                <w:szCs w:val="18"/>
              </w:rPr>
            </w:pPr>
            <w:r w:rsidRPr="00B0280B">
              <w:rPr>
                <w:sz w:val="18"/>
                <w:szCs w:val="18"/>
              </w:rPr>
              <w:t>Porcentaje (%) usuarios para</w:t>
            </w:r>
            <w:r w:rsidR="00271755" w:rsidRPr="00B0280B">
              <w:rPr>
                <w:sz w:val="18"/>
                <w:szCs w:val="18"/>
              </w:rPr>
              <w:t xml:space="preserve"> lo</w:t>
            </w:r>
            <w:r w:rsidRPr="00B0280B">
              <w:rPr>
                <w:sz w:val="18"/>
                <w:szCs w:val="18"/>
              </w:rPr>
              <w:t>s</w:t>
            </w:r>
            <w:r w:rsidR="00271755" w:rsidRPr="00B0280B">
              <w:rPr>
                <w:sz w:val="18"/>
                <w:szCs w:val="18"/>
              </w:rPr>
              <w:t xml:space="preserve"> que se contrata al AEP el servicio</w:t>
            </w:r>
            <w:r w:rsidRPr="00B0280B">
              <w:rPr>
                <w:sz w:val="18"/>
                <w:szCs w:val="18"/>
              </w:rPr>
              <w:t xml:space="preserve"> de “Mensajería de equipo”</w:t>
            </w:r>
            <w:r w:rsidR="00271755" w:rsidRPr="00B0280B">
              <w:rPr>
                <w:sz w:val="18"/>
                <w:szCs w:val="18"/>
              </w:rPr>
              <w:t>. Se emplea para la aplicación de los descuentos en la renta mensual del SAIB</w:t>
            </w:r>
            <w:r w:rsidRPr="00B0280B">
              <w:rPr>
                <w:sz w:val="18"/>
                <w:szCs w:val="18"/>
              </w:rPr>
              <w:t>.</w:t>
            </w:r>
          </w:p>
        </w:tc>
      </w:tr>
      <w:tr w:rsidR="00271755" w:rsidRPr="00263104" w:rsidTr="00A148E2">
        <w:trPr>
          <w:cnfStyle w:val="000000100000" w:firstRow="0" w:lastRow="0" w:firstColumn="0" w:lastColumn="0" w:oddVBand="0" w:evenVBand="0" w:oddHBand="1" w:evenHBand="0" w:firstRowFirstColumn="0" w:firstRowLastColumn="0" w:lastRowFirstColumn="0" w:lastRowLastColumn="0"/>
          <w:trHeight w:val="20"/>
        </w:trPr>
        <w:tc>
          <w:tcPr>
            <w:tcW w:w="2492" w:type="pct"/>
          </w:tcPr>
          <w:p w:rsidR="00271755" w:rsidRPr="00B0280B" w:rsidRDefault="00271755" w:rsidP="00A148E2">
            <w:pPr>
              <w:pStyle w:val="TableTextLeft"/>
              <w:rPr>
                <w:sz w:val="18"/>
                <w:szCs w:val="18"/>
              </w:rPr>
            </w:pPr>
            <w:r w:rsidRPr="00B0280B">
              <w:rPr>
                <w:sz w:val="18"/>
                <w:szCs w:val="18"/>
              </w:rPr>
              <w:t>Servicio de "Servicio de Entrega de Equipo por Personal Telmex en SAIB"</w:t>
            </w:r>
          </w:p>
        </w:tc>
        <w:tc>
          <w:tcPr>
            <w:tcW w:w="2508" w:type="pct"/>
          </w:tcPr>
          <w:p w:rsidR="00271755" w:rsidRPr="00B0280B" w:rsidRDefault="00FE611F" w:rsidP="00A148E2">
            <w:pPr>
              <w:pStyle w:val="TableTextRight"/>
              <w:jc w:val="left"/>
              <w:rPr>
                <w:sz w:val="18"/>
                <w:szCs w:val="18"/>
              </w:rPr>
            </w:pPr>
            <w:r w:rsidRPr="00B0280B">
              <w:rPr>
                <w:sz w:val="18"/>
                <w:szCs w:val="18"/>
              </w:rPr>
              <w:t>Porcentaje (%) de</w:t>
            </w:r>
            <w:r w:rsidR="00271755" w:rsidRPr="00B0280B">
              <w:rPr>
                <w:sz w:val="18"/>
                <w:szCs w:val="18"/>
              </w:rPr>
              <w:t xml:space="preserve"> usuarios </w:t>
            </w:r>
            <w:r w:rsidRPr="00B0280B">
              <w:rPr>
                <w:sz w:val="18"/>
                <w:szCs w:val="18"/>
              </w:rPr>
              <w:t>para los</w:t>
            </w:r>
            <w:r w:rsidR="00271755" w:rsidRPr="00B0280B">
              <w:rPr>
                <w:sz w:val="18"/>
                <w:szCs w:val="18"/>
              </w:rPr>
              <w:t xml:space="preserve"> que se contrata al AEP el servicio. Se emplea para la aplicación de los descuentos en la renta mensual del SAIB</w:t>
            </w:r>
          </w:p>
        </w:tc>
      </w:tr>
      <w:tr w:rsidR="00271755" w:rsidRPr="00263104" w:rsidTr="00A148E2">
        <w:trPr>
          <w:trHeight w:val="20"/>
        </w:trPr>
        <w:tc>
          <w:tcPr>
            <w:tcW w:w="2492" w:type="pct"/>
          </w:tcPr>
          <w:p w:rsidR="00271755" w:rsidRPr="00B0280B" w:rsidRDefault="00271755" w:rsidP="00A148E2">
            <w:pPr>
              <w:pStyle w:val="TableTextLeft"/>
              <w:rPr>
                <w:sz w:val="18"/>
                <w:szCs w:val="18"/>
              </w:rPr>
            </w:pPr>
            <w:r w:rsidRPr="00B0280B">
              <w:rPr>
                <w:sz w:val="18"/>
                <w:szCs w:val="18"/>
              </w:rPr>
              <w:t>Procedimientos masivos</w:t>
            </w:r>
          </w:p>
        </w:tc>
        <w:tc>
          <w:tcPr>
            <w:tcW w:w="2508" w:type="pct"/>
          </w:tcPr>
          <w:p w:rsidR="00271755" w:rsidRPr="00B0280B" w:rsidRDefault="00271755" w:rsidP="00A148E2">
            <w:pPr>
              <w:pStyle w:val="TableTextRight"/>
              <w:jc w:val="left"/>
              <w:rPr>
                <w:sz w:val="18"/>
                <w:szCs w:val="18"/>
              </w:rPr>
            </w:pPr>
            <w:r w:rsidRPr="00B0280B">
              <w:rPr>
                <w:sz w:val="18"/>
                <w:szCs w:val="18"/>
              </w:rPr>
              <w:t xml:space="preserve">Procedimientos masivos por central durante 24 meses. Se emplea para </w:t>
            </w:r>
            <w:r w:rsidR="001623CA" w:rsidRPr="00B0280B">
              <w:rPr>
                <w:sz w:val="18"/>
                <w:szCs w:val="18"/>
              </w:rPr>
              <w:t>calcular los costos relativos a habilitaciones masivas durante el período.</w:t>
            </w:r>
          </w:p>
        </w:tc>
      </w:tr>
      <w:tr w:rsidR="001623CA" w:rsidRPr="00263104" w:rsidTr="00A148E2">
        <w:trPr>
          <w:cnfStyle w:val="000000100000" w:firstRow="0" w:lastRow="0" w:firstColumn="0" w:lastColumn="0" w:oddVBand="0" w:evenVBand="0" w:oddHBand="1" w:evenHBand="0" w:firstRowFirstColumn="0" w:firstRowLastColumn="0" w:lastRowFirstColumn="0" w:lastRowLastColumn="0"/>
          <w:trHeight w:val="20"/>
        </w:trPr>
        <w:tc>
          <w:tcPr>
            <w:tcW w:w="5000" w:type="pct"/>
            <w:gridSpan w:val="2"/>
          </w:tcPr>
          <w:p w:rsidR="001623CA" w:rsidRPr="00B0280B" w:rsidRDefault="001623CA" w:rsidP="00A148E2">
            <w:pPr>
              <w:pStyle w:val="TableTextRight"/>
              <w:jc w:val="left"/>
              <w:rPr>
                <w:sz w:val="18"/>
                <w:szCs w:val="18"/>
              </w:rPr>
            </w:pPr>
            <w:r w:rsidRPr="00B0280B">
              <w:rPr>
                <w:b/>
                <w:sz w:val="18"/>
                <w:szCs w:val="18"/>
              </w:rPr>
              <w:t>OREDA. Servicio de coubicación para desagregac</w:t>
            </w:r>
            <w:r w:rsidR="001726DB" w:rsidRPr="00B0280B">
              <w:rPr>
                <w:b/>
                <w:sz w:val="18"/>
                <w:szCs w:val="18"/>
              </w:rPr>
              <w:t>ión y servicio de cableado multi</w:t>
            </w:r>
            <w:r w:rsidRPr="00B0280B">
              <w:rPr>
                <w:b/>
                <w:sz w:val="18"/>
                <w:szCs w:val="18"/>
              </w:rPr>
              <w:t>par</w:t>
            </w:r>
          </w:p>
        </w:tc>
      </w:tr>
      <w:tr w:rsidR="00271755" w:rsidRPr="00263104" w:rsidTr="00A148E2">
        <w:trPr>
          <w:trHeight w:val="20"/>
        </w:trPr>
        <w:tc>
          <w:tcPr>
            <w:tcW w:w="2492" w:type="pct"/>
          </w:tcPr>
          <w:p w:rsidR="00271755" w:rsidRPr="00B0280B" w:rsidRDefault="001726DB" w:rsidP="00A148E2">
            <w:pPr>
              <w:pStyle w:val="TableTextLeft"/>
              <w:rPr>
                <w:sz w:val="18"/>
                <w:szCs w:val="18"/>
              </w:rPr>
            </w:pPr>
            <w:r w:rsidRPr="00B0280B">
              <w:rPr>
                <w:sz w:val="18"/>
                <w:szCs w:val="18"/>
              </w:rPr>
              <w:t>Tipos de coubicacion</w:t>
            </w:r>
          </w:p>
        </w:tc>
        <w:tc>
          <w:tcPr>
            <w:tcW w:w="2508" w:type="pct"/>
          </w:tcPr>
          <w:p w:rsidR="00271755" w:rsidRPr="00B0280B" w:rsidRDefault="00FE611F" w:rsidP="00A148E2">
            <w:pPr>
              <w:pStyle w:val="TableTextRight"/>
              <w:jc w:val="left"/>
              <w:rPr>
                <w:sz w:val="18"/>
                <w:szCs w:val="18"/>
              </w:rPr>
            </w:pPr>
            <w:r w:rsidRPr="00B0280B">
              <w:rPr>
                <w:sz w:val="18"/>
                <w:szCs w:val="18"/>
              </w:rPr>
              <w:t>D</w:t>
            </w:r>
            <w:r w:rsidR="001726DB" w:rsidRPr="00B0280B">
              <w:rPr>
                <w:sz w:val="18"/>
                <w:szCs w:val="18"/>
              </w:rPr>
              <w:t>istribución</w:t>
            </w:r>
            <w:r w:rsidRPr="00B0280B">
              <w:rPr>
                <w:sz w:val="18"/>
                <w:szCs w:val="18"/>
              </w:rPr>
              <w:t xml:space="preserve"> (%)</w:t>
            </w:r>
            <w:r w:rsidR="001726DB" w:rsidRPr="00B0280B">
              <w:rPr>
                <w:sz w:val="18"/>
                <w:szCs w:val="18"/>
              </w:rPr>
              <w:t xml:space="preserve"> de los distintos tipos de coubicación para el cálculo del costo del servicio de coubiciación.</w:t>
            </w:r>
          </w:p>
        </w:tc>
      </w:tr>
      <w:tr w:rsidR="00271755" w:rsidRPr="00263104" w:rsidTr="00A148E2">
        <w:trPr>
          <w:cnfStyle w:val="000000100000" w:firstRow="0" w:lastRow="0" w:firstColumn="0" w:lastColumn="0" w:oddVBand="0" w:evenVBand="0" w:oddHBand="1" w:evenHBand="0" w:firstRowFirstColumn="0" w:firstRowLastColumn="0" w:lastRowFirstColumn="0" w:lastRowLastColumn="0"/>
          <w:trHeight w:val="20"/>
        </w:trPr>
        <w:tc>
          <w:tcPr>
            <w:tcW w:w="2492" w:type="pct"/>
          </w:tcPr>
          <w:p w:rsidR="00271755" w:rsidRPr="00B0280B" w:rsidRDefault="008070B6" w:rsidP="00A148E2">
            <w:pPr>
              <w:pStyle w:val="TableTextLeft"/>
              <w:rPr>
                <w:sz w:val="18"/>
                <w:szCs w:val="18"/>
              </w:rPr>
            </w:pPr>
            <w:r w:rsidRPr="00B0280B">
              <w:rPr>
                <w:sz w:val="18"/>
                <w:szCs w:val="18"/>
              </w:rPr>
              <w:lastRenderedPageBreak/>
              <w:t>Metros lineales de ductería para coubicación externa</w:t>
            </w:r>
          </w:p>
        </w:tc>
        <w:tc>
          <w:tcPr>
            <w:tcW w:w="2508" w:type="pct"/>
          </w:tcPr>
          <w:p w:rsidR="00271755" w:rsidRPr="00B0280B" w:rsidRDefault="008070B6" w:rsidP="00A148E2">
            <w:pPr>
              <w:pStyle w:val="TableTextRight"/>
              <w:jc w:val="left"/>
              <w:rPr>
                <w:sz w:val="18"/>
                <w:szCs w:val="18"/>
              </w:rPr>
            </w:pPr>
            <w:r w:rsidRPr="00B0280B">
              <w:rPr>
                <w:sz w:val="18"/>
                <w:szCs w:val="18"/>
              </w:rPr>
              <w:t>Número promedio de metros lineales de ductería para la coubicación externa</w:t>
            </w:r>
          </w:p>
        </w:tc>
      </w:tr>
      <w:tr w:rsidR="008070B6" w:rsidRPr="00263104" w:rsidTr="00A148E2">
        <w:trPr>
          <w:trHeight w:val="20"/>
        </w:trPr>
        <w:tc>
          <w:tcPr>
            <w:tcW w:w="2492" w:type="pct"/>
          </w:tcPr>
          <w:p w:rsidR="008070B6" w:rsidRPr="00B0280B" w:rsidRDefault="008070B6" w:rsidP="00A148E2">
            <w:pPr>
              <w:pStyle w:val="TableTextLeft"/>
              <w:rPr>
                <w:sz w:val="18"/>
                <w:szCs w:val="18"/>
              </w:rPr>
            </w:pPr>
            <w:r w:rsidRPr="00B0280B">
              <w:rPr>
                <w:sz w:val="18"/>
                <w:szCs w:val="18"/>
              </w:rPr>
              <w:t>Servicio auxiliar de cableado multipar</w:t>
            </w:r>
          </w:p>
          <w:p w:rsidR="008070B6" w:rsidRPr="00B0280B" w:rsidRDefault="008070B6" w:rsidP="00A148E2">
            <w:pPr>
              <w:pStyle w:val="TableTextLeft"/>
              <w:rPr>
                <w:sz w:val="18"/>
                <w:szCs w:val="18"/>
              </w:rPr>
            </w:pPr>
          </w:p>
        </w:tc>
        <w:tc>
          <w:tcPr>
            <w:tcW w:w="2508" w:type="pct"/>
          </w:tcPr>
          <w:p w:rsidR="008070B6" w:rsidRPr="00B0280B" w:rsidRDefault="008070B6" w:rsidP="00A148E2">
            <w:pPr>
              <w:pStyle w:val="TableTextRight"/>
              <w:jc w:val="left"/>
              <w:rPr>
                <w:sz w:val="18"/>
                <w:szCs w:val="18"/>
              </w:rPr>
            </w:pPr>
            <w:r w:rsidRPr="00B0280B">
              <w:rPr>
                <w:sz w:val="18"/>
                <w:szCs w:val="18"/>
              </w:rPr>
              <w:t xml:space="preserve">Número promedio de metros lineales </w:t>
            </w:r>
            <w:r w:rsidR="00FE611F" w:rsidRPr="00B0280B">
              <w:rPr>
                <w:sz w:val="18"/>
                <w:szCs w:val="18"/>
              </w:rPr>
              <w:t>por tablilla. Se emplea para el cálculo de los costos recurrentes del servicio auxiliar del cableado multipar.</w:t>
            </w:r>
          </w:p>
        </w:tc>
      </w:tr>
      <w:tr w:rsidR="008070B6" w:rsidRPr="00263104" w:rsidTr="00A148E2">
        <w:trPr>
          <w:cnfStyle w:val="000000100000" w:firstRow="0" w:lastRow="0" w:firstColumn="0" w:lastColumn="0" w:oddVBand="0" w:evenVBand="0" w:oddHBand="1" w:evenHBand="0" w:firstRowFirstColumn="0" w:firstRowLastColumn="0" w:lastRowFirstColumn="0" w:lastRowLastColumn="0"/>
          <w:trHeight w:val="20"/>
        </w:trPr>
        <w:tc>
          <w:tcPr>
            <w:tcW w:w="2492" w:type="pct"/>
          </w:tcPr>
          <w:p w:rsidR="008070B6" w:rsidRPr="00B0280B" w:rsidRDefault="00FE611F" w:rsidP="00A148E2">
            <w:pPr>
              <w:pStyle w:val="TableTextLeft"/>
              <w:rPr>
                <w:sz w:val="18"/>
                <w:szCs w:val="18"/>
              </w:rPr>
            </w:pPr>
            <w:r w:rsidRPr="00B0280B">
              <w:rPr>
                <w:sz w:val="18"/>
                <w:szCs w:val="18"/>
              </w:rPr>
              <w:t>Zona de coubicación</w:t>
            </w:r>
          </w:p>
        </w:tc>
        <w:tc>
          <w:tcPr>
            <w:tcW w:w="2508" w:type="pct"/>
          </w:tcPr>
          <w:p w:rsidR="008070B6" w:rsidRPr="00B0280B" w:rsidRDefault="00FE611F" w:rsidP="00A148E2">
            <w:pPr>
              <w:pStyle w:val="TableTextRight"/>
              <w:jc w:val="left"/>
              <w:rPr>
                <w:sz w:val="18"/>
                <w:szCs w:val="18"/>
              </w:rPr>
            </w:pPr>
            <w:r w:rsidRPr="00B0280B">
              <w:rPr>
                <w:sz w:val="18"/>
                <w:szCs w:val="18"/>
              </w:rPr>
              <w:t xml:space="preserve">Distribución (%) de las distintas zonas de coubicación. Se emplea para para el cálculo del costo del servicio de </w:t>
            </w:r>
            <w:r w:rsidR="005D2150" w:rsidRPr="00B0280B">
              <w:rPr>
                <w:sz w:val="18"/>
                <w:szCs w:val="18"/>
              </w:rPr>
              <w:t>coubic</w:t>
            </w:r>
            <w:r w:rsidRPr="00B0280B">
              <w:rPr>
                <w:sz w:val="18"/>
                <w:szCs w:val="18"/>
              </w:rPr>
              <w:t>ación.</w:t>
            </w:r>
          </w:p>
        </w:tc>
      </w:tr>
      <w:tr w:rsidR="008070B6" w:rsidRPr="00263104" w:rsidTr="00A148E2">
        <w:trPr>
          <w:trHeight w:val="20"/>
        </w:trPr>
        <w:tc>
          <w:tcPr>
            <w:tcW w:w="2492" w:type="pct"/>
          </w:tcPr>
          <w:p w:rsidR="008070B6" w:rsidRPr="00B0280B" w:rsidRDefault="0009462C" w:rsidP="00A148E2">
            <w:pPr>
              <w:pStyle w:val="TableTextLeft"/>
              <w:rPr>
                <w:sz w:val="18"/>
                <w:szCs w:val="18"/>
              </w:rPr>
            </w:pPr>
            <w:r w:rsidRPr="00B0280B">
              <w:rPr>
                <w:sz w:val="18"/>
                <w:szCs w:val="18"/>
              </w:rPr>
              <w:t>Instalación de la acometida de cobre</w:t>
            </w:r>
          </w:p>
        </w:tc>
        <w:tc>
          <w:tcPr>
            <w:tcW w:w="2508" w:type="pct"/>
          </w:tcPr>
          <w:p w:rsidR="008070B6" w:rsidRPr="00B0280B" w:rsidRDefault="005D2150" w:rsidP="00A148E2">
            <w:pPr>
              <w:pStyle w:val="TableTextRight"/>
              <w:jc w:val="left"/>
              <w:rPr>
                <w:sz w:val="18"/>
                <w:szCs w:val="18"/>
              </w:rPr>
            </w:pPr>
            <w:r w:rsidRPr="00B0280B">
              <w:rPr>
                <w:sz w:val="18"/>
                <w:szCs w:val="18"/>
              </w:rPr>
              <w:t>P</w:t>
            </w:r>
            <w:r w:rsidR="0009462C" w:rsidRPr="00B0280B">
              <w:rPr>
                <w:sz w:val="18"/>
                <w:szCs w:val="18"/>
              </w:rPr>
              <w:t>o</w:t>
            </w:r>
            <w:r w:rsidRPr="00B0280B">
              <w:rPr>
                <w:sz w:val="18"/>
                <w:szCs w:val="18"/>
              </w:rPr>
              <w:t>r</w:t>
            </w:r>
            <w:r w:rsidR="0009462C" w:rsidRPr="00B0280B">
              <w:rPr>
                <w:sz w:val="18"/>
                <w:szCs w:val="18"/>
              </w:rPr>
              <w:t>centaje (%) de clientes que requieren de la instalación</w:t>
            </w:r>
          </w:p>
        </w:tc>
      </w:tr>
      <w:tr w:rsidR="008070B6" w:rsidRPr="00263104" w:rsidTr="00A148E2">
        <w:trPr>
          <w:cnfStyle w:val="000000100000" w:firstRow="0" w:lastRow="0" w:firstColumn="0" w:lastColumn="0" w:oddVBand="0" w:evenVBand="0" w:oddHBand="1" w:evenHBand="0" w:firstRowFirstColumn="0" w:firstRowLastColumn="0" w:lastRowFirstColumn="0" w:lastRowLastColumn="0"/>
          <w:trHeight w:val="20"/>
        </w:trPr>
        <w:tc>
          <w:tcPr>
            <w:tcW w:w="2492" w:type="pct"/>
          </w:tcPr>
          <w:p w:rsidR="008070B6" w:rsidRPr="00B0280B" w:rsidRDefault="0009462C" w:rsidP="00A148E2">
            <w:pPr>
              <w:pStyle w:val="TableTextLeft"/>
              <w:rPr>
                <w:sz w:val="18"/>
                <w:szCs w:val="18"/>
              </w:rPr>
            </w:pPr>
            <w:r w:rsidRPr="00B0280B">
              <w:rPr>
                <w:sz w:val="18"/>
                <w:szCs w:val="18"/>
              </w:rPr>
              <w:t>Instalación de la acometida de fibra</w:t>
            </w:r>
          </w:p>
        </w:tc>
        <w:tc>
          <w:tcPr>
            <w:tcW w:w="2508" w:type="pct"/>
          </w:tcPr>
          <w:p w:rsidR="008070B6" w:rsidRPr="00B0280B" w:rsidRDefault="005D2150" w:rsidP="00A148E2">
            <w:pPr>
              <w:pStyle w:val="TableTextRight"/>
              <w:jc w:val="left"/>
              <w:rPr>
                <w:sz w:val="18"/>
                <w:szCs w:val="18"/>
              </w:rPr>
            </w:pPr>
            <w:r w:rsidRPr="00B0280B">
              <w:rPr>
                <w:sz w:val="18"/>
                <w:szCs w:val="18"/>
              </w:rPr>
              <w:t>P</w:t>
            </w:r>
            <w:r w:rsidR="0009462C" w:rsidRPr="00B0280B">
              <w:rPr>
                <w:sz w:val="18"/>
                <w:szCs w:val="18"/>
              </w:rPr>
              <w:t>o</w:t>
            </w:r>
            <w:r w:rsidRPr="00B0280B">
              <w:rPr>
                <w:sz w:val="18"/>
                <w:szCs w:val="18"/>
              </w:rPr>
              <w:t>r</w:t>
            </w:r>
            <w:r w:rsidR="0009462C" w:rsidRPr="00B0280B">
              <w:rPr>
                <w:sz w:val="18"/>
                <w:szCs w:val="18"/>
              </w:rPr>
              <w:t>centaje (%) de clientes que requieren de la instalación</w:t>
            </w:r>
          </w:p>
        </w:tc>
      </w:tr>
      <w:tr w:rsidR="005D2150" w:rsidRPr="00263104" w:rsidTr="00A148E2">
        <w:trPr>
          <w:trHeight w:val="20"/>
        </w:trPr>
        <w:tc>
          <w:tcPr>
            <w:tcW w:w="2492" w:type="pct"/>
          </w:tcPr>
          <w:p w:rsidR="005D2150" w:rsidRPr="00B0280B" w:rsidRDefault="005D2150" w:rsidP="00A148E2">
            <w:pPr>
              <w:pStyle w:val="TableTextLeft"/>
              <w:rPr>
                <w:sz w:val="18"/>
                <w:szCs w:val="18"/>
              </w:rPr>
            </w:pPr>
            <w:r w:rsidRPr="00B0280B">
              <w:rPr>
                <w:sz w:val="18"/>
                <w:szCs w:val="18"/>
              </w:rPr>
              <w:t>Visita en falso</w:t>
            </w:r>
          </w:p>
        </w:tc>
        <w:tc>
          <w:tcPr>
            <w:tcW w:w="2508" w:type="pct"/>
          </w:tcPr>
          <w:p w:rsidR="005D2150" w:rsidRPr="00B0280B" w:rsidRDefault="005D2150" w:rsidP="00A148E2">
            <w:pPr>
              <w:pStyle w:val="TableTextRight"/>
              <w:jc w:val="left"/>
              <w:rPr>
                <w:sz w:val="18"/>
                <w:szCs w:val="18"/>
              </w:rPr>
            </w:pPr>
            <w:r w:rsidRPr="00B0280B">
              <w:rPr>
                <w:sz w:val="18"/>
                <w:szCs w:val="18"/>
              </w:rPr>
              <w:t>Porcentaje (%) de clientes para los que debe llevarse a cabo una visita en falso</w:t>
            </w:r>
          </w:p>
        </w:tc>
      </w:tr>
      <w:tr w:rsidR="005D2150" w:rsidRPr="00263104" w:rsidTr="00A148E2">
        <w:trPr>
          <w:cnfStyle w:val="000000100000" w:firstRow="0" w:lastRow="0" w:firstColumn="0" w:lastColumn="0" w:oddVBand="0" w:evenVBand="0" w:oddHBand="1" w:evenHBand="0" w:firstRowFirstColumn="0" w:firstRowLastColumn="0" w:lastRowFirstColumn="0" w:lastRowLastColumn="0"/>
          <w:trHeight w:val="20"/>
        </w:trPr>
        <w:tc>
          <w:tcPr>
            <w:tcW w:w="2492" w:type="pct"/>
          </w:tcPr>
          <w:p w:rsidR="005D2150" w:rsidRPr="00B0280B" w:rsidRDefault="005D2150" w:rsidP="00A148E2">
            <w:pPr>
              <w:pStyle w:val="TableTextLeft"/>
              <w:rPr>
                <w:sz w:val="18"/>
                <w:szCs w:val="18"/>
              </w:rPr>
            </w:pPr>
            <w:r w:rsidRPr="00B0280B">
              <w:rPr>
                <w:sz w:val="18"/>
                <w:szCs w:val="18"/>
              </w:rPr>
              <w:t>Cableado interior</w:t>
            </w:r>
          </w:p>
        </w:tc>
        <w:tc>
          <w:tcPr>
            <w:tcW w:w="2508" w:type="pct"/>
          </w:tcPr>
          <w:p w:rsidR="005D2150" w:rsidRPr="00B0280B" w:rsidRDefault="005D2150" w:rsidP="00A148E2">
            <w:pPr>
              <w:pStyle w:val="TableTextRight"/>
              <w:jc w:val="left"/>
              <w:rPr>
                <w:sz w:val="18"/>
                <w:szCs w:val="18"/>
              </w:rPr>
            </w:pPr>
            <w:r w:rsidRPr="00B0280B">
              <w:rPr>
                <w:sz w:val="18"/>
                <w:szCs w:val="18"/>
              </w:rPr>
              <w:t>Porcentaje (%) de clientes que requieren de cableado interior</w:t>
            </w:r>
          </w:p>
        </w:tc>
      </w:tr>
      <w:tr w:rsidR="008070B6" w:rsidRPr="00263104" w:rsidTr="00A148E2">
        <w:trPr>
          <w:trHeight w:val="20"/>
        </w:trPr>
        <w:tc>
          <w:tcPr>
            <w:tcW w:w="2492" w:type="pct"/>
          </w:tcPr>
          <w:p w:rsidR="008070B6" w:rsidRPr="00B0280B" w:rsidRDefault="005D2150" w:rsidP="00A148E2">
            <w:pPr>
              <w:pStyle w:val="TableTextLeft"/>
              <w:rPr>
                <w:sz w:val="18"/>
                <w:szCs w:val="18"/>
              </w:rPr>
            </w:pPr>
            <w:r w:rsidRPr="00B0280B">
              <w:rPr>
                <w:sz w:val="18"/>
                <w:szCs w:val="18"/>
              </w:rPr>
              <w:t>Atención de avería inexistente por reporte de falla</w:t>
            </w:r>
          </w:p>
        </w:tc>
        <w:tc>
          <w:tcPr>
            <w:tcW w:w="2508" w:type="pct"/>
          </w:tcPr>
          <w:p w:rsidR="008070B6" w:rsidRPr="00B0280B" w:rsidRDefault="005D2150" w:rsidP="00A148E2">
            <w:pPr>
              <w:pStyle w:val="TableTextRight"/>
              <w:jc w:val="left"/>
              <w:rPr>
                <w:sz w:val="18"/>
                <w:szCs w:val="18"/>
              </w:rPr>
            </w:pPr>
            <w:r w:rsidRPr="00B0280B">
              <w:rPr>
                <w:sz w:val="18"/>
                <w:szCs w:val="18"/>
              </w:rPr>
              <w:t>Porcentaje (%) de clientes para los que se atiende una avería inexistente</w:t>
            </w:r>
          </w:p>
        </w:tc>
      </w:tr>
    </w:tbl>
    <w:p w:rsidR="00353A61" w:rsidRPr="00353A61" w:rsidRDefault="00353A61" w:rsidP="00A148E2">
      <w:pPr>
        <w:pStyle w:val="Source"/>
      </w:pPr>
      <w:r>
        <w:t>Fuente</w:t>
      </w:r>
      <w:r w:rsidRPr="001631D3">
        <w:t xml:space="preserve">: </w:t>
      </w:r>
      <w:r>
        <w:tab/>
      </w:r>
      <w:r w:rsidR="005D2150">
        <w:t>Frontier Economics</w:t>
      </w:r>
    </w:p>
    <w:p w:rsidR="00C8183A" w:rsidRDefault="00C8183A" w:rsidP="00C8183A">
      <w:pPr>
        <w:pStyle w:val="Ttulo1"/>
      </w:pPr>
      <w:bookmarkStart w:id="22" w:name="_Toc485157531"/>
      <w:r>
        <w:lastRenderedPageBreak/>
        <w:t>Actualización del modelo</w:t>
      </w:r>
      <w:bookmarkEnd w:id="22"/>
    </w:p>
    <w:p w:rsidR="00C8183A" w:rsidRDefault="00C8183A" w:rsidP="00C8183A">
      <w:pPr>
        <w:pStyle w:val="Ttulo2"/>
      </w:pPr>
      <w:bookmarkStart w:id="23" w:name="_Toc485157532"/>
      <w:r>
        <w:t>Información requerida</w:t>
      </w:r>
      <w:bookmarkEnd w:id="23"/>
    </w:p>
    <w:p w:rsidR="00C8183A" w:rsidRDefault="00C8183A" w:rsidP="00C8183A">
      <w:pPr>
        <w:pStyle w:val="Ttulo3"/>
      </w:pPr>
      <w:r>
        <w:t>Por parte del AEP</w:t>
      </w:r>
    </w:p>
    <w:p w:rsidR="00C8183A" w:rsidRDefault="00C8183A" w:rsidP="00C8183A">
      <w:r>
        <w:t xml:space="preserve">El modelo se nutre de información provista por parte del AEP para proyectar los flujos de ingresos y de costos </w:t>
      </w:r>
      <w:r w:rsidR="005E7E80">
        <w:t>aguas abajo</w:t>
      </w:r>
      <w:r>
        <w:t xml:space="preserve"> </w:t>
      </w:r>
    </w:p>
    <w:p w:rsidR="00C8183A" w:rsidRDefault="00C8183A" w:rsidP="00C8183A">
      <w:r>
        <w:t>Para el cálculo del flujo de ingresos, el AEP deberá proyectar la siguiente información de la oferta, a nivel mensual:</w:t>
      </w:r>
    </w:p>
    <w:p w:rsidR="00C8183A" w:rsidRDefault="00C8183A" w:rsidP="00C8183A">
      <w:pPr>
        <w:pStyle w:val="ParaBullet1"/>
      </w:pPr>
      <w:r>
        <w:t>Suscriptores promedio</w:t>
      </w:r>
      <w:r w:rsidR="00D528B8">
        <w:t>;</w:t>
      </w:r>
    </w:p>
    <w:p w:rsidR="00C8183A" w:rsidRDefault="00C8183A" w:rsidP="00C8183A">
      <w:pPr>
        <w:pStyle w:val="ParaBullet1"/>
      </w:pPr>
      <w:r>
        <w:t>Altas nuevas previstas durante el período</w:t>
      </w:r>
      <w:r w:rsidR="00D528B8">
        <w:t>;</w:t>
      </w:r>
    </w:p>
    <w:p w:rsidR="00C8183A" w:rsidRDefault="00C8183A" w:rsidP="00C8183A">
      <w:pPr>
        <w:pStyle w:val="ParaBullet1"/>
      </w:pPr>
      <w:r>
        <w:t>Precios previstos ($)</w:t>
      </w:r>
      <w:r w:rsidR="00D528B8">
        <w:t>:</w:t>
      </w:r>
    </w:p>
    <w:p w:rsidR="00C8183A" w:rsidRDefault="00C8183A" w:rsidP="00C8183A">
      <w:pPr>
        <w:pStyle w:val="ParaBullet2"/>
      </w:pPr>
      <w:r>
        <w:t>No recurrentes</w:t>
      </w:r>
      <w:r w:rsidR="00D528B8">
        <w:t>:</w:t>
      </w:r>
    </w:p>
    <w:p w:rsidR="00C8183A" w:rsidRDefault="00C8183A" w:rsidP="00C8183A">
      <w:pPr>
        <w:pStyle w:val="ParaBullet3"/>
      </w:pPr>
      <w:r>
        <w:t>Cuota de instalación</w:t>
      </w:r>
      <w:r w:rsidR="00F67EAF">
        <w:t>;</w:t>
      </w:r>
    </w:p>
    <w:p w:rsidR="00C8183A" w:rsidRDefault="00C8183A" w:rsidP="00C8183A">
      <w:pPr>
        <w:pStyle w:val="ParaBullet3"/>
      </w:pPr>
      <w:r>
        <w:t>Cuota de alta</w:t>
      </w:r>
      <w:r w:rsidR="00F67EAF">
        <w:t>;</w:t>
      </w:r>
    </w:p>
    <w:p w:rsidR="00C8183A" w:rsidRDefault="00C8183A" w:rsidP="00C8183A">
      <w:pPr>
        <w:pStyle w:val="ParaBullet3"/>
      </w:pPr>
      <w:r>
        <w:t>Aparatos</w:t>
      </w:r>
      <w:r w:rsidR="003D73B9">
        <w:t>; y</w:t>
      </w:r>
    </w:p>
    <w:p w:rsidR="00C8183A" w:rsidRDefault="00C8183A" w:rsidP="00C8183A">
      <w:pPr>
        <w:pStyle w:val="ParaBullet3"/>
      </w:pPr>
      <w:r>
        <w:t>Otros</w:t>
      </w:r>
      <w:r w:rsidR="00F67EAF">
        <w:t>.</w:t>
      </w:r>
    </w:p>
    <w:p w:rsidR="00C8183A" w:rsidRDefault="00C8183A" w:rsidP="00C8183A">
      <w:pPr>
        <w:pStyle w:val="ParaBullet2"/>
      </w:pPr>
      <w:r>
        <w:t xml:space="preserve">Recurrentes (pagos </w:t>
      </w:r>
      <w:r w:rsidR="00F87F34">
        <w:t>mensuales</w:t>
      </w:r>
      <w:r>
        <w:t xml:space="preserve"> promedio)</w:t>
      </w:r>
      <w:r w:rsidR="00D528B8">
        <w:t>:</w:t>
      </w:r>
    </w:p>
    <w:p w:rsidR="00C8183A" w:rsidRDefault="00C8183A" w:rsidP="00C8183A">
      <w:pPr>
        <w:pStyle w:val="ParaBullet3"/>
      </w:pPr>
      <w:r>
        <w:t>Renta mensual</w:t>
      </w:r>
      <w:r w:rsidR="00F67EAF">
        <w:t>;</w:t>
      </w:r>
    </w:p>
    <w:p w:rsidR="00C8183A" w:rsidRDefault="00C8183A" w:rsidP="00C8183A">
      <w:pPr>
        <w:pStyle w:val="ParaBullet3"/>
      </w:pPr>
      <w:r>
        <w:lastRenderedPageBreak/>
        <w:t>Alquiler de equipos</w:t>
      </w:r>
      <w:r w:rsidR="003D73B9">
        <w:t>; y</w:t>
      </w:r>
      <w:r w:rsidR="00F67EAF">
        <w:t xml:space="preserve"> </w:t>
      </w:r>
    </w:p>
    <w:p w:rsidR="00C8183A" w:rsidRDefault="00C8183A" w:rsidP="00C8183A">
      <w:pPr>
        <w:pStyle w:val="ParaBullet3"/>
      </w:pPr>
      <w:r>
        <w:t>Otros (Claro video, etc.)</w:t>
      </w:r>
      <w:r w:rsidR="00F67EAF">
        <w:t>.</w:t>
      </w:r>
    </w:p>
    <w:p w:rsidR="00C8183A" w:rsidRDefault="00C8183A" w:rsidP="00C8183A">
      <w:pPr>
        <w:pStyle w:val="ParaBullet2"/>
      </w:pPr>
      <w:r>
        <w:t>Establecimiento de llamada</w:t>
      </w:r>
      <w:r w:rsidR="00D528B8">
        <w:t>:</w:t>
      </w:r>
    </w:p>
    <w:p w:rsidR="00C8183A" w:rsidRDefault="00C8183A" w:rsidP="00C8183A">
      <w:pPr>
        <w:pStyle w:val="ParaBullet3"/>
      </w:pPr>
      <w:r>
        <w:t>Locales</w:t>
      </w:r>
      <w:r w:rsidR="00F67EAF">
        <w:t>;</w:t>
      </w:r>
    </w:p>
    <w:p w:rsidR="00C8183A" w:rsidRDefault="00C8183A" w:rsidP="00C8183A">
      <w:pPr>
        <w:pStyle w:val="ParaBullet3"/>
      </w:pPr>
      <w:r>
        <w:t>Celular</w:t>
      </w:r>
      <w:r w:rsidR="00F67EAF">
        <w:t>;</w:t>
      </w:r>
    </w:p>
    <w:p w:rsidR="00C8183A" w:rsidRDefault="00C8183A" w:rsidP="00C8183A">
      <w:pPr>
        <w:pStyle w:val="ParaBullet3"/>
      </w:pPr>
      <w:r>
        <w:t>LADA internacional</w:t>
      </w:r>
      <w:r w:rsidR="00F67EAF">
        <w:t>;</w:t>
      </w:r>
    </w:p>
    <w:p w:rsidR="00C8183A" w:rsidRDefault="00C8183A" w:rsidP="00C8183A">
      <w:pPr>
        <w:pStyle w:val="ParaBullet3"/>
      </w:pPr>
      <w:r>
        <w:t>LADA mundial</w:t>
      </w:r>
      <w:r w:rsidR="003D73B9">
        <w:t>; y</w:t>
      </w:r>
    </w:p>
    <w:p w:rsidR="00C8183A" w:rsidRDefault="00C8183A" w:rsidP="00C8183A">
      <w:pPr>
        <w:pStyle w:val="ParaBullet3"/>
      </w:pPr>
      <w:r>
        <w:t>Números especiales</w:t>
      </w:r>
      <w:r w:rsidR="00F67EAF">
        <w:t>.</w:t>
      </w:r>
    </w:p>
    <w:p w:rsidR="00C8183A" w:rsidRDefault="00C8183A" w:rsidP="00C8183A">
      <w:pPr>
        <w:pStyle w:val="ParaBullet2"/>
      </w:pPr>
      <w:r>
        <w:t>Tarifa por minuto</w:t>
      </w:r>
      <w:r w:rsidR="00D528B8">
        <w:t>:</w:t>
      </w:r>
    </w:p>
    <w:p w:rsidR="00C8183A" w:rsidRDefault="00C8183A" w:rsidP="00C8183A">
      <w:pPr>
        <w:pStyle w:val="ParaBullet3"/>
      </w:pPr>
      <w:r>
        <w:t>Locales</w:t>
      </w:r>
      <w:r w:rsidR="00F67EAF">
        <w:t>;</w:t>
      </w:r>
    </w:p>
    <w:p w:rsidR="00C8183A" w:rsidRDefault="00C8183A" w:rsidP="00C8183A">
      <w:pPr>
        <w:pStyle w:val="ParaBullet3"/>
      </w:pPr>
      <w:r>
        <w:t>Celular</w:t>
      </w:r>
      <w:r w:rsidR="00F67EAF">
        <w:t>;</w:t>
      </w:r>
    </w:p>
    <w:p w:rsidR="00C8183A" w:rsidRDefault="00C8183A" w:rsidP="00C8183A">
      <w:pPr>
        <w:pStyle w:val="ParaBullet3"/>
      </w:pPr>
      <w:r>
        <w:t>LADA internacional</w:t>
      </w:r>
      <w:r w:rsidR="00F67EAF">
        <w:t>;</w:t>
      </w:r>
    </w:p>
    <w:p w:rsidR="00C8183A" w:rsidRDefault="00C8183A" w:rsidP="00C8183A">
      <w:pPr>
        <w:pStyle w:val="ParaBullet3"/>
      </w:pPr>
      <w:r>
        <w:t>LADA mundial</w:t>
      </w:r>
      <w:r w:rsidR="003D73B9">
        <w:t>; y</w:t>
      </w:r>
    </w:p>
    <w:p w:rsidR="00C8183A" w:rsidRDefault="00C8183A" w:rsidP="00C8183A">
      <w:pPr>
        <w:pStyle w:val="ParaBullet3"/>
      </w:pPr>
      <w:r>
        <w:t>Números especiales</w:t>
      </w:r>
      <w:r w:rsidR="00F67EAF">
        <w:t>.</w:t>
      </w:r>
    </w:p>
    <w:p w:rsidR="003D77C4" w:rsidRDefault="003D77C4" w:rsidP="003D77C4">
      <w:pPr>
        <w:pStyle w:val="ParaBullet2"/>
        <w:numPr>
          <w:ilvl w:val="0"/>
          <w:numId w:val="0"/>
        </w:numPr>
        <w:ind w:left="680"/>
      </w:pPr>
    </w:p>
    <w:p w:rsidR="00C8183A" w:rsidRDefault="00C8183A" w:rsidP="00C8183A">
      <w:pPr>
        <w:pStyle w:val="ParaBullet2"/>
      </w:pPr>
      <w:r>
        <w:t>Número de llamadas gratuitas</w:t>
      </w:r>
      <w:r w:rsidR="00D528B8">
        <w:t>:</w:t>
      </w:r>
    </w:p>
    <w:p w:rsidR="00C8183A" w:rsidRDefault="00C8183A" w:rsidP="00C8183A">
      <w:pPr>
        <w:pStyle w:val="ParaBullet3"/>
      </w:pPr>
      <w:r>
        <w:t>Locales</w:t>
      </w:r>
      <w:r w:rsidR="00F67EAF">
        <w:t>;</w:t>
      </w:r>
    </w:p>
    <w:p w:rsidR="00C8183A" w:rsidRDefault="00C8183A" w:rsidP="00C8183A">
      <w:pPr>
        <w:pStyle w:val="ParaBullet3"/>
      </w:pPr>
      <w:r>
        <w:t>Celular</w:t>
      </w:r>
      <w:r w:rsidR="00F67EAF">
        <w:t>;</w:t>
      </w:r>
    </w:p>
    <w:p w:rsidR="00C8183A" w:rsidRDefault="00C8183A" w:rsidP="00C8183A">
      <w:pPr>
        <w:pStyle w:val="ParaBullet3"/>
      </w:pPr>
      <w:r>
        <w:lastRenderedPageBreak/>
        <w:t>LADA internacional</w:t>
      </w:r>
      <w:r w:rsidR="00F67EAF">
        <w:t>;</w:t>
      </w:r>
    </w:p>
    <w:p w:rsidR="00C8183A" w:rsidRDefault="00C8183A" w:rsidP="00C8183A">
      <w:pPr>
        <w:pStyle w:val="ParaBullet3"/>
      </w:pPr>
      <w:r>
        <w:t>LADA mundial</w:t>
      </w:r>
      <w:r w:rsidR="003D73B9">
        <w:t>; y</w:t>
      </w:r>
    </w:p>
    <w:p w:rsidR="00C8183A" w:rsidRDefault="00C8183A" w:rsidP="00C8183A">
      <w:pPr>
        <w:pStyle w:val="ParaBullet3"/>
      </w:pPr>
      <w:r>
        <w:t>Números especiales</w:t>
      </w:r>
      <w:r w:rsidR="00F67EAF">
        <w:t>.</w:t>
      </w:r>
    </w:p>
    <w:p w:rsidR="00C8183A" w:rsidRDefault="00C8183A" w:rsidP="00C8183A">
      <w:pPr>
        <w:pStyle w:val="ParaBullet2"/>
      </w:pPr>
      <w:r>
        <w:t>Minutos gratuitos</w:t>
      </w:r>
      <w:r w:rsidR="00D528B8">
        <w:t>:</w:t>
      </w:r>
    </w:p>
    <w:p w:rsidR="00C8183A" w:rsidRDefault="00C8183A" w:rsidP="00C8183A">
      <w:pPr>
        <w:pStyle w:val="ParaBullet3"/>
      </w:pPr>
      <w:r>
        <w:t>Locales</w:t>
      </w:r>
      <w:r w:rsidR="00F67EAF">
        <w:t>;</w:t>
      </w:r>
    </w:p>
    <w:p w:rsidR="00C8183A" w:rsidRDefault="00C8183A" w:rsidP="00C8183A">
      <w:pPr>
        <w:pStyle w:val="ParaBullet3"/>
      </w:pPr>
      <w:r>
        <w:t>Celular</w:t>
      </w:r>
      <w:r w:rsidR="00F67EAF">
        <w:t>;</w:t>
      </w:r>
    </w:p>
    <w:p w:rsidR="00C8183A" w:rsidRDefault="00C8183A" w:rsidP="00C8183A">
      <w:pPr>
        <w:pStyle w:val="ParaBullet3"/>
      </w:pPr>
      <w:r>
        <w:t>LADA internacional</w:t>
      </w:r>
      <w:r w:rsidR="00F67EAF">
        <w:t>;</w:t>
      </w:r>
    </w:p>
    <w:p w:rsidR="00C8183A" w:rsidRDefault="00C8183A" w:rsidP="00C8183A">
      <w:pPr>
        <w:pStyle w:val="ParaBullet3"/>
      </w:pPr>
      <w:r>
        <w:t>LADA mundial</w:t>
      </w:r>
      <w:r w:rsidR="003D73B9">
        <w:t>; y</w:t>
      </w:r>
    </w:p>
    <w:p w:rsidR="00C8183A" w:rsidRDefault="00C8183A" w:rsidP="00C8183A">
      <w:pPr>
        <w:pStyle w:val="ParaBullet3"/>
      </w:pPr>
      <w:r>
        <w:t>Números especiales</w:t>
      </w:r>
      <w:r w:rsidR="00F67EAF">
        <w:t>.</w:t>
      </w:r>
    </w:p>
    <w:p w:rsidR="00C8183A" w:rsidRDefault="00C8183A" w:rsidP="00C8183A">
      <w:pPr>
        <w:pStyle w:val="ParaBullet1"/>
      </w:pPr>
      <w:r>
        <w:t xml:space="preserve"> Pauta de consumo prevista</w:t>
      </w:r>
      <w:r w:rsidR="00D528B8">
        <w:t>:</w:t>
      </w:r>
    </w:p>
    <w:p w:rsidR="00C8183A" w:rsidRDefault="00C8183A" w:rsidP="00C8183A">
      <w:pPr>
        <w:pStyle w:val="ParaBullet2"/>
      </w:pPr>
      <w:r>
        <w:t>Número de llamadas promedio</w:t>
      </w:r>
      <w:r w:rsidR="00D528B8">
        <w:t>:</w:t>
      </w:r>
    </w:p>
    <w:p w:rsidR="00C8183A" w:rsidRDefault="00C8183A" w:rsidP="00C8183A">
      <w:pPr>
        <w:pStyle w:val="ParaBullet3"/>
      </w:pPr>
      <w:r>
        <w:t>Locales</w:t>
      </w:r>
      <w:r w:rsidR="00F67EAF">
        <w:t>;</w:t>
      </w:r>
    </w:p>
    <w:p w:rsidR="00C8183A" w:rsidRDefault="00C8183A" w:rsidP="00C8183A">
      <w:pPr>
        <w:pStyle w:val="ParaBullet3"/>
      </w:pPr>
      <w:r>
        <w:t>Celular</w:t>
      </w:r>
      <w:r w:rsidR="00F67EAF">
        <w:t>;</w:t>
      </w:r>
    </w:p>
    <w:p w:rsidR="00C8183A" w:rsidRDefault="00C8183A" w:rsidP="00C8183A">
      <w:pPr>
        <w:pStyle w:val="ParaBullet3"/>
      </w:pPr>
      <w:r>
        <w:t>LADA internacional</w:t>
      </w:r>
      <w:r w:rsidR="00F67EAF">
        <w:t>;</w:t>
      </w:r>
    </w:p>
    <w:p w:rsidR="00C8183A" w:rsidRDefault="00C8183A" w:rsidP="00C8183A">
      <w:pPr>
        <w:pStyle w:val="ParaBullet3"/>
      </w:pPr>
      <w:r>
        <w:t>LADA mundial</w:t>
      </w:r>
      <w:r w:rsidR="003D73B9">
        <w:t>; y</w:t>
      </w:r>
    </w:p>
    <w:p w:rsidR="00C8183A" w:rsidRDefault="00C8183A" w:rsidP="00C8183A">
      <w:pPr>
        <w:pStyle w:val="ParaBullet3"/>
      </w:pPr>
      <w:r>
        <w:t>Números especiales</w:t>
      </w:r>
      <w:r w:rsidR="00F67EAF">
        <w:t>.</w:t>
      </w:r>
    </w:p>
    <w:p w:rsidR="00C8183A" w:rsidRDefault="00C8183A" w:rsidP="00C8183A">
      <w:pPr>
        <w:pStyle w:val="ParaBullet2"/>
      </w:pPr>
      <w:r>
        <w:t>Minutos por llamada promedio</w:t>
      </w:r>
      <w:r w:rsidR="00D528B8">
        <w:t>:</w:t>
      </w:r>
    </w:p>
    <w:p w:rsidR="00C8183A" w:rsidRDefault="00C8183A" w:rsidP="00C8183A">
      <w:pPr>
        <w:pStyle w:val="ParaBullet3"/>
      </w:pPr>
      <w:r>
        <w:t>Locales</w:t>
      </w:r>
      <w:r w:rsidR="00F67EAF">
        <w:t>;</w:t>
      </w:r>
    </w:p>
    <w:p w:rsidR="00C8183A" w:rsidRDefault="00C8183A" w:rsidP="00C8183A">
      <w:pPr>
        <w:pStyle w:val="ParaBullet3"/>
      </w:pPr>
      <w:r>
        <w:lastRenderedPageBreak/>
        <w:t>Celular</w:t>
      </w:r>
      <w:r w:rsidR="00F67EAF">
        <w:t>;</w:t>
      </w:r>
    </w:p>
    <w:p w:rsidR="00C8183A" w:rsidRDefault="00C8183A" w:rsidP="00C8183A">
      <w:pPr>
        <w:pStyle w:val="ParaBullet3"/>
      </w:pPr>
      <w:r>
        <w:t>LADA internacional</w:t>
      </w:r>
      <w:r w:rsidR="00F67EAF">
        <w:t>;</w:t>
      </w:r>
    </w:p>
    <w:p w:rsidR="00C8183A" w:rsidRDefault="00C8183A" w:rsidP="00C8183A">
      <w:pPr>
        <w:pStyle w:val="ParaBullet3"/>
      </w:pPr>
      <w:r>
        <w:t>LADA mundial</w:t>
      </w:r>
      <w:r w:rsidR="003D73B9">
        <w:t>; y</w:t>
      </w:r>
    </w:p>
    <w:p w:rsidR="00C8183A" w:rsidRDefault="00C8183A" w:rsidP="00C8183A">
      <w:pPr>
        <w:pStyle w:val="ParaBullet3"/>
      </w:pPr>
      <w:r>
        <w:t>Números especiales</w:t>
      </w:r>
      <w:r w:rsidR="00F67EAF">
        <w:t>.</w:t>
      </w:r>
    </w:p>
    <w:p w:rsidR="00C8183A" w:rsidRDefault="00C8183A" w:rsidP="00C8183A">
      <w:pPr>
        <w:pStyle w:val="ParaBullet1"/>
        <w:numPr>
          <w:ilvl w:val="0"/>
          <w:numId w:val="0"/>
        </w:numPr>
      </w:pPr>
      <w:r>
        <w:t xml:space="preserve">Para llevar a cabo la asignación de costos </w:t>
      </w:r>
      <w:r w:rsidR="005E7E80">
        <w:t>aguas abajo</w:t>
      </w:r>
      <w:r>
        <w:t>, el AEP deberá proyectar la siguiente información en relación a cada uno de los segmentos de velocidad definidos en la separación contable:</w:t>
      </w:r>
    </w:p>
    <w:p w:rsidR="00C8183A" w:rsidRDefault="00C8183A" w:rsidP="00C8183A">
      <w:pPr>
        <w:pStyle w:val="ParaBullet1"/>
      </w:pPr>
      <w:r>
        <w:t>Velocidad de descarga promedio</w:t>
      </w:r>
      <w:r w:rsidR="00F67EAF">
        <w:t>;</w:t>
      </w:r>
    </w:p>
    <w:p w:rsidR="00C8183A" w:rsidRDefault="00C8183A" w:rsidP="00C8183A">
      <w:pPr>
        <w:pStyle w:val="ParaBullet1"/>
      </w:pPr>
      <w:r w:rsidRPr="008C095D">
        <w:t>Factor de contención promedio según segmento de velocidad</w:t>
      </w:r>
      <w:r w:rsidR="0087418B">
        <w:t>.</w:t>
      </w:r>
    </w:p>
    <w:p w:rsidR="00C8183A" w:rsidRDefault="00C8183A" w:rsidP="00C8183A">
      <w:pPr>
        <w:pStyle w:val="ParaBullet1"/>
      </w:pPr>
      <w:r w:rsidRPr="008C095D">
        <w:t>Su</w:t>
      </w:r>
      <w:r>
        <w:t>s</w:t>
      </w:r>
      <w:r w:rsidRPr="008C095D">
        <w:t>cript</w:t>
      </w:r>
      <w:r>
        <w:t>ores</w:t>
      </w:r>
      <w:r w:rsidR="00D528B8">
        <w:t>:</w:t>
      </w:r>
    </w:p>
    <w:p w:rsidR="00C8183A" w:rsidRDefault="00C8183A" w:rsidP="00C8183A">
      <w:pPr>
        <w:pStyle w:val="ParaBullet2"/>
      </w:pPr>
      <w:r w:rsidRPr="008C095D">
        <w:t>Su</w:t>
      </w:r>
      <w:r>
        <w:t>s</w:t>
      </w:r>
      <w:r w:rsidRPr="008C095D">
        <w:t>criptores según tecnología</w:t>
      </w:r>
      <w:r>
        <w:t xml:space="preserve"> (cobre / fibra)</w:t>
      </w:r>
      <w:r w:rsidR="0087418B">
        <w:t>.</w:t>
      </w:r>
    </w:p>
    <w:p w:rsidR="00054812" w:rsidRDefault="00EC1510" w:rsidP="00054812">
      <w:pPr>
        <w:pStyle w:val="ParaBullet1"/>
      </w:pPr>
      <w:r>
        <w:t>Costos de la r</w:t>
      </w:r>
      <w:r w:rsidR="00054812">
        <w:t>ed de acceso</w:t>
      </w:r>
      <w:r w:rsidR="00D528B8">
        <w:t>:</w:t>
      </w:r>
    </w:p>
    <w:p w:rsidR="00374CE4" w:rsidRDefault="00374CE4" w:rsidP="00374CE4">
      <w:pPr>
        <w:pStyle w:val="ParaBullet2"/>
      </w:pPr>
      <w:r>
        <w:t>Acometida o conexión al domicilio del usuario final</w:t>
      </w:r>
      <w:r w:rsidR="0087418B">
        <w:t>;</w:t>
      </w:r>
    </w:p>
    <w:p w:rsidR="00374CE4" w:rsidRDefault="00374CE4" w:rsidP="00374CE4">
      <w:pPr>
        <w:pStyle w:val="ParaBullet2"/>
      </w:pPr>
      <w:r>
        <w:t>Red secundaria de cobre</w:t>
      </w:r>
      <w:r w:rsidR="0087418B">
        <w:t>;</w:t>
      </w:r>
    </w:p>
    <w:p w:rsidR="00374CE4" w:rsidRDefault="00374CE4" w:rsidP="00374CE4">
      <w:pPr>
        <w:pStyle w:val="ParaBullet2"/>
      </w:pPr>
      <w:r>
        <w:t>Red principal de cobre</w:t>
      </w:r>
      <w:r w:rsidR="0087418B">
        <w:t>;</w:t>
      </w:r>
    </w:p>
    <w:p w:rsidR="00374CE4" w:rsidRDefault="00374CE4" w:rsidP="00374CE4">
      <w:pPr>
        <w:pStyle w:val="ParaBullet2"/>
      </w:pPr>
      <w:r>
        <w:t>Red secundaria de fibra</w:t>
      </w:r>
      <w:r w:rsidR="0087418B">
        <w:t>;</w:t>
      </w:r>
    </w:p>
    <w:p w:rsidR="00374CE4" w:rsidRDefault="00374CE4" w:rsidP="00374CE4">
      <w:pPr>
        <w:pStyle w:val="ParaBullet2"/>
      </w:pPr>
      <w:r>
        <w:t>Red principal de fibra</w:t>
      </w:r>
      <w:r w:rsidR="0087418B">
        <w:t>;</w:t>
      </w:r>
    </w:p>
    <w:p w:rsidR="00374CE4" w:rsidRDefault="00374CE4" w:rsidP="00374CE4">
      <w:pPr>
        <w:pStyle w:val="ParaBullet2"/>
      </w:pPr>
      <w:r>
        <w:t>Ductos de red secundaria</w:t>
      </w:r>
      <w:r w:rsidR="0087418B">
        <w:t>;</w:t>
      </w:r>
      <w:r>
        <w:t xml:space="preserve"> </w:t>
      </w:r>
    </w:p>
    <w:p w:rsidR="00374CE4" w:rsidRDefault="00374CE4" w:rsidP="00374CE4">
      <w:pPr>
        <w:pStyle w:val="ParaBullet2"/>
      </w:pPr>
      <w:r>
        <w:lastRenderedPageBreak/>
        <w:t>Ductos de red principal</w:t>
      </w:r>
      <w:r w:rsidR="0087418B">
        <w:t>;</w:t>
      </w:r>
    </w:p>
    <w:p w:rsidR="00374CE4" w:rsidRDefault="00374CE4" w:rsidP="00374CE4">
      <w:pPr>
        <w:pStyle w:val="ParaBullet2"/>
      </w:pPr>
      <w:r>
        <w:t>Subductos</w:t>
      </w:r>
      <w:r w:rsidR="0087418B">
        <w:t>;</w:t>
      </w:r>
    </w:p>
    <w:p w:rsidR="00374CE4" w:rsidRDefault="00374CE4" w:rsidP="00374CE4">
      <w:pPr>
        <w:pStyle w:val="ParaBullet2"/>
      </w:pPr>
      <w:r>
        <w:t>Zanjas</w:t>
      </w:r>
      <w:r w:rsidR="0087418B">
        <w:t>;</w:t>
      </w:r>
    </w:p>
    <w:p w:rsidR="00374CE4" w:rsidRDefault="00374CE4" w:rsidP="00374CE4">
      <w:pPr>
        <w:pStyle w:val="ParaBullet2"/>
      </w:pPr>
      <w:r>
        <w:t>Postes; y</w:t>
      </w:r>
    </w:p>
    <w:p w:rsidR="00374CE4" w:rsidRDefault="00374CE4" w:rsidP="00374CE4">
      <w:pPr>
        <w:pStyle w:val="ParaBullet2"/>
      </w:pPr>
      <w:r>
        <w:t>Otros equipos de acceso</w:t>
      </w:r>
      <w:r w:rsidR="0087418B">
        <w:t>.</w:t>
      </w:r>
    </w:p>
    <w:p w:rsidR="00374CE4" w:rsidRDefault="00374CE4" w:rsidP="00374CE4">
      <w:pPr>
        <w:pStyle w:val="ParaBullet1"/>
      </w:pPr>
      <w:r>
        <w:t>Costos de la red de agregación y transporte</w:t>
      </w:r>
    </w:p>
    <w:p w:rsidR="00374CE4" w:rsidRDefault="00374CE4" w:rsidP="00374CE4">
      <w:pPr>
        <w:pStyle w:val="ParaBullet2"/>
      </w:pPr>
      <w:r>
        <w:t>Distribuidor General (MDF)</w:t>
      </w:r>
      <w:r w:rsidR="0087418B">
        <w:t>;</w:t>
      </w:r>
    </w:p>
    <w:p w:rsidR="00374CE4" w:rsidRDefault="00374CE4" w:rsidP="00374CE4">
      <w:pPr>
        <w:pStyle w:val="ParaBullet2"/>
      </w:pPr>
      <w:r>
        <w:t>Distribuidor de fibra óptica (ODF)</w:t>
      </w:r>
      <w:r w:rsidR="0087418B">
        <w:t>;</w:t>
      </w:r>
    </w:p>
    <w:p w:rsidR="00374CE4" w:rsidRDefault="00374CE4" w:rsidP="00374CE4">
      <w:pPr>
        <w:pStyle w:val="ParaBullet2"/>
      </w:pPr>
      <w:r>
        <w:t>DSLAM/MSAN</w:t>
      </w:r>
      <w:r w:rsidR="0087418B">
        <w:t>;</w:t>
      </w:r>
    </w:p>
    <w:p w:rsidR="00374CE4" w:rsidRDefault="00374CE4" w:rsidP="00374CE4">
      <w:pPr>
        <w:pStyle w:val="ParaBullet2"/>
      </w:pPr>
      <w:r>
        <w:t>Centrales locales</w:t>
      </w:r>
      <w:r w:rsidR="0087418B">
        <w:t>;</w:t>
      </w:r>
    </w:p>
    <w:p w:rsidR="00374CE4" w:rsidRDefault="00374CE4" w:rsidP="00374CE4">
      <w:pPr>
        <w:pStyle w:val="ParaBullet2"/>
      </w:pPr>
      <w:r>
        <w:t>Centrales regionales</w:t>
      </w:r>
      <w:r w:rsidR="0087418B">
        <w:t>;</w:t>
      </w:r>
    </w:p>
    <w:p w:rsidR="00374CE4" w:rsidRDefault="00374CE4" w:rsidP="00374CE4">
      <w:pPr>
        <w:pStyle w:val="ParaBullet2"/>
      </w:pPr>
      <w:r>
        <w:t>Centrales nacionales</w:t>
      </w:r>
      <w:r w:rsidR="0087418B">
        <w:t>;</w:t>
      </w:r>
    </w:p>
    <w:p w:rsidR="00374CE4" w:rsidRDefault="00374CE4" w:rsidP="00374CE4">
      <w:pPr>
        <w:pStyle w:val="ParaBullet2"/>
      </w:pPr>
      <w:r>
        <w:t>Centrales internacionales</w:t>
      </w:r>
      <w:r w:rsidR="0087418B">
        <w:t>;</w:t>
      </w:r>
    </w:p>
    <w:p w:rsidR="00374CE4" w:rsidRDefault="00374CE4" w:rsidP="00374CE4">
      <w:pPr>
        <w:pStyle w:val="ParaBullet2"/>
      </w:pPr>
      <w:r>
        <w:t>Routers edge</w:t>
      </w:r>
      <w:r w:rsidR="0087418B">
        <w:t>;</w:t>
      </w:r>
    </w:p>
    <w:p w:rsidR="00374CE4" w:rsidRDefault="00374CE4" w:rsidP="00374CE4">
      <w:pPr>
        <w:pStyle w:val="ParaBullet2"/>
      </w:pPr>
      <w:r>
        <w:t>Routers de distribución</w:t>
      </w:r>
      <w:r w:rsidR="0087418B">
        <w:t>;</w:t>
      </w:r>
    </w:p>
    <w:p w:rsidR="00374CE4" w:rsidRDefault="00374CE4" w:rsidP="00374CE4">
      <w:pPr>
        <w:pStyle w:val="ParaBullet2"/>
      </w:pPr>
      <w:r>
        <w:t>Otros equipos de conmutación</w:t>
      </w:r>
      <w:r w:rsidR="0087418B">
        <w:t>;</w:t>
      </w:r>
    </w:p>
    <w:p w:rsidR="00374CE4" w:rsidRDefault="00374CE4" w:rsidP="00374CE4">
      <w:pPr>
        <w:pStyle w:val="ParaBullet2"/>
      </w:pPr>
      <w:r>
        <w:t xml:space="preserve">Enlaces locales </w:t>
      </w:r>
      <w:r w:rsidR="0087418B">
        <w:t>–</w:t>
      </w:r>
      <w:r>
        <w:t xml:space="preserve"> regionales</w:t>
      </w:r>
      <w:r w:rsidR="0087418B">
        <w:t>;</w:t>
      </w:r>
    </w:p>
    <w:p w:rsidR="00374CE4" w:rsidRDefault="00374CE4" w:rsidP="00374CE4">
      <w:pPr>
        <w:pStyle w:val="ParaBullet2"/>
      </w:pPr>
      <w:r>
        <w:t xml:space="preserve">Enlaces regionales </w:t>
      </w:r>
      <w:r w:rsidR="0087418B">
        <w:t>–</w:t>
      </w:r>
      <w:r>
        <w:t xml:space="preserve"> regionales</w:t>
      </w:r>
      <w:r w:rsidR="0087418B">
        <w:t>;</w:t>
      </w:r>
    </w:p>
    <w:p w:rsidR="00374CE4" w:rsidRDefault="00374CE4" w:rsidP="00374CE4">
      <w:pPr>
        <w:pStyle w:val="ParaBullet2"/>
      </w:pPr>
      <w:r>
        <w:lastRenderedPageBreak/>
        <w:t xml:space="preserve">Enlaces regionales </w:t>
      </w:r>
      <w:r w:rsidR="0087418B">
        <w:t>–</w:t>
      </w:r>
      <w:r>
        <w:t xml:space="preserve"> nacionales</w:t>
      </w:r>
      <w:r w:rsidR="0087418B">
        <w:t>;</w:t>
      </w:r>
    </w:p>
    <w:p w:rsidR="00374CE4" w:rsidRDefault="00374CE4" w:rsidP="00374CE4">
      <w:pPr>
        <w:pStyle w:val="ParaBullet2"/>
      </w:pPr>
      <w:r>
        <w:t xml:space="preserve">Enlaces nacionales </w:t>
      </w:r>
      <w:r w:rsidR="0087418B">
        <w:t>–</w:t>
      </w:r>
      <w:r>
        <w:t xml:space="preserve"> nacionales</w:t>
      </w:r>
      <w:r w:rsidR="0087418B">
        <w:t>;</w:t>
      </w:r>
    </w:p>
    <w:p w:rsidR="00374CE4" w:rsidRDefault="00374CE4" w:rsidP="00374CE4">
      <w:pPr>
        <w:pStyle w:val="ParaBullet2"/>
      </w:pPr>
      <w:r>
        <w:t xml:space="preserve">Enlaces nacionales </w:t>
      </w:r>
      <w:r w:rsidR="0087418B">
        <w:t>–</w:t>
      </w:r>
      <w:r>
        <w:t xml:space="preserve"> core</w:t>
      </w:r>
      <w:r w:rsidR="0087418B">
        <w:t>;</w:t>
      </w:r>
    </w:p>
    <w:p w:rsidR="00374CE4" w:rsidRDefault="00374CE4" w:rsidP="00374CE4">
      <w:pPr>
        <w:pStyle w:val="ParaBullet2"/>
      </w:pPr>
      <w:r>
        <w:t xml:space="preserve">Enlaces nacionales </w:t>
      </w:r>
      <w:r w:rsidR="0087418B">
        <w:t>–</w:t>
      </w:r>
      <w:r>
        <w:t xml:space="preserve"> internacional</w:t>
      </w:r>
      <w:r w:rsidR="0087418B">
        <w:t>;</w:t>
      </w:r>
    </w:p>
    <w:p w:rsidR="00374CE4" w:rsidRDefault="00374CE4" w:rsidP="00374CE4">
      <w:pPr>
        <w:pStyle w:val="ParaBullet2"/>
      </w:pPr>
      <w:r>
        <w:t xml:space="preserve">Enlaces core </w:t>
      </w:r>
      <w:r w:rsidR="0087418B">
        <w:t>–</w:t>
      </w:r>
      <w:r>
        <w:t xml:space="preserve"> internacional</w:t>
      </w:r>
      <w:r w:rsidR="0087418B">
        <w:t>;</w:t>
      </w:r>
    </w:p>
    <w:p w:rsidR="00374CE4" w:rsidRDefault="00374CE4" w:rsidP="00374CE4">
      <w:pPr>
        <w:pStyle w:val="ParaBullet2"/>
      </w:pPr>
      <w:r>
        <w:t xml:space="preserve">Enlaces core </w:t>
      </w:r>
      <w:r w:rsidR="0087418B">
        <w:t>–</w:t>
      </w:r>
      <w:r>
        <w:t xml:space="preserve"> core</w:t>
      </w:r>
      <w:r w:rsidR="0087418B">
        <w:t>;</w:t>
      </w:r>
    </w:p>
    <w:p w:rsidR="00374CE4" w:rsidRDefault="00374CE4" w:rsidP="00374CE4">
      <w:pPr>
        <w:pStyle w:val="ParaBullet2"/>
      </w:pPr>
      <w:r>
        <w:t>Enlaces submarinos nacionales</w:t>
      </w:r>
      <w:r w:rsidR="0087418B">
        <w:t>;</w:t>
      </w:r>
    </w:p>
    <w:p w:rsidR="00374CE4" w:rsidRDefault="00374CE4" w:rsidP="00374CE4">
      <w:pPr>
        <w:pStyle w:val="ParaBullet2"/>
      </w:pPr>
      <w:r>
        <w:t>Enlaces submarinos internacionales; y</w:t>
      </w:r>
    </w:p>
    <w:p w:rsidR="00374CE4" w:rsidRDefault="00374CE4" w:rsidP="00374CE4">
      <w:pPr>
        <w:pStyle w:val="ParaBullet2"/>
      </w:pPr>
      <w:r>
        <w:t>Otros enlaces</w:t>
      </w:r>
      <w:r w:rsidR="0087418B">
        <w:t>.</w:t>
      </w:r>
    </w:p>
    <w:p w:rsidR="00374CE4" w:rsidRDefault="00374CE4" w:rsidP="00374CE4">
      <w:pPr>
        <w:pStyle w:val="ParaBullet1"/>
        <w:numPr>
          <w:ilvl w:val="0"/>
          <w:numId w:val="0"/>
        </w:numPr>
        <w:ind w:left="340" w:hanging="340"/>
      </w:pPr>
    </w:p>
    <w:p w:rsidR="00374CE4" w:rsidRDefault="00374CE4" w:rsidP="00374CE4">
      <w:pPr>
        <w:pStyle w:val="ParaBullet1"/>
        <w:numPr>
          <w:ilvl w:val="0"/>
          <w:numId w:val="0"/>
        </w:numPr>
        <w:ind w:left="340" w:hanging="340"/>
      </w:pPr>
    </w:p>
    <w:p w:rsidR="00374CE4" w:rsidRDefault="00374CE4" w:rsidP="00374CE4">
      <w:pPr>
        <w:pStyle w:val="ParaBullet1"/>
        <w:numPr>
          <w:ilvl w:val="0"/>
          <w:numId w:val="0"/>
        </w:numPr>
        <w:ind w:left="340" w:hanging="340"/>
      </w:pPr>
    </w:p>
    <w:p w:rsidR="00374CE4" w:rsidRDefault="00374CE4" w:rsidP="00374CE4">
      <w:pPr>
        <w:pStyle w:val="ParaBullet1"/>
        <w:numPr>
          <w:ilvl w:val="0"/>
          <w:numId w:val="0"/>
        </w:numPr>
        <w:ind w:left="340" w:hanging="340"/>
      </w:pPr>
    </w:p>
    <w:p w:rsidR="00374CE4" w:rsidRDefault="00374CE4" w:rsidP="00374CE4">
      <w:pPr>
        <w:pStyle w:val="ParaBullet1"/>
        <w:numPr>
          <w:ilvl w:val="0"/>
          <w:numId w:val="0"/>
        </w:numPr>
        <w:ind w:left="340" w:hanging="340"/>
      </w:pPr>
    </w:p>
    <w:p w:rsidR="00374CE4" w:rsidRDefault="00374CE4" w:rsidP="00374CE4">
      <w:pPr>
        <w:pStyle w:val="ParaBullet1"/>
        <w:numPr>
          <w:ilvl w:val="0"/>
          <w:numId w:val="0"/>
        </w:numPr>
        <w:ind w:left="340" w:hanging="340"/>
      </w:pPr>
    </w:p>
    <w:p w:rsidR="00054812" w:rsidRDefault="00EC1510" w:rsidP="00054812">
      <w:pPr>
        <w:pStyle w:val="ParaBullet1"/>
      </w:pPr>
      <w:r>
        <w:t>Costos de la r</w:t>
      </w:r>
      <w:r w:rsidR="00054812">
        <w:t>ed de núcleo</w:t>
      </w:r>
      <w:r w:rsidR="00D528B8">
        <w:t>:</w:t>
      </w:r>
    </w:p>
    <w:p w:rsidR="00374CE4" w:rsidRPr="00374CE4" w:rsidRDefault="00374CE4" w:rsidP="00374CE4">
      <w:pPr>
        <w:pStyle w:val="ParaBullet2"/>
        <w:rPr>
          <w:lang w:val="en-GB"/>
        </w:rPr>
      </w:pPr>
      <w:r w:rsidRPr="00374CE4">
        <w:rPr>
          <w:lang w:val="en-GB"/>
        </w:rPr>
        <w:t>Call Session Control Function (CSCF)</w:t>
      </w:r>
      <w:r w:rsidR="0087418B">
        <w:rPr>
          <w:lang w:val="en-GB"/>
        </w:rPr>
        <w:t>;</w:t>
      </w:r>
    </w:p>
    <w:p w:rsidR="00374CE4" w:rsidRPr="00374CE4" w:rsidRDefault="00374CE4" w:rsidP="00374CE4">
      <w:pPr>
        <w:pStyle w:val="ParaBullet2"/>
        <w:rPr>
          <w:lang w:val="en-GB"/>
        </w:rPr>
      </w:pPr>
      <w:r w:rsidRPr="00374CE4">
        <w:rPr>
          <w:lang w:val="en-GB"/>
        </w:rPr>
        <w:t>Home Subscriber Server (HSS)</w:t>
      </w:r>
      <w:r w:rsidR="0087418B">
        <w:rPr>
          <w:lang w:val="en-GB"/>
        </w:rPr>
        <w:t>;</w:t>
      </w:r>
    </w:p>
    <w:p w:rsidR="00374CE4" w:rsidRPr="00374CE4" w:rsidRDefault="00374CE4" w:rsidP="00374CE4">
      <w:pPr>
        <w:pStyle w:val="ParaBullet2"/>
        <w:rPr>
          <w:lang w:val="en-GB"/>
        </w:rPr>
      </w:pPr>
      <w:r w:rsidRPr="00374CE4">
        <w:rPr>
          <w:lang w:val="en-GB"/>
        </w:rPr>
        <w:lastRenderedPageBreak/>
        <w:t>Interconnect Border Controller Function (IBCF)</w:t>
      </w:r>
      <w:r w:rsidR="0087418B">
        <w:rPr>
          <w:lang w:val="en-GB"/>
        </w:rPr>
        <w:t>;</w:t>
      </w:r>
    </w:p>
    <w:p w:rsidR="00374CE4" w:rsidRPr="00374CE4" w:rsidRDefault="00374CE4" w:rsidP="00374CE4">
      <w:pPr>
        <w:pStyle w:val="ParaBullet2"/>
        <w:rPr>
          <w:lang w:val="en-GB"/>
        </w:rPr>
      </w:pPr>
      <w:r w:rsidRPr="00374CE4">
        <w:rPr>
          <w:lang w:val="en-GB"/>
        </w:rPr>
        <w:t>Breakout Gateway Control Function (BGCF)</w:t>
      </w:r>
      <w:r w:rsidR="0087418B">
        <w:rPr>
          <w:lang w:val="en-GB"/>
        </w:rPr>
        <w:t>;</w:t>
      </w:r>
    </w:p>
    <w:p w:rsidR="00374CE4" w:rsidRPr="00374CE4" w:rsidRDefault="00374CE4" w:rsidP="00374CE4">
      <w:pPr>
        <w:pStyle w:val="ParaBullet2"/>
        <w:rPr>
          <w:lang w:val="en-GB"/>
        </w:rPr>
      </w:pPr>
      <w:r w:rsidRPr="00374CE4">
        <w:rPr>
          <w:lang w:val="en-GB"/>
        </w:rPr>
        <w:t>Media Gateway Controller Function (MGCF)</w:t>
      </w:r>
      <w:r w:rsidR="0087418B">
        <w:rPr>
          <w:lang w:val="en-GB"/>
        </w:rPr>
        <w:t>;</w:t>
      </w:r>
    </w:p>
    <w:p w:rsidR="00374CE4" w:rsidRPr="00374CE4" w:rsidRDefault="00374CE4" w:rsidP="00374CE4">
      <w:pPr>
        <w:pStyle w:val="ParaBullet2"/>
        <w:rPr>
          <w:lang w:val="en-GB"/>
        </w:rPr>
      </w:pPr>
      <w:r w:rsidRPr="00374CE4">
        <w:rPr>
          <w:lang w:val="en-GB"/>
        </w:rPr>
        <w:t>Access Gateway Control Function (AGCF)</w:t>
      </w:r>
      <w:r w:rsidR="0087418B">
        <w:rPr>
          <w:lang w:val="en-GB"/>
        </w:rPr>
        <w:t>;</w:t>
      </w:r>
    </w:p>
    <w:p w:rsidR="00374CE4" w:rsidRPr="00374CE4" w:rsidRDefault="00374CE4" w:rsidP="00374CE4">
      <w:pPr>
        <w:pStyle w:val="ParaBullet2"/>
        <w:rPr>
          <w:lang w:val="en-GB"/>
        </w:rPr>
      </w:pPr>
      <w:r w:rsidRPr="00374CE4">
        <w:rPr>
          <w:lang w:val="en-GB"/>
        </w:rPr>
        <w:t>Media Gateway (MGW)</w:t>
      </w:r>
      <w:r w:rsidR="0087418B">
        <w:rPr>
          <w:lang w:val="en-GB"/>
        </w:rPr>
        <w:t>;</w:t>
      </w:r>
    </w:p>
    <w:p w:rsidR="00374CE4" w:rsidRPr="00374CE4" w:rsidRDefault="00374CE4" w:rsidP="00374CE4">
      <w:pPr>
        <w:pStyle w:val="ParaBullet2"/>
        <w:rPr>
          <w:lang w:val="en-GB"/>
        </w:rPr>
      </w:pPr>
      <w:r w:rsidRPr="00374CE4">
        <w:rPr>
          <w:lang w:val="en-GB"/>
        </w:rPr>
        <w:t>Access Gateway (AGW)</w:t>
      </w:r>
      <w:r w:rsidR="0087418B">
        <w:rPr>
          <w:lang w:val="en-GB"/>
        </w:rPr>
        <w:t>;</w:t>
      </w:r>
    </w:p>
    <w:p w:rsidR="00374CE4" w:rsidRPr="00374CE4" w:rsidRDefault="00374CE4" w:rsidP="00374CE4">
      <w:pPr>
        <w:pStyle w:val="ParaBullet2"/>
        <w:rPr>
          <w:lang w:val="en-GB"/>
        </w:rPr>
      </w:pPr>
      <w:r w:rsidRPr="00374CE4">
        <w:rPr>
          <w:lang w:val="en-GB"/>
        </w:rPr>
        <w:t>Broadband Remote Access Server (BRAS)</w:t>
      </w:r>
      <w:r w:rsidR="0087418B">
        <w:rPr>
          <w:lang w:val="en-GB"/>
        </w:rPr>
        <w:t>;</w:t>
      </w:r>
    </w:p>
    <w:p w:rsidR="00374CE4" w:rsidRPr="00374CE4" w:rsidRDefault="00374CE4" w:rsidP="00374CE4">
      <w:pPr>
        <w:pStyle w:val="ParaBullet2"/>
        <w:rPr>
          <w:lang w:val="en-GB"/>
        </w:rPr>
      </w:pPr>
      <w:r w:rsidRPr="00374CE4">
        <w:rPr>
          <w:lang w:val="en-GB"/>
        </w:rPr>
        <w:t>Session Border Controller (SBC)</w:t>
      </w:r>
      <w:r w:rsidR="0087418B">
        <w:rPr>
          <w:lang w:val="en-GB"/>
        </w:rPr>
        <w:t>;</w:t>
      </w:r>
    </w:p>
    <w:p w:rsidR="00374CE4" w:rsidRPr="00374CE4" w:rsidRDefault="00374CE4" w:rsidP="00374CE4">
      <w:pPr>
        <w:pStyle w:val="ParaBullet2"/>
        <w:rPr>
          <w:lang w:val="en-GB"/>
        </w:rPr>
      </w:pPr>
      <w:r w:rsidRPr="00374CE4">
        <w:rPr>
          <w:lang w:val="en-GB"/>
        </w:rPr>
        <w:t>Voicemail System (VMS)</w:t>
      </w:r>
      <w:r w:rsidR="0087418B">
        <w:rPr>
          <w:lang w:val="en-GB"/>
        </w:rPr>
        <w:t>;</w:t>
      </w:r>
    </w:p>
    <w:p w:rsidR="00374CE4" w:rsidRPr="00374CE4" w:rsidRDefault="00374CE4" w:rsidP="00374CE4">
      <w:pPr>
        <w:pStyle w:val="ParaBullet2"/>
        <w:rPr>
          <w:lang w:val="en-GB"/>
        </w:rPr>
      </w:pPr>
      <w:r w:rsidRPr="00374CE4">
        <w:rPr>
          <w:lang w:val="en-GB"/>
        </w:rPr>
        <w:t>Application Server (AS)</w:t>
      </w:r>
      <w:r w:rsidR="0087418B">
        <w:rPr>
          <w:lang w:val="en-GB"/>
        </w:rPr>
        <w:t>;</w:t>
      </w:r>
    </w:p>
    <w:p w:rsidR="00374CE4" w:rsidRPr="00374CE4" w:rsidRDefault="00374CE4" w:rsidP="00374CE4">
      <w:pPr>
        <w:pStyle w:val="ParaBullet2"/>
        <w:rPr>
          <w:lang w:val="en-GB"/>
        </w:rPr>
      </w:pPr>
      <w:r w:rsidRPr="00374CE4">
        <w:rPr>
          <w:lang w:val="en-GB"/>
        </w:rPr>
        <w:t>DNS Server</w:t>
      </w:r>
      <w:r w:rsidR="0087418B">
        <w:rPr>
          <w:lang w:val="en-GB"/>
        </w:rPr>
        <w:t>;</w:t>
      </w:r>
    </w:p>
    <w:p w:rsidR="00374CE4" w:rsidRPr="00374CE4" w:rsidRDefault="00374CE4" w:rsidP="00374CE4">
      <w:pPr>
        <w:pStyle w:val="ParaBullet2"/>
        <w:rPr>
          <w:lang w:val="en-GB"/>
        </w:rPr>
      </w:pPr>
      <w:r w:rsidRPr="00374CE4">
        <w:rPr>
          <w:lang w:val="en-GB"/>
        </w:rPr>
        <w:t>Plataformas IPTV</w:t>
      </w:r>
      <w:r w:rsidR="0087418B">
        <w:rPr>
          <w:lang w:val="en-GB"/>
        </w:rPr>
        <w:t>;</w:t>
      </w:r>
      <w:r w:rsidRPr="00374CE4">
        <w:rPr>
          <w:lang w:val="en-GB"/>
        </w:rPr>
        <w:t xml:space="preserve"> </w:t>
      </w:r>
    </w:p>
    <w:p w:rsidR="00374CE4" w:rsidRPr="00374CE4" w:rsidRDefault="00374CE4" w:rsidP="00374CE4">
      <w:pPr>
        <w:pStyle w:val="ParaBullet2"/>
        <w:rPr>
          <w:lang w:val="en-GB"/>
        </w:rPr>
      </w:pPr>
      <w:r w:rsidRPr="00374CE4">
        <w:rPr>
          <w:lang w:val="en-GB"/>
        </w:rPr>
        <w:t>Facturador</w:t>
      </w:r>
      <w:r>
        <w:rPr>
          <w:lang w:val="en-GB"/>
        </w:rPr>
        <w:t>; y</w:t>
      </w:r>
    </w:p>
    <w:p w:rsidR="00374CE4" w:rsidRPr="00374CE4" w:rsidRDefault="00374CE4" w:rsidP="00374CE4">
      <w:pPr>
        <w:pStyle w:val="ParaBullet2"/>
      </w:pPr>
      <w:r w:rsidRPr="00374CE4">
        <w:rPr>
          <w:lang w:val="en-GB"/>
        </w:rPr>
        <w:t>Otros equipos de núcleo</w:t>
      </w:r>
      <w:r w:rsidR="0087418B">
        <w:rPr>
          <w:lang w:val="en-GB"/>
        </w:rPr>
        <w:t>.</w:t>
      </w:r>
    </w:p>
    <w:p w:rsidR="00374CE4" w:rsidRDefault="00374CE4" w:rsidP="00374CE4">
      <w:pPr>
        <w:pStyle w:val="ParaBullet1"/>
      </w:pPr>
      <w:r>
        <w:t>Componentes no relacionados con la red</w:t>
      </w:r>
      <w:r w:rsidR="0087418B">
        <w:t>:</w:t>
      </w:r>
    </w:p>
    <w:p w:rsidR="00374CE4" w:rsidRDefault="00374CE4" w:rsidP="00374CE4">
      <w:pPr>
        <w:pStyle w:val="ParaBullet2"/>
      </w:pPr>
      <w:r>
        <w:t>Comerciales</w:t>
      </w:r>
      <w:r w:rsidR="0087418B">
        <w:t>;</w:t>
      </w:r>
    </w:p>
    <w:p w:rsidR="00374CE4" w:rsidRDefault="00374CE4" w:rsidP="00374CE4">
      <w:pPr>
        <w:pStyle w:val="ParaBullet2"/>
      </w:pPr>
      <w:r>
        <w:t>Facturación</w:t>
      </w:r>
      <w:r w:rsidR="0087418B">
        <w:t>;</w:t>
      </w:r>
    </w:p>
    <w:p w:rsidR="00374CE4" w:rsidRDefault="00374CE4" w:rsidP="00374CE4">
      <w:pPr>
        <w:pStyle w:val="ParaBullet2"/>
      </w:pPr>
      <w:r>
        <w:t>Cobranza</w:t>
      </w:r>
      <w:r w:rsidR="0087418B">
        <w:t>;</w:t>
      </w:r>
    </w:p>
    <w:p w:rsidR="00374CE4" w:rsidRDefault="00374CE4" w:rsidP="00374CE4">
      <w:pPr>
        <w:pStyle w:val="ParaBullet2"/>
      </w:pPr>
      <w:r>
        <w:lastRenderedPageBreak/>
        <w:t>Tarificación</w:t>
      </w:r>
      <w:r w:rsidR="0087418B">
        <w:t>;</w:t>
      </w:r>
    </w:p>
    <w:p w:rsidR="00374CE4" w:rsidRDefault="00374CE4" w:rsidP="00374CE4">
      <w:pPr>
        <w:pStyle w:val="ParaBullet2"/>
      </w:pPr>
      <w:r>
        <w:t>Tasas e impuestos; y</w:t>
      </w:r>
    </w:p>
    <w:p w:rsidR="00374CE4" w:rsidRDefault="00374CE4" w:rsidP="00374CE4">
      <w:pPr>
        <w:pStyle w:val="ParaBullet2"/>
      </w:pPr>
      <w:r>
        <w:t>Programas de fidelización</w:t>
      </w:r>
      <w:r w:rsidR="0087418B">
        <w:t>.</w:t>
      </w:r>
    </w:p>
    <w:p w:rsidR="00054812" w:rsidRDefault="00054812" w:rsidP="00374CE4">
      <w:pPr>
        <w:pStyle w:val="ParaBullet1"/>
      </w:pPr>
      <w:r>
        <w:t>Costos directos de ventas</w:t>
      </w:r>
      <w:r w:rsidR="00D528B8">
        <w:t>:</w:t>
      </w:r>
    </w:p>
    <w:p w:rsidR="00374CE4" w:rsidRDefault="00374CE4" w:rsidP="00374CE4">
      <w:pPr>
        <w:pStyle w:val="ParaBullet2"/>
      </w:pPr>
      <w:r>
        <w:t>Servicio de Tránsito de Internet</w:t>
      </w:r>
      <w:r w:rsidR="0087418B">
        <w:t>;</w:t>
      </w:r>
    </w:p>
    <w:p w:rsidR="00374CE4" w:rsidRDefault="00374CE4" w:rsidP="00374CE4">
      <w:pPr>
        <w:pStyle w:val="ParaBullet2"/>
      </w:pPr>
      <w:r>
        <w:t>Terminación en destinos nacionales</w:t>
      </w:r>
      <w:r w:rsidR="0087418B">
        <w:t>;</w:t>
      </w:r>
    </w:p>
    <w:p w:rsidR="00374CE4" w:rsidRDefault="00374CE4" w:rsidP="00374CE4">
      <w:pPr>
        <w:pStyle w:val="ParaBullet2"/>
      </w:pPr>
      <w:r>
        <w:t>Terminación en destinos internacionales</w:t>
      </w:r>
      <w:r w:rsidR="0087418B">
        <w:t>;</w:t>
      </w:r>
    </w:p>
    <w:p w:rsidR="00374CE4" w:rsidRDefault="00374CE4" w:rsidP="00374CE4">
      <w:pPr>
        <w:pStyle w:val="ParaBullet2"/>
      </w:pPr>
      <w:r>
        <w:t>Provisiones; y</w:t>
      </w:r>
    </w:p>
    <w:p w:rsidR="00054812" w:rsidRDefault="00374CE4" w:rsidP="00374CE4">
      <w:pPr>
        <w:pStyle w:val="ParaBullet2"/>
      </w:pPr>
      <w:r>
        <w:t>Costos directos de la venta de terminales</w:t>
      </w:r>
      <w:r w:rsidR="0087418B">
        <w:t>.</w:t>
      </w:r>
    </w:p>
    <w:p w:rsidR="00054812" w:rsidRDefault="00054812" w:rsidP="00054812">
      <w:pPr>
        <w:pStyle w:val="ParaBullet1"/>
      </w:pPr>
      <w:r>
        <w:t>Costos comunes</w:t>
      </w:r>
      <w:r w:rsidR="00D528B8">
        <w:t>:</w:t>
      </w:r>
    </w:p>
    <w:p w:rsidR="00374CE4" w:rsidRDefault="00374CE4" w:rsidP="00374CE4">
      <w:pPr>
        <w:pStyle w:val="ParaBullet2"/>
      </w:pPr>
      <w:r>
        <w:t>Servicios generales y de gestión – minoristas</w:t>
      </w:r>
      <w:r w:rsidR="0087418B">
        <w:t>;</w:t>
      </w:r>
    </w:p>
    <w:p w:rsidR="00374CE4" w:rsidRDefault="00374CE4" w:rsidP="00374CE4">
      <w:pPr>
        <w:pStyle w:val="ParaBullet2"/>
      </w:pPr>
      <w:r>
        <w:t>Servicios generales y de gestión – red; y</w:t>
      </w:r>
    </w:p>
    <w:p w:rsidR="00374CE4" w:rsidRDefault="00374CE4" w:rsidP="00374CE4">
      <w:pPr>
        <w:pStyle w:val="ParaBullet2"/>
      </w:pPr>
      <w:r>
        <w:t>Servicios generales y de gestión – negocio</w:t>
      </w:r>
      <w:r w:rsidR="0087418B">
        <w:t>.</w:t>
      </w:r>
    </w:p>
    <w:p w:rsidR="00054812" w:rsidRDefault="00054812" w:rsidP="00374CE4">
      <w:pPr>
        <w:pStyle w:val="ParaBullet1"/>
      </w:pPr>
      <w:r>
        <w:t>Costo del capital</w:t>
      </w:r>
      <w:r w:rsidR="00D528B8">
        <w:t>.</w:t>
      </w:r>
    </w:p>
    <w:p w:rsidR="00054812" w:rsidRDefault="00054812" w:rsidP="00C8183A">
      <w:pPr>
        <w:pStyle w:val="ParaBullet1"/>
        <w:numPr>
          <w:ilvl w:val="0"/>
          <w:numId w:val="0"/>
        </w:numPr>
      </w:pPr>
    </w:p>
    <w:p w:rsidR="00C8183A" w:rsidRDefault="00C8183A" w:rsidP="00C8183A">
      <w:pPr>
        <w:pStyle w:val="ParaBullet1"/>
        <w:numPr>
          <w:ilvl w:val="0"/>
          <w:numId w:val="0"/>
        </w:numPr>
      </w:pPr>
      <w:r>
        <w:t>La información a cumplimentar por parte del AEP se encuentra en las hoj</w:t>
      </w:r>
      <w:r w:rsidR="00054812">
        <w:t>as “Info oferta y consumo”,</w:t>
      </w:r>
      <w:r>
        <w:t xml:space="preserve"> “</w:t>
      </w:r>
      <w:r w:rsidRPr="00B0280B">
        <w:t>Info general</w:t>
      </w:r>
      <w:r>
        <w:t>”</w:t>
      </w:r>
      <w:r w:rsidR="00054812">
        <w:t xml:space="preserve"> y “Costos </w:t>
      </w:r>
      <w:r w:rsidR="00E12C1F">
        <w:t>downstream</w:t>
      </w:r>
      <w:r w:rsidR="00054812">
        <w:t>”</w:t>
      </w:r>
      <w:r>
        <w:t>.</w:t>
      </w:r>
    </w:p>
    <w:p w:rsidR="00C8183A" w:rsidRDefault="00C8183A" w:rsidP="00C8183A">
      <w:pPr>
        <w:pStyle w:val="Ttulo3"/>
      </w:pPr>
      <w:r>
        <w:lastRenderedPageBreak/>
        <w:t>Precios mayoristas</w:t>
      </w:r>
    </w:p>
    <w:p w:rsidR="00C8183A" w:rsidRDefault="00C8183A" w:rsidP="00C8183A">
      <w:r>
        <w:t>El modelo en su estado actual incorpora los precios asociados a la OREDA (en la hoja “OREDA 2017”) vigente en el momento de publicación del presente documento.</w:t>
      </w:r>
      <w:r>
        <w:rPr>
          <w:rStyle w:val="Refdenotaalpie"/>
        </w:rPr>
        <w:footnoteReference w:id="12"/>
      </w:r>
      <w:r>
        <w:t xml:space="preserve"> Los precios de la OREDA se emplean para el cálculo de los </w:t>
      </w:r>
      <w:r w:rsidR="00B448D8">
        <w:t>pagos mayoristas en las distintas modalidades de acceso</w:t>
      </w:r>
      <w:r>
        <w:t>. Estos precios deberán ser actualizados cada vez que se implemente</w:t>
      </w:r>
      <w:r w:rsidR="00374221">
        <w:t xml:space="preserve"> la prueba </w:t>
      </w:r>
      <w:r>
        <w:t xml:space="preserve">con los precios mayoristas vigentes. </w:t>
      </w:r>
    </w:p>
    <w:p w:rsidR="00B477A0" w:rsidRPr="00B477A0" w:rsidRDefault="00B477A0" w:rsidP="00817767">
      <w:pPr>
        <w:pStyle w:val="Ttulo2"/>
        <w:numPr>
          <w:ilvl w:val="0"/>
          <w:numId w:val="0"/>
        </w:numPr>
      </w:pPr>
    </w:p>
    <w:bookmarkEnd w:id="15"/>
    <w:p w:rsidR="007C06F1" w:rsidRDefault="005C3E91" w:rsidP="00294FCB">
      <w:r>
        <w:rPr>
          <w:noProof/>
          <w:lang w:val="es-MX" w:eastAsia="es-MX"/>
        </w:rPr>
        <mc:AlternateContent>
          <mc:Choice Requires="wps">
            <w:drawing>
              <wp:anchor distT="0" distB="0" distL="114300" distR="114300" simplePos="0" relativeHeight="251660288" behindDoc="1" locked="1" layoutInCell="1" allowOverlap="1" wp14:anchorId="176A2373" wp14:editId="5DDEB1F1">
                <wp:simplePos x="155275" y="86264"/>
                <wp:positionH relativeFrom="page">
                  <wp:align>left</wp:align>
                </wp:positionH>
                <wp:positionV relativeFrom="page">
                  <wp:align>top</wp:align>
                </wp:positionV>
                <wp:extent cx="7560000" cy="10692000"/>
                <wp:effectExtent l="0" t="0" r="0" b="0"/>
                <wp:wrapNone/>
                <wp:docPr id="9" name="WhiteShape"/>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C0D23" id="WhiteShape" o:spid="_x0000_s1026" style="position:absolute;margin-left:0;margin-top:0;width:595.3pt;height:841.9pt;z-index:-25165619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" fillcolor="white [3212]" stroked="f" strokeweight="1pt">
                <w10:wrap anchorx="page" anchory="page"/>
                <w10:anchorlock/>
              </v:rect>
            </w:pict>
          </mc:Fallback>
        </mc:AlternateContent>
      </w:r>
    </w:p>
    <w:sectPr w:rsidR="007C06F1" w:rsidSect="00F0455F">
      <w:headerReference w:type="default" r:id="rId20"/>
      <w:footerReference w:type="default" r:id="rId21"/>
      <w:pgSz w:w="11906" w:h="16838" w:code="9"/>
      <w:pgMar w:top="1701" w:right="1985" w:bottom="1418" w:left="1985"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0FD" w:rsidRDefault="00F310FD" w:rsidP="00BA3ADD">
      <w:pPr>
        <w:spacing w:line="240" w:lineRule="auto"/>
      </w:pPr>
      <w:r>
        <w:separator/>
      </w:r>
    </w:p>
  </w:endnote>
  <w:endnote w:type="continuationSeparator" w:id="0">
    <w:p w:rsidR="00F310FD" w:rsidRDefault="00F310FD" w:rsidP="00BA3A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ne)">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440">
    <w:altName w:val="Times New Roman"/>
    <w:panose1 w:val="00000000000000000000"/>
    <w:charset w:val="00"/>
    <w:family w:val="auto"/>
    <w:notTrueType/>
    <w:pitch w:val="default"/>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Open Sans Extrabold">
    <w:altName w:val="Segoe UI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tblpYSpec="bottom"/>
      <w:tblOverlap w:val="never"/>
      <w:tblW w:w="0" w:type="auto"/>
      <w:tblCellMar>
        <w:left w:w="0" w:type="dxa"/>
        <w:right w:w="0" w:type="dxa"/>
      </w:tblCellMar>
      <w:tblLook w:val="04A0" w:firstRow="1" w:lastRow="0" w:firstColumn="1" w:lastColumn="0" w:noHBand="0" w:noVBand="1"/>
    </w:tblPr>
    <w:tblGrid>
      <w:gridCol w:w="7370"/>
    </w:tblGrid>
    <w:tr w:rsidR="00625BE2" w:rsidRPr="009D4D90" w:rsidTr="00BA37DC">
      <w:tc>
        <w:tcPr>
          <w:tcW w:w="7370" w:type="dxa"/>
          <w:vAlign w:val="bottom"/>
        </w:tcPr>
        <w:p w:rsidR="00625BE2" w:rsidRPr="00954CF0" w:rsidRDefault="00625BE2" w:rsidP="00BA37DC">
          <w:pPr>
            <w:pStyle w:val="Piedepgina"/>
            <w:rPr>
              <w:lang w:val="en-GB"/>
            </w:rPr>
          </w:pPr>
          <w:r w:rsidRPr="00954CF0">
            <w:rPr>
              <w:lang w:val="en-GB"/>
            </w:rPr>
            <w:t xml:space="preserve">Disclaimer cell – this must be set to BOTTOM MARGIN – set paragraph markers in the footer </w:t>
          </w:r>
        </w:p>
        <w:p w:rsidR="00625BE2" w:rsidRPr="00954CF0" w:rsidRDefault="00625BE2" w:rsidP="00BA37DC">
          <w:pPr>
            <w:pStyle w:val="Piedepgina"/>
            <w:rPr>
              <w:lang w:val="en-GB"/>
            </w:rPr>
          </w:pPr>
          <w:r w:rsidRPr="00954CF0">
            <w:rPr>
              <w:lang w:val="en-GB"/>
            </w:rPr>
            <w:t>so that it’s high enough for the disclaimer to fit and so that the ToC table breaks properly across the next page (paragraph markers are needed for 2010 only)</w:t>
          </w:r>
        </w:p>
      </w:tc>
    </w:tr>
  </w:tbl>
  <w:tbl>
    <w:tblPr>
      <w:tblW w:w="0" w:type="auto"/>
      <w:tblCellMar>
        <w:left w:w="0" w:type="dxa"/>
        <w:right w:w="0" w:type="dxa"/>
      </w:tblCellMar>
      <w:tblLook w:val="04A0" w:firstRow="1" w:lastRow="0" w:firstColumn="1" w:lastColumn="0" w:noHBand="0" w:noVBand="1"/>
    </w:tblPr>
    <w:tblGrid>
      <w:gridCol w:w="7370"/>
    </w:tblGrid>
    <w:tr w:rsidR="00625BE2" w:rsidRPr="009D4D90" w:rsidTr="00BA37DC">
      <w:tc>
        <w:tcPr>
          <w:tcW w:w="7370" w:type="dxa"/>
          <w:vAlign w:val="bottom"/>
        </w:tcPr>
        <w:p w:rsidR="00625BE2" w:rsidRPr="00954CF0" w:rsidRDefault="00625BE2" w:rsidP="00BA37DC">
          <w:pPr>
            <w:pStyle w:val="Piedepgina"/>
            <w:rPr>
              <w:lang w:val="en-GB"/>
            </w:rPr>
          </w:pPr>
          <w:r w:rsidRPr="00954CF0">
            <w:rPr>
              <w:lang w:val="en-GB"/>
            </w:rPr>
            <w:t xml:space="preserve">Footer box – </w:t>
          </w:r>
          <w:r w:rsidRPr="00954CF0">
            <w:rPr>
              <w:color w:val="FF0000"/>
              <w:lang w:val="en-GB"/>
            </w:rPr>
            <w:t xml:space="preserve">THIS IS NOT FLOATING ANYMORE       </w:t>
          </w:r>
          <w:r>
            <w:fldChar w:fldCharType="begin"/>
          </w:r>
          <w:r w:rsidRPr="00954CF0">
            <w:rPr>
              <w:lang w:val="en-GB"/>
            </w:rPr>
            <w:instrText xml:space="preserve"> PAGE   \* MERGEFORMAT </w:instrText>
          </w:r>
          <w:r>
            <w:fldChar w:fldCharType="separate"/>
          </w:r>
          <w:r w:rsidRPr="00954CF0">
            <w:rPr>
              <w:noProof/>
              <w:lang w:val="en-GB"/>
            </w:rPr>
            <w:t>34</w:t>
          </w:r>
          <w:r>
            <w:rPr>
              <w:noProof/>
            </w:rPr>
            <w:fldChar w:fldCharType="end"/>
          </w:r>
        </w:p>
      </w:tc>
    </w:tr>
  </w:tbl>
  <w:p w:rsidR="00625BE2" w:rsidRPr="00954CF0" w:rsidRDefault="00625BE2" w:rsidP="00BA37DC">
    <w:pPr>
      <w:pStyle w:val="Spacer"/>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left w:w="0" w:type="dxa"/>
        <w:right w:w="0" w:type="dxa"/>
      </w:tblCellMar>
      <w:tblLook w:val="04A0" w:firstRow="1" w:lastRow="0" w:firstColumn="1" w:lastColumn="0" w:noHBand="0" w:noVBand="1"/>
    </w:tblPr>
    <w:tblGrid>
      <w:gridCol w:w="9351"/>
      <w:gridCol w:w="855"/>
    </w:tblGrid>
    <w:tr w:rsidR="00625BE2" w:rsidRPr="00F57F90" w:rsidTr="00F0455F">
      <w:tc>
        <w:tcPr>
          <w:tcW w:w="9351" w:type="dxa"/>
        </w:tcPr>
        <w:p w:rsidR="00625BE2" w:rsidRPr="00F57F90" w:rsidRDefault="00625BE2" w:rsidP="00F0455F">
          <w:pPr>
            <w:pStyle w:val="Piedepgina"/>
            <w:rPr>
              <w:color w:val="C5C6C8" w:themeColor="text2" w:themeTint="66"/>
            </w:rPr>
          </w:pPr>
        </w:p>
      </w:tc>
      <w:tc>
        <w:tcPr>
          <w:tcW w:w="855" w:type="dxa"/>
        </w:tcPr>
        <w:p w:rsidR="00625BE2" w:rsidRPr="00F57F90" w:rsidRDefault="00625BE2" w:rsidP="00F0455F">
          <w:pPr>
            <w:pStyle w:val="Piedepgina"/>
            <w:rPr>
              <w:b/>
              <w:bCs/>
              <w:color w:val="C5C6C8" w:themeColor="text2" w:themeTint="66"/>
            </w:rPr>
          </w:pPr>
        </w:p>
      </w:tc>
    </w:tr>
  </w:tbl>
  <w:p w:rsidR="00625BE2" w:rsidRPr="00437766" w:rsidRDefault="00625BE2" w:rsidP="0043776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left w:w="0" w:type="dxa"/>
        <w:right w:w="0" w:type="dxa"/>
      </w:tblCellMar>
      <w:tblLook w:val="04A0" w:firstRow="1" w:lastRow="0" w:firstColumn="1" w:lastColumn="0" w:noHBand="0" w:noVBand="1"/>
    </w:tblPr>
    <w:tblGrid>
      <w:gridCol w:w="9351"/>
      <w:gridCol w:w="855"/>
    </w:tblGrid>
    <w:tr w:rsidR="00625BE2" w:rsidRPr="00B36984" w:rsidTr="00F0455F">
      <w:tc>
        <w:tcPr>
          <w:tcW w:w="9351" w:type="dxa"/>
        </w:tcPr>
        <w:p w:rsidR="00625BE2" w:rsidRPr="00B36984" w:rsidRDefault="00625BE2" w:rsidP="00F0455F">
          <w:pPr>
            <w:pStyle w:val="Piedepgina"/>
            <w:rPr>
              <w:color w:val="C5C6C8" w:themeColor="text2" w:themeTint="66"/>
            </w:rPr>
          </w:pPr>
          <w:r w:rsidRPr="004E063E">
            <w:fldChar w:fldCharType="begin"/>
          </w:r>
          <w:r w:rsidRPr="004E063E">
            <w:instrText xml:space="preserve"> IF </w:instrText>
          </w:r>
          <w:r>
            <w:fldChar w:fldCharType="begin"/>
          </w:r>
          <w:r>
            <w:instrText xml:space="preserve"> STYLEREF  ~Confidential </w:instrText>
          </w:r>
          <w:r>
            <w:rPr>
              <w:noProof/>
            </w:rPr>
            <w:fldChar w:fldCharType="end"/>
          </w:r>
          <w:r>
            <w:instrText xml:space="preserve"> </w:instrText>
          </w:r>
          <w:r w:rsidRPr="004E063E">
            <w:instrText>=</w:instrText>
          </w:r>
          <w:r>
            <w:instrText xml:space="preserve"> </w:instrText>
          </w:r>
          <w:r w:rsidRPr="004E063E">
            <w:instrText>"" "" "  │  </w:instrText>
          </w:r>
          <w:r>
            <w:fldChar w:fldCharType="begin"/>
          </w:r>
          <w:r>
            <w:instrText xml:space="preserve"> STYLEREF  ~Confidential </w:instrText>
          </w:r>
          <w:r>
            <w:fldChar w:fldCharType="separate"/>
          </w:r>
          <w:r>
            <w:rPr>
              <w:b/>
              <w:bCs/>
              <w:noProof/>
              <w:lang w:val="en-US"/>
            </w:rPr>
            <w:instrText>Error! No text of specified style in document.</w:instrText>
          </w:r>
          <w:r>
            <w:rPr>
              <w:noProof/>
            </w:rPr>
            <w:fldChar w:fldCharType="end"/>
          </w:r>
          <w:r w:rsidRPr="004E063E">
            <w:instrText>"</w:instrText>
          </w:r>
          <w:r>
            <w:instrText xml:space="preserve"> </w:instrText>
          </w:r>
          <w:r w:rsidRPr="004E063E">
            <w:fldChar w:fldCharType="end"/>
          </w:r>
        </w:p>
      </w:tc>
      <w:tc>
        <w:tcPr>
          <w:tcW w:w="855" w:type="dxa"/>
          <w:vAlign w:val="bottom"/>
        </w:tcPr>
        <w:p w:rsidR="00625BE2" w:rsidRPr="00B36984" w:rsidRDefault="00625BE2" w:rsidP="000A0D97">
          <w:pPr>
            <w:pStyle w:val="Piedepgina"/>
            <w:jc w:val="right"/>
          </w:pPr>
          <w:r w:rsidRPr="00B36984">
            <w:fldChar w:fldCharType="begin"/>
          </w:r>
          <w:r>
            <w:instrText xml:space="preserve"> </w:instrText>
          </w:r>
          <w:r w:rsidRPr="000A0D97">
            <w:instrText>PAGE</w:instrText>
          </w:r>
          <w:r>
            <w:instrText xml:space="preserve">  </w:instrText>
          </w:r>
          <w:r w:rsidRPr="00B36984">
            <w:instrText xml:space="preserve"> </w:instrText>
          </w:r>
          <w:r w:rsidRPr="00B36984">
            <w:fldChar w:fldCharType="separate"/>
          </w:r>
          <w:r w:rsidR="00BC01B7">
            <w:rPr>
              <w:noProof/>
            </w:rPr>
            <w:t>4</w:t>
          </w:r>
          <w:r w:rsidRPr="00B36984">
            <w:rPr>
              <w:noProof/>
            </w:rPr>
            <w:fldChar w:fldCharType="end"/>
          </w:r>
        </w:p>
      </w:tc>
    </w:tr>
  </w:tbl>
  <w:p w:rsidR="00625BE2" w:rsidRDefault="00625BE2" w:rsidP="00F045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tbl>
      <w:tblPr>
        <w:tblStyle w:val="Tablaconcuadrcula"/>
        <w:tblW w:w="7938" w:type="dxa"/>
        <w:tblBorders>
          <w:top w:val="none" w:sz="0" w:space="0" w:color="auto"/>
          <w:left w:val="none" w:sz="0" w:space="0" w:color="auto"/>
          <w:bottom w:val="single" w:sz="8" w:space="0" w:color="C5C6C8" w:themeColor="text2" w:themeTint="66"/>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8"/>
      </w:tblGrid>
      <w:tr w:rsidR="00F310FD" w:rsidRPr="00823C7C" w:rsidTr="00CB3F34">
        <w:trPr>
          <w:trHeight w:hRule="exact" w:val="170"/>
        </w:trPr>
        <w:tc>
          <w:tcPr>
            <w:tcW w:w="7881" w:type="dxa"/>
          </w:tcPr>
          <w:p w:rsidR="00F310FD" w:rsidRPr="00823C7C" w:rsidRDefault="00F310FD" w:rsidP="00823C7C">
            <w:pPr>
              <w:spacing w:before="0" w:line="240" w:lineRule="auto"/>
              <w:rPr>
                <w:color w:val="C5C6C8" w:themeColor="text2" w:themeTint="66"/>
                <w:sz w:val="12"/>
                <w:szCs w:val="12"/>
              </w:rPr>
            </w:pPr>
          </w:p>
        </w:tc>
      </w:tr>
    </w:tbl>
    <w:p w:rsidR="00F310FD" w:rsidRPr="000F5519" w:rsidRDefault="00F310FD" w:rsidP="00F52EB6">
      <w:pPr>
        <w:pStyle w:val="Spacer"/>
      </w:pPr>
    </w:p>
  </w:footnote>
  <w:footnote w:type="continuationSeparator" w:id="0">
    <w:tbl>
      <w:tblPr>
        <w:tblStyle w:val="Tablaconcuadrcula"/>
        <w:tblW w:w="7938" w:type="dxa"/>
        <w:tblBorders>
          <w:top w:val="none" w:sz="0" w:space="0" w:color="auto"/>
          <w:left w:val="none" w:sz="0" w:space="0" w:color="auto"/>
          <w:bottom w:val="single" w:sz="8" w:space="0" w:color="C5C6C8" w:themeColor="text2" w:themeTint="66"/>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8"/>
      </w:tblGrid>
      <w:tr w:rsidR="00F310FD" w:rsidTr="00CB3F34">
        <w:trPr>
          <w:trHeight w:hRule="exact" w:val="170"/>
        </w:trPr>
        <w:tc>
          <w:tcPr>
            <w:tcW w:w="7825" w:type="dxa"/>
          </w:tcPr>
          <w:p w:rsidR="00F310FD" w:rsidRDefault="00F310FD" w:rsidP="00823C7C">
            <w:pPr>
              <w:pStyle w:val="Piedepgina"/>
            </w:pPr>
          </w:p>
        </w:tc>
      </w:tr>
    </w:tbl>
    <w:p w:rsidR="00F310FD" w:rsidRPr="00823C7C" w:rsidRDefault="00F310FD" w:rsidP="00F52EB6">
      <w:pPr>
        <w:pStyle w:val="Spacer"/>
      </w:pPr>
    </w:p>
  </w:footnote>
  <w:footnote w:type="continuationNotice" w:id="1">
    <w:p w:rsidR="00F310FD" w:rsidRDefault="00F310FD" w:rsidP="00C82BD3">
      <w:pPr>
        <w:pStyle w:val="Spacer"/>
      </w:pPr>
    </w:p>
  </w:footnote>
  <w:footnote w:id="2">
    <w:p w:rsidR="00625BE2" w:rsidRDefault="00625BE2" w:rsidP="00FD0A40">
      <w:pPr>
        <w:pStyle w:val="Textonotapie"/>
        <w:ind w:left="0" w:firstLine="0"/>
      </w:pPr>
      <w:r>
        <w:rPr>
          <w:rStyle w:val="Refdenotaalpie"/>
        </w:rPr>
        <w:footnoteRef/>
      </w:r>
      <w:r w:rsidR="00D07D90">
        <w:t xml:space="preserve"> </w:t>
      </w:r>
      <w:r>
        <w:t>“</w:t>
      </w:r>
      <w:r w:rsidRPr="002D32DE">
        <w:t>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w:t>
      </w:r>
      <w:r>
        <w:t xml:space="preserve">”. Disponible en: </w:t>
      </w:r>
      <w:hyperlink r:id="rId1" w:history="1">
        <w:r w:rsidRPr="005951A2">
          <w:rPr>
            <w:rStyle w:val="Hipervnculo"/>
          </w:rPr>
          <w:t>http://www.ift.org.mx/sites/default/files/pitfext270217119verpub_1.pdf</w:t>
        </w:r>
      </w:hyperlink>
      <w:r>
        <w:t>.</w:t>
      </w:r>
    </w:p>
  </w:footnote>
  <w:footnote w:id="3">
    <w:p w:rsidR="00625BE2" w:rsidRPr="00AC0960" w:rsidRDefault="00625BE2" w:rsidP="00FD0A40">
      <w:pPr>
        <w:pStyle w:val="Textonotapie"/>
        <w:ind w:left="0" w:hanging="14"/>
      </w:pPr>
      <w:r>
        <w:rPr>
          <w:rStyle w:val="Refdenotaalpie"/>
        </w:rPr>
        <w:footnoteRef/>
      </w:r>
      <w:r>
        <w:t xml:space="preserve"> SEO es el acrónimo en inglés de </w:t>
      </w:r>
      <w:r w:rsidR="00E51EE8">
        <w:rPr>
          <w:i/>
        </w:rPr>
        <w:t>Similar</w:t>
      </w:r>
      <w:r w:rsidRPr="008C7C5E">
        <w:rPr>
          <w:i/>
        </w:rPr>
        <w:t xml:space="preserve"> Efficient Operator</w:t>
      </w:r>
      <w:r w:rsidR="00E51EE8">
        <w:t xml:space="preserve"> (Operador Similarmente Eficiente)</w:t>
      </w:r>
      <w:r w:rsidR="00FD0A40">
        <w:t>.</w:t>
      </w:r>
    </w:p>
  </w:footnote>
  <w:footnote w:id="4">
    <w:p w:rsidR="00625BE2" w:rsidRPr="00AC36BD" w:rsidRDefault="00625BE2" w:rsidP="00FD0A40">
      <w:pPr>
        <w:pStyle w:val="Textonotapie"/>
        <w:ind w:left="0" w:hanging="14"/>
      </w:pPr>
      <w:r>
        <w:rPr>
          <w:rStyle w:val="Refdenotaalpie"/>
        </w:rPr>
        <w:footnoteRef/>
      </w:r>
      <w:r>
        <w:t xml:space="preserve"> LRIC es el acrónimo en inglés</w:t>
      </w:r>
      <w:r w:rsidRPr="00D07D90">
        <w:rPr>
          <w:i/>
        </w:rPr>
        <w:t xml:space="preserve"> Lung Run Incremental Costs</w:t>
      </w:r>
      <w:r w:rsidR="00E51EE8" w:rsidRPr="00D07D90">
        <w:rPr>
          <w:i/>
        </w:rPr>
        <w:t xml:space="preserve"> </w:t>
      </w:r>
      <w:r w:rsidR="00E51EE8">
        <w:t>(Costos Incrementales de Largo Plazo)</w:t>
      </w:r>
      <w:r w:rsidR="00FD0A40">
        <w:t>.</w:t>
      </w:r>
    </w:p>
  </w:footnote>
  <w:footnote w:id="5">
    <w:p w:rsidR="00625BE2" w:rsidRPr="00AC36BD" w:rsidRDefault="00625BE2" w:rsidP="00FD0A40">
      <w:pPr>
        <w:pStyle w:val="Textonotapie"/>
        <w:ind w:left="0" w:firstLine="0"/>
      </w:pPr>
      <w:r>
        <w:rPr>
          <w:rStyle w:val="Refdenotaalpie"/>
        </w:rPr>
        <w:footnoteRef/>
      </w:r>
      <w:r>
        <w:t xml:space="preserve"> LRIC+ es el acrónimo en inglés de </w:t>
      </w:r>
      <w:r w:rsidRPr="00D07D90">
        <w:rPr>
          <w:i/>
        </w:rPr>
        <w:t>Lung Run Incremental Costs Plus</w:t>
      </w:r>
      <w:r w:rsidR="00E51EE8">
        <w:t xml:space="preserve"> (Costos Incrementales de Largo Plazo con un Margen)</w:t>
      </w:r>
      <w:r w:rsidR="00FD0A40">
        <w:t>.</w:t>
      </w:r>
    </w:p>
  </w:footnote>
  <w:footnote w:id="6">
    <w:p w:rsidR="00625BE2" w:rsidRDefault="00625BE2">
      <w:pPr>
        <w:pStyle w:val="Textonotapie"/>
      </w:pPr>
      <w:r>
        <w:rPr>
          <w:rStyle w:val="Refdenotaalpie"/>
        </w:rPr>
        <w:footnoteRef/>
      </w:r>
      <w:r>
        <w:t xml:space="preserve"> </w:t>
      </w:r>
      <w:r>
        <w:tab/>
        <w:t xml:space="preserve">En la introducción a esta sección se especifican los servicios mayoristas relevantes para tipología de oferta, según el servicio de banda ancha se comercialice con o sin telefonía fija. </w:t>
      </w:r>
    </w:p>
  </w:footnote>
  <w:footnote w:id="7">
    <w:p w:rsidR="00625BE2" w:rsidRDefault="00625BE2">
      <w:pPr>
        <w:pStyle w:val="Textonotapie"/>
      </w:pPr>
      <w:r>
        <w:rPr>
          <w:rStyle w:val="Refdenotaalpie"/>
        </w:rPr>
        <w:footnoteRef/>
      </w:r>
      <w:r>
        <w:t xml:space="preserve"> </w:t>
      </w:r>
      <w:r>
        <w:tab/>
        <w:t xml:space="preserve">Éste es uno de los supuestos del modelo. </w:t>
      </w:r>
    </w:p>
  </w:footnote>
  <w:footnote w:id="8">
    <w:p w:rsidR="00625BE2" w:rsidRDefault="00625BE2">
      <w:pPr>
        <w:pStyle w:val="Textonotapie"/>
      </w:pPr>
      <w:r>
        <w:rPr>
          <w:rStyle w:val="Refdenotaalpie"/>
        </w:rPr>
        <w:footnoteRef/>
      </w:r>
      <w:r>
        <w:t xml:space="preserve"> </w:t>
      </w:r>
      <w:r>
        <w:tab/>
        <w:t>Las partidas de costos que dependen de la zona y el tipo de cubicación de las centrales, así como los metros lineales del cableado o ductería pueden modificarse en la hoja “Supuestos” dentro del apartado “</w:t>
      </w:r>
      <w:r w:rsidRPr="00A4325E">
        <w:t>OREDA. Servicio de coubicación para desagregación</w:t>
      </w:r>
      <w:r>
        <w:t xml:space="preserve">”. </w:t>
      </w:r>
    </w:p>
  </w:footnote>
  <w:footnote w:id="9">
    <w:p w:rsidR="00625BE2" w:rsidRDefault="00625BE2">
      <w:pPr>
        <w:pStyle w:val="Textonotapie"/>
      </w:pPr>
      <w:r>
        <w:rPr>
          <w:rStyle w:val="Refdenotaalpie"/>
        </w:rPr>
        <w:footnoteRef/>
      </w:r>
      <w:r>
        <w:t xml:space="preserve"> </w:t>
      </w:r>
      <w:r>
        <w:tab/>
        <w:t>El nivel de usuarios por metro cuadrado se ha obtenido a partir del dimensionamiento de los equipos MSAN. El dimensionamiento se ha establecido en la hoja “Dim. MSAN-cobre”. El tamaño de los diferentes componentes del MSAN puede ser modificado en la hoja “Supuestos” en el apartado “Dimensionamiento MSAN (para espacio)”.</w:t>
      </w:r>
    </w:p>
  </w:footnote>
  <w:footnote w:id="10">
    <w:p w:rsidR="00625BE2" w:rsidRDefault="00625BE2">
      <w:pPr>
        <w:pStyle w:val="Textonotapie"/>
      </w:pPr>
      <w:r>
        <w:rPr>
          <w:rStyle w:val="Refdenotaalpie"/>
        </w:rPr>
        <w:footnoteRef/>
      </w:r>
      <w:r>
        <w:t xml:space="preserve"> </w:t>
      </w:r>
      <w:r>
        <w:tab/>
        <w:t>Los supuestos de las partidas de costos que dependen del nivel de usuarios pueden modificarse en la hoja “Supuestos”, en los apartados “OREDA. Servicio de acceso indirecto al bucle” y “OREDA. Generales”.</w:t>
      </w:r>
    </w:p>
  </w:footnote>
  <w:footnote w:id="11">
    <w:p w:rsidR="00625BE2" w:rsidRDefault="00625BE2">
      <w:pPr>
        <w:pStyle w:val="Textonotapie"/>
      </w:pPr>
      <w:r>
        <w:rPr>
          <w:rStyle w:val="Refdenotaalpie"/>
        </w:rPr>
        <w:footnoteRef/>
      </w:r>
      <w:r>
        <w:t xml:space="preserve"> </w:t>
      </w:r>
      <w:r>
        <w:tab/>
        <w:t xml:space="preserve">La capacidad dedicada se obtiene a partir del producto entre el ancho de banda de la oferta (Mbit/s) y el factor de contención de la oferta (0-100%). Este factor mide el ancho de banda efectivamente dedicado en relación al ancho de banda potencial. En el caso de que el ancho de banda de la oferta coincida con el ancho de banda dedicado, el factor de contención sería del 100%. </w:t>
      </w:r>
    </w:p>
  </w:footnote>
  <w:footnote w:id="12">
    <w:p w:rsidR="00625BE2" w:rsidRDefault="00625BE2" w:rsidP="00C8183A">
      <w:pPr>
        <w:pStyle w:val="Textonotapie"/>
      </w:pPr>
      <w:r>
        <w:rPr>
          <w:rStyle w:val="Refdenotaalpie"/>
        </w:rPr>
        <w:footnoteRef/>
      </w:r>
      <w:r>
        <w:t xml:space="preserve"> </w:t>
      </w:r>
      <w:r>
        <w:tab/>
      </w:r>
      <w:hyperlink r:id="rId2" w:history="1">
        <w:r w:rsidRPr="00A47D6E">
          <w:rPr>
            <w:rStyle w:val="Hipervnculo"/>
          </w:rPr>
          <w:t>http://www.ift.org.mx/sites/default/files/contenidogeneral/politica-regulatoria/oredatelmex20172018.pdf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52" w:tblpY="852"/>
      <w:tblW w:w="10206" w:type="dxa"/>
      <w:tblLayout w:type="fixed"/>
      <w:tblCellMar>
        <w:left w:w="0" w:type="dxa"/>
        <w:right w:w="0" w:type="dxa"/>
      </w:tblCellMar>
      <w:tblLook w:val="0000" w:firstRow="0" w:lastRow="0" w:firstColumn="0" w:lastColumn="0" w:noHBand="0" w:noVBand="0"/>
    </w:tblPr>
    <w:tblGrid>
      <w:gridCol w:w="2044"/>
      <w:gridCol w:w="8162"/>
    </w:tblGrid>
    <w:tr w:rsidR="00625BE2" w:rsidRPr="00F57F90" w:rsidTr="0021208F">
      <w:trPr>
        <w:trHeight w:hRule="exact" w:val="567"/>
      </w:trPr>
      <w:tc>
        <w:tcPr>
          <w:tcW w:w="2044" w:type="dxa"/>
        </w:tcPr>
        <w:p w:rsidR="00625BE2" w:rsidRPr="000A0D97" w:rsidRDefault="00625BE2" w:rsidP="000A0D97">
          <w:pPr>
            <w:pStyle w:val="DraftRef"/>
          </w:pPr>
          <w:r w:rsidRPr="000A0D97">
            <w:fldChar w:fldCharType="begin"/>
          </w:r>
          <w:r w:rsidRPr="000A0D97">
            <w:instrText xml:space="preserve"> STYLEREF  ~Draft </w:instrText>
          </w:r>
          <w:r w:rsidRPr="000A0D97">
            <w:fldChar w:fldCharType="end"/>
          </w:r>
        </w:p>
      </w:tc>
      <w:tc>
        <w:tcPr>
          <w:tcW w:w="8162" w:type="dxa"/>
        </w:tcPr>
        <w:p w:rsidR="00625BE2" w:rsidRPr="00717597" w:rsidRDefault="00625BE2" w:rsidP="00717597">
          <w:pPr>
            <w:pStyle w:val="Encabezado"/>
          </w:pPr>
          <w:r>
            <w:fldChar w:fldCharType="begin"/>
          </w:r>
          <w:r>
            <w:instrText xml:space="preserve"> STYLEREF  "~DocTitle" </w:instrText>
          </w:r>
          <w:r>
            <w:fldChar w:fldCharType="separate"/>
          </w:r>
          <w:r w:rsidR="00BC01B7">
            <w:rPr>
              <w:noProof/>
            </w:rPr>
            <w:t>MANUAL DEL MODELO DE REPLICABILIDAD</w:t>
          </w:r>
          <w:r>
            <w:rPr>
              <w:noProof/>
            </w:rPr>
            <w:fldChar w:fldCharType="end"/>
          </w:r>
        </w:p>
      </w:tc>
    </w:tr>
  </w:tbl>
  <w:p w:rsidR="00625BE2" w:rsidRPr="00EB2C63" w:rsidRDefault="00625BE2" w:rsidP="00EB2C6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52" w:tblpY="852"/>
      <w:tblW w:w="10206" w:type="dxa"/>
      <w:tblLayout w:type="fixed"/>
      <w:tblCellMar>
        <w:left w:w="0" w:type="dxa"/>
        <w:right w:w="0" w:type="dxa"/>
      </w:tblCellMar>
      <w:tblLook w:val="0000" w:firstRow="0" w:lastRow="0" w:firstColumn="0" w:lastColumn="0" w:noHBand="0" w:noVBand="0"/>
    </w:tblPr>
    <w:tblGrid>
      <w:gridCol w:w="2044"/>
      <w:gridCol w:w="8162"/>
    </w:tblGrid>
    <w:tr w:rsidR="00625BE2" w:rsidRPr="00B36984" w:rsidTr="0021208F">
      <w:trPr>
        <w:trHeight w:hRule="exact" w:val="567"/>
      </w:trPr>
      <w:tc>
        <w:tcPr>
          <w:tcW w:w="2044" w:type="dxa"/>
        </w:tcPr>
        <w:p w:rsidR="00625BE2" w:rsidRPr="00DC53CB" w:rsidRDefault="00625BE2" w:rsidP="00717597">
          <w:pPr>
            <w:pStyle w:val="DraftRef"/>
            <w:rPr>
              <w:sz w:val="24"/>
            </w:rPr>
          </w:pPr>
          <w:r>
            <w:fldChar w:fldCharType="begin"/>
          </w:r>
          <w:r>
            <w:instrText xml:space="preserve"> STYLEREF  ~Draft </w:instrText>
          </w:r>
          <w:r>
            <w:rPr>
              <w:noProof/>
            </w:rPr>
            <w:fldChar w:fldCharType="end"/>
          </w:r>
        </w:p>
      </w:tc>
      <w:tc>
        <w:tcPr>
          <w:tcW w:w="8162" w:type="dxa"/>
        </w:tcPr>
        <w:p w:rsidR="00625BE2" w:rsidRPr="00B36984" w:rsidRDefault="00625BE2" w:rsidP="00717597">
          <w:pPr>
            <w:pStyle w:val="Encabezado"/>
          </w:pPr>
          <w:r>
            <w:fldChar w:fldCharType="begin"/>
          </w:r>
          <w:r>
            <w:instrText xml:space="preserve"> STYLEREF  "~DocTitle" </w:instrText>
          </w:r>
          <w:r>
            <w:fldChar w:fldCharType="separate"/>
          </w:r>
          <w:r w:rsidR="00BC01B7">
            <w:rPr>
              <w:noProof/>
            </w:rPr>
            <w:t>MANUAL DEL MODELO DE REPLICABILIDAD</w:t>
          </w:r>
          <w:r>
            <w:rPr>
              <w:noProof/>
            </w:rPr>
            <w:fldChar w:fldCharType="end"/>
          </w:r>
        </w:p>
      </w:tc>
    </w:tr>
  </w:tbl>
  <w:p w:rsidR="00625BE2" w:rsidRPr="00580ADA" w:rsidRDefault="00625BE2" w:rsidP="00717597">
    <w:pPr>
      <w:pStyle w:val="Piedep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0244"/>
    <w:multiLevelType w:val="multilevel"/>
    <w:tmpl w:val="0809001D"/>
    <w:name w:val="SecHead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4C52E5"/>
    <w:multiLevelType w:val="multilevel"/>
    <w:tmpl w:val="844A82D2"/>
    <w:name w:val="NumberedList3"/>
    <w:numStyleLink w:val="ListNumStyle"/>
  </w:abstractNum>
  <w:abstractNum w:abstractNumId="2" w15:restartNumberingAfterBreak="0">
    <w:nsid w:val="059679F8"/>
    <w:multiLevelType w:val="multilevel"/>
    <w:tmpl w:val="22D45FDC"/>
    <w:name w:val="ParaNumBulletList2"/>
    <w:lvl w:ilvl="0">
      <w:start w:val="1"/>
      <w:numFmt w:val="decimal"/>
      <w:lvlText w:val="%1."/>
      <w:lvlJc w:val="left"/>
      <w:pPr>
        <w:tabs>
          <w:tab w:val="num" w:pos="340"/>
        </w:tabs>
        <w:ind w:left="340" w:hanging="340"/>
      </w:pPr>
      <w:rPr>
        <w:rFonts w:hint="default"/>
        <w:color w:val="E83F35" w:themeColor="accent1"/>
      </w:rPr>
    </w:lvl>
    <w:lvl w:ilvl="1">
      <w:start w:val="1"/>
      <w:numFmt w:val="lowerLetter"/>
      <w:lvlText w:val="%2."/>
      <w:lvlJc w:val="left"/>
      <w:pPr>
        <w:tabs>
          <w:tab w:val="num" w:pos="680"/>
        </w:tabs>
        <w:ind w:left="680" w:hanging="340"/>
      </w:pPr>
      <w:rPr>
        <w:rFonts w:hint="default"/>
        <w:color w:val="E83F35" w:themeColor="accent1"/>
      </w:rPr>
    </w:lvl>
    <w:lvl w:ilvl="2">
      <w:start w:val="1"/>
      <w:numFmt w:val="lowerRoman"/>
      <w:lvlText w:val="%3."/>
      <w:lvlJc w:val="left"/>
      <w:pPr>
        <w:tabs>
          <w:tab w:val="num" w:pos="1021"/>
        </w:tabs>
        <w:ind w:left="1021" w:hanging="341"/>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9787125"/>
    <w:multiLevelType w:val="multilevel"/>
    <w:tmpl w:val="8A4E6DC2"/>
    <w:name w:val="SecHeadList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8A5276"/>
    <w:multiLevelType w:val="multilevel"/>
    <w:tmpl w:val="0809001D"/>
    <w:name w:val="SecHeadList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8A67C9"/>
    <w:multiLevelType w:val="multilevel"/>
    <w:tmpl w:val="4C70D716"/>
    <w:name w:val="ParaNumBulletList"/>
    <w:lvl w:ilvl="0">
      <w:start w:val="1"/>
      <w:numFmt w:val="none"/>
      <w:lvlText w:val=""/>
      <w:lvlJc w:val="left"/>
      <w:pPr>
        <w:ind w:left="340" w:hanging="340"/>
      </w:pPr>
      <w:rPr>
        <w:rFonts w:hint="default"/>
        <w:color w:val="E83F35" w:themeColor="accent1"/>
      </w:rPr>
    </w:lvl>
    <w:lvl w:ilvl="1">
      <w:start w:val="1"/>
      <w:numFmt w:val="none"/>
      <w:lvlText w:val=""/>
      <w:lvlJc w:val="left"/>
      <w:pPr>
        <w:ind w:left="0" w:firstLine="0"/>
      </w:pPr>
      <w:rPr>
        <w:rFonts w:hint="default"/>
        <w:color w:val="E83F35" w:themeColor="accent1"/>
      </w:rPr>
    </w:lvl>
    <w:lvl w:ilvl="2">
      <w:start w:val="1"/>
      <w:numFmt w:val="none"/>
      <w:lvlText w:val=""/>
      <w:lvlJc w:val="left"/>
      <w:pPr>
        <w:ind w:left="0" w:firstLine="0"/>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14B21A57"/>
    <w:multiLevelType w:val="multilevel"/>
    <w:tmpl w:val="C102EA5A"/>
    <w:name w:val="AppHeadList"/>
    <w:styleLink w:val="AppListStyle"/>
    <w:lvl w:ilvl="0">
      <w:start w:val="1"/>
      <w:numFmt w:val="upperLetter"/>
      <w:lvlRestart w:val="0"/>
      <w:pStyle w:val="AnxHead"/>
      <w:lvlText w:val="ANNEX %1"/>
      <w:lvlJc w:val="left"/>
      <w:pPr>
        <w:tabs>
          <w:tab w:val="num" w:pos="1559"/>
        </w:tabs>
        <w:ind w:left="1559" w:hanging="1559"/>
      </w:pPr>
      <w:rPr>
        <w:rFonts w:ascii="Arial" w:hAnsi="Arial" w:cs="Arial" w:hint="default"/>
        <w:b/>
        <w:bCs/>
        <w:i w:val="0"/>
        <w:color w:val="E83F35" w:themeColor="accent1"/>
        <w:sz w:val="40"/>
      </w:rPr>
    </w:lvl>
    <w:lvl w:ilvl="1">
      <w:start w:val="1"/>
      <w:numFmt w:val="decimal"/>
      <w:pStyle w:val="AnxSubHead"/>
      <w:lvlText w:val="%1.%2"/>
      <w:lvlJc w:val="right"/>
      <w:pPr>
        <w:tabs>
          <w:tab w:val="num" w:pos="709"/>
        </w:tabs>
        <w:ind w:left="709" w:hanging="198"/>
      </w:pPr>
      <w:rPr>
        <w:rFonts w:ascii="Arial" w:hAnsi="Arial" w:cs="Arial" w:hint="default"/>
        <w:b w:val="0"/>
        <w:i w:val="0"/>
        <w:color w:val="E83F35" w:themeColor="accent1"/>
        <w:sz w:val="36"/>
      </w:rPr>
    </w:lvl>
    <w:lvl w:ilvl="2">
      <w:start w:val="1"/>
      <w:numFmt w:val="decimal"/>
      <w:pStyle w:val="AnxMinorSubHead"/>
      <w:lvlText w:val="%1.%2.%3"/>
      <w:lvlJc w:val="right"/>
      <w:pPr>
        <w:tabs>
          <w:tab w:val="num" w:pos="709"/>
        </w:tabs>
        <w:ind w:left="709" w:hanging="198"/>
      </w:pPr>
      <w:rPr>
        <w:rFonts w:ascii="Arial" w:hAnsi="Arial" w:cs="Arial" w:hint="default"/>
        <w:b w:val="0"/>
        <w:i w:val="0"/>
        <w:color w:val="E83F35" w:themeColor="accent1"/>
        <w:sz w:val="30"/>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7" w15:restartNumberingAfterBreak="0">
    <w:nsid w:val="14B63999"/>
    <w:multiLevelType w:val="multilevel"/>
    <w:tmpl w:val="C102EA5A"/>
    <w:name w:val="AppHeadList2"/>
    <w:numStyleLink w:val="AppListStyle"/>
  </w:abstractNum>
  <w:abstractNum w:abstractNumId="8" w15:restartNumberingAfterBreak="0">
    <w:nsid w:val="1B37531D"/>
    <w:multiLevelType w:val="multilevel"/>
    <w:tmpl w:val="844A82D2"/>
    <w:name w:val="NumberedList4"/>
    <w:numStyleLink w:val="ListNumStyle"/>
  </w:abstractNum>
  <w:abstractNum w:abstractNumId="9" w15:restartNumberingAfterBreak="0">
    <w:nsid w:val="1CB458B4"/>
    <w:multiLevelType w:val="multilevel"/>
    <w:tmpl w:val="113A5250"/>
    <w:name w:val="ListNumBulletList2"/>
    <w:lvl w:ilvl="0">
      <w:start w:val="1"/>
      <w:numFmt w:val="decimal"/>
      <w:lvlText w:val="%1."/>
      <w:lvlJc w:val="left"/>
      <w:pPr>
        <w:tabs>
          <w:tab w:val="num" w:pos="340"/>
        </w:tabs>
        <w:ind w:left="340" w:hanging="340"/>
      </w:pPr>
      <w:rPr>
        <w:rFonts w:hint="default"/>
        <w:color w:val="E83F35" w:themeColor="accent1"/>
      </w:rPr>
    </w:lvl>
    <w:lvl w:ilvl="1">
      <w:start w:val="1"/>
      <w:numFmt w:val="lowerLetter"/>
      <w:lvlText w:val="%2."/>
      <w:lvlJc w:val="left"/>
      <w:pPr>
        <w:tabs>
          <w:tab w:val="num" w:pos="680"/>
        </w:tabs>
        <w:ind w:left="680" w:hanging="340"/>
      </w:pPr>
      <w:rPr>
        <w:rFonts w:hint="default"/>
        <w:color w:val="E83F35" w:themeColor="accent1"/>
      </w:rPr>
    </w:lvl>
    <w:lvl w:ilvl="2">
      <w:start w:val="1"/>
      <w:numFmt w:val="lowerRoman"/>
      <w:lvlText w:val="%3."/>
      <w:lvlJc w:val="left"/>
      <w:pPr>
        <w:tabs>
          <w:tab w:val="num" w:pos="1021"/>
        </w:tabs>
        <w:ind w:left="1021" w:hanging="341"/>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268571AF"/>
    <w:multiLevelType w:val="multilevel"/>
    <w:tmpl w:val="8AE871F2"/>
    <w:name w:val="SecHeadList5"/>
    <w:numStyleLink w:val="SecListStyle"/>
  </w:abstractNum>
  <w:abstractNum w:abstractNumId="11" w15:restartNumberingAfterBreak="0">
    <w:nsid w:val="2A3E56FB"/>
    <w:multiLevelType w:val="multilevel"/>
    <w:tmpl w:val="AAB08E7C"/>
    <w:name w:val="SeqParaList2"/>
    <w:numStyleLink w:val="SeqParaListStyle"/>
  </w:abstractNum>
  <w:abstractNum w:abstractNumId="12" w15:restartNumberingAfterBreak="0">
    <w:nsid w:val="2D4F5981"/>
    <w:multiLevelType w:val="multilevel"/>
    <w:tmpl w:val="9B1ABCF4"/>
    <w:name w:val="ListBulletList"/>
    <w:lvl w:ilvl="0">
      <w:start w:val="1"/>
      <w:numFmt w:val="bullet"/>
      <w:pStyle w:val="ListBullet1"/>
      <w:lvlText w:val=""/>
      <w:lvlJc w:val="left"/>
      <w:pPr>
        <w:tabs>
          <w:tab w:val="num" w:pos="340"/>
        </w:tabs>
        <w:ind w:left="340" w:hanging="340"/>
      </w:pPr>
      <w:rPr>
        <w:rFonts w:ascii="Wingdings 2" w:hAnsi="Wingdings 2" w:hint="default"/>
        <w:color w:val="E83F35" w:themeColor="accent1"/>
      </w:rPr>
    </w:lvl>
    <w:lvl w:ilvl="1">
      <w:start w:val="1"/>
      <w:numFmt w:val="bullet"/>
      <w:pStyle w:val="ListBullet2"/>
      <w:lvlText w:val="□"/>
      <w:lvlJc w:val="left"/>
      <w:pPr>
        <w:tabs>
          <w:tab w:val="num" w:pos="680"/>
        </w:tabs>
        <w:ind w:left="680" w:hanging="340"/>
      </w:pPr>
      <w:rPr>
        <w:rFonts w:ascii="Calibri" w:hAnsi="Calibri" w:hint="default"/>
        <w:color w:val="E83F35" w:themeColor="accent1"/>
      </w:rPr>
    </w:lvl>
    <w:lvl w:ilvl="2">
      <w:start w:val="1"/>
      <w:numFmt w:val="bullet"/>
      <w:pStyle w:val="ListBullet3"/>
      <w:lvlText w:val="–"/>
      <w:lvlJc w:val="left"/>
      <w:pPr>
        <w:tabs>
          <w:tab w:val="num" w:pos="1021"/>
        </w:tabs>
        <w:ind w:left="1021" w:hanging="341"/>
      </w:pPr>
      <w:rPr>
        <w:rFonts w:ascii="(none)" w:hAnsi="(none)" w:hint="default"/>
        <w:color w:val="E83F3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3" w15:restartNumberingAfterBreak="0">
    <w:nsid w:val="3454482C"/>
    <w:multiLevelType w:val="hybridMultilevel"/>
    <w:tmpl w:val="B1105EB4"/>
    <w:lvl w:ilvl="0" w:tplc="FE70B87A">
      <w:start w:val="1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E67AB2"/>
    <w:multiLevelType w:val="multilevel"/>
    <w:tmpl w:val="844A82D2"/>
    <w:name w:val="NumberedList"/>
    <w:styleLink w:val="ListNumStyle"/>
    <w:lvl w:ilvl="0">
      <w:start w:val="1"/>
      <w:numFmt w:val="decimal"/>
      <w:pStyle w:val="ListNumBullet1"/>
      <w:lvlText w:val="%1."/>
      <w:lvlJc w:val="left"/>
      <w:pPr>
        <w:tabs>
          <w:tab w:val="num" w:pos="340"/>
        </w:tabs>
        <w:ind w:left="340" w:hanging="340"/>
      </w:pPr>
      <w:rPr>
        <w:rFonts w:hint="default"/>
        <w:color w:val="37424A" w:themeColor="text1"/>
      </w:rPr>
    </w:lvl>
    <w:lvl w:ilvl="1">
      <w:start w:val="1"/>
      <w:numFmt w:val="lowerLetter"/>
      <w:pStyle w:val="ListNumBullet2"/>
      <w:lvlText w:val="%2."/>
      <w:lvlJc w:val="left"/>
      <w:pPr>
        <w:tabs>
          <w:tab w:val="num" w:pos="680"/>
        </w:tabs>
        <w:ind w:left="680" w:hanging="340"/>
      </w:pPr>
      <w:rPr>
        <w:rFonts w:hint="default"/>
        <w:color w:val="37424A" w:themeColor="text1"/>
      </w:rPr>
    </w:lvl>
    <w:lvl w:ilvl="2">
      <w:start w:val="1"/>
      <w:numFmt w:val="lowerRoman"/>
      <w:pStyle w:val="ListNumBullet3"/>
      <w:lvlText w:val="%3."/>
      <w:lvlJc w:val="left"/>
      <w:pPr>
        <w:tabs>
          <w:tab w:val="num" w:pos="1021"/>
        </w:tabs>
        <w:ind w:left="1021" w:hanging="341"/>
      </w:pPr>
      <w:rPr>
        <w:rFonts w:hint="default"/>
        <w:color w:val="37424A"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AF464B7"/>
    <w:multiLevelType w:val="hybridMultilevel"/>
    <w:tmpl w:val="092C37FA"/>
    <w:lvl w:ilvl="0" w:tplc="331E8154">
      <w:start w:val="1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0C38EF"/>
    <w:multiLevelType w:val="multilevel"/>
    <w:tmpl w:val="AAB08E7C"/>
    <w:name w:val="ParaNumBulletListStyle2"/>
    <w:numStyleLink w:val="SeqParaListStyle"/>
  </w:abstractNum>
  <w:abstractNum w:abstractNumId="17" w15:restartNumberingAfterBreak="0">
    <w:nsid w:val="44F53080"/>
    <w:multiLevelType w:val="multilevel"/>
    <w:tmpl w:val="844A82D2"/>
    <w:name w:val="ParaNumBulletList32"/>
    <w:numStyleLink w:val="ListNumStyle"/>
  </w:abstractNum>
  <w:abstractNum w:abstractNumId="18" w15:restartNumberingAfterBreak="0">
    <w:nsid w:val="4A0744BE"/>
    <w:multiLevelType w:val="multilevel"/>
    <w:tmpl w:val="407056D8"/>
    <w:name w:val="ParaBulletList"/>
    <w:lvl w:ilvl="0">
      <w:start w:val="1"/>
      <w:numFmt w:val="bullet"/>
      <w:pStyle w:val="ParaBullet1"/>
      <w:lvlText w:val=""/>
      <w:lvlJc w:val="left"/>
      <w:pPr>
        <w:tabs>
          <w:tab w:val="num" w:pos="340"/>
        </w:tabs>
        <w:ind w:left="340" w:hanging="340"/>
      </w:pPr>
      <w:rPr>
        <w:rFonts w:ascii="Wingdings 2" w:hAnsi="Wingdings 2" w:cs="Wingdings 2" w:hint="default"/>
        <w:color w:val="E83F35" w:themeColor="accent1"/>
      </w:rPr>
    </w:lvl>
    <w:lvl w:ilvl="1">
      <w:start w:val="1"/>
      <w:numFmt w:val="bullet"/>
      <w:pStyle w:val="ParaBullet2"/>
      <w:lvlText w:val="□"/>
      <w:lvlJc w:val="left"/>
      <w:pPr>
        <w:tabs>
          <w:tab w:val="num" w:pos="680"/>
        </w:tabs>
        <w:ind w:left="680" w:hanging="340"/>
      </w:pPr>
      <w:rPr>
        <w:rFonts w:ascii="Calibri" w:hAnsi="Calibri" w:hint="default"/>
        <w:color w:val="E83F35" w:themeColor="accent1"/>
      </w:rPr>
    </w:lvl>
    <w:lvl w:ilvl="2">
      <w:start w:val="1"/>
      <w:numFmt w:val="bullet"/>
      <w:pStyle w:val="ParaBullet3"/>
      <w:lvlText w:val="–"/>
      <w:lvlJc w:val="left"/>
      <w:pPr>
        <w:tabs>
          <w:tab w:val="num" w:pos="1021"/>
        </w:tabs>
        <w:ind w:left="1021" w:hanging="341"/>
      </w:pPr>
      <w:rPr>
        <w:rFonts w:ascii="(none)" w:hAnsi="(none)" w:cs="(none)" w:hint="default"/>
        <w:color w:val="E83F3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9" w15:restartNumberingAfterBreak="0">
    <w:nsid w:val="54656B87"/>
    <w:multiLevelType w:val="multilevel"/>
    <w:tmpl w:val="AAB08E7C"/>
    <w:name w:val="ParaNumBulletListStyle"/>
    <w:styleLink w:val="SeqParaListStyle"/>
    <w:lvl w:ilvl="0">
      <w:start w:val="1"/>
      <w:numFmt w:val="decimal"/>
      <w:lvlRestart w:val="0"/>
      <w:lvlText w:val="%1."/>
      <w:lvlJc w:val="left"/>
      <w:pPr>
        <w:tabs>
          <w:tab w:val="num" w:pos="340"/>
        </w:tabs>
        <w:ind w:left="340" w:hanging="340"/>
      </w:pPr>
      <w:rPr>
        <w:rFonts w:ascii="Arial" w:hAnsi="Arial" w:cs="Arial" w:hint="default"/>
        <w:b w:val="0"/>
        <w:i w:val="0"/>
        <w:color w:val="auto"/>
        <w:sz w:val="22"/>
      </w:rPr>
    </w:lvl>
    <w:lvl w:ilvl="1">
      <w:start w:val="1"/>
      <w:numFmt w:val="lowerLetter"/>
      <w:lvlRestart w:val="0"/>
      <w:lvlText w:val="%2."/>
      <w:lvlJc w:val="left"/>
      <w:pPr>
        <w:tabs>
          <w:tab w:val="num" w:pos="680"/>
        </w:tabs>
        <w:ind w:left="680" w:hanging="340"/>
      </w:pPr>
      <w:rPr>
        <w:rFonts w:ascii="Arial" w:hAnsi="Arial" w:cs="Arial" w:hint="default"/>
        <w:b w:val="0"/>
        <w:i w:val="0"/>
        <w:color w:val="auto"/>
        <w:sz w:val="22"/>
      </w:rPr>
    </w:lvl>
    <w:lvl w:ilvl="2">
      <w:start w:val="1"/>
      <w:numFmt w:val="lowerRoman"/>
      <w:lvlText w:val="%3."/>
      <w:lvlJc w:val="left"/>
      <w:pPr>
        <w:tabs>
          <w:tab w:val="num" w:pos="1021"/>
        </w:tabs>
        <w:ind w:left="1021" w:hanging="341"/>
      </w:pPr>
      <w:rPr>
        <w:rFonts w:hint="default"/>
        <w:b w:val="0"/>
        <w:i w:val="0"/>
        <w:color w:val="auto"/>
        <w:sz w:val="22"/>
      </w:rPr>
    </w:lvl>
    <w:lvl w:ilvl="3">
      <w:start w:val="1"/>
      <w:numFmt w:val="none"/>
      <w:lvlText w:val=""/>
      <w:lvlJc w:val="left"/>
      <w:pPr>
        <w:ind w:left="0" w:firstLine="0"/>
      </w:pPr>
      <w:rPr>
        <w:rFonts w:hint="default"/>
        <w:b w:val="0"/>
        <w:i w:val="0"/>
        <w:color w:val="E83F35" w:themeColor="accent1"/>
        <w:sz w:val="22"/>
      </w:rPr>
    </w:lvl>
    <w:lvl w:ilvl="4">
      <w:start w:val="1"/>
      <w:numFmt w:val="none"/>
      <w:suff w:val="nothing"/>
      <w:lvlText w:val=""/>
      <w:lvlJc w:val="left"/>
      <w:pPr>
        <w:ind w:left="198" w:firstLine="0"/>
      </w:pPr>
      <w:rPr>
        <w:rFonts w:hint="default"/>
        <w:b w:val="0"/>
        <w:i w:val="0"/>
        <w:color w:val="E83F35" w:themeColor="accent1"/>
        <w:sz w:val="22"/>
      </w:rPr>
    </w:lvl>
    <w:lvl w:ilvl="5">
      <w:start w:val="1"/>
      <w:numFmt w:val="none"/>
      <w:lvlText w:val=""/>
      <w:lvlJc w:val="left"/>
      <w:pPr>
        <w:ind w:left="198" w:firstLine="0"/>
      </w:pPr>
      <w:rPr>
        <w:rFonts w:hint="default"/>
      </w:rPr>
    </w:lvl>
    <w:lvl w:ilvl="6">
      <w:start w:val="1"/>
      <w:numFmt w:val="none"/>
      <w:lvlText w:val=""/>
      <w:lvlJc w:val="left"/>
      <w:pPr>
        <w:ind w:left="198" w:firstLine="0"/>
      </w:pPr>
      <w:rPr>
        <w:rFonts w:hint="default"/>
      </w:rPr>
    </w:lvl>
    <w:lvl w:ilvl="7">
      <w:start w:val="1"/>
      <w:numFmt w:val="none"/>
      <w:lvlText w:val=""/>
      <w:lvlJc w:val="left"/>
      <w:pPr>
        <w:ind w:left="198" w:firstLine="0"/>
      </w:pPr>
      <w:rPr>
        <w:rFonts w:hint="default"/>
      </w:rPr>
    </w:lvl>
    <w:lvl w:ilvl="8">
      <w:start w:val="1"/>
      <w:numFmt w:val="none"/>
      <w:lvlText w:val=""/>
      <w:lvlJc w:val="left"/>
      <w:pPr>
        <w:ind w:left="198" w:firstLine="0"/>
      </w:pPr>
      <w:rPr>
        <w:rFonts w:hint="default"/>
      </w:rPr>
    </w:lvl>
  </w:abstractNum>
  <w:abstractNum w:abstractNumId="20" w15:restartNumberingAfterBreak="0">
    <w:nsid w:val="5CF87017"/>
    <w:multiLevelType w:val="multilevel"/>
    <w:tmpl w:val="9D42633E"/>
    <w:lvl w:ilvl="0">
      <w:start w:val="1"/>
      <w:numFmt w:val="decimal"/>
      <w:lvlRestart w:val="0"/>
      <w:lvlText w:val="%1"/>
      <w:lvlJc w:val="right"/>
      <w:pPr>
        <w:tabs>
          <w:tab w:val="num" w:pos="0"/>
        </w:tabs>
        <w:ind w:left="0" w:hanging="198"/>
      </w:pPr>
      <w:rPr>
        <w:rFonts w:ascii="Arial" w:hAnsi="Arial" w:cs="Arial" w:hint="default"/>
        <w:b w:val="0"/>
        <w:i w:val="0"/>
        <w:color w:val="auto"/>
        <w:sz w:val="22"/>
      </w:rPr>
    </w:lvl>
    <w:lvl w:ilvl="1">
      <w:start w:val="1"/>
      <w:numFmt w:val="lowerLetter"/>
      <w:lvlRestart w:val="0"/>
      <w:lvlText w:val="%2."/>
      <w:lvlJc w:val="left"/>
      <w:pPr>
        <w:tabs>
          <w:tab w:val="num" w:pos="538"/>
        </w:tabs>
        <w:ind w:left="538" w:hanging="340"/>
      </w:pPr>
      <w:rPr>
        <w:rFonts w:ascii="Arial" w:hAnsi="Arial" w:cs="Arial" w:hint="default"/>
        <w:b w:val="0"/>
        <w:i w:val="0"/>
        <w:color w:val="E83F35" w:themeColor="accent1"/>
        <w:sz w:val="22"/>
      </w:rPr>
    </w:lvl>
    <w:lvl w:ilvl="2">
      <w:start w:val="1"/>
      <w:numFmt w:val="lowerRoman"/>
      <w:lvlText w:val="%3."/>
      <w:lvlJc w:val="left"/>
      <w:pPr>
        <w:tabs>
          <w:tab w:val="num" w:pos="878"/>
        </w:tabs>
        <w:ind w:left="878" w:hanging="340"/>
      </w:pPr>
      <w:rPr>
        <w:rFonts w:ascii="Arial" w:hAnsi="Arial" w:cs="Arial" w:hint="default"/>
        <w:b w:val="0"/>
        <w:i w:val="0"/>
        <w:color w:val="E83F35" w:themeColor="accent1"/>
        <w:sz w:val="22"/>
      </w:rPr>
    </w:lvl>
    <w:lvl w:ilvl="3">
      <w:start w:val="1"/>
      <w:numFmt w:val="bullet"/>
      <w:lvlText w:val="–"/>
      <w:lvlJc w:val="left"/>
      <w:pPr>
        <w:tabs>
          <w:tab w:val="num" w:pos="1219"/>
        </w:tabs>
        <w:ind w:left="1219" w:hanging="341"/>
      </w:pPr>
      <w:rPr>
        <w:rFonts w:ascii="font440" w:hAnsi="font440" w:hint="default"/>
        <w:b w:val="0"/>
        <w:i w:val="0"/>
        <w:color w:val="E83F35" w:themeColor="accent1"/>
        <w:sz w:val="22"/>
      </w:rPr>
    </w:lvl>
    <w:lvl w:ilvl="4">
      <w:start w:val="1"/>
      <w:numFmt w:val="none"/>
      <w:suff w:val="nothing"/>
      <w:lvlText w:val=""/>
      <w:lvlJc w:val="left"/>
      <w:pPr>
        <w:ind w:left="198" w:firstLine="0"/>
      </w:pPr>
      <w:rPr>
        <w:rFonts w:hint="default"/>
        <w:b w:val="0"/>
        <w:i w:val="0"/>
        <w:color w:val="E83F35" w:themeColor="accent1"/>
        <w:sz w:val="22"/>
      </w:rPr>
    </w:lvl>
    <w:lvl w:ilvl="5">
      <w:start w:val="1"/>
      <w:numFmt w:val="none"/>
      <w:lvlText w:val=""/>
      <w:lvlJc w:val="left"/>
      <w:pPr>
        <w:ind w:left="198" w:firstLine="0"/>
      </w:pPr>
      <w:rPr>
        <w:rFonts w:hint="default"/>
      </w:rPr>
    </w:lvl>
    <w:lvl w:ilvl="6">
      <w:start w:val="1"/>
      <w:numFmt w:val="none"/>
      <w:lvlText w:val=""/>
      <w:lvlJc w:val="left"/>
      <w:pPr>
        <w:ind w:left="198" w:firstLine="0"/>
      </w:pPr>
      <w:rPr>
        <w:rFonts w:hint="default"/>
      </w:rPr>
    </w:lvl>
    <w:lvl w:ilvl="7">
      <w:start w:val="1"/>
      <w:numFmt w:val="none"/>
      <w:lvlText w:val=""/>
      <w:lvlJc w:val="left"/>
      <w:pPr>
        <w:ind w:left="198" w:firstLine="0"/>
      </w:pPr>
      <w:rPr>
        <w:rFonts w:hint="default"/>
      </w:rPr>
    </w:lvl>
    <w:lvl w:ilvl="8">
      <w:start w:val="1"/>
      <w:numFmt w:val="none"/>
      <w:lvlText w:val=""/>
      <w:lvlJc w:val="left"/>
      <w:pPr>
        <w:ind w:left="198" w:firstLine="0"/>
      </w:pPr>
      <w:rPr>
        <w:rFonts w:hint="default"/>
      </w:rPr>
    </w:lvl>
  </w:abstractNum>
  <w:abstractNum w:abstractNumId="21" w15:restartNumberingAfterBreak="0">
    <w:nsid w:val="601D105A"/>
    <w:multiLevelType w:val="multilevel"/>
    <w:tmpl w:val="844A82D2"/>
    <w:name w:val="NumberedList2"/>
    <w:numStyleLink w:val="ListNumStyle"/>
  </w:abstractNum>
  <w:abstractNum w:abstractNumId="22" w15:restartNumberingAfterBreak="0">
    <w:nsid w:val="617E60E3"/>
    <w:multiLevelType w:val="multilevel"/>
    <w:tmpl w:val="8AE871F2"/>
    <w:name w:val="SecHeadList"/>
    <w:styleLink w:val="SecListStyle"/>
    <w:lvl w:ilvl="0">
      <w:start w:val="1"/>
      <w:numFmt w:val="decimal"/>
      <w:lvlRestart w:val="0"/>
      <w:pStyle w:val="Ttulo1"/>
      <w:isLgl/>
      <w:lvlText w:val="%1"/>
      <w:lvlJc w:val="right"/>
      <w:pPr>
        <w:tabs>
          <w:tab w:val="num" w:pos="0"/>
        </w:tabs>
        <w:ind w:left="0" w:hanging="198"/>
      </w:pPr>
      <w:rPr>
        <w:rFonts w:ascii="Arial" w:hAnsi="Arial" w:cs="Arial" w:hint="default"/>
        <w:b w:val="0"/>
        <w:i w:val="0"/>
        <w:color w:val="E83F35" w:themeColor="accent1"/>
        <w:sz w:val="40"/>
      </w:rPr>
    </w:lvl>
    <w:lvl w:ilvl="1">
      <w:start w:val="1"/>
      <w:numFmt w:val="decimal"/>
      <w:pStyle w:val="Ttulo2"/>
      <w:isLgl/>
      <w:lvlText w:val="%1.%2"/>
      <w:lvlJc w:val="right"/>
      <w:pPr>
        <w:tabs>
          <w:tab w:val="num" w:pos="0"/>
        </w:tabs>
        <w:ind w:left="0" w:hanging="198"/>
      </w:pPr>
      <w:rPr>
        <w:rFonts w:ascii="Arial" w:hAnsi="Arial" w:cs="Arial" w:hint="default"/>
        <w:b w:val="0"/>
        <w:i w:val="0"/>
        <w:color w:val="E83F35" w:themeColor="accent1"/>
        <w:sz w:val="36"/>
      </w:rPr>
    </w:lvl>
    <w:lvl w:ilvl="2">
      <w:start w:val="1"/>
      <w:numFmt w:val="decimal"/>
      <w:pStyle w:val="Ttulo3"/>
      <w:isLgl/>
      <w:lvlText w:val="%1.%2.%3"/>
      <w:lvlJc w:val="right"/>
      <w:pPr>
        <w:tabs>
          <w:tab w:val="num" w:pos="0"/>
        </w:tabs>
        <w:ind w:left="0" w:hanging="198"/>
      </w:pPr>
      <w:rPr>
        <w:rFonts w:ascii="Arial" w:hAnsi="Arial" w:cs="Arial" w:hint="default"/>
        <w:b w:val="0"/>
        <w:i w:val="0"/>
        <w:color w:val="E83F35" w:themeColor="accent1"/>
        <w:sz w:val="30"/>
      </w:rPr>
    </w:lvl>
    <w:lvl w:ilvl="3">
      <w:start w:val="1"/>
      <w:numFmt w:val="none"/>
      <w:lvlText w:val=""/>
      <w:lvlJc w:val="left"/>
      <w:pPr>
        <w:tabs>
          <w:tab w:val="num" w:pos="0"/>
        </w:tabs>
        <w:ind w:left="0" w:firstLine="0"/>
      </w:pPr>
      <w:rPr>
        <w:rFonts w:ascii="Arial" w:hAnsi="Arial" w:cs="Arial" w:hint="default"/>
        <w:b w:val="0"/>
        <w:i w:val="0"/>
        <w:color w:val="66B0B7" w:themeColor="accent6"/>
        <w:sz w:val="24"/>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62C201C7"/>
    <w:multiLevelType w:val="multilevel"/>
    <w:tmpl w:val="162E5130"/>
    <w:name w:val="ParaNumBulletListStyle3"/>
    <w:lvl w:ilvl="0">
      <w:start w:val="1"/>
      <w:numFmt w:val="decimal"/>
      <w:lvlRestart w:val="0"/>
      <w:pStyle w:val="ParaNumBullet1"/>
      <w:lvlText w:val="%1."/>
      <w:lvlJc w:val="left"/>
      <w:pPr>
        <w:tabs>
          <w:tab w:val="num" w:pos="340"/>
        </w:tabs>
        <w:ind w:left="340" w:hanging="340"/>
      </w:pPr>
      <w:rPr>
        <w:rFonts w:ascii="Arial" w:hAnsi="Arial" w:cs="Arial" w:hint="default"/>
        <w:b w:val="0"/>
        <w:i w:val="0"/>
        <w:color w:val="37424A" w:themeColor="text1"/>
        <w:sz w:val="22"/>
      </w:rPr>
    </w:lvl>
    <w:lvl w:ilvl="1">
      <w:start w:val="1"/>
      <w:numFmt w:val="lowerLetter"/>
      <w:lvlRestart w:val="0"/>
      <w:pStyle w:val="ParaNumBullet2"/>
      <w:lvlText w:val="%2."/>
      <w:lvlJc w:val="left"/>
      <w:pPr>
        <w:tabs>
          <w:tab w:val="num" w:pos="680"/>
        </w:tabs>
        <w:ind w:left="680" w:hanging="340"/>
      </w:pPr>
      <w:rPr>
        <w:rFonts w:ascii="Arial" w:hAnsi="Arial" w:cs="Arial" w:hint="default"/>
        <w:b w:val="0"/>
        <w:i w:val="0"/>
        <w:color w:val="37424A" w:themeColor="text1"/>
        <w:sz w:val="22"/>
      </w:rPr>
    </w:lvl>
    <w:lvl w:ilvl="2">
      <w:start w:val="1"/>
      <w:numFmt w:val="lowerRoman"/>
      <w:pStyle w:val="ParaNumBullet3"/>
      <w:lvlText w:val="%3."/>
      <w:lvlJc w:val="left"/>
      <w:pPr>
        <w:tabs>
          <w:tab w:val="num" w:pos="1021"/>
        </w:tabs>
        <w:ind w:left="1021" w:hanging="341"/>
      </w:pPr>
      <w:rPr>
        <w:rFonts w:hint="default"/>
        <w:b w:val="0"/>
        <w:i w:val="0"/>
        <w:color w:val="37424A" w:themeColor="text1"/>
        <w:sz w:val="22"/>
      </w:rPr>
    </w:lvl>
    <w:lvl w:ilvl="3">
      <w:start w:val="1"/>
      <w:numFmt w:val="none"/>
      <w:lvlText w:val=""/>
      <w:lvlJc w:val="left"/>
      <w:pPr>
        <w:ind w:left="0" w:firstLine="0"/>
      </w:pPr>
      <w:rPr>
        <w:rFonts w:hint="default"/>
        <w:b w:val="0"/>
        <w:i w:val="0"/>
        <w:color w:val="E83F35" w:themeColor="accent1"/>
        <w:sz w:val="22"/>
      </w:rPr>
    </w:lvl>
    <w:lvl w:ilvl="4">
      <w:start w:val="1"/>
      <w:numFmt w:val="none"/>
      <w:suff w:val="nothing"/>
      <w:lvlText w:val=""/>
      <w:lvlJc w:val="left"/>
      <w:pPr>
        <w:ind w:left="198" w:firstLine="0"/>
      </w:pPr>
      <w:rPr>
        <w:rFonts w:hint="default"/>
        <w:b w:val="0"/>
        <w:i w:val="0"/>
        <w:color w:val="E83F35" w:themeColor="accent1"/>
        <w:sz w:val="22"/>
      </w:rPr>
    </w:lvl>
    <w:lvl w:ilvl="5">
      <w:start w:val="1"/>
      <w:numFmt w:val="none"/>
      <w:lvlText w:val=""/>
      <w:lvlJc w:val="left"/>
      <w:pPr>
        <w:ind w:left="198" w:firstLine="0"/>
      </w:pPr>
      <w:rPr>
        <w:rFonts w:hint="default"/>
      </w:rPr>
    </w:lvl>
    <w:lvl w:ilvl="6">
      <w:start w:val="1"/>
      <w:numFmt w:val="none"/>
      <w:lvlText w:val=""/>
      <w:lvlJc w:val="left"/>
      <w:pPr>
        <w:ind w:left="198" w:firstLine="0"/>
      </w:pPr>
      <w:rPr>
        <w:rFonts w:hint="default"/>
      </w:rPr>
    </w:lvl>
    <w:lvl w:ilvl="7">
      <w:start w:val="1"/>
      <w:numFmt w:val="none"/>
      <w:lvlText w:val=""/>
      <w:lvlJc w:val="left"/>
      <w:pPr>
        <w:ind w:left="198" w:firstLine="0"/>
      </w:pPr>
      <w:rPr>
        <w:rFonts w:hint="default"/>
      </w:rPr>
    </w:lvl>
    <w:lvl w:ilvl="8">
      <w:start w:val="1"/>
      <w:numFmt w:val="none"/>
      <w:lvlText w:val=""/>
      <w:lvlJc w:val="left"/>
      <w:pPr>
        <w:ind w:left="198" w:firstLine="0"/>
      </w:pPr>
      <w:rPr>
        <w:rFonts w:hint="default"/>
      </w:rPr>
    </w:lvl>
  </w:abstractNum>
  <w:abstractNum w:abstractNumId="24" w15:restartNumberingAfterBreak="0">
    <w:nsid w:val="63B275DD"/>
    <w:multiLevelType w:val="multilevel"/>
    <w:tmpl w:val="8AE871F2"/>
    <w:name w:val="SecHeadList4"/>
    <w:numStyleLink w:val="SecListStyle"/>
  </w:abstractNum>
  <w:abstractNum w:abstractNumId="25" w15:restartNumberingAfterBreak="0">
    <w:nsid w:val="687762B8"/>
    <w:multiLevelType w:val="multilevel"/>
    <w:tmpl w:val="113A5250"/>
    <w:name w:val="ParaNumBulletList"/>
    <w:lvl w:ilvl="0">
      <w:start w:val="1"/>
      <w:numFmt w:val="decimal"/>
      <w:lvlText w:val="%1."/>
      <w:lvlJc w:val="left"/>
      <w:pPr>
        <w:tabs>
          <w:tab w:val="num" w:pos="340"/>
        </w:tabs>
        <w:ind w:left="340" w:hanging="340"/>
      </w:pPr>
      <w:rPr>
        <w:rFonts w:hint="default"/>
        <w:color w:val="E83F35" w:themeColor="accent1"/>
      </w:rPr>
    </w:lvl>
    <w:lvl w:ilvl="1">
      <w:start w:val="1"/>
      <w:numFmt w:val="lowerLetter"/>
      <w:lvlText w:val="%2."/>
      <w:lvlJc w:val="left"/>
      <w:pPr>
        <w:tabs>
          <w:tab w:val="num" w:pos="680"/>
        </w:tabs>
        <w:ind w:left="680" w:hanging="340"/>
      </w:pPr>
      <w:rPr>
        <w:rFonts w:hint="default"/>
        <w:color w:val="E83F35" w:themeColor="accent1"/>
      </w:rPr>
    </w:lvl>
    <w:lvl w:ilvl="2">
      <w:start w:val="1"/>
      <w:numFmt w:val="lowerRoman"/>
      <w:lvlText w:val="%3."/>
      <w:lvlJc w:val="left"/>
      <w:pPr>
        <w:tabs>
          <w:tab w:val="num" w:pos="1021"/>
        </w:tabs>
        <w:ind w:left="1021" w:hanging="341"/>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6" w15:restartNumberingAfterBreak="0">
    <w:nsid w:val="6E4821C5"/>
    <w:multiLevelType w:val="multilevel"/>
    <w:tmpl w:val="836A0AFE"/>
    <w:lvl w:ilvl="0">
      <w:start w:val="1"/>
      <w:numFmt w:val="decimal"/>
      <w:lvlRestart w:val="0"/>
      <w:isLgl/>
      <w:lvlText w:val="%1"/>
      <w:lvlJc w:val="right"/>
      <w:pPr>
        <w:tabs>
          <w:tab w:val="num" w:pos="0"/>
        </w:tabs>
        <w:ind w:left="0" w:hanging="198"/>
      </w:pPr>
      <w:rPr>
        <w:rFonts w:ascii="Arial" w:hAnsi="Arial" w:cs="Arial" w:hint="default"/>
        <w:b w:val="0"/>
        <w:i w:val="0"/>
        <w:color w:val="007B87" w:themeColor="accent3"/>
        <w:sz w:val="40"/>
      </w:rPr>
    </w:lvl>
    <w:lvl w:ilvl="1">
      <w:start w:val="1"/>
      <w:numFmt w:val="decimal"/>
      <w:isLgl/>
      <w:lvlText w:val="%1.%2"/>
      <w:lvlJc w:val="right"/>
      <w:pPr>
        <w:tabs>
          <w:tab w:val="num" w:pos="0"/>
        </w:tabs>
        <w:ind w:left="0" w:hanging="198"/>
      </w:pPr>
      <w:rPr>
        <w:rFonts w:ascii="Arial" w:hAnsi="Arial" w:cs="Arial" w:hint="default"/>
        <w:b w:val="0"/>
        <w:i w:val="0"/>
        <w:color w:val="007B87" w:themeColor="accent3"/>
        <w:sz w:val="36"/>
      </w:rPr>
    </w:lvl>
    <w:lvl w:ilvl="2">
      <w:start w:val="1"/>
      <w:numFmt w:val="decimal"/>
      <w:isLgl/>
      <w:lvlText w:val="%1.%2.%3"/>
      <w:lvlJc w:val="right"/>
      <w:pPr>
        <w:tabs>
          <w:tab w:val="num" w:pos="0"/>
        </w:tabs>
        <w:ind w:left="0" w:hanging="198"/>
      </w:pPr>
      <w:rPr>
        <w:rFonts w:ascii="Arial" w:hAnsi="Arial" w:cs="Arial" w:hint="default"/>
        <w:b w:val="0"/>
        <w:i w:val="0"/>
        <w:color w:val="66B0B7" w:themeColor="accent6"/>
        <w:sz w:val="30"/>
      </w:rPr>
    </w:lvl>
    <w:lvl w:ilvl="3">
      <w:start w:val="1"/>
      <w:numFmt w:val="decimal"/>
      <w:isLgl/>
      <w:lvlText w:val="%1.%2.%3.%4"/>
      <w:lvlJc w:val="right"/>
      <w:pPr>
        <w:tabs>
          <w:tab w:val="num" w:pos="0"/>
        </w:tabs>
        <w:ind w:left="0" w:hanging="198"/>
      </w:pPr>
      <w:rPr>
        <w:rFonts w:ascii="Arial" w:hAnsi="Arial" w:cs="Arial" w:hint="default"/>
        <w:b w:val="0"/>
        <w:i w:val="0"/>
        <w:color w:val="66B0B7" w:themeColor="accent6"/>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EE3444F"/>
    <w:multiLevelType w:val="hybridMultilevel"/>
    <w:tmpl w:val="ED4AE9AE"/>
    <w:name w:val="TableBulletList"/>
    <w:lvl w:ilvl="0" w:tplc="13F642CA">
      <w:start w:val="1"/>
      <w:numFmt w:val="bullet"/>
      <w:lvlText w:val=""/>
      <w:lvlJc w:val="left"/>
      <w:pPr>
        <w:tabs>
          <w:tab w:val="num" w:pos="170"/>
        </w:tabs>
        <w:ind w:left="170" w:hanging="170"/>
      </w:pPr>
      <w:rPr>
        <w:rFonts w:ascii="Symbol" w:hAnsi="Symbol" w:hint="default"/>
      </w:rPr>
    </w:lvl>
    <w:lvl w:ilvl="1" w:tplc="AB789C3C" w:tentative="1">
      <w:start w:val="1"/>
      <w:numFmt w:val="bullet"/>
      <w:lvlText w:val="o"/>
      <w:lvlJc w:val="left"/>
      <w:pPr>
        <w:tabs>
          <w:tab w:val="num" w:pos="1440"/>
        </w:tabs>
        <w:ind w:left="1440" w:hanging="360"/>
      </w:pPr>
      <w:rPr>
        <w:rFonts w:ascii="Courier New" w:hAnsi="Courier New" w:cs="Courier New" w:hint="default"/>
      </w:rPr>
    </w:lvl>
    <w:lvl w:ilvl="2" w:tplc="55B80522" w:tentative="1">
      <w:start w:val="1"/>
      <w:numFmt w:val="bullet"/>
      <w:lvlText w:val=""/>
      <w:lvlJc w:val="left"/>
      <w:pPr>
        <w:tabs>
          <w:tab w:val="num" w:pos="2160"/>
        </w:tabs>
        <w:ind w:left="2160" w:hanging="360"/>
      </w:pPr>
      <w:rPr>
        <w:rFonts w:ascii="Wingdings" w:hAnsi="Wingdings" w:hint="default"/>
      </w:rPr>
    </w:lvl>
    <w:lvl w:ilvl="3" w:tplc="5ED46D6E" w:tentative="1">
      <w:start w:val="1"/>
      <w:numFmt w:val="bullet"/>
      <w:lvlText w:val=""/>
      <w:lvlJc w:val="left"/>
      <w:pPr>
        <w:tabs>
          <w:tab w:val="num" w:pos="2880"/>
        </w:tabs>
        <w:ind w:left="2880" w:hanging="360"/>
      </w:pPr>
      <w:rPr>
        <w:rFonts w:ascii="Symbol" w:hAnsi="Symbol" w:hint="default"/>
      </w:rPr>
    </w:lvl>
    <w:lvl w:ilvl="4" w:tplc="B4523F00" w:tentative="1">
      <w:start w:val="1"/>
      <w:numFmt w:val="bullet"/>
      <w:lvlText w:val="o"/>
      <w:lvlJc w:val="left"/>
      <w:pPr>
        <w:tabs>
          <w:tab w:val="num" w:pos="3600"/>
        </w:tabs>
        <w:ind w:left="3600" w:hanging="360"/>
      </w:pPr>
      <w:rPr>
        <w:rFonts w:ascii="Courier New" w:hAnsi="Courier New" w:cs="Courier New" w:hint="default"/>
      </w:rPr>
    </w:lvl>
    <w:lvl w:ilvl="5" w:tplc="34366714" w:tentative="1">
      <w:start w:val="1"/>
      <w:numFmt w:val="bullet"/>
      <w:lvlText w:val=""/>
      <w:lvlJc w:val="left"/>
      <w:pPr>
        <w:tabs>
          <w:tab w:val="num" w:pos="4320"/>
        </w:tabs>
        <w:ind w:left="4320" w:hanging="360"/>
      </w:pPr>
      <w:rPr>
        <w:rFonts w:ascii="Wingdings" w:hAnsi="Wingdings" w:hint="default"/>
      </w:rPr>
    </w:lvl>
    <w:lvl w:ilvl="6" w:tplc="F3800740" w:tentative="1">
      <w:start w:val="1"/>
      <w:numFmt w:val="bullet"/>
      <w:lvlText w:val=""/>
      <w:lvlJc w:val="left"/>
      <w:pPr>
        <w:tabs>
          <w:tab w:val="num" w:pos="5040"/>
        </w:tabs>
        <w:ind w:left="5040" w:hanging="360"/>
      </w:pPr>
      <w:rPr>
        <w:rFonts w:ascii="Symbol" w:hAnsi="Symbol" w:hint="default"/>
      </w:rPr>
    </w:lvl>
    <w:lvl w:ilvl="7" w:tplc="9A52D018" w:tentative="1">
      <w:start w:val="1"/>
      <w:numFmt w:val="bullet"/>
      <w:lvlText w:val="o"/>
      <w:lvlJc w:val="left"/>
      <w:pPr>
        <w:tabs>
          <w:tab w:val="num" w:pos="5760"/>
        </w:tabs>
        <w:ind w:left="5760" w:hanging="360"/>
      </w:pPr>
      <w:rPr>
        <w:rFonts w:ascii="Courier New" w:hAnsi="Courier New" w:cs="Courier New" w:hint="default"/>
      </w:rPr>
    </w:lvl>
    <w:lvl w:ilvl="8" w:tplc="CD3AA94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FD5D3A"/>
    <w:multiLevelType w:val="multilevel"/>
    <w:tmpl w:val="D7F2D9E0"/>
    <w:name w:val="ListNumBulletList"/>
    <w:lvl w:ilvl="0">
      <w:start w:val="1"/>
      <w:numFmt w:val="decimal"/>
      <w:lvlText w:val="%1."/>
      <w:lvlJc w:val="left"/>
      <w:pPr>
        <w:tabs>
          <w:tab w:val="num" w:pos="340"/>
        </w:tabs>
        <w:ind w:left="340" w:hanging="340"/>
      </w:pPr>
      <w:rPr>
        <w:rFonts w:hint="default"/>
        <w:color w:val="E83F35" w:themeColor="accent1"/>
      </w:rPr>
    </w:lvl>
    <w:lvl w:ilvl="1">
      <w:start w:val="1"/>
      <w:numFmt w:val="lowerLetter"/>
      <w:lvlText w:val="%2."/>
      <w:lvlJc w:val="left"/>
      <w:pPr>
        <w:tabs>
          <w:tab w:val="num" w:pos="680"/>
        </w:tabs>
        <w:ind w:left="680" w:hanging="340"/>
      </w:pPr>
      <w:rPr>
        <w:rFonts w:hint="default"/>
        <w:color w:val="E83F35" w:themeColor="accent1"/>
      </w:rPr>
    </w:lvl>
    <w:lvl w:ilvl="2">
      <w:start w:val="1"/>
      <w:numFmt w:val="lowerRoman"/>
      <w:lvlText w:val="%3."/>
      <w:lvlJc w:val="left"/>
      <w:pPr>
        <w:tabs>
          <w:tab w:val="num" w:pos="1021"/>
        </w:tabs>
        <w:ind w:left="1021" w:hanging="341"/>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9" w15:restartNumberingAfterBreak="0">
    <w:nsid w:val="796A3518"/>
    <w:multiLevelType w:val="multilevel"/>
    <w:tmpl w:val="113A5250"/>
    <w:name w:val="ListNumBulletList"/>
    <w:lvl w:ilvl="0">
      <w:start w:val="1"/>
      <w:numFmt w:val="decimal"/>
      <w:lvlText w:val="%1."/>
      <w:lvlJc w:val="left"/>
      <w:pPr>
        <w:tabs>
          <w:tab w:val="num" w:pos="340"/>
        </w:tabs>
        <w:ind w:left="340" w:hanging="340"/>
      </w:pPr>
      <w:rPr>
        <w:rFonts w:hint="default"/>
        <w:color w:val="E83F35" w:themeColor="accent1"/>
      </w:rPr>
    </w:lvl>
    <w:lvl w:ilvl="1">
      <w:start w:val="1"/>
      <w:numFmt w:val="lowerLetter"/>
      <w:lvlText w:val="%2."/>
      <w:lvlJc w:val="left"/>
      <w:pPr>
        <w:tabs>
          <w:tab w:val="num" w:pos="680"/>
        </w:tabs>
        <w:ind w:left="680" w:hanging="340"/>
      </w:pPr>
      <w:rPr>
        <w:rFonts w:hint="default"/>
        <w:color w:val="E83F35" w:themeColor="accent1"/>
      </w:rPr>
    </w:lvl>
    <w:lvl w:ilvl="2">
      <w:start w:val="1"/>
      <w:numFmt w:val="lowerRoman"/>
      <w:lvlText w:val="%3."/>
      <w:lvlJc w:val="left"/>
      <w:pPr>
        <w:tabs>
          <w:tab w:val="num" w:pos="1021"/>
        </w:tabs>
        <w:ind w:left="1021" w:hanging="341"/>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0" w15:restartNumberingAfterBreak="0">
    <w:nsid w:val="7A736D7E"/>
    <w:multiLevelType w:val="multilevel"/>
    <w:tmpl w:val="8AE871F2"/>
    <w:name w:val="SecHeadList6"/>
    <w:numStyleLink w:val="SecListStyle"/>
  </w:abstractNum>
  <w:abstractNum w:abstractNumId="31" w15:restartNumberingAfterBreak="0">
    <w:nsid w:val="7F412206"/>
    <w:multiLevelType w:val="multilevel"/>
    <w:tmpl w:val="BCFEE74C"/>
    <w:name w:val="ParaNumBulletList3"/>
    <w:lvl w:ilvl="0">
      <w:start w:val="1"/>
      <w:numFmt w:val="decimal"/>
      <w:lvlText w:val="%1."/>
      <w:lvlJc w:val="left"/>
      <w:pPr>
        <w:tabs>
          <w:tab w:val="num" w:pos="340"/>
        </w:tabs>
        <w:ind w:left="340" w:hanging="340"/>
      </w:pPr>
      <w:rPr>
        <w:rFonts w:hint="default"/>
        <w:color w:val="E83F35" w:themeColor="accent1"/>
      </w:rPr>
    </w:lvl>
    <w:lvl w:ilvl="1">
      <w:start w:val="1"/>
      <w:numFmt w:val="lowerLetter"/>
      <w:lvlText w:val="%2."/>
      <w:lvlJc w:val="left"/>
      <w:pPr>
        <w:tabs>
          <w:tab w:val="num" w:pos="680"/>
        </w:tabs>
        <w:ind w:left="680" w:hanging="340"/>
      </w:pPr>
      <w:rPr>
        <w:rFonts w:hint="default"/>
        <w:color w:val="E83F35" w:themeColor="accent1"/>
      </w:rPr>
    </w:lvl>
    <w:lvl w:ilvl="2">
      <w:start w:val="1"/>
      <w:numFmt w:val="lowerRoman"/>
      <w:lvlText w:val="%3."/>
      <w:lvlJc w:val="left"/>
      <w:pPr>
        <w:tabs>
          <w:tab w:val="num" w:pos="1021"/>
        </w:tabs>
        <w:ind w:left="1021" w:hanging="341"/>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8"/>
  </w:num>
  <w:num w:numId="2">
    <w:abstractNumId w:val="6"/>
  </w:num>
  <w:num w:numId="3">
    <w:abstractNumId w:val="22"/>
  </w:num>
  <w:num w:numId="4">
    <w:abstractNumId w:val="12"/>
  </w:num>
  <w:num w:numId="5">
    <w:abstractNumId w:val="31"/>
  </w:num>
  <w:num w:numId="6">
    <w:abstractNumId w:val="10"/>
  </w:num>
  <w:num w:numId="7">
    <w:abstractNumId w:val="14"/>
  </w:num>
  <w:num w:numId="8">
    <w:abstractNumId w:val="17"/>
  </w:num>
  <w:num w:numId="9">
    <w:abstractNumId w:val="21"/>
  </w:num>
  <w:num w:numId="10">
    <w:abstractNumId w:val="26"/>
  </w:num>
  <w:num w:numId="11">
    <w:abstractNumId w:val="30"/>
  </w:num>
  <w:num w:numId="12">
    <w:abstractNumId w:val="7"/>
  </w:num>
  <w:num w:numId="13">
    <w:abstractNumId w:val="20"/>
  </w:num>
  <w:num w:numId="14">
    <w:abstractNumId w:val="20"/>
  </w:num>
  <w:num w:numId="15">
    <w:abstractNumId w:val="20"/>
  </w:num>
  <w:num w:numId="16">
    <w:abstractNumId w:val="20"/>
  </w:num>
  <w:num w:numId="17">
    <w:abstractNumId w:val="19"/>
  </w:num>
  <w:num w:numId="18">
    <w:abstractNumId w:val="11"/>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6"/>
  </w:num>
  <w:num w:numId="22">
    <w:abstractNumId w:val="23"/>
  </w:num>
  <w:num w:numId="23">
    <w:abstractNumId w:val="8"/>
  </w:num>
  <w:num w:numId="24">
    <w:abstractNumId w:val="13"/>
  </w:num>
  <w:num w:numId="25">
    <w:abstractNumId w:val="18"/>
  </w:num>
  <w:num w:numId="26">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aptionOption" w:val="Figure"/>
    <w:docVar w:name="HasSeqParaNum" w:val="False"/>
    <w:docVar w:name="HeadingNum" w:val="HeadOnly"/>
    <w:docVar w:name="ParaNumbering" w:val="False"/>
  </w:docVars>
  <w:rsids>
    <w:rsidRoot w:val="00954CF0"/>
    <w:rsid w:val="00000484"/>
    <w:rsid w:val="000040E0"/>
    <w:rsid w:val="00005682"/>
    <w:rsid w:val="0000762C"/>
    <w:rsid w:val="00010D37"/>
    <w:rsid w:val="00010DB4"/>
    <w:rsid w:val="00010FCA"/>
    <w:rsid w:val="000113E4"/>
    <w:rsid w:val="00013435"/>
    <w:rsid w:val="00014919"/>
    <w:rsid w:val="0001534A"/>
    <w:rsid w:val="000154AD"/>
    <w:rsid w:val="00017538"/>
    <w:rsid w:val="0002228E"/>
    <w:rsid w:val="00024954"/>
    <w:rsid w:val="0002522A"/>
    <w:rsid w:val="00026CDD"/>
    <w:rsid w:val="00027018"/>
    <w:rsid w:val="0002768A"/>
    <w:rsid w:val="00030535"/>
    <w:rsid w:val="000307D9"/>
    <w:rsid w:val="00031D92"/>
    <w:rsid w:val="000324CD"/>
    <w:rsid w:val="00032D63"/>
    <w:rsid w:val="00034208"/>
    <w:rsid w:val="0003643F"/>
    <w:rsid w:val="0004067C"/>
    <w:rsid w:val="0004144B"/>
    <w:rsid w:val="000416FB"/>
    <w:rsid w:val="0004188F"/>
    <w:rsid w:val="000436A0"/>
    <w:rsid w:val="0004410B"/>
    <w:rsid w:val="00045A24"/>
    <w:rsid w:val="00045C6D"/>
    <w:rsid w:val="00046829"/>
    <w:rsid w:val="0005401B"/>
    <w:rsid w:val="0005464D"/>
    <w:rsid w:val="00054812"/>
    <w:rsid w:val="00055C64"/>
    <w:rsid w:val="00056A28"/>
    <w:rsid w:val="000576B8"/>
    <w:rsid w:val="00057AD3"/>
    <w:rsid w:val="00057EF6"/>
    <w:rsid w:val="0006000A"/>
    <w:rsid w:val="00060FF5"/>
    <w:rsid w:val="000646B2"/>
    <w:rsid w:val="0007159B"/>
    <w:rsid w:val="00075B43"/>
    <w:rsid w:val="00077BE1"/>
    <w:rsid w:val="00081269"/>
    <w:rsid w:val="00082D33"/>
    <w:rsid w:val="00086816"/>
    <w:rsid w:val="00090871"/>
    <w:rsid w:val="00091DF3"/>
    <w:rsid w:val="00093758"/>
    <w:rsid w:val="0009437D"/>
    <w:rsid w:val="000945E0"/>
    <w:rsid w:val="0009462C"/>
    <w:rsid w:val="00095D11"/>
    <w:rsid w:val="0009625F"/>
    <w:rsid w:val="00096265"/>
    <w:rsid w:val="000A00BA"/>
    <w:rsid w:val="000A0D3F"/>
    <w:rsid w:val="000A0D97"/>
    <w:rsid w:val="000A3354"/>
    <w:rsid w:val="000A6730"/>
    <w:rsid w:val="000A6CEE"/>
    <w:rsid w:val="000B000A"/>
    <w:rsid w:val="000B0AC9"/>
    <w:rsid w:val="000B3580"/>
    <w:rsid w:val="000B5C71"/>
    <w:rsid w:val="000B6434"/>
    <w:rsid w:val="000B6568"/>
    <w:rsid w:val="000B6668"/>
    <w:rsid w:val="000C0424"/>
    <w:rsid w:val="000C0930"/>
    <w:rsid w:val="000C0EAD"/>
    <w:rsid w:val="000C27BE"/>
    <w:rsid w:val="000C3FF8"/>
    <w:rsid w:val="000C4B6D"/>
    <w:rsid w:val="000C5D87"/>
    <w:rsid w:val="000C5E3C"/>
    <w:rsid w:val="000C76B5"/>
    <w:rsid w:val="000D00C4"/>
    <w:rsid w:val="000D060B"/>
    <w:rsid w:val="000D14F8"/>
    <w:rsid w:val="000D1870"/>
    <w:rsid w:val="000D26AD"/>
    <w:rsid w:val="000D3095"/>
    <w:rsid w:val="000D4280"/>
    <w:rsid w:val="000D5C83"/>
    <w:rsid w:val="000E19A9"/>
    <w:rsid w:val="000E3902"/>
    <w:rsid w:val="000E4D92"/>
    <w:rsid w:val="000E4F6C"/>
    <w:rsid w:val="000E5083"/>
    <w:rsid w:val="000F0B51"/>
    <w:rsid w:val="000F37F7"/>
    <w:rsid w:val="000F3879"/>
    <w:rsid w:val="000F5519"/>
    <w:rsid w:val="000F6134"/>
    <w:rsid w:val="000F6BC1"/>
    <w:rsid w:val="000F7553"/>
    <w:rsid w:val="000F75C5"/>
    <w:rsid w:val="00100914"/>
    <w:rsid w:val="00102256"/>
    <w:rsid w:val="00102A91"/>
    <w:rsid w:val="00106946"/>
    <w:rsid w:val="00110397"/>
    <w:rsid w:val="00110600"/>
    <w:rsid w:val="00111A6F"/>
    <w:rsid w:val="00113029"/>
    <w:rsid w:val="00114E05"/>
    <w:rsid w:val="00116E07"/>
    <w:rsid w:val="00121428"/>
    <w:rsid w:val="00122C70"/>
    <w:rsid w:val="001240B1"/>
    <w:rsid w:val="00131ED3"/>
    <w:rsid w:val="00132F28"/>
    <w:rsid w:val="00135656"/>
    <w:rsid w:val="00136A02"/>
    <w:rsid w:val="00137475"/>
    <w:rsid w:val="0014146A"/>
    <w:rsid w:val="0014189C"/>
    <w:rsid w:val="00142182"/>
    <w:rsid w:val="0014229E"/>
    <w:rsid w:val="00142715"/>
    <w:rsid w:val="00143924"/>
    <w:rsid w:val="00145133"/>
    <w:rsid w:val="00145C07"/>
    <w:rsid w:val="00155734"/>
    <w:rsid w:val="00157CF3"/>
    <w:rsid w:val="00157E92"/>
    <w:rsid w:val="00161540"/>
    <w:rsid w:val="00161CE8"/>
    <w:rsid w:val="0016210E"/>
    <w:rsid w:val="001623CA"/>
    <w:rsid w:val="001631D3"/>
    <w:rsid w:val="001655C8"/>
    <w:rsid w:val="001726DB"/>
    <w:rsid w:val="001732A3"/>
    <w:rsid w:val="001732FD"/>
    <w:rsid w:val="00173CC5"/>
    <w:rsid w:val="00174140"/>
    <w:rsid w:val="001744B6"/>
    <w:rsid w:val="00174D51"/>
    <w:rsid w:val="0017538E"/>
    <w:rsid w:val="00175F65"/>
    <w:rsid w:val="0018228C"/>
    <w:rsid w:val="0018282D"/>
    <w:rsid w:val="00183015"/>
    <w:rsid w:val="0018530D"/>
    <w:rsid w:val="00186416"/>
    <w:rsid w:val="001914A9"/>
    <w:rsid w:val="00191A3C"/>
    <w:rsid w:val="00192C29"/>
    <w:rsid w:val="00195B3F"/>
    <w:rsid w:val="00196B98"/>
    <w:rsid w:val="001A074E"/>
    <w:rsid w:val="001A2E20"/>
    <w:rsid w:val="001A2F61"/>
    <w:rsid w:val="001A4195"/>
    <w:rsid w:val="001A4ADE"/>
    <w:rsid w:val="001A5097"/>
    <w:rsid w:val="001A51F3"/>
    <w:rsid w:val="001A5BEA"/>
    <w:rsid w:val="001A6534"/>
    <w:rsid w:val="001A6720"/>
    <w:rsid w:val="001B1F3D"/>
    <w:rsid w:val="001B29E8"/>
    <w:rsid w:val="001B37CB"/>
    <w:rsid w:val="001B4F54"/>
    <w:rsid w:val="001B50F4"/>
    <w:rsid w:val="001B7E26"/>
    <w:rsid w:val="001C088F"/>
    <w:rsid w:val="001C0CF3"/>
    <w:rsid w:val="001C174A"/>
    <w:rsid w:val="001C2645"/>
    <w:rsid w:val="001C4302"/>
    <w:rsid w:val="001C5383"/>
    <w:rsid w:val="001C5D96"/>
    <w:rsid w:val="001C7364"/>
    <w:rsid w:val="001D0C26"/>
    <w:rsid w:val="001D1699"/>
    <w:rsid w:val="001D1AB5"/>
    <w:rsid w:val="001D2D0A"/>
    <w:rsid w:val="001D45CC"/>
    <w:rsid w:val="001D5391"/>
    <w:rsid w:val="001D673D"/>
    <w:rsid w:val="001D6BA3"/>
    <w:rsid w:val="001D7BC7"/>
    <w:rsid w:val="001E0FDD"/>
    <w:rsid w:val="001E1C05"/>
    <w:rsid w:val="001E2268"/>
    <w:rsid w:val="001E556C"/>
    <w:rsid w:val="001E5AF2"/>
    <w:rsid w:val="001E633B"/>
    <w:rsid w:val="001F00AF"/>
    <w:rsid w:val="001F10AB"/>
    <w:rsid w:val="001F10EF"/>
    <w:rsid w:val="001F371D"/>
    <w:rsid w:val="001F38AE"/>
    <w:rsid w:val="001F3BDC"/>
    <w:rsid w:val="001F5457"/>
    <w:rsid w:val="001F5A79"/>
    <w:rsid w:val="001F5E3A"/>
    <w:rsid w:val="001F662D"/>
    <w:rsid w:val="001F68D2"/>
    <w:rsid w:val="001F700A"/>
    <w:rsid w:val="002001B0"/>
    <w:rsid w:val="0020129A"/>
    <w:rsid w:val="00201DF3"/>
    <w:rsid w:val="002044AF"/>
    <w:rsid w:val="0020559C"/>
    <w:rsid w:val="00206860"/>
    <w:rsid w:val="00206CBA"/>
    <w:rsid w:val="00206FFD"/>
    <w:rsid w:val="00210D17"/>
    <w:rsid w:val="0021208F"/>
    <w:rsid w:val="00212D9B"/>
    <w:rsid w:val="0021510E"/>
    <w:rsid w:val="00216CC8"/>
    <w:rsid w:val="002215E0"/>
    <w:rsid w:val="00224163"/>
    <w:rsid w:val="00225E3A"/>
    <w:rsid w:val="00225EC2"/>
    <w:rsid w:val="002303B3"/>
    <w:rsid w:val="00234344"/>
    <w:rsid w:val="00234468"/>
    <w:rsid w:val="002344E0"/>
    <w:rsid w:val="00235AC2"/>
    <w:rsid w:val="00243C2C"/>
    <w:rsid w:val="00244674"/>
    <w:rsid w:val="002455C3"/>
    <w:rsid w:val="002455C9"/>
    <w:rsid w:val="00246075"/>
    <w:rsid w:val="0025112F"/>
    <w:rsid w:val="00252929"/>
    <w:rsid w:val="0025353C"/>
    <w:rsid w:val="00253843"/>
    <w:rsid w:val="00253B17"/>
    <w:rsid w:val="002548E9"/>
    <w:rsid w:val="002600E1"/>
    <w:rsid w:val="002606FF"/>
    <w:rsid w:val="00260A22"/>
    <w:rsid w:val="00260B8A"/>
    <w:rsid w:val="002611A8"/>
    <w:rsid w:val="0026129E"/>
    <w:rsid w:val="0026157C"/>
    <w:rsid w:val="002620F5"/>
    <w:rsid w:val="002622E8"/>
    <w:rsid w:val="00263104"/>
    <w:rsid w:val="00264704"/>
    <w:rsid w:val="0026514D"/>
    <w:rsid w:val="0026564F"/>
    <w:rsid w:val="002665C2"/>
    <w:rsid w:val="0027112D"/>
    <w:rsid w:val="00271755"/>
    <w:rsid w:val="00271B23"/>
    <w:rsid w:val="00271CAF"/>
    <w:rsid w:val="00273A92"/>
    <w:rsid w:val="002743FD"/>
    <w:rsid w:val="00274C4E"/>
    <w:rsid w:val="002750C6"/>
    <w:rsid w:val="002772E2"/>
    <w:rsid w:val="0027754F"/>
    <w:rsid w:val="00283E17"/>
    <w:rsid w:val="0028695B"/>
    <w:rsid w:val="00287446"/>
    <w:rsid w:val="00290A28"/>
    <w:rsid w:val="00292A5F"/>
    <w:rsid w:val="002938AE"/>
    <w:rsid w:val="00294FCB"/>
    <w:rsid w:val="002957CD"/>
    <w:rsid w:val="00296736"/>
    <w:rsid w:val="002A1841"/>
    <w:rsid w:val="002A1F81"/>
    <w:rsid w:val="002A3188"/>
    <w:rsid w:val="002A47D9"/>
    <w:rsid w:val="002A5B39"/>
    <w:rsid w:val="002A6042"/>
    <w:rsid w:val="002A7203"/>
    <w:rsid w:val="002A77F5"/>
    <w:rsid w:val="002A7E1D"/>
    <w:rsid w:val="002B5993"/>
    <w:rsid w:val="002B5A6E"/>
    <w:rsid w:val="002B6378"/>
    <w:rsid w:val="002B716D"/>
    <w:rsid w:val="002C0582"/>
    <w:rsid w:val="002C1483"/>
    <w:rsid w:val="002C3AE1"/>
    <w:rsid w:val="002C57DF"/>
    <w:rsid w:val="002C5D47"/>
    <w:rsid w:val="002C6545"/>
    <w:rsid w:val="002D1E75"/>
    <w:rsid w:val="002D264F"/>
    <w:rsid w:val="002D4154"/>
    <w:rsid w:val="002D46EA"/>
    <w:rsid w:val="002D5E43"/>
    <w:rsid w:val="002D63B9"/>
    <w:rsid w:val="002E1DDC"/>
    <w:rsid w:val="002F00C3"/>
    <w:rsid w:val="002F1849"/>
    <w:rsid w:val="002F1AB2"/>
    <w:rsid w:val="002F22C9"/>
    <w:rsid w:val="002F3B4E"/>
    <w:rsid w:val="002F4E18"/>
    <w:rsid w:val="002F7245"/>
    <w:rsid w:val="00302A9C"/>
    <w:rsid w:val="00302BF6"/>
    <w:rsid w:val="00307284"/>
    <w:rsid w:val="00313B53"/>
    <w:rsid w:val="0031436A"/>
    <w:rsid w:val="00315E25"/>
    <w:rsid w:val="0031654B"/>
    <w:rsid w:val="00323A91"/>
    <w:rsid w:val="00324E60"/>
    <w:rsid w:val="00327CB8"/>
    <w:rsid w:val="00330D7D"/>
    <w:rsid w:val="0033122E"/>
    <w:rsid w:val="003316E7"/>
    <w:rsid w:val="003326DC"/>
    <w:rsid w:val="0033629F"/>
    <w:rsid w:val="003362F5"/>
    <w:rsid w:val="003365B7"/>
    <w:rsid w:val="0034003C"/>
    <w:rsid w:val="0034098D"/>
    <w:rsid w:val="003428AE"/>
    <w:rsid w:val="0034501E"/>
    <w:rsid w:val="003452AB"/>
    <w:rsid w:val="00345C31"/>
    <w:rsid w:val="00345F94"/>
    <w:rsid w:val="003464BF"/>
    <w:rsid w:val="00346E2C"/>
    <w:rsid w:val="00347B7E"/>
    <w:rsid w:val="00350346"/>
    <w:rsid w:val="00350EE2"/>
    <w:rsid w:val="0035246B"/>
    <w:rsid w:val="00353A61"/>
    <w:rsid w:val="00353D97"/>
    <w:rsid w:val="00353E87"/>
    <w:rsid w:val="0035486E"/>
    <w:rsid w:val="00356E9A"/>
    <w:rsid w:val="003601E8"/>
    <w:rsid w:val="003603E8"/>
    <w:rsid w:val="00362BED"/>
    <w:rsid w:val="00365B1E"/>
    <w:rsid w:val="003712A0"/>
    <w:rsid w:val="003715D5"/>
    <w:rsid w:val="00372D3D"/>
    <w:rsid w:val="00374221"/>
    <w:rsid w:val="003747C5"/>
    <w:rsid w:val="00374CE4"/>
    <w:rsid w:val="0037581C"/>
    <w:rsid w:val="00376645"/>
    <w:rsid w:val="0038083E"/>
    <w:rsid w:val="00380BF9"/>
    <w:rsid w:val="0038112D"/>
    <w:rsid w:val="003813B6"/>
    <w:rsid w:val="0038154C"/>
    <w:rsid w:val="00382A6E"/>
    <w:rsid w:val="00385933"/>
    <w:rsid w:val="0038690C"/>
    <w:rsid w:val="003876CA"/>
    <w:rsid w:val="00392C73"/>
    <w:rsid w:val="003934D6"/>
    <w:rsid w:val="0039595E"/>
    <w:rsid w:val="00396FE3"/>
    <w:rsid w:val="00397B4C"/>
    <w:rsid w:val="003A09D2"/>
    <w:rsid w:val="003A0BCC"/>
    <w:rsid w:val="003A0FC1"/>
    <w:rsid w:val="003A2B6C"/>
    <w:rsid w:val="003A4D46"/>
    <w:rsid w:val="003A75AE"/>
    <w:rsid w:val="003B09D3"/>
    <w:rsid w:val="003B1AA4"/>
    <w:rsid w:val="003B5C33"/>
    <w:rsid w:val="003B773F"/>
    <w:rsid w:val="003C1D2E"/>
    <w:rsid w:val="003C4007"/>
    <w:rsid w:val="003C5D47"/>
    <w:rsid w:val="003C656B"/>
    <w:rsid w:val="003C68E9"/>
    <w:rsid w:val="003D1B19"/>
    <w:rsid w:val="003D1C23"/>
    <w:rsid w:val="003D3252"/>
    <w:rsid w:val="003D3E41"/>
    <w:rsid w:val="003D4767"/>
    <w:rsid w:val="003D4ABA"/>
    <w:rsid w:val="003D4B79"/>
    <w:rsid w:val="003D59BA"/>
    <w:rsid w:val="003D66C6"/>
    <w:rsid w:val="003D6AB7"/>
    <w:rsid w:val="003D73B9"/>
    <w:rsid w:val="003D77C4"/>
    <w:rsid w:val="003D7E2C"/>
    <w:rsid w:val="003E0723"/>
    <w:rsid w:val="003E0E58"/>
    <w:rsid w:val="003E1250"/>
    <w:rsid w:val="003E46EF"/>
    <w:rsid w:val="003E5420"/>
    <w:rsid w:val="003E5AB9"/>
    <w:rsid w:val="003E6AAF"/>
    <w:rsid w:val="003F2E8C"/>
    <w:rsid w:val="003F2EA4"/>
    <w:rsid w:val="003F373F"/>
    <w:rsid w:val="003F3DF5"/>
    <w:rsid w:val="003F4280"/>
    <w:rsid w:val="003F442C"/>
    <w:rsid w:val="003F68D4"/>
    <w:rsid w:val="003F75DB"/>
    <w:rsid w:val="003F7EE7"/>
    <w:rsid w:val="00400F97"/>
    <w:rsid w:val="004023AF"/>
    <w:rsid w:val="0040322F"/>
    <w:rsid w:val="00404B8E"/>
    <w:rsid w:val="00404D1B"/>
    <w:rsid w:val="00404F33"/>
    <w:rsid w:val="004073FE"/>
    <w:rsid w:val="00407556"/>
    <w:rsid w:val="00407DB1"/>
    <w:rsid w:val="00407FAE"/>
    <w:rsid w:val="00411105"/>
    <w:rsid w:val="0041224B"/>
    <w:rsid w:val="00413D8B"/>
    <w:rsid w:val="00414735"/>
    <w:rsid w:val="00414E24"/>
    <w:rsid w:val="00414F18"/>
    <w:rsid w:val="00415E97"/>
    <w:rsid w:val="00415F4F"/>
    <w:rsid w:val="00417777"/>
    <w:rsid w:val="0042060E"/>
    <w:rsid w:val="00421002"/>
    <w:rsid w:val="00422E95"/>
    <w:rsid w:val="0042421C"/>
    <w:rsid w:val="004244FB"/>
    <w:rsid w:val="00424C08"/>
    <w:rsid w:val="00430B03"/>
    <w:rsid w:val="0043119D"/>
    <w:rsid w:val="00431C41"/>
    <w:rsid w:val="00434D31"/>
    <w:rsid w:val="004353D1"/>
    <w:rsid w:val="00435CB2"/>
    <w:rsid w:val="00435DEF"/>
    <w:rsid w:val="004364DD"/>
    <w:rsid w:val="00437766"/>
    <w:rsid w:val="004416D2"/>
    <w:rsid w:val="004421F0"/>
    <w:rsid w:val="0044451E"/>
    <w:rsid w:val="0044453C"/>
    <w:rsid w:val="00444649"/>
    <w:rsid w:val="004516E4"/>
    <w:rsid w:val="004530BD"/>
    <w:rsid w:val="004564B5"/>
    <w:rsid w:val="00456921"/>
    <w:rsid w:val="00457F4F"/>
    <w:rsid w:val="00460677"/>
    <w:rsid w:val="00464409"/>
    <w:rsid w:val="00464412"/>
    <w:rsid w:val="00465EC5"/>
    <w:rsid w:val="0047005B"/>
    <w:rsid w:val="004702D0"/>
    <w:rsid w:val="0047119A"/>
    <w:rsid w:val="00471F76"/>
    <w:rsid w:val="0047266A"/>
    <w:rsid w:val="004733B4"/>
    <w:rsid w:val="00473413"/>
    <w:rsid w:val="0047454F"/>
    <w:rsid w:val="00475174"/>
    <w:rsid w:val="0047543F"/>
    <w:rsid w:val="00475F5E"/>
    <w:rsid w:val="00480321"/>
    <w:rsid w:val="004808C7"/>
    <w:rsid w:val="00481913"/>
    <w:rsid w:val="004823F7"/>
    <w:rsid w:val="004832C2"/>
    <w:rsid w:val="0048351F"/>
    <w:rsid w:val="004837B3"/>
    <w:rsid w:val="00485B13"/>
    <w:rsid w:val="00487EB6"/>
    <w:rsid w:val="00492404"/>
    <w:rsid w:val="00494562"/>
    <w:rsid w:val="00494844"/>
    <w:rsid w:val="00494859"/>
    <w:rsid w:val="004957D0"/>
    <w:rsid w:val="00495DC7"/>
    <w:rsid w:val="00497C2B"/>
    <w:rsid w:val="004A022A"/>
    <w:rsid w:val="004A11A3"/>
    <w:rsid w:val="004A3299"/>
    <w:rsid w:val="004A37AB"/>
    <w:rsid w:val="004A42E5"/>
    <w:rsid w:val="004A6890"/>
    <w:rsid w:val="004B1331"/>
    <w:rsid w:val="004B1A8A"/>
    <w:rsid w:val="004B583B"/>
    <w:rsid w:val="004B5CE4"/>
    <w:rsid w:val="004B63DB"/>
    <w:rsid w:val="004C018B"/>
    <w:rsid w:val="004C1542"/>
    <w:rsid w:val="004C34AD"/>
    <w:rsid w:val="004C441A"/>
    <w:rsid w:val="004C49C9"/>
    <w:rsid w:val="004C55A6"/>
    <w:rsid w:val="004C7F58"/>
    <w:rsid w:val="004D1055"/>
    <w:rsid w:val="004D1254"/>
    <w:rsid w:val="004D1E68"/>
    <w:rsid w:val="004D37D2"/>
    <w:rsid w:val="004D4485"/>
    <w:rsid w:val="004D4679"/>
    <w:rsid w:val="004D6D6A"/>
    <w:rsid w:val="004E1C29"/>
    <w:rsid w:val="004E2895"/>
    <w:rsid w:val="004E2AED"/>
    <w:rsid w:val="004E3E1E"/>
    <w:rsid w:val="004E4550"/>
    <w:rsid w:val="004F1FF2"/>
    <w:rsid w:val="004F239A"/>
    <w:rsid w:val="004F25A6"/>
    <w:rsid w:val="004F39E5"/>
    <w:rsid w:val="004F4E59"/>
    <w:rsid w:val="00501A1E"/>
    <w:rsid w:val="00502C04"/>
    <w:rsid w:val="005042F0"/>
    <w:rsid w:val="00504F62"/>
    <w:rsid w:val="00505C15"/>
    <w:rsid w:val="00506209"/>
    <w:rsid w:val="00507E66"/>
    <w:rsid w:val="0051038F"/>
    <w:rsid w:val="00511EB1"/>
    <w:rsid w:val="00515BE1"/>
    <w:rsid w:val="00516428"/>
    <w:rsid w:val="00517898"/>
    <w:rsid w:val="00524E6E"/>
    <w:rsid w:val="00525ADC"/>
    <w:rsid w:val="00526C67"/>
    <w:rsid w:val="00526D74"/>
    <w:rsid w:val="005313B5"/>
    <w:rsid w:val="00533AF8"/>
    <w:rsid w:val="0053587A"/>
    <w:rsid w:val="00536F38"/>
    <w:rsid w:val="00537F9D"/>
    <w:rsid w:val="005412E8"/>
    <w:rsid w:val="00541403"/>
    <w:rsid w:val="005418AC"/>
    <w:rsid w:val="005424AC"/>
    <w:rsid w:val="005437C9"/>
    <w:rsid w:val="0054473A"/>
    <w:rsid w:val="00545671"/>
    <w:rsid w:val="00545BA7"/>
    <w:rsid w:val="00546376"/>
    <w:rsid w:val="005464B3"/>
    <w:rsid w:val="00550926"/>
    <w:rsid w:val="005511C1"/>
    <w:rsid w:val="00551545"/>
    <w:rsid w:val="005524DD"/>
    <w:rsid w:val="00553613"/>
    <w:rsid w:val="00553863"/>
    <w:rsid w:val="0055405C"/>
    <w:rsid w:val="0055565E"/>
    <w:rsid w:val="005567DA"/>
    <w:rsid w:val="00556A88"/>
    <w:rsid w:val="00557925"/>
    <w:rsid w:val="00560132"/>
    <w:rsid w:val="00561CA3"/>
    <w:rsid w:val="00563FC0"/>
    <w:rsid w:val="0056410A"/>
    <w:rsid w:val="005646E5"/>
    <w:rsid w:val="005649BC"/>
    <w:rsid w:val="00566077"/>
    <w:rsid w:val="00566D62"/>
    <w:rsid w:val="00567506"/>
    <w:rsid w:val="00570553"/>
    <w:rsid w:val="005708E6"/>
    <w:rsid w:val="00571FBE"/>
    <w:rsid w:val="00574A7B"/>
    <w:rsid w:val="005765C7"/>
    <w:rsid w:val="00577609"/>
    <w:rsid w:val="00580ADA"/>
    <w:rsid w:val="00580C54"/>
    <w:rsid w:val="0058145D"/>
    <w:rsid w:val="005815DE"/>
    <w:rsid w:val="0058209A"/>
    <w:rsid w:val="005826C9"/>
    <w:rsid w:val="005854B5"/>
    <w:rsid w:val="00586A1E"/>
    <w:rsid w:val="00591BF6"/>
    <w:rsid w:val="005960ED"/>
    <w:rsid w:val="005963B1"/>
    <w:rsid w:val="0059677B"/>
    <w:rsid w:val="005A1028"/>
    <w:rsid w:val="005A3378"/>
    <w:rsid w:val="005A33CF"/>
    <w:rsid w:val="005A4B97"/>
    <w:rsid w:val="005A624D"/>
    <w:rsid w:val="005A68FB"/>
    <w:rsid w:val="005A7BA6"/>
    <w:rsid w:val="005B0485"/>
    <w:rsid w:val="005B23C6"/>
    <w:rsid w:val="005B3D86"/>
    <w:rsid w:val="005B6688"/>
    <w:rsid w:val="005C0C23"/>
    <w:rsid w:val="005C2E41"/>
    <w:rsid w:val="005C3C90"/>
    <w:rsid w:val="005C3E91"/>
    <w:rsid w:val="005C4347"/>
    <w:rsid w:val="005C43F1"/>
    <w:rsid w:val="005C4C6E"/>
    <w:rsid w:val="005C4CDB"/>
    <w:rsid w:val="005C6304"/>
    <w:rsid w:val="005D0AA6"/>
    <w:rsid w:val="005D2150"/>
    <w:rsid w:val="005D248D"/>
    <w:rsid w:val="005D2746"/>
    <w:rsid w:val="005D4089"/>
    <w:rsid w:val="005D462D"/>
    <w:rsid w:val="005D4C3B"/>
    <w:rsid w:val="005D7693"/>
    <w:rsid w:val="005E0E52"/>
    <w:rsid w:val="005E2AE2"/>
    <w:rsid w:val="005E3432"/>
    <w:rsid w:val="005E615E"/>
    <w:rsid w:val="005E6CF4"/>
    <w:rsid w:val="005E7450"/>
    <w:rsid w:val="005E7E80"/>
    <w:rsid w:val="005F36A3"/>
    <w:rsid w:val="005F4311"/>
    <w:rsid w:val="0060111F"/>
    <w:rsid w:val="0060354D"/>
    <w:rsid w:val="0060476B"/>
    <w:rsid w:val="006051C0"/>
    <w:rsid w:val="00605E8A"/>
    <w:rsid w:val="00607697"/>
    <w:rsid w:val="006077AF"/>
    <w:rsid w:val="00610B0F"/>
    <w:rsid w:val="00611153"/>
    <w:rsid w:val="006119DB"/>
    <w:rsid w:val="006157E5"/>
    <w:rsid w:val="00615AEF"/>
    <w:rsid w:val="00617D67"/>
    <w:rsid w:val="0062045A"/>
    <w:rsid w:val="00620C10"/>
    <w:rsid w:val="00621309"/>
    <w:rsid w:val="006216E8"/>
    <w:rsid w:val="00623562"/>
    <w:rsid w:val="006247E2"/>
    <w:rsid w:val="006248BE"/>
    <w:rsid w:val="00625BE2"/>
    <w:rsid w:val="00625C0F"/>
    <w:rsid w:val="00626A54"/>
    <w:rsid w:val="006271F5"/>
    <w:rsid w:val="00627D50"/>
    <w:rsid w:val="006304EF"/>
    <w:rsid w:val="00630978"/>
    <w:rsid w:val="00631CD2"/>
    <w:rsid w:val="006322ED"/>
    <w:rsid w:val="006326BD"/>
    <w:rsid w:val="00632FA4"/>
    <w:rsid w:val="00635355"/>
    <w:rsid w:val="006407D2"/>
    <w:rsid w:val="00640BDE"/>
    <w:rsid w:val="00640C53"/>
    <w:rsid w:val="00641681"/>
    <w:rsid w:val="006436BA"/>
    <w:rsid w:val="0064381C"/>
    <w:rsid w:val="00643F19"/>
    <w:rsid w:val="00644069"/>
    <w:rsid w:val="0064409C"/>
    <w:rsid w:val="00644CAE"/>
    <w:rsid w:val="00646ED6"/>
    <w:rsid w:val="00650737"/>
    <w:rsid w:val="00652555"/>
    <w:rsid w:val="006535C7"/>
    <w:rsid w:val="006545FA"/>
    <w:rsid w:val="0065472B"/>
    <w:rsid w:val="0065503D"/>
    <w:rsid w:val="00656F4A"/>
    <w:rsid w:val="00660138"/>
    <w:rsid w:val="006604F9"/>
    <w:rsid w:val="00662538"/>
    <w:rsid w:val="00662DD8"/>
    <w:rsid w:val="00663BEE"/>
    <w:rsid w:val="00664490"/>
    <w:rsid w:val="00665576"/>
    <w:rsid w:val="00665601"/>
    <w:rsid w:val="00666FD8"/>
    <w:rsid w:val="0066737F"/>
    <w:rsid w:val="00667AF0"/>
    <w:rsid w:val="0067218F"/>
    <w:rsid w:val="00673813"/>
    <w:rsid w:val="00674CE6"/>
    <w:rsid w:val="00676C80"/>
    <w:rsid w:val="006774CB"/>
    <w:rsid w:val="00677A14"/>
    <w:rsid w:val="00683BC7"/>
    <w:rsid w:val="00685B24"/>
    <w:rsid w:val="006866BE"/>
    <w:rsid w:val="00687462"/>
    <w:rsid w:val="00690642"/>
    <w:rsid w:val="006916BF"/>
    <w:rsid w:val="0069213B"/>
    <w:rsid w:val="006931D6"/>
    <w:rsid w:val="00694420"/>
    <w:rsid w:val="0069587E"/>
    <w:rsid w:val="00697891"/>
    <w:rsid w:val="006A0425"/>
    <w:rsid w:val="006A1201"/>
    <w:rsid w:val="006A19FC"/>
    <w:rsid w:val="006A1DAE"/>
    <w:rsid w:val="006A1EDE"/>
    <w:rsid w:val="006A2083"/>
    <w:rsid w:val="006A282E"/>
    <w:rsid w:val="006B2056"/>
    <w:rsid w:val="006B38CD"/>
    <w:rsid w:val="006C17CB"/>
    <w:rsid w:val="006C2C39"/>
    <w:rsid w:val="006C3971"/>
    <w:rsid w:val="006C4120"/>
    <w:rsid w:val="006C5F8A"/>
    <w:rsid w:val="006C75CE"/>
    <w:rsid w:val="006D0186"/>
    <w:rsid w:val="006D0551"/>
    <w:rsid w:val="006D0B7A"/>
    <w:rsid w:val="006D1AEB"/>
    <w:rsid w:val="006D2428"/>
    <w:rsid w:val="006D3B57"/>
    <w:rsid w:val="006D63F4"/>
    <w:rsid w:val="006D6D7E"/>
    <w:rsid w:val="006E170A"/>
    <w:rsid w:val="006E382B"/>
    <w:rsid w:val="006E4ABA"/>
    <w:rsid w:val="006E5B22"/>
    <w:rsid w:val="006E5EC3"/>
    <w:rsid w:val="006E6708"/>
    <w:rsid w:val="006E6CCF"/>
    <w:rsid w:val="006E782A"/>
    <w:rsid w:val="006E7AC8"/>
    <w:rsid w:val="006F4DA4"/>
    <w:rsid w:val="006F72E6"/>
    <w:rsid w:val="006F7609"/>
    <w:rsid w:val="0070065E"/>
    <w:rsid w:val="0070150C"/>
    <w:rsid w:val="007026B1"/>
    <w:rsid w:val="00703280"/>
    <w:rsid w:val="00706C89"/>
    <w:rsid w:val="00712D7E"/>
    <w:rsid w:val="007133F3"/>
    <w:rsid w:val="00713B70"/>
    <w:rsid w:val="00717597"/>
    <w:rsid w:val="007206C2"/>
    <w:rsid w:val="007232D4"/>
    <w:rsid w:val="00723446"/>
    <w:rsid w:val="00723574"/>
    <w:rsid w:val="007236D4"/>
    <w:rsid w:val="00726A7C"/>
    <w:rsid w:val="00730626"/>
    <w:rsid w:val="00732157"/>
    <w:rsid w:val="007326B0"/>
    <w:rsid w:val="007332C6"/>
    <w:rsid w:val="00734569"/>
    <w:rsid w:val="0073508A"/>
    <w:rsid w:val="007366BE"/>
    <w:rsid w:val="00737683"/>
    <w:rsid w:val="0073783C"/>
    <w:rsid w:val="00740AFE"/>
    <w:rsid w:val="00740E56"/>
    <w:rsid w:val="00742739"/>
    <w:rsid w:val="00742AA4"/>
    <w:rsid w:val="0074373F"/>
    <w:rsid w:val="00743E7C"/>
    <w:rsid w:val="00746FC1"/>
    <w:rsid w:val="0074734F"/>
    <w:rsid w:val="0075004A"/>
    <w:rsid w:val="0075061F"/>
    <w:rsid w:val="00750725"/>
    <w:rsid w:val="0075072C"/>
    <w:rsid w:val="00751A85"/>
    <w:rsid w:val="00751DBD"/>
    <w:rsid w:val="007520F9"/>
    <w:rsid w:val="0075498A"/>
    <w:rsid w:val="00756F93"/>
    <w:rsid w:val="00757487"/>
    <w:rsid w:val="00760119"/>
    <w:rsid w:val="00760B46"/>
    <w:rsid w:val="007629B5"/>
    <w:rsid w:val="00763792"/>
    <w:rsid w:val="007658E9"/>
    <w:rsid w:val="00766BB0"/>
    <w:rsid w:val="00772A1E"/>
    <w:rsid w:val="007759CC"/>
    <w:rsid w:val="0077767E"/>
    <w:rsid w:val="007804C3"/>
    <w:rsid w:val="00781DC7"/>
    <w:rsid w:val="007830C5"/>
    <w:rsid w:val="00783D2F"/>
    <w:rsid w:val="00784601"/>
    <w:rsid w:val="00784C7E"/>
    <w:rsid w:val="00786187"/>
    <w:rsid w:val="00787432"/>
    <w:rsid w:val="00790261"/>
    <w:rsid w:val="00791481"/>
    <w:rsid w:val="007918A1"/>
    <w:rsid w:val="00791EB3"/>
    <w:rsid w:val="00792C9D"/>
    <w:rsid w:val="0079361E"/>
    <w:rsid w:val="00795E9C"/>
    <w:rsid w:val="0079756B"/>
    <w:rsid w:val="007A0EC6"/>
    <w:rsid w:val="007A2099"/>
    <w:rsid w:val="007A3A60"/>
    <w:rsid w:val="007A41DC"/>
    <w:rsid w:val="007B24F2"/>
    <w:rsid w:val="007B6275"/>
    <w:rsid w:val="007B66A5"/>
    <w:rsid w:val="007B7D63"/>
    <w:rsid w:val="007C06F1"/>
    <w:rsid w:val="007C0972"/>
    <w:rsid w:val="007C11B7"/>
    <w:rsid w:val="007C1B68"/>
    <w:rsid w:val="007C3EFF"/>
    <w:rsid w:val="007C4844"/>
    <w:rsid w:val="007C64C3"/>
    <w:rsid w:val="007C6582"/>
    <w:rsid w:val="007D203E"/>
    <w:rsid w:val="007D2811"/>
    <w:rsid w:val="007D48AE"/>
    <w:rsid w:val="007D6596"/>
    <w:rsid w:val="007D6B43"/>
    <w:rsid w:val="007D6CB2"/>
    <w:rsid w:val="007D743E"/>
    <w:rsid w:val="007E16C6"/>
    <w:rsid w:val="007E37B0"/>
    <w:rsid w:val="007E3D99"/>
    <w:rsid w:val="007E450D"/>
    <w:rsid w:val="007E4BC6"/>
    <w:rsid w:val="007E567C"/>
    <w:rsid w:val="007E6097"/>
    <w:rsid w:val="007E60E5"/>
    <w:rsid w:val="007E7A3C"/>
    <w:rsid w:val="007F007E"/>
    <w:rsid w:val="007F104C"/>
    <w:rsid w:val="007F4550"/>
    <w:rsid w:val="007F467A"/>
    <w:rsid w:val="007F4D6D"/>
    <w:rsid w:val="007F5674"/>
    <w:rsid w:val="007F59EC"/>
    <w:rsid w:val="007F68AA"/>
    <w:rsid w:val="008050E0"/>
    <w:rsid w:val="0080524D"/>
    <w:rsid w:val="00805422"/>
    <w:rsid w:val="00806340"/>
    <w:rsid w:val="008070B6"/>
    <w:rsid w:val="00810F27"/>
    <w:rsid w:val="00814BA6"/>
    <w:rsid w:val="00816132"/>
    <w:rsid w:val="008164D9"/>
    <w:rsid w:val="00817767"/>
    <w:rsid w:val="008179DE"/>
    <w:rsid w:val="008202B4"/>
    <w:rsid w:val="0082054E"/>
    <w:rsid w:val="00820F4A"/>
    <w:rsid w:val="00821627"/>
    <w:rsid w:val="0082256E"/>
    <w:rsid w:val="00822993"/>
    <w:rsid w:val="00822A92"/>
    <w:rsid w:val="0082368E"/>
    <w:rsid w:val="00823C7C"/>
    <w:rsid w:val="0082489C"/>
    <w:rsid w:val="00825EEE"/>
    <w:rsid w:val="00826586"/>
    <w:rsid w:val="00826CD7"/>
    <w:rsid w:val="00827335"/>
    <w:rsid w:val="0083123D"/>
    <w:rsid w:val="00833153"/>
    <w:rsid w:val="0083435C"/>
    <w:rsid w:val="00835032"/>
    <w:rsid w:val="0083511C"/>
    <w:rsid w:val="008353BB"/>
    <w:rsid w:val="008356D7"/>
    <w:rsid w:val="008364DC"/>
    <w:rsid w:val="0083657F"/>
    <w:rsid w:val="00837480"/>
    <w:rsid w:val="00840156"/>
    <w:rsid w:val="008406D5"/>
    <w:rsid w:val="00840A65"/>
    <w:rsid w:val="0084557B"/>
    <w:rsid w:val="00845B62"/>
    <w:rsid w:val="00847303"/>
    <w:rsid w:val="008475F6"/>
    <w:rsid w:val="00847EFC"/>
    <w:rsid w:val="00847FA8"/>
    <w:rsid w:val="008521D9"/>
    <w:rsid w:val="00852EF7"/>
    <w:rsid w:val="00856A55"/>
    <w:rsid w:val="00857EC0"/>
    <w:rsid w:val="00857EEC"/>
    <w:rsid w:val="00857FA8"/>
    <w:rsid w:val="008601FB"/>
    <w:rsid w:val="008607B7"/>
    <w:rsid w:val="0086255F"/>
    <w:rsid w:val="00862C1C"/>
    <w:rsid w:val="008635BE"/>
    <w:rsid w:val="0086553B"/>
    <w:rsid w:val="0086743F"/>
    <w:rsid w:val="00871B2A"/>
    <w:rsid w:val="0087294C"/>
    <w:rsid w:val="00872FF9"/>
    <w:rsid w:val="0087387C"/>
    <w:rsid w:val="0087418B"/>
    <w:rsid w:val="00881CB3"/>
    <w:rsid w:val="00881D0B"/>
    <w:rsid w:val="00882237"/>
    <w:rsid w:val="00882C38"/>
    <w:rsid w:val="00883450"/>
    <w:rsid w:val="008840E6"/>
    <w:rsid w:val="00886D95"/>
    <w:rsid w:val="00886DF3"/>
    <w:rsid w:val="00887447"/>
    <w:rsid w:val="00887B9A"/>
    <w:rsid w:val="008917F2"/>
    <w:rsid w:val="00891A99"/>
    <w:rsid w:val="00891C96"/>
    <w:rsid w:val="00893312"/>
    <w:rsid w:val="00893BFC"/>
    <w:rsid w:val="00894779"/>
    <w:rsid w:val="008A11B4"/>
    <w:rsid w:val="008A4123"/>
    <w:rsid w:val="008A706E"/>
    <w:rsid w:val="008A7D4D"/>
    <w:rsid w:val="008B0A1B"/>
    <w:rsid w:val="008B267E"/>
    <w:rsid w:val="008B3ED9"/>
    <w:rsid w:val="008B43B0"/>
    <w:rsid w:val="008B4E62"/>
    <w:rsid w:val="008B5A2B"/>
    <w:rsid w:val="008B5F64"/>
    <w:rsid w:val="008B7A84"/>
    <w:rsid w:val="008B7BDF"/>
    <w:rsid w:val="008C095D"/>
    <w:rsid w:val="008C12E2"/>
    <w:rsid w:val="008C14D7"/>
    <w:rsid w:val="008C2C1A"/>
    <w:rsid w:val="008C37E1"/>
    <w:rsid w:val="008C5806"/>
    <w:rsid w:val="008C6572"/>
    <w:rsid w:val="008C7EAD"/>
    <w:rsid w:val="008D0199"/>
    <w:rsid w:val="008D0375"/>
    <w:rsid w:val="008D0439"/>
    <w:rsid w:val="008D0691"/>
    <w:rsid w:val="008D2F46"/>
    <w:rsid w:val="008D2FAA"/>
    <w:rsid w:val="008D354D"/>
    <w:rsid w:val="008D37F4"/>
    <w:rsid w:val="008D59E3"/>
    <w:rsid w:val="008D5D8C"/>
    <w:rsid w:val="008D726E"/>
    <w:rsid w:val="008E010D"/>
    <w:rsid w:val="008E1964"/>
    <w:rsid w:val="008E2E60"/>
    <w:rsid w:val="008E3C50"/>
    <w:rsid w:val="008E539C"/>
    <w:rsid w:val="008F0113"/>
    <w:rsid w:val="008F1716"/>
    <w:rsid w:val="008F2554"/>
    <w:rsid w:val="008F25EB"/>
    <w:rsid w:val="008F4181"/>
    <w:rsid w:val="009009F0"/>
    <w:rsid w:val="00903D3E"/>
    <w:rsid w:val="00904188"/>
    <w:rsid w:val="00905EBC"/>
    <w:rsid w:val="00906ADC"/>
    <w:rsid w:val="00910E09"/>
    <w:rsid w:val="00911D18"/>
    <w:rsid w:val="009126C5"/>
    <w:rsid w:val="00912A24"/>
    <w:rsid w:val="0091403E"/>
    <w:rsid w:val="0091659B"/>
    <w:rsid w:val="00916D04"/>
    <w:rsid w:val="0092075B"/>
    <w:rsid w:val="0092116A"/>
    <w:rsid w:val="00927274"/>
    <w:rsid w:val="009305CB"/>
    <w:rsid w:val="00931F17"/>
    <w:rsid w:val="00933218"/>
    <w:rsid w:val="00936B3F"/>
    <w:rsid w:val="009378E8"/>
    <w:rsid w:val="009408B4"/>
    <w:rsid w:val="00940B92"/>
    <w:rsid w:val="00940C9F"/>
    <w:rsid w:val="0094244C"/>
    <w:rsid w:val="0094451C"/>
    <w:rsid w:val="009456F1"/>
    <w:rsid w:val="00947341"/>
    <w:rsid w:val="009476BD"/>
    <w:rsid w:val="009511E3"/>
    <w:rsid w:val="00951A54"/>
    <w:rsid w:val="00952F1F"/>
    <w:rsid w:val="00954CF0"/>
    <w:rsid w:val="009615D1"/>
    <w:rsid w:val="00962DBC"/>
    <w:rsid w:val="00963214"/>
    <w:rsid w:val="009674E1"/>
    <w:rsid w:val="00967AFC"/>
    <w:rsid w:val="00970127"/>
    <w:rsid w:val="00971775"/>
    <w:rsid w:val="00977DFD"/>
    <w:rsid w:val="0098079A"/>
    <w:rsid w:val="009811A8"/>
    <w:rsid w:val="009816A6"/>
    <w:rsid w:val="00983A7B"/>
    <w:rsid w:val="00984E45"/>
    <w:rsid w:val="00985B45"/>
    <w:rsid w:val="00985B84"/>
    <w:rsid w:val="00987674"/>
    <w:rsid w:val="00987985"/>
    <w:rsid w:val="0099258B"/>
    <w:rsid w:val="00992C1B"/>
    <w:rsid w:val="00992DA9"/>
    <w:rsid w:val="00993C74"/>
    <w:rsid w:val="00995AED"/>
    <w:rsid w:val="0099626A"/>
    <w:rsid w:val="00997423"/>
    <w:rsid w:val="009A2CC1"/>
    <w:rsid w:val="009A3F63"/>
    <w:rsid w:val="009A44F5"/>
    <w:rsid w:val="009A6EE6"/>
    <w:rsid w:val="009A7531"/>
    <w:rsid w:val="009B0067"/>
    <w:rsid w:val="009B20AE"/>
    <w:rsid w:val="009B3CEB"/>
    <w:rsid w:val="009B3E01"/>
    <w:rsid w:val="009B574A"/>
    <w:rsid w:val="009B60BF"/>
    <w:rsid w:val="009B6848"/>
    <w:rsid w:val="009B7178"/>
    <w:rsid w:val="009B7F60"/>
    <w:rsid w:val="009C1021"/>
    <w:rsid w:val="009C1B1C"/>
    <w:rsid w:val="009C2785"/>
    <w:rsid w:val="009C369B"/>
    <w:rsid w:val="009C4D29"/>
    <w:rsid w:val="009C6553"/>
    <w:rsid w:val="009D2271"/>
    <w:rsid w:val="009D29BD"/>
    <w:rsid w:val="009D2BEC"/>
    <w:rsid w:val="009D2D4E"/>
    <w:rsid w:val="009D45DD"/>
    <w:rsid w:val="009D4D90"/>
    <w:rsid w:val="009D5662"/>
    <w:rsid w:val="009D59A9"/>
    <w:rsid w:val="009D74BD"/>
    <w:rsid w:val="009D7782"/>
    <w:rsid w:val="009E0123"/>
    <w:rsid w:val="009E27FA"/>
    <w:rsid w:val="009E31F1"/>
    <w:rsid w:val="009E4951"/>
    <w:rsid w:val="009E5AFC"/>
    <w:rsid w:val="009E612A"/>
    <w:rsid w:val="009E62E0"/>
    <w:rsid w:val="009E7C73"/>
    <w:rsid w:val="009F127A"/>
    <w:rsid w:val="009F37FC"/>
    <w:rsid w:val="009F607C"/>
    <w:rsid w:val="009F659C"/>
    <w:rsid w:val="009F69D6"/>
    <w:rsid w:val="00A015C1"/>
    <w:rsid w:val="00A01FAA"/>
    <w:rsid w:val="00A025BC"/>
    <w:rsid w:val="00A029E5"/>
    <w:rsid w:val="00A03AAB"/>
    <w:rsid w:val="00A05E91"/>
    <w:rsid w:val="00A102C1"/>
    <w:rsid w:val="00A113CB"/>
    <w:rsid w:val="00A11D53"/>
    <w:rsid w:val="00A12611"/>
    <w:rsid w:val="00A14299"/>
    <w:rsid w:val="00A148E2"/>
    <w:rsid w:val="00A168E5"/>
    <w:rsid w:val="00A17E0A"/>
    <w:rsid w:val="00A200CC"/>
    <w:rsid w:val="00A207E4"/>
    <w:rsid w:val="00A20B62"/>
    <w:rsid w:val="00A226BC"/>
    <w:rsid w:val="00A23FEF"/>
    <w:rsid w:val="00A24A7F"/>
    <w:rsid w:val="00A24BC2"/>
    <w:rsid w:val="00A26735"/>
    <w:rsid w:val="00A26DEF"/>
    <w:rsid w:val="00A2763B"/>
    <w:rsid w:val="00A27D4F"/>
    <w:rsid w:val="00A27EDE"/>
    <w:rsid w:val="00A3032C"/>
    <w:rsid w:val="00A32D99"/>
    <w:rsid w:val="00A375BB"/>
    <w:rsid w:val="00A405F0"/>
    <w:rsid w:val="00A40C49"/>
    <w:rsid w:val="00A41B6A"/>
    <w:rsid w:val="00A42481"/>
    <w:rsid w:val="00A424B4"/>
    <w:rsid w:val="00A4325E"/>
    <w:rsid w:val="00A4412C"/>
    <w:rsid w:val="00A45CD2"/>
    <w:rsid w:val="00A461AE"/>
    <w:rsid w:val="00A46692"/>
    <w:rsid w:val="00A46D6E"/>
    <w:rsid w:val="00A479DB"/>
    <w:rsid w:val="00A50D20"/>
    <w:rsid w:val="00A525A4"/>
    <w:rsid w:val="00A53836"/>
    <w:rsid w:val="00A540FB"/>
    <w:rsid w:val="00A547EC"/>
    <w:rsid w:val="00A54CE0"/>
    <w:rsid w:val="00A5697A"/>
    <w:rsid w:val="00A60B25"/>
    <w:rsid w:val="00A60F9A"/>
    <w:rsid w:val="00A61F8F"/>
    <w:rsid w:val="00A66048"/>
    <w:rsid w:val="00A704A5"/>
    <w:rsid w:val="00A7067A"/>
    <w:rsid w:val="00A7088C"/>
    <w:rsid w:val="00A721B7"/>
    <w:rsid w:val="00A7291C"/>
    <w:rsid w:val="00A73976"/>
    <w:rsid w:val="00A73ACE"/>
    <w:rsid w:val="00A746BD"/>
    <w:rsid w:val="00A802BB"/>
    <w:rsid w:val="00A81BF3"/>
    <w:rsid w:val="00A855CB"/>
    <w:rsid w:val="00A865AE"/>
    <w:rsid w:val="00A87327"/>
    <w:rsid w:val="00A87F0A"/>
    <w:rsid w:val="00A90467"/>
    <w:rsid w:val="00A91D92"/>
    <w:rsid w:val="00A9223D"/>
    <w:rsid w:val="00A92C1F"/>
    <w:rsid w:val="00A94EEB"/>
    <w:rsid w:val="00AA21BF"/>
    <w:rsid w:val="00AA2AA2"/>
    <w:rsid w:val="00AA40F8"/>
    <w:rsid w:val="00AB3407"/>
    <w:rsid w:val="00AB4AE2"/>
    <w:rsid w:val="00AB66B0"/>
    <w:rsid w:val="00AB6B7D"/>
    <w:rsid w:val="00AB7110"/>
    <w:rsid w:val="00AC0960"/>
    <w:rsid w:val="00AC36BD"/>
    <w:rsid w:val="00AC51F7"/>
    <w:rsid w:val="00AD0473"/>
    <w:rsid w:val="00AD1963"/>
    <w:rsid w:val="00AD2147"/>
    <w:rsid w:val="00AD27EB"/>
    <w:rsid w:val="00AD2941"/>
    <w:rsid w:val="00AD4647"/>
    <w:rsid w:val="00AD57BB"/>
    <w:rsid w:val="00AD78C6"/>
    <w:rsid w:val="00AE1B91"/>
    <w:rsid w:val="00AE2FEC"/>
    <w:rsid w:val="00AE479D"/>
    <w:rsid w:val="00AE5EE3"/>
    <w:rsid w:val="00AE6718"/>
    <w:rsid w:val="00AE6D07"/>
    <w:rsid w:val="00AF0752"/>
    <w:rsid w:val="00AF0F36"/>
    <w:rsid w:val="00AF20B9"/>
    <w:rsid w:val="00AF2389"/>
    <w:rsid w:val="00AF415B"/>
    <w:rsid w:val="00AF4796"/>
    <w:rsid w:val="00AF59C5"/>
    <w:rsid w:val="00AF5DA2"/>
    <w:rsid w:val="00AF63B9"/>
    <w:rsid w:val="00B015F4"/>
    <w:rsid w:val="00B0280B"/>
    <w:rsid w:val="00B03017"/>
    <w:rsid w:val="00B03C95"/>
    <w:rsid w:val="00B04735"/>
    <w:rsid w:val="00B04CD5"/>
    <w:rsid w:val="00B071E2"/>
    <w:rsid w:val="00B12AE9"/>
    <w:rsid w:val="00B13097"/>
    <w:rsid w:val="00B134D3"/>
    <w:rsid w:val="00B13AAE"/>
    <w:rsid w:val="00B141C0"/>
    <w:rsid w:val="00B14D12"/>
    <w:rsid w:val="00B17214"/>
    <w:rsid w:val="00B22CB0"/>
    <w:rsid w:val="00B23B9A"/>
    <w:rsid w:val="00B23F60"/>
    <w:rsid w:val="00B252D3"/>
    <w:rsid w:val="00B26B56"/>
    <w:rsid w:val="00B26E6A"/>
    <w:rsid w:val="00B27F67"/>
    <w:rsid w:val="00B32E05"/>
    <w:rsid w:val="00B34C39"/>
    <w:rsid w:val="00B34E8B"/>
    <w:rsid w:val="00B366F9"/>
    <w:rsid w:val="00B36984"/>
    <w:rsid w:val="00B373D7"/>
    <w:rsid w:val="00B37458"/>
    <w:rsid w:val="00B40BCB"/>
    <w:rsid w:val="00B43C94"/>
    <w:rsid w:val="00B448D8"/>
    <w:rsid w:val="00B448F3"/>
    <w:rsid w:val="00B44AD9"/>
    <w:rsid w:val="00B4580A"/>
    <w:rsid w:val="00B465C5"/>
    <w:rsid w:val="00B466D8"/>
    <w:rsid w:val="00B46A99"/>
    <w:rsid w:val="00B477A0"/>
    <w:rsid w:val="00B47A3D"/>
    <w:rsid w:val="00B51919"/>
    <w:rsid w:val="00B5202C"/>
    <w:rsid w:val="00B52EB4"/>
    <w:rsid w:val="00B5306E"/>
    <w:rsid w:val="00B557CB"/>
    <w:rsid w:val="00B5656D"/>
    <w:rsid w:val="00B5679A"/>
    <w:rsid w:val="00B62844"/>
    <w:rsid w:val="00B66C62"/>
    <w:rsid w:val="00B70BBD"/>
    <w:rsid w:val="00B7412D"/>
    <w:rsid w:val="00B74F8E"/>
    <w:rsid w:val="00B755AC"/>
    <w:rsid w:val="00B76CF5"/>
    <w:rsid w:val="00B7774F"/>
    <w:rsid w:val="00B77A9F"/>
    <w:rsid w:val="00B82EA8"/>
    <w:rsid w:val="00B83E63"/>
    <w:rsid w:val="00B8473C"/>
    <w:rsid w:val="00B857B5"/>
    <w:rsid w:val="00B86D22"/>
    <w:rsid w:val="00B87D3F"/>
    <w:rsid w:val="00B9452A"/>
    <w:rsid w:val="00BA1065"/>
    <w:rsid w:val="00BA15A2"/>
    <w:rsid w:val="00BA37DC"/>
    <w:rsid w:val="00BA3AD8"/>
    <w:rsid w:val="00BA3ADD"/>
    <w:rsid w:val="00BA5E33"/>
    <w:rsid w:val="00BA7820"/>
    <w:rsid w:val="00BB073D"/>
    <w:rsid w:val="00BB1A23"/>
    <w:rsid w:val="00BB1D55"/>
    <w:rsid w:val="00BB2A27"/>
    <w:rsid w:val="00BB5D45"/>
    <w:rsid w:val="00BB6382"/>
    <w:rsid w:val="00BB74A6"/>
    <w:rsid w:val="00BC01B7"/>
    <w:rsid w:val="00BC1411"/>
    <w:rsid w:val="00BC29B6"/>
    <w:rsid w:val="00BC3E2E"/>
    <w:rsid w:val="00BC4A4F"/>
    <w:rsid w:val="00BC4C28"/>
    <w:rsid w:val="00BC5F61"/>
    <w:rsid w:val="00BC5FAC"/>
    <w:rsid w:val="00BC7BFE"/>
    <w:rsid w:val="00BE085B"/>
    <w:rsid w:val="00BE4E1C"/>
    <w:rsid w:val="00BE5C46"/>
    <w:rsid w:val="00BE5FDD"/>
    <w:rsid w:val="00BF056C"/>
    <w:rsid w:val="00BF1041"/>
    <w:rsid w:val="00BF143F"/>
    <w:rsid w:val="00BF162A"/>
    <w:rsid w:val="00BF2D2E"/>
    <w:rsid w:val="00BF2D72"/>
    <w:rsid w:val="00BF30F2"/>
    <w:rsid w:val="00BF3D59"/>
    <w:rsid w:val="00BF4FF9"/>
    <w:rsid w:val="00BF53E0"/>
    <w:rsid w:val="00C00B65"/>
    <w:rsid w:val="00C02DA1"/>
    <w:rsid w:val="00C02EEE"/>
    <w:rsid w:val="00C04050"/>
    <w:rsid w:val="00C063BF"/>
    <w:rsid w:val="00C07193"/>
    <w:rsid w:val="00C07709"/>
    <w:rsid w:val="00C07D30"/>
    <w:rsid w:val="00C1153B"/>
    <w:rsid w:val="00C13DC2"/>
    <w:rsid w:val="00C14907"/>
    <w:rsid w:val="00C14A0E"/>
    <w:rsid w:val="00C151D1"/>
    <w:rsid w:val="00C15E13"/>
    <w:rsid w:val="00C16FBE"/>
    <w:rsid w:val="00C207B9"/>
    <w:rsid w:val="00C20D57"/>
    <w:rsid w:val="00C21570"/>
    <w:rsid w:val="00C22656"/>
    <w:rsid w:val="00C22A21"/>
    <w:rsid w:val="00C230A2"/>
    <w:rsid w:val="00C232DD"/>
    <w:rsid w:val="00C246C0"/>
    <w:rsid w:val="00C3134E"/>
    <w:rsid w:val="00C32E8E"/>
    <w:rsid w:val="00C36C83"/>
    <w:rsid w:val="00C373E1"/>
    <w:rsid w:val="00C426D9"/>
    <w:rsid w:val="00C43922"/>
    <w:rsid w:val="00C464D6"/>
    <w:rsid w:val="00C520F2"/>
    <w:rsid w:val="00C5342C"/>
    <w:rsid w:val="00C539B8"/>
    <w:rsid w:val="00C53D7D"/>
    <w:rsid w:val="00C56E00"/>
    <w:rsid w:val="00C6041C"/>
    <w:rsid w:val="00C61626"/>
    <w:rsid w:val="00C63289"/>
    <w:rsid w:val="00C6364E"/>
    <w:rsid w:val="00C66625"/>
    <w:rsid w:val="00C672CF"/>
    <w:rsid w:val="00C70D19"/>
    <w:rsid w:val="00C73C9E"/>
    <w:rsid w:val="00C76C36"/>
    <w:rsid w:val="00C76CA2"/>
    <w:rsid w:val="00C775D9"/>
    <w:rsid w:val="00C776BD"/>
    <w:rsid w:val="00C77A82"/>
    <w:rsid w:val="00C80FB5"/>
    <w:rsid w:val="00C8183A"/>
    <w:rsid w:val="00C82BD3"/>
    <w:rsid w:val="00C858F3"/>
    <w:rsid w:val="00C86D56"/>
    <w:rsid w:val="00C92EB8"/>
    <w:rsid w:val="00C944B7"/>
    <w:rsid w:val="00C94E0B"/>
    <w:rsid w:val="00C95CDE"/>
    <w:rsid w:val="00C96C44"/>
    <w:rsid w:val="00C97C3E"/>
    <w:rsid w:val="00C97DCB"/>
    <w:rsid w:val="00CA114F"/>
    <w:rsid w:val="00CA1D43"/>
    <w:rsid w:val="00CA4730"/>
    <w:rsid w:val="00CA78EB"/>
    <w:rsid w:val="00CB2F7F"/>
    <w:rsid w:val="00CB31AA"/>
    <w:rsid w:val="00CB389B"/>
    <w:rsid w:val="00CB3F34"/>
    <w:rsid w:val="00CB5C6F"/>
    <w:rsid w:val="00CC0868"/>
    <w:rsid w:val="00CC1F07"/>
    <w:rsid w:val="00CC2B35"/>
    <w:rsid w:val="00CC5C6E"/>
    <w:rsid w:val="00CD0FCD"/>
    <w:rsid w:val="00CD1C6E"/>
    <w:rsid w:val="00CD1FFD"/>
    <w:rsid w:val="00CD2653"/>
    <w:rsid w:val="00CD37C6"/>
    <w:rsid w:val="00CD3DB3"/>
    <w:rsid w:val="00CD3FFE"/>
    <w:rsid w:val="00CD4DF9"/>
    <w:rsid w:val="00CD50B8"/>
    <w:rsid w:val="00CD556D"/>
    <w:rsid w:val="00CE2B46"/>
    <w:rsid w:val="00CE33AB"/>
    <w:rsid w:val="00CE4F4D"/>
    <w:rsid w:val="00CE5F1C"/>
    <w:rsid w:val="00CF0A75"/>
    <w:rsid w:val="00CF1603"/>
    <w:rsid w:val="00CF1CF0"/>
    <w:rsid w:val="00CF2CA8"/>
    <w:rsid w:val="00CF3CCD"/>
    <w:rsid w:val="00CF7982"/>
    <w:rsid w:val="00D05EF5"/>
    <w:rsid w:val="00D0690D"/>
    <w:rsid w:val="00D07D90"/>
    <w:rsid w:val="00D10BEF"/>
    <w:rsid w:val="00D11957"/>
    <w:rsid w:val="00D11D2A"/>
    <w:rsid w:val="00D11F4D"/>
    <w:rsid w:val="00D1272D"/>
    <w:rsid w:val="00D1424C"/>
    <w:rsid w:val="00D1498D"/>
    <w:rsid w:val="00D15374"/>
    <w:rsid w:val="00D1610B"/>
    <w:rsid w:val="00D16C54"/>
    <w:rsid w:val="00D212FC"/>
    <w:rsid w:val="00D22920"/>
    <w:rsid w:val="00D23A19"/>
    <w:rsid w:val="00D25F3F"/>
    <w:rsid w:val="00D30EA1"/>
    <w:rsid w:val="00D318E7"/>
    <w:rsid w:val="00D32555"/>
    <w:rsid w:val="00D36B26"/>
    <w:rsid w:val="00D40352"/>
    <w:rsid w:val="00D409AF"/>
    <w:rsid w:val="00D44087"/>
    <w:rsid w:val="00D44BF5"/>
    <w:rsid w:val="00D45835"/>
    <w:rsid w:val="00D50BB5"/>
    <w:rsid w:val="00D516E4"/>
    <w:rsid w:val="00D521EB"/>
    <w:rsid w:val="00D528B8"/>
    <w:rsid w:val="00D52C55"/>
    <w:rsid w:val="00D54D15"/>
    <w:rsid w:val="00D55276"/>
    <w:rsid w:val="00D56877"/>
    <w:rsid w:val="00D57AAC"/>
    <w:rsid w:val="00D60EC9"/>
    <w:rsid w:val="00D60FAB"/>
    <w:rsid w:val="00D613D7"/>
    <w:rsid w:val="00D61C53"/>
    <w:rsid w:val="00D61D35"/>
    <w:rsid w:val="00D6217A"/>
    <w:rsid w:val="00D6230E"/>
    <w:rsid w:val="00D62688"/>
    <w:rsid w:val="00D6482A"/>
    <w:rsid w:val="00D64FC9"/>
    <w:rsid w:val="00D6564E"/>
    <w:rsid w:val="00D66150"/>
    <w:rsid w:val="00D703E5"/>
    <w:rsid w:val="00D72A60"/>
    <w:rsid w:val="00D745D1"/>
    <w:rsid w:val="00D80749"/>
    <w:rsid w:val="00D809DE"/>
    <w:rsid w:val="00D81C17"/>
    <w:rsid w:val="00D82104"/>
    <w:rsid w:val="00D833CA"/>
    <w:rsid w:val="00D854A1"/>
    <w:rsid w:val="00D85F34"/>
    <w:rsid w:val="00D863C9"/>
    <w:rsid w:val="00D86960"/>
    <w:rsid w:val="00D91D51"/>
    <w:rsid w:val="00D92CE3"/>
    <w:rsid w:val="00D9405C"/>
    <w:rsid w:val="00D94B0B"/>
    <w:rsid w:val="00D952A6"/>
    <w:rsid w:val="00D966D3"/>
    <w:rsid w:val="00D97B27"/>
    <w:rsid w:val="00D97C8E"/>
    <w:rsid w:val="00DA1032"/>
    <w:rsid w:val="00DA46B6"/>
    <w:rsid w:val="00DB1903"/>
    <w:rsid w:val="00DB35A5"/>
    <w:rsid w:val="00DB4B61"/>
    <w:rsid w:val="00DB4E06"/>
    <w:rsid w:val="00DB5235"/>
    <w:rsid w:val="00DB58DF"/>
    <w:rsid w:val="00DB6BB4"/>
    <w:rsid w:val="00DB74D7"/>
    <w:rsid w:val="00DC0707"/>
    <w:rsid w:val="00DC15D4"/>
    <w:rsid w:val="00DC22F1"/>
    <w:rsid w:val="00DC24DC"/>
    <w:rsid w:val="00DC268C"/>
    <w:rsid w:val="00DC2B83"/>
    <w:rsid w:val="00DC323D"/>
    <w:rsid w:val="00DC53CB"/>
    <w:rsid w:val="00DC6AA5"/>
    <w:rsid w:val="00DD072C"/>
    <w:rsid w:val="00DD0784"/>
    <w:rsid w:val="00DD1E8D"/>
    <w:rsid w:val="00DD457F"/>
    <w:rsid w:val="00DD6426"/>
    <w:rsid w:val="00DD7FF3"/>
    <w:rsid w:val="00DE0CDB"/>
    <w:rsid w:val="00DE0E66"/>
    <w:rsid w:val="00DE158C"/>
    <w:rsid w:val="00DE2214"/>
    <w:rsid w:val="00DE3B85"/>
    <w:rsid w:val="00DE48D6"/>
    <w:rsid w:val="00DE4BF8"/>
    <w:rsid w:val="00DE6791"/>
    <w:rsid w:val="00DE73C1"/>
    <w:rsid w:val="00DF025E"/>
    <w:rsid w:val="00DF208F"/>
    <w:rsid w:val="00DF4C26"/>
    <w:rsid w:val="00DF51FF"/>
    <w:rsid w:val="00DF612F"/>
    <w:rsid w:val="00E001C9"/>
    <w:rsid w:val="00E00F23"/>
    <w:rsid w:val="00E01343"/>
    <w:rsid w:val="00E021FC"/>
    <w:rsid w:val="00E04DE2"/>
    <w:rsid w:val="00E05E80"/>
    <w:rsid w:val="00E0758A"/>
    <w:rsid w:val="00E12C1F"/>
    <w:rsid w:val="00E12C98"/>
    <w:rsid w:val="00E1304A"/>
    <w:rsid w:val="00E13DCC"/>
    <w:rsid w:val="00E14820"/>
    <w:rsid w:val="00E15803"/>
    <w:rsid w:val="00E16B31"/>
    <w:rsid w:val="00E17173"/>
    <w:rsid w:val="00E17A57"/>
    <w:rsid w:val="00E21AB9"/>
    <w:rsid w:val="00E22734"/>
    <w:rsid w:val="00E22E4F"/>
    <w:rsid w:val="00E235C9"/>
    <w:rsid w:val="00E24052"/>
    <w:rsid w:val="00E268DF"/>
    <w:rsid w:val="00E26B9E"/>
    <w:rsid w:val="00E271CA"/>
    <w:rsid w:val="00E33732"/>
    <w:rsid w:val="00E338E3"/>
    <w:rsid w:val="00E33C72"/>
    <w:rsid w:val="00E33D07"/>
    <w:rsid w:val="00E33D17"/>
    <w:rsid w:val="00E33D8D"/>
    <w:rsid w:val="00E34DCF"/>
    <w:rsid w:val="00E353E7"/>
    <w:rsid w:val="00E35444"/>
    <w:rsid w:val="00E370D0"/>
    <w:rsid w:val="00E37C15"/>
    <w:rsid w:val="00E418AF"/>
    <w:rsid w:val="00E42C73"/>
    <w:rsid w:val="00E45B9D"/>
    <w:rsid w:val="00E463D1"/>
    <w:rsid w:val="00E51EE8"/>
    <w:rsid w:val="00E53E70"/>
    <w:rsid w:val="00E545EC"/>
    <w:rsid w:val="00E55C43"/>
    <w:rsid w:val="00E57A4D"/>
    <w:rsid w:val="00E6039F"/>
    <w:rsid w:val="00E608C3"/>
    <w:rsid w:val="00E66044"/>
    <w:rsid w:val="00E66115"/>
    <w:rsid w:val="00E6649D"/>
    <w:rsid w:val="00E679F2"/>
    <w:rsid w:val="00E67EAC"/>
    <w:rsid w:val="00E7292D"/>
    <w:rsid w:val="00E72B86"/>
    <w:rsid w:val="00E72E90"/>
    <w:rsid w:val="00E73350"/>
    <w:rsid w:val="00E740B9"/>
    <w:rsid w:val="00E74C5E"/>
    <w:rsid w:val="00E75529"/>
    <w:rsid w:val="00E755CB"/>
    <w:rsid w:val="00E76910"/>
    <w:rsid w:val="00E804FD"/>
    <w:rsid w:val="00E81B89"/>
    <w:rsid w:val="00E8254A"/>
    <w:rsid w:val="00E8316B"/>
    <w:rsid w:val="00E85432"/>
    <w:rsid w:val="00E85B2A"/>
    <w:rsid w:val="00E86632"/>
    <w:rsid w:val="00E86D11"/>
    <w:rsid w:val="00E87063"/>
    <w:rsid w:val="00E913C3"/>
    <w:rsid w:val="00E914EB"/>
    <w:rsid w:val="00E92986"/>
    <w:rsid w:val="00E93510"/>
    <w:rsid w:val="00E93DE1"/>
    <w:rsid w:val="00E95922"/>
    <w:rsid w:val="00E96FE2"/>
    <w:rsid w:val="00EA0BE1"/>
    <w:rsid w:val="00EA0D0F"/>
    <w:rsid w:val="00EA1534"/>
    <w:rsid w:val="00EA1854"/>
    <w:rsid w:val="00EA438F"/>
    <w:rsid w:val="00EA6B3B"/>
    <w:rsid w:val="00EB1808"/>
    <w:rsid w:val="00EB2C63"/>
    <w:rsid w:val="00EB4B15"/>
    <w:rsid w:val="00EB6243"/>
    <w:rsid w:val="00EB6D4F"/>
    <w:rsid w:val="00EC1510"/>
    <w:rsid w:val="00EC5303"/>
    <w:rsid w:val="00EC7C0C"/>
    <w:rsid w:val="00ED0A34"/>
    <w:rsid w:val="00ED4169"/>
    <w:rsid w:val="00ED616D"/>
    <w:rsid w:val="00EE2BB2"/>
    <w:rsid w:val="00EE4DF4"/>
    <w:rsid w:val="00EE4FC4"/>
    <w:rsid w:val="00EE548A"/>
    <w:rsid w:val="00EE5CAF"/>
    <w:rsid w:val="00EE64AA"/>
    <w:rsid w:val="00EE6946"/>
    <w:rsid w:val="00EE7AAF"/>
    <w:rsid w:val="00EF0376"/>
    <w:rsid w:val="00EF03B0"/>
    <w:rsid w:val="00EF053E"/>
    <w:rsid w:val="00EF0C28"/>
    <w:rsid w:val="00EF0E37"/>
    <w:rsid w:val="00EF34EA"/>
    <w:rsid w:val="00EF3571"/>
    <w:rsid w:val="00EF39D0"/>
    <w:rsid w:val="00EF7A6C"/>
    <w:rsid w:val="00EF7AFF"/>
    <w:rsid w:val="00F01095"/>
    <w:rsid w:val="00F01267"/>
    <w:rsid w:val="00F012DC"/>
    <w:rsid w:val="00F0181E"/>
    <w:rsid w:val="00F02873"/>
    <w:rsid w:val="00F0455F"/>
    <w:rsid w:val="00F04991"/>
    <w:rsid w:val="00F0532E"/>
    <w:rsid w:val="00F056C7"/>
    <w:rsid w:val="00F06093"/>
    <w:rsid w:val="00F078BE"/>
    <w:rsid w:val="00F1059C"/>
    <w:rsid w:val="00F10C5C"/>
    <w:rsid w:val="00F11572"/>
    <w:rsid w:val="00F119A5"/>
    <w:rsid w:val="00F124D8"/>
    <w:rsid w:val="00F17E31"/>
    <w:rsid w:val="00F21955"/>
    <w:rsid w:val="00F23067"/>
    <w:rsid w:val="00F23975"/>
    <w:rsid w:val="00F23EBD"/>
    <w:rsid w:val="00F25DFA"/>
    <w:rsid w:val="00F271F8"/>
    <w:rsid w:val="00F277E6"/>
    <w:rsid w:val="00F27D16"/>
    <w:rsid w:val="00F30CD4"/>
    <w:rsid w:val="00F310FD"/>
    <w:rsid w:val="00F31F5B"/>
    <w:rsid w:val="00F32513"/>
    <w:rsid w:val="00F32750"/>
    <w:rsid w:val="00F32CE9"/>
    <w:rsid w:val="00F3305D"/>
    <w:rsid w:val="00F33726"/>
    <w:rsid w:val="00F34BCA"/>
    <w:rsid w:val="00F353B0"/>
    <w:rsid w:val="00F36F51"/>
    <w:rsid w:val="00F42DB3"/>
    <w:rsid w:val="00F435CC"/>
    <w:rsid w:val="00F44F4F"/>
    <w:rsid w:val="00F46FF0"/>
    <w:rsid w:val="00F47AB1"/>
    <w:rsid w:val="00F504AF"/>
    <w:rsid w:val="00F52341"/>
    <w:rsid w:val="00F52A17"/>
    <w:rsid w:val="00F52EB6"/>
    <w:rsid w:val="00F55045"/>
    <w:rsid w:val="00F57926"/>
    <w:rsid w:val="00F57F90"/>
    <w:rsid w:val="00F6141B"/>
    <w:rsid w:val="00F622BE"/>
    <w:rsid w:val="00F63851"/>
    <w:rsid w:val="00F63E34"/>
    <w:rsid w:val="00F64F17"/>
    <w:rsid w:val="00F6504C"/>
    <w:rsid w:val="00F654A2"/>
    <w:rsid w:val="00F655FC"/>
    <w:rsid w:val="00F66E9D"/>
    <w:rsid w:val="00F67EAF"/>
    <w:rsid w:val="00F7162D"/>
    <w:rsid w:val="00F716D3"/>
    <w:rsid w:val="00F7201D"/>
    <w:rsid w:val="00F72709"/>
    <w:rsid w:val="00F73360"/>
    <w:rsid w:val="00F7755C"/>
    <w:rsid w:val="00F77A06"/>
    <w:rsid w:val="00F80792"/>
    <w:rsid w:val="00F81A85"/>
    <w:rsid w:val="00F81B13"/>
    <w:rsid w:val="00F81D74"/>
    <w:rsid w:val="00F8449D"/>
    <w:rsid w:val="00F86DB4"/>
    <w:rsid w:val="00F86EDB"/>
    <w:rsid w:val="00F87F34"/>
    <w:rsid w:val="00F91248"/>
    <w:rsid w:val="00F9233C"/>
    <w:rsid w:val="00F945F0"/>
    <w:rsid w:val="00F94DD8"/>
    <w:rsid w:val="00F963E3"/>
    <w:rsid w:val="00FA156A"/>
    <w:rsid w:val="00FA7704"/>
    <w:rsid w:val="00FA7C7C"/>
    <w:rsid w:val="00FB07EF"/>
    <w:rsid w:val="00FB52CE"/>
    <w:rsid w:val="00FB5CC9"/>
    <w:rsid w:val="00FB624E"/>
    <w:rsid w:val="00FB6925"/>
    <w:rsid w:val="00FB7158"/>
    <w:rsid w:val="00FB7EAB"/>
    <w:rsid w:val="00FC1559"/>
    <w:rsid w:val="00FC232E"/>
    <w:rsid w:val="00FC63A4"/>
    <w:rsid w:val="00FC7A2B"/>
    <w:rsid w:val="00FD0A40"/>
    <w:rsid w:val="00FD14E4"/>
    <w:rsid w:val="00FD174D"/>
    <w:rsid w:val="00FD2B5A"/>
    <w:rsid w:val="00FD36D3"/>
    <w:rsid w:val="00FD4C44"/>
    <w:rsid w:val="00FD59A2"/>
    <w:rsid w:val="00FD631C"/>
    <w:rsid w:val="00FD6B82"/>
    <w:rsid w:val="00FD78B5"/>
    <w:rsid w:val="00FD7C9B"/>
    <w:rsid w:val="00FE0A64"/>
    <w:rsid w:val="00FE31F9"/>
    <w:rsid w:val="00FE3643"/>
    <w:rsid w:val="00FE3A70"/>
    <w:rsid w:val="00FE3E7E"/>
    <w:rsid w:val="00FE511F"/>
    <w:rsid w:val="00FE611F"/>
    <w:rsid w:val="00FE68DB"/>
    <w:rsid w:val="00FE6D03"/>
    <w:rsid w:val="00FF0905"/>
    <w:rsid w:val="00FF4357"/>
    <w:rsid w:val="00FF56F6"/>
    <w:rsid w:val="00FF5AE3"/>
    <w:rsid w:val="00FF5B28"/>
    <w:rsid w:val="00FF6C02"/>
    <w:rsid w:val="00FF77C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D616D4-87BD-4905-B65E-2416E1D8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Arial"/>
        <w:color w:val="37424A" w:themeColor="text1"/>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9"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1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9" w:qFormat="1"/>
    <w:lsdException w:name="Subtle Reference" w:uiPriority="19" w:qFormat="1"/>
    <w:lsdException w:name="Intense Reference" w:uiPriority="19" w:qFormat="1"/>
    <w:lsdException w:name="Book Title" w:uiPriority="19" w:qFormat="1"/>
    <w:lsdException w:name="Bibliography" w:semiHidden="1" w:uiPriority="19"/>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qFormat/>
    <w:rsid w:val="00D11D2A"/>
    <w:pPr>
      <w:spacing w:before="120" w:after="120" w:line="264" w:lineRule="auto"/>
      <w:jc w:val="both"/>
    </w:pPr>
    <w:rPr>
      <w:lang w:val="es-ES_tradnl"/>
    </w:rPr>
  </w:style>
  <w:style w:type="paragraph" w:styleId="Ttulo1">
    <w:name w:val="heading 1"/>
    <w:aliases w:val="~SectionHeading"/>
    <w:basedOn w:val="SecHeadNonToc"/>
    <w:next w:val="Normal"/>
    <w:link w:val="Ttulo1Car"/>
    <w:uiPriority w:val="1"/>
    <w:qFormat/>
    <w:rsid w:val="00A60B25"/>
    <w:pPr>
      <w:numPr>
        <w:numId w:val="11"/>
      </w:numPr>
      <w:outlineLvl w:val="0"/>
    </w:pPr>
    <w:rPr>
      <w:rFonts w:ascii="Arial" w:hAnsi="Arial" w:cs="Arial"/>
    </w:rPr>
  </w:style>
  <w:style w:type="paragraph" w:styleId="Ttulo2">
    <w:name w:val="heading 2"/>
    <w:aliases w:val="~SubHeading"/>
    <w:basedOn w:val="ExecSumSubHead"/>
    <w:next w:val="Normal"/>
    <w:link w:val="Ttulo2Car"/>
    <w:uiPriority w:val="1"/>
    <w:qFormat/>
    <w:rsid w:val="00A60B25"/>
    <w:pPr>
      <w:numPr>
        <w:ilvl w:val="1"/>
        <w:numId w:val="11"/>
      </w:numPr>
      <w:outlineLvl w:val="1"/>
    </w:pPr>
    <w:rPr>
      <w:rFonts w:ascii="Arial" w:hAnsi="Arial" w:cs="Arial"/>
      <w:szCs w:val="16"/>
    </w:rPr>
  </w:style>
  <w:style w:type="paragraph" w:styleId="Ttulo3">
    <w:name w:val="heading 3"/>
    <w:aliases w:val="~MinorSubHeading"/>
    <w:basedOn w:val="Ttulo2"/>
    <w:next w:val="Normal"/>
    <w:link w:val="Ttulo3Car"/>
    <w:uiPriority w:val="1"/>
    <w:qFormat/>
    <w:rsid w:val="00A60B25"/>
    <w:pPr>
      <w:numPr>
        <w:ilvl w:val="2"/>
      </w:numPr>
      <w:outlineLvl w:val="2"/>
    </w:pPr>
    <w:rPr>
      <w:sz w:val="30"/>
      <w:szCs w:val="14"/>
    </w:rPr>
  </w:style>
  <w:style w:type="paragraph" w:styleId="Ttulo4">
    <w:name w:val="heading 4"/>
    <w:aliases w:val="~Level4Heading"/>
    <w:basedOn w:val="Ttulo3"/>
    <w:next w:val="Normal"/>
    <w:link w:val="Ttulo4Car"/>
    <w:uiPriority w:val="1"/>
    <w:qFormat/>
    <w:rsid w:val="00743E7C"/>
    <w:pPr>
      <w:numPr>
        <w:ilvl w:val="0"/>
        <w:numId w:val="0"/>
      </w:numPr>
      <w:outlineLvl w:val="3"/>
    </w:pPr>
    <w:rPr>
      <w:color w:val="007B87" w:themeColor="accent3"/>
      <w:sz w:val="24"/>
    </w:rPr>
  </w:style>
  <w:style w:type="paragraph" w:styleId="Ttulo5">
    <w:name w:val="heading 5"/>
    <w:basedOn w:val="Normal"/>
    <w:next w:val="Normal"/>
    <w:link w:val="Ttulo5Car"/>
    <w:uiPriority w:val="19"/>
    <w:semiHidden/>
    <w:qFormat/>
    <w:rsid w:val="00A865AE"/>
    <w:pPr>
      <w:keepNext/>
      <w:keepLines/>
      <w:spacing w:before="200"/>
      <w:outlineLvl w:val="4"/>
    </w:pPr>
    <w:rPr>
      <w:rFonts w:asciiTheme="majorHAnsi" w:eastAsiaTheme="majorEastAsia" w:hAnsiTheme="majorHAnsi" w:cstheme="majorBidi"/>
    </w:rPr>
  </w:style>
  <w:style w:type="paragraph" w:styleId="Ttulo6">
    <w:name w:val="heading 6"/>
    <w:basedOn w:val="Normal"/>
    <w:next w:val="Normal"/>
    <w:link w:val="Ttulo6Car"/>
    <w:uiPriority w:val="19"/>
    <w:semiHidden/>
    <w:qFormat/>
    <w:rsid w:val="00A865AE"/>
    <w:pPr>
      <w:keepNext/>
      <w:keepLines/>
      <w:spacing w:before="200"/>
      <w:outlineLvl w:val="5"/>
    </w:pPr>
    <w:rPr>
      <w:rFonts w:asciiTheme="majorHAnsi" w:eastAsiaTheme="majorEastAsia" w:hAnsiTheme="majorHAnsi" w:cstheme="majorBidi"/>
      <w:i/>
      <w:iCs/>
    </w:rPr>
  </w:style>
  <w:style w:type="paragraph" w:styleId="Ttulo7">
    <w:name w:val="heading 7"/>
    <w:basedOn w:val="Normal"/>
    <w:next w:val="Normal"/>
    <w:link w:val="Ttulo7Car"/>
    <w:uiPriority w:val="19"/>
    <w:semiHidden/>
    <w:qFormat/>
    <w:rsid w:val="00A865AE"/>
    <w:pPr>
      <w:keepNext/>
      <w:keepLines/>
      <w:spacing w:before="200"/>
      <w:outlineLvl w:val="6"/>
    </w:pPr>
    <w:rPr>
      <w:rFonts w:asciiTheme="majorHAnsi" w:eastAsiaTheme="majorEastAsia" w:hAnsiTheme="majorHAnsi" w:cstheme="majorBidi"/>
      <w:i/>
      <w:iCs/>
    </w:rPr>
  </w:style>
  <w:style w:type="paragraph" w:styleId="Ttulo8">
    <w:name w:val="heading 8"/>
    <w:basedOn w:val="Normal"/>
    <w:next w:val="Normal"/>
    <w:link w:val="Ttulo8Car"/>
    <w:uiPriority w:val="19"/>
    <w:semiHidden/>
    <w:qFormat/>
    <w:rsid w:val="00A865AE"/>
    <w:pPr>
      <w:keepNext/>
      <w:keepLines/>
      <w:spacing w:before="200"/>
      <w:outlineLvl w:val="7"/>
    </w:pPr>
    <w:rPr>
      <w:rFonts w:asciiTheme="majorHAnsi" w:eastAsiaTheme="majorEastAsia" w:hAnsiTheme="majorHAnsi" w:cstheme="majorBidi"/>
    </w:rPr>
  </w:style>
  <w:style w:type="paragraph" w:styleId="Ttulo9">
    <w:name w:val="heading 9"/>
    <w:basedOn w:val="Normal"/>
    <w:next w:val="Normal"/>
    <w:link w:val="Ttulo9Car"/>
    <w:uiPriority w:val="19"/>
    <w:semiHidden/>
    <w:qFormat/>
    <w:rsid w:val="00A865AE"/>
    <w:pPr>
      <w:keepNext/>
      <w:keepLines/>
      <w:spacing w:before="200"/>
      <w:outlineLvl w:val="8"/>
    </w:pPr>
    <w:rPr>
      <w:rFonts w:asciiTheme="majorHAnsi" w:eastAsiaTheme="majorEastAsia" w:hAnsiTheme="majorHAnsi" w:cstheme="majorBid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BaseStyle"/>
    <w:qFormat/>
    <w:rsid w:val="00EE64AA"/>
    <w:pPr>
      <w:spacing w:after="0" w:line="240" w:lineRule="auto"/>
    </w:pPr>
    <w:rPr>
      <w:lang w:val="es-ES_tradnl"/>
    </w:rPr>
  </w:style>
  <w:style w:type="paragraph" w:customStyle="1" w:styleId="SecHeadNonToc">
    <w:name w:val="~SecHeadNonToc"/>
    <w:basedOn w:val="Sinespaciado"/>
    <w:next w:val="Normal"/>
    <w:uiPriority w:val="19"/>
    <w:qFormat/>
    <w:rsid w:val="000C76B5"/>
    <w:pPr>
      <w:keepNext/>
      <w:pageBreakBefore/>
      <w:spacing w:before="400" w:after="240"/>
    </w:pPr>
    <w:rPr>
      <w:rFonts w:asciiTheme="majorHAnsi" w:hAnsiTheme="majorHAnsi" w:cstheme="minorBidi"/>
      <w:caps/>
      <w:color w:val="E83F35" w:themeColor="accent1"/>
      <w:sz w:val="40"/>
      <w:szCs w:val="180"/>
    </w:rPr>
  </w:style>
  <w:style w:type="paragraph" w:customStyle="1" w:styleId="AnnexDivider">
    <w:name w:val="~AnnexDivider"/>
    <w:basedOn w:val="SecHeadNonToc"/>
    <w:next w:val="Normal"/>
    <w:uiPriority w:val="2"/>
    <w:rsid w:val="00EE64AA"/>
    <w:pPr>
      <w:outlineLvl w:val="0"/>
    </w:pPr>
  </w:style>
  <w:style w:type="paragraph" w:customStyle="1" w:styleId="AnxHead">
    <w:name w:val="~AnxHead"/>
    <w:basedOn w:val="SecHeadNonToc"/>
    <w:next w:val="Normal"/>
    <w:uiPriority w:val="2"/>
    <w:qFormat/>
    <w:rsid w:val="007B6275"/>
    <w:pPr>
      <w:numPr>
        <w:numId w:val="12"/>
      </w:numPr>
      <w:tabs>
        <w:tab w:val="left" w:pos="1559"/>
      </w:tabs>
      <w:ind w:hanging="2268"/>
      <w:outlineLvl w:val="0"/>
    </w:pPr>
    <w:rPr>
      <w:rFonts w:ascii="Arial" w:hAnsi="Arial" w:cs="Arial"/>
    </w:rPr>
  </w:style>
  <w:style w:type="paragraph" w:customStyle="1" w:styleId="AnxSubHead">
    <w:name w:val="~AnxSubHead"/>
    <w:basedOn w:val="AnxHead"/>
    <w:next w:val="Normal"/>
    <w:uiPriority w:val="2"/>
    <w:qFormat/>
    <w:rsid w:val="00640C53"/>
    <w:pPr>
      <w:pageBreakBefore w:val="0"/>
      <w:numPr>
        <w:ilvl w:val="1"/>
      </w:numPr>
      <w:spacing w:before="240" w:after="0"/>
      <w:outlineLvl w:val="1"/>
    </w:pPr>
    <w:rPr>
      <w:caps w:val="0"/>
      <w:sz w:val="36"/>
      <w:szCs w:val="16"/>
    </w:rPr>
  </w:style>
  <w:style w:type="paragraph" w:customStyle="1" w:styleId="AnxMinorSubHead">
    <w:name w:val="~AnxMinorSubHead"/>
    <w:basedOn w:val="AnxSubHead"/>
    <w:next w:val="Normal"/>
    <w:uiPriority w:val="2"/>
    <w:qFormat/>
    <w:rsid w:val="00A60B25"/>
    <w:pPr>
      <w:numPr>
        <w:ilvl w:val="2"/>
      </w:numPr>
      <w:outlineLvl w:val="2"/>
    </w:pPr>
    <w:rPr>
      <w:iCs/>
      <w:sz w:val="30"/>
      <w:szCs w:val="14"/>
    </w:rPr>
  </w:style>
  <w:style w:type="paragraph" w:customStyle="1" w:styleId="BodyHeading">
    <w:name w:val="~BodyHeading"/>
    <w:basedOn w:val="Normal"/>
    <w:next w:val="Normal"/>
    <w:uiPriority w:val="1"/>
    <w:qFormat/>
    <w:rsid w:val="00045C6D"/>
    <w:pPr>
      <w:keepNext/>
      <w:spacing w:line="240" w:lineRule="auto"/>
    </w:pPr>
    <w:rPr>
      <w:b/>
      <w:color w:val="007B87" w:themeColor="accent3"/>
    </w:rPr>
  </w:style>
  <w:style w:type="paragraph" w:customStyle="1" w:styleId="BodyTextNum">
    <w:name w:val="~BodyTextNum"/>
    <w:basedOn w:val="Normal"/>
    <w:uiPriority w:val="3"/>
    <w:qFormat/>
    <w:rsid w:val="00857FA8"/>
    <w:rPr>
      <w:szCs w:val="20"/>
    </w:rPr>
  </w:style>
  <w:style w:type="paragraph" w:customStyle="1" w:styleId="ParaBullet1">
    <w:name w:val="~ParaBullet1"/>
    <w:basedOn w:val="Normal"/>
    <w:uiPriority w:val="3"/>
    <w:qFormat/>
    <w:rsid w:val="00142182"/>
    <w:pPr>
      <w:numPr>
        <w:numId w:val="1"/>
      </w:numPr>
    </w:pPr>
    <w:rPr>
      <w:rFonts w:eastAsia="Calibri"/>
    </w:rPr>
  </w:style>
  <w:style w:type="paragraph" w:customStyle="1" w:styleId="ParaBullet2">
    <w:name w:val="~ParaBullet2"/>
    <w:basedOn w:val="ParaBullet1"/>
    <w:uiPriority w:val="3"/>
    <w:qFormat/>
    <w:rsid w:val="00EE64AA"/>
    <w:pPr>
      <w:numPr>
        <w:ilvl w:val="1"/>
      </w:numPr>
    </w:pPr>
  </w:style>
  <w:style w:type="paragraph" w:customStyle="1" w:styleId="ParaBullet3">
    <w:name w:val="~ParaBullet3"/>
    <w:basedOn w:val="ParaBullet2"/>
    <w:uiPriority w:val="3"/>
    <w:qFormat/>
    <w:rsid w:val="00EE64AA"/>
    <w:pPr>
      <w:numPr>
        <w:ilvl w:val="2"/>
      </w:numPr>
    </w:pPr>
  </w:style>
  <w:style w:type="paragraph" w:styleId="Descripcin">
    <w:name w:val="caption"/>
    <w:aliases w:val="~Caption"/>
    <w:basedOn w:val="BodyHeading"/>
    <w:next w:val="Normal"/>
    <w:link w:val="DescripcinCar"/>
    <w:uiPriority w:val="2"/>
    <w:qFormat/>
    <w:rsid w:val="00A148E2"/>
    <w:pPr>
      <w:tabs>
        <w:tab w:val="left" w:pos="1276"/>
      </w:tabs>
      <w:spacing w:after="0"/>
      <w:ind w:left="1276" w:hanging="1276"/>
    </w:pPr>
    <w:rPr>
      <w:rFonts w:eastAsia="Calibri"/>
      <w:color w:val="37424A" w:themeColor="text1"/>
    </w:rPr>
  </w:style>
  <w:style w:type="character" w:customStyle="1" w:styleId="DescripcinCar">
    <w:name w:val="Descripción Car"/>
    <w:aliases w:val="~Caption Car"/>
    <w:basedOn w:val="Fuentedeprrafopredeter"/>
    <w:link w:val="Descripcin"/>
    <w:uiPriority w:val="2"/>
    <w:rsid w:val="00A148E2"/>
    <w:rPr>
      <w:rFonts w:eastAsia="Calibri"/>
      <w:b/>
      <w:lang w:val="es-ES_tradnl"/>
    </w:rPr>
  </w:style>
  <w:style w:type="paragraph" w:customStyle="1" w:styleId="CaptionWide">
    <w:name w:val="~CaptionWide"/>
    <w:basedOn w:val="Descripcin"/>
    <w:next w:val="Normal"/>
    <w:uiPriority w:val="19"/>
    <w:qFormat/>
    <w:rsid w:val="008406D5"/>
    <w:pPr>
      <w:tabs>
        <w:tab w:val="clear" w:pos="1276"/>
        <w:tab w:val="left" w:pos="142"/>
      </w:tabs>
      <w:ind w:left="142"/>
    </w:pPr>
    <w:rPr>
      <w:bCs/>
    </w:rPr>
  </w:style>
  <w:style w:type="paragraph" w:customStyle="1" w:styleId="Confidential">
    <w:name w:val="~Confidential"/>
    <w:basedOn w:val="Sinespaciado"/>
    <w:uiPriority w:val="19"/>
    <w:rsid w:val="00644069"/>
    <w:rPr>
      <w:color w:val="707276" w:themeColor="text2"/>
    </w:rPr>
  </w:style>
  <w:style w:type="paragraph" w:customStyle="1" w:styleId="DocClient">
    <w:name w:val="~DocClient"/>
    <w:basedOn w:val="Sinespaciado"/>
    <w:uiPriority w:val="19"/>
    <w:semiHidden/>
    <w:qFormat/>
    <w:rsid w:val="00644069"/>
  </w:style>
  <w:style w:type="paragraph" w:customStyle="1" w:styleId="DocDate">
    <w:name w:val="~DocDate"/>
    <w:basedOn w:val="Sinespaciado"/>
    <w:uiPriority w:val="19"/>
    <w:rsid w:val="00644069"/>
    <w:rPr>
      <w:color w:val="707276" w:themeColor="text2"/>
      <w:sz w:val="24"/>
    </w:rPr>
  </w:style>
  <w:style w:type="paragraph" w:customStyle="1" w:styleId="DocSubTitle">
    <w:name w:val="~DocSubTitle"/>
    <w:basedOn w:val="Sinespaciado"/>
    <w:uiPriority w:val="19"/>
    <w:rsid w:val="00644069"/>
    <w:rPr>
      <w:color w:val="E83F35" w:themeColor="accent1"/>
      <w:sz w:val="48"/>
    </w:rPr>
  </w:style>
  <w:style w:type="paragraph" w:customStyle="1" w:styleId="DocTitle">
    <w:name w:val="~DocTitle"/>
    <w:basedOn w:val="Sinespaciado"/>
    <w:uiPriority w:val="19"/>
    <w:rsid w:val="00644069"/>
    <w:rPr>
      <w:caps/>
      <w:color w:val="707276" w:themeColor="text2"/>
      <w:sz w:val="64"/>
    </w:rPr>
  </w:style>
  <w:style w:type="paragraph" w:customStyle="1" w:styleId="DocType">
    <w:name w:val="~DocType"/>
    <w:basedOn w:val="Sinespaciado"/>
    <w:uiPriority w:val="19"/>
    <w:semiHidden/>
    <w:qFormat/>
    <w:rsid w:val="00644069"/>
  </w:style>
  <w:style w:type="paragraph" w:customStyle="1" w:styleId="Draft">
    <w:name w:val="~Draft"/>
    <w:basedOn w:val="Sinespaciado"/>
    <w:uiPriority w:val="19"/>
    <w:rsid w:val="00644069"/>
    <w:rPr>
      <w:caps/>
      <w:color w:val="E83F35" w:themeColor="accent1"/>
      <w:sz w:val="80"/>
    </w:rPr>
  </w:style>
  <w:style w:type="paragraph" w:customStyle="1" w:styleId="ExecSumHead">
    <w:name w:val="~ExecSumHead"/>
    <w:basedOn w:val="SecHeadNonToc"/>
    <w:next w:val="Normal"/>
    <w:uiPriority w:val="2"/>
    <w:qFormat/>
    <w:rsid w:val="00DE158C"/>
    <w:pPr>
      <w:outlineLvl w:val="0"/>
    </w:pPr>
  </w:style>
  <w:style w:type="paragraph" w:customStyle="1" w:styleId="ExecSumSubHead">
    <w:name w:val="~ExecSumSubHead"/>
    <w:basedOn w:val="ExecSumHead"/>
    <w:next w:val="Normal"/>
    <w:uiPriority w:val="2"/>
    <w:qFormat/>
    <w:rsid w:val="001A2F61"/>
    <w:pPr>
      <w:pageBreakBefore w:val="0"/>
      <w:spacing w:before="240"/>
    </w:pPr>
    <w:rPr>
      <w:caps w:val="0"/>
      <w:sz w:val="36"/>
      <w:szCs w:val="32"/>
    </w:rPr>
  </w:style>
  <w:style w:type="paragraph" w:customStyle="1" w:styleId="GraphicLeft">
    <w:name w:val="~GraphicLeft"/>
    <w:basedOn w:val="Sinespaciado"/>
    <w:uiPriority w:val="9"/>
    <w:rsid w:val="00142182"/>
    <w:rPr>
      <w:sz w:val="20"/>
    </w:rPr>
  </w:style>
  <w:style w:type="paragraph" w:customStyle="1" w:styleId="GraphicCentre">
    <w:name w:val="~GraphicCentre"/>
    <w:basedOn w:val="GraphicLeft"/>
    <w:uiPriority w:val="19"/>
    <w:rsid w:val="00EE64AA"/>
    <w:pPr>
      <w:jc w:val="center"/>
    </w:pPr>
  </w:style>
  <w:style w:type="paragraph" w:customStyle="1" w:styleId="GraphicRight">
    <w:name w:val="~GraphicRight"/>
    <w:basedOn w:val="GraphicLeft"/>
    <w:uiPriority w:val="19"/>
    <w:rsid w:val="00EE64AA"/>
    <w:pPr>
      <w:jc w:val="right"/>
    </w:pPr>
  </w:style>
  <w:style w:type="paragraph" w:customStyle="1" w:styleId="Hidden">
    <w:name w:val="~Hidden"/>
    <w:basedOn w:val="Sinespaciado"/>
    <w:uiPriority w:val="19"/>
    <w:semiHidden/>
    <w:qFormat/>
    <w:rsid w:val="00EE64AA"/>
    <w:pPr>
      <w:framePr w:wrap="around" w:vAnchor="page" w:hAnchor="page" w:xAlign="right" w:yAlign="bottom"/>
    </w:pPr>
    <w:rPr>
      <w:color w:val="C00000"/>
    </w:rPr>
  </w:style>
  <w:style w:type="paragraph" w:customStyle="1" w:styleId="IntroText">
    <w:name w:val="~IntroText"/>
    <w:basedOn w:val="Normal"/>
    <w:next w:val="Normal"/>
    <w:uiPriority w:val="5"/>
    <w:qFormat/>
    <w:rsid w:val="001A2F61"/>
    <w:rPr>
      <w:color w:val="707276" w:themeColor="text2"/>
      <w:sz w:val="28"/>
    </w:rPr>
  </w:style>
  <w:style w:type="paragraph" w:customStyle="1" w:styleId="TableBullet1">
    <w:name w:val="~TableBullet1"/>
    <w:basedOn w:val="KeyMsgBullet1"/>
    <w:uiPriority w:val="6"/>
    <w:qFormat/>
    <w:rsid w:val="003715D5"/>
    <w:pPr>
      <w:tabs>
        <w:tab w:val="clear" w:pos="369"/>
        <w:tab w:val="left" w:pos="284"/>
      </w:tabs>
      <w:spacing w:before="40" w:after="40" w:line="240" w:lineRule="auto"/>
      <w:ind w:left="284"/>
    </w:pPr>
    <w:rPr>
      <w:sz w:val="20"/>
    </w:rPr>
  </w:style>
  <w:style w:type="paragraph" w:customStyle="1" w:styleId="ParaNumBullet1">
    <w:name w:val="~ParaNumBullet1"/>
    <w:basedOn w:val="ParaBullet1"/>
    <w:uiPriority w:val="3"/>
    <w:qFormat/>
    <w:rsid w:val="0082368E"/>
    <w:pPr>
      <w:numPr>
        <w:numId w:val="22"/>
      </w:numPr>
    </w:pPr>
    <w:rPr>
      <w:szCs w:val="20"/>
    </w:rPr>
  </w:style>
  <w:style w:type="paragraph" w:customStyle="1" w:styleId="ParaNumBullet2">
    <w:name w:val="~ParaNumBullet2"/>
    <w:basedOn w:val="ParaNumBullet1"/>
    <w:uiPriority w:val="3"/>
    <w:qFormat/>
    <w:rsid w:val="0082368E"/>
    <w:pPr>
      <w:numPr>
        <w:ilvl w:val="1"/>
      </w:numPr>
    </w:pPr>
  </w:style>
  <w:style w:type="paragraph" w:customStyle="1" w:styleId="ParaNumBullet3">
    <w:name w:val="~ParaNumBullet3"/>
    <w:basedOn w:val="ParaNumBullet2"/>
    <w:uiPriority w:val="3"/>
    <w:qFormat/>
    <w:rsid w:val="0082368E"/>
    <w:pPr>
      <w:numPr>
        <w:ilvl w:val="2"/>
      </w:numPr>
    </w:pPr>
  </w:style>
  <w:style w:type="paragraph" w:customStyle="1" w:styleId="QuoteBoxText">
    <w:name w:val="~QuoteBoxText"/>
    <w:basedOn w:val="Normal"/>
    <w:uiPriority w:val="3"/>
    <w:qFormat/>
    <w:rsid w:val="009F69D6"/>
    <w:pPr>
      <w:spacing w:after="60"/>
      <w:jc w:val="left"/>
    </w:pPr>
    <w:rPr>
      <w:rFonts w:eastAsia="Times New Roman" w:cs="Times New Roman"/>
      <w:sz w:val="28"/>
    </w:rPr>
  </w:style>
  <w:style w:type="paragraph" w:customStyle="1" w:styleId="Source">
    <w:name w:val="~Source"/>
    <w:basedOn w:val="Normal"/>
    <w:next w:val="Normal"/>
    <w:uiPriority w:val="2"/>
    <w:qFormat/>
    <w:rsid w:val="008D0439"/>
    <w:pPr>
      <w:tabs>
        <w:tab w:val="left" w:pos="709"/>
      </w:tabs>
      <w:spacing w:before="60" w:after="60" w:line="240" w:lineRule="auto"/>
      <w:ind w:left="709" w:hanging="709"/>
      <w:jc w:val="left"/>
    </w:pPr>
    <w:rPr>
      <w:rFonts w:eastAsia="Calibri"/>
      <w:i/>
      <w:sz w:val="16"/>
    </w:rPr>
  </w:style>
  <w:style w:type="paragraph" w:customStyle="1" w:styleId="SourceWide">
    <w:name w:val="~SourceWide"/>
    <w:basedOn w:val="Source"/>
    <w:next w:val="Normal"/>
    <w:uiPriority w:val="19"/>
    <w:rsid w:val="008406D5"/>
    <w:pPr>
      <w:tabs>
        <w:tab w:val="clear" w:pos="709"/>
        <w:tab w:val="left" w:pos="-425"/>
      </w:tabs>
      <w:ind w:left="-425"/>
    </w:pPr>
  </w:style>
  <w:style w:type="paragraph" w:customStyle="1" w:styleId="Spacer">
    <w:name w:val="~Spacer"/>
    <w:basedOn w:val="Sinespaciado"/>
    <w:uiPriority w:val="19"/>
    <w:semiHidden/>
    <w:qFormat/>
    <w:rsid w:val="00EE64AA"/>
    <w:rPr>
      <w:rFonts w:ascii="Arial" w:hAnsi="Arial"/>
      <w:sz w:val="2"/>
    </w:rPr>
  </w:style>
  <w:style w:type="paragraph" w:customStyle="1" w:styleId="TableTextLeft">
    <w:name w:val="~TableTextLeft"/>
    <w:basedOn w:val="Normal"/>
    <w:qFormat/>
    <w:rsid w:val="00142182"/>
    <w:pPr>
      <w:spacing w:before="40" w:after="40" w:line="240" w:lineRule="auto"/>
      <w:jc w:val="left"/>
    </w:pPr>
    <w:rPr>
      <w:sz w:val="20"/>
    </w:rPr>
  </w:style>
  <w:style w:type="table" w:customStyle="1" w:styleId="TableClear">
    <w:name w:val="~TableClear"/>
    <w:basedOn w:val="Tablanormal"/>
    <w:uiPriority w:val="99"/>
    <w:rsid w:val="00EE64AA"/>
    <w:pPr>
      <w:spacing w:after="0" w:line="240" w:lineRule="auto"/>
    </w:pPr>
    <w:tblPr/>
  </w:style>
  <w:style w:type="paragraph" w:customStyle="1" w:styleId="TableHeadingLeft">
    <w:name w:val="~TableHeadingLeft"/>
    <w:basedOn w:val="TableTextLeft"/>
    <w:qFormat/>
    <w:rsid w:val="00F52EB6"/>
    <w:rPr>
      <w:b/>
      <w:bCs/>
      <w:color w:val="007B87" w:themeColor="accent3"/>
    </w:rPr>
  </w:style>
  <w:style w:type="paragraph" w:customStyle="1" w:styleId="TableHeadingCentre">
    <w:name w:val="~TableHeadingCentre"/>
    <w:basedOn w:val="TableHeadingLeft"/>
    <w:uiPriority w:val="6"/>
    <w:qFormat/>
    <w:rsid w:val="00F52EB6"/>
    <w:pPr>
      <w:jc w:val="center"/>
    </w:pPr>
  </w:style>
  <w:style w:type="paragraph" w:customStyle="1" w:styleId="TableHeadingRight">
    <w:name w:val="~TableHeadingRight"/>
    <w:basedOn w:val="TableHeadingLeft"/>
    <w:qFormat/>
    <w:rsid w:val="00F52EB6"/>
    <w:pPr>
      <w:jc w:val="right"/>
    </w:pPr>
  </w:style>
  <w:style w:type="table" w:customStyle="1" w:styleId="TableNormal">
    <w:name w:val="~TableNormal"/>
    <w:basedOn w:val="Tablanormal"/>
    <w:semiHidden/>
    <w:rsid w:val="00EE64AA"/>
    <w:pPr>
      <w:spacing w:after="0" w:line="240" w:lineRule="auto"/>
    </w:pPr>
    <w:tblPr/>
  </w:style>
  <w:style w:type="paragraph" w:customStyle="1" w:styleId="TableTextCentre">
    <w:name w:val="~TableTextCentre"/>
    <w:basedOn w:val="TableTextLeft"/>
    <w:uiPriority w:val="6"/>
    <w:qFormat/>
    <w:rsid w:val="00F52EB6"/>
    <w:pPr>
      <w:jc w:val="center"/>
    </w:pPr>
  </w:style>
  <w:style w:type="paragraph" w:customStyle="1" w:styleId="TableTextRight">
    <w:name w:val="~TableTextRight"/>
    <w:basedOn w:val="TableTextLeft"/>
    <w:qFormat/>
    <w:rsid w:val="00F52EB6"/>
    <w:pPr>
      <w:jc w:val="right"/>
    </w:pPr>
  </w:style>
  <w:style w:type="paragraph" w:customStyle="1" w:styleId="TableTotalLeft">
    <w:name w:val="~TableTotalLeft"/>
    <w:basedOn w:val="TableTextLeft"/>
    <w:uiPriority w:val="6"/>
    <w:qFormat/>
    <w:rsid w:val="00F52EB6"/>
    <w:rPr>
      <w:b/>
      <w:bCs/>
      <w:color w:val="007B87" w:themeColor="accent3"/>
    </w:rPr>
  </w:style>
  <w:style w:type="paragraph" w:customStyle="1" w:styleId="TableTotalCentre">
    <w:name w:val="~TableTotalCentre"/>
    <w:basedOn w:val="TableTotalLeft"/>
    <w:uiPriority w:val="6"/>
    <w:qFormat/>
    <w:rsid w:val="0082489C"/>
    <w:pPr>
      <w:jc w:val="center"/>
    </w:pPr>
  </w:style>
  <w:style w:type="paragraph" w:customStyle="1" w:styleId="TableTotalRight">
    <w:name w:val="~TableTotalRight"/>
    <w:basedOn w:val="TableTotalLeft"/>
    <w:uiPriority w:val="6"/>
    <w:qFormat/>
    <w:rsid w:val="0082489C"/>
    <w:pPr>
      <w:jc w:val="right"/>
    </w:pPr>
  </w:style>
  <w:style w:type="paragraph" w:styleId="Textodeglobo">
    <w:name w:val="Balloon Text"/>
    <w:basedOn w:val="Normal"/>
    <w:link w:val="TextodegloboCar"/>
    <w:uiPriority w:val="99"/>
    <w:semiHidden/>
    <w:unhideWhenUsed/>
    <w:rsid w:val="00EE64AA"/>
    <w:pPr>
      <w:spacing w:line="240" w:lineRule="auto"/>
    </w:pPr>
    <w:rPr>
      <w:rFonts w:ascii="Tahoma" w:hAnsi="Tahoma" w:cs="Tahoma"/>
      <w:color w:val="808080" w:themeColor="background1" w:themeShade="80"/>
      <w:sz w:val="16"/>
      <w:szCs w:val="16"/>
    </w:rPr>
  </w:style>
  <w:style w:type="character" w:customStyle="1" w:styleId="TextodegloboCar">
    <w:name w:val="Texto de globo Car"/>
    <w:basedOn w:val="Fuentedeprrafopredeter"/>
    <w:link w:val="Textodeglobo"/>
    <w:uiPriority w:val="99"/>
    <w:semiHidden/>
    <w:rsid w:val="00EE64AA"/>
    <w:rPr>
      <w:rFonts w:ascii="Tahoma" w:hAnsi="Tahoma" w:cs="Tahoma"/>
      <w:color w:val="808080" w:themeColor="background1" w:themeShade="80"/>
      <w:sz w:val="16"/>
      <w:szCs w:val="16"/>
    </w:rPr>
  </w:style>
  <w:style w:type="character" w:styleId="Refdecomentario">
    <w:name w:val="annotation reference"/>
    <w:basedOn w:val="Fuentedeprrafopredeter"/>
    <w:uiPriority w:val="99"/>
    <w:semiHidden/>
    <w:unhideWhenUsed/>
    <w:rsid w:val="00EE64AA"/>
    <w:rPr>
      <w:sz w:val="16"/>
      <w:szCs w:val="16"/>
    </w:rPr>
  </w:style>
  <w:style w:type="paragraph" w:styleId="Textocomentario">
    <w:name w:val="annotation text"/>
    <w:basedOn w:val="Normal"/>
    <w:link w:val="TextocomentarioCar"/>
    <w:uiPriority w:val="99"/>
    <w:semiHidden/>
    <w:unhideWhenUsed/>
    <w:rsid w:val="00EE64AA"/>
    <w:pPr>
      <w:spacing w:line="240" w:lineRule="auto"/>
    </w:pPr>
    <w:rPr>
      <w:rFonts w:ascii="Arial" w:hAnsi="Arial"/>
      <w:color w:val="auto"/>
    </w:rPr>
  </w:style>
  <w:style w:type="character" w:customStyle="1" w:styleId="TextocomentarioCar">
    <w:name w:val="Texto comentario Car"/>
    <w:basedOn w:val="Fuentedeprrafopredeter"/>
    <w:link w:val="Textocomentario"/>
    <w:uiPriority w:val="99"/>
    <w:semiHidden/>
    <w:rsid w:val="00EE64AA"/>
    <w:rPr>
      <w:rFonts w:ascii="Arial" w:hAnsi="Arial"/>
      <w:color w:val="auto"/>
      <w:sz w:val="20"/>
      <w:szCs w:val="20"/>
    </w:rPr>
  </w:style>
  <w:style w:type="paragraph" w:styleId="Asuntodelcomentario">
    <w:name w:val="annotation subject"/>
    <w:basedOn w:val="Textocomentario"/>
    <w:next w:val="Textocomentario"/>
    <w:link w:val="AsuntodelcomentarioCar"/>
    <w:uiPriority w:val="99"/>
    <w:semiHidden/>
    <w:unhideWhenUsed/>
    <w:rsid w:val="00EE64AA"/>
    <w:rPr>
      <w:b/>
      <w:bCs/>
    </w:rPr>
  </w:style>
  <w:style w:type="character" w:customStyle="1" w:styleId="AsuntodelcomentarioCar">
    <w:name w:val="Asunto del comentario Car"/>
    <w:basedOn w:val="TextocomentarioCar"/>
    <w:link w:val="Asuntodelcomentario"/>
    <w:uiPriority w:val="99"/>
    <w:semiHidden/>
    <w:rsid w:val="00EE64AA"/>
    <w:rPr>
      <w:rFonts w:ascii="Arial" w:hAnsi="Arial"/>
      <w:b/>
      <w:bCs/>
      <w:color w:val="auto"/>
      <w:sz w:val="20"/>
      <w:szCs w:val="20"/>
    </w:rPr>
  </w:style>
  <w:style w:type="character" w:styleId="Hipervnculovisitado">
    <w:name w:val="FollowedHyperlink"/>
    <w:aliases w:val="~FollowedHyperlink"/>
    <w:basedOn w:val="Fuentedeprrafopredeter"/>
    <w:uiPriority w:val="19"/>
    <w:semiHidden/>
    <w:rsid w:val="00887447"/>
    <w:rPr>
      <w:color w:val="8DD0D2" w:themeColor="accent2"/>
      <w:u w:val="single"/>
    </w:rPr>
  </w:style>
  <w:style w:type="paragraph" w:styleId="Piedepgina">
    <w:name w:val="footer"/>
    <w:aliases w:val="~Footer"/>
    <w:basedOn w:val="Sinespaciado"/>
    <w:link w:val="PiedepginaCar"/>
    <w:uiPriority w:val="19"/>
    <w:rsid w:val="000A0D97"/>
    <w:rPr>
      <w:color w:val="707276" w:themeColor="text2"/>
      <w:sz w:val="18"/>
    </w:rPr>
  </w:style>
  <w:style w:type="character" w:customStyle="1" w:styleId="PiedepginaCar">
    <w:name w:val="Pie de página Car"/>
    <w:aliases w:val="~Footer Car"/>
    <w:basedOn w:val="Fuentedeprrafopredeter"/>
    <w:link w:val="Piedepgina"/>
    <w:uiPriority w:val="19"/>
    <w:rsid w:val="00D11D2A"/>
    <w:rPr>
      <w:color w:val="707276" w:themeColor="text2"/>
      <w:sz w:val="18"/>
    </w:rPr>
  </w:style>
  <w:style w:type="character" w:styleId="Refdenotaalpie">
    <w:name w:val="footnote reference"/>
    <w:aliases w:val="~FootnoteRef"/>
    <w:basedOn w:val="Fuentedeprrafopredeter"/>
    <w:uiPriority w:val="19"/>
    <w:semiHidden/>
    <w:rsid w:val="000F5519"/>
    <w:rPr>
      <w:rFonts w:asciiTheme="minorHAnsi" w:hAnsiTheme="minorHAnsi"/>
      <w:color w:val="E83F35" w:themeColor="accent1"/>
      <w:vertAlign w:val="superscript"/>
    </w:rPr>
  </w:style>
  <w:style w:type="paragraph" w:styleId="Textonotapie">
    <w:name w:val="footnote text"/>
    <w:aliases w:val="~FootnoteText"/>
    <w:basedOn w:val="Sinespaciado"/>
    <w:uiPriority w:val="19"/>
    <w:semiHidden/>
    <w:rsid w:val="000F5519"/>
    <w:pPr>
      <w:spacing w:before="60"/>
      <w:ind w:left="284" w:hanging="284"/>
    </w:pPr>
    <w:rPr>
      <w:color w:val="707276" w:themeColor="text2"/>
      <w:sz w:val="16"/>
    </w:rPr>
  </w:style>
  <w:style w:type="paragraph" w:styleId="Encabezado">
    <w:name w:val="header"/>
    <w:aliases w:val="~Header"/>
    <w:basedOn w:val="Sinespaciado"/>
    <w:link w:val="EncabezadoCar"/>
    <w:uiPriority w:val="19"/>
    <w:rsid w:val="000A0D97"/>
    <w:pPr>
      <w:jc w:val="right"/>
    </w:pPr>
    <w:rPr>
      <w:color w:val="707276" w:themeColor="text2"/>
    </w:rPr>
  </w:style>
  <w:style w:type="character" w:customStyle="1" w:styleId="EncabezadoCar">
    <w:name w:val="Encabezado Car"/>
    <w:aliases w:val="~Header Car"/>
    <w:basedOn w:val="Fuentedeprrafopredeter"/>
    <w:link w:val="Encabezado"/>
    <w:uiPriority w:val="19"/>
    <w:rsid w:val="00D11D2A"/>
    <w:rPr>
      <w:color w:val="707276" w:themeColor="text2"/>
    </w:rPr>
  </w:style>
  <w:style w:type="character" w:customStyle="1" w:styleId="Ttulo1Car">
    <w:name w:val="Título 1 Car"/>
    <w:aliases w:val="~SectionHeading Car"/>
    <w:basedOn w:val="Fuentedeprrafopredeter"/>
    <w:link w:val="Ttulo1"/>
    <w:uiPriority w:val="1"/>
    <w:rsid w:val="00D11D2A"/>
    <w:rPr>
      <w:rFonts w:ascii="Arial" w:hAnsi="Arial"/>
      <w:caps/>
      <w:color w:val="E83F35" w:themeColor="accent1"/>
      <w:sz w:val="40"/>
      <w:szCs w:val="180"/>
    </w:rPr>
  </w:style>
  <w:style w:type="character" w:customStyle="1" w:styleId="Ttulo2Car">
    <w:name w:val="Título 2 Car"/>
    <w:aliases w:val="~SubHeading Car"/>
    <w:basedOn w:val="Fuentedeprrafopredeter"/>
    <w:link w:val="Ttulo2"/>
    <w:uiPriority w:val="1"/>
    <w:rsid w:val="00D11D2A"/>
    <w:rPr>
      <w:rFonts w:ascii="Arial" w:hAnsi="Arial"/>
      <w:color w:val="E83F35" w:themeColor="accent1"/>
      <w:sz w:val="36"/>
      <w:szCs w:val="16"/>
    </w:rPr>
  </w:style>
  <w:style w:type="character" w:customStyle="1" w:styleId="Ttulo3Car">
    <w:name w:val="Título 3 Car"/>
    <w:aliases w:val="~MinorSubHeading Car"/>
    <w:basedOn w:val="Fuentedeprrafopredeter"/>
    <w:link w:val="Ttulo3"/>
    <w:uiPriority w:val="1"/>
    <w:rsid w:val="00D11D2A"/>
    <w:rPr>
      <w:rFonts w:ascii="Arial" w:hAnsi="Arial"/>
      <w:color w:val="E83F35" w:themeColor="accent1"/>
      <w:sz w:val="30"/>
      <w:szCs w:val="14"/>
    </w:rPr>
  </w:style>
  <w:style w:type="character" w:customStyle="1" w:styleId="Ttulo4Car">
    <w:name w:val="Título 4 Car"/>
    <w:aliases w:val="~Level4Heading Car"/>
    <w:basedOn w:val="Fuentedeprrafopredeter"/>
    <w:link w:val="Ttulo4"/>
    <w:uiPriority w:val="1"/>
    <w:rsid w:val="00D11D2A"/>
    <w:rPr>
      <w:rFonts w:ascii="Arial" w:hAnsi="Arial"/>
      <w:color w:val="007B87" w:themeColor="accent3"/>
      <w:sz w:val="24"/>
      <w:szCs w:val="14"/>
    </w:rPr>
  </w:style>
  <w:style w:type="character" w:customStyle="1" w:styleId="Ttulo5Car">
    <w:name w:val="Título 5 Car"/>
    <w:basedOn w:val="Fuentedeprrafopredeter"/>
    <w:link w:val="Ttulo5"/>
    <w:uiPriority w:val="19"/>
    <w:semiHidden/>
    <w:rsid w:val="00D11D2A"/>
    <w:rPr>
      <w:rFonts w:asciiTheme="majorHAnsi" w:eastAsiaTheme="majorEastAsia" w:hAnsiTheme="majorHAnsi" w:cstheme="majorBidi"/>
    </w:rPr>
  </w:style>
  <w:style w:type="character" w:customStyle="1" w:styleId="Ttulo6Car">
    <w:name w:val="Título 6 Car"/>
    <w:basedOn w:val="Fuentedeprrafopredeter"/>
    <w:link w:val="Ttulo6"/>
    <w:uiPriority w:val="19"/>
    <w:semiHidden/>
    <w:rsid w:val="00D11D2A"/>
    <w:rPr>
      <w:rFonts w:asciiTheme="majorHAnsi" w:eastAsiaTheme="majorEastAsia" w:hAnsiTheme="majorHAnsi" w:cstheme="majorBidi"/>
      <w:i/>
      <w:iCs/>
    </w:rPr>
  </w:style>
  <w:style w:type="character" w:customStyle="1" w:styleId="Ttulo7Car">
    <w:name w:val="Título 7 Car"/>
    <w:basedOn w:val="Fuentedeprrafopredeter"/>
    <w:link w:val="Ttulo7"/>
    <w:uiPriority w:val="19"/>
    <w:semiHidden/>
    <w:rsid w:val="00D11D2A"/>
    <w:rPr>
      <w:rFonts w:asciiTheme="majorHAnsi" w:eastAsiaTheme="majorEastAsia" w:hAnsiTheme="majorHAnsi" w:cstheme="majorBidi"/>
      <w:i/>
      <w:iCs/>
    </w:rPr>
  </w:style>
  <w:style w:type="character" w:customStyle="1" w:styleId="Ttulo8Car">
    <w:name w:val="Título 8 Car"/>
    <w:basedOn w:val="Fuentedeprrafopredeter"/>
    <w:link w:val="Ttulo8"/>
    <w:uiPriority w:val="19"/>
    <w:semiHidden/>
    <w:rsid w:val="00D11D2A"/>
    <w:rPr>
      <w:rFonts w:asciiTheme="majorHAnsi" w:eastAsiaTheme="majorEastAsia" w:hAnsiTheme="majorHAnsi" w:cstheme="majorBidi"/>
    </w:rPr>
  </w:style>
  <w:style w:type="character" w:customStyle="1" w:styleId="Ttulo9Car">
    <w:name w:val="Título 9 Car"/>
    <w:basedOn w:val="Fuentedeprrafopredeter"/>
    <w:link w:val="Ttulo9"/>
    <w:uiPriority w:val="19"/>
    <w:semiHidden/>
    <w:rsid w:val="00D11D2A"/>
    <w:rPr>
      <w:rFonts w:asciiTheme="majorHAnsi" w:eastAsiaTheme="majorEastAsia" w:hAnsiTheme="majorHAnsi" w:cstheme="majorBidi"/>
      <w:i/>
      <w:iCs/>
    </w:rPr>
  </w:style>
  <w:style w:type="character" w:styleId="Hipervnculo">
    <w:name w:val="Hyperlink"/>
    <w:aliases w:val="~HyperLink"/>
    <w:basedOn w:val="Fuentedeprrafopredeter"/>
    <w:uiPriority w:val="99"/>
    <w:rsid w:val="00887447"/>
    <w:rPr>
      <w:color w:val="007B87" w:themeColor="accent3"/>
      <w:u w:val="single"/>
    </w:rPr>
  </w:style>
  <w:style w:type="table" w:styleId="Sombreadomedio2-nfasis1">
    <w:name w:val="Medium Shading 2 Accent 1"/>
    <w:basedOn w:val="Tablanormal"/>
    <w:uiPriority w:val="64"/>
    <w:rsid w:val="00EE64AA"/>
    <w:pPr>
      <w:spacing w:after="0" w:line="240" w:lineRule="auto"/>
    </w:pPr>
    <w:rPr>
      <w:color w:val="808080" w:themeColor="background1" w:themeShade="8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3F3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3F35" w:themeFill="accent1"/>
      </w:tcPr>
    </w:tblStylePr>
    <w:tblStylePr w:type="lastCol">
      <w:rPr>
        <w:b/>
        <w:bCs/>
        <w:color w:val="FFFFFF" w:themeColor="background1"/>
      </w:rPr>
      <w:tblPr/>
      <w:tcPr>
        <w:tcBorders>
          <w:left w:val="nil"/>
          <w:right w:val="nil"/>
          <w:insideH w:val="nil"/>
          <w:insideV w:val="nil"/>
        </w:tcBorders>
        <w:shd w:val="clear" w:color="auto" w:fill="E83F3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Textodelmarcadordeposicin">
    <w:name w:val="Placeholder Text"/>
    <w:basedOn w:val="Fuentedeprrafopredeter"/>
    <w:uiPriority w:val="99"/>
    <w:semiHidden/>
    <w:rsid w:val="00EE64AA"/>
    <w:rPr>
      <w:color w:val="808080"/>
    </w:rPr>
  </w:style>
  <w:style w:type="table" w:styleId="Tablaconcuadrcula">
    <w:name w:val="Table Grid"/>
    <w:basedOn w:val="Tablanormal"/>
    <w:rsid w:val="00162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aliases w:val="~SectionHeadings"/>
    <w:basedOn w:val="Sinespaciado"/>
    <w:next w:val="Normal"/>
    <w:uiPriority w:val="39"/>
    <w:rsid w:val="00350346"/>
    <w:pPr>
      <w:tabs>
        <w:tab w:val="left" w:pos="482"/>
        <w:tab w:val="right" w:pos="7825"/>
      </w:tabs>
      <w:spacing w:before="240" w:after="20"/>
      <w:ind w:left="482" w:right="403" w:hanging="482"/>
    </w:pPr>
    <w:rPr>
      <w:rFonts w:asciiTheme="majorHAnsi" w:eastAsiaTheme="minorEastAsia" w:hAnsiTheme="majorHAnsi"/>
      <w:noProof/>
      <w:sz w:val="24"/>
      <w:szCs w:val="24"/>
      <w:lang w:eastAsia="en-GB"/>
    </w:rPr>
  </w:style>
  <w:style w:type="paragraph" w:styleId="TDC2">
    <w:name w:val="toc 2"/>
    <w:aliases w:val="~SubHeadings"/>
    <w:basedOn w:val="TDC1"/>
    <w:next w:val="Normal"/>
    <w:uiPriority w:val="39"/>
    <w:rsid w:val="00174D51"/>
    <w:pPr>
      <w:tabs>
        <w:tab w:val="clear" w:pos="482"/>
        <w:tab w:val="left" w:pos="992"/>
      </w:tabs>
      <w:spacing w:before="20"/>
      <w:ind w:left="992" w:hanging="510"/>
    </w:pPr>
    <w:rPr>
      <w:color w:val="707276" w:themeColor="text2"/>
      <w:sz w:val="20"/>
      <w:szCs w:val="20"/>
    </w:rPr>
  </w:style>
  <w:style w:type="paragraph" w:styleId="TDC3">
    <w:name w:val="toc 3"/>
    <w:aliases w:val="~MinorSubheadings"/>
    <w:basedOn w:val="TDC2"/>
    <w:next w:val="Normal"/>
    <w:uiPriority w:val="19"/>
    <w:rsid w:val="00DC268C"/>
    <w:pPr>
      <w:tabs>
        <w:tab w:val="clear" w:pos="992"/>
        <w:tab w:val="left" w:pos="1701"/>
      </w:tabs>
      <w:ind w:left="1701" w:hanging="737"/>
    </w:pPr>
    <w:rPr>
      <w:sz w:val="18"/>
    </w:rPr>
  </w:style>
  <w:style w:type="paragraph" w:styleId="TDC4">
    <w:name w:val="toc 4"/>
    <w:aliases w:val="~FourthHeadLevel"/>
    <w:basedOn w:val="TDC3"/>
    <w:next w:val="Normal"/>
    <w:uiPriority w:val="19"/>
    <w:rsid w:val="00174D51"/>
    <w:pPr>
      <w:tabs>
        <w:tab w:val="clear" w:pos="1701"/>
        <w:tab w:val="left" w:pos="2098"/>
      </w:tabs>
      <w:ind w:left="2098" w:hanging="794"/>
    </w:pPr>
  </w:style>
  <w:style w:type="paragraph" w:styleId="TDC5">
    <w:name w:val="toc 5"/>
    <w:aliases w:val="~ExecSumHeading"/>
    <w:basedOn w:val="TDC1"/>
    <w:next w:val="Normal"/>
    <w:uiPriority w:val="39"/>
    <w:rsid w:val="00350346"/>
    <w:pPr>
      <w:tabs>
        <w:tab w:val="clear" w:pos="482"/>
      </w:tabs>
      <w:ind w:left="0" w:firstLine="0"/>
    </w:pPr>
  </w:style>
  <w:style w:type="paragraph" w:styleId="TDC6">
    <w:name w:val="toc 6"/>
    <w:aliases w:val="~AppDivider"/>
    <w:basedOn w:val="Normal"/>
    <w:next w:val="Normal"/>
    <w:uiPriority w:val="19"/>
    <w:rsid w:val="0054473A"/>
    <w:pPr>
      <w:tabs>
        <w:tab w:val="left" w:pos="482"/>
        <w:tab w:val="right" w:pos="7881"/>
      </w:tabs>
      <w:spacing w:before="240" w:after="20" w:line="240" w:lineRule="auto"/>
      <w:ind w:left="482" w:right="403" w:hanging="482"/>
      <w:jc w:val="left"/>
    </w:pPr>
    <w:rPr>
      <w:rFonts w:asciiTheme="majorHAnsi" w:eastAsiaTheme="minorEastAsia" w:hAnsiTheme="majorHAnsi"/>
      <w:noProof/>
      <w:sz w:val="24"/>
      <w:szCs w:val="24"/>
      <w:lang w:eastAsia="en-GB"/>
    </w:rPr>
  </w:style>
  <w:style w:type="paragraph" w:styleId="TDC7">
    <w:name w:val="toc 7"/>
    <w:aliases w:val="~AppHeadings"/>
    <w:basedOn w:val="TDC1"/>
    <w:next w:val="Normal"/>
    <w:uiPriority w:val="19"/>
    <w:rsid w:val="00057EF6"/>
    <w:pPr>
      <w:tabs>
        <w:tab w:val="clear" w:pos="482"/>
        <w:tab w:val="left" w:pos="1276"/>
      </w:tabs>
      <w:ind w:left="1276" w:hanging="1276"/>
    </w:pPr>
    <w:rPr>
      <w:szCs w:val="20"/>
    </w:rPr>
  </w:style>
  <w:style w:type="paragraph" w:styleId="TDC8">
    <w:name w:val="toc 8"/>
    <w:aliases w:val="~AppSubHeadings"/>
    <w:basedOn w:val="TDC2"/>
    <w:next w:val="Normal"/>
    <w:uiPriority w:val="19"/>
    <w:rsid w:val="00174D51"/>
    <w:pPr>
      <w:tabs>
        <w:tab w:val="left" w:pos="850"/>
      </w:tabs>
      <w:ind w:left="850" w:hanging="425"/>
    </w:pPr>
  </w:style>
  <w:style w:type="paragraph" w:styleId="TDC9">
    <w:name w:val="toc 9"/>
    <w:basedOn w:val="Normal"/>
    <w:next w:val="Normal"/>
    <w:uiPriority w:val="19"/>
    <w:semiHidden/>
    <w:rsid w:val="00EE64AA"/>
    <w:pPr>
      <w:spacing w:after="100"/>
      <w:ind w:left="1600"/>
    </w:pPr>
    <w:rPr>
      <w:rFonts w:ascii="Arial" w:hAnsi="Arial"/>
    </w:rPr>
  </w:style>
  <w:style w:type="paragraph" w:styleId="TtulodeTDC">
    <w:name w:val="TOC Heading"/>
    <w:basedOn w:val="TDC6"/>
    <w:next w:val="Normal"/>
    <w:uiPriority w:val="19"/>
    <w:semiHidden/>
    <w:qFormat/>
    <w:rsid w:val="000E4F6C"/>
  </w:style>
  <w:style w:type="table" w:customStyle="1" w:styleId="PutClientName">
    <w:name w:val="~PutClientName"/>
    <w:basedOn w:val="Tablanormal"/>
    <w:uiPriority w:val="99"/>
    <w:rsid w:val="0016210E"/>
    <w:pPr>
      <w:spacing w:after="0" w:line="240" w:lineRule="auto"/>
    </w:pPr>
    <w:tblPr>
      <w:tblBorders>
        <w:top w:val="single" w:sz="4" w:space="0" w:color="auto"/>
        <w:bottom w:val="single" w:sz="4" w:space="0" w:color="auto"/>
        <w:insideH w:val="single" w:sz="4" w:space="0" w:color="auto"/>
      </w:tblBorders>
    </w:tblPr>
  </w:style>
  <w:style w:type="paragraph" w:styleId="Revisin">
    <w:name w:val="Revision"/>
    <w:hidden/>
    <w:uiPriority w:val="99"/>
    <w:semiHidden/>
    <w:rsid w:val="00EE64AA"/>
    <w:pPr>
      <w:spacing w:after="0" w:line="240" w:lineRule="auto"/>
    </w:pPr>
    <w:rPr>
      <w:color w:val="808080" w:themeColor="background1" w:themeShade="80"/>
    </w:rPr>
  </w:style>
  <w:style w:type="paragraph" w:styleId="Textoindependiente">
    <w:name w:val="Body Text"/>
    <w:basedOn w:val="Normal"/>
    <w:link w:val="TextoindependienteCar"/>
    <w:uiPriority w:val="19"/>
    <w:semiHidden/>
    <w:rsid w:val="00BA15A2"/>
    <w:rPr>
      <w:rFonts w:ascii="Garamond" w:eastAsia="Times" w:hAnsi="Garamond" w:cs="Times New Roman"/>
      <w:color w:val="auto"/>
      <w:sz w:val="24"/>
    </w:rPr>
  </w:style>
  <w:style w:type="character" w:customStyle="1" w:styleId="TextoindependienteCar">
    <w:name w:val="Texto independiente Car"/>
    <w:basedOn w:val="Fuentedeprrafopredeter"/>
    <w:link w:val="Textoindependiente"/>
    <w:uiPriority w:val="19"/>
    <w:semiHidden/>
    <w:rsid w:val="00D11D2A"/>
    <w:rPr>
      <w:rFonts w:ascii="Garamond" w:eastAsia="Times" w:hAnsi="Garamond" w:cs="Times New Roman"/>
      <w:color w:val="auto"/>
      <w:sz w:val="24"/>
    </w:rPr>
  </w:style>
  <w:style w:type="paragraph" w:customStyle="1" w:styleId="ParagraphBullet">
    <w:name w:val="Paragraph Bullet"/>
    <w:basedOn w:val="Normal"/>
    <w:uiPriority w:val="19"/>
    <w:semiHidden/>
    <w:rsid w:val="007F007E"/>
    <w:pPr>
      <w:tabs>
        <w:tab w:val="num" w:pos="425"/>
      </w:tabs>
      <w:ind w:left="425" w:hanging="425"/>
    </w:pPr>
    <w:rPr>
      <w:rFonts w:ascii="Garamond" w:eastAsia="Times" w:hAnsi="Garamond" w:cs="Times New Roman"/>
      <w:color w:val="auto"/>
      <w:sz w:val="24"/>
    </w:rPr>
  </w:style>
  <w:style w:type="paragraph" w:customStyle="1" w:styleId="SourceText">
    <w:name w:val="Source Text"/>
    <w:basedOn w:val="Ttulo5"/>
    <w:uiPriority w:val="19"/>
    <w:semiHidden/>
    <w:rsid w:val="007F007E"/>
    <w:pPr>
      <w:keepLines w:val="0"/>
      <w:spacing w:before="120" w:after="240"/>
    </w:pPr>
    <w:rPr>
      <w:rFonts w:ascii="Arial" w:eastAsia="Times" w:hAnsi="Arial" w:cs="Arial"/>
      <w:iCs/>
      <w:color w:val="auto"/>
      <w:sz w:val="16"/>
    </w:rPr>
  </w:style>
  <w:style w:type="paragraph" w:customStyle="1" w:styleId="TableText">
    <w:name w:val="Table Text"/>
    <w:basedOn w:val="Normal"/>
    <w:uiPriority w:val="19"/>
    <w:semiHidden/>
    <w:rsid w:val="007F007E"/>
    <w:pPr>
      <w:keepNext/>
      <w:jc w:val="center"/>
    </w:pPr>
    <w:rPr>
      <w:rFonts w:ascii="Arial" w:eastAsia="Times" w:hAnsi="Arial"/>
      <w:color w:val="auto"/>
    </w:rPr>
  </w:style>
  <w:style w:type="paragraph" w:customStyle="1" w:styleId="SecHeadNumber">
    <w:name w:val="~SecHeadNumber"/>
    <w:basedOn w:val="Normal"/>
    <w:uiPriority w:val="19"/>
    <w:semiHidden/>
    <w:qFormat/>
    <w:rsid w:val="005B0485"/>
    <w:pPr>
      <w:framePr w:wrap="around" w:vAnchor="page" w:hAnchor="page" w:x="852" w:y="852"/>
      <w:spacing w:before="0" w:line="192" w:lineRule="auto"/>
    </w:pPr>
    <w:rPr>
      <w:rFonts w:ascii="Arial" w:eastAsia="Arial" w:hAnsi="Arial" w:cs="Times New Roman"/>
      <w:b/>
      <w:outline/>
      <w:noProof/>
      <w:color w:val="8DD0D2" w:themeColor="accent2"/>
      <w:sz w:val="220"/>
      <w:szCs w:val="220"/>
      <w14:textOutline w14:w="12700" w14:cap="rnd" w14:cmpd="sng" w14:algn="ctr">
        <w14:solidFill>
          <w14:schemeClr w14:val="accent2"/>
        </w14:solidFill>
        <w14:prstDash w14:val="solid"/>
        <w14:bevel/>
      </w14:textOutline>
      <w14:textFill>
        <w14:noFill/>
      </w14:textFill>
    </w:rPr>
  </w:style>
  <w:style w:type="paragraph" w:styleId="Tabladeilustraciones">
    <w:name w:val="table of figures"/>
    <w:basedOn w:val="Normal"/>
    <w:next w:val="Normal"/>
    <w:uiPriority w:val="99"/>
    <w:rsid w:val="00145133"/>
    <w:pPr>
      <w:tabs>
        <w:tab w:val="left" w:pos="1134"/>
        <w:tab w:val="right" w:pos="7825"/>
      </w:tabs>
      <w:spacing w:before="20" w:after="20" w:line="240" w:lineRule="auto"/>
      <w:ind w:left="1134" w:right="403" w:hanging="1134"/>
    </w:pPr>
    <w:rPr>
      <w:noProof/>
      <w:color w:val="707276" w:themeColor="text2"/>
    </w:rPr>
  </w:style>
  <w:style w:type="paragraph" w:customStyle="1" w:styleId="IconText">
    <w:name w:val="~IconText"/>
    <w:uiPriority w:val="5"/>
    <w:rsid w:val="0060476B"/>
    <w:pPr>
      <w:spacing w:after="0" w:line="216" w:lineRule="auto"/>
      <w:jc w:val="center"/>
    </w:pPr>
    <w:rPr>
      <w:rFonts w:ascii="Open Sans Extrabold" w:eastAsia="Open Sans Extrabold" w:hAnsi="Open Sans Extrabold" w:cs="Open Sans Extrabold"/>
      <w:color w:val="FFFFFF" w:themeColor="background1"/>
      <w:kern w:val="24"/>
      <w:sz w:val="40"/>
      <w:szCs w:val="40"/>
    </w:rPr>
  </w:style>
  <w:style w:type="paragraph" w:styleId="Prrafodelista">
    <w:name w:val="List Paragraph"/>
    <w:basedOn w:val="Normal"/>
    <w:uiPriority w:val="19"/>
    <w:semiHidden/>
    <w:qFormat/>
    <w:rsid w:val="005D4C3B"/>
    <w:pPr>
      <w:ind w:left="720"/>
      <w:contextualSpacing/>
    </w:pPr>
  </w:style>
  <w:style w:type="paragraph" w:styleId="Textonotaalfinal">
    <w:name w:val="endnote text"/>
    <w:basedOn w:val="Normal"/>
    <w:link w:val="TextonotaalfinalCar"/>
    <w:uiPriority w:val="99"/>
    <w:semiHidden/>
    <w:unhideWhenUsed/>
    <w:rsid w:val="00823C7C"/>
    <w:pPr>
      <w:spacing w:before="0" w:line="240" w:lineRule="auto"/>
    </w:pPr>
  </w:style>
  <w:style w:type="character" w:customStyle="1" w:styleId="TextonotaalfinalCar">
    <w:name w:val="Texto nota al final Car"/>
    <w:basedOn w:val="Fuentedeprrafopredeter"/>
    <w:link w:val="Textonotaalfinal"/>
    <w:uiPriority w:val="99"/>
    <w:semiHidden/>
    <w:rsid w:val="00823C7C"/>
  </w:style>
  <w:style w:type="character" w:styleId="Refdenotaalfinal">
    <w:name w:val="endnote reference"/>
    <w:basedOn w:val="Fuentedeprrafopredeter"/>
    <w:uiPriority w:val="99"/>
    <w:semiHidden/>
    <w:unhideWhenUsed/>
    <w:rsid w:val="00823C7C"/>
    <w:rPr>
      <w:vertAlign w:val="superscript"/>
    </w:rPr>
  </w:style>
  <w:style w:type="paragraph" w:customStyle="1" w:styleId="AnxBodyTextNum">
    <w:name w:val="~AnxBodyTextNum"/>
    <w:basedOn w:val="Normal"/>
    <w:uiPriority w:val="3"/>
    <w:rsid w:val="00F34BCA"/>
    <w:rPr>
      <w:rFonts w:ascii="Arial" w:hAnsi="Arial"/>
    </w:rPr>
  </w:style>
  <w:style w:type="paragraph" w:customStyle="1" w:styleId="ContactName">
    <w:name w:val="~ContactName"/>
    <w:basedOn w:val="Normal"/>
    <w:uiPriority w:val="19"/>
    <w:rsid w:val="00CE4F4D"/>
    <w:pPr>
      <w:spacing w:before="180" w:after="0" w:line="288" w:lineRule="auto"/>
    </w:pPr>
    <w:rPr>
      <w:color w:val="E83F35" w:themeColor="accent1"/>
    </w:rPr>
  </w:style>
  <w:style w:type="paragraph" w:customStyle="1" w:styleId="ContactDetails">
    <w:name w:val="~ContactDetails"/>
    <w:basedOn w:val="Sinespaciado"/>
    <w:uiPriority w:val="19"/>
    <w:rsid w:val="00F77A06"/>
    <w:pPr>
      <w:spacing w:before="20" w:after="20"/>
    </w:pPr>
    <w:rPr>
      <w:sz w:val="16"/>
      <w:szCs w:val="16"/>
    </w:rPr>
  </w:style>
  <w:style w:type="paragraph" w:customStyle="1" w:styleId="Disclaimer">
    <w:name w:val="~Disclaimer"/>
    <w:basedOn w:val="Normal"/>
    <w:uiPriority w:val="19"/>
    <w:rsid w:val="00B5202C"/>
    <w:pPr>
      <w:spacing w:before="0" w:after="0" w:line="288" w:lineRule="auto"/>
    </w:pPr>
    <w:rPr>
      <w:sz w:val="16"/>
      <w:szCs w:val="16"/>
    </w:rPr>
  </w:style>
  <w:style w:type="paragraph" w:customStyle="1" w:styleId="DraftRef">
    <w:name w:val="~DraftRef"/>
    <w:basedOn w:val="Encabezado"/>
    <w:uiPriority w:val="19"/>
    <w:semiHidden/>
    <w:qFormat/>
    <w:rsid w:val="006D0186"/>
    <w:pPr>
      <w:jc w:val="left"/>
    </w:pPr>
    <w:rPr>
      <w:b/>
      <w:caps/>
      <w:color w:val="E83F35" w:themeColor="accent1"/>
    </w:rPr>
  </w:style>
  <w:style w:type="table" w:customStyle="1" w:styleId="Frontier">
    <w:name w:val="~Frontier"/>
    <w:basedOn w:val="Tablanormal"/>
    <w:uiPriority w:val="99"/>
    <w:rsid w:val="00E85432"/>
    <w:pPr>
      <w:keepNext/>
      <w:spacing w:after="0" w:line="240" w:lineRule="auto"/>
    </w:pPr>
    <w:tblPr>
      <w:tblStyleRowBandSize w:val="1"/>
      <w:tblBorders>
        <w:top w:val="single" w:sz="2" w:space="0" w:color="007B87" w:themeColor="accent3"/>
        <w:bottom w:val="single" w:sz="2" w:space="0" w:color="007B87" w:themeColor="accent3"/>
        <w:insideH w:val="single" w:sz="2" w:space="0" w:color="D1DBD2" w:themeColor="background2"/>
      </w:tblBorders>
    </w:tblPr>
    <w:trPr>
      <w:cantSplit/>
    </w:trPr>
    <w:tblStylePr w:type="firstRow">
      <w:tblPr/>
      <w:tcPr>
        <w:tcBorders>
          <w:top w:val="single" w:sz="2" w:space="0" w:color="007B87" w:themeColor="accent3"/>
          <w:left w:val="nil"/>
          <w:bottom w:val="single" w:sz="2" w:space="0" w:color="007B87" w:themeColor="accent3"/>
          <w:right w:val="nil"/>
          <w:insideH w:val="nil"/>
          <w:insideV w:val="nil"/>
          <w:tl2br w:val="nil"/>
          <w:tr2bl w:val="nil"/>
        </w:tcBorders>
      </w:tcPr>
    </w:tblStylePr>
    <w:tblStylePr w:type="lastRow">
      <w:rPr>
        <w:b/>
        <w:i w:val="0"/>
        <w:color w:val="007B87" w:themeColor="accent3"/>
      </w:rPr>
      <w:tblPr/>
      <w:tcPr>
        <w:tcBorders>
          <w:top w:val="single" w:sz="2" w:space="0" w:color="007B87" w:themeColor="accent3"/>
          <w:left w:val="nil"/>
          <w:bottom w:val="single" w:sz="2" w:space="0" w:color="007B87" w:themeColor="accent3"/>
          <w:right w:val="nil"/>
          <w:insideH w:val="nil"/>
          <w:insideV w:val="nil"/>
          <w:tl2br w:val="nil"/>
          <w:tr2bl w:val="nil"/>
        </w:tcBorders>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44069"/>
    <w:pPr>
      <w:spacing w:before="100" w:beforeAutospacing="1" w:after="100" w:afterAutospacing="1" w:line="240" w:lineRule="auto"/>
      <w:jc w:val="left"/>
    </w:pPr>
    <w:rPr>
      <w:rFonts w:ascii="Times New Roman" w:eastAsiaTheme="minorEastAsia" w:hAnsi="Times New Roman" w:cs="Times New Roman"/>
      <w:color w:val="auto"/>
      <w:sz w:val="24"/>
      <w:szCs w:val="24"/>
      <w:lang w:eastAsia="en-GB"/>
    </w:rPr>
  </w:style>
  <w:style w:type="paragraph" w:customStyle="1" w:styleId="HighlightBoxHead">
    <w:name w:val="~HighlightBoxHead"/>
    <w:basedOn w:val="Sinespaciado"/>
    <w:uiPriority w:val="5"/>
    <w:rsid w:val="005A4B97"/>
    <w:pPr>
      <w:keepNext/>
      <w:spacing w:before="80"/>
    </w:pPr>
    <w:rPr>
      <w:rFonts w:asciiTheme="majorHAnsi" w:hAnsiTheme="majorHAnsi" w:cstheme="majorHAnsi"/>
      <w:color w:val="007B87" w:themeColor="accent3"/>
      <w:sz w:val="32"/>
      <w:szCs w:val="32"/>
    </w:rPr>
  </w:style>
  <w:style w:type="paragraph" w:customStyle="1" w:styleId="HighlightBoxText">
    <w:name w:val="~HighlightBoxText"/>
    <w:basedOn w:val="Normal"/>
    <w:uiPriority w:val="5"/>
    <w:rsid w:val="00D1424C"/>
    <w:pPr>
      <w:spacing w:line="240" w:lineRule="auto"/>
      <w:jc w:val="left"/>
    </w:pPr>
    <w:rPr>
      <w:rFonts w:eastAsia="Times New Roman" w:cs="Times New Roman"/>
      <w:sz w:val="28"/>
    </w:rPr>
  </w:style>
  <w:style w:type="paragraph" w:customStyle="1" w:styleId="KeyMsgHead">
    <w:name w:val="~KeyMsgHead"/>
    <w:basedOn w:val="Normal"/>
    <w:uiPriority w:val="3"/>
    <w:qFormat/>
    <w:rsid w:val="00567506"/>
    <w:pPr>
      <w:keepNext/>
      <w:spacing w:line="240" w:lineRule="auto"/>
      <w:ind w:right="-215"/>
      <w:jc w:val="left"/>
    </w:pPr>
    <w:rPr>
      <w:rFonts w:eastAsia="Times New Roman" w:cs="Times New Roman"/>
      <w:b/>
      <w:bCs/>
      <w:caps/>
      <w:color w:val="007B87" w:themeColor="accent3"/>
    </w:rPr>
  </w:style>
  <w:style w:type="paragraph" w:customStyle="1" w:styleId="KeyMsgBoxText">
    <w:name w:val="~KeyMsgBoxText"/>
    <w:basedOn w:val="Normal"/>
    <w:uiPriority w:val="5"/>
    <w:qFormat/>
    <w:rsid w:val="0017538E"/>
    <w:pPr>
      <w:spacing w:after="0"/>
      <w:ind w:left="85" w:right="85"/>
      <w:jc w:val="left"/>
    </w:pPr>
  </w:style>
  <w:style w:type="paragraph" w:customStyle="1" w:styleId="KeyMsgBullet1">
    <w:name w:val="~KeyMsgBullet1"/>
    <w:basedOn w:val="ParaBullet1"/>
    <w:uiPriority w:val="5"/>
    <w:qFormat/>
    <w:rsid w:val="004D37D2"/>
    <w:pPr>
      <w:tabs>
        <w:tab w:val="clear" w:pos="340"/>
        <w:tab w:val="left" w:pos="369"/>
      </w:tabs>
      <w:spacing w:before="60" w:after="60" w:line="288" w:lineRule="auto"/>
      <w:ind w:left="369" w:right="85" w:hanging="284"/>
      <w:jc w:val="left"/>
    </w:pPr>
  </w:style>
  <w:style w:type="paragraph" w:customStyle="1" w:styleId="QuoteSource">
    <w:name w:val="~QuoteSource"/>
    <w:basedOn w:val="Source"/>
    <w:uiPriority w:val="3"/>
    <w:qFormat/>
    <w:rsid w:val="001E633B"/>
    <w:pPr>
      <w:tabs>
        <w:tab w:val="clear" w:pos="709"/>
      </w:tabs>
      <w:spacing w:after="120"/>
      <w:ind w:left="0" w:firstLine="0"/>
    </w:pPr>
    <w:rPr>
      <w:sz w:val="18"/>
    </w:rPr>
  </w:style>
  <w:style w:type="numbering" w:customStyle="1" w:styleId="SecListStyle0">
    <w:name w:val="~SecListStyle"/>
    <w:uiPriority w:val="99"/>
    <w:rsid w:val="00E608C3"/>
  </w:style>
  <w:style w:type="numbering" w:customStyle="1" w:styleId="AppListStyle">
    <w:name w:val="~AppListStyle"/>
    <w:uiPriority w:val="99"/>
    <w:rsid w:val="00A60B25"/>
    <w:pPr>
      <w:numPr>
        <w:numId w:val="2"/>
      </w:numPr>
    </w:pPr>
  </w:style>
  <w:style w:type="numbering" w:customStyle="1" w:styleId="SecListStyle">
    <w:name w:val="~SecListStyle"/>
    <w:next w:val="SecListStyle0"/>
    <w:uiPriority w:val="99"/>
    <w:rsid w:val="00A60B25"/>
    <w:pPr>
      <w:numPr>
        <w:numId w:val="3"/>
      </w:numPr>
    </w:pPr>
  </w:style>
  <w:style w:type="character" w:customStyle="1" w:styleId="Teal">
    <w:name w:val="~Teal"/>
    <w:basedOn w:val="Fuentedeprrafopredeter"/>
    <w:uiPriority w:val="5"/>
    <w:qFormat/>
    <w:rsid w:val="003F3DF5"/>
    <w:rPr>
      <w:color w:val="007B87" w:themeColor="accent3"/>
    </w:rPr>
  </w:style>
  <w:style w:type="character" w:customStyle="1" w:styleId="Red">
    <w:name w:val="~Red"/>
    <w:basedOn w:val="Teal"/>
    <w:uiPriority w:val="5"/>
    <w:qFormat/>
    <w:rsid w:val="003F3DF5"/>
    <w:rPr>
      <w:color w:val="E83F35" w:themeColor="accent1"/>
    </w:rPr>
  </w:style>
  <w:style w:type="paragraph" w:customStyle="1" w:styleId="HighlightIconBoxHead">
    <w:name w:val="~HighlightIconBoxHead"/>
    <w:basedOn w:val="Normal"/>
    <w:uiPriority w:val="5"/>
    <w:qFormat/>
    <w:rsid w:val="003D1B19"/>
    <w:pPr>
      <w:spacing w:before="0" w:after="0" w:line="288" w:lineRule="auto"/>
      <w:jc w:val="left"/>
    </w:pPr>
    <w:rPr>
      <w:rFonts w:asciiTheme="majorHAnsi" w:hAnsiTheme="majorHAnsi" w:cstheme="majorHAnsi"/>
      <w:color w:val="007B87" w:themeColor="accent3"/>
      <w:sz w:val="36"/>
      <w:szCs w:val="36"/>
    </w:rPr>
  </w:style>
  <w:style w:type="paragraph" w:customStyle="1" w:styleId="CVName">
    <w:name w:val="~CVName"/>
    <w:basedOn w:val="Sinespaciado"/>
    <w:uiPriority w:val="4"/>
    <w:qFormat/>
    <w:rsid w:val="009E31F1"/>
    <w:pPr>
      <w:keepNext/>
    </w:pPr>
    <w:rPr>
      <w:color w:val="007B87" w:themeColor="accent3"/>
      <w:sz w:val="40"/>
      <w:szCs w:val="40"/>
    </w:rPr>
  </w:style>
  <w:style w:type="paragraph" w:customStyle="1" w:styleId="CVRole">
    <w:name w:val="~CVRole"/>
    <w:basedOn w:val="Normal"/>
    <w:next w:val="CVContact"/>
    <w:uiPriority w:val="4"/>
    <w:qFormat/>
    <w:rsid w:val="00B5202C"/>
    <w:pPr>
      <w:spacing w:before="240" w:after="0" w:line="240" w:lineRule="auto"/>
      <w:ind w:left="142"/>
    </w:pPr>
    <w:rPr>
      <w:color w:val="FFFFFF" w:themeColor="background1"/>
      <w:sz w:val="24"/>
      <w:szCs w:val="24"/>
    </w:rPr>
  </w:style>
  <w:style w:type="paragraph" w:customStyle="1" w:styleId="CVContact">
    <w:name w:val="~CVContact"/>
    <w:basedOn w:val="Normal"/>
    <w:uiPriority w:val="4"/>
    <w:qFormat/>
    <w:rsid w:val="00CE4F4D"/>
    <w:pPr>
      <w:spacing w:before="180" w:after="0" w:line="240" w:lineRule="auto"/>
      <w:ind w:left="142"/>
      <w:jc w:val="left"/>
    </w:pPr>
    <w:rPr>
      <w:color w:val="FFFFFF" w:themeColor="background1"/>
      <w:sz w:val="16"/>
      <w:szCs w:val="16"/>
    </w:rPr>
  </w:style>
  <w:style w:type="paragraph" w:customStyle="1" w:styleId="CVIntro">
    <w:name w:val="~CVIntro"/>
    <w:basedOn w:val="Normal"/>
    <w:next w:val="CVText"/>
    <w:uiPriority w:val="4"/>
    <w:qFormat/>
    <w:rsid w:val="00E74C5E"/>
    <w:pPr>
      <w:ind w:left="28"/>
    </w:pPr>
    <w:rPr>
      <w:color w:val="707276" w:themeColor="text2"/>
      <w:sz w:val="28"/>
    </w:rPr>
  </w:style>
  <w:style w:type="paragraph" w:customStyle="1" w:styleId="CVHead">
    <w:name w:val="~CVHead"/>
    <w:basedOn w:val="Sinespaciado"/>
    <w:next w:val="CVText"/>
    <w:uiPriority w:val="4"/>
    <w:qFormat/>
    <w:rsid w:val="003D1B19"/>
    <w:pPr>
      <w:spacing w:before="240"/>
    </w:pPr>
    <w:rPr>
      <w:color w:val="E83F35" w:themeColor="accent1"/>
      <w:sz w:val="30"/>
    </w:rPr>
  </w:style>
  <w:style w:type="paragraph" w:customStyle="1" w:styleId="CVText">
    <w:name w:val="~CVText"/>
    <w:basedOn w:val="Normal"/>
    <w:uiPriority w:val="4"/>
    <w:qFormat/>
    <w:rsid w:val="00E74C5E"/>
  </w:style>
  <w:style w:type="paragraph" w:customStyle="1" w:styleId="CVSubHead">
    <w:name w:val="~CVSubHead"/>
    <w:basedOn w:val="Normal"/>
    <w:next w:val="Normal"/>
    <w:uiPriority w:val="4"/>
    <w:qFormat/>
    <w:rsid w:val="00B5202C"/>
    <w:pPr>
      <w:spacing w:after="0" w:line="240" w:lineRule="auto"/>
      <w:jc w:val="left"/>
    </w:pPr>
    <w:rPr>
      <w:b/>
      <w:color w:val="66B0B7" w:themeColor="accent6"/>
    </w:rPr>
  </w:style>
  <w:style w:type="paragraph" w:customStyle="1" w:styleId="CSHead">
    <w:name w:val="~CSHead"/>
    <w:basedOn w:val="Normal"/>
    <w:next w:val="CVText"/>
    <w:uiPriority w:val="4"/>
    <w:qFormat/>
    <w:rsid w:val="003D1B19"/>
    <w:pPr>
      <w:spacing w:before="180" w:after="0" w:line="288" w:lineRule="auto"/>
      <w:jc w:val="left"/>
    </w:pPr>
    <w:rPr>
      <w:color w:val="E83F35" w:themeColor="accent1"/>
      <w:sz w:val="44"/>
      <w:szCs w:val="44"/>
    </w:rPr>
  </w:style>
  <w:style w:type="paragraph" w:customStyle="1" w:styleId="CSSubHead">
    <w:name w:val="~CSSubHead"/>
    <w:basedOn w:val="Normal"/>
    <w:uiPriority w:val="4"/>
    <w:qFormat/>
    <w:rsid w:val="003D1B19"/>
    <w:pPr>
      <w:spacing w:after="0" w:line="240" w:lineRule="auto"/>
    </w:pPr>
    <w:rPr>
      <w:rFonts w:asciiTheme="majorHAnsi" w:hAnsiTheme="majorHAnsi" w:cstheme="minorBidi"/>
      <w:color w:val="E83F35" w:themeColor="accent1"/>
      <w:sz w:val="36"/>
      <w:szCs w:val="16"/>
    </w:rPr>
  </w:style>
  <w:style w:type="character" w:customStyle="1" w:styleId="Yellow">
    <w:name w:val="~Yellow"/>
    <w:basedOn w:val="Fuentedeprrafopredeter"/>
    <w:uiPriority w:val="5"/>
    <w:qFormat/>
    <w:rsid w:val="00057AD3"/>
    <w:rPr>
      <w:color w:val="EBC000" w:themeColor="accent4"/>
    </w:rPr>
  </w:style>
  <w:style w:type="paragraph" w:customStyle="1" w:styleId="ListBullet1">
    <w:name w:val="~ListBullet1"/>
    <w:basedOn w:val="Normal"/>
    <w:uiPriority w:val="3"/>
    <w:qFormat/>
    <w:rsid w:val="000B0AC9"/>
    <w:pPr>
      <w:numPr>
        <w:numId w:val="4"/>
      </w:numPr>
      <w:spacing w:before="60" w:after="60"/>
    </w:pPr>
  </w:style>
  <w:style w:type="paragraph" w:customStyle="1" w:styleId="ListBullet2">
    <w:name w:val="~ListBullet2"/>
    <w:basedOn w:val="ListBullet1"/>
    <w:uiPriority w:val="3"/>
    <w:qFormat/>
    <w:rsid w:val="000B0AC9"/>
    <w:pPr>
      <w:numPr>
        <w:ilvl w:val="1"/>
      </w:numPr>
    </w:pPr>
  </w:style>
  <w:style w:type="paragraph" w:customStyle="1" w:styleId="ListBullet3">
    <w:name w:val="~ListBullet3"/>
    <w:basedOn w:val="ListBullet2"/>
    <w:uiPriority w:val="3"/>
    <w:qFormat/>
    <w:rsid w:val="000B0AC9"/>
    <w:pPr>
      <w:numPr>
        <w:ilvl w:val="2"/>
      </w:numPr>
    </w:pPr>
  </w:style>
  <w:style w:type="paragraph" w:customStyle="1" w:styleId="ListNumBullet1">
    <w:name w:val="~ListNumBullet1"/>
    <w:basedOn w:val="ListBullet1"/>
    <w:uiPriority w:val="3"/>
    <w:qFormat/>
    <w:rsid w:val="00D11D2A"/>
    <w:pPr>
      <w:numPr>
        <w:numId w:val="23"/>
      </w:numPr>
    </w:pPr>
  </w:style>
  <w:style w:type="paragraph" w:customStyle="1" w:styleId="ListNumBullet2">
    <w:name w:val="~ListNumBullet2"/>
    <w:basedOn w:val="ListNumBullet1"/>
    <w:uiPriority w:val="3"/>
    <w:qFormat/>
    <w:rsid w:val="00A40C49"/>
    <w:pPr>
      <w:numPr>
        <w:ilvl w:val="1"/>
      </w:numPr>
    </w:pPr>
  </w:style>
  <w:style w:type="paragraph" w:customStyle="1" w:styleId="ListNumBullet3">
    <w:name w:val="~ListNumBullet3"/>
    <w:basedOn w:val="ListNumBullet2"/>
    <w:uiPriority w:val="3"/>
    <w:qFormat/>
    <w:rsid w:val="00A40C49"/>
    <w:pPr>
      <w:numPr>
        <w:ilvl w:val="2"/>
      </w:numPr>
    </w:pPr>
  </w:style>
  <w:style w:type="paragraph" w:customStyle="1" w:styleId="AnxParaNumBullet1">
    <w:name w:val="~AnxParaNumBullet1"/>
    <w:basedOn w:val="Normal"/>
    <w:uiPriority w:val="3"/>
    <w:qFormat/>
    <w:rsid w:val="0060111F"/>
  </w:style>
  <w:style w:type="paragraph" w:customStyle="1" w:styleId="AnxParaNumBullet2">
    <w:name w:val="~AnxParaNumBullet2"/>
    <w:basedOn w:val="Normal"/>
    <w:uiPriority w:val="3"/>
    <w:qFormat/>
    <w:rsid w:val="0060111F"/>
  </w:style>
  <w:style w:type="paragraph" w:customStyle="1" w:styleId="AnxParaNumBullet3">
    <w:name w:val="~AnxParaNumBullet3"/>
    <w:basedOn w:val="Normal"/>
    <w:uiPriority w:val="3"/>
    <w:qFormat/>
    <w:rsid w:val="0060111F"/>
  </w:style>
  <w:style w:type="numbering" w:customStyle="1" w:styleId="ListNumStyle">
    <w:name w:val="~ListNumStyle"/>
    <w:uiPriority w:val="99"/>
    <w:rsid w:val="00D11D2A"/>
    <w:pPr>
      <w:numPr>
        <w:numId w:val="7"/>
      </w:numPr>
    </w:pPr>
  </w:style>
  <w:style w:type="paragraph" w:customStyle="1" w:styleId="CSText">
    <w:name w:val="~CSText"/>
    <w:basedOn w:val="CVText"/>
    <w:uiPriority w:val="4"/>
    <w:qFormat/>
    <w:rsid w:val="003F75DB"/>
  </w:style>
  <w:style w:type="paragraph" w:customStyle="1" w:styleId="KeyMsgText">
    <w:name w:val="~KeyMsgText"/>
    <w:basedOn w:val="Normal"/>
    <w:uiPriority w:val="5"/>
    <w:qFormat/>
    <w:rsid w:val="00FD14E4"/>
    <w:pPr>
      <w:spacing w:after="0"/>
      <w:ind w:left="85" w:right="85"/>
      <w:jc w:val="left"/>
    </w:pPr>
    <w:rPr>
      <w:szCs w:val="20"/>
    </w:rPr>
  </w:style>
  <w:style w:type="paragraph" w:customStyle="1" w:styleId="Quote">
    <w:name w:val="~Quote"/>
    <w:basedOn w:val="Normal"/>
    <w:uiPriority w:val="3"/>
    <w:qFormat/>
    <w:rsid w:val="009476BD"/>
    <w:pPr>
      <w:spacing w:after="60"/>
      <w:ind w:left="1134" w:right="1134"/>
      <w:jc w:val="left"/>
    </w:pPr>
    <w:rPr>
      <w:rFonts w:eastAsia="Times New Roman" w:cs="Times New Roman"/>
      <w:i/>
      <w:sz w:val="20"/>
      <w:szCs w:val="20"/>
    </w:rPr>
  </w:style>
  <w:style w:type="numbering" w:customStyle="1" w:styleId="SeqParaListStyle">
    <w:name w:val="~SeqParaListStyle"/>
    <w:next w:val="SecListStyle"/>
    <w:uiPriority w:val="99"/>
    <w:rsid w:val="0082368E"/>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909674">
      <w:bodyDiv w:val="1"/>
      <w:marLeft w:val="0"/>
      <w:marRight w:val="0"/>
      <w:marTop w:val="0"/>
      <w:marBottom w:val="0"/>
      <w:divBdr>
        <w:top w:val="none" w:sz="0" w:space="0" w:color="auto"/>
        <w:left w:val="none" w:sz="0" w:space="0" w:color="auto"/>
        <w:bottom w:val="none" w:sz="0" w:space="0" w:color="auto"/>
        <w:right w:val="none" w:sz="0" w:space="0" w:color="auto"/>
      </w:divBdr>
    </w:div>
    <w:div w:id="469446462">
      <w:bodyDiv w:val="1"/>
      <w:marLeft w:val="0"/>
      <w:marRight w:val="0"/>
      <w:marTop w:val="0"/>
      <w:marBottom w:val="0"/>
      <w:divBdr>
        <w:top w:val="none" w:sz="0" w:space="0" w:color="auto"/>
        <w:left w:val="none" w:sz="0" w:space="0" w:color="auto"/>
        <w:bottom w:val="none" w:sz="0" w:space="0" w:color="auto"/>
        <w:right w:val="none" w:sz="0" w:space="0" w:color="auto"/>
      </w:divBdr>
    </w:div>
    <w:div w:id="581908787">
      <w:bodyDiv w:val="1"/>
      <w:marLeft w:val="0"/>
      <w:marRight w:val="0"/>
      <w:marTop w:val="0"/>
      <w:marBottom w:val="0"/>
      <w:divBdr>
        <w:top w:val="none" w:sz="0" w:space="0" w:color="auto"/>
        <w:left w:val="none" w:sz="0" w:space="0" w:color="auto"/>
        <w:bottom w:val="none" w:sz="0" w:space="0" w:color="auto"/>
        <w:right w:val="none" w:sz="0" w:space="0" w:color="auto"/>
      </w:divBdr>
    </w:div>
    <w:div w:id="631131784">
      <w:bodyDiv w:val="1"/>
      <w:marLeft w:val="0"/>
      <w:marRight w:val="0"/>
      <w:marTop w:val="0"/>
      <w:marBottom w:val="0"/>
      <w:divBdr>
        <w:top w:val="none" w:sz="0" w:space="0" w:color="auto"/>
        <w:left w:val="none" w:sz="0" w:space="0" w:color="auto"/>
        <w:bottom w:val="none" w:sz="0" w:space="0" w:color="auto"/>
        <w:right w:val="none" w:sz="0" w:space="0" w:color="auto"/>
      </w:divBdr>
    </w:div>
    <w:div w:id="1353267297">
      <w:bodyDiv w:val="1"/>
      <w:marLeft w:val="0"/>
      <w:marRight w:val="0"/>
      <w:marTop w:val="0"/>
      <w:marBottom w:val="0"/>
      <w:divBdr>
        <w:top w:val="none" w:sz="0" w:space="0" w:color="auto"/>
        <w:left w:val="none" w:sz="0" w:space="0" w:color="auto"/>
        <w:bottom w:val="none" w:sz="0" w:space="0" w:color="auto"/>
        <w:right w:val="none" w:sz="0" w:space="0" w:color="auto"/>
      </w:divBdr>
    </w:div>
    <w:div w:id="1534420008">
      <w:bodyDiv w:val="1"/>
      <w:marLeft w:val="0"/>
      <w:marRight w:val="0"/>
      <w:marTop w:val="0"/>
      <w:marBottom w:val="0"/>
      <w:divBdr>
        <w:top w:val="none" w:sz="0" w:space="0" w:color="auto"/>
        <w:left w:val="none" w:sz="0" w:space="0" w:color="auto"/>
        <w:bottom w:val="none" w:sz="0" w:space="0" w:color="auto"/>
        <w:right w:val="none" w:sz="0" w:space="0" w:color="auto"/>
      </w:divBdr>
    </w:div>
    <w:div w:id="1711686730">
      <w:bodyDiv w:val="1"/>
      <w:marLeft w:val="0"/>
      <w:marRight w:val="0"/>
      <w:marTop w:val="0"/>
      <w:marBottom w:val="0"/>
      <w:divBdr>
        <w:top w:val="none" w:sz="0" w:space="0" w:color="auto"/>
        <w:left w:val="none" w:sz="0" w:space="0" w:color="auto"/>
        <w:bottom w:val="none" w:sz="0" w:space="0" w:color="auto"/>
        <w:right w:val="none" w:sz="0" w:space="0" w:color="auto"/>
      </w:divBdr>
    </w:div>
    <w:div w:id="177354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ft.org.mx/sites/default/files/contenidogeneral/politica-regulatoria/oredatelmex20172018.pdf" TargetMode="External"/><Relationship Id="rId1" Type="http://schemas.openxmlformats.org/officeDocument/2006/relationships/hyperlink" Target="http://www.ift.org.mx/sites/default/files/pitfext270217119verpub_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Frontier\Templates\Frontier%20Economics%20Standard%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2C4352C4504E0A94E673B24F65EC17"/>
        <w:category>
          <w:name w:val="General"/>
          <w:gallery w:val="placeholder"/>
        </w:category>
        <w:types>
          <w:type w:val="bbPlcHdr"/>
        </w:types>
        <w:behaviors>
          <w:behavior w:val="content"/>
        </w:behaviors>
        <w:guid w:val="{D9164FB9-B7AE-4352-A1AE-AA91B4FAE367}"/>
      </w:docPartPr>
      <w:docPartBody>
        <w:p w:rsidR="009C448A" w:rsidRDefault="00013897">
          <w:pPr>
            <w:pStyle w:val="D42C4352C4504E0A94E673B24F65EC17"/>
          </w:pPr>
          <w:r w:rsidRPr="00D84319">
            <w:rPr>
              <w:rStyle w:val="Textodelmarcadordeposicin"/>
            </w:rPr>
            <w:t>Click here to enter text.</w:t>
          </w:r>
        </w:p>
      </w:docPartBody>
    </w:docPart>
    <w:docPart>
      <w:docPartPr>
        <w:name w:val="873F224A08544FC5AD311C89720F5B4A"/>
        <w:category>
          <w:name w:val="General"/>
          <w:gallery w:val="placeholder"/>
        </w:category>
        <w:types>
          <w:type w:val="bbPlcHdr"/>
        </w:types>
        <w:behaviors>
          <w:behavior w:val="content"/>
        </w:behaviors>
        <w:guid w:val="{A345EBB1-079D-4D4E-BCA0-E58C528FC37C}"/>
      </w:docPartPr>
      <w:docPartBody>
        <w:p w:rsidR="009C448A" w:rsidRDefault="00013897">
          <w:pPr>
            <w:pStyle w:val="873F224A08544FC5AD311C89720F5B4A"/>
          </w:pPr>
          <w:r w:rsidRPr="001469BC">
            <w:rPr>
              <w:rStyle w:val="Textodelmarcadordeposicin"/>
            </w:rPr>
            <w:t>Click here to enter text.</w:t>
          </w:r>
        </w:p>
      </w:docPartBody>
    </w:docPart>
    <w:docPart>
      <w:docPartPr>
        <w:name w:val="DB3EC2439D6B475590EA538822C20D1E"/>
        <w:category>
          <w:name w:val="General"/>
          <w:gallery w:val="placeholder"/>
        </w:category>
        <w:types>
          <w:type w:val="bbPlcHdr"/>
        </w:types>
        <w:behaviors>
          <w:behavior w:val="content"/>
        </w:behaviors>
        <w:guid w:val="{059351F8-E1F4-4B51-BFEE-7644E37301D0}"/>
      </w:docPartPr>
      <w:docPartBody>
        <w:p w:rsidR="009C448A" w:rsidRDefault="00013897">
          <w:pPr>
            <w:pStyle w:val="DB3EC2439D6B475590EA538822C20D1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ne)">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440">
    <w:altName w:val="Times New Roman"/>
    <w:panose1 w:val="00000000000000000000"/>
    <w:charset w:val="00"/>
    <w:family w:val="auto"/>
    <w:notTrueType/>
    <w:pitch w:val="default"/>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Open Sans Extrabold">
    <w:altName w:val="Segoe UI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897"/>
    <w:rsid w:val="00013897"/>
    <w:rsid w:val="0004679C"/>
    <w:rsid w:val="00083919"/>
    <w:rsid w:val="00203515"/>
    <w:rsid w:val="00247CF1"/>
    <w:rsid w:val="002C564A"/>
    <w:rsid w:val="002F0876"/>
    <w:rsid w:val="003301C4"/>
    <w:rsid w:val="003309B2"/>
    <w:rsid w:val="00361AA6"/>
    <w:rsid w:val="003977F4"/>
    <w:rsid w:val="00464BC9"/>
    <w:rsid w:val="0052500B"/>
    <w:rsid w:val="005B1F02"/>
    <w:rsid w:val="00661FF1"/>
    <w:rsid w:val="0069417C"/>
    <w:rsid w:val="008B20A0"/>
    <w:rsid w:val="008E3FF0"/>
    <w:rsid w:val="008F2E70"/>
    <w:rsid w:val="008F7CA9"/>
    <w:rsid w:val="00952488"/>
    <w:rsid w:val="009C448A"/>
    <w:rsid w:val="00A73E3C"/>
    <w:rsid w:val="00B01F3E"/>
    <w:rsid w:val="00B80B6C"/>
    <w:rsid w:val="00C25D9C"/>
    <w:rsid w:val="00C974EC"/>
    <w:rsid w:val="00D00151"/>
    <w:rsid w:val="00D31CE4"/>
    <w:rsid w:val="00E036FD"/>
    <w:rsid w:val="00E26DCA"/>
    <w:rsid w:val="00E74066"/>
    <w:rsid w:val="00EE237A"/>
    <w:rsid w:val="00F10C77"/>
    <w:rsid w:val="00F72CFC"/>
    <w:rsid w:val="00F87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Pr>
      <w:color w:val="808080"/>
    </w:rPr>
  </w:style>
  <w:style w:type="paragraph" w:customStyle="1" w:styleId="D42C4352C4504E0A94E673B24F65EC17">
    <w:name w:val="D42C4352C4504E0A94E673B24F65EC17"/>
  </w:style>
  <w:style w:type="paragraph" w:customStyle="1" w:styleId="873F224A08544FC5AD311C89720F5B4A">
    <w:name w:val="873F224A08544FC5AD311C89720F5B4A"/>
  </w:style>
  <w:style w:type="paragraph" w:customStyle="1" w:styleId="DB3EC2439D6B475590EA538822C20D1E">
    <w:name w:val="DB3EC2439D6B475590EA538822C20D1E"/>
  </w:style>
  <w:style w:type="paragraph" w:customStyle="1" w:styleId="E3D490D5AE7447E3845FE69D9E67CEDE">
    <w:name w:val="E3D490D5AE7447E3845FE69D9E67CE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Frontier">
      <a:dk1>
        <a:srgbClr val="37424A"/>
      </a:dk1>
      <a:lt1>
        <a:sysClr val="window" lastClr="FFFFFF"/>
      </a:lt1>
      <a:dk2>
        <a:srgbClr val="707276"/>
      </a:dk2>
      <a:lt2>
        <a:srgbClr val="D1DBD2"/>
      </a:lt2>
      <a:accent1>
        <a:srgbClr val="E83F35"/>
      </a:accent1>
      <a:accent2>
        <a:srgbClr val="8DD0D2"/>
      </a:accent2>
      <a:accent3>
        <a:srgbClr val="007B87"/>
      </a:accent3>
      <a:accent4>
        <a:srgbClr val="EBC000"/>
      </a:accent4>
      <a:accent5>
        <a:srgbClr val="683C5B"/>
      </a:accent5>
      <a:accent6>
        <a:srgbClr val="66B0B7"/>
      </a:accent6>
      <a:hlink>
        <a:srgbClr val="007B87"/>
      </a:hlink>
      <a:folHlink>
        <a:srgbClr val="007B87"/>
      </a:folHlink>
    </a:clrScheme>
    <a:fontScheme name="Custom 4">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Stranslations>
  <language>
    <ID>1034</ID>
    <Contents>Contenido</Contents>
    <Annex>Anexo</Annex>
    <Annexes>Anexos</Annexes>
    <Figure>Figura</Figure>
    <Table>Tabla</Table>
    <Figures>Figuras</Figures>
    <Tables>Tablas</Tables>
    <Source>Fuente</Source>
    <Note>Nota</Note>
    <Draft>BORRADOR</Draft>
    <DTF>dd de mmmm de yyyy</DTF>
    <AllFigures>,Figure,Figure,Abbildung,Figura,Figure</AllFigures>
    <AllTables>,Table,Table,Tabelle,Tabla,Tableau</AllTables>
  </language>
  <confidentiality>
    <item1>Confidencial</item1>
    <item2>Estrictamente confidencial</item2>
    <item3>Legalmente privilegiado</item3>
    <item4>Preparado a petición de abogados externos</item4>
  </confidentiality>
</CTStrans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7D849-01E1-4A65-A460-1D6DE77E0D72}">
  <ds:schemaRefs/>
</ds:datastoreItem>
</file>

<file path=customXml/itemProps2.xml><?xml version="1.0" encoding="utf-8"?>
<ds:datastoreItem xmlns:ds="http://schemas.openxmlformats.org/officeDocument/2006/customXml" ds:itemID="{65F3A1CB-E7E3-4B49-AE41-46CCAC112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 Economics Standard Template</Template>
  <TotalTime>1</TotalTime>
  <Pages>33</Pages>
  <Words>3557</Words>
  <Characters>19569</Characters>
  <Application>Microsoft Office Word</Application>
  <DocSecurity>0</DocSecurity>
  <Lines>163</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MANUAL DEL MODELO DE REPLICABILIDAD</vt:lpstr>
      <vt:lpstr>MANUAL DEL MODELO DE REPLICABILIDAD</vt:lpstr>
    </vt:vector>
  </TitlesOfParts>
  <Company>Frontier Economics</Company>
  <LinksUpToDate>false</LinksUpToDate>
  <CharactersWithSpaces>23080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MODELO DE REPLICABILIDAD</dc:title>
  <dc:creator>Instituto Federal de Telecomunicaciones</dc:creator>
  <cp:lastModifiedBy>Josue Teoyotl Calderon</cp:lastModifiedBy>
  <cp:revision>2</cp:revision>
  <cp:lastPrinted>2017-05-31T19:48:00Z</cp:lastPrinted>
  <dcterms:created xsi:type="dcterms:W3CDTF">2017-06-16T19:23:00Z</dcterms:created>
  <dcterms:modified xsi:type="dcterms:W3CDTF">2017-06-16T19:23:00Z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2.05</vt:lpwstr>
  </property>
  <property fmtid="{D5CDD505-2E9C-101B-9397-08002B2CF9AE}" pid="3" name="Date">
    <vt:lpwstr>31 August 2016</vt:lpwstr>
  </property>
</Properties>
</file>