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EFD" w:rsidRPr="00970EFD" w:rsidRDefault="00970EFD" w:rsidP="00970EFD">
      <w:pPr>
        <w:jc w:val="both"/>
        <w:rPr>
          <w:rFonts w:ascii="ITC Avant Garde" w:hAnsi="ITC Avant Garde" w:cs="Arial"/>
          <w:sz w:val="22"/>
          <w:szCs w:val="22"/>
        </w:rPr>
      </w:pPr>
      <w:r w:rsidRPr="00970EFD">
        <w:rPr>
          <w:rFonts w:ascii="ITC Avant Garde" w:hAnsi="ITC Avant Garde" w:cs="Arial"/>
          <w:b/>
          <w:bCs/>
          <w:sz w:val="22"/>
          <w:szCs w:val="22"/>
        </w:rPr>
        <w:t>FORMATO SIMPLIFICADO DE SEPARACIÓN CONTABLE</w:t>
      </w:r>
      <w:r>
        <w:rPr>
          <w:rFonts w:ascii="ITC Avant Garde" w:hAnsi="ITC Avant Garde" w:cs="Arial"/>
          <w:b/>
          <w:bCs/>
          <w:sz w:val="22"/>
          <w:szCs w:val="22"/>
        </w:rPr>
        <w:t>.</w:t>
      </w:r>
      <w:r w:rsidRPr="00970EFD">
        <w:rPr>
          <w:rFonts w:ascii="ITC Avant Garde" w:hAnsi="ITC Avant Garde" w:cs="Arial"/>
          <w:b/>
          <w:bCs/>
          <w:sz w:val="22"/>
          <w:szCs w:val="22"/>
        </w:rPr>
        <w:t xml:space="preserve"> </w:t>
      </w:r>
    </w:p>
    <w:p w:rsidR="00970EFD" w:rsidRPr="00970EFD" w:rsidRDefault="00970EFD" w:rsidP="008C1A63">
      <w:pPr>
        <w:jc w:val="both"/>
        <w:rPr>
          <w:rFonts w:ascii="ITC Avant Garde" w:hAnsi="ITC Avant Garde" w:cs="Arial"/>
          <w:sz w:val="22"/>
          <w:szCs w:val="22"/>
        </w:rPr>
      </w:pPr>
    </w:p>
    <w:p w:rsidR="00970EFD" w:rsidRPr="00970EFD" w:rsidRDefault="00970EFD" w:rsidP="008C1A63">
      <w:pPr>
        <w:jc w:val="both"/>
        <w:rPr>
          <w:rFonts w:ascii="ITC Avant Garde" w:hAnsi="ITC Avant Garde" w:cs="Arial"/>
          <w:sz w:val="22"/>
          <w:szCs w:val="22"/>
        </w:rPr>
      </w:pPr>
    </w:p>
    <w:p w:rsidR="008C1A63" w:rsidRPr="00970EFD" w:rsidRDefault="008C1A63" w:rsidP="008C1A63">
      <w:pPr>
        <w:jc w:val="both"/>
        <w:rPr>
          <w:rFonts w:ascii="ITC Avant Garde" w:hAnsi="ITC Avant Garde" w:cs="Arial"/>
          <w:sz w:val="22"/>
          <w:szCs w:val="22"/>
        </w:rPr>
      </w:pPr>
      <w:r w:rsidRPr="00970EFD">
        <w:rPr>
          <w:rFonts w:ascii="ITC Avant Garde" w:hAnsi="ITC Avant Garde" w:cs="Arial"/>
          <w:sz w:val="22"/>
          <w:szCs w:val="22"/>
        </w:rPr>
        <w:t xml:space="preserve">El presente FORMATO SIMPLIFICADO DE SEPARACIÓN CONTABLE aplicará a los concesionarios de redes públicas de telecomunicaciones que se encuentren en el supuesto establecido en el Resolutivo sexto de la </w:t>
      </w:r>
      <w:r w:rsidRPr="00970EFD">
        <w:rPr>
          <w:rFonts w:ascii="ITC Avant Garde" w:hAnsi="ITC Avant Garde" w:cs="Arial"/>
          <w:b/>
          <w:i/>
          <w:sz w:val="22"/>
          <w:szCs w:val="22"/>
        </w:rPr>
        <w:t>Resolución por la que el Pleno de la Comisión Federal de Telecomunicaciones expide el Manual que provee los criterios y metodología de separación contable por servicio, aplicable a los concesionarios de redes públicas de telecomunicaciones</w:t>
      </w:r>
      <w:r w:rsidRPr="00970EFD">
        <w:rPr>
          <w:rFonts w:ascii="ITC Avant Garde" w:hAnsi="ITC Avant Garde" w:cs="Arial"/>
          <w:sz w:val="22"/>
          <w:szCs w:val="22"/>
        </w:rPr>
        <w:t>, publicada el 22 de marzo de 2013 en el Diario Oficial de la Federación.</w:t>
      </w:r>
    </w:p>
    <w:p w:rsidR="008C1A63" w:rsidRPr="00970EFD" w:rsidRDefault="008C1A63" w:rsidP="008C1A63">
      <w:pPr>
        <w:pStyle w:val="Ttulo2"/>
        <w:jc w:val="both"/>
        <w:rPr>
          <w:rFonts w:ascii="ITC Avant Garde" w:hAnsi="ITC Avant Garde" w:cs="Arial"/>
          <w:sz w:val="22"/>
          <w:szCs w:val="22"/>
        </w:rPr>
      </w:pPr>
      <w:r w:rsidRPr="00970EFD">
        <w:rPr>
          <w:rFonts w:ascii="ITC Avant Garde" w:hAnsi="ITC Avant Garde" w:cs="Arial"/>
          <w:sz w:val="22"/>
          <w:szCs w:val="22"/>
        </w:rPr>
        <w:t>INSTRUCCIONES.</w:t>
      </w:r>
    </w:p>
    <w:p w:rsidR="008C1A63" w:rsidRPr="00970EFD" w:rsidRDefault="008C1A63" w:rsidP="008C1A63">
      <w:pPr>
        <w:rPr>
          <w:rFonts w:ascii="ITC Avant Garde" w:hAnsi="ITC Avant Garde" w:cs="Arial"/>
          <w:sz w:val="22"/>
          <w:szCs w:val="22"/>
        </w:rPr>
      </w:pPr>
    </w:p>
    <w:p w:rsidR="008C1A63" w:rsidRPr="00970EFD" w:rsidRDefault="008C1A63" w:rsidP="008C1A63">
      <w:pPr>
        <w:rPr>
          <w:rFonts w:ascii="ITC Avant Garde" w:hAnsi="ITC Avant Garde" w:cs="Arial"/>
          <w:sz w:val="22"/>
          <w:szCs w:val="22"/>
        </w:rPr>
      </w:pPr>
      <w:r w:rsidRPr="00970EFD">
        <w:rPr>
          <w:rFonts w:ascii="ITC Avant Garde" w:hAnsi="ITC Avant Garde" w:cs="Arial"/>
          <w:b/>
          <w:sz w:val="22"/>
          <w:szCs w:val="22"/>
        </w:rPr>
        <w:t>I. SERVICIOS OBJETO DE LA SEPARACION CONTABLE CONFORME AL FORMATO SIMPLIFICADO.</w:t>
      </w:r>
    </w:p>
    <w:p w:rsidR="008C1A63" w:rsidRPr="00970EFD" w:rsidRDefault="008C1A63" w:rsidP="008C1A63">
      <w:pPr>
        <w:rPr>
          <w:rFonts w:ascii="ITC Avant Garde" w:hAnsi="ITC Avant Garde" w:cs="Arial"/>
          <w:sz w:val="22"/>
          <w:szCs w:val="22"/>
        </w:rPr>
      </w:pPr>
    </w:p>
    <w:p w:rsidR="008C1A63" w:rsidRPr="00970EFD" w:rsidRDefault="008C1A63" w:rsidP="008C1A63">
      <w:pPr>
        <w:pStyle w:val="Textoindependiente"/>
        <w:rPr>
          <w:rFonts w:ascii="ITC Avant Garde" w:hAnsi="ITC Avant Garde" w:cs="Arial"/>
          <w:b/>
          <w:sz w:val="22"/>
          <w:szCs w:val="22"/>
        </w:rPr>
      </w:pPr>
      <w:r w:rsidRPr="00970EFD">
        <w:rPr>
          <w:rFonts w:ascii="ITC Avant Garde" w:hAnsi="ITC Avant Garde" w:cs="Arial"/>
          <w:b/>
          <w:sz w:val="22"/>
          <w:szCs w:val="22"/>
        </w:rPr>
        <w:t xml:space="preserve">La separación de las cuentas se hará conforme a los siguientes servicios: </w:t>
      </w:r>
    </w:p>
    <w:p w:rsidR="008C1A63" w:rsidRPr="00970EFD" w:rsidRDefault="008C1A63" w:rsidP="00371C42">
      <w:pPr>
        <w:pStyle w:val="Default"/>
        <w:numPr>
          <w:ilvl w:val="0"/>
          <w:numId w:val="4"/>
        </w:numPr>
        <w:jc w:val="both"/>
        <w:rPr>
          <w:rFonts w:ascii="ITC Avant Garde" w:hAnsi="ITC Avant Garde"/>
          <w:color w:val="auto"/>
          <w:sz w:val="22"/>
          <w:szCs w:val="22"/>
        </w:rPr>
      </w:pPr>
      <w:r w:rsidRPr="00970EFD">
        <w:rPr>
          <w:rFonts w:ascii="ITC Avant Garde" w:hAnsi="ITC Avant Garde"/>
          <w:b/>
          <w:color w:val="auto"/>
          <w:sz w:val="22"/>
          <w:szCs w:val="22"/>
          <w:u w:val="single"/>
        </w:rPr>
        <w:t>Servicios telefónicos locales (Servicio Local Fijo</w:t>
      </w:r>
      <w:r w:rsidRPr="00970EFD">
        <w:rPr>
          <w:rFonts w:ascii="ITC Avant Garde" w:hAnsi="ITC Avant Garde"/>
          <w:color w:val="auto"/>
          <w:sz w:val="22"/>
          <w:szCs w:val="22"/>
          <w:u w:val="single"/>
        </w:rPr>
        <w:t>):</w:t>
      </w:r>
      <w:r w:rsidRPr="00970EFD">
        <w:rPr>
          <w:rFonts w:ascii="ITC Avant Garde" w:hAnsi="ITC Avant Garde"/>
          <w:color w:val="auto"/>
          <w:sz w:val="22"/>
          <w:szCs w:val="22"/>
        </w:rPr>
        <w:t xml:space="preserve"> se refiere a la conducción de tráfico conmutado entre usuarios en una ubicación fija que no requ</w:t>
      </w:r>
      <w:r w:rsidR="00F742AE" w:rsidRPr="00970EFD">
        <w:rPr>
          <w:rFonts w:ascii="ITC Avant Garde" w:hAnsi="ITC Avant Garde"/>
          <w:color w:val="auto"/>
          <w:sz w:val="22"/>
          <w:szCs w:val="22"/>
        </w:rPr>
        <w:t xml:space="preserve">ería </w:t>
      </w:r>
      <w:r w:rsidRPr="00970EFD">
        <w:rPr>
          <w:rFonts w:ascii="ITC Avant Garde" w:hAnsi="ITC Avant Garde"/>
          <w:color w:val="auto"/>
          <w:sz w:val="22"/>
          <w:szCs w:val="22"/>
        </w:rPr>
        <w:t>de la marcación de un prefijo de acceso al servicio de larga distancia y por el que se cobra</w:t>
      </w:r>
      <w:r w:rsidR="00F742AE" w:rsidRPr="00970EFD">
        <w:rPr>
          <w:rFonts w:ascii="ITC Avant Garde" w:hAnsi="ITC Avant Garde"/>
          <w:color w:val="auto"/>
          <w:sz w:val="22"/>
          <w:szCs w:val="22"/>
        </w:rPr>
        <w:t>ba</w:t>
      </w:r>
      <w:r w:rsidRPr="00970EFD">
        <w:rPr>
          <w:rFonts w:ascii="ITC Avant Garde" w:hAnsi="ITC Avant Garde"/>
          <w:color w:val="auto"/>
          <w:sz w:val="22"/>
          <w:szCs w:val="22"/>
        </w:rPr>
        <w:t xml:space="preserve"> una tarifa independiente de la distancia</w:t>
      </w:r>
      <w:r w:rsidR="007E6BE6" w:rsidRPr="00970EFD">
        <w:rPr>
          <w:rFonts w:ascii="ITC Avant Garde" w:hAnsi="ITC Avant Garde"/>
          <w:color w:val="auto"/>
          <w:sz w:val="22"/>
          <w:szCs w:val="22"/>
        </w:rPr>
        <w:t>.</w:t>
      </w:r>
      <w:r w:rsidRPr="00970EFD">
        <w:rPr>
          <w:rFonts w:ascii="ITC Avant Garde" w:hAnsi="ITC Avant Garde"/>
          <w:color w:val="auto"/>
          <w:sz w:val="22"/>
          <w:szCs w:val="22"/>
        </w:rPr>
        <w:t xml:space="preserve">  </w:t>
      </w:r>
    </w:p>
    <w:p w:rsidR="00371C42" w:rsidRPr="00970EFD" w:rsidRDefault="00371C42" w:rsidP="00371C42">
      <w:pPr>
        <w:pStyle w:val="Default"/>
        <w:ind w:left="1080"/>
        <w:jc w:val="both"/>
        <w:rPr>
          <w:rFonts w:ascii="ITC Avant Garde" w:hAnsi="ITC Avant Garde"/>
          <w:color w:val="auto"/>
          <w:sz w:val="22"/>
          <w:szCs w:val="22"/>
        </w:rPr>
      </w:pPr>
    </w:p>
    <w:p w:rsidR="008C1A63" w:rsidRPr="00970EFD" w:rsidRDefault="008C1A63" w:rsidP="008C1A63">
      <w:pPr>
        <w:pStyle w:val="Default"/>
        <w:ind w:left="720"/>
        <w:jc w:val="both"/>
        <w:rPr>
          <w:rFonts w:ascii="ITC Avant Garde" w:hAnsi="ITC Avant Garde"/>
          <w:color w:val="auto"/>
          <w:sz w:val="22"/>
          <w:szCs w:val="22"/>
        </w:rPr>
      </w:pPr>
      <w:r w:rsidRPr="00970EFD">
        <w:rPr>
          <w:rFonts w:ascii="ITC Avant Garde" w:hAnsi="ITC Avant Garde"/>
          <w:b/>
          <w:color w:val="auto"/>
          <w:sz w:val="22"/>
          <w:szCs w:val="22"/>
          <w:u w:val="single"/>
        </w:rPr>
        <w:t>2) Servicios de telefonía rural (Telefonía Rural)</w:t>
      </w:r>
      <w:r w:rsidRPr="00970EFD">
        <w:rPr>
          <w:rFonts w:ascii="ITC Avant Garde" w:hAnsi="ITC Avant Garde"/>
          <w:color w:val="auto"/>
          <w:sz w:val="22"/>
          <w:szCs w:val="22"/>
          <w:u w:val="single"/>
        </w:rPr>
        <w:t>:</w:t>
      </w:r>
      <w:r w:rsidRPr="00970EFD">
        <w:rPr>
          <w:rFonts w:ascii="ITC Avant Garde" w:hAnsi="ITC Avant Garde"/>
          <w:color w:val="auto"/>
          <w:sz w:val="22"/>
          <w:szCs w:val="22"/>
        </w:rPr>
        <w:t xml:space="preserve"> servicios que se prestan en poblaciones que, de acuerdo al último censo disponible, cuentan con menos de 2500 habitantes. </w:t>
      </w:r>
    </w:p>
    <w:p w:rsidR="00371C42" w:rsidRPr="00970EFD" w:rsidRDefault="00371C42" w:rsidP="008C1A63">
      <w:pPr>
        <w:pStyle w:val="Default"/>
        <w:ind w:left="720"/>
        <w:jc w:val="both"/>
        <w:rPr>
          <w:rFonts w:ascii="ITC Avant Garde" w:hAnsi="ITC Avant Garde"/>
          <w:b/>
          <w:color w:val="auto"/>
          <w:sz w:val="22"/>
          <w:szCs w:val="22"/>
          <w:u w:val="single"/>
        </w:rPr>
      </w:pPr>
    </w:p>
    <w:p w:rsidR="008C1A63" w:rsidRPr="00970EFD" w:rsidRDefault="008C1A63" w:rsidP="008C1A63">
      <w:pPr>
        <w:pStyle w:val="Default"/>
        <w:ind w:left="720"/>
        <w:jc w:val="both"/>
        <w:rPr>
          <w:rFonts w:ascii="ITC Avant Garde" w:hAnsi="ITC Avant Garde"/>
          <w:color w:val="auto"/>
          <w:sz w:val="22"/>
          <w:szCs w:val="22"/>
        </w:rPr>
      </w:pPr>
      <w:r w:rsidRPr="00970EFD">
        <w:rPr>
          <w:rFonts w:ascii="ITC Avant Garde" w:hAnsi="ITC Avant Garde"/>
          <w:b/>
          <w:color w:val="auto"/>
          <w:sz w:val="22"/>
          <w:szCs w:val="22"/>
          <w:u w:val="single"/>
        </w:rPr>
        <w:t>3) Servicios de telefonía pública (Telefonía Pública)</w:t>
      </w:r>
      <w:r w:rsidRPr="00970EFD">
        <w:rPr>
          <w:rFonts w:ascii="ITC Avant Garde" w:hAnsi="ITC Avant Garde"/>
          <w:color w:val="auto"/>
          <w:sz w:val="22"/>
          <w:szCs w:val="22"/>
          <w:u w:val="single"/>
        </w:rPr>
        <w:t>:</w:t>
      </w:r>
      <w:r w:rsidRPr="00970EFD">
        <w:rPr>
          <w:rFonts w:ascii="ITC Avant Garde" w:hAnsi="ITC Avant Garde"/>
          <w:color w:val="auto"/>
          <w:sz w:val="22"/>
          <w:szCs w:val="22"/>
        </w:rPr>
        <w:t xml:space="preserve"> servicios que consisten en el acceso a redes públicas de telecomunicaciones y que se prestan al público en general por medio de la instalación, operación y explotación de aparatos telefónicos de uso público. </w:t>
      </w:r>
    </w:p>
    <w:p w:rsidR="00371C42" w:rsidRPr="00970EFD" w:rsidRDefault="00371C42" w:rsidP="008C1A63">
      <w:pPr>
        <w:pStyle w:val="Default"/>
        <w:ind w:left="720"/>
        <w:jc w:val="both"/>
        <w:rPr>
          <w:rFonts w:ascii="ITC Avant Garde" w:hAnsi="ITC Avant Garde"/>
          <w:b/>
          <w:color w:val="auto"/>
          <w:sz w:val="22"/>
          <w:szCs w:val="22"/>
          <w:u w:val="single"/>
        </w:rPr>
      </w:pPr>
    </w:p>
    <w:p w:rsidR="008C1A63" w:rsidRPr="00970EFD" w:rsidRDefault="008C1A63" w:rsidP="008C1A63">
      <w:pPr>
        <w:pStyle w:val="Default"/>
        <w:ind w:left="720"/>
        <w:jc w:val="both"/>
        <w:rPr>
          <w:rFonts w:ascii="ITC Avant Garde" w:hAnsi="ITC Avant Garde"/>
          <w:color w:val="auto"/>
          <w:sz w:val="22"/>
          <w:szCs w:val="22"/>
        </w:rPr>
      </w:pPr>
      <w:r w:rsidRPr="00970EFD">
        <w:rPr>
          <w:rFonts w:ascii="ITC Avant Garde" w:hAnsi="ITC Avant Garde"/>
          <w:b/>
          <w:color w:val="auto"/>
          <w:sz w:val="22"/>
          <w:szCs w:val="22"/>
          <w:u w:val="single"/>
        </w:rPr>
        <w:t>4) Servicios móviles (Servicio Local Móvil)</w:t>
      </w:r>
      <w:r w:rsidRPr="00970EFD">
        <w:rPr>
          <w:rFonts w:ascii="ITC Avant Garde" w:hAnsi="ITC Avant Garde"/>
          <w:color w:val="auto"/>
          <w:sz w:val="22"/>
          <w:szCs w:val="22"/>
          <w:u w:val="single"/>
        </w:rPr>
        <w:t>:</w:t>
      </w:r>
      <w:r w:rsidRPr="00970EFD">
        <w:rPr>
          <w:rFonts w:ascii="ITC Avant Garde" w:hAnsi="ITC Avant Garde"/>
          <w:color w:val="auto"/>
          <w:sz w:val="22"/>
          <w:szCs w:val="22"/>
        </w:rPr>
        <w:t xml:space="preserve"> consiste en la provisión de conexión inalámbrica y móvil con la red telefónica pública con el propósito de realizar y recibir llamadas telefónicas de voz</w:t>
      </w:r>
      <w:r w:rsidR="00371C42" w:rsidRPr="00970EFD">
        <w:rPr>
          <w:rFonts w:ascii="ITC Avant Garde" w:hAnsi="ITC Avant Garde"/>
          <w:color w:val="auto"/>
          <w:sz w:val="22"/>
          <w:szCs w:val="22"/>
        </w:rPr>
        <w:t xml:space="preserve">, datos y mensajes cortos. </w:t>
      </w:r>
    </w:p>
    <w:p w:rsidR="00371C42" w:rsidRDefault="00371C42" w:rsidP="008C1A63">
      <w:pPr>
        <w:pStyle w:val="Default"/>
        <w:ind w:left="720"/>
        <w:jc w:val="both"/>
        <w:rPr>
          <w:rFonts w:ascii="ITC Avant Garde" w:hAnsi="ITC Avant Garde"/>
          <w:b/>
          <w:color w:val="auto"/>
          <w:sz w:val="22"/>
          <w:szCs w:val="22"/>
          <w:u w:val="single"/>
        </w:rPr>
      </w:pPr>
    </w:p>
    <w:p w:rsidR="008C1A63" w:rsidRPr="00970EFD" w:rsidRDefault="008C1A63" w:rsidP="008C1A63">
      <w:pPr>
        <w:pStyle w:val="Default"/>
        <w:ind w:left="720"/>
        <w:jc w:val="both"/>
        <w:rPr>
          <w:rFonts w:ascii="ITC Avant Garde" w:hAnsi="ITC Avant Garde"/>
          <w:color w:val="auto"/>
          <w:sz w:val="22"/>
          <w:szCs w:val="22"/>
        </w:rPr>
      </w:pPr>
      <w:r w:rsidRPr="00970EFD">
        <w:rPr>
          <w:rFonts w:ascii="ITC Avant Garde" w:hAnsi="ITC Avant Garde"/>
          <w:b/>
          <w:color w:val="auto"/>
          <w:sz w:val="22"/>
          <w:szCs w:val="22"/>
          <w:u w:val="single"/>
        </w:rPr>
        <w:t>5) Servicios telefónicos nacionales (Larga Distancia Nacional – LDN):</w:t>
      </w:r>
      <w:r w:rsidRPr="00970EFD">
        <w:rPr>
          <w:rFonts w:ascii="ITC Avant Garde" w:hAnsi="ITC Avant Garde"/>
          <w:color w:val="auto"/>
          <w:sz w:val="22"/>
          <w:szCs w:val="22"/>
        </w:rPr>
        <w:t xml:space="preserve"> servicios por los que se curs</w:t>
      </w:r>
      <w:r w:rsidR="00F742AE" w:rsidRPr="00970EFD">
        <w:rPr>
          <w:rFonts w:ascii="ITC Avant Garde" w:hAnsi="ITC Avant Garde"/>
          <w:color w:val="auto"/>
          <w:sz w:val="22"/>
          <w:szCs w:val="22"/>
        </w:rPr>
        <w:t>ab</w:t>
      </w:r>
      <w:r w:rsidRPr="00970EFD">
        <w:rPr>
          <w:rFonts w:ascii="ITC Avant Garde" w:hAnsi="ITC Avant Garde"/>
          <w:color w:val="auto"/>
          <w:sz w:val="22"/>
          <w:szCs w:val="22"/>
        </w:rPr>
        <w:t>a tráfico conmutado entre centrales definidas como de larga distancia, que no forma</w:t>
      </w:r>
      <w:r w:rsidR="00F742AE" w:rsidRPr="00970EFD">
        <w:rPr>
          <w:rFonts w:ascii="ITC Avant Garde" w:hAnsi="ITC Avant Garde"/>
          <w:color w:val="auto"/>
          <w:sz w:val="22"/>
          <w:szCs w:val="22"/>
        </w:rPr>
        <w:t>ba</w:t>
      </w:r>
      <w:r w:rsidRPr="00970EFD">
        <w:rPr>
          <w:rFonts w:ascii="ITC Avant Garde" w:hAnsi="ITC Avant Garde"/>
          <w:color w:val="auto"/>
          <w:sz w:val="22"/>
          <w:szCs w:val="22"/>
        </w:rPr>
        <w:t xml:space="preserve">n parte del mismo grupo de centrales de servicio local, </w:t>
      </w:r>
      <w:r w:rsidRPr="00970EFD">
        <w:rPr>
          <w:rFonts w:ascii="ITC Avant Garde" w:hAnsi="ITC Avant Garde"/>
          <w:color w:val="auto"/>
          <w:sz w:val="22"/>
          <w:szCs w:val="22"/>
        </w:rPr>
        <w:lastRenderedPageBreak/>
        <w:t>y que requ</w:t>
      </w:r>
      <w:r w:rsidR="00F742AE" w:rsidRPr="00970EFD">
        <w:rPr>
          <w:rFonts w:ascii="ITC Avant Garde" w:hAnsi="ITC Avant Garde"/>
          <w:color w:val="auto"/>
          <w:sz w:val="22"/>
          <w:szCs w:val="22"/>
        </w:rPr>
        <w:t>ería</w:t>
      </w:r>
      <w:r w:rsidRPr="00970EFD">
        <w:rPr>
          <w:rFonts w:ascii="ITC Avant Garde" w:hAnsi="ITC Avant Garde"/>
          <w:color w:val="auto"/>
          <w:sz w:val="22"/>
          <w:szCs w:val="22"/>
        </w:rPr>
        <w:t>n de la marcación de un prefijo de acceso para poder lograr su enrutamiento</w:t>
      </w:r>
      <w:r w:rsidR="00371C42" w:rsidRPr="00970EFD">
        <w:rPr>
          <w:rFonts w:ascii="ITC Avant Garde" w:hAnsi="ITC Avant Garde"/>
          <w:color w:val="auto"/>
          <w:sz w:val="22"/>
          <w:szCs w:val="22"/>
        </w:rPr>
        <w:t>.</w:t>
      </w:r>
      <w:r w:rsidRPr="00970EFD">
        <w:rPr>
          <w:rFonts w:ascii="ITC Avant Garde" w:hAnsi="ITC Avant Garde"/>
          <w:color w:val="auto"/>
          <w:sz w:val="22"/>
          <w:szCs w:val="22"/>
        </w:rPr>
        <w:t xml:space="preserve">   </w:t>
      </w:r>
    </w:p>
    <w:p w:rsidR="008C1A63" w:rsidRPr="00970EFD" w:rsidRDefault="008C1A63" w:rsidP="008C1A63">
      <w:pPr>
        <w:pStyle w:val="Default"/>
        <w:ind w:left="720"/>
        <w:jc w:val="both"/>
        <w:rPr>
          <w:rFonts w:ascii="ITC Avant Garde" w:hAnsi="ITC Avant Garde"/>
          <w:color w:val="auto"/>
          <w:sz w:val="22"/>
          <w:szCs w:val="22"/>
        </w:rPr>
      </w:pPr>
    </w:p>
    <w:p w:rsidR="008C1A63" w:rsidRPr="00970EFD" w:rsidRDefault="008C1A63" w:rsidP="008C1A63">
      <w:pPr>
        <w:pStyle w:val="Default"/>
        <w:ind w:left="720"/>
        <w:jc w:val="both"/>
        <w:rPr>
          <w:rFonts w:ascii="ITC Avant Garde" w:hAnsi="ITC Avant Garde"/>
          <w:color w:val="auto"/>
          <w:sz w:val="22"/>
          <w:szCs w:val="22"/>
        </w:rPr>
      </w:pPr>
      <w:r w:rsidRPr="00970EFD">
        <w:rPr>
          <w:rFonts w:ascii="ITC Avant Garde" w:hAnsi="ITC Avant Garde"/>
          <w:b/>
          <w:color w:val="auto"/>
          <w:sz w:val="22"/>
          <w:szCs w:val="22"/>
          <w:u w:val="single"/>
        </w:rPr>
        <w:t xml:space="preserve">6) Servicios telefónicos internacionales (Larga Distancia Internacional – LDI) </w:t>
      </w:r>
      <w:r w:rsidRPr="00970EFD">
        <w:rPr>
          <w:rFonts w:ascii="ITC Avant Garde" w:hAnsi="ITC Avant Garde"/>
          <w:color w:val="auto"/>
          <w:sz w:val="22"/>
          <w:szCs w:val="22"/>
          <w:u w:val="single"/>
        </w:rPr>
        <w:t>:</w:t>
      </w:r>
      <w:r w:rsidRPr="00970EFD">
        <w:rPr>
          <w:rFonts w:ascii="ITC Avant Garde" w:hAnsi="ITC Avant Garde"/>
          <w:color w:val="auto"/>
          <w:sz w:val="22"/>
          <w:szCs w:val="22"/>
        </w:rPr>
        <w:t xml:space="preserve"> servicios de telecomunicaciones que se proporcionan al usuario para establecer la comunicación entre su punto de conexión terminal y cualquier punto de una red extranjera mediante el uso de una red de larga distancia y la red local respectiva, incluyendo los pagos recibidos de prestadores de servicios de radiocomunicación especializada de flotillas (</w:t>
      </w:r>
      <w:proofErr w:type="spellStart"/>
      <w:r w:rsidRPr="00970EFD">
        <w:rPr>
          <w:rFonts w:ascii="ITC Avant Garde" w:hAnsi="ITC Avant Garde"/>
          <w:color w:val="auto"/>
          <w:sz w:val="22"/>
          <w:szCs w:val="22"/>
        </w:rPr>
        <w:t>trunking</w:t>
      </w:r>
      <w:proofErr w:type="spellEnd"/>
      <w:r w:rsidRPr="00970EFD">
        <w:rPr>
          <w:rFonts w:ascii="ITC Avant Garde" w:hAnsi="ITC Avant Garde"/>
          <w:color w:val="auto"/>
          <w:sz w:val="22"/>
          <w:szCs w:val="22"/>
        </w:rPr>
        <w:t xml:space="preserve">) por la prestación de servicios que permiten a los usuarios de </w:t>
      </w:r>
      <w:proofErr w:type="spellStart"/>
      <w:r w:rsidRPr="00970EFD">
        <w:rPr>
          <w:rFonts w:ascii="ITC Avant Garde" w:hAnsi="ITC Avant Garde"/>
          <w:color w:val="auto"/>
          <w:sz w:val="22"/>
          <w:szCs w:val="22"/>
        </w:rPr>
        <w:t>trunking</w:t>
      </w:r>
      <w:proofErr w:type="spellEnd"/>
      <w:r w:rsidRPr="00970EFD">
        <w:rPr>
          <w:rFonts w:ascii="ITC Avant Garde" w:hAnsi="ITC Avant Garde"/>
          <w:color w:val="auto"/>
          <w:sz w:val="22"/>
          <w:szCs w:val="22"/>
        </w:rPr>
        <w:t xml:space="preserve"> usar servicios telefónicos internacionales. </w:t>
      </w:r>
    </w:p>
    <w:p w:rsidR="00371C42" w:rsidRPr="00970EFD" w:rsidRDefault="00371C42" w:rsidP="008C1A63">
      <w:pPr>
        <w:pStyle w:val="Default"/>
        <w:ind w:left="720"/>
        <w:jc w:val="both"/>
        <w:rPr>
          <w:rFonts w:ascii="ITC Avant Garde" w:hAnsi="ITC Avant Garde"/>
          <w:b/>
          <w:color w:val="auto"/>
          <w:sz w:val="22"/>
          <w:szCs w:val="22"/>
          <w:u w:val="single"/>
        </w:rPr>
      </w:pPr>
    </w:p>
    <w:p w:rsidR="008C1A63" w:rsidRPr="00970EFD" w:rsidRDefault="008C1A63" w:rsidP="008C1A63">
      <w:pPr>
        <w:pStyle w:val="Default"/>
        <w:ind w:left="720"/>
        <w:jc w:val="both"/>
        <w:rPr>
          <w:rFonts w:ascii="ITC Avant Garde" w:hAnsi="ITC Avant Garde"/>
          <w:color w:val="auto"/>
          <w:sz w:val="22"/>
          <w:szCs w:val="22"/>
        </w:rPr>
      </w:pPr>
      <w:r w:rsidRPr="00970EFD">
        <w:rPr>
          <w:rFonts w:ascii="ITC Avant Garde" w:hAnsi="ITC Avant Garde"/>
          <w:b/>
          <w:color w:val="auto"/>
          <w:sz w:val="22"/>
          <w:szCs w:val="22"/>
          <w:u w:val="single"/>
        </w:rPr>
        <w:t>7) Servicio móvil de radiocomunicación especializada de flotillas (</w:t>
      </w:r>
      <w:proofErr w:type="spellStart"/>
      <w:r w:rsidRPr="00970EFD">
        <w:rPr>
          <w:rFonts w:ascii="ITC Avant Garde" w:hAnsi="ITC Avant Garde"/>
          <w:b/>
          <w:color w:val="auto"/>
          <w:sz w:val="22"/>
          <w:szCs w:val="22"/>
          <w:u w:val="single"/>
        </w:rPr>
        <w:t>Trunking</w:t>
      </w:r>
      <w:proofErr w:type="spellEnd"/>
      <w:r w:rsidRPr="00970EFD">
        <w:rPr>
          <w:rFonts w:ascii="ITC Avant Garde" w:hAnsi="ITC Avant Garde"/>
          <w:b/>
          <w:color w:val="auto"/>
          <w:sz w:val="22"/>
          <w:szCs w:val="22"/>
          <w:u w:val="single"/>
        </w:rPr>
        <w:t>):</w:t>
      </w:r>
      <w:r w:rsidRPr="00970EFD">
        <w:rPr>
          <w:rFonts w:ascii="ITC Avant Garde" w:hAnsi="ITC Avant Garde"/>
          <w:color w:val="auto"/>
          <w:sz w:val="22"/>
          <w:szCs w:val="22"/>
        </w:rPr>
        <w:t xml:space="preserve"> servicio de radiocomunicación de voz y datos a grupos de usuarios determinados. </w:t>
      </w:r>
    </w:p>
    <w:p w:rsidR="00371C42" w:rsidRPr="00970EFD" w:rsidRDefault="00371C42" w:rsidP="008C1A63">
      <w:pPr>
        <w:pStyle w:val="Default"/>
        <w:ind w:left="720"/>
        <w:jc w:val="both"/>
        <w:rPr>
          <w:rFonts w:ascii="ITC Avant Garde" w:hAnsi="ITC Avant Garde"/>
          <w:b/>
          <w:color w:val="auto"/>
          <w:sz w:val="22"/>
          <w:szCs w:val="22"/>
          <w:u w:val="single"/>
        </w:rPr>
      </w:pPr>
    </w:p>
    <w:p w:rsidR="008C1A63" w:rsidRPr="00970EFD" w:rsidRDefault="008C1A63" w:rsidP="008C1A63">
      <w:pPr>
        <w:pStyle w:val="Default"/>
        <w:ind w:left="720"/>
        <w:jc w:val="both"/>
        <w:rPr>
          <w:rFonts w:ascii="ITC Avant Garde" w:hAnsi="ITC Avant Garde"/>
          <w:color w:val="auto"/>
          <w:sz w:val="22"/>
          <w:szCs w:val="22"/>
        </w:rPr>
      </w:pPr>
      <w:r w:rsidRPr="00970EFD">
        <w:rPr>
          <w:rFonts w:ascii="ITC Avant Garde" w:hAnsi="ITC Avant Garde"/>
          <w:b/>
          <w:color w:val="auto"/>
          <w:sz w:val="22"/>
          <w:szCs w:val="22"/>
          <w:u w:val="single"/>
        </w:rPr>
        <w:t>8) Servicios de televisión restringida (Televisión Restringida):</w:t>
      </w:r>
      <w:r w:rsidRPr="00970EFD">
        <w:rPr>
          <w:rFonts w:ascii="ITC Avant Garde" w:hAnsi="ITC Avant Garde"/>
          <w:color w:val="auto"/>
          <w:sz w:val="22"/>
          <w:szCs w:val="22"/>
        </w:rPr>
        <w:t xml:space="preserve"> se refiere a la distribución a suscriptores, mediante el pago periódico de una cantidad preestablecida, de un conjunto de señales de televisión, en un solo sentido y de manera continua. </w:t>
      </w:r>
    </w:p>
    <w:p w:rsidR="00371C42" w:rsidRPr="00970EFD" w:rsidRDefault="00371C42" w:rsidP="008C1A63">
      <w:pPr>
        <w:pStyle w:val="Default"/>
        <w:ind w:left="720"/>
        <w:jc w:val="both"/>
        <w:rPr>
          <w:rFonts w:ascii="ITC Avant Garde" w:hAnsi="ITC Avant Garde"/>
          <w:b/>
          <w:color w:val="auto"/>
          <w:sz w:val="22"/>
          <w:szCs w:val="22"/>
          <w:u w:val="single"/>
        </w:rPr>
      </w:pPr>
    </w:p>
    <w:p w:rsidR="008C1A63" w:rsidRPr="00970EFD" w:rsidRDefault="008C1A63" w:rsidP="008C1A63">
      <w:pPr>
        <w:pStyle w:val="Default"/>
        <w:ind w:left="720"/>
        <w:jc w:val="both"/>
        <w:rPr>
          <w:rFonts w:ascii="ITC Avant Garde" w:hAnsi="ITC Avant Garde"/>
          <w:color w:val="auto"/>
          <w:sz w:val="22"/>
          <w:szCs w:val="22"/>
        </w:rPr>
      </w:pPr>
      <w:r w:rsidRPr="00970EFD">
        <w:rPr>
          <w:rFonts w:ascii="ITC Avant Garde" w:hAnsi="ITC Avant Garde"/>
          <w:b/>
          <w:color w:val="auto"/>
          <w:sz w:val="22"/>
          <w:szCs w:val="22"/>
          <w:u w:val="single"/>
        </w:rPr>
        <w:t>9) Servicios de Internet (dial-up y banda ancha):</w:t>
      </w:r>
      <w:r w:rsidRPr="00970EFD">
        <w:rPr>
          <w:rFonts w:ascii="ITC Avant Garde" w:hAnsi="ITC Avant Garde"/>
          <w:color w:val="auto"/>
          <w:sz w:val="22"/>
          <w:szCs w:val="22"/>
        </w:rPr>
        <w:t xml:space="preserve"> estos servicios minoristas consisten en dos componentes, típicamente provistos de manera conjunta: i) la transmisión bidireccional que conecta al usuario final con un proveedor de servicio de Internet (ISP) que ofrece interconexión con la red de Internet, y ii) la provisión del servicio de Internet, en particular, la conexión con sitios de Internet y otros usuarios. En la actualidad, la provisión de estos servicios se realiza por medio de: i) servicio conmutado, ii) servicios de banda ancha superior que utilizan la tecnología digital de la línea del abonado (o equivalente) o módems de cable, y iii) acceso dedicado. </w:t>
      </w:r>
    </w:p>
    <w:p w:rsidR="00371C42" w:rsidRPr="00970EFD" w:rsidRDefault="00371C42" w:rsidP="00371C42">
      <w:pPr>
        <w:pStyle w:val="Lista2"/>
        <w:ind w:left="709" w:hanging="1"/>
        <w:rPr>
          <w:rFonts w:ascii="ITC Avant Garde" w:hAnsi="ITC Avant Garde" w:cs="Arial"/>
          <w:b/>
          <w:sz w:val="22"/>
          <w:szCs w:val="22"/>
          <w:u w:val="single"/>
        </w:rPr>
      </w:pPr>
    </w:p>
    <w:p w:rsidR="008C1A63" w:rsidRPr="00970EFD" w:rsidRDefault="008C1A63" w:rsidP="00371C42">
      <w:pPr>
        <w:pStyle w:val="Lista2"/>
        <w:ind w:left="709" w:hanging="1"/>
        <w:rPr>
          <w:rFonts w:ascii="ITC Avant Garde" w:hAnsi="ITC Avant Garde" w:cs="Arial"/>
          <w:sz w:val="22"/>
          <w:szCs w:val="22"/>
        </w:rPr>
      </w:pPr>
      <w:r w:rsidRPr="00970EFD">
        <w:rPr>
          <w:rFonts w:ascii="ITC Avant Garde" w:hAnsi="ITC Avant Garde" w:cs="Arial"/>
          <w:b/>
          <w:sz w:val="22"/>
          <w:szCs w:val="22"/>
          <w:u w:val="single"/>
        </w:rPr>
        <w:t>10)</w:t>
      </w:r>
      <w:r w:rsidR="00852006" w:rsidRPr="00970EFD">
        <w:rPr>
          <w:rFonts w:ascii="ITC Avant Garde" w:hAnsi="ITC Avant Garde" w:cs="Arial"/>
          <w:b/>
          <w:sz w:val="22"/>
          <w:szCs w:val="22"/>
          <w:u w:val="single"/>
        </w:rPr>
        <w:t xml:space="preserve"> </w:t>
      </w:r>
      <w:r w:rsidRPr="00970EFD">
        <w:rPr>
          <w:rFonts w:ascii="ITC Avant Garde" w:hAnsi="ITC Avant Garde" w:cs="Arial"/>
          <w:b/>
          <w:sz w:val="22"/>
          <w:szCs w:val="22"/>
          <w:u w:val="single"/>
        </w:rPr>
        <w:t>Servicios Satelitales.</w:t>
      </w:r>
      <w:r w:rsidRPr="00970EFD">
        <w:rPr>
          <w:rFonts w:ascii="ITC Avant Garde" w:hAnsi="ITC Avant Garde" w:cs="Arial"/>
          <w:b/>
          <w:sz w:val="22"/>
          <w:szCs w:val="22"/>
        </w:rPr>
        <w:t>-</w:t>
      </w:r>
      <w:r w:rsidRPr="00970EFD">
        <w:rPr>
          <w:rFonts w:ascii="ITC Avant Garde" w:hAnsi="ITC Avant Garde" w:cs="Arial"/>
          <w:sz w:val="22"/>
          <w:szCs w:val="22"/>
        </w:rPr>
        <w:t xml:space="preserve"> los servicios de radiocomunicación que se prestan a través de estaciones terrenas, las que hacen uso de capacidad satelital de uno o más satélites nacionales, extranjeros o internacionales, en las frecuencias asociadas para tal efecto.</w:t>
      </w:r>
    </w:p>
    <w:p w:rsidR="00371C42" w:rsidRPr="00970EFD" w:rsidRDefault="00371C42" w:rsidP="008C1A63">
      <w:pPr>
        <w:pStyle w:val="Default"/>
        <w:ind w:left="720"/>
        <w:jc w:val="both"/>
        <w:rPr>
          <w:rFonts w:ascii="ITC Avant Garde" w:hAnsi="ITC Avant Garde"/>
          <w:b/>
          <w:color w:val="auto"/>
          <w:sz w:val="22"/>
          <w:szCs w:val="22"/>
          <w:u w:val="single"/>
        </w:rPr>
      </w:pPr>
    </w:p>
    <w:p w:rsidR="008C1A63" w:rsidRPr="00970EFD" w:rsidRDefault="008C1A63" w:rsidP="008C1A63">
      <w:pPr>
        <w:pStyle w:val="Default"/>
        <w:ind w:left="720"/>
        <w:jc w:val="both"/>
        <w:rPr>
          <w:rFonts w:ascii="ITC Avant Garde" w:hAnsi="ITC Avant Garde"/>
          <w:color w:val="auto"/>
          <w:sz w:val="22"/>
          <w:szCs w:val="22"/>
        </w:rPr>
      </w:pPr>
      <w:r w:rsidRPr="00970EFD">
        <w:rPr>
          <w:rFonts w:ascii="ITC Avant Garde" w:hAnsi="ITC Avant Garde"/>
          <w:b/>
          <w:color w:val="auto"/>
          <w:sz w:val="22"/>
          <w:szCs w:val="22"/>
          <w:u w:val="single"/>
        </w:rPr>
        <w:t>1</w:t>
      </w:r>
      <w:r w:rsidR="00371C42" w:rsidRPr="00970EFD">
        <w:rPr>
          <w:rFonts w:ascii="ITC Avant Garde" w:hAnsi="ITC Avant Garde"/>
          <w:b/>
          <w:color w:val="auto"/>
          <w:sz w:val="22"/>
          <w:szCs w:val="22"/>
          <w:u w:val="single"/>
        </w:rPr>
        <w:t>1</w:t>
      </w:r>
      <w:r w:rsidRPr="00970EFD">
        <w:rPr>
          <w:rFonts w:ascii="ITC Avant Garde" w:hAnsi="ITC Avant Garde"/>
          <w:b/>
          <w:color w:val="auto"/>
          <w:sz w:val="22"/>
          <w:szCs w:val="22"/>
          <w:u w:val="single"/>
        </w:rPr>
        <w:t>) Líneas dedicadas (Circuitos Privados):</w:t>
      </w:r>
      <w:r w:rsidRPr="00970EFD">
        <w:rPr>
          <w:rFonts w:ascii="ITC Avant Garde" w:hAnsi="ITC Avant Garde"/>
          <w:color w:val="auto"/>
          <w:sz w:val="22"/>
          <w:szCs w:val="22"/>
        </w:rPr>
        <w:t xml:space="preserve"> consiste en el servicio de arrendamiento de circuitos de transmisión entre dos puntos de conexión terminal identificados de una red pública de telecomunicaciones para el uso exclusivo de </w:t>
      </w:r>
      <w:r w:rsidRPr="00970EFD">
        <w:rPr>
          <w:rFonts w:ascii="ITC Avant Garde" w:hAnsi="ITC Avant Garde"/>
          <w:color w:val="auto"/>
          <w:sz w:val="22"/>
          <w:szCs w:val="22"/>
        </w:rPr>
        <w:lastRenderedPageBreak/>
        <w:t xml:space="preserve">un usuario, por el que se paga una tarifa que se cobra por periodos de tiempo determinados. </w:t>
      </w:r>
    </w:p>
    <w:p w:rsidR="00371C42" w:rsidRPr="00970EFD" w:rsidRDefault="00371C42" w:rsidP="008C1A63">
      <w:pPr>
        <w:pStyle w:val="Default"/>
        <w:ind w:left="720"/>
        <w:jc w:val="both"/>
        <w:rPr>
          <w:rFonts w:ascii="ITC Avant Garde" w:hAnsi="ITC Avant Garde"/>
          <w:b/>
          <w:color w:val="auto"/>
          <w:sz w:val="22"/>
          <w:szCs w:val="22"/>
          <w:u w:val="single"/>
        </w:rPr>
      </w:pPr>
    </w:p>
    <w:p w:rsidR="008C1A63" w:rsidRPr="00970EFD" w:rsidRDefault="008C1A63" w:rsidP="008C1A63">
      <w:pPr>
        <w:pStyle w:val="Default"/>
        <w:ind w:left="720"/>
        <w:jc w:val="both"/>
        <w:rPr>
          <w:rFonts w:ascii="ITC Avant Garde" w:hAnsi="ITC Avant Garde"/>
          <w:color w:val="auto"/>
          <w:sz w:val="22"/>
          <w:szCs w:val="22"/>
        </w:rPr>
      </w:pPr>
      <w:r w:rsidRPr="00970EFD">
        <w:rPr>
          <w:rFonts w:ascii="ITC Avant Garde" w:hAnsi="ITC Avant Garde"/>
          <w:b/>
          <w:color w:val="auto"/>
          <w:sz w:val="22"/>
          <w:szCs w:val="22"/>
          <w:u w:val="single"/>
        </w:rPr>
        <w:t>1</w:t>
      </w:r>
      <w:r w:rsidR="00371C42" w:rsidRPr="00970EFD">
        <w:rPr>
          <w:rFonts w:ascii="ITC Avant Garde" w:hAnsi="ITC Avant Garde"/>
          <w:b/>
          <w:color w:val="auto"/>
          <w:sz w:val="22"/>
          <w:szCs w:val="22"/>
          <w:u w:val="single"/>
        </w:rPr>
        <w:t>2</w:t>
      </w:r>
      <w:r w:rsidRPr="00970EFD">
        <w:rPr>
          <w:rFonts w:ascii="ITC Avant Garde" w:hAnsi="ITC Avant Garde"/>
          <w:b/>
          <w:color w:val="auto"/>
          <w:sz w:val="22"/>
          <w:szCs w:val="22"/>
          <w:u w:val="single"/>
        </w:rPr>
        <w:t>) Comercialización y mantenimiento de cableado y equipo terminal (Venta de Equipo):</w:t>
      </w:r>
      <w:r w:rsidRPr="00970EFD">
        <w:rPr>
          <w:rFonts w:ascii="ITC Avant Garde" w:hAnsi="ITC Avant Garde"/>
          <w:color w:val="auto"/>
          <w:sz w:val="22"/>
          <w:szCs w:val="22"/>
        </w:rPr>
        <w:t xml:space="preserve"> se refiere a la comercialización de cableados, aparatos telefónicos o cualquier equipo de telecomunicaciones para usuarios, así como el mantenimiento de dichos equipos. </w:t>
      </w:r>
    </w:p>
    <w:p w:rsidR="008C1A63" w:rsidRPr="00970EFD" w:rsidRDefault="008C1A63" w:rsidP="008C1A63">
      <w:pPr>
        <w:rPr>
          <w:rFonts w:ascii="ITC Avant Garde" w:hAnsi="ITC Avant Garde" w:cs="Arial"/>
          <w:sz w:val="22"/>
          <w:szCs w:val="22"/>
        </w:rPr>
      </w:pPr>
    </w:p>
    <w:p w:rsidR="008C1A63" w:rsidRPr="00970EFD" w:rsidRDefault="008C1A63" w:rsidP="008C1A63">
      <w:pPr>
        <w:rPr>
          <w:rFonts w:ascii="ITC Avant Garde" w:hAnsi="ITC Avant Garde" w:cs="Arial"/>
          <w:sz w:val="22"/>
          <w:szCs w:val="22"/>
        </w:rPr>
      </w:pPr>
      <w:r w:rsidRPr="00970EFD">
        <w:rPr>
          <w:rFonts w:ascii="ITC Avant Garde" w:hAnsi="ITC Avant Garde" w:cs="Arial"/>
          <w:b/>
          <w:sz w:val="22"/>
          <w:szCs w:val="22"/>
        </w:rPr>
        <w:t>II. BASE DE COSTOS</w:t>
      </w:r>
      <w:r w:rsidRPr="00970EFD">
        <w:rPr>
          <w:rFonts w:ascii="ITC Avant Garde" w:hAnsi="ITC Avant Garde" w:cs="Arial"/>
          <w:sz w:val="22"/>
          <w:szCs w:val="22"/>
        </w:rPr>
        <w:t>.</w:t>
      </w:r>
    </w:p>
    <w:p w:rsidR="008C1A63" w:rsidRPr="00970EFD" w:rsidRDefault="008C1A63" w:rsidP="008C1A63">
      <w:pPr>
        <w:rPr>
          <w:rFonts w:ascii="ITC Avant Garde" w:hAnsi="ITC Avant Garde" w:cs="Arial"/>
          <w:sz w:val="22"/>
          <w:szCs w:val="22"/>
        </w:rPr>
      </w:pPr>
    </w:p>
    <w:p w:rsidR="008C1A63" w:rsidRPr="00970EFD" w:rsidRDefault="008C1A63" w:rsidP="008C1A63">
      <w:pPr>
        <w:pStyle w:val="Textoindependiente"/>
        <w:jc w:val="both"/>
        <w:rPr>
          <w:rFonts w:ascii="ITC Avant Garde" w:hAnsi="ITC Avant Garde" w:cs="Arial"/>
          <w:sz w:val="22"/>
          <w:szCs w:val="22"/>
        </w:rPr>
      </w:pPr>
      <w:r w:rsidRPr="00970EFD">
        <w:rPr>
          <w:rFonts w:ascii="ITC Avant Garde" w:hAnsi="ITC Avant Garde" w:cs="Arial"/>
          <w:sz w:val="22"/>
          <w:szCs w:val="22"/>
        </w:rPr>
        <w:t>La base de costos es un conjunto de reglas para medir los ingresos, costos, activos y</w:t>
      </w:r>
      <w:r w:rsidR="00234A57">
        <w:rPr>
          <w:rFonts w:ascii="ITC Avant Garde" w:hAnsi="ITC Avant Garde" w:cs="Arial"/>
          <w:sz w:val="22"/>
          <w:szCs w:val="22"/>
        </w:rPr>
        <w:t xml:space="preserve"> </w:t>
      </w:r>
      <w:r w:rsidRPr="00970EFD">
        <w:rPr>
          <w:rFonts w:ascii="ITC Avant Garde" w:hAnsi="ITC Avant Garde" w:cs="Arial"/>
          <w:b/>
          <w:vanish/>
          <w:sz w:val="22"/>
          <w:szCs w:val="22"/>
        </w:rPr>
        <w:t xml:space="preserve"> </w:t>
      </w:r>
      <w:r w:rsidRPr="00970EFD">
        <w:rPr>
          <w:rFonts w:ascii="ITC Avant Garde" w:hAnsi="ITC Avant Garde" w:cs="Arial"/>
          <w:sz w:val="22"/>
          <w:szCs w:val="22"/>
        </w:rPr>
        <w:t>ganancias de una empresa.</w:t>
      </w:r>
    </w:p>
    <w:p w:rsidR="008C1A63" w:rsidRPr="00970EFD" w:rsidRDefault="008C1A63" w:rsidP="008C1A63">
      <w:pPr>
        <w:rPr>
          <w:rFonts w:ascii="ITC Avant Garde" w:hAnsi="ITC Avant Garde" w:cs="Arial"/>
          <w:sz w:val="22"/>
          <w:szCs w:val="22"/>
        </w:rPr>
      </w:pPr>
    </w:p>
    <w:p w:rsidR="008C1A63" w:rsidRPr="00970EFD" w:rsidRDefault="008C1A63" w:rsidP="008C1A63">
      <w:pPr>
        <w:pStyle w:val="Textoindependiente"/>
        <w:jc w:val="both"/>
        <w:rPr>
          <w:rFonts w:ascii="ITC Avant Garde" w:hAnsi="ITC Avant Garde" w:cs="Arial"/>
          <w:sz w:val="22"/>
          <w:szCs w:val="22"/>
        </w:rPr>
      </w:pPr>
      <w:r w:rsidRPr="00970EFD">
        <w:rPr>
          <w:rFonts w:ascii="ITC Avant Garde" w:hAnsi="ITC Avant Garde" w:cs="Arial"/>
          <w:sz w:val="22"/>
          <w:szCs w:val="22"/>
        </w:rPr>
        <w:t xml:space="preserve">En el Caso del Formato Simplificado, los gastos corrientes y costos de adquisición deberán sujetarse a una Contabilidad de Costos Históricos (CCH), no se requerirá la revaluación de activos para el mercado mayorista con el criterio de Contabilidad de Costos Actuales (“CCA”), descrito en el </w:t>
      </w:r>
      <w:r w:rsidRPr="00970EFD">
        <w:rPr>
          <w:rFonts w:ascii="ITC Avant Garde" w:hAnsi="ITC Avant Garde" w:cs="Arial"/>
          <w:b/>
          <w:i/>
          <w:sz w:val="22"/>
          <w:szCs w:val="22"/>
        </w:rPr>
        <w:t>“MANUAL QUE PROVEE LA METODOLOGÍA DE SEPARACIÓN CONTABLE PARA CONCESIONARIOS DE REDES PÚBLICAS DE TELECOMUNICACIONES”</w:t>
      </w:r>
      <w:r w:rsidRPr="00970EFD">
        <w:rPr>
          <w:rFonts w:ascii="ITC Avant Garde" w:hAnsi="ITC Avant Garde" w:cs="Arial"/>
          <w:sz w:val="22"/>
          <w:szCs w:val="22"/>
        </w:rPr>
        <w:t>, en adelante (El “Manual”).</w:t>
      </w:r>
    </w:p>
    <w:p w:rsidR="008C1A63" w:rsidRPr="00970EFD" w:rsidRDefault="008C1A63" w:rsidP="008C1A63">
      <w:pPr>
        <w:pStyle w:val="Textoindependiente"/>
        <w:jc w:val="both"/>
        <w:rPr>
          <w:rFonts w:ascii="ITC Avant Garde" w:hAnsi="ITC Avant Garde" w:cs="Arial"/>
          <w:sz w:val="22"/>
          <w:szCs w:val="22"/>
        </w:rPr>
      </w:pPr>
    </w:p>
    <w:p w:rsidR="008C1A63" w:rsidRPr="00970EFD" w:rsidRDefault="008C1A63" w:rsidP="008C1A63">
      <w:pPr>
        <w:rPr>
          <w:rFonts w:ascii="ITC Avant Garde" w:hAnsi="ITC Avant Garde" w:cs="Arial"/>
          <w:sz w:val="22"/>
          <w:szCs w:val="22"/>
        </w:rPr>
      </w:pPr>
      <w:r w:rsidRPr="00970EFD">
        <w:rPr>
          <w:rFonts w:ascii="ITC Avant Garde" w:hAnsi="ITC Avant Garde" w:cs="Arial"/>
          <w:b/>
          <w:sz w:val="22"/>
          <w:szCs w:val="22"/>
        </w:rPr>
        <w:t>II.1 ASIGNACION DE COSTOS</w:t>
      </w:r>
      <w:r w:rsidRPr="00970EFD">
        <w:rPr>
          <w:rFonts w:ascii="ITC Avant Garde" w:hAnsi="ITC Avant Garde" w:cs="Arial"/>
          <w:sz w:val="22"/>
          <w:szCs w:val="22"/>
        </w:rPr>
        <w:t>.</w:t>
      </w:r>
    </w:p>
    <w:p w:rsidR="008C1A63" w:rsidRPr="00970EFD" w:rsidRDefault="008C1A63" w:rsidP="008C1A63">
      <w:pPr>
        <w:rPr>
          <w:rFonts w:ascii="ITC Avant Garde" w:hAnsi="ITC Avant Garde" w:cs="Arial"/>
          <w:sz w:val="22"/>
          <w:szCs w:val="22"/>
        </w:rPr>
      </w:pPr>
    </w:p>
    <w:p w:rsidR="008C1A63" w:rsidRPr="00970EFD" w:rsidRDefault="008C1A63" w:rsidP="008C1A63">
      <w:pPr>
        <w:pStyle w:val="Textoindependiente"/>
        <w:jc w:val="both"/>
        <w:rPr>
          <w:rFonts w:ascii="ITC Avant Garde" w:hAnsi="ITC Avant Garde" w:cs="Arial"/>
          <w:sz w:val="22"/>
          <w:szCs w:val="22"/>
        </w:rPr>
      </w:pPr>
      <w:r w:rsidRPr="00970EFD">
        <w:rPr>
          <w:rFonts w:ascii="ITC Avant Garde" w:hAnsi="ITC Avant Garde" w:cs="Arial"/>
          <w:sz w:val="22"/>
          <w:szCs w:val="22"/>
        </w:rPr>
        <w:t>La asignación de costos es un procedimiento para asignar ingresos, costos, activos, pasivos y capital empleado a los servicios individuales que la empresa proporciona (tanto a sí misma como a terceros, bien sea a sus usuarios finales o a otras empresas de telecomunicaciones).</w:t>
      </w:r>
    </w:p>
    <w:p w:rsidR="008C1A63" w:rsidRPr="00970EFD" w:rsidRDefault="008C1A63" w:rsidP="008C1A63">
      <w:pPr>
        <w:pStyle w:val="Textoindependiente"/>
        <w:jc w:val="both"/>
        <w:rPr>
          <w:rFonts w:ascii="ITC Avant Garde" w:hAnsi="ITC Avant Garde" w:cs="Arial"/>
          <w:sz w:val="22"/>
          <w:szCs w:val="22"/>
        </w:rPr>
      </w:pPr>
      <w:r w:rsidRPr="00970EFD">
        <w:rPr>
          <w:rFonts w:ascii="ITC Avant Garde" w:hAnsi="ITC Avant Garde" w:cs="Arial"/>
          <w:sz w:val="22"/>
          <w:szCs w:val="22"/>
        </w:rPr>
        <w:t>La asignación de los costos para el Formato Simplificado deberá hacerse con base en el criterio de Costos Completamente Distribuidos (“CCD”), como se describe en El Manual.</w:t>
      </w:r>
    </w:p>
    <w:p w:rsidR="008C1A63" w:rsidRPr="00970EFD" w:rsidRDefault="008C1A63" w:rsidP="008C1A63">
      <w:pPr>
        <w:pStyle w:val="Saludo"/>
        <w:jc w:val="both"/>
        <w:rPr>
          <w:rFonts w:ascii="ITC Avant Garde" w:hAnsi="ITC Avant Garde" w:cs="Arial"/>
          <w:sz w:val="22"/>
          <w:szCs w:val="22"/>
        </w:rPr>
      </w:pPr>
      <w:r w:rsidRPr="00970EFD">
        <w:rPr>
          <w:rFonts w:ascii="ITC Avant Garde" w:hAnsi="ITC Avant Garde" w:cs="Arial"/>
          <w:sz w:val="22"/>
          <w:szCs w:val="22"/>
        </w:rPr>
        <w:t xml:space="preserve">Así mismo, para la distribución de los costos se adopta la metodología de Costeo Basado en Actividades (ABC, por las siglas en inglés de </w:t>
      </w:r>
      <w:proofErr w:type="spellStart"/>
      <w:r w:rsidRPr="00970EFD">
        <w:rPr>
          <w:rFonts w:ascii="ITC Avant Garde" w:hAnsi="ITC Avant Garde" w:cs="Arial"/>
          <w:sz w:val="22"/>
          <w:szCs w:val="22"/>
        </w:rPr>
        <w:t>Activity</w:t>
      </w:r>
      <w:proofErr w:type="spellEnd"/>
      <w:r w:rsidRPr="00970EFD">
        <w:rPr>
          <w:rFonts w:ascii="ITC Avant Garde" w:hAnsi="ITC Avant Garde" w:cs="Arial"/>
          <w:sz w:val="22"/>
          <w:szCs w:val="22"/>
        </w:rPr>
        <w:t xml:space="preserve"> </w:t>
      </w:r>
      <w:proofErr w:type="spellStart"/>
      <w:r w:rsidRPr="00970EFD">
        <w:rPr>
          <w:rFonts w:ascii="ITC Avant Garde" w:hAnsi="ITC Avant Garde" w:cs="Arial"/>
          <w:sz w:val="22"/>
          <w:szCs w:val="22"/>
        </w:rPr>
        <w:t>Based</w:t>
      </w:r>
      <w:proofErr w:type="spellEnd"/>
      <w:r w:rsidRPr="00970EFD">
        <w:rPr>
          <w:rFonts w:ascii="ITC Avant Garde" w:hAnsi="ITC Avant Garde" w:cs="Arial"/>
          <w:sz w:val="22"/>
          <w:szCs w:val="22"/>
        </w:rPr>
        <w:t xml:space="preserve"> </w:t>
      </w:r>
      <w:proofErr w:type="spellStart"/>
      <w:r w:rsidRPr="00970EFD">
        <w:rPr>
          <w:rFonts w:ascii="ITC Avant Garde" w:hAnsi="ITC Avant Garde" w:cs="Arial"/>
          <w:sz w:val="22"/>
          <w:szCs w:val="22"/>
        </w:rPr>
        <w:t>Costing</w:t>
      </w:r>
      <w:proofErr w:type="spellEnd"/>
      <w:r w:rsidRPr="00970EFD">
        <w:rPr>
          <w:rFonts w:ascii="ITC Avant Garde" w:hAnsi="ITC Avant Garde" w:cs="Arial"/>
          <w:sz w:val="22"/>
          <w:szCs w:val="22"/>
        </w:rPr>
        <w:t>), que se detalla también, en El Manual.</w:t>
      </w:r>
    </w:p>
    <w:p w:rsidR="008C1A63" w:rsidRDefault="008C1A63" w:rsidP="008C1A63">
      <w:pPr>
        <w:rPr>
          <w:rFonts w:ascii="ITC Avant Garde" w:hAnsi="ITC Avant Garde" w:cs="Arial"/>
          <w:sz w:val="22"/>
          <w:szCs w:val="22"/>
        </w:rPr>
      </w:pPr>
    </w:p>
    <w:p w:rsidR="00234A57" w:rsidRDefault="00234A57" w:rsidP="008C1A63">
      <w:pPr>
        <w:rPr>
          <w:rFonts w:ascii="ITC Avant Garde" w:hAnsi="ITC Avant Garde" w:cs="Arial"/>
          <w:sz w:val="22"/>
          <w:szCs w:val="22"/>
        </w:rPr>
      </w:pPr>
    </w:p>
    <w:p w:rsidR="00234A57" w:rsidRDefault="00234A57" w:rsidP="008C1A63">
      <w:pPr>
        <w:rPr>
          <w:rFonts w:ascii="ITC Avant Garde" w:hAnsi="ITC Avant Garde" w:cs="Arial"/>
          <w:sz w:val="22"/>
          <w:szCs w:val="22"/>
        </w:rPr>
      </w:pPr>
    </w:p>
    <w:p w:rsidR="00234A57" w:rsidRPr="00970EFD" w:rsidRDefault="00234A57" w:rsidP="008C1A63">
      <w:pPr>
        <w:rPr>
          <w:rFonts w:ascii="ITC Avant Garde" w:hAnsi="ITC Avant Garde" w:cs="Arial"/>
          <w:sz w:val="22"/>
          <w:szCs w:val="22"/>
        </w:rPr>
      </w:pPr>
    </w:p>
    <w:p w:rsidR="008C1A63" w:rsidRPr="00970EFD" w:rsidRDefault="008C1A63" w:rsidP="008C1A63">
      <w:pPr>
        <w:rPr>
          <w:rFonts w:ascii="ITC Avant Garde" w:hAnsi="ITC Avant Garde" w:cs="Arial"/>
          <w:sz w:val="22"/>
          <w:szCs w:val="22"/>
        </w:rPr>
      </w:pPr>
      <w:r w:rsidRPr="00970EFD">
        <w:rPr>
          <w:rFonts w:ascii="ITC Avant Garde" w:hAnsi="ITC Avant Garde" w:cs="Arial"/>
          <w:b/>
          <w:sz w:val="22"/>
          <w:szCs w:val="22"/>
        </w:rPr>
        <w:lastRenderedPageBreak/>
        <w:t>III DEFI</w:t>
      </w:r>
      <w:bookmarkStart w:id="0" w:name="_GoBack"/>
      <w:bookmarkEnd w:id="0"/>
      <w:r w:rsidRPr="00970EFD">
        <w:rPr>
          <w:rFonts w:ascii="ITC Avant Garde" w:hAnsi="ITC Avant Garde" w:cs="Arial"/>
          <w:b/>
          <w:sz w:val="22"/>
          <w:szCs w:val="22"/>
        </w:rPr>
        <w:t>NICIONES Y CONCEPTOS.</w:t>
      </w:r>
    </w:p>
    <w:p w:rsidR="008C1A63" w:rsidRPr="00970EFD" w:rsidRDefault="008C1A63" w:rsidP="008C1A63">
      <w:pPr>
        <w:pStyle w:val="Default"/>
        <w:jc w:val="both"/>
        <w:rPr>
          <w:rFonts w:ascii="ITC Avant Garde" w:hAnsi="ITC Avant Garde"/>
          <w:color w:val="auto"/>
          <w:sz w:val="22"/>
          <w:szCs w:val="22"/>
        </w:rPr>
      </w:pPr>
    </w:p>
    <w:p w:rsidR="008C1A63" w:rsidRPr="00970EFD" w:rsidRDefault="008C1A63" w:rsidP="008C1A63">
      <w:pPr>
        <w:pStyle w:val="Default"/>
        <w:jc w:val="both"/>
        <w:rPr>
          <w:rFonts w:ascii="ITC Avant Garde" w:hAnsi="ITC Avant Garde"/>
          <w:b/>
          <w:color w:val="auto"/>
          <w:sz w:val="22"/>
          <w:szCs w:val="22"/>
          <w:u w:val="single"/>
        </w:rPr>
      </w:pPr>
      <w:r w:rsidRPr="00970EFD">
        <w:rPr>
          <w:rFonts w:ascii="ITC Avant Garde" w:hAnsi="ITC Avant Garde"/>
          <w:b/>
          <w:color w:val="auto"/>
          <w:sz w:val="22"/>
          <w:szCs w:val="22"/>
        </w:rPr>
        <w:t>1)</w:t>
      </w:r>
      <w:r w:rsidRPr="00970EFD">
        <w:rPr>
          <w:rFonts w:ascii="ITC Avant Garde" w:hAnsi="ITC Avant Garde"/>
          <w:b/>
          <w:color w:val="auto"/>
          <w:sz w:val="22"/>
          <w:szCs w:val="22"/>
          <w:u w:val="single"/>
        </w:rPr>
        <w:t xml:space="preserve"> Ingresos.</w:t>
      </w:r>
    </w:p>
    <w:p w:rsidR="008C1A63" w:rsidRPr="00970EFD" w:rsidRDefault="008C1A63" w:rsidP="008C1A63">
      <w:pPr>
        <w:pStyle w:val="Default"/>
        <w:jc w:val="both"/>
        <w:rPr>
          <w:rFonts w:ascii="ITC Avant Garde" w:hAnsi="ITC Avant Garde"/>
          <w:color w:val="auto"/>
          <w:sz w:val="22"/>
          <w:szCs w:val="22"/>
        </w:rPr>
      </w:pPr>
    </w:p>
    <w:p w:rsidR="008C1A63" w:rsidRPr="00970EFD" w:rsidRDefault="008C1A63" w:rsidP="008C1A63">
      <w:pPr>
        <w:pStyle w:val="Default"/>
        <w:numPr>
          <w:ilvl w:val="0"/>
          <w:numId w:val="3"/>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Instalación/ Activación de servicio</w:t>
      </w:r>
      <w:r w:rsidRPr="00970EFD">
        <w:rPr>
          <w:rFonts w:ascii="ITC Avant Garde" w:hAnsi="ITC Avant Garde"/>
          <w:color w:val="auto"/>
          <w:sz w:val="22"/>
          <w:szCs w:val="22"/>
        </w:rPr>
        <w:t>. Ingresos por cobros de Instalación y activación de líneas telefónicas, enlaces locales, circuitos de larga distancia, servicio de TV restringida, y demás aplicables.</w:t>
      </w:r>
    </w:p>
    <w:p w:rsidR="008C1A63" w:rsidRPr="00970EFD" w:rsidRDefault="008C1A63" w:rsidP="008C1A63">
      <w:pPr>
        <w:pStyle w:val="Default"/>
        <w:numPr>
          <w:ilvl w:val="0"/>
          <w:numId w:val="3"/>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Rentas mensuales</w:t>
      </w:r>
      <w:r w:rsidRPr="00970EFD">
        <w:rPr>
          <w:rFonts w:ascii="ITC Avant Garde" w:hAnsi="ITC Avant Garde"/>
          <w:color w:val="auto"/>
          <w:sz w:val="22"/>
          <w:szCs w:val="22"/>
        </w:rPr>
        <w:t>. Renta mensual de líneas telefónicas, banda ancha, TV restringida, circuitos, y demás aplicables.</w:t>
      </w:r>
    </w:p>
    <w:p w:rsidR="008C1A63" w:rsidRPr="00970EFD" w:rsidRDefault="008C1A63" w:rsidP="008C1A63">
      <w:pPr>
        <w:pStyle w:val="Default"/>
        <w:numPr>
          <w:ilvl w:val="0"/>
          <w:numId w:val="3"/>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Ingresos por llamadas y minutos</w:t>
      </w:r>
      <w:r w:rsidRPr="00970EFD">
        <w:rPr>
          <w:rFonts w:ascii="ITC Avant Garde" w:hAnsi="ITC Avant Garde"/>
          <w:color w:val="auto"/>
          <w:sz w:val="22"/>
          <w:szCs w:val="22"/>
        </w:rPr>
        <w:t>. Ingresos por Servicio Medido de llamadas, minutos o segundos de llamadas locales, de larga distancia nacional e internacional.</w:t>
      </w:r>
    </w:p>
    <w:p w:rsidR="008C1A63" w:rsidRPr="00970EFD" w:rsidRDefault="008C1A63" w:rsidP="008C1A63">
      <w:pPr>
        <w:pStyle w:val="Default"/>
        <w:numPr>
          <w:ilvl w:val="0"/>
          <w:numId w:val="3"/>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Venta de equipo</w:t>
      </w:r>
      <w:r w:rsidRPr="00970EFD">
        <w:rPr>
          <w:rFonts w:ascii="ITC Avant Garde" w:hAnsi="ITC Avant Garde"/>
          <w:b/>
          <w:color w:val="auto"/>
          <w:sz w:val="22"/>
          <w:szCs w:val="22"/>
        </w:rPr>
        <w:t>.</w:t>
      </w:r>
      <w:r w:rsidRPr="00970EFD">
        <w:rPr>
          <w:rFonts w:ascii="ITC Avant Garde" w:hAnsi="ITC Avant Garde"/>
          <w:color w:val="auto"/>
          <w:sz w:val="22"/>
          <w:szCs w:val="22"/>
        </w:rPr>
        <w:t xml:space="preserve"> Ingresos por la venta o renta de aparatos telefónicos o cualquier equipo de telecomunicaciones para usuarios, así como el mantenimiento de dichos equipos. </w:t>
      </w:r>
    </w:p>
    <w:p w:rsidR="008C1A63" w:rsidRPr="00970EFD" w:rsidRDefault="008C1A63" w:rsidP="008C1A63">
      <w:pPr>
        <w:pStyle w:val="Default"/>
        <w:numPr>
          <w:ilvl w:val="0"/>
          <w:numId w:val="3"/>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Servicios Adicionales</w:t>
      </w:r>
      <w:r w:rsidRPr="00970EFD">
        <w:rPr>
          <w:rFonts w:ascii="ITC Avant Garde" w:hAnsi="ITC Avant Garde"/>
          <w:b/>
          <w:color w:val="auto"/>
          <w:sz w:val="22"/>
          <w:szCs w:val="22"/>
        </w:rPr>
        <w:t>.</w:t>
      </w:r>
      <w:r w:rsidRPr="00970EFD">
        <w:rPr>
          <w:rFonts w:ascii="ITC Avant Garde" w:hAnsi="ITC Avant Garde"/>
          <w:color w:val="auto"/>
          <w:sz w:val="22"/>
          <w:szCs w:val="22"/>
        </w:rPr>
        <w:t xml:space="preserve"> Ingresos por  cobros de servicios de Identificador de llamada, conferencia tripartita, transferencia de llamada, número privado, número de grupo, etc.</w:t>
      </w:r>
    </w:p>
    <w:p w:rsidR="008C1A63" w:rsidRPr="00970EFD" w:rsidRDefault="008C1A63" w:rsidP="008C1A63">
      <w:pPr>
        <w:numPr>
          <w:ilvl w:val="0"/>
          <w:numId w:val="3"/>
        </w:numPr>
        <w:autoSpaceDE w:val="0"/>
        <w:autoSpaceDN w:val="0"/>
        <w:adjustRightInd w:val="0"/>
        <w:ind w:left="1134" w:hanging="283"/>
        <w:jc w:val="both"/>
        <w:rPr>
          <w:rFonts w:ascii="ITC Avant Garde" w:hAnsi="ITC Avant Garde" w:cs="Arial"/>
          <w:sz w:val="22"/>
          <w:szCs w:val="22"/>
        </w:rPr>
      </w:pPr>
      <w:r w:rsidRPr="00970EFD">
        <w:rPr>
          <w:rFonts w:ascii="ITC Avant Garde" w:hAnsi="ITC Avant Garde" w:cs="Arial"/>
          <w:b/>
          <w:sz w:val="22"/>
          <w:szCs w:val="22"/>
          <w:u w:val="single"/>
        </w:rPr>
        <w:t>Interconexión</w:t>
      </w:r>
      <w:r w:rsidRPr="00970EFD">
        <w:rPr>
          <w:rFonts w:ascii="ITC Avant Garde" w:hAnsi="ITC Avant Garde" w:cs="Arial"/>
          <w:b/>
          <w:sz w:val="22"/>
          <w:szCs w:val="22"/>
        </w:rPr>
        <w:t>.</w:t>
      </w:r>
      <w:r w:rsidRPr="00970EFD">
        <w:rPr>
          <w:rFonts w:ascii="ITC Avant Garde" w:hAnsi="ITC Avant Garde" w:cs="Arial"/>
          <w:sz w:val="22"/>
          <w:szCs w:val="22"/>
        </w:rPr>
        <w:t xml:space="preserve"> Cobros por originación o terminación de llamadas en la red pública de telecomunicaciones del operador que reporta.  </w:t>
      </w:r>
    </w:p>
    <w:p w:rsidR="008C1A63" w:rsidRPr="00970EFD" w:rsidRDefault="008C1A63" w:rsidP="008C1A63">
      <w:pPr>
        <w:numPr>
          <w:ilvl w:val="0"/>
          <w:numId w:val="3"/>
        </w:numPr>
        <w:autoSpaceDE w:val="0"/>
        <w:autoSpaceDN w:val="0"/>
        <w:adjustRightInd w:val="0"/>
        <w:ind w:left="1134" w:hanging="283"/>
        <w:jc w:val="both"/>
        <w:rPr>
          <w:rFonts w:ascii="ITC Avant Garde" w:hAnsi="ITC Avant Garde" w:cs="Arial"/>
          <w:sz w:val="22"/>
          <w:szCs w:val="22"/>
        </w:rPr>
      </w:pPr>
      <w:r w:rsidRPr="00970EFD">
        <w:rPr>
          <w:rFonts w:ascii="ITC Avant Garde" w:hAnsi="ITC Avant Garde" w:cs="Arial"/>
          <w:b/>
          <w:sz w:val="22"/>
          <w:szCs w:val="22"/>
          <w:u w:val="single"/>
        </w:rPr>
        <w:t>Imputaciones</w:t>
      </w:r>
      <w:r w:rsidRPr="00970EFD">
        <w:rPr>
          <w:rFonts w:ascii="ITC Avant Garde" w:hAnsi="ITC Avant Garde" w:cs="Arial"/>
          <w:sz w:val="22"/>
          <w:szCs w:val="22"/>
        </w:rPr>
        <w:t>. La</w:t>
      </w:r>
      <w:r w:rsidR="00825354">
        <w:rPr>
          <w:rFonts w:ascii="ITC Avant Garde" w:hAnsi="ITC Avant Garde" w:cs="Arial"/>
          <w:sz w:val="22"/>
          <w:szCs w:val="22"/>
        </w:rPr>
        <w:t>s</w:t>
      </w:r>
      <w:r w:rsidRPr="00970EFD">
        <w:rPr>
          <w:rFonts w:ascii="ITC Avant Garde" w:hAnsi="ITC Avant Garde" w:cs="Arial"/>
          <w:sz w:val="22"/>
          <w:szCs w:val="22"/>
        </w:rPr>
        <w:t xml:space="preserve"> transacciones internas entre las empresas se deben reportar por medio de imputaciones, como si los servicios fueran prestados por una empresa independiente que tiene costos propios de actividades orientadas al cliente y que compra todos los servicios de red de la misma empresa. De esta forma, las imputaciones se reflejan como los pagos correspondientes que cada división de servicio de la empresa hace a su contraparte interna para obtener acceso a los servicios de red (ya sea sobre su propia red o adquiridos a otros operadores). (Fuente. Metodología de Separación Contable marzo de 2013)</w:t>
      </w:r>
    </w:p>
    <w:p w:rsidR="008C1A63" w:rsidRPr="00970EFD" w:rsidRDefault="008C1A63" w:rsidP="008C1A63">
      <w:pPr>
        <w:pStyle w:val="Default"/>
        <w:numPr>
          <w:ilvl w:val="0"/>
          <w:numId w:val="3"/>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Otros Ingresos</w:t>
      </w:r>
      <w:r w:rsidRPr="00970EFD">
        <w:rPr>
          <w:rFonts w:ascii="ITC Avant Garde" w:hAnsi="ITC Avant Garde"/>
          <w:color w:val="auto"/>
          <w:sz w:val="22"/>
          <w:szCs w:val="22"/>
        </w:rPr>
        <w:t>. Este rubro no podrá exceder del 20 por ciento del total de los ingresos del Mercado Minorista, por lo que de ocurrir, deberá desglosarse en nuevos rubros.</w:t>
      </w:r>
    </w:p>
    <w:p w:rsidR="008C1A63" w:rsidRPr="00970EFD" w:rsidRDefault="008C1A63" w:rsidP="008C1A63">
      <w:pPr>
        <w:pStyle w:val="Default"/>
        <w:jc w:val="both"/>
        <w:rPr>
          <w:rFonts w:ascii="ITC Avant Garde" w:hAnsi="ITC Avant Garde"/>
          <w:color w:val="auto"/>
          <w:sz w:val="22"/>
          <w:szCs w:val="22"/>
        </w:rPr>
      </w:pPr>
    </w:p>
    <w:p w:rsidR="008C1A63" w:rsidRPr="00970EFD" w:rsidRDefault="008C1A63" w:rsidP="008C1A63">
      <w:pPr>
        <w:pStyle w:val="Default"/>
        <w:jc w:val="both"/>
        <w:rPr>
          <w:rFonts w:ascii="ITC Avant Garde" w:hAnsi="ITC Avant Garde"/>
          <w:color w:val="auto"/>
          <w:sz w:val="22"/>
          <w:szCs w:val="22"/>
        </w:rPr>
      </w:pPr>
    </w:p>
    <w:p w:rsidR="008C1A63" w:rsidRPr="00970EFD" w:rsidRDefault="008C1A63" w:rsidP="008C1A63">
      <w:pPr>
        <w:pStyle w:val="Default"/>
        <w:jc w:val="both"/>
        <w:rPr>
          <w:rFonts w:ascii="ITC Avant Garde" w:hAnsi="ITC Avant Garde"/>
          <w:b/>
          <w:color w:val="auto"/>
          <w:sz w:val="22"/>
          <w:szCs w:val="22"/>
        </w:rPr>
      </w:pPr>
      <w:r w:rsidRPr="00970EFD">
        <w:rPr>
          <w:rFonts w:ascii="ITC Avant Garde" w:hAnsi="ITC Avant Garde"/>
          <w:b/>
          <w:color w:val="auto"/>
          <w:sz w:val="22"/>
          <w:szCs w:val="22"/>
        </w:rPr>
        <w:t xml:space="preserve">2) </w:t>
      </w:r>
      <w:r w:rsidRPr="00970EFD">
        <w:rPr>
          <w:rFonts w:ascii="ITC Avant Garde" w:hAnsi="ITC Avant Garde"/>
          <w:b/>
          <w:color w:val="auto"/>
          <w:sz w:val="22"/>
          <w:szCs w:val="22"/>
          <w:u w:val="single"/>
        </w:rPr>
        <w:t>Costos</w:t>
      </w:r>
      <w:r w:rsidRPr="00970EFD">
        <w:rPr>
          <w:rFonts w:ascii="ITC Avant Garde" w:hAnsi="ITC Avant Garde"/>
          <w:b/>
          <w:color w:val="auto"/>
          <w:sz w:val="22"/>
          <w:szCs w:val="22"/>
        </w:rPr>
        <w:t>.</w:t>
      </w:r>
    </w:p>
    <w:p w:rsidR="008C1A63" w:rsidRPr="00970EFD" w:rsidRDefault="008C1A63" w:rsidP="008C1A63">
      <w:pPr>
        <w:pStyle w:val="Default"/>
        <w:jc w:val="both"/>
        <w:rPr>
          <w:rFonts w:ascii="ITC Avant Garde" w:hAnsi="ITC Avant Garde"/>
          <w:color w:val="auto"/>
          <w:sz w:val="22"/>
          <w:szCs w:val="22"/>
        </w:rPr>
      </w:pPr>
    </w:p>
    <w:p w:rsidR="008C1A63" w:rsidRPr="00970EFD" w:rsidRDefault="008C1A63" w:rsidP="008C1A63">
      <w:pPr>
        <w:pStyle w:val="Default"/>
        <w:numPr>
          <w:ilvl w:val="0"/>
          <w:numId w:val="3"/>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Costo de ventas y servicios</w:t>
      </w:r>
      <w:r w:rsidRPr="00970EFD">
        <w:rPr>
          <w:rFonts w:ascii="ITC Avant Garde" w:hAnsi="ITC Avant Garde"/>
          <w:b/>
          <w:color w:val="auto"/>
          <w:sz w:val="22"/>
          <w:szCs w:val="22"/>
        </w:rPr>
        <w:t>.</w:t>
      </w:r>
      <w:r w:rsidRPr="00970EFD">
        <w:rPr>
          <w:rFonts w:ascii="ITC Avant Garde" w:hAnsi="ITC Avant Garde"/>
          <w:color w:val="auto"/>
          <w:sz w:val="22"/>
          <w:szCs w:val="22"/>
        </w:rPr>
        <w:t xml:space="preserve"> Incluye los costos generados por las Actividades Orientadas al Cliente y los Servicios de Red definidos en la Resolución por la que el Pleno de la Comisión Federal de Telecomunicaciones expide el </w:t>
      </w:r>
      <w:r w:rsidRPr="00970EFD">
        <w:rPr>
          <w:rFonts w:ascii="ITC Avant Garde" w:hAnsi="ITC Avant Garde"/>
          <w:color w:val="auto"/>
          <w:sz w:val="22"/>
          <w:szCs w:val="22"/>
        </w:rPr>
        <w:lastRenderedPageBreak/>
        <w:t>Manual que provee los criterios y metodología de separación contable por servicio, aplicable a los concesionarios de redes públicas de telecomunicaciones, publicada el 22 de marzo de 2013 en el Diario Oficial de la Federación.</w:t>
      </w:r>
    </w:p>
    <w:p w:rsidR="008C1A63" w:rsidRPr="00970EFD" w:rsidRDefault="008C1A63" w:rsidP="008C1A63">
      <w:pPr>
        <w:pStyle w:val="Default"/>
        <w:numPr>
          <w:ilvl w:val="0"/>
          <w:numId w:val="3"/>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Adquisición de equipos y accesorios</w:t>
      </w:r>
      <w:r w:rsidRPr="00970EFD">
        <w:rPr>
          <w:rFonts w:ascii="ITC Avant Garde" w:hAnsi="ITC Avant Garde"/>
          <w:color w:val="auto"/>
          <w:sz w:val="22"/>
          <w:szCs w:val="22"/>
        </w:rPr>
        <w:t>. Son los costos que se generan por la adquisición o renta de aparatos telefónicos o cualquier equipo de telecomunicaciones para usuarios, así como el mantenimiento de dichos equipos.</w:t>
      </w:r>
    </w:p>
    <w:p w:rsidR="008C1A63" w:rsidRPr="00970EFD" w:rsidRDefault="008C1A63" w:rsidP="008C1A63">
      <w:pPr>
        <w:pStyle w:val="Default"/>
        <w:numPr>
          <w:ilvl w:val="0"/>
          <w:numId w:val="3"/>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Comercial, administración y generales</w:t>
      </w:r>
      <w:r w:rsidRPr="00970EFD">
        <w:rPr>
          <w:rFonts w:ascii="ITC Avant Garde" w:hAnsi="ITC Avant Garde"/>
          <w:color w:val="auto"/>
          <w:sz w:val="22"/>
          <w:szCs w:val="22"/>
        </w:rPr>
        <w:t>. Son los costos operativos que se generan al emplear activos con el fin de vender servicios minoristas a usuarios finales. Estos se refieren, entre otros, a costos y activos utilizados en programas de mercadeo y publicidad, atención al cliente, operación de oficinas comerciales, y facturación y cobranza. (Fuente. Metodología de Separación Contable marzo de 2013).</w:t>
      </w:r>
    </w:p>
    <w:p w:rsidR="008C1A63" w:rsidRPr="00970EFD" w:rsidRDefault="008C1A63" w:rsidP="008C1A63">
      <w:pPr>
        <w:pStyle w:val="Default"/>
        <w:ind w:left="1134"/>
        <w:jc w:val="both"/>
        <w:rPr>
          <w:rFonts w:ascii="ITC Avant Garde" w:hAnsi="ITC Avant Garde"/>
          <w:color w:val="auto"/>
          <w:sz w:val="22"/>
          <w:szCs w:val="22"/>
        </w:rPr>
      </w:pPr>
    </w:p>
    <w:p w:rsidR="008C1A63" w:rsidRPr="00970EFD" w:rsidRDefault="008C1A63" w:rsidP="008C1A63">
      <w:pPr>
        <w:pStyle w:val="Default"/>
        <w:jc w:val="both"/>
        <w:rPr>
          <w:rFonts w:ascii="ITC Avant Garde" w:hAnsi="ITC Avant Garde"/>
          <w:b/>
          <w:color w:val="auto"/>
          <w:sz w:val="22"/>
          <w:szCs w:val="22"/>
          <w:u w:val="single"/>
        </w:rPr>
      </w:pPr>
      <w:r w:rsidRPr="00970EFD">
        <w:rPr>
          <w:rFonts w:ascii="ITC Avant Garde" w:hAnsi="ITC Avant Garde"/>
          <w:b/>
          <w:color w:val="auto"/>
          <w:sz w:val="22"/>
          <w:szCs w:val="22"/>
          <w:u w:val="single"/>
        </w:rPr>
        <w:t xml:space="preserve">3) </w:t>
      </w:r>
      <w:r w:rsidR="00371C42" w:rsidRPr="00970EFD">
        <w:rPr>
          <w:rFonts w:ascii="ITC Avant Garde" w:hAnsi="ITC Avant Garde"/>
          <w:b/>
          <w:color w:val="auto"/>
          <w:sz w:val="22"/>
          <w:szCs w:val="22"/>
          <w:u w:val="single"/>
        </w:rPr>
        <w:t>Clasificación</w:t>
      </w:r>
      <w:r w:rsidRPr="00970EFD">
        <w:rPr>
          <w:rFonts w:ascii="ITC Avant Garde" w:hAnsi="ITC Avant Garde"/>
          <w:b/>
          <w:color w:val="auto"/>
          <w:sz w:val="22"/>
          <w:szCs w:val="22"/>
          <w:u w:val="single"/>
        </w:rPr>
        <w:t xml:space="preserve"> de Activo Fijo</w:t>
      </w:r>
    </w:p>
    <w:p w:rsidR="008C1A63" w:rsidRPr="00970EFD" w:rsidRDefault="008C1A63" w:rsidP="008C1A63">
      <w:pPr>
        <w:pStyle w:val="Default"/>
        <w:ind w:left="720"/>
        <w:jc w:val="both"/>
        <w:rPr>
          <w:rFonts w:ascii="ITC Avant Garde" w:hAnsi="ITC Avant Garde"/>
          <w:b/>
          <w:color w:val="auto"/>
          <w:sz w:val="22"/>
          <w:szCs w:val="22"/>
          <w:u w:val="single"/>
        </w:rPr>
      </w:pPr>
    </w:p>
    <w:p w:rsidR="008C1A63" w:rsidRPr="00970EFD" w:rsidRDefault="008C1A63" w:rsidP="008C1A63">
      <w:pPr>
        <w:pStyle w:val="Default"/>
        <w:numPr>
          <w:ilvl w:val="0"/>
          <w:numId w:val="1"/>
        </w:numPr>
        <w:ind w:left="1134"/>
        <w:jc w:val="both"/>
        <w:rPr>
          <w:rFonts w:ascii="ITC Avant Garde" w:hAnsi="ITC Avant Garde"/>
          <w:color w:val="auto"/>
          <w:sz w:val="22"/>
          <w:szCs w:val="22"/>
        </w:rPr>
      </w:pPr>
      <w:r w:rsidRPr="00970EFD">
        <w:rPr>
          <w:rFonts w:ascii="ITC Avant Garde" w:hAnsi="ITC Avant Garde"/>
          <w:b/>
          <w:color w:val="auto"/>
          <w:sz w:val="22"/>
          <w:szCs w:val="22"/>
          <w:u w:val="single"/>
        </w:rPr>
        <w:t>Conmutación.</w:t>
      </w:r>
      <w:r w:rsidRPr="00970EFD">
        <w:rPr>
          <w:rFonts w:ascii="ITC Avant Garde" w:hAnsi="ITC Avant Garde"/>
          <w:color w:val="auto"/>
          <w:sz w:val="22"/>
          <w:szCs w:val="22"/>
        </w:rPr>
        <w:t xml:space="preserve"> Es la conexión que realizan los diferentes nodos que existen en distintos lugares y distancias para lograr un camino apropiado para conectar 2 usuarios de una red de Telecomunicaciones, ya sea por medio de circuitos (canales dedicados) o por medio de paquetes.</w:t>
      </w:r>
    </w:p>
    <w:p w:rsidR="008C1A63" w:rsidRPr="00970EFD" w:rsidRDefault="008C1A63" w:rsidP="008C1A63">
      <w:pPr>
        <w:pStyle w:val="Default"/>
        <w:numPr>
          <w:ilvl w:val="0"/>
          <w:numId w:val="1"/>
        </w:numPr>
        <w:ind w:left="1134"/>
        <w:jc w:val="both"/>
        <w:rPr>
          <w:rFonts w:ascii="ITC Avant Garde" w:hAnsi="ITC Avant Garde"/>
          <w:color w:val="auto"/>
          <w:sz w:val="22"/>
          <w:szCs w:val="22"/>
        </w:rPr>
      </w:pPr>
      <w:r w:rsidRPr="00970EFD">
        <w:rPr>
          <w:rFonts w:ascii="ITC Avant Garde" w:hAnsi="ITC Avant Garde"/>
          <w:b/>
          <w:color w:val="auto"/>
          <w:sz w:val="22"/>
          <w:szCs w:val="22"/>
          <w:u w:val="single"/>
        </w:rPr>
        <w:t>Transmisión.</w:t>
      </w:r>
      <w:r w:rsidRPr="00970EFD">
        <w:rPr>
          <w:rFonts w:ascii="ITC Avant Garde" w:hAnsi="ITC Avant Garde"/>
          <w:sz w:val="22"/>
          <w:szCs w:val="22"/>
        </w:rPr>
        <w:t xml:space="preserve"> L</w:t>
      </w:r>
      <w:r w:rsidRPr="00970EFD">
        <w:rPr>
          <w:rFonts w:ascii="ITC Avant Garde" w:hAnsi="ITC Avant Garde"/>
          <w:color w:val="auto"/>
          <w:sz w:val="22"/>
          <w:szCs w:val="22"/>
        </w:rPr>
        <w:t>a transferencia de información, en forma de voz texto o imagen.</w:t>
      </w:r>
    </w:p>
    <w:p w:rsidR="008C1A63" w:rsidRPr="00970EFD" w:rsidRDefault="008C1A63" w:rsidP="008C1A63">
      <w:pPr>
        <w:pStyle w:val="Default"/>
        <w:numPr>
          <w:ilvl w:val="0"/>
          <w:numId w:val="2"/>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Planta Exterior</w:t>
      </w:r>
      <w:r w:rsidRPr="00970EFD">
        <w:rPr>
          <w:rFonts w:ascii="ITC Avant Garde" w:hAnsi="ITC Avant Garde"/>
          <w:color w:val="auto"/>
          <w:sz w:val="22"/>
          <w:szCs w:val="22"/>
        </w:rPr>
        <w:t>. Estructura de la red de cableado que constituye el camino hasta el  aparato terminal del usuario.</w:t>
      </w:r>
    </w:p>
    <w:p w:rsidR="008C1A63" w:rsidRPr="00970EFD" w:rsidRDefault="008C1A63" w:rsidP="008C1A63">
      <w:pPr>
        <w:pStyle w:val="Default"/>
        <w:numPr>
          <w:ilvl w:val="0"/>
          <w:numId w:val="2"/>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Fuerza y Clima</w:t>
      </w:r>
      <w:r w:rsidRPr="00970EFD">
        <w:rPr>
          <w:rFonts w:ascii="ITC Avant Garde" w:hAnsi="ITC Avant Garde"/>
          <w:color w:val="auto"/>
          <w:sz w:val="22"/>
          <w:szCs w:val="22"/>
        </w:rPr>
        <w:t>. El equipo de fuerza y clima comprende los equipos que se utilizan para ofrecer los servicios de energía y aire acondicionado a las instalaciones. Estos equipos pueden ser motores, transformadores, generadores, aparatos de aire acondicionado, cableado eléctrico, tableros electrónicos y otros similares.</w:t>
      </w:r>
    </w:p>
    <w:p w:rsidR="008C1A63" w:rsidRPr="00970EFD" w:rsidRDefault="008C1A63" w:rsidP="008C1A63">
      <w:pPr>
        <w:pStyle w:val="Default"/>
        <w:numPr>
          <w:ilvl w:val="0"/>
          <w:numId w:val="2"/>
        </w:numPr>
        <w:ind w:left="1134" w:hanging="283"/>
        <w:jc w:val="both"/>
        <w:rPr>
          <w:rFonts w:ascii="ITC Avant Garde" w:hAnsi="ITC Avant Garde"/>
          <w:color w:val="auto"/>
          <w:sz w:val="22"/>
          <w:szCs w:val="22"/>
        </w:rPr>
      </w:pPr>
      <w:r w:rsidRPr="00970EFD">
        <w:rPr>
          <w:rFonts w:ascii="ITC Avant Garde" w:hAnsi="ITC Avant Garde"/>
          <w:b/>
          <w:color w:val="auto"/>
          <w:sz w:val="22"/>
          <w:szCs w:val="22"/>
          <w:u w:val="single"/>
        </w:rPr>
        <w:t>Edificios</w:t>
      </w:r>
      <w:r w:rsidRPr="00970EFD">
        <w:rPr>
          <w:rFonts w:ascii="ITC Avant Garde" w:hAnsi="ITC Avant Garde"/>
          <w:color w:val="auto"/>
          <w:sz w:val="22"/>
          <w:szCs w:val="22"/>
        </w:rPr>
        <w:t>. Los costos de los edificios incluyen los correspondientes a las propiedades (terrenos y edificios) que forman parte de la planta de telecomunicaciones así como los adquiridos bajo arrendamiento financiero, y en general de cualquier área administrativa, comercial u otra destinada para ser utilizada en cualesquiera de las funciones propias de cada compañía de telecomunicaciones.</w:t>
      </w:r>
    </w:p>
    <w:p w:rsidR="008C1A63" w:rsidRPr="00970EFD" w:rsidRDefault="008C1A63" w:rsidP="008C1A63">
      <w:pPr>
        <w:pStyle w:val="Default"/>
        <w:jc w:val="both"/>
        <w:rPr>
          <w:rFonts w:ascii="ITC Avant Garde" w:hAnsi="ITC Avant Garde"/>
          <w:color w:val="auto"/>
          <w:sz w:val="22"/>
          <w:szCs w:val="22"/>
          <w:u w:val="single"/>
        </w:rPr>
      </w:pPr>
    </w:p>
    <w:p w:rsidR="0081276C" w:rsidRPr="00970EFD" w:rsidRDefault="0081276C">
      <w:pPr>
        <w:spacing w:after="160" w:line="259" w:lineRule="auto"/>
        <w:rPr>
          <w:rFonts w:ascii="ITC Avant Garde" w:hAnsi="ITC Avant Garde"/>
          <w:sz w:val="22"/>
          <w:szCs w:val="22"/>
        </w:rPr>
      </w:pPr>
      <w:r w:rsidRPr="00970EFD">
        <w:rPr>
          <w:rFonts w:ascii="ITC Avant Garde" w:hAnsi="ITC Avant Garde"/>
          <w:sz w:val="22"/>
          <w:szCs w:val="22"/>
        </w:rPr>
        <w:br w:type="page"/>
      </w:r>
    </w:p>
    <w:tbl>
      <w:tblPr>
        <w:tblW w:w="9776" w:type="dxa"/>
        <w:tblInd w:w="-471" w:type="dxa"/>
        <w:tblLayout w:type="fixed"/>
        <w:tblCellMar>
          <w:left w:w="70" w:type="dxa"/>
          <w:right w:w="70" w:type="dxa"/>
        </w:tblCellMar>
        <w:tblLook w:val="04A0" w:firstRow="1" w:lastRow="0" w:firstColumn="1" w:lastColumn="0" w:noHBand="0" w:noVBand="1"/>
      </w:tblPr>
      <w:tblGrid>
        <w:gridCol w:w="2841"/>
        <w:gridCol w:w="758"/>
        <w:gridCol w:w="663"/>
        <w:gridCol w:w="671"/>
        <w:gridCol w:w="611"/>
        <w:gridCol w:w="381"/>
        <w:gridCol w:w="327"/>
        <w:gridCol w:w="411"/>
        <w:gridCol w:w="787"/>
        <w:gridCol w:w="547"/>
        <w:gridCol w:w="730"/>
        <w:gridCol w:w="642"/>
        <w:gridCol w:w="407"/>
      </w:tblGrid>
      <w:tr w:rsidR="00825354" w:rsidRPr="00825354" w:rsidTr="00234A57">
        <w:trPr>
          <w:trHeight w:val="255"/>
        </w:trPr>
        <w:tc>
          <w:tcPr>
            <w:tcW w:w="3599" w:type="dxa"/>
            <w:gridSpan w:val="2"/>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b/>
                <w:bCs/>
                <w:sz w:val="20"/>
                <w:szCs w:val="20"/>
                <w:lang w:eastAsia="es-MX"/>
              </w:rPr>
            </w:pPr>
            <w:r w:rsidRPr="00825354">
              <w:rPr>
                <w:rFonts w:ascii="Arial" w:hAnsi="Arial" w:cs="Arial"/>
                <w:b/>
                <w:bCs/>
                <w:sz w:val="20"/>
                <w:szCs w:val="20"/>
                <w:lang w:eastAsia="es-MX"/>
              </w:rPr>
              <w:lastRenderedPageBreak/>
              <w:t>ESTADO DE INGRESOS Y GASTOS POR TIPO DE SERVICIO</w:t>
            </w:r>
          </w:p>
        </w:tc>
        <w:tc>
          <w:tcPr>
            <w:tcW w:w="663"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b/>
                <w:bCs/>
                <w:sz w:val="20"/>
                <w:szCs w:val="20"/>
                <w:lang w:eastAsia="es-MX"/>
              </w:rPr>
            </w:pPr>
          </w:p>
        </w:tc>
        <w:tc>
          <w:tcPr>
            <w:tcW w:w="67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1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38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32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41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78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54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73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42"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40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r>
      <w:tr w:rsidR="00825354" w:rsidRPr="00825354" w:rsidTr="00234A57">
        <w:trPr>
          <w:trHeight w:val="270"/>
        </w:trPr>
        <w:tc>
          <w:tcPr>
            <w:tcW w:w="284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758"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63"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7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1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38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32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41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78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54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73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42"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40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r>
      <w:tr w:rsidR="00825354" w:rsidRPr="00825354" w:rsidTr="00234A57">
        <w:trPr>
          <w:trHeight w:val="780"/>
        </w:trPr>
        <w:tc>
          <w:tcPr>
            <w:tcW w:w="2841"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Concepto</w:t>
            </w:r>
          </w:p>
        </w:tc>
        <w:tc>
          <w:tcPr>
            <w:tcW w:w="758"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Servicio Local Fijo</w:t>
            </w:r>
          </w:p>
        </w:tc>
        <w:tc>
          <w:tcPr>
            <w:tcW w:w="663"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Telefonía Rural</w:t>
            </w:r>
          </w:p>
        </w:tc>
        <w:tc>
          <w:tcPr>
            <w:tcW w:w="671"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Telefonía Pública</w:t>
            </w:r>
          </w:p>
        </w:tc>
        <w:tc>
          <w:tcPr>
            <w:tcW w:w="611"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Servicio Local Móvil</w:t>
            </w:r>
          </w:p>
        </w:tc>
        <w:tc>
          <w:tcPr>
            <w:tcW w:w="381"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LDN</w:t>
            </w:r>
          </w:p>
        </w:tc>
        <w:tc>
          <w:tcPr>
            <w:tcW w:w="327"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LDI</w:t>
            </w:r>
          </w:p>
        </w:tc>
        <w:tc>
          <w:tcPr>
            <w:tcW w:w="411"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proofErr w:type="spellStart"/>
            <w:r w:rsidRPr="00825354">
              <w:rPr>
                <w:rFonts w:ascii="Arial" w:hAnsi="Arial" w:cs="Arial"/>
                <w:sz w:val="12"/>
                <w:szCs w:val="20"/>
                <w:lang w:eastAsia="es-MX"/>
              </w:rPr>
              <w:t>Trunking</w:t>
            </w:r>
            <w:proofErr w:type="spellEnd"/>
          </w:p>
        </w:tc>
        <w:tc>
          <w:tcPr>
            <w:tcW w:w="787"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Televisión Restringida</w:t>
            </w:r>
          </w:p>
        </w:tc>
        <w:tc>
          <w:tcPr>
            <w:tcW w:w="547"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Internet</w:t>
            </w:r>
          </w:p>
        </w:tc>
        <w:tc>
          <w:tcPr>
            <w:tcW w:w="730"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Servicios Satelitales</w:t>
            </w:r>
          </w:p>
        </w:tc>
        <w:tc>
          <w:tcPr>
            <w:tcW w:w="642"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Circuitos Privados</w:t>
            </w:r>
          </w:p>
        </w:tc>
        <w:tc>
          <w:tcPr>
            <w:tcW w:w="407" w:type="dxa"/>
            <w:tcBorders>
              <w:top w:val="single" w:sz="8" w:space="0" w:color="auto"/>
              <w:left w:val="nil"/>
              <w:bottom w:val="double" w:sz="6" w:space="0" w:color="auto"/>
              <w:right w:val="single" w:sz="8" w:space="0" w:color="auto"/>
            </w:tcBorders>
            <w:shd w:val="clear" w:color="auto" w:fill="auto"/>
            <w:vAlign w:val="center"/>
            <w:hideMark/>
          </w:tcPr>
          <w:p w:rsidR="00825354" w:rsidRPr="00825354" w:rsidRDefault="00825354" w:rsidP="00825354">
            <w:pPr>
              <w:jc w:val="center"/>
              <w:rPr>
                <w:rFonts w:ascii="Arial" w:hAnsi="Arial" w:cs="Arial"/>
                <w:sz w:val="12"/>
                <w:szCs w:val="20"/>
                <w:lang w:eastAsia="es-MX"/>
              </w:rPr>
            </w:pPr>
            <w:r w:rsidRPr="00825354">
              <w:rPr>
                <w:rFonts w:ascii="Arial" w:hAnsi="Arial" w:cs="Arial"/>
                <w:sz w:val="12"/>
                <w:szCs w:val="20"/>
                <w:lang w:eastAsia="es-MX"/>
              </w:rPr>
              <w:t>Total</w:t>
            </w:r>
          </w:p>
        </w:tc>
      </w:tr>
      <w:tr w:rsidR="00825354" w:rsidRPr="00825354" w:rsidTr="00234A57">
        <w:trPr>
          <w:trHeight w:val="270"/>
        </w:trPr>
        <w:tc>
          <w:tcPr>
            <w:tcW w:w="2841" w:type="dxa"/>
            <w:tcBorders>
              <w:top w:val="nil"/>
              <w:left w:val="single" w:sz="8" w:space="0" w:color="auto"/>
              <w:bottom w:val="nil"/>
              <w:right w:val="single" w:sz="8" w:space="0" w:color="auto"/>
            </w:tcBorders>
            <w:shd w:val="clear" w:color="auto" w:fill="auto"/>
            <w:vAlign w:val="center"/>
            <w:hideMark/>
          </w:tcPr>
          <w:p w:rsidR="00825354" w:rsidRPr="00825354" w:rsidRDefault="00825354" w:rsidP="00825354">
            <w:pPr>
              <w:rPr>
                <w:rFonts w:ascii="Arial" w:hAnsi="Arial" w:cs="Arial"/>
                <w:b/>
                <w:bCs/>
                <w:sz w:val="20"/>
                <w:szCs w:val="20"/>
                <w:lang w:eastAsia="es-MX"/>
              </w:rPr>
            </w:pPr>
            <w:r w:rsidRPr="00825354">
              <w:rPr>
                <w:rFonts w:ascii="Arial" w:hAnsi="Arial" w:cs="Arial"/>
                <w:b/>
                <w:bCs/>
                <w:sz w:val="20"/>
                <w:szCs w:val="20"/>
                <w:lang w:eastAsia="es-MX"/>
              </w:rPr>
              <w:t>INGRESOS</w:t>
            </w:r>
          </w:p>
        </w:tc>
        <w:tc>
          <w:tcPr>
            <w:tcW w:w="758"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40"/>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Instalación/ Activación de servicio </w:t>
            </w:r>
          </w:p>
        </w:tc>
        <w:tc>
          <w:tcPr>
            <w:tcW w:w="758"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vAlign w:val="center"/>
            <w:hideMark/>
          </w:tcPr>
          <w:p w:rsidR="00825354" w:rsidRPr="00825354" w:rsidRDefault="00825354" w:rsidP="00825354">
            <w:pPr>
              <w:jc w:val="cente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Rentas mensuales </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Ingresos por llamadas y minutos </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eastAsia="es-MX"/>
              </w:rPr>
            </w:pPr>
            <w:r w:rsidRPr="00825354">
              <w:rPr>
                <w:rFonts w:ascii="Arial" w:hAnsi="Arial" w:cs="Arial"/>
                <w:sz w:val="20"/>
                <w:szCs w:val="20"/>
                <w:lang w:eastAsia="es-MX"/>
              </w:rPr>
              <w:t>- Ingresos por llamadas locales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eastAsia="es-MX"/>
              </w:rPr>
            </w:pPr>
            <w:r w:rsidRPr="00825354">
              <w:rPr>
                <w:rFonts w:ascii="Arial" w:hAnsi="Arial" w:cs="Arial"/>
                <w:sz w:val="20"/>
                <w:szCs w:val="20"/>
                <w:lang w:eastAsia="es-MX"/>
              </w:rPr>
              <w:t>- Ingresos de Larga Distancia Nacional</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eastAsia="es-MX"/>
              </w:rPr>
            </w:pPr>
            <w:r w:rsidRPr="00825354">
              <w:rPr>
                <w:rFonts w:ascii="Arial" w:hAnsi="Arial" w:cs="Arial"/>
                <w:sz w:val="20"/>
                <w:szCs w:val="20"/>
                <w:lang w:eastAsia="es-MX"/>
              </w:rPr>
              <w:t>- Ingresos de Larga Distancia Internacional</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eastAsia="es-MX"/>
              </w:rPr>
            </w:pPr>
            <w:r w:rsidRPr="00825354">
              <w:rPr>
                <w:rFonts w:ascii="Arial" w:hAnsi="Arial" w:cs="Arial"/>
                <w:sz w:val="20"/>
                <w:szCs w:val="20"/>
                <w:lang w:eastAsia="es-MX"/>
              </w:rPr>
              <w:t>- Ingresos por SMS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Venta de equipo </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Servicios Adicionales </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Interconexión</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  - De concesionarios fijos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  - De concesionarios  móviles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  - De concesionarios de larga distancia</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Otros cobros a concesionarios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Imputaciones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70"/>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Otros ingresos  </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70"/>
        </w:trPr>
        <w:tc>
          <w:tcPr>
            <w:tcW w:w="28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25354" w:rsidRPr="00825354" w:rsidRDefault="00825354" w:rsidP="00825354">
            <w:pPr>
              <w:rPr>
                <w:rFonts w:ascii="Arial" w:hAnsi="Arial" w:cs="Arial"/>
                <w:b/>
                <w:bCs/>
                <w:i/>
                <w:iCs/>
                <w:sz w:val="20"/>
                <w:szCs w:val="20"/>
                <w:lang w:eastAsia="es-MX"/>
              </w:rPr>
            </w:pPr>
            <w:r w:rsidRPr="00825354">
              <w:rPr>
                <w:rFonts w:ascii="Arial" w:hAnsi="Arial" w:cs="Arial"/>
                <w:b/>
                <w:bCs/>
                <w:i/>
                <w:iCs/>
                <w:sz w:val="20"/>
                <w:szCs w:val="20"/>
                <w:lang w:eastAsia="es-MX"/>
              </w:rPr>
              <w:t>TOTAL DE INGRESOS</w:t>
            </w:r>
          </w:p>
        </w:tc>
        <w:tc>
          <w:tcPr>
            <w:tcW w:w="758"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single" w:sz="8" w:space="0" w:color="auto"/>
              <w:left w:val="nil"/>
              <w:bottom w:val="single" w:sz="8" w:space="0" w:color="auto"/>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70"/>
        </w:trPr>
        <w:tc>
          <w:tcPr>
            <w:tcW w:w="2841" w:type="dxa"/>
            <w:tcBorders>
              <w:top w:val="nil"/>
              <w:left w:val="nil"/>
              <w:bottom w:val="nil"/>
              <w:right w:val="nil"/>
            </w:tcBorders>
            <w:shd w:val="clear" w:color="auto" w:fill="auto"/>
            <w:vAlign w:val="center"/>
            <w:hideMark/>
          </w:tcPr>
          <w:p w:rsidR="00825354" w:rsidRPr="00825354" w:rsidRDefault="00825354" w:rsidP="00825354">
            <w:pPr>
              <w:rPr>
                <w:rFonts w:ascii="Arial" w:hAnsi="Arial" w:cs="Arial"/>
                <w:b/>
                <w:bCs/>
                <w:sz w:val="20"/>
                <w:szCs w:val="20"/>
                <w:lang w:eastAsia="es-MX"/>
              </w:rPr>
            </w:pPr>
            <w:r w:rsidRPr="00825354">
              <w:rPr>
                <w:rFonts w:ascii="Arial" w:hAnsi="Arial" w:cs="Arial"/>
                <w:b/>
                <w:bCs/>
                <w:sz w:val="20"/>
                <w:szCs w:val="20"/>
                <w:lang w:eastAsia="es-MX"/>
              </w:rPr>
              <w:t> </w:t>
            </w:r>
          </w:p>
        </w:tc>
        <w:tc>
          <w:tcPr>
            <w:tcW w:w="758"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single" w:sz="8" w:space="0" w:color="auto"/>
              <w:left w:val="single" w:sz="8" w:space="0" w:color="auto"/>
              <w:bottom w:val="nil"/>
              <w:right w:val="single" w:sz="8" w:space="0" w:color="auto"/>
            </w:tcBorders>
            <w:shd w:val="clear" w:color="auto" w:fill="auto"/>
            <w:vAlign w:val="center"/>
            <w:hideMark/>
          </w:tcPr>
          <w:p w:rsidR="00825354" w:rsidRPr="00825354" w:rsidRDefault="00825354" w:rsidP="00825354">
            <w:pPr>
              <w:rPr>
                <w:rFonts w:ascii="Arial" w:hAnsi="Arial" w:cs="Arial"/>
                <w:b/>
                <w:bCs/>
                <w:sz w:val="20"/>
                <w:szCs w:val="20"/>
                <w:lang w:eastAsia="es-MX"/>
              </w:rPr>
            </w:pPr>
            <w:r w:rsidRPr="00825354">
              <w:rPr>
                <w:rFonts w:ascii="Arial" w:hAnsi="Arial" w:cs="Arial"/>
                <w:b/>
                <w:bCs/>
                <w:sz w:val="20"/>
                <w:szCs w:val="20"/>
                <w:lang w:eastAsia="es-MX"/>
              </w:rPr>
              <w:t>COSTOS</w:t>
            </w:r>
          </w:p>
        </w:tc>
        <w:tc>
          <w:tcPr>
            <w:tcW w:w="758"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single" w:sz="8" w:space="0" w:color="auto"/>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single" w:sz="8" w:space="0" w:color="auto"/>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Costo de ventas y servicios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Adquisición de equipos y accesorios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Comercial, administración y generales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Depreciación</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Interconexión</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  - A operadores fijos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 xml:space="preserve">  - A operadores móviles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55"/>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lastRenderedPageBreak/>
              <w:t>Imputaciones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70"/>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Otros costos</w:t>
            </w:r>
          </w:p>
        </w:tc>
        <w:tc>
          <w:tcPr>
            <w:tcW w:w="758"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nil"/>
              <w:left w:val="nil"/>
              <w:bottom w:val="nil"/>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70"/>
        </w:trPr>
        <w:tc>
          <w:tcPr>
            <w:tcW w:w="28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25354" w:rsidRPr="00825354" w:rsidRDefault="00825354" w:rsidP="00825354">
            <w:pPr>
              <w:ind w:firstLineChars="100" w:firstLine="201"/>
              <w:rPr>
                <w:rFonts w:ascii="Arial" w:hAnsi="Arial" w:cs="Arial"/>
                <w:b/>
                <w:bCs/>
                <w:i/>
                <w:iCs/>
                <w:sz w:val="20"/>
                <w:szCs w:val="20"/>
                <w:lang w:eastAsia="es-MX"/>
              </w:rPr>
            </w:pPr>
            <w:r w:rsidRPr="00825354">
              <w:rPr>
                <w:rFonts w:ascii="Arial" w:hAnsi="Arial" w:cs="Arial"/>
                <w:b/>
                <w:bCs/>
                <w:i/>
                <w:iCs/>
                <w:sz w:val="20"/>
                <w:szCs w:val="20"/>
                <w:lang w:eastAsia="es-MX"/>
              </w:rPr>
              <w:t>TOTAL DE COSTOS</w:t>
            </w:r>
          </w:p>
        </w:tc>
        <w:tc>
          <w:tcPr>
            <w:tcW w:w="758"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single" w:sz="8" w:space="0" w:color="auto"/>
              <w:left w:val="nil"/>
              <w:bottom w:val="single" w:sz="8" w:space="0" w:color="auto"/>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70"/>
        </w:trPr>
        <w:tc>
          <w:tcPr>
            <w:tcW w:w="2841"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eastAsia="es-MX"/>
              </w:rPr>
            </w:pPr>
          </w:p>
        </w:tc>
        <w:tc>
          <w:tcPr>
            <w:tcW w:w="758" w:type="dxa"/>
            <w:tcBorders>
              <w:top w:val="nil"/>
              <w:left w:val="nil"/>
              <w:bottom w:val="nil"/>
              <w:right w:val="nil"/>
            </w:tcBorders>
            <w:shd w:val="clear" w:color="auto" w:fill="auto"/>
            <w:noWrap/>
            <w:vAlign w:val="bottom"/>
            <w:hideMark/>
          </w:tcPr>
          <w:p w:rsidR="00825354" w:rsidRPr="00825354" w:rsidRDefault="00825354" w:rsidP="00825354">
            <w:pPr>
              <w:ind w:firstLineChars="100" w:firstLine="200"/>
              <w:rPr>
                <w:sz w:val="20"/>
                <w:szCs w:val="20"/>
                <w:lang w:eastAsia="es-MX"/>
              </w:rPr>
            </w:pPr>
          </w:p>
        </w:tc>
        <w:tc>
          <w:tcPr>
            <w:tcW w:w="663"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7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1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38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32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41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78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54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73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42"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40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r>
      <w:tr w:rsidR="00825354" w:rsidRPr="00825354" w:rsidTr="00234A57">
        <w:trPr>
          <w:trHeight w:val="270"/>
        </w:trPr>
        <w:tc>
          <w:tcPr>
            <w:tcW w:w="28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25354" w:rsidRPr="00825354" w:rsidRDefault="00825354" w:rsidP="00825354">
            <w:pPr>
              <w:ind w:firstLineChars="100" w:firstLine="201"/>
              <w:rPr>
                <w:rFonts w:ascii="Arial" w:hAnsi="Arial" w:cs="Arial"/>
                <w:b/>
                <w:bCs/>
                <w:i/>
                <w:iCs/>
                <w:sz w:val="20"/>
                <w:szCs w:val="20"/>
                <w:lang w:eastAsia="es-MX"/>
              </w:rPr>
            </w:pPr>
            <w:r w:rsidRPr="00825354">
              <w:rPr>
                <w:rFonts w:ascii="Arial" w:hAnsi="Arial" w:cs="Arial"/>
                <w:b/>
                <w:bCs/>
                <w:i/>
                <w:iCs/>
                <w:sz w:val="20"/>
                <w:szCs w:val="20"/>
                <w:lang w:eastAsia="es-MX"/>
              </w:rPr>
              <w:t>UTILIDAD DE OPERACIÓN</w:t>
            </w:r>
          </w:p>
        </w:tc>
        <w:tc>
          <w:tcPr>
            <w:tcW w:w="758"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single" w:sz="8" w:space="0" w:color="auto"/>
              <w:left w:val="nil"/>
              <w:bottom w:val="single" w:sz="8" w:space="0" w:color="auto"/>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70"/>
        </w:trPr>
        <w:tc>
          <w:tcPr>
            <w:tcW w:w="2841"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r w:rsidRPr="00825354">
              <w:rPr>
                <w:rFonts w:ascii="Arial" w:hAnsi="Arial" w:cs="Arial"/>
                <w:sz w:val="20"/>
                <w:szCs w:val="20"/>
                <w:lang w:eastAsia="es-MX"/>
              </w:rPr>
              <w:t>Costo de capital</w:t>
            </w:r>
          </w:p>
        </w:tc>
        <w:tc>
          <w:tcPr>
            <w:tcW w:w="758" w:type="dxa"/>
            <w:tcBorders>
              <w:top w:val="nil"/>
              <w:left w:val="nil"/>
              <w:bottom w:val="nil"/>
              <w:right w:val="nil"/>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eastAsia="es-MX"/>
              </w:rPr>
            </w:pPr>
          </w:p>
        </w:tc>
        <w:tc>
          <w:tcPr>
            <w:tcW w:w="663"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7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1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38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32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411"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78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54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73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642"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eastAsia="es-MX"/>
              </w:rPr>
            </w:pPr>
          </w:p>
        </w:tc>
        <w:tc>
          <w:tcPr>
            <w:tcW w:w="407" w:type="dxa"/>
            <w:tcBorders>
              <w:top w:val="nil"/>
              <w:left w:val="single" w:sz="4" w:space="0" w:color="C0C0C0"/>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r w:rsidR="00825354" w:rsidRPr="00825354" w:rsidTr="00234A57">
        <w:trPr>
          <w:trHeight w:val="270"/>
        </w:trPr>
        <w:tc>
          <w:tcPr>
            <w:tcW w:w="28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25354" w:rsidRPr="00825354" w:rsidRDefault="00825354" w:rsidP="00825354">
            <w:pPr>
              <w:ind w:firstLineChars="100" w:firstLine="201"/>
              <w:rPr>
                <w:rFonts w:ascii="Arial" w:hAnsi="Arial" w:cs="Arial"/>
                <w:b/>
                <w:bCs/>
                <w:i/>
                <w:iCs/>
                <w:sz w:val="20"/>
                <w:szCs w:val="20"/>
                <w:lang w:eastAsia="es-MX"/>
              </w:rPr>
            </w:pPr>
            <w:r w:rsidRPr="00825354">
              <w:rPr>
                <w:rFonts w:ascii="Arial" w:hAnsi="Arial" w:cs="Arial"/>
                <w:b/>
                <w:bCs/>
                <w:i/>
                <w:iCs/>
                <w:sz w:val="20"/>
                <w:szCs w:val="20"/>
                <w:lang w:eastAsia="es-MX"/>
              </w:rPr>
              <w:t>UTILIDAD DESPUÉS DE COSTO DE CAPITAL</w:t>
            </w:r>
          </w:p>
        </w:tc>
        <w:tc>
          <w:tcPr>
            <w:tcW w:w="758"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63"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7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1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8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32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11"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8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547"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730"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642" w:type="dxa"/>
            <w:tcBorders>
              <w:top w:val="single" w:sz="8" w:space="0" w:color="auto"/>
              <w:left w:val="nil"/>
              <w:bottom w:val="single" w:sz="8" w:space="0" w:color="auto"/>
              <w:right w:val="single" w:sz="4" w:space="0" w:color="C0C0C0"/>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c>
          <w:tcPr>
            <w:tcW w:w="407" w:type="dxa"/>
            <w:tcBorders>
              <w:top w:val="single" w:sz="8" w:space="0" w:color="auto"/>
              <w:left w:val="nil"/>
              <w:bottom w:val="single" w:sz="8" w:space="0" w:color="auto"/>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eastAsia="es-MX"/>
              </w:rPr>
            </w:pPr>
            <w:r w:rsidRPr="00825354">
              <w:rPr>
                <w:rFonts w:ascii="Arial" w:hAnsi="Arial" w:cs="Arial"/>
                <w:sz w:val="20"/>
                <w:szCs w:val="20"/>
                <w:lang w:eastAsia="es-MX"/>
              </w:rPr>
              <w:t> </w:t>
            </w:r>
          </w:p>
        </w:tc>
      </w:tr>
    </w:tbl>
    <w:p w:rsidR="00825354" w:rsidRPr="00825354" w:rsidRDefault="00825354" w:rsidP="00825354"/>
    <w:p w:rsidR="00825354" w:rsidRPr="00825354" w:rsidRDefault="00825354" w:rsidP="00825354"/>
    <w:p w:rsidR="00825354" w:rsidRPr="00825354" w:rsidRDefault="00825354" w:rsidP="00825354"/>
    <w:p w:rsidR="00825354" w:rsidRPr="00825354" w:rsidRDefault="00825354" w:rsidP="00825354"/>
    <w:p w:rsidR="00825354" w:rsidRPr="00825354" w:rsidRDefault="00825354" w:rsidP="00825354"/>
    <w:tbl>
      <w:tblPr>
        <w:tblW w:w="7220" w:type="dxa"/>
        <w:tblCellMar>
          <w:left w:w="70" w:type="dxa"/>
          <w:right w:w="70" w:type="dxa"/>
        </w:tblCellMar>
        <w:tblLook w:val="04A0" w:firstRow="1" w:lastRow="0" w:firstColumn="1" w:lastColumn="0" w:noHBand="0" w:noVBand="1"/>
      </w:tblPr>
      <w:tblGrid>
        <w:gridCol w:w="2940"/>
        <w:gridCol w:w="1720"/>
        <w:gridCol w:w="1360"/>
        <w:gridCol w:w="1200"/>
      </w:tblGrid>
      <w:tr w:rsidR="00825354" w:rsidRPr="00825354" w:rsidTr="00825354">
        <w:trPr>
          <w:trHeight w:val="270"/>
        </w:trPr>
        <w:tc>
          <w:tcPr>
            <w:tcW w:w="2940"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b/>
                <w:bCs/>
                <w:sz w:val="20"/>
                <w:szCs w:val="20"/>
                <w:lang w:val="es-MX" w:eastAsia="es-MX"/>
              </w:rPr>
            </w:pPr>
            <w:r w:rsidRPr="00825354">
              <w:rPr>
                <w:rFonts w:ascii="Arial" w:hAnsi="Arial" w:cs="Arial"/>
                <w:b/>
                <w:bCs/>
                <w:sz w:val="20"/>
                <w:szCs w:val="20"/>
                <w:lang w:val="es-MX" w:eastAsia="es-MX"/>
              </w:rPr>
              <w:t>ESTADO DE ACTIVOS FIJOS</w:t>
            </w:r>
          </w:p>
        </w:tc>
        <w:tc>
          <w:tcPr>
            <w:tcW w:w="1720"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b/>
                <w:bCs/>
                <w:sz w:val="20"/>
                <w:szCs w:val="20"/>
                <w:lang w:val="es-MX" w:eastAsia="es-MX"/>
              </w:rPr>
            </w:pPr>
          </w:p>
        </w:tc>
        <w:tc>
          <w:tcPr>
            <w:tcW w:w="136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20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r>
      <w:tr w:rsidR="00825354" w:rsidRPr="00825354" w:rsidTr="00825354">
        <w:trPr>
          <w:trHeight w:val="255"/>
        </w:trPr>
        <w:tc>
          <w:tcPr>
            <w:tcW w:w="294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720" w:type="dxa"/>
            <w:tcBorders>
              <w:top w:val="single" w:sz="8" w:space="0" w:color="auto"/>
              <w:left w:val="single" w:sz="8" w:space="0" w:color="auto"/>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1360" w:type="dxa"/>
            <w:tcBorders>
              <w:top w:val="single" w:sz="8" w:space="0" w:color="auto"/>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(año anterior)</w:t>
            </w:r>
          </w:p>
        </w:tc>
        <w:tc>
          <w:tcPr>
            <w:tcW w:w="1200" w:type="dxa"/>
            <w:tcBorders>
              <w:top w:val="single" w:sz="8" w:space="0" w:color="auto"/>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xml:space="preserve">Variación </w:t>
            </w:r>
          </w:p>
        </w:tc>
      </w:tr>
      <w:tr w:rsidR="00825354" w:rsidRPr="00825354" w:rsidTr="00825354">
        <w:trPr>
          <w:trHeight w:val="255"/>
        </w:trPr>
        <w:tc>
          <w:tcPr>
            <w:tcW w:w="2940"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1720" w:type="dxa"/>
            <w:tcBorders>
              <w:top w:val="nil"/>
              <w:left w:val="single" w:sz="8" w:space="0" w:color="auto"/>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xml:space="preserve">al: </w:t>
            </w:r>
            <w:proofErr w:type="spellStart"/>
            <w:r w:rsidRPr="00825354">
              <w:rPr>
                <w:rFonts w:ascii="Arial" w:hAnsi="Arial" w:cs="Arial"/>
                <w:sz w:val="20"/>
                <w:szCs w:val="20"/>
                <w:lang w:val="es-MX" w:eastAsia="es-MX"/>
              </w:rPr>
              <w:t>dd</w:t>
            </w:r>
            <w:proofErr w:type="spellEnd"/>
            <w:r w:rsidRPr="00825354">
              <w:rPr>
                <w:rFonts w:ascii="Arial" w:hAnsi="Arial" w:cs="Arial"/>
                <w:sz w:val="20"/>
                <w:szCs w:val="20"/>
                <w:lang w:val="es-MX" w:eastAsia="es-MX"/>
              </w:rPr>
              <w:t>/mm/</w:t>
            </w:r>
            <w:proofErr w:type="spellStart"/>
            <w:r w:rsidRPr="00825354">
              <w:rPr>
                <w:rFonts w:ascii="Arial" w:hAnsi="Arial" w:cs="Arial"/>
                <w:sz w:val="20"/>
                <w:szCs w:val="20"/>
                <w:lang w:val="es-MX" w:eastAsia="es-MX"/>
              </w:rPr>
              <w:t>aaa</w:t>
            </w:r>
            <w:proofErr w:type="spellEnd"/>
          </w:p>
        </w:tc>
        <w:tc>
          <w:tcPr>
            <w:tcW w:w="1360"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xml:space="preserve">al: </w:t>
            </w:r>
            <w:proofErr w:type="spellStart"/>
            <w:r w:rsidRPr="00825354">
              <w:rPr>
                <w:rFonts w:ascii="Arial" w:hAnsi="Arial" w:cs="Arial"/>
                <w:sz w:val="20"/>
                <w:szCs w:val="20"/>
                <w:lang w:val="es-MX" w:eastAsia="es-MX"/>
              </w:rPr>
              <w:t>dd</w:t>
            </w:r>
            <w:proofErr w:type="spellEnd"/>
            <w:r w:rsidRPr="00825354">
              <w:rPr>
                <w:rFonts w:ascii="Arial" w:hAnsi="Arial" w:cs="Arial"/>
                <w:sz w:val="20"/>
                <w:szCs w:val="20"/>
                <w:lang w:val="es-MX" w:eastAsia="es-MX"/>
              </w:rPr>
              <w:t>/mm/</w:t>
            </w:r>
            <w:proofErr w:type="spellStart"/>
            <w:r w:rsidRPr="00825354">
              <w:rPr>
                <w:rFonts w:ascii="Arial" w:hAnsi="Arial" w:cs="Arial"/>
                <w:sz w:val="20"/>
                <w:szCs w:val="20"/>
                <w:lang w:val="es-MX" w:eastAsia="es-MX"/>
              </w:rPr>
              <w:t>aaa</w:t>
            </w:r>
            <w:proofErr w:type="spellEnd"/>
          </w:p>
        </w:tc>
        <w:tc>
          <w:tcPr>
            <w:tcW w:w="1200"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w:t>
            </w:r>
          </w:p>
        </w:tc>
      </w:tr>
      <w:tr w:rsidR="00825354" w:rsidRPr="00825354" w:rsidTr="00825354">
        <w:trPr>
          <w:trHeight w:val="270"/>
        </w:trPr>
        <w:tc>
          <w:tcPr>
            <w:tcW w:w="2940"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1720" w:type="dxa"/>
            <w:tcBorders>
              <w:top w:val="nil"/>
              <w:left w:val="single" w:sz="8" w:space="0" w:color="auto"/>
              <w:bottom w:val="single" w:sz="8" w:space="0" w:color="auto"/>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1360" w:type="dxa"/>
            <w:tcBorders>
              <w:top w:val="nil"/>
              <w:left w:val="nil"/>
              <w:bottom w:val="single" w:sz="8" w:space="0" w:color="auto"/>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1200" w:type="dxa"/>
            <w:tcBorders>
              <w:top w:val="nil"/>
              <w:left w:val="nil"/>
              <w:bottom w:val="single" w:sz="8" w:space="0" w:color="auto"/>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70"/>
        </w:trPr>
        <w:tc>
          <w:tcPr>
            <w:tcW w:w="2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25354" w:rsidRPr="00825354" w:rsidRDefault="00825354" w:rsidP="00825354">
            <w:pPr>
              <w:rPr>
                <w:rFonts w:ascii="Arial" w:hAnsi="Arial" w:cs="Arial"/>
                <w:b/>
                <w:bCs/>
                <w:sz w:val="20"/>
                <w:szCs w:val="20"/>
                <w:lang w:val="es-MX" w:eastAsia="es-MX"/>
              </w:rPr>
            </w:pPr>
            <w:r w:rsidRPr="00825354">
              <w:rPr>
                <w:rFonts w:ascii="Arial" w:hAnsi="Arial" w:cs="Arial"/>
                <w:b/>
                <w:bCs/>
                <w:sz w:val="20"/>
                <w:szCs w:val="20"/>
                <w:lang w:val="es-MX" w:eastAsia="es-MX"/>
              </w:rPr>
              <w:t>ACTIVOS</w:t>
            </w:r>
          </w:p>
        </w:tc>
        <w:tc>
          <w:tcPr>
            <w:tcW w:w="1720" w:type="dxa"/>
            <w:tcBorders>
              <w:top w:val="nil"/>
              <w:left w:val="nil"/>
              <w:bottom w:val="single" w:sz="8" w:space="0" w:color="auto"/>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1360" w:type="dxa"/>
            <w:tcBorders>
              <w:top w:val="nil"/>
              <w:left w:val="nil"/>
              <w:bottom w:val="single" w:sz="8" w:space="0" w:color="auto"/>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1200" w:type="dxa"/>
            <w:tcBorders>
              <w:top w:val="nil"/>
              <w:left w:val="nil"/>
              <w:bottom w:val="single" w:sz="8" w:space="0" w:color="auto"/>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2940"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Tangibles</w:t>
            </w:r>
          </w:p>
        </w:tc>
        <w:tc>
          <w:tcPr>
            <w:tcW w:w="1720" w:type="dxa"/>
            <w:tcBorders>
              <w:top w:val="nil"/>
              <w:left w:val="nil"/>
              <w:bottom w:val="nil"/>
              <w:right w:val="nil"/>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p>
        </w:tc>
        <w:tc>
          <w:tcPr>
            <w:tcW w:w="136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200"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2940"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r w:rsidRPr="00825354">
              <w:rPr>
                <w:rFonts w:ascii="Arial" w:hAnsi="Arial" w:cs="Arial"/>
                <w:sz w:val="20"/>
                <w:szCs w:val="20"/>
                <w:lang w:val="es-MX" w:eastAsia="es-MX"/>
              </w:rPr>
              <w:t>Conmutación</w:t>
            </w:r>
          </w:p>
        </w:tc>
        <w:tc>
          <w:tcPr>
            <w:tcW w:w="1720" w:type="dxa"/>
            <w:tcBorders>
              <w:top w:val="nil"/>
              <w:left w:val="nil"/>
              <w:bottom w:val="nil"/>
              <w:right w:val="nil"/>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p>
        </w:tc>
        <w:tc>
          <w:tcPr>
            <w:tcW w:w="136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200"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2940"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r w:rsidRPr="00825354">
              <w:rPr>
                <w:rFonts w:ascii="Arial" w:hAnsi="Arial" w:cs="Arial"/>
                <w:sz w:val="20"/>
                <w:szCs w:val="20"/>
                <w:lang w:val="es-MX" w:eastAsia="es-MX"/>
              </w:rPr>
              <w:t>Transmisión</w:t>
            </w:r>
          </w:p>
        </w:tc>
        <w:tc>
          <w:tcPr>
            <w:tcW w:w="1720" w:type="dxa"/>
            <w:tcBorders>
              <w:top w:val="nil"/>
              <w:left w:val="nil"/>
              <w:bottom w:val="nil"/>
              <w:right w:val="nil"/>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p>
        </w:tc>
        <w:tc>
          <w:tcPr>
            <w:tcW w:w="136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200"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2940"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r w:rsidRPr="00825354">
              <w:rPr>
                <w:rFonts w:ascii="Arial" w:hAnsi="Arial" w:cs="Arial"/>
                <w:sz w:val="20"/>
                <w:szCs w:val="20"/>
                <w:lang w:val="es-MX" w:eastAsia="es-MX"/>
              </w:rPr>
              <w:t>Planta exterior</w:t>
            </w:r>
          </w:p>
        </w:tc>
        <w:tc>
          <w:tcPr>
            <w:tcW w:w="1720" w:type="dxa"/>
            <w:tcBorders>
              <w:top w:val="nil"/>
              <w:left w:val="nil"/>
              <w:bottom w:val="nil"/>
              <w:right w:val="nil"/>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p>
        </w:tc>
        <w:tc>
          <w:tcPr>
            <w:tcW w:w="136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200"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2940"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r w:rsidRPr="00825354">
              <w:rPr>
                <w:rFonts w:ascii="Arial" w:hAnsi="Arial" w:cs="Arial"/>
                <w:sz w:val="20"/>
                <w:szCs w:val="20"/>
                <w:lang w:val="es-MX" w:eastAsia="es-MX"/>
              </w:rPr>
              <w:t>Fuerza y clima</w:t>
            </w:r>
          </w:p>
        </w:tc>
        <w:tc>
          <w:tcPr>
            <w:tcW w:w="1720" w:type="dxa"/>
            <w:tcBorders>
              <w:top w:val="nil"/>
              <w:left w:val="nil"/>
              <w:bottom w:val="nil"/>
              <w:right w:val="nil"/>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p>
        </w:tc>
        <w:tc>
          <w:tcPr>
            <w:tcW w:w="136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200"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2940"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r w:rsidRPr="00825354">
              <w:rPr>
                <w:rFonts w:ascii="Arial" w:hAnsi="Arial" w:cs="Arial"/>
                <w:sz w:val="20"/>
                <w:szCs w:val="20"/>
                <w:lang w:val="es-MX" w:eastAsia="es-MX"/>
              </w:rPr>
              <w:t>Edificios</w:t>
            </w:r>
          </w:p>
        </w:tc>
        <w:tc>
          <w:tcPr>
            <w:tcW w:w="1720" w:type="dxa"/>
            <w:tcBorders>
              <w:top w:val="nil"/>
              <w:left w:val="nil"/>
              <w:bottom w:val="nil"/>
              <w:right w:val="nil"/>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p>
        </w:tc>
        <w:tc>
          <w:tcPr>
            <w:tcW w:w="136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200"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2940"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r w:rsidRPr="00825354">
              <w:rPr>
                <w:rFonts w:ascii="Arial" w:hAnsi="Arial" w:cs="Arial"/>
                <w:sz w:val="20"/>
                <w:szCs w:val="20"/>
                <w:lang w:val="es-MX" w:eastAsia="es-MX"/>
              </w:rPr>
              <w:t>Otros Activos</w:t>
            </w:r>
          </w:p>
        </w:tc>
        <w:tc>
          <w:tcPr>
            <w:tcW w:w="1720" w:type="dxa"/>
            <w:tcBorders>
              <w:top w:val="nil"/>
              <w:left w:val="nil"/>
              <w:bottom w:val="nil"/>
              <w:right w:val="nil"/>
            </w:tcBorders>
            <w:shd w:val="clear" w:color="auto" w:fill="auto"/>
            <w:noWrap/>
            <w:vAlign w:val="bottom"/>
            <w:hideMark/>
          </w:tcPr>
          <w:p w:rsidR="00825354" w:rsidRPr="00825354" w:rsidRDefault="00825354" w:rsidP="00825354">
            <w:pPr>
              <w:ind w:firstLineChars="200" w:firstLine="400"/>
              <w:rPr>
                <w:rFonts w:ascii="Arial" w:hAnsi="Arial" w:cs="Arial"/>
                <w:sz w:val="20"/>
                <w:szCs w:val="20"/>
                <w:lang w:val="es-MX" w:eastAsia="es-MX"/>
              </w:rPr>
            </w:pPr>
          </w:p>
        </w:tc>
        <w:tc>
          <w:tcPr>
            <w:tcW w:w="136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200"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70"/>
        </w:trPr>
        <w:tc>
          <w:tcPr>
            <w:tcW w:w="2940"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Activos intangibles</w:t>
            </w:r>
          </w:p>
        </w:tc>
        <w:tc>
          <w:tcPr>
            <w:tcW w:w="1720" w:type="dxa"/>
            <w:tcBorders>
              <w:top w:val="nil"/>
              <w:left w:val="nil"/>
              <w:bottom w:val="nil"/>
              <w:right w:val="nil"/>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p>
        </w:tc>
        <w:tc>
          <w:tcPr>
            <w:tcW w:w="1360"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200"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70"/>
        </w:trPr>
        <w:tc>
          <w:tcPr>
            <w:tcW w:w="2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25354" w:rsidRPr="00825354" w:rsidRDefault="00825354" w:rsidP="00825354">
            <w:pPr>
              <w:rPr>
                <w:rFonts w:ascii="Arial" w:hAnsi="Arial" w:cs="Arial"/>
                <w:b/>
                <w:bCs/>
                <w:i/>
                <w:iCs/>
                <w:sz w:val="20"/>
                <w:szCs w:val="20"/>
                <w:lang w:val="es-MX" w:eastAsia="es-MX"/>
              </w:rPr>
            </w:pPr>
            <w:r w:rsidRPr="00825354">
              <w:rPr>
                <w:rFonts w:ascii="Arial" w:hAnsi="Arial" w:cs="Arial"/>
                <w:b/>
                <w:bCs/>
                <w:i/>
                <w:iCs/>
                <w:sz w:val="20"/>
                <w:szCs w:val="20"/>
                <w:lang w:val="es-MX" w:eastAsia="es-MX"/>
              </w:rPr>
              <w:t>TOTAL DE ACTIVOS FIJOS</w:t>
            </w:r>
          </w:p>
        </w:tc>
        <w:tc>
          <w:tcPr>
            <w:tcW w:w="1720" w:type="dxa"/>
            <w:tcBorders>
              <w:top w:val="single" w:sz="8" w:space="0" w:color="auto"/>
              <w:left w:val="nil"/>
              <w:bottom w:val="single" w:sz="8" w:space="0" w:color="auto"/>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1360" w:type="dxa"/>
            <w:tcBorders>
              <w:top w:val="single" w:sz="8" w:space="0" w:color="auto"/>
              <w:left w:val="nil"/>
              <w:bottom w:val="single" w:sz="8" w:space="0" w:color="auto"/>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bl>
    <w:p w:rsidR="00825354" w:rsidRPr="00825354" w:rsidRDefault="00825354" w:rsidP="00825354"/>
    <w:p w:rsidR="00825354" w:rsidRPr="00825354" w:rsidRDefault="00825354" w:rsidP="00825354">
      <w:pPr>
        <w:spacing w:after="160" w:line="259" w:lineRule="auto"/>
      </w:pPr>
      <w:r w:rsidRPr="00825354">
        <w:br w:type="page"/>
      </w:r>
    </w:p>
    <w:p w:rsidR="00825354" w:rsidRPr="00825354" w:rsidRDefault="00825354" w:rsidP="00825354"/>
    <w:tbl>
      <w:tblPr>
        <w:tblW w:w="9072" w:type="dxa"/>
        <w:tblLayout w:type="fixed"/>
        <w:tblCellMar>
          <w:left w:w="70" w:type="dxa"/>
          <w:right w:w="70" w:type="dxa"/>
        </w:tblCellMar>
        <w:tblLook w:val="04A0" w:firstRow="1" w:lastRow="0" w:firstColumn="1" w:lastColumn="0" w:noHBand="0" w:noVBand="1"/>
      </w:tblPr>
      <w:tblGrid>
        <w:gridCol w:w="4962"/>
        <w:gridCol w:w="992"/>
        <w:gridCol w:w="992"/>
        <w:gridCol w:w="567"/>
        <w:gridCol w:w="545"/>
        <w:gridCol w:w="1014"/>
      </w:tblGrid>
      <w:tr w:rsidR="00825354" w:rsidRPr="00825354" w:rsidTr="00825354">
        <w:trPr>
          <w:trHeight w:val="270"/>
        </w:trPr>
        <w:tc>
          <w:tcPr>
            <w:tcW w:w="496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b/>
                <w:bCs/>
                <w:sz w:val="20"/>
                <w:szCs w:val="20"/>
                <w:lang w:val="es-MX" w:eastAsia="es-MX"/>
              </w:rPr>
            </w:pPr>
            <w:r w:rsidRPr="00825354">
              <w:rPr>
                <w:rFonts w:ascii="Arial" w:hAnsi="Arial" w:cs="Arial"/>
                <w:b/>
                <w:bCs/>
                <w:sz w:val="20"/>
                <w:szCs w:val="20"/>
                <w:lang w:val="es-MX" w:eastAsia="es-MX"/>
              </w:rPr>
              <w:t xml:space="preserve">REPORTE DE IMPUTACIONES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b/>
                <w:bCs/>
                <w:sz w:val="20"/>
                <w:szCs w:val="20"/>
                <w:lang w:val="es-MX" w:eastAsia="es-MX"/>
              </w:rPr>
            </w:pP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r>
      <w:tr w:rsidR="00825354" w:rsidRPr="00825354" w:rsidTr="00825354">
        <w:trPr>
          <w:trHeight w:val="525"/>
        </w:trPr>
        <w:tc>
          <w:tcPr>
            <w:tcW w:w="4962"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825354" w:rsidRPr="00825354" w:rsidRDefault="00825354" w:rsidP="00825354">
            <w:pPr>
              <w:jc w:val="cente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val="es-MX" w:eastAsia="es-MX"/>
              </w:rPr>
            </w:pPr>
            <w:r w:rsidRPr="00825354">
              <w:rPr>
                <w:rFonts w:ascii="Arial" w:hAnsi="Arial" w:cs="Arial"/>
                <w:sz w:val="20"/>
                <w:szCs w:val="20"/>
                <w:lang w:val="es-MX" w:eastAsia="es-MX"/>
              </w:rPr>
              <w:t>Servicio Local Fijo</w:t>
            </w:r>
          </w:p>
        </w:tc>
        <w:tc>
          <w:tcPr>
            <w:tcW w:w="992" w:type="dxa"/>
            <w:tcBorders>
              <w:top w:val="single" w:sz="8" w:space="0" w:color="auto"/>
              <w:left w:val="nil"/>
              <w:bottom w:val="double" w:sz="6" w:space="0" w:color="auto"/>
              <w:right w:val="single" w:sz="4" w:space="0" w:color="C0C0C0"/>
            </w:tcBorders>
            <w:shd w:val="clear" w:color="auto" w:fill="auto"/>
            <w:vAlign w:val="center"/>
            <w:hideMark/>
          </w:tcPr>
          <w:p w:rsidR="00825354" w:rsidRPr="00825354" w:rsidRDefault="00825354" w:rsidP="00825354">
            <w:pPr>
              <w:jc w:val="center"/>
              <w:rPr>
                <w:rFonts w:ascii="Arial" w:hAnsi="Arial" w:cs="Arial"/>
                <w:sz w:val="20"/>
                <w:szCs w:val="20"/>
                <w:lang w:val="es-MX" w:eastAsia="es-MX"/>
              </w:rPr>
            </w:pPr>
            <w:r w:rsidRPr="00825354">
              <w:rPr>
                <w:rFonts w:ascii="Arial" w:hAnsi="Arial" w:cs="Arial"/>
                <w:sz w:val="20"/>
                <w:szCs w:val="20"/>
                <w:lang w:val="es-MX" w:eastAsia="es-MX"/>
              </w:rPr>
              <w:t>Servicio Local Móvil</w:t>
            </w:r>
          </w:p>
        </w:tc>
        <w:tc>
          <w:tcPr>
            <w:tcW w:w="567" w:type="dxa"/>
            <w:tcBorders>
              <w:top w:val="single" w:sz="8" w:space="0" w:color="auto"/>
              <w:left w:val="nil"/>
              <w:bottom w:val="double" w:sz="6" w:space="0" w:color="auto"/>
              <w:right w:val="nil"/>
            </w:tcBorders>
            <w:shd w:val="clear" w:color="auto" w:fill="auto"/>
            <w:vAlign w:val="center"/>
            <w:hideMark/>
          </w:tcPr>
          <w:p w:rsidR="00825354" w:rsidRPr="00825354" w:rsidRDefault="00825354" w:rsidP="00825354">
            <w:pPr>
              <w:jc w:val="center"/>
              <w:rPr>
                <w:rFonts w:ascii="Arial" w:hAnsi="Arial" w:cs="Arial"/>
                <w:sz w:val="20"/>
                <w:szCs w:val="20"/>
                <w:lang w:val="es-MX" w:eastAsia="es-MX"/>
              </w:rPr>
            </w:pPr>
            <w:r w:rsidRPr="00825354">
              <w:rPr>
                <w:rFonts w:ascii="Arial" w:hAnsi="Arial" w:cs="Arial"/>
                <w:sz w:val="20"/>
                <w:szCs w:val="20"/>
                <w:lang w:val="es-MX" w:eastAsia="es-MX"/>
              </w:rPr>
              <w:t>LDN</w:t>
            </w:r>
          </w:p>
        </w:tc>
        <w:tc>
          <w:tcPr>
            <w:tcW w:w="545" w:type="dxa"/>
            <w:tcBorders>
              <w:top w:val="single" w:sz="8" w:space="0" w:color="auto"/>
              <w:left w:val="single" w:sz="4" w:space="0" w:color="C0C0C0"/>
              <w:bottom w:val="double" w:sz="6" w:space="0" w:color="auto"/>
              <w:right w:val="nil"/>
            </w:tcBorders>
            <w:shd w:val="clear" w:color="auto" w:fill="auto"/>
            <w:vAlign w:val="center"/>
            <w:hideMark/>
          </w:tcPr>
          <w:p w:rsidR="00825354" w:rsidRPr="00825354" w:rsidRDefault="00825354" w:rsidP="00825354">
            <w:pPr>
              <w:jc w:val="center"/>
              <w:rPr>
                <w:rFonts w:ascii="Arial" w:hAnsi="Arial" w:cs="Arial"/>
                <w:sz w:val="20"/>
                <w:szCs w:val="20"/>
                <w:lang w:val="es-MX" w:eastAsia="es-MX"/>
              </w:rPr>
            </w:pPr>
            <w:r w:rsidRPr="00825354">
              <w:rPr>
                <w:rFonts w:ascii="Arial" w:hAnsi="Arial" w:cs="Arial"/>
                <w:sz w:val="20"/>
                <w:szCs w:val="20"/>
                <w:lang w:val="es-MX" w:eastAsia="es-MX"/>
              </w:rPr>
              <w:t>LDI</w:t>
            </w:r>
          </w:p>
        </w:tc>
        <w:tc>
          <w:tcPr>
            <w:tcW w:w="1014" w:type="dxa"/>
            <w:tcBorders>
              <w:top w:val="single" w:sz="8" w:space="0" w:color="auto"/>
              <w:left w:val="nil"/>
              <w:bottom w:val="double" w:sz="6" w:space="0" w:color="auto"/>
              <w:right w:val="single" w:sz="8" w:space="0" w:color="auto"/>
            </w:tcBorders>
            <w:shd w:val="clear" w:color="auto" w:fill="auto"/>
            <w:vAlign w:val="center"/>
            <w:hideMark/>
          </w:tcPr>
          <w:p w:rsidR="00825354" w:rsidRPr="00825354" w:rsidRDefault="00825354" w:rsidP="00825354">
            <w:pPr>
              <w:jc w:val="center"/>
              <w:rPr>
                <w:rFonts w:ascii="Arial" w:hAnsi="Arial" w:cs="Arial"/>
                <w:sz w:val="20"/>
                <w:szCs w:val="20"/>
                <w:lang w:val="es-MX" w:eastAsia="es-MX"/>
              </w:rPr>
            </w:pPr>
            <w:proofErr w:type="spellStart"/>
            <w:r w:rsidRPr="00825354">
              <w:rPr>
                <w:rFonts w:ascii="Arial" w:hAnsi="Arial" w:cs="Arial"/>
                <w:sz w:val="20"/>
                <w:szCs w:val="20"/>
                <w:lang w:val="es-MX" w:eastAsia="es-MX"/>
              </w:rPr>
              <w:t>Trunking</w:t>
            </w:r>
            <w:proofErr w:type="spellEnd"/>
          </w:p>
        </w:tc>
      </w:tr>
      <w:tr w:rsidR="00825354" w:rsidRPr="00825354" w:rsidTr="00825354">
        <w:trPr>
          <w:trHeight w:val="270"/>
        </w:trPr>
        <w:tc>
          <w:tcPr>
            <w:tcW w:w="4962"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rPr>
                <w:rFonts w:ascii="Arial" w:hAnsi="Arial" w:cs="Arial"/>
                <w:b/>
                <w:bCs/>
                <w:i/>
                <w:iCs/>
                <w:sz w:val="20"/>
                <w:szCs w:val="20"/>
                <w:lang w:val="es-MX" w:eastAsia="es-MX"/>
              </w:rPr>
            </w:pPr>
            <w:r w:rsidRPr="00825354">
              <w:rPr>
                <w:rFonts w:ascii="Arial" w:hAnsi="Arial" w:cs="Arial"/>
                <w:b/>
                <w:bCs/>
                <w:i/>
                <w:iCs/>
                <w:sz w:val="20"/>
                <w:szCs w:val="20"/>
                <w:lang w:val="es-MX" w:eastAsia="es-MX"/>
              </w:rPr>
              <w:t>INGRESOS POR IMPUTACIONES ENTRE SERVICIOS DE LA COMPAÑÍA</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4962"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Interconexión del servicio local fijo</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4962"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Interconexión del servicio local móvil</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4962"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Interconexión del servicio de larga distancia</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4962"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Otros ingresos por imputaciones</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4962"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4962"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rPr>
                <w:rFonts w:ascii="Arial" w:hAnsi="Arial" w:cs="Arial"/>
                <w:b/>
                <w:bCs/>
                <w:i/>
                <w:iCs/>
                <w:sz w:val="20"/>
                <w:szCs w:val="20"/>
                <w:lang w:val="es-MX" w:eastAsia="es-MX"/>
              </w:rPr>
            </w:pPr>
            <w:r w:rsidRPr="00825354">
              <w:rPr>
                <w:rFonts w:ascii="Arial" w:hAnsi="Arial" w:cs="Arial"/>
                <w:b/>
                <w:bCs/>
                <w:i/>
                <w:iCs/>
                <w:sz w:val="20"/>
                <w:szCs w:val="20"/>
                <w:lang w:val="es-MX" w:eastAsia="es-MX"/>
              </w:rPr>
              <w:t>COSTOS POR IMPUTACIONES ENTRE SERVICIOS DE LA COMPAÑÍA</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4962"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Interconexión al servicio local fijo</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4962"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Interconexión al servicio local móvil</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55"/>
        </w:trPr>
        <w:tc>
          <w:tcPr>
            <w:tcW w:w="4962" w:type="dxa"/>
            <w:tcBorders>
              <w:top w:val="nil"/>
              <w:left w:val="single" w:sz="8" w:space="0" w:color="auto"/>
              <w:bottom w:val="nil"/>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Interconexión al servicio de larga distancia</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nil"/>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p>
        </w:tc>
        <w:tc>
          <w:tcPr>
            <w:tcW w:w="567"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545" w:type="dxa"/>
            <w:tcBorders>
              <w:top w:val="nil"/>
              <w:left w:val="nil"/>
              <w:bottom w:val="nil"/>
              <w:right w:val="nil"/>
            </w:tcBorders>
            <w:shd w:val="clear" w:color="auto" w:fill="auto"/>
            <w:noWrap/>
            <w:vAlign w:val="bottom"/>
            <w:hideMark/>
          </w:tcPr>
          <w:p w:rsidR="00825354" w:rsidRPr="00825354" w:rsidRDefault="00825354" w:rsidP="00825354">
            <w:pPr>
              <w:rPr>
                <w:sz w:val="20"/>
                <w:szCs w:val="20"/>
                <w:lang w:val="es-MX" w:eastAsia="es-MX"/>
              </w:rPr>
            </w:pPr>
          </w:p>
        </w:tc>
        <w:tc>
          <w:tcPr>
            <w:tcW w:w="1014" w:type="dxa"/>
            <w:tcBorders>
              <w:top w:val="nil"/>
              <w:left w:val="nil"/>
              <w:bottom w:val="nil"/>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r w:rsidR="00825354" w:rsidRPr="00825354" w:rsidTr="00825354">
        <w:trPr>
          <w:trHeight w:val="270"/>
        </w:trPr>
        <w:tc>
          <w:tcPr>
            <w:tcW w:w="4962" w:type="dxa"/>
            <w:tcBorders>
              <w:top w:val="nil"/>
              <w:left w:val="single" w:sz="8" w:space="0" w:color="auto"/>
              <w:bottom w:val="single" w:sz="8" w:space="0" w:color="auto"/>
              <w:right w:val="single" w:sz="8" w:space="0" w:color="auto"/>
            </w:tcBorders>
            <w:shd w:val="clear" w:color="auto" w:fill="auto"/>
            <w:noWrap/>
            <w:vAlign w:val="bottom"/>
            <w:hideMark/>
          </w:tcPr>
          <w:p w:rsidR="00825354" w:rsidRPr="00825354" w:rsidRDefault="00825354" w:rsidP="00825354">
            <w:pPr>
              <w:ind w:firstLineChars="100" w:firstLine="200"/>
              <w:rPr>
                <w:rFonts w:ascii="Arial" w:hAnsi="Arial" w:cs="Arial"/>
                <w:sz w:val="20"/>
                <w:szCs w:val="20"/>
                <w:lang w:val="es-MX" w:eastAsia="es-MX"/>
              </w:rPr>
            </w:pPr>
            <w:r w:rsidRPr="00825354">
              <w:rPr>
                <w:rFonts w:ascii="Arial" w:hAnsi="Arial" w:cs="Arial"/>
                <w:sz w:val="20"/>
                <w:szCs w:val="20"/>
                <w:lang w:val="es-MX" w:eastAsia="es-MX"/>
              </w:rPr>
              <w:t>Otros costos por imputaciones</w:t>
            </w:r>
          </w:p>
        </w:tc>
        <w:tc>
          <w:tcPr>
            <w:tcW w:w="992" w:type="dxa"/>
            <w:tcBorders>
              <w:top w:val="nil"/>
              <w:left w:val="nil"/>
              <w:bottom w:val="single" w:sz="8" w:space="0" w:color="auto"/>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992" w:type="dxa"/>
            <w:tcBorders>
              <w:top w:val="nil"/>
              <w:left w:val="nil"/>
              <w:bottom w:val="single" w:sz="8" w:space="0" w:color="auto"/>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567" w:type="dxa"/>
            <w:tcBorders>
              <w:top w:val="nil"/>
              <w:left w:val="nil"/>
              <w:bottom w:val="single" w:sz="8" w:space="0" w:color="auto"/>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545" w:type="dxa"/>
            <w:tcBorders>
              <w:top w:val="nil"/>
              <w:left w:val="nil"/>
              <w:bottom w:val="single" w:sz="8" w:space="0" w:color="auto"/>
              <w:right w:val="nil"/>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c>
          <w:tcPr>
            <w:tcW w:w="1014" w:type="dxa"/>
            <w:tcBorders>
              <w:top w:val="nil"/>
              <w:left w:val="nil"/>
              <w:bottom w:val="single" w:sz="8" w:space="0" w:color="auto"/>
              <w:right w:val="single" w:sz="8" w:space="0" w:color="auto"/>
            </w:tcBorders>
            <w:shd w:val="clear" w:color="auto" w:fill="auto"/>
            <w:noWrap/>
            <w:vAlign w:val="bottom"/>
            <w:hideMark/>
          </w:tcPr>
          <w:p w:rsidR="00825354" w:rsidRPr="00825354" w:rsidRDefault="00825354" w:rsidP="00825354">
            <w:pPr>
              <w:rPr>
                <w:rFonts w:ascii="Arial" w:hAnsi="Arial" w:cs="Arial"/>
                <w:sz w:val="20"/>
                <w:szCs w:val="20"/>
                <w:lang w:val="es-MX" w:eastAsia="es-MX"/>
              </w:rPr>
            </w:pPr>
            <w:r w:rsidRPr="00825354">
              <w:rPr>
                <w:rFonts w:ascii="Arial" w:hAnsi="Arial" w:cs="Arial"/>
                <w:sz w:val="20"/>
                <w:szCs w:val="20"/>
                <w:lang w:val="es-MX" w:eastAsia="es-MX"/>
              </w:rPr>
              <w:t> </w:t>
            </w:r>
          </w:p>
        </w:tc>
      </w:tr>
    </w:tbl>
    <w:p w:rsidR="00825354" w:rsidRDefault="00825354" w:rsidP="00A36B53"/>
    <w:p w:rsidR="003F2667" w:rsidRDefault="003F2667" w:rsidP="00A36B53"/>
    <w:p w:rsidR="003F2667" w:rsidRDefault="003F2667" w:rsidP="00A36B53"/>
    <w:p w:rsidR="003F2667" w:rsidRDefault="003F2667" w:rsidP="00A36B53"/>
    <w:p w:rsidR="003F2667" w:rsidRDefault="003F2667" w:rsidP="003F2667">
      <w:pPr>
        <w:jc w:val="center"/>
        <w:rPr>
          <w:b/>
        </w:rPr>
      </w:pPr>
    </w:p>
    <w:p w:rsidR="003F2667" w:rsidRDefault="003F2667" w:rsidP="003F2667">
      <w:pPr>
        <w:jc w:val="center"/>
        <w:rPr>
          <w:b/>
        </w:rPr>
      </w:pPr>
    </w:p>
    <w:p w:rsidR="003F2667" w:rsidRDefault="003F2667" w:rsidP="003F2667">
      <w:pPr>
        <w:jc w:val="center"/>
        <w:rPr>
          <w:b/>
        </w:rPr>
      </w:pPr>
    </w:p>
    <w:p w:rsidR="003F2667" w:rsidRDefault="003F2667" w:rsidP="003F2667">
      <w:pPr>
        <w:jc w:val="center"/>
        <w:rPr>
          <w:b/>
        </w:rPr>
      </w:pPr>
    </w:p>
    <w:p w:rsidR="003F2667" w:rsidRDefault="003F2667" w:rsidP="003F2667">
      <w:pPr>
        <w:jc w:val="center"/>
        <w:rPr>
          <w:b/>
        </w:rPr>
      </w:pPr>
    </w:p>
    <w:p w:rsidR="003F2667" w:rsidRDefault="003F2667" w:rsidP="003F2667">
      <w:pPr>
        <w:jc w:val="center"/>
        <w:rPr>
          <w:b/>
        </w:rPr>
      </w:pPr>
    </w:p>
    <w:p w:rsidR="003F2667" w:rsidRDefault="003F2667" w:rsidP="003F2667">
      <w:pPr>
        <w:jc w:val="center"/>
        <w:rPr>
          <w:rFonts w:ascii="ITC Avant Garde" w:hAnsi="ITC Avant Garde"/>
          <w:b/>
          <w:sz w:val="22"/>
          <w:szCs w:val="22"/>
        </w:rPr>
      </w:pPr>
      <w:r>
        <w:rPr>
          <w:rFonts w:ascii="ITC Avant Garde" w:hAnsi="ITC Avant Garde"/>
          <w:b/>
          <w:sz w:val="22"/>
          <w:szCs w:val="22"/>
        </w:rPr>
        <w:t>Lic. Luis Gerado Canchola Rocha</w:t>
      </w:r>
    </w:p>
    <w:p w:rsidR="003F2667" w:rsidRDefault="003F2667" w:rsidP="003F2667">
      <w:pPr>
        <w:jc w:val="center"/>
        <w:rPr>
          <w:rFonts w:ascii="ITC Avant Garde" w:hAnsi="ITC Avant Garde"/>
          <w:b/>
          <w:sz w:val="22"/>
          <w:szCs w:val="22"/>
        </w:rPr>
      </w:pPr>
      <w:r>
        <w:rPr>
          <w:rFonts w:ascii="ITC Avant Garde" w:hAnsi="ITC Avant Garde"/>
          <w:b/>
          <w:sz w:val="22"/>
          <w:szCs w:val="22"/>
        </w:rPr>
        <w:t>Director General de Supervisión</w:t>
      </w:r>
    </w:p>
    <w:p w:rsidR="003F2667" w:rsidRDefault="003F2667" w:rsidP="003F2667">
      <w:pPr>
        <w:jc w:val="center"/>
        <w:rPr>
          <w:rFonts w:ascii="ITC Avant Garde" w:hAnsi="ITC Avant Garde"/>
          <w:b/>
          <w:sz w:val="22"/>
          <w:szCs w:val="22"/>
        </w:rPr>
      </w:pPr>
    </w:p>
    <w:p w:rsidR="003F2667" w:rsidRDefault="003F2667" w:rsidP="003F2667">
      <w:pPr>
        <w:jc w:val="center"/>
        <w:rPr>
          <w:rFonts w:ascii="ITC Avant Garde" w:hAnsi="ITC Avant Garde"/>
          <w:b/>
          <w:sz w:val="22"/>
          <w:szCs w:val="22"/>
        </w:rPr>
      </w:pPr>
    </w:p>
    <w:p w:rsidR="003F2667" w:rsidRDefault="003F2667" w:rsidP="003F2667">
      <w:pPr>
        <w:jc w:val="center"/>
        <w:rPr>
          <w:rFonts w:ascii="ITC Avant Garde" w:hAnsi="ITC Avant Garde"/>
          <w:b/>
          <w:sz w:val="22"/>
          <w:szCs w:val="22"/>
        </w:rPr>
      </w:pPr>
    </w:p>
    <w:p w:rsidR="003F2667" w:rsidRDefault="003F2667" w:rsidP="003F2667">
      <w:pPr>
        <w:jc w:val="center"/>
        <w:rPr>
          <w:rFonts w:ascii="ITC Avant Garde" w:hAnsi="ITC Avant Garde"/>
          <w:b/>
          <w:sz w:val="22"/>
          <w:szCs w:val="22"/>
        </w:rPr>
      </w:pPr>
    </w:p>
    <w:p w:rsidR="003F2667" w:rsidRDefault="003F2667" w:rsidP="003F2667">
      <w:pPr>
        <w:jc w:val="center"/>
        <w:rPr>
          <w:rFonts w:ascii="ITC Avant Garde" w:hAnsi="ITC Avant Garde"/>
          <w:b/>
          <w:sz w:val="22"/>
          <w:szCs w:val="22"/>
        </w:rPr>
      </w:pPr>
    </w:p>
    <w:p w:rsidR="003F2667" w:rsidRDefault="003F2667" w:rsidP="003F2667">
      <w:pPr>
        <w:jc w:val="center"/>
        <w:rPr>
          <w:rFonts w:ascii="ITC Avant Garde" w:hAnsi="ITC Avant Garde"/>
          <w:b/>
          <w:sz w:val="22"/>
          <w:szCs w:val="22"/>
        </w:rPr>
      </w:pPr>
    </w:p>
    <w:p w:rsidR="003F2667" w:rsidRDefault="003F2667" w:rsidP="003F2667">
      <w:pPr>
        <w:jc w:val="center"/>
        <w:rPr>
          <w:rFonts w:ascii="ITC Avant Garde" w:hAnsi="ITC Avant Garde"/>
          <w:b/>
          <w:sz w:val="22"/>
          <w:szCs w:val="22"/>
        </w:rPr>
      </w:pPr>
    </w:p>
    <w:p w:rsidR="003F2667" w:rsidRDefault="003F2667" w:rsidP="003F2667">
      <w:pPr>
        <w:jc w:val="center"/>
        <w:rPr>
          <w:rFonts w:ascii="ITC Avant Garde" w:hAnsi="ITC Avant Garde"/>
          <w:b/>
          <w:sz w:val="22"/>
          <w:szCs w:val="22"/>
        </w:rPr>
      </w:pPr>
    </w:p>
    <w:p w:rsidR="003F2667" w:rsidRPr="003F2667" w:rsidRDefault="003F2667" w:rsidP="003F2667">
      <w:pPr>
        <w:rPr>
          <w:rFonts w:ascii="ITC Avant Garde" w:hAnsi="ITC Avant Garde"/>
          <w:sz w:val="16"/>
          <w:szCs w:val="16"/>
        </w:rPr>
      </w:pPr>
      <w:r>
        <w:rPr>
          <w:rFonts w:ascii="ITC Avant Garde" w:hAnsi="ITC Avant Garde"/>
          <w:sz w:val="16"/>
          <w:szCs w:val="16"/>
        </w:rPr>
        <w:t>México D.F. a 24 de agosto de 2015.</w:t>
      </w:r>
    </w:p>
    <w:sectPr w:rsidR="003F2667" w:rsidRPr="003F2667" w:rsidSect="00825354">
      <w:headerReference w:type="default" r:id="rId7"/>
      <w:footerReference w:type="even" r:id="rId8"/>
      <w:footerReference w:type="default" r:id="rId9"/>
      <w:headerReference w:type="first" r:id="rId10"/>
      <w:pgSz w:w="12240" w:h="15840" w:code="1"/>
      <w:pgMar w:top="2795" w:right="1183" w:bottom="2410" w:left="1701"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D2" w:rsidRDefault="00C31BD2">
      <w:r>
        <w:separator/>
      </w:r>
    </w:p>
  </w:endnote>
  <w:endnote w:type="continuationSeparator" w:id="0">
    <w:p w:rsidR="00C31BD2" w:rsidRDefault="00C31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54" w:rsidRDefault="00825354" w:rsidP="0081276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25354" w:rsidRDefault="00825354" w:rsidP="0081276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54" w:rsidRPr="00891265" w:rsidRDefault="00825354" w:rsidP="0081276C">
    <w:pPr>
      <w:pStyle w:val="Piedepgina"/>
      <w:ind w:right="360"/>
      <w:jc w:val="right"/>
      <w:rPr>
        <w:rFonts w:ascii="Arial" w:hAnsi="Arial" w:cs="Arial"/>
        <w:sz w:val="16"/>
        <w:szCs w:val="16"/>
      </w:rPr>
    </w:pPr>
    <w:r w:rsidRPr="00891265">
      <w:rPr>
        <w:rStyle w:val="Nmerodepgina"/>
        <w:rFonts w:ascii="Arial" w:hAnsi="Arial" w:cs="Arial"/>
        <w:sz w:val="16"/>
        <w:szCs w:val="16"/>
      </w:rPr>
      <w:fldChar w:fldCharType="begin"/>
    </w:r>
    <w:r w:rsidRPr="00891265">
      <w:rPr>
        <w:rStyle w:val="Nmerodepgina"/>
        <w:rFonts w:ascii="Arial" w:hAnsi="Arial" w:cs="Arial"/>
        <w:sz w:val="16"/>
        <w:szCs w:val="16"/>
      </w:rPr>
      <w:instrText xml:space="preserve"> PAGE </w:instrText>
    </w:r>
    <w:r w:rsidRPr="00891265">
      <w:rPr>
        <w:rStyle w:val="Nmerodepgina"/>
        <w:rFonts w:ascii="Arial" w:hAnsi="Arial" w:cs="Arial"/>
        <w:sz w:val="16"/>
        <w:szCs w:val="16"/>
      </w:rPr>
      <w:fldChar w:fldCharType="separate"/>
    </w:r>
    <w:r w:rsidR="00234A57">
      <w:rPr>
        <w:rStyle w:val="Nmerodepgina"/>
        <w:rFonts w:ascii="Arial" w:hAnsi="Arial" w:cs="Arial"/>
        <w:noProof/>
        <w:sz w:val="16"/>
        <w:szCs w:val="16"/>
      </w:rPr>
      <w:t>8</w:t>
    </w:r>
    <w:r w:rsidRPr="00891265">
      <w:rPr>
        <w:rStyle w:val="Nmerodepgina"/>
        <w:rFonts w:ascii="Arial" w:hAnsi="Arial" w:cs="Arial"/>
        <w:sz w:val="16"/>
        <w:szCs w:val="16"/>
      </w:rPr>
      <w:fldChar w:fldCharType="end"/>
    </w:r>
    <w:r w:rsidRPr="00891265">
      <w:rPr>
        <w:rStyle w:val="Nmerodepgina"/>
        <w:rFonts w:ascii="Arial" w:hAnsi="Arial" w:cs="Arial"/>
        <w:sz w:val="16"/>
        <w:szCs w:val="16"/>
      </w:rPr>
      <w:t xml:space="preserve"> de </w:t>
    </w:r>
    <w:r w:rsidRPr="00891265">
      <w:rPr>
        <w:rStyle w:val="Nmerodepgina"/>
        <w:rFonts w:ascii="Arial" w:hAnsi="Arial" w:cs="Arial"/>
        <w:sz w:val="16"/>
        <w:szCs w:val="16"/>
      </w:rPr>
      <w:fldChar w:fldCharType="begin"/>
    </w:r>
    <w:r w:rsidRPr="00891265">
      <w:rPr>
        <w:rStyle w:val="Nmerodepgina"/>
        <w:rFonts w:ascii="Arial" w:hAnsi="Arial" w:cs="Arial"/>
        <w:sz w:val="16"/>
        <w:szCs w:val="16"/>
      </w:rPr>
      <w:instrText xml:space="preserve"> NUMPAGES </w:instrText>
    </w:r>
    <w:r w:rsidRPr="00891265">
      <w:rPr>
        <w:rStyle w:val="Nmerodepgina"/>
        <w:rFonts w:ascii="Arial" w:hAnsi="Arial" w:cs="Arial"/>
        <w:sz w:val="16"/>
        <w:szCs w:val="16"/>
      </w:rPr>
      <w:fldChar w:fldCharType="separate"/>
    </w:r>
    <w:r w:rsidR="00234A57">
      <w:rPr>
        <w:rStyle w:val="Nmerodepgina"/>
        <w:rFonts w:ascii="Arial" w:hAnsi="Arial" w:cs="Arial"/>
        <w:noProof/>
        <w:sz w:val="16"/>
        <w:szCs w:val="16"/>
      </w:rPr>
      <w:t>8</w:t>
    </w:r>
    <w:r w:rsidRPr="00891265">
      <w:rPr>
        <w:rStyle w:val="Nmerodepgina"/>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D2" w:rsidRDefault="00C31BD2">
      <w:r>
        <w:separator/>
      </w:r>
    </w:p>
  </w:footnote>
  <w:footnote w:type="continuationSeparator" w:id="0">
    <w:p w:rsidR="00C31BD2" w:rsidRDefault="00C31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54" w:rsidRDefault="00825354">
    <w:pPr>
      <w:pStyle w:val="Encabezado"/>
    </w:pPr>
    <w:r>
      <w:rPr>
        <w:noProof/>
        <w:lang w:val="es-MX" w:eastAsia="es-MX"/>
      </w:rPr>
      <w:drawing>
        <wp:anchor distT="0" distB="0" distL="114300" distR="114300" simplePos="0" relativeHeight="251660288" behindDoc="1" locked="0" layoutInCell="0" allowOverlap="1">
          <wp:simplePos x="0" y="0"/>
          <wp:positionH relativeFrom="margin">
            <wp:posOffset>-1080135</wp:posOffset>
          </wp:positionH>
          <wp:positionV relativeFrom="margin">
            <wp:posOffset>-1754505</wp:posOffset>
          </wp:positionV>
          <wp:extent cx="7772400" cy="10058400"/>
          <wp:effectExtent l="0" t="0" r="0" b="0"/>
          <wp:wrapNone/>
          <wp:docPr id="9" name="Imagen 9" descr="hojamen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men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54" w:rsidRDefault="0082535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6" o:spid="_x0000_s2049" type="#_x0000_t75" style="position:absolute;margin-left:-78.8pt;margin-top:-139.95pt;width:612pt;height:11in;z-index:-251657216;mso-position-horizontal-relative:margin;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806EB"/>
    <w:multiLevelType w:val="hybridMultilevel"/>
    <w:tmpl w:val="F6E8EEF0"/>
    <w:lvl w:ilvl="0" w:tplc="6388C79A">
      <w:start w:val="1"/>
      <w:numFmt w:val="decimal"/>
      <w:lvlText w:val="%1)"/>
      <w:lvlJc w:val="left"/>
      <w:pPr>
        <w:ind w:left="1080" w:hanging="360"/>
      </w:pPr>
      <w:rPr>
        <w:rFonts w:hint="default"/>
        <w:b/>
        <w:u w:val="singl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304052FA"/>
    <w:multiLevelType w:val="hybridMultilevel"/>
    <w:tmpl w:val="31002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9B1DDA"/>
    <w:multiLevelType w:val="hybridMultilevel"/>
    <w:tmpl w:val="FC780A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3E7145F7"/>
    <w:multiLevelType w:val="hybridMultilevel"/>
    <w:tmpl w:val="4D1A36EC"/>
    <w:lvl w:ilvl="0" w:tplc="080A0001">
      <w:start w:val="1"/>
      <w:numFmt w:val="bullet"/>
      <w:lvlText w:val=""/>
      <w:lvlJc w:val="left"/>
      <w:pPr>
        <w:ind w:left="1854" w:hanging="360"/>
      </w:pPr>
      <w:rPr>
        <w:rFonts w:ascii="Symbol" w:hAnsi="Symbol" w:hint="default"/>
      </w:rPr>
    </w:lvl>
    <w:lvl w:ilvl="1" w:tplc="81E48578">
      <w:numFmt w:val="bullet"/>
      <w:lvlText w:val="•"/>
      <w:lvlJc w:val="left"/>
      <w:pPr>
        <w:ind w:left="2574" w:hanging="360"/>
      </w:pPr>
      <w:rPr>
        <w:rFonts w:ascii="Times New Roman" w:eastAsia="Times New Roman" w:hAnsi="Times New Roman" w:cs="Times New Roman"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A63"/>
    <w:rsid w:val="000C51F6"/>
    <w:rsid w:val="001E6A0B"/>
    <w:rsid w:val="00234A57"/>
    <w:rsid w:val="00362C2A"/>
    <w:rsid w:val="00371C42"/>
    <w:rsid w:val="003F2667"/>
    <w:rsid w:val="003F2D1D"/>
    <w:rsid w:val="00430BA5"/>
    <w:rsid w:val="004A3452"/>
    <w:rsid w:val="00692ABC"/>
    <w:rsid w:val="006B2750"/>
    <w:rsid w:val="00762F8B"/>
    <w:rsid w:val="007A0492"/>
    <w:rsid w:val="007E6BE6"/>
    <w:rsid w:val="0081276C"/>
    <w:rsid w:val="00825354"/>
    <w:rsid w:val="00852006"/>
    <w:rsid w:val="008C1A63"/>
    <w:rsid w:val="008D4B9A"/>
    <w:rsid w:val="00926EC6"/>
    <w:rsid w:val="00970EFD"/>
    <w:rsid w:val="009B6B14"/>
    <w:rsid w:val="00A36B53"/>
    <w:rsid w:val="00BF5BD1"/>
    <w:rsid w:val="00C31BD2"/>
    <w:rsid w:val="00C537CE"/>
    <w:rsid w:val="00CB05CF"/>
    <w:rsid w:val="00D11E7D"/>
    <w:rsid w:val="00E05E4B"/>
    <w:rsid w:val="00E41F0A"/>
    <w:rsid w:val="00E76101"/>
    <w:rsid w:val="00F742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6DA73D3F-30E2-46E6-8F32-24B01927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A63"/>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nhideWhenUsed/>
    <w:qFormat/>
    <w:rsid w:val="008C1A63"/>
    <w:pPr>
      <w:keepNext/>
      <w:spacing w:before="240" w:after="60"/>
      <w:outlineLvl w:val="1"/>
    </w:pPr>
    <w:rPr>
      <w:rFonts w:ascii="Cambria" w:hAnsi="Cambria"/>
      <w:b/>
      <w:bCs/>
      <w:i/>
      <w:i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C1A63"/>
    <w:rPr>
      <w:rFonts w:ascii="Cambria" w:eastAsia="Times New Roman" w:hAnsi="Cambria" w:cs="Times New Roman"/>
      <w:b/>
      <w:bCs/>
      <w:i/>
      <w:iCs/>
      <w:sz w:val="28"/>
      <w:szCs w:val="28"/>
      <w:lang w:val="es-ES" w:eastAsia="es-ES"/>
    </w:rPr>
  </w:style>
  <w:style w:type="paragraph" w:customStyle="1" w:styleId="Default">
    <w:name w:val="Default"/>
    <w:rsid w:val="008C1A63"/>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a">
    <w:basedOn w:val="Default"/>
    <w:next w:val="Default"/>
    <w:qFormat/>
    <w:rsid w:val="008C1A63"/>
    <w:rPr>
      <w:rFonts w:cs="Times New Roman"/>
      <w:color w:val="auto"/>
    </w:rPr>
  </w:style>
  <w:style w:type="paragraph" w:styleId="Encabezado">
    <w:name w:val="header"/>
    <w:basedOn w:val="Normal"/>
    <w:link w:val="EncabezadoCar"/>
    <w:rsid w:val="008C1A63"/>
    <w:pPr>
      <w:tabs>
        <w:tab w:val="center" w:pos="4419"/>
        <w:tab w:val="right" w:pos="8838"/>
      </w:tabs>
    </w:pPr>
  </w:style>
  <w:style w:type="character" w:customStyle="1" w:styleId="EncabezadoCar">
    <w:name w:val="Encabezado Car"/>
    <w:basedOn w:val="Fuentedeprrafopredeter"/>
    <w:link w:val="Encabezado"/>
    <w:rsid w:val="008C1A63"/>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8C1A63"/>
    <w:pPr>
      <w:tabs>
        <w:tab w:val="center" w:pos="4419"/>
        <w:tab w:val="right" w:pos="8838"/>
      </w:tabs>
    </w:pPr>
  </w:style>
  <w:style w:type="character" w:customStyle="1" w:styleId="PiedepginaCar">
    <w:name w:val="Pie de página Car"/>
    <w:basedOn w:val="Fuentedeprrafopredeter"/>
    <w:link w:val="Piedepgina"/>
    <w:rsid w:val="008C1A6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C1A63"/>
  </w:style>
  <w:style w:type="paragraph" w:styleId="Lista2">
    <w:name w:val="List 2"/>
    <w:basedOn w:val="Normal"/>
    <w:rsid w:val="008C1A63"/>
    <w:pPr>
      <w:ind w:left="566" w:hanging="283"/>
      <w:contextualSpacing/>
    </w:pPr>
  </w:style>
  <w:style w:type="paragraph" w:styleId="Saludo">
    <w:name w:val="Salutation"/>
    <w:basedOn w:val="Normal"/>
    <w:next w:val="Normal"/>
    <w:link w:val="SaludoCar"/>
    <w:rsid w:val="008C1A63"/>
  </w:style>
  <w:style w:type="character" w:customStyle="1" w:styleId="SaludoCar">
    <w:name w:val="Saludo Car"/>
    <w:basedOn w:val="Fuentedeprrafopredeter"/>
    <w:link w:val="Saludo"/>
    <w:rsid w:val="008C1A63"/>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8C1A63"/>
    <w:pPr>
      <w:spacing w:after="120"/>
    </w:pPr>
  </w:style>
  <w:style w:type="character" w:customStyle="1" w:styleId="TextoindependienteCar">
    <w:name w:val="Texto independiente Car"/>
    <w:basedOn w:val="Fuentedeprrafopredeter"/>
    <w:link w:val="Textoindependiente"/>
    <w:rsid w:val="008C1A63"/>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742A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42AE"/>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081926">
      <w:bodyDiv w:val="1"/>
      <w:marLeft w:val="0"/>
      <w:marRight w:val="0"/>
      <w:marTop w:val="0"/>
      <w:marBottom w:val="0"/>
      <w:divBdr>
        <w:top w:val="none" w:sz="0" w:space="0" w:color="auto"/>
        <w:left w:val="none" w:sz="0" w:space="0" w:color="auto"/>
        <w:bottom w:val="none" w:sz="0" w:space="0" w:color="auto"/>
        <w:right w:val="none" w:sz="0" w:space="0" w:color="auto"/>
      </w:divBdr>
    </w:div>
    <w:div w:id="204540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1960</Words>
  <Characters>10781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Alicia Andrade Alfaro</dc:creator>
  <cp:keywords/>
  <dc:description/>
  <cp:lastModifiedBy>Yaratzel Funes Lopez</cp:lastModifiedBy>
  <cp:revision>4</cp:revision>
  <cp:lastPrinted>2015-06-25T19:14:00Z</cp:lastPrinted>
  <dcterms:created xsi:type="dcterms:W3CDTF">2015-08-24T18:13:00Z</dcterms:created>
  <dcterms:modified xsi:type="dcterms:W3CDTF">2015-08-24T18:16:00Z</dcterms:modified>
</cp:coreProperties>
</file>