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F5683" w14:textId="7A620065" w:rsidR="008C1EC6" w:rsidRPr="002201B0" w:rsidRDefault="008C1EC6" w:rsidP="008C1EC6">
      <w:pPr>
        <w:keepNext/>
        <w:spacing w:before="240"/>
        <w:jc w:val="center"/>
        <w:outlineLvl w:val="0"/>
        <w:rPr>
          <w:rFonts w:eastAsia="Arial" w:cs="Arial"/>
          <w:b/>
          <w:smallCaps/>
          <w:sz w:val="24"/>
          <w:szCs w:val="16"/>
          <w:lang w:val="es-ES_tradnl"/>
        </w:rPr>
      </w:pPr>
      <w:r>
        <w:rPr>
          <w:rFonts w:eastAsia="Arial" w:cs="Arial"/>
          <w:b/>
          <w:smallCaps/>
          <w:sz w:val="24"/>
          <w:szCs w:val="16"/>
          <w:lang w:val="es-ES_tradnl"/>
        </w:rPr>
        <w:t>PRUEBA DE REPLICABILIDAD DE BANDA ANCHA EX–ANTE Y EX-POST</w:t>
      </w:r>
    </w:p>
    <w:p w14:paraId="0556C4E6" w14:textId="77777777" w:rsidR="008C1EC6" w:rsidRPr="002201B0" w:rsidRDefault="008C1EC6">
      <w:pPr>
        <w:numPr>
          <w:ilvl w:val="0"/>
          <w:numId w:val="35"/>
        </w:numPr>
        <w:spacing w:before="160" w:after="160" w:line="259" w:lineRule="auto"/>
        <w:jc w:val="left"/>
        <w:outlineLvl w:val="1"/>
        <w:rPr>
          <w:rFonts w:eastAsia="Arial" w:cs="Arial"/>
          <w:b/>
          <w:szCs w:val="14"/>
          <w:lang w:val="es-ES_tradnl"/>
        </w:rPr>
      </w:pPr>
      <w:r w:rsidRPr="002201B0">
        <w:rPr>
          <w:rFonts w:eastAsia="Arial" w:cs="Arial"/>
          <w:b/>
          <w:szCs w:val="14"/>
          <w:lang w:val="es-ES_tradnl"/>
        </w:rPr>
        <w:t>Introducción</w:t>
      </w:r>
      <w:bookmarkStart w:id="0" w:name="_GoBack"/>
      <w:bookmarkEnd w:id="0"/>
    </w:p>
    <w:p w14:paraId="6CCC4ED8" w14:textId="032DCCF0" w:rsidR="008C1EC6" w:rsidRDefault="008C1EC6" w:rsidP="008C1EC6">
      <w:r>
        <w:t xml:space="preserve">Este </w:t>
      </w:r>
      <w:r w:rsidR="00DE5E54">
        <w:t>apartado</w:t>
      </w:r>
      <w:r>
        <w:t xml:space="preserve"> complementa los modelos Excel relativos a la prueba de replicabilidad a aplicar a los </w:t>
      </w:r>
      <w:r w:rsidRPr="00262AD4">
        <w:rPr>
          <w:b/>
        </w:rPr>
        <w:t>servicios minoristas de banda ancha y de banda ancha empaquetada con telefonía fija</w:t>
      </w:r>
      <w:r>
        <w:t xml:space="preserve">. El objetivo de la prueba de replicabilidad es evaluar si un operador alternativo que hace uso de los servicios mayoristas regulados puede replicar rentablemente la oferta minorista del AEP para el servicio analizado. </w:t>
      </w:r>
    </w:p>
    <w:p w14:paraId="74F9A382" w14:textId="77777777" w:rsidR="008C1EC6" w:rsidRPr="002201B0" w:rsidRDefault="008C1EC6" w:rsidP="008C1EC6">
      <w:r>
        <w:t xml:space="preserve">En el caso de los servicios de banda ancha y banda ancha empaquetada con telefonía fija, las principales dimensiones de la prueba se resumen en la </w:t>
      </w:r>
      <w:r>
        <w:fldChar w:fldCharType="begin"/>
      </w:r>
      <w:r>
        <w:instrText xml:space="preserve"> REF _Ref482888419 \h </w:instrText>
      </w:r>
      <w:r>
        <w:fldChar w:fldCharType="separate"/>
      </w:r>
      <w:r>
        <w:t xml:space="preserve">Figura </w:t>
      </w:r>
      <w:r>
        <w:rPr>
          <w:noProof/>
        </w:rPr>
        <w:t>1</w:t>
      </w:r>
      <w:r>
        <w:fldChar w:fldCharType="end"/>
      </w:r>
      <w:r>
        <w:t>.</w:t>
      </w:r>
    </w:p>
    <w:p w14:paraId="2802B9EC" w14:textId="77777777" w:rsidR="008C1EC6" w:rsidRPr="006E1502" w:rsidRDefault="008C1EC6" w:rsidP="008C1EC6">
      <w:pPr>
        <w:keepNext/>
        <w:tabs>
          <w:tab w:val="left" w:pos="1276"/>
        </w:tabs>
        <w:spacing w:before="120" w:after="60" w:line="240" w:lineRule="auto"/>
        <w:ind w:left="1276" w:hanging="1276"/>
        <w:rPr>
          <w:rFonts w:eastAsia="Calibri" w:cs="Arial"/>
          <w:b/>
          <w:color w:val="000000" w:themeColor="text1"/>
          <w:sz w:val="18"/>
          <w:szCs w:val="18"/>
          <w:lang w:val="es-ES_tradnl"/>
        </w:rPr>
      </w:pPr>
      <w:bookmarkStart w:id="1" w:name="_Ref482888419"/>
      <w:r w:rsidRPr="006E1502">
        <w:rPr>
          <w:rFonts w:eastAsia="Calibri" w:cs="Arial"/>
          <w:b/>
          <w:color w:val="000000" w:themeColor="text1"/>
          <w:sz w:val="18"/>
          <w:szCs w:val="18"/>
          <w:lang w:val="es-ES_tradnl"/>
        </w:rPr>
        <w:t xml:space="preserve">Figura </w:t>
      </w:r>
      <w:r w:rsidRPr="006E1502">
        <w:rPr>
          <w:rFonts w:eastAsia="Calibri" w:cs="Arial"/>
          <w:b/>
          <w:color w:val="000000" w:themeColor="text1"/>
          <w:sz w:val="18"/>
          <w:szCs w:val="18"/>
          <w:lang w:val="es-ES_tradnl"/>
        </w:rPr>
        <w:fldChar w:fldCharType="begin"/>
      </w:r>
      <w:r w:rsidRPr="006E1502">
        <w:rPr>
          <w:rFonts w:eastAsia="Calibri" w:cs="Arial"/>
          <w:b/>
          <w:color w:val="000000" w:themeColor="text1"/>
          <w:sz w:val="18"/>
          <w:szCs w:val="18"/>
          <w:lang w:val="es-ES_tradnl"/>
        </w:rPr>
        <w:instrText xml:space="preserve"> SEQ Figura </w:instrText>
      </w:r>
      <w:r w:rsidRPr="006E1502">
        <w:rPr>
          <w:rFonts w:eastAsia="Calibri" w:cs="Arial"/>
          <w:b/>
          <w:color w:val="000000" w:themeColor="text1"/>
          <w:sz w:val="18"/>
          <w:szCs w:val="18"/>
          <w:lang w:val="es-ES_tradnl"/>
        </w:rPr>
        <w:fldChar w:fldCharType="separate"/>
      </w:r>
      <w:r w:rsidRPr="006E1502">
        <w:rPr>
          <w:rFonts w:eastAsia="Calibri" w:cs="Arial"/>
          <w:b/>
          <w:noProof/>
          <w:color w:val="000000" w:themeColor="text1"/>
          <w:sz w:val="18"/>
          <w:szCs w:val="18"/>
          <w:lang w:val="es-ES_tradnl"/>
        </w:rPr>
        <w:t>1</w:t>
      </w:r>
      <w:r w:rsidRPr="006E1502">
        <w:rPr>
          <w:rFonts w:eastAsia="Calibri" w:cs="Arial"/>
          <w:b/>
          <w:noProof/>
          <w:color w:val="000000" w:themeColor="text1"/>
          <w:sz w:val="18"/>
          <w:szCs w:val="18"/>
          <w:lang w:val="es-ES_tradnl"/>
        </w:rPr>
        <w:fldChar w:fldCharType="end"/>
      </w:r>
      <w:bookmarkEnd w:id="1"/>
      <w:r w:rsidRPr="006E1502">
        <w:rPr>
          <w:rFonts w:eastAsia="Calibri" w:cs="Arial"/>
          <w:b/>
          <w:color w:val="000000" w:themeColor="text1"/>
          <w:sz w:val="18"/>
          <w:szCs w:val="18"/>
          <w:lang w:val="es-ES_tradnl"/>
        </w:rPr>
        <w:tab/>
        <w:t>Dimensiones de la prueba de banda ancha y banda ancha empaquetada con telefonía fija</w:t>
      </w:r>
    </w:p>
    <w:tbl>
      <w:tblPr>
        <w:tblStyle w:val="Frontier1"/>
        <w:tblW w:w="7940" w:type="dxa"/>
        <w:tblInd w:w="108" w:type="dxa"/>
        <w:tblLayout w:type="fixed"/>
        <w:tblLook w:val="0420" w:firstRow="1" w:lastRow="0" w:firstColumn="0" w:lastColumn="0" w:noHBand="0" w:noVBand="1"/>
      </w:tblPr>
      <w:tblGrid>
        <w:gridCol w:w="3957"/>
        <w:gridCol w:w="3983"/>
      </w:tblGrid>
      <w:tr w:rsidR="008C1EC6" w:rsidRPr="002201B0" w14:paraId="2A6065EB" w14:textId="77777777" w:rsidTr="009511FF">
        <w:trPr>
          <w:cnfStyle w:val="100000000000" w:firstRow="1" w:lastRow="0" w:firstColumn="0" w:lastColumn="0" w:oddVBand="0" w:evenVBand="0" w:oddHBand="0" w:evenHBand="0" w:firstRowFirstColumn="0" w:firstRowLastColumn="0" w:lastRowFirstColumn="0" w:lastRowLastColumn="0"/>
          <w:trHeight w:val="20"/>
          <w:tblHeader/>
        </w:trPr>
        <w:tc>
          <w:tcPr>
            <w:tcW w:w="2492" w:type="pct"/>
          </w:tcPr>
          <w:p w14:paraId="0BA36AC7" w14:textId="77777777" w:rsidR="008C1EC6" w:rsidRPr="002201B0" w:rsidRDefault="008C1EC6" w:rsidP="009511FF">
            <w:pPr>
              <w:spacing w:before="40" w:after="40" w:line="240" w:lineRule="auto"/>
              <w:jc w:val="left"/>
              <w:rPr>
                <w:rFonts w:ascii="ITC Avant Garde" w:eastAsiaTheme="minorHAnsi" w:hAnsi="ITC Avant Garde"/>
                <w:b/>
                <w:bCs/>
                <w:color w:val="A5A5A5" w:themeColor="accent3"/>
                <w:sz w:val="20"/>
                <w:lang w:val="es-ES_tradnl"/>
              </w:rPr>
            </w:pPr>
            <w:r w:rsidRPr="002201B0">
              <w:rPr>
                <w:rFonts w:ascii="ITC Avant Garde" w:eastAsiaTheme="minorHAnsi" w:hAnsi="ITC Avant Garde"/>
                <w:b/>
                <w:bCs/>
                <w:color w:val="A5A5A5" w:themeColor="accent3"/>
                <w:sz w:val="20"/>
                <w:lang w:val="es-ES_tradnl"/>
              </w:rPr>
              <w:t>Dimensión</w:t>
            </w:r>
          </w:p>
        </w:tc>
        <w:tc>
          <w:tcPr>
            <w:tcW w:w="2508" w:type="pct"/>
          </w:tcPr>
          <w:p w14:paraId="1744182E" w14:textId="77777777" w:rsidR="008C1EC6" w:rsidRPr="002201B0" w:rsidRDefault="008C1EC6" w:rsidP="009511FF">
            <w:pPr>
              <w:spacing w:before="40" w:after="40" w:line="240" w:lineRule="auto"/>
              <w:jc w:val="left"/>
              <w:rPr>
                <w:rFonts w:ascii="ITC Avant Garde" w:eastAsiaTheme="minorHAnsi" w:hAnsi="ITC Avant Garde"/>
                <w:b/>
                <w:bCs/>
                <w:color w:val="A5A5A5" w:themeColor="accent3"/>
                <w:sz w:val="20"/>
                <w:lang w:val="es-ES_tradnl"/>
              </w:rPr>
            </w:pPr>
            <w:r w:rsidRPr="002201B0">
              <w:rPr>
                <w:rFonts w:ascii="ITC Avant Garde" w:eastAsiaTheme="minorHAnsi" w:hAnsi="ITC Avant Garde"/>
                <w:b/>
                <w:bCs/>
                <w:color w:val="A5A5A5" w:themeColor="accent3"/>
                <w:sz w:val="20"/>
                <w:lang w:val="es-ES_tradnl"/>
              </w:rPr>
              <w:t>Especificación</w:t>
            </w:r>
          </w:p>
        </w:tc>
      </w:tr>
      <w:tr w:rsidR="008C1EC6" w:rsidRPr="002201B0" w14:paraId="7CB72756"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4F32AD9B" w14:textId="77777777" w:rsidR="008C1EC6" w:rsidRPr="00FB7A59" w:rsidRDefault="008C1EC6" w:rsidP="009511FF">
            <w:pPr>
              <w:spacing w:before="40" w:after="40" w:line="240" w:lineRule="auto"/>
              <w:jc w:val="left"/>
              <w:rPr>
                <w:rFonts w:ascii="ITC Avant Garde" w:eastAsiaTheme="minorHAnsi" w:hAnsi="ITC Avant Garde"/>
                <w:b/>
                <w:sz w:val="20"/>
                <w:lang w:val="es-ES_tradnl"/>
              </w:rPr>
            </w:pPr>
            <w:r w:rsidRPr="00FB7A59">
              <w:rPr>
                <w:rFonts w:ascii="ITC Avant Garde" w:eastAsiaTheme="minorHAnsi" w:hAnsi="ITC Avant Garde"/>
                <w:b/>
                <w:sz w:val="20"/>
                <w:lang w:val="es-ES_tradnl"/>
              </w:rPr>
              <w:t>Implementación</w:t>
            </w:r>
          </w:p>
        </w:tc>
        <w:tc>
          <w:tcPr>
            <w:tcW w:w="2508" w:type="pct"/>
          </w:tcPr>
          <w:p w14:paraId="663AE6DA" w14:textId="77777777" w:rsidR="008C1EC6" w:rsidRPr="00FB7A59" w:rsidRDefault="008C1EC6" w:rsidP="009511FF">
            <w:pPr>
              <w:spacing w:before="40" w:after="40" w:line="240" w:lineRule="auto"/>
              <w:jc w:val="left"/>
              <w:rPr>
                <w:rFonts w:ascii="ITC Avant Garde" w:eastAsiaTheme="minorHAnsi" w:hAnsi="ITC Avant Garde"/>
                <w:sz w:val="20"/>
                <w:lang w:val="es-ES_tradnl"/>
              </w:rPr>
            </w:pPr>
            <w:r w:rsidRPr="00FB7A59">
              <w:rPr>
                <w:rFonts w:ascii="ITC Avant Garde" w:eastAsiaTheme="minorHAnsi" w:hAnsi="ITC Avant Garde"/>
                <w:sz w:val="20"/>
                <w:lang w:val="es-ES_tradnl"/>
              </w:rPr>
              <w:t>Ex – ante y ex – post, cada seis meses</w:t>
            </w:r>
          </w:p>
        </w:tc>
      </w:tr>
      <w:tr w:rsidR="008C1EC6" w:rsidRPr="002201B0" w14:paraId="66D66998" w14:textId="77777777" w:rsidTr="009511FF">
        <w:trPr>
          <w:trHeight w:val="20"/>
        </w:trPr>
        <w:tc>
          <w:tcPr>
            <w:tcW w:w="2492" w:type="pct"/>
          </w:tcPr>
          <w:p w14:paraId="196D0EE6" w14:textId="77777777" w:rsidR="008C1EC6" w:rsidRPr="00FB7A59" w:rsidRDefault="008C1EC6" w:rsidP="009511FF">
            <w:pPr>
              <w:spacing w:before="40" w:after="40" w:line="240" w:lineRule="auto"/>
              <w:jc w:val="left"/>
              <w:rPr>
                <w:rFonts w:ascii="ITC Avant Garde" w:eastAsiaTheme="minorHAnsi" w:hAnsi="ITC Avant Garde"/>
                <w:b/>
                <w:sz w:val="20"/>
                <w:lang w:val="es-ES_tradnl"/>
              </w:rPr>
            </w:pPr>
            <w:r w:rsidRPr="00FB7A59">
              <w:rPr>
                <w:rFonts w:ascii="ITC Avant Garde" w:eastAsiaTheme="minorHAnsi" w:hAnsi="ITC Avant Garde"/>
                <w:b/>
                <w:sz w:val="20"/>
                <w:lang w:val="es-ES_tradnl"/>
              </w:rPr>
              <w:t>Nivel de eficiencia</w:t>
            </w:r>
          </w:p>
        </w:tc>
        <w:tc>
          <w:tcPr>
            <w:tcW w:w="2508" w:type="pct"/>
          </w:tcPr>
          <w:p w14:paraId="07E13C63" w14:textId="77777777" w:rsidR="008C1EC6" w:rsidRPr="00FB7A59" w:rsidRDefault="008C1EC6" w:rsidP="009511FF">
            <w:pPr>
              <w:spacing w:before="40" w:after="40" w:line="240" w:lineRule="auto"/>
              <w:jc w:val="left"/>
              <w:rPr>
                <w:rFonts w:ascii="ITC Avant Garde" w:eastAsiaTheme="minorHAnsi" w:hAnsi="ITC Avant Garde"/>
                <w:sz w:val="20"/>
                <w:lang w:val="es-ES_tradnl"/>
              </w:rPr>
            </w:pPr>
            <w:r w:rsidRPr="00FB7A59">
              <w:rPr>
                <w:rFonts w:ascii="ITC Avant Garde" w:eastAsiaTheme="minorHAnsi" w:hAnsi="ITC Avant Garde"/>
                <w:sz w:val="20"/>
                <w:lang w:val="es-ES_tradnl"/>
              </w:rPr>
              <w:t>SEO</w:t>
            </w:r>
          </w:p>
        </w:tc>
      </w:tr>
      <w:tr w:rsidR="008C1EC6" w:rsidRPr="002201B0" w14:paraId="7A707559"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4A9DDEEF" w14:textId="77777777" w:rsidR="008C1EC6" w:rsidRPr="00FB7A59" w:rsidRDefault="008C1EC6" w:rsidP="009511FF">
            <w:pPr>
              <w:spacing w:before="40" w:after="40" w:line="240" w:lineRule="auto"/>
              <w:jc w:val="left"/>
              <w:rPr>
                <w:rFonts w:ascii="ITC Avant Garde" w:eastAsiaTheme="minorHAnsi" w:hAnsi="ITC Avant Garde"/>
                <w:b/>
                <w:sz w:val="20"/>
                <w:lang w:val="es-ES_tradnl"/>
              </w:rPr>
            </w:pPr>
            <w:r w:rsidRPr="00FB7A59">
              <w:rPr>
                <w:rFonts w:ascii="ITC Avant Garde" w:eastAsiaTheme="minorHAnsi" w:hAnsi="ITC Avant Garde"/>
                <w:b/>
                <w:sz w:val="20"/>
                <w:lang w:val="es-ES_tradnl"/>
              </w:rPr>
              <w:t>Nivel de agregación</w:t>
            </w:r>
          </w:p>
        </w:tc>
        <w:tc>
          <w:tcPr>
            <w:tcW w:w="2508" w:type="pct"/>
          </w:tcPr>
          <w:p w14:paraId="257E5430" w14:textId="77777777" w:rsidR="008C1EC6" w:rsidRPr="00FB7A59" w:rsidRDefault="008C1EC6" w:rsidP="009511FF">
            <w:pPr>
              <w:spacing w:before="40" w:after="40" w:line="240" w:lineRule="auto"/>
              <w:jc w:val="left"/>
              <w:rPr>
                <w:rFonts w:ascii="ITC Avant Garde" w:eastAsiaTheme="minorHAnsi" w:hAnsi="ITC Avant Garde"/>
                <w:sz w:val="20"/>
                <w:lang w:val="es-ES_tradnl"/>
              </w:rPr>
            </w:pPr>
            <w:r w:rsidRPr="00FB7A59">
              <w:rPr>
                <w:rFonts w:ascii="ITC Avant Garde" w:eastAsiaTheme="minorHAnsi" w:hAnsi="ITC Avant Garde"/>
                <w:sz w:val="20"/>
                <w:lang w:val="es-ES_tradnl"/>
              </w:rPr>
              <w:t>Individual y cartera de productos</w:t>
            </w:r>
          </w:p>
        </w:tc>
      </w:tr>
      <w:tr w:rsidR="008C1EC6" w:rsidRPr="002201B0" w14:paraId="20B019D5" w14:textId="77777777" w:rsidTr="009511FF">
        <w:trPr>
          <w:trHeight w:val="20"/>
        </w:trPr>
        <w:tc>
          <w:tcPr>
            <w:tcW w:w="2492" w:type="pct"/>
          </w:tcPr>
          <w:p w14:paraId="4752D536" w14:textId="77777777" w:rsidR="008C1EC6" w:rsidRPr="00FB7A59" w:rsidRDefault="008C1EC6" w:rsidP="009511FF">
            <w:pPr>
              <w:spacing w:before="40" w:after="40" w:line="240" w:lineRule="auto"/>
              <w:jc w:val="left"/>
              <w:rPr>
                <w:rFonts w:ascii="ITC Avant Garde" w:eastAsiaTheme="minorHAnsi" w:hAnsi="ITC Avant Garde"/>
                <w:b/>
                <w:sz w:val="20"/>
                <w:lang w:val="es-ES_tradnl"/>
              </w:rPr>
            </w:pPr>
            <w:r w:rsidRPr="00FB7A59">
              <w:rPr>
                <w:rFonts w:ascii="ITC Avant Garde" w:eastAsiaTheme="minorHAnsi" w:hAnsi="ITC Avant Garde"/>
                <w:b/>
                <w:sz w:val="20"/>
                <w:lang w:val="es-ES_tradnl"/>
              </w:rPr>
              <w:t>Estándar de costos</w:t>
            </w:r>
          </w:p>
        </w:tc>
        <w:tc>
          <w:tcPr>
            <w:tcW w:w="2508" w:type="pct"/>
          </w:tcPr>
          <w:p w14:paraId="4FCA5873" w14:textId="77777777" w:rsidR="008C1EC6" w:rsidRPr="00FB7A59" w:rsidRDefault="008C1EC6" w:rsidP="009511FF">
            <w:pPr>
              <w:spacing w:before="40" w:after="40" w:line="240" w:lineRule="auto"/>
              <w:jc w:val="left"/>
              <w:rPr>
                <w:rFonts w:ascii="ITC Avant Garde" w:eastAsiaTheme="minorHAnsi" w:hAnsi="ITC Avant Garde"/>
                <w:sz w:val="20"/>
                <w:lang w:val="es-ES_tradnl"/>
              </w:rPr>
            </w:pPr>
            <w:r w:rsidRPr="00FB7A59">
              <w:rPr>
                <w:rFonts w:ascii="ITC Avant Garde" w:eastAsiaTheme="minorHAnsi" w:hAnsi="ITC Avant Garde"/>
                <w:sz w:val="20"/>
                <w:lang w:val="es-ES_tradnl"/>
              </w:rPr>
              <w:t xml:space="preserve">LRIC y LRIC+ </w:t>
            </w:r>
          </w:p>
        </w:tc>
      </w:tr>
      <w:tr w:rsidR="008C1EC6" w:rsidRPr="002201B0" w14:paraId="3F1200BD"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1EDBC2FE" w14:textId="77777777" w:rsidR="008C1EC6" w:rsidRPr="00FB7A59" w:rsidRDefault="008C1EC6" w:rsidP="009511FF">
            <w:pPr>
              <w:spacing w:before="40" w:after="40" w:line="240" w:lineRule="auto"/>
              <w:jc w:val="left"/>
              <w:rPr>
                <w:rFonts w:ascii="ITC Avant Garde" w:eastAsiaTheme="minorHAnsi" w:hAnsi="ITC Avant Garde"/>
                <w:b/>
                <w:sz w:val="20"/>
                <w:lang w:val="es-ES_tradnl"/>
              </w:rPr>
            </w:pPr>
            <w:r w:rsidRPr="00FB7A59">
              <w:rPr>
                <w:rFonts w:ascii="ITC Avant Garde" w:eastAsiaTheme="minorHAnsi" w:hAnsi="ITC Avant Garde"/>
                <w:b/>
                <w:sz w:val="20"/>
                <w:lang w:val="es-ES_tradnl"/>
              </w:rPr>
              <w:t>Tratamiento del segmento empresarial</w:t>
            </w:r>
          </w:p>
        </w:tc>
        <w:tc>
          <w:tcPr>
            <w:tcW w:w="2508" w:type="pct"/>
          </w:tcPr>
          <w:p w14:paraId="6FD4501B" w14:textId="77777777" w:rsidR="008C1EC6" w:rsidRPr="00FB7A59" w:rsidRDefault="008C1EC6" w:rsidP="009511FF">
            <w:pPr>
              <w:spacing w:before="40" w:after="40" w:line="240" w:lineRule="auto"/>
              <w:jc w:val="left"/>
              <w:rPr>
                <w:rFonts w:ascii="ITC Avant Garde" w:eastAsiaTheme="minorHAnsi" w:hAnsi="ITC Avant Garde"/>
                <w:sz w:val="20"/>
                <w:lang w:val="es-ES_tradnl"/>
              </w:rPr>
            </w:pPr>
            <w:r w:rsidRPr="00FB7A59">
              <w:rPr>
                <w:rFonts w:ascii="ITC Avant Garde" w:eastAsiaTheme="minorHAnsi" w:hAnsi="ITC Avant Garde"/>
                <w:sz w:val="20"/>
                <w:lang w:val="es-ES_tradnl"/>
              </w:rPr>
              <w:t>Incluidas las ofertas empresariales estandarizadas</w:t>
            </w:r>
          </w:p>
        </w:tc>
      </w:tr>
      <w:tr w:rsidR="008C1EC6" w:rsidRPr="002201B0" w14:paraId="2FA77FBE" w14:textId="77777777" w:rsidTr="009511FF">
        <w:trPr>
          <w:trHeight w:val="20"/>
        </w:trPr>
        <w:tc>
          <w:tcPr>
            <w:tcW w:w="2492" w:type="pct"/>
          </w:tcPr>
          <w:p w14:paraId="30B31FEA" w14:textId="77777777" w:rsidR="008C1EC6" w:rsidRPr="00FB7A59" w:rsidRDefault="008C1EC6" w:rsidP="009511FF">
            <w:pPr>
              <w:spacing w:before="40" w:after="40" w:line="240" w:lineRule="auto"/>
              <w:jc w:val="left"/>
              <w:rPr>
                <w:rFonts w:ascii="ITC Avant Garde" w:eastAsiaTheme="minorHAnsi" w:hAnsi="ITC Avant Garde"/>
                <w:b/>
                <w:sz w:val="20"/>
                <w:lang w:val="es-ES_tradnl"/>
              </w:rPr>
            </w:pPr>
            <w:r w:rsidRPr="00FB7A59">
              <w:rPr>
                <w:rFonts w:ascii="ITC Avant Garde" w:eastAsiaTheme="minorHAnsi" w:hAnsi="ITC Avant Garde"/>
                <w:b/>
                <w:sz w:val="20"/>
                <w:lang w:val="es-ES_tradnl"/>
              </w:rPr>
              <w:t>Servicios mayoristas</w:t>
            </w:r>
          </w:p>
        </w:tc>
        <w:tc>
          <w:tcPr>
            <w:tcW w:w="2508" w:type="pct"/>
          </w:tcPr>
          <w:p w14:paraId="62DC11E6" w14:textId="77777777" w:rsidR="008C1EC6" w:rsidRPr="00FB7A59" w:rsidRDefault="008C1EC6" w:rsidP="009511FF">
            <w:pPr>
              <w:spacing w:before="40" w:after="40" w:line="240" w:lineRule="auto"/>
              <w:jc w:val="left"/>
              <w:rPr>
                <w:rFonts w:ascii="ITC Avant Garde" w:eastAsiaTheme="minorHAnsi" w:hAnsi="ITC Avant Garde"/>
                <w:sz w:val="20"/>
                <w:lang w:val="es-ES_tradnl"/>
              </w:rPr>
            </w:pPr>
            <w:r w:rsidRPr="00FB7A59">
              <w:rPr>
                <w:rFonts w:ascii="ITC Avant Garde" w:eastAsiaTheme="minorHAnsi" w:hAnsi="ITC Avant Garde"/>
                <w:sz w:val="20"/>
                <w:lang w:val="es-ES_tradnl"/>
              </w:rPr>
              <w:t>Acceso indirecto nacional, regional y local; acceso desagregado al bucle local compartido y completo</w:t>
            </w:r>
          </w:p>
        </w:tc>
      </w:tr>
      <w:tr w:rsidR="008C1EC6" w:rsidRPr="002201B0" w14:paraId="43CE3F39"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47DC7809" w14:textId="77777777" w:rsidR="008C1EC6" w:rsidRPr="00FB7A59" w:rsidRDefault="008C1EC6" w:rsidP="009511FF">
            <w:pPr>
              <w:spacing w:before="40" w:after="40" w:line="240" w:lineRule="auto"/>
              <w:jc w:val="left"/>
              <w:rPr>
                <w:rFonts w:ascii="ITC Avant Garde" w:eastAsiaTheme="minorHAnsi" w:hAnsi="ITC Avant Garde"/>
                <w:b/>
                <w:sz w:val="20"/>
                <w:lang w:val="es-ES_tradnl"/>
              </w:rPr>
            </w:pPr>
            <w:r w:rsidRPr="00FB7A59">
              <w:rPr>
                <w:rFonts w:ascii="ITC Avant Garde" w:eastAsiaTheme="minorHAnsi" w:hAnsi="ITC Avant Garde"/>
                <w:b/>
                <w:sz w:val="20"/>
                <w:lang w:val="es-ES_tradnl"/>
              </w:rPr>
              <w:t>Precio de los insumos mayoristas</w:t>
            </w:r>
          </w:p>
        </w:tc>
        <w:tc>
          <w:tcPr>
            <w:tcW w:w="2508" w:type="pct"/>
          </w:tcPr>
          <w:p w14:paraId="6FF5CD34" w14:textId="77777777" w:rsidR="008C1EC6" w:rsidRPr="00FB7A59" w:rsidRDefault="008C1EC6" w:rsidP="009511FF">
            <w:pPr>
              <w:spacing w:before="40" w:after="40" w:line="240" w:lineRule="auto"/>
              <w:jc w:val="left"/>
              <w:rPr>
                <w:rFonts w:ascii="ITC Avant Garde" w:eastAsiaTheme="minorHAnsi" w:hAnsi="ITC Avant Garde"/>
                <w:sz w:val="20"/>
                <w:lang w:val="es-ES_tradnl"/>
              </w:rPr>
            </w:pPr>
            <w:r w:rsidRPr="00FB7A59">
              <w:rPr>
                <w:rFonts w:ascii="ITC Avant Garde" w:eastAsiaTheme="minorHAnsi" w:hAnsi="ITC Avant Garde"/>
                <w:sz w:val="20"/>
                <w:lang w:val="es-ES_tradnl"/>
              </w:rPr>
              <w:t>Tarifas mayoristas con descuentos</w:t>
            </w:r>
          </w:p>
        </w:tc>
      </w:tr>
      <w:tr w:rsidR="008C1EC6" w:rsidRPr="002201B0" w14:paraId="145BC6AC" w14:textId="77777777" w:rsidTr="009511FF">
        <w:trPr>
          <w:trHeight w:val="20"/>
        </w:trPr>
        <w:tc>
          <w:tcPr>
            <w:tcW w:w="2492" w:type="pct"/>
          </w:tcPr>
          <w:p w14:paraId="5A5C46F2" w14:textId="77777777" w:rsidR="008C1EC6" w:rsidRPr="00FB7A59" w:rsidRDefault="008C1EC6" w:rsidP="009511FF">
            <w:pPr>
              <w:spacing w:before="40" w:after="40" w:line="240" w:lineRule="auto"/>
              <w:jc w:val="left"/>
              <w:rPr>
                <w:rFonts w:ascii="ITC Avant Garde" w:eastAsiaTheme="minorHAnsi" w:hAnsi="ITC Avant Garde"/>
                <w:b/>
                <w:sz w:val="20"/>
                <w:lang w:val="es-ES_tradnl"/>
              </w:rPr>
            </w:pPr>
            <w:r w:rsidRPr="00FB7A59">
              <w:rPr>
                <w:rFonts w:ascii="ITC Avant Garde" w:eastAsiaTheme="minorHAnsi" w:hAnsi="ITC Avant Garde"/>
                <w:b/>
                <w:sz w:val="20"/>
                <w:lang w:val="es-ES_tradnl"/>
              </w:rPr>
              <w:t>Tratamiento de las promociones</w:t>
            </w:r>
          </w:p>
        </w:tc>
        <w:tc>
          <w:tcPr>
            <w:tcW w:w="2508" w:type="pct"/>
          </w:tcPr>
          <w:p w14:paraId="211A9891" w14:textId="77777777" w:rsidR="008C1EC6" w:rsidRPr="00FB7A59" w:rsidRDefault="008C1EC6" w:rsidP="009511FF">
            <w:pPr>
              <w:spacing w:before="40" w:after="40" w:line="240" w:lineRule="auto"/>
              <w:jc w:val="left"/>
              <w:rPr>
                <w:rFonts w:ascii="ITC Avant Garde" w:eastAsiaTheme="minorHAnsi" w:hAnsi="ITC Avant Garde"/>
                <w:sz w:val="20"/>
                <w:lang w:val="es-ES_tradnl"/>
              </w:rPr>
            </w:pPr>
            <w:r w:rsidRPr="00FB7A59">
              <w:rPr>
                <w:rFonts w:ascii="ITC Avant Garde" w:eastAsiaTheme="minorHAnsi" w:hAnsi="ITC Avant Garde"/>
                <w:sz w:val="20"/>
                <w:lang w:val="es-ES_tradnl"/>
              </w:rPr>
              <w:t>Incluidas en el análisis</w:t>
            </w:r>
          </w:p>
        </w:tc>
      </w:tr>
      <w:tr w:rsidR="008C1EC6" w:rsidRPr="002201B0" w14:paraId="334AEA5D"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1FE17FB7" w14:textId="77777777" w:rsidR="008C1EC6" w:rsidRPr="00FB7A59" w:rsidRDefault="008C1EC6" w:rsidP="009511FF">
            <w:pPr>
              <w:spacing w:before="40" w:after="40" w:line="240" w:lineRule="auto"/>
              <w:jc w:val="left"/>
              <w:rPr>
                <w:rFonts w:ascii="ITC Avant Garde" w:eastAsiaTheme="minorHAnsi" w:hAnsi="ITC Avant Garde"/>
                <w:b/>
                <w:sz w:val="20"/>
                <w:lang w:val="es-ES_tradnl"/>
              </w:rPr>
            </w:pPr>
            <w:r w:rsidRPr="00FB7A59">
              <w:rPr>
                <w:rFonts w:ascii="ITC Avant Garde" w:eastAsiaTheme="minorHAnsi" w:hAnsi="ITC Avant Garde"/>
                <w:b/>
                <w:sz w:val="20"/>
                <w:lang w:val="es-ES_tradnl"/>
              </w:rPr>
              <w:t xml:space="preserve">Evaluación de la rentabilidad </w:t>
            </w:r>
          </w:p>
        </w:tc>
        <w:tc>
          <w:tcPr>
            <w:tcW w:w="2508" w:type="pct"/>
          </w:tcPr>
          <w:p w14:paraId="28ED510B" w14:textId="77777777" w:rsidR="008C1EC6" w:rsidRPr="00FB7A59" w:rsidRDefault="008C1EC6" w:rsidP="009511FF">
            <w:pPr>
              <w:spacing w:before="40" w:after="40" w:line="240" w:lineRule="auto"/>
              <w:jc w:val="left"/>
              <w:rPr>
                <w:rFonts w:ascii="ITC Avant Garde" w:eastAsiaTheme="minorHAnsi" w:hAnsi="ITC Avant Garde"/>
                <w:sz w:val="20"/>
                <w:lang w:val="es-ES_tradnl"/>
              </w:rPr>
            </w:pPr>
            <w:r w:rsidRPr="00FB7A59">
              <w:rPr>
                <w:rFonts w:ascii="ITC Avant Garde" w:eastAsiaTheme="minorHAnsi" w:hAnsi="ITC Avant Garde"/>
                <w:sz w:val="20"/>
                <w:lang w:val="es-ES_tradnl"/>
              </w:rPr>
              <w:t>Valor presente neto (VPN)</w:t>
            </w:r>
          </w:p>
        </w:tc>
      </w:tr>
    </w:tbl>
    <w:p w14:paraId="5C0DC3AE" w14:textId="77777777" w:rsidR="008C1EC6" w:rsidRPr="002201B0" w:rsidRDefault="008C1EC6" w:rsidP="008C1EC6">
      <w:pPr>
        <w:tabs>
          <w:tab w:val="left" w:pos="709"/>
        </w:tabs>
        <w:spacing w:before="60" w:after="60" w:line="240" w:lineRule="auto"/>
        <w:ind w:left="709" w:hanging="709"/>
        <w:jc w:val="left"/>
        <w:rPr>
          <w:rFonts w:eastAsia="Calibri" w:cs="Arial"/>
          <w:i/>
          <w:color w:val="000000" w:themeColor="text1"/>
          <w:sz w:val="16"/>
          <w:lang w:val="es-ES_tradnl"/>
        </w:rPr>
      </w:pPr>
      <w:r w:rsidRPr="002201B0">
        <w:rPr>
          <w:rFonts w:eastAsia="Calibri" w:cs="Arial"/>
          <w:i/>
          <w:color w:val="000000" w:themeColor="text1"/>
          <w:sz w:val="16"/>
          <w:lang w:val="es-ES_tradnl"/>
        </w:rPr>
        <w:t xml:space="preserve">Fuente: </w:t>
      </w:r>
      <w:r w:rsidRPr="002201B0">
        <w:rPr>
          <w:rFonts w:eastAsia="Calibri" w:cs="Arial"/>
          <w:i/>
          <w:color w:val="000000" w:themeColor="text1"/>
          <w:sz w:val="16"/>
          <w:lang w:val="es-ES_tradnl"/>
        </w:rPr>
        <w:tab/>
        <w:t>Frontier Economics.</w:t>
      </w:r>
    </w:p>
    <w:p w14:paraId="2D6929C4" w14:textId="77777777" w:rsidR="006E1502" w:rsidRDefault="006E1502" w:rsidP="008C1EC6"/>
    <w:p w14:paraId="1718D882" w14:textId="77777777" w:rsidR="008C1EC6" w:rsidRPr="002201B0" w:rsidRDefault="008C1EC6" w:rsidP="008C1EC6">
      <w:r w:rsidRPr="002201B0">
        <w:t>Este manual describe el modelo desarrollado con el objetivo de guiar la implementación de la prueba de replicabilidad económica.</w:t>
      </w:r>
    </w:p>
    <w:p w14:paraId="2F36B517" w14:textId="559FF253" w:rsidR="008C1EC6" w:rsidRPr="002201B0" w:rsidRDefault="00DE5E54" w:rsidP="008C1EC6">
      <w:r>
        <w:t xml:space="preserve">Este manual </w:t>
      </w:r>
      <w:r w:rsidR="008C1EC6" w:rsidRPr="002201B0">
        <w:t>se estructura de la siguiente manera:</w:t>
      </w:r>
    </w:p>
    <w:p w14:paraId="60CE003B" w14:textId="77777777" w:rsidR="008C1EC6" w:rsidRPr="002201B0" w:rsidRDefault="008C1EC6">
      <w:pPr>
        <w:numPr>
          <w:ilvl w:val="0"/>
          <w:numId w:val="34"/>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 xml:space="preserve">En la sección </w:t>
      </w:r>
      <w:r w:rsidRPr="002201B0">
        <w:rPr>
          <w:rFonts w:eastAsiaTheme="minorHAnsi" w:cs="Arial"/>
          <w:color w:val="000000" w:themeColor="text1"/>
          <w:lang w:val="es-ES_tradnl"/>
        </w:rPr>
        <w:fldChar w:fldCharType="begin"/>
      </w:r>
      <w:r w:rsidRPr="002201B0">
        <w:rPr>
          <w:rFonts w:eastAsiaTheme="minorHAnsi" w:cs="Arial"/>
          <w:color w:val="000000" w:themeColor="text1"/>
          <w:lang w:val="es-ES_tradnl"/>
        </w:rPr>
        <w:instrText xml:space="preserve"> REF _Ref482890326 \r \h  \* MERGEFORMAT </w:instrText>
      </w:r>
      <w:r w:rsidRPr="002201B0">
        <w:rPr>
          <w:rFonts w:eastAsiaTheme="minorHAnsi" w:cs="Arial"/>
          <w:color w:val="000000" w:themeColor="text1"/>
          <w:lang w:val="es-ES_tradnl"/>
        </w:rPr>
      </w:r>
      <w:r w:rsidRPr="002201B0">
        <w:rPr>
          <w:rFonts w:eastAsiaTheme="minorHAnsi" w:cs="Arial"/>
          <w:color w:val="000000" w:themeColor="text1"/>
          <w:lang w:val="es-ES_tradnl"/>
        </w:rPr>
        <w:fldChar w:fldCharType="separate"/>
      </w:r>
      <w:r w:rsidRPr="002201B0">
        <w:rPr>
          <w:rFonts w:eastAsiaTheme="minorHAnsi" w:cs="Arial"/>
          <w:color w:val="000000" w:themeColor="text1"/>
          <w:lang w:val="es-ES_tradnl"/>
        </w:rPr>
        <w:t>2</w:t>
      </w:r>
      <w:r w:rsidRPr="002201B0">
        <w:rPr>
          <w:rFonts w:eastAsiaTheme="minorHAnsi" w:cs="Arial"/>
          <w:color w:val="000000" w:themeColor="text1"/>
          <w:lang w:val="es-ES_tradnl"/>
        </w:rPr>
        <w:fldChar w:fldCharType="end"/>
      </w:r>
      <w:r w:rsidRPr="002201B0">
        <w:rPr>
          <w:rFonts w:eastAsiaTheme="minorHAnsi" w:cs="Arial"/>
          <w:color w:val="000000" w:themeColor="text1"/>
          <w:lang w:val="es-ES_tradnl"/>
        </w:rPr>
        <w:t xml:space="preserve"> se explica la estructura y funcionamiento del modelo.</w:t>
      </w:r>
    </w:p>
    <w:p w14:paraId="59EBBF35" w14:textId="77777777" w:rsidR="008C1EC6" w:rsidRPr="002201B0" w:rsidRDefault="008C1EC6" w:rsidP="002B0CB8">
      <w:pPr>
        <w:numPr>
          <w:ilvl w:val="0"/>
          <w:numId w:val="34"/>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 xml:space="preserve">La sección </w:t>
      </w:r>
      <w:r w:rsidRPr="002201B0">
        <w:rPr>
          <w:rFonts w:eastAsiaTheme="minorHAnsi" w:cs="Arial"/>
          <w:color w:val="000000" w:themeColor="text1"/>
          <w:lang w:val="es-ES_tradnl"/>
        </w:rPr>
        <w:fldChar w:fldCharType="begin"/>
      </w:r>
      <w:r w:rsidRPr="002201B0">
        <w:rPr>
          <w:rFonts w:eastAsiaTheme="minorHAnsi" w:cs="Arial"/>
          <w:color w:val="000000" w:themeColor="text1"/>
          <w:lang w:val="es-ES_tradnl"/>
        </w:rPr>
        <w:instrText xml:space="preserve"> REF _Ref482890349 \r \h  \* MERGEFORMAT </w:instrText>
      </w:r>
      <w:r w:rsidRPr="002201B0">
        <w:rPr>
          <w:rFonts w:eastAsiaTheme="minorHAnsi" w:cs="Arial"/>
          <w:color w:val="000000" w:themeColor="text1"/>
          <w:lang w:val="es-ES_tradnl"/>
        </w:rPr>
      </w:r>
      <w:r w:rsidRPr="002201B0">
        <w:rPr>
          <w:rFonts w:eastAsiaTheme="minorHAnsi" w:cs="Arial"/>
          <w:color w:val="000000" w:themeColor="text1"/>
          <w:lang w:val="es-ES_tradnl"/>
        </w:rPr>
        <w:fldChar w:fldCharType="separate"/>
      </w:r>
      <w:r w:rsidRPr="002201B0">
        <w:rPr>
          <w:rFonts w:eastAsiaTheme="minorHAnsi" w:cs="Arial"/>
          <w:color w:val="000000" w:themeColor="text1"/>
          <w:lang w:val="es-ES_tradnl"/>
        </w:rPr>
        <w:t>3</w:t>
      </w:r>
      <w:r w:rsidRPr="002201B0">
        <w:rPr>
          <w:rFonts w:eastAsiaTheme="minorHAnsi" w:cs="Arial"/>
          <w:color w:val="000000" w:themeColor="text1"/>
          <w:lang w:val="es-ES_tradnl"/>
        </w:rPr>
        <w:fldChar w:fldCharType="end"/>
      </w:r>
      <w:r w:rsidRPr="002201B0">
        <w:rPr>
          <w:rFonts w:eastAsiaTheme="minorHAnsi" w:cs="Arial"/>
          <w:color w:val="000000" w:themeColor="text1"/>
          <w:lang w:val="es-ES_tradnl"/>
        </w:rPr>
        <w:t xml:space="preserve"> detalla la información requerida para poblarlo. </w:t>
      </w:r>
    </w:p>
    <w:p w14:paraId="4413440C" w14:textId="77777777" w:rsidR="008C1EC6" w:rsidRPr="002201B0" w:rsidRDefault="008C1EC6">
      <w:pPr>
        <w:numPr>
          <w:ilvl w:val="0"/>
          <w:numId w:val="35"/>
        </w:numPr>
        <w:spacing w:before="160" w:after="160" w:line="259" w:lineRule="auto"/>
        <w:jc w:val="left"/>
        <w:outlineLvl w:val="1"/>
        <w:rPr>
          <w:rFonts w:eastAsia="Arial" w:cs="Arial"/>
          <w:b/>
          <w:szCs w:val="14"/>
          <w:lang w:val="es-ES_tradnl"/>
        </w:rPr>
      </w:pPr>
      <w:r>
        <w:rPr>
          <w:rFonts w:eastAsia="Arial" w:cs="Arial"/>
          <w:b/>
          <w:szCs w:val="14"/>
          <w:lang w:val="es-ES_tradnl"/>
        </w:rPr>
        <w:lastRenderedPageBreak/>
        <w:t>Estructura y funcionamiento de los</w:t>
      </w:r>
      <w:r w:rsidRPr="002201B0">
        <w:rPr>
          <w:rFonts w:eastAsia="Arial" w:cs="Arial"/>
          <w:b/>
          <w:szCs w:val="14"/>
          <w:lang w:val="es-ES_tradnl"/>
        </w:rPr>
        <w:t xml:space="preserve"> modelo</w:t>
      </w:r>
      <w:r>
        <w:rPr>
          <w:rFonts w:eastAsia="Arial" w:cs="Arial"/>
          <w:b/>
          <w:szCs w:val="14"/>
          <w:lang w:val="es-ES_tradnl"/>
        </w:rPr>
        <w:t>s</w:t>
      </w:r>
    </w:p>
    <w:p w14:paraId="32265A80" w14:textId="77777777" w:rsidR="008C1EC6" w:rsidRPr="009149ED" w:rsidRDefault="008C1EC6" w:rsidP="008C1EC6">
      <w:r w:rsidRPr="009149ED">
        <w:t>La evaluación de la replicabilidad de las ofertas de banda ancha requiere el uso dos modelos:</w:t>
      </w:r>
    </w:p>
    <w:p w14:paraId="046AA7B0"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Uno para analizar las ofertas individuales, previo a su lanzamiento en el mercado; y,</w:t>
      </w:r>
    </w:p>
    <w:p w14:paraId="0AAFAD7C"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Otro para evaluar de for</w:t>
      </w:r>
      <w:r>
        <w:rPr>
          <w:rFonts w:ascii="ITC Avant Garde" w:hAnsi="ITC Avant Garde"/>
        </w:rPr>
        <w:t>ma regular, cada seis meses, ex–</w:t>
      </w:r>
      <w:r w:rsidRPr="00262AD4">
        <w:rPr>
          <w:rFonts w:ascii="ITC Avant Garde" w:hAnsi="ITC Avant Garde"/>
        </w:rPr>
        <w:t xml:space="preserve">post la replicabilidad agregada de la cartera de ofertas del AEP. </w:t>
      </w:r>
    </w:p>
    <w:p w14:paraId="109F1769" w14:textId="77777777" w:rsidR="008C1EC6" w:rsidRPr="009149ED" w:rsidRDefault="008C1EC6" w:rsidP="008C1EC6">
      <w:r w:rsidRPr="009149ED">
        <w:t>Ambos modelos reportan el valor VPN de los márgenes en el período considerado, en términos porcentuales sobre los ingresos, asociados a la provisión minorista de los servicios de banda ancha y los servicios empaquetados de banda ancha con telefonía fija y con Claro Vídeo</w:t>
      </w:r>
      <w:r>
        <w:t>.</w:t>
      </w:r>
      <w:r w:rsidRPr="009149ED">
        <w:t xml:space="preserve"> </w:t>
      </w:r>
    </w:p>
    <w:p w14:paraId="4251D4D0" w14:textId="77777777" w:rsidR="008C1EC6" w:rsidRPr="009149ED" w:rsidRDefault="008C1EC6" w:rsidP="008C1EC6">
      <w:r>
        <w:t>Tanto en el análisis ex–ante como ex–</w:t>
      </w:r>
      <w:r w:rsidRPr="009149ED">
        <w:t xml:space="preserve">post la prueba se aplica de forma separada para cada una de las diferentes modalidades de acceso mayorista relevantes. </w:t>
      </w:r>
    </w:p>
    <w:p w14:paraId="585DF5D8" w14:textId="77777777" w:rsidR="008C1EC6" w:rsidRPr="009149ED" w:rsidRDefault="008C1EC6" w:rsidP="008C1EC6">
      <w:r w:rsidRPr="009149ED">
        <w:t>En el caso de las ofertas individuales de banda ancha, se consideran las siguientes opciones mayoristas:</w:t>
      </w:r>
    </w:p>
    <w:p w14:paraId="27AD47D8"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Acceso indirecto nacional;</w:t>
      </w:r>
    </w:p>
    <w:p w14:paraId="3DAA0448"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Acceso indirecto regional;</w:t>
      </w:r>
    </w:p>
    <w:p w14:paraId="3E731DB1"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Acceso indirecto local; y,</w:t>
      </w:r>
    </w:p>
    <w:p w14:paraId="6146D97A"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 xml:space="preserve">Acceso desagregado al bucle local compartido. </w:t>
      </w:r>
    </w:p>
    <w:p w14:paraId="761216C7" w14:textId="77777777" w:rsidR="008C1EC6" w:rsidRPr="009149ED" w:rsidRDefault="008C1EC6" w:rsidP="008C1EC6">
      <w:r w:rsidRPr="009149ED">
        <w:t>Para el análisis de las ofertas de banda ancha empaquetadas con servicios de telefonía fija:</w:t>
      </w:r>
    </w:p>
    <w:p w14:paraId="2F00BAFE"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Acceso indirecto nacional con calidad VoIP;</w:t>
      </w:r>
    </w:p>
    <w:p w14:paraId="4A126EED"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Acceso indirecto regional con calidad VoIP;</w:t>
      </w:r>
    </w:p>
    <w:p w14:paraId="40364CF8"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Acceso indirecto local con calidad VoIP; y,</w:t>
      </w:r>
    </w:p>
    <w:p w14:paraId="7E339BE2"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 xml:space="preserve">Acceso al bucle local completamente desagregado. </w:t>
      </w:r>
    </w:p>
    <w:p w14:paraId="1CF02C7B" w14:textId="77777777" w:rsidR="008C1EC6" w:rsidRPr="009149ED" w:rsidRDefault="008C1EC6" w:rsidP="008C1EC6">
      <w:r w:rsidRPr="009149ED">
        <w:t xml:space="preserve">El margen se estima como la diferencia entre los ingresos y los costos asociados a la provisión de la oferta. </w:t>
      </w:r>
    </w:p>
    <w:p w14:paraId="44E73C6E"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Los ingresos previstos se estiman a partir de la información provista por el AEP sobre precios, usuarios y uso.</w:t>
      </w:r>
    </w:p>
    <w:p w14:paraId="76062851"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Los costos se componen de las siguientes categorías:</w:t>
      </w:r>
    </w:p>
    <w:p w14:paraId="65459BE4" w14:textId="77777777" w:rsidR="008C1EC6" w:rsidRPr="00262AD4" w:rsidRDefault="008C1EC6">
      <w:pPr>
        <w:pStyle w:val="ParaBullet2"/>
        <w:numPr>
          <w:ilvl w:val="1"/>
          <w:numId w:val="34"/>
        </w:numPr>
        <w:rPr>
          <w:rFonts w:ascii="ITC Avant Garde" w:hAnsi="ITC Avant Garde"/>
        </w:rPr>
      </w:pPr>
      <w:r w:rsidRPr="00262AD4">
        <w:rPr>
          <w:rFonts w:ascii="ITC Avant Garde" w:hAnsi="ITC Avant Garde"/>
        </w:rPr>
        <w:t>Los pagos mayoristas asociados a las diferentes modalidades de acceso mayorista;</w:t>
      </w:r>
    </w:p>
    <w:p w14:paraId="3A7A6C65" w14:textId="77777777" w:rsidR="008C1EC6" w:rsidRPr="00262AD4" w:rsidRDefault="008C1EC6">
      <w:pPr>
        <w:pStyle w:val="ParaBullet2"/>
        <w:numPr>
          <w:ilvl w:val="1"/>
          <w:numId w:val="34"/>
        </w:numPr>
        <w:rPr>
          <w:rFonts w:ascii="ITC Avant Garde" w:hAnsi="ITC Avant Garde"/>
        </w:rPr>
      </w:pPr>
      <w:r w:rsidRPr="00262AD4">
        <w:rPr>
          <w:rFonts w:ascii="ITC Avant Garde" w:hAnsi="ITC Avant Garde"/>
        </w:rPr>
        <w:lastRenderedPageBreak/>
        <w:t xml:space="preserve">Los costos de red ajustados por la escala del operador alternativo para cada modalidad del servicio mayorista; y, </w:t>
      </w:r>
    </w:p>
    <w:p w14:paraId="059D2E1F" w14:textId="77777777" w:rsidR="008C1EC6" w:rsidRPr="00262AD4" w:rsidRDefault="008C1EC6">
      <w:pPr>
        <w:pStyle w:val="ParaBullet2"/>
        <w:numPr>
          <w:ilvl w:val="1"/>
          <w:numId w:val="34"/>
        </w:numPr>
        <w:rPr>
          <w:rFonts w:ascii="ITC Avant Garde" w:hAnsi="ITC Avant Garde"/>
        </w:rPr>
      </w:pPr>
      <w:r w:rsidRPr="00262AD4">
        <w:rPr>
          <w:rFonts w:ascii="ITC Avant Garde" w:hAnsi="ITC Avant Garde"/>
        </w:rPr>
        <w:t xml:space="preserve">Los costos minoristas que conlleva la comercialización minorista de los servicios. </w:t>
      </w:r>
    </w:p>
    <w:p w14:paraId="79FEFD0D" w14:textId="77777777" w:rsidR="008C1EC6" w:rsidRPr="009149ED" w:rsidRDefault="008C1EC6" w:rsidP="008C1EC6">
      <w:r w:rsidRPr="009149ED">
        <w:t xml:space="preserve">Si el margen es positivo, el modelo indica la replicabilidad de la oferta analizada. A continuación, se presenta una guía de apoyo para los diferentes bloques del modelo: Resultados, Cálculos, Requerimiento de información y Supuestos.  </w:t>
      </w:r>
    </w:p>
    <w:p w14:paraId="463ED8DA" w14:textId="77777777" w:rsidR="008C1EC6" w:rsidRPr="009149ED" w:rsidRDefault="008C1EC6" w:rsidP="008C1EC6">
      <w:pPr>
        <w:spacing w:before="60" w:after="60" w:line="264" w:lineRule="auto"/>
        <w:rPr>
          <w:rFonts w:eastAsiaTheme="minorHAnsi" w:cs="Arial"/>
          <w:color w:val="000000" w:themeColor="text1"/>
          <w:lang w:val="es-ES_tradnl"/>
        </w:rPr>
      </w:pPr>
      <w:r w:rsidRPr="009149ED">
        <w:t>Las figuras a continuación muestran la estructura de los modelos para el análisis individual y agregado de las ofertas de banda ancha.</w:t>
      </w:r>
      <w:r w:rsidRPr="009149ED">
        <w:rPr>
          <w:rFonts w:eastAsiaTheme="minorHAnsi" w:cs="Arial"/>
          <w:color w:val="000000" w:themeColor="text1"/>
          <w:lang w:val="es-ES_tradnl"/>
        </w:rPr>
        <w:t xml:space="preserve">  </w:t>
      </w:r>
    </w:p>
    <w:tbl>
      <w:tblPr>
        <w:tblW w:w="7940" w:type="dxa"/>
        <w:jc w:val="center"/>
        <w:tblLayout w:type="fixed"/>
        <w:tblCellMar>
          <w:left w:w="0" w:type="dxa"/>
          <w:right w:w="0" w:type="dxa"/>
        </w:tblCellMar>
        <w:tblLook w:val="04A0" w:firstRow="1" w:lastRow="0" w:firstColumn="1" w:lastColumn="0" w:noHBand="0" w:noVBand="1"/>
      </w:tblPr>
      <w:tblGrid>
        <w:gridCol w:w="7940"/>
      </w:tblGrid>
      <w:tr w:rsidR="008C1EC6" w:rsidRPr="002201B0" w14:paraId="731EFD2D" w14:textId="77777777" w:rsidTr="009511FF">
        <w:trPr>
          <w:jc w:val="center"/>
        </w:trPr>
        <w:tc>
          <w:tcPr>
            <w:tcW w:w="5000" w:type="pct"/>
            <w:noWrap/>
          </w:tcPr>
          <w:p w14:paraId="74120A38" w14:textId="77777777" w:rsidR="008C1EC6" w:rsidRPr="006E1502" w:rsidRDefault="008C1EC6" w:rsidP="009511FF">
            <w:pPr>
              <w:keepNext/>
              <w:tabs>
                <w:tab w:val="left" w:pos="1276"/>
              </w:tabs>
              <w:spacing w:before="120" w:after="60" w:line="240" w:lineRule="auto"/>
              <w:ind w:left="1276" w:hanging="1276"/>
              <w:rPr>
                <w:rFonts w:eastAsia="Calibri" w:cs="Arial"/>
                <w:b/>
                <w:color w:val="37424A"/>
                <w:sz w:val="18"/>
                <w:szCs w:val="18"/>
                <w:lang w:val="es-ES_tradnl"/>
              </w:rPr>
            </w:pPr>
            <w:r w:rsidRPr="006E1502">
              <w:rPr>
                <w:rFonts w:eastAsia="Calibri" w:cs="Arial"/>
                <w:b/>
                <w:color w:val="37424A"/>
                <w:sz w:val="18"/>
                <w:szCs w:val="18"/>
                <w:lang w:val="es-ES_tradnl"/>
              </w:rPr>
              <w:t xml:space="preserve">Figura </w:t>
            </w:r>
            <w:r w:rsidRPr="006E1502">
              <w:rPr>
                <w:rFonts w:eastAsia="Calibri" w:cs="Arial"/>
                <w:b/>
                <w:color w:val="37424A"/>
                <w:sz w:val="18"/>
                <w:szCs w:val="18"/>
                <w:lang w:val="es-ES_tradnl"/>
              </w:rPr>
              <w:fldChar w:fldCharType="begin"/>
            </w:r>
            <w:r w:rsidRPr="006E1502">
              <w:rPr>
                <w:rFonts w:eastAsia="Calibri" w:cs="Arial"/>
                <w:b/>
                <w:color w:val="37424A"/>
                <w:sz w:val="18"/>
                <w:szCs w:val="18"/>
                <w:lang w:val="es-ES_tradnl"/>
              </w:rPr>
              <w:instrText xml:space="preserve"> SEQ Figura </w:instrText>
            </w:r>
            <w:r w:rsidRPr="006E1502">
              <w:rPr>
                <w:rFonts w:eastAsia="Calibri" w:cs="Arial"/>
                <w:b/>
                <w:color w:val="37424A"/>
                <w:sz w:val="18"/>
                <w:szCs w:val="18"/>
                <w:lang w:val="es-ES_tradnl"/>
              </w:rPr>
              <w:fldChar w:fldCharType="separate"/>
            </w:r>
            <w:r w:rsidRPr="006E1502">
              <w:rPr>
                <w:rFonts w:eastAsia="Calibri" w:cs="Arial"/>
                <w:b/>
                <w:noProof/>
                <w:color w:val="37424A"/>
                <w:sz w:val="18"/>
                <w:szCs w:val="18"/>
                <w:lang w:val="es-ES_tradnl"/>
              </w:rPr>
              <w:t>2</w:t>
            </w:r>
            <w:r w:rsidRPr="006E1502">
              <w:rPr>
                <w:rFonts w:eastAsia="Calibri" w:cs="Arial"/>
                <w:b/>
                <w:noProof/>
                <w:color w:val="37424A"/>
                <w:sz w:val="18"/>
                <w:szCs w:val="18"/>
                <w:lang w:val="es-ES_tradnl"/>
              </w:rPr>
              <w:fldChar w:fldCharType="end"/>
            </w:r>
            <w:r w:rsidRPr="006E1502">
              <w:rPr>
                <w:rFonts w:eastAsia="Calibri" w:cs="Arial"/>
                <w:b/>
                <w:color w:val="37424A"/>
                <w:sz w:val="18"/>
                <w:szCs w:val="18"/>
                <w:lang w:val="es-ES_tradnl"/>
              </w:rPr>
              <w:tab/>
              <w:t>Estructura del modelo para el análisis individual de las ofertas de banda ancha</w:t>
            </w:r>
          </w:p>
        </w:tc>
      </w:tr>
      <w:tr w:rsidR="008C1EC6" w:rsidRPr="002201B0" w14:paraId="671E1847" w14:textId="77777777" w:rsidTr="009511FF">
        <w:trPr>
          <w:jc w:val="center"/>
        </w:trPr>
        <w:tc>
          <w:tcPr>
            <w:tcW w:w="5000" w:type="pct"/>
            <w:noWrap/>
          </w:tcPr>
          <w:p w14:paraId="06E3AADA" w14:textId="77777777" w:rsidR="008C1EC6" w:rsidRPr="002201B0" w:rsidRDefault="008C1EC6" w:rsidP="009511FF">
            <w:pPr>
              <w:keepNext/>
              <w:spacing w:after="0" w:line="240" w:lineRule="auto"/>
              <w:jc w:val="left"/>
              <w:rPr>
                <w:rFonts w:eastAsia="Arial" w:cs="Arial"/>
                <w:color w:val="37424A"/>
                <w:sz w:val="20"/>
                <w:lang w:val="en-GB"/>
              </w:rPr>
            </w:pPr>
            <w:r>
              <w:rPr>
                <w:noProof/>
                <w:lang w:eastAsia="es-MX"/>
              </w:rPr>
              <w:drawing>
                <wp:inline distT="0" distB="0" distL="0" distR="0" wp14:anchorId="5D926EED" wp14:editId="55B65E6D">
                  <wp:extent cx="4733925" cy="4057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3925" cy="4057650"/>
                          </a:xfrm>
                          <a:prstGeom prst="rect">
                            <a:avLst/>
                          </a:prstGeom>
                          <a:noFill/>
                          <a:ln>
                            <a:noFill/>
                          </a:ln>
                        </pic:spPr>
                      </pic:pic>
                    </a:graphicData>
                  </a:graphic>
                </wp:inline>
              </w:drawing>
            </w:r>
          </w:p>
        </w:tc>
      </w:tr>
      <w:tr w:rsidR="008C1EC6" w:rsidRPr="002201B0" w14:paraId="0820DC2C" w14:textId="77777777" w:rsidTr="009511FF">
        <w:trPr>
          <w:jc w:val="center"/>
        </w:trPr>
        <w:tc>
          <w:tcPr>
            <w:tcW w:w="5000" w:type="pct"/>
            <w:noWrap/>
          </w:tcPr>
          <w:p w14:paraId="089646A5" w14:textId="77777777" w:rsidR="008C1EC6" w:rsidRPr="002201B0" w:rsidRDefault="008C1EC6" w:rsidP="009511FF">
            <w:pPr>
              <w:tabs>
                <w:tab w:val="left" w:pos="709"/>
              </w:tabs>
              <w:spacing w:before="60" w:after="60" w:line="240" w:lineRule="auto"/>
              <w:ind w:left="709" w:hanging="709"/>
              <w:jc w:val="left"/>
              <w:rPr>
                <w:rFonts w:eastAsia="Calibri" w:cs="Arial"/>
                <w:i/>
                <w:color w:val="37424A"/>
                <w:sz w:val="16"/>
                <w:lang w:val="es-ES_tradnl"/>
              </w:rPr>
            </w:pPr>
            <w:r w:rsidRPr="002201B0">
              <w:rPr>
                <w:rFonts w:eastAsia="Calibri" w:cs="Arial"/>
                <w:i/>
                <w:color w:val="37424A"/>
                <w:sz w:val="16"/>
                <w:lang w:val="es-ES_tradnl"/>
              </w:rPr>
              <w:t>Fuente:</w:t>
            </w:r>
            <w:r w:rsidRPr="002201B0">
              <w:rPr>
                <w:rFonts w:eastAsia="Calibri" w:cs="Arial"/>
                <w:i/>
                <w:color w:val="37424A"/>
                <w:sz w:val="16"/>
                <w:lang w:val="es-ES_tradnl"/>
              </w:rPr>
              <w:tab/>
            </w:r>
            <w:r w:rsidRPr="008874AD">
              <w:rPr>
                <w:rFonts w:eastAsia="Calibri" w:cs="Arial"/>
                <w:i/>
                <w:color w:val="37424A"/>
                <w:sz w:val="16"/>
                <w:lang w:val="es-ES_tradnl"/>
              </w:rPr>
              <w:t>Prueba de Replicabilidad de Banda Ancha Ex-ante</w:t>
            </w:r>
            <w:r w:rsidRPr="002201B0">
              <w:rPr>
                <w:rFonts w:eastAsia="Calibri" w:cs="Arial"/>
                <w:i/>
                <w:color w:val="37424A"/>
                <w:sz w:val="16"/>
                <w:lang w:val="es-ES_tradnl"/>
              </w:rPr>
              <w:t xml:space="preserve">. </w:t>
            </w:r>
          </w:p>
        </w:tc>
      </w:tr>
    </w:tbl>
    <w:p w14:paraId="6FAB283F" w14:textId="77777777" w:rsidR="008C1EC6" w:rsidRPr="002201B0" w:rsidRDefault="008C1EC6" w:rsidP="008C1EC6">
      <w:pPr>
        <w:rPr>
          <w:lang w:val="es-ES_tradnl"/>
        </w:rPr>
      </w:pPr>
    </w:p>
    <w:tbl>
      <w:tblPr>
        <w:tblW w:w="7940" w:type="dxa"/>
        <w:jc w:val="center"/>
        <w:tblLayout w:type="fixed"/>
        <w:tblCellMar>
          <w:left w:w="0" w:type="dxa"/>
          <w:right w:w="0" w:type="dxa"/>
        </w:tblCellMar>
        <w:tblLook w:val="04A0" w:firstRow="1" w:lastRow="0" w:firstColumn="1" w:lastColumn="0" w:noHBand="0" w:noVBand="1"/>
      </w:tblPr>
      <w:tblGrid>
        <w:gridCol w:w="7940"/>
      </w:tblGrid>
      <w:tr w:rsidR="008C1EC6" w:rsidRPr="002201B0" w14:paraId="28693ECB" w14:textId="77777777" w:rsidTr="009511FF">
        <w:trPr>
          <w:jc w:val="center"/>
        </w:trPr>
        <w:tc>
          <w:tcPr>
            <w:tcW w:w="5000" w:type="pct"/>
            <w:noWrap/>
          </w:tcPr>
          <w:p w14:paraId="1433F5CC" w14:textId="77777777" w:rsidR="008C1EC6" w:rsidRPr="006E1502" w:rsidRDefault="008C1EC6" w:rsidP="009511FF">
            <w:pPr>
              <w:keepNext/>
              <w:tabs>
                <w:tab w:val="left" w:pos="1276"/>
              </w:tabs>
              <w:spacing w:before="120" w:after="60" w:line="240" w:lineRule="auto"/>
              <w:ind w:left="1276" w:hanging="1276"/>
              <w:rPr>
                <w:rFonts w:eastAsia="Calibri" w:cs="Arial"/>
                <w:b/>
                <w:color w:val="37424A"/>
                <w:sz w:val="18"/>
                <w:szCs w:val="18"/>
                <w:lang w:val="es-ES_tradnl"/>
              </w:rPr>
            </w:pPr>
            <w:r w:rsidRPr="006E1502">
              <w:rPr>
                <w:rFonts w:eastAsia="Calibri" w:cs="Arial"/>
                <w:b/>
                <w:color w:val="37424A"/>
                <w:sz w:val="18"/>
                <w:szCs w:val="18"/>
                <w:lang w:val="es-ES_tradnl"/>
              </w:rPr>
              <w:lastRenderedPageBreak/>
              <w:t>Figura 3</w:t>
            </w:r>
            <w:r w:rsidRPr="006E1502">
              <w:rPr>
                <w:rFonts w:eastAsia="Calibri" w:cs="Arial"/>
                <w:b/>
                <w:color w:val="37424A"/>
                <w:sz w:val="18"/>
                <w:szCs w:val="18"/>
                <w:lang w:val="es-ES_tradnl"/>
              </w:rPr>
              <w:tab/>
              <w:t>Estructura del modelo para el análisis agregado de las ofertas de banda ancha</w:t>
            </w:r>
          </w:p>
        </w:tc>
      </w:tr>
      <w:tr w:rsidR="008C1EC6" w:rsidRPr="002201B0" w14:paraId="14E8B205" w14:textId="77777777" w:rsidTr="009511FF">
        <w:trPr>
          <w:jc w:val="center"/>
        </w:trPr>
        <w:tc>
          <w:tcPr>
            <w:tcW w:w="5000" w:type="pct"/>
            <w:noWrap/>
          </w:tcPr>
          <w:p w14:paraId="689AC79D" w14:textId="77777777" w:rsidR="008C1EC6" w:rsidRPr="002201B0" w:rsidRDefault="008C1EC6" w:rsidP="009511FF">
            <w:pPr>
              <w:keepNext/>
              <w:spacing w:after="0" w:line="240" w:lineRule="auto"/>
              <w:jc w:val="left"/>
              <w:rPr>
                <w:rFonts w:eastAsia="Arial" w:cs="Arial"/>
                <w:color w:val="37424A"/>
                <w:sz w:val="20"/>
                <w:lang w:val="en-GB"/>
              </w:rPr>
            </w:pPr>
            <w:r>
              <w:rPr>
                <w:noProof/>
                <w:lang w:eastAsia="es-MX"/>
              </w:rPr>
              <w:drawing>
                <wp:inline distT="0" distB="0" distL="0" distR="0" wp14:anchorId="50515DC1" wp14:editId="5C868D01">
                  <wp:extent cx="4476750" cy="49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495300"/>
                          </a:xfrm>
                          <a:prstGeom prst="rect">
                            <a:avLst/>
                          </a:prstGeom>
                          <a:noFill/>
                          <a:ln>
                            <a:noFill/>
                          </a:ln>
                        </pic:spPr>
                      </pic:pic>
                    </a:graphicData>
                  </a:graphic>
                </wp:inline>
              </w:drawing>
            </w:r>
          </w:p>
        </w:tc>
      </w:tr>
      <w:tr w:rsidR="008C1EC6" w:rsidRPr="002201B0" w14:paraId="7615CAC8" w14:textId="77777777" w:rsidTr="009511FF">
        <w:trPr>
          <w:jc w:val="center"/>
        </w:trPr>
        <w:tc>
          <w:tcPr>
            <w:tcW w:w="5000" w:type="pct"/>
            <w:noWrap/>
          </w:tcPr>
          <w:p w14:paraId="3E023771" w14:textId="77777777" w:rsidR="008C1EC6" w:rsidRPr="002201B0" w:rsidRDefault="008C1EC6" w:rsidP="009511FF">
            <w:pPr>
              <w:tabs>
                <w:tab w:val="left" w:pos="709"/>
              </w:tabs>
              <w:spacing w:before="60" w:after="60" w:line="240" w:lineRule="auto"/>
              <w:ind w:left="709" w:hanging="709"/>
              <w:jc w:val="left"/>
              <w:rPr>
                <w:rFonts w:eastAsia="Calibri" w:cs="Arial"/>
                <w:i/>
                <w:color w:val="37424A"/>
                <w:sz w:val="16"/>
                <w:lang w:val="es-ES_tradnl"/>
              </w:rPr>
            </w:pPr>
            <w:r w:rsidRPr="002201B0">
              <w:rPr>
                <w:rFonts w:eastAsia="Calibri" w:cs="Arial"/>
                <w:i/>
                <w:color w:val="37424A"/>
                <w:sz w:val="16"/>
                <w:lang w:val="es-ES_tradnl"/>
              </w:rPr>
              <w:t>Fuente:</w:t>
            </w:r>
            <w:r w:rsidRPr="002201B0">
              <w:rPr>
                <w:rFonts w:eastAsia="Calibri" w:cs="Arial"/>
                <w:i/>
                <w:color w:val="37424A"/>
                <w:sz w:val="16"/>
                <w:lang w:val="es-ES_tradnl"/>
              </w:rPr>
              <w:tab/>
            </w:r>
            <w:r>
              <w:t xml:space="preserve"> </w:t>
            </w:r>
            <w:r w:rsidRPr="008874AD">
              <w:rPr>
                <w:rFonts w:eastAsia="Calibri" w:cs="Arial"/>
                <w:i/>
                <w:color w:val="37424A"/>
                <w:sz w:val="16"/>
                <w:lang w:val="es-ES_tradnl"/>
              </w:rPr>
              <w:t>Prueba de Repli</w:t>
            </w:r>
            <w:r>
              <w:rPr>
                <w:rFonts w:eastAsia="Calibri" w:cs="Arial"/>
                <w:i/>
                <w:color w:val="37424A"/>
                <w:sz w:val="16"/>
                <w:lang w:val="es-ES_tradnl"/>
              </w:rPr>
              <w:t>cabilidad de Banda Ancha Ex-post</w:t>
            </w:r>
            <w:r w:rsidRPr="002201B0">
              <w:rPr>
                <w:rFonts w:eastAsia="Calibri" w:cs="Arial"/>
                <w:i/>
                <w:color w:val="37424A"/>
                <w:sz w:val="16"/>
                <w:lang w:val="es-ES_tradnl"/>
              </w:rPr>
              <w:t xml:space="preserve">. </w:t>
            </w:r>
          </w:p>
        </w:tc>
      </w:tr>
    </w:tbl>
    <w:p w14:paraId="3D11479A" w14:textId="77777777" w:rsidR="008C1EC6" w:rsidRDefault="008C1EC6" w:rsidP="008C1EC6">
      <w:pPr>
        <w:rPr>
          <w:lang w:val="es-ES_tradnl"/>
        </w:rPr>
      </w:pPr>
    </w:p>
    <w:p w14:paraId="5AF4BCFB" w14:textId="77777777" w:rsidR="008C1EC6" w:rsidRPr="002201B0" w:rsidRDefault="008C1EC6" w:rsidP="008C1EC6">
      <w:pPr>
        <w:rPr>
          <w:lang w:val="es-ES_tradnl"/>
        </w:rPr>
      </w:pPr>
      <w:r w:rsidRPr="002201B0">
        <w:rPr>
          <w:lang w:val="es-ES_tradnl"/>
        </w:rPr>
        <w:t xml:space="preserve">A continuación, se presenta una guía de apoyo describiendo cada uno de estos módulos.  </w:t>
      </w:r>
    </w:p>
    <w:p w14:paraId="7A02C172" w14:textId="77777777" w:rsidR="008C1EC6" w:rsidRPr="002201B0" w:rsidRDefault="008C1EC6" w:rsidP="008C1EC6">
      <w:pPr>
        <w:rPr>
          <w:lang w:val="es-ES_tradnl"/>
        </w:rPr>
      </w:pPr>
      <w:r w:rsidRPr="002201B0">
        <w:rPr>
          <w:b/>
          <w:lang w:val="es-ES_tradnl"/>
        </w:rPr>
        <w:t>Notación:</w:t>
      </w:r>
      <w:r w:rsidRPr="002201B0">
        <w:rPr>
          <w:lang w:val="es-ES_tradnl"/>
        </w:rPr>
        <w:t xml:space="preserve"> Los distintos modelos emplean una notación homogénea para facilitar el entendimiento y uso de los mismos, tal y como se detalla en la figura abajo.</w:t>
      </w:r>
    </w:p>
    <w:tbl>
      <w:tblPr>
        <w:tblW w:w="7940" w:type="dxa"/>
        <w:jc w:val="center"/>
        <w:tblLayout w:type="fixed"/>
        <w:tblCellMar>
          <w:left w:w="0" w:type="dxa"/>
          <w:right w:w="0" w:type="dxa"/>
        </w:tblCellMar>
        <w:tblLook w:val="04A0" w:firstRow="1" w:lastRow="0" w:firstColumn="1" w:lastColumn="0" w:noHBand="0" w:noVBand="1"/>
      </w:tblPr>
      <w:tblGrid>
        <w:gridCol w:w="7940"/>
      </w:tblGrid>
      <w:tr w:rsidR="008C1EC6" w:rsidRPr="002201B0" w14:paraId="3FAE6AF5" w14:textId="77777777" w:rsidTr="009511FF">
        <w:trPr>
          <w:jc w:val="center"/>
        </w:trPr>
        <w:tc>
          <w:tcPr>
            <w:tcW w:w="5000" w:type="pct"/>
            <w:noWrap/>
          </w:tcPr>
          <w:p w14:paraId="56C43191" w14:textId="77777777" w:rsidR="008C1EC6" w:rsidRPr="006E1502" w:rsidRDefault="008C1EC6" w:rsidP="009511FF">
            <w:pPr>
              <w:keepNext/>
              <w:tabs>
                <w:tab w:val="left" w:pos="1276"/>
              </w:tabs>
              <w:spacing w:before="120" w:after="60" w:line="240" w:lineRule="auto"/>
              <w:ind w:left="1276" w:hanging="1276"/>
              <w:rPr>
                <w:rFonts w:eastAsia="Calibri" w:cs="Arial"/>
                <w:b/>
                <w:color w:val="000000" w:themeColor="text1"/>
                <w:sz w:val="18"/>
                <w:szCs w:val="18"/>
                <w:lang w:val="es-ES_tradnl"/>
              </w:rPr>
            </w:pPr>
            <w:r w:rsidRPr="006E1502">
              <w:rPr>
                <w:rFonts w:eastAsia="Calibri" w:cs="Arial"/>
                <w:b/>
                <w:color w:val="000000" w:themeColor="text1"/>
                <w:sz w:val="18"/>
                <w:szCs w:val="18"/>
                <w:lang w:val="es-ES_tradnl"/>
              </w:rPr>
              <w:t>Figura 4</w:t>
            </w:r>
            <w:r w:rsidRPr="006E1502">
              <w:rPr>
                <w:rFonts w:eastAsia="Calibri" w:cs="Arial"/>
                <w:b/>
                <w:color w:val="000000" w:themeColor="text1"/>
                <w:sz w:val="18"/>
                <w:szCs w:val="18"/>
                <w:lang w:val="es-ES_tradnl"/>
              </w:rPr>
              <w:tab/>
              <w:t>Notación empleada en el modelo</w:t>
            </w:r>
          </w:p>
        </w:tc>
      </w:tr>
      <w:tr w:rsidR="008C1EC6" w:rsidRPr="002201B0" w14:paraId="2FE1AFBD" w14:textId="77777777" w:rsidTr="009511FF">
        <w:trPr>
          <w:jc w:val="center"/>
        </w:trPr>
        <w:tc>
          <w:tcPr>
            <w:tcW w:w="5000" w:type="pct"/>
            <w:noWrap/>
          </w:tcPr>
          <w:p w14:paraId="214A0655" w14:textId="77777777" w:rsidR="008C1EC6" w:rsidRPr="002201B0" w:rsidRDefault="008C1EC6" w:rsidP="009511FF">
            <w:pPr>
              <w:keepNext/>
              <w:spacing w:after="0" w:line="240" w:lineRule="auto"/>
              <w:jc w:val="left"/>
              <w:rPr>
                <w:rFonts w:eastAsiaTheme="minorHAnsi" w:cs="Arial"/>
                <w:color w:val="000000" w:themeColor="text1"/>
                <w:sz w:val="20"/>
                <w:lang w:val="en-GB"/>
              </w:rPr>
            </w:pPr>
            <w:r w:rsidRPr="002201B0">
              <w:rPr>
                <w:rFonts w:eastAsiaTheme="minorHAnsi" w:cs="Arial"/>
                <w:noProof/>
                <w:color w:val="000000" w:themeColor="text1"/>
                <w:sz w:val="20"/>
                <w:lang w:eastAsia="es-MX"/>
              </w:rPr>
              <w:drawing>
                <wp:inline distT="0" distB="0" distL="0" distR="0" wp14:anchorId="30DC3BAD" wp14:editId="0BEA2D4C">
                  <wp:extent cx="5041900" cy="20955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1900" cy="2095500"/>
                          </a:xfrm>
                          <a:prstGeom prst="rect">
                            <a:avLst/>
                          </a:prstGeom>
                        </pic:spPr>
                      </pic:pic>
                    </a:graphicData>
                  </a:graphic>
                </wp:inline>
              </w:drawing>
            </w:r>
          </w:p>
        </w:tc>
      </w:tr>
      <w:tr w:rsidR="008C1EC6" w:rsidRPr="002201B0" w14:paraId="5C9807F5" w14:textId="77777777" w:rsidTr="009511FF">
        <w:trPr>
          <w:jc w:val="center"/>
        </w:trPr>
        <w:tc>
          <w:tcPr>
            <w:tcW w:w="5000" w:type="pct"/>
            <w:noWrap/>
          </w:tcPr>
          <w:p w14:paraId="001FBCBB" w14:textId="77777777" w:rsidR="008C1EC6" w:rsidRPr="002201B0" w:rsidRDefault="008C1EC6" w:rsidP="009511FF">
            <w:pPr>
              <w:tabs>
                <w:tab w:val="left" w:pos="709"/>
              </w:tabs>
              <w:spacing w:before="60" w:after="60" w:line="240" w:lineRule="auto"/>
              <w:ind w:left="709" w:hanging="709"/>
              <w:jc w:val="left"/>
              <w:rPr>
                <w:rFonts w:eastAsia="Calibri" w:cs="Arial"/>
                <w:i/>
                <w:color w:val="000000" w:themeColor="text1"/>
                <w:sz w:val="16"/>
                <w:lang w:val="es-ES_tradnl"/>
              </w:rPr>
            </w:pPr>
            <w:r w:rsidRPr="002201B0">
              <w:rPr>
                <w:rFonts w:eastAsia="Calibri" w:cs="Arial"/>
                <w:i/>
                <w:color w:val="000000" w:themeColor="text1"/>
                <w:sz w:val="16"/>
                <w:lang w:val="es-ES_tradnl"/>
              </w:rPr>
              <w:t>Fuente:</w:t>
            </w:r>
            <w:r w:rsidRPr="002201B0">
              <w:rPr>
                <w:rFonts w:eastAsia="Calibri" w:cs="Arial"/>
                <w:i/>
                <w:color w:val="000000" w:themeColor="text1"/>
                <w:sz w:val="16"/>
                <w:lang w:val="es-ES_tradnl"/>
              </w:rPr>
              <w:tab/>
            </w:r>
            <w:r w:rsidRPr="008874AD">
              <w:rPr>
                <w:rFonts w:eastAsia="Calibri" w:cs="Arial"/>
                <w:i/>
                <w:color w:val="000000" w:themeColor="text1"/>
                <w:sz w:val="16"/>
                <w:lang w:val="es-ES_tradnl"/>
              </w:rPr>
              <w:t>Prueba de Replicabilidad de Banda Ancha Ex-ante</w:t>
            </w:r>
            <w:r>
              <w:rPr>
                <w:rFonts w:eastAsia="Calibri" w:cs="Arial"/>
                <w:i/>
                <w:color w:val="000000" w:themeColor="text1"/>
                <w:sz w:val="16"/>
                <w:lang w:val="es-ES_tradnl"/>
              </w:rPr>
              <w:t xml:space="preserve"> y Ex-post</w:t>
            </w:r>
            <w:r w:rsidRPr="00C242A8">
              <w:rPr>
                <w:rFonts w:eastAsia="Calibri" w:cs="Arial"/>
                <w:i/>
                <w:color w:val="000000" w:themeColor="text1"/>
                <w:sz w:val="16"/>
                <w:lang w:val="es-ES_tradnl"/>
              </w:rPr>
              <w:t>.</w:t>
            </w:r>
          </w:p>
        </w:tc>
      </w:tr>
      <w:tr w:rsidR="006E1502" w:rsidRPr="002201B0" w14:paraId="5D12BD4B" w14:textId="77777777" w:rsidTr="009511FF">
        <w:trPr>
          <w:jc w:val="center"/>
        </w:trPr>
        <w:tc>
          <w:tcPr>
            <w:tcW w:w="5000" w:type="pct"/>
            <w:noWrap/>
          </w:tcPr>
          <w:p w14:paraId="0E8D4813" w14:textId="77777777" w:rsidR="006E1502" w:rsidRPr="002201B0" w:rsidRDefault="006E1502" w:rsidP="009511FF">
            <w:pPr>
              <w:tabs>
                <w:tab w:val="left" w:pos="709"/>
              </w:tabs>
              <w:spacing w:before="60" w:after="60" w:line="240" w:lineRule="auto"/>
              <w:ind w:left="709" w:hanging="709"/>
              <w:jc w:val="left"/>
              <w:rPr>
                <w:rFonts w:eastAsia="Calibri" w:cs="Arial"/>
                <w:i/>
                <w:color w:val="000000" w:themeColor="text1"/>
                <w:sz w:val="16"/>
                <w:lang w:val="es-ES_tradnl"/>
              </w:rPr>
            </w:pPr>
          </w:p>
        </w:tc>
      </w:tr>
    </w:tbl>
    <w:p w14:paraId="4F761A6C" w14:textId="77777777" w:rsidR="008C1EC6" w:rsidRPr="002201B0" w:rsidRDefault="008C1EC6">
      <w:pPr>
        <w:numPr>
          <w:ilvl w:val="0"/>
          <w:numId w:val="36"/>
        </w:numPr>
        <w:spacing w:before="160" w:after="160" w:line="259" w:lineRule="auto"/>
        <w:jc w:val="left"/>
        <w:outlineLvl w:val="1"/>
        <w:rPr>
          <w:rFonts w:eastAsia="Arial" w:cs="Arial"/>
          <w:b/>
          <w:vanish/>
          <w:szCs w:val="14"/>
          <w:lang w:val="es-ES_tradnl"/>
        </w:rPr>
      </w:pPr>
    </w:p>
    <w:p w14:paraId="00E06FFD" w14:textId="77777777" w:rsidR="008C1EC6" w:rsidRPr="002201B0" w:rsidRDefault="008C1EC6">
      <w:pPr>
        <w:numPr>
          <w:ilvl w:val="0"/>
          <w:numId w:val="36"/>
        </w:numPr>
        <w:spacing w:before="160" w:after="160" w:line="259" w:lineRule="auto"/>
        <w:jc w:val="left"/>
        <w:outlineLvl w:val="1"/>
        <w:rPr>
          <w:rFonts w:eastAsia="Arial" w:cs="Arial"/>
          <w:b/>
          <w:vanish/>
          <w:szCs w:val="14"/>
          <w:lang w:val="es-ES_tradnl"/>
        </w:rPr>
      </w:pPr>
    </w:p>
    <w:p w14:paraId="3D34ECB7" w14:textId="77777777" w:rsidR="008C1EC6" w:rsidRPr="002201B0" w:rsidRDefault="008C1EC6">
      <w:pPr>
        <w:numPr>
          <w:ilvl w:val="1"/>
          <w:numId w:val="36"/>
        </w:numPr>
        <w:spacing w:before="160" w:after="160" w:line="259" w:lineRule="auto"/>
        <w:jc w:val="left"/>
        <w:outlineLvl w:val="1"/>
        <w:rPr>
          <w:rFonts w:eastAsia="Arial" w:cs="Arial"/>
          <w:b/>
          <w:szCs w:val="14"/>
          <w:lang w:val="es-ES_tradnl"/>
        </w:rPr>
      </w:pPr>
      <w:r w:rsidRPr="002201B0">
        <w:rPr>
          <w:rFonts w:eastAsia="Arial" w:cs="Arial"/>
          <w:b/>
          <w:szCs w:val="14"/>
          <w:lang w:val="es-ES_tradnl"/>
        </w:rPr>
        <w:t>Módulo de resultados</w:t>
      </w:r>
    </w:p>
    <w:p w14:paraId="3269FDFA" w14:textId="77777777" w:rsidR="008C1EC6" w:rsidRPr="00262AD4" w:rsidRDefault="008C1EC6" w:rsidP="008C1EC6">
      <w:pPr>
        <w:rPr>
          <w:b/>
          <w:lang w:val="es-ES_tradnl"/>
        </w:rPr>
      </w:pPr>
      <w:r w:rsidRPr="00262AD4">
        <w:rPr>
          <w:b/>
          <w:lang w:val="es-ES_tradnl"/>
        </w:rPr>
        <w:t>Prueba individual</w:t>
      </w:r>
    </w:p>
    <w:p w14:paraId="2741286D" w14:textId="77777777" w:rsidR="008C1EC6" w:rsidRPr="00C242A8" w:rsidRDefault="008C1EC6" w:rsidP="008C1EC6">
      <w:r w:rsidRPr="00C242A8">
        <w:t>El modelo presenta los resultados de la oferta en la hoja “Resultados (Individual)”. Esta hoja muestra la obtención del margen por usuario como porcentaje de los ingresos a partir de:</w:t>
      </w:r>
    </w:p>
    <w:p w14:paraId="09B8B7D1"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Los ingresos por usuario de la oferta previstos durante el período.</w:t>
      </w:r>
    </w:p>
    <w:p w14:paraId="0E7074B7"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 xml:space="preserve">Los pagos mayoristas por usuario asociados a la modalidad mayorista escogida y al número de clientes promedio por central del operador alternativo. </w:t>
      </w:r>
    </w:p>
    <w:p w14:paraId="0B3A5545"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lastRenderedPageBreak/>
        <w:t>Los costos de red por usuario asociados a la oferta teniendo en cuenta la modalidad de acceso mayorista escogida.</w:t>
      </w:r>
    </w:p>
    <w:p w14:paraId="57E5E1CD"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Los costos minoristas por usuario asociados a la comercialización de la oferta que han sido asignados a la oferta.</w:t>
      </w:r>
    </w:p>
    <w:p w14:paraId="291455FB" w14:textId="77777777" w:rsidR="008C1EC6" w:rsidRPr="00262AD4" w:rsidRDefault="008C1EC6" w:rsidP="008C1EC6">
      <w:pPr>
        <w:rPr>
          <w:color w:val="000000" w:themeColor="text1"/>
        </w:rPr>
      </w:pPr>
      <w:r w:rsidRPr="00262AD4">
        <w:rPr>
          <w:color w:val="000000" w:themeColor="text1"/>
        </w:rPr>
        <w:t xml:space="preserve">Al tratarse de un modelo de flujos de caja descontados los márgenes están expresados en términos del VPN. </w:t>
      </w:r>
    </w:p>
    <w:p w14:paraId="0C33563A" w14:textId="77777777" w:rsidR="008C1EC6" w:rsidRPr="00262AD4" w:rsidRDefault="008C1EC6" w:rsidP="008C1EC6">
      <w:pPr>
        <w:rPr>
          <w:color w:val="000000" w:themeColor="text1"/>
          <w:lang w:val="es-ES_tradnl"/>
        </w:rPr>
      </w:pPr>
      <w:r w:rsidRPr="00262AD4">
        <w:rPr>
          <w:rFonts w:eastAsia="Arial"/>
          <w:color w:val="000000" w:themeColor="text1"/>
        </w:rPr>
        <w:t xml:space="preserve">Los resultados también se muestran gráficamente, tal y como se contempla en la </w:t>
      </w:r>
      <w:r w:rsidRPr="00262AD4">
        <w:rPr>
          <w:rFonts w:eastAsia="Arial"/>
          <w:color w:val="000000" w:themeColor="text1"/>
        </w:rPr>
        <w:fldChar w:fldCharType="begin"/>
      </w:r>
      <w:r w:rsidRPr="00262AD4">
        <w:rPr>
          <w:rFonts w:eastAsia="Arial"/>
          <w:color w:val="000000" w:themeColor="text1"/>
        </w:rPr>
        <w:instrText xml:space="preserve"> REF _Ref491870522 \h  \* MERGEFORMAT </w:instrText>
      </w:r>
      <w:r w:rsidRPr="00262AD4">
        <w:rPr>
          <w:rFonts w:eastAsia="Arial"/>
          <w:color w:val="000000" w:themeColor="text1"/>
        </w:rPr>
      </w:r>
      <w:r w:rsidRPr="00262AD4">
        <w:rPr>
          <w:rFonts w:eastAsia="Arial"/>
          <w:color w:val="000000" w:themeColor="text1"/>
        </w:rPr>
        <w:fldChar w:fldCharType="separate"/>
      </w:r>
      <w:r w:rsidRPr="00262AD4">
        <w:rPr>
          <w:color w:val="000000" w:themeColor="text1"/>
        </w:rPr>
        <w:t xml:space="preserve">Figura </w:t>
      </w:r>
      <w:r w:rsidRPr="00262AD4">
        <w:rPr>
          <w:noProof/>
          <w:color w:val="000000" w:themeColor="text1"/>
        </w:rPr>
        <w:t>5</w:t>
      </w:r>
      <w:r w:rsidRPr="00262AD4">
        <w:rPr>
          <w:rFonts w:eastAsia="Arial"/>
          <w:color w:val="000000" w:themeColor="text1"/>
        </w:rPr>
        <w:fldChar w:fldCharType="end"/>
      </w:r>
      <w:r w:rsidRPr="00262AD4">
        <w:rPr>
          <w:rFonts w:eastAsia="Arial"/>
          <w:color w:val="000000" w:themeColor="text1"/>
        </w:rPr>
        <w:t>.</w:t>
      </w:r>
    </w:p>
    <w:tbl>
      <w:tblPr>
        <w:tblW w:w="7940" w:type="dxa"/>
        <w:jc w:val="center"/>
        <w:tblLayout w:type="fixed"/>
        <w:tblCellMar>
          <w:left w:w="0" w:type="dxa"/>
          <w:right w:w="0" w:type="dxa"/>
        </w:tblCellMar>
        <w:tblLook w:val="04A0" w:firstRow="1" w:lastRow="0" w:firstColumn="1" w:lastColumn="0" w:noHBand="0" w:noVBand="1"/>
      </w:tblPr>
      <w:tblGrid>
        <w:gridCol w:w="7940"/>
      </w:tblGrid>
      <w:tr w:rsidR="008C1EC6" w:rsidRPr="002201B0" w14:paraId="46012A35" w14:textId="77777777" w:rsidTr="009511FF">
        <w:trPr>
          <w:jc w:val="center"/>
        </w:trPr>
        <w:tc>
          <w:tcPr>
            <w:tcW w:w="5000" w:type="pct"/>
            <w:noWrap/>
          </w:tcPr>
          <w:p w14:paraId="287FB2F5" w14:textId="77777777" w:rsidR="008C1EC6" w:rsidRPr="006E1502" w:rsidRDefault="008C1EC6" w:rsidP="009511FF">
            <w:pPr>
              <w:keepNext/>
              <w:tabs>
                <w:tab w:val="left" w:pos="1276"/>
              </w:tabs>
              <w:spacing w:before="120" w:after="60" w:line="240" w:lineRule="auto"/>
              <w:ind w:left="1276" w:hanging="1276"/>
              <w:rPr>
                <w:rFonts w:eastAsia="Calibri" w:cs="Arial"/>
                <w:b/>
                <w:color w:val="000000" w:themeColor="text1"/>
                <w:sz w:val="18"/>
                <w:szCs w:val="18"/>
                <w:lang w:val="es-ES_tradnl"/>
              </w:rPr>
            </w:pPr>
            <w:bookmarkStart w:id="2" w:name="_Ref491860125"/>
            <w:r w:rsidRPr="006E1502">
              <w:rPr>
                <w:rFonts w:eastAsia="Calibri" w:cs="Arial"/>
                <w:b/>
                <w:color w:val="000000" w:themeColor="text1"/>
                <w:sz w:val="18"/>
                <w:szCs w:val="18"/>
                <w:lang w:val="es-ES_tradnl"/>
              </w:rPr>
              <w:t xml:space="preserve">Figura </w:t>
            </w:r>
            <w:bookmarkEnd w:id="2"/>
            <w:r w:rsidRPr="006E1502">
              <w:rPr>
                <w:rFonts w:eastAsia="Calibri" w:cs="Arial"/>
                <w:b/>
                <w:color w:val="000000" w:themeColor="text1"/>
                <w:sz w:val="18"/>
                <w:szCs w:val="18"/>
                <w:lang w:val="es-ES_tradnl"/>
              </w:rPr>
              <w:t>5</w:t>
            </w:r>
            <w:r w:rsidRPr="006E1502">
              <w:rPr>
                <w:rFonts w:eastAsia="Calibri" w:cs="Arial"/>
                <w:b/>
                <w:color w:val="000000" w:themeColor="text1"/>
                <w:sz w:val="18"/>
                <w:szCs w:val="18"/>
                <w:lang w:val="es-ES_tradnl"/>
              </w:rPr>
              <w:tab/>
              <w:t>Resultados gráficos reportados</w:t>
            </w:r>
          </w:p>
        </w:tc>
      </w:tr>
      <w:tr w:rsidR="008C1EC6" w:rsidRPr="002201B0" w14:paraId="335564BE" w14:textId="77777777" w:rsidTr="009511FF">
        <w:trPr>
          <w:jc w:val="center"/>
        </w:trPr>
        <w:tc>
          <w:tcPr>
            <w:tcW w:w="5000" w:type="pct"/>
            <w:noWrap/>
          </w:tcPr>
          <w:p w14:paraId="35BD1EDA" w14:textId="77777777" w:rsidR="008C1EC6" w:rsidRPr="002201B0" w:rsidRDefault="008C1EC6" w:rsidP="009511FF">
            <w:pPr>
              <w:keepNext/>
              <w:spacing w:after="0" w:line="240" w:lineRule="auto"/>
              <w:jc w:val="left"/>
              <w:rPr>
                <w:rFonts w:eastAsiaTheme="minorHAnsi" w:cs="Arial"/>
                <w:color w:val="000000" w:themeColor="text1"/>
                <w:sz w:val="20"/>
                <w:lang w:val="en-GB"/>
              </w:rPr>
            </w:pPr>
            <w:r>
              <w:rPr>
                <w:noProof/>
                <w:lang w:eastAsia="es-MX"/>
              </w:rPr>
              <w:drawing>
                <wp:inline distT="0" distB="0" distL="0" distR="0" wp14:anchorId="31D88118" wp14:editId="59DD504E">
                  <wp:extent cx="5038725" cy="2686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tc>
      </w:tr>
      <w:tr w:rsidR="008C1EC6" w:rsidRPr="002201B0" w14:paraId="21D809D2" w14:textId="77777777" w:rsidTr="009511FF">
        <w:trPr>
          <w:jc w:val="center"/>
        </w:trPr>
        <w:tc>
          <w:tcPr>
            <w:tcW w:w="5000" w:type="pct"/>
            <w:noWrap/>
          </w:tcPr>
          <w:p w14:paraId="6E0694CD" w14:textId="77777777" w:rsidR="008C1EC6" w:rsidRPr="002201B0" w:rsidRDefault="008C1EC6" w:rsidP="009511FF">
            <w:pPr>
              <w:tabs>
                <w:tab w:val="left" w:pos="709"/>
              </w:tabs>
              <w:spacing w:before="60" w:after="60" w:line="240" w:lineRule="auto"/>
              <w:ind w:left="709" w:hanging="709"/>
              <w:jc w:val="left"/>
              <w:rPr>
                <w:rFonts w:eastAsia="Calibri" w:cs="Arial"/>
                <w:i/>
                <w:color w:val="000000" w:themeColor="text1"/>
                <w:sz w:val="16"/>
                <w:lang w:val="es-ES_tradnl"/>
              </w:rPr>
            </w:pPr>
            <w:r w:rsidRPr="002201B0">
              <w:rPr>
                <w:rFonts w:eastAsia="Calibri" w:cs="Arial"/>
                <w:i/>
                <w:color w:val="000000" w:themeColor="text1"/>
                <w:sz w:val="16"/>
                <w:lang w:val="es-ES_tradnl"/>
              </w:rPr>
              <w:t>Fuente:</w:t>
            </w:r>
            <w:r w:rsidRPr="002201B0">
              <w:rPr>
                <w:rFonts w:eastAsia="Calibri" w:cs="Arial"/>
                <w:i/>
                <w:color w:val="000000" w:themeColor="text1"/>
                <w:sz w:val="16"/>
                <w:lang w:val="es-ES_tradnl"/>
              </w:rPr>
              <w:tab/>
            </w:r>
            <w:r w:rsidRPr="008874AD">
              <w:rPr>
                <w:rFonts w:eastAsia="Calibri" w:cs="Arial"/>
                <w:i/>
                <w:color w:val="000000" w:themeColor="text1"/>
                <w:sz w:val="16"/>
                <w:lang w:val="es-ES_tradnl"/>
              </w:rPr>
              <w:t>Prueba de Replicabilidad de Banda Ancha Ex-ante</w:t>
            </w:r>
            <w:r>
              <w:rPr>
                <w:rFonts w:eastAsia="Calibri" w:cs="Arial"/>
                <w:i/>
                <w:color w:val="000000" w:themeColor="text1"/>
                <w:sz w:val="16"/>
                <w:lang w:val="es-ES_tradnl"/>
              </w:rPr>
              <w:t>.</w:t>
            </w:r>
            <w:r w:rsidRPr="002201B0">
              <w:rPr>
                <w:rFonts w:eastAsia="Calibri" w:cs="Arial"/>
                <w:i/>
                <w:color w:val="000000" w:themeColor="text1"/>
                <w:sz w:val="16"/>
                <w:lang w:val="es-ES_tradnl"/>
              </w:rPr>
              <w:t xml:space="preserve"> </w:t>
            </w:r>
          </w:p>
          <w:p w14:paraId="0D877D21" w14:textId="77777777" w:rsidR="008C1EC6" w:rsidRPr="002201B0" w:rsidRDefault="008C1EC6" w:rsidP="009511FF">
            <w:pPr>
              <w:tabs>
                <w:tab w:val="left" w:pos="709"/>
              </w:tabs>
              <w:spacing w:before="60" w:after="60" w:line="240" w:lineRule="auto"/>
              <w:ind w:left="709" w:hanging="709"/>
              <w:jc w:val="left"/>
              <w:rPr>
                <w:rFonts w:eastAsia="Calibri" w:cs="Arial"/>
                <w:i/>
                <w:color w:val="000000" w:themeColor="text1"/>
                <w:sz w:val="16"/>
                <w:lang w:val="es-ES_tradnl"/>
              </w:rPr>
            </w:pPr>
            <w:r>
              <w:rPr>
                <w:rFonts w:eastAsia="Calibri" w:cs="Arial"/>
                <w:i/>
                <w:color w:val="000000" w:themeColor="text1"/>
                <w:sz w:val="16"/>
                <w:lang w:val="es-ES_tradnl"/>
              </w:rPr>
              <w:t xml:space="preserve">Nota: </w:t>
            </w:r>
            <w:r w:rsidRPr="002201B0">
              <w:rPr>
                <w:rFonts w:eastAsia="Calibri" w:cs="Arial"/>
                <w:i/>
                <w:color w:val="000000" w:themeColor="text1"/>
                <w:sz w:val="16"/>
                <w:lang w:val="es-ES_tradnl"/>
              </w:rPr>
              <w:t xml:space="preserve">Los resultados aquí mostrados son hipotéticos al basarse en información ficticia. </w:t>
            </w:r>
          </w:p>
        </w:tc>
      </w:tr>
      <w:tr w:rsidR="008C1EC6" w:rsidRPr="002201B0" w14:paraId="53E11E16" w14:textId="77777777" w:rsidTr="009511FF">
        <w:trPr>
          <w:jc w:val="center"/>
        </w:trPr>
        <w:tc>
          <w:tcPr>
            <w:tcW w:w="5000" w:type="pct"/>
            <w:noWrap/>
          </w:tcPr>
          <w:p w14:paraId="77FD84EB" w14:textId="77777777" w:rsidR="008C1EC6" w:rsidRPr="00262AD4" w:rsidRDefault="008C1EC6" w:rsidP="009511FF">
            <w:pPr>
              <w:tabs>
                <w:tab w:val="left" w:pos="709"/>
              </w:tabs>
              <w:spacing w:before="60" w:after="60" w:line="240" w:lineRule="auto"/>
              <w:ind w:left="709" w:hanging="709"/>
              <w:jc w:val="left"/>
              <w:rPr>
                <w:rFonts w:eastAsia="Calibri" w:cs="Arial"/>
                <w:i/>
                <w:color w:val="000000" w:themeColor="text1"/>
                <w:sz w:val="16"/>
              </w:rPr>
            </w:pPr>
          </w:p>
        </w:tc>
      </w:tr>
    </w:tbl>
    <w:p w14:paraId="7E4C0F6D" w14:textId="77777777" w:rsidR="008C1EC6" w:rsidRDefault="008C1EC6" w:rsidP="008C1EC6">
      <w:pPr>
        <w:rPr>
          <w:b/>
        </w:rPr>
      </w:pPr>
      <w:r w:rsidRPr="00262AD4">
        <w:rPr>
          <w:b/>
        </w:rPr>
        <w:t>Prueba agregada</w:t>
      </w:r>
    </w:p>
    <w:p w14:paraId="46F8B5D8" w14:textId="77777777" w:rsidR="008C1EC6" w:rsidRDefault="008C1EC6" w:rsidP="008C1EC6">
      <w:r>
        <w:t xml:space="preserve">El modelo muestra los resultados de la prueba agregada en la hoja “Resultados”. Como en el caso de la prueba individual, el margen se obtiene a partir de los ingresos, los pagos mayoristas, los costos de red, y los costos minoristas de cada oferta que forma parte de la prueba agregada. Para la realización de esta prueba, el margen de cada oferta se pondera por el número de suscriptores para así obtener un margen agregado. </w:t>
      </w:r>
    </w:p>
    <w:p w14:paraId="4E64F303" w14:textId="77777777" w:rsidR="008C1EC6" w:rsidRDefault="008C1EC6" w:rsidP="008C1EC6">
      <w:r>
        <w:lastRenderedPageBreak/>
        <w:t>Los insumos para llevar a cabo la prueba agregada se encuentran en la hoja “Resultados (Agregado)” del modelo relativo a la prueba individual. Esta información deberá trasladarse al modelo de la prueba agregada, tal y como muestra la siguiente figura.</w:t>
      </w:r>
    </w:p>
    <w:tbl>
      <w:tblPr>
        <w:tblW w:w="7940" w:type="dxa"/>
        <w:jc w:val="center"/>
        <w:tblLayout w:type="fixed"/>
        <w:tblCellMar>
          <w:left w:w="0" w:type="dxa"/>
          <w:right w:w="0" w:type="dxa"/>
        </w:tblCellMar>
        <w:tblLook w:val="04A0" w:firstRow="1" w:lastRow="0" w:firstColumn="1" w:lastColumn="0" w:noHBand="0" w:noVBand="1"/>
      </w:tblPr>
      <w:tblGrid>
        <w:gridCol w:w="7940"/>
      </w:tblGrid>
      <w:tr w:rsidR="008C1EC6" w:rsidRPr="002201B0" w14:paraId="4D01E016" w14:textId="77777777" w:rsidTr="009511FF">
        <w:trPr>
          <w:jc w:val="center"/>
        </w:trPr>
        <w:tc>
          <w:tcPr>
            <w:tcW w:w="5000" w:type="pct"/>
            <w:noWrap/>
          </w:tcPr>
          <w:p w14:paraId="11CBA83D" w14:textId="77777777" w:rsidR="008C1EC6" w:rsidRPr="006E1502" w:rsidRDefault="008C1EC6" w:rsidP="009511FF">
            <w:pPr>
              <w:keepNext/>
              <w:tabs>
                <w:tab w:val="left" w:pos="1276"/>
              </w:tabs>
              <w:spacing w:before="120" w:after="60" w:line="240" w:lineRule="auto"/>
              <w:ind w:left="1276" w:hanging="1276"/>
              <w:rPr>
                <w:rFonts w:eastAsia="Calibri" w:cs="Arial"/>
                <w:b/>
                <w:color w:val="000000" w:themeColor="text1"/>
                <w:sz w:val="18"/>
                <w:szCs w:val="18"/>
                <w:lang w:val="es-ES_tradnl"/>
              </w:rPr>
            </w:pPr>
            <w:r w:rsidRPr="006E1502">
              <w:rPr>
                <w:rFonts w:eastAsia="Calibri" w:cs="Arial"/>
                <w:b/>
                <w:color w:val="000000" w:themeColor="text1"/>
                <w:sz w:val="18"/>
                <w:szCs w:val="18"/>
                <w:lang w:val="es-ES_tradnl"/>
              </w:rPr>
              <w:t>Figura 6</w:t>
            </w:r>
            <w:r w:rsidRPr="006E1502">
              <w:rPr>
                <w:rFonts w:eastAsia="Calibri" w:cs="Arial"/>
                <w:b/>
                <w:color w:val="000000" w:themeColor="text1"/>
                <w:sz w:val="18"/>
                <w:szCs w:val="18"/>
                <w:lang w:val="es-ES_tradnl"/>
              </w:rPr>
              <w:tab/>
              <w:t>Incorporación de la información de la prueba individual a la prueba agregada</w:t>
            </w:r>
          </w:p>
        </w:tc>
      </w:tr>
      <w:tr w:rsidR="008C1EC6" w:rsidRPr="002201B0" w14:paraId="5910D300" w14:textId="77777777" w:rsidTr="009511FF">
        <w:trPr>
          <w:jc w:val="center"/>
        </w:trPr>
        <w:tc>
          <w:tcPr>
            <w:tcW w:w="5000" w:type="pct"/>
            <w:noWrap/>
          </w:tcPr>
          <w:p w14:paraId="5BFE811C" w14:textId="77777777" w:rsidR="008C1EC6" w:rsidRDefault="008C1EC6" w:rsidP="009511FF">
            <w:pPr>
              <w:keepNext/>
              <w:spacing w:after="0" w:line="240" w:lineRule="auto"/>
              <w:jc w:val="left"/>
              <w:rPr>
                <w:rFonts w:eastAsiaTheme="minorHAnsi" w:cs="Arial"/>
                <w:color w:val="000000" w:themeColor="text1"/>
                <w:sz w:val="20"/>
                <w:lang w:val="en-GB"/>
              </w:rPr>
            </w:pPr>
            <w:r>
              <w:rPr>
                <w:noProof/>
                <w:lang w:eastAsia="es-MX"/>
              </w:rPr>
              <w:drawing>
                <wp:inline distT="0" distB="0" distL="0" distR="0" wp14:anchorId="1A5EB155" wp14:editId="3DC5BA0F">
                  <wp:extent cx="5000625" cy="626681"/>
                  <wp:effectExtent l="0" t="0" r="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13447" cy="628288"/>
                          </a:xfrm>
                          <a:prstGeom prst="rect">
                            <a:avLst/>
                          </a:prstGeom>
                        </pic:spPr>
                      </pic:pic>
                    </a:graphicData>
                  </a:graphic>
                </wp:inline>
              </w:drawing>
            </w:r>
          </w:p>
          <w:p w14:paraId="4DABF633" w14:textId="77777777" w:rsidR="008C1EC6" w:rsidRPr="002201B0" w:rsidRDefault="008C1EC6" w:rsidP="009511FF">
            <w:pPr>
              <w:keepNext/>
              <w:spacing w:after="0" w:line="240" w:lineRule="auto"/>
              <w:jc w:val="left"/>
              <w:rPr>
                <w:rFonts w:eastAsiaTheme="minorHAnsi" w:cs="Arial"/>
                <w:color w:val="000000" w:themeColor="text1"/>
                <w:sz w:val="20"/>
                <w:lang w:val="en-GB"/>
              </w:rPr>
            </w:pPr>
            <w:r>
              <w:rPr>
                <w:noProof/>
                <w:lang w:eastAsia="es-MX"/>
              </w:rPr>
              <w:drawing>
                <wp:inline distT="0" distB="0" distL="0" distR="0" wp14:anchorId="657FA36B" wp14:editId="6CAD3522">
                  <wp:extent cx="5067556" cy="333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451" b="34578"/>
                          <a:stretch/>
                        </pic:blipFill>
                        <pic:spPr bwMode="auto">
                          <a:xfrm>
                            <a:off x="0" y="0"/>
                            <a:ext cx="5380267" cy="3539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1EC6" w:rsidRPr="002201B0" w14:paraId="2CE1D017" w14:textId="77777777" w:rsidTr="009511FF">
        <w:trPr>
          <w:jc w:val="center"/>
        </w:trPr>
        <w:tc>
          <w:tcPr>
            <w:tcW w:w="5000" w:type="pct"/>
            <w:noWrap/>
          </w:tcPr>
          <w:p w14:paraId="757B83FC" w14:textId="77777777" w:rsidR="008C1EC6" w:rsidRDefault="008C1EC6" w:rsidP="009511FF">
            <w:pPr>
              <w:tabs>
                <w:tab w:val="left" w:pos="709"/>
              </w:tabs>
              <w:spacing w:before="60" w:after="60" w:line="240" w:lineRule="auto"/>
              <w:ind w:left="709" w:hanging="709"/>
              <w:jc w:val="left"/>
              <w:rPr>
                <w:rFonts w:eastAsia="Calibri" w:cs="Arial"/>
                <w:i/>
                <w:color w:val="000000" w:themeColor="text1"/>
                <w:sz w:val="16"/>
                <w:lang w:val="es-ES_tradnl"/>
              </w:rPr>
            </w:pPr>
            <w:r>
              <w:rPr>
                <w:noProof/>
                <w:lang w:eastAsia="es-MX"/>
              </w:rPr>
              <w:drawing>
                <wp:inline distT="0" distB="0" distL="0" distR="0" wp14:anchorId="4BDC3D75" wp14:editId="5B2E7EC1">
                  <wp:extent cx="5495925" cy="7686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52133" cy="776468"/>
                          </a:xfrm>
                          <a:prstGeom prst="rect">
                            <a:avLst/>
                          </a:prstGeom>
                        </pic:spPr>
                      </pic:pic>
                    </a:graphicData>
                  </a:graphic>
                </wp:inline>
              </w:drawing>
            </w:r>
          </w:p>
          <w:p w14:paraId="1E834459" w14:textId="77777777" w:rsidR="008C1EC6" w:rsidRPr="002201B0" w:rsidRDefault="008C1EC6" w:rsidP="009511FF">
            <w:pPr>
              <w:tabs>
                <w:tab w:val="left" w:pos="709"/>
              </w:tabs>
              <w:spacing w:before="60" w:after="60" w:line="240" w:lineRule="auto"/>
              <w:ind w:left="709" w:hanging="709"/>
              <w:jc w:val="left"/>
              <w:rPr>
                <w:rFonts w:eastAsia="Calibri" w:cs="Arial"/>
                <w:i/>
                <w:color w:val="000000" w:themeColor="text1"/>
                <w:sz w:val="16"/>
                <w:lang w:val="es-ES_tradnl"/>
              </w:rPr>
            </w:pPr>
            <w:r w:rsidRPr="002201B0">
              <w:rPr>
                <w:rFonts w:eastAsia="Calibri" w:cs="Arial"/>
                <w:i/>
                <w:color w:val="000000" w:themeColor="text1"/>
                <w:sz w:val="16"/>
                <w:lang w:val="es-ES_tradnl"/>
              </w:rPr>
              <w:t>Fuente:</w:t>
            </w:r>
            <w:r w:rsidRPr="002201B0">
              <w:rPr>
                <w:rFonts w:eastAsia="Calibri" w:cs="Arial"/>
                <w:i/>
                <w:color w:val="000000" w:themeColor="text1"/>
                <w:sz w:val="16"/>
                <w:lang w:val="es-ES_tradnl"/>
              </w:rPr>
              <w:tab/>
            </w:r>
            <w:r w:rsidRPr="008874AD">
              <w:rPr>
                <w:rFonts w:eastAsia="Calibri" w:cs="Arial"/>
                <w:i/>
                <w:color w:val="000000" w:themeColor="text1"/>
                <w:sz w:val="16"/>
                <w:lang w:val="es-ES_tradnl"/>
              </w:rPr>
              <w:t>Prueba de Replicabilidad de Banda Ancha Ex-ante</w:t>
            </w:r>
            <w:r>
              <w:rPr>
                <w:rFonts w:eastAsia="Calibri" w:cs="Arial"/>
                <w:i/>
                <w:color w:val="000000" w:themeColor="text1"/>
                <w:sz w:val="16"/>
                <w:lang w:val="es-ES_tradnl"/>
              </w:rPr>
              <w:t xml:space="preserve"> y </w:t>
            </w:r>
            <w:r w:rsidRPr="008874AD">
              <w:rPr>
                <w:rFonts w:eastAsia="Calibri" w:cs="Arial"/>
                <w:i/>
                <w:color w:val="000000" w:themeColor="text1"/>
                <w:sz w:val="16"/>
                <w:lang w:val="es-ES_tradnl"/>
              </w:rPr>
              <w:t>Prueba de Replicabili</w:t>
            </w:r>
            <w:r>
              <w:rPr>
                <w:rFonts w:eastAsia="Calibri" w:cs="Arial"/>
                <w:i/>
                <w:color w:val="000000" w:themeColor="text1"/>
                <w:sz w:val="16"/>
                <w:lang w:val="es-ES_tradnl"/>
              </w:rPr>
              <w:t>dad de Banda Ancha Ex-post.</w:t>
            </w:r>
          </w:p>
        </w:tc>
      </w:tr>
    </w:tbl>
    <w:p w14:paraId="6DF8E050" w14:textId="77777777" w:rsidR="008C1EC6" w:rsidRPr="00262AD4" w:rsidRDefault="008C1EC6" w:rsidP="008C1EC6">
      <w:pPr>
        <w:rPr>
          <w:b/>
        </w:rPr>
      </w:pPr>
    </w:p>
    <w:p w14:paraId="7FC254B8" w14:textId="77777777" w:rsidR="008C1EC6" w:rsidRPr="002201B0" w:rsidRDefault="008C1EC6">
      <w:pPr>
        <w:numPr>
          <w:ilvl w:val="1"/>
          <w:numId w:val="36"/>
        </w:numPr>
        <w:spacing w:before="160" w:after="160" w:line="259" w:lineRule="auto"/>
        <w:jc w:val="left"/>
        <w:outlineLvl w:val="1"/>
        <w:rPr>
          <w:rFonts w:eastAsia="Arial" w:cs="Arial"/>
          <w:b/>
          <w:szCs w:val="14"/>
          <w:lang w:val="es-ES_tradnl"/>
        </w:rPr>
      </w:pPr>
      <w:r w:rsidRPr="002201B0">
        <w:rPr>
          <w:rFonts w:eastAsia="Arial" w:cs="Arial"/>
          <w:b/>
          <w:szCs w:val="14"/>
          <w:lang w:val="es-ES_tradnl"/>
        </w:rPr>
        <w:t>Módulo de cálculos</w:t>
      </w:r>
    </w:p>
    <w:p w14:paraId="5D391A31" w14:textId="77777777" w:rsidR="008C1EC6" w:rsidRDefault="008C1EC6">
      <w:pPr>
        <w:numPr>
          <w:ilvl w:val="2"/>
          <w:numId w:val="36"/>
        </w:numPr>
        <w:spacing w:before="160" w:after="160" w:line="259" w:lineRule="auto"/>
        <w:jc w:val="left"/>
        <w:outlineLvl w:val="1"/>
        <w:rPr>
          <w:rFonts w:eastAsia="Arial" w:cs="Arial"/>
          <w:b/>
          <w:szCs w:val="14"/>
          <w:lang w:val="es-ES_tradnl"/>
        </w:rPr>
      </w:pPr>
      <w:r w:rsidRPr="002201B0">
        <w:rPr>
          <w:rFonts w:eastAsia="Arial" w:cs="Arial"/>
          <w:b/>
          <w:szCs w:val="14"/>
          <w:lang w:val="es-ES_tradnl"/>
        </w:rPr>
        <w:t>Ingresos</w:t>
      </w:r>
    </w:p>
    <w:p w14:paraId="72AEB3AC" w14:textId="77777777" w:rsidR="008C1EC6" w:rsidRPr="002201B0" w:rsidRDefault="008C1EC6" w:rsidP="008C1EC6">
      <w:pPr>
        <w:spacing w:before="160" w:after="160" w:line="259" w:lineRule="auto"/>
        <w:jc w:val="left"/>
        <w:outlineLvl w:val="1"/>
        <w:rPr>
          <w:rFonts w:eastAsia="Arial" w:cs="Arial"/>
          <w:b/>
          <w:szCs w:val="14"/>
          <w:lang w:val="es-ES_tradnl"/>
        </w:rPr>
      </w:pPr>
      <w:r>
        <w:rPr>
          <w:rFonts w:eastAsia="Arial" w:cs="Arial"/>
          <w:b/>
          <w:szCs w:val="14"/>
          <w:lang w:val="es-ES_tradnl"/>
        </w:rPr>
        <w:t>Prueba Individual</w:t>
      </w:r>
    </w:p>
    <w:p w14:paraId="332FC093" w14:textId="77777777" w:rsidR="008C1EC6" w:rsidRPr="00C242A8" w:rsidRDefault="008C1EC6" w:rsidP="008C1EC6">
      <w:r w:rsidRPr="00C242A8">
        <w:t xml:space="preserve">El modelo obtiene el valor presente neto de los ingresos por usuario previstos del AEP asociados a la oferta durante el horizonte temporal fijado. Esta información se encuentra en la hoja “Resumen Ingresos”. </w:t>
      </w:r>
    </w:p>
    <w:p w14:paraId="49FBA13E" w14:textId="77777777" w:rsidR="008C1EC6" w:rsidRPr="00C242A8" w:rsidRDefault="008C1EC6" w:rsidP="008C1EC6">
      <w:r w:rsidRPr="00C242A8">
        <w:t>Los ingresos pueden verse de manera desglosada en la hoja “Ingresos”. El desglose consiste en los siguientes componentes:</w:t>
      </w:r>
    </w:p>
    <w:p w14:paraId="55659932"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Ingresos por usuario no recurrentes, tales como la cuota de instalación, la cuota de alta, aparatos y otros. Estos ingresos se calculan a partir del requerimiento de información al AEP en la hoja “Info oferta y consumo”;</w:t>
      </w:r>
    </w:p>
    <w:p w14:paraId="35B2EC8E"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Ingresos por usuario recurrentes, tales como la renta mensual, el alquiler de equipos y otros (por ejemplo: ingresos asociados al uso del servicio Claro video). Estos ingresos se calculan a partir del requerimiento de información al AEP en la hoja “Info oferta y consumo”;</w:t>
      </w:r>
    </w:p>
    <w:p w14:paraId="7589ABD0" w14:textId="77777777" w:rsidR="00DE5E54" w:rsidRDefault="008C1EC6" w:rsidP="00DE5E54">
      <w:pPr>
        <w:pStyle w:val="ParaBullet1"/>
        <w:numPr>
          <w:ilvl w:val="0"/>
          <w:numId w:val="7"/>
        </w:numPr>
        <w:rPr>
          <w:rFonts w:ascii="ITC Avant Garde" w:hAnsi="ITC Avant Garde"/>
        </w:rPr>
      </w:pPr>
      <w:r w:rsidRPr="00262AD4">
        <w:rPr>
          <w:rFonts w:ascii="ITC Avant Garde" w:hAnsi="ITC Avant Garde"/>
        </w:rPr>
        <w:lastRenderedPageBreak/>
        <w:t>Ingresos por usuario relativos a consumos fuera de la renta mensual, tales como llamadas y tráfico. Estos ingresos se calculan a partir del requerimiento de información al AEP en la hoja “Info oferta y consumo”; y,</w:t>
      </w:r>
    </w:p>
    <w:p w14:paraId="5B62E450" w14:textId="58D7B9E3" w:rsidR="008C1EC6" w:rsidRPr="00DE5E54" w:rsidRDefault="008C1EC6" w:rsidP="00DE5E54">
      <w:pPr>
        <w:pStyle w:val="ParaBullet1"/>
        <w:numPr>
          <w:ilvl w:val="0"/>
          <w:numId w:val="7"/>
        </w:numPr>
        <w:rPr>
          <w:rFonts w:ascii="ITC Avant Garde" w:hAnsi="ITC Avant Garde"/>
        </w:rPr>
      </w:pPr>
      <w:r w:rsidRPr="00DE5E54">
        <w:rPr>
          <w:rFonts w:ascii="ITC Avant Garde" w:hAnsi="ITC Avant Garde"/>
        </w:rPr>
        <w:t>Ingresos por usuario relativos a la terminación de llamadas en la red del AEP.</w:t>
      </w:r>
    </w:p>
    <w:p w14:paraId="7BDDC366" w14:textId="77777777" w:rsidR="008C1EC6" w:rsidRPr="00262AD4" w:rsidRDefault="008C1EC6" w:rsidP="008C1EC6">
      <w:pPr>
        <w:spacing w:before="60" w:after="60" w:line="264" w:lineRule="auto"/>
        <w:rPr>
          <w:b/>
        </w:rPr>
      </w:pPr>
      <w:r w:rsidRPr="00262AD4">
        <w:rPr>
          <w:b/>
        </w:rPr>
        <w:t>Prueba agregada</w:t>
      </w:r>
    </w:p>
    <w:p w14:paraId="059E274E" w14:textId="77777777" w:rsidR="008C1EC6" w:rsidRPr="00C242A8" w:rsidRDefault="008C1EC6" w:rsidP="008C1EC6">
      <w:pPr>
        <w:spacing w:before="60" w:after="60" w:line="264" w:lineRule="auto"/>
        <w:rPr>
          <w:rFonts w:eastAsiaTheme="minorHAnsi" w:cs="Arial"/>
          <w:color w:val="000000" w:themeColor="text1"/>
          <w:lang w:val="es-ES_tradnl"/>
        </w:rPr>
      </w:pPr>
      <w:r>
        <w:t>En la prueba agregado el modelo recoge el valor presente neto de los ingresos previstos de cada una de las ofertas consideradas. Esta información puede obtenerse en la hoja “Resultados (Agregado)” dentro de</w:t>
      </w:r>
      <w:r w:rsidRPr="009378E8">
        <w:t xml:space="preserve"> la prueba </w:t>
      </w:r>
      <w:r>
        <w:t>individual. Los ingresos se derivan con el mismo procedimiento que en el caso de la prueba individual.</w:t>
      </w:r>
    </w:p>
    <w:p w14:paraId="1F568992" w14:textId="77777777" w:rsidR="008C1EC6" w:rsidRPr="002201B0" w:rsidRDefault="008C1EC6">
      <w:pPr>
        <w:numPr>
          <w:ilvl w:val="2"/>
          <w:numId w:val="36"/>
        </w:numPr>
        <w:spacing w:before="160" w:after="160" w:line="259" w:lineRule="auto"/>
        <w:jc w:val="left"/>
        <w:outlineLvl w:val="1"/>
        <w:rPr>
          <w:rFonts w:eastAsia="Arial" w:cs="Arial"/>
          <w:b/>
          <w:szCs w:val="14"/>
          <w:lang w:val="es-ES_tradnl"/>
        </w:rPr>
      </w:pPr>
      <w:r w:rsidRPr="002201B0">
        <w:rPr>
          <w:rFonts w:eastAsia="Arial" w:cs="Arial"/>
          <w:b/>
          <w:szCs w:val="14"/>
          <w:lang w:val="es-ES_tradnl"/>
        </w:rPr>
        <w:t>Costos</w:t>
      </w:r>
    </w:p>
    <w:p w14:paraId="55E85C49" w14:textId="77777777" w:rsidR="008C1EC6" w:rsidRPr="002201B0" w:rsidRDefault="008C1EC6" w:rsidP="008C1EC6">
      <w:pPr>
        <w:rPr>
          <w:b/>
        </w:rPr>
      </w:pPr>
      <w:r w:rsidRPr="002201B0">
        <w:rPr>
          <w:b/>
        </w:rPr>
        <w:t>Pagos mayoristas</w:t>
      </w:r>
    </w:p>
    <w:p w14:paraId="4E2949D7" w14:textId="77777777" w:rsidR="008C1EC6" w:rsidRPr="005710CD" w:rsidRDefault="008C1EC6" w:rsidP="008C1EC6">
      <w:r w:rsidRPr="005710CD">
        <w:t>El modelo realiza la prueba de replicabilidad económica para cada uno de los siguientes servicios mayoristas:</w:t>
      </w:r>
      <w:r w:rsidRPr="00262AD4">
        <w:rPr>
          <w:rStyle w:val="Refdenotaalpie"/>
          <w:rFonts w:ascii="ITC Avant Garde" w:hAnsi="ITC Avant Garde"/>
        </w:rPr>
        <w:footnoteReference w:id="2"/>
      </w:r>
    </w:p>
    <w:p w14:paraId="21029779"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SAIB Nacional;</w:t>
      </w:r>
    </w:p>
    <w:p w14:paraId="7B79B2AD"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SAIB Regional;</w:t>
      </w:r>
    </w:p>
    <w:p w14:paraId="06C8A01F"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SAIB Local;</w:t>
      </w:r>
    </w:p>
    <w:p w14:paraId="59B36FBF"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Desagregación compartida del bucle de cobre; y,</w:t>
      </w:r>
    </w:p>
    <w:p w14:paraId="53D2CBDA" w14:textId="77777777" w:rsidR="008C1EC6" w:rsidRPr="00262AD4" w:rsidRDefault="008C1EC6">
      <w:pPr>
        <w:pStyle w:val="ParaBullet1"/>
        <w:numPr>
          <w:ilvl w:val="0"/>
          <w:numId w:val="34"/>
        </w:numPr>
        <w:rPr>
          <w:rFonts w:ascii="ITC Avant Garde" w:hAnsi="ITC Avant Garde"/>
        </w:rPr>
      </w:pPr>
      <w:r w:rsidRPr="00262AD4">
        <w:rPr>
          <w:rFonts w:ascii="ITC Avant Garde" w:hAnsi="ITC Avant Garde"/>
        </w:rPr>
        <w:t>Desagregación completa del bucle de cobre.</w:t>
      </w:r>
    </w:p>
    <w:p w14:paraId="58E33F63" w14:textId="77777777" w:rsidR="008C1EC6" w:rsidRPr="00262AD4" w:rsidRDefault="008C1EC6" w:rsidP="008C1EC6">
      <w:pPr>
        <w:pStyle w:val="ParaBullet1"/>
        <w:rPr>
          <w:rFonts w:ascii="ITC Avant Garde" w:hAnsi="ITC Avant Garde"/>
        </w:rPr>
      </w:pPr>
      <w:r w:rsidRPr="00262AD4">
        <w:rPr>
          <w:rFonts w:ascii="ITC Avant Garde" w:hAnsi="ITC Avant Garde"/>
        </w:rPr>
        <w:t xml:space="preserve">A la hora de realizar la prueba, la hoja “Resultados (Individual)” contiene una lista desplegable que permite la selección del servicio mayorista con el cual se llevará a cabo la prueba (celda C3). </w:t>
      </w:r>
    </w:p>
    <w:p w14:paraId="2103A6F6" w14:textId="77777777" w:rsidR="008C1EC6" w:rsidRPr="00262AD4" w:rsidRDefault="008C1EC6">
      <w:pPr>
        <w:numPr>
          <w:ilvl w:val="0"/>
          <w:numId w:val="34"/>
        </w:numPr>
        <w:spacing w:before="60" w:after="60" w:line="264" w:lineRule="auto"/>
        <w:rPr>
          <w:rFonts w:eastAsiaTheme="minorHAnsi" w:cs="Arial"/>
          <w:color w:val="000000" w:themeColor="text1"/>
          <w:lang w:val="es-ES_tradnl"/>
        </w:rPr>
      </w:pPr>
      <w:r w:rsidRPr="005710CD">
        <w:t>El modelo obtiene el valor presente neto de los costos mayoristas por usuario para cada uno de los servicios mencionados. Esta información puede verse en la hoja “Resumen pagos mayoristas”.</w:t>
      </w:r>
    </w:p>
    <w:tbl>
      <w:tblPr>
        <w:tblW w:w="7940" w:type="dxa"/>
        <w:jc w:val="center"/>
        <w:tblLayout w:type="fixed"/>
        <w:tblCellMar>
          <w:left w:w="0" w:type="dxa"/>
          <w:right w:w="0" w:type="dxa"/>
        </w:tblCellMar>
        <w:tblLook w:val="04A0" w:firstRow="1" w:lastRow="0" w:firstColumn="1" w:lastColumn="0" w:noHBand="0" w:noVBand="1"/>
      </w:tblPr>
      <w:tblGrid>
        <w:gridCol w:w="7940"/>
      </w:tblGrid>
      <w:tr w:rsidR="008C1EC6" w:rsidRPr="002201B0" w14:paraId="52B42B34" w14:textId="77777777" w:rsidTr="009511FF">
        <w:trPr>
          <w:jc w:val="center"/>
        </w:trPr>
        <w:tc>
          <w:tcPr>
            <w:tcW w:w="5000" w:type="pct"/>
            <w:noWrap/>
          </w:tcPr>
          <w:p w14:paraId="2428F7B9" w14:textId="77777777" w:rsidR="008C1EC6" w:rsidRPr="006E1502" w:rsidRDefault="008C1EC6" w:rsidP="009511FF">
            <w:pPr>
              <w:keepNext/>
              <w:tabs>
                <w:tab w:val="left" w:pos="1276"/>
              </w:tabs>
              <w:spacing w:before="120" w:after="60" w:line="240" w:lineRule="auto"/>
              <w:ind w:left="1276" w:hanging="1276"/>
              <w:rPr>
                <w:rFonts w:eastAsia="Calibri" w:cs="Arial"/>
                <w:b/>
                <w:color w:val="000000" w:themeColor="text1"/>
                <w:sz w:val="18"/>
                <w:szCs w:val="18"/>
                <w:lang w:val="es-ES_tradnl"/>
              </w:rPr>
            </w:pPr>
            <w:r w:rsidRPr="006E1502">
              <w:rPr>
                <w:rFonts w:eastAsia="Calibri" w:cs="Arial"/>
                <w:b/>
                <w:color w:val="000000" w:themeColor="text1"/>
                <w:sz w:val="18"/>
                <w:szCs w:val="18"/>
                <w:lang w:val="es-ES_tradnl"/>
              </w:rPr>
              <w:lastRenderedPageBreak/>
              <w:t>Figura 7</w:t>
            </w:r>
            <w:r w:rsidRPr="006E1502">
              <w:rPr>
                <w:rFonts w:eastAsia="Calibri" w:cs="Arial"/>
                <w:b/>
                <w:color w:val="000000" w:themeColor="text1"/>
                <w:sz w:val="18"/>
                <w:szCs w:val="18"/>
                <w:lang w:val="es-ES_tradnl"/>
              </w:rPr>
              <w:tab/>
              <w:t>Pagos mayoristas en función de la modalidad de acceso mayorista</w:t>
            </w:r>
          </w:p>
        </w:tc>
      </w:tr>
      <w:tr w:rsidR="008C1EC6" w:rsidRPr="002201B0" w14:paraId="0C125924" w14:textId="77777777" w:rsidTr="009511FF">
        <w:trPr>
          <w:jc w:val="center"/>
        </w:trPr>
        <w:tc>
          <w:tcPr>
            <w:tcW w:w="5000" w:type="pct"/>
            <w:noWrap/>
          </w:tcPr>
          <w:p w14:paraId="64EA502A" w14:textId="77777777" w:rsidR="008C1EC6" w:rsidRPr="002201B0" w:rsidRDefault="008C1EC6" w:rsidP="009511FF">
            <w:pPr>
              <w:keepNext/>
              <w:spacing w:after="0" w:line="240" w:lineRule="auto"/>
              <w:jc w:val="center"/>
              <w:rPr>
                <w:rFonts w:eastAsiaTheme="minorHAnsi" w:cs="Arial"/>
                <w:color w:val="000000" w:themeColor="text1"/>
                <w:sz w:val="20"/>
                <w:lang w:val="en-GB"/>
              </w:rPr>
            </w:pPr>
            <w:r>
              <w:rPr>
                <w:noProof/>
                <w:lang w:eastAsia="es-MX"/>
              </w:rPr>
              <w:drawing>
                <wp:inline distT="0" distB="0" distL="0" distR="0" wp14:anchorId="21C1965F" wp14:editId="1AB26F57">
                  <wp:extent cx="2653937" cy="4429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53937" cy="4429125"/>
                          </a:xfrm>
                          <a:prstGeom prst="rect">
                            <a:avLst/>
                          </a:prstGeom>
                        </pic:spPr>
                      </pic:pic>
                    </a:graphicData>
                  </a:graphic>
                </wp:inline>
              </w:drawing>
            </w:r>
          </w:p>
        </w:tc>
      </w:tr>
      <w:tr w:rsidR="008C1EC6" w:rsidRPr="002201B0" w14:paraId="0E47A7EA" w14:textId="77777777" w:rsidTr="009511FF">
        <w:trPr>
          <w:jc w:val="center"/>
        </w:trPr>
        <w:tc>
          <w:tcPr>
            <w:tcW w:w="5000" w:type="pct"/>
            <w:noWrap/>
          </w:tcPr>
          <w:p w14:paraId="36F2738D" w14:textId="5C0A2614" w:rsidR="008C1EC6" w:rsidRPr="002201B0" w:rsidRDefault="008C1EC6" w:rsidP="00617B7B">
            <w:pPr>
              <w:tabs>
                <w:tab w:val="left" w:pos="709"/>
              </w:tabs>
              <w:spacing w:before="60" w:after="60" w:line="240" w:lineRule="auto"/>
              <w:ind w:left="709" w:hanging="709"/>
              <w:jc w:val="center"/>
              <w:rPr>
                <w:rFonts w:eastAsia="Calibri" w:cs="Arial"/>
                <w:i/>
                <w:color w:val="000000" w:themeColor="text1"/>
                <w:sz w:val="16"/>
                <w:lang w:val="es-ES_tradnl"/>
              </w:rPr>
            </w:pPr>
            <w:r w:rsidRPr="002201B0">
              <w:rPr>
                <w:rFonts w:eastAsia="Calibri" w:cs="Arial"/>
                <w:i/>
                <w:color w:val="000000" w:themeColor="text1"/>
                <w:sz w:val="16"/>
                <w:lang w:val="es-ES_tradnl"/>
              </w:rPr>
              <w:t>Fuente:</w:t>
            </w:r>
            <w:r w:rsidRPr="002201B0">
              <w:rPr>
                <w:rFonts w:eastAsia="Calibri" w:cs="Arial"/>
                <w:i/>
                <w:color w:val="000000" w:themeColor="text1"/>
                <w:sz w:val="16"/>
                <w:lang w:val="es-ES_tradnl"/>
              </w:rPr>
              <w:tab/>
            </w:r>
            <w:r w:rsidRPr="008874AD">
              <w:rPr>
                <w:rFonts w:eastAsia="Calibri" w:cs="Arial"/>
                <w:i/>
                <w:color w:val="000000" w:themeColor="text1"/>
                <w:sz w:val="16"/>
                <w:lang w:val="es-ES_tradnl"/>
              </w:rPr>
              <w:t>Prueba de Replicabilidad de Banda Ancha Ex-ante</w:t>
            </w:r>
            <w:r>
              <w:rPr>
                <w:rFonts w:eastAsia="Calibri" w:cs="Arial"/>
                <w:i/>
                <w:color w:val="000000" w:themeColor="text1"/>
                <w:sz w:val="16"/>
                <w:lang w:val="es-ES_tradnl"/>
              </w:rPr>
              <w:t>.</w:t>
            </w:r>
          </w:p>
        </w:tc>
      </w:tr>
    </w:tbl>
    <w:p w14:paraId="6E017E9E" w14:textId="77777777" w:rsidR="008C1EC6" w:rsidRPr="00262AD4" w:rsidRDefault="008C1EC6" w:rsidP="008C1EC6">
      <w:pPr>
        <w:pStyle w:val="ParaBullet1"/>
        <w:rPr>
          <w:rFonts w:ascii="ITC Avant Garde" w:hAnsi="ITC Avant Garde"/>
        </w:rPr>
      </w:pPr>
      <w:r w:rsidRPr="00262AD4">
        <w:rPr>
          <w:rFonts w:ascii="ITC Avant Garde" w:hAnsi="ITC Avant Garde"/>
        </w:rPr>
        <w:t xml:space="preserve">En relación a la </w:t>
      </w:r>
      <w:r w:rsidRPr="00262AD4">
        <w:rPr>
          <w:rFonts w:ascii="ITC Avant Garde" w:hAnsi="ITC Avant Garde"/>
          <w:b/>
        </w:rPr>
        <w:t>desagregación total y compartida del bucle</w:t>
      </w:r>
      <w:r w:rsidRPr="00262AD4">
        <w:rPr>
          <w:rFonts w:ascii="ITC Avant Garde" w:hAnsi="ITC Avant Garde"/>
        </w:rPr>
        <w:t>, los costos se han construido en la hoja “Dim. Costos mayoristas cobre”. Estos costos se han calculado teniendo en cuenta el número de suscriptores a nivel de central</w:t>
      </w:r>
      <w:r w:rsidRPr="00262AD4">
        <w:rPr>
          <w:rStyle w:val="Refdenotaalpie"/>
          <w:rFonts w:ascii="ITC Avant Garde" w:hAnsi="ITC Avant Garde"/>
        </w:rPr>
        <w:footnoteReference w:id="3"/>
      </w:r>
      <w:r w:rsidRPr="00262AD4">
        <w:rPr>
          <w:rFonts w:ascii="ITC Avant Garde" w:hAnsi="ITC Avant Garde"/>
        </w:rPr>
        <w:t xml:space="preserve"> para tener en cuenta la presencia de economías de escala en diversos cobros del servicio de desagregación.</w:t>
      </w:r>
    </w:p>
    <w:p w14:paraId="4A635F98" w14:textId="77777777" w:rsidR="008C1EC6" w:rsidRPr="00262AD4" w:rsidRDefault="008C1EC6" w:rsidP="008C1EC6">
      <w:pPr>
        <w:pStyle w:val="ParaBullet1"/>
        <w:rPr>
          <w:rFonts w:ascii="ITC Avant Garde" w:hAnsi="ITC Avant Garde"/>
        </w:rPr>
      </w:pPr>
      <w:r w:rsidRPr="00262AD4">
        <w:rPr>
          <w:rFonts w:ascii="ITC Avant Garde" w:hAnsi="ITC Avant Garde"/>
        </w:rPr>
        <w:lastRenderedPageBreak/>
        <w:t>Las diferentes partidas de costos recurrentes y no recurrentes asociadas al servicio de desagregación que se han considerado son las siguientes</w:t>
      </w:r>
      <w:r w:rsidRPr="00262AD4">
        <w:rPr>
          <w:rStyle w:val="Refdenotaalpie"/>
          <w:rFonts w:ascii="ITC Avant Garde" w:hAnsi="ITC Avant Garde"/>
        </w:rPr>
        <w:footnoteReference w:id="4"/>
      </w:r>
      <w:r w:rsidRPr="00262AD4">
        <w:rPr>
          <w:rFonts w:ascii="ITC Avant Garde" w:hAnsi="ITC Avant Garde"/>
        </w:rPr>
        <w:t>:</w:t>
      </w:r>
    </w:p>
    <w:p w14:paraId="61572F25"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i/>
        </w:rPr>
        <w:t>Servicio de desagregación total o compartida del bucle</w:t>
      </w:r>
      <w:r w:rsidRPr="00262AD4">
        <w:rPr>
          <w:rFonts w:ascii="ITC Avant Garde" w:hAnsi="ITC Avant Garde"/>
        </w:rPr>
        <w:t>: pagos no recurrentes por habilitación del servicio y renta mensual;</w:t>
      </w:r>
    </w:p>
    <w:p w14:paraId="68B891FB"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i/>
        </w:rPr>
        <w:t>Servicio de coubicación para desagregación</w:t>
      </w:r>
      <w:r w:rsidRPr="00262AD4">
        <w:rPr>
          <w:rFonts w:ascii="ITC Avant Garde" w:hAnsi="ITC Avant Garde"/>
        </w:rPr>
        <w:t>: pagos por gastos de instalación por coubicación, gastos de la instalación de metro lineal por escalerilla, renta mensual de la coubicación por metro cuadrado</w:t>
      </w:r>
      <w:r w:rsidRPr="00262AD4">
        <w:rPr>
          <w:rStyle w:val="Refdenotaalpie"/>
          <w:rFonts w:ascii="ITC Avant Garde" w:hAnsi="ITC Avant Garde"/>
        </w:rPr>
        <w:footnoteReference w:id="5"/>
      </w:r>
      <w:r w:rsidRPr="00262AD4">
        <w:rPr>
          <w:rFonts w:ascii="ITC Avant Garde" w:hAnsi="ITC Avant Garde"/>
        </w:rPr>
        <w:t xml:space="preserve"> y metro lineal de escalerilla; y,</w:t>
      </w:r>
    </w:p>
    <w:p w14:paraId="0BC52779"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i/>
        </w:rPr>
        <w:t>Servicio auxiliar de cableado multipar</w:t>
      </w:r>
      <w:r w:rsidRPr="00262AD4">
        <w:rPr>
          <w:rFonts w:ascii="ITC Avant Garde" w:hAnsi="ITC Avant Garde"/>
        </w:rPr>
        <w:t>: pagos por cada tablilla de 64 puertos y módulo Splitter VDSL 2, escalerilla de aluminio de 6" a 8" para cableado UTP y/o coaxial y metro lineal del cableado multipar de 70 pares con blindaje y estañado de línea.</w:t>
      </w:r>
    </w:p>
    <w:p w14:paraId="258805E8" w14:textId="77777777" w:rsidR="008C1EC6" w:rsidRPr="005710CD" w:rsidRDefault="008C1EC6" w:rsidP="008C1EC6">
      <w:pPr>
        <w:rPr>
          <w:rFonts w:eastAsia="Calibri"/>
        </w:rPr>
      </w:pPr>
      <w:r w:rsidRPr="005710CD">
        <w:rPr>
          <w:rFonts w:eastAsia="Calibri"/>
        </w:rPr>
        <w:t xml:space="preserve">Los pagos mayoristas relativos a las distintas modalidades del </w:t>
      </w:r>
      <w:r w:rsidRPr="005710CD">
        <w:rPr>
          <w:rFonts w:eastAsia="Calibri"/>
          <w:b/>
        </w:rPr>
        <w:t>servicio de acceso indirecto</w:t>
      </w:r>
      <w:r w:rsidRPr="005710CD">
        <w:rPr>
          <w:rFonts w:eastAsia="Calibri"/>
        </w:rPr>
        <w:t xml:space="preserve"> </w:t>
      </w:r>
      <w:r w:rsidRPr="005710CD">
        <w:rPr>
          <w:rFonts w:eastAsia="Calibri"/>
          <w:b/>
        </w:rPr>
        <w:t>al bucle</w:t>
      </w:r>
      <w:r w:rsidRPr="005710CD">
        <w:rPr>
          <w:rFonts w:eastAsia="Calibri"/>
        </w:rPr>
        <w:t xml:space="preserve"> tienen en cuenta los siguientes servicios y descuentos</w:t>
      </w:r>
      <w:r w:rsidRPr="00262AD4">
        <w:rPr>
          <w:rStyle w:val="Refdenotaalpie"/>
          <w:rFonts w:ascii="ITC Avant Garde" w:eastAsia="Calibri" w:hAnsi="ITC Avant Garde"/>
        </w:rPr>
        <w:footnoteReference w:id="6"/>
      </w:r>
      <w:r w:rsidRPr="005710CD">
        <w:rPr>
          <w:rFonts w:eastAsia="Calibri"/>
        </w:rPr>
        <w:t>:</w:t>
      </w:r>
    </w:p>
    <w:p w14:paraId="6E574A8E"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 xml:space="preserve">Entrega del servicio. El pago mayorista considera la velocidad de bajada contratada, la tecnología de provisión de la oferta (fibra o cobre) y asigna la calidad </w:t>
      </w:r>
      <w:r w:rsidRPr="00262AD4">
        <w:rPr>
          <w:rFonts w:ascii="ITC Avant Garde" w:hAnsi="ITC Avant Garde"/>
          <w:i/>
        </w:rPr>
        <w:t>Best Effort</w:t>
      </w:r>
      <w:r w:rsidRPr="00262AD4">
        <w:rPr>
          <w:rFonts w:ascii="ITC Avant Garde" w:hAnsi="ITC Avant Garde"/>
        </w:rPr>
        <w:t xml:space="preserve"> para las ofertas de banda ancha y la calidad </w:t>
      </w:r>
      <w:r w:rsidRPr="00262AD4">
        <w:rPr>
          <w:rFonts w:ascii="ITC Avant Garde" w:hAnsi="ITC Avant Garde"/>
          <w:i/>
        </w:rPr>
        <w:t>VoIP</w:t>
      </w:r>
      <w:r w:rsidRPr="00262AD4">
        <w:rPr>
          <w:rFonts w:ascii="ITC Avant Garde" w:hAnsi="ITC Avant Garde"/>
        </w:rPr>
        <w:t xml:space="preserve"> para las ofertas empaquetas de banda ancha con telefonía fija. Estos pagos se incluyen en la hoja “Entrega del servicio SAIB”;</w:t>
      </w:r>
    </w:p>
    <w:p w14:paraId="25D4090C"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Gastos relativos a la habilitación del SAIB, del PCAI, y equipos de acceso del NCAI asociados a un SCyD. Estos pagos se incluyen en la hoja “Dim. costos SAIB”;</w:t>
      </w:r>
    </w:p>
    <w:p w14:paraId="526BD4B8"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Otros cobros no recurrentes como los relativos a procedimientos masivos, instalación de acometidas, el cableado interior, visitas en falso o atención de averías inexistentes. Estos pagos se incluyen en la hoja “Dim costos SAIB”; y,</w:t>
      </w:r>
    </w:p>
    <w:p w14:paraId="0DCC7C00"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Descuentos recurrentes relativos a la instalación de acometidas, adquisición de aparatos a través del AEP, mensajería y relativos al “Servicio de Entrega de Equipo por Personal Telmex en SAIB". Estos pagos se incluyen en la hoja “Dim costos SAIB”.</w:t>
      </w:r>
    </w:p>
    <w:p w14:paraId="78BDC7B7" w14:textId="77777777" w:rsidR="008C1EC6" w:rsidRDefault="008C1EC6" w:rsidP="008C1EC6">
      <w:pPr>
        <w:spacing w:before="60" w:after="60" w:line="264" w:lineRule="auto"/>
      </w:pPr>
      <w:r w:rsidRPr="005710CD">
        <w:lastRenderedPageBreak/>
        <w:t>Los pagos mayoristas considerados en la prueba individual coinciden con los costos a tener en cuenta en la realización de la prueba agregada. Estos pueden verse en la hoja “Resultados (Agregados)” (celda F6).</w:t>
      </w:r>
    </w:p>
    <w:p w14:paraId="684F9918" w14:textId="77777777" w:rsidR="006E1502" w:rsidRPr="00262AD4" w:rsidRDefault="006E1502" w:rsidP="008C1EC6">
      <w:pPr>
        <w:spacing w:before="60" w:after="60" w:line="264" w:lineRule="auto"/>
        <w:rPr>
          <w:rFonts w:eastAsiaTheme="minorHAnsi" w:cs="Arial"/>
          <w:color w:val="000000" w:themeColor="text1"/>
        </w:rPr>
      </w:pPr>
    </w:p>
    <w:p w14:paraId="23A3AEC5" w14:textId="77777777" w:rsidR="008C1EC6" w:rsidRPr="002201B0" w:rsidRDefault="008C1EC6" w:rsidP="008C1EC6">
      <w:pPr>
        <w:rPr>
          <w:b/>
        </w:rPr>
      </w:pPr>
      <w:r w:rsidRPr="002201B0">
        <w:rPr>
          <w:b/>
        </w:rPr>
        <w:t>Costos aguas abajo</w:t>
      </w:r>
    </w:p>
    <w:p w14:paraId="597475A2" w14:textId="77777777" w:rsidR="008C1EC6" w:rsidRDefault="008C1EC6" w:rsidP="008C1EC6">
      <w:r>
        <w:t xml:space="preserve">El modelo obtiene el valor presente neto de los costos minoristas por usuario en la hoja “Resumen costos aguas abajo”. </w:t>
      </w:r>
    </w:p>
    <w:p w14:paraId="63D1BF49" w14:textId="77777777" w:rsidR="008C1EC6" w:rsidRDefault="008C1EC6" w:rsidP="008C1EC6">
      <w:r>
        <w:t>Se han calculado los costos aguas abajo asociados a cada una de las distintas modalidades mayoristas mencionadas en el apartado anterior. Por lo que respecta a la asignación de las distintas categorías de costo, la hoja “Costos aguas abajo de la oferta” presenta una matriz de tipo 0/1, donde 1 considera la imputación de la categoría a la modalidad de acceso, y 0 considera lo contrario.</w:t>
      </w:r>
    </w:p>
    <w:tbl>
      <w:tblPr>
        <w:tblW w:w="7940" w:type="dxa"/>
        <w:jc w:val="center"/>
        <w:tblLayout w:type="fixed"/>
        <w:tblCellMar>
          <w:left w:w="0" w:type="dxa"/>
          <w:right w:w="0" w:type="dxa"/>
        </w:tblCellMar>
        <w:tblLook w:val="04A0" w:firstRow="1" w:lastRow="0" w:firstColumn="1" w:lastColumn="0" w:noHBand="0" w:noVBand="1"/>
      </w:tblPr>
      <w:tblGrid>
        <w:gridCol w:w="7940"/>
      </w:tblGrid>
      <w:tr w:rsidR="008C1EC6" w:rsidRPr="002201B0" w14:paraId="388090A9" w14:textId="77777777" w:rsidTr="009511FF">
        <w:trPr>
          <w:jc w:val="center"/>
        </w:trPr>
        <w:tc>
          <w:tcPr>
            <w:tcW w:w="5000" w:type="pct"/>
            <w:noWrap/>
          </w:tcPr>
          <w:p w14:paraId="00A441E5" w14:textId="77777777" w:rsidR="008C1EC6" w:rsidRPr="006E1502" w:rsidRDefault="008C1EC6" w:rsidP="009511FF">
            <w:pPr>
              <w:keepNext/>
              <w:tabs>
                <w:tab w:val="left" w:pos="1276"/>
              </w:tabs>
              <w:spacing w:before="120" w:after="60" w:line="240" w:lineRule="auto"/>
              <w:ind w:left="1276" w:hanging="1276"/>
              <w:rPr>
                <w:rFonts w:eastAsia="Calibri" w:cs="Arial"/>
                <w:b/>
                <w:color w:val="000000" w:themeColor="text1"/>
                <w:sz w:val="18"/>
                <w:szCs w:val="18"/>
                <w:lang w:val="es-ES_tradnl"/>
              </w:rPr>
            </w:pPr>
            <w:r w:rsidRPr="006E1502">
              <w:rPr>
                <w:rFonts w:eastAsia="Calibri" w:cs="Arial"/>
                <w:b/>
                <w:color w:val="000000" w:themeColor="text1"/>
                <w:sz w:val="18"/>
                <w:szCs w:val="18"/>
                <w:lang w:val="es-ES_tradnl"/>
              </w:rPr>
              <w:t>Figura 8</w:t>
            </w:r>
            <w:r w:rsidRPr="006E1502">
              <w:rPr>
                <w:rFonts w:eastAsia="Calibri" w:cs="Arial"/>
                <w:b/>
                <w:color w:val="000000" w:themeColor="text1"/>
                <w:sz w:val="18"/>
                <w:szCs w:val="18"/>
                <w:lang w:val="es-ES_tradnl"/>
              </w:rPr>
              <w:tab/>
              <w:t>Asignación de costos aguas abajo según modalidad de acceso mayorista</w:t>
            </w:r>
          </w:p>
        </w:tc>
      </w:tr>
      <w:tr w:rsidR="008C1EC6" w:rsidRPr="002201B0" w14:paraId="5753E16B" w14:textId="77777777" w:rsidTr="009511FF">
        <w:trPr>
          <w:jc w:val="center"/>
        </w:trPr>
        <w:tc>
          <w:tcPr>
            <w:tcW w:w="5000" w:type="pct"/>
            <w:noWrap/>
          </w:tcPr>
          <w:p w14:paraId="373A6C27" w14:textId="77777777" w:rsidR="008C1EC6" w:rsidRPr="002201B0" w:rsidRDefault="008C1EC6" w:rsidP="009511FF">
            <w:pPr>
              <w:keepNext/>
              <w:spacing w:after="0" w:line="240" w:lineRule="auto"/>
              <w:jc w:val="center"/>
              <w:rPr>
                <w:rFonts w:eastAsiaTheme="minorHAnsi" w:cs="Arial"/>
                <w:color w:val="000000" w:themeColor="text1"/>
                <w:sz w:val="20"/>
                <w:lang w:val="en-GB"/>
              </w:rPr>
            </w:pPr>
            <w:r>
              <w:rPr>
                <w:noProof/>
                <w:lang w:eastAsia="es-MX"/>
              </w:rPr>
              <w:drawing>
                <wp:inline distT="0" distB="0" distL="0" distR="0" wp14:anchorId="4A661241" wp14:editId="48D7238D">
                  <wp:extent cx="5087685" cy="283845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89634" cy="2839538"/>
                          </a:xfrm>
                          <a:prstGeom prst="rect">
                            <a:avLst/>
                          </a:prstGeom>
                        </pic:spPr>
                      </pic:pic>
                    </a:graphicData>
                  </a:graphic>
                </wp:inline>
              </w:drawing>
            </w:r>
          </w:p>
        </w:tc>
      </w:tr>
      <w:tr w:rsidR="008C1EC6" w:rsidRPr="002201B0" w14:paraId="1CBA68D1" w14:textId="77777777" w:rsidTr="009511FF">
        <w:trPr>
          <w:jc w:val="center"/>
        </w:trPr>
        <w:tc>
          <w:tcPr>
            <w:tcW w:w="5000" w:type="pct"/>
            <w:noWrap/>
          </w:tcPr>
          <w:p w14:paraId="47FBAA20" w14:textId="77777777" w:rsidR="008C1EC6" w:rsidRPr="002201B0" w:rsidRDefault="008C1EC6" w:rsidP="009511FF">
            <w:pPr>
              <w:tabs>
                <w:tab w:val="left" w:pos="709"/>
              </w:tabs>
              <w:spacing w:before="60" w:after="60" w:line="240" w:lineRule="auto"/>
              <w:ind w:left="709" w:hanging="709"/>
              <w:jc w:val="left"/>
              <w:rPr>
                <w:rFonts w:eastAsia="Calibri" w:cs="Arial"/>
                <w:i/>
                <w:color w:val="000000" w:themeColor="text1"/>
                <w:sz w:val="16"/>
                <w:lang w:val="es-ES_tradnl"/>
              </w:rPr>
            </w:pPr>
            <w:r w:rsidRPr="002201B0">
              <w:rPr>
                <w:rFonts w:eastAsia="Calibri" w:cs="Arial"/>
                <w:i/>
                <w:color w:val="000000" w:themeColor="text1"/>
                <w:sz w:val="16"/>
                <w:lang w:val="es-ES_tradnl"/>
              </w:rPr>
              <w:t>Fuente:</w:t>
            </w:r>
            <w:r w:rsidRPr="002201B0">
              <w:rPr>
                <w:rFonts w:eastAsia="Calibri" w:cs="Arial"/>
                <w:i/>
                <w:color w:val="000000" w:themeColor="text1"/>
                <w:sz w:val="16"/>
                <w:lang w:val="es-ES_tradnl"/>
              </w:rPr>
              <w:tab/>
            </w:r>
            <w:r w:rsidRPr="008874AD">
              <w:rPr>
                <w:rFonts w:eastAsia="Calibri" w:cs="Arial"/>
                <w:i/>
                <w:color w:val="000000" w:themeColor="text1"/>
                <w:sz w:val="16"/>
                <w:lang w:val="es-ES_tradnl"/>
              </w:rPr>
              <w:t>Prueba de Replicabilidad de Banda Ancha Ex-ante</w:t>
            </w:r>
            <w:r>
              <w:rPr>
                <w:rFonts w:eastAsia="Calibri" w:cs="Arial"/>
                <w:i/>
                <w:color w:val="000000" w:themeColor="text1"/>
                <w:sz w:val="16"/>
                <w:lang w:val="es-ES_tradnl"/>
              </w:rPr>
              <w:t>.</w:t>
            </w:r>
            <w:r w:rsidRPr="002201B0">
              <w:rPr>
                <w:rFonts w:eastAsia="Calibri" w:cs="Arial"/>
                <w:i/>
                <w:color w:val="000000" w:themeColor="text1"/>
                <w:sz w:val="16"/>
                <w:lang w:val="es-ES_tradnl"/>
              </w:rPr>
              <w:t xml:space="preserve"> </w:t>
            </w:r>
          </w:p>
        </w:tc>
      </w:tr>
    </w:tbl>
    <w:p w14:paraId="3653CF93" w14:textId="77777777" w:rsidR="008C1EC6" w:rsidRDefault="008C1EC6" w:rsidP="008C1EC6"/>
    <w:p w14:paraId="484F1657" w14:textId="77777777" w:rsidR="008C1EC6" w:rsidRPr="00D359D5" w:rsidRDefault="008C1EC6" w:rsidP="008C1EC6">
      <w:r w:rsidRPr="00D359D5">
        <w:t xml:space="preserve">Asimismo, se han considerado los siguientes </w:t>
      </w:r>
      <w:r w:rsidRPr="00D359D5">
        <w:rPr>
          <w:i/>
        </w:rPr>
        <w:t>drivers</w:t>
      </w:r>
      <w:r w:rsidRPr="00D359D5">
        <w:t xml:space="preserve"> para la asignación de cada uno de los componentes a las ofertas:</w:t>
      </w:r>
    </w:p>
    <w:p w14:paraId="1D18DC94" w14:textId="77777777" w:rsidR="008C1EC6" w:rsidRPr="00262AD4" w:rsidRDefault="008C1EC6">
      <w:pPr>
        <w:pStyle w:val="ListBullet1"/>
        <w:numPr>
          <w:ilvl w:val="0"/>
          <w:numId w:val="37"/>
        </w:numPr>
        <w:rPr>
          <w:rFonts w:ascii="ITC Avant Garde" w:hAnsi="ITC Avant Garde"/>
        </w:rPr>
      </w:pPr>
      <w:r w:rsidRPr="00262AD4">
        <w:rPr>
          <w:rFonts w:ascii="ITC Avant Garde" w:hAnsi="ITC Avant Garde"/>
          <w:b/>
        </w:rPr>
        <w:lastRenderedPageBreak/>
        <w:t>Capacidad</w:t>
      </w:r>
      <w:r w:rsidRPr="00262AD4">
        <w:rPr>
          <w:rFonts w:ascii="ITC Avant Garde" w:hAnsi="ITC Avant Garde"/>
        </w:rPr>
        <w:t>: considera la proporción de capacidad dedicada (Gbit/s) a la oferta con respecto a la capacidad total del segmento de banda ancha y banda ancha empaquetada.</w:t>
      </w:r>
    </w:p>
    <w:p w14:paraId="5DD2CC7E" w14:textId="77777777" w:rsidR="008C1EC6" w:rsidRPr="00262AD4" w:rsidRDefault="008C1EC6">
      <w:pPr>
        <w:pStyle w:val="ListBullet1"/>
        <w:numPr>
          <w:ilvl w:val="0"/>
          <w:numId w:val="37"/>
        </w:numPr>
        <w:rPr>
          <w:rFonts w:ascii="ITC Avant Garde" w:hAnsi="ITC Avant Garde"/>
        </w:rPr>
      </w:pPr>
      <w:r w:rsidRPr="00262AD4">
        <w:rPr>
          <w:rFonts w:ascii="ITC Avant Garde" w:hAnsi="ITC Avant Garde"/>
          <w:b/>
        </w:rPr>
        <w:t>Llamadas internacionales</w:t>
      </w:r>
      <w:r w:rsidRPr="00262AD4">
        <w:rPr>
          <w:rFonts w:ascii="ITC Avant Garde" w:hAnsi="ITC Avant Garde"/>
        </w:rPr>
        <w:t>: considera la proporción de llamadas internacionales de la oferta con respecto al total de llamadas internacionales en el segmento de banda ancha empaquetada.</w:t>
      </w:r>
    </w:p>
    <w:p w14:paraId="7AFBD67C" w14:textId="77777777" w:rsidR="008C1EC6" w:rsidRPr="00262AD4" w:rsidRDefault="008C1EC6">
      <w:pPr>
        <w:pStyle w:val="ListBullet1"/>
        <w:numPr>
          <w:ilvl w:val="0"/>
          <w:numId w:val="37"/>
        </w:numPr>
        <w:rPr>
          <w:rFonts w:ascii="ITC Avant Garde" w:hAnsi="ITC Avant Garde"/>
        </w:rPr>
      </w:pPr>
      <w:r w:rsidRPr="00262AD4">
        <w:rPr>
          <w:rFonts w:ascii="ITC Avant Garde" w:hAnsi="ITC Avant Garde"/>
          <w:b/>
        </w:rPr>
        <w:t>Llamadas nacionales</w:t>
      </w:r>
      <w:r w:rsidRPr="00262AD4">
        <w:rPr>
          <w:rFonts w:ascii="ITC Avant Garde" w:hAnsi="ITC Avant Garde"/>
        </w:rPr>
        <w:t>: considera la proporción de llamadas nacionales de la oferta con respecto al total de llamadas nacionales en el segmento de banda ancha empaquetada.</w:t>
      </w:r>
    </w:p>
    <w:p w14:paraId="2A6055A6" w14:textId="77777777" w:rsidR="008C1EC6" w:rsidRPr="00262AD4" w:rsidRDefault="008C1EC6">
      <w:pPr>
        <w:pStyle w:val="ListBullet1"/>
        <w:numPr>
          <w:ilvl w:val="0"/>
          <w:numId w:val="37"/>
        </w:numPr>
        <w:rPr>
          <w:rFonts w:ascii="ITC Avant Garde" w:hAnsi="ITC Avant Garde"/>
        </w:rPr>
      </w:pPr>
      <w:r w:rsidRPr="00262AD4">
        <w:rPr>
          <w:rFonts w:ascii="ITC Avant Garde" w:hAnsi="ITC Avant Garde"/>
          <w:b/>
        </w:rPr>
        <w:t>Tráfico de datos</w:t>
      </w:r>
      <w:r w:rsidRPr="00262AD4">
        <w:rPr>
          <w:rFonts w:ascii="ITC Avant Garde" w:hAnsi="ITC Avant Garde"/>
        </w:rPr>
        <w:t>: considera la proporción de tráfico de datos (Gbytes) descargados de la oferta con respecto al tráfico de datos del segmento de banda ancha y banda ancha empaquetada.</w:t>
      </w:r>
    </w:p>
    <w:p w14:paraId="4CC28BDC" w14:textId="77777777" w:rsidR="008C1EC6" w:rsidRPr="00262AD4" w:rsidRDefault="008C1EC6">
      <w:pPr>
        <w:pStyle w:val="ListBullet1"/>
        <w:numPr>
          <w:ilvl w:val="0"/>
          <w:numId w:val="37"/>
        </w:numPr>
        <w:rPr>
          <w:rFonts w:ascii="ITC Avant Garde" w:hAnsi="ITC Avant Garde"/>
        </w:rPr>
      </w:pPr>
      <w:r w:rsidRPr="00262AD4">
        <w:rPr>
          <w:rFonts w:ascii="ITC Avant Garde" w:hAnsi="ITC Avant Garde"/>
          <w:b/>
        </w:rPr>
        <w:t>Tráfico de voz</w:t>
      </w:r>
      <w:r w:rsidRPr="00262AD4">
        <w:rPr>
          <w:rFonts w:ascii="ITC Avant Garde" w:hAnsi="ITC Avant Garde"/>
        </w:rPr>
        <w:t>: considera la proporción de tráfico de voz (minutos) de la oferta con respecto del tráfico de voz total del segmento de banda ancha empaquetada.</w:t>
      </w:r>
    </w:p>
    <w:p w14:paraId="5E7C467F" w14:textId="77777777" w:rsidR="008C1EC6" w:rsidRPr="00262AD4" w:rsidRDefault="008C1EC6">
      <w:pPr>
        <w:pStyle w:val="ListBullet1"/>
        <w:numPr>
          <w:ilvl w:val="0"/>
          <w:numId w:val="37"/>
        </w:numPr>
        <w:rPr>
          <w:rFonts w:ascii="ITC Avant Garde" w:hAnsi="ITC Avant Garde"/>
        </w:rPr>
      </w:pPr>
      <w:r w:rsidRPr="00262AD4">
        <w:rPr>
          <w:rFonts w:ascii="ITC Avant Garde" w:hAnsi="ITC Avant Garde"/>
          <w:b/>
        </w:rPr>
        <w:t>Tráfico de voz internacional</w:t>
      </w:r>
      <w:r w:rsidRPr="00262AD4">
        <w:rPr>
          <w:rFonts w:ascii="ITC Avant Garde" w:hAnsi="ITC Avant Garde"/>
        </w:rPr>
        <w:t xml:space="preserve">: considera la proporción de tráfico internacional (minutos) de la oferta con respecto del tráfico internacional total del segmento de banda ancha empaquetada.   </w:t>
      </w:r>
    </w:p>
    <w:p w14:paraId="60A94C3A" w14:textId="77777777" w:rsidR="008C1EC6" w:rsidRPr="00262AD4" w:rsidRDefault="008C1EC6">
      <w:pPr>
        <w:pStyle w:val="ListBullet1"/>
        <w:numPr>
          <w:ilvl w:val="0"/>
          <w:numId w:val="37"/>
        </w:numPr>
        <w:rPr>
          <w:rFonts w:ascii="ITC Avant Garde" w:hAnsi="ITC Avant Garde"/>
        </w:rPr>
      </w:pPr>
      <w:r w:rsidRPr="00262AD4">
        <w:rPr>
          <w:rFonts w:ascii="ITC Avant Garde" w:hAnsi="ITC Avant Garde"/>
          <w:b/>
        </w:rPr>
        <w:t>Tráfico de voz y datos</w:t>
      </w:r>
      <w:r w:rsidRPr="00262AD4">
        <w:rPr>
          <w:rFonts w:ascii="ITC Avant Garde" w:hAnsi="ITC Avant Garde"/>
        </w:rPr>
        <w:t>: considera la proporción de tráfico de voz y datos (Gbytes) de la oferta respecto del tráfico de voz y datos totales del segmento de banda ancha y banda ancha empaquetada.</w:t>
      </w:r>
    </w:p>
    <w:p w14:paraId="59DE41F5" w14:textId="77777777" w:rsidR="008C1EC6" w:rsidRPr="00262AD4" w:rsidRDefault="008C1EC6">
      <w:pPr>
        <w:pStyle w:val="ListBullet1"/>
        <w:numPr>
          <w:ilvl w:val="0"/>
          <w:numId w:val="37"/>
        </w:numPr>
        <w:rPr>
          <w:rFonts w:ascii="ITC Avant Garde" w:hAnsi="ITC Avant Garde"/>
        </w:rPr>
      </w:pPr>
      <w:r w:rsidRPr="00262AD4">
        <w:rPr>
          <w:rFonts w:ascii="ITC Avant Garde" w:hAnsi="ITC Avant Garde"/>
          <w:b/>
        </w:rPr>
        <w:t>Suscriptores</w:t>
      </w:r>
      <w:r w:rsidRPr="00262AD4">
        <w:rPr>
          <w:rFonts w:ascii="ITC Avant Garde" w:hAnsi="ITC Avant Garde"/>
        </w:rPr>
        <w:t>: considera la proporción de suscriptores respecto del total de suscriptores dentro del segmento de banda ancha y banda ancha empaquetada.</w:t>
      </w:r>
    </w:p>
    <w:p w14:paraId="3E953BA1" w14:textId="77777777" w:rsidR="008C1EC6" w:rsidRPr="00262AD4" w:rsidRDefault="008C1EC6" w:rsidP="008C1EC6">
      <w:pPr>
        <w:pStyle w:val="ParaBullet1"/>
        <w:rPr>
          <w:rFonts w:ascii="ITC Avant Garde" w:hAnsi="ITC Avant Garde"/>
        </w:rPr>
      </w:pPr>
      <w:r w:rsidRPr="00262AD4">
        <w:rPr>
          <w:rFonts w:ascii="ITC Avant Garde" w:hAnsi="ITC Avant Garde"/>
        </w:rPr>
        <w:t xml:space="preserve">El </w:t>
      </w:r>
      <w:r w:rsidRPr="00262AD4">
        <w:rPr>
          <w:rFonts w:ascii="ITC Avant Garde" w:hAnsi="ITC Avant Garde"/>
          <w:i/>
        </w:rPr>
        <w:t>driver</w:t>
      </w:r>
      <w:r w:rsidRPr="00262AD4">
        <w:rPr>
          <w:rFonts w:ascii="ITC Avant Garde" w:hAnsi="ITC Avant Garde"/>
        </w:rPr>
        <w:t xml:space="preserve"> escogido puede verse en la columna “H” de la hoja “Costos aguas abajo de la oferta”. </w:t>
      </w:r>
    </w:p>
    <w:p w14:paraId="7E1D7157" w14:textId="77777777" w:rsidR="008C1EC6" w:rsidRDefault="008C1EC6" w:rsidP="008C1EC6">
      <w:r w:rsidRPr="00D359D5">
        <w:t>Por último, en la misma matriz se asigna la imputación del costo en función de si la oferta se analiza a nivel individual o dentro de la prueba agregada dado que en el primer caso se considera un enfoque LRIC mientras que en el segundo caso se opta por un enfoque LRIC+.</w:t>
      </w:r>
    </w:p>
    <w:tbl>
      <w:tblPr>
        <w:tblW w:w="7940" w:type="dxa"/>
        <w:jc w:val="center"/>
        <w:tblLayout w:type="fixed"/>
        <w:tblCellMar>
          <w:left w:w="0" w:type="dxa"/>
          <w:right w:w="0" w:type="dxa"/>
        </w:tblCellMar>
        <w:tblLook w:val="04A0" w:firstRow="1" w:lastRow="0" w:firstColumn="1" w:lastColumn="0" w:noHBand="0" w:noVBand="1"/>
      </w:tblPr>
      <w:tblGrid>
        <w:gridCol w:w="7940"/>
      </w:tblGrid>
      <w:tr w:rsidR="008C1EC6" w:rsidRPr="002201B0" w14:paraId="62C98633" w14:textId="77777777" w:rsidTr="009511FF">
        <w:trPr>
          <w:jc w:val="center"/>
        </w:trPr>
        <w:tc>
          <w:tcPr>
            <w:tcW w:w="5000" w:type="pct"/>
            <w:noWrap/>
          </w:tcPr>
          <w:p w14:paraId="4A921F59" w14:textId="77777777" w:rsidR="008C1EC6" w:rsidRPr="006E1502" w:rsidRDefault="008C1EC6" w:rsidP="009511FF">
            <w:pPr>
              <w:keepNext/>
              <w:tabs>
                <w:tab w:val="left" w:pos="1276"/>
              </w:tabs>
              <w:spacing w:before="120" w:after="60" w:line="240" w:lineRule="auto"/>
              <w:ind w:left="1276" w:hanging="1276"/>
              <w:rPr>
                <w:rFonts w:eastAsia="Calibri" w:cs="Arial"/>
                <w:b/>
                <w:color w:val="000000" w:themeColor="text1"/>
                <w:sz w:val="18"/>
                <w:szCs w:val="18"/>
                <w:lang w:val="es-ES_tradnl"/>
              </w:rPr>
            </w:pPr>
            <w:r w:rsidRPr="006E1502">
              <w:rPr>
                <w:rFonts w:eastAsia="Calibri" w:cs="Arial"/>
                <w:b/>
                <w:color w:val="000000" w:themeColor="text1"/>
                <w:sz w:val="18"/>
                <w:szCs w:val="18"/>
                <w:lang w:val="es-ES_tradnl"/>
              </w:rPr>
              <w:lastRenderedPageBreak/>
              <w:t>Figura 9</w:t>
            </w:r>
            <w:r w:rsidRPr="006E1502">
              <w:rPr>
                <w:rFonts w:eastAsia="Calibri" w:cs="Arial"/>
                <w:b/>
                <w:color w:val="000000" w:themeColor="text1"/>
                <w:sz w:val="18"/>
                <w:szCs w:val="18"/>
                <w:lang w:val="es-ES_tradnl"/>
              </w:rPr>
              <w:tab/>
              <w:t>Asignación de costos aguas abajo según driver</w:t>
            </w:r>
          </w:p>
        </w:tc>
      </w:tr>
      <w:tr w:rsidR="008C1EC6" w:rsidRPr="002201B0" w14:paraId="53B886A6" w14:textId="77777777" w:rsidTr="009511FF">
        <w:trPr>
          <w:jc w:val="center"/>
        </w:trPr>
        <w:tc>
          <w:tcPr>
            <w:tcW w:w="5000" w:type="pct"/>
            <w:noWrap/>
          </w:tcPr>
          <w:p w14:paraId="682E4FCE" w14:textId="77777777" w:rsidR="008C1EC6" w:rsidRPr="002201B0" w:rsidRDefault="008C1EC6" w:rsidP="009511FF">
            <w:pPr>
              <w:keepNext/>
              <w:spacing w:after="0" w:line="240" w:lineRule="auto"/>
              <w:jc w:val="center"/>
              <w:rPr>
                <w:rFonts w:eastAsiaTheme="minorHAnsi" w:cs="Arial"/>
                <w:color w:val="000000" w:themeColor="text1"/>
                <w:sz w:val="20"/>
                <w:lang w:val="en-GB"/>
              </w:rPr>
            </w:pPr>
            <w:r>
              <w:rPr>
                <w:noProof/>
                <w:lang w:eastAsia="es-MX"/>
              </w:rPr>
              <w:drawing>
                <wp:inline distT="0" distB="0" distL="0" distR="0" wp14:anchorId="007BAD32" wp14:editId="23B009E4">
                  <wp:extent cx="5031498" cy="417195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35391" cy="4175178"/>
                          </a:xfrm>
                          <a:prstGeom prst="rect">
                            <a:avLst/>
                          </a:prstGeom>
                        </pic:spPr>
                      </pic:pic>
                    </a:graphicData>
                  </a:graphic>
                </wp:inline>
              </w:drawing>
            </w:r>
          </w:p>
        </w:tc>
      </w:tr>
      <w:tr w:rsidR="008C1EC6" w:rsidRPr="002201B0" w14:paraId="0337B959" w14:textId="77777777" w:rsidTr="009511FF">
        <w:trPr>
          <w:jc w:val="center"/>
        </w:trPr>
        <w:tc>
          <w:tcPr>
            <w:tcW w:w="5000" w:type="pct"/>
            <w:noWrap/>
          </w:tcPr>
          <w:p w14:paraId="69126EF6" w14:textId="77777777" w:rsidR="008C1EC6" w:rsidRPr="002201B0" w:rsidRDefault="008C1EC6" w:rsidP="009511FF">
            <w:pPr>
              <w:tabs>
                <w:tab w:val="left" w:pos="709"/>
              </w:tabs>
              <w:spacing w:before="60" w:after="60" w:line="240" w:lineRule="auto"/>
              <w:ind w:left="709" w:hanging="709"/>
              <w:jc w:val="left"/>
              <w:rPr>
                <w:rFonts w:eastAsia="Calibri" w:cs="Arial"/>
                <w:i/>
                <w:color w:val="000000" w:themeColor="text1"/>
                <w:sz w:val="16"/>
                <w:lang w:val="es-ES_tradnl"/>
              </w:rPr>
            </w:pPr>
            <w:r w:rsidRPr="002201B0">
              <w:rPr>
                <w:rFonts w:eastAsia="Calibri" w:cs="Arial"/>
                <w:i/>
                <w:color w:val="000000" w:themeColor="text1"/>
                <w:sz w:val="16"/>
                <w:lang w:val="es-ES_tradnl"/>
              </w:rPr>
              <w:t>Fuente:</w:t>
            </w:r>
            <w:r w:rsidRPr="002201B0">
              <w:rPr>
                <w:rFonts w:eastAsia="Calibri" w:cs="Arial"/>
                <w:i/>
                <w:color w:val="000000" w:themeColor="text1"/>
                <w:sz w:val="16"/>
                <w:lang w:val="es-ES_tradnl"/>
              </w:rPr>
              <w:tab/>
            </w:r>
            <w:r w:rsidRPr="008874AD">
              <w:rPr>
                <w:rFonts w:eastAsia="Calibri" w:cs="Arial"/>
                <w:i/>
                <w:color w:val="000000" w:themeColor="text1"/>
                <w:sz w:val="16"/>
                <w:lang w:val="es-ES_tradnl"/>
              </w:rPr>
              <w:t>Prueba de Replicabilidad de Banda Ancha Ex-ante</w:t>
            </w:r>
            <w:r>
              <w:rPr>
                <w:rFonts w:eastAsia="Calibri" w:cs="Arial"/>
                <w:i/>
                <w:color w:val="000000" w:themeColor="text1"/>
                <w:sz w:val="16"/>
                <w:lang w:val="es-ES_tradnl"/>
              </w:rPr>
              <w:t>.</w:t>
            </w:r>
            <w:r w:rsidRPr="002201B0">
              <w:rPr>
                <w:rFonts w:eastAsia="Calibri" w:cs="Arial"/>
                <w:i/>
                <w:color w:val="000000" w:themeColor="text1"/>
                <w:sz w:val="16"/>
                <w:lang w:val="es-ES_tradnl"/>
              </w:rPr>
              <w:t xml:space="preserve"> </w:t>
            </w:r>
          </w:p>
        </w:tc>
      </w:tr>
    </w:tbl>
    <w:p w14:paraId="0BCE46FA" w14:textId="77777777" w:rsidR="008C1EC6" w:rsidRPr="00D359D5" w:rsidRDefault="008C1EC6" w:rsidP="008C1EC6"/>
    <w:p w14:paraId="0385AEC8" w14:textId="77777777" w:rsidR="008C1EC6" w:rsidRPr="002201B0" w:rsidRDefault="008C1EC6">
      <w:pPr>
        <w:numPr>
          <w:ilvl w:val="1"/>
          <w:numId w:val="36"/>
        </w:numPr>
        <w:spacing w:before="160" w:after="160" w:line="259" w:lineRule="auto"/>
        <w:jc w:val="left"/>
        <w:outlineLvl w:val="1"/>
        <w:rPr>
          <w:rFonts w:eastAsia="Arial" w:cs="Arial"/>
          <w:b/>
          <w:szCs w:val="14"/>
          <w:lang w:val="es-ES_tradnl"/>
        </w:rPr>
      </w:pPr>
      <w:r w:rsidRPr="002201B0">
        <w:rPr>
          <w:rFonts w:eastAsia="Arial" w:cs="Arial"/>
          <w:b/>
          <w:szCs w:val="14"/>
          <w:lang w:val="es-ES_tradnl"/>
        </w:rPr>
        <w:t>Módulo de supuestos</w:t>
      </w:r>
    </w:p>
    <w:p w14:paraId="3A8EDD7A" w14:textId="77777777" w:rsidR="008C1EC6" w:rsidRPr="002201B0" w:rsidRDefault="008C1EC6" w:rsidP="008C1EC6">
      <w:pPr>
        <w:rPr>
          <w:lang w:val="es-ES_tradnl"/>
        </w:rPr>
      </w:pPr>
      <w:r>
        <w:t>La hoja “Supuestos” contiene el conjunto de supuestos que se han empleado para la construcción de la prueba. En la siguiente tabla quedan detallados.</w:t>
      </w:r>
    </w:p>
    <w:p w14:paraId="15D37010" w14:textId="77777777" w:rsidR="008C1EC6" w:rsidRPr="006E1502" w:rsidRDefault="008C1EC6" w:rsidP="008C1EC6">
      <w:pPr>
        <w:rPr>
          <w:rFonts w:eastAsiaTheme="minorHAnsi" w:cs="Arial"/>
          <w:color w:val="000000" w:themeColor="text1"/>
          <w:sz w:val="18"/>
          <w:szCs w:val="18"/>
          <w:lang w:val="es-ES_tradnl"/>
        </w:rPr>
      </w:pPr>
      <w:r w:rsidRPr="006E1502">
        <w:rPr>
          <w:rFonts w:eastAsia="Calibri" w:cs="Arial"/>
          <w:b/>
          <w:color w:val="000000" w:themeColor="text1"/>
          <w:sz w:val="18"/>
          <w:szCs w:val="18"/>
          <w:lang w:val="es-ES_tradnl"/>
        </w:rPr>
        <w:t>Figura 10</w:t>
      </w:r>
      <w:r w:rsidRPr="006E1502">
        <w:rPr>
          <w:rFonts w:eastAsia="Calibri" w:cs="Arial"/>
          <w:b/>
          <w:color w:val="000000" w:themeColor="text1"/>
          <w:sz w:val="18"/>
          <w:szCs w:val="18"/>
          <w:lang w:val="es-ES_tradnl"/>
        </w:rPr>
        <w:tab/>
        <w:t>Supuestos empleados en la elaboración de la prueba</w:t>
      </w:r>
    </w:p>
    <w:tbl>
      <w:tblPr>
        <w:tblStyle w:val="Frontier"/>
        <w:tblpPr w:leftFromText="141" w:rightFromText="141" w:vertAnchor="text" w:tblpXSpec="center" w:tblpY="1"/>
        <w:tblOverlap w:val="never"/>
        <w:tblW w:w="7940" w:type="dxa"/>
        <w:tblLayout w:type="fixed"/>
        <w:tblLook w:val="0420" w:firstRow="1" w:lastRow="0" w:firstColumn="0" w:lastColumn="0" w:noHBand="0" w:noVBand="1"/>
      </w:tblPr>
      <w:tblGrid>
        <w:gridCol w:w="3957"/>
        <w:gridCol w:w="13"/>
        <w:gridCol w:w="3970"/>
      </w:tblGrid>
      <w:tr w:rsidR="008C1EC6" w:rsidRPr="00263104" w14:paraId="033723F9" w14:textId="77777777" w:rsidTr="00DE5E54">
        <w:trPr>
          <w:cnfStyle w:val="100000000000" w:firstRow="1" w:lastRow="0" w:firstColumn="0" w:lastColumn="0" w:oddVBand="0" w:evenVBand="0" w:oddHBand="0" w:evenHBand="0" w:firstRowFirstColumn="0" w:firstRowLastColumn="0" w:lastRowFirstColumn="0" w:lastRowLastColumn="0"/>
          <w:cantSplit w:val="0"/>
          <w:trHeight w:val="20"/>
          <w:tblHeader/>
        </w:trPr>
        <w:tc>
          <w:tcPr>
            <w:tcW w:w="2492" w:type="pct"/>
          </w:tcPr>
          <w:p w14:paraId="6B7EC11E" w14:textId="77777777" w:rsidR="008C1EC6" w:rsidRPr="00263104" w:rsidRDefault="008C1EC6" w:rsidP="009511FF">
            <w:pPr>
              <w:pStyle w:val="TableHeadingLeft"/>
            </w:pPr>
            <w:r>
              <w:t>Parámetro</w:t>
            </w:r>
          </w:p>
        </w:tc>
        <w:tc>
          <w:tcPr>
            <w:tcW w:w="2508" w:type="pct"/>
            <w:gridSpan w:val="2"/>
          </w:tcPr>
          <w:p w14:paraId="78C39BA6" w14:textId="77777777" w:rsidR="008C1EC6" w:rsidRPr="00263104" w:rsidRDefault="008C1EC6" w:rsidP="009511FF">
            <w:pPr>
              <w:pStyle w:val="TableHeadingRight"/>
              <w:jc w:val="left"/>
            </w:pPr>
            <w:r>
              <w:t>Descripción</w:t>
            </w:r>
          </w:p>
        </w:tc>
      </w:tr>
      <w:tr w:rsidR="008C1EC6" w:rsidRPr="007F007E" w14:paraId="35E2FAE2"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756BB3E3" w14:textId="77777777" w:rsidR="008C1EC6" w:rsidRPr="00262AD4" w:rsidRDefault="008C1EC6" w:rsidP="009511FF">
            <w:pPr>
              <w:spacing w:before="40" w:after="40" w:line="240" w:lineRule="auto"/>
              <w:jc w:val="left"/>
              <w:rPr>
                <w:rFonts w:ascii="ITC Avant Garde" w:hAnsi="ITC Avant Garde"/>
                <w:b/>
                <w:sz w:val="20"/>
              </w:rPr>
            </w:pPr>
            <w:r w:rsidRPr="00262AD4">
              <w:rPr>
                <w:rFonts w:ascii="ITC Avant Garde" w:eastAsiaTheme="minorHAnsi" w:hAnsi="ITC Avant Garde" w:cstheme="minorBidi"/>
                <w:b/>
                <w:color w:val="auto"/>
                <w:sz w:val="20"/>
                <w:lang w:val="es-ES_tradnl"/>
              </w:rPr>
              <w:t xml:space="preserve">Especificación de la prueba </w:t>
            </w:r>
          </w:p>
        </w:tc>
        <w:tc>
          <w:tcPr>
            <w:tcW w:w="2508" w:type="pct"/>
            <w:gridSpan w:val="2"/>
          </w:tcPr>
          <w:p w14:paraId="3FE100A8" w14:textId="77777777" w:rsidR="008C1EC6" w:rsidRPr="00262AD4" w:rsidRDefault="008C1EC6" w:rsidP="009511FF">
            <w:pPr>
              <w:spacing w:before="40" w:after="40" w:line="240" w:lineRule="auto"/>
              <w:jc w:val="left"/>
              <w:rPr>
                <w:rFonts w:ascii="ITC Avant Garde" w:hAnsi="ITC Avant Garde"/>
                <w:sz w:val="20"/>
              </w:rPr>
            </w:pPr>
          </w:p>
        </w:tc>
      </w:tr>
      <w:tr w:rsidR="008C1EC6" w:rsidRPr="007F007E" w14:paraId="4F157583" w14:textId="77777777" w:rsidTr="009511FF">
        <w:trPr>
          <w:trHeight w:val="20"/>
        </w:trPr>
        <w:tc>
          <w:tcPr>
            <w:tcW w:w="2492" w:type="pct"/>
          </w:tcPr>
          <w:p w14:paraId="5FBF7F60"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 xml:space="preserve">Horizonte temporal de la prueba </w:t>
            </w:r>
          </w:p>
        </w:tc>
        <w:tc>
          <w:tcPr>
            <w:tcW w:w="2508" w:type="pct"/>
            <w:gridSpan w:val="2"/>
          </w:tcPr>
          <w:p w14:paraId="50866675"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Número de mensualidades para estimar el valor presente neto</w:t>
            </w:r>
          </w:p>
        </w:tc>
      </w:tr>
      <w:tr w:rsidR="008C1EC6" w:rsidRPr="007F007E" w14:paraId="3D76CB4F"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054A08B9" w14:textId="77777777" w:rsidR="008C1EC6" w:rsidRPr="00262AD4" w:rsidRDefault="008C1EC6" w:rsidP="009511FF">
            <w:pPr>
              <w:spacing w:before="40" w:after="40" w:line="240" w:lineRule="auto"/>
              <w:jc w:val="left"/>
              <w:rPr>
                <w:rFonts w:ascii="ITC Avant Garde" w:hAnsi="ITC Avant Garde"/>
                <w:b/>
                <w:sz w:val="20"/>
              </w:rPr>
            </w:pPr>
            <w:r w:rsidRPr="00262AD4">
              <w:rPr>
                <w:rFonts w:ascii="ITC Avant Garde" w:eastAsiaTheme="minorHAnsi" w:hAnsi="ITC Avant Garde" w:cstheme="minorBidi"/>
                <w:b/>
                <w:color w:val="auto"/>
                <w:sz w:val="20"/>
                <w:lang w:val="es-ES_tradnl"/>
              </w:rPr>
              <w:lastRenderedPageBreak/>
              <w:t>WACC</w:t>
            </w:r>
          </w:p>
        </w:tc>
        <w:tc>
          <w:tcPr>
            <w:tcW w:w="2508" w:type="pct"/>
            <w:gridSpan w:val="2"/>
          </w:tcPr>
          <w:p w14:paraId="043D446D" w14:textId="77777777" w:rsidR="008C1EC6" w:rsidRPr="00262AD4" w:rsidRDefault="008C1EC6" w:rsidP="009511FF">
            <w:pPr>
              <w:spacing w:before="40" w:after="40" w:line="240" w:lineRule="auto"/>
              <w:jc w:val="left"/>
              <w:rPr>
                <w:rFonts w:ascii="ITC Avant Garde" w:hAnsi="ITC Avant Garde"/>
                <w:sz w:val="20"/>
              </w:rPr>
            </w:pPr>
          </w:p>
        </w:tc>
      </w:tr>
      <w:tr w:rsidR="008C1EC6" w:rsidRPr="007F007E" w14:paraId="7A824B7E" w14:textId="77777777" w:rsidTr="009511FF">
        <w:trPr>
          <w:trHeight w:val="20"/>
        </w:trPr>
        <w:tc>
          <w:tcPr>
            <w:tcW w:w="2492" w:type="pct"/>
          </w:tcPr>
          <w:p w14:paraId="11627B01" w14:textId="68E6DEDB" w:rsidR="008C1EC6" w:rsidRPr="00262AD4" w:rsidRDefault="00DE5E54" w:rsidP="00DE5E54">
            <w:pPr>
              <w:spacing w:before="40" w:after="40" w:line="240" w:lineRule="auto"/>
              <w:jc w:val="left"/>
              <w:rPr>
                <w:rFonts w:ascii="ITC Avant Garde" w:hAnsi="ITC Avant Garde"/>
                <w:sz w:val="20"/>
              </w:rPr>
            </w:pPr>
            <w:r>
              <w:rPr>
                <w:rFonts w:ascii="ITC Avant Garde" w:eastAsiaTheme="minorHAnsi" w:hAnsi="ITC Avant Garde" w:cstheme="minorBidi"/>
                <w:color w:val="auto"/>
                <w:sz w:val="20"/>
                <w:lang w:val="es-ES_tradnl"/>
              </w:rPr>
              <w:t>WACC</w:t>
            </w:r>
          </w:p>
        </w:tc>
        <w:tc>
          <w:tcPr>
            <w:tcW w:w="2508" w:type="pct"/>
            <w:gridSpan w:val="2"/>
          </w:tcPr>
          <w:p w14:paraId="0A159F05" w14:textId="61257974" w:rsidR="008C1EC6" w:rsidRPr="008C1EC6" w:rsidRDefault="008C1EC6" w:rsidP="00DE5E54">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Se emplea como tasa de descuento para el cálculo del VPN de los flujos de caja</w:t>
            </w:r>
          </w:p>
        </w:tc>
      </w:tr>
      <w:tr w:rsidR="008C1EC6" w:rsidRPr="007F007E" w14:paraId="08F29BE6"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73972851" w14:textId="77777777" w:rsidR="008C1EC6" w:rsidRPr="00262AD4" w:rsidRDefault="008C1EC6" w:rsidP="009511FF">
            <w:pPr>
              <w:spacing w:before="40" w:after="40" w:line="240" w:lineRule="auto"/>
              <w:jc w:val="left"/>
              <w:rPr>
                <w:rFonts w:ascii="ITC Avant Garde" w:hAnsi="ITC Avant Garde"/>
                <w:b/>
                <w:sz w:val="20"/>
              </w:rPr>
            </w:pPr>
            <w:r w:rsidRPr="00262AD4">
              <w:rPr>
                <w:rFonts w:ascii="ITC Avant Garde" w:eastAsiaTheme="minorHAnsi" w:hAnsi="ITC Avant Garde" w:cstheme="minorBidi"/>
                <w:b/>
                <w:color w:val="auto"/>
                <w:sz w:val="20"/>
                <w:lang w:val="es-ES_tradnl"/>
              </w:rPr>
              <w:t>Ajuste de eficiencia</w:t>
            </w:r>
          </w:p>
        </w:tc>
      </w:tr>
      <w:tr w:rsidR="008C1EC6" w:rsidRPr="007F007E" w14:paraId="545FFD0E" w14:textId="77777777" w:rsidTr="009511FF">
        <w:trPr>
          <w:trHeight w:val="287"/>
        </w:trPr>
        <w:tc>
          <w:tcPr>
            <w:tcW w:w="2500" w:type="pct"/>
            <w:gridSpan w:val="2"/>
          </w:tcPr>
          <w:p w14:paraId="5E536C64"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Ajuste de eficiencia en los costos aguas abajo</w:t>
            </w:r>
          </w:p>
        </w:tc>
        <w:tc>
          <w:tcPr>
            <w:tcW w:w="2500" w:type="pct"/>
          </w:tcPr>
          <w:p w14:paraId="41722E1E"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Aplicación del ajuste de eficiencia por la escala en los costos aguas abajo del CS hipotético eficiente</w:t>
            </w:r>
          </w:p>
        </w:tc>
      </w:tr>
      <w:tr w:rsidR="008C1EC6" w:rsidRPr="007F007E" w14:paraId="073B0A13"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7BD8DB" w14:textId="77777777" w:rsidR="008C1EC6" w:rsidRPr="00262AD4" w:rsidRDefault="008C1EC6" w:rsidP="009511FF">
            <w:pPr>
              <w:spacing w:before="40" w:after="40" w:line="240" w:lineRule="auto"/>
              <w:jc w:val="left"/>
              <w:rPr>
                <w:rFonts w:ascii="ITC Avant Garde" w:hAnsi="ITC Avant Garde"/>
                <w:b/>
                <w:sz w:val="20"/>
              </w:rPr>
            </w:pPr>
            <w:r w:rsidRPr="00262AD4">
              <w:rPr>
                <w:rFonts w:ascii="ITC Avant Garde" w:eastAsiaTheme="minorHAnsi" w:hAnsi="ITC Avant Garde" w:cstheme="minorBidi"/>
                <w:b/>
                <w:color w:val="auto"/>
                <w:sz w:val="20"/>
                <w:lang w:val="es-ES_tradnl"/>
              </w:rPr>
              <w:t>Dimensionamiento MSAN (para espacio)</w:t>
            </w:r>
          </w:p>
        </w:tc>
      </w:tr>
      <w:tr w:rsidR="008C1EC6" w:rsidRPr="007F007E" w14:paraId="4A05F451" w14:textId="77777777" w:rsidTr="009511FF">
        <w:trPr>
          <w:trHeight w:val="20"/>
        </w:trPr>
        <w:tc>
          <w:tcPr>
            <w:tcW w:w="2492" w:type="pct"/>
          </w:tcPr>
          <w:p w14:paraId="7EFE3D70"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Factor de utilización de cada puerto</w:t>
            </w:r>
          </w:p>
        </w:tc>
        <w:tc>
          <w:tcPr>
            <w:tcW w:w="2508" w:type="pct"/>
            <w:gridSpan w:val="2"/>
          </w:tcPr>
          <w:p w14:paraId="7A87E26A"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Los módulos de los equipos DSLAM pueden tener un factor de utilización de los puertos menor al 100%.</w:t>
            </w:r>
          </w:p>
        </w:tc>
      </w:tr>
      <w:tr w:rsidR="008C1EC6" w:rsidRPr="007F007E" w14:paraId="449EAE56"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617AB259"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Número de puertos por módulo</w:t>
            </w:r>
          </w:p>
        </w:tc>
        <w:tc>
          <w:tcPr>
            <w:tcW w:w="2508" w:type="pct"/>
            <w:gridSpan w:val="2"/>
          </w:tcPr>
          <w:p w14:paraId="3B18E1E4"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Cantidad de puertos que contiene un módulo.</w:t>
            </w:r>
          </w:p>
        </w:tc>
      </w:tr>
      <w:tr w:rsidR="008C1EC6" w:rsidRPr="007F007E" w14:paraId="059CC7A1" w14:textId="77777777" w:rsidTr="009511FF">
        <w:trPr>
          <w:trHeight w:val="20"/>
        </w:trPr>
        <w:tc>
          <w:tcPr>
            <w:tcW w:w="2492" w:type="pct"/>
          </w:tcPr>
          <w:p w14:paraId="1692F029"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Equipos DSLAM</w:t>
            </w:r>
          </w:p>
        </w:tc>
        <w:tc>
          <w:tcPr>
            <w:tcW w:w="2508" w:type="pct"/>
            <w:gridSpan w:val="2"/>
          </w:tcPr>
          <w:p w14:paraId="1E142359"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 xml:space="preserve">Se han considerado equipos del fabricante NOKIA a modo de ejemplo. El número de módulos dimensiona el número de chasis necesarios. </w:t>
            </w:r>
          </w:p>
        </w:tc>
      </w:tr>
      <w:tr w:rsidR="008C1EC6" w:rsidRPr="007F007E" w14:paraId="339C3A19"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6AA32B1A"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 xml:space="preserve">Espacio del armario o rack (metro cuadrado) </w:t>
            </w:r>
          </w:p>
        </w:tc>
        <w:tc>
          <w:tcPr>
            <w:tcW w:w="2508" w:type="pct"/>
            <w:gridSpan w:val="2"/>
          </w:tcPr>
          <w:p w14:paraId="10B96674"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Espacio del armario que acompaña el chasis. El espacio requerido por el armario se emplea para calcular la renta mensual de la coubicación.</w:t>
            </w:r>
          </w:p>
        </w:tc>
      </w:tr>
      <w:tr w:rsidR="008C1EC6" w:rsidRPr="007F007E" w14:paraId="74B55A83" w14:textId="77777777" w:rsidTr="009511FF">
        <w:trPr>
          <w:trHeight w:val="20"/>
        </w:trPr>
        <w:tc>
          <w:tcPr>
            <w:tcW w:w="2492" w:type="pct"/>
          </w:tcPr>
          <w:p w14:paraId="0B6D8F47" w14:textId="77777777" w:rsidR="008C1EC6" w:rsidRPr="008C1EC6" w:rsidRDefault="008C1EC6" w:rsidP="009511FF">
            <w:pPr>
              <w:spacing w:before="40" w:after="40" w:line="240" w:lineRule="auto"/>
              <w:jc w:val="left"/>
              <w:rPr>
                <w:rFonts w:ascii="ITC Avant Garde" w:hAnsi="ITC Avant Garde"/>
                <w:b/>
                <w:sz w:val="20"/>
                <w:lang w:val="es-MX"/>
              </w:rPr>
            </w:pPr>
            <w:r w:rsidRPr="00262AD4">
              <w:rPr>
                <w:rFonts w:ascii="ITC Avant Garde" w:eastAsiaTheme="minorHAnsi" w:hAnsi="ITC Avant Garde" w:cstheme="minorBidi"/>
                <w:b/>
                <w:color w:val="auto"/>
                <w:sz w:val="20"/>
                <w:lang w:val="es-ES_tradnl"/>
              </w:rPr>
              <w:t>Tamaño del mercado, del AEP y del CS</w:t>
            </w:r>
          </w:p>
        </w:tc>
        <w:tc>
          <w:tcPr>
            <w:tcW w:w="2508" w:type="pct"/>
            <w:gridSpan w:val="2"/>
          </w:tcPr>
          <w:p w14:paraId="051E4122" w14:textId="77777777" w:rsidR="008C1EC6" w:rsidRPr="008C1EC6" w:rsidRDefault="008C1EC6" w:rsidP="009511FF">
            <w:pPr>
              <w:spacing w:before="40" w:after="40" w:line="240" w:lineRule="auto"/>
              <w:jc w:val="left"/>
              <w:rPr>
                <w:rFonts w:ascii="ITC Avant Garde" w:hAnsi="ITC Avant Garde"/>
                <w:sz w:val="20"/>
                <w:lang w:val="es-MX"/>
              </w:rPr>
            </w:pPr>
          </w:p>
        </w:tc>
      </w:tr>
      <w:tr w:rsidR="008C1EC6" w:rsidRPr="007F007E" w14:paraId="386CF0F5"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6C5E5763"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Suscriptores banda ancha</w:t>
            </w:r>
          </w:p>
        </w:tc>
        <w:tc>
          <w:tcPr>
            <w:tcW w:w="2508" w:type="pct"/>
            <w:gridSpan w:val="2"/>
          </w:tcPr>
          <w:p w14:paraId="7A4B5E48"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Número total de suscriptores en el segmento de banda ancha</w:t>
            </w:r>
          </w:p>
        </w:tc>
      </w:tr>
      <w:tr w:rsidR="008C1EC6" w:rsidRPr="007F007E" w14:paraId="0092B8EA" w14:textId="77777777" w:rsidTr="009511FF">
        <w:trPr>
          <w:trHeight w:val="20"/>
        </w:trPr>
        <w:tc>
          <w:tcPr>
            <w:tcW w:w="2492" w:type="pct"/>
            <w:vAlign w:val="bottom"/>
          </w:tcPr>
          <w:p w14:paraId="4664CA22"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Cuota de mercado del AEP</w:t>
            </w:r>
          </w:p>
        </w:tc>
        <w:tc>
          <w:tcPr>
            <w:tcW w:w="2508" w:type="pct"/>
            <w:gridSpan w:val="2"/>
          </w:tcPr>
          <w:p w14:paraId="23AB601B"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Cuota de mercado del AEP</w:t>
            </w:r>
          </w:p>
        </w:tc>
      </w:tr>
      <w:tr w:rsidR="008C1EC6" w:rsidRPr="007F007E" w14:paraId="029990E1"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vAlign w:val="bottom"/>
          </w:tcPr>
          <w:p w14:paraId="17CC98F7"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Cuota de mercado del CS hipotético eficiente</w:t>
            </w:r>
          </w:p>
        </w:tc>
        <w:tc>
          <w:tcPr>
            <w:tcW w:w="2508" w:type="pct"/>
            <w:gridSpan w:val="2"/>
          </w:tcPr>
          <w:p w14:paraId="1F14F8CD"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Cuota de mercado del CS hipotético eficiente</w:t>
            </w:r>
          </w:p>
        </w:tc>
      </w:tr>
      <w:tr w:rsidR="008C1EC6" w:rsidRPr="007F007E" w14:paraId="7077C949" w14:textId="77777777" w:rsidTr="009511FF">
        <w:trPr>
          <w:trHeight w:val="20"/>
        </w:trPr>
        <w:tc>
          <w:tcPr>
            <w:tcW w:w="2492" w:type="pct"/>
          </w:tcPr>
          <w:p w14:paraId="5857ACA4"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 xml:space="preserve">Número de accesos en la central media </w:t>
            </w:r>
          </w:p>
        </w:tc>
        <w:tc>
          <w:tcPr>
            <w:tcW w:w="2508" w:type="pct"/>
            <w:gridSpan w:val="2"/>
          </w:tcPr>
          <w:p w14:paraId="3686E7CF"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 xml:space="preserve">Número de accesos en la central media </w:t>
            </w:r>
          </w:p>
        </w:tc>
      </w:tr>
      <w:tr w:rsidR="008C1EC6" w:rsidRPr="00263104" w14:paraId="7B9EDBC4"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3E71F499"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Número de usuarios servidos en el punto de concentración local medio</w:t>
            </w:r>
          </w:p>
        </w:tc>
        <w:tc>
          <w:tcPr>
            <w:tcW w:w="2508" w:type="pct"/>
            <w:gridSpan w:val="2"/>
          </w:tcPr>
          <w:p w14:paraId="34C16DD2"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Número de usuarios servidos en el punto de concentración local medio</w:t>
            </w:r>
          </w:p>
        </w:tc>
      </w:tr>
      <w:tr w:rsidR="008C1EC6" w:rsidRPr="00263104" w14:paraId="1C13418D" w14:textId="77777777" w:rsidTr="009511FF">
        <w:trPr>
          <w:trHeight w:val="20"/>
        </w:trPr>
        <w:tc>
          <w:tcPr>
            <w:tcW w:w="2492" w:type="pct"/>
          </w:tcPr>
          <w:p w14:paraId="1861DD2D" w14:textId="77777777" w:rsidR="008C1EC6" w:rsidRPr="008C1EC6" w:rsidDel="003701D2"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Número de usuarios servidos en el punto de concentración regional medio</w:t>
            </w:r>
          </w:p>
        </w:tc>
        <w:tc>
          <w:tcPr>
            <w:tcW w:w="2508" w:type="pct"/>
            <w:gridSpan w:val="2"/>
          </w:tcPr>
          <w:p w14:paraId="7D6EBB45" w14:textId="77777777" w:rsidR="008C1EC6" w:rsidRPr="008C1EC6" w:rsidDel="003701D2"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Número de usuarios servidos en el punto de concentración regional medio</w:t>
            </w:r>
          </w:p>
        </w:tc>
      </w:tr>
      <w:tr w:rsidR="008C1EC6" w:rsidRPr="00263104" w14:paraId="488AC62C"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29C67EE3" w14:textId="77777777" w:rsidR="008C1EC6" w:rsidRPr="008C1EC6" w:rsidDel="003701D2"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lastRenderedPageBreak/>
              <w:t>Número de usuarios servidos en el punto de concentración nacional medio</w:t>
            </w:r>
          </w:p>
        </w:tc>
        <w:tc>
          <w:tcPr>
            <w:tcW w:w="2508" w:type="pct"/>
            <w:gridSpan w:val="2"/>
          </w:tcPr>
          <w:p w14:paraId="3EFE9AF0" w14:textId="77777777" w:rsidR="008C1EC6" w:rsidRPr="008C1EC6" w:rsidDel="003701D2"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Número de usuarios servidos en el punto de concentración nacional medio</w:t>
            </w:r>
          </w:p>
        </w:tc>
      </w:tr>
      <w:tr w:rsidR="008C1EC6" w:rsidRPr="00263104" w14:paraId="798A37C6" w14:textId="77777777" w:rsidTr="009511FF">
        <w:trPr>
          <w:trHeight w:val="20"/>
        </w:trPr>
        <w:tc>
          <w:tcPr>
            <w:tcW w:w="5000" w:type="pct"/>
            <w:gridSpan w:val="3"/>
          </w:tcPr>
          <w:p w14:paraId="0EE16FC9"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Período de amortización de los costos no recurrentes</w:t>
            </w:r>
          </w:p>
        </w:tc>
      </w:tr>
      <w:tr w:rsidR="008C1EC6" w:rsidRPr="00263104" w14:paraId="239A604D"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500" w:type="pct"/>
            <w:gridSpan w:val="2"/>
          </w:tcPr>
          <w:p w14:paraId="468AAB41"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Plan de negocio</w:t>
            </w:r>
          </w:p>
        </w:tc>
        <w:tc>
          <w:tcPr>
            <w:tcW w:w="2500" w:type="pct"/>
          </w:tcPr>
          <w:p w14:paraId="50D8AE0F"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Número de meses asumidos en el plan de negocio de un operador de telecomunicaciones</w:t>
            </w:r>
          </w:p>
        </w:tc>
      </w:tr>
      <w:tr w:rsidR="008C1EC6" w:rsidRPr="00263104" w14:paraId="54CBB613" w14:textId="77777777" w:rsidTr="009511FF">
        <w:trPr>
          <w:trHeight w:val="20"/>
        </w:trPr>
        <w:tc>
          <w:tcPr>
            <w:tcW w:w="2500" w:type="pct"/>
            <w:gridSpan w:val="2"/>
          </w:tcPr>
          <w:p w14:paraId="746D1E32"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Vida promedio del cliente</w:t>
            </w:r>
          </w:p>
        </w:tc>
        <w:tc>
          <w:tcPr>
            <w:tcW w:w="2500" w:type="pct"/>
          </w:tcPr>
          <w:p w14:paraId="192C5529"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 xml:space="preserve">Vida media del cliente </w:t>
            </w:r>
          </w:p>
        </w:tc>
      </w:tr>
      <w:tr w:rsidR="008C1EC6" w:rsidRPr="00263104" w14:paraId="53294988"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500" w:type="pct"/>
            <w:gridSpan w:val="2"/>
          </w:tcPr>
          <w:p w14:paraId="2614C8E0"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Desagregación del bucle</w:t>
            </w:r>
          </w:p>
        </w:tc>
        <w:tc>
          <w:tcPr>
            <w:tcW w:w="2500" w:type="pct"/>
          </w:tcPr>
          <w:p w14:paraId="066B0847"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Período de amortización para los pagos no recurrentes de Servicio de desagregación del bucle, Gastos de instalación en co-ubicación y Servicio auxiliar del cableado multipar</w:t>
            </w:r>
          </w:p>
        </w:tc>
      </w:tr>
      <w:tr w:rsidR="008C1EC6" w:rsidRPr="00263104" w14:paraId="462ED5D9" w14:textId="77777777" w:rsidTr="009511FF">
        <w:trPr>
          <w:trHeight w:val="20"/>
        </w:trPr>
        <w:tc>
          <w:tcPr>
            <w:tcW w:w="2500" w:type="pct"/>
            <w:gridSpan w:val="2"/>
          </w:tcPr>
          <w:p w14:paraId="71F6DA05"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SAIB</w:t>
            </w:r>
          </w:p>
        </w:tc>
        <w:tc>
          <w:tcPr>
            <w:tcW w:w="2500" w:type="pct"/>
          </w:tcPr>
          <w:p w14:paraId="2616D613"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 xml:space="preserve">Período de amortización para los pagos no recurrentes de Habilitación del SAIB, Habilitación por equipo de acceso de un NCAI asociado a un SCyD, Gastos de habilitación por pCAI  Local, Regional o Nacional, Gasto por modificación de ancho de banda, </w:t>
            </w:r>
          </w:p>
          <w:p w14:paraId="551F4BE0"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Instalación de acometidas, Visita en falso, Cableado interior, Atención de avería inexistente por reporte de falla y</w:t>
            </w:r>
          </w:p>
          <w:p w14:paraId="2CAEBA53"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Relativos a procedimientos masivos</w:t>
            </w:r>
          </w:p>
        </w:tc>
      </w:tr>
      <w:tr w:rsidR="008C1EC6" w:rsidRPr="00263104" w14:paraId="4EFDE245"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DCEBB8E" w14:textId="77777777" w:rsidR="008C1EC6" w:rsidRPr="008C1EC6" w:rsidRDefault="008C1EC6" w:rsidP="009511FF">
            <w:pPr>
              <w:spacing w:before="40" w:after="40" w:line="240" w:lineRule="auto"/>
              <w:jc w:val="left"/>
              <w:rPr>
                <w:rFonts w:ascii="ITC Avant Garde" w:hAnsi="ITC Avant Garde"/>
                <w:b/>
                <w:sz w:val="20"/>
                <w:lang w:val="es-MX"/>
              </w:rPr>
            </w:pPr>
            <w:r w:rsidRPr="00262AD4">
              <w:rPr>
                <w:rFonts w:ascii="ITC Avant Garde" w:eastAsiaTheme="minorHAnsi" w:hAnsi="ITC Avant Garde" w:cstheme="minorBidi"/>
                <w:b/>
                <w:color w:val="auto"/>
                <w:sz w:val="20"/>
                <w:lang w:val="es-ES_tradnl"/>
              </w:rPr>
              <w:t>OREDA. Servicio de acceso indirecto al bucle</w:t>
            </w:r>
          </w:p>
        </w:tc>
      </w:tr>
      <w:tr w:rsidR="008C1EC6" w:rsidRPr="00263104" w14:paraId="142EB8E7" w14:textId="77777777" w:rsidTr="009511FF">
        <w:trPr>
          <w:trHeight w:val="20"/>
        </w:trPr>
        <w:tc>
          <w:tcPr>
            <w:tcW w:w="2492" w:type="pct"/>
          </w:tcPr>
          <w:p w14:paraId="7CDE46EE"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Equipos de acceso por NCAI</w:t>
            </w:r>
          </w:p>
        </w:tc>
        <w:tc>
          <w:tcPr>
            <w:tcW w:w="2508" w:type="pct"/>
            <w:gridSpan w:val="2"/>
          </w:tcPr>
          <w:p w14:paraId="76541ECE"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Cantidad de equipos de acceso de un NCAI</w:t>
            </w:r>
          </w:p>
        </w:tc>
      </w:tr>
      <w:tr w:rsidR="008C1EC6" w:rsidRPr="00263104" w14:paraId="7C408DD6"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5F783754"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Capacidad (Mbit/s) por equipo de acceso de un NCAI asociado a un SCyD</w:t>
            </w:r>
          </w:p>
        </w:tc>
        <w:tc>
          <w:tcPr>
            <w:tcW w:w="2508" w:type="pct"/>
            <w:gridSpan w:val="2"/>
          </w:tcPr>
          <w:p w14:paraId="21EF8150"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Ratio de capacidad / equipo de acceso de un NCAI asociado a un SCyD.  Se emplea para el dimensionamiento de los costos del SAIB.</w:t>
            </w:r>
          </w:p>
        </w:tc>
      </w:tr>
      <w:tr w:rsidR="008C1EC6" w:rsidRPr="00263104" w14:paraId="5FF8CFD9" w14:textId="77777777" w:rsidTr="009511FF">
        <w:trPr>
          <w:trHeight w:val="20"/>
        </w:trPr>
        <w:tc>
          <w:tcPr>
            <w:tcW w:w="2492" w:type="pct"/>
          </w:tcPr>
          <w:p w14:paraId="538E3849"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Habilitación por pCAI Local / Regional / Nacional</w:t>
            </w:r>
          </w:p>
        </w:tc>
        <w:tc>
          <w:tcPr>
            <w:tcW w:w="2508" w:type="pct"/>
            <w:gridSpan w:val="2"/>
          </w:tcPr>
          <w:p w14:paraId="121237F1"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Ratio de capacidad / pCAI Local, Regional, Nacional. Se emplea para el dimensionamiento de los costos del SAIB.</w:t>
            </w:r>
          </w:p>
        </w:tc>
      </w:tr>
      <w:tr w:rsidR="008C1EC6" w:rsidRPr="00263104" w14:paraId="12F4993C"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674A939E"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Instalación de acometida</w:t>
            </w:r>
          </w:p>
        </w:tc>
        <w:tc>
          <w:tcPr>
            <w:tcW w:w="2508" w:type="pct"/>
            <w:gridSpan w:val="2"/>
          </w:tcPr>
          <w:p w14:paraId="330E01CB"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 xml:space="preserve">Ratio de usuarios / instalaciones de acometida. Se emplea para el </w:t>
            </w:r>
            <w:r w:rsidRPr="00262AD4">
              <w:rPr>
                <w:rFonts w:ascii="ITC Avant Garde" w:eastAsiaTheme="minorHAnsi" w:hAnsi="ITC Avant Garde" w:cstheme="minorBidi"/>
                <w:color w:val="auto"/>
                <w:sz w:val="20"/>
                <w:lang w:val="es-ES_tradnl"/>
              </w:rPr>
              <w:lastRenderedPageBreak/>
              <w:t>dimensionamiento de los costos del SAIB.</w:t>
            </w:r>
          </w:p>
          <w:p w14:paraId="3B67AA14"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Porcentaje (%) de pagos por acometida en una sola exhibición. Se emplea para la aplicación de los descuentos en la renta mensual del SAIB</w:t>
            </w:r>
          </w:p>
        </w:tc>
      </w:tr>
      <w:tr w:rsidR="008C1EC6" w:rsidRPr="00263104" w14:paraId="16EE8610" w14:textId="77777777" w:rsidTr="009511FF">
        <w:trPr>
          <w:trHeight w:val="20"/>
        </w:trPr>
        <w:tc>
          <w:tcPr>
            <w:tcW w:w="2492" w:type="pct"/>
          </w:tcPr>
          <w:p w14:paraId="4CA74FB7"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lastRenderedPageBreak/>
              <w:t>Servicio de "Mensajería de equipo"</w:t>
            </w:r>
          </w:p>
        </w:tc>
        <w:tc>
          <w:tcPr>
            <w:tcW w:w="2508" w:type="pct"/>
            <w:gridSpan w:val="2"/>
          </w:tcPr>
          <w:p w14:paraId="49A9ECCE"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Porcentaje (%) usuarios para los que se contrata al AEP el servicio de “Mensajería de equipo”. Se emplea para la aplicación de los descuentos en la renta mensual del SAIB.</w:t>
            </w:r>
          </w:p>
        </w:tc>
      </w:tr>
      <w:tr w:rsidR="008C1EC6" w:rsidRPr="00263104" w14:paraId="57BC5A05"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5799C484"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Servicio de "Servicio de Entrega de Equipo por Personal Telmex en SAIB"</w:t>
            </w:r>
          </w:p>
        </w:tc>
        <w:tc>
          <w:tcPr>
            <w:tcW w:w="2508" w:type="pct"/>
            <w:gridSpan w:val="2"/>
          </w:tcPr>
          <w:p w14:paraId="4114D857"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Porcentaje (%) de usuarios para los que se contrata al AEP el servicio. Se emplea para la aplicación de los descuentos en la renta mensual del SAIB</w:t>
            </w:r>
          </w:p>
        </w:tc>
      </w:tr>
      <w:tr w:rsidR="008C1EC6" w:rsidRPr="00263104" w14:paraId="2C982120" w14:textId="77777777" w:rsidTr="009511FF">
        <w:trPr>
          <w:trHeight w:val="20"/>
        </w:trPr>
        <w:tc>
          <w:tcPr>
            <w:tcW w:w="2492" w:type="pct"/>
          </w:tcPr>
          <w:p w14:paraId="6FD6588A"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Procedimientos masivos</w:t>
            </w:r>
          </w:p>
        </w:tc>
        <w:tc>
          <w:tcPr>
            <w:tcW w:w="2508" w:type="pct"/>
            <w:gridSpan w:val="2"/>
          </w:tcPr>
          <w:p w14:paraId="0D0FA776"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Procedimientos masivos por central al mes y   % usuarios para los que se realiza una carga masiva. Se emplea para calcular los costos relativos a habilitaciones masivas durante el período.</w:t>
            </w:r>
          </w:p>
        </w:tc>
      </w:tr>
      <w:tr w:rsidR="008C1EC6" w:rsidRPr="00263104" w14:paraId="0056321B"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633B987F" w14:textId="77777777" w:rsidR="008C1EC6" w:rsidRPr="008C1EC6" w:rsidRDefault="008C1EC6" w:rsidP="009511FF">
            <w:pPr>
              <w:spacing w:before="40" w:after="40" w:line="240" w:lineRule="auto"/>
              <w:jc w:val="left"/>
              <w:rPr>
                <w:rFonts w:ascii="ITC Avant Garde" w:hAnsi="ITC Avant Garde"/>
                <w:b/>
                <w:sz w:val="20"/>
                <w:lang w:val="es-MX"/>
              </w:rPr>
            </w:pPr>
            <w:r w:rsidRPr="00262AD4">
              <w:rPr>
                <w:rFonts w:ascii="ITC Avant Garde" w:eastAsiaTheme="minorHAnsi" w:hAnsi="ITC Avant Garde" w:cstheme="minorBidi"/>
                <w:b/>
                <w:color w:val="auto"/>
                <w:sz w:val="20"/>
                <w:lang w:val="es-ES_tradnl"/>
              </w:rPr>
              <w:t>OREDA. Servicio de coubicación para desagregación y servicio de cableado multipar</w:t>
            </w:r>
          </w:p>
        </w:tc>
      </w:tr>
      <w:tr w:rsidR="008C1EC6" w:rsidRPr="00263104" w14:paraId="6331FD25" w14:textId="77777777" w:rsidTr="009511FF">
        <w:trPr>
          <w:trHeight w:val="20"/>
        </w:trPr>
        <w:tc>
          <w:tcPr>
            <w:tcW w:w="2492" w:type="pct"/>
          </w:tcPr>
          <w:p w14:paraId="05CCF3DA"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Tipos de coubicacion</w:t>
            </w:r>
          </w:p>
        </w:tc>
        <w:tc>
          <w:tcPr>
            <w:tcW w:w="2508" w:type="pct"/>
            <w:gridSpan w:val="2"/>
          </w:tcPr>
          <w:p w14:paraId="22B3B4F6"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Distribución (%) de los distintos tipos de coubicación para el cálculo del costo del servicio de coubiciación.</w:t>
            </w:r>
          </w:p>
        </w:tc>
      </w:tr>
      <w:tr w:rsidR="008C1EC6" w:rsidRPr="00263104" w14:paraId="6A0A64BB"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0FC95BCF"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Metros lineales de ductería para coubicación externa</w:t>
            </w:r>
          </w:p>
        </w:tc>
        <w:tc>
          <w:tcPr>
            <w:tcW w:w="2508" w:type="pct"/>
            <w:gridSpan w:val="2"/>
          </w:tcPr>
          <w:p w14:paraId="3AD3CA73"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Número promedio de metros lineales de ductería para la coubicación externa</w:t>
            </w:r>
          </w:p>
        </w:tc>
      </w:tr>
      <w:tr w:rsidR="008C1EC6" w:rsidRPr="00263104" w14:paraId="756C87B3" w14:textId="77777777" w:rsidTr="009511FF">
        <w:trPr>
          <w:trHeight w:val="20"/>
        </w:trPr>
        <w:tc>
          <w:tcPr>
            <w:tcW w:w="2492" w:type="pct"/>
          </w:tcPr>
          <w:p w14:paraId="2BC75AA9"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Servicio auxiliar de cableado multipar</w:t>
            </w:r>
          </w:p>
          <w:p w14:paraId="19EDE17C" w14:textId="77777777" w:rsidR="008C1EC6" w:rsidRPr="00262AD4" w:rsidRDefault="008C1EC6" w:rsidP="009511FF">
            <w:pPr>
              <w:spacing w:before="40" w:after="40" w:line="240" w:lineRule="auto"/>
              <w:jc w:val="left"/>
              <w:rPr>
                <w:rFonts w:ascii="ITC Avant Garde" w:hAnsi="ITC Avant Garde"/>
                <w:sz w:val="20"/>
              </w:rPr>
            </w:pPr>
          </w:p>
        </w:tc>
        <w:tc>
          <w:tcPr>
            <w:tcW w:w="2508" w:type="pct"/>
            <w:gridSpan w:val="2"/>
          </w:tcPr>
          <w:p w14:paraId="55F00E97"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Número promedio de metros lineales por tablilla. Se emplea para el cálculo de los costos recurrentes del servicio auxiliar del cableado multipar.</w:t>
            </w:r>
          </w:p>
        </w:tc>
      </w:tr>
      <w:tr w:rsidR="008C1EC6" w:rsidRPr="00263104" w14:paraId="014D467E"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5F9EDDDA"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Zona de coubicación</w:t>
            </w:r>
          </w:p>
        </w:tc>
        <w:tc>
          <w:tcPr>
            <w:tcW w:w="2508" w:type="pct"/>
            <w:gridSpan w:val="2"/>
          </w:tcPr>
          <w:p w14:paraId="6CB1EFE6"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Distribución (%) de las distintas zonas de coubicación. Se emplea para para el cálculo del costo del servicio de coubicación.</w:t>
            </w:r>
          </w:p>
        </w:tc>
      </w:tr>
      <w:tr w:rsidR="008C1EC6" w:rsidRPr="00263104" w14:paraId="158C451E" w14:textId="77777777" w:rsidTr="009511FF">
        <w:trPr>
          <w:trHeight w:val="20"/>
        </w:trPr>
        <w:tc>
          <w:tcPr>
            <w:tcW w:w="2492" w:type="pct"/>
          </w:tcPr>
          <w:p w14:paraId="0C95EDAC"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Instalación de la acometida de cobre</w:t>
            </w:r>
          </w:p>
        </w:tc>
        <w:tc>
          <w:tcPr>
            <w:tcW w:w="2508" w:type="pct"/>
            <w:gridSpan w:val="2"/>
          </w:tcPr>
          <w:p w14:paraId="6ECBA52B"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Porcentaje (%) de clientes que requieren de la instalación</w:t>
            </w:r>
          </w:p>
        </w:tc>
      </w:tr>
      <w:tr w:rsidR="008C1EC6" w:rsidRPr="00263104" w14:paraId="10C0682A"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41444DB7"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lastRenderedPageBreak/>
              <w:t>Instalación de la acometida de fibra</w:t>
            </w:r>
          </w:p>
        </w:tc>
        <w:tc>
          <w:tcPr>
            <w:tcW w:w="2508" w:type="pct"/>
            <w:gridSpan w:val="2"/>
          </w:tcPr>
          <w:p w14:paraId="746639B2"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Porcentaje (%) de clientes que requieren de la instalación</w:t>
            </w:r>
          </w:p>
        </w:tc>
      </w:tr>
      <w:tr w:rsidR="008C1EC6" w:rsidRPr="00263104" w14:paraId="0BAF4FDD" w14:textId="77777777" w:rsidTr="009511FF">
        <w:trPr>
          <w:trHeight w:val="20"/>
        </w:trPr>
        <w:tc>
          <w:tcPr>
            <w:tcW w:w="2492" w:type="pct"/>
          </w:tcPr>
          <w:p w14:paraId="4068C888"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Visita en falso</w:t>
            </w:r>
          </w:p>
        </w:tc>
        <w:tc>
          <w:tcPr>
            <w:tcW w:w="2508" w:type="pct"/>
            <w:gridSpan w:val="2"/>
          </w:tcPr>
          <w:p w14:paraId="0EE1E8DE"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Porcentaje (%) de clientes para los que debe llevarse a cabo una visita en falso</w:t>
            </w:r>
          </w:p>
        </w:tc>
      </w:tr>
      <w:tr w:rsidR="008C1EC6" w:rsidRPr="00263104" w14:paraId="09AC46CF"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5F978223"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Cableado interior</w:t>
            </w:r>
          </w:p>
        </w:tc>
        <w:tc>
          <w:tcPr>
            <w:tcW w:w="2508" w:type="pct"/>
            <w:gridSpan w:val="2"/>
          </w:tcPr>
          <w:p w14:paraId="5268630A"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Porcentaje (%) de clientes que requieren de cableado interior</w:t>
            </w:r>
          </w:p>
        </w:tc>
      </w:tr>
      <w:tr w:rsidR="008C1EC6" w:rsidRPr="00263104" w14:paraId="7BAFEBCE" w14:textId="77777777" w:rsidTr="009511FF">
        <w:trPr>
          <w:trHeight w:val="20"/>
        </w:trPr>
        <w:tc>
          <w:tcPr>
            <w:tcW w:w="2492" w:type="pct"/>
          </w:tcPr>
          <w:p w14:paraId="31253450"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Atención de avería inexistente por reporte de falla</w:t>
            </w:r>
          </w:p>
        </w:tc>
        <w:tc>
          <w:tcPr>
            <w:tcW w:w="2508" w:type="pct"/>
            <w:gridSpan w:val="2"/>
          </w:tcPr>
          <w:p w14:paraId="7B54B4FB"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Porcentaje (%) de clientes para los que se atiende una avería inexistente</w:t>
            </w:r>
          </w:p>
        </w:tc>
      </w:tr>
      <w:tr w:rsidR="008C1EC6" w:rsidRPr="00263104" w14:paraId="42BAA9E6" w14:textId="77777777" w:rsidTr="009511FF">
        <w:trPr>
          <w:cnfStyle w:val="000000100000" w:firstRow="0" w:lastRow="0" w:firstColumn="0" w:lastColumn="0" w:oddVBand="0" w:evenVBand="0" w:oddHBand="1" w:evenHBand="0" w:firstRowFirstColumn="0" w:firstRowLastColumn="0" w:lastRowFirstColumn="0" w:lastRowLastColumn="0"/>
          <w:trHeight w:val="20"/>
        </w:trPr>
        <w:tc>
          <w:tcPr>
            <w:tcW w:w="2492" w:type="pct"/>
          </w:tcPr>
          <w:p w14:paraId="26F629F6" w14:textId="77777777" w:rsidR="008C1EC6" w:rsidRPr="00262AD4" w:rsidRDefault="008C1EC6" w:rsidP="009511FF">
            <w:pPr>
              <w:spacing w:before="40" w:after="40" w:line="240" w:lineRule="auto"/>
              <w:jc w:val="left"/>
              <w:rPr>
                <w:rFonts w:ascii="ITC Avant Garde" w:hAnsi="ITC Avant Garde"/>
                <w:b/>
                <w:sz w:val="20"/>
              </w:rPr>
            </w:pPr>
            <w:r w:rsidRPr="00262AD4">
              <w:rPr>
                <w:rFonts w:ascii="ITC Avant Garde" w:eastAsiaTheme="minorHAnsi" w:hAnsi="ITC Avant Garde" w:cstheme="minorBidi"/>
                <w:b/>
                <w:color w:val="auto"/>
                <w:sz w:val="20"/>
                <w:lang w:val="es-ES_tradnl"/>
              </w:rPr>
              <w:t>Tipo de cambio</w:t>
            </w:r>
          </w:p>
        </w:tc>
        <w:tc>
          <w:tcPr>
            <w:tcW w:w="2508" w:type="pct"/>
            <w:gridSpan w:val="2"/>
          </w:tcPr>
          <w:p w14:paraId="4CB47A0A" w14:textId="77777777" w:rsidR="008C1EC6" w:rsidRPr="00262AD4" w:rsidRDefault="008C1EC6" w:rsidP="009511FF">
            <w:pPr>
              <w:spacing w:before="40" w:after="40" w:line="240" w:lineRule="auto"/>
              <w:jc w:val="left"/>
              <w:rPr>
                <w:rFonts w:ascii="ITC Avant Garde" w:hAnsi="ITC Avant Garde"/>
                <w:sz w:val="20"/>
              </w:rPr>
            </w:pPr>
          </w:p>
        </w:tc>
      </w:tr>
      <w:tr w:rsidR="008C1EC6" w:rsidRPr="00263104" w14:paraId="354188B5" w14:textId="77777777" w:rsidTr="009511FF">
        <w:trPr>
          <w:trHeight w:val="20"/>
        </w:trPr>
        <w:tc>
          <w:tcPr>
            <w:tcW w:w="2492" w:type="pct"/>
          </w:tcPr>
          <w:p w14:paraId="0E14B559" w14:textId="77777777" w:rsidR="008C1EC6" w:rsidRPr="00262AD4" w:rsidRDefault="008C1EC6" w:rsidP="009511FF">
            <w:pPr>
              <w:spacing w:before="40" w:after="40" w:line="240" w:lineRule="auto"/>
              <w:jc w:val="left"/>
              <w:rPr>
                <w:rFonts w:ascii="ITC Avant Garde" w:hAnsi="ITC Avant Garde"/>
                <w:sz w:val="20"/>
              </w:rPr>
            </w:pPr>
            <w:r w:rsidRPr="00262AD4">
              <w:rPr>
                <w:rFonts w:ascii="ITC Avant Garde" w:eastAsiaTheme="minorHAnsi" w:hAnsi="ITC Avant Garde" w:cstheme="minorBidi"/>
                <w:color w:val="auto"/>
                <w:sz w:val="20"/>
                <w:lang w:val="es-ES_tradnl"/>
              </w:rPr>
              <w:t>USD/MXN</w:t>
            </w:r>
          </w:p>
        </w:tc>
        <w:tc>
          <w:tcPr>
            <w:tcW w:w="2508" w:type="pct"/>
            <w:gridSpan w:val="2"/>
          </w:tcPr>
          <w:p w14:paraId="4B7DD42C" w14:textId="77777777" w:rsidR="008C1EC6" w:rsidRPr="008C1EC6" w:rsidRDefault="008C1EC6" w:rsidP="009511FF">
            <w:pPr>
              <w:spacing w:before="40" w:after="40" w:line="240" w:lineRule="auto"/>
              <w:jc w:val="left"/>
              <w:rPr>
                <w:rFonts w:ascii="ITC Avant Garde" w:hAnsi="ITC Avant Garde"/>
                <w:sz w:val="20"/>
                <w:lang w:val="es-MX"/>
              </w:rPr>
            </w:pPr>
            <w:r w:rsidRPr="00262AD4">
              <w:rPr>
                <w:rFonts w:ascii="ITC Avant Garde" w:eastAsiaTheme="minorHAnsi" w:hAnsi="ITC Avant Garde" w:cstheme="minorBidi"/>
                <w:color w:val="auto"/>
                <w:sz w:val="20"/>
                <w:lang w:val="es-ES_tradnl"/>
              </w:rPr>
              <w:t>Tipo de cambio entre el peso mexicano y el dólar estadounidense. Se emplea para expresar el precio de servicios de la OREDA en pesos mexicanos.</w:t>
            </w:r>
          </w:p>
        </w:tc>
      </w:tr>
    </w:tbl>
    <w:p w14:paraId="2E2650BC" w14:textId="77777777" w:rsidR="008C1EC6" w:rsidRDefault="008C1EC6" w:rsidP="008C1EC6">
      <w:pPr>
        <w:rPr>
          <w:lang w:val="es-ES_tradnl"/>
        </w:rPr>
      </w:pPr>
    </w:p>
    <w:p w14:paraId="7D04FAF3" w14:textId="77777777" w:rsidR="00617B7B" w:rsidRDefault="00617B7B" w:rsidP="008C1EC6">
      <w:pPr>
        <w:rPr>
          <w:lang w:val="es-ES_tradnl"/>
        </w:rPr>
      </w:pPr>
    </w:p>
    <w:p w14:paraId="431C2614" w14:textId="77777777" w:rsidR="00617B7B" w:rsidRDefault="00617B7B" w:rsidP="008C1EC6">
      <w:pPr>
        <w:rPr>
          <w:lang w:val="es-ES_tradnl"/>
        </w:rPr>
      </w:pPr>
    </w:p>
    <w:p w14:paraId="29ED9307" w14:textId="77777777" w:rsidR="00617B7B" w:rsidRDefault="00617B7B" w:rsidP="008C1EC6">
      <w:pPr>
        <w:rPr>
          <w:lang w:val="es-ES_tradnl"/>
        </w:rPr>
      </w:pPr>
    </w:p>
    <w:p w14:paraId="1A2E2B24" w14:textId="77777777" w:rsidR="00617B7B" w:rsidRDefault="00617B7B" w:rsidP="008C1EC6">
      <w:pPr>
        <w:rPr>
          <w:lang w:val="es-ES_tradnl"/>
        </w:rPr>
      </w:pPr>
    </w:p>
    <w:p w14:paraId="7839D55F" w14:textId="77777777" w:rsidR="00617B7B" w:rsidRDefault="00617B7B" w:rsidP="008C1EC6">
      <w:pPr>
        <w:rPr>
          <w:lang w:val="es-ES_tradnl"/>
        </w:rPr>
      </w:pPr>
    </w:p>
    <w:p w14:paraId="5DBBA0C9" w14:textId="77777777" w:rsidR="00617B7B" w:rsidRDefault="00617B7B" w:rsidP="008C1EC6">
      <w:pPr>
        <w:rPr>
          <w:lang w:val="es-ES_tradnl"/>
        </w:rPr>
      </w:pPr>
    </w:p>
    <w:p w14:paraId="021421DB" w14:textId="77777777" w:rsidR="00617B7B" w:rsidRDefault="00617B7B" w:rsidP="008C1EC6">
      <w:pPr>
        <w:rPr>
          <w:lang w:val="es-ES_tradnl"/>
        </w:rPr>
      </w:pPr>
    </w:p>
    <w:p w14:paraId="59637213" w14:textId="77777777" w:rsidR="00617B7B" w:rsidRDefault="00617B7B" w:rsidP="008C1EC6">
      <w:pPr>
        <w:rPr>
          <w:lang w:val="es-ES_tradnl"/>
        </w:rPr>
      </w:pPr>
    </w:p>
    <w:p w14:paraId="571C207D" w14:textId="77777777" w:rsidR="00617B7B" w:rsidRPr="002201B0" w:rsidRDefault="00617B7B" w:rsidP="008C1EC6">
      <w:pPr>
        <w:rPr>
          <w:lang w:val="es-ES_tradnl"/>
        </w:rPr>
      </w:pPr>
    </w:p>
    <w:p w14:paraId="0EF412FE" w14:textId="77777777" w:rsidR="008C1EC6" w:rsidRPr="002201B0" w:rsidRDefault="008C1EC6">
      <w:pPr>
        <w:numPr>
          <w:ilvl w:val="0"/>
          <w:numId w:val="35"/>
        </w:numPr>
        <w:spacing w:before="160" w:after="160" w:line="259" w:lineRule="auto"/>
        <w:jc w:val="left"/>
        <w:outlineLvl w:val="1"/>
        <w:rPr>
          <w:rFonts w:eastAsia="Arial" w:cs="Arial"/>
          <w:b/>
          <w:szCs w:val="14"/>
          <w:lang w:val="es-ES_tradnl"/>
        </w:rPr>
      </w:pPr>
      <w:r w:rsidRPr="002201B0">
        <w:rPr>
          <w:rFonts w:eastAsia="Arial" w:cs="Arial"/>
          <w:b/>
          <w:szCs w:val="14"/>
          <w:lang w:val="es-ES_tradnl"/>
        </w:rPr>
        <w:t>Actualización del modelo</w:t>
      </w:r>
    </w:p>
    <w:p w14:paraId="448953D2" w14:textId="77777777" w:rsidR="008C1EC6" w:rsidRPr="002201B0" w:rsidRDefault="008C1EC6">
      <w:pPr>
        <w:numPr>
          <w:ilvl w:val="1"/>
          <w:numId w:val="35"/>
        </w:numPr>
        <w:spacing w:before="160" w:after="160" w:line="259" w:lineRule="auto"/>
        <w:jc w:val="left"/>
        <w:outlineLvl w:val="1"/>
        <w:rPr>
          <w:rFonts w:eastAsia="Arial" w:cs="Arial"/>
          <w:b/>
          <w:szCs w:val="14"/>
          <w:lang w:val="es-ES_tradnl"/>
        </w:rPr>
      </w:pPr>
      <w:r w:rsidRPr="002201B0">
        <w:rPr>
          <w:rFonts w:eastAsia="Arial" w:cs="Arial"/>
          <w:b/>
          <w:szCs w:val="14"/>
          <w:lang w:val="es-ES_tradnl"/>
        </w:rPr>
        <w:t>Información requerida</w:t>
      </w:r>
    </w:p>
    <w:p w14:paraId="636165F2" w14:textId="77777777" w:rsidR="008C1EC6" w:rsidRPr="00CA608C" w:rsidRDefault="008C1EC6">
      <w:pPr>
        <w:numPr>
          <w:ilvl w:val="2"/>
          <w:numId w:val="35"/>
        </w:numPr>
        <w:spacing w:before="160" w:after="160" w:line="259" w:lineRule="auto"/>
        <w:jc w:val="left"/>
        <w:outlineLvl w:val="1"/>
        <w:rPr>
          <w:rFonts w:eastAsia="Arial" w:cs="Arial"/>
          <w:b/>
          <w:szCs w:val="14"/>
          <w:lang w:val="es-ES_tradnl"/>
        </w:rPr>
      </w:pPr>
      <w:r w:rsidRPr="002201B0">
        <w:rPr>
          <w:rFonts w:eastAsia="Arial" w:cs="Arial"/>
          <w:b/>
          <w:szCs w:val="14"/>
          <w:lang w:val="es-ES_tradnl"/>
        </w:rPr>
        <w:t>Por parte del AEP</w:t>
      </w:r>
    </w:p>
    <w:p w14:paraId="2A90D9C5" w14:textId="6AA00A7A" w:rsidR="008C1EC6" w:rsidRPr="00ED7C25" w:rsidRDefault="008C1EC6" w:rsidP="008C1EC6">
      <w:r w:rsidRPr="00ED7C25">
        <w:t>El modelo se nutre de información provista por parte del AEP para proyectar los flujos de i</w:t>
      </w:r>
      <w:r w:rsidR="00DE5E54">
        <w:t>ngresos y de costos aguas abajo.</w:t>
      </w:r>
    </w:p>
    <w:p w14:paraId="11FF20C7" w14:textId="77777777" w:rsidR="008C1EC6" w:rsidRPr="00ED7C25" w:rsidRDefault="008C1EC6" w:rsidP="008C1EC6">
      <w:r w:rsidRPr="00ED7C25">
        <w:t>Para el cálculo del flujo de ingresos, el AEP deberá proyectar la siguiente información de la oferta, a nivel mensual:</w:t>
      </w:r>
    </w:p>
    <w:p w14:paraId="03992D57"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Suscriptores promedio (calculado como (suscriptores día 1 + suscriptores día 30)/2);</w:t>
      </w:r>
    </w:p>
    <w:p w14:paraId="266D1B2E"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Altas nuevas previstas durante el período;</w:t>
      </w:r>
    </w:p>
    <w:p w14:paraId="42B86C82"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Precios previstos ($):</w:t>
      </w:r>
    </w:p>
    <w:p w14:paraId="382784EE"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No recurrentes:</w:t>
      </w:r>
    </w:p>
    <w:p w14:paraId="5F235FCC"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Cuota de instalación;</w:t>
      </w:r>
    </w:p>
    <w:p w14:paraId="6B1EFDEF"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Cuota de alta;</w:t>
      </w:r>
    </w:p>
    <w:p w14:paraId="1F009816"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Aparatos;</w:t>
      </w:r>
    </w:p>
    <w:p w14:paraId="74D74AF2"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Equipo de cómputo; y,</w:t>
      </w:r>
    </w:p>
    <w:p w14:paraId="026326A5"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lastRenderedPageBreak/>
        <w:t>Otros.</w:t>
      </w:r>
    </w:p>
    <w:p w14:paraId="30CE3DD1"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Recurrentes (pagos mensuales promedio):</w:t>
      </w:r>
    </w:p>
    <w:p w14:paraId="73264567"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Renta mensual;</w:t>
      </w:r>
    </w:p>
    <w:p w14:paraId="1E418664"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 xml:space="preserve">Alquiler de equipos;  </w:t>
      </w:r>
    </w:p>
    <w:p w14:paraId="52CD7B7A"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Claro video y Claro música;</w:t>
      </w:r>
    </w:p>
    <w:p w14:paraId="3006C64C"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Equipo de cómputo; y</w:t>
      </w:r>
    </w:p>
    <w:p w14:paraId="0EF21652"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Otros</w:t>
      </w:r>
    </w:p>
    <w:p w14:paraId="784F10EA"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Establecimiento de llamada:</w:t>
      </w:r>
    </w:p>
    <w:p w14:paraId="0C48EC01"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Locales;</w:t>
      </w:r>
    </w:p>
    <w:p w14:paraId="649293BD"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Celular;</w:t>
      </w:r>
    </w:p>
    <w:p w14:paraId="663AAE65"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internacional;</w:t>
      </w:r>
    </w:p>
    <w:p w14:paraId="744158BE"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mundial; y,</w:t>
      </w:r>
    </w:p>
    <w:p w14:paraId="09F65B20"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Números especiales.</w:t>
      </w:r>
    </w:p>
    <w:p w14:paraId="4B1295E5"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Tarifa por minuto:</w:t>
      </w:r>
    </w:p>
    <w:p w14:paraId="230D3FAB"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Locales;</w:t>
      </w:r>
    </w:p>
    <w:p w14:paraId="4E5055EB"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Celular;</w:t>
      </w:r>
    </w:p>
    <w:p w14:paraId="7AFCE731"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internacional;</w:t>
      </w:r>
    </w:p>
    <w:p w14:paraId="533E464D"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mundial; y,</w:t>
      </w:r>
    </w:p>
    <w:p w14:paraId="171BC96C"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Números especiales.</w:t>
      </w:r>
    </w:p>
    <w:p w14:paraId="200AF8B9"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Número de llamadas gratuitas:</w:t>
      </w:r>
    </w:p>
    <w:p w14:paraId="5FF4856E"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Locales;</w:t>
      </w:r>
    </w:p>
    <w:p w14:paraId="42AFBDF4"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Celular;</w:t>
      </w:r>
    </w:p>
    <w:p w14:paraId="6B17102E"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internacional;</w:t>
      </w:r>
    </w:p>
    <w:p w14:paraId="6ED4AD0B"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mundial; y,</w:t>
      </w:r>
    </w:p>
    <w:p w14:paraId="6FFF7468"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Números especiales.</w:t>
      </w:r>
    </w:p>
    <w:p w14:paraId="3621ABE6"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Minutos gratuitos:</w:t>
      </w:r>
    </w:p>
    <w:p w14:paraId="44CC629B"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lastRenderedPageBreak/>
        <w:t>Locales;</w:t>
      </w:r>
    </w:p>
    <w:p w14:paraId="6FEFBC28"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Celular;</w:t>
      </w:r>
    </w:p>
    <w:p w14:paraId="5B12414B"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internacional;</w:t>
      </w:r>
    </w:p>
    <w:p w14:paraId="665FB056"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mundial; y,</w:t>
      </w:r>
    </w:p>
    <w:p w14:paraId="7FFCC820"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Números especiales.</w:t>
      </w:r>
    </w:p>
    <w:p w14:paraId="1F96819E"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 xml:space="preserve"> Pauta de consumo prevista:</w:t>
      </w:r>
    </w:p>
    <w:p w14:paraId="6BF745F7"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Número de llamadas promedio:</w:t>
      </w:r>
    </w:p>
    <w:p w14:paraId="0843FE15"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Locales;</w:t>
      </w:r>
    </w:p>
    <w:p w14:paraId="33772E17"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Celular;</w:t>
      </w:r>
    </w:p>
    <w:p w14:paraId="7E30069D"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internacional;</w:t>
      </w:r>
    </w:p>
    <w:p w14:paraId="137AA235"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mundial; y,</w:t>
      </w:r>
    </w:p>
    <w:p w14:paraId="62AD97C1"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Números especiales.</w:t>
      </w:r>
    </w:p>
    <w:p w14:paraId="38A3B269"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Minutos por llamada promedio:</w:t>
      </w:r>
    </w:p>
    <w:p w14:paraId="7B00442D"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Locales;</w:t>
      </w:r>
    </w:p>
    <w:p w14:paraId="544470FA"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Celular;</w:t>
      </w:r>
    </w:p>
    <w:p w14:paraId="60AEFFC2"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internacional;</w:t>
      </w:r>
    </w:p>
    <w:p w14:paraId="3496A69F"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LADA mundial; y,</w:t>
      </w:r>
    </w:p>
    <w:p w14:paraId="1282DFE1" w14:textId="77777777" w:rsidR="008C1EC6" w:rsidRPr="00262AD4" w:rsidRDefault="008C1EC6">
      <w:pPr>
        <w:pStyle w:val="ParaBullet3"/>
        <w:numPr>
          <w:ilvl w:val="2"/>
          <w:numId w:val="38"/>
        </w:numPr>
        <w:rPr>
          <w:rFonts w:ascii="ITC Avant Garde" w:hAnsi="ITC Avant Garde"/>
        </w:rPr>
      </w:pPr>
      <w:r w:rsidRPr="00262AD4">
        <w:rPr>
          <w:rFonts w:ascii="ITC Avant Garde" w:hAnsi="ITC Avant Garde"/>
        </w:rPr>
        <w:t>Números especiales.</w:t>
      </w:r>
    </w:p>
    <w:p w14:paraId="41D38478"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Llamadas off-net:</w:t>
      </w:r>
    </w:p>
    <w:p w14:paraId="6A8DBF3E"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Minutos de llamadas recibidas off-net</w:t>
      </w:r>
    </w:p>
    <w:p w14:paraId="5AEE8A95"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Para llevar a cabo la asignación de costos aguas abajo, el AEP deberá aportar la siguiente información relativa a los servicios de banda ancha (incluyendo banda ancha empaquetada):</w:t>
      </w:r>
    </w:p>
    <w:p w14:paraId="0C4766E6"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Velocidad de descarga promedio;</w:t>
      </w:r>
    </w:p>
    <w:p w14:paraId="2A434732"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Suscriptores:</w:t>
      </w:r>
    </w:p>
    <w:p w14:paraId="720F0122"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Suscriptores según tecnología (cobre / fibra)</w:t>
      </w:r>
    </w:p>
    <w:p w14:paraId="44AB697E"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Costos de la red de conmutación:</w:t>
      </w:r>
    </w:p>
    <w:p w14:paraId="7EFACF3A"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lastRenderedPageBreak/>
        <w:t>Repartidor principal (MDF)</w:t>
      </w:r>
      <w:r w:rsidRPr="00262AD4">
        <w:rPr>
          <w:rStyle w:val="Refdenotaalpie"/>
          <w:rFonts w:ascii="ITC Avant Garde" w:hAnsi="ITC Avant Garde"/>
        </w:rPr>
        <w:footnoteReference w:id="7"/>
      </w:r>
      <w:r w:rsidRPr="00262AD4">
        <w:rPr>
          <w:rFonts w:ascii="ITC Avant Garde" w:hAnsi="ITC Avant Garde"/>
        </w:rPr>
        <w:t>;</w:t>
      </w:r>
    </w:p>
    <w:p w14:paraId="76ECD6B5"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DSLAM/MSAN;</w:t>
      </w:r>
    </w:p>
    <w:p w14:paraId="76F5DAA8"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Central local;</w:t>
      </w:r>
    </w:p>
    <w:p w14:paraId="50D25771"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Central regional;</w:t>
      </w:r>
    </w:p>
    <w:p w14:paraId="30715FFF"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Central nacional;</w:t>
      </w:r>
    </w:p>
    <w:p w14:paraId="087C7A3B"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Central internacionales;</w:t>
      </w:r>
    </w:p>
    <w:p w14:paraId="2A69CC94"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 xml:space="preserve">Routers Edge; </w:t>
      </w:r>
    </w:p>
    <w:p w14:paraId="37DA0483"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 xml:space="preserve">Routers de distribución; y </w:t>
      </w:r>
    </w:p>
    <w:p w14:paraId="41EBD8A7"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Otros equipos de conmutación.</w:t>
      </w:r>
    </w:p>
    <w:p w14:paraId="0FE347F3"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Costos de la red de transmisión:</w:t>
      </w:r>
    </w:p>
    <w:p w14:paraId="1D4C017B"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Enlaces locales – regionales;</w:t>
      </w:r>
    </w:p>
    <w:p w14:paraId="07E19B1D"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Enlaces regionales – regionales;</w:t>
      </w:r>
    </w:p>
    <w:p w14:paraId="75084953"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 xml:space="preserve">Enlaces regionales – nacionales; </w:t>
      </w:r>
    </w:p>
    <w:p w14:paraId="59F1F248"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Enlaces nacionales – nacionales;</w:t>
      </w:r>
    </w:p>
    <w:p w14:paraId="31E89B2F"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Enlaces nacionales – core;</w:t>
      </w:r>
    </w:p>
    <w:p w14:paraId="43962A8C"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Enlaces nacionales – internacional;</w:t>
      </w:r>
    </w:p>
    <w:p w14:paraId="72EB19D8"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Enlaces core – internacional;</w:t>
      </w:r>
    </w:p>
    <w:p w14:paraId="404B5D45"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Enlaces core – core;</w:t>
      </w:r>
    </w:p>
    <w:p w14:paraId="2645E5D4"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 xml:space="preserve">Enlaces submarinos nacionales; </w:t>
      </w:r>
    </w:p>
    <w:p w14:paraId="628EAD9C"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 xml:space="preserve">Enlaces submarinos internacionales; y, </w:t>
      </w:r>
    </w:p>
    <w:p w14:paraId="16A73156"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Otros enlaces.</w:t>
      </w:r>
    </w:p>
    <w:p w14:paraId="271C66CB"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Costos de la red de núcleo:</w:t>
      </w:r>
    </w:p>
    <w:p w14:paraId="07A03638" w14:textId="77777777" w:rsidR="008C1EC6" w:rsidRPr="00262AD4" w:rsidRDefault="008C1EC6">
      <w:pPr>
        <w:pStyle w:val="ParaBullet2"/>
        <w:numPr>
          <w:ilvl w:val="1"/>
          <w:numId w:val="38"/>
        </w:numPr>
        <w:rPr>
          <w:rFonts w:ascii="ITC Avant Garde" w:hAnsi="ITC Avant Garde"/>
          <w:lang w:val="en-GB"/>
        </w:rPr>
      </w:pPr>
      <w:r w:rsidRPr="00262AD4">
        <w:rPr>
          <w:rFonts w:ascii="ITC Avant Garde" w:hAnsi="ITC Avant Garde"/>
          <w:lang w:val="en-GB"/>
        </w:rPr>
        <w:t>Call Session Control Function (CSCF);</w:t>
      </w:r>
    </w:p>
    <w:p w14:paraId="284CA5DD"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lastRenderedPageBreak/>
        <w:t>Home Subscriber Server (HSS);</w:t>
      </w:r>
    </w:p>
    <w:p w14:paraId="1F83C682" w14:textId="77777777" w:rsidR="008C1EC6" w:rsidRPr="00262AD4" w:rsidRDefault="008C1EC6">
      <w:pPr>
        <w:pStyle w:val="ParaBullet2"/>
        <w:numPr>
          <w:ilvl w:val="1"/>
          <w:numId w:val="38"/>
        </w:numPr>
        <w:rPr>
          <w:rFonts w:ascii="ITC Avant Garde" w:hAnsi="ITC Avant Garde"/>
          <w:lang w:val="en-GB"/>
        </w:rPr>
      </w:pPr>
      <w:r w:rsidRPr="00262AD4">
        <w:rPr>
          <w:rFonts w:ascii="ITC Avant Garde" w:hAnsi="ITC Avant Garde"/>
          <w:lang w:val="en-GB"/>
        </w:rPr>
        <w:t>Interconnect Border Controller Function (IBCF);</w:t>
      </w:r>
    </w:p>
    <w:p w14:paraId="1D633E0C" w14:textId="77777777" w:rsidR="008C1EC6" w:rsidRPr="00262AD4" w:rsidRDefault="008C1EC6">
      <w:pPr>
        <w:pStyle w:val="ParaBullet2"/>
        <w:numPr>
          <w:ilvl w:val="1"/>
          <w:numId w:val="38"/>
        </w:numPr>
        <w:rPr>
          <w:rFonts w:ascii="ITC Avant Garde" w:hAnsi="ITC Avant Garde"/>
          <w:lang w:val="en-GB"/>
        </w:rPr>
      </w:pPr>
      <w:r w:rsidRPr="00262AD4">
        <w:rPr>
          <w:rFonts w:ascii="ITC Avant Garde" w:hAnsi="ITC Avant Garde"/>
          <w:lang w:val="en-GB"/>
        </w:rPr>
        <w:t>Breakout Gateway Control Function (BGCF);</w:t>
      </w:r>
    </w:p>
    <w:p w14:paraId="03501D84" w14:textId="77777777" w:rsidR="008C1EC6" w:rsidRPr="00262AD4" w:rsidRDefault="008C1EC6">
      <w:pPr>
        <w:pStyle w:val="ParaBullet2"/>
        <w:numPr>
          <w:ilvl w:val="1"/>
          <w:numId w:val="38"/>
        </w:numPr>
        <w:rPr>
          <w:rFonts w:ascii="ITC Avant Garde" w:hAnsi="ITC Avant Garde"/>
          <w:lang w:val="en-GB"/>
        </w:rPr>
      </w:pPr>
      <w:r w:rsidRPr="00262AD4">
        <w:rPr>
          <w:rFonts w:ascii="ITC Avant Garde" w:hAnsi="ITC Avant Garde"/>
          <w:lang w:val="en-GB"/>
        </w:rPr>
        <w:t>Media Gateway Controller Function (MGCF);</w:t>
      </w:r>
    </w:p>
    <w:p w14:paraId="33890B8C" w14:textId="77777777" w:rsidR="008C1EC6" w:rsidRPr="00262AD4" w:rsidRDefault="008C1EC6">
      <w:pPr>
        <w:pStyle w:val="ParaBullet2"/>
        <w:numPr>
          <w:ilvl w:val="1"/>
          <w:numId w:val="38"/>
        </w:numPr>
        <w:rPr>
          <w:rFonts w:ascii="ITC Avant Garde" w:hAnsi="ITC Avant Garde"/>
          <w:lang w:val="en-GB"/>
        </w:rPr>
      </w:pPr>
      <w:r w:rsidRPr="00262AD4">
        <w:rPr>
          <w:rFonts w:ascii="ITC Avant Garde" w:hAnsi="ITC Avant Garde"/>
          <w:lang w:val="en-GB"/>
        </w:rPr>
        <w:t>Access Gateway Control Function (AGCF);</w:t>
      </w:r>
    </w:p>
    <w:p w14:paraId="2B8CD55A"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Media Gateway (MGW);</w:t>
      </w:r>
    </w:p>
    <w:p w14:paraId="54E19FDB"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Access Gateway (AGW);</w:t>
      </w:r>
    </w:p>
    <w:p w14:paraId="6EBE7D4E" w14:textId="77777777" w:rsidR="008C1EC6" w:rsidRPr="00262AD4" w:rsidRDefault="008C1EC6">
      <w:pPr>
        <w:pStyle w:val="ParaBullet2"/>
        <w:numPr>
          <w:ilvl w:val="1"/>
          <w:numId w:val="38"/>
        </w:numPr>
        <w:rPr>
          <w:rFonts w:ascii="ITC Avant Garde" w:hAnsi="ITC Avant Garde"/>
          <w:lang w:val="en-GB"/>
        </w:rPr>
      </w:pPr>
      <w:r w:rsidRPr="00262AD4">
        <w:rPr>
          <w:rFonts w:ascii="ITC Avant Garde" w:hAnsi="ITC Avant Garde"/>
          <w:lang w:val="en-GB"/>
        </w:rPr>
        <w:t>Broadband Remote Access Server (BRAS);</w:t>
      </w:r>
    </w:p>
    <w:p w14:paraId="1CDA16FE"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Session Border Controller (SBC);</w:t>
      </w:r>
    </w:p>
    <w:p w14:paraId="75B0D946"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Voicemail System (VMS);</w:t>
      </w:r>
    </w:p>
    <w:p w14:paraId="1C8C4BD1"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Application Server (AS);</w:t>
      </w:r>
    </w:p>
    <w:p w14:paraId="4D454E4B"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DNS Server;</w:t>
      </w:r>
    </w:p>
    <w:p w14:paraId="76D96404"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Plataformas IPTV;</w:t>
      </w:r>
    </w:p>
    <w:p w14:paraId="0CDEE651"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 xml:space="preserve">Facturador; y, </w:t>
      </w:r>
    </w:p>
    <w:p w14:paraId="5E366473"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Otros equipos de núcleo.</w:t>
      </w:r>
    </w:p>
    <w:p w14:paraId="67B8845D"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Costos asociados a componentes no de red:</w:t>
      </w:r>
    </w:p>
    <w:p w14:paraId="2CBAD5E7"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Comerciales;</w:t>
      </w:r>
    </w:p>
    <w:p w14:paraId="16ACCAE6"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Facturación;</w:t>
      </w:r>
    </w:p>
    <w:p w14:paraId="7DF09412"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Cobranza;</w:t>
      </w:r>
    </w:p>
    <w:p w14:paraId="116D716D"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Tarificación;</w:t>
      </w:r>
    </w:p>
    <w:p w14:paraId="2EA511E1"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Tasas; y,</w:t>
      </w:r>
    </w:p>
    <w:p w14:paraId="0DABAFD2"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Programas de fidelización.</w:t>
      </w:r>
    </w:p>
    <w:p w14:paraId="0E84BEEB"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Costos directos de ventas:</w:t>
      </w:r>
    </w:p>
    <w:p w14:paraId="159CF69F"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Acceso internet internacional;</w:t>
      </w:r>
    </w:p>
    <w:p w14:paraId="41ADDC8C"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Terminación en destinos nacionales;</w:t>
      </w:r>
    </w:p>
    <w:p w14:paraId="45F2B5D5"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Terminación en destinos internacionales;</w:t>
      </w:r>
    </w:p>
    <w:p w14:paraId="0B369774"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lastRenderedPageBreak/>
        <w:t>Provisiones; y,</w:t>
      </w:r>
    </w:p>
    <w:p w14:paraId="485D0645"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Costos directos de la venta de terminales.</w:t>
      </w:r>
    </w:p>
    <w:p w14:paraId="33C669B2"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Costos comunes:</w:t>
      </w:r>
    </w:p>
    <w:p w14:paraId="5DD1A954"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Servicios generales y de gestión;</w:t>
      </w:r>
    </w:p>
    <w:p w14:paraId="4F59E949"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Costos no relevantes para la separación contable; y,</w:t>
      </w:r>
    </w:p>
    <w:p w14:paraId="47577354"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Partidas no relevantes para la separación contable.</w:t>
      </w:r>
    </w:p>
    <w:p w14:paraId="00F0473E" w14:textId="77777777" w:rsidR="008C1EC6" w:rsidRPr="00262AD4" w:rsidRDefault="008C1EC6">
      <w:pPr>
        <w:pStyle w:val="ParaBullet1"/>
        <w:numPr>
          <w:ilvl w:val="0"/>
          <w:numId w:val="38"/>
        </w:numPr>
        <w:rPr>
          <w:rFonts w:ascii="ITC Avant Garde" w:hAnsi="ITC Avant Garde"/>
        </w:rPr>
      </w:pPr>
      <w:r w:rsidRPr="00262AD4">
        <w:rPr>
          <w:rFonts w:ascii="ITC Avant Garde" w:hAnsi="ITC Avant Garde"/>
        </w:rPr>
        <w:t>Costo del capital:</w:t>
      </w:r>
    </w:p>
    <w:p w14:paraId="1CE9D451"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Costo del capital del segmento de banda ancha.</w:t>
      </w:r>
    </w:p>
    <w:p w14:paraId="5182E325" w14:textId="77777777" w:rsidR="008C1EC6" w:rsidRPr="00262AD4" w:rsidRDefault="008C1EC6" w:rsidP="008C1EC6">
      <w:pPr>
        <w:pStyle w:val="ParaBullet1"/>
        <w:ind w:left="340" w:hanging="907"/>
        <w:rPr>
          <w:rFonts w:ascii="ITC Avant Garde" w:hAnsi="ITC Avant Garde"/>
        </w:rPr>
      </w:pPr>
      <w:r w:rsidRPr="00262AD4">
        <w:rPr>
          <w:rFonts w:ascii="ITC Avant Garde" w:hAnsi="ITC Avant Garde"/>
        </w:rPr>
        <w:t>Asimismo, a nivel de cada oferta, el AEP deberá presentar:</w:t>
      </w:r>
    </w:p>
    <w:p w14:paraId="2550DEDE"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Costos asociados a los productos o servicios no regulados, por usuario:</w:t>
      </w:r>
    </w:p>
    <w:p w14:paraId="2A82B355"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Equipo de cómputo; y</w:t>
      </w:r>
    </w:p>
    <w:p w14:paraId="73267EB2" w14:textId="77777777" w:rsidR="008C1EC6" w:rsidRPr="00262AD4" w:rsidRDefault="008C1EC6">
      <w:pPr>
        <w:pStyle w:val="ParaBullet2"/>
        <w:numPr>
          <w:ilvl w:val="1"/>
          <w:numId w:val="38"/>
        </w:numPr>
        <w:rPr>
          <w:rFonts w:ascii="ITC Avant Garde" w:hAnsi="ITC Avant Garde"/>
        </w:rPr>
      </w:pPr>
      <w:r w:rsidRPr="00262AD4">
        <w:rPr>
          <w:rFonts w:ascii="ITC Avant Garde" w:hAnsi="ITC Avant Garde"/>
        </w:rPr>
        <w:t>Otros productos o servicios no regulados</w:t>
      </w:r>
    </w:p>
    <w:p w14:paraId="26D7630F"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Estimación promedio durante el período de la proporción (%) de capacidad dedicada (Gbit/s) a la oferta con respecto a la capacidad total del segmento de banda ancha y banda ancha empaquetada.</w:t>
      </w:r>
    </w:p>
    <w:p w14:paraId="2FFFFB9C"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Estimación promedio durante el período de la proporción de llamadas internacionales de la oferta con respecto al total de llamadas internacionales en el segmento de banda ancha empaquetada.</w:t>
      </w:r>
      <w:r w:rsidRPr="00262AD4">
        <w:rPr>
          <w:rFonts w:ascii="ITC Avant Garde" w:hAnsi="ITC Avant Garde"/>
        </w:rPr>
        <w:tab/>
      </w:r>
      <w:r w:rsidRPr="00262AD4">
        <w:rPr>
          <w:rFonts w:ascii="ITC Avant Garde" w:hAnsi="ITC Avant Garde"/>
        </w:rPr>
        <w:tab/>
      </w:r>
    </w:p>
    <w:p w14:paraId="0A645C41"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Estimación promedio durante el período de la proporción de llamadas nacionales de la oferta con respecto al total de llamadas nacionales en el segmento de banda ancha empaquetada.</w:t>
      </w:r>
    </w:p>
    <w:p w14:paraId="4733CF27"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Estimación promedio durante el período de la proporción de tráfico de datos (Gbytes) descargados de la oferta con respecto al tráfico de datos del segmento de banda ancha y banda ancha empaquetada.</w:t>
      </w:r>
      <w:r w:rsidRPr="00262AD4">
        <w:rPr>
          <w:rFonts w:ascii="ITC Avant Garde" w:hAnsi="ITC Avant Garde"/>
        </w:rPr>
        <w:tab/>
      </w:r>
      <w:r w:rsidRPr="00262AD4">
        <w:rPr>
          <w:rFonts w:ascii="ITC Avant Garde" w:hAnsi="ITC Avant Garde"/>
        </w:rPr>
        <w:tab/>
      </w:r>
    </w:p>
    <w:p w14:paraId="299EE515" w14:textId="40808F84" w:rsidR="008C1EC6" w:rsidRPr="00262AD4" w:rsidRDefault="008C1EC6">
      <w:pPr>
        <w:pStyle w:val="ParaBullet1"/>
        <w:numPr>
          <w:ilvl w:val="0"/>
          <w:numId w:val="7"/>
        </w:numPr>
        <w:rPr>
          <w:rFonts w:ascii="ITC Avant Garde" w:hAnsi="ITC Avant Garde"/>
        </w:rPr>
      </w:pPr>
      <w:r w:rsidRPr="00262AD4">
        <w:rPr>
          <w:rFonts w:ascii="ITC Avant Garde" w:hAnsi="ITC Avant Garde"/>
        </w:rPr>
        <w:t>Estimación promedio durante el período de la proporción de tráfico de voz (minutos) de la oferta con respecto del tráfico de voz en el segmen</w:t>
      </w:r>
      <w:r w:rsidR="00DE5E54">
        <w:rPr>
          <w:rFonts w:ascii="ITC Avant Garde" w:hAnsi="ITC Avant Garde"/>
        </w:rPr>
        <w:t>to de banda ancha empaquetada.</w:t>
      </w:r>
      <w:r w:rsidRPr="00262AD4">
        <w:rPr>
          <w:rFonts w:ascii="ITC Avant Garde" w:hAnsi="ITC Avant Garde"/>
        </w:rPr>
        <w:tab/>
      </w:r>
      <w:r w:rsidRPr="00262AD4">
        <w:rPr>
          <w:rFonts w:ascii="ITC Avant Garde" w:hAnsi="ITC Avant Garde"/>
        </w:rPr>
        <w:tab/>
      </w:r>
      <w:r w:rsidRPr="00262AD4">
        <w:rPr>
          <w:rFonts w:ascii="ITC Avant Garde" w:hAnsi="ITC Avant Garde"/>
        </w:rPr>
        <w:tab/>
      </w:r>
    </w:p>
    <w:p w14:paraId="4FC72F45"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 xml:space="preserve">Estimación promedio durante el período de la proporción de tráfico internacional (minutos) de la oferta con respecto del tráfico internacional total del segmento de banda ancha empaquetada.   </w:t>
      </w:r>
      <w:r w:rsidRPr="00262AD4">
        <w:rPr>
          <w:rFonts w:ascii="ITC Avant Garde" w:hAnsi="ITC Avant Garde"/>
        </w:rPr>
        <w:tab/>
      </w:r>
      <w:r w:rsidRPr="00262AD4">
        <w:rPr>
          <w:rFonts w:ascii="ITC Avant Garde" w:hAnsi="ITC Avant Garde"/>
        </w:rPr>
        <w:tab/>
      </w:r>
      <w:r w:rsidRPr="00262AD4">
        <w:rPr>
          <w:rFonts w:ascii="ITC Avant Garde" w:hAnsi="ITC Avant Garde"/>
        </w:rPr>
        <w:tab/>
      </w:r>
    </w:p>
    <w:p w14:paraId="276D3F56"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lastRenderedPageBreak/>
        <w:t>Estimación promedio durante el período de la proporción de tráfico de voz y datos (Gbytes) de la oferta respecto del tráfico de voz y datos totales del segmento de banda ancha y banda ancha empaquetada.</w:t>
      </w:r>
    </w:p>
    <w:p w14:paraId="252394D8" w14:textId="77777777" w:rsidR="008C1EC6" w:rsidRPr="00262AD4" w:rsidRDefault="008C1EC6">
      <w:pPr>
        <w:pStyle w:val="ParaBullet1"/>
        <w:numPr>
          <w:ilvl w:val="0"/>
          <w:numId w:val="7"/>
        </w:numPr>
        <w:rPr>
          <w:rFonts w:ascii="ITC Avant Garde" w:hAnsi="ITC Avant Garde"/>
        </w:rPr>
      </w:pPr>
      <w:r w:rsidRPr="00262AD4">
        <w:rPr>
          <w:rFonts w:ascii="ITC Avant Garde" w:hAnsi="ITC Avant Garde"/>
        </w:rPr>
        <w:t>Estimación promedio durante el período de la proporción de suscriptores respecto del total de suscriptores dentro del segmento de banda an</w:t>
      </w:r>
      <w:r>
        <w:rPr>
          <w:rFonts w:ascii="ITC Avant Garde" w:hAnsi="ITC Avant Garde"/>
        </w:rPr>
        <w:t>cha y banda ancha empaquetada.</w:t>
      </w:r>
      <w:r>
        <w:rPr>
          <w:rFonts w:ascii="ITC Avant Garde" w:hAnsi="ITC Avant Garde"/>
        </w:rPr>
        <w:tab/>
      </w:r>
    </w:p>
    <w:p w14:paraId="6111EAB3" w14:textId="77777777" w:rsidR="008C1EC6" w:rsidRPr="00262AD4" w:rsidRDefault="008C1EC6" w:rsidP="008C1EC6">
      <w:pPr>
        <w:pStyle w:val="ParaBullet1"/>
      </w:pPr>
      <w:r w:rsidRPr="00262AD4">
        <w:rPr>
          <w:rFonts w:ascii="ITC Avant Garde" w:hAnsi="ITC Avant Garde"/>
        </w:rPr>
        <w:t>La información a cumplimentar por parte del AEP se encuentra en las hojas “Información de la oferta”, “Información general AEP” y “Información costos AEP”.</w:t>
      </w:r>
    </w:p>
    <w:p w14:paraId="0765B2C4" w14:textId="77777777" w:rsidR="008C1EC6" w:rsidRPr="00262AD4" w:rsidRDefault="008C1EC6" w:rsidP="008C1EC6">
      <w:pPr>
        <w:pStyle w:val="ParaBullet1"/>
      </w:pPr>
    </w:p>
    <w:p w14:paraId="6387C598" w14:textId="77777777" w:rsidR="008C1EC6" w:rsidRPr="002201B0" w:rsidRDefault="008C1EC6">
      <w:pPr>
        <w:numPr>
          <w:ilvl w:val="2"/>
          <w:numId w:val="35"/>
        </w:numPr>
        <w:spacing w:before="160" w:after="160" w:line="259" w:lineRule="auto"/>
        <w:jc w:val="left"/>
        <w:outlineLvl w:val="1"/>
        <w:rPr>
          <w:rFonts w:eastAsia="Arial" w:cs="Arial"/>
          <w:b/>
          <w:szCs w:val="14"/>
          <w:lang w:val="es-ES_tradnl"/>
        </w:rPr>
      </w:pPr>
      <w:r w:rsidRPr="002201B0">
        <w:rPr>
          <w:rFonts w:eastAsia="Arial" w:cs="Arial"/>
          <w:b/>
          <w:szCs w:val="14"/>
          <w:lang w:val="es-ES_tradnl"/>
        </w:rPr>
        <w:t>Precios mayoristas</w:t>
      </w:r>
    </w:p>
    <w:p w14:paraId="2041607B" w14:textId="2D7B81CD" w:rsidR="008C1EC6" w:rsidRDefault="008C1EC6" w:rsidP="006E1502">
      <w:pPr>
        <w:rPr>
          <w:lang w:val="es-ES_tradnl"/>
        </w:rPr>
      </w:pPr>
      <w:r>
        <w:t>El modelo en su estado actual incorpora los precios asociados a la OREDA (en la hoja “OREDA 2017-2018”) vigente en el momento de publicación del presente documento.</w:t>
      </w:r>
      <w:r>
        <w:rPr>
          <w:rStyle w:val="Refdenotaalpie"/>
        </w:rPr>
        <w:footnoteReference w:id="8"/>
      </w:r>
      <w:r>
        <w:t xml:space="preserve"> Los precios de la OREDA se emplean para el cálculo de los pagos mayoristas en las distintas modalidades de acceso. Estos precios deberán ser actualizados cada vez que se implemente la prueba con los precios mayoristas vigentes.</w:t>
      </w:r>
    </w:p>
    <w:sectPr w:rsidR="008C1EC6" w:rsidSect="00425C86">
      <w:headerReference w:type="default" r:id="rId21"/>
      <w:footerReference w:type="default" r:id="rId22"/>
      <w:headerReference w:type="first" r:id="rId23"/>
      <w:footerReference w:type="first" r:id="rId24"/>
      <w:pgSz w:w="12240" w:h="15840" w:code="1"/>
      <w:pgMar w:top="2552" w:right="1134" w:bottom="22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B6213" w14:textId="77777777" w:rsidR="00DA4D12" w:rsidRDefault="00DA4D12">
      <w:pPr>
        <w:spacing w:after="0" w:line="240" w:lineRule="auto"/>
      </w:pPr>
      <w:r>
        <w:separator/>
      </w:r>
    </w:p>
    <w:p w14:paraId="75DE26F9" w14:textId="77777777" w:rsidR="00DA4D12" w:rsidRDefault="00DA4D12"/>
  </w:endnote>
  <w:endnote w:type="continuationSeparator" w:id="0">
    <w:p w14:paraId="5D289B4F" w14:textId="77777777" w:rsidR="00DA4D12" w:rsidRDefault="00DA4D12">
      <w:pPr>
        <w:spacing w:after="0" w:line="240" w:lineRule="auto"/>
      </w:pPr>
      <w:r>
        <w:continuationSeparator/>
      </w:r>
    </w:p>
    <w:p w14:paraId="79DB04DB" w14:textId="77777777" w:rsidR="00DA4D12" w:rsidRDefault="00DA4D12"/>
  </w:endnote>
  <w:endnote w:type="continuationNotice" w:id="1">
    <w:p w14:paraId="20ED708A" w14:textId="77777777" w:rsidR="00DA4D12" w:rsidRDefault="00DA4D12">
      <w:pPr>
        <w:spacing w:after="0" w:line="240" w:lineRule="auto"/>
      </w:pPr>
    </w:p>
    <w:p w14:paraId="50032790" w14:textId="77777777" w:rsidR="00DA4D12" w:rsidRDefault="00DA4D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Century Gothic"/>
    <w:panose1 w:val="020B0402020203020304"/>
    <w:charset w:val="00"/>
    <w:family w:val="swiss"/>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n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814322"/>
      <w:docPartObj>
        <w:docPartGallery w:val="Page Numbers (Bottom of Page)"/>
        <w:docPartUnique/>
      </w:docPartObj>
    </w:sdtPr>
    <w:sdtEndPr/>
    <w:sdtContent>
      <w:sdt>
        <w:sdtPr>
          <w:id w:val="49512393"/>
          <w:docPartObj>
            <w:docPartGallery w:val="Page Numbers (Top of Page)"/>
            <w:docPartUnique/>
          </w:docPartObj>
        </w:sdtPr>
        <w:sdtEndPr/>
        <w:sdtContent>
          <w:p w14:paraId="2F3A139C" w14:textId="77777777" w:rsidR="00DE5E54" w:rsidRDefault="00DE5E54">
            <w:pPr>
              <w:pStyle w:val="Piedepgina0"/>
              <w:jc w:val="right"/>
            </w:pPr>
            <w:r>
              <w:rPr>
                <w:lang w:val="es-ES"/>
              </w:rPr>
              <w:t xml:space="preserve"> </w:t>
            </w:r>
            <w:r>
              <w:rPr>
                <w:b/>
                <w:bCs/>
                <w:sz w:val="24"/>
                <w:szCs w:val="24"/>
              </w:rPr>
              <w:fldChar w:fldCharType="begin"/>
            </w:r>
            <w:r>
              <w:rPr>
                <w:b/>
                <w:bCs/>
              </w:rPr>
              <w:instrText>PAGE</w:instrText>
            </w:r>
            <w:r>
              <w:rPr>
                <w:b/>
                <w:bCs/>
                <w:sz w:val="24"/>
                <w:szCs w:val="24"/>
              </w:rPr>
              <w:fldChar w:fldCharType="separate"/>
            </w:r>
            <w:r w:rsidR="006E150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E1502">
              <w:rPr>
                <w:b/>
                <w:bCs/>
                <w:noProof/>
              </w:rPr>
              <w:t>22</w:t>
            </w:r>
            <w:r>
              <w:rPr>
                <w:b/>
                <w:bCs/>
                <w:sz w:val="24"/>
                <w:szCs w:val="24"/>
              </w:rPr>
              <w:fldChar w:fldCharType="end"/>
            </w:r>
          </w:p>
        </w:sdtContent>
      </w:sdt>
    </w:sdtContent>
  </w:sdt>
  <w:p w14:paraId="620F015D" w14:textId="77777777" w:rsidR="00DE5E54" w:rsidRDefault="00DE5E54" w:rsidP="00673E29">
    <w:pPr>
      <w:pStyle w:val="Piedepgina0"/>
    </w:pPr>
  </w:p>
  <w:p w14:paraId="74B447BD" w14:textId="77777777" w:rsidR="00DE5E54" w:rsidRDefault="00DE5E54"/>
  <w:p w14:paraId="433120A3" w14:textId="77777777" w:rsidR="00DE5E54" w:rsidRDefault="00DE5E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20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right w:w="0" w:type="dxa"/>
      </w:tblCellMar>
      <w:tblLook w:val="04A0" w:firstRow="1" w:lastRow="0" w:firstColumn="1" w:lastColumn="0" w:noHBand="0" w:noVBand="1"/>
    </w:tblPr>
    <w:tblGrid>
      <w:gridCol w:w="9351"/>
      <w:gridCol w:w="855"/>
    </w:tblGrid>
    <w:tr w:rsidR="00DE5E54" w:rsidRPr="00702608" w14:paraId="4B633AEF" w14:textId="77777777" w:rsidTr="00673E29">
      <w:tc>
        <w:tcPr>
          <w:tcW w:w="9351" w:type="dxa"/>
        </w:tcPr>
        <w:p w14:paraId="0DB3488C" w14:textId="77777777" w:rsidR="00DE5E54" w:rsidRPr="00702608" w:rsidRDefault="00DE5E54" w:rsidP="00673E29">
          <w:pPr>
            <w:pStyle w:val="Piedepgina0"/>
          </w:pPr>
        </w:p>
      </w:tc>
      <w:tc>
        <w:tcPr>
          <w:tcW w:w="855" w:type="dxa"/>
          <w:vAlign w:val="bottom"/>
        </w:tcPr>
        <w:p w14:paraId="31F2D1B1" w14:textId="77777777" w:rsidR="00DE5E54" w:rsidRPr="00702608" w:rsidRDefault="00DE5E54" w:rsidP="00673E29">
          <w:pPr>
            <w:pStyle w:val="Piedepgina0"/>
            <w:jc w:val="right"/>
          </w:pPr>
          <w:r w:rsidRPr="00702608">
            <w:fldChar w:fldCharType="begin"/>
          </w:r>
          <w:r w:rsidRPr="00702608">
            <w:instrText xml:space="preserve"> PAGE   </w:instrText>
          </w:r>
          <w:r w:rsidRPr="00702608">
            <w:fldChar w:fldCharType="separate"/>
          </w:r>
          <w:r>
            <w:rPr>
              <w:noProof/>
            </w:rPr>
            <w:t>1</w:t>
          </w:r>
          <w:r w:rsidRPr="00702608">
            <w:fldChar w:fldCharType="end"/>
          </w:r>
        </w:p>
      </w:tc>
    </w:tr>
  </w:tbl>
  <w:p w14:paraId="38D8AF2D" w14:textId="77777777" w:rsidR="00DE5E54" w:rsidRDefault="00DE5E54">
    <w:pPr>
      <w:pStyle w:val="Piedepgina0"/>
    </w:pPr>
  </w:p>
  <w:p w14:paraId="6BC52EB5" w14:textId="77777777" w:rsidR="00DE5E54" w:rsidRDefault="00DE5E54"/>
  <w:p w14:paraId="069DBC09" w14:textId="77777777" w:rsidR="00DE5E54" w:rsidRDefault="00DE5E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44F8A" w14:textId="77777777" w:rsidR="00DA4D12" w:rsidRDefault="00DA4D12">
      <w:pPr>
        <w:spacing w:after="0" w:line="240" w:lineRule="auto"/>
      </w:pPr>
      <w:r>
        <w:separator/>
      </w:r>
    </w:p>
    <w:p w14:paraId="4BEC0FF6" w14:textId="77777777" w:rsidR="00DA4D12" w:rsidRDefault="00DA4D12"/>
  </w:footnote>
  <w:footnote w:type="continuationSeparator" w:id="0">
    <w:p w14:paraId="74BE4D99" w14:textId="77777777" w:rsidR="00DA4D12" w:rsidRDefault="00DA4D12">
      <w:pPr>
        <w:spacing w:after="0" w:line="240" w:lineRule="auto"/>
      </w:pPr>
      <w:r>
        <w:continuationSeparator/>
      </w:r>
    </w:p>
    <w:p w14:paraId="43B3E24A" w14:textId="77777777" w:rsidR="00DA4D12" w:rsidRDefault="00DA4D12"/>
  </w:footnote>
  <w:footnote w:type="continuationNotice" w:id="1">
    <w:p w14:paraId="13F03420" w14:textId="77777777" w:rsidR="00DA4D12" w:rsidRDefault="00DA4D12">
      <w:pPr>
        <w:spacing w:after="0" w:line="240" w:lineRule="auto"/>
      </w:pPr>
    </w:p>
    <w:p w14:paraId="010C6341" w14:textId="77777777" w:rsidR="00DA4D12" w:rsidRDefault="00DA4D12"/>
  </w:footnote>
  <w:footnote w:id="2">
    <w:p w14:paraId="414BDE0F" w14:textId="77777777" w:rsidR="00DE5E54" w:rsidRPr="00A11CE3" w:rsidRDefault="00DE5E54" w:rsidP="008C1EC6">
      <w:pPr>
        <w:pStyle w:val="Textonotapie"/>
        <w:rPr>
          <w:rFonts w:ascii="ITC Avant Garde" w:hAnsi="ITC Avant Garde"/>
          <w:sz w:val="14"/>
          <w:szCs w:val="14"/>
        </w:rPr>
      </w:pPr>
      <w:r w:rsidRPr="00A11CE3">
        <w:rPr>
          <w:rStyle w:val="Refdenotaalpie"/>
          <w:rFonts w:ascii="ITC Avant Garde" w:hAnsi="ITC Avant Garde"/>
          <w:sz w:val="14"/>
          <w:szCs w:val="14"/>
        </w:rPr>
        <w:footnoteRef/>
      </w:r>
      <w:r w:rsidRPr="00A11CE3">
        <w:rPr>
          <w:rFonts w:ascii="ITC Avant Garde" w:hAnsi="ITC Avant Garde"/>
          <w:sz w:val="14"/>
          <w:szCs w:val="14"/>
        </w:rPr>
        <w:t xml:space="preserve"> </w:t>
      </w:r>
      <w:r w:rsidRPr="00A11CE3">
        <w:rPr>
          <w:rFonts w:ascii="ITC Avant Garde" w:hAnsi="ITC Avant Garde"/>
          <w:sz w:val="14"/>
          <w:szCs w:val="14"/>
        </w:rPr>
        <w:tab/>
        <w:t xml:space="preserve">En la introducción a esta sección se especifican los servicios mayoristas relevantes para tipología de oferta, según el servicio de banda ancha se comercialice con o sin telefonía fija. </w:t>
      </w:r>
    </w:p>
  </w:footnote>
  <w:footnote w:id="3">
    <w:p w14:paraId="1692C270" w14:textId="77777777" w:rsidR="00DE5E54" w:rsidRPr="00A11CE3" w:rsidRDefault="00DE5E54" w:rsidP="008C1EC6">
      <w:pPr>
        <w:pStyle w:val="Textonotapie"/>
        <w:rPr>
          <w:rFonts w:ascii="ITC Avant Garde" w:hAnsi="ITC Avant Garde"/>
          <w:sz w:val="14"/>
          <w:szCs w:val="14"/>
        </w:rPr>
      </w:pPr>
      <w:r w:rsidRPr="00A11CE3">
        <w:rPr>
          <w:rStyle w:val="Refdenotaalpie"/>
          <w:rFonts w:ascii="ITC Avant Garde" w:hAnsi="ITC Avant Garde"/>
          <w:sz w:val="14"/>
          <w:szCs w:val="14"/>
        </w:rPr>
        <w:footnoteRef/>
      </w:r>
      <w:r w:rsidRPr="00A11CE3">
        <w:rPr>
          <w:rFonts w:ascii="ITC Avant Garde" w:hAnsi="ITC Avant Garde"/>
          <w:sz w:val="14"/>
          <w:szCs w:val="14"/>
        </w:rPr>
        <w:t xml:space="preserve"> </w:t>
      </w:r>
      <w:r w:rsidRPr="00A11CE3">
        <w:rPr>
          <w:rFonts w:ascii="ITC Avant Garde" w:hAnsi="ITC Avant Garde"/>
          <w:sz w:val="14"/>
          <w:szCs w:val="14"/>
        </w:rPr>
        <w:tab/>
        <w:t xml:space="preserve">Éste es uno de los supuestos del modelo. </w:t>
      </w:r>
    </w:p>
  </w:footnote>
  <w:footnote w:id="4">
    <w:p w14:paraId="173A0620" w14:textId="77777777" w:rsidR="00DE5E54" w:rsidRPr="00A11CE3" w:rsidRDefault="00DE5E54" w:rsidP="008C1EC6">
      <w:pPr>
        <w:pStyle w:val="Textonotapie"/>
        <w:jc w:val="both"/>
        <w:rPr>
          <w:rFonts w:ascii="ITC Avant Garde" w:hAnsi="ITC Avant Garde"/>
          <w:sz w:val="14"/>
          <w:szCs w:val="14"/>
        </w:rPr>
      </w:pPr>
      <w:r w:rsidRPr="00A11CE3">
        <w:rPr>
          <w:rStyle w:val="Refdenotaalpie"/>
          <w:rFonts w:ascii="ITC Avant Garde" w:hAnsi="ITC Avant Garde"/>
          <w:sz w:val="14"/>
          <w:szCs w:val="14"/>
        </w:rPr>
        <w:footnoteRef/>
      </w:r>
      <w:r w:rsidRPr="00A11CE3">
        <w:rPr>
          <w:rFonts w:ascii="ITC Avant Garde" w:hAnsi="ITC Avant Garde"/>
          <w:sz w:val="14"/>
          <w:szCs w:val="14"/>
        </w:rPr>
        <w:t xml:space="preserve"> </w:t>
      </w:r>
      <w:r w:rsidRPr="00A11CE3">
        <w:rPr>
          <w:rFonts w:ascii="ITC Avant Garde" w:hAnsi="ITC Avant Garde"/>
          <w:sz w:val="14"/>
          <w:szCs w:val="14"/>
        </w:rPr>
        <w:tab/>
        <w:t xml:space="preserve">Las partidas de costos que dependen de la zona y el tipo de cubicación de las centrales, así como los metros lineales del cableado o ductería pueden modificarse en la hoja “Supuestos” dentro del apartado “OREDA. Servicio de coubicación para desagregación”. </w:t>
      </w:r>
    </w:p>
  </w:footnote>
  <w:footnote w:id="5">
    <w:p w14:paraId="2809BF63" w14:textId="77777777" w:rsidR="00DE5E54" w:rsidRPr="00A11CE3" w:rsidRDefault="00DE5E54" w:rsidP="008C1EC6">
      <w:pPr>
        <w:pStyle w:val="Textonotapie"/>
        <w:jc w:val="both"/>
        <w:rPr>
          <w:rFonts w:ascii="ITC Avant Garde" w:hAnsi="ITC Avant Garde"/>
          <w:sz w:val="14"/>
          <w:szCs w:val="14"/>
        </w:rPr>
      </w:pPr>
      <w:r w:rsidRPr="00A11CE3">
        <w:rPr>
          <w:rStyle w:val="Refdenotaalpie"/>
          <w:rFonts w:ascii="ITC Avant Garde" w:hAnsi="ITC Avant Garde"/>
          <w:sz w:val="14"/>
          <w:szCs w:val="14"/>
        </w:rPr>
        <w:footnoteRef/>
      </w:r>
      <w:r w:rsidRPr="00A11CE3">
        <w:rPr>
          <w:rFonts w:ascii="ITC Avant Garde" w:hAnsi="ITC Avant Garde"/>
          <w:sz w:val="14"/>
          <w:szCs w:val="14"/>
        </w:rPr>
        <w:t xml:space="preserve"> </w:t>
      </w:r>
      <w:r w:rsidRPr="00A11CE3">
        <w:rPr>
          <w:rFonts w:ascii="ITC Avant Garde" w:hAnsi="ITC Avant Garde"/>
          <w:sz w:val="14"/>
          <w:szCs w:val="14"/>
        </w:rPr>
        <w:tab/>
        <w:t>El nivel de usuarios por metro cuadrado se ha obtenido a partir del dimensionamiento de los equipos MSAN. El dimensionamiento se ha establecido en la hoja “Dim. MSAN-cobre”. El tamaño de los diferentes componentes del MSAN puede ser modificado en la hoja “Supuestos” en el apartado “Dimensionamiento MSAN (para espacio)”.</w:t>
      </w:r>
    </w:p>
  </w:footnote>
  <w:footnote w:id="6">
    <w:p w14:paraId="18FFF090" w14:textId="77777777" w:rsidR="00DE5E54" w:rsidRPr="00A11CE3" w:rsidRDefault="00DE5E54" w:rsidP="008C1EC6">
      <w:pPr>
        <w:pStyle w:val="Textonotapie"/>
        <w:jc w:val="both"/>
        <w:rPr>
          <w:rFonts w:ascii="ITC Avant Garde" w:hAnsi="ITC Avant Garde"/>
          <w:sz w:val="14"/>
          <w:szCs w:val="14"/>
        </w:rPr>
      </w:pPr>
      <w:r w:rsidRPr="00A11CE3">
        <w:rPr>
          <w:rStyle w:val="Refdenotaalpie"/>
          <w:rFonts w:ascii="ITC Avant Garde" w:hAnsi="ITC Avant Garde"/>
          <w:sz w:val="14"/>
          <w:szCs w:val="14"/>
        </w:rPr>
        <w:footnoteRef/>
      </w:r>
      <w:r w:rsidRPr="00A11CE3">
        <w:rPr>
          <w:rFonts w:ascii="ITC Avant Garde" w:hAnsi="ITC Avant Garde"/>
          <w:sz w:val="14"/>
          <w:szCs w:val="14"/>
        </w:rPr>
        <w:t xml:space="preserve"> </w:t>
      </w:r>
      <w:r w:rsidRPr="00A11CE3">
        <w:rPr>
          <w:rFonts w:ascii="ITC Avant Garde" w:hAnsi="ITC Avant Garde"/>
          <w:sz w:val="14"/>
          <w:szCs w:val="14"/>
        </w:rPr>
        <w:tab/>
        <w:t>Los supuestos de las partidas de costos que dependen del nivel de usuarios pueden modificarse en la hoja “Supuestos”, en los apartados “OREDA. Servicio de acceso indirecto al bucle” y “OREDA. Generales”.</w:t>
      </w:r>
    </w:p>
  </w:footnote>
  <w:footnote w:id="7">
    <w:p w14:paraId="2DBC959C" w14:textId="77777777" w:rsidR="00DE5E54" w:rsidRPr="00A11CE3" w:rsidRDefault="00DE5E54" w:rsidP="008C1EC6">
      <w:pPr>
        <w:pStyle w:val="Textonotapie"/>
        <w:rPr>
          <w:rFonts w:ascii="ITC Avant Garde" w:hAnsi="ITC Avant Garde"/>
          <w:sz w:val="14"/>
          <w:szCs w:val="14"/>
        </w:rPr>
      </w:pPr>
      <w:r w:rsidRPr="00A11CE3">
        <w:rPr>
          <w:rStyle w:val="Refdenotaalpie"/>
          <w:rFonts w:ascii="ITC Avant Garde" w:hAnsi="ITC Avant Garde"/>
          <w:sz w:val="14"/>
          <w:szCs w:val="14"/>
        </w:rPr>
        <w:footnoteRef/>
      </w:r>
      <w:r w:rsidRPr="00A11CE3">
        <w:rPr>
          <w:rFonts w:ascii="ITC Avant Garde" w:hAnsi="ITC Avant Garde"/>
          <w:sz w:val="14"/>
          <w:szCs w:val="14"/>
        </w:rPr>
        <w:t xml:space="preserve"> </w:t>
      </w:r>
      <w:r w:rsidRPr="00A11CE3">
        <w:rPr>
          <w:rFonts w:ascii="ITC Avant Garde" w:hAnsi="ITC Avant Garde"/>
          <w:sz w:val="14"/>
          <w:szCs w:val="14"/>
        </w:rPr>
        <w:tab/>
        <w:t xml:space="preserve">  Por sus siglas en inglés, Main Distribution Frame.</w:t>
      </w:r>
    </w:p>
  </w:footnote>
  <w:footnote w:id="8">
    <w:p w14:paraId="36C45E95" w14:textId="77777777" w:rsidR="00DE5E54" w:rsidRPr="00A11CE3" w:rsidRDefault="00DE5E54" w:rsidP="008C1EC6">
      <w:pPr>
        <w:pStyle w:val="Textonotapie"/>
        <w:rPr>
          <w:rFonts w:ascii="ITC Avant Garde" w:hAnsi="ITC Avant Garde"/>
          <w:sz w:val="14"/>
          <w:szCs w:val="14"/>
        </w:rPr>
      </w:pPr>
      <w:r w:rsidRPr="00A11CE3">
        <w:rPr>
          <w:rStyle w:val="Refdenotaalpie"/>
          <w:rFonts w:ascii="ITC Avant Garde" w:hAnsi="ITC Avant Garde"/>
          <w:sz w:val="14"/>
          <w:szCs w:val="14"/>
        </w:rPr>
        <w:footnoteRef/>
      </w:r>
      <w:r w:rsidRPr="00A11CE3">
        <w:rPr>
          <w:rFonts w:ascii="ITC Avant Garde" w:hAnsi="ITC Avant Garde"/>
          <w:sz w:val="14"/>
          <w:szCs w:val="14"/>
        </w:rPr>
        <w:t xml:space="preserve"> </w:t>
      </w:r>
      <w:r w:rsidRPr="00A11CE3">
        <w:rPr>
          <w:rFonts w:ascii="ITC Avant Garde" w:hAnsi="ITC Avant Garde"/>
          <w:sz w:val="14"/>
          <w:szCs w:val="14"/>
        </w:rPr>
        <w:tab/>
      </w:r>
      <w:hyperlink r:id="rId1" w:history="1">
        <w:r w:rsidRPr="00A11CE3">
          <w:rPr>
            <w:rStyle w:val="Hipervnculo"/>
            <w:rFonts w:ascii="ITC Avant Garde" w:hAnsi="ITC Avant Garde"/>
            <w:sz w:val="14"/>
            <w:szCs w:val="14"/>
          </w:rPr>
          <w:t>http://www.ift.org.mx/sites/default/files/contenidogeneral/politica-regulatoria/oredatelmex20172018.pdf</w:t>
        </w:r>
      </w:hyperlink>
      <w:r w:rsidRPr="00A11CE3">
        <w:rPr>
          <w:rFonts w:ascii="ITC Avant Garde" w:hAnsi="ITC Avant Garde"/>
          <w:sz w:val="14"/>
          <w:szCs w:val="1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7D4E7" w14:textId="77777777" w:rsidR="00DE5E54" w:rsidRDefault="00DA4D12">
    <w:pPr>
      <w:pStyle w:val="Encabezado"/>
    </w:pPr>
    <w:r>
      <w:rPr>
        <w:noProof/>
        <w:lang w:eastAsia="es-MX"/>
      </w:rPr>
      <w:pict w14:anchorId="147AD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826502" o:spid="_x0000_s2049" type="#_x0000_t75" style="position:absolute;left:0;text-align:left;margin-left:-70.6pt;margin-top:-127.8pt;width:612pt;height:11in;z-index:-251658752;mso-position-horizontal-relative:margin;mso-position-vertical-relative:margin" o:allowincell="f">
          <v:imagedata r:id="rId1" o:title="hoja membretada CDMX-01"/>
          <w10:wrap anchorx="margin" anchory="margin"/>
        </v:shape>
      </w:pict>
    </w:r>
  </w:p>
  <w:p w14:paraId="27FF8C78" w14:textId="77777777" w:rsidR="00DE5E54" w:rsidRDefault="00DE5E54"/>
  <w:p w14:paraId="11BC9650" w14:textId="77777777" w:rsidR="00DE5E54" w:rsidRDefault="00DE5E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17659" w14:textId="77777777" w:rsidR="00DE5E54" w:rsidRDefault="00DE5E54" w:rsidP="00673E29">
    <w:pPr>
      <w:pStyle w:val="Encabezado"/>
      <w:jc w:val="left"/>
    </w:pPr>
  </w:p>
  <w:p w14:paraId="78A6106A" w14:textId="77777777" w:rsidR="00DE5E54" w:rsidRDefault="00DE5E54"/>
  <w:p w14:paraId="15D0BBC8" w14:textId="77777777" w:rsidR="00DE5E54" w:rsidRDefault="00DE5E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F2336"/>
    <w:multiLevelType w:val="hybridMultilevel"/>
    <w:tmpl w:val="2AD6CC8C"/>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 w15:restartNumberingAfterBreak="0">
    <w:nsid w:val="09E55942"/>
    <w:multiLevelType w:val="hybridMultilevel"/>
    <w:tmpl w:val="48F8E912"/>
    <w:lvl w:ilvl="0" w:tplc="8EFE25D8">
      <w:start w:val="1"/>
      <w:numFmt w:val="upperRoman"/>
      <w:pStyle w:val="Antecedentes"/>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842CA3"/>
    <w:multiLevelType w:val="hybridMultilevel"/>
    <w:tmpl w:val="E5BA92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E516FEB"/>
    <w:multiLevelType w:val="hybridMultilevel"/>
    <w:tmpl w:val="9AB81A5E"/>
    <w:name w:val="ParaBulletList2"/>
    <w:lvl w:ilvl="0" w:tplc="07780188">
      <w:start w:val="1"/>
      <w:numFmt w:val="bullet"/>
      <w:lvlText w:val=""/>
      <w:lvlJc w:val="left"/>
      <w:pPr>
        <w:ind w:left="700" w:hanging="360"/>
      </w:pPr>
      <w:rPr>
        <w:rFonts w:ascii="Symbol" w:hAnsi="Symbol" w:hint="default"/>
        <w:color w:val="000000" w:themeColor="text1"/>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15676C"/>
    <w:multiLevelType w:val="hybridMultilevel"/>
    <w:tmpl w:val="EDFC94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D562C"/>
    <w:multiLevelType w:val="hybridMultilevel"/>
    <w:tmpl w:val="05B07D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482775B"/>
    <w:multiLevelType w:val="multilevel"/>
    <w:tmpl w:val="1B223032"/>
    <w:lvl w:ilvl="0">
      <w:start w:val="1"/>
      <w:numFmt w:val="decimal"/>
      <w:lvlText w:val="%1."/>
      <w:lvlJc w:val="left"/>
      <w:pPr>
        <w:ind w:left="360" w:hanging="360"/>
      </w:pPr>
    </w:lvl>
    <w:lvl w:ilvl="1">
      <w:start w:val="1"/>
      <w:numFmt w:val="decimal"/>
      <w:lvlText w:val="%1.%2"/>
      <w:lvlJc w:val="left"/>
      <w:pPr>
        <w:ind w:left="3837" w:hanging="576"/>
      </w:pPr>
    </w:lvl>
    <w:lvl w:ilvl="2">
      <w:start w:val="1"/>
      <w:numFmt w:val="decimal"/>
      <w:pStyle w:val="Ttulo3"/>
      <w:lvlText w:val="%1.%2.%3"/>
      <w:lvlJc w:val="left"/>
      <w:pPr>
        <w:ind w:left="720" w:hanging="720"/>
      </w:pPr>
      <w:rPr>
        <w:i w:val="0"/>
      </w:rPr>
    </w:lvl>
    <w:lvl w:ilvl="3">
      <w:start w:val="1"/>
      <w:numFmt w:val="decimal"/>
      <w:pStyle w:val="Ttulo4"/>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86C0C41"/>
    <w:multiLevelType w:val="hybridMultilevel"/>
    <w:tmpl w:val="77C087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147D4A"/>
    <w:multiLevelType w:val="hybridMultilevel"/>
    <w:tmpl w:val="94D8A178"/>
    <w:lvl w:ilvl="0" w:tplc="080A000F">
      <w:start w:val="1"/>
      <w:numFmt w:val="decimal"/>
      <w:lvlText w:val="%1."/>
      <w:lvlJc w:val="left"/>
      <w:pPr>
        <w:ind w:left="720" w:hanging="360"/>
      </w:pPr>
      <w:rPr>
        <w:rFonts w:hint="default"/>
      </w:rPr>
    </w:lvl>
    <w:lvl w:ilvl="1" w:tplc="E9A27090">
      <w:start w:val="1"/>
      <w:numFmt w:val="decimal"/>
      <w:lvlText w:val="(%2)"/>
      <w:lvlJc w:val="left"/>
      <w:pPr>
        <w:ind w:left="1440" w:hanging="360"/>
      </w:pPr>
      <w:rPr>
        <w:rFonts w:ascii="ITC Avant Garde" w:hAnsi="ITC Avant Garde"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D1BB0"/>
    <w:multiLevelType w:val="hybridMultilevel"/>
    <w:tmpl w:val="DDD4C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841E7E"/>
    <w:multiLevelType w:val="hybridMultilevel"/>
    <w:tmpl w:val="762C0D04"/>
    <w:lvl w:ilvl="0" w:tplc="D58E31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7F3865"/>
    <w:multiLevelType w:val="hybridMultilevel"/>
    <w:tmpl w:val="62E2D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E612AE"/>
    <w:multiLevelType w:val="hybridMultilevel"/>
    <w:tmpl w:val="BA0E2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952F52"/>
    <w:multiLevelType w:val="hybridMultilevel"/>
    <w:tmpl w:val="2862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4F5981"/>
    <w:multiLevelType w:val="multilevel"/>
    <w:tmpl w:val="9B1ABCF4"/>
    <w:name w:val="ListBulletList"/>
    <w:lvl w:ilvl="0">
      <w:start w:val="1"/>
      <w:numFmt w:val="bullet"/>
      <w:pStyle w:val="ListBullet1"/>
      <w:lvlText w:val=""/>
      <w:lvlJc w:val="left"/>
      <w:pPr>
        <w:tabs>
          <w:tab w:val="num" w:pos="340"/>
        </w:tabs>
        <w:ind w:left="340" w:hanging="340"/>
      </w:pPr>
      <w:rPr>
        <w:rFonts w:ascii="Wingdings 2" w:hAnsi="Wingdings 2" w:hint="default"/>
        <w:color w:val="5B9BD5" w:themeColor="accent1"/>
      </w:rPr>
    </w:lvl>
    <w:lvl w:ilvl="1">
      <w:start w:val="1"/>
      <w:numFmt w:val="bullet"/>
      <w:pStyle w:val="ListBullet2"/>
      <w:lvlText w:val="□"/>
      <w:lvlJc w:val="left"/>
      <w:pPr>
        <w:tabs>
          <w:tab w:val="num" w:pos="680"/>
        </w:tabs>
        <w:ind w:left="680" w:hanging="340"/>
      </w:pPr>
      <w:rPr>
        <w:rFonts w:ascii="Calibri" w:hAnsi="Calibri" w:hint="default"/>
        <w:color w:val="5B9BD5" w:themeColor="accent1"/>
      </w:rPr>
    </w:lvl>
    <w:lvl w:ilvl="2">
      <w:start w:val="1"/>
      <w:numFmt w:val="bullet"/>
      <w:pStyle w:val="ListBullet3"/>
      <w:lvlText w:val="–"/>
      <w:lvlJc w:val="left"/>
      <w:pPr>
        <w:tabs>
          <w:tab w:val="num" w:pos="1021"/>
        </w:tabs>
        <w:ind w:left="1021" w:hanging="341"/>
      </w:pPr>
      <w:rPr>
        <w:rFonts w:ascii="(none)" w:hAnsi="(none)" w:hint="default"/>
        <w:color w:val="5B9BD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15" w15:restartNumberingAfterBreak="0">
    <w:nsid w:val="2D721AFC"/>
    <w:multiLevelType w:val="hybridMultilevel"/>
    <w:tmpl w:val="A59CF658"/>
    <w:lvl w:ilvl="0" w:tplc="285C99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E400D7"/>
    <w:multiLevelType w:val="hybridMultilevel"/>
    <w:tmpl w:val="E7847620"/>
    <w:name w:val="ParaBulletList22"/>
    <w:lvl w:ilvl="0" w:tplc="07780188">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E67AB2"/>
    <w:multiLevelType w:val="multilevel"/>
    <w:tmpl w:val="E79AA7C4"/>
    <w:name w:val="NumberedList"/>
    <w:styleLink w:val="ListNumStyle"/>
    <w:lvl w:ilvl="0">
      <w:start w:val="1"/>
      <w:numFmt w:val="decimal"/>
      <w:pStyle w:val="ListNumBullet1"/>
      <w:lvlText w:val="%1."/>
      <w:lvlJc w:val="left"/>
      <w:pPr>
        <w:tabs>
          <w:tab w:val="num" w:pos="340"/>
        </w:tabs>
        <w:ind w:left="340" w:hanging="340"/>
      </w:pPr>
      <w:rPr>
        <w:rFonts w:hint="default"/>
        <w:color w:val="000000" w:themeColor="text1"/>
      </w:rPr>
    </w:lvl>
    <w:lvl w:ilvl="1">
      <w:start w:val="1"/>
      <w:numFmt w:val="lowerLetter"/>
      <w:lvlText w:val="%2."/>
      <w:lvlJc w:val="left"/>
      <w:pPr>
        <w:tabs>
          <w:tab w:val="num" w:pos="680"/>
        </w:tabs>
        <w:ind w:left="680" w:hanging="340"/>
      </w:pPr>
      <w:rPr>
        <w:rFonts w:hint="default"/>
        <w:color w:val="000000" w:themeColor="text1"/>
      </w:rPr>
    </w:lvl>
    <w:lvl w:ilvl="2">
      <w:start w:val="1"/>
      <w:numFmt w:val="lowerRoman"/>
      <w:lvlText w:val="%3."/>
      <w:lvlJc w:val="left"/>
      <w:pPr>
        <w:tabs>
          <w:tab w:val="num" w:pos="1021"/>
        </w:tabs>
        <w:ind w:left="1021" w:hanging="341"/>
      </w:pPr>
      <w:rPr>
        <w:rFonts w:hint="default"/>
        <w:color w:val="000000"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83A3CCF"/>
    <w:multiLevelType w:val="hybridMultilevel"/>
    <w:tmpl w:val="95D0ED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47128A"/>
    <w:multiLevelType w:val="hybridMultilevel"/>
    <w:tmpl w:val="DB18CE0A"/>
    <w:lvl w:ilvl="0" w:tplc="D7B4A9A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9A0C46"/>
    <w:multiLevelType w:val="multilevel"/>
    <w:tmpl w:val="E79AA7C4"/>
    <w:name w:val="NumberedList4"/>
    <w:numStyleLink w:val="ListNumStyle"/>
  </w:abstractNum>
  <w:abstractNum w:abstractNumId="21" w15:restartNumberingAfterBreak="0">
    <w:nsid w:val="4433143D"/>
    <w:multiLevelType w:val="hybridMultilevel"/>
    <w:tmpl w:val="E3BC39B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2" w15:restartNumberingAfterBreak="0">
    <w:nsid w:val="4A0744BE"/>
    <w:multiLevelType w:val="multilevel"/>
    <w:tmpl w:val="2CBA58FA"/>
    <w:name w:val="ParaBulletLis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Calibri" w:hAnsi="Calibri" w:hint="default"/>
        <w:color w:val="5B9BD5" w:themeColor="accent1"/>
      </w:rPr>
    </w:lvl>
    <w:lvl w:ilvl="2">
      <w:start w:val="1"/>
      <w:numFmt w:val="bullet"/>
      <w:lvlText w:val="–"/>
      <w:lvlJc w:val="left"/>
      <w:pPr>
        <w:tabs>
          <w:tab w:val="num" w:pos="1021"/>
        </w:tabs>
        <w:ind w:left="1021" w:hanging="341"/>
      </w:pPr>
      <w:rPr>
        <w:rFonts w:ascii="(none)" w:hAnsi="(none)" w:cs="(none)" w:hint="default"/>
        <w:color w:val="5B9BD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3" w15:restartNumberingAfterBreak="0">
    <w:nsid w:val="4AF56B72"/>
    <w:multiLevelType w:val="hybridMultilevel"/>
    <w:tmpl w:val="47308942"/>
    <w:lvl w:ilvl="0" w:tplc="E034C4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7F2B6A"/>
    <w:multiLevelType w:val="hybridMultilevel"/>
    <w:tmpl w:val="C1BE1542"/>
    <w:lvl w:ilvl="0" w:tplc="D87C927A">
      <w:start w:val="1"/>
      <w:numFmt w:val="upperRoman"/>
      <w:pStyle w:val="Prrafodelista"/>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191EF0"/>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D15F1F"/>
    <w:multiLevelType w:val="hybridMultilevel"/>
    <w:tmpl w:val="B212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094ED9"/>
    <w:multiLevelType w:val="multilevel"/>
    <w:tmpl w:val="080A001F"/>
    <w:name w:val="ListBulletList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DE05C3"/>
    <w:multiLevelType w:val="hybridMultilevel"/>
    <w:tmpl w:val="CD5AAE56"/>
    <w:lvl w:ilvl="0" w:tplc="0409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29" w15:restartNumberingAfterBreak="0">
    <w:nsid w:val="5D1A0B44"/>
    <w:multiLevelType w:val="multilevel"/>
    <w:tmpl w:val="AB8A82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CA0018B"/>
    <w:multiLevelType w:val="hybridMultilevel"/>
    <w:tmpl w:val="0B5A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F5316E"/>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0B349A7"/>
    <w:multiLevelType w:val="hybridMultilevel"/>
    <w:tmpl w:val="A1A47F8A"/>
    <w:name w:val="ParaBulletList2223"/>
    <w:lvl w:ilvl="0" w:tplc="A6023796">
      <w:start w:val="1"/>
      <w:numFmt w:val="bullet"/>
      <w:lvlText w:val=""/>
      <w:lvlJc w:val="left"/>
      <w:pPr>
        <w:ind w:left="720" w:hanging="360"/>
      </w:pPr>
      <w:rPr>
        <w:rFonts w:ascii="Symbol" w:hAnsi="Symbol" w:hint="default"/>
        <w:color w:val="000000" w:themeColor="text1"/>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BF212F"/>
    <w:multiLevelType w:val="multilevel"/>
    <w:tmpl w:val="2CBA58FA"/>
    <w:name w:val="ParaBulletList22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Calibri" w:hAnsi="Calibri" w:hint="default"/>
        <w:color w:val="5B9BD5" w:themeColor="accent1"/>
      </w:rPr>
    </w:lvl>
    <w:lvl w:ilvl="2">
      <w:start w:val="1"/>
      <w:numFmt w:val="bullet"/>
      <w:lvlText w:val="–"/>
      <w:lvlJc w:val="left"/>
      <w:pPr>
        <w:tabs>
          <w:tab w:val="num" w:pos="1021"/>
        </w:tabs>
        <w:ind w:left="1021" w:hanging="341"/>
      </w:pPr>
      <w:rPr>
        <w:rFonts w:ascii="(none)" w:hAnsi="(none)" w:cs="(none)" w:hint="default"/>
        <w:color w:val="5B9BD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34" w15:restartNumberingAfterBreak="0">
    <w:nsid w:val="72766268"/>
    <w:multiLevelType w:val="hybridMultilevel"/>
    <w:tmpl w:val="CEBC7B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375D9A"/>
    <w:multiLevelType w:val="multilevel"/>
    <w:tmpl w:val="B8644354"/>
    <w:lvl w:ilvl="0">
      <w:start w:val="1"/>
      <w:numFmt w:val="decimal"/>
      <w:lvlText w:val="%1."/>
      <w:lvlJc w:val="left"/>
      <w:pPr>
        <w:ind w:left="360" w:hanging="360"/>
      </w:pPr>
    </w:lvl>
    <w:lvl w:ilvl="1">
      <w:start w:val="1"/>
      <w:numFmt w:val="decimal"/>
      <w:lvlText w:val="%1.%2."/>
      <w:lvlJc w:val="left"/>
      <w:pPr>
        <w:ind w:left="792" w:hanging="432"/>
      </w:pPr>
      <w:rPr>
        <w:lang w:val="es-MX"/>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4344163"/>
    <w:multiLevelType w:val="hybridMultilevel"/>
    <w:tmpl w:val="83B0969A"/>
    <w:lvl w:ilvl="0" w:tplc="040A0001">
      <w:start w:val="1"/>
      <w:numFmt w:val="bullet"/>
      <w:lvlText w:val=""/>
      <w:lvlJc w:val="left"/>
      <w:pPr>
        <w:tabs>
          <w:tab w:val="num" w:pos="1068"/>
        </w:tabs>
        <w:ind w:left="1068" w:hanging="360"/>
      </w:pPr>
      <w:rPr>
        <w:rFonts w:ascii="Symbol" w:hAnsi="Symbol" w:hint="default"/>
      </w:rPr>
    </w:lvl>
    <w:lvl w:ilvl="1" w:tplc="29D8991E">
      <w:start w:val="6148"/>
      <w:numFmt w:val="bullet"/>
      <w:lvlText w:val="–"/>
      <w:lvlJc w:val="left"/>
      <w:pPr>
        <w:tabs>
          <w:tab w:val="num" w:pos="1788"/>
        </w:tabs>
        <w:ind w:left="1788" w:hanging="360"/>
      </w:pPr>
      <w:rPr>
        <w:rFonts w:ascii="Calibri" w:hAnsi="Calibri" w:hint="default"/>
      </w:rPr>
    </w:lvl>
    <w:lvl w:ilvl="2" w:tplc="7FA6A98C" w:tentative="1">
      <w:start w:val="1"/>
      <w:numFmt w:val="bullet"/>
      <w:lvlText w:val="▪"/>
      <w:lvlJc w:val="left"/>
      <w:pPr>
        <w:tabs>
          <w:tab w:val="num" w:pos="2508"/>
        </w:tabs>
        <w:ind w:left="2508" w:hanging="360"/>
      </w:pPr>
      <w:rPr>
        <w:rFonts w:ascii="Calibri" w:hAnsi="Calibri" w:hint="default"/>
      </w:rPr>
    </w:lvl>
    <w:lvl w:ilvl="3" w:tplc="03B0D9BC" w:tentative="1">
      <w:start w:val="1"/>
      <w:numFmt w:val="bullet"/>
      <w:lvlText w:val="▪"/>
      <w:lvlJc w:val="left"/>
      <w:pPr>
        <w:tabs>
          <w:tab w:val="num" w:pos="3228"/>
        </w:tabs>
        <w:ind w:left="3228" w:hanging="360"/>
      </w:pPr>
      <w:rPr>
        <w:rFonts w:ascii="Calibri" w:hAnsi="Calibri" w:hint="default"/>
      </w:rPr>
    </w:lvl>
    <w:lvl w:ilvl="4" w:tplc="AAB675CE" w:tentative="1">
      <w:start w:val="1"/>
      <w:numFmt w:val="bullet"/>
      <w:lvlText w:val="▪"/>
      <w:lvlJc w:val="left"/>
      <w:pPr>
        <w:tabs>
          <w:tab w:val="num" w:pos="3948"/>
        </w:tabs>
        <w:ind w:left="3948" w:hanging="360"/>
      </w:pPr>
      <w:rPr>
        <w:rFonts w:ascii="Calibri" w:hAnsi="Calibri" w:hint="default"/>
      </w:rPr>
    </w:lvl>
    <w:lvl w:ilvl="5" w:tplc="E38607A8" w:tentative="1">
      <w:start w:val="1"/>
      <w:numFmt w:val="bullet"/>
      <w:lvlText w:val="▪"/>
      <w:lvlJc w:val="left"/>
      <w:pPr>
        <w:tabs>
          <w:tab w:val="num" w:pos="4668"/>
        </w:tabs>
        <w:ind w:left="4668" w:hanging="360"/>
      </w:pPr>
      <w:rPr>
        <w:rFonts w:ascii="Calibri" w:hAnsi="Calibri" w:hint="default"/>
      </w:rPr>
    </w:lvl>
    <w:lvl w:ilvl="6" w:tplc="05A6E9DC" w:tentative="1">
      <w:start w:val="1"/>
      <w:numFmt w:val="bullet"/>
      <w:lvlText w:val="▪"/>
      <w:lvlJc w:val="left"/>
      <w:pPr>
        <w:tabs>
          <w:tab w:val="num" w:pos="5388"/>
        </w:tabs>
        <w:ind w:left="5388" w:hanging="360"/>
      </w:pPr>
      <w:rPr>
        <w:rFonts w:ascii="Calibri" w:hAnsi="Calibri" w:hint="default"/>
      </w:rPr>
    </w:lvl>
    <w:lvl w:ilvl="7" w:tplc="247AA13A" w:tentative="1">
      <w:start w:val="1"/>
      <w:numFmt w:val="bullet"/>
      <w:lvlText w:val="▪"/>
      <w:lvlJc w:val="left"/>
      <w:pPr>
        <w:tabs>
          <w:tab w:val="num" w:pos="6108"/>
        </w:tabs>
        <w:ind w:left="6108" w:hanging="360"/>
      </w:pPr>
      <w:rPr>
        <w:rFonts w:ascii="Calibri" w:hAnsi="Calibri" w:hint="default"/>
      </w:rPr>
    </w:lvl>
    <w:lvl w:ilvl="8" w:tplc="95742BC8" w:tentative="1">
      <w:start w:val="1"/>
      <w:numFmt w:val="bullet"/>
      <w:lvlText w:val="▪"/>
      <w:lvlJc w:val="left"/>
      <w:pPr>
        <w:tabs>
          <w:tab w:val="num" w:pos="6828"/>
        </w:tabs>
        <w:ind w:left="6828" w:hanging="360"/>
      </w:pPr>
      <w:rPr>
        <w:rFonts w:ascii="Calibri" w:hAnsi="Calibri" w:hint="default"/>
      </w:rPr>
    </w:lvl>
  </w:abstractNum>
  <w:abstractNum w:abstractNumId="37" w15:restartNumberingAfterBreak="0">
    <w:nsid w:val="74CF00A3"/>
    <w:multiLevelType w:val="hybridMultilevel"/>
    <w:tmpl w:val="1A405AD4"/>
    <w:lvl w:ilvl="0" w:tplc="080A0001">
      <w:start w:val="1"/>
      <w:numFmt w:val="bullet"/>
      <w:lvlText w:val=""/>
      <w:lvlJc w:val="left"/>
      <w:pPr>
        <w:ind w:left="1060" w:hanging="360"/>
      </w:pPr>
      <w:rPr>
        <w:rFonts w:ascii="Symbol" w:hAnsi="Symbol" w:hint="default"/>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38" w15:restartNumberingAfterBreak="0">
    <w:nsid w:val="789C57B0"/>
    <w:multiLevelType w:val="multilevel"/>
    <w:tmpl w:val="84C01806"/>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Calibri" w:hAnsi="Calibri" w:hint="default"/>
        <w:color w:val="5B9BD5" w:themeColor="accent1"/>
      </w:rPr>
    </w:lvl>
    <w:lvl w:ilvl="2">
      <w:start w:val="1"/>
      <w:numFmt w:val="bullet"/>
      <w:lvlText w:val="–"/>
      <w:lvlJc w:val="left"/>
      <w:pPr>
        <w:tabs>
          <w:tab w:val="num" w:pos="1021"/>
        </w:tabs>
        <w:ind w:left="1021" w:hanging="341"/>
      </w:pPr>
      <w:rPr>
        <w:rFonts w:ascii="(none)" w:hAnsi="(none)" w:hint="default"/>
        <w:color w:val="5B9BD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39" w15:restartNumberingAfterBreak="0">
    <w:nsid w:val="790F7A72"/>
    <w:multiLevelType w:val="hybridMultilevel"/>
    <w:tmpl w:val="3924666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AC7F70"/>
    <w:multiLevelType w:val="hybridMultilevel"/>
    <w:tmpl w:val="8C74A304"/>
    <w:name w:val="ParaBulletList222"/>
    <w:lvl w:ilvl="0" w:tplc="3994578C">
      <w:start w:val="1"/>
      <w:numFmt w:val="bullet"/>
      <w:lvlText w:val=""/>
      <w:lvlJc w:val="left"/>
      <w:pPr>
        <w:ind w:left="720" w:hanging="360"/>
      </w:pPr>
      <w:rPr>
        <w:rFonts w:ascii="Symbol" w:hAnsi="Symbol" w:hint="default"/>
        <w:color w:val="000000" w:themeColor="text1"/>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4F487A"/>
    <w:multiLevelType w:val="multilevel"/>
    <w:tmpl w:val="BF525B50"/>
    <w:lvl w:ilvl="0">
      <w:start w:val="1"/>
      <w:numFmt w:val="bullet"/>
      <w:lvlText w:val=""/>
      <w:lvlJc w:val="left"/>
      <w:pPr>
        <w:tabs>
          <w:tab w:val="num" w:pos="340"/>
        </w:tabs>
        <w:ind w:left="340" w:hanging="34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color w:val="auto"/>
      </w:rPr>
    </w:lvl>
    <w:lvl w:ilvl="2">
      <w:start w:val="1"/>
      <w:numFmt w:val="bullet"/>
      <w:lvlText w:val="–"/>
      <w:lvlJc w:val="left"/>
      <w:pPr>
        <w:tabs>
          <w:tab w:val="num" w:pos="1021"/>
        </w:tabs>
        <w:ind w:left="1021" w:hanging="341"/>
      </w:pPr>
      <w:rPr>
        <w:rFonts w:ascii="(none)" w:hAnsi="(none)" w:hint="default"/>
        <w:color w:val="5B9BD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42" w15:restartNumberingAfterBreak="0">
    <w:nsid w:val="7F412206"/>
    <w:multiLevelType w:val="multilevel"/>
    <w:tmpl w:val="402C6536"/>
    <w:name w:val="ParaNumBulletList3"/>
    <w:lvl w:ilvl="0">
      <w:start w:val="1"/>
      <w:numFmt w:val="decimal"/>
      <w:pStyle w:val="ParaNumBullet1"/>
      <w:lvlText w:val="%1."/>
      <w:lvlJc w:val="left"/>
      <w:pPr>
        <w:tabs>
          <w:tab w:val="num" w:pos="340"/>
        </w:tabs>
        <w:ind w:left="340" w:hanging="340"/>
      </w:pPr>
      <w:rPr>
        <w:rFonts w:hint="default"/>
        <w:color w:val="000000" w:themeColor="text1"/>
      </w:rPr>
    </w:lvl>
    <w:lvl w:ilvl="1">
      <w:start w:val="1"/>
      <w:numFmt w:val="lowerLetter"/>
      <w:pStyle w:val="ParaNumBullet2"/>
      <w:lvlText w:val="%2."/>
      <w:lvlJc w:val="left"/>
      <w:pPr>
        <w:tabs>
          <w:tab w:val="num" w:pos="680"/>
        </w:tabs>
        <w:ind w:left="680" w:hanging="340"/>
      </w:pPr>
      <w:rPr>
        <w:rFonts w:hint="default"/>
        <w:color w:val="000000" w:themeColor="text1"/>
      </w:rPr>
    </w:lvl>
    <w:lvl w:ilvl="2">
      <w:start w:val="1"/>
      <w:numFmt w:val="lowerRoman"/>
      <w:pStyle w:val="ParaNumBullet3"/>
      <w:lvlText w:val="%3."/>
      <w:lvlJc w:val="left"/>
      <w:pPr>
        <w:tabs>
          <w:tab w:val="num" w:pos="1021"/>
        </w:tabs>
        <w:ind w:left="1021" w:hanging="341"/>
      </w:pPr>
      <w:rPr>
        <w:rFonts w:hint="default"/>
        <w:color w:val="000000" w:themeColor="tex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6"/>
  </w:num>
  <w:num w:numId="2">
    <w:abstractNumId w:val="6"/>
  </w:num>
  <w:num w:numId="3">
    <w:abstractNumId w:val="17"/>
  </w:num>
  <w:num w:numId="4">
    <w:abstractNumId w:val="20"/>
  </w:num>
  <w:num w:numId="5">
    <w:abstractNumId w:val="24"/>
  </w:num>
  <w:num w:numId="6">
    <w:abstractNumId w:val="42"/>
  </w:num>
  <w:num w:numId="7">
    <w:abstractNumId w:val="22"/>
  </w:num>
  <w:num w:numId="8">
    <w:abstractNumId w:val="1"/>
  </w:num>
  <w:num w:numId="9">
    <w:abstractNumId w:val="20"/>
    <w:lvlOverride w:ilvl="0">
      <w:startOverride w:val="1"/>
      <w:lvl w:ilvl="0">
        <w:start w:val="1"/>
        <w:numFmt w:val="decimal"/>
        <w:pStyle w:val="ListNumBullet1"/>
        <w:lvlText w:val="%1."/>
        <w:lvlJc w:val="left"/>
        <w:pPr>
          <w:tabs>
            <w:tab w:val="num" w:pos="567"/>
          </w:tabs>
          <w:ind w:left="567" w:hanging="340"/>
        </w:pPr>
        <w:rPr>
          <w:rFonts w:hint="default"/>
          <w:color w:val="000000" w:themeColor="text1"/>
        </w:rPr>
      </w:lvl>
    </w:lvlOverride>
    <w:lvlOverride w:ilvl="1">
      <w:startOverride w:val="1"/>
      <w:lvl w:ilvl="1">
        <w:start w:val="1"/>
        <w:numFmt w:val="lowerLetter"/>
        <w:lvlText w:val="%2."/>
        <w:lvlJc w:val="left"/>
        <w:pPr>
          <w:tabs>
            <w:tab w:val="num" w:pos="907"/>
          </w:tabs>
          <w:ind w:left="907" w:hanging="340"/>
        </w:pPr>
        <w:rPr>
          <w:rFonts w:hint="default"/>
          <w:color w:val="000000" w:themeColor="text1"/>
        </w:rPr>
      </w:lvl>
    </w:lvlOverride>
    <w:lvlOverride w:ilvl="2">
      <w:startOverride w:val="1"/>
      <w:lvl w:ilvl="2">
        <w:start w:val="1"/>
        <w:numFmt w:val="lowerRoman"/>
        <w:lvlText w:val="%3."/>
        <w:lvlJc w:val="left"/>
        <w:pPr>
          <w:tabs>
            <w:tab w:val="num" w:pos="1248"/>
          </w:tabs>
          <w:ind w:left="1248" w:hanging="341"/>
        </w:pPr>
        <w:rPr>
          <w:rFonts w:hint="default"/>
          <w:color w:val="000000" w:themeColor="text1"/>
        </w:rPr>
      </w:lvl>
    </w:lvlOverride>
    <w:lvlOverride w:ilvl="3">
      <w:startOverride w:val="1"/>
      <w:lvl w:ilvl="3">
        <w:start w:val="1"/>
        <w:numFmt w:val="none"/>
        <w:lvlText w:val=""/>
        <w:lvlJc w:val="left"/>
        <w:pPr>
          <w:ind w:left="227" w:firstLine="0"/>
        </w:pPr>
        <w:rPr>
          <w:rFonts w:hint="default"/>
        </w:rPr>
      </w:lvl>
    </w:lvlOverride>
    <w:lvlOverride w:ilvl="4">
      <w:startOverride w:val="1"/>
      <w:lvl w:ilvl="4">
        <w:start w:val="1"/>
        <w:numFmt w:val="none"/>
        <w:lvlText w:val=""/>
        <w:lvlJc w:val="left"/>
        <w:pPr>
          <w:ind w:left="227" w:firstLine="0"/>
        </w:pPr>
        <w:rPr>
          <w:rFonts w:hint="default"/>
        </w:rPr>
      </w:lvl>
    </w:lvlOverride>
    <w:lvlOverride w:ilvl="5">
      <w:startOverride w:val="1"/>
      <w:lvl w:ilvl="5">
        <w:start w:val="1"/>
        <w:numFmt w:val="none"/>
        <w:lvlText w:val=""/>
        <w:lvlJc w:val="left"/>
        <w:pPr>
          <w:ind w:left="227" w:firstLine="0"/>
        </w:pPr>
        <w:rPr>
          <w:rFonts w:hint="default"/>
        </w:rPr>
      </w:lvl>
    </w:lvlOverride>
    <w:lvlOverride w:ilvl="6">
      <w:startOverride w:val="1"/>
      <w:lvl w:ilvl="6">
        <w:start w:val="1"/>
        <w:numFmt w:val="none"/>
        <w:lvlText w:val=""/>
        <w:lvlJc w:val="left"/>
        <w:pPr>
          <w:ind w:left="227" w:firstLine="0"/>
        </w:pPr>
        <w:rPr>
          <w:rFonts w:hint="default"/>
        </w:rPr>
      </w:lvl>
    </w:lvlOverride>
    <w:lvlOverride w:ilvl="7">
      <w:startOverride w:val="1"/>
      <w:lvl w:ilvl="7">
        <w:start w:val="1"/>
        <w:numFmt w:val="none"/>
        <w:lvlText w:val=""/>
        <w:lvlJc w:val="left"/>
        <w:pPr>
          <w:ind w:left="227" w:firstLine="0"/>
        </w:pPr>
        <w:rPr>
          <w:rFonts w:hint="default"/>
        </w:rPr>
      </w:lvl>
    </w:lvlOverride>
    <w:lvlOverride w:ilvl="8">
      <w:startOverride w:val="1"/>
      <w:lvl w:ilvl="8">
        <w:start w:val="1"/>
        <w:numFmt w:val="none"/>
        <w:lvlText w:val=""/>
        <w:lvlJc w:val="left"/>
        <w:pPr>
          <w:ind w:left="227" w:firstLine="0"/>
        </w:pPr>
        <w:rPr>
          <w:rFonts w:hint="default"/>
        </w:rPr>
      </w:lvl>
    </w:lvlOverride>
  </w:num>
  <w:num w:numId="10">
    <w:abstractNumId w:val="39"/>
  </w:num>
  <w:num w:numId="11">
    <w:abstractNumId w:val="9"/>
  </w:num>
  <w:num w:numId="12">
    <w:abstractNumId w:val="26"/>
  </w:num>
  <w:num w:numId="13">
    <w:abstractNumId w:val="18"/>
  </w:num>
  <w:num w:numId="14">
    <w:abstractNumId w:val="21"/>
  </w:num>
  <w:num w:numId="15">
    <w:abstractNumId w:val="37"/>
  </w:num>
  <w:num w:numId="16">
    <w:abstractNumId w:val="28"/>
  </w:num>
  <w:num w:numId="17">
    <w:abstractNumId w:val="14"/>
  </w:num>
  <w:num w:numId="18">
    <w:abstractNumId w:val="4"/>
  </w:num>
  <w:num w:numId="19">
    <w:abstractNumId w:val="7"/>
  </w:num>
  <w:num w:numId="20">
    <w:abstractNumId w:val="34"/>
  </w:num>
  <w:num w:numId="21">
    <w:abstractNumId w:val="0"/>
  </w:num>
  <w:num w:numId="22">
    <w:abstractNumId w:val="12"/>
  </w:num>
  <w:num w:numId="23">
    <w:abstractNumId w:val="5"/>
  </w:num>
  <w:num w:numId="24">
    <w:abstractNumId w:val="8"/>
  </w:num>
  <w:num w:numId="25">
    <w:abstractNumId w:val="23"/>
  </w:num>
  <w:num w:numId="26">
    <w:abstractNumId w:val="15"/>
  </w:num>
  <w:num w:numId="27">
    <w:abstractNumId w:val="19"/>
  </w:num>
  <w:num w:numId="28">
    <w:abstractNumId w:val="36"/>
  </w:num>
  <w:num w:numId="29">
    <w:abstractNumId w:val="2"/>
  </w:num>
  <w:num w:numId="30">
    <w:abstractNumId w:val="13"/>
  </w:num>
  <w:num w:numId="31">
    <w:abstractNumId w:val="11"/>
  </w:num>
  <w:num w:numId="32">
    <w:abstractNumId w:val="30"/>
  </w:num>
  <w:num w:numId="33">
    <w:abstractNumId w:val="10"/>
  </w:num>
  <w:num w:numId="34">
    <w:abstractNumId w:val="41"/>
  </w:num>
  <w:num w:numId="35">
    <w:abstractNumId w:val="27"/>
  </w:num>
  <w:num w:numId="36">
    <w:abstractNumId w:val="35"/>
  </w:num>
  <w:num w:numId="37">
    <w:abstractNumId w:val="38"/>
  </w:num>
  <w:num w:numId="38">
    <w:abstractNumId w:val="3"/>
  </w:num>
  <w:num w:numId="39">
    <w:abstractNumId w:val="31"/>
  </w:num>
  <w:num w:numId="40">
    <w:abstractNumId w:val="16"/>
  </w:num>
  <w:num w:numId="41">
    <w:abstractNumId w:val="40"/>
  </w:num>
  <w:num w:numId="42">
    <w:abstractNumId w:val="25"/>
  </w:num>
  <w:num w:numId="43">
    <w:abstractNumId w:val="33"/>
  </w:num>
  <w:num w:numId="44">
    <w:abstractNumId w:val="32"/>
  </w:num>
  <w:num w:numId="45">
    <w:abstractNumId w:val="29"/>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lvlOverride w:ilvl="0">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14B"/>
    <w:rsid w:val="0000369B"/>
    <w:rsid w:val="000077EC"/>
    <w:rsid w:val="00014C13"/>
    <w:rsid w:val="00014FC8"/>
    <w:rsid w:val="00015B58"/>
    <w:rsid w:val="00021287"/>
    <w:rsid w:val="00022894"/>
    <w:rsid w:val="00023597"/>
    <w:rsid w:val="00025415"/>
    <w:rsid w:val="00025820"/>
    <w:rsid w:val="0002714C"/>
    <w:rsid w:val="00030D06"/>
    <w:rsid w:val="00032A5C"/>
    <w:rsid w:val="0003327E"/>
    <w:rsid w:val="00036372"/>
    <w:rsid w:val="00040FD1"/>
    <w:rsid w:val="0004152F"/>
    <w:rsid w:val="00042EA9"/>
    <w:rsid w:val="000431DE"/>
    <w:rsid w:val="00044A51"/>
    <w:rsid w:val="000450FC"/>
    <w:rsid w:val="00045ADE"/>
    <w:rsid w:val="0004786F"/>
    <w:rsid w:val="0005177D"/>
    <w:rsid w:val="00053BA8"/>
    <w:rsid w:val="00055099"/>
    <w:rsid w:val="000560A0"/>
    <w:rsid w:val="00056D25"/>
    <w:rsid w:val="00056FE5"/>
    <w:rsid w:val="00057942"/>
    <w:rsid w:val="00060D57"/>
    <w:rsid w:val="00060F4E"/>
    <w:rsid w:val="0006682A"/>
    <w:rsid w:val="0007350D"/>
    <w:rsid w:val="00073EF7"/>
    <w:rsid w:val="000816EC"/>
    <w:rsid w:val="00081D2D"/>
    <w:rsid w:val="00094B9A"/>
    <w:rsid w:val="000958BD"/>
    <w:rsid w:val="00096C61"/>
    <w:rsid w:val="00097A40"/>
    <w:rsid w:val="000A2400"/>
    <w:rsid w:val="000B0A2A"/>
    <w:rsid w:val="000B132A"/>
    <w:rsid w:val="000B6B68"/>
    <w:rsid w:val="000B7750"/>
    <w:rsid w:val="000B7843"/>
    <w:rsid w:val="000B78D1"/>
    <w:rsid w:val="000C317B"/>
    <w:rsid w:val="000C4EA0"/>
    <w:rsid w:val="000C5AA2"/>
    <w:rsid w:val="000D1A3A"/>
    <w:rsid w:val="000D3785"/>
    <w:rsid w:val="000E11C9"/>
    <w:rsid w:val="000E2B16"/>
    <w:rsid w:val="000E449B"/>
    <w:rsid w:val="000E4B0D"/>
    <w:rsid w:val="000E5E59"/>
    <w:rsid w:val="000E6798"/>
    <w:rsid w:val="000F0D09"/>
    <w:rsid w:val="000F189E"/>
    <w:rsid w:val="000F2987"/>
    <w:rsid w:val="000F51F8"/>
    <w:rsid w:val="00100EE2"/>
    <w:rsid w:val="001049D7"/>
    <w:rsid w:val="001050D4"/>
    <w:rsid w:val="001068C7"/>
    <w:rsid w:val="00117CAC"/>
    <w:rsid w:val="00122E9D"/>
    <w:rsid w:val="001249F8"/>
    <w:rsid w:val="001261A6"/>
    <w:rsid w:val="001271E1"/>
    <w:rsid w:val="001274CD"/>
    <w:rsid w:val="00132612"/>
    <w:rsid w:val="00134EF0"/>
    <w:rsid w:val="00134FC8"/>
    <w:rsid w:val="0013554E"/>
    <w:rsid w:val="00136B40"/>
    <w:rsid w:val="00136E51"/>
    <w:rsid w:val="00141DD8"/>
    <w:rsid w:val="001429F4"/>
    <w:rsid w:val="0014316A"/>
    <w:rsid w:val="00146273"/>
    <w:rsid w:val="00147A3B"/>
    <w:rsid w:val="001527F2"/>
    <w:rsid w:val="001532B1"/>
    <w:rsid w:val="00163A81"/>
    <w:rsid w:val="0016449D"/>
    <w:rsid w:val="001709C7"/>
    <w:rsid w:val="00175334"/>
    <w:rsid w:val="00181E57"/>
    <w:rsid w:val="00190363"/>
    <w:rsid w:val="00192726"/>
    <w:rsid w:val="00192D4A"/>
    <w:rsid w:val="00194E34"/>
    <w:rsid w:val="001964B4"/>
    <w:rsid w:val="001976EE"/>
    <w:rsid w:val="001A0A68"/>
    <w:rsid w:val="001A1CF7"/>
    <w:rsid w:val="001A262F"/>
    <w:rsid w:val="001A2935"/>
    <w:rsid w:val="001A35B9"/>
    <w:rsid w:val="001A3BE8"/>
    <w:rsid w:val="001A3E8F"/>
    <w:rsid w:val="001B2427"/>
    <w:rsid w:val="001B366A"/>
    <w:rsid w:val="001B4F98"/>
    <w:rsid w:val="001B679B"/>
    <w:rsid w:val="001B7D6D"/>
    <w:rsid w:val="001C00FE"/>
    <w:rsid w:val="001C34FB"/>
    <w:rsid w:val="001C4C2D"/>
    <w:rsid w:val="001C5C75"/>
    <w:rsid w:val="001C766E"/>
    <w:rsid w:val="001C7BF9"/>
    <w:rsid w:val="001D0B7F"/>
    <w:rsid w:val="001D115B"/>
    <w:rsid w:val="001D42A4"/>
    <w:rsid w:val="001D6D08"/>
    <w:rsid w:val="001E1F3C"/>
    <w:rsid w:val="001E5AE9"/>
    <w:rsid w:val="001E721D"/>
    <w:rsid w:val="001E76A2"/>
    <w:rsid w:val="001F2A2B"/>
    <w:rsid w:val="001F45DD"/>
    <w:rsid w:val="001F664C"/>
    <w:rsid w:val="001F6896"/>
    <w:rsid w:val="001F6929"/>
    <w:rsid w:val="001F783C"/>
    <w:rsid w:val="00202172"/>
    <w:rsid w:val="002023D0"/>
    <w:rsid w:val="00205DE0"/>
    <w:rsid w:val="00214A40"/>
    <w:rsid w:val="00220B21"/>
    <w:rsid w:val="0022354E"/>
    <w:rsid w:val="002313D3"/>
    <w:rsid w:val="00232A22"/>
    <w:rsid w:val="00234A36"/>
    <w:rsid w:val="0023750A"/>
    <w:rsid w:val="00237B9C"/>
    <w:rsid w:val="00241DC6"/>
    <w:rsid w:val="002433AD"/>
    <w:rsid w:val="00243F17"/>
    <w:rsid w:val="002470DF"/>
    <w:rsid w:val="002523F8"/>
    <w:rsid w:val="00253810"/>
    <w:rsid w:val="002561F7"/>
    <w:rsid w:val="00256B54"/>
    <w:rsid w:val="002610B8"/>
    <w:rsid w:val="00265170"/>
    <w:rsid w:val="00265361"/>
    <w:rsid w:val="002744B9"/>
    <w:rsid w:val="002759BF"/>
    <w:rsid w:val="00277777"/>
    <w:rsid w:val="00281174"/>
    <w:rsid w:val="00283390"/>
    <w:rsid w:val="00286EB9"/>
    <w:rsid w:val="00291128"/>
    <w:rsid w:val="002A1CAB"/>
    <w:rsid w:val="002A4155"/>
    <w:rsid w:val="002B03A9"/>
    <w:rsid w:val="002B0CB8"/>
    <w:rsid w:val="002B0D69"/>
    <w:rsid w:val="002B5C84"/>
    <w:rsid w:val="002B7666"/>
    <w:rsid w:val="002C26F0"/>
    <w:rsid w:val="002C5379"/>
    <w:rsid w:val="002C6255"/>
    <w:rsid w:val="002D16E1"/>
    <w:rsid w:val="002D1FB6"/>
    <w:rsid w:val="002E00BD"/>
    <w:rsid w:val="002E3413"/>
    <w:rsid w:val="002E44B0"/>
    <w:rsid w:val="002E5015"/>
    <w:rsid w:val="002F0B2A"/>
    <w:rsid w:val="002F0D1A"/>
    <w:rsid w:val="002F0E97"/>
    <w:rsid w:val="002F52FB"/>
    <w:rsid w:val="002F6AF7"/>
    <w:rsid w:val="00303926"/>
    <w:rsid w:val="00307396"/>
    <w:rsid w:val="00311686"/>
    <w:rsid w:val="003134FC"/>
    <w:rsid w:val="00314CF0"/>
    <w:rsid w:val="003156BA"/>
    <w:rsid w:val="00316883"/>
    <w:rsid w:val="00321200"/>
    <w:rsid w:val="003216F2"/>
    <w:rsid w:val="00323664"/>
    <w:rsid w:val="00324B57"/>
    <w:rsid w:val="00325523"/>
    <w:rsid w:val="00326D67"/>
    <w:rsid w:val="00331DD3"/>
    <w:rsid w:val="003326D0"/>
    <w:rsid w:val="00334046"/>
    <w:rsid w:val="00337CB3"/>
    <w:rsid w:val="00340717"/>
    <w:rsid w:val="0034131C"/>
    <w:rsid w:val="003413EC"/>
    <w:rsid w:val="003466E7"/>
    <w:rsid w:val="0035080A"/>
    <w:rsid w:val="0035082C"/>
    <w:rsid w:val="003521E8"/>
    <w:rsid w:val="00354491"/>
    <w:rsid w:val="00354BB7"/>
    <w:rsid w:val="00356423"/>
    <w:rsid w:val="00360644"/>
    <w:rsid w:val="00365E87"/>
    <w:rsid w:val="00365EF7"/>
    <w:rsid w:val="003715C2"/>
    <w:rsid w:val="00380FE4"/>
    <w:rsid w:val="00383CAC"/>
    <w:rsid w:val="00390223"/>
    <w:rsid w:val="00390337"/>
    <w:rsid w:val="00393FD7"/>
    <w:rsid w:val="0039756A"/>
    <w:rsid w:val="003977C9"/>
    <w:rsid w:val="003A1587"/>
    <w:rsid w:val="003A33A0"/>
    <w:rsid w:val="003A5CE9"/>
    <w:rsid w:val="003A66D7"/>
    <w:rsid w:val="003B1336"/>
    <w:rsid w:val="003B1875"/>
    <w:rsid w:val="003B4B27"/>
    <w:rsid w:val="003B4FE8"/>
    <w:rsid w:val="003B5BBA"/>
    <w:rsid w:val="003C0445"/>
    <w:rsid w:val="003C06C7"/>
    <w:rsid w:val="003C424D"/>
    <w:rsid w:val="003C45DB"/>
    <w:rsid w:val="003C4647"/>
    <w:rsid w:val="003C5881"/>
    <w:rsid w:val="003C5C69"/>
    <w:rsid w:val="003D0D1E"/>
    <w:rsid w:val="003D143C"/>
    <w:rsid w:val="003D5872"/>
    <w:rsid w:val="003E2070"/>
    <w:rsid w:val="003E36C4"/>
    <w:rsid w:val="003E4783"/>
    <w:rsid w:val="003E4906"/>
    <w:rsid w:val="003E678C"/>
    <w:rsid w:val="003F14DA"/>
    <w:rsid w:val="003F3678"/>
    <w:rsid w:val="003F3D4A"/>
    <w:rsid w:val="00405F6F"/>
    <w:rsid w:val="00407A12"/>
    <w:rsid w:val="0041046B"/>
    <w:rsid w:val="004106F5"/>
    <w:rsid w:val="0041214B"/>
    <w:rsid w:val="00413EE4"/>
    <w:rsid w:val="00420354"/>
    <w:rsid w:val="00423D98"/>
    <w:rsid w:val="00425C86"/>
    <w:rsid w:val="004345CA"/>
    <w:rsid w:val="00434B0A"/>
    <w:rsid w:val="00436916"/>
    <w:rsid w:val="004426B5"/>
    <w:rsid w:val="00442A6F"/>
    <w:rsid w:val="00444965"/>
    <w:rsid w:val="0044653A"/>
    <w:rsid w:val="0045140C"/>
    <w:rsid w:val="0045738E"/>
    <w:rsid w:val="0046153F"/>
    <w:rsid w:val="0046387A"/>
    <w:rsid w:val="00463D71"/>
    <w:rsid w:val="00465144"/>
    <w:rsid w:val="00465B61"/>
    <w:rsid w:val="00466703"/>
    <w:rsid w:val="004711E7"/>
    <w:rsid w:val="004740EF"/>
    <w:rsid w:val="004748D1"/>
    <w:rsid w:val="00476261"/>
    <w:rsid w:val="0047687B"/>
    <w:rsid w:val="00476E80"/>
    <w:rsid w:val="004803E1"/>
    <w:rsid w:val="004812E7"/>
    <w:rsid w:val="00491390"/>
    <w:rsid w:val="004914CD"/>
    <w:rsid w:val="00491FDF"/>
    <w:rsid w:val="00495ECF"/>
    <w:rsid w:val="00496ED5"/>
    <w:rsid w:val="00497803"/>
    <w:rsid w:val="004A0E59"/>
    <w:rsid w:val="004A2F68"/>
    <w:rsid w:val="004A4C94"/>
    <w:rsid w:val="004A56B7"/>
    <w:rsid w:val="004A7E91"/>
    <w:rsid w:val="004B03CA"/>
    <w:rsid w:val="004B2073"/>
    <w:rsid w:val="004B2A05"/>
    <w:rsid w:val="004B5C55"/>
    <w:rsid w:val="004C32C2"/>
    <w:rsid w:val="004C411E"/>
    <w:rsid w:val="004C6032"/>
    <w:rsid w:val="004C71BC"/>
    <w:rsid w:val="004D14D1"/>
    <w:rsid w:val="004D212E"/>
    <w:rsid w:val="004D2467"/>
    <w:rsid w:val="004D3D73"/>
    <w:rsid w:val="004D4747"/>
    <w:rsid w:val="004D596D"/>
    <w:rsid w:val="004D7253"/>
    <w:rsid w:val="004E1358"/>
    <w:rsid w:val="004E6BF5"/>
    <w:rsid w:val="004E7273"/>
    <w:rsid w:val="004F1621"/>
    <w:rsid w:val="004F307A"/>
    <w:rsid w:val="004F3231"/>
    <w:rsid w:val="004F4BF5"/>
    <w:rsid w:val="004F66D3"/>
    <w:rsid w:val="005105F3"/>
    <w:rsid w:val="00511191"/>
    <w:rsid w:val="0051386A"/>
    <w:rsid w:val="00514A3B"/>
    <w:rsid w:val="0051549B"/>
    <w:rsid w:val="0051602A"/>
    <w:rsid w:val="00520512"/>
    <w:rsid w:val="005215FD"/>
    <w:rsid w:val="00522F4E"/>
    <w:rsid w:val="00523290"/>
    <w:rsid w:val="005236AB"/>
    <w:rsid w:val="0052375A"/>
    <w:rsid w:val="005243B8"/>
    <w:rsid w:val="0052504F"/>
    <w:rsid w:val="00527465"/>
    <w:rsid w:val="0052797D"/>
    <w:rsid w:val="005312E8"/>
    <w:rsid w:val="00531969"/>
    <w:rsid w:val="00533306"/>
    <w:rsid w:val="00534510"/>
    <w:rsid w:val="00541C21"/>
    <w:rsid w:val="00541D04"/>
    <w:rsid w:val="005420C9"/>
    <w:rsid w:val="00544EBC"/>
    <w:rsid w:val="00546A69"/>
    <w:rsid w:val="005505FF"/>
    <w:rsid w:val="00553CA0"/>
    <w:rsid w:val="0055571C"/>
    <w:rsid w:val="00555B16"/>
    <w:rsid w:val="00555C3C"/>
    <w:rsid w:val="0056674E"/>
    <w:rsid w:val="00567689"/>
    <w:rsid w:val="0057147C"/>
    <w:rsid w:val="00571B2E"/>
    <w:rsid w:val="0057243F"/>
    <w:rsid w:val="00573307"/>
    <w:rsid w:val="005748D0"/>
    <w:rsid w:val="005753E2"/>
    <w:rsid w:val="0058007D"/>
    <w:rsid w:val="00585001"/>
    <w:rsid w:val="00586733"/>
    <w:rsid w:val="0058699C"/>
    <w:rsid w:val="0059138B"/>
    <w:rsid w:val="00591ADB"/>
    <w:rsid w:val="00594561"/>
    <w:rsid w:val="00594820"/>
    <w:rsid w:val="00596898"/>
    <w:rsid w:val="005A3F34"/>
    <w:rsid w:val="005B347D"/>
    <w:rsid w:val="005B3723"/>
    <w:rsid w:val="005B4BF1"/>
    <w:rsid w:val="005B5BA8"/>
    <w:rsid w:val="005B5C27"/>
    <w:rsid w:val="005B5E94"/>
    <w:rsid w:val="005B5FAD"/>
    <w:rsid w:val="005B786A"/>
    <w:rsid w:val="005B7E67"/>
    <w:rsid w:val="005C13B5"/>
    <w:rsid w:val="005C346C"/>
    <w:rsid w:val="005C4212"/>
    <w:rsid w:val="005D1A17"/>
    <w:rsid w:val="005D27B1"/>
    <w:rsid w:val="005D2C37"/>
    <w:rsid w:val="005D2D8B"/>
    <w:rsid w:val="005D381D"/>
    <w:rsid w:val="005D653B"/>
    <w:rsid w:val="005D7D2A"/>
    <w:rsid w:val="005E230A"/>
    <w:rsid w:val="005E230F"/>
    <w:rsid w:val="005E36EA"/>
    <w:rsid w:val="005E46EE"/>
    <w:rsid w:val="005E593C"/>
    <w:rsid w:val="005E6DFC"/>
    <w:rsid w:val="005F1332"/>
    <w:rsid w:val="005F6C95"/>
    <w:rsid w:val="005F79A7"/>
    <w:rsid w:val="0060030C"/>
    <w:rsid w:val="0060040D"/>
    <w:rsid w:val="00600919"/>
    <w:rsid w:val="00603369"/>
    <w:rsid w:val="006063E2"/>
    <w:rsid w:val="0060669A"/>
    <w:rsid w:val="006103EC"/>
    <w:rsid w:val="006118E8"/>
    <w:rsid w:val="00612234"/>
    <w:rsid w:val="006135A9"/>
    <w:rsid w:val="006135C1"/>
    <w:rsid w:val="006137B3"/>
    <w:rsid w:val="00613B94"/>
    <w:rsid w:val="00613CAE"/>
    <w:rsid w:val="00615872"/>
    <w:rsid w:val="006162E3"/>
    <w:rsid w:val="006168BB"/>
    <w:rsid w:val="00617B7B"/>
    <w:rsid w:val="006207DD"/>
    <w:rsid w:val="006257AB"/>
    <w:rsid w:val="00633ED1"/>
    <w:rsid w:val="006362BC"/>
    <w:rsid w:val="00641D36"/>
    <w:rsid w:val="00642EE5"/>
    <w:rsid w:val="006432ED"/>
    <w:rsid w:val="00643AC7"/>
    <w:rsid w:val="00645693"/>
    <w:rsid w:val="00645FAF"/>
    <w:rsid w:val="00650C0F"/>
    <w:rsid w:val="00651FF0"/>
    <w:rsid w:val="00652320"/>
    <w:rsid w:val="00654CBD"/>
    <w:rsid w:val="00656B2E"/>
    <w:rsid w:val="006603E5"/>
    <w:rsid w:val="006609C9"/>
    <w:rsid w:val="00660A94"/>
    <w:rsid w:val="00660E2A"/>
    <w:rsid w:val="00663F14"/>
    <w:rsid w:val="00664694"/>
    <w:rsid w:val="006660E5"/>
    <w:rsid w:val="00671359"/>
    <w:rsid w:val="00673D97"/>
    <w:rsid w:val="00673E29"/>
    <w:rsid w:val="00674AE3"/>
    <w:rsid w:val="00676A7F"/>
    <w:rsid w:val="00676ED0"/>
    <w:rsid w:val="006804C3"/>
    <w:rsid w:val="006846C9"/>
    <w:rsid w:val="00686FAA"/>
    <w:rsid w:val="00692F58"/>
    <w:rsid w:val="006956E5"/>
    <w:rsid w:val="00696653"/>
    <w:rsid w:val="00696F3D"/>
    <w:rsid w:val="00697333"/>
    <w:rsid w:val="006A67E6"/>
    <w:rsid w:val="006A6A13"/>
    <w:rsid w:val="006A6A49"/>
    <w:rsid w:val="006B0183"/>
    <w:rsid w:val="006B55FE"/>
    <w:rsid w:val="006B56BF"/>
    <w:rsid w:val="006B6DF8"/>
    <w:rsid w:val="006C337E"/>
    <w:rsid w:val="006C4BF8"/>
    <w:rsid w:val="006C573A"/>
    <w:rsid w:val="006C5DC2"/>
    <w:rsid w:val="006C602F"/>
    <w:rsid w:val="006C60DB"/>
    <w:rsid w:val="006C627E"/>
    <w:rsid w:val="006C69D7"/>
    <w:rsid w:val="006C7615"/>
    <w:rsid w:val="006D207A"/>
    <w:rsid w:val="006D45E4"/>
    <w:rsid w:val="006D4962"/>
    <w:rsid w:val="006D4CA6"/>
    <w:rsid w:val="006D5C27"/>
    <w:rsid w:val="006D7150"/>
    <w:rsid w:val="006E0059"/>
    <w:rsid w:val="006E1502"/>
    <w:rsid w:val="006E2D59"/>
    <w:rsid w:val="006E3F52"/>
    <w:rsid w:val="006E67FC"/>
    <w:rsid w:val="006E6EC6"/>
    <w:rsid w:val="006F26B9"/>
    <w:rsid w:val="006F29B9"/>
    <w:rsid w:val="006F34C3"/>
    <w:rsid w:val="006F5020"/>
    <w:rsid w:val="00700C8F"/>
    <w:rsid w:val="00701D29"/>
    <w:rsid w:val="007041F4"/>
    <w:rsid w:val="007043AE"/>
    <w:rsid w:val="00704BBD"/>
    <w:rsid w:val="007141B5"/>
    <w:rsid w:val="00720430"/>
    <w:rsid w:val="007213D9"/>
    <w:rsid w:val="00721A41"/>
    <w:rsid w:val="00721EF9"/>
    <w:rsid w:val="0072219B"/>
    <w:rsid w:val="00723A2F"/>
    <w:rsid w:val="007248F4"/>
    <w:rsid w:val="007252E0"/>
    <w:rsid w:val="00725652"/>
    <w:rsid w:val="00732455"/>
    <w:rsid w:val="0073258A"/>
    <w:rsid w:val="00732B60"/>
    <w:rsid w:val="007349CB"/>
    <w:rsid w:val="0073587C"/>
    <w:rsid w:val="00737385"/>
    <w:rsid w:val="0073753E"/>
    <w:rsid w:val="00742976"/>
    <w:rsid w:val="00742F8C"/>
    <w:rsid w:val="007459CC"/>
    <w:rsid w:val="00747EF1"/>
    <w:rsid w:val="00752FE5"/>
    <w:rsid w:val="00754776"/>
    <w:rsid w:val="00755373"/>
    <w:rsid w:val="007568C3"/>
    <w:rsid w:val="00762725"/>
    <w:rsid w:val="00762D43"/>
    <w:rsid w:val="00764706"/>
    <w:rsid w:val="007670D0"/>
    <w:rsid w:val="00772655"/>
    <w:rsid w:val="00776CD2"/>
    <w:rsid w:val="00783CE7"/>
    <w:rsid w:val="00784C7F"/>
    <w:rsid w:val="007914A9"/>
    <w:rsid w:val="00792394"/>
    <w:rsid w:val="007942D7"/>
    <w:rsid w:val="007A2DCA"/>
    <w:rsid w:val="007A430E"/>
    <w:rsid w:val="007A4C8A"/>
    <w:rsid w:val="007A571B"/>
    <w:rsid w:val="007A574C"/>
    <w:rsid w:val="007A59EC"/>
    <w:rsid w:val="007A67F9"/>
    <w:rsid w:val="007A6D1B"/>
    <w:rsid w:val="007B2BEF"/>
    <w:rsid w:val="007B2D8F"/>
    <w:rsid w:val="007B66D6"/>
    <w:rsid w:val="007B6E25"/>
    <w:rsid w:val="007B72B5"/>
    <w:rsid w:val="007B7516"/>
    <w:rsid w:val="007C32A8"/>
    <w:rsid w:val="007C476C"/>
    <w:rsid w:val="007D16D2"/>
    <w:rsid w:val="007D721B"/>
    <w:rsid w:val="007E0D2E"/>
    <w:rsid w:val="007E21F2"/>
    <w:rsid w:val="007E6123"/>
    <w:rsid w:val="007F08E4"/>
    <w:rsid w:val="007F0CFD"/>
    <w:rsid w:val="007F3473"/>
    <w:rsid w:val="008019BD"/>
    <w:rsid w:val="008026BA"/>
    <w:rsid w:val="00802A2C"/>
    <w:rsid w:val="00802F76"/>
    <w:rsid w:val="008032A3"/>
    <w:rsid w:val="0080467C"/>
    <w:rsid w:val="00804C12"/>
    <w:rsid w:val="0080549B"/>
    <w:rsid w:val="00812F08"/>
    <w:rsid w:val="00813804"/>
    <w:rsid w:val="0081443E"/>
    <w:rsid w:val="00815F7F"/>
    <w:rsid w:val="008219D4"/>
    <w:rsid w:val="00821DEE"/>
    <w:rsid w:val="00821E52"/>
    <w:rsid w:val="00827EA7"/>
    <w:rsid w:val="00837DC4"/>
    <w:rsid w:val="00840682"/>
    <w:rsid w:val="00842A3D"/>
    <w:rsid w:val="00845530"/>
    <w:rsid w:val="008462EB"/>
    <w:rsid w:val="008465CA"/>
    <w:rsid w:val="00850A7D"/>
    <w:rsid w:val="00851B9D"/>
    <w:rsid w:val="0085221C"/>
    <w:rsid w:val="008525EE"/>
    <w:rsid w:val="008531CB"/>
    <w:rsid w:val="0085572C"/>
    <w:rsid w:val="00856174"/>
    <w:rsid w:val="00862AE6"/>
    <w:rsid w:val="0086382C"/>
    <w:rsid w:val="00872B39"/>
    <w:rsid w:val="00876105"/>
    <w:rsid w:val="00880BCC"/>
    <w:rsid w:val="00881917"/>
    <w:rsid w:val="0088235B"/>
    <w:rsid w:val="00883AA8"/>
    <w:rsid w:val="00883AF4"/>
    <w:rsid w:val="00884E43"/>
    <w:rsid w:val="00884EC9"/>
    <w:rsid w:val="00885AF2"/>
    <w:rsid w:val="00885B1D"/>
    <w:rsid w:val="0088768C"/>
    <w:rsid w:val="00890AEB"/>
    <w:rsid w:val="008942D2"/>
    <w:rsid w:val="008A1DC9"/>
    <w:rsid w:val="008A228B"/>
    <w:rsid w:val="008A2A41"/>
    <w:rsid w:val="008A54C8"/>
    <w:rsid w:val="008A55E7"/>
    <w:rsid w:val="008A5B4C"/>
    <w:rsid w:val="008B15CC"/>
    <w:rsid w:val="008B2938"/>
    <w:rsid w:val="008B7EBC"/>
    <w:rsid w:val="008B7FCE"/>
    <w:rsid w:val="008C008D"/>
    <w:rsid w:val="008C1218"/>
    <w:rsid w:val="008C1810"/>
    <w:rsid w:val="008C1EC6"/>
    <w:rsid w:val="008C4A1E"/>
    <w:rsid w:val="008C55AD"/>
    <w:rsid w:val="008C5855"/>
    <w:rsid w:val="008D32AD"/>
    <w:rsid w:val="008E0FA4"/>
    <w:rsid w:val="008E254E"/>
    <w:rsid w:val="008E4260"/>
    <w:rsid w:val="008E6655"/>
    <w:rsid w:val="008F530A"/>
    <w:rsid w:val="008F6900"/>
    <w:rsid w:val="008F72A7"/>
    <w:rsid w:val="0090130B"/>
    <w:rsid w:val="00902F8E"/>
    <w:rsid w:val="00915663"/>
    <w:rsid w:val="00922F66"/>
    <w:rsid w:val="009230CE"/>
    <w:rsid w:val="0093188B"/>
    <w:rsid w:val="00933FA1"/>
    <w:rsid w:val="009340B9"/>
    <w:rsid w:val="00934475"/>
    <w:rsid w:val="00936058"/>
    <w:rsid w:val="00943C6D"/>
    <w:rsid w:val="00943CF5"/>
    <w:rsid w:val="0095026E"/>
    <w:rsid w:val="009511FF"/>
    <w:rsid w:val="00953571"/>
    <w:rsid w:val="009540DB"/>
    <w:rsid w:val="00955BEF"/>
    <w:rsid w:val="00960C63"/>
    <w:rsid w:val="00960F28"/>
    <w:rsid w:val="00961F9D"/>
    <w:rsid w:val="0097056B"/>
    <w:rsid w:val="0098196C"/>
    <w:rsid w:val="00982817"/>
    <w:rsid w:val="00982E50"/>
    <w:rsid w:val="00983D00"/>
    <w:rsid w:val="00984957"/>
    <w:rsid w:val="0098595C"/>
    <w:rsid w:val="0098634C"/>
    <w:rsid w:val="00987358"/>
    <w:rsid w:val="00987C22"/>
    <w:rsid w:val="00990378"/>
    <w:rsid w:val="00990989"/>
    <w:rsid w:val="009911AE"/>
    <w:rsid w:val="00992A14"/>
    <w:rsid w:val="00993F85"/>
    <w:rsid w:val="009A1116"/>
    <w:rsid w:val="009A1BA3"/>
    <w:rsid w:val="009A55D0"/>
    <w:rsid w:val="009A6890"/>
    <w:rsid w:val="009A7635"/>
    <w:rsid w:val="009A7F6D"/>
    <w:rsid w:val="009B25B2"/>
    <w:rsid w:val="009B58E6"/>
    <w:rsid w:val="009C36D0"/>
    <w:rsid w:val="009C3DA9"/>
    <w:rsid w:val="009D0ACF"/>
    <w:rsid w:val="009D20C6"/>
    <w:rsid w:val="009D32DD"/>
    <w:rsid w:val="009D4C88"/>
    <w:rsid w:val="009D710A"/>
    <w:rsid w:val="009E1F91"/>
    <w:rsid w:val="009E3BE3"/>
    <w:rsid w:val="009E3E5A"/>
    <w:rsid w:val="009E4106"/>
    <w:rsid w:val="009F0A55"/>
    <w:rsid w:val="009F0ED7"/>
    <w:rsid w:val="009F6999"/>
    <w:rsid w:val="009F7030"/>
    <w:rsid w:val="009F765A"/>
    <w:rsid w:val="009F77A2"/>
    <w:rsid w:val="00A00FE1"/>
    <w:rsid w:val="00A01932"/>
    <w:rsid w:val="00A021AA"/>
    <w:rsid w:val="00A02D1C"/>
    <w:rsid w:val="00A04487"/>
    <w:rsid w:val="00A06964"/>
    <w:rsid w:val="00A11CE3"/>
    <w:rsid w:val="00A12A08"/>
    <w:rsid w:val="00A13005"/>
    <w:rsid w:val="00A147D2"/>
    <w:rsid w:val="00A2214C"/>
    <w:rsid w:val="00A23973"/>
    <w:rsid w:val="00A25787"/>
    <w:rsid w:val="00A25C14"/>
    <w:rsid w:val="00A316D8"/>
    <w:rsid w:val="00A318F3"/>
    <w:rsid w:val="00A31CB8"/>
    <w:rsid w:val="00A31DCA"/>
    <w:rsid w:val="00A3598B"/>
    <w:rsid w:val="00A412F1"/>
    <w:rsid w:val="00A45C52"/>
    <w:rsid w:val="00A4632A"/>
    <w:rsid w:val="00A469A9"/>
    <w:rsid w:val="00A47283"/>
    <w:rsid w:val="00A473B5"/>
    <w:rsid w:val="00A50211"/>
    <w:rsid w:val="00A53D0B"/>
    <w:rsid w:val="00A54EAD"/>
    <w:rsid w:val="00A55105"/>
    <w:rsid w:val="00A5695D"/>
    <w:rsid w:val="00A61873"/>
    <w:rsid w:val="00A65106"/>
    <w:rsid w:val="00A66F24"/>
    <w:rsid w:val="00A700F8"/>
    <w:rsid w:val="00A7067E"/>
    <w:rsid w:val="00A72241"/>
    <w:rsid w:val="00A72D7C"/>
    <w:rsid w:val="00A845BF"/>
    <w:rsid w:val="00A85CE2"/>
    <w:rsid w:val="00A872A2"/>
    <w:rsid w:val="00A90C04"/>
    <w:rsid w:val="00A90E3F"/>
    <w:rsid w:val="00A94205"/>
    <w:rsid w:val="00A96FF7"/>
    <w:rsid w:val="00AA2018"/>
    <w:rsid w:val="00AA4FA4"/>
    <w:rsid w:val="00AA5FE9"/>
    <w:rsid w:val="00AA6686"/>
    <w:rsid w:val="00AA7002"/>
    <w:rsid w:val="00AB07FD"/>
    <w:rsid w:val="00AB49DE"/>
    <w:rsid w:val="00AB6AC2"/>
    <w:rsid w:val="00AC22C5"/>
    <w:rsid w:val="00AD0ADA"/>
    <w:rsid w:val="00AD12BA"/>
    <w:rsid w:val="00AE13F2"/>
    <w:rsid w:val="00AE1B1E"/>
    <w:rsid w:val="00AE39E6"/>
    <w:rsid w:val="00AF63E7"/>
    <w:rsid w:val="00AF7C27"/>
    <w:rsid w:val="00B00D63"/>
    <w:rsid w:val="00B04086"/>
    <w:rsid w:val="00B0523A"/>
    <w:rsid w:val="00B058B7"/>
    <w:rsid w:val="00B05E15"/>
    <w:rsid w:val="00B0765E"/>
    <w:rsid w:val="00B10A5B"/>
    <w:rsid w:val="00B11920"/>
    <w:rsid w:val="00B2042C"/>
    <w:rsid w:val="00B277AC"/>
    <w:rsid w:val="00B3142C"/>
    <w:rsid w:val="00B3319F"/>
    <w:rsid w:val="00B36C23"/>
    <w:rsid w:val="00B37132"/>
    <w:rsid w:val="00B374F3"/>
    <w:rsid w:val="00B41D3F"/>
    <w:rsid w:val="00B50007"/>
    <w:rsid w:val="00B53A87"/>
    <w:rsid w:val="00B548D7"/>
    <w:rsid w:val="00B5571F"/>
    <w:rsid w:val="00B6485D"/>
    <w:rsid w:val="00B652AF"/>
    <w:rsid w:val="00B652D9"/>
    <w:rsid w:val="00B709D8"/>
    <w:rsid w:val="00B754D1"/>
    <w:rsid w:val="00B75708"/>
    <w:rsid w:val="00B765D3"/>
    <w:rsid w:val="00B76A43"/>
    <w:rsid w:val="00B814C3"/>
    <w:rsid w:val="00B8608B"/>
    <w:rsid w:val="00B92340"/>
    <w:rsid w:val="00B93867"/>
    <w:rsid w:val="00BA0145"/>
    <w:rsid w:val="00BA7811"/>
    <w:rsid w:val="00BB1AC8"/>
    <w:rsid w:val="00BB3995"/>
    <w:rsid w:val="00BB7727"/>
    <w:rsid w:val="00BB7AC5"/>
    <w:rsid w:val="00BC1B23"/>
    <w:rsid w:val="00BC3D22"/>
    <w:rsid w:val="00BC57FE"/>
    <w:rsid w:val="00BC6EFD"/>
    <w:rsid w:val="00BC7F78"/>
    <w:rsid w:val="00BD05B8"/>
    <w:rsid w:val="00BD2D9B"/>
    <w:rsid w:val="00BD364D"/>
    <w:rsid w:val="00BD6ECF"/>
    <w:rsid w:val="00BE073F"/>
    <w:rsid w:val="00BE0D16"/>
    <w:rsid w:val="00BE0E8E"/>
    <w:rsid w:val="00BE3E70"/>
    <w:rsid w:val="00BE74D5"/>
    <w:rsid w:val="00BF1B79"/>
    <w:rsid w:val="00BF467E"/>
    <w:rsid w:val="00BF5FB2"/>
    <w:rsid w:val="00BF732C"/>
    <w:rsid w:val="00C003AC"/>
    <w:rsid w:val="00C0056A"/>
    <w:rsid w:val="00C0186B"/>
    <w:rsid w:val="00C02AB1"/>
    <w:rsid w:val="00C037B6"/>
    <w:rsid w:val="00C10A50"/>
    <w:rsid w:val="00C120F6"/>
    <w:rsid w:val="00C12392"/>
    <w:rsid w:val="00C12565"/>
    <w:rsid w:val="00C14C1F"/>
    <w:rsid w:val="00C150F5"/>
    <w:rsid w:val="00C15489"/>
    <w:rsid w:val="00C168FE"/>
    <w:rsid w:val="00C16E6C"/>
    <w:rsid w:val="00C2018B"/>
    <w:rsid w:val="00C30D47"/>
    <w:rsid w:val="00C31F1D"/>
    <w:rsid w:val="00C32153"/>
    <w:rsid w:val="00C3250D"/>
    <w:rsid w:val="00C32FC9"/>
    <w:rsid w:val="00C40266"/>
    <w:rsid w:val="00C43AD9"/>
    <w:rsid w:val="00C44AE6"/>
    <w:rsid w:val="00C455A6"/>
    <w:rsid w:val="00C47EBF"/>
    <w:rsid w:val="00C500DA"/>
    <w:rsid w:val="00C505B6"/>
    <w:rsid w:val="00C509B5"/>
    <w:rsid w:val="00C529D7"/>
    <w:rsid w:val="00C53070"/>
    <w:rsid w:val="00C54ED2"/>
    <w:rsid w:val="00C5644B"/>
    <w:rsid w:val="00C57CEC"/>
    <w:rsid w:val="00C603F4"/>
    <w:rsid w:val="00C613F0"/>
    <w:rsid w:val="00C61A23"/>
    <w:rsid w:val="00C62479"/>
    <w:rsid w:val="00C6337B"/>
    <w:rsid w:val="00C64947"/>
    <w:rsid w:val="00C66622"/>
    <w:rsid w:val="00C709D7"/>
    <w:rsid w:val="00C71F2A"/>
    <w:rsid w:val="00C727C9"/>
    <w:rsid w:val="00C7465E"/>
    <w:rsid w:val="00C80F97"/>
    <w:rsid w:val="00C82F5C"/>
    <w:rsid w:val="00C869CA"/>
    <w:rsid w:val="00C93515"/>
    <w:rsid w:val="00C95CCA"/>
    <w:rsid w:val="00CA0A44"/>
    <w:rsid w:val="00CA29F7"/>
    <w:rsid w:val="00CA4CFD"/>
    <w:rsid w:val="00CA748B"/>
    <w:rsid w:val="00CB3D87"/>
    <w:rsid w:val="00CD00BF"/>
    <w:rsid w:val="00CD0D7B"/>
    <w:rsid w:val="00CD1141"/>
    <w:rsid w:val="00CD147F"/>
    <w:rsid w:val="00CD2698"/>
    <w:rsid w:val="00CD3758"/>
    <w:rsid w:val="00CE0383"/>
    <w:rsid w:val="00CE0D19"/>
    <w:rsid w:val="00CE2F3F"/>
    <w:rsid w:val="00CE4F14"/>
    <w:rsid w:val="00CE5015"/>
    <w:rsid w:val="00CE76B1"/>
    <w:rsid w:val="00CE7FB8"/>
    <w:rsid w:val="00CF02F9"/>
    <w:rsid w:val="00CF5AD2"/>
    <w:rsid w:val="00CF7240"/>
    <w:rsid w:val="00D0721F"/>
    <w:rsid w:val="00D120C6"/>
    <w:rsid w:val="00D127D6"/>
    <w:rsid w:val="00D12DA1"/>
    <w:rsid w:val="00D14759"/>
    <w:rsid w:val="00D17BF2"/>
    <w:rsid w:val="00D21103"/>
    <w:rsid w:val="00D22A44"/>
    <w:rsid w:val="00D2364F"/>
    <w:rsid w:val="00D30F2A"/>
    <w:rsid w:val="00D32F46"/>
    <w:rsid w:val="00D33BA1"/>
    <w:rsid w:val="00D37278"/>
    <w:rsid w:val="00D412C6"/>
    <w:rsid w:val="00D5355E"/>
    <w:rsid w:val="00D54CEC"/>
    <w:rsid w:val="00D56977"/>
    <w:rsid w:val="00D642F5"/>
    <w:rsid w:val="00D672BA"/>
    <w:rsid w:val="00D7104E"/>
    <w:rsid w:val="00D71415"/>
    <w:rsid w:val="00D76A48"/>
    <w:rsid w:val="00D77596"/>
    <w:rsid w:val="00D80A4D"/>
    <w:rsid w:val="00D81EE6"/>
    <w:rsid w:val="00D832CD"/>
    <w:rsid w:val="00D83D18"/>
    <w:rsid w:val="00D84F10"/>
    <w:rsid w:val="00D85A21"/>
    <w:rsid w:val="00D90CB6"/>
    <w:rsid w:val="00D91017"/>
    <w:rsid w:val="00D969CF"/>
    <w:rsid w:val="00DA0ABF"/>
    <w:rsid w:val="00DA126C"/>
    <w:rsid w:val="00DA4D12"/>
    <w:rsid w:val="00DB00B7"/>
    <w:rsid w:val="00DB1876"/>
    <w:rsid w:val="00DB303D"/>
    <w:rsid w:val="00DB479E"/>
    <w:rsid w:val="00DB5BFA"/>
    <w:rsid w:val="00DB6487"/>
    <w:rsid w:val="00DB78DF"/>
    <w:rsid w:val="00DB7A39"/>
    <w:rsid w:val="00DC30B9"/>
    <w:rsid w:val="00DC6F3D"/>
    <w:rsid w:val="00DD1B37"/>
    <w:rsid w:val="00DD2672"/>
    <w:rsid w:val="00DD2808"/>
    <w:rsid w:val="00DD370C"/>
    <w:rsid w:val="00DE12D7"/>
    <w:rsid w:val="00DE2776"/>
    <w:rsid w:val="00DE5E54"/>
    <w:rsid w:val="00DE7E15"/>
    <w:rsid w:val="00DF465A"/>
    <w:rsid w:val="00E0195C"/>
    <w:rsid w:val="00E02B8A"/>
    <w:rsid w:val="00E0464A"/>
    <w:rsid w:val="00E04C2F"/>
    <w:rsid w:val="00E065CD"/>
    <w:rsid w:val="00E12FD1"/>
    <w:rsid w:val="00E136D7"/>
    <w:rsid w:val="00E14582"/>
    <w:rsid w:val="00E15445"/>
    <w:rsid w:val="00E15CA6"/>
    <w:rsid w:val="00E15DF2"/>
    <w:rsid w:val="00E1615D"/>
    <w:rsid w:val="00E17C75"/>
    <w:rsid w:val="00E17E8E"/>
    <w:rsid w:val="00E215A2"/>
    <w:rsid w:val="00E26ED9"/>
    <w:rsid w:val="00E275FD"/>
    <w:rsid w:val="00E27675"/>
    <w:rsid w:val="00E3052A"/>
    <w:rsid w:val="00E311C1"/>
    <w:rsid w:val="00E41239"/>
    <w:rsid w:val="00E415E9"/>
    <w:rsid w:val="00E42A3F"/>
    <w:rsid w:val="00E45A49"/>
    <w:rsid w:val="00E46B64"/>
    <w:rsid w:val="00E52246"/>
    <w:rsid w:val="00E56F42"/>
    <w:rsid w:val="00E60860"/>
    <w:rsid w:val="00E7029D"/>
    <w:rsid w:val="00E73EB7"/>
    <w:rsid w:val="00E76AE8"/>
    <w:rsid w:val="00E81DB1"/>
    <w:rsid w:val="00E83A6E"/>
    <w:rsid w:val="00E91D4E"/>
    <w:rsid w:val="00E93865"/>
    <w:rsid w:val="00E95DEC"/>
    <w:rsid w:val="00E96F3A"/>
    <w:rsid w:val="00E9789C"/>
    <w:rsid w:val="00EA535B"/>
    <w:rsid w:val="00EA561C"/>
    <w:rsid w:val="00EB1230"/>
    <w:rsid w:val="00EB3A60"/>
    <w:rsid w:val="00EB5FD4"/>
    <w:rsid w:val="00EB736A"/>
    <w:rsid w:val="00EB7DA4"/>
    <w:rsid w:val="00EC715C"/>
    <w:rsid w:val="00ED06B9"/>
    <w:rsid w:val="00ED0E1F"/>
    <w:rsid w:val="00ED1872"/>
    <w:rsid w:val="00EE1943"/>
    <w:rsid w:val="00EE3F22"/>
    <w:rsid w:val="00EE570C"/>
    <w:rsid w:val="00EE773C"/>
    <w:rsid w:val="00EF1E42"/>
    <w:rsid w:val="00EF4996"/>
    <w:rsid w:val="00EF4E37"/>
    <w:rsid w:val="00F00940"/>
    <w:rsid w:val="00F03720"/>
    <w:rsid w:val="00F0396E"/>
    <w:rsid w:val="00F07FF1"/>
    <w:rsid w:val="00F1198F"/>
    <w:rsid w:val="00F1319A"/>
    <w:rsid w:val="00F1589A"/>
    <w:rsid w:val="00F20431"/>
    <w:rsid w:val="00F22747"/>
    <w:rsid w:val="00F2428C"/>
    <w:rsid w:val="00F306B5"/>
    <w:rsid w:val="00F3166F"/>
    <w:rsid w:val="00F337F8"/>
    <w:rsid w:val="00F3530C"/>
    <w:rsid w:val="00F41CC5"/>
    <w:rsid w:val="00F42B2C"/>
    <w:rsid w:val="00F45DE1"/>
    <w:rsid w:val="00F46876"/>
    <w:rsid w:val="00F52647"/>
    <w:rsid w:val="00F538F5"/>
    <w:rsid w:val="00F55190"/>
    <w:rsid w:val="00F57B61"/>
    <w:rsid w:val="00F57D99"/>
    <w:rsid w:val="00F62525"/>
    <w:rsid w:val="00F6309C"/>
    <w:rsid w:val="00F63A2F"/>
    <w:rsid w:val="00F65556"/>
    <w:rsid w:val="00F67222"/>
    <w:rsid w:val="00F70A91"/>
    <w:rsid w:val="00F7171A"/>
    <w:rsid w:val="00F7225E"/>
    <w:rsid w:val="00F7498D"/>
    <w:rsid w:val="00F754DD"/>
    <w:rsid w:val="00F75C68"/>
    <w:rsid w:val="00F75E33"/>
    <w:rsid w:val="00F76093"/>
    <w:rsid w:val="00F816A6"/>
    <w:rsid w:val="00F8376F"/>
    <w:rsid w:val="00F84C43"/>
    <w:rsid w:val="00F87D34"/>
    <w:rsid w:val="00F92F11"/>
    <w:rsid w:val="00F94F00"/>
    <w:rsid w:val="00FA0393"/>
    <w:rsid w:val="00FA1145"/>
    <w:rsid w:val="00FA1C4C"/>
    <w:rsid w:val="00FA214F"/>
    <w:rsid w:val="00FA7AF4"/>
    <w:rsid w:val="00FA7BC5"/>
    <w:rsid w:val="00FB0390"/>
    <w:rsid w:val="00FB07F7"/>
    <w:rsid w:val="00FB49DF"/>
    <w:rsid w:val="00FB78AC"/>
    <w:rsid w:val="00FB7A59"/>
    <w:rsid w:val="00FB7DEE"/>
    <w:rsid w:val="00FC207F"/>
    <w:rsid w:val="00FC24C8"/>
    <w:rsid w:val="00FC438C"/>
    <w:rsid w:val="00FC502E"/>
    <w:rsid w:val="00FC593D"/>
    <w:rsid w:val="00FD1BC2"/>
    <w:rsid w:val="00FD61C3"/>
    <w:rsid w:val="00FE3A1A"/>
    <w:rsid w:val="00FE5CBA"/>
    <w:rsid w:val="00FE7D7C"/>
    <w:rsid w:val="00FF1C0C"/>
    <w:rsid w:val="00FF385B"/>
    <w:rsid w:val="00FF3CEA"/>
    <w:rsid w:val="00FF45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AB11ED"/>
  <w15:chartTrackingRefBased/>
  <w15:docId w15:val="{523ECF6C-B2DA-4DA2-801D-9BF91295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TC Avant Garde" w:eastAsiaTheme="minorHAnsi" w:hAnsi="ITC Avant Garde"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12E"/>
    <w:pPr>
      <w:spacing w:after="120" w:line="300" w:lineRule="auto"/>
      <w:jc w:val="both"/>
    </w:pPr>
    <w:rPr>
      <w:rFonts w:eastAsiaTheme="minorEastAsia"/>
    </w:rPr>
  </w:style>
  <w:style w:type="paragraph" w:styleId="Ttulo1">
    <w:name w:val="heading 1"/>
    <w:basedOn w:val="Normal"/>
    <w:next w:val="Normal"/>
    <w:link w:val="Ttulo1Car"/>
    <w:uiPriority w:val="9"/>
    <w:qFormat/>
    <w:rsid w:val="007B2D8F"/>
    <w:pPr>
      <w:keepNext/>
      <w:spacing w:before="240" w:line="264" w:lineRule="auto"/>
      <w:outlineLvl w:val="0"/>
    </w:pPr>
    <w:rPr>
      <w:rFonts w:eastAsia="Arial" w:cs="Arial"/>
      <w:b/>
      <w:smallCaps/>
      <w:sz w:val="24"/>
      <w:szCs w:val="16"/>
      <w:lang w:val="es-ES_tradnl"/>
    </w:rPr>
  </w:style>
  <w:style w:type="paragraph" w:styleId="Ttulo2">
    <w:name w:val="heading 2"/>
    <w:basedOn w:val="Normal"/>
    <w:next w:val="Normal"/>
    <w:link w:val="Ttulo2Car"/>
    <w:uiPriority w:val="9"/>
    <w:unhideWhenUsed/>
    <w:qFormat/>
    <w:rsid w:val="00E12FD1"/>
    <w:pPr>
      <w:spacing w:line="276" w:lineRule="auto"/>
      <w:outlineLvl w:val="1"/>
    </w:pPr>
    <w:rPr>
      <w:rFonts w:eastAsia="Arial" w:cs="Arial"/>
      <w:b/>
      <w:szCs w:val="14"/>
      <w:lang w:val="es-ES_tradnl"/>
    </w:rPr>
  </w:style>
  <w:style w:type="paragraph" w:styleId="Ttulo3">
    <w:name w:val="heading 3"/>
    <w:basedOn w:val="Normal"/>
    <w:next w:val="Normal"/>
    <w:link w:val="Ttulo3Car"/>
    <w:uiPriority w:val="9"/>
    <w:unhideWhenUsed/>
    <w:qFormat/>
    <w:rsid w:val="000E5E59"/>
    <w:pPr>
      <w:keepNext/>
      <w:keepLines/>
      <w:numPr>
        <w:ilvl w:val="2"/>
        <w:numId w:val="2"/>
      </w:numPr>
      <w:spacing w:before="200" w:after="0"/>
      <w:outlineLvl w:val="2"/>
    </w:pPr>
    <w:rPr>
      <w:rFonts w:asciiTheme="majorHAnsi" w:eastAsiaTheme="majorEastAsia" w:hAnsiTheme="majorHAnsi" w:cstheme="majorBidi"/>
      <w:b/>
      <w:bCs/>
      <w:color w:val="5B9BD5" w:themeColor="accent1"/>
      <w:sz w:val="24"/>
    </w:rPr>
  </w:style>
  <w:style w:type="paragraph" w:styleId="Ttulo4">
    <w:name w:val="heading 4"/>
    <w:basedOn w:val="Normal"/>
    <w:next w:val="Normal"/>
    <w:link w:val="Ttulo4Car"/>
    <w:uiPriority w:val="9"/>
    <w:unhideWhenUsed/>
    <w:qFormat/>
    <w:rsid w:val="000E5E59"/>
    <w:pPr>
      <w:keepNext/>
      <w:keepLines/>
      <w:numPr>
        <w:ilvl w:val="3"/>
        <w:numId w:val="2"/>
      </w:numPr>
      <w:spacing w:before="200"/>
      <w:outlineLvl w:val="3"/>
    </w:pPr>
    <w:rPr>
      <w:rFonts w:asciiTheme="majorHAnsi" w:eastAsiaTheme="majorEastAsia" w:hAnsiTheme="majorHAnsi" w:cstheme="majorBidi"/>
      <w:b/>
      <w:bCs/>
      <w:i/>
      <w:iCs/>
      <w:color w:val="000000" w:themeColor="text1"/>
    </w:rPr>
  </w:style>
  <w:style w:type="paragraph" w:styleId="Ttulo5">
    <w:name w:val="heading 5"/>
    <w:basedOn w:val="Ttulo4"/>
    <w:next w:val="Normal"/>
    <w:link w:val="Ttulo5Car"/>
    <w:uiPriority w:val="9"/>
    <w:unhideWhenUsed/>
    <w:qFormat/>
    <w:rsid w:val="000E5E59"/>
    <w:pPr>
      <w:numPr>
        <w:ilvl w:val="0"/>
        <w:numId w:val="0"/>
      </w:numPr>
      <w:outlineLvl w:val="4"/>
    </w:pPr>
  </w:style>
  <w:style w:type="paragraph" w:styleId="Ttulo6">
    <w:name w:val="heading 6"/>
    <w:basedOn w:val="Normal"/>
    <w:next w:val="Normal"/>
    <w:link w:val="Ttulo6Car"/>
    <w:uiPriority w:val="9"/>
    <w:unhideWhenUsed/>
    <w:qFormat/>
    <w:rsid w:val="000E5E59"/>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0E5E5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F70A91"/>
    <w:pPr>
      <w:pBdr>
        <w:bottom w:val="double" w:sz="4" w:space="1" w:color="auto"/>
      </w:pBdr>
    </w:pPr>
  </w:style>
  <w:style w:type="character" w:customStyle="1" w:styleId="Estilo1Car">
    <w:name w:val="Estilo1 Car"/>
    <w:basedOn w:val="Fuentedeprrafopredeter"/>
    <w:link w:val="Estilo1"/>
    <w:rsid w:val="00F70A91"/>
    <w:rPr>
      <w:rFonts w:ascii="ITC Avant Garde" w:hAnsi="ITC Avant Garde"/>
    </w:rPr>
  </w:style>
  <w:style w:type="character" w:customStyle="1" w:styleId="Ttulo1Car">
    <w:name w:val="Título 1 Car"/>
    <w:basedOn w:val="Fuentedeprrafopredeter"/>
    <w:link w:val="Ttulo1"/>
    <w:uiPriority w:val="9"/>
    <w:rsid w:val="007B2D8F"/>
    <w:rPr>
      <w:rFonts w:eastAsia="Arial" w:cs="Arial"/>
      <w:b/>
      <w:smallCaps/>
      <w:sz w:val="24"/>
      <w:szCs w:val="16"/>
      <w:lang w:val="es-ES_tradnl"/>
    </w:rPr>
  </w:style>
  <w:style w:type="character" w:customStyle="1" w:styleId="Ttulo2Car">
    <w:name w:val="Título 2 Car"/>
    <w:basedOn w:val="Fuentedeprrafopredeter"/>
    <w:link w:val="Ttulo2"/>
    <w:uiPriority w:val="9"/>
    <w:rsid w:val="00E12FD1"/>
    <w:rPr>
      <w:rFonts w:eastAsia="Arial" w:cs="Arial"/>
      <w:b/>
      <w:szCs w:val="14"/>
      <w:lang w:val="es-ES_tradnl"/>
    </w:rPr>
  </w:style>
  <w:style w:type="character" w:customStyle="1" w:styleId="Ttulo3Car">
    <w:name w:val="Título 3 Car"/>
    <w:basedOn w:val="Fuentedeprrafopredeter"/>
    <w:link w:val="Ttulo3"/>
    <w:uiPriority w:val="9"/>
    <w:rsid w:val="000E5E59"/>
    <w:rPr>
      <w:rFonts w:asciiTheme="majorHAnsi" w:eastAsiaTheme="majorEastAsia" w:hAnsiTheme="majorHAnsi" w:cstheme="majorBidi"/>
      <w:b/>
      <w:bCs/>
      <w:color w:val="5B9BD5" w:themeColor="accent1"/>
      <w:sz w:val="24"/>
    </w:rPr>
  </w:style>
  <w:style w:type="character" w:customStyle="1" w:styleId="Ttulo4Car">
    <w:name w:val="Título 4 Car"/>
    <w:basedOn w:val="Fuentedeprrafopredeter"/>
    <w:link w:val="Ttulo4"/>
    <w:uiPriority w:val="9"/>
    <w:rsid w:val="000E5E59"/>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rsid w:val="000E5E59"/>
    <w:rPr>
      <w:rFonts w:asciiTheme="majorHAnsi" w:eastAsiaTheme="majorEastAsia" w:hAnsiTheme="majorHAnsi" w:cstheme="majorBidi"/>
      <w:b/>
      <w:bCs/>
      <w:i/>
      <w:iCs/>
      <w:color w:val="000000" w:themeColor="text1"/>
    </w:rPr>
  </w:style>
  <w:style w:type="character" w:customStyle="1" w:styleId="Ttulo6Car">
    <w:name w:val="Título 6 Car"/>
    <w:basedOn w:val="Fuentedeprrafopredeter"/>
    <w:link w:val="Ttulo6"/>
    <w:uiPriority w:val="9"/>
    <w:rsid w:val="000E5E59"/>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0E5E59"/>
    <w:rPr>
      <w:rFonts w:asciiTheme="majorHAnsi" w:eastAsiaTheme="majorEastAsia" w:hAnsiTheme="majorHAnsi" w:cstheme="majorBidi"/>
      <w:i/>
      <w:iCs/>
      <w:color w:val="404040" w:themeColor="text1" w:themeTint="BF"/>
    </w:rPr>
  </w:style>
  <w:style w:type="paragraph" w:customStyle="1" w:styleId="PiedePgina">
    <w:name w:val="Pie de Página"/>
    <w:basedOn w:val="Sinespaciado"/>
    <w:link w:val="PiedePginaCar"/>
    <w:qFormat/>
    <w:rsid w:val="000E5E59"/>
    <w:pPr>
      <w:spacing w:line="160" w:lineRule="atLeast"/>
    </w:pPr>
    <w:rPr>
      <w:bCs/>
      <w:sz w:val="16"/>
      <w:szCs w:val="16"/>
    </w:rPr>
  </w:style>
  <w:style w:type="character" w:customStyle="1" w:styleId="PiedePginaCar">
    <w:name w:val="Pie de Página Car"/>
    <w:basedOn w:val="Fuentedeprrafopredeter"/>
    <w:link w:val="PiedePgina"/>
    <w:rsid w:val="000E5E59"/>
    <w:rPr>
      <w:bCs/>
      <w:sz w:val="16"/>
      <w:szCs w:val="16"/>
    </w:rPr>
  </w:style>
  <w:style w:type="paragraph" w:styleId="Sinespaciado">
    <w:name w:val="No Spacing"/>
    <w:link w:val="SinespaciadoCar"/>
    <w:uiPriority w:val="1"/>
    <w:qFormat/>
    <w:rsid w:val="000E5E59"/>
    <w:pPr>
      <w:spacing w:after="0" w:line="240" w:lineRule="auto"/>
    </w:pPr>
  </w:style>
  <w:style w:type="paragraph" w:customStyle="1" w:styleId="Titulos">
    <w:name w:val="Titulos"/>
    <w:basedOn w:val="Normal"/>
    <w:link w:val="TitulosCar"/>
    <w:qFormat/>
    <w:rsid w:val="000E5E59"/>
    <w:pPr>
      <w:spacing w:after="0" w:line="240" w:lineRule="auto"/>
    </w:pPr>
    <w:rPr>
      <w:rFonts w:eastAsiaTheme="minorHAnsi"/>
      <w:b/>
      <w:color w:val="44546A" w:themeColor="text2"/>
    </w:rPr>
  </w:style>
  <w:style w:type="character" w:customStyle="1" w:styleId="TitulosCar">
    <w:name w:val="Titulos Car"/>
    <w:basedOn w:val="Fuentedeprrafopredeter"/>
    <w:link w:val="Titulos"/>
    <w:rsid w:val="000E5E59"/>
    <w:rPr>
      <w:b/>
      <w:color w:val="44546A" w:themeColor="text2"/>
    </w:rPr>
  </w:style>
  <w:style w:type="character" w:customStyle="1" w:styleId="SinespaciadoCar">
    <w:name w:val="Sin espaciado Car"/>
    <w:basedOn w:val="Fuentedeprrafopredeter"/>
    <w:link w:val="Sinespaciado"/>
    <w:uiPriority w:val="1"/>
    <w:rsid w:val="000E5E59"/>
  </w:style>
  <w:style w:type="paragraph" w:styleId="Piedepgina0">
    <w:name w:val="footer"/>
    <w:basedOn w:val="Normal"/>
    <w:link w:val="PiedepginaCar0"/>
    <w:uiPriority w:val="99"/>
    <w:unhideWhenUsed/>
    <w:rsid w:val="0041214B"/>
    <w:pPr>
      <w:tabs>
        <w:tab w:val="center" w:pos="4419"/>
        <w:tab w:val="right" w:pos="8838"/>
      </w:tabs>
      <w:spacing w:after="0" w:line="240" w:lineRule="auto"/>
    </w:pPr>
  </w:style>
  <w:style w:type="character" w:customStyle="1" w:styleId="PiedepginaCar0">
    <w:name w:val="Pie de página Car"/>
    <w:basedOn w:val="Fuentedeprrafopredeter"/>
    <w:link w:val="Piedepgina0"/>
    <w:uiPriority w:val="99"/>
    <w:rsid w:val="0041214B"/>
    <w:rPr>
      <w:rFonts w:eastAsiaTheme="minorEastAsia"/>
    </w:rPr>
  </w:style>
  <w:style w:type="paragraph" w:styleId="Encabezado">
    <w:name w:val="header"/>
    <w:basedOn w:val="Normal"/>
    <w:link w:val="EncabezadoCar"/>
    <w:uiPriority w:val="99"/>
    <w:unhideWhenUsed/>
    <w:rsid w:val="004121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214B"/>
    <w:rPr>
      <w:rFonts w:eastAsiaTheme="minorEastAsia"/>
    </w:rPr>
  </w:style>
  <w:style w:type="table" w:styleId="Tablaconcuadrcula">
    <w:name w:val="Table Grid"/>
    <w:basedOn w:val="Tablanormal"/>
    <w:rsid w:val="0041214B"/>
    <w:pPr>
      <w:spacing w:after="0" w:line="240" w:lineRule="auto"/>
    </w:pPr>
    <w:rPr>
      <w:rFonts w:ascii="Arial" w:hAnsi="Arial" w:cs="Arial"/>
      <w:color w:val="37424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ullet1">
    <w:name w:val="~ListNumBullet1"/>
    <w:basedOn w:val="Normal"/>
    <w:next w:val="Normal"/>
    <w:uiPriority w:val="3"/>
    <w:qFormat/>
    <w:rsid w:val="0041214B"/>
    <w:pPr>
      <w:numPr>
        <w:numId w:val="4"/>
      </w:numPr>
      <w:tabs>
        <w:tab w:val="clear" w:pos="340"/>
        <w:tab w:val="num" w:pos="360"/>
      </w:tabs>
      <w:spacing w:before="60" w:after="60" w:line="264" w:lineRule="auto"/>
      <w:ind w:left="0" w:firstLine="0"/>
    </w:pPr>
    <w:rPr>
      <w:rFonts w:eastAsia="Arial" w:cs="Arial"/>
      <w:lang w:val="es-ES_tradnl"/>
    </w:rPr>
  </w:style>
  <w:style w:type="numbering" w:customStyle="1" w:styleId="ListNumStyle">
    <w:name w:val="~ListNumStyle"/>
    <w:uiPriority w:val="99"/>
    <w:rsid w:val="0041214B"/>
    <w:pPr>
      <w:numPr>
        <w:numId w:val="3"/>
      </w:numPr>
    </w:pPr>
  </w:style>
  <w:style w:type="table" w:customStyle="1" w:styleId="Tablaconcuadrcula1">
    <w:name w:val="Tabla con cuadrícula1"/>
    <w:basedOn w:val="Tablanormal"/>
    <w:next w:val="Tablaconcuadrcula"/>
    <w:uiPriority w:val="39"/>
    <w:rsid w:val="0041214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Romano,Estilo0,CNBV Parrafo1,4 Viñ 1nivel,prueba1,Numeración 1,Cuadrícula media 1 - Énfasis 21,Romanos,Listas,lp1"/>
    <w:basedOn w:val="Normal"/>
    <w:link w:val="PrrafodelistaCar"/>
    <w:uiPriority w:val="34"/>
    <w:qFormat/>
    <w:rsid w:val="0041214B"/>
    <w:pPr>
      <w:numPr>
        <w:numId w:val="5"/>
      </w:numPr>
      <w:spacing w:before="120" w:line="264" w:lineRule="auto"/>
      <w:contextualSpacing/>
    </w:pPr>
    <w:rPr>
      <w:rFonts w:eastAsia="Arial" w:cs="Arial"/>
    </w:rPr>
  </w:style>
  <w:style w:type="paragraph" w:styleId="Cita">
    <w:name w:val="Quote"/>
    <w:basedOn w:val="Normal"/>
    <w:next w:val="Normal"/>
    <w:link w:val="CitaCar"/>
    <w:uiPriority w:val="29"/>
    <w:qFormat/>
    <w:rsid w:val="0041214B"/>
    <w:pPr>
      <w:spacing w:before="40" w:after="200" w:line="276" w:lineRule="auto"/>
      <w:ind w:left="1416" w:right="567"/>
    </w:pPr>
    <w:rPr>
      <w:rFonts w:eastAsia="Arial" w:cs="Arial"/>
      <w:i/>
      <w:sz w:val="18"/>
    </w:rPr>
  </w:style>
  <w:style w:type="character" w:customStyle="1" w:styleId="CitaCar">
    <w:name w:val="Cita Car"/>
    <w:basedOn w:val="Fuentedeprrafopredeter"/>
    <w:link w:val="Cita"/>
    <w:uiPriority w:val="29"/>
    <w:rsid w:val="0041214B"/>
    <w:rPr>
      <w:rFonts w:eastAsia="Arial" w:cs="Arial"/>
      <w:i/>
      <w:sz w:val="18"/>
    </w:rPr>
  </w:style>
  <w:style w:type="character" w:styleId="Refdenotaalpie">
    <w:name w:val="footnote reference"/>
    <w:aliases w:val="~FootnoteRef,Ref. de nota al pie 2,Footnotes refss,Texto de nota al pie,Ref,de nota al pie,Appel note de bas de page,fr,(NECG) Footnote Reference,o,Appel note de bas de p,Style 12,Style 124,Style 13,Style 3,Style 17,FR,callout,Italic"/>
    <w:basedOn w:val="Fuentedeprrafopredeter"/>
    <w:uiPriority w:val="19"/>
    <w:qFormat/>
    <w:rsid w:val="00A473B5"/>
    <w:rPr>
      <w:rFonts w:asciiTheme="minorHAnsi" w:hAnsiTheme="minorHAnsi"/>
      <w:color w:val="5B9BD5" w:themeColor="accent1"/>
      <w:vertAlign w:val="superscript"/>
    </w:rPr>
  </w:style>
  <w:style w:type="paragraph" w:styleId="Textonotapie">
    <w:name w:val="footnote text"/>
    <w:aliases w:val="~FootnoteText,Pie depágina,Footnote Text Char1,Footnote Text Char Char1,Footnote Text Char4 Char Char,Footnote Text Char1 Char1 Char1 Char,Footnote Text Char Char1 Char1 Char Char,Footnote Text Char1 Char1 Char1 Char Char Char1,fn"/>
    <w:basedOn w:val="Sinespaciado"/>
    <w:link w:val="TextonotapieCar"/>
    <w:uiPriority w:val="19"/>
    <w:qFormat/>
    <w:rsid w:val="00A473B5"/>
    <w:pPr>
      <w:spacing w:before="60"/>
      <w:ind w:left="284" w:hanging="284"/>
    </w:pPr>
    <w:rPr>
      <w:rFonts w:asciiTheme="minorHAnsi" w:hAnsiTheme="minorHAnsi" w:cs="Arial"/>
      <w:color w:val="44546A" w:themeColor="text2"/>
      <w:sz w:val="16"/>
      <w:lang w:val="es-ES_tradnl"/>
    </w:rPr>
  </w:style>
  <w:style w:type="character" w:customStyle="1" w:styleId="TextonotapieCar">
    <w:name w:val="Texto nota pie Car"/>
    <w:aliases w:val="~FootnoteText Car,Pie depágina Car,Footnote Text Char1 Car,Footnote Text Char Char1 Car,Footnote Text Char4 Char Char Car,Footnote Text Char1 Char1 Char1 Char Car,Footnote Text Char Char1 Char1 Char Char Car,fn Car"/>
    <w:basedOn w:val="Fuentedeprrafopredeter"/>
    <w:link w:val="Textonotapie"/>
    <w:uiPriority w:val="19"/>
    <w:rsid w:val="00A473B5"/>
    <w:rPr>
      <w:rFonts w:asciiTheme="minorHAnsi" w:hAnsiTheme="minorHAnsi" w:cs="Arial"/>
      <w:color w:val="44546A" w:themeColor="text2"/>
      <w:sz w:val="16"/>
      <w:lang w:val="es-ES_tradnl"/>
    </w:rPr>
  </w:style>
  <w:style w:type="paragraph" w:customStyle="1" w:styleId="7CitaTextual">
    <w:name w:val="7 Cita Textual"/>
    <w:basedOn w:val="Normal"/>
    <w:link w:val="7CitaTextualCar"/>
    <w:qFormat/>
    <w:rsid w:val="00C505B6"/>
    <w:pPr>
      <w:spacing w:before="40" w:after="200" w:line="276" w:lineRule="auto"/>
      <w:ind w:left="567" w:right="567"/>
    </w:pPr>
    <w:rPr>
      <w:rFonts w:eastAsiaTheme="minorHAnsi"/>
      <w:i/>
      <w:sz w:val="18"/>
    </w:rPr>
  </w:style>
  <w:style w:type="character" w:customStyle="1" w:styleId="7CitaTextualCar">
    <w:name w:val="7 Cita Textual Car"/>
    <w:basedOn w:val="Fuentedeprrafopredeter"/>
    <w:link w:val="7CitaTextual"/>
    <w:rsid w:val="00C505B6"/>
    <w:rPr>
      <w:i/>
      <w:sz w:val="18"/>
    </w:rPr>
  </w:style>
  <w:style w:type="paragraph" w:customStyle="1" w:styleId="ParaNumBullet1">
    <w:name w:val="~ParaNumBullet1"/>
    <w:basedOn w:val="Normal"/>
    <w:uiPriority w:val="3"/>
    <w:rsid w:val="00C505B6"/>
    <w:pPr>
      <w:numPr>
        <w:numId w:val="6"/>
      </w:numPr>
      <w:spacing w:before="120" w:line="276" w:lineRule="auto"/>
    </w:pPr>
    <w:rPr>
      <w:rFonts w:eastAsia="Calibri" w:cs="Arial"/>
      <w:lang w:val="en-GB"/>
    </w:rPr>
  </w:style>
  <w:style w:type="paragraph" w:customStyle="1" w:styleId="ParaNumBullet2">
    <w:name w:val="~ParaNumBullet2"/>
    <w:basedOn w:val="ParaNumBullet1"/>
    <w:uiPriority w:val="3"/>
    <w:rsid w:val="00C505B6"/>
    <w:pPr>
      <w:numPr>
        <w:ilvl w:val="1"/>
      </w:numPr>
    </w:pPr>
  </w:style>
  <w:style w:type="paragraph" w:customStyle="1" w:styleId="ParaNumBullet3">
    <w:name w:val="~ParaNumBullet3"/>
    <w:basedOn w:val="ParaNumBullet2"/>
    <w:uiPriority w:val="3"/>
    <w:rsid w:val="00C505B6"/>
    <w:pPr>
      <w:numPr>
        <w:ilvl w:val="2"/>
      </w:numPr>
    </w:pPr>
  </w:style>
  <w:style w:type="character" w:styleId="Refdecomentario">
    <w:name w:val="annotation reference"/>
    <w:basedOn w:val="Fuentedeprrafopredeter"/>
    <w:uiPriority w:val="99"/>
    <w:semiHidden/>
    <w:unhideWhenUsed/>
    <w:rsid w:val="00314CF0"/>
    <w:rPr>
      <w:sz w:val="16"/>
      <w:szCs w:val="16"/>
    </w:rPr>
  </w:style>
  <w:style w:type="paragraph" w:styleId="Textocomentario">
    <w:name w:val="annotation text"/>
    <w:basedOn w:val="Normal"/>
    <w:link w:val="TextocomentarioCar"/>
    <w:uiPriority w:val="99"/>
    <w:unhideWhenUsed/>
    <w:rsid w:val="00314CF0"/>
    <w:pPr>
      <w:spacing w:line="240" w:lineRule="auto"/>
    </w:pPr>
    <w:rPr>
      <w:sz w:val="20"/>
      <w:szCs w:val="20"/>
    </w:rPr>
  </w:style>
  <w:style w:type="character" w:customStyle="1" w:styleId="TextocomentarioCar">
    <w:name w:val="Texto comentario Car"/>
    <w:basedOn w:val="Fuentedeprrafopredeter"/>
    <w:link w:val="Textocomentario"/>
    <w:uiPriority w:val="99"/>
    <w:rsid w:val="00314CF0"/>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314CF0"/>
    <w:rPr>
      <w:b/>
      <w:bCs/>
    </w:rPr>
  </w:style>
  <w:style w:type="character" w:customStyle="1" w:styleId="AsuntodelcomentarioCar">
    <w:name w:val="Asunto del comentario Car"/>
    <w:basedOn w:val="TextocomentarioCar"/>
    <w:link w:val="Asuntodelcomentario"/>
    <w:uiPriority w:val="99"/>
    <w:semiHidden/>
    <w:rsid w:val="00314CF0"/>
    <w:rPr>
      <w:rFonts w:eastAsiaTheme="minorEastAsia"/>
      <w:b/>
      <w:bCs/>
      <w:sz w:val="20"/>
      <w:szCs w:val="20"/>
    </w:rPr>
  </w:style>
  <w:style w:type="paragraph" w:styleId="Textodeglobo">
    <w:name w:val="Balloon Text"/>
    <w:basedOn w:val="Normal"/>
    <w:link w:val="TextodegloboCar"/>
    <w:uiPriority w:val="99"/>
    <w:semiHidden/>
    <w:unhideWhenUsed/>
    <w:rsid w:val="0031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4CF0"/>
    <w:rPr>
      <w:rFonts w:ascii="Segoe UI" w:eastAsiaTheme="minorEastAsia" w:hAnsi="Segoe UI" w:cs="Segoe UI"/>
      <w:sz w:val="18"/>
      <w:szCs w:val="18"/>
    </w:rPr>
  </w:style>
  <w:style w:type="character" w:styleId="Hipervnculo">
    <w:name w:val="Hyperlink"/>
    <w:basedOn w:val="Fuentedeprrafopredeter"/>
    <w:uiPriority w:val="99"/>
    <w:unhideWhenUsed/>
    <w:rsid w:val="00057942"/>
    <w:rPr>
      <w:color w:val="0563C1" w:themeColor="hyperlink"/>
      <w:u w:val="single"/>
    </w:rPr>
  </w:style>
  <w:style w:type="paragraph" w:customStyle="1" w:styleId="ParaBullet1">
    <w:name w:val="~ParaBullet1"/>
    <w:basedOn w:val="Normal"/>
    <w:uiPriority w:val="3"/>
    <w:qFormat/>
    <w:rsid w:val="004D14D1"/>
    <w:pPr>
      <w:spacing w:before="120" w:line="264" w:lineRule="auto"/>
    </w:pPr>
    <w:rPr>
      <w:rFonts w:asciiTheme="minorHAnsi" w:eastAsia="Calibri" w:hAnsiTheme="minorHAnsi" w:cs="Arial"/>
      <w:color w:val="000000" w:themeColor="text1"/>
      <w:lang w:val="es-ES_tradnl"/>
    </w:rPr>
  </w:style>
  <w:style w:type="paragraph" w:customStyle="1" w:styleId="ParaBullet2">
    <w:name w:val="~ParaBullet2"/>
    <w:basedOn w:val="ParaBullet1"/>
    <w:uiPriority w:val="3"/>
    <w:qFormat/>
    <w:rsid w:val="004D14D1"/>
    <w:pPr>
      <w:numPr>
        <w:ilvl w:val="1"/>
      </w:numPr>
    </w:pPr>
  </w:style>
  <w:style w:type="paragraph" w:customStyle="1" w:styleId="ParaBullet3">
    <w:name w:val="~ParaBullet3"/>
    <w:basedOn w:val="ParaBullet2"/>
    <w:uiPriority w:val="3"/>
    <w:qFormat/>
    <w:rsid w:val="004D14D1"/>
    <w:pPr>
      <w:numPr>
        <w:ilvl w:val="2"/>
      </w:numPr>
    </w:pPr>
  </w:style>
  <w:style w:type="character" w:styleId="nfasis">
    <w:name w:val="Emphasis"/>
    <w:basedOn w:val="Fuentedeprrafopredeter"/>
    <w:uiPriority w:val="20"/>
    <w:qFormat/>
    <w:rsid w:val="00C709D7"/>
    <w:rPr>
      <w:i/>
      <w:iCs/>
    </w:rPr>
  </w:style>
  <w:style w:type="character" w:customStyle="1" w:styleId="PrrafodelistaCar">
    <w:name w:val="Párrafo de lista Car"/>
    <w:aliases w:val="Romano Car,Estilo0 Car,CNBV Parrafo1 Car,4 Viñ 1nivel Car,prueba1 Car,Numeración 1 Car,Cuadrícula media 1 - Énfasis 21 Car,Romanos Car,Listas Car,lp1 Car"/>
    <w:link w:val="Prrafodelista"/>
    <w:uiPriority w:val="34"/>
    <w:qFormat/>
    <w:rsid w:val="00C709D7"/>
    <w:rPr>
      <w:rFonts w:eastAsia="Arial" w:cs="Arial"/>
    </w:rPr>
  </w:style>
  <w:style w:type="paragraph" w:customStyle="1" w:styleId="Antecedentes">
    <w:name w:val="Antecedentes"/>
    <w:basedOn w:val="Prrafodelista"/>
    <w:link w:val="AntecedentesCar"/>
    <w:qFormat/>
    <w:rsid w:val="00C709D7"/>
    <w:pPr>
      <w:numPr>
        <w:numId w:val="8"/>
      </w:numPr>
      <w:tabs>
        <w:tab w:val="left" w:pos="9356"/>
      </w:tabs>
      <w:spacing w:line="276" w:lineRule="auto"/>
      <w:contextualSpacing w:val="0"/>
    </w:pPr>
  </w:style>
  <w:style w:type="character" w:customStyle="1" w:styleId="AntecedentesCar">
    <w:name w:val="Antecedentes Car"/>
    <w:basedOn w:val="PrrafodelistaCar"/>
    <w:link w:val="Antecedentes"/>
    <w:rsid w:val="00C709D7"/>
    <w:rPr>
      <w:rFonts w:eastAsia="Arial" w:cs="Arial"/>
    </w:rPr>
  </w:style>
  <w:style w:type="paragraph" w:customStyle="1" w:styleId="Figuras">
    <w:name w:val="Figuras"/>
    <w:basedOn w:val="Normal"/>
    <w:autoRedefine/>
    <w:qFormat/>
    <w:rsid w:val="009D32DD"/>
    <w:pPr>
      <w:keepNext/>
      <w:tabs>
        <w:tab w:val="left" w:pos="426"/>
      </w:tabs>
      <w:spacing w:line="276" w:lineRule="auto"/>
      <w:ind w:left="426"/>
      <w:jc w:val="center"/>
    </w:pPr>
    <w:rPr>
      <w:rFonts w:eastAsiaTheme="minorHAnsi"/>
      <w:b/>
      <w:sz w:val="20"/>
      <w:szCs w:val="20"/>
      <w:lang w:val="es-ES_tradnl" w:eastAsia="es-ES"/>
    </w:rPr>
  </w:style>
  <w:style w:type="paragraph" w:styleId="Descripcin">
    <w:name w:val="caption"/>
    <w:aliases w:val="~Caption"/>
    <w:basedOn w:val="Normal"/>
    <w:next w:val="Normal"/>
    <w:link w:val="DescripcinCar"/>
    <w:uiPriority w:val="2"/>
    <w:qFormat/>
    <w:rsid w:val="001049D7"/>
    <w:pPr>
      <w:keepNext/>
      <w:tabs>
        <w:tab w:val="left" w:pos="1276"/>
      </w:tabs>
      <w:spacing w:before="120" w:after="60" w:line="240" w:lineRule="auto"/>
      <w:ind w:left="1276" w:hanging="1276"/>
    </w:pPr>
    <w:rPr>
      <w:rFonts w:asciiTheme="minorHAnsi" w:eastAsia="Calibri" w:hAnsiTheme="minorHAnsi" w:cs="Arial"/>
      <w:b/>
      <w:color w:val="000000" w:themeColor="text1"/>
      <w:lang w:val="es-ES_tradnl"/>
    </w:rPr>
  </w:style>
  <w:style w:type="character" w:customStyle="1" w:styleId="DescripcinCar">
    <w:name w:val="Descripción Car"/>
    <w:aliases w:val="~Caption Car"/>
    <w:basedOn w:val="Fuentedeprrafopredeter"/>
    <w:link w:val="Descripcin"/>
    <w:uiPriority w:val="2"/>
    <w:rsid w:val="001049D7"/>
    <w:rPr>
      <w:rFonts w:asciiTheme="minorHAnsi" w:eastAsia="Calibri" w:hAnsiTheme="minorHAnsi" w:cs="Arial"/>
      <w:b/>
      <w:color w:val="000000" w:themeColor="text1"/>
      <w:lang w:val="es-ES_tradnl"/>
    </w:rPr>
  </w:style>
  <w:style w:type="paragraph" w:customStyle="1" w:styleId="Source">
    <w:name w:val="~Source"/>
    <w:basedOn w:val="Normal"/>
    <w:next w:val="Normal"/>
    <w:uiPriority w:val="2"/>
    <w:qFormat/>
    <w:rsid w:val="001049D7"/>
    <w:pPr>
      <w:tabs>
        <w:tab w:val="left" w:pos="709"/>
      </w:tabs>
      <w:spacing w:before="60" w:after="60" w:line="240" w:lineRule="auto"/>
      <w:ind w:left="709" w:hanging="709"/>
      <w:jc w:val="left"/>
    </w:pPr>
    <w:rPr>
      <w:rFonts w:asciiTheme="minorHAnsi" w:eastAsia="Calibri" w:hAnsiTheme="minorHAnsi" w:cs="Arial"/>
      <w:i/>
      <w:color w:val="000000" w:themeColor="text1"/>
      <w:sz w:val="16"/>
      <w:lang w:val="es-ES_tradnl"/>
    </w:rPr>
  </w:style>
  <w:style w:type="paragraph" w:customStyle="1" w:styleId="GraphicLeft">
    <w:name w:val="~GraphicLeft"/>
    <w:basedOn w:val="Sinespaciado"/>
    <w:uiPriority w:val="9"/>
    <w:rsid w:val="001049D7"/>
    <w:rPr>
      <w:rFonts w:asciiTheme="minorHAnsi" w:hAnsiTheme="minorHAnsi" w:cs="Arial"/>
      <w:color w:val="000000" w:themeColor="text1"/>
      <w:sz w:val="20"/>
      <w:lang w:val="es-ES_tradnl"/>
    </w:rPr>
  </w:style>
  <w:style w:type="paragraph" w:customStyle="1" w:styleId="ListBullet1">
    <w:name w:val="~ListBullet1"/>
    <w:basedOn w:val="Normal"/>
    <w:uiPriority w:val="3"/>
    <w:qFormat/>
    <w:rsid w:val="001049D7"/>
    <w:pPr>
      <w:numPr>
        <w:numId w:val="17"/>
      </w:numPr>
      <w:spacing w:before="60" w:after="60" w:line="264" w:lineRule="auto"/>
    </w:pPr>
    <w:rPr>
      <w:rFonts w:asciiTheme="minorHAnsi" w:eastAsiaTheme="minorHAnsi" w:hAnsiTheme="minorHAnsi" w:cs="Arial"/>
      <w:color w:val="000000" w:themeColor="text1"/>
      <w:lang w:val="es-ES_tradnl"/>
    </w:rPr>
  </w:style>
  <w:style w:type="paragraph" w:customStyle="1" w:styleId="ListBullet2">
    <w:name w:val="~ListBullet2"/>
    <w:basedOn w:val="ListBullet1"/>
    <w:uiPriority w:val="3"/>
    <w:qFormat/>
    <w:rsid w:val="001049D7"/>
    <w:pPr>
      <w:numPr>
        <w:ilvl w:val="1"/>
      </w:numPr>
    </w:pPr>
  </w:style>
  <w:style w:type="paragraph" w:customStyle="1" w:styleId="ListBullet3">
    <w:name w:val="~ListBullet3"/>
    <w:basedOn w:val="ListBullet2"/>
    <w:uiPriority w:val="3"/>
    <w:qFormat/>
    <w:rsid w:val="001049D7"/>
    <w:pPr>
      <w:numPr>
        <w:ilvl w:val="2"/>
      </w:numPr>
    </w:pPr>
  </w:style>
  <w:style w:type="paragraph" w:customStyle="1" w:styleId="estilo30">
    <w:name w:val="estilo30"/>
    <w:basedOn w:val="Normal"/>
    <w:uiPriority w:val="99"/>
    <w:rsid w:val="001049D7"/>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TableTextLeft">
    <w:name w:val="~TableTextLeft"/>
    <w:basedOn w:val="Normal"/>
    <w:qFormat/>
    <w:rsid w:val="00CE0D19"/>
    <w:pPr>
      <w:spacing w:before="40" w:after="40" w:line="240" w:lineRule="auto"/>
      <w:jc w:val="left"/>
    </w:pPr>
    <w:rPr>
      <w:rFonts w:asciiTheme="minorHAnsi" w:eastAsiaTheme="minorHAnsi" w:hAnsiTheme="minorHAnsi" w:cs="Arial"/>
      <w:color w:val="000000" w:themeColor="text1"/>
      <w:sz w:val="20"/>
      <w:lang w:val="es-ES_tradnl"/>
    </w:rPr>
  </w:style>
  <w:style w:type="paragraph" w:customStyle="1" w:styleId="TableHeadingLeft">
    <w:name w:val="~TableHeadingLeft"/>
    <w:basedOn w:val="TableTextLeft"/>
    <w:qFormat/>
    <w:rsid w:val="00CE0D19"/>
    <w:rPr>
      <w:b/>
      <w:bCs/>
      <w:color w:val="A5A5A5" w:themeColor="accent3"/>
    </w:rPr>
  </w:style>
  <w:style w:type="paragraph" w:customStyle="1" w:styleId="TableHeadingRight">
    <w:name w:val="~TableHeadingRight"/>
    <w:basedOn w:val="TableHeadingLeft"/>
    <w:qFormat/>
    <w:rsid w:val="00CE0D19"/>
    <w:pPr>
      <w:jc w:val="right"/>
    </w:pPr>
  </w:style>
  <w:style w:type="paragraph" w:customStyle="1" w:styleId="TableTextRight">
    <w:name w:val="~TableTextRight"/>
    <w:basedOn w:val="TableTextLeft"/>
    <w:qFormat/>
    <w:rsid w:val="00CE0D19"/>
    <w:pPr>
      <w:jc w:val="right"/>
    </w:pPr>
  </w:style>
  <w:style w:type="table" w:customStyle="1" w:styleId="Frontier">
    <w:name w:val="~Frontier"/>
    <w:basedOn w:val="Tablanormal"/>
    <w:uiPriority w:val="99"/>
    <w:rsid w:val="00CE0D19"/>
    <w:pPr>
      <w:keepNext/>
      <w:spacing w:after="0" w:line="240" w:lineRule="auto"/>
    </w:pPr>
    <w:rPr>
      <w:rFonts w:asciiTheme="minorHAnsi" w:hAnsiTheme="minorHAnsi" w:cs="Arial"/>
      <w:color w:val="000000" w:themeColor="text1"/>
      <w:lang w:val="en-GB"/>
    </w:rPr>
    <w:tblPr>
      <w:tblStyleRowBandSize w:val="1"/>
      <w:tblBorders>
        <w:top w:val="single" w:sz="2" w:space="0" w:color="A5A5A5" w:themeColor="accent3"/>
        <w:bottom w:val="single" w:sz="2" w:space="0" w:color="A5A5A5" w:themeColor="accent3"/>
        <w:insideH w:val="single" w:sz="2" w:space="0" w:color="E7E6E6" w:themeColor="background2"/>
      </w:tblBorders>
    </w:tblPr>
    <w:trPr>
      <w:cantSplit/>
    </w:trPr>
    <w:tblStylePr w:type="firstRow">
      <w:tblPr/>
      <w:tcPr>
        <w:tcBorders>
          <w:top w:val="single" w:sz="2" w:space="0" w:color="A5A5A5" w:themeColor="accent3"/>
          <w:left w:val="nil"/>
          <w:bottom w:val="single" w:sz="2" w:space="0" w:color="A5A5A5" w:themeColor="accent3"/>
          <w:right w:val="nil"/>
          <w:insideH w:val="nil"/>
          <w:insideV w:val="nil"/>
          <w:tl2br w:val="nil"/>
          <w:tr2bl w:val="nil"/>
        </w:tcBorders>
      </w:tcPr>
    </w:tblStylePr>
    <w:tblStylePr w:type="lastRow">
      <w:rPr>
        <w:b/>
        <w:i w:val="0"/>
        <w:color w:val="A5A5A5" w:themeColor="accent3"/>
      </w:rPr>
      <w:tblPr/>
      <w:tcPr>
        <w:tcBorders>
          <w:top w:val="single" w:sz="2" w:space="0" w:color="A5A5A5" w:themeColor="accent3"/>
          <w:left w:val="nil"/>
          <w:bottom w:val="single" w:sz="2" w:space="0" w:color="A5A5A5" w:themeColor="accent3"/>
          <w:right w:val="nil"/>
          <w:insideH w:val="nil"/>
          <w:insideV w:val="nil"/>
          <w:tl2br w:val="nil"/>
          <w:tr2bl w:val="nil"/>
        </w:tcBorders>
      </w:tcPr>
    </w:tblStylePr>
    <w:tblStylePr w:type="band1Horz">
      <w:tblPr/>
      <w:tcPr>
        <w:shd w:val="clear" w:color="auto" w:fill="F2F2F2" w:themeFill="background1" w:themeFillShade="F2"/>
      </w:tcPr>
    </w:tblStylePr>
  </w:style>
  <w:style w:type="table" w:styleId="Tabladecuadrcula2-nfasis6">
    <w:name w:val="Grid Table 2 Accent 6"/>
    <w:basedOn w:val="Tablanormal"/>
    <w:uiPriority w:val="47"/>
    <w:rsid w:val="00E7029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2-nfasis61">
    <w:name w:val="Tabla de cuadrícula 2 - Énfasis 61"/>
    <w:basedOn w:val="Tablanormal"/>
    <w:uiPriority w:val="47"/>
    <w:rsid w:val="009D32D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9D32D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Estilo3">
    <w:name w:val="Estilo3"/>
    <w:basedOn w:val="Prrafodelista"/>
    <w:autoRedefine/>
    <w:qFormat/>
    <w:rsid w:val="00C500DA"/>
    <w:pPr>
      <w:numPr>
        <w:numId w:val="0"/>
      </w:numPr>
      <w:spacing w:before="40" w:after="200" w:line="276" w:lineRule="auto"/>
      <w:ind w:left="2160" w:hanging="360"/>
      <w:contextualSpacing w:val="0"/>
    </w:pPr>
    <w:rPr>
      <w:rFonts w:eastAsiaTheme="minorEastAsia" w:cstheme="minorBidi"/>
    </w:rPr>
  </w:style>
  <w:style w:type="character" w:styleId="Hipervnculovisitado">
    <w:name w:val="FollowedHyperlink"/>
    <w:basedOn w:val="Fuentedeprrafopredeter"/>
    <w:uiPriority w:val="99"/>
    <w:semiHidden/>
    <w:unhideWhenUsed/>
    <w:rsid w:val="00CD2698"/>
    <w:rPr>
      <w:color w:val="954F72" w:themeColor="followedHyperlink"/>
      <w:u w:val="single"/>
    </w:rPr>
  </w:style>
  <w:style w:type="table" w:customStyle="1" w:styleId="Frontier1">
    <w:name w:val="~Frontier1"/>
    <w:basedOn w:val="Tablanormal"/>
    <w:uiPriority w:val="99"/>
    <w:rsid w:val="008C1EC6"/>
    <w:pPr>
      <w:keepNext/>
      <w:spacing w:after="0" w:line="240" w:lineRule="auto"/>
    </w:pPr>
    <w:rPr>
      <w:rFonts w:asciiTheme="minorHAnsi" w:hAnsiTheme="minorHAnsi" w:cs="Arial"/>
      <w:color w:val="000000" w:themeColor="text1"/>
      <w:lang w:val="en-GB"/>
    </w:rPr>
    <w:tblPr>
      <w:tblStyleRowBandSize w:val="1"/>
      <w:tblBorders>
        <w:top w:val="single" w:sz="2" w:space="0" w:color="A5A5A5" w:themeColor="accent3"/>
        <w:bottom w:val="single" w:sz="2" w:space="0" w:color="A5A5A5" w:themeColor="accent3"/>
        <w:insideH w:val="single" w:sz="2" w:space="0" w:color="E7E6E6" w:themeColor="background2"/>
      </w:tblBorders>
    </w:tblPr>
    <w:trPr>
      <w:cantSplit/>
    </w:trPr>
    <w:tblStylePr w:type="firstRow">
      <w:tblPr/>
      <w:tcPr>
        <w:tcBorders>
          <w:top w:val="single" w:sz="2" w:space="0" w:color="A5A5A5" w:themeColor="accent3"/>
          <w:left w:val="nil"/>
          <w:bottom w:val="single" w:sz="2" w:space="0" w:color="A5A5A5" w:themeColor="accent3"/>
          <w:right w:val="nil"/>
          <w:insideH w:val="nil"/>
          <w:insideV w:val="nil"/>
          <w:tl2br w:val="nil"/>
          <w:tr2bl w:val="nil"/>
        </w:tcBorders>
      </w:tcPr>
    </w:tblStylePr>
    <w:tblStylePr w:type="lastRow">
      <w:rPr>
        <w:b/>
        <w:i w:val="0"/>
        <w:color w:val="A5A5A5" w:themeColor="accent3"/>
      </w:rPr>
      <w:tblPr/>
      <w:tcPr>
        <w:tcBorders>
          <w:top w:val="single" w:sz="2" w:space="0" w:color="A5A5A5" w:themeColor="accent3"/>
          <w:left w:val="nil"/>
          <w:bottom w:val="single" w:sz="2" w:space="0" w:color="A5A5A5" w:themeColor="accent3"/>
          <w:right w:val="nil"/>
          <w:insideH w:val="nil"/>
          <w:insideV w:val="nil"/>
          <w:tl2br w:val="nil"/>
          <w:tr2bl w:val="nil"/>
        </w:tcBorders>
      </w:tcPr>
    </w:tblStylePr>
    <w:tblStylePr w:type="band1Horz">
      <w:tblPr/>
      <w:tcPr>
        <w:shd w:val="clear" w:color="auto" w:fill="F2F2F2" w:themeFill="background1" w:themeFillShade="F2"/>
      </w:tcPr>
    </w:tblStylePr>
  </w:style>
  <w:style w:type="paragraph" w:customStyle="1" w:styleId="ListNumBullet2">
    <w:name w:val="~ListNumBullet2"/>
    <w:basedOn w:val="ListNumBullet1"/>
    <w:uiPriority w:val="3"/>
    <w:qFormat/>
    <w:rsid w:val="008C1EC6"/>
    <w:pPr>
      <w:numPr>
        <w:numId w:val="0"/>
      </w:numPr>
      <w:tabs>
        <w:tab w:val="num" w:pos="680"/>
      </w:tabs>
      <w:ind w:left="680" w:hanging="340"/>
    </w:pPr>
    <w:rPr>
      <w:rFonts w:asciiTheme="minorHAnsi" w:eastAsiaTheme="minorHAnsi" w:hAnsiTheme="minorHAnsi"/>
      <w:color w:val="000000" w:themeColor="text1"/>
    </w:rPr>
  </w:style>
  <w:style w:type="paragraph" w:customStyle="1" w:styleId="ListNumBullet3">
    <w:name w:val="~ListNumBullet3"/>
    <w:basedOn w:val="ListNumBullet2"/>
    <w:uiPriority w:val="3"/>
    <w:qFormat/>
    <w:rsid w:val="008C1EC6"/>
    <w:pPr>
      <w:tabs>
        <w:tab w:val="clear" w:pos="680"/>
        <w:tab w:val="num" w:pos="1021"/>
      </w:tabs>
      <w:ind w:left="1021" w:hanging="34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81965">
      <w:bodyDiv w:val="1"/>
      <w:marLeft w:val="0"/>
      <w:marRight w:val="0"/>
      <w:marTop w:val="0"/>
      <w:marBottom w:val="0"/>
      <w:divBdr>
        <w:top w:val="none" w:sz="0" w:space="0" w:color="auto"/>
        <w:left w:val="none" w:sz="0" w:space="0" w:color="auto"/>
        <w:bottom w:val="none" w:sz="0" w:space="0" w:color="auto"/>
        <w:right w:val="none" w:sz="0" w:space="0" w:color="auto"/>
      </w:divBdr>
    </w:div>
    <w:div w:id="92358675">
      <w:bodyDiv w:val="1"/>
      <w:marLeft w:val="0"/>
      <w:marRight w:val="0"/>
      <w:marTop w:val="0"/>
      <w:marBottom w:val="0"/>
      <w:divBdr>
        <w:top w:val="none" w:sz="0" w:space="0" w:color="auto"/>
        <w:left w:val="none" w:sz="0" w:space="0" w:color="auto"/>
        <w:bottom w:val="none" w:sz="0" w:space="0" w:color="auto"/>
        <w:right w:val="none" w:sz="0" w:space="0" w:color="auto"/>
      </w:divBdr>
      <w:divsChild>
        <w:div w:id="200479936">
          <w:marLeft w:val="0"/>
          <w:marRight w:val="0"/>
          <w:marTop w:val="0"/>
          <w:marBottom w:val="0"/>
          <w:divBdr>
            <w:top w:val="none" w:sz="0" w:space="0" w:color="auto"/>
            <w:left w:val="none" w:sz="0" w:space="0" w:color="auto"/>
            <w:bottom w:val="none" w:sz="0" w:space="0" w:color="auto"/>
            <w:right w:val="none" w:sz="0" w:space="0" w:color="auto"/>
          </w:divBdr>
          <w:divsChild>
            <w:div w:id="13679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9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56">
          <w:marLeft w:val="274"/>
          <w:marRight w:val="0"/>
          <w:marTop w:val="0"/>
          <w:marBottom w:val="160"/>
          <w:divBdr>
            <w:top w:val="none" w:sz="0" w:space="0" w:color="auto"/>
            <w:left w:val="none" w:sz="0" w:space="0" w:color="auto"/>
            <w:bottom w:val="none" w:sz="0" w:space="0" w:color="auto"/>
            <w:right w:val="none" w:sz="0" w:space="0" w:color="auto"/>
          </w:divBdr>
        </w:div>
      </w:divsChild>
    </w:div>
    <w:div w:id="228536248">
      <w:bodyDiv w:val="1"/>
      <w:marLeft w:val="0"/>
      <w:marRight w:val="0"/>
      <w:marTop w:val="0"/>
      <w:marBottom w:val="0"/>
      <w:divBdr>
        <w:top w:val="none" w:sz="0" w:space="0" w:color="auto"/>
        <w:left w:val="none" w:sz="0" w:space="0" w:color="auto"/>
        <w:bottom w:val="none" w:sz="0" w:space="0" w:color="auto"/>
        <w:right w:val="none" w:sz="0" w:space="0" w:color="auto"/>
      </w:divBdr>
      <w:divsChild>
        <w:div w:id="1953395553">
          <w:marLeft w:val="0"/>
          <w:marRight w:val="0"/>
          <w:marTop w:val="0"/>
          <w:marBottom w:val="0"/>
          <w:divBdr>
            <w:top w:val="none" w:sz="0" w:space="0" w:color="auto"/>
            <w:left w:val="none" w:sz="0" w:space="0" w:color="auto"/>
            <w:bottom w:val="none" w:sz="0" w:space="0" w:color="auto"/>
            <w:right w:val="none" w:sz="0" w:space="0" w:color="auto"/>
          </w:divBdr>
          <w:divsChild>
            <w:div w:id="146932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6324">
      <w:bodyDiv w:val="1"/>
      <w:marLeft w:val="0"/>
      <w:marRight w:val="0"/>
      <w:marTop w:val="0"/>
      <w:marBottom w:val="0"/>
      <w:divBdr>
        <w:top w:val="none" w:sz="0" w:space="0" w:color="auto"/>
        <w:left w:val="none" w:sz="0" w:space="0" w:color="auto"/>
        <w:bottom w:val="none" w:sz="0" w:space="0" w:color="auto"/>
        <w:right w:val="none" w:sz="0" w:space="0" w:color="auto"/>
      </w:divBdr>
      <w:divsChild>
        <w:div w:id="2100637406">
          <w:marLeft w:val="0"/>
          <w:marRight w:val="0"/>
          <w:marTop w:val="0"/>
          <w:marBottom w:val="0"/>
          <w:divBdr>
            <w:top w:val="none" w:sz="0" w:space="0" w:color="auto"/>
            <w:left w:val="none" w:sz="0" w:space="0" w:color="auto"/>
            <w:bottom w:val="none" w:sz="0" w:space="0" w:color="auto"/>
            <w:right w:val="none" w:sz="0" w:space="0" w:color="auto"/>
          </w:divBdr>
          <w:divsChild>
            <w:div w:id="20221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91307">
      <w:bodyDiv w:val="1"/>
      <w:marLeft w:val="0"/>
      <w:marRight w:val="0"/>
      <w:marTop w:val="0"/>
      <w:marBottom w:val="0"/>
      <w:divBdr>
        <w:top w:val="none" w:sz="0" w:space="0" w:color="auto"/>
        <w:left w:val="none" w:sz="0" w:space="0" w:color="auto"/>
        <w:bottom w:val="none" w:sz="0" w:space="0" w:color="auto"/>
        <w:right w:val="none" w:sz="0" w:space="0" w:color="auto"/>
      </w:divBdr>
      <w:divsChild>
        <w:div w:id="776676699">
          <w:marLeft w:val="0"/>
          <w:marRight w:val="0"/>
          <w:marTop w:val="0"/>
          <w:marBottom w:val="0"/>
          <w:divBdr>
            <w:top w:val="none" w:sz="0" w:space="0" w:color="auto"/>
            <w:left w:val="none" w:sz="0" w:space="0" w:color="auto"/>
            <w:bottom w:val="none" w:sz="0" w:space="0" w:color="auto"/>
            <w:right w:val="none" w:sz="0" w:space="0" w:color="auto"/>
          </w:divBdr>
          <w:divsChild>
            <w:div w:id="11833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4248">
      <w:bodyDiv w:val="1"/>
      <w:marLeft w:val="0"/>
      <w:marRight w:val="0"/>
      <w:marTop w:val="0"/>
      <w:marBottom w:val="0"/>
      <w:divBdr>
        <w:top w:val="none" w:sz="0" w:space="0" w:color="auto"/>
        <w:left w:val="none" w:sz="0" w:space="0" w:color="auto"/>
        <w:bottom w:val="none" w:sz="0" w:space="0" w:color="auto"/>
        <w:right w:val="none" w:sz="0" w:space="0" w:color="auto"/>
      </w:divBdr>
    </w:div>
    <w:div w:id="788743439">
      <w:bodyDiv w:val="1"/>
      <w:marLeft w:val="0"/>
      <w:marRight w:val="0"/>
      <w:marTop w:val="0"/>
      <w:marBottom w:val="0"/>
      <w:divBdr>
        <w:top w:val="none" w:sz="0" w:space="0" w:color="auto"/>
        <w:left w:val="none" w:sz="0" w:space="0" w:color="auto"/>
        <w:bottom w:val="none" w:sz="0" w:space="0" w:color="auto"/>
        <w:right w:val="none" w:sz="0" w:space="0" w:color="auto"/>
      </w:divBdr>
    </w:div>
    <w:div w:id="865948925">
      <w:bodyDiv w:val="1"/>
      <w:marLeft w:val="0"/>
      <w:marRight w:val="0"/>
      <w:marTop w:val="0"/>
      <w:marBottom w:val="0"/>
      <w:divBdr>
        <w:top w:val="none" w:sz="0" w:space="0" w:color="auto"/>
        <w:left w:val="none" w:sz="0" w:space="0" w:color="auto"/>
        <w:bottom w:val="none" w:sz="0" w:space="0" w:color="auto"/>
        <w:right w:val="none" w:sz="0" w:space="0" w:color="auto"/>
      </w:divBdr>
      <w:divsChild>
        <w:div w:id="938879487">
          <w:marLeft w:val="850"/>
          <w:marRight w:val="0"/>
          <w:marTop w:val="0"/>
          <w:marBottom w:val="160"/>
          <w:divBdr>
            <w:top w:val="none" w:sz="0" w:space="0" w:color="auto"/>
            <w:left w:val="none" w:sz="0" w:space="0" w:color="auto"/>
            <w:bottom w:val="none" w:sz="0" w:space="0" w:color="auto"/>
            <w:right w:val="none" w:sz="0" w:space="0" w:color="auto"/>
          </w:divBdr>
        </w:div>
      </w:divsChild>
    </w:div>
    <w:div w:id="990527843">
      <w:bodyDiv w:val="1"/>
      <w:marLeft w:val="0"/>
      <w:marRight w:val="0"/>
      <w:marTop w:val="0"/>
      <w:marBottom w:val="0"/>
      <w:divBdr>
        <w:top w:val="none" w:sz="0" w:space="0" w:color="auto"/>
        <w:left w:val="none" w:sz="0" w:space="0" w:color="auto"/>
        <w:bottom w:val="none" w:sz="0" w:space="0" w:color="auto"/>
        <w:right w:val="none" w:sz="0" w:space="0" w:color="auto"/>
      </w:divBdr>
      <w:divsChild>
        <w:div w:id="417026175">
          <w:marLeft w:val="562"/>
          <w:marRight w:val="0"/>
          <w:marTop w:val="0"/>
          <w:marBottom w:val="160"/>
          <w:divBdr>
            <w:top w:val="none" w:sz="0" w:space="0" w:color="auto"/>
            <w:left w:val="none" w:sz="0" w:space="0" w:color="auto"/>
            <w:bottom w:val="none" w:sz="0" w:space="0" w:color="auto"/>
            <w:right w:val="none" w:sz="0" w:space="0" w:color="auto"/>
          </w:divBdr>
        </w:div>
      </w:divsChild>
    </w:div>
    <w:div w:id="1103108297">
      <w:bodyDiv w:val="1"/>
      <w:marLeft w:val="0"/>
      <w:marRight w:val="0"/>
      <w:marTop w:val="0"/>
      <w:marBottom w:val="0"/>
      <w:divBdr>
        <w:top w:val="none" w:sz="0" w:space="0" w:color="auto"/>
        <w:left w:val="none" w:sz="0" w:space="0" w:color="auto"/>
        <w:bottom w:val="none" w:sz="0" w:space="0" w:color="auto"/>
        <w:right w:val="none" w:sz="0" w:space="0" w:color="auto"/>
      </w:divBdr>
      <w:divsChild>
        <w:div w:id="974991869">
          <w:marLeft w:val="274"/>
          <w:marRight w:val="0"/>
          <w:marTop w:val="0"/>
          <w:marBottom w:val="160"/>
          <w:divBdr>
            <w:top w:val="none" w:sz="0" w:space="0" w:color="auto"/>
            <w:left w:val="none" w:sz="0" w:space="0" w:color="auto"/>
            <w:bottom w:val="none" w:sz="0" w:space="0" w:color="auto"/>
            <w:right w:val="none" w:sz="0" w:space="0" w:color="auto"/>
          </w:divBdr>
        </w:div>
      </w:divsChild>
    </w:div>
    <w:div w:id="1479492175">
      <w:bodyDiv w:val="1"/>
      <w:marLeft w:val="0"/>
      <w:marRight w:val="0"/>
      <w:marTop w:val="0"/>
      <w:marBottom w:val="0"/>
      <w:divBdr>
        <w:top w:val="none" w:sz="0" w:space="0" w:color="auto"/>
        <w:left w:val="none" w:sz="0" w:space="0" w:color="auto"/>
        <w:bottom w:val="none" w:sz="0" w:space="0" w:color="auto"/>
        <w:right w:val="none" w:sz="0" w:space="0" w:color="auto"/>
      </w:divBdr>
      <w:divsChild>
        <w:div w:id="1659797105">
          <w:marLeft w:val="0"/>
          <w:marRight w:val="0"/>
          <w:marTop w:val="0"/>
          <w:marBottom w:val="0"/>
          <w:divBdr>
            <w:top w:val="none" w:sz="0" w:space="0" w:color="auto"/>
            <w:left w:val="none" w:sz="0" w:space="0" w:color="auto"/>
            <w:bottom w:val="none" w:sz="0" w:space="0" w:color="auto"/>
            <w:right w:val="none" w:sz="0" w:space="0" w:color="auto"/>
          </w:divBdr>
          <w:divsChild>
            <w:div w:id="5474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47615">
      <w:bodyDiv w:val="1"/>
      <w:marLeft w:val="0"/>
      <w:marRight w:val="0"/>
      <w:marTop w:val="0"/>
      <w:marBottom w:val="0"/>
      <w:divBdr>
        <w:top w:val="none" w:sz="0" w:space="0" w:color="auto"/>
        <w:left w:val="none" w:sz="0" w:space="0" w:color="auto"/>
        <w:bottom w:val="none" w:sz="0" w:space="0" w:color="auto"/>
        <w:right w:val="none" w:sz="0" w:space="0" w:color="auto"/>
      </w:divBdr>
      <w:divsChild>
        <w:div w:id="908154869">
          <w:marLeft w:val="562"/>
          <w:marRight w:val="0"/>
          <w:marTop w:val="0"/>
          <w:marBottom w:val="160"/>
          <w:divBdr>
            <w:top w:val="none" w:sz="0" w:space="0" w:color="auto"/>
            <w:left w:val="none" w:sz="0" w:space="0" w:color="auto"/>
            <w:bottom w:val="none" w:sz="0" w:space="0" w:color="auto"/>
            <w:right w:val="none" w:sz="0" w:space="0" w:color="auto"/>
          </w:divBdr>
        </w:div>
      </w:divsChild>
    </w:div>
    <w:div w:id="1768034788">
      <w:bodyDiv w:val="1"/>
      <w:marLeft w:val="0"/>
      <w:marRight w:val="0"/>
      <w:marTop w:val="0"/>
      <w:marBottom w:val="0"/>
      <w:divBdr>
        <w:top w:val="none" w:sz="0" w:space="0" w:color="auto"/>
        <w:left w:val="none" w:sz="0" w:space="0" w:color="auto"/>
        <w:bottom w:val="none" w:sz="0" w:space="0" w:color="auto"/>
        <w:right w:val="none" w:sz="0" w:space="0" w:color="auto"/>
      </w:divBdr>
    </w:div>
    <w:div w:id="1931501467">
      <w:bodyDiv w:val="1"/>
      <w:marLeft w:val="0"/>
      <w:marRight w:val="0"/>
      <w:marTop w:val="0"/>
      <w:marBottom w:val="0"/>
      <w:divBdr>
        <w:top w:val="none" w:sz="0" w:space="0" w:color="auto"/>
        <w:left w:val="none" w:sz="0" w:space="0" w:color="auto"/>
        <w:bottom w:val="none" w:sz="0" w:space="0" w:color="auto"/>
        <w:right w:val="none" w:sz="0" w:space="0" w:color="auto"/>
      </w:divBdr>
    </w:div>
    <w:div w:id="2000380093">
      <w:bodyDiv w:val="1"/>
      <w:marLeft w:val="0"/>
      <w:marRight w:val="0"/>
      <w:marTop w:val="0"/>
      <w:marBottom w:val="0"/>
      <w:divBdr>
        <w:top w:val="none" w:sz="0" w:space="0" w:color="auto"/>
        <w:left w:val="none" w:sz="0" w:space="0" w:color="auto"/>
        <w:bottom w:val="none" w:sz="0" w:space="0" w:color="auto"/>
        <w:right w:val="none" w:sz="0" w:space="0" w:color="auto"/>
      </w:divBdr>
      <w:divsChild>
        <w:div w:id="809786234">
          <w:marLeft w:val="0"/>
          <w:marRight w:val="0"/>
          <w:marTop w:val="0"/>
          <w:marBottom w:val="0"/>
          <w:divBdr>
            <w:top w:val="none" w:sz="0" w:space="0" w:color="auto"/>
            <w:left w:val="none" w:sz="0" w:space="0" w:color="auto"/>
            <w:bottom w:val="none" w:sz="0" w:space="0" w:color="auto"/>
            <w:right w:val="none" w:sz="0" w:space="0" w:color="auto"/>
          </w:divBdr>
          <w:divsChild>
            <w:div w:id="16154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45579">
      <w:bodyDiv w:val="1"/>
      <w:marLeft w:val="0"/>
      <w:marRight w:val="0"/>
      <w:marTop w:val="0"/>
      <w:marBottom w:val="0"/>
      <w:divBdr>
        <w:top w:val="none" w:sz="0" w:space="0" w:color="auto"/>
        <w:left w:val="none" w:sz="0" w:space="0" w:color="auto"/>
        <w:bottom w:val="none" w:sz="0" w:space="0" w:color="auto"/>
        <w:right w:val="none" w:sz="0" w:space="0" w:color="auto"/>
      </w:divBdr>
      <w:divsChild>
        <w:div w:id="1208907691">
          <w:marLeft w:val="0"/>
          <w:marRight w:val="0"/>
          <w:marTop w:val="0"/>
          <w:marBottom w:val="0"/>
          <w:divBdr>
            <w:top w:val="none" w:sz="0" w:space="0" w:color="auto"/>
            <w:left w:val="none" w:sz="0" w:space="0" w:color="auto"/>
            <w:bottom w:val="none" w:sz="0" w:space="0" w:color="auto"/>
            <w:right w:val="none" w:sz="0" w:space="0" w:color="auto"/>
          </w:divBdr>
          <w:divsChild>
            <w:div w:id="17042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ft.org.mx/sites/default/files/contenidogeneral/politica-regulatoria/oredatelmex2017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CD5121B912868449A3C5ACBE470BFC5" ma:contentTypeVersion="0" ma:contentTypeDescription="Crear nuevo documento." ma:contentTypeScope="" ma:versionID="815d36a22a4b62884af4297906ef7370">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FD474-33D2-4AFF-B675-08250707BECA}">
  <ds:schemaRefs>
    <ds:schemaRef ds:uri="http://schemas.microsoft.com/sharepoint/v3/contenttype/forms"/>
  </ds:schemaRefs>
</ds:datastoreItem>
</file>

<file path=customXml/itemProps2.xml><?xml version="1.0" encoding="utf-8"?>
<ds:datastoreItem xmlns:ds="http://schemas.openxmlformats.org/officeDocument/2006/customXml" ds:itemID="{1D271336-381C-409A-A74D-A296193D53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26A02B-5D68-4A29-9BD4-1B4E8C9CA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9F7A81C-ECF6-4A1E-9D31-CC0C360CB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3879</Words>
  <Characters>21339</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Quiroz</dc:creator>
  <cp:keywords/>
  <dc:description/>
  <cp:lastModifiedBy>Armando Isaias Zacateco Rivera</cp:lastModifiedBy>
  <cp:revision>2</cp:revision>
  <cp:lastPrinted>2017-06-01T15:18:00Z</cp:lastPrinted>
  <dcterms:created xsi:type="dcterms:W3CDTF">2017-09-15T14:56:00Z</dcterms:created>
  <dcterms:modified xsi:type="dcterms:W3CDTF">2017-09-15T14:56:00Z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0x0101003CD5121B912868449A3C5ACBE470BFC5</vt:lpwstr>
  </property>
</Properties>
</file>