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AA1D" w14:textId="1710F8E0" w:rsidR="002E527F" w:rsidRPr="002E527F" w:rsidRDefault="00A008BF" w:rsidP="002E527F">
      <w:pPr>
        <w:pStyle w:val="Ttulo1"/>
        <w:spacing w:line="360" w:lineRule="auto"/>
        <w:ind w:left="2127" w:right="2316"/>
        <w:jc w:val="center"/>
        <w:rPr>
          <w:rFonts w:ascii="ITC Avant Garde" w:hAnsi="ITC Avant Garde"/>
          <w:b/>
          <w:color w:val="000000" w:themeColor="text1"/>
          <w:sz w:val="22"/>
          <w:szCs w:val="22"/>
        </w:rPr>
      </w:pPr>
      <w:r w:rsidRPr="002E527F">
        <w:rPr>
          <w:rFonts w:ascii="ITC Avant Garde" w:hAnsi="ITC Avant Garde"/>
          <w:b/>
          <w:color w:val="000000" w:themeColor="text1"/>
          <w:sz w:val="22"/>
          <w:szCs w:val="22"/>
        </w:rPr>
        <w:t>L</w:t>
      </w:r>
      <w:r w:rsidR="00905515" w:rsidRPr="002E527F">
        <w:rPr>
          <w:rFonts w:ascii="ITC Avant Garde" w:hAnsi="ITC Avant Garde"/>
          <w:b/>
          <w:color w:val="000000" w:themeColor="text1"/>
          <w:sz w:val="22"/>
          <w:szCs w:val="22"/>
        </w:rPr>
        <w:t>IV</w:t>
      </w:r>
      <w:r w:rsidR="00D05D9E" w:rsidRPr="002E527F">
        <w:rPr>
          <w:rFonts w:ascii="ITC Avant Garde" w:hAnsi="ITC Avant Garde"/>
          <w:b/>
          <w:color w:val="000000" w:themeColor="text1"/>
          <w:sz w:val="22"/>
          <w:szCs w:val="22"/>
        </w:rPr>
        <w:t xml:space="preserve"> </w:t>
      </w:r>
      <w:r w:rsidR="00E733A3" w:rsidRPr="002E527F">
        <w:rPr>
          <w:rFonts w:ascii="ITC Avant Garde" w:hAnsi="ITC Avant Garde"/>
          <w:b/>
          <w:color w:val="000000" w:themeColor="text1"/>
          <w:sz w:val="22"/>
          <w:szCs w:val="22"/>
        </w:rPr>
        <w:t>SESIÓN ORDINARIA DEL PLENO DEL</w:t>
      </w:r>
      <w:r w:rsidR="002E527F" w:rsidRPr="002E527F">
        <w:rPr>
          <w:rFonts w:ascii="ITC Avant Garde" w:hAnsi="ITC Avant Garde"/>
          <w:b/>
          <w:color w:val="000000" w:themeColor="text1"/>
          <w:sz w:val="22"/>
          <w:szCs w:val="22"/>
        </w:rPr>
        <w:t xml:space="preserve"> </w:t>
      </w:r>
      <w:r w:rsidR="00E733A3" w:rsidRPr="002E527F">
        <w:rPr>
          <w:rFonts w:ascii="ITC Avant Garde" w:hAnsi="ITC Avant Garde"/>
          <w:b/>
          <w:color w:val="000000" w:themeColor="text1"/>
          <w:sz w:val="22"/>
          <w:szCs w:val="22"/>
        </w:rPr>
        <w:t>INSTITUTO FEDERAL DE TELECOMUNICACIONES</w:t>
      </w:r>
      <w:r w:rsidR="002E527F" w:rsidRPr="002E527F">
        <w:rPr>
          <w:rFonts w:ascii="ITC Avant Garde" w:hAnsi="ITC Avant Garde"/>
          <w:b/>
          <w:color w:val="000000" w:themeColor="text1"/>
          <w:sz w:val="22"/>
          <w:szCs w:val="22"/>
        </w:rPr>
        <w:t xml:space="preserve"> </w:t>
      </w:r>
      <w:r w:rsidR="00AA1864" w:rsidRPr="002E527F">
        <w:rPr>
          <w:rFonts w:ascii="ITC Avant Garde" w:hAnsi="ITC Avant Garde"/>
          <w:b/>
          <w:color w:val="000000" w:themeColor="text1"/>
          <w:sz w:val="22"/>
          <w:szCs w:val="22"/>
        </w:rPr>
        <w:t>1</w:t>
      </w:r>
      <w:r w:rsidR="003E31A1" w:rsidRPr="002E527F">
        <w:rPr>
          <w:rFonts w:ascii="ITC Avant Garde" w:hAnsi="ITC Avant Garde"/>
          <w:b/>
          <w:color w:val="000000" w:themeColor="text1"/>
          <w:sz w:val="22"/>
          <w:szCs w:val="22"/>
        </w:rPr>
        <w:t>9</w:t>
      </w:r>
      <w:r w:rsidRPr="002E527F">
        <w:rPr>
          <w:rFonts w:ascii="ITC Avant Garde" w:hAnsi="ITC Avant Garde"/>
          <w:b/>
          <w:color w:val="000000" w:themeColor="text1"/>
          <w:sz w:val="22"/>
          <w:szCs w:val="22"/>
        </w:rPr>
        <w:t xml:space="preserve"> DE </w:t>
      </w:r>
      <w:r w:rsidR="00FE34C9" w:rsidRPr="002E527F">
        <w:rPr>
          <w:rFonts w:ascii="ITC Avant Garde" w:hAnsi="ITC Avant Garde"/>
          <w:b/>
          <w:color w:val="000000" w:themeColor="text1"/>
          <w:sz w:val="22"/>
          <w:szCs w:val="22"/>
        </w:rPr>
        <w:t xml:space="preserve">DICIEMBRE </w:t>
      </w:r>
      <w:r w:rsidR="00E733A3" w:rsidRPr="002E527F">
        <w:rPr>
          <w:rFonts w:ascii="ITC Avant Garde" w:hAnsi="ITC Avant Garde"/>
          <w:b/>
          <w:color w:val="000000" w:themeColor="text1"/>
          <w:sz w:val="22"/>
          <w:szCs w:val="22"/>
        </w:rPr>
        <w:t>DE 2017</w:t>
      </w:r>
    </w:p>
    <w:p w14:paraId="676BEC51" w14:textId="77777777" w:rsidR="002E527F" w:rsidRPr="002E527F" w:rsidRDefault="00E733A3" w:rsidP="002E527F">
      <w:pPr>
        <w:pStyle w:val="Ttulo2"/>
        <w:spacing w:line="360" w:lineRule="auto"/>
        <w:jc w:val="center"/>
        <w:rPr>
          <w:rFonts w:ascii="ITC Avant Garde" w:eastAsia="Times New Roman" w:hAnsi="ITC Avant Garde"/>
          <w:b/>
          <w:color w:val="000000" w:themeColor="text1"/>
          <w:sz w:val="22"/>
          <w:szCs w:val="22"/>
          <w:u w:val="single"/>
          <w:lang w:val="es-ES_tradnl" w:eastAsia="es-ES"/>
        </w:rPr>
      </w:pPr>
      <w:r w:rsidRPr="002E527F">
        <w:rPr>
          <w:rFonts w:ascii="ITC Avant Garde" w:eastAsia="Times New Roman" w:hAnsi="ITC Avant Garde"/>
          <w:b/>
          <w:color w:val="000000" w:themeColor="text1"/>
          <w:sz w:val="22"/>
          <w:szCs w:val="22"/>
          <w:u w:val="single"/>
          <w:lang w:val="es-ES_tradnl" w:eastAsia="es-ES"/>
        </w:rPr>
        <w:t>ORDEN DEL DÍA</w:t>
      </w:r>
    </w:p>
    <w:p w14:paraId="1F213DD4" w14:textId="77777777" w:rsidR="002E527F" w:rsidRPr="002E527F" w:rsidRDefault="00E733A3" w:rsidP="002E527F">
      <w:pPr>
        <w:pStyle w:val="Ttulo3"/>
        <w:spacing w:line="360" w:lineRule="auto"/>
        <w:rPr>
          <w:rFonts w:ascii="ITC Avant Garde" w:hAnsi="ITC Avant Garde"/>
          <w:b/>
          <w:color w:val="000000" w:themeColor="text1"/>
          <w:sz w:val="22"/>
          <w:szCs w:val="22"/>
        </w:rPr>
      </w:pPr>
      <w:r w:rsidRPr="002E527F">
        <w:rPr>
          <w:rFonts w:ascii="ITC Avant Garde" w:hAnsi="ITC Avant Garde"/>
          <w:b/>
          <w:color w:val="000000" w:themeColor="text1"/>
          <w:sz w:val="22"/>
          <w:szCs w:val="22"/>
        </w:rPr>
        <w:t xml:space="preserve">I.- VERIFICACIÓN DEL QUÓRUM. </w:t>
      </w:r>
    </w:p>
    <w:p w14:paraId="123C1052" w14:textId="77777777" w:rsidR="002E527F" w:rsidRPr="002E527F" w:rsidRDefault="00E733A3" w:rsidP="002E527F">
      <w:pPr>
        <w:pStyle w:val="Ttulo3"/>
        <w:spacing w:line="360" w:lineRule="auto"/>
        <w:rPr>
          <w:rFonts w:ascii="ITC Avant Garde" w:hAnsi="ITC Avant Garde"/>
          <w:b/>
          <w:color w:val="000000" w:themeColor="text1"/>
          <w:sz w:val="22"/>
          <w:szCs w:val="22"/>
        </w:rPr>
      </w:pPr>
      <w:r w:rsidRPr="002E527F">
        <w:rPr>
          <w:rFonts w:ascii="ITC Avant Garde" w:hAnsi="ITC Avant Garde"/>
          <w:b/>
          <w:color w:val="000000" w:themeColor="text1"/>
          <w:sz w:val="22"/>
          <w:szCs w:val="22"/>
        </w:rPr>
        <w:t>II.- APROBACIÓN DEL ORDEN DEL DÍA.</w:t>
      </w:r>
    </w:p>
    <w:p w14:paraId="41022344" w14:textId="77777777" w:rsidR="002E527F" w:rsidRPr="002E527F" w:rsidRDefault="00E733A3" w:rsidP="002E527F">
      <w:pPr>
        <w:pStyle w:val="Ttulo3"/>
        <w:spacing w:line="360" w:lineRule="auto"/>
        <w:rPr>
          <w:rFonts w:ascii="ITC Avant Garde" w:hAnsi="ITC Avant Garde"/>
          <w:b/>
          <w:color w:val="000000" w:themeColor="text1"/>
          <w:sz w:val="22"/>
          <w:szCs w:val="22"/>
        </w:rPr>
      </w:pPr>
      <w:r w:rsidRPr="002E527F">
        <w:rPr>
          <w:rFonts w:ascii="ITC Avant Garde" w:hAnsi="ITC Avant Garde"/>
          <w:b/>
          <w:color w:val="000000" w:themeColor="text1"/>
          <w:sz w:val="22"/>
          <w:szCs w:val="22"/>
        </w:rPr>
        <w:t>III.- ASUNTO</w:t>
      </w:r>
      <w:r w:rsidR="004B6CB3" w:rsidRPr="002E527F">
        <w:rPr>
          <w:rFonts w:ascii="ITC Avant Garde" w:hAnsi="ITC Avant Garde"/>
          <w:b/>
          <w:color w:val="000000" w:themeColor="text1"/>
          <w:sz w:val="22"/>
          <w:szCs w:val="22"/>
        </w:rPr>
        <w:t>S</w:t>
      </w:r>
      <w:r w:rsidRPr="002E527F">
        <w:rPr>
          <w:rFonts w:ascii="ITC Avant Garde" w:hAnsi="ITC Avant Garde"/>
          <w:b/>
          <w:color w:val="000000" w:themeColor="text1"/>
          <w:sz w:val="22"/>
          <w:szCs w:val="22"/>
        </w:rPr>
        <w:t xml:space="preserve"> QUE SE SOMETE</w:t>
      </w:r>
      <w:r w:rsidR="004B6CB3" w:rsidRPr="002E527F">
        <w:rPr>
          <w:rFonts w:ascii="ITC Avant Garde" w:hAnsi="ITC Avant Garde"/>
          <w:b/>
          <w:color w:val="000000" w:themeColor="text1"/>
          <w:sz w:val="22"/>
          <w:szCs w:val="22"/>
        </w:rPr>
        <w:t>N</w:t>
      </w:r>
      <w:r w:rsidRPr="002E527F">
        <w:rPr>
          <w:rFonts w:ascii="ITC Avant Garde" w:hAnsi="ITC Avant Garde"/>
          <w:b/>
          <w:color w:val="000000" w:themeColor="text1"/>
          <w:sz w:val="22"/>
          <w:szCs w:val="22"/>
        </w:rPr>
        <w:t xml:space="preserve"> A CONSIDERACIÓN DEL PLENO.</w:t>
      </w:r>
    </w:p>
    <w:p w14:paraId="5E28BB0E" w14:textId="254AC8B2" w:rsidR="00185629" w:rsidRPr="002E527F" w:rsidRDefault="00320131" w:rsidP="006506AA">
      <w:pPr>
        <w:spacing w:after="0" w:line="240" w:lineRule="auto"/>
        <w:ind w:right="49"/>
        <w:jc w:val="both"/>
        <w:rPr>
          <w:rFonts w:ascii="ITC Avant Garde" w:eastAsia="Times New Roman" w:hAnsi="ITC Avant Garde" w:cs="Times New Roman"/>
          <w:color w:val="000000" w:themeColor="text1"/>
          <w:lang w:val="es-ES"/>
        </w:rPr>
      </w:pPr>
      <w:r w:rsidRPr="002E527F">
        <w:rPr>
          <w:rFonts w:ascii="ITC Avant Garde" w:eastAsia="Times New Roman" w:hAnsi="ITC Avant Garde" w:cs="Times New Roman"/>
          <w:b/>
          <w:color w:val="000000" w:themeColor="text1"/>
          <w:lang w:val="es-ES"/>
        </w:rPr>
        <w:t>III.1.-</w:t>
      </w:r>
      <w:r w:rsidR="00AA1864" w:rsidRPr="002E527F">
        <w:rPr>
          <w:rFonts w:ascii="ITC Avant Garde" w:eastAsia="Times New Roman" w:hAnsi="ITC Avant Garde" w:cs="Times New Roman"/>
          <w:b/>
          <w:color w:val="000000" w:themeColor="text1"/>
          <w:lang w:val="es-ES"/>
        </w:rPr>
        <w:t xml:space="preserve"> </w:t>
      </w:r>
      <w:r w:rsidR="00185629" w:rsidRPr="002E527F">
        <w:rPr>
          <w:rFonts w:ascii="ITC Avant Garde" w:eastAsia="Times New Roman" w:hAnsi="ITC Avant Garde" w:cs="Times New Roman"/>
          <w:color w:val="000000" w:themeColor="text1"/>
          <w:lang w:val="es-ES"/>
        </w:rPr>
        <w:t>Acuerdo mediante el cual el Pleno del Instituto Federal de Telecomunicaciones aprueba las Actas de la XXXVIII Sesión Ordinaria, celebrada el 25 de septiembre</w:t>
      </w:r>
      <w:r w:rsidR="009924FF" w:rsidRPr="002E527F">
        <w:rPr>
          <w:rFonts w:ascii="ITC Avant Garde" w:eastAsia="Times New Roman" w:hAnsi="ITC Avant Garde" w:cs="Times New Roman"/>
          <w:color w:val="000000" w:themeColor="text1"/>
          <w:lang w:val="es-ES"/>
        </w:rPr>
        <w:t xml:space="preserve"> de 2017;</w:t>
      </w:r>
      <w:r w:rsidR="00185629" w:rsidRPr="002E527F">
        <w:rPr>
          <w:rFonts w:ascii="ITC Avant Garde" w:eastAsia="Times New Roman" w:hAnsi="ITC Avant Garde" w:cs="Times New Roman"/>
          <w:color w:val="000000" w:themeColor="text1"/>
          <w:lang w:val="es-ES"/>
        </w:rPr>
        <w:t xml:space="preserve"> así como de la XIV Sesión Extraordinaria, celebrada el 15 de septiembre de 2017.</w:t>
      </w:r>
    </w:p>
    <w:p w14:paraId="16DD4190" w14:textId="77777777" w:rsidR="002E527F" w:rsidRPr="002E527F" w:rsidRDefault="00185629" w:rsidP="006506AA">
      <w:pPr>
        <w:spacing w:after="0" w:line="240" w:lineRule="auto"/>
        <w:ind w:right="49"/>
        <w:jc w:val="both"/>
        <w:rPr>
          <w:rFonts w:ascii="ITC Avant Garde" w:eastAsia="Times New Roman" w:hAnsi="ITC Avant Garde" w:cs="Times New Roman"/>
          <w:i/>
          <w:color w:val="000000" w:themeColor="text1"/>
          <w:lang w:val="es-ES"/>
        </w:rPr>
      </w:pPr>
      <w:r w:rsidRPr="002E527F">
        <w:rPr>
          <w:rFonts w:ascii="ITC Avant Garde" w:eastAsia="Times New Roman" w:hAnsi="ITC Avant Garde" w:cs="Times New Roman"/>
          <w:i/>
          <w:color w:val="000000" w:themeColor="text1"/>
          <w:lang w:val="es-ES"/>
        </w:rPr>
        <w:t>(Secretaría Técnica del Pleno)</w:t>
      </w:r>
    </w:p>
    <w:p w14:paraId="57024847" w14:textId="77777777" w:rsidR="002E527F" w:rsidRDefault="007E5B07" w:rsidP="002E527F">
      <w:pPr>
        <w:spacing w:before="240" w:after="0" w:line="240" w:lineRule="auto"/>
        <w:ind w:right="49"/>
        <w:jc w:val="both"/>
        <w:rPr>
          <w:rFonts w:ascii="ITC Avant Garde" w:eastAsia="Times New Roman" w:hAnsi="ITC Avant Garde" w:cs="Times New Roman"/>
          <w:color w:val="000000" w:themeColor="text1"/>
          <w:lang w:val="es-ES"/>
        </w:rPr>
      </w:pPr>
      <w:r w:rsidRPr="002E527F">
        <w:rPr>
          <w:rFonts w:ascii="ITC Avant Garde" w:eastAsia="Times New Roman" w:hAnsi="ITC Avant Garde" w:cs="Times New Roman"/>
          <w:b/>
          <w:color w:val="000000" w:themeColor="text1"/>
          <w:lang w:val="es-ES"/>
        </w:rPr>
        <w:t>III.2.-</w:t>
      </w:r>
      <w:r w:rsidRPr="002E527F">
        <w:rPr>
          <w:rFonts w:ascii="ITC Avant Garde" w:eastAsia="Times New Roman" w:hAnsi="ITC Avant Garde" w:cs="Times New Roman"/>
          <w:color w:val="000000" w:themeColor="text1"/>
          <w:lang w:val="es-ES"/>
        </w:rPr>
        <w:t xml:space="preserve"> </w:t>
      </w:r>
      <w:r w:rsidR="003E31A1" w:rsidRPr="002E527F">
        <w:rPr>
          <w:rFonts w:ascii="ITC Avant Garde" w:eastAsia="Times New Roman" w:hAnsi="ITC Avant Garde" w:cs="Times New Roman"/>
          <w:color w:val="000000" w:themeColor="text1"/>
          <w:lang w:val="es-ES"/>
        </w:rPr>
        <w:t xml:space="preserve">Acuerdo mediante el cual el Pleno del Instituto Federal de Telecomunicaciones emite respuesta a la solicitud de </w:t>
      </w:r>
      <w:r w:rsidR="00891250" w:rsidRPr="002E527F">
        <w:rPr>
          <w:rFonts w:ascii="ITC Avant Garde" w:eastAsia="Times New Roman" w:hAnsi="ITC Avant Garde" w:cs="Times New Roman"/>
          <w:color w:val="000000" w:themeColor="text1"/>
          <w:lang w:val="es-ES"/>
        </w:rPr>
        <w:t xml:space="preserve">Confirmación </w:t>
      </w:r>
      <w:r w:rsidR="003E31A1" w:rsidRPr="002E527F">
        <w:rPr>
          <w:rFonts w:ascii="ITC Avant Garde" w:eastAsia="Times New Roman" w:hAnsi="ITC Avant Garde" w:cs="Times New Roman"/>
          <w:color w:val="000000" w:themeColor="text1"/>
          <w:lang w:val="es-ES"/>
        </w:rPr>
        <w:t xml:space="preserve">de </w:t>
      </w:r>
      <w:r w:rsidR="00891250" w:rsidRPr="002E527F">
        <w:rPr>
          <w:rFonts w:ascii="ITC Avant Garde" w:eastAsia="Times New Roman" w:hAnsi="ITC Avant Garde" w:cs="Times New Roman"/>
          <w:color w:val="000000" w:themeColor="text1"/>
          <w:lang w:val="es-ES"/>
        </w:rPr>
        <w:t xml:space="preserve">Criterio </w:t>
      </w:r>
      <w:r w:rsidR="003E31A1" w:rsidRPr="002E527F">
        <w:rPr>
          <w:rFonts w:ascii="ITC Avant Garde" w:eastAsia="Times New Roman" w:hAnsi="ITC Avant Garde" w:cs="Times New Roman"/>
          <w:color w:val="000000" w:themeColor="text1"/>
          <w:lang w:val="es-ES"/>
        </w:rPr>
        <w:t>presentada por Operbes, S.A. de C.V., en el sentido de determinar si en el caso del servicio de acceso indirecto al bucle, la provisión de módems y/o terminales de red óptica blancos debe hacerse bajo la figura de comodato.</w:t>
      </w:r>
    </w:p>
    <w:p w14:paraId="5A33FBAA" w14:textId="6A5842A9" w:rsidR="002E527F" w:rsidRPr="002E527F" w:rsidRDefault="003E31A1" w:rsidP="002E527F">
      <w:pPr>
        <w:spacing w:after="0" w:line="240" w:lineRule="auto"/>
        <w:ind w:right="49"/>
        <w:jc w:val="both"/>
        <w:rPr>
          <w:rFonts w:ascii="ITC Avant Garde" w:eastAsia="Times New Roman" w:hAnsi="ITC Avant Garde" w:cs="Times New Roman"/>
          <w:color w:val="000000" w:themeColor="text1"/>
          <w:lang w:val="es-ES"/>
        </w:rPr>
      </w:pPr>
      <w:r w:rsidRPr="002E527F">
        <w:rPr>
          <w:rFonts w:ascii="ITC Avant Garde" w:eastAsia="Times New Roman" w:hAnsi="ITC Avant Garde" w:cs="Times New Roman"/>
          <w:i/>
          <w:color w:val="000000" w:themeColor="text1"/>
          <w:lang w:val="es-ES"/>
        </w:rPr>
        <w:t>(Unidad de Asuntos Jurídicos)</w:t>
      </w:r>
    </w:p>
    <w:p w14:paraId="09AFCC77" w14:textId="4128EDB4" w:rsidR="008750D0" w:rsidRPr="002E527F" w:rsidRDefault="006D3DE0" w:rsidP="002E527F">
      <w:pPr>
        <w:spacing w:before="240" w:after="0" w:line="240" w:lineRule="auto"/>
        <w:jc w:val="both"/>
        <w:rPr>
          <w:rFonts w:ascii="ITC Avant Garde" w:eastAsia="Times New Roman" w:hAnsi="ITC Avant Garde" w:cs="Times New Roman"/>
          <w:b/>
          <w:color w:val="000000" w:themeColor="text1"/>
          <w:lang w:eastAsia="es-ES"/>
        </w:rPr>
      </w:pPr>
      <w:r w:rsidRPr="002E527F">
        <w:rPr>
          <w:rFonts w:ascii="ITC Avant Garde" w:eastAsia="Times New Roman" w:hAnsi="ITC Avant Garde" w:cs="Times New Roman"/>
          <w:b/>
          <w:color w:val="000000" w:themeColor="text1"/>
          <w:lang w:eastAsia="es-ES"/>
        </w:rPr>
        <w:t xml:space="preserve">III.3.- </w:t>
      </w:r>
      <w:r w:rsidR="008750D0" w:rsidRPr="002E527F">
        <w:rPr>
          <w:rFonts w:ascii="ITC Avant Garde" w:eastAsia="Times New Roman" w:hAnsi="ITC Avant Garde" w:cs="Times New Roman"/>
          <w:color w:val="000000" w:themeColor="text1"/>
          <w:lang w:eastAsia="es-ES"/>
        </w:rPr>
        <w:t>Acuerdo mediante el cual el Pleno del Instituto Federal de Telecomunicaciones expide la Metodología de Separación Contable aplicable a los agentes económicos preponderantes, agentes declarados con poder sustancial de mercado y redes compartidas mayoristas.</w:t>
      </w:r>
    </w:p>
    <w:p w14:paraId="21AECBAD" w14:textId="77777777" w:rsidR="002E527F" w:rsidRPr="002E527F" w:rsidRDefault="008750D0" w:rsidP="008750D0">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 xml:space="preserve">(Unidad de Política Regulatoria) </w:t>
      </w:r>
    </w:p>
    <w:p w14:paraId="364580F1" w14:textId="174A8A78" w:rsidR="008750D0"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III.4.- </w:t>
      </w:r>
      <w:r w:rsidR="00ED0966" w:rsidRPr="002E527F">
        <w:rPr>
          <w:rFonts w:ascii="ITC Avant Garde" w:eastAsia="Times New Roman" w:hAnsi="ITC Avant Garde" w:cs="Times New Roman"/>
          <w:color w:val="000000" w:themeColor="text1"/>
          <w:lang w:eastAsia="es-ES"/>
        </w:rPr>
        <w:t>Acuerdo mediante el cual el Pleno del Instituto Federal de Telecomunicaciones adiciona dos párrafos al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el 2 de diciembre de 2015.</w:t>
      </w:r>
    </w:p>
    <w:p w14:paraId="2B1135E1" w14:textId="77777777" w:rsidR="002E527F" w:rsidRPr="002E527F" w:rsidRDefault="004F2269" w:rsidP="004F2269">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 xml:space="preserve">(Unidad de Política Regulatoria) </w:t>
      </w:r>
    </w:p>
    <w:p w14:paraId="7778BEC4" w14:textId="49C87A86" w:rsidR="00B21300"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III.5.- </w:t>
      </w:r>
      <w:r w:rsidR="00B21300" w:rsidRPr="002E527F">
        <w:rPr>
          <w:rFonts w:ascii="ITC Avant Garde" w:eastAsia="Times New Roman" w:hAnsi="ITC Avant Garde" w:cs="Times New Roman"/>
          <w:color w:val="000000" w:themeColor="text1"/>
          <w:lang w:eastAsia="es-ES"/>
        </w:rPr>
        <w:t xml:space="preserve">Resolución mediante la cual el Pleno del Instituto Federal de Telecomunicaciones en Cumplimiento a la </w:t>
      </w:r>
      <w:r w:rsidR="0082654B" w:rsidRPr="002E527F">
        <w:rPr>
          <w:rFonts w:ascii="ITC Avant Garde" w:eastAsia="Times New Roman" w:hAnsi="ITC Avant Garde" w:cs="Times New Roman"/>
          <w:color w:val="000000" w:themeColor="text1"/>
          <w:lang w:eastAsia="es-ES"/>
        </w:rPr>
        <w:t xml:space="preserve">Ejecutoria </w:t>
      </w:r>
      <w:r w:rsidR="00B21300" w:rsidRPr="002E527F">
        <w:rPr>
          <w:rFonts w:ascii="ITC Avant Garde" w:eastAsia="Times New Roman" w:hAnsi="ITC Avant Garde" w:cs="Times New Roman"/>
          <w:color w:val="000000" w:themeColor="text1"/>
          <w:lang w:eastAsia="es-ES"/>
        </w:rPr>
        <w:t>del Amparo en Revisión 159/2016 deja insubsistente el Acuerdo P/IFT/EXT/071015/130 y determina las condiciones de interconexión no convenidas entre Radiomóvil Dipsa, S.A. de C.V. y las empresas Cablemás Telecomunicaciones, S.A. de C.V., TV Cable de Oriente, S.A. de C.V., Tele Azteca, S.A. de C.V. y México Red de Telecomunicaciones, S. de R.L. de C.V., aplicables del 1 enero de 2015 al 31 de diciembre de 2016.</w:t>
      </w:r>
    </w:p>
    <w:p w14:paraId="6E3B4B8D" w14:textId="77777777" w:rsidR="00B21300" w:rsidRPr="002E527F" w:rsidRDefault="00B21300"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lastRenderedPageBreak/>
        <w:t xml:space="preserve">(Unidad de Política Regulatoria) </w:t>
      </w:r>
    </w:p>
    <w:p w14:paraId="500DFF11" w14:textId="17245200" w:rsidR="00B21300" w:rsidRPr="002E527F" w:rsidRDefault="008750D0" w:rsidP="00AB15CD">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III.6.- </w:t>
      </w:r>
      <w:r w:rsidR="00B21300" w:rsidRPr="002E527F">
        <w:rPr>
          <w:rFonts w:ascii="ITC Avant Garde" w:eastAsia="Times New Roman" w:hAnsi="ITC Avant Garde" w:cs="Times New Roman"/>
          <w:color w:val="000000" w:themeColor="text1"/>
          <w:lang w:eastAsia="es-ES"/>
        </w:rPr>
        <w:t xml:space="preserve">Resolución mediante la cual el Pleno del Instituto Federal de Telecomunicaciones modifica la </w:t>
      </w:r>
      <w:r w:rsidR="0082654B" w:rsidRPr="002E527F">
        <w:rPr>
          <w:rFonts w:ascii="ITC Avant Garde" w:eastAsia="Times New Roman" w:hAnsi="ITC Avant Garde" w:cs="Times New Roman"/>
          <w:color w:val="000000" w:themeColor="text1"/>
          <w:lang w:eastAsia="es-ES"/>
        </w:rPr>
        <w:t xml:space="preserve">Resolución </w:t>
      </w:r>
      <w:r w:rsidR="00B21300" w:rsidRPr="002E527F">
        <w:rPr>
          <w:rFonts w:ascii="ITC Avant Garde" w:eastAsia="Times New Roman" w:hAnsi="ITC Avant Garde" w:cs="Times New Roman"/>
          <w:color w:val="000000" w:themeColor="text1"/>
          <w:lang w:eastAsia="es-ES"/>
        </w:rPr>
        <w:t xml:space="preserve">mediante la cual el Pleno del Instituto Federal de Telecomunicaciones determina las condiciones de interconexión no convenidas entre Radiomóvil Dipsa, S.A. de C.V. y Maxcom Telecomunicaciones, S.A.B. de C.V. aplicables del 1 de enero de 2015 al 31 de diciembre de 2016 emitida mediante Acuerdo P/IFT/120815/363, en cumplimiento a la </w:t>
      </w:r>
      <w:r w:rsidR="0082654B" w:rsidRPr="002E527F">
        <w:rPr>
          <w:rFonts w:ascii="ITC Avant Garde" w:eastAsia="Times New Roman" w:hAnsi="ITC Avant Garde" w:cs="Times New Roman"/>
          <w:color w:val="000000" w:themeColor="text1"/>
          <w:lang w:eastAsia="es-ES"/>
        </w:rPr>
        <w:t xml:space="preserve">Ejecutoria </w:t>
      </w:r>
      <w:r w:rsidR="00B21300" w:rsidRPr="002E527F">
        <w:rPr>
          <w:rFonts w:ascii="ITC Avant Garde" w:eastAsia="Times New Roman" w:hAnsi="ITC Avant Garde" w:cs="Times New Roman"/>
          <w:color w:val="000000" w:themeColor="text1"/>
          <w:lang w:eastAsia="es-ES"/>
        </w:rPr>
        <w:t>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p>
    <w:p w14:paraId="742EA9D3" w14:textId="77777777" w:rsidR="002E527F" w:rsidRPr="002E527F" w:rsidRDefault="00B21300"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w:t>
      </w:r>
      <w:r w:rsidR="008750D0" w:rsidRPr="002E527F">
        <w:rPr>
          <w:rFonts w:ascii="ITC Avant Garde" w:eastAsia="Times New Roman" w:hAnsi="ITC Avant Garde" w:cs="Times New Roman"/>
          <w:i/>
          <w:color w:val="000000" w:themeColor="text1"/>
          <w:lang w:eastAsia="es-ES"/>
        </w:rPr>
        <w:t>Unidad de Política Regulatoria)</w:t>
      </w:r>
    </w:p>
    <w:p w14:paraId="6154EB0B" w14:textId="4E4CD25A" w:rsidR="00673D32"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III.7.- </w:t>
      </w:r>
      <w:r w:rsidR="00673D32" w:rsidRPr="002E527F">
        <w:rPr>
          <w:rFonts w:ascii="ITC Avant Garde" w:eastAsia="Times New Roman" w:hAnsi="ITC Avant Garde" w:cs="Times New Roman"/>
          <w:color w:val="000000" w:themeColor="text1"/>
          <w:lang w:eastAsia="es-ES"/>
        </w:rPr>
        <w:t>Resolución mediante la cual el Pleno del Instituto Federal de Telecomunicaciones modifica la “Resolución mediante la cual el Pleno del Instituto Federal de Telecomunicaciones 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25/2016.</w:t>
      </w:r>
    </w:p>
    <w:p w14:paraId="58480808" w14:textId="77777777" w:rsidR="002E527F" w:rsidRPr="002E527F" w:rsidRDefault="00673D32"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Política Regulatoria)</w:t>
      </w:r>
    </w:p>
    <w:p w14:paraId="7D2420CA" w14:textId="3D35E968" w:rsidR="00673D32"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III.8.- </w:t>
      </w:r>
      <w:r w:rsidR="00673D32" w:rsidRPr="002E527F">
        <w:rPr>
          <w:rFonts w:ascii="ITC Avant Garde" w:eastAsia="Times New Roman" w:hAnsi="ITC Avant Garde" w:cs="Times New Roman"/>
          <w:color w:val="000000" w:themeColor="text1"/>
          <w:lang w:eastAsia="es-ES"/>
        </w:rPr>
        <w:t xml:space="preserve">Resolución mediante la cual el </w:t>
      </w:r>
      <w:r w:rsidR="0082654B" w:rsidRPr="002E527F">
        <w:rPr>
          <w:rFonts w:ascii="ITC Avant Garde" w:eastAsia="Times New Roman" w:hAnsi="ITC Avant Garde" w:cs="Times New Roman"/>
          <w:color w:val="000000" w:themeColor="text1"/>
          <w:lang w:eastAsia="es-ES"/>
        </w:rPr>
        <w:t>Pleno del Instituto Federal d</w:t>
      </w:r>
      <w:r w:rsidR="00673D32" w:rsidRPr="002E527F">
        <w:rPr>
          <w:rFonts w:ascii="ITC Avant Garde" w:eastAsia="Times New Roman" w:hAnsi="ITC Avant Garde" w:cs="Times New Roman"/>
          <w:color w:val="000000" w:themeColor="text1"/>
          <w:lang w:eastAsia="es-ES"/>
        </w:rPr>
        <w:t xml:space="preserve">e Telecomunicaciones </w:t>
      </w:r>
      <w:r w:rsidR="0082654B" w:rsidRPr="002E527F">
        <w:rPr>
          <w:rFonts w:ascii="ITC Avant Garde" w:eastAsia="Times New Roman" w:hAnsi="ITC Avant Garde" w:cs="Times New Roman"/>
          <w:color w:val="000000" w:themeColor="text1"/>
          <w:lang w:eastAsia="es-ES"/>
        </w:rPr>
        <w:t xml:space="preserve">modifica la </w:t>
      </w:r>
      <w:r w:rsidR="00673D32" w:rsidRPr="002E527F">
        <w:rPr>
          <w:rFonts w:ascii="ITC Avant Garde" w:eastAsia="Times New Roman" w:hAnsi="ITC Avant Garde" w:cs="Times New Roman"/>
          <w:color w:val="000000" w:themeColor="text1"/>
          <w:lang w:eastAsia="es-ES"/>
        </w:rPr>
        <w:t xml:space="preserve">“Resolución </w:t>
      </w:r>
      <w:r w:rsidR="0082654B" w:rsidRPr="002E527F">
        <w:rPr>
          <w:rFonts w:ascii="ITC Avant Garde" w:eastAsia="Times New Roman" w:hAnsi="ITC Avant Garde" w:cs="Times New Roman"/>
          <w:color w:val="000000" w:themeColor="text1"/>
          <w:lang w:eastAsia="es-ES"/>
        </w:rPr>
        <w:t xml:space="preserve">mediante la cual el </w:t>
      </w:r>
      <w:r w:rsidR="00673D32" w:rsidRPr="002E527F">
        <w:rPr>
          <w:rFonts w:ascii="ITC Avant Garde" w:eastAsia="Times New Roman" w:hAnsi="ITC Avant Garde" w:cs="Times New Roman"/>
          <w:color w:val="000000" w:themeColor="text1"/>
          <w:lang w:eastAsia="es-ES"/>
        </w:rPr>
        <w:t>P</w:t>
      </w:r>
      <w:r w:rsidR="0082654B" w:rsidRPr="002E527F">
        <w:rPr>
          <w:rFonts w:ascii="ITC Avant Garde" w:eastAsia="Times New Roman" w:hAnsi="ITC Avant Garde" w:cs="Times New Roman"/>
          <w:color w:val="000000" w:themeColor="text1"/>
          <w:lang w:eastAsia="es-ES"/>
        </w:rPr>
        <w:t>leno del Instituto Federal d</w:t>
      </w:r>
      <w:r w:rsidR="00673D32" w:rsidRPr="002E527F">
        <w:rPr>
          <w:rFonts w:ascii="ITC Avant Garde" w:eastAsia="Times New Roman" w:hAnsi="ITC Avant Garde" w:cs="Times New Roman"/>
          <w:color w:val="000000" w:themeColor="text1"/>
          <w:lang w:eastAsia="es-ES"/>
        </w:rPr>
        <w:t xml:space="preserve">e Telecomunicaciones </w:t>
      </w:r>
      <w:r w:rsidR="0082654B" w:rsidRPr="002E527F">
        <w:rPr>
          <w:rFonts w:ascii="ITC Avant Garde" w:eastAsia="Times New Roman" w:hAnsi="ITC Avant Garde" w:cs="Times New Roman"/>
          <w:color w:val="000000" w:themeColor="text1"/>
          <w:lang w:eastAsia="es-ES"/>
        </w:rPr>
        <w:t>determina las condiciones de interconexión no convenidas entre Radiomóvil Dipsa, S.A. de</w:t>
      </w:r>
      <w:r w:rsidR="00673D32" w:rsidRPr="002E527F">
        <w:rPr>
          <w:rFonts w:ascii="ITC Avant Garde" w:eastAsia="Times New Roman" w:hAnsi="ITC Avant Garde" w:cs="Times New Roman"/>
          <w:color w:val="000000" w:themeColor="text1"/>
          <w:lang w:eastAsia="es-ES"/>
        </w:rPr>
        <w:t xml:space="preserve"> C.V. </w:t>
      </w:r>
      <w:r w:rsidR="0082654B" w:rsidRPr="002E527F">
        <w:rPr>
          <w:rFonts w:ascii="ITC Avant Garde" w:eastAsia="Times New Roman" w:hAnsi="ITC Avant Garde" w:cs="Times New Roman"/>
          <w:color w:val="000000" w:themeColor="text1"/>
          <w:lang w:eastAsia="es-ES"/>
        </w:rPr>
        <w:t>y G TEL</w:t>
      </w:r>
      <w:r w:rsidR="002905FC" w:rsidRPr="002E527F">
        <w:rPr>
          <w:rFonts w:ascii="ITC Avant Garde" w:eastAsia="Times New Roman" w:hAnsi="ITC Avant Garde" w:cs="Times New Roman"/>
          <w:color w:val="000000" w:themeColor="text1"/>
          <w:lang w:eastAsia="es-ES"/>
        </w:rPr>
        <w:t xml:space="preserve"> Comunicación, S.A.P.I. d</w:t>
      </w:r>
      <w:r w:rsidR="00673D32" w:rsidRPr="002E527F">
        <w:rPr>
          <w:rFonts w:ascii="ITC Avant Garde" w:eastAsia="Times New Roman" w:hAnsi="ITC Avant Garde" w:cs="Times New Roman"/>
          <w:color w:val="000000" w:themeColor="text1"/>
          <w:lang w:eastAsia="es-ES"/>
        </w:rPr>
        <w:t xml:space="preserve">e C.V. </w:t>
      </w:r>
      <w:r w:rsidR="002905FC" w:rsidRPr="002E527F">
        <w:rPr>
          <w:rFonts w:ascii="ITC Avant Garde" w:eastAsia="Times New Roman" w:hAnsi="ITC Avant Garde" w:cs="Times New Roman"/>
          <w:color w:val="000000" w:themeColor="text1"/>
          <w:lang w:eastAsia="es-ES"/>
        </w:rPr>
        <w:t>aplicables del 1 de enero de 2015 al 31 de diciembre de 2016” emitida median</w:t>
      </w:r>
      <w:r w:rsidR="00673D32" w:rsidRPr="002E527F">
        <w:rPr>
          <w:rFonts w:ascii="ITC Avant Garde" w:eastAsia="Times New Roman" w:hAnsi="ITC Avant Garde" w:cs="Times New Roman"/>
          <w:color w:val="000000" w:themeColor="text1"/>
          <w:lang w:eastAsia="es-ES"/>
        </w:rPr>
        <w:t xml:space="preserve">te Acuerdo </w:t>
      </w:r>
      <w:r w:rsidR="002905FC" w:rsidRPr="002E527F">
        <w:rPr>
          <w:rFonts w:ascii="ITC Avant Garde" w:eastAsia="Times New Roman" w:hAnsi="ITC Avant Garde" w:cs="Times New Roman"/>
          <w:color w:val="000000" w:themeColor="text1"/>
          <w:lang w:eastAsia="es-ES"/>
        </w:rPr>
        <w:t>P/IFT/</w:t>
      </w:r>
      <w:r w:rsidR="00673D32" w:rsidRPr="002E527F">
        <w:rPr>
          <w:rFonts w:ascii="ITC Avant Garde" w:eastAsia="Times New Roman" w:hAnsi="ITC Avant Garde" w:cs="Times New Roman"/>
          <w:color w:val="000000" w:themeColor="text1"/>
          <w:lang w:eastAsia="es-ES"/>
        </w:rPr>
        <w:t xml:space="preserve">120815/362, </w:t>
      </w:r>
      <w:r w:rsidR="002905FC" w:rsidRPr="002E527F">
        <w:rPr>
          <w:rFonts w:ascii="ITC Avant Garde" w:eastAsia="Times New Roman" w:hAnsi="ITC Avant Garde" w:cs="Times New Roman"/>
          <w:color w:val="000000" w:themeColor="text1"/>
          <w:lang w:eastAsia="es-ES"/>
        </w:rPr>
        <w:t>en cumplimiento a l</w:t>
      </w:r>
      <w:r w:rsidR="00673D32" w:rsidRPr="002E527F">
        <w:rPr>
          <w:rFonts w:ascii="ITC Avant Garde" w:eastAsia="Times New Roman" w:hAnsi="ITC Avant Garde" w:cs="Times New Roman"/>
          <w:color w:val="000000" w:themeColor="text1"/>
          <w:lang w:eastAsia="es-ES"/>
        </w:rPr>
        <w:t xml:space="preserve">a Ejecutoria </w:t>
      </w:r>
      <w:r w:rsidR="002905FC" w:rsidRPr="002E527F">
        <w:rPr>
          <w:rFonts w:ascii="ITC Avant Garde" w:eastAsia="Times New Roman" w:hAnsi="ITC Avant Garde" w:cs="Times New Roman"/>
          <w:color w:val="000000" w:themeColor="text1"/>
          <w:lang w:eastAsia="es-ES"/>
        </w:rPr>
        <w:t xml:space="preserve">de fecha 24 de noviembre de 2017 emitida por el </w:t>
      </w:r>
      <w:r w:rsidR="00673D32" w:rsidRPr="002E527F">
        <w:rPr>
          <w:rFonts w:ascii="ITC Avant Garde" w:eastAsia="Times New Roman" w:hAnsi="ITC Avant Garde" w:cs="Times New Roman"/>
          <w:color w:val="000000" w:themeColor="text1"/>
          <w:lang w:eastAsia="es-ES"/>
        </w:rPr>
        <w:t xml:space="preserve">Primer Tribunal Colegiado </w:t>
      </w:r>
      <w:r w:rsidR="002905FC" w:rsidRPr="002E527F">
        <w:rPr>
          <w:rFonts w:ascii="ITC Avant Garde" w:eastAsia="Times New Roman" w:hAnsi="ITC Avant Garde" w:cs="Times New Roman"/>
          <w:color w:val="000000" w:themeColor="text1"/>
          <w:lang w:eastAsia="es-ES"/>
        </w:rPr>
        <w:t>e</w:t>
      </w:r>
      <w:r w:rsidR="00673D32" w:rsidRPr="002E527F">
        <w:rPr>
          <w:rFonts w:ascii="ITC Avant Garde" w:eastAsia="Times New Roman" w:hAnsi="ITC Avant Garde" w:cs="Times New Roman"/>
          <w:color w:val="000000" w:themeColor="text1"/>
          <w:lang w:eastAsia="es-ES"/>
        </w:rPr>
        <w:t xml:space="preserve">n Materia Administrativa Especializado </w:t>
      </w:r>
      <w:r w:rsidR="002905FC" w:rsidRPr="002E527F">
        <w:rPr>
          <w:rFonts w:ascii="ITC Avant Garde" w:eastAsia="Times New Roman" w:hAnsi="ITC Avant Garde" w:cs="Times New Roman"/>
          <w:color w:val="000000" w:themeColor="text1"/>
          <w:lang w:eastAsia="es-ES"/>
        </w:rPr>
        <w:t>e</w:t>
      </w:r>
      <w:r w:rsidR="00673D32" w:rsidRPr="002E527F">
        <w:rPr>
          <w:rFonts w:ascii="ITC Avant Garde" w:eastAsia="Times New Roman" w:hAnsi="ITC Avant Garde" w:cs="Times New Roman"/>
          <w:color w:val="000000" w:themeColor="text1"/>
          <w:lang w:eastAsia="es-ES"/>
        </w:rPr>
        <w:t xml:space="preserve">n Competencia Económica, Radiodifusión </w:t>
      </w:r>
      <w:r w:rsidR="002905FC" w:rsidRPr="002E527F">
        <w:rPr>
          <w:rFonts w:ascii="ITC Avant Garde" w:eastAsia="Times New Roman" w:hAnsi="ITC Avant Garde" w:cs="Times New Roman"/>
          <w:color w:val="000000" w:themeColor="text1"/>
          <w:lang w:eastAsia="es-ES"/>
        </w:rPr>
        <w:t>y</w:t>
      </w:r>
      <w:r w:rsidR="00673D32" w:rsidRPr="002E527F">
        <w:rPr>
          <w:rFonts w:ascii="ITC Avant Garde" w:eastAsia="Times New Roman" w:hAnsi="ITC Avant Garde" w:cs="Times New Roman"/>
          <w:color w:val="000000" w:themeColor="text1"/>
          <w:lang w:eastAsia="es-ES"/>
        </w:rPr>
        <w:t xml:space="preserve"> Telecomunicaciones </w:t>
      </w:r>
      <w:r w:rsidR="002905FC" w:rsidRPr="002E527F">
        <w:rPr>
          <w:rFonts w:ascii="ITC Avant Garde" w:eastAsia="Times New Roman" w:hAnsi="ITC Avant Garde" w:cs="Times New Roman"/>
          <w:color w:val="000000" w:themeColor="text1"/>
          <w:lang w:eastAsia="es-ES"/>
        </w:rPr>
        <w:t xml:space="preserve">con residencia en la </w:t>
      </w:r>
      <w:r w:rsidR="00673D32" w:rsidRPr="002E527F">
        <w:rPr>
          <w:rFonts w:ascii="ITC Avant Garde" w:eastAsia="Times New Roman" w:hAnsi="ITC Avant Garde" w:cs="Times New Roman"/>
          <w:color w:val="000000" w:themeColor="text1"/>
          <w:lang w:eastAsia="es-ES"/>
        </w:rPr>
        <w:t>Ciudad</w:t>
      </w:r>
      <w:r w:rsidR="002905FC" w:rsidRPr="002E527F">
        <w:rPr>
          <w:rFonts w:ascii="ITC Avant Garde" w:eastAsia="Times New Roman" w:hAnsi="ITC Avant Garde" w:cs="Times New Roman"/>
          <w:color w:val="000000" w:themeColor="text1"/>
          <w:lang w:eastAsia="es-ES"/>
        </w:rPr>
        <w:t xml:space="preserve"> d</w:t>
      </w:r>
      <w:r w:rsidR="00673D32" w:rsidRPr="002E527F">
        <w:rPr>
          <w:rFonts w:ascii="ITC Avant Garde" w:eastAsia="Times New Roman" w:hAnsi="ITC Avant Garde" w:cs="Times New Roman"/>
          <w:color w:val="000000" w:themeColor="text1"/>
          <w:lang w:eastAsia="es-ES"/>
        </w:rPr>
        <w:t xml:space="preserve">e México </w:t>
      </w:r>
      <w:r w:rsidR="002905FC" w:rsidRPr="002E527F">
        <w:rPr>
          <w:rFonts w:ascii="ITC Avant Garde" w:eastAsia="Times New Roman" w:hAnsi="ITC Avant Garde" w:cs="Times New Roman"/>
          <w:color w:val="000000" w:themeColor="text1"/>
          <w:lang w:eastAsia="es-ES"/>
        </w:rPr>
        <w:t>y</w:t>
      </w:r>
      <w:r w:rsidR="00673D32" w:rsidRPr="002E527F">
        <w:rPr>
          <w:rFonts w:ascii="ITC Avant Garde" w:eastAsia="Times New Roman" w:hAnsi="ITC Avant Garde" w:cs="Times New Roman"/>
          <w:color w:val="000000" w:themeColor="text1"/>
          <w:lang w:eastAsia="es-ES"/>
        </w:rPr>
        <w:t xml:space="preserve"> Jurisdicción </w:t>
      </w:r>
      <w:r w:rsidR="002905FC" w:rsidRPr="002E527F">
        <w:rPr>
          <w:rFonts w:ascii="ITC Avant Garde" w:eastAsia="Times New Roman" w:hAnsi="ITC Avant Garde" w:cs="Times New Roman"/>
          <w:color w:val="000000" w:themeColor="text1"/>
          <w:lang w:eastAsia="es-ES"/>
        </w:rPr>
        <w:t>en toda la</w:t>
      </w:r>
      <w:r w:rsidR="00673D32" w:rsidRPr="002E527F">
        <w:rPr>
          <w:rFonts w:ascii="ITC Avant Garde" w:eastAsia="Times New Roman" w:hAnsi="ITC Avant Garde" w:cs="Times New Roman"/>
          <w:color w:val="000000" w:themeColor="text1"/>
          <w:lang w:eastAsia="es-ES"/>
        </w:rPr>
        <w:t xml:space="preserve"> República </w:t>
      </w:r>
      <w:r w:rsidR="002905FC" w:rsidRPr="002E527F">
        <w:rPr>
          <w:rFonts w:ascii="ITC Avant Garde" w:eastAsia="Times New Roman" w:hAnsi="ITC Avant Garde" w:cs="Times New Roman"/>
          <w:color w:val="000000" w:themeColor="text1"/>
          <w:lang w:eastAsia="es-ES"/>
        </w:rPr>
        <w:t>correspondiente al Amparo en</w:t>
      </w:r>
      <w:r w:rsidR="00673D32" w:rsidRPr="002E527F">
        <w:rPr>
          <w:rFonts w:ascii="ITC Avant Garde" w:eastAsia="Times New Roman" w:hAnsi="ITC Avant Garde" w:cs="Times New Roman"/>
          <w:color w:val="000000" w:themeColor="text1"/>
          <w:lang w:eastAsia="es-ES"/>
        </w:rPr>
        <w:t xml:space="preserve"> Revisión 15/2016.</w:t>
      </w:r>
    </w:p>
    <w:p w14:paraId="7D11A314" w14:textId="77777777" w:rsidR="002E527F" w:rsidRPr="002E527F" w:rsidRDefault="00673D32" w:rsidP="006506AA">
      <w:pPr>
        <w:autoSpaceDE w:val="0"/>
        <w:autoSpaceDN w:val="0"/>
        <w:adjustRightInd w:val="0"/>
        <w:spacing w:after="0" w:line="240" w:lineRule="auto"/>
        <w:jc w:val="both"/>
        <w:rPr>
          <w:rFonts w:ascii="ITC Avant Garde" w:eastAsia="Calibri" w:hAnsi="ITC Avant Garde" w:cs="Helvetica"/>
          <w:i/>
          <w:color w:val="000000" w:themeColor="text1"/>
          <w:lang w:eastAsia="es-MX"/>
        </w:rPr>
      </w:pPr>
      <w:r w:rsidRPr="002E527F">
        <w:rPr>
          <w:rFonts w:ascii="ITC Avant Garde" w:eastAsia="Calibri" w:hAnsi="ITC Avant Garde" w:cs="Helvetica"/>
          <w:i/>
          <w:color w:val="000000" w:themeColor="text1"/>
          <w:lang w:eastAsia="es-MX"/>
        </w:rPr>
        <w:t>(Unidad de Política Regulatoria)</w:t>
      </w:r>
    </w:p>
    <w:p w14:paraId="4A90B734" w14:textId="5E68FF29" w:rsidR="006D3DE0" w:rsidRPr="002E527F" w:rsidRDefault="008750D0" w:rsidP="002E527F">
      <w:pPr>
        <w:spacing w:before="240" w:after="0" w:line="240" w:lineRule="auto"/>
        <w:jc w:val="both"/>
        <w:rPr>
          <w:rFonts w:ascii="ITC Avant Garde" w:eastAsia="Times New Roman" w:hAnsi="ITC Avant Garde"/>
          <w:bCs/>
          <w:color w:val="000000" w:themeColor="text1"/>
          <w:lang w:val="es-ES" w:eastAsia="es-ES"/>
        </w:rPr>
      </w:pPr>
      <w:r w:rsidRPr="002E527F">
        <w:rPr>
          <w:rFonts w:ascii="ITC Avant Garde" w:eastAsia="Times New Roman" w:hAnsi="ITC Avant Garde" w:cs="Times New Roman"/>
          <w:b/>
          <w:color w:val="000000" w:themeColor="text1"/>
          <w:lang w:eastAsia="es-ES"/>
        </w:rPr>
        <w:t xml:space="preserve">III.9.- </w:t>
      </w:r>
      <w:r w:rsidR="006D3DE0" w:rsidRPr="002E527F">
        <w:rPr>
          <w:rFonts w:ascii="ITC Avant Garde" w:eastAsia="Times New Roman" w:hAnsi="ITC Avant Garde"/>
          <w:bCs/>
          <w:color w:val="000000" w:themeColor="text1"/>
          <w:lang w:val="es-ES" w:eastAsia="es-ES"/>
        </w:rPr>
        <w:t>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p>
    <w:p w14:paraId="254BC784" w14:textId="77777777" w:rsidR="002E527F" w:rsidRPr="002E527F" w:rsidRDefault="006D3DE0" w:rsidP="006506AA">
      <w:pPr>
        <w:autoSpaceDE w:val="0"/>
        <w:autoSpaceDN w:val="0"/>
        <w:adjustRightInd w:val="0"/>
        <w:spacing w:after="0" w:line="240" w:lineRule="auto"/>
        <w:jc w:val="both"/>
        <w:rPr>
          <w:rFonts w:ascii="ITC Avant Garde" w:eastAsia="Calibri" w:hAnsi="ITC Avant Garde" w:cs="Helvetica"/>
          <w:i/>
          <w:color w:val="000000" w:themeColor="text1"/>
          <w:lang w:eastAsia="es-MX"/>
        </w:rPr>
      </w:pPr>
      <w:r w:rsidRPr="002E527F">
        <w:rPr>
          <w:rFonts w:ascii="ITC Avant Garde" w:eastAsia="Calibri" w:hAnsi="ITC Avant Garde" w:cs="Helvetica"/>
          <w:i/>
          <w:color w:val="000000" w:themeColor="text1"/>
          <w:lang w:eastAsia="es-MX"/>
        </w:rPr>
        <w:t>(Unidad de Política Regulatoria)</w:t>
      </w:r>
    </w:p>
    <w:p w14:paraId="4A857465" w14:textId="28AA38A5" w:rsidR="00B21300" w:rsidRPr="002E527F" w:rsidRDefault="008750D0" w:rsidP="00AB15CD">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III.10.- </w:t>
      </w:r>
      <w:r w:rsidR="00B21300" w:rsidRPr="002E527F">
        <w:rPr>
          <w:rFonts w:ascii="ITC Avant Garde" w:eastAsia="Times New Roman" w:hAnsi="ITC Avant Garde" w:cs="Times New Roman"/>
          <w:color w:val="000000" w:themeColor="text1"/>
          <w:lang w:eastAsia="es-ES"/>
        </w:rPr>
        <w:t>Resolución mediante la c</w:t>
      </w:r>
      <w:bookmarkStart w:id="0" w:name="_GoBack"/>
      <w:bookmarkEnd w:id="0"/>
      <w:r w:rsidR="00B21300" w:rsidRPr="002E527F">
        <w:rPr>
          <w:rFonts w:ascii="ITC Avant Garde" w:eastAsia="Times New Roman" w:hAnsi="ITC Avant Garde" w:cs="Times New Roman"/>
          <w:color w:val="000000" w:themeColor="text1"/>
          <w:lang w:eastAsia="es-ES"/>
        </w:rPr>
        <w:t>ual el Pleno del Instituto Federal de Telecomunicaciones determina las condiciones de interconexión no convenidas entre Valor Agregado Digital, S.A. de C.V. y Total Play Telecomunicaciones, S.A. de C.V., aplicables del 19 de diciembre de 2017 al 31 de diciembre de 2018.</w:t>
      </w:r>
    </w:p>
    <w:p w14:paraId="009B21D4" w14:textId="77777777" w:rsidR="002E527F" w:rsidRPr="002E527F" w:rsidRDefault="00B21300"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Política Regulatoria)</w:t>
      </w:r>
    </w:p>
    <w:p w14:paraId="55A3F766" w14:textId="6731E7EB" w:rsidR="00AE36A4" w:rsidRPr="002E527F" w:rsidRDefault="008750D0" w:rsidP="002E527F">
      <w:pPr>
        <w:autoSpaceDE w:val="0"/>
        <w:autoSpaceDN w:val="0"/>
        <w:adjustRightInd w:val="0"/>
        <w:spacing w:before="240" w:after="0" w:line="240" w:lineRule="auto"/>
        <w:jc w:val="both"/>
        <w:rPr>
          <w:rFonts w:ascii="ITC Avant Garde" w:eastAsia="Calibri" w:hAnsi="ITC Avant Garde" w:cs="Helvetica"/>
          <w:color w:val="000000" w:themeColor="text1"/>
          <w:lang w:eastAsia="es-MX"/>
        </w:rPr>
      </w:pPr>
      <w:r w:rsidRPr="002E527F">
        <w:rPr>
          <w:rFonts w:ascii="ITC Avant Garde" w:eastAsia="Times New Roman" w:hAnsi="ITC Avant Garde" w:cs="Times New Roman"/>
          <w:b/>
          <w:color w:val="000000" w:themeColor="text1"/>
          <w:lang w:eastAsia="es-ES"/>
        </w:rPr>
        <w:t xml:space="preserve">III.11.- </w:t>
      </w:r>
      <w:r w:rsidR="00AE36A4" w:rsidRPr="002E527F">
        <w:rPr>
          <w:rFonts w:ascii="ITC Avant Garde" w:eastAsia="Calibri" w:hAnsi="ITC Avant Garde" w:cs="Helvetica"/>
          <w:color w:val="000000" w:themeColor="text1"/>
          <w:lang w:eastAsia="es-MX"/>
        </w:rPr>
        <w:t xml:space="preserve">Acuerdo </w:t>
      </w:r>
      <w:r w:rsidR="003131CB" w:rsidRPr="002E527F">
        <w:rPr>
          <w:rFonts w:ascii="ITC Avant Garde" w:eastAsia="Calibri" w:hAnsi="ITC Avant Garde" w:cs="Helvetica"/>
          <w:color w:val="000000" w:themeColor="text1"/>
          <w:lang w:eastAsia="es-MX"/>
        </w:rPr>
        <w:t>mediante el cual el Pleno del Instituto Federal d</w:t>
      </w:r>
      <w:r w:rsidR="00AE36A4" w:rsidRPr="002E527F">
        <w:rPr>
          <w:rFonts w:ascii="ITC Avant Garde" w:eastAsia="Calibri" w:hAnsi="ITC Avant Garde" w:cs="Helvetica"/>
          <w:color w:val="000000" w:themeColor="text1"/>
          <w:lang w:eastAsia="es-MX"/>
        </w:rPr>
        <w:t xml:space="preserve">e Telecomunicaciones </w:t>
      </w:r>
      <w:r w:rsidR="003131CB" w:rsidRPr="002E527F">
        <w:rPr>
          <w:rFonts w:ascii="ITC Avant Garde" w:eastAsia="Calibri" w:hAnsi="ITC Avant Garde" w:cs="Helvetica"/>
          <w:color w:val="000000" w:themeColor="text1"/>
          <w:lang w:eastAsia="es-MX"/>
        </w:rPr>
        <w:t xml:space="preserve">determina someter a </w:t>
      </w:r>
      <w:r w:rsidR="00AE36A4" w:rsidRPr="002E527F">
        <w:rPr>
          <w:rFonts w:ascii="ITC Avant Garde" w:eastAsia="Calibri" w:hAnsi="ITC Avant Garde" w:cs="Helvetica"/>
          <w:color w:val="000000" w:themeColor="text1"/>
          <w:lang w:eastAsia="es-MX"/>
        </w:rPr>
        <w:t xml:space="preserve">Consulta Pública </w:t>
      </w:r>
      <w:r w:rsidR="003131CB" w:rsidRPr="002E527F">
        <w:rPr>
          <w:rFonts w:ascii="ITC Avant Garde" w:eastAsia="Calibri" w:hAnsi="ITC Avant Garde" w:cs="Helvetica"/>
          <w:color w:val="000000" w:themeColor="text1"/>
          <w:lang w:eastAsia="es-MX"/>
        </w:rPr>
        <w:t>el Modelo d</w:t>
      </w:r>
      <w:r w:rsidR="00AE36A4" w:rsidRPr="002E527F">
        <w:rPr>
          <w:rFonts w:ascii="ITC Avant Garde" w:eastAsia="Calibri" w:hAnsi="ITC Avant Garde" w:cs="Helvetica"/>
          <w:color w:val="000000" w:themeColor="text1"/>
          <w:lang w:eastAsia="es-MX"/>
        </w:rPr>
        <w:t xml:space="preserve">e Costos </w:t>
      </w:r>
      <w:r w:rsidR="003131CB" w:rsidRPr="002E527F">
        <w:rPr>
          <w:rFonts w:ascii="ITC Avant Garde" w:eastAsia="Calibri" w:hAnsi="ITC Avant Garde" w:cs="Helvetica"/>
          <w:color w:val="000000" w:themeColor="text1"/>
          <w:lang w:eastAsia="es-MX"/>
        </w:rPr>
        <w:t>para el</w:t>
      </w:r>
      <w:r w:rsidR="00AE36A4" w:rsidRPr="002E527F">
        <w:rPr>
          <w:rFonts w:ascii="ITC Avant Garde" w:eastAsia="Calibri" w:hAnsi="ITC Avant Garde" w:cs="Helvetica"/>
          <w:color w:val="000000" w:themeColor="text1"/>
          <w:lang w:eastAsia="es-MX"/>
        </w:rPr>
        <w:t xml:space="preserve"> Servicio Mayorista </w:t>
      </w:r>
      <w:r w:rsidR="003131CB" w:rsidRPr="002E527F">
        <w:rPr>
          <w:rFonts w:ascii="ITC Avant Garde" w:eastAsia="Calibri" w:hAnsi="ITC Avant Garde" w:cs="Helvetica"/>
          <w:color w:val="000000" w:themeColor="text1"/>
          <w:lang w:eastAsia="es-MX"/>
        </w:rPr>
        <w:t>para la comercialización o reventa de servicios y el Modelo d</w:t>
      </w:r>
      <w:r w:rsidR="00AE36A4" w:rsidRPr="002E527F">
        <w:rPr>
          <w:rFonts w:ascii="ITC Avant Garde" w:eastAsia="Calibri" w:hAnsi="ITC Avant Garde" w:cs="Helvetica"/>
          <w:color w:val="000000" w:themeColor="text1"/>
          <w:lang w:eastAsia="es-MX"/>
        </w:rPr>
        <w:t xml:space="preserve">e Costos </w:t>
      </w:r>
      <w:r w:rsidR="003131CB" w:rsidRPr="002E527F">
        <w:rPr>
          <w:rFonts w:ascii="ITC Avant Garde" w:eastAsia="Calibri" w:hAnsi="ITC Avant Garde" w:cs="Helvetica"/>
          <w:color w:val="000000" w:themeColor="text1"/>
          <w:lang w:eastAsia="es-MX"/>
        </w:rPr>
        <w:t>para el Servicio Mayorista d</w:t>
      </w:r>
      <w:r w:rsidR="00AE36A4" w:rsidRPr="002E527F">
        <w:rPr>
          <w:rFonts w:ascii="ITC Avant Garde" w:eastAsia="Calibri" w:hAnsi="ITC Avant Garde" w:cs="Helvetica"/>
          <w:color w:val="000000" w:themeColor="text1"/>
          <w:lang w:eastAsia="es-MX"/>
        </w:rPr>
        <w:t xml:space="preserve">e Usuario Visitante </w:t>
      </w:r>
      <w:r w:rsidR="003131CB" w:rsidRPr="002E527F">
        <w:rPr>
          <w:rFonts w:ascii="ITC Avant Garde" w:eastAsia="Calibri" w:hAnsi="ITC Avant Garde" w:cs="Helvetica"/>
          <w:color w:val="000000" w:themeColor="text1"/>
          <w:lang w:eastAsia="es-MX"/>
        </w:rPr>
        <w:t xml:space="preserve">que serán prestados por el </w:t>
      </w:r>
      <w:r w:rsidR="00AE36A4" w:rsidRPr="002E527F">
        <w:rPr>
          <w:rFonts w:ascii="ITC Avant Garde" w:eastAsia="Calibri" w:hAnsi="ITC Avant Garde" w:cs="Helvetica"/>
          <w:color w:val="000000" w:themeColor="text1"/>
          <w:lang w:eastAsia="es-MX"/>
        </w:rPr>
        <w:t xml:space="preserve">Agente Económico Preponderante </w:t>
      </w:r>
      <w:r w:rsidR="003131CB" w:rsidRPr="002E527F">
        <w:rPr>
          <w:rFonts w:ascii="ITC Avant Garde" w:eastAsia="Calibri" w:hAnsi="ITC Avant Garde" w:cs="Helvetica"/>
          <w:color w:val="000000" w:themeColor="text1"/>
          <w:lang w:eastAsia="es-MX"/>
        </w:rPr>
        <w:t>en el sector de las telecomunicaciones.</w:t>
      </w:r>
    </w:p>
    <w:p w14:paraId="34161663" w14:textId="77777777" w:rsidR="002E527F" w:rsidRPr="002E527F" w:rsidRDefault="00AE36A4"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Política Regulatoria)</w:t>
      </w:r>
    </w:p>
    <w:p w14:paraId="44438B56" w14:textId="5A6D745E" w:rsidR="00B21300" w:rsidRPr="002E527F" w:rsidRDefault="008750D0" w:rsidP="002E527F">
      <w:pPr>
        <w:spacing w:before="240" w:after="0" w:line="240" w:lineRule="auto"/>
        <w:jc w:val="both"/>
        <w:rPr>
          <w:rFonts w:ascii="ITC Avant Garde" w:hAnsi="ITC Avant Garde"/>
          <w:color w:val="000000" w:themeColor="text1"/>
        </w:rPr>
      </w:pPr>
      <w:r w:rsidRPr="002E527F">
        <w:rPr>
          <w:rFonts w:ascii="ITC Avant Garde" w:eastAsia="Times New Roman" w:hAnsi="ITC Avant Garde" w:cs="Times New Roman"/>
          <w:b/>
          <w:color w:val="000000" w:themeColor="text1"/>
          <w:lang w:eastAsia="es-ES"/>
        </w:rPr>
        <w:t xml:space="preserve">III.12.- </w:t>
      </w:r>
      <w:r w:rsidR="00B21300" w:rsidRPr="002E527F">
        <w:rPr>
          <w:rFonts w:ascii="ITC Avant Garde" w:hAnsi="ITC Avant Garde"/>
          <w:color w:val="000000" w:themeColor="text1"/>
        </w:rPr>
        <w:t xml:space="preserve">Acuerdo mediante el cual el Pleno del Instituto Federal de Telecomunicaciones declara insubsistente la </w:t>
      </w:r>
      <w:r w:rsidR="00B56697" w:rsidRPr="002E527F">
        <w:rPr>
          <w:rFonts w:ascii="ITC Avant Garde" w:hAnsi="ITC Avant Garde"/>
          <w:color w:val="000000" w:themeColor="text1"/>
        </w:rPr>
        <w:t xml:space="preserve">Resolución </w:t>
      </w:r>
      <w:r w:rsidR="00B21300" w:rsidRPr="002E527F">
        <w:rPr>
          <w:rFonts w:ascii="ITC Avant Garde" w:hAnsi="ITC Avant Garde"/>
          <w:color w:val="000000" w:themeColor="text1"/>
        </w:rPr>
        <w:t>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p>
    <w:p w14:paraId="2D34103C" w14:textId="77777777" w:rsidR="002E527F" w:rsidRPr="002E527F" w:rsidRDefault="00B21300" w:rsidP="006506AA">
      <w:pPr>
        <w:spacing w:after="0" w:line="240" w:lineRule="auto"/>
        <w:jc w:val="both"/>
        <w:rPr>
          <w:rFonts w:ascii="ITC Avant Garde" w:hAnsi="ITC Avant Garde"/>
          <w:i/>
          <w:color w:val="000000" w:themeColor="text1"/>
        </w:rPr>
      </w:pPr>
      <w:r w:rsidRPr="002E527F">
        <w:rPr>
          <w:rFonts w:ascii="ITC Avant Garde" w:hAnsi="ITC Avant Garde"/>
          <w:i/>
          <w:color w:val="000000" w:themeColor="text1"/>
        </w:rPr>
        <w:t>(Unidad de Cumplimiento)</w:t>
      </w:r>
    </w:p>
    <w:p w14:paraId="6933F366" w14:textId="4E65A9E8" w:rsidR="00B21300" w:rsidRPr="002E527F" w:rsidRDefault="008750D0" w:rsidP="002E527F">
      <w:pPr>
        <w:spacing w:before="240" w:after="0" w:line="240" w:lineRule="auto"/>
        <w:jc w:val="both"/>
        <w:rPr>
          <w:rFonts w:ascii="ITC Avant Garde" w:hAnsi="ITC Avant Garde"/>
          <w:color w:val="000000" w:themeColor="text1"/>
        </w:rPr>
      </w:pPr>
      <w:r w:rsidRPr="002E527F">
        <w:rPr>
          <w:rFonts w:ascii="ITC Avant Garde" w:eastAsia="Times New Roman" w:hAnsi="ITC Avant Garde" w:cs="Times New Roman"/>
          <w:b/>
          <w:color w:val="000000" w:themeColor="text1"/>
          <w:lang w:eastAsia="es-ES"/>
        </w:rPr>
        <w:t xml:space="preserve">III.13.- </w:t>
      </w:r>
      <w:r w:rsidR="00B21300" w:rsidRPr="002E527F">
        <w:rPr>
          <w:rFonts w:ascii="ITC Avant Garde" w:hAnsi="ITC Avant Garde"/>
          <w:color w:val="000000" w:themeColor="text1"/>
        </w:rPr>
        <w:t xml:space="preserve">Acuerdo mediante el cual el Pleno del Instituto Federal de Telecomunicaciones declara insubsistente la </w:t>
      </w:r>
      <w:r w:rsidR="00B56697" w:rsidRPr="002E527F">
        <w:rPr>
          <w:rFonts w:ascii="ITC Avant Garde" w:hAnsi="ITC Avant Garde"/>
          <w:color w:val="000000" w:themeColor="text1"/>
        </w:rPr>
        <w:t xml:space="preserve">Resolución </w:t>
      </w:r>
      <w:r w:rsidR="00B21300" w:rsidRPr="002E527F">
        <w:rPr>
          <w:rFonts w:ascii="ITC Avant Garde" w:hAnsi="ITC Avant Garde"/>
          <w:color w:val="000000" w:themeColor="text1"/>
        </w:rPr>
        <w:t>mediante la cual el Pleno del Instituto Federal de Telecomunicaciones impone una sanción, en el procedimiento administrativo iniciado en contra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p>
    <w:p w14:paraId="0B3C4615" w14:textId="77777777" w:rsidR="002E527F" w:rsidRPr="002E527F" w:rsidRDefault="00B21300" w:rsidP="006506AA">
      <w:pPr>
        <w:spacing w:after="0" w:line="240" w:lineRule="auto"/>
        <w:jc w:val="both"/>
        <w:rPr>
          <w:rFonts w:ascii="ITC Avant Garde" w:hAnsi="ITC Avant Garde"/>
          <w:i/>
          <w:color w:val="000000" w:themeColor="text1"/>
        </w:rPr>
      </w:pPr>
      <w:r w:rsidRPr="002E527F">
        <w:rPr>
          <w:rFonts w:ascii="ITC Avant Garde" w:hAnsi="ITC Avant Garde"/>
          <w:i/>
          <w:color w:val="000000" w:themeColor="text1"/>
        </w:rPr>
        <w:t>(Unidad de Cumplimiento)</w:t>
      </w:r>
    </w:p>
    <w:p w14:paraId="79E3917C" w14:textId="415F974D" w:rsidR="00B21300" w:rsidRPr="002E527F" w:rsidRDefault="008750D0" w:rsidP="002E527F">
      <w:pPr>
        <w:spacing w:before="240" w:after="0" w:line="240" w:lineRule="auto"/>
        <w:jc w:val="both"/>
        <w:rPr>
          <w:rFonts w:ascii="ITC Avant Garde" w:hAnsi="ITC Avant Garde"/>
          <w:color w:val="000000" w:themeColor="text1"/>
        </w:rPr>
      </w:pPr>
      <w:r w:rsidRPr="002E527F">
        <w:rPr>
          <w:rFonts w:ascii="ITC Avant Garde" w:eastAsia="Times New Roman" w:hAnsi="ITC Avant Garde" w:cs="Times New Roman"/>
          <w:b/>
          <w:color w:val="000000" w:themeColor="text1"/>
          <w:lang w:eastAsia="es-ES"/>
        </w:rPr>
        <w:t xml:space="preserve">III.14.- </w:t>
      </w:r>
      <w:r w:rsidR="00B21300" w:rsidRPr="002E527F">
        <w:rPr>
          <w:rFonts w:ascii="ITC Avant Garde" w:hAnsi="ITC Avant Garde"/>
          <w:color w:val="000000" w:themeColor="text1"/>
        </w:rPr>
        <w:t>Resolución mediante la cual el Pleno del Instituto Federal de Telecomunicaciones declara la pérdida de bienes en beneficio de la Nación, derivado del procedimiento administrativo iniciado en contra de Ricardo Hernández Yépez en su carácter de encargado del inmueble donde se encontraron en operación los equipos de telecomunicaciones que usaban las frecuencias 5640 MHz – 5650 MHz, las cuales son de uso protegido en Celaya, Estado de Guanajuato.</w:t>
      </w:r>
    </w:p>
    <w:p w14:paraId="541A698E" w14:textId="77777777" w:rsidR="00FE1F1C" w:rsidRPr="002E527F" w:rsidRDefault="00B21300" w:rsidP="006506AA">
      <w:pPr>
        <w:spacing w:after="0" w:line="240" w:lineRule="auto"/>
        <w:jc w:val="both"/>
        <w:rPr>
          <w:rFonts w:ascii="ITC Avant Garde" w:hAnsi="ITC Avant Garde"/>
          <w:i/>
          <w:color w:val="000000" w:themeColor="text1"/>
        </w:rPr>
        <w:sectPr w:rsidR="00FE1F1C" w:rsidRPr="002E527F" w:rsidSect="00277C5C">
          <w:pgSz w:w="12240" w:h="15840"/>
          <w:pgMar w:top="1985" w:right="1418" w:bottom="1134" w:left="1418" w:header="709" w:footer="709" w:gutter="0"/>
          <w:cols w:space="708"/>
          <w:docGrid w:linePitch="360"/>
        </w:sectPr>
      </w:pPr>
      <w:r w:rsidRPr="002E527F">
        <w:rPr>
          <w:rFonts w:ascii="ITC Avant Garde" w:hAnsi="ITC Avant Garde"/>
          <w:i/>
          <w:color w:val="000000" w:themeColor="text1"/>
        </w:rPr>
        <w:t>(Unidad de Cumplimiento)</w:t>
      </w:r>
    </w:p>
    <w:p w14:paraId="4F298583" w14:textId="2B7AC4DD" w:rsidR="00B21300" w:rsidRPr="002E527F" w:rsidRDefault="008750D0" w:rsidP="006506AA">
      <w:pPr>
        <w:spacing w:after="0" w:line="240" w:lineRule="auto"/>
        <w:jc w:val="both"/>
        <w:rPr>
          <w:rFonts w:ascii="ITC Avant Garde" w:hAnsi="ITC Avant Garde"/>
          <w:color w:val="000000" w:themeColor="text1"/>
        </w:rPr>
      </w:pPr>
      <w:r w:rsidRPr="002E527F">
        <w:rPr>
          <w:rFonts w:ascii="ITC Avant Garde" w:eastAsia="Times New Roman" w:hAnsi="ITC Avant Garde" w:cs="Times New Roman"/>
          <w:b/>
          <w:color w:val="000000" w:themeColor="text1"/>
          <w:lang w:eastAsia="es-ES"/>
        </w:rPr>
        <w:lastRenderedPageBreak/>
        <w:t xml:space="preserve">III.15.- </w:t>
      </w:r>
      <w:r w:rsidR="00B21300" w:rsidRPr="002E527F">
        <w:rPr>
          <w:rFonts w:ascii="ITC Avant Garde" w:hAnsi="ITC Avant Garde"/>
          <w:color w:val="000000" w:themeColor="text1"/>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p>
    <w:p w14:paraId="64C75954" w14:textId="77777777" w:rsidR="002E527F" w:rsidRPr="002E527F" w:rsidRDefault="00B21300" w:rsidP="006506AA">
      <w:pPr>
        <w:spacing w:after="0" w:line="240" w:lineRule="auto"/>
        <w:jc w:val="both"/>
        <w:rPr>
          <w:rFonts w:ascii="ITC Avant Garde" w:hAnsi="ITC Avant Garde"/>
          <w:i/>
          <w:color w:val="000000" w:themeColor="text1"/>
        </w:rPr>
      </w:pPr>
      <w:r w:rsidRPr="002E527F">
        <w:rPr>
          <w:rFonts w:ascii="ITC Avant Garde" w:hAnsi="ITC Avant Garde"/>
          <w:i/>
          <w:color w:val="000000" w:themeColor="text1"/>
        </w:rPr>
        <w:t>(Unidad de Cumplimiento)</w:t>
      </w:r>
    </w:p>
    <w:p w14:paraId="20CA7625" w14:textId="585F8D94" w:rsidR="00B21300" w:rsidRPr="002E527F" w:rsidRDefault="008750D0" w:rsidP="002E527F">
      <w:pPr>
        <w:spacing w:before="240" w:after="0" w:line="240" w:lineRule="auto"/>
        <w:jc w:val="both"/>
        <w:rPr>
          <w:rFonts w:ascii="ITC Avant Garde" w:hAnsi="ITC Avant Garde"/>
          <w:color w:val="000000" w:themeColor="text1"/>
        </w:rPr>
      </w:pPr>
      <w:r w:rsidRPr="002E527F">
        <w:rPr>
          <w:rFonts w:ascii="ITC Avant Garde" w:eastAsia="Times New Roman" w:hAnsi="ITC Avant Garde" w:cs="Times New Roman"/>
          <w:b/>
          <w:color w:val="000000" w:themeColor="text1"/>
          <w:lang w:eastAsia="es-ES"/>
        </w:rPr>
        <w:t xml:space="preserve">III.16.- </w:t>
      </w:r>
      <w:r w:rsidR="00B21300" w:rsidRPr="002E527F">
        <w:rPr>
          <w:rFonts w:ascii="ITC Avant Garde" w:hAnsi="ITC Avant Garde"/>
          <w:color w:val="000000" w:themeColor="text1"/>
        </w:rPr>
        <w:t>Resolución mediante la cual el Pleno del Instituto Federal de Telecomunicaciones impone una multa y declara la pérdida de bienes en beneficio de la Nación, derivado del procedimiento administrativo instruido en contra Hugo Sánchez Cano, en su carácter de propietario de la negociación denominada “SATWI” y propietario de los equipos de telecomunicaciones con los cuales se prestaba el servicio de acceso a internet en Pachuca de Soto, Estado de Hidalgo, sin contar con la respectiva concesión.</w:t>
      </w:r>
    </w:p>
    <w:p w14:paraId="7262357D" w14:textId="77777777" w:rsidR="002E527F" w:rsidRPr="002E527F" w:rsidRDefault="00B21300" w:rsidP="006506AA">
      <w:pPr>
        <w:spacing w:after="0" w:line="240" w:lineRule="auto"/>
        <w:jc w:val="both"/>
        <w:rPr>
          <w:rFonts w:ascii="ITC Avant Garde" w:hAnsi="ITC Avant Garde"/>
          <w:i/>
          <w:color w:val="000000" w:themeColor="text1"/>
        </w:rPr>
      </w:pPr>
      <w:r w:rsidRPr="002E527F">
        <w:rPr>
          <w:rFonts w:ascii="ITC Avant Garde" w:hAnsi="ITC Avant Garde"/>
          <w:i/>
          <w:color w:val="000000" w:themeColor="text1"/>
        </w:rPr>
        <w:t>(Unidad de Cumplimiento)</w:t>
      </w:r>
    </w:p>
    <w:p w14:paraId="58D227E1" w14:textId="4EBAE14D" w:rsidR="00B21300" w:rsidRPr="002E527F" w:rsidRDefault="008750D0" w:rsidP="002E527F">
      <w:pPr>
        <w:spacing w:before="240" w:after="0" w:line="240" w:lineRule="auto"/>
        <w:jc w:val="both"/>
        <w:rPr>
          <w:rFonts w:ascii="ITC Avant Garde" w:hAnsi="ITC Avant Garde"/>
          <w:color w:val="000000" w:themeColor="text1"/>
        </w:rPr>
      </w:pPr>
      <w:r w:rsidRPr="002E527F">
        <w:rPr>
          <w:rFonts w:ascii="ITC Avant Garde" w:eastAsia="Times New Roman" w:hAnsi="ITC Avant Garde" w:cs="Times New Roman"/>
          <w:b/>
          <w:color w:val="000000" w:themeColor="text1"/>
          <w:lang w:eastAsia="es-ES"/>
        </w:rPr>
        <w:t xml:space="preserve">III.17.- </w:t>
      </w:r>
      <w:r w:rsidR="00B21300" w:rsidRPr="002E527F">
        <w:rPr>
          <w:rFonts w:ascii="ITC Avant Garde" w:hAnsi="ITC Avant Garde"/>
          <w:color w:val="000000" w:themeColor="text1"/>
        </w:rPr>
        <w:t>Resolución mediante la cual el Pleno del Instituto Federal de Telecomunicaciones impone una multa y declara la pérdida de bienes en beneficio de la Nación, derivado del procedimiento administrativo instruido en contra de la empresa denominada Megamobile, S.A. de C.V., por prestar servicios de telecomunicaciones de acceso a internet en Mineral de la Reforma, en el Estado de Hidalgo, sin contar con la respectiva concesión.</w:t>
      </w:r>
    </w:p>
    <w:p w14:paraId="06340A2A" w14:textId="77777777" w:rsidR="002E527F" w:rsidRPr="002E527F" w:rsidRDefault="00B21300" w:rsidP="006506AA">
      <w:pPr>
        <w:spacing w:after="0" w:line="240" w:lineRule="auto"/>
        <w:jc w:val="both"/>
        <w:rPr>
          <w:rFonts w:ascii="ITC Avant Garde" w:hAnsi="ITC Avant Garde"/>
          <w:i/>
          <w:color w:val="000000" w:themeColor="text1"/>
        </w:rPr>
      </w:pPr>
      <w:r w:rsidRPr="002E527F">
        <w:rPr>
          <w:rFonts w:ascii="ITC Avant Garde" w:hAnsi="ITC Avant Garde"/>
          <w:i/>
          <w:color w:val="000000" w:themeColor="text1"/>
        </w:rPr>
        <w:t>(Unidad de Cumplimiento)</w:t>
      </w:r>
    </w:p>
    <w:p w14:paraId="61AFE213" w14:textId="3CAAF98A" w:rsidR="00BC4053" w:rsidRPr="002E527F" w:rsidRDefault="008750D0" w:rsidP="002E527F">
      <w:pPr>
        <w:spacing w:before="240" w:after="0" w:line="240" w:lineRule="auto"/>
        <w:jc w:val="both"/>
        <w:rPr>
          <w:rFonts w:ascii="ITC Avant Garde" w:eastAsia="Calibri" w:hAnsi="ITC Avant Garde" w:cs="Times New Roman"/>
          <w:bCs/>
          <w:color w:val="000000" w:themeColor="text1"/>
          <w:lang w:eastAsia="es-MX"/>
        </w:rPr>
      </w:pPr>
      <w:r w:rsidRPr="002E527F">
        <w:rPr>
          <w:rFonts w:ascii="ITC Avant Garde" w:eastAsia="Times New Roman" w:hAnsi="ITC Avant Garde" w:cs="Times New Roman"/>
          <w:b/>
          <w:color w:val="000000" w:themeColor="text1"/>
          <w:lang w:eastAsia="es-ES"/>
        </w:rPr>
        <w:t xml:space="preserve">III.18.- </w:t>
      </w:r>
      <w:r w:rsidR="00BC4053" w:rsidRPr="002E527F">
        <w:rPr>
          <w:rFonts w:ascii="ITC Avant Garde" w:eastAsia="Calibri" w:hAnsi="ITC Avant Garde" w:cs="Times New Roman"/>
          <w:bCs/>
          <w:color w:val="000000" w:themeColor="text1"/>
          <w:lang w:eastAsia="es-MX"/>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p>
    <w:p w14:paraId="0199CE23" w14:textId="77777777" w:rsidR="002E527F" w:rsidRPr="002E527F" w:rsidRDefault="00BC4053" w:rsidP="006506AA">
      <w:pPr>
        <w:spacing w:after="0" w:line="240" w:lineRule="auto"/>
        <w:jc w:val="both"/>
        <w:rPr>
          <w:rFonts w:ascii="ITC Avant Garde" w:eastAsia="Calibri" w:hAnsi="ITC Avant Garde" w:cs="Times New Roman"/>
          <w:bCs/>
          <w:i/>
          <w:color w:val="000000" w:themeColor="text1"/>
          <w:lang w:eastAsia="es-MX"/>
        </w:rPr>
      </w:pPr>
      <w:r w:rsidRPr="002E527F">
        <w:rPr>
          <w:rFonts w:ascii="ITC Avant Garde" w:eastAsia="Calibri" w:hAnsi="ITC Avant Garde" w:cs="Times New Roman"/>
          <w:bCs/>
          <w:i/>
          <w:color w:val="000000" w:themeColor="text1"/>
          <w:lang w:eastAsia="es-MX"/>
        </w:rPr>
        <w:t>(Unidad de Concesiones y Servicios)</w:t>
      </w:r>
    </w:p>
    <w:p w14:paraId="07AD1923" w14:textId="1576975F" w:rsidR="00F47627" w:rsidRPr="002E527F" w:rsidRDefault="008750D0" w:rsidP="002E527F">
      <w:pPr>
        <w:spacing w:before="240" w:after="0"/>
        <w:rPr>
          <w:rFonts w:ascii="ITC Avant Garde" w:eastAsia="Calibri" w:hAnsi="ITC Avant Garde" w:cs="Times New Roman"/>
          <w:bCs/>
          <w:color w:val="000000" w:themeColor="text1"/>
          <w:lang w:eastAsia="es-MX"/>
        </w:rPr>
      </w:pPr>
      <w:r w:rsidRPr="002E527F">
        <w:rPr>
          <w:rFonts w:ascii="ITC Avant Garde" w:eastAsia="Calibri" w:hAnsi="ITC Avant Garde" w:cs="Times New Roman"/>
          <w:b/>
          <w:bCs/>
          <w:color w:val="000000" w:themeColor="text1"/>
          <w:lang w:eastAsia="es-MX"/>
        </w:rPr>
        <w:t>III.19.-</w:t>
      </w:r>
      <w:r w:rsidRPr="002E527F">
        <w:rPr>
          <w:rFonts w:ascii="ITC Avant Garde" w:eastAsia="Calibri" w:hAnsi="ITC Avant Garde" w:cs="Times New Roman"/>
          <w:bCs/>
          <w:color w:val="000000" w:themeColor="text1"/>
          <w:lang w:eastAsia="es-MX"/>
        </w:rPr>
        <w:t xml:space="preserve"> </w:t>
      </w:r>
      <w:r w:rsidR="00F47627" w:rsidRPr="002E527F">
        <w:rPr>
          <w:rFonts w:ascii="ITC Avant Garde" w:eastAsia="Calibri" w:hAnsi="ITC Avant Garde" w:cs="Times New Roman"/>
          <w:bCs/>
          <w:color w:val="000000" w:themeColor="text1"/>
          <w:lang w:eastAsia="es-MX"/>
        </w:rPr>
        <w:t xml:space="preserve">Resolución </w:t>
      </w:r>
      <w:r w:rsidR="00653686" w:rsidRPr="002E527F">
        <w:rPr>
          <w:rFonts w:ascii="ITC Avant Garde" w:eastAsia="Calibri" w:hAnsi="ITC Avant Garde" w:cs="Times New Roman"/>
          <w:bCs/>
          <w:color w:val="000000" w:themeColor="text1"/>
          <w:lang w:eastAsia="es-MX"/>
        </w:rPr>
        <w:t>mediante la cual el Pleno del Instituto Federal d</w:t>
      </w:r>
      <w:r w:rsidR="00F47627" w:rsidRPr="002E527F">
        <w:rPr>
          <w:rFonts w:ascii="ITC Avant Garde" w:eastAsia="Calibri" w:hAnsi="ITC Avant Garde" w:cs="Times New Roman"/>
          <w:bCs/>
          <w:color w:val="000000" w:themeColor="text1"/>
          <w:lang w:eastAsia="es-MX"/>
        </w:rPr>
        <w:t xml:space="preserve">e Telecomunicaciones </w:t>
      </w:r>
      <w:r w:rsidR="00653686" w:rsidRPr="002E527F">
        <w:rPr>
          <w:rFonts w:ascii="ITC Avant Garde" w:eastAsia="Calibri" w:hAnsi="ITC Avant Garde" w:cs="Times New Roman"/>
          <w:bCs/>
          <w:color w:val="000000" w:themeColor="text1"/>
          <w:lang w:eastAsia="es-MX"/>
        </w:rPr>
        <w:t>determina el cumplimiento a lo señalado por la condición 12 de veintisiete títulos de concesión para usar y aprovechar bandas de frecuencias de espectro radioeléctrico para uso público para la prestación del servicio de televisión radiodifundida digital otorgadas a favor del Gobierno del Estado d</w:t>
      </w:r>
      <w:r w:rsidR="00F47627" w:rsidRPr="002E527F">
        <w:rPr>
          <w:rFonts w:ascii="ITC Avant Garde" w:eastAsia="Calibri" w:hAnsi="ITC Avant Garde" w:cs="Times New Roman"/>
          <w:bCs/>
          <w:color w:val="000000" w:themeColor="text1"/>
          <w:lang w:eastAsia="es-MX"/>
        </w:rPr>
        <w:t>e Guanajuato</w:t>
      </w:r>
      <w:r w:rsidR="00653686" w:rsidRPr="002E527F">
        <w:rPr>
          <w:rFonts w:ascii="ITC Avant Garde" w:eastAsia="Calibri" w:hAnsi="ITC Avant Garde" w:cs="Times New Roman"/>
          <w:bCs/>
          <w:color w:val="000000" w:themeColor="text1"/>
          <w:lang w:eastAsia="es-MX"/>
        </w:rPr>
        <w:t>.</w:t>
      </w:r>
    </w:p>
    <w:p w14:paraId="1DC215EE" w14:textId="77777777" w:rsidR="002E527F" w:rsidRPr="002E527F" w:rsidRDefault="00885760"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2941B523" w14:textId="0485D827" w:rsidR="00885760"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III.20.- </w:t>
      </w:r>
      <w:r w:rsidR="00885760" w:rsidRPr="002E527F">
        <w:rPr>
          <w:rFonts w:ascii="ITC Avant Garde" w:eastAsia="Times New Roman" w:hAnsi="ITC Avant Garde" w:cs="Times New Roman"/>
          <w:color w:val="000000" w:themeColor="text1"/>
          <w:lang w:eastAsia="es-ES"/>
        </w:rPr>
        <w:t>Resolución mediante la cual el Pleno del Instituto Federal de Telecomunicaciones determina el cum</w:t>
      </w:r>
      <w:r w:rsidR="00472C8B" w:rsidRPr="002E527F">
        <w:rPr>
          <w:rFonts w:ascii="ITC Avant Garde" w:eastAsia="Times New Roman" w:hAnsi="ITC Avant Garde" w:cs="Times New Roman"/>
          <w:color w:val="000000" w:themeColor="text1"/>
          <w:lang w:eastAsia="es-ES"/>
        </w:rPr>
        <w:t>plimiento a lo señalado por la c</w:t>
      </w:r>
      <w:r w:rsidR="00885760" w:rsidRPr="002E527F">
        <w:rPr>
          <w:rFonts w:ascii="ITC Avant Garde" w:eastAsia="Times New Roman" w:hAnsi="ITC Avant Garde" w:cs="Times New Roman"/>
          <w:color w:val="000000" w:themeColor="text1"/>
          <w:lang w:eastAsia="es-ES"/>
        </w:rPr>
        <w:t>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p>
    <w:p w14:paraId="6A568AFA" w14:textId="77777777" w:rsidR="00FE1F1C" w:rsidRPr="002E527F" w:rsidRDefault="00885760" w:rsidP="006506AA">
      <w:pPr>
        <w:spacing w:after="0" w:line="240" w:lineRule="auto"/>
        <w:jc w:val="both"/>
        <w:rPr>
          <w:rFonts w:ascii="ITC Avant Garde" w:eastAsia="Times New Roman" w:hAnsi="ITC Avant Garde" w:cs="Times New Roman"/>
          <w:i/>
          <w:color w:val="000000" w:themeColor="text1"/>
          <w:lang w:eastAsia="es-ES"/>
        </w:rPr>
        <w:sectPr w:rsidR="00FE1F1C" w:rsidRPr="002E527F" w:rsidSect="00277C5C">
          <w:pgSz w:w="12240" w:h="15840"/>
          <w:pgMar w:top="1985" w:right="1418" w:bottom="1134" w:left="1418" w:header="709" w:footer="709" w:gutter="0"/>
          <w:cols w:space="708"/>
          <w:docGrid w:linePitch="360"/>
        </w:sectPr>
      </w:pPr>
      <w:r w:rsidRPr="002E527F">
        <w:rPr>
          <w:rFonts w:ascii="ITC Avant Garde" w:eastAsia="Times New Roman" w:hAnsi="ITC Avant Garde" w:cs="Times New Roman"/>
          <w:i/>
          <w:color w:val="000000" w:themeColor="text1"/>
          <w:lang w:eastAsia="es-ES"/>
        </w:rPr>
        <w:t>(Unidad de Concesiones y Servicios)</w:t>
      </w:r>
    </w:p>
    <w:p w14:paraId="4D2533D0" w14:textId="4469C00C" w:rsidR="00885760" w:rsidRPr="002E527F" w:rsidRDefault="008750D0" w:rsidP="006506AA">
      <w:pPr>
        <w:spacing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lastRenderedPageBreak/>
        <w:t xml:space="preserve">III.21.- </w:t>
      </w:r>
      <w:r w:rsidR="00885760"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p>
    <w:p w14:paraId="7DCB35E3" w14:textId="77777777" w:rsidR="002E527F" w:rsidRPr="002E527F" w:rsidRDefault="00885760"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63F0DA7D" w14:textId="39D00E8E" w:rsidR="00885760"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III.22.- </w:t>
      </w:r>
      <w:r w:rsidR="00885760"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11 de siete títulos de concesión para usar y aprovechar bandas de frecuencias de espectro radioeléctrico para uso público para la prestación del servicio de televisión radiodifundida digital otorgados a favor del Sistema Público de Radiodifusión del Estado Mexicano.</w:t>
      </w:r>
    </w:p>
    <w:p w14:paraId="48FF7FA2" w14:textId="77777777" w:rsidR="002E527F" w:rsidRPr="002E527F" w:rsidRDefault="00885760"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24D67992" w14:textId="77DF34F4" w:rsidR="00331E52"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III.23.- </w:t>
      </w:r>
      <w:r w:rsidR="00331E52"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p>
    <w:p w14:paraId="2C713298" w14:textId="77777777" w:rsidR="002E527F" w:rsidRPr="002E527F" w:rsidRDefault="00331E52"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115E8643" w14:textId="0CD04199" w:rsidR="00331E52"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III.24.- </w:t>
      </w:r>
      <w:r w:rsidR="00331E52"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p>
    <w:p w14:paraId="05AB1062" w14:textId="77777777" w:rsidR="002E527F" w:rsidRPr="002E527F" w:rsidRDefault="00331E52"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26B5386E" w14:textId="0DAECAE9" w:rsidR="00B77E53"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III.25.- </w:t>
      </w:r>
      <w:r w:rsidR="00B77E53"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p>
    <w:p w14:paraId="33FF4A7D" w14:textId="77777777" w:rsidR="002E527F" w:rsidRPr="002E527F" w:rsidRDefault="00B77E53"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07F55D0F" w14:textId="0EA03AE0" w:rsidR="00B77E53"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III.26.- </w:t>
      </w:r>
      <w:r w:rsidR="00B77E53"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p>
    <w:p w14:paraId="51153608" w14:textId="77777777" w:rsidR="00FE1F1C" w:rsidRPr="002E527F" w:rsidRDefault="00B77E53" w:rsidP="006506AA">
      <w:pPr>
        <w:spacing w:after="0" w:line="240" w:lineRule="auto"/>
        <w:jc w:val="both"/>
        <w:rPr>
          <w:rFonts w:ascii="ITC Avant Garde" w:eastAsia="Times New Roman" w:hAnsi="ITC Avant Garde" w:cs="Times New Roman"/>
          <w:i/>
          <w:color w:val="000000" w:themeColor="text1"/>
          <w:lang w:eastAsia="es-ES"/>
        </w:rPr>
        <w:sectPr w:rsidR="00FE1F1C" w:rsidRPr="002E527F" w:rsidSect="00277C5C">
          <w:pgSz w:w="12240" w:h="15840"/>
          <w:pgMar w:top="1985" w:right="1418" w:bottom="1134" w:left="1418" w:header="709" w:footer="709" w:gutter="0"/>
          <w:cols w:space="708"/>
          <w:docGrid w:linePitch="360"/>
        </w:sectPr>
      </w:pPr>
      <w:r w:rsidRPr="002E527F">
        <w:rPr>
          <w:rFonts w:ascii="ITC Avant Garde" w:eastAsia="Times New Roman" w:hAnsi="ITC Avant Garde" w:cs="Times New Roman"/>
          <w:i/>
          <w:color w:val="000000" w:themeColor="text1"/>
          <w:lang w:eastAsia="es-ES"/>
        </w:rPr>
        <w:t>(Unidad de Concesiones y Servicios)</w:t>
      </w:r>
    </w:p>
    <w:p w14:paraId="7B53F6CA" w14:textId="18E3DEF9" w:rsidR="00CA2C5A" w:rsidRPr="002E527F" w:rsidRDefault="008750D0" w:rsidP="006506AA">
      <w:pPr>
        <w:spacing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lastRenderedPageBreak/>
        <w:t xml:space="preserve">III.27.- </w:t>
      </w:r>
      <w:r w:rsidR="00CA2C5A" w:rsidRPr="002E527F">
        <w:rPr>
          <w:rFonts w:ascii="ITC Avant Garde" w:eastAsia="Times New Roman" w:hAnsi="ITC Avant Garde" w:cs="Times New Roman"/>
          <w:color w:val="000000" w:themeColor="text1"/>
          <w:lang w:eastAsia="es-ES"/>
        </w:rPr>
        <w:t>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p>
    <w:p w14:paraId="27B27015" w14:textId="77777777" w:rsidR="002E527F" w:rsidRPr="002E527F" w:rsidRDefault="00CA2C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5E20B4A8" w14:textId="63D97034" w:rsidR="00CA2C5A"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III.28.- </w:t>
      </w:r>
      <w:r w:rsidR="00CA2C5A" w:rsidRPr="002E527F">
        <w:rPr>
          <w:rFonts w:ascii="ITC Avant Garde" w:eastAsia="Times New Roman" w:hAnsi="ITC Avant Garde" w:cs="Times New Roman"/>
          <w:color w:val="000000" w:themeColor="text1"/>
          <w:lang w:eastAsia="es-ES"/>
        </w:rPr>
        <w:t xml:space="preserve">Resolución mediante la cual </w:t>
      </w:r>
      <w:r w:rsidR="00F72ADC" w:rsidRPr="002E527F">
        <w:rPr>
          <w:rFonts w:ascii="ITC Avant Garde" w:eastAsia="Times New Roman" w:hAnsi="ITC Avant Garde" w:cs="Times New Roman"/>
          <w:color w:val="000000" w:themeColor="text1"/>
          <w:lang w:eastAsia="es-ES"/>
        </w:rPr>
        <w:t>el Pleno del Instituto Federal d</w:t>
      </w:r>
      <w:r w:rsidR="00CA2C5A" w:rsidRPr="002E527F">
        <w:rPr>
          <w:rFonts w:ascii="ITC Avant Garde" w:eastAsia="Times New Roman" w:hAnsi="ITC Avant Garde" w:cs="Times New Roman"/>
          <w:color w:val="000000" w:themeColor="text1"/>
          <w:lang w:eastAsia="es-ES"/>
        </w:rPr>
        <w:t>e Telecomunicaciones determina el cumplimiento a lo señalado por la condición 12 de tres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p>
    <w:p w14:paraId="42511CCA" w14:textId="77777777" w:rsidR="002E527F" w:rsidRPr="002E527F" w:rsidRDefault="00CA2C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5807C3A9" w14:textId="03828C68" w:rsidR="00B77E53"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III.29.- </w:t>
      </w:r>
      <w:r w:rsidR="00B77E53" w:rsidRPr="002E527F">
        <w:rPr>
          <w:rFonts w:ascii="ITC Avant Garde" w:eastAsia="Times New Roman" w:hAnsi="ITC Avant Garde" w:cs="Times New Roman"/>
          <w:color w:val="000000" w:themeColor="text1"/>
          <w:lang w:eastAsia="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p>
    <w:p w14:paraId="3935CA0D" w14:textId="77777777" w:rsidR="002E527F" w:rsidRPr="002E527F" w:rsidRDefault="00B77E53"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17CBDDFA" w14:textId="3CCA5543" w:rsidR="00B77E53"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III.30.- </w:t>
      </w:r>
      <w:r w:rsidR="00B77E53" w:rsidRPr="002E527F">
        <w:rPr>
          <w:rFonts w:ascii="ITC Avant Garde" w:eastAsia="Times New Roman" w:hAnsi="ITC Avant Garde" w:cs="Times New Roman"/>
          <w:color w:val="000000" w:themeColor="text1"/>
          <w:lang w:eastAsia="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Los Mochis, Sinaloa, respecto de cuatro solicitudes de permiso presentadas al amparo de la Ley Federal de Radio y Televisión.</w:t>
      </w:r>
    </w:p>
    <w:p w14:paraId="76D236E2" w14:textId="77777777" w:rsidR="002E527F" w:rsidRPr="002E527F" w:rsidRDefault="00B77E53"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7AFFC46E" w14:textId="5F951EFA" w:rsidR="00B77E53"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III.31.- </w:t>
      </w:r>
      <w:r w:rsidR="00B77E53" w:rsidRPr="002E527F">
        <w:rPr>
          <w:rFonts w:ascii="ITC Avant Garde" w:eastAsia="Times New Roman" w:hAnsi="ITC Avant Garde" w:cs="Times New Roman"/>
          <w:color w:val="000000" w:themeColor="text1"/>
          <w:lang w:eastAsia="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Hermosillo, Sonora, respecto de las cuatro solicitudes de permiso presentadas al amparo de la Ley Federal de Radio y Televisión.</w:t>
      </w:r>
    </w:p>
    <w:p w14:paraId="33267A50" w14:textId="77777777" w:rsidR="002E527F" w:rsidRPr="002E527F" w:rsidRDefault="00B77E53"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08B84E48" w14:textId="799062AD" w:rsidR="00B77E53"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III.32.- </w:t>
      </w:r>
      <w:r w:rsidR="00B77E53" w:rsidRPr="002E527F">
        <w:rPr>
          <w:rFonts w:ascii="ITC Avant Garde" w:eastAsia="Times New Roman" w:hAnsi="ITC Avant Garde" w:cs="Times New Roman"/>
          <w:color w:val="000000" w:themeColor="text1"/>
          <w:lang w:eastAsia="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Cancún, Quintana Roo, respecto de las diez solicitudes de permiso presentadas al amparo de la Ley Federal de Radio y Televisión.</w:t>
      </w:r>
    </w:p>
    <w:p w14:paraId="251AAA53" w14:textId="77777777" w:rsidR="00FE1F1C" w:rsidRPr="002E527F" w:rsidRDefault="00B77E53" w:rsidP="006506AA">
      <w:pPr>
        <w:spacing w:after="0" w:line="240" w:lineRule="auto"/>
        <w:jc w:val="both"/>
        <w:rPr>
          <w:rFonts w:ascii="ITC Avant Garde" w:eastAsia="Times New Roman" w:hAnsi="ITC Avant Garde" w:cs="Times New Roman"/>
          <w:i/>
          <w:color w:val="000000" w:themeColor="text1"/>
          <w:lang w:eastAsia="es-ES"/>
        </w:rPr>
        <w:sectPr w:rsidR="00FE1F1C" w:rsidRPr="002E527F" w:rsidSect="00277C5C">
          <w:pgSz w:w="12240" w:h="15840"/>
          <w:pgMar w:top="1985" w:right="1418" w:bottom="1134" w:left="1418" w:header="709" w:footer="709" w:gutter="0"/>
          <w:cols w:space="708"/>
          <w:docGrid w:linePitch="360"/>
        </w:sectPr>
      </w:pPr>
      <w:r w:rsidRPr="002E527F">
        <w:rPr>
          <w:rFonts w:ascii="ITC Avant Garde" w:eastAsia="Times New Roman" w:hAnsi="ITC Avant Garde" w:cs="Times New Roman"/>
          <w:i/>
          <w:color w:val="000000" w:themeColor="text1"/>
          <w:lang w:eastAsia="es-ES"/>
        </w:rPr>
        <w:t>(Unidad de Concesiones y Servicios)</w:t>
      </w:r>
    </w:p>
    <w:p w14:paraId="40E6A52E" w14:textId="4D749499" w:rsidR="0018165A" w:rsidRPr="002E527F" w:rsidRDefault="008750D0" w:rsidP="006506AA">
      <w:pPr>
        <w:spacing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III.33.-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otorga a favor de La Comunidad Indígena Mixteca en el Municipio de Santa María Yucuhiti, Oaxaca una concesión para usar y aprovechar bandas de frecuencias del espectro radioeléctrico para la prestación del servicio público de radiodifusión sonora en Frecuencia Modulada así como una concesión única, ambas de uso social indígena.</w:t>
      </w:r>
    </w:p>
    <w:p w14:paraId="39BCBD8A" w14:textId="77777777" w:rsidR="002E527F" w:rsidRPr="002E527F" w:rsidRDefault="001816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4D54B38C" w14:textId="662F2574" w:rsidR="0018165A"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III.34.-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Voz Amiga de la Cuenca del Papaloapan, S.A. de C.V.</w:t>
      </w:r>
    </w:p>
    <w:p w14:paraId="1FBC16C9" w14:textId="77777777" w:rsidR="002E527F" w:rsidRPr="002E527F" w:rsidRDefault="001816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6BEB829C" w14:textId="18C02E47" w:rsidR="0018165A"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III.35.-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0AB0712B" w14:textId="77777777" w:rsidR="002E527F" w:rsidRPr="002E527F" w:rsidRDefault="001816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2A8F371B" w14:textId="0DC2F151" w:rsidR="0018165A"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III.36.-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3F1CBEE5" w14:textId="77777777" w:rsidR="002E527F" w:rsidRPr="002E527F" w:rsidRDefault="001816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03DD31A6" w14:textId="2DF22FB3" w:rsidR="0018165A"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III.37.-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XHTA, S.A. de C.V.</w:t>
      </w:r>
    </w:p>
    <w:p w14:paraId="3489ED60" w14:textId="77777777" w:rsidR="00FE1F1C" w:rsidRPr="002E527F" w:rsidRDefault="0018165A" w:rsidP="00FE1F1C">
      <w:pPr>
        <w:tabs>
          <w:tab w:val="center" w:pos="4702"/>
        </w:tabs>
        <w:spacing w:after="0" w:line="240" w:lineRule="auto"/>
        <w:jc w:val="both"/>
        <w:rPr>
          <w:rFonts w:ascii="ITC Avant Garde" w:eastAsia="Times New Roman" w:hAnsi="ITC Avant Garde" w:cs="Times New Roman"/>
          <w:i/>
          <w:color w:val="000000" w:themeColor="text1"/>
          <w:lang w:eastAsia="es-ES"/>
        </w:rPr>
        <w:sectPr w:rsidR="00FE1F1C" w:rsidRPr="002E527F" w:rsidSect="00277C5C">
          <w:pgSz w:w="12240" w:h="15840"/>
          <w:pgMar w:top="1985" w:right="1418" w:bottom="1134" w:left="1418" w:header="709" w:footer="709" w:gutter="0"/>
          <w:cols w:space="708"/>
          <w:docGrid w:linePitch="360"/>
        </w:sectPr>
      </w:pPr>
      <w:r w:rsidRPr="002E527F">
        <w:rPr>
          <w:rFonts w:ascii="ITC Avant Garde" w:eastAsia="Times New Roman" w:hAnsi="ITC Avant Garde" w:cs="Times New Roman"/>
          <w:i/>
          <w:color w:val="000000" w:themeColor="text1"/>
          <w:lang w:eastAsia="es-ES"/>
        </w:rPr>
        <w:t>(Unidad de Concesiones y Servicios)</w:t>
      </w:r>
    </w:p>
    <w:p w14:paraId="32D9902C" w14:textId="618C62F9" w:rsidR="0018165A" w:rsidRPr="002E527F" w:rsidRDefault="008750D0" w:rsidP="006506AA">
      <w:pPr>
        <w:spacing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III.38.-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w:t>
      </w:r>
      <w:r w:rsidR="001B1FB1" w:rsidRPr="002E527F">
        <w:rPr>
          <w:rFonts w:ascii="ITC Avant Garde" w:eastAsia="Times New Roman" w:hAnsi="ITC Avant Garde" w:cs="Times New Roman"/>
          <w:color w:val="000000" w:themeColor="text1"/>
          <w:lang w:eastAsia="es-ES"/>
        </w:rPr>
        <w:t>ón sonora en Amplitud Modulada y</w:t>
      </w:r>
      <w:r w:rsidR="0018165A" w:rsidRPr="002E527F">
        <w:rPr>
          <w:rFonts w:ascii="ITC Avant Garde" w:eastAsia="Times New Roman" w:hAnsi="ITC Avant Garde" w:cs="Times New Roman"/>
          <w:color w:val="000000" w:themeColor="text1"/>
          <w:lang w:eastAsia="es-ES"/>
        </w:rPr>
        <w:t>, en su caso, una concesión única, ambas para uso comercial</w:t>
      </w:r>
      <w:r w:rsidR="000924B1" w:rsidRPr="002E527F">
        <w:rPr>
          <w:rFonts w:ascii="ITC Avant Garde" w:eastAsia="Times New Roman" w:hAnsi="ITC Avant Garde" w:cs="Times New Roman"/>
          <w:color w:val="000000" w:themeColor="text1"/>
          <w:lang w:eastAsia="es-ES"/>
        </w:rPr>
        <w:t>.</w:t>
      </w:r>
    </w:p>
    <w:p w14:paraId="001CB79B" w14:textId="77777777" w:rsidR="002E527F" w:rsidRPr="002E527F" w:rsidRDefault="001816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6F0D5706" w14:textId="4CD41B00" w:rsidR="0018165A"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III.39.- </w:t>
      </w:r>
      <w:r w:rsidR="0018165A" w:rsidRPr="002E527F">
        <w:rPr>
          <w:rFonts w:ascii="ITC Avant Garde" w:eastAsia="Times New Roman" w:hAnsi="ITC Avant Garde" w:cs="Times New Roman"/>
          <w:color w:val="000000" w:themeColor="text1"/>
          <w:lang w:eastAsia="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00690D21" w:rsidRPr="002E527F">
        <w:rPr>
          <w:rFonts w:ascii="ITC Avant Garde" w:eastAsia="Times New Roman" w:hAnsi="ITC Avant Garde" w:cs="Times New Roman"/>
          <w:color w:val="000000" w:themeColor="text1"/>
          <w:lang w:eastAsia="es-ES"/>
        </w:rPr>
        <w:t>.</w:t>
      </w:r>
    </w:p>
    <w:p w14:paraId="1C945526" w14:textId="77777777" w:rsidR="002E527F" w:rsidRPr="002E527F" w:rsidRDefault="0018165A" w:rsidP="006506AA">
      <w:pPr>
        <w:spacing w:after="0" w:line="240"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1912C77F" w14:textId="68BC584C" w:rsidR="00690D21"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III.40.- </w:t>
      </w:r>
      <w:r w:rsidR="00690D21" w:rsidRPr="002E527F">
        <w:rPr>
          <w:rFonts w:ascii="ITC Avant Garde" w:eastAsia="Times New Roman" w:hAnsi="ITC Avant Garde" w:cs="Times New Roman"/>
          <w:color w:val="000000" w:themeColor="text1"/>
          <w:lang w:eastAsia="es-ES"/>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p>
    <w:p w14:paraId="09F64A17" w14:textId="77777777" w:rsidR="002E527F" w:rsidRPr="002E527F" w:rsidRDefault="00690D21" w:rsidP="00690D21">
      <w:pPr>
        <w:spacing w:after="0" w:line="276"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63195A40" w14:textId="01934622" w:rsidR="00690D21" w:rsidRPr="002E527F" w:rsidRDefault="008750D0" w:rsidP="002E527F">
      <w:pPr>
        <w:spacing w:before="240" w:after="0" w:line="240" w:lineRule="auto"/>
        <w:jc w:val="both"/>
        <w:rPr>
          <w:rFonts w:ascii="ITC Avant Garde" w:eastAsia="Times New Roman" w:hAnsi="ITC Avant Garde" w:cs="Times New Roman"/>
          <w:color w:val="000000" w:themeColor="text1"/>
          <w:lang w:eastAsia="es-ES"/>
        </w:rPr>
      </w:pPr>
      <w:r w:rsidRPr="002E527F">
        <w:rPr>
          <w:rFonts w:ascii="ITC Avant Garde" w:eastAsia="Times New Roman" w:hAnsi="ITC Avant Garde" w:cs="Times New Roman"/>
          <w:b/>
          <w:color w:val="000000" w:themeColor="text1"/>
          <w:lang w:eastAsia="es-ES"/>
        </w:rPr>
        <w:t xml:space="preserve">III.41.- </w:t>
      </w:r>
      <w:r w:rsidR="00690D21" w:rsidRPr="002E527F">
        <w:rPr>
          <w:rFonts w:ascii="ITC Avant Garde" w:eastAsia="Times New Roman" w:hAnsi="ITC Avant Garde" w:cs="Times New Roman"/>
          <w:color w:val="000000" w:themeColor="text1"/>
          <w:lang w:eastAsia="es-ES"/>
        </w:rPr>
        <w:t>Resolución mediante la cual el Pleno del Instituto Federal de Telecomunicaciones autoriza la transmisión de acciones de la empresa Estereomundo de Querétaro, S.A. de C.V., concesionaria para el uso, aprovechamiento y explotación comercial de la frecuencia 95.5 MHz, con distintivo de llamada XHOE-AM en Querétaro, Querétaro.</w:t>
      </w:r>
    </w:p>
    <w:p w14:paraId="33B5461A" w14:textId="77777777" w:rsidR="002E527F" w:rsidRPr="002E527F" w:rsidRDefault="00690D21" w:rsidP="00690D21">
      <w:pPr>
        <w:spacing w:after="0" w:line="276" w:lineRule="auto"/>
        <w:jc w:val="both"/>
        <w:rPr>
          <w:rFonts w:ascii="ITC Avant Garde" w:eastAsia="Times New Roman" w:hAnsi="ITC Avant Garde" w:cs="Times New Roman"/>
          <w:i/>
          <w:color w:val="000000" w:themeColor="text1"/>
          <w:lang w:eastAsia="es-ES"/>
        </w:rPr>
      </w:pPr>
      <w:r w:rsidRPr="002E527F">
        <w:rPr>
          <w:rFonts w:ascii="ITC Avant Garde" w:eastAsia="Times New Roman" w:hAnsi="ITC Avant Garde" w:cs="Times New Roman"/>
          <w:i/>
          <w:color w:val="000000" w:themeColor="text1"/>
          <w:lang w:eastAsia="es-ES"/>
        </w:rPr>
        <w:t>(Unidad de Concesiones y Servicios)</w:t>
      </w:r>
    </w:p>
    <w:p w14:paraId="15F570D5" w14:textId="23FE1401" w:rsidR="0055308D" w:rsidRPr="002E527F" w:rsidRDefault="00882F3D" w:rsidP="002E527F">
      <w:pPr>
        <w:pStyle w:val="Ttulo3"/>
        <w:spacing w:before="240"/>
        <w:rPr>
          <w:rFonts w:ascii="ITC Avant Garde" w:hAnsi="ITC Avant Garde"/>
          <w:b/>
          <w:bCs/>
          <w:color w:val="000000" w:themeColor="text1"/>
          <w:lang w:eastAsia="es-MX"/>
        </w:rPr>
      </w:pPr>
      <w:r w:rsidRPr="002E527F">
        <w:rPr>
          <w:rFonts w:ascii="ITC Avant Garde" w:hAnsi="ITC Avant Garde"/>
          <w:b/>
          <w:color w:val="000000" w:themeColor="text1"/>
          <w:sz w:val="22"/>
          <w:szCs w:val="22"/>
        </w:rPr>
        <w:t>IV.- ASUNTOS GENERALES.</w:t>
      </w:r>
    </w:p>
    <w:sectPr w:rsidR="0055308D" w:rsidRPr="002E527F"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3371" w14:textId="77777777" w:rsidR="00756710" w:rsidRDefault="00756710">
      <w:pPr>
        <w:spacing w:after="0" w:line="240" w:lineRule="auto"/>
      </w:pPr>
      <w:r>
        <w:separator/>
      </w:r>
    </w:p>
  </w:endnote>
  <w:endnote w:type="continuationSeparator" w:id="0">
    <w:p w14:paraId="0884B9CB" w14:textId="77777777" w:rsidR="00756710" w:rsidRDefault="0075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1FADA" w14:textId="77777777" w:rsidR="00756710" w:rsidRDefault="00756710">
      <w:pPr>
        <w:spacing w:after="0" w:line="240" w:lineRule="auto"/>
      </w:pPr>
      <w:r>
        <w:separator/>
      </w:r>
    </w:p>
  </w:footnote>
  <w:footnote w:type="continuationSeparator" w:id="0">
    <w:p w14:paraId="05E75B19" w14:textId="77777777" w:rsidR="00756710" w:rsidRDefault="00756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C297D"/>
    <w:multiLevelType w:val="hybridMultilevel"/>
    <w:tmpl w:val="C6CCFB84"/>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73C8"/>
    <w:rsid w:val="00011386"/>
    <w:rsid w:val="0001385D"/>
    <w:rsid w:val="00013F06"/>
    <w:rsid w:val="00016914"/>
    <w:rsid w:val="0001789F"/>
    <w:rsid w:val="000219EC"/>
    <w:rsid w:val="00021AFB"/>
    <w:rsid w:val="00023F98"/>
    <w:rsid w:val="00024733"/>
    <w:rsid w:val="00027AA7"/>
    <w:rsid w:val="00036FDC"/>
    <w:rsid w:val="00046239"/>
    <w:rsid w:val="00050E11"/>
    <w:rsid w:val="00052A99"/>
    <w:rsid w:val="00053000"/>
    <w:rsid w:val="00070945"/>
    <w:rsid w:val="000721CA"/>
    <w:rsid w:val="00072CD8"/>
    <w:rsid w:val="00075A38"/>
    <w:rsid w:val="0007615A"/>
    <w:rsid w:val="00080F82"/>
    <w:rsid w:val="0008150E"/>
    <w:rsid w:val="0009014D"/>
    <w:rsid w:val="000924B1"/>
    <w:rsid w:val="00092B73"/>
    <w:rsid w:val="00094267"/>
    <w:rsid w:val="00097925"/>
    <w:rsid w:val="000A11DA"/>
    <w:rsid w:val="000A16A5"/>
    <w:rsid w:val="000A347C"/>
    <w:rsid w:val="000A3B82"/>
    <w:rsid w:val="000A4033"/>
    <w:rsid w:val="000A6425"/>
    <w:rsid w:val="000A7299"/>
    <w:rsid w:val="000A79BC"/>
    <w:rsid w:val="000B0B65"/>
    <w:rsid w:val="000B21D3"/>
    <w:rsid w:val="000B6241"/>
    <w:rsid w:val="000B632C"/>
    <w:rsid w:val="000C03B7"/>
    <w:rsid w:val="000C0782"/>
    <w:rsid w:val="000C1180"/>
    <w:rsid w:val="000C2E0A"/>
    <w:rsid w:val="000C3B45"/>
    <w:rsid w:val="000D218D"/>
    <w:rsid w:val="000D2847"/>
    <w:rsid w:val="000D38EA"/>
    <w:rsid w:val="000D3E1E"/>
    <w:rsid w:val="000D699F"/>
    <w:rsid w:val="000E0E97"/>
    <w:rsid w:val="000E4571"/>
    <w:rsid w:val="000F05DE"/>
    <w:rsid w:val="000F0A5F"/>
    <w:rsid w:val="000F5035"/>
    <w:rsid w:val="00101F8E"/>
    <w:rsid w:val="00105902"/>
    <w:rsid w:val="0011628D"/>
    <w:rsid w:val="00121D96"/>
    <w:rsid w:val="00124FDD"/>
    <w:rsid w:val="00127DAD"/>
    <w:rsid w:val="0013121A"/>
    <w:rsid w:val="001330E1"/>
    <w:rsid w:val="00134C7A"/>
    <w:rsid w:val="001427EF"/>
    <w:rsid w:val="00142AEF"/>
    <w:rsid w:val="00147DBE"/>
    <w:rsid w:val="001524A1"/>
    <w:rsid w:val="00153EE8"/>
    <w:rsid w:val="00154C65"/>
    <w:rsid w:val="001560A1"/>
    <w:rsid w:val="00160D60"/>
    <w:rsid w:val="001642DD"/>
    <w:rsid w:val="001661F0"/>
    <w:rsid w:val="0016632D"/>
    <w:rsid w:val="001760D0"/>
    <w:rsid w:val="0018165A"/>
    <w:rsid w:val="00181C07"/>
    <w:rsid w:val="00185629"/>
    <w:rsid w:val="001871C6"/>
    <w:rsid w:val="00187AC8"/>
    <w:rsid w:val="00187FEB"/>
    <w:rsid w:val="001923E6"/>
    <w:rsid w:val="001948CF"/>
    <w:rsid w:val="001A6866"/>
    <w:rsid w:val="001A7DAA"/>
    <w:rsid w:val="001B0113"/>
    <w:rsid w:val="001B133A"/>
    <w:rsid w:val="001B1FB1"/>
    <w:rsid w:val="001B21D0"/>
    <w:rsid w:val="001C0CB9"/>
    <w:rsid w:val="001C161A"/>
    <w:rsid w:val="001C215C"/>
    <w:rsid w:val="001C2DDA"/>
    <w:rsid w:val="001C327E"/>
    <w:rsid w:val="001C56F1"/>
    <w:rsid w:val="001D1331"/>
    <w:rsid w:val="001D5EF4"/>
    <w:rsid w:val="001E1988"/>
    <w:rsid w:val="001E1DEE"/>
    <w:rsid w:val="001E225B"/>
    <w:rsid w:val="001E3F9E"/>
    <w:rsid w:val="001E6562"/>
    <w:rsid w:val="001E724E"/>
    <w:rsid w:val="001F24CF"/>
    <w:rsid w:val="001F4F89"/>
    <w:rsid w:val="001F5072"/>
    <w:rsid w:val="001F6CE5"/>
    <w:rsid w:val="001F71E1"/>
    <w:rsid w:val="0020264E"/>
    <w:rsid w:val="00205671"/>
    <w:rsid w:val="00210335"/>
    <w:rsid w:val="00212BA0"/>
    <w:rsid w:val="0021625E"/>
    <w:rsid w:val="00217143"/>
    <w:rsid w:val="00217EB1"/>
    <w:rsid w:val="00222ADA"/>
    <w:rsid w:val="00227183"/>
    <w:rsid w:val="00231F0E"/>
    <w:rsid w:val="002345D5"/>
    <w:rsid w:val="00235282"/>
    <w:rsid w:val="0026183D"/>
    <w:rsid w:val="00262F3C"/>
    <w:rsid w:val="002632DB"/>
    <w:rsid w:val="00267F7A"/>
    <w:rsid w:val="0027540E"/>
    <w:rsid w:val="00275E94"/>
    <w:rsid w:val="00276874"/>
    <w:rsid w:val="00277C5C"/>
    <w:rsid w:val="002812A0"/>
    <w:rsid w:val="00284299"/>
    <w:rsid w:val="00284381"/>
    <w:rsid w:val="00284562"/>
    <w:rsid w:val="00284E5D"/>
    <w:rsid w:val="002863EA"/>
    <w:rsid w:val="00287FA7"/>
    <w:rsid w:val="0029024D"/>
    <w:rsid w:val="002905FC"/>
    <w:rsid w:val="002917E3"/>
    <w:rsid w:val="00292081"/>
    <w:rsid w:val="002A6A7F"/>
    <w:rsid w:val="002B00EE"/>
    <w:rsid w:val="002B0D05"/>
    <w:rsid w:val="002B16C4"/>
    <w:rsid w:val="002B16F7"/>
    <w:rsid w:val="002B1BA6"/>
    <w:rsid w:val="002B2E67"/>
    <w:rsid w:val="002B5ED1"/>
    <w:rsid w:val="002C05EB"/>
    <w:rsid w:val="002C1D58"/>
    <w:rsid w:val="002C1E79"/>
    <w:rsid w:val="002C6CCE"/>
    <w:rsid w:val="002D0424"/>
    <w:rsid w:val="002D0620"/>
    <w:rsid w:val="002D065E"/>
    <w:rsid w:val="002D1832"/>
    <w:rsid w:val="002E527F"/>
    <w:rsid w:val="002F2B33"/>
    <w:rsid w:val="002F5140"/>
    <w:rsid w:val="002F619A"/>
    <w:rsid w:val="0030349F"/>
    <w:rsid w:val="00310D00"/>
    <w:rsid w:val="00312249"/>
    <w:rsid w:val="003131CB"/>
    <w:rsid w:val="00313731"/>
    <w:rsid w:val="00316BAC"/>
    <w:rsid w:val="003174FA"/>
    <w:rsid w:val="00320131"/>
    <w:rsid w:val="0032640F"/>
    <w:rsid w:val="00327270"/>
    <w:rsid w:val="00331E52"/>
    <w:rsid w:val="00342529"/>
    <w:rsid w:val="003426E3"/>
    <w:rsid w:val="00350605"/>
    <w:rsid w:val="00360675"/>
    <w:rsid w:val="00370BB1"/>
    <w:rsid w:val="003820B0"/>
    <w:rsid w:val="00382A3F"/>
    <w:rsid w:val="0038587B"/>
    <w:rsid w:val="00387962"/>
    <w:rsid w:val="003927C3"/>
    <w:rsid w:val="00393238"/>
    <w:rsid w:val="003938DD"/>
    <w:rsid w:val="003A0750"/>
    <w:rsid w:val="003A07A0"/>
    <w:rsid w:val="003A10DC"/>
    <w:rsid w:val="003A38E9"/>
    <w:rsid w:val="003A6D2E"/>
    <w:rsid w:val="003B0A0E"/>
    <w:rsid w:val="003C3DE0"/>
    <w:rsid w:val="003D1AE6"/>
    <w:rsid w:val="003D52C7"/>
    <w:rsid w:val="003E0D4B"/>
    <w:rsid w:val="003E2B43"/>
    <w:rsid w:val="003E31A1"/>
    <w:rsid w:val="003E5324"/>
    <w:rsid w:val="003E7EEE"/>
    <w:rsid w:val="003F04A7"/>
    <w:rsid w:val="003F590F"/>
    <w:rsid w:val="003F5F25"/>
    <w:rsid w:val="003F7D95"/>
    <w:rsid w:val="003F7EBB"/>
    <w:rsid w:val="0040166E"/>
    <w:rsid w:val="0040307A"/>
    <w:rsid w:val="00406955"/>
    <w:rsid w:val="004075DC"/>
    <w:rsid w:val="00410252"/>
    <w:rsid w:val="00415A75"/>
    <w:rsid w:val="00424A68"/>
    <w:rsid w:val="00424E41"/>
    <w:rsid w:val="00425081"/>
    <w:rsid w:val="00425CFA"/>
    <w:rsid w:val="00426C03"/>
    <w:rsid w:val="00441A58"/>
    <w:rsid w:val="00444028"/>
    <w:rsid w:val="004453BF"/>
    <w:rsid w:val="004465DB"/>
    <w:rsid w:val="0045347A"/>
    <w:rsid w:val="00454C47"/>
    <w:rsid w:val="004619C8"/>
    <w:rsid w:val="004641A0"/>
    <w:rsid w:val="00472C8B"/>
    <w:rsid w:val="004730BA"/>
    <w:rsid w:val="00474364"/>
    <w:rsid w:val="00480EBD"/>
    <w:rsid w:val="00481864"/>
    <w:rsid w:val="0049464F"/>
    <w:rsid w:val="00495692"/>
    <w:rsid w:val="00496F1C"/>
    <w:rsid w:val="00497C3E"/>
    <w:rsid w:val="004A3F7F"/>
    <w:rsid w:val="004A639C"/>
    <w:rsid w:val="004A7D66"/>
    <w:rsid w:val="004B4FD6"/>
    <w:rsid w:val="004B687C"/>
    <w:rsid w:val="004B6CB3"/>
    <w:rsid w:val="004B7DBF"/>
    <w:rsid w:val="004C1F29"/>
    <w:rsid w:val="004C213D"/>
    <w:rsid w:val="004C2381"/>
    <w:rsid w:val="004C58EB"/>
    <w:rsid w:val="004D21C5"/>
    <w:rsid w:val="004D61B9"/>
    <w:rsid w:val="004D6E64"/>
    <w:rsid w:val="004D7E79"/>
    <w:rsid w:val="004E302A"/>
    <w:rsid w:val="004F2269"/>
    <w:rsid w:val="004F79D0"/>
    <w:rsid w:val="00505158"/>
    <w:rsid w:val="00505B4F"/>
    <w:rsid w:val="00510CC1"/>
    <w:rsid w:val="00511C96"/>
    <w:rsid w:val="005133B6"/>
    <w:rsid w:val="0051395F"/>
    <w:rsid w:val="005156C8"/>
    <w:rsid w:val="0051648E"/>
    <w:rsid w:val="005166AA"/>
    <w:rsid w:val="00516920"/>
    <w:rsid w:val="00523F31"/>
    <w:rsid w:val="00525CC8"/>
    <w:rsid w:val="0053081C"/>
    <w:rsid w:val="00533807"/>
    <w:rsid w:val="005520C5"/>
    <w:rsid w:val="0055308D"/>
    <w:rsid w:val="0055411E"/>
    <w:rsid w:val="00557E54"/>
    <w:rsid w:val="00561983"/>
    <w:rsid w:val="00561D3D"/>
    <w:rsid w:val="0056351D"/>
    <w:rsid w:val="00563774"/>
    <w:rsid w:val="0056565A"/>
    <w:rsid w:val="005658FF"/>
    <w:rsid w:val="005774C3"/>
    <w:rsid w:val="00577D8B"/>
    <w:rsid w:val="00583083"/>
    <w:rsid w:val="00586E11"/>
    <w:rsid w:val="005913A0"/>
    <w:rsid w:val="005932E0"/>
    <w:rsid w:val="00595163"/>
    <w:rsid w:val="00596EB1"/>
    <w:rsid w:val="00597C0F"/>
    <w:rsid w:val="00597FA1"/>
    <w:rsid w:val="005A30AE"/>
    <w:rsid w:val="005A3C18"/>
    <w:rsid w:val="005A7B3E"/>
    <w:rsid w:val="005B02A6"/>
    <w:rsid w:val="005B3E43"/>
    <w:rsid w:val="005B627B"/>
    <w:rsid w:val="005B6CB9"/>
    <w:rsid w:val="005C2CF1"/>
    <w:rsid w:val="005C45CE"/>
    <w:rsid w:val="005D0516"/>
    <w:rsid w:val="005D7397"/>
    <w:rsid w:val="005D7BBB"/>
    <w:rsid w:val="005E6B80"/>
    <w:rsid w:val="005F10E9"/>
    <w:rsid w:val="005F2618"/>
    <w:rsid w:val="005F72FF"/>
    <w:rsid w:val="00601913"/>
    <w:rsid w:val="00604EC9"/>
    <w:rsid w:val="00605333"/>
    <w:rsid w:val="0061292D"/>
    <w:rsid w:val="00616573"/>
    <w:rsid w:val="00616AA6"/>
    <w:rsid w:val="006218E8"/>
    <w:rsid w:val="00623358"/>
    <w:rsid w:val="00627C4E"/>
    <w:rsid w:val="00634347"/>
    <w:rsid w:val="006375FF"/>
    <w:rsid w:val="00644F2D"/>
    <w:rsid w:val="006506AA"/>
    <w:rsid w:val="00650DA3"/>
    <w:rsid w:val="00652305"/>
    <w:rsid w:val="00652B4B"/>
    <w:rsid w:val="00653686"/>
    <w:rsid w:val="0066312B"/>
    <w:rsid w:val="006676F9"/>
    <w:rsid w:val="006704A6"/>
    <w:rsid w:val="00673D32"/>
    <w:rsid w:val="006746B7"/>
    <w:rsid w:val="006822A6"/>
    <w:rsid w:val="006878FB"/>
    <w:rsid w:val="00687A9A"/>
    <w:rsid w:val="00690D21"/>
    <w:rsid w:val="00690F68"/>
    <w:rsid w:val="0069295D"/>
    <w:rsid w:val="006A0C04"/>
    <w:rsid w:val="006A460C"/>
    <w:rsid w:val="006A5788"/>
    <w:rsid w:val="006A7F17"/>
    <w:rsid w:val="006B19BB"/>
    <w:rsid w:val="006B20D1"/>
    <w:rsid w:val="006B2C55"/>
    <w:rsid w:val="006B3D44"/>
    <w:rsid w:val="006B7270"/>
    <w:rsid w:val="006B73DB"/>
    <w:rsid w:val="006C0C4C"/>
    <w:rsid w:val="006C3B87"/>
    <w:rsid w:val="006C49DC"/>
    <w:rsid w:val="006C76F6"/>
    <w:rsid w:val="006C7EBE"/>
    <w:rsid w:val="006D1D8A"/>
    <w:rsid w:val="006D3DE0"/>
    <w:rsid w:val="006D45D0"/>
    <w:rsid w:val="006E10E6"/>
    <w:rsid w:val="006E3093"/>
    <w:rsid w:val="006E4945"/>
    <w:rsid w:val="006E4F46"/>
    <w:rsid w:val="006E6735"/>
    <w:rsid w:val="006F074C"/>
    <w:rsid w:val="006F545E"/>
    <w:rsid w:val="006F67B5"/>
    <w:rsid w:val="0070146D"/>
    <w:rsid w:val="007039B7"/>
    <w:rsid w:val="00706164"/>
    <w:rsid w:val="00711CB4"/>
    <w:rsid w:val="00712F0D"/>
    <w:rsid w:val="00715DA1"/>
    <w:rsid w:val="00717F08"/>
    <w:rsid w:val="0072595B"/>
    <w:rsid w:val="007260E4"/>
    <w:rsid w:val="007307DD"/>
    <w:rsid w:val="007324BA"/>
    <w:rsid w:val="00737026"/>
    <w:rsid w:val="00737816"/>
    <w:rsid w:val="007443D4"/>
    <w:rsid w:val="00747137"/>
    <w:rsid w:val="00753F07"/>
    <w:rsid w:val="00756710"/>
    <w:rsid w:val="00757538"/>
    <w:rsid w:val="00762BE5"/>
    <w:rsid w:val="0076300B"/>
    <w:rsid w:val="00764C3F"/>
    <w:rsid w:val="00765E9A"/>
    <w:rsid w:val="00766F10"/>
    <w:rsid w:val="007674B7"/>
    <w:rsid w:val="0077011F"/>
    <w:rsid w:val="007767E1"/>
    <w:rsid w:val="00781722"/>
    <w:rsid w:val="0078287C"/>
    <w:rsid w:val="00782DBA"/>
    <w:rsid w:val="0079056A"/>
    <w:rsid w:val="00793E99"/>
    <w:rsid w:val="00793F4D"/>
    <w:rsid w:val="00794989"/>
    <w:rsid w:val="007A0938"/>
    <w:rsid w:val="007A0EE2"/>
    <w:rsid w:val="007A136C"/>
    <w:rsid w:val="007A48CB"/>
    <w:rsid w:val="007A7984"/>
    <w:rsid w:val="007A7C18"/>
    <w:rsid w:val="007B0F9C"/>
    <w:rsid w:val="007C0F18"/>
    <w:rsid w:val="007C1315"/>
    <w:rsid w:val="007C2495"/>
    <w:rsid w:val="007C6DB7"/>
    <w:rsid w:val="007D54ED"/>
    <w:rsid w:val="007D60D3"/>
    <w:rsid w:val="007D7216"/>
    <w:rsid w:val="007E1745"/>
    <w:rsid w:val="007E24E7"/>
    <w:rsid w:val="007E2A60"/>
    <w:rsid w:val="007E54AE"/>
    <w:rsid w:val="007E5B07"/>
    <w:rsid w:val="007E5E22"/>
    <w:rsid w:val="007E7002"/>
    <w:rsid w:val="007E7876"/>
    <w:rsid w:val="007F4899"/>
    <w:rsid w:val="00800245"/>
    <w:rsid w:val="00801A8B"/>
    <w:rsid w:val="008037BB"/>
    <w:rsid w:val="008067CD"/>
    <w:rsid w:val="00817EE4"/>
    <w:rsid w:val="00822EC4"/>
    <w:rsid w:val="0082654B"/>
    <w:rsid w:val="008278CE"/>
    <w:rsid w:val="008300D7"/>
    <w:rsid w:val="00830F5C"/>
    <w:rsid w:val="00831BA6"/>
    <w:rsid w:val="0083219E"/>
    <w:rsid w:val="00834825"/>
    <w:rsid w:val="00834CD1"/>
    <w:rsid w:val="00840219"/>
    <w:rsid w:val="008418C0"/>
    <w:rsid w:val="008418CF"/>
    <w:rsid w:val="0085069C"/>
    <w:rsid w:val="00851383"/>
    <w:rsid w:val="00853B32"/>
    <w:rsid w:val="00861441"/>
    <w:rsid w:val="008658CA"/>
    <w:rsid w:val="008659FB"/>
    <w:rsid w:val="00874D1C"/>
    <w:rsid w:val="008750D0"/>
    <w:rsid w:val="00875E1C"/>
    <w:rsid w:val="00880F3E"/>
    <w:rsid w:val="00881EB9"/>
    <w:rsid w:val="00882F3D"/>
    <w:rsid w:val="00885760"/>
    <w:rsid w:val="00890420"/>
    <w:rsid w:val="00891250"/>
    <w:rsid w:val="008979F7"/>
    <w:rsid w:val="00897F60"/>
    <w:rsid w:val="008A1E05"/>
    <w:rsid w:val="008B1B31"/>
    <w:rsid w:val="008B2B6D"/>
    <w:rsid w:val="008C1741"/>
    <w:rsid w:val="008C5143"/>
    <w:rsid w:val="008C6C7E"/>
    <w:rsid w:val="008D393D"/>
    <w:rsid w:val="008D4351"/>
    <w:rsid w:val="008D4B36"/>
    <w:rsid w:val="008D55DA"/>
    <w:rsid w:val="008E01CD"/>
    <w:rsid w:val="008E04E8"/>
    <w:rsid w:val="008E20FA"/>
    <w:rsid w:val="008E625F"/>
    <w:rsid w:val="008E660E"/>
    <w:rsid w:val="008F033B"/>
    <w:rsid w:val="008F1870"/>
    <w:rsid w:val="008F2F77"/>
    <w:rsid w:val="00902C3B"/>
    <w:rsid w:val="00904208"/>
    <w:rsid w:val="00905515"/>
    <w:rsid w:val="00905A3D"/>
    <w:rsid w:val="0090729B"/>
    <w:rsid w:val="00907A85"/>
    <w:rsid w:val="00914C74"/>
    <w:rsid w:val="0091550A"/>
    <w:rsid w:val="0091566D"/>
    <w:rsid w:val="00915921"/>
    <w:rsid w:val="00922EA3"/>
    <w:rsid w:val="0093004B"/>
    <w:rsid w:val="00932E04"/>
    <w:rsid w:val="009402CF"/>
    <w:rsid w:val="009408A5"/>
    <w:rsid w:val="00943EB4"/>
    <w:rsid w:val="00944798"/>
    <w:rsid w:val="00952068"/>
    <w:rsid w:val="009611F6"/>
    <w:rsid w:val="0096200C"/>
    <w:rsid w:val="00962BB6"/>
    <w:rsid w:val="009637B0"/>
    <w:rsid w:val="00966CD7"/>
    <w:rsid w:val="00971015"/>
    <w:rsid w:val="009821D8"/>
    <w:rsid w:val="0099160D"/>
    <w:rsid w:val="009924FF"/>
    <w:rsid w:val="0099680B"/>
    <w:rsid w:val="00996BF8"/>
    <w:rsid w:val="009A238D"/>
    <w:rsid w:val="009A58E6"/>
    <w:rsid w:val="009A660D"/>
    <w:rsid w:val="009B62BD"/>
    <w:rsid w:val="009B6AAE"/>
    <w:rsid w:val="009C04EB"/>
    <w:rsid w:val="009D4CD0"/>
    <w:rsid w:val="009D598C"/>
    <w:rsid w:val="009E6447"/>
    <w:rsid w:val="009E69AE"/>
    <w:rsid w:val="00A008BF"/>
    <w:rsid w:val="00A12931"/>
    <w:rsid w:val="00A13007"/>
    <w:rsid w:val="00A144C7"/>
    <w:rsid w:val="00A14C75"/>
    <w:rsid w:val="00A1573B"/>
    <w:rsid w:val="00A179C9"/>
    <w:rsid w:val="00A17F41"/>
    <w:rsid w:val="00A23482"/>
    <w:rsid w:val="00A2383A"/>
    <w:rsid w:val="00A31049"/>
    <w:rsid w:val="00A32B15"/>
    <w:rsid w:val="00A36550"/>
    <w:rsid w:val="00A40446"/>
    <w:rsid w:val="00A43129"/>
    <w:rsid w:val="00A45564"/>
    <w:rsid w:val="00A5405F"/>
    <w:rsid w:val="00A55086"/>
    <w:rsid w:val="00A70F95"/>
    <w:rsid w:val="00A76555"/>
    <w:rsid w:val="00A81E68"/>
    <w:rsid w:val="00A854FE"/>
    <w:rsid w:val="00A878EE"/>
    <w:rsid w:val="00A92FE1"/>
    <w:rsid w:val="00A96563"/>
    <w:rsid w:val="00A97BF0"/>
    <w:rsid w:val="00AA1864"/>
    <w:rsid w:val="00AA2F3E"/>
    <w:rsid w:val="00AA4DED"/>
    <w:rsid w:val="00AB0190"/>
    <w:rsid w:val="00AB15CD"/>
    <w:rsid w:val="00AB2392"/>
    <w:rsid w:val="00AB44D6"/>
    <w:rsid w:val="00AB67FF"/>
    <w:rsid w:val="00AC1DD3"/>
    <w:rsid w:val="00AC219E"/>
    <w:rsid w:val="00AC258A"/>
    <w:rsid w:val="00AC2CE6"/>
    <w:rsid w:val="00AC4E27"/>
    <w:rsid w:val="00AC7188"/>
    <w:rsid w:val="00AC794B"/>
    <w:rsid w:val="00AC7FB5"/>
    <w:rsid w:val="00AD31FF"/>
    <w:rsid w:val="00AD3977"/>
    <w:rsid w:val="00AD4D57"/>
    <w:rsid w:val="00AE1A6B"/>
    <w:rsid w:val="00AE36A4"/>
    <w:rsid w:val="00AF1B32"/>
    <w:rsid w:val="00B00335"/>
    <w:rsid w:val="00B014C5"/>
    <w:rsid w:val="00B06DFF"/>
    <w:rsid w:val="00B15B6A"/>
    <w:rsid w:val="00B17632"/>
    <w:rsid w:val="00B21300"/>
    <w:rsid w:val="00B328E2"/>
    <w:rsid w:val="00B332F0"/>
    <w:rsid w:val="00B335BD"/>
    <w:rsid w:val="00B34FEA"/>
    <w:rsid w:val="00B35F3B"/>
    <w:rsid w:val="00B363FF"/>
    <w:rsid w:val="00B37A6D"/>
    <w:rsid w:val="00B449B8"/>
    <w:rsid w:val="00B47B54"/>
    <w:rsid w:val="00B5387F"/>
    <w:rsid w:val="00B561A9"/>
    <w:rsid w:val="00B56697"/>
    <w:rsid w:val="00B579E7"/>
    <w:rsid w:val="00B66769"/>
    <w:rsid w:val="00B66956"/>
    <w:rsid w:val="00B67B37"/>
    <w:rsid w:val="00B67E18"/>
    <w:rsid w:val="00B7020A"/>
    <w:rsid w:val="00B72D2C"/>
    <w:rsid w:val="00B74A20"/>
    <w:rsid w:val="00B77AA8"/>
    <w:rsid w:val="00B77C54"/>
    <w:rsid w:val="00B77E53"/>
    <w:rsid w:val="00B805B9"/>
    <w:rsid w:val="00B82528"/>
    <w:rsid w:val="00B86272"/>
    <w:rsid w:val="00B92C73"/>
    <w:rsid w:val="00B97978"/>
    <w:rsid w:val="00BA0BC3"/>
    <w:rsid w:val="00BA2D92"/>
    <w:rsid w:val="00BA6ED8"/>
    <w:rsid w:val="00BB2899"/>
    <w:rsid w:val="00BB2C2F"/>
    <w:rsid w:val="00BB6392"/>
    <w:rsid w:val="00BB6622"/>
    <w:rsid w:val="00BC4053"/>
    <w:rsid w:val="00BC5EB0"/>
    <w:rsid w:val="00BC7144"/>
    <w:rsid w:val="00BD2BA6"/>
    <w:rsid w:val="00BD4062"/>
    <w:rsid w:val="00BD5821"/>
    <w:rsid w:val="00BD6377"/>
    <w:rsid w:val="00BE0C6B"/>
    <w:rsid w:val="00BF16A3"/>
    <w:rsid w:val="00BF4353"/>
    <w:rsid w:val="00BF672F"/>
    <w:rsid w:val="00C00706"/>
    <w:rsid w:val="00C07BCA"/>
    <w:rsid w:val="00C168CD"/>
    <w:rsid w:val="00C17BA5"/>
    <w:rsid w:val="00C25665"/>
    <w:rsid w:val="00C26ADA"/>
    <w:rsid w:val="00C34D43"/>
    <w:rsid w:val="00C42322"/>
    <w:rsid w:val="00C45BAD"/>
    <w:rsid w:val="00C47608"/>
    <w:rsid w:val="00C47CB9"/>
    <w:rsid w:val="00C55E65"/>
    <w:rsid w:val="00C57B2E"/>
    <w:rsid w:val="00C74E82"/>
    <w:rsid w:val="00C8047F"/>
    <w:rsid w:val="00C80A26"/>
    <w:rsid w:val="00C80C16"/>
    <w:rsid w:val="00C813AA"/>
    <w:rsid w:val="00C821BB"/>
    <w:rsid w:val="00C87DC4"/>
    <w:rsid w:val="00C930CC"/>
    <w:rsid w:val="00CA0021"/>
    <w:rsid w:val="00CA0ABA"/>
    <w:rsid w:val="00CA18D9"/>
    <w:rsid w:val="00CA2B4A"/>
    <w:rsid w:val="00CA2C5A"/>
    <w:rsid w:val="00CA7068"/>
    <w:rsid w:val="00CB3085"/>
    <w:rsid w:val="00CB4F25"/>
    <w:rsid w:val="00CB5A28"/>
    <w:rsid w:val="00CC4F20"/>
    <w:rsid w:val="00CD3A64"/>
    <w:rsid w:val="00CD718B"/>
    <w:rsid w:val="00CE6CF5"/>
    <w:rsid w:val="00CE7E6D"/>
    <w:rsid w:val="00CF217F"/>
    <w:rsid w:val="00D01216"/>
    <w:rsid w:val="00D022D5"/>
    <w:rsid w:val="00D03D3B"/>
    <w:rsid w:val="00D05D9E"/>
    <w:rsid w:val="00D117B2"/>
    <w:rsid w:val="00D15E9C"/>
    <w:rsid w:val="00D16354"/>
    <w:rsid w:val="00D16815"/>
    <w:rsid w:val="00D23442"/>
    <w:rsid w:val="00D2367B"/>
    <w:rsid w:val="00D31EDB"/>
    <w:rsid w:val="00D3289B"/>
    <w:rsid w:val="00D32E9C"/>
    <w:rsid w:val="00D33FD6"/>
    <w:rsid w:val="00D40578"/>
    <w:rsid w:val="00D41C74"/>
    <w:rsid w:val="00D47157"/>
    <w:rsid w:val="00D503C0"/>
    <w:rsid w:val="00D526FF"/>
    <w:rsid w:val="00D529F6"/>
    <w:rsid w:val="00D558CF"/>
    <w:rsid w:val="00D60194"/>
    <w:rsid w:val="00D6789D"/>
    <w:rsid w:val="00D71E6E"/>
    <w:rsid w:val="00D758FB"/>
    <w:rsid w:val="00D77D95"/>
    <w:rsid w:val="00D81B44"/>
    <w:rsid w:val="00D84B7C"/>
    <w:rsid w:val="00D879C0"/>
    <w:rsid w:val="00D90B3B"/>
    <w:rsid w:val="00DA62FD"/>
    <w:rsid w:val="00DB0EA8"/>
    <w:rsid w:val="00DB31B0"/>
    <w:rsid w:val="00DB7192"/>
    <w:rsid w:val="00DC06DC"/>
    <w:rsid w:val="00DC5034"/>
    <w:rsid w:val="00DC6EF4"/>
    <w:rsid w:val="00DD0206"/>
    <w:rsid w:val="00DD6A97"/>
    <w:rsid w:val="00DD79F1"/>
    <w:rsid w:val="00DE26E0"/>
    <w:rsid w:val="00DE2725"/>
    <w:rsid w:val="00DE2D70"/>
    <w:rsid w:val="00DE37C6"/>
    <w:rsid w:val="00DE412F"/>
    <w:rsid w:val="00DE4293"/>
    <w:rsid w:val="00DE5EE7"/>
    <w:rsid w:val="00DF21C0"/>
    <w:rsid w:val="00E0312A"/>
    <w:rsid w:val="00E04B66"/>
    <w:rsid w:val="00E05F36"/>
    <w:rsid w:val="00E06334"/>
    <w:rsid w:val="00E118A1"/>
    <w:rsid w:val="00E152E4"/>
    <w:rsid w:val="00E17B89"/>
    <w:rsid w:val="00E22AB3"/>
    <w:rsid w:val="00E2359B"/>
    <w:rsid w:val="00E26CC3"/>
    <w:rsid w:val="00E327FB"/>
    <w:rsid w:val="00E45230"/>
    <w:rsid w:val="00E4661C"/>
    <w:rsid w:val="00E47EF9"/>
    <w:rsid w:val="00E50B54"/>
    <w:rsid w:val="00E519D3"/>
    <w:rsid w:val="00E655F0"/>
    <w:rsid w:val="00E70494"/>
    <w:rsid w:val="00E726E1"/>
    <w:rsid w:val="00E72D08"/>
    <w:rsid w:val="00E733A3"/>
    <w:rsid w:val="00E75F9E"/>
    <w:rsid w:val="00E76DC9"/>
    <w:rsid w:val="00E82EB6"/>
    <w:rsid w:val="00E842DE"/>
    <w:rsid w:val="00E85CCE"/>
    <w:rsid w:val="00E90666"/>
    <w:rsid w:val="00E95B1E"/>
    <w:rsid w:val="00E96C59"/>
    <w:rsid w:val="00EA0FB6"/>
    <w:rsid w:val="00EA1D18"/>
    <w:rsid w:val="00EA408A"/>
    <w:rsid w:val="00EA5933"/>
    <w:rsid w:val="00EB4626"/>
    <w:rsid w:val="00EB5CC6"/>
    <w:rsid w:val="00EC157A"/>
    <w:rsid w:val="00EC1EF0"/>
    <w:rsid w:val="00EC1FB2"/>
    <w:rsid w:val="00EC44D8"/>
    <w:rsid w:val="00ED0610"/>
    <w:rsid w:val="00ED0966"/>
    <w:rsid w:val="00ED0AE8"/>
    <w:rsid w:val="00ED2191"/>
    <w:rsid w:val="00EE0069"/>
    <w:rsid w:val="00EE32AB"/>
    <w:rsid w:val="00EF441A"/>
    <w:rsid w:val="00EF4624"/>
    <w:rsid w:val="00EF4E67"/>
    <w:rsid w:val="00EF76C2"/>
    <w:rsid w:val="00F04C5D"/>
    <w:rsid w:val="00F109E2"/>
    <w:rsid w:val="00F15ADC"/>
    <w:rsid w:val="00F303B9"/>
    <w:rsid w:val="00F32DAC"/>
    <w:rsid w:val="00F33C26"/>
    <w:rsid w:val="00F40CEF"/>
    <w:rsid w:val="00F43E73"/>
    <w:rsid w:val="00F47627"/>
    <w:rsid w:val="00F52A19"/>
    <w:rsid w:val="00F62E1C"/>
    <w:rsid w:val="00F643BE"/>
    <w:rsid w:val="00F66B34"/>
    <w:rsid w:val="00F728FD"/>
    <w:rsid w:val="00F72ADC"/>
    <w:rsid w:val="00F73338"/>
    <w:rsid w:val="00F74684"/>
    <w:rsid w:val="00F771A4"/>
    <w:rsid w:val="00F806C0"/>
    <w:rsid w:val="00F832B9"/>
    <w:rsid w:val="00FA455A"/>
    <w:rsid w:val="00FA49EE"/>
    <w:rsid w:val="00FA56D5"/>
    <w:rsid w:val="00FA59B2"/>
    <w:rsid w:val="00FA5C69"/>
    <w:rsid w:val="00FA5CED"/>
    <w:rsid w:val="00FA70EB"/>
    <w:rsid w:val="00FB2B31"/>
    <w:rsid w:val="00FC1AE3"/>
    <w:rsid w:val="00FD6DAA"/>
    <w:rsid w:val="00FE1F1C"/>
    <w:rsid w:val="00FE34C9"/>
    <w:rsid w:val="00FE5C6D"/>
    <w:rsid w:val="00FE7426"/>
    <w:rsid w:val="00FF0668"/>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7C6F4278-B198-4021-92BA-B97E0B8C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43"/>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E5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E5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2E527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E52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2EEF-8577-4AA6-8E10-DBD2464B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17426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2018-05-10T16:46:00Z</cp:lastPrinted>
  <dcterms:created xsi:type="dcterms:W3CDTF">2018-05-10T16:47:00Z</dcterms:created>
  <dcterms:modified xsi:type="dcterms:W3CDTF">2018-05-10T16:48:00Z</dcterms:modified>
</cp:coreProperties>
</file>