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30" w:rsidRPr="008C56EB" w:rsidRDefault="00102E30" w:rsidP="008C56EB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</w:pPr>
      <w:r w:rsidRPr="008C56EB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VERSIÓN </w:t>
      </w:r>
      <w:r w:rsidRPr="008C56EB">
        <w:rPr>
          <w:rFonts w:ascii="ITC Avant Garde" w:eastAsia="Arial" w:hAnsi="ITC Avant Garde" w:cs="Arial"/>
          <w:b/>
          <w:color w:val="000000" w:themeColor="text1"/>
          <w:sz w:val="22"/>
          <w:szCs w:val="22"/>
          <w:lang w:eastAsia="es-MX"/>
        </w:rPr>
        <w:t>PÚBLICA</w:t>
      </w:r>
      <w:r w:rsidRPr="008C56EB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 DE LA VERSIÓN ESTENOGRÁFICA</w:t>
      </w:r>
    </w:p>
    <w:p w:rsidR="00102E30" w:rsidRPr="00102E30" w:rsidRDefault="00102E30" w:rsidP="008C56EB">
      <w:pPr>
        <w:spacing w:before="240"/>
        <w:jc w:val="center"/>
        <w:rPr>
          <w:rFonts w:ascii="ITC Avant Garde" w:hAnsi="ITC Avant Garde"/>
          <w:b/>
          <w:bCs/>
          <w:color w:val="000000"/>
          <w:sz w:val="20"/>
          <w:szCs w:val="20"/>
          <w:lang w:eastAsia="es-MX"/>
        </w:rPr>
      </w:pPr>
      <w:r w:rsidRPr="00102E30">
        <w:rPr>
          <w:rFonts w:ascii="ITC Avant Garde" w:hAnsi="ITC Avant Garde"/>
          <w:b/>
          <w:bCs/>
          <w:color w:val="0D0D0D" w:themeColor="text1" w:themeTint="F2"/>
          <w:sz w:val="20"/>
          <w:szCs w:val="20"/>
          <w:lang w:eastAsia="es-MX"/>
        </w:rPr>
        <w:t xml:space="preserve">DE LA </w:t>
      </w:r>
      <w:r w:rsidRPr="00102E30">
        <w:rPr>
          <w:rFonts w:ascii="ITC Avant Garde" w:hAnsi="ITC Avant Garde"/>
          <w:b/>
          <w:bCs/>
          <w:color w:val="000000"/>
          <w:sz w:val="20"/>
          <w:szCs w:val="20"/>
          <w:lang w:eastAsia="es-MX"/>
        </w:rPr>
        <w:t>IV SESIÓN EXTRAORDINARIA DEL PLENO DEL INSTITUTO FEDERAL DE TELECOMUNICACIONES, CELEBRADA EL 05 DE OCTUBRE DE 2018.</w:t>
      </w:r>
    </w:p>
    <w:p w:rsidR="00102E30" w:rsidRPr="008C56EB" w:rsidRDefault="00102E30" w:rsidP="008C56EB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C56EB">
        <w:rPr>
          <w:rFonts w:ascii="ITC Avant Garde" w:hAnsi="ITC Avant Garde"/>
          <w:b/>
          <w:color w:val="000000" w:themeColor="text1"/>
          <w:sz w:val="22"/>
          <w:szCs w:val="22"/>
        </w:rPr>
        <w:t>LEYENDA DE LA CLASIFICACIÓN</w:t>
      </w:r>
    </w:p>
    <w:p w:rsidR="00102E30" w:rsidRPr="00102E30" w:rsidRDefault="00102E30" w:rsidP="00102E30">
      <w:pPr>
        <w:spacing w:after="240" w:line="240" w:lineRule="auto"/>
        <w:jc w:val="both"/>
        <w:rPr>
          <w:rFonts w:ascii="ITC Avant Garde" w:hAnsi="ITC Avant Garde" w:cs="Tahoma"/>
          <w:color w:val="000000"/>
          <w:sz w:val="20"/>
          <w:szCs w:val="20"/>
          <w:lang w:eastAsia="es-MX"/>
        </w:rPr>
      </w:pPr>
      <w:r w:rsidRPr="00102E30">
        <w:rPr>
          <w:rFonts w:ascii="ITC Avant Garde" w:hAnsi="ITC Avant Garde" w:cs="Tahoma"/>
          <w:b/>
          <w:color w:val="000000"/>
          <w:sz w:val="20"/>
          <w:szCs w:val="20"/>
          <w:lang w:eastAsia="es-MX"/>
        </w:rPr>
        <w:t>Fecha de Clasificación:</w:t>
      </w:r>
      <w:r w:rsidRPr="00102E30">
        <w:rPr>
          <w:rFonts w:ascii="ITC Avant Garde" w:hAnsi="ITC Avant Garde" w:cs="Tahoma"/>
          <w:color w:val="000000"/>
          <w:sz w:val="20"/>
          <w:szCs w:val="20"/>
          <w:lang w:eastAsia="es-MX"/>
        </w:rPr>
        <w:t xml:space="preserve"> </w:t>
      </w:r>
      <w:r w:rsidRPr="00102E30">
        <w:rPr>
          <w:rFonts w:ascii="ITC Avant Garde" w:hAnsi="ITC Avant Garde"/>
          <w:sz w:val="20"/>
          <w:szCs w:val="20"/>
        </w:rPr>
        <w:t>05 de octubre de 2018</w:t>
      </w:r>
      <w:r w:rsidRPr="00102E30">
        <w:rPr>
          <w:rFonts w:ascii="ITC Avant Garde" w:hAnsi="ITC Avant Garde" w:cs="Tahoma"/>
          <w:color w:val="000000"/>
          <w:sz w:val="20"/>
          <w:szCs w:val="20"/>
          <w:lang w:eastAsia="es-MX"/>
        </w:rPr>
        <w:t xml:space="preserve">. </w:t>
      </w:r>
    </w:p>
    <w:p w:rsidR="00102E30" w:rsidRPr="00102E30" w:rsidRDefault="00102E30" w:rsidP="00102E30">
      <w:pPr>
        <w:autoSpaceDE w:val="0"/>
        <w:autoSpaceDN w:val="0"/>
        <w:adjustRightInd w:val="0"/>
        <w:spacing w:after="240" w:line="240" w:lineRule="auto"/>
        <w:jc w:val="both"/>
        <w:rPr>
          <w:rFonts w:ascii="ITC Avant Garde" w:hAnsi="ITC Avant Garde" w:cs="Tahoma"/>
          <w:color w:val="000000"/>
          <w:sz w:val="20"/>
          <w:szCs w:val="20"/>
          <w:lang w:eastAsia="es-MX"/>
        </w:rPr>
      </w:pPr>
      <w:r w:rsidRPr="00102E30">
        <w:rPr>
          <w:rFonts w:ascii="ITC Avant Garde" w:hAnsi="ITC Avant Garde" w:cs="Tahoma"/>
          <w:b/>
          <w:color w:val="000000"/>
          <w:sz w:val="20"/>
          <w:szCs w:val="20"/>
          <w:lang w:eastAsia="es-MX"/>
        </w:rPr>
        <w:t>Unidad Administrativa y Clasificación:</w:t>
      </w:r>
      <w:r w:rsidRPr="00102E30">
        <w:rPr>
          <w:rFonts w:ascii="ITC Avant Garde" w:hAnsi="ITC Avant Garde" w:cs="Tahoma"/>
          <w:color w:val="000000"/>
          <w:sz w:val="20"/>
          <w:szCs w:val="20"/>
          <w:lang w:eastAsia="es-MX"/>
        </w:rPr>
        <w:t xml:space="preserve"> Secretaría Técnica del Pleno elabora versión pública de la Versión Estenográfica, por contener información </w:t>
      </w:r>
      <w:r w:rsidR="000F3C3B" w:rsidRPr="008C56EB">
        <w:rPr>
          <w:rFonts w:ascii="ITC Avant Garde" w:hAnsi="ITC Avant Garde" w:cs="Tahoma"/>
          <w:b/>
          <w:color w:val="0000CC"/>
          <w:sz w:val="20"/>
          <w:szCs w:val="20"/>
          <w:lang w:eastAsia="es-MX"/>
        </w:rPr>
        <w:t>R</w:t>
      </w:r>
      <w:r w:rsidRPr="008C56EB">
        <w:rPr>
          <w:rFonts w:ascii="ITC Avant Garde" w:hAnsi="ITC Avant Garde" w:cs="Tahoma"/>
          <w:b/>
          <w:color w:val="0000CC"/>
          <w:sz w:val="20"/>
          <w:szCs w:val="20"/>
          <w:lang w:eastAsia="es-MX"/>
        </w:rPr>
        <w:t xml:space="preserve">eservada </w:t>
      </w:r>
      <w:r w:rsidRPr="00102E30">
        <w:rPr>
          <w:rFonts w:ascii="ITC Avant Garde" w:hAnsi="ITC Avant Garde" w:cs="Tahoma"/>
          <w:color w:val="000000"/>
          <w:sz w:val="20"/>
          <w:szCs w:val="20"/>
          <w:lang w:eastAsia="es-MX"/>
        </w:rPr>
        <w:t>de conformidad con los artículos 72, fracción V, inciso a), 98, fracción III y 104 de la Ley Federal de Transparencia y Acceso a la Información Pública (LFTAIP); 106, 107 y 110 de la Ley General de Transparencia y Acceso a la Información Pública (LGTAIP); así como el Lineamiento Séptimo, frac</w:t>
      </w:r>
      <w:bookmarkStart w:id="0" w:name="_GoBack"/>
      <w:bookmarkEnd w:id="0"/>
      <w:r w:rsidRPr="00102E30">
        <w:rPr>
          <w:rFonts w:ascii="ITC Avant Garde" w:hAnsi="ITC Avant Garde" w:cs="Tahoma"/>
          <w:color w:val="000000"/>
          <w:sz w:val="20"/>
          <w:szCs w:val="20"/>
          <w:lang w:eastAsia="es-MX"/>
        </w:rPr>
        <w:t>ción III, Octavo, Noveno, Quincuagésimo Primero al Tercero, Sexagésimo, Sexagésimo Primero y Sexagésimo Tercero de los Lineamientos Generales en materia de Clasificación y Desclasificación de la Información, así como para la Elaboración de Versiones Públicas (LGCDI).</w:t>
      </w:r>
    </w:p>
    <w:p w:rsidR="00102E30" w:rsidRPr="00102E30" w:rsidRDefault="00102E30" w:rsidP="00102E30">
      <w:pPr>
        <w:autoSpaceDE w:val="0"/>
        <w:autoSpaceDN w:val="0"/>
        <w:adjustRightInd w:val="0"/>
        <w:spacing w:after="240" w:line="240" w:lineRule="auto"/>
        <w:jc w:val="both"/>
        <w:rPr>
          <w:rFonts w:ascii="ITC Avant Garde" w:hAnsi="ITC Avant Garde" w:cs="Tahoma"/>
          <w:b/>
          <w:color w:val="000000"/>
          <w:sz w:val="20"/>
          <w:szCs w:val="20"/>
          <w:lang w:eastAsia="es-MX"/>
        </w:rPr>
      </w:pPr>
      <w:r w:rsidRPr="00102E30">
        <w:rPr>
          <w:rFonts w:ascii="ITC Avant Garde" w:hAnsi="ITC Avant Garde" w:cs="Tahoma"/>
          <w:b/>
          <w:color w:val="000000"/>
          <w:sz w:val="20"/>
          <w:szCs w:val="20"/>
          <w:lang w:eastAsia="es-MX"/>
        </w:rPr>
        <w:t>Datos que se clasifican:</w:t>
      </w:r>
    </w:p>
    <w:p w:rsidR="00102E30" w:rsidRPr="00102E30" w:rsidRDefault="00102E30" w:rsidP="00102E30">
      <w:pPr>
        <w:spacing w:after="240" w:line="240" w:lineRule="auto"/>
        <w:ind w:left="709"/>
        <w:jc w:val="both"/>
        <w:rPr>
          <w:rFonts w:ascii="ITC Avant Garde" w:eastAsia="Times New Roman" w:hAnsi="ITC Avant Garde" w:cs="Arial"/>
          <w:color w:val="000000"/>
          <w:sz w:val="20"/>
          <w:szCs w:val="20"/>
          <w:lang w:eastAsia="es-MX"/>
        </w:rPr>
      </w:pPr>
      <w:r w:rsidRPr="00102E30">
        <w:rPr>
          <w:rFonts w:ascii="ITC Avant Garde" w:eastAsia="Times New Roman" w:hAnsi="ITC Avant Garde" w:cs="Arial"/>
          <w:b/>
          <w:color w:val="000000"/>
          <w:sz w:val="20"/>
          <w:szCs w:val="20"/>
          <w:lang w:eastAsia="es-MX"/>
        </w:rPr>
        <w:t>(I)</w:t>
      </w:r>
      <w:r w:rsidRPr="00102E30">
        <w:rPr>
          <w:rFonts w:ascii="ITC Avant Garde" w:eastAsia="Times New Roman" w:hAnsi="ITC Avant Garde" w:cs="Arial"/>
          <w:color w:val="000000"/>
          <w:sz w:val="20"/>
          <w:szCs w:val="20"/>
          <w:lang w:eastAsia="es-MX"/>
        </w:rPr>
        <w:t xml:space="preserve"> Deliberación de los asunto</w:t>
      </w:r>
      <w:r w:rsidR="000F3C3B">
        <w:rPr>
          <w:rFonts w:ascii="ITC Avant Garde" w:eastAsia="Times New Roman" w:hAnsi="ITC Avant Garde" w:cs="Arial"/>
          <w:color w:val="000000"/>
          <w:sz w:val="20"/>
          <w:szCs w:val="20"/>
          <w:lang w:eastAsia="es-MX"/>
        </w:rPr>
        <w:t xml:space="preserve">s </w:t>
      </w:r>
    </w:p>
    <w:p w:rsidR="00102E30" w:rsidRPr="00102E30" w:rsidRDefault="00102E30" w:rsidP="00102E30">
      <w:pPr>
        <w:autoSpaceDE w:val="0"/>
        <w:autoSpaceDN w:val="0"/>
        <w:adjustRightInd w:val="0"/>
        <w:spacing w:after="240" w:line="240" w:lineRule="auto"/>
        <w:jc w:val="both"/>
        <w:rPr>
          <w:rFonts w:ascii="ITC Avant Garde" w:hAnsi="ITC Avant Garde" w:cs="Tahoma"/>
          <w:b/>
          <w:color w:val="000000"/>
          <w:sz w:val="20"/>
          <w:szCs w:val="20"/>
          <w:lang w:eastAsia="es-MX"/>
        </w:rPr>
      </w:pPr>
      <w:r w:rsidRPr="00102E30">
        <w:rPr>
          <w:rFonts w:ascii="ITC Avant Garde" w:hAnsi="ITC Avant Garde" w:cs="Tahoma"/>
          <w:b/>
          <w:color w:val="000000"/>
          <w:sz w:val="20"/>
          <w:szCs w:val="20"/>
          <w:lang w:eastAsia="es-MX"/>
        </w:rPr>
        <w:t xml:space="preserve">Características del documento y/o página donde se encuentran clasificadas: </w:t>
      </w:r>
    </w:p>
    <w:p w:rsidR="00102E30" w:rsidRPr="00102E30" w:rsidRDefault="00102E30" w:rsidP="00102E30">
      <w:pPr>
        <w:spacing w:before="120" w:beforeAutospacing="1" w:after="120" w:afterAutospacing="1" w:line="240" w:lineRule="auto"/>
        <w:ind w:left="709"/>
        <w:jc w:val="both"/>
        <w:rPr>
          <w:rFonts w:ascii="ITC Avant Garde" w:eastAsia="Times New Roman" w:hAnsi="ITC Avant Garde" w:cs="Arial"/>
          <w:color w:val="000000"/>
          <w:sz w:val="20"/>
          <w:szCs w:val="20"/>
          <w:lang w:eastAsia="es-MX"/>
        </w:rPr>
      </w:pPr>
      <w:r w:rsidRPr="00102E30">
        <w:rPr>
          <w:rFonts w:ascii="ITC Avant Garde" w:eastAsia="Times New Roman" w:hAnsi="ITC Avant Garde" w:cs="Arial"/>
          <w:b/>
          <w:color w:val="000000"/>
          <w:sz w:val="20"/>
          <w:szCs w:val="20"/>
          <w:lang w:eastAsia="es-MX"/>
        </w:rPr>
        <w:t>(I)</w:t>
      </w:r>
      <w:r w:rsidRPr="00102E30">
        <w:rPr>
          <w:rFonts w:ascii="ITC Avant Garde" w:eastAsia="Times New Roman" w:hAnsi="ITC Avant Garde" w:cs="Arial"/>
          <w:color w:val="000000"/>
          <w:sz w:val="20"/>
          <w:szCs w:val="20"/>
          <w:lang w:eastAsia="es-MX"/>
        </w:rPr>
        <w:t xml:space="preserve"> </w:t>
      </w:r>
      <w:r w:rsidR="000F3C3B" w:rsidRPr="004E74A5">
        <w:rPr>
          <w:rFonts w:ascii="ITC Avant Garde" w:eastAsia="Times New Roman" w:hAnsi="ITC Avant Garde" w:cs="Arial"/>
          <w:color w:val="000000"/>
          <w:sz w:val="20"/>
          <w:szCs w:val="20"/>
          <w:lang w:eastAsia="es-MX"/>
        </w:rPr>
        <w:t xml:space="preserve">Texto con la leyenda </w:t>
      </w:r>
      <w:r w:rsidR="000F3C3B" w:rsidRPr="004E74A5">
        <w:rPr>
          <w:rFonts w:ascii="ITC Avant Garde" w:eastAsia="Times New Roman" w:hAnsi="ITC Avant Garde" w:cs="Arial"/>
          <w:b/>
          <w:color w:val="0000CC"/>
          <w:sz w:val="20"/>
          <w:szCs w:val="20"/>
          <w:lang w:eastAsia="es-MX"/>
        </w:rPr>
        <w:t>“RESERVADO POR LEY”</w:t>
      </w:r>
      <w:r w:rsidR="00CA0872">
        <w:rPr>
          <w:rFonts w:ascii="ITC Avant Garde" w:eastAsia="Times New Roman" w:hAnsi="ITC Avant Garde" w:cs="Arial"/>
          <w:b/>
          <w:color w:val="0000CC"/>
          <w:sz w:val="20"/>
          <w:szCs w:val="20"/>
          <w:lang w:eastAsia="es-MX"/>
        </w:rPr>
        <w:t>.</w:t>
      </w:r>
    </w:p>
    <w:p w:rsidR="00102E30" w:rsidRPr="00102E30" w:rsidRDefault="00102E30" w:rsidP="00102E30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ITC Avant Garde" w:hAnsi="ITC Avant Garde" w:cs="Tahoma"/>
          <w:color w:val="000000"/>
          <w:sz w:val="20"/>
          <w:szCs w:val="20"/>
          <w:lang w:eastAsia="es-MX"/>
        </w:rPr>
      </w:pPr>
      <w:r w:rsidRPr="00102E30">
        <w:rPr>
          <w:rFonts w:ascii="ITC Avant Garde" w:eastAsia="Times New Roman" w:hAnsi="ITC Avant Garde" w:cs="Arial"/>
          <w:color w:val="000000"/>
          <w:sz w:val="20"/>
          <w:szCs w:val="20"/>
          <w:lang w:eastAsia="es-MX"/>
        </w:rPr>
        <w:t>Se eliminan del audio los minutos y/o segundos correspondientes a las partes testadas en la versión estenográfica.</w:t>
      </w:r>
    </w:p>
    <w:p w:rsidR="00102E30" w:rsidRPr="00102E30" w:rsidRDefault="00102E30" w:rsidP="00102E30">
      <w:pPr>
        <w:autoSpaceDE w:val="0"/>
        <w:autoSpaceDN w:val="0"/>
        <w:adjustRightInd w:val="0"/>
        <w:spacing w:after="240" w:line="240" w:lineRule="auto"/>
        <w:jc w:val="both"/>
        <w:rPr>
          <w:rFonts w:ascii="ITC Avant Garde" w:hAnsi="ITC Avant Garde" w:cs="Tahoma"/>
          <w:b/>
          <w:color w:val="000000"/>
          <w:sz w:val="20"/>
          <w:szCs w:val="20"/>
          <w:lang w:eastAsia="es-MX"/>
        </w:rPr>
      </w:pPr>
      <w:r w:rsidRPr="00102E30">
        <w:rPr>
          <w:rFonts w:ascii="ITC Avant Garde" w:hAnsi="ITC Avant Garde" w:cs="Tahoma"/>
          <w:b/>
          <w:color w:val="000000"/>
          <w:sz w:val="20"/>
          <w:szCs w:val="20"/>
          <w:lang w:eastAsia="es-MX"/>
        </w:rPr>
        <w:t>Fundamento de clasificación:</w:t>
      </w:r>
    </w:p>
    <w:p w:rsidR="00102E30" w:rsidRPr="00102E30" w:rsidRDefault="00102E30" w:rsidP="00102E30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ITC Avant Garde" w:eastAsia="Times New Roman" w:hAnsi="ITC Avant Garde" w:cs="Arial"/>
          <w:color w:val="000000"/>
          <w:sz w:val="20"/>
          <w:szCs w:val="20"/>
          <w:lang w:eastAsia="es-MX"/>
        </w:rPr>
      </w:pPr>
      <w:r w:rsidRPr="00102E30">
        <w:rPr>
          <w:rFonts w:ascii="ITC Avant Garde" w:eastAsia="Times New Roman" w:hAnsi="ITC Avant Garde" w:cs="Arial"/>
          <w:b/>
          <w:color w:val="000000"/>
          <w:sz w:val="20"/>
          <w:szCs w:val="20"/>
          <w:lang w:eastAsia="es-MX"/>
        </w:rPr>
        <w:t>(I)</w:t>
      </w:r>
      <w:r w:rsidRPr="00102E30">
        <w:rPr>
          <w:rFonts w:ascii="ITC Avant Garde" w:eastAsia="Times New Roman" w:hAnsi="ITC Avant Garde" w:cs="Arial"/>
          <w:color w:val="000000"/>
          <w:sz w:val="20"/>
          <w:szCs w:val="20"/>
          <w:lang w:eastAsia="es-MX"/>
        </w:rPr>
        <w:t xml:space="preserve"> Artículo 110, fracción VIII de la LFTAIP; artículo 113, fracción VIII de la LGTAIP; y Lineamiento Vigésimo Séptimo de los LGCDI.</w:t>
      </w:r>
    </w:p>
    <w:p w:rsidR="00102E30" w:rsidRPr="00102E30" w:rsidRDefault="00102E30" w:rsidP="00102E30">
      <w:pPr>
        <w:autoSpaceDE w:val="0"/>
        <w:autoSpaceDN w:val="0"/>
        <w:adjustRightInd w:val="0"/>
        <w:spacing w:after="240" w:line="240" w:lineRule="auto"/>
        <w:jc w:val="both"/>
        <w:rPr>
          <w:rFonts w:ascii="ITC Avant Garde" w:hAnsi="ITC Avant Garde" w:cs="Tahoma"/>
          <w:b/>
          <w:color w:val="000000"/>
          <w:sz w:val="20"/>
          <w:szCs w:val="20"/>
          <w:lang w:eastAsia="es-MX"/>
        </w:rPr>
      </w:pPr>
      <w:r w:rsidRPr="00102E30">
        <w:rPr>
          <w:rFonts w:ascii="ITC Avant Garde" w:hAnsi="ITC Avant Garde" w:cs="Tahoma"/>
          <w:b/>
          <w:color w:val="000000"/>
          <w:sz w:val="20"/>
          <w:szCs w:val="20"/>
          <w:lang w:eastAsia="es-MX"/>
        </w:rPr>
        <w:t>Motivación de la clasificación:</w:t>
      </w:r>
    </w:p>
    <w:p w:rsidR="00102E30" w:rsidRPr="00102E30" w:rsidRDefault="00102E30" w:rsidP="00102E30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ITC Avant Garde" w:eastAsia="Times New Roman" w:hAnsi="ITC Avant Garde" w:cs="Arial"/>
          <w:color w:val="000000"/>
          <w:sz w:val="20"/>
          <w:szCs w:val="20"/>
          <w:lang w:eastAsia="es-MX"/>
        </w:rPr>
      </w:pPr>
      <w:r w:rsidRPr="00102E30">
        <w:rPr>
          <w:rFonts w:ascii="ITC Avant Garde" w:eastAsia="Times New Roman" w:hAnsi="ITC Avant Garde" w:cs="Arial"/>
          <w:b/>
          <w:color w:val="000000"/>
          <w:sz w:val="20"/>
          <w:szCs w:val="20"/>
          <w:lang w:eastAsia="es-MX"/>
        </w:rPr>
        <w:t>(I)</w:t>
      </w:r>
      <w:r w:rsidRPr="00102E30">
        <w:rPr>
          <w:rFonts w:ascii="ITC Avant Garde" w:eastAsia="Times New Roman" w:hAnsi="ITC Avant Garde" w:cs="Arial"/>
          <w:color w:val="000000"/>
          <w:sz w:val="20"/>
          <w:szCs w:val="20"/>
          <w:lang w:eastAsia="es-MX"/>
        </w:rPr>
        <w:t xml:space="preserve"> La información que se testa, se considera Reservada, por formar parte de un proceso deliberativo, en el que no se ha adoptado una decisión definitiva.</w:t>
      </w:r>
    </w:p>
    <w:p w:rsidR="00102E30" w:rsidRPr="00102E30" w:rsidRDefault="00102E30" w:rsidP="00102E30">
      <w:pPr>
        <w:spacing w:before="240" w:after="240"/>
        <w:jc w:val="both"/>
      </w:pPr>
      <w:r w:rsidRPr="00102E30">
        <w:rPr>
          <w:rFonts w:ascii="ITC Avant Garde" w:eastAsia="Times New Roman" w:hAnsi="ITC Avant Garde"/>
          <w:b/>
          <w:bCs/>
          <w:sz w:val="20"/>
          <w:szCs w:val="20"/>
        </w:rPr>
        <w:t>Firma y Cargo del Servidor Público que clasifica:</w:t>
      </w:r>
      <w:r w:rsidRPr="00102E30">
        <w:rPr>
          <w:rFonts w:ascii="ITC Avant Garde" w:eastAsia="Times New Roman" w:hAnsi="ITC Avant Garde"/>
          <w:bCs/>
          <w:sz w:val="20"/>
          <w:szCs w:val="20"/>
        </w:rPr>
        <w:t xml:space="preserve"> Lic. </w:t>
      </w:r>
      <w:r w:rsidRPr="00102E30">
        <w:rPr>
          <w:rFonts w:ascii="ITC Avant Garde" w:hAnsi="ITC Avant Garde" w:cs="Tahoma"/>
          <w:color w:val="000000"/>
          <w:sz w:val="20"/>
          <w:szCs w:val="20"/>
          <w:lang w:eastAsia="es-MX"/>
        </w:rPr>
        <w:t>David Gorra Flota, Secretario Técnico del Pleno.</w:t>
      </w:r>
    </w:p>
    <w:p w:rsidR="008C56EB" w:rsidRDefault="00102E30" w:rsidP="008C56EB">
      <w:pPr>
        <w:autoSpaceDE w:val="0"/>
        <w:autoSpaceDN w:val="0"/>
        <w:adjustRightInd w:val="0"/>
        <w:spacing w:after="240" w:line="240" w:lineRule="auto"/>
        <w:ind w:right="-377"/>
        <w:rPr>
          <w:rFonts w:ascii="ITC Avant Garde" w:hAnsi="ITC Avant Garde" w:cs="Tahoma"/>
          <w:color w:val="000000"/>
          <w:sz w:val="20"/>
          <w:szCs w:val="20"/>
          <w:lang w:eastAsia="es-MX"/>
        </w:rPr>
        <w:sectPr w:rsidR="008C56EB" w:rsidSect="002D4C90">
          <w:headerReference w:type="even" r:id="rId7"/>
          <w:headerReference w:type="first" r:id="rId8"/>
          <w:pgSz w:w="12240" w:h="15840"/>
          <w:pgMar w:top="2268" w:right="1418" w:bottom="567" w:left="1418" w:header="709" w:footer="709" w:gutter="0"/>
          <w:cols w:space="708"/>
          <w:docGrid w:linePitch="360"/>
        </w:sectPr>
      </w:pPr>
      <w:r w:rsidRPr="008C56EB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Fin de la leyen</w:t>
      </w:r>
      <w:r w:rsidRPr="008C56EB">
        <w:rPr>
          <w:rFonts w:ascii="ITC Avant Garde" w:hAnsi="ITC Avant Garde" w:cs="Tahoma"/>
          <w:color w:val="000000"/>
          <w:sz w:val="20"/>
          <w:szCs w:val="20"/>
          <w:lang w:eastAsia="es-MX"/>
        </w:rPr>
        <w:t>da.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b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b/>
          <w:sz w:val="23"/>
          <w:szCs w:val="23"/>
        </w:rPr>
        <w:lastRenderedPageBreak/>
        <w:t>Ciudad de México, a 5 de octubre del 2018.</w:t>
      </w:r>
    </w:p>
    <w:p w:rsidR="00B3507A" w:rsidRPr="00541C1F" w:rsidRDefault="00804D5B" w:rsidP="00541C1F">
      <w:pPr>
        <w:pStyle w:val="Ttulo1"/>
        <w:jc w:val="both"/>
        <w:rPr>
          <w:rFonts w:ascii="ITC Avant Garde" w:eastAsiaTheme="minorHAnsi" w:hAnsi="ITC Avant Garde"/>
          <w:b/>
          <w:color w:val="auto"/>
          <w:sz w:val="23"/>
          <w:szCs w:val="23"/>
        </w:rPr>
      </w:pPr>
      <w:r w:rsidRPr="00541C1F">
        <w:rPr>
          <w:rFonts w:ascii="ITC Avant Garde" w:eastAsiaTheme="minorHAnsi" w:hAnsi="ITC Avant Garde"/>
          <w:b/>
          <w:color w:val="auto"/>
          <w:sz w:val="23"/>
          <w:szCs w:val="23"/>
        </w:rPr>
        <w:t xml:space="preserve">Versión estenográfica de la Cuarta Sesión Extraordinaria del Pleno del Instituto Federal de Telecomunicaciones, realizada en </w:t>
      </w:r>
      <w:r w:rsidR="00B3507A" w:rsidRPr="00541C1F">
        <w:rPr>
          <w:rFonts w:ascii="ITC Avant Garde" w:eastAsiaTheme="minorHAnsi" w:hAnsi="ITC Avant Garde"/>
          <w:b/>
          <w:color w:val="auto"/>
          <w:sz w:val="23"/>
          <w:szCs w:val="23"/>
        </w:rPr>
        <w:t>la Sala del Pleno del Instituto.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b/>
          <w:sz w:val="23"/>
          <w:szCs w:val="23"/>
        </w:rPr>
        <w:t>Comisionado Presidente Gabriel Oswaldo Contreras Saldívar: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Buenas tardes, bienvenidos a la Cuarta Sesión Extraordinaria del Pleno del Instituto.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>Solicito a la Secretaría que verifique el quórum para sesionar.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b/>
          <w:sz w:val="23"/>
          <w:szCs w:val="23"/>
        </w:rPr>
        <w:t>Lic. David Gorra Flota: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Presidente, con la presencia en la sala de los siete comisionados contamos con quórum para llevar a cabo la sesión.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b/>
          <w:sz w:val="23"/>
          <w:szCs w:val="23"/>
        </w:rPr>
        <w:t>Comisionado Presidente Gabriel Oswaldo Contreras Saldívar: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Muchas gracias.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>Solicito a los presentes aprobar el Orden del Día, quienes estén a favor sírvanse en manifestarlo.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b/>
          <w:sz w:val="23"/>
          <w:szCs w:val="23"/>
        </w:rPr>
        <w:t>Lic. David Gorra Flota: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Se aprueba por unanimidad.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b/>
          <w:sz w:val="23"/>
          <w:szCs w:val="23"/>
        </w:rPr>
        <w:t>Comisionado Presidente Gabriel Oswaldo Contreras Saldívar: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Muchas gracias.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>Le pido entonces a la Unidad de Política Regulatoria que dé cuenta de los asuntos listados bajo los numerales III.1 y III.2.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>Es</w:t>
      </w:r>
      <w:r w:rsidR="00B3507A">
        <w:rPr>
          <w:rFonts w:ascii="ITC Avant Garde" w:eastAsiaTheme="minorHAnsi" w:hAnsi="ITC Avant Garde" w:cstheme="minorBidi"/>
          <w:sz w:val="23"/>
          <w:szCs w:val="23"/>
        </w:rPr>
        <w:t xml:space="preserve"> el A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>cuerdo mediante el cual el Pleno del Instituto modifica al Agente Económico Preponderante lo</w:t>
      </w:r>
      <w:r w:rsidR="00B3507A">
        <w:rPr>
          <w:rFonts w:ascii="ITC Avant Garde" w:eastAsiaTheme="minorHAnsi" w:hAnsi="ITC Avant Garde" w:cstheme="minorBidi"/>
          <w:sz w:val="23"/>
          <w:szCs w:val="23"/>
        </w:rPr>
        <w:t>s términos y condiciones de la Oferta de R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eferencia para el acceso y uso compartido de infraestructura pasiva, presentada por Operadora de </w:t>
      </w:r>
      <w:proofErr w:type="spellStart"/>
      <w:r w:rsidRPr="00B3507A">
        <w:rPr>
          <w:rFonts w:ascii="ITC Avant Garde" w:eastAsiaTheme="minorHAnsi" w:hAnsi="ITC Avant Garde" w:cstheme="minorBidi"/>
          <w:sz w:val="23"/>
          <w:szCs w:val="23"/>
        </w:rPr>
        <w:t>Sites</w:t>
      </w:r>
      <w:proofErr w:type="spellEnd"/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Mexicanos S.A. de C.V., aplicables del 1º de enero del 2019 al 31 de diciembre de 2019.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Bajo el numeral </w:t>
      </w:r>
      <w:r w:rsidR="00B3507A">
        <w:rPr>
          <w:rFonts w:ascii="ITC Avant Garde" w:eastAsiaTheme="minorHAnsi" w:hAnsi="ITC Avant Garde" w:cstheme="minorBidi"/>
          <w:sz w:val="23"/>
          <w:szCs w:val="23"/>
        </w:rPr>
        <w:t>III.2, es el A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>cuerdo mediante el cual se modifica al Agente Económico Preponderante lo</w:t>
      </w:r>
      <w:r w:rsidR="00B3507A">
        <w:rPr>
          <w:rFonts w:ascii="ITC Avant Garde" w:eastAsiaTheme="minorHAnsi" w:hAnsi="ITC Avant Garde" w:cstheme="minorBidi"/>
          <w:sz w:val="23"/>
          <w:szCs w:val="23"/>
        </w:rPr>
        <w:t>s términos y condiciones de la Oferta de R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>eferencia para el acceso y uso compartido de infraestructu</w:t>
      </w:r>
      <w:r w:rsidR="00B3507A">
        <w:rPr>
          <w:rFonts w:ascii="ITC Avant Garde" w:eastAsiaTheme="minorHAnsi" w:hAnsi="ITC Avant Garde" w:cstheme="minorBidi"/>
          <w:sz w:val="23"/>
          <w:szCs w:val="23"/>
        </w:rPr>
        <w:t xml:space="preserve">ra pasiva, presentada por </w:t>
      </w:r>
      <w:proofErr w:type="spellStart"/>
      <w:r w:rsidR="00B3507A">
        <w:rPr>
          <w:rFonts w:ascii="ITC Avant Garde" w:eastAsiaTheme="minorHAnsi" w:hAnsi="ITC Avant Garde" w:cstheme="minorBidi"/>
          <w:sz w:val="23"/>
          <w:szCs w:val="23"/>
        </w:rPr>
        <w:t>Radiom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>óvil</w:t>
      </w:r>
      <w:proofErr w:type="spellEnd"/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</w:t>
      </w:r>
      <w:proofErr w:type="spellStart"/>
      <w:r w:rsidRPr="00B3507A">
        <w:rPr>
          <w:rFonts w:ascii="ITC Avant Garde" w:eastAsiaTheme="minorHAnsi" w:hAnsi="ITC Avant Garde" w:cstheme="minorBidi"/>
          <w:sz w:val="23"/>
          <w:szCs w:val="23"/>
        </w:rPr>
        <w:t>Dipsa</w:t>
      </w:r>
      <w:proofErr w:type="spellEnd"/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S.A. de C.V., aplicables también del 1º de enero del 2019 al 31 de diciembre del 2019.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>Tiene la palabra el licenciado Luis Rey para presentar ambos asuntos.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b/>
          <w:sz w:val="23"/>
          <w:szCs w:val="23"/>
        </w:rPr>
        <w:t>Lic. Luis Raúl Rey Jiménez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>: Gracias, Presidente.</w:t>
      </w:r>
    </w:p>
    <w:p w:rsidR="00F72C21" w:rsidRDefault="008C56E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  <w:sectPr w:rsidR="00F72C21" w:rsidSect="008C56EB">
          <w:footerReference w:type="default" r:id="rId9"/>
          <w:pgSz w:w="12240" w:h="15840"/>
          <w:pgMar w:top="2268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="ITC Avant Garde" w:eastAsiaTheme="minorHAnsi" w:hAnsi="ITC Avant Garde" w:cstheme="minorBidi"/>
          <w:sz w:val="23"/>
          <w:szCs w:val="23"/>
        </w:rPr>
        <w:t>Buenas tardes, comisionados</w:t>
      </w:r>
      <w:r w:rsidR="00F72C21">
        <w:rPr>
          <w:rFonts w:ascii="ITC Avant Garde" w:eastAsiaTheme="minorHAnsi" w:hAnsi="ITC Avant Garde" w:cstheme="minorBidi"/>
          <w:sz w:val="23"/>
          <w:szCs w:val="23"/>
        </w:rPr>
        <w:t>.</w:t>
      </w:r>
    </w:p>
    <w:p w:rsidR="008C56EB" w:rsidRDefault="008C56E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lastRenderedPageBreak/>
        <w:t>En esta ocasión se somete a su consideración el anteproyecto de acuerdo, bueno, los anteproyectos de acuerdos mediante los cuales se modifican los términos y condiciones de las propuesta</w:t>
      </w:r>
      <w:r>
        <w:rPr>
          <w:rFonts w:ascii="ITC Avant Garde" w:eastAsiaTheme="minorHAnsi" w:hAnsi="ITC Avant Garde" w:cstheme="minorBidi"/>
          <w:sz w:val="23"/>
          <w:szCs w:val="23"/>
        </w:rPr>
        <w:t>s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de oferta de referencia para el acceso y uso compartido de infraestructura pasiva, presentados tant</w:t>
      </w:r>
      <w:r>
        <w:rPr>
          <w:rFonts w:ascii="ITC Avant Garde" w:eastAsiaTheme="minorHAnsi" w:hAnsi="ITC Avant Garde" w:cstheme="minorBidi"/>
          <w:sz w:val="23"/>
          <w:szCs w:val="23"/>
        </w:rPr>
        <w:t xml:space="preserve">o por </w:t>
      </w:r>
      <w:proofErr w:type="spellStart"/>
      <w:r>
        <w:rPr>
          <w:rFonts w:ascii="ITC Avant Garde" w:eastAsiaTheme="minorHAnsi" w:hAnsi="ITC Avant Garde" w:cstheme="minorBidi"/>
          <w:sz w:val="23"/>
          <w:szCs w:val="23"/>
        </w:rPr>
        <w:t>Telesites</w:t>
      </w:r>
      <w:proofErr w:type="spellEnd"/>
      <w:r>
        <w:rPr>
          <w:rFonts w:ascii="ITC Avant Garde" w:eastAsiaTheme="minorHAnsi" w:hAnsi="ITC Avant Garde" w:cstheme="minorBidi"/>
          <w:sz w:val="23"/>
          <w:szCs w:val="23"/>
        </w:rPr>
        <w:t xml:space="preserve"> como por Telcel.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Si bien Telcel ha manifestado… que digo, es una precisión que quisiera aclarar, Telcel ha manifestado que a partir de la escisión de sus torres a favor de </w:t>
      </w:r>
      <w:proofErr w:type="spellStart"/>
      <w:r w:rsidRPr="00B3507A">
        <w:rPr>
          <w:rFonts w:ascii="ITC Avant Garde" w:eastAsiaTheme="minorHAnsi" w:hAnsi="ITC Avant Garde" w:cstheme="minorBidi"/>
          <w:sz w:val="23"/>
          <w:szCs w:val="23"/>
        </w:rPr>
        <w:t>Telesites</w:t>
      </w:r>
      <w:proofErr w:type="spellEnd"/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no cuenta con infraestructura pasiva susceptible de co</w:t>
      </w:r>
      <w:r w:rsidR="00541C1F">
        <w:rPr>
          <w:rFonts w:ascii="ITC Avant Garde" w:eastAsiaTheme="minorHAnsi" w:hAnsi="ITC Avant Garde" w:cstheme="minorBidi"/>
          <w:sz w:val="23"/>
          <w:szCs w:val="23"/>
        </w:rPr>
        <w:t>mpartición como integrante del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Agente Económico Preponderante, presentó su propuesta de oferta en los mismos términos que la oferta vigente.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Es por ello que una vez realizada la valoración de la propuesta de oferta presentada por </w:t>
      </w:r>
      <w:proofErr w:type="spellStart"/>
      <w:r w:rsidRPr="00B3507A">
        <w:rPr>
          <w:rFonts w:ascii="ITC Avant Garde" w:eastAsiaTheme="minorHAnsi" w:hAnsi="ITC Avant Garde" w:cstheme="minorBidi"/>
          <w:sz w:val="23"/>
          <w:szCs w:val="23"/>
        </w:rPr>
        <w:t>Telesites</w:t>
      </w:r>
      <w:proofErr w:type="spellEnd"/>
      <w:r w:rsidRPr="00B3507A">
        <w:rPr>
          <w:rFonts w:ascii="ITC Avant Garde" w:eastAsiaTheme="minorHAnsi" w:hAnsi="ITC Avant Garde" w:cstheme="minorBidi"/>
          <w:sz w:val="23"/>
          <w:szCs w:val="23"/>
        </w:rPr>
        <w:t>, se propone notificar a Telcel los mismos términos y condiciones de la oferta modificada a este operador.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Al respecto cabe recordar </w:t>
      </w:r>
      <w:proofErr w:type="gramStart"/>
      <w:r w:rsidRPr="00B3507A">
        <w:rPr>
          <w:rFonts w:ascii="ITC Avant Garde" w:eastAsiaTheme="minorHAnsi" w:hAnsi="ITC Avant Garde" w:cstheme="minorBidi"/>
          <w:sz w:val="23"/>
          <w:szCs w:val="23"/>
        </w:rPr>
        <w:t>que</w:t>
      </w:r>
      <w:proofErr w:type="gramEnd"/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de conformidad con lo establecido en las medidas móviles, con fecha 30 y 31 de julio pasado </w:t>
      </w:r>
      <w:proofErr w:type="spellStart"/>
      <w:r w:rsidRPr="00B3507A">
        <w:rPr>
          <w:rFonts w:ascii="ITC Avant Garde" w:eastAsiaTheme="minorHAnsi" w:hAnsi="ITC Avant Garde" w:cstheme="minorBidi"/>
          <w:sz w:val="23"/>
          <w:szCs w:val="23"/>
        </w:rPr>
        <w:t>Telesites</w:t>
      </w:r>
      <w:proofErr w:type="spellEnd"/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y Telcel respectivamente presentaron sus respectivas propuestas de oferta que fueron sometidas a consulta pública del 14 de agosto al 12 de septiembre, y que una vez terminada la consulta el Instituto contará con 30 días naturales para aprobar o modificar la oferta.</w:t>
      </w:r>
    </w:p>
    <w:p w:rsidR="00CA0872" w:rsidRDefault="00804D5B" w:rsidP="00CA0872">
      <w:pPr>
        <w:spacing w:before="240"/>
        <w:jc w:val="both"/>
        <w:rPr>
          <w:rFonts w:ascii="ITC Avant Garde" w:eastAsia="Times New Roman" w:hAnsi="ITC Avant Garde" w:cs="Arial"/>
          <w:b/>
          <w:color w:val="0000CC"/>
          <w:sz w:val="20"/>
          <w:szCs w:val="20"/>
          <w:lang w:eastAsia="es-MX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Es por ello que se realizó una valoración de la propuesta de oferta de </w:t>
      </w:r>
      <w:proofErr w:type="spellStart"/>
      <w:r w:rsidRPr="00B3507A">
        <w:rPr>
          <w:rFonts w:ascii="ITC Avant Garde" w:eastAsiaTheme="minorHAnsi" w:hAnsi="ITC Avant Garde" w:cstheme="minorBidi"/>
          <w:sz w:val="23"/>
          <w:szCs w:val="23"/>
        </w:rPr>
        <w:t>Telesites</w:t>
      </w:r>
      <w:proofErr w:type="spellEnd"/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, la cual presenta los siguientes cambios respecto a la oferta vigente: </w:t>
      </w:r>
      <w:r w:rsidR="00CA0872" w:rsidRPr="004E74A5">
        <w:rPr>
          <w:rFonts w:ascii="ITC Avant Garde" w:eastAsia="Times New Roman" w:hAnsi="ITC Avant Garde" w:cs="Arial"/>
          <w:b/>
          <w:color w:val="0000CC"/>
          <w:sz w:val="20"/>
          <w:szCs w:val="20"/>
          <w:lang w:eastAsia="es-MX"/>
        </w:rPr>
        <w:t>“RESERVADO POR LEY”</w:t>
      </w:r>
      <w:r w:rsidR="00CA0872">
        <w:rPr>
          <w:rFonts w:ascii="ITC Avant Garde" w:eastAsia="Times New Roman" w:hAnsi="ITC Avant Garde" w:cs="Arial"/>
          <w:b/>
          <w:color w:val="0000CC"/>
          <w:sz w:val="20"/>
          <w:szCs w:val="20"/>
          <w:lang w:eastAsia="es-MX"/>
        </w:rPr>
        <w:t>.</w:t>
      </w:r>
    </w:p>
    <w:p w:rsidR="00B3507A" w:rsidRPr="00B3507A" w:rsidRDefault="00804D5B" w:rsidP="00CA0872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>Respecto a este proyecto que se les presenta no se recibieron comentarios adicionales a los recibidos antes del miércoles pasado.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>Es cuanto, comisionados.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b/>
          <w:sz w:val="23"/>
          <w:szCs w:val="23"/>
        </w:rPr>
        <w:t>Comisionado Presidente Gabriel Oswaldo Contreras Saldívar: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Muchas gracias, Luis.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>A su consideración ambos proyectos, comisionados.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>Comisionado Sóstenes Díaz.</w:t>
      </w:r>
    </w:p>
    <w:p w:rsidR="008C56EB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  <w:sectPr w:rsidR="008C56EB" w:rsidSect="002D4C90">
          <w:headerReference w:type="default" r:id="rId10"/>
          <w:pgSz w:w="12240" w:h="15840"/>
          <w:pgMar w:top="2268" w:right="1418" w:bottom="567" w:left="1418" w:header="709" w:footer="709" w:gutter="0"/>
          <w:cols w:space="708"/>
          <w:docGrid w:linePitch="360"/>
        </w:sectPr>
      </w:pPr>
      <w:r w:rsidRPr="00B3507A">
        <w:rPr>
          <w:rFonts w:ascii="ITC Avant Garde" w:eastAsiaTheme="minorHAnsi" w:hAnsi="ITC Avant Garde" w:cstheme="minorBidi"/>
          <w:b/>
          <w:sz w:val="23"/>
          <w:szCs w:val="23"/>
        </w:rPr>
        <w:t>Comisionado Sóstenes Díaz González: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Nada más para fijar postura y acompañar con mi voto a favor el proyecto de resolución, en tanto que derivado del análisis de la propuesta presentada por el Agente Económico Preponderante se realizaron los cambios necesarios para que esta y el modelo de convenio cumplan con lo 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lastRenderedPageBreak/>
        <w:t>establecido por el Instituto en las medidas móviles, en cuanto a los términos, condiciones, normas técnicas, especificaciones y niveles de calidad adecuados.</w:t>
      </w:r>
    </w:p>
    <w:p w:rsidR="008C56EB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>Con ello se da cumplimiento al procedimiento establecido en el Artículo 268 de la ley, a efecto de que el AEP manifieste lo que a su derecho convenga respecto de los cambios solicitados.</w:t>
      </w:r>
    </w:p>
    <w:p w:rsidR="00B3507A" w:rsidRPr="00B3507A" w:rsidRDefault="00F72C21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>
        <w:rPr>
          <w:rFonts w:ascii="ITC Avant Garde" w:eastAsiaTheme="minorHAnsi" w:hAnsi="ITC Avant Garde" w:cstheme="minorBidi"/>
          <w:sz w:val="23"/>
          <w:szCs w:val="23"/>
        </w:rPr>
        <w:t>Gracias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b/>
          <w:sz w:val="23"/>
          <w:szCs w:val="23"/>
        </w:rPr>
        <w:t>Comisionado Presidente Gabriel Oswaldo Contreras Saldívar: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Muchas gracias.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>Si no hay más intervenciones someteré a aprobación los asuntos listados bajo los numerales III.1 y III.2.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>Quienes estén a favor de aprobarlo sírvanse en manifestarlo.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541C1F">
        <w:rPr>
          <w:rFonts w:ascii="ITC Avant Garde" w:eastAsiaTheme="minorHAnsi" w:hAnsi="ITC Avant Garde" w:cstheme="minorBidi"/>
          <w:b/>
          <w:sz w:val="23"/>
          <w:szCs w:val="23"/>
        </w:rPr>
        <w:t>Lic. David Gorra Flota: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Se aprueban ambos por unanimidad.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541C1F">
        <w:rPr>
          <w:rFonts w:ascii="ITC Avant Garde" w:eastAsiaTheme="minorHAnsi" w:hAnsi="ITC Avant Garde" w:cstheme="minorBidi"/>
          <w:b/>
          <w:sz w:val="23"/>
          <w:szCs w:val="23"/>
        </w:rPr>
        <w:t>Comisionado Presidente Gabriel Oswaldo Contreras Saldívar:</w:t>
      </w:r>
      <w:r w:rsidRPr="00B3507A">
        <w:rPr>
          <w:rFonts w:ascii="ITC Avant Garde" w:eastAsiaTheme="minorHAnsi" w:hAnsi="ITC Avant Garde" w:cstheme="minorBidi"/>
          <w:sz w:val="23"/>
          <w:szCs w:val="23"/>
        </w:rPr>
        <w:t xml:space="preserve"> Muchas gracias.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>No habiendo más asuntos que tratarse, concluye esta Sesión Extraordinaria.</w:t>
      </w:r>
    </w:p>
    <w:p w:rsidR="00B3507A" w:rsidRPr="00B3507A" w:rsidRDefault="00804D5B" w:rsidP="00B3507A">
      <w:pPr>
        <w:spacing w:before="240"/>
        <w:jc w:val="both"/>
        <w:rPr>
          <w:rFonts w:ascii="ITC Avant Garde" w:eastAsiaTheme="minorHAnsi" w:hAnsi="ITC Avant Garde" w:cstheme="minorBidi"/>
          <w:sz w:val="23"/>
          <w:szCs w:val="23"/>
        </w:rPr>
      </w:pPr>
      <w:r w:rsidRPr="00B3507A">
        <w:rPr>
          <w:rFonts w:ascii="ITC Avant Garde" w:eastAsiaTheme="minorHAnsi" w:hAnsi="ITC Avant Garde" w:cstheme="minorBidi"/>
          <w:sz w:val="23"/>
          <w:szCs w:val="23"/>
        </w:rPr>
        <w:t>Gracias.</w:t>
      </w:r>
    </w:p>
    <w:p w:rsidR="00736CD2" w:rsidRPr="008C56EB" w:rsidRDefault="00EF0F88" w:rsidP="008C56EB">
      <w:pPr>
        <w:spacing w:before="240"/>
        <w:jc w:val="center"/>
        <w:rPr>
          <w:rFonts w:ascii="ITC Avant Garde" w:eastAsiaTheme="minorHAnsi" w:hAnsi="ITC Avant Garde" w:cstheme="minorBidi"/>
          <w:b/>
          <w:sz w:val="23"/>
          <w:szCs w:val="23"/>
        </w:rPr>
      </w:pPr>
      <w:r>
        <w:rPr>
          <w:rFonts w:ascii="ITC Avant Garde" w:eastAsiaTheme="minorHAnsi" w:hAnsi="ITC Avant Garde" w:cstheme="minorBidi"/>
          <w:b/>
          <w:sz w:val="23"/>
          <w:szCs w:val="23"/>
        </w:rPr>
        <w:t xml:space="preserve">Fin </w:t>
      </w:r>
      <w:r w:rsidR="00CA0872" w:rsidRPr="00CA0872">
        <w:rPr>
          <w:rFonts w:ascii="ITC Avant Garde" w:eastAsiaTheme="minorHAnsi" w:hAnsi="ITC Avant Garde" w:cstheme="minorBidi"/>
          <w:b/>
          <w:sz w:val="23"/>
          <w:szCs w:val="23"/>
        </w:rPr>
        <w:t>de la Versión Estenográfica</w:t>
      </w:r>
      <w:r w:rsidR="00CA0872">
        <w:rPr>
          <w:rFonts w:ascii="ITC Avant Garde" w:eastAsiaTheme="minorHAnsi" w:hAnsi="ITC Avant Garde" w:cstheme="minorBidi"/>
          <w:b/>
          <w:sz w:val="23"/>
          <w:szCs w:val="23"/>
        </w:rPr>
        <w:t>.</w:t>
      </w:r>
    </w:p>
    <w:sectPr w:rsidR="00736CD2" w:rsidRPr="008C56EB" w:rsidSect="002D4C90">
      <w:headerReference w:type="default" r:id="rId11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69" w:rsidRDefault="00681769">
      <w:pPr>
        <w:spacing w:after="0" w:line="240" w:lineRule="auto"/>
      </w:pPr>
      <w:r>
        <w:separator/>
      </w:r>
    </w:p>
  </w:endnote>
  <w:endnote w:type="continuationSeparator" w:id="0">
    <w:p w:rsidR="00681769" w:rsidRDefault="0068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EB" w:rsidRPr="000D3CB1" w:rsidRDefault="008C56EB" w:rsidP="000D3CB1">
    <w:pPr>
      <w:tabs>
        <w:tab w:val="center" w:pos="4419"/>
        <w:tab w:val="right" w:pos="8838"/>
      </w:tabs>
      <w:spacing w:after="0" w:line="240" w:lineRule="auto"/>
      <w:rPr>
        <w:rFonts w:ascii="ITC Avant Garde" w:hAnsi="ITC Avant Garde"/>
        <w:i/>
        <w:sz w:val="18"/>
        <w:szCs w:val="18"/>
      </w:rPr>
    </w:pPr>
    <w:r>
      <w:rPr>
        <w:rFonts w:ascii="ITC Avant Garde" w:hAnsi="ITC Avant Garde"/>
        <w:i/>
        <w:sz w:val="18"/>
        <w:szCs w:val="18"/>
      </w:rPr>
      <w:t>05-10-18</w:t>
    </w:r>
    <w:r>
      <w:rPr>
        <w:rFonts w:ascii="ITC Avant Garde" w:hAnsi="ITC Avant Garde"/>
        <w:i/>
        <w:sz w:val="18"/>
        <w:szCs w:val="18"/>
      </w:rPr>
      <w:tab/>
    </w:r>
    <w:r>
      <w:rPr>
        <w:rFonts w:ascii="ITC Avant Garde" w:hAnsi="ITC Avant Garde"/>
        <w:i/>
        <w:sz w:val="18"/>
        <w:szCs w:val="18"/>
      </w:rPr>
      <w:tab/>
    </w:r>
    <w:r>
      <w:rPr>
        <w:rFonts w:ascii="ITC Avant Garde" w:hAnsi="ITC Avant Garde"/>
        <w:i/>
        <w:sz w:val="18"/>
        <w:szCs w:val="18"/>
      </w:rPr>
      <w:tab/>
    </w:r>
    <w:sdt>
      <w:sdtPr>
        <w:rPr>
          <w:rFonts w:ascii="ITC Avant Garde" w:hAnsi="ITC Avant Garde"/>
          <w:i/>
          <w:sz w:val="18"/>
          <w:szCs w:val="18"/>
        </w:rPr>
        <w:id w:val="600535722"/>
        <w:docPartObj>
          <w:docPartGallery w:val="Page Numbers (Bottom of Page)"/>
          <w:docPartUnique/>
        </w:docPartObj>
      </w:sdtPr>
      <w:sdtEndPr/>
      <w:sdtContent>
        <w:r w:rsidRPr="00454C34">
          <w:rPr>
            <w:rFonts w:ascii="ITC Avant Garde" w:hAnsi="ITC Avant Garde"/>
            <w:i/>
            <w:sz w:val="18"/>
            <w:szCs w:val="18"/>
          </w:rPr>
          <w:fldChar w:fldCharType="begin"/>
        </w:r>
        <w:r w:rsidRPr="00454C34">
          <w:rPr>
            <w:rFonts w:ascii="ITC Avant Garde" w:hAnsi="ITC Avant Garde"/>
            <w:i/>
            <w:sz w:val="18"/>
            <w:szCs w:val="18"/>
          </w:rPr>
          <w:instrText>PAGE   \* MERGEFORMAT</w:instrText>
        </w:r>
        <w:r w:rsidRPr="00454C34">
          <w:rPr>
            <w:rFonts w:ascii="ITC Avant Garde" w:hAnsi="ITC Avant Garde"/>
            <w:i/>
            <w:sz w:val="18"/>
            <w:szCs w:val="18"/>
          </w:rPr>
          <w:fldChar w:fldCharType="separate"/>
        </w:r>
        <w:r w:rsidR="00E74E41" w:rsidRPr="00E74E41">
          <w:rPr>
            <w:rFonts w:ascii="ITC Avant Garde" w:hAnsi="ITC Avant Garde"/>
            <w:i/>
            <w:noProof/>
            <w:sz w:val="18"/>
            <w:szCs w:val="18"/>
            <w:lang w:val="es-ES"/>
          </w:rPr>
          <w:t>3</w:t>
        </w:r>
        <w:r w:rsidRPr="00454C34">
          <w:rPr>
            <w:rFonts w:ascii="ITC Avant Garde" w:hAnsi="ITC Avant Garde"/>
            <w:i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69" w:rsidRDefault="00681769">
      <w:pPr>
        <w:spacing w:after="0" w:line="240" w:lineRule="auto"/>
      </w:pPr>
      <w:r>
        <w:separator/>
      </w:r>
    </w:p>
  </w:footnote>
  <w:footnote w:type="continuationSeparator" w:id="0">
    <w:p w:rsidR="00681769" w:rsidRDefault="0068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08" w:rsidRDefault="00E74E4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49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08" w:rsidRDefault="00E74E4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51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EB" w:rsidRPr="008C56EB" w:rsidRDefault="008F5FDB" w:rsidP="008C56EB">
    <w:pPr>
      <w:autoSpaceDE w:val="0"/>
      <w:autoSpaceDN w:val="0"/>
      <w:adjustRightInd w:val="0"/>
      <w:spacing w:after="0" w:line="240" w:lineRule="auto"/>
      <w:jc w:val="both"/>
      <w:rPr>
        <w:rFonts w:ascii="ITC Avant Garde" w:eastAsiaTheme="minorHAnsi" w:hAnsi="ITC Avant Garde" w:cs="AvantGarde-Book"/>
        <w:b/>
        <w:color w:val="0000FF"/>
        <w:sz w:val="18"/>
        <w:szCs w:val="16"/>
      </w:rPr>
    </w:pPr>
    <w:r w:rsidRPr="008C56EB">
      <w:rPr>
        <w:rFonts w:ascii="ITC Avant Garde" w:eastAsiaTheme="minorHAnsi" w:hAnsi="ITC Avant Garde" w:cs="AvantGarde-Book"/>
        <w:b/>
        <w:color w:val="0000FF"/>
        <w:sz w:val="18"/>
        <w:szCs w:val="16"/>
      </w:rPr>
      <w:t>Eliminado: Texto con leyenda “RESERVADO POR LEY”. Fundamento Legal: Artículo 110, fracción VIII de la “LFTAIP”, publicada en el DOF el 9 de mayo de 2016; el artículo 113, fracción VIII de la "LGTAIP”, publicada en el DOF el 4 de mayo de 2015; así como el Lineamiento Vigésimo Séptimo de los “LGCDI”, publicados en el DOF el 15 de abril de 2016; por formar parte de un proceso deliberativo, en el que no se ha adoptado una decisión definitiva.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21" w:rsidRDefault="00F72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2A9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AE5B23"/>
    <w:multiLevelType w:val="hybridMultilevel"/>
    <w:tmpl w:val="15584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E66E1"/>
    <w:multiLevelType w:val="hybridMultilevel"/>
    <w:tmpl w:val="1904F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F3"/>
    <w:rsid w:val="00017987"/>
    <w:rsid w:val="000203E2"/>
    <w:rsid w:val="0003520D"/>
    <w:rsid w:val="000420CC"/>
    <w:rsid w:val="00044882"/>
    <w:rsid w:val="0007768F"/>
    <w:rsid w:val="00081BC3"/>
    <w:rsid w:val="00091235"/>
    <w:rsid w:val="00091FD3"/>
    <w:rsid w:val="000A3416"/>
    <w:rsid w:val="000A73C7"/>
    <w:rsid w:val="000B52CE"/>
    <w:rsid w:val="000B5BCD"/>
    <w:rsid w:val="000C7B11"/>
    <w:rsid w:val="000D3CB1"/>
    <w:rsid w:val="000E3AB8"/>
    <w:rsid w:val="000F3C3B"/>
    <w:rsid w:val="000F75CB"/>
    <w:rsid w:val="00102E30"/>
    <w:rsid w:val="00122B80"/>
    <w:rsid w:val="00124CD6"/>
    <w:rsid w:val="00126B7A"/>
    <w:rsid w:val="001416FD"/>
    <w:rsid w:val="00164D95"/>
    <w:rsid w:val="00177EB3"/>
    <w:rsid w:val="001930FC"/>
    <w:rsid w:val="001971B2"/>
    <w:rsid w:val="001B203A"/>
    <w:rsid w:val="001D2CCF"/>
    <w:rsid w:val="001E0A47"/>
    <w:rsid w:val="001F6127"/>
    <w:rsid w:val="001F712A"/>
    <w:rsid w:val="00211FD8"/>
    <w:rsid w:val="0021300D"/>
    <w:rsid w:val="00215A42"/>
    <w:rsid w:val="002248B3"/>
    <w:rsid w:val="00225301"/>
    <w:rsid w:val="00254D12"/>
    <w:rsid w:val="002651D9"/>
    <w:rsid w:val="00274489"/>
    <w:rsid w:val="00297ABC"/>
    <w:rsid w:val="002A595F"/>
    <w:rsid w:val="002A62BB"/>
    <w:rsid w:val="002B1EC4"/>
    <w:rsid w:val="002B2437"/>
    <w:rsid w:val="002B56AB"/>
    <w:rsid w:val="002D4C90"/>
    <w:rsid w:val="00327E67"/>
    <w:rsid w:val="003303C0"/>
    <w:rsid w:val="003317BB"/>
    <w:rsid w:val="00335C4E"/>
    <w:rsid w:val="00337E8E"/>
    <w:rsid w:val="00352ED8"/>
    <w:rsid w:val="003607FD"/>
    <w:rsid w:val="00367ADE"/>
    <w:rsid w:val="003B5DC9"/>
    <w:rsid w:val="003C2D1A"/>
    <w:rsid w:val="003C4973"/>
    <w:rsid w:val="003C4ED4"/>
    <w:rsid w:val="003C7770"/>
    <w:rsid w:val="003D133D"/>
    <w:rsid w:val="003D6BF4"/>
    <w:rsid w:val="003E6A4F"/>
    <w:rsid w:val="003F24BC"/>
    <w:rsid w:val="004012CF"/>
    <w:rsid w:val="00406F2E"/>
    <w:rsid w:val="00410139"/>
    <w:rsid w:val="0041361C"/>
    <w:rsid w:val="00426B32"/>
    <w:rsid w:val="004301F4"/>
    <w:rsid w:val="00436C7F"/>
    <w:rsid w:val="0044790A"/>
    <w:rsid w:val="004540E1"/>
    <w:rsid w:val="00454C34"/>
    <w:rsid w:val="004558D2"/>
    <w:rsid w:val="00475EE1"/>
    <w:rsid w:val="0048123A"/>
    <w:rsid w:val="0048371B"/>
    <w:rsid w:val="00487ACA"/>
    <w:rsid w:val="004A068B"/>
    <w:rsid w:val="004B511B"/>
    <w:rsid w:val="004C2E9A"/>
    <w:rsid w:val="004D15A4"/>
    <w:rsid w:val="004D27C8"/>
    <w:rsid w:val="004E567D"/>
    <w:rsid w:val="004F24FA"/>
    <w:rsid w:val="004F3909"/>
    <w:rsid w:val="00507BF3"/>
    <w:rsid w:val="00541C1F"/>
    <w:rsid w:val="00554C38"/>
    <w:rsid w:val="00560F3F"/>
    <w:rsid w:val="00564B98"/>
    <w:rsid w:val="005756EB"/>
    <w:rsid w:val="00596D08"/>
    <w:rsid w:val="005A0A58"/>
    <w:rsid w:val="005A0C75"/>
    <w:rsid w:val="005B28E5"/>
    <w:rsid w:val="005D1BFE"/>
    <w:rsid w:val="005D1DE3"/>
    <w:rsid w:val="005D2F03"/>
    <w:rsid w:val="005D6F3C"/>
    <w:rsid w:val="005F1348"/>
    <w:rsid w:val="005F6C72"/>
    <w:rsid w:val="00617A35"/>
    <w:rsid w:val="00681769"/>
    <w:rsid w:val="00684C10"/>
    <w:rsid w:val="006901A0"/>
    <w:rsid w:val="00694BDA"/>
    <w:rsid w:val="006A10AF"/>
    <w:rsid w:val="006A6215"/>
    <w:rsid w:val="006B7815"/>
    <w:rsid w:val="006C57CD"/>
    <w:rsid w:val="006C7CD6"/>
    <w:rsid w:val="006C7EC9"/>
    <w:rsid w:val="006D255D"/>
    <w:rsid w:val="006D38A8"/>
    <w:rsid w:val="0070297D"/>
    <w:rsid w:val="007131F9"/>
    <w:rsid w:val="00730D1E"/>
    <w:rsid w:val="00734FDD"/>
    <w:rsid w:val="00736CD2"/>
    <w:rsid w:val="00744015"/>
    <w:rsid w:val="00750C34"/>
    <w:rsid w:val="00753270"/>
    <w:rsid w:val="007612EE"/>
    <w:rsid w:val="007651F4"/>
    <w:rsid w:val="00785825"/>
    <w:rsid w:val="00796B34"/>
    <w:rsid w:val="007A2EDB"/>
    <w:rsid w:val="007B4A63"/>
    <w:rsid w:val="007D74E0"/>
    <w:rsid w:val="007E0D1B"/>
    <w:rsid w:val="007E6422"/>
    <w:rsid w:val="007F13DB"/>
    <w:rsid w:val="007F28B4"/>
    <w:rsid w:val="008019CF"/>
    <w:rsid w:val="00804D5B"/>
    <w:rsid w:val="00805C64"/>
    <w:rsid w:val="00810BA9"/>
    <w:rsid w:val="00813C44"/>
    <w:rsid w:val="008333BF"/>
    <w:rsid w:val="008723C5"/>
    <w:rsid w:val="00873E06"/>
    <w:rsid w:val="00881C27"/>
    <w:rsid w:val="0088254E"/>
    <w:rsid w:val="00894303"/>
    <w:rsid w:val="008A1B6B"/>
    <w:rsid w:val="008B19B4"/>
    <w:rsid w:val="008B3CB3"/>
    <w:rsid w:val="008B5CF7"/>
    <w:rsid w:val="008C4E19"/>
    <w:rsid w:val="008C56EB"/>
    <w:rsid w:val="008C6AAD"/>
    <w:rsid w:val="008C6D27"/>
    <w:rsid w:val="008D68F0"/>
    <w:rsid w:val="008E2731"/>
    <w:rsid w:val="008E7920"/>
    <w:rsid w:val="008F5FDB"/>
    <w:rsid w:val="008F7821"/>
    <w:rsid w:val="009006F3"/>
    <w:rsid w:val="009010C5"/>
    <w:rsid w:val="0090516E"/>
    <w:rsid w:val="00926527"/>
    <w:rsid w:val="009351E1"/>
    <w:rsid w:val="00963868"/>
    <w:rsid w:val="0099017B"/>
    <w:rsid w:val="00993408"/>
    <w:rsid w:val="00997F83"/>
    <w:rsid w:val="009C500A"/>
    <w:rsid w:val="009D2FF7"/>
    <w:rsid w:val="009D6ADE"/>
    <w:rsid w:val="009E0D7F"/>
    <w:rsid w:val="009E0F59"/>
    <w:rsid w:val="009E7641"/>
    <w:rsid w:val="009F5B08"/>
    <w:rsid w:val="009F614B"/>
    <w:rsid w:val="00A36914"/>
    <w:rsid w:val="00A71F73"/>
    <w:rsid w:val="00A76EEE"/>
    <w:rsid w:val="00A77362"/>
    <w:rsid w:val="00AA076F"/>
    <w:rsid w:val="00AA6F10"/>
    <w:rsid w:val="00AB6322"/>
    <w:rsid w:val="00AC7F27"/>
    <w:rsid w:val="00AF466A"/>
    <w:rsid w:val="00B16EC6"/>
    <w:rsid w:val="00B2419E"/>
    <w:rsid w:val="00B31808"/>
    <w:rsid w:val="00B3507A"/>
    <w:rsid w:val="00B405C7"/>
    <w:rsid w:val="00B6241C"/>
    <w:rsid w:val="00B637D1"/>
    <w:rsid w:val="00B63857"/>
    <w:rsid w:val="00B7262A"/>
    <w:rsid w:val="00B72B6C"/>
    <w:rsid w:val="00B80806"/>
    <w:rsid w:val="00B9109F"/>
    <w:rsid w:val="00B960F3"/>
    <w:rsid w:val="00BC314D"/>
    <w:rsid w:val="00BC7AAF"/>
    <w:rsid w:val="00BD2853"/>
    <w:rsid w:val="00BD4674"/>
    <w:rsid w:val="00BD7848"/>
    <w:rsid w:val="00BE3842"/>
    <w:rsid w:val="00BE73D0"/>
    <w:rsid w:val="00BE78AD"/>
    <w:rsid w:val="00BE7BF0"/>
    <w:rsid w:val="00BF289F"/>
    <w:rsid w:val="00BF40B2"/>
    <w:rsid w:val="00BF6A47"/>
    <w:rsid w:val="00C10B10"/>
    <w:rsid w:val="00C15A90"/>
    <w:rsid w:val="00C2785E"/>
    <w:rsid w:val="00C3572B"/>
    <w:rsid w:val="00C44B9C"/>
    <w:rsid w:val="00C46839"/>
    <w:rsid w:val="00C55776"/>
    <w:rsid w:val="00C634FF"/>
    <w:rsid w:val="00C65117"/>
    <w:rsid w:val="00C72B24"/>
    <w:rsid w:val="00C74827"/>
    <w:rsid w:val="00C85578"/>
    <w:rsid w:val="00CA0872"/>
    <w:rsid w:val="00CB3346"/>
    <w:rsid w:val="00CB618B"/>
    <w:rsid w:val="00CD093D"/>
    <w:rsid w:val="00CF06E9"/>
    <w:rsid w:val="00CF2BC5"/>
    <w:rsid w:val="00CF7120"/>
    <w:rsid w:val="00D14561"/>
    <w:rsid w:val="00D15CBF"/>
    <w:rsid w:val="00D35323"/>
    <w:rsid w:val="00D4072F"/>
    <w:rsid w:val="00D440FC"/>
    <w:rsid w:val="00D46995"/>
    <w:rsid w:val="00D64AC8"/>
    <w:rsid w:val="00D65608"/>
    <w:rsid w:val="00D660A6"/>
    <w:rsid w:val="00D81F9C"/>
    <w:rsid w:val="00D91ACE"/>
    <w:rsid w:val="00DB25C5"/>
    <w:rsid w:val="00DC1DDA"/>
    <w:rsid w:val="00DC2DE9"/>
    <w:rsid w:val="00DD2F5D"/>
    <w:rsid w:val="00DD3AAF"/>
    <w:rsid w:val="00DD7D78"/>
    <w:rsid w:val="00DE029C"/>
    <w:rsid w:val="00DE095A"/>
    <w:rsid w:val="00DF36B5"/>
    <w:rsid w:val="00E021A5"/>
    <w:rsid w:val="00E10EDF"/>
    <w:rsid w:val="00E22120"/>
    <w:rsid w:val="00E23B72"/>
    <w:rsid w:val="00E46EAC"/>
    <w:rsid w:val="00E56E35"/>
    <w:rsid w:val="00E67665"/>
    <w:rsid w:val="00E72371"/>
    <w:rsid w:val="00E74E41"/>
    <w:rsid w:val="00E85E7E"/>
    <w:rsid w:val="00E96DCE"/>
    <w:rsid w:val="00EA30A7"/>
    <w:rsid w:val="00EB04CD"/>
    <w:rsid w:val="00EB05C7"/>
    <w:rsid w:val="00EB494D"/>
    <w:rsid w:val="00EB5257"/>
    <w:rsid w:val="00EC167E"/>
    <w:rsid w:val="00ED795B"/>
    <w:rsid w:val="00EE5952"/>
    <w:rsid w:val="00EF0F88"/>
    <w:rsid w:val="00EF6306"/>
    <w:rsid w:val="00F14954"/>
    <w:rsid w:val="00F16853"/>
    <w:rsid w:val="00F24F19"/>
    <w:rsid w:val="00F331D3"/>
    <w:rsid w:val="00F3429D"/>
    <w:rsid w:val="00F436EB"/>
    <w:rsid w:val="00F45DA3"/>
    <w:rsid w:val="00F479F9"/>
    <w:rsid w:val="00F5190C"/>
    <w:rsid w:val="00F647C6"/>
    <w:rsid w:val="00F72C21"/>
    <w:rsid w:val="00F739DA"/>
    <w:rsid w:val="00F74120"/>
    <w:rsid w:val="00F76594"/>
    <w:rsid w:val="00F76EEB"/>
    <w:rsid w:val="00F84E26"/>
    <w:rsid w:val="00F90309"/>
    <w:rsid w:val="00F91C1D"/>
    <w:rsid w:val="00F972A0"/>
    <w:rsid w:val="00FA2D3D"/>
    <w:rsid w:val="00FA30D4"/>
    <w:rsid w:val="00FB0D5F"/>
    <w:rsid w:val="00FC2F2D"/>
    <w:rsid w:val="00FE10C7"/>
    <w:rsid w:val="00FE5F1D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E23144"/>
  <w15:chartTrackingRefBased/>
  <w15:docId w15:val="{0B6C3757-EAB6-4D64-A3EC-8F63D7B5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F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36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2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BF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0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BF3"/>
    <w:rPr>
      <w:rFonts w:ascii="Calibri" w:eastAsia="Calibri" w:hAnsi="Calibri" w:cs="Times New Roman"/>
    </w:rPr>
  </w:style>
  <w:style w:type="paragraph" w:customStyle="1" w:styleId="Default">
    <w:name w:val="Default"/>
    <w:rsid w:val="00507BF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CD2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A0A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Sinlista1">
    <w:name w:val="Sin lista1"/>
    <w:next w:val="Sinlista"/>
    <w:uiPriority w:val="99"/>
    <w:semiHidden/>
    <w:unhideWhenUsed/>
    <w:rsid w:val="0021300D"/>
  </w:style>
  <w:style w:type="numbering" w:customStyle="1" w:styleId="Sinlista2">
    <w:name w:val="Sin lista2"/>
    <w:next w:val="Sinlista"/>
    <w:uiPriority w:val="99"/>
    <w:semiHidden/>
    <w:unhideWhenUsed/>
    <w:rsid w:val="00D35323"/>
  </w:style>
  <w:style w:type="paragraph" w:styleId="Sinespaciado">
    <w:name w:val="No Spacing"/>
    <w:uiPriority w:val="1"/>
    <w:qFormat/>
    <w:rsid w:val="00D35323"/>
    <w:pPr>
      <w:spacing w:after="0" w:line="240" w:lineRule="auto"/>
      <w:jc w:val="both"/>
    </w:pPr>
    <w:rPr>
      <w:rFonts w:ascii="Arial" w:hAnsi="Arial"/>
      <w:sz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36914"/>
    <w:pPr>
      <w:spacing w:after="120" w:line="240" w:lineRule="auto"/>
      <w:jc w:val="both"/>
    </w:pPr>
    <w:rPr>
      <w:rFonts w:ascii="Arial" w:eastAsiaTheme="minorHAnsi" w:hAnsi="Arial" w:cstheme="minorBidi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36914"/>
    <w:rPr>
      <w:rFonts w:ascii="Arial" w:hAnsi="Arial"/>
      <w:sz w:val="28"/>
    </w:rPr>
  </w:style>
  <w:style w:type="paragraph" w:styleId="Listaconvietas">
    <w:name w:val="List Bullet"/>
    <w:basedOn w:val="Normal"/>
    <w:uiPriority w:val="99"/>
    <w:unhideWhenUsed/>
    <w:rsid w:val="00A36914"/>
    <w:pPr>
      <w:numPr>
        <w:numId w:val="3"/>
      </w:numPr>
      <w:spacing w:after="0" w:line="240" w:lineRule="auto"/>
      <w:contextualSpacing/>
      <w:jc w:val="both"/>
    </w:pPr>
    <w:rPr>
      <w:rFonts w:ascii="Arial" w:eastAsiaTheme="minorHAnsi" w:hAnsi="Arial" w:cstheme="minorBidi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A36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02E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Maria del Consuelo Gonzalez Moreno</cp:lastModifiedBy>
  <cp:revision>11</cp:revision>
  <cp:lastPrinted>2017-12-14T22:33:00Z</cp:lastPrinted>
  <dcterms:created xsi:type="dcterms:W3CDTF">2018-11-02T17:04:00Z</dcterms:created>
  <dcterms:modified xsi:type="dcterms:W3CDTF">2018-11-09T20:20:00Z</dcterms:modified>
</cp:coreProperties>
</file>