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2C" w:rsidRPr="00A75729" w:rsidRDefault="00D7412C" w:rsidP="00DE77B3">
      <w:pPr>
        <w:pStyle w:val="TDC1"/>
        <w:tabs>
          <w:tab w:val="left" w:pos="440"/>
          <w:tab w:val="right" w:leader="dot" w:pos="9394"/>
        </w:tabs>
        <w:spacing w:before="120" w:after="240"/>
        <w:jc w:val="center"/>
        <w:rPr>
          <w:b/>
        </w:rPr>
      </w:pPr>
      <w:r w:rsidRPr="00A75729">
        <w:rPr>
          <w:b/>
        </w:rPr>
        <w:t>Índice de contenido</w:t>
      </w:r>
    </w:p>
    <w:p w:rsidR="00D8754C" w:rsidRDefault="008C3EE4">
      <w:pPr>
        <w:pStyle w:val="TDC1"/>
        <w:tabs>
          <w:tab w:val="right" w:leader="dot" w:pos="9394"/>
        </w:tabs>
        <w:rPr>
          <w:rFonts w:asciiTheme="minorHAnsi" w:eastAsiaTheme="minorEastAsia" w:hAnsiTheme="minorHAnsi" w:cstheme="minorBidi"/>
          <w:noProof/>
          <w:sz w:val="22"/>
          <w:szCs w:val="22"/>
          <w:lang w:val="es-MX" w:eastAsia="es-MX"/>
        </w:rPr>
      </w:pPr>
      <w:r w:rsidRPr="00A75729">
        <w:rPr>
          <w:b/>
        </w:rPr>
        <w:fldChar w:fldCharType="begin"/>
      </w:r>
      <w:r w:rsidRPr="00A75729">
        <w:rPr>
          <w:b/>
        </w:rPr>
        <w:instrText xml:space="preserve"> TOC \o "1-5" \h \z \u </w:instrText>
      </w:r>
      <w:r w:rsidRPr="00A75729">
        <w:rPr>
          <w:b/>
        </w:rPr>
        <w:fldChar w:fldCharType="separate"/>
      </w:r>
      <w:hyperlink w:anchor="_Toc519100816" w:history="1">
        <w:r w:rsidR="00D8754C" w:rsidRPr="005209CC">
          <w:rPr>
            <w:rStyle w:val="Hipervnculo"/>
            <w:rFonts w:eastAsiaTheme="majorEastAsia" w:cstheme="majorBidi"/>
            <w:noProof/>
            <w:lang w:val="es-MX" w:eastAsia="en-US"/>
          </w:rPr>
          <w:t>I. GLOSARIO</w:t>
        </w:r>
        <w:r w:rsidR="00D8754C">
          <w:rPr>
            <w:noProof/>
            <w:webHidden/>
          </w:rPr>
          <w:tab/>
        </w:r>
        <w:r w:rsidR="00D8754C">
          <w:rPr>
            <w:noProof/>
            <w:webHidden/>
          </w:rPr>
          <w:fldChar w:fldCharType="begin"/>
        </w:r>
        <w:r w:rsidR="00D8754C">
          <w:rPr>
            <w:noProof/>
            <w:webHidden/>
          </w:rPr>
          <w:instrText xml:space="preserve"> PAGEREF _Toc519100816 \h </w:instrText>
        </w:r>
        <w:r w:rsidR="00D8754C">
          <w:rPr>
            <w:noProof/>
            <w:webHidden/>
          </w:rPr>
        </w:r>
        <w:r w:rsidR="00D8754C">
          <w:rPr>
            <w:noProof/>
            <w:webHidden/>
          </w:rPr>
          <w:fldChar w:fldCharType="separate"/>
        </w:r>
        <w:r w:rsidR="006750D1">
          <w:rPr>
            <w:noProof/>
            <w:webHidden/>
          </w:rPr>
          <w:t>3</w:t>
        </w:r>
        <w:r w:rsidR="00D8754C">
          <w:rPr>
            <w:noProof/>
            <w:webHidden/>
          </w:rPr>
          <w:fldChar w:fldCharType="end"/>
        </w:r>
      </w:hyperlink>
    </w:p>
    <w:p w:rsidR="00D8754C" w:rsidRDefault="00324C70">
      <w:pPr>
        <w:pStyle w:val="TDC1"/>
        <w:tabs>
          <w:tab w:val="right" w:leader="dot" w:pos="9394"/>
        </w:tabs>
        <w:rPr>
          <w:rFonts w:asciiTheme="minorHAnsi" w:eastAsiaTheme="minorEastAsia" w:hAnsiTheme="minorHAnsi" w:cstheme="minorBidi"/>
          <w:noProof/>
          <w:sz w:val="22"/>
          <w:szCs w:val="22"/>
          <w:lang w:val="es-MX" w:eastAsia="es-MX"/>
        </w:rPr>
      </w:pPr>
      <w:hyperlink w:anchor="_Toc519100817" w:history="1">
        <w:r w:rsidR="00D8754C" w:rsidRPr="005209CC">
          <w:rPr>
            <w:rStyle w:val="Hipervnculo"/>
            <w:rFonts w:eastAsiaTheme="majorEastAsia" w:cstheme="majorBidi"/>
            <w:noProof/>
            <w:lang w:val="es-MX" w:eastAsia="en-US"/>
          </w:rPr>
          <w:t>II. ANTECEDENTES</w:t>
        </w:r>
        <w:r w:rsidR="00D8754C">
          <w:rPr>
            <w:noProof/>
            <w:webHidden/>
          </w:rPr>
          <w:tab/>
        </w:r>
        <w:r w:rsidR="00D8754C">
          <w:rPr>
            <w:noProof/>
            <w:webHidden/>
          </w:rPr>
          <w:fldChar w:fldCharType="begin"/>
        </w:r>
        <w:r w:rsidR="00D8754C">
          <w:rPr>
            <w:noProof/>
            <w:webHidden/>
          </w:rPr>
          <w:instrText xml:space="preserve"> PAGEREF _Toc519100817 \h </w:instrText>
        </w:r>
        <w:r w:rsidR="00D8754C">
          <w:rPr>
            <w:noProof/>
            <w:webHidden/>
          </w:rPr>
        </w:r>
        <w:r w:rsidR="00D8754C">
          <w:rPr>
            <w:noProof/>
            <w:webHidden/>
          </w:rPr>
          <w:fldChar w:fldCharType="separate"/>
        </w:r>
        <w:r w:rsidR="006750D1">
          <w:rPr>
            <w:noProof/>
            <w:webHidden/>
          </w:rPr>
          <w:t>6</w:t>
        </w:r>
        <w:r w:rsidR="00D8754C">
          <w:rPr>
            <w:noProof/>
            <w:webHidden/>
          </w:rPr>
          <w:fldChar w:fldCharType="end"/>
        </w:r>
      </w:hyperlink>
    </w:p>
    <w:p w:rsidR="00D8754C" w:rsidRDefault="00324C70">
      <w:pPr>
        <w:pStyle w:val="TDC1"/>
        <w:tabs>
          <w:tab w:val="right" w:leader="dot" w:pos="9394"/>
        </w:tabs>
        <w:rPr>
          <w:rFonts w:asciiTheme="minorHAnsi" w:eastAsiaTheme="minorEastAsia" w:hAnsiTheme="minorHAnsi" w:cstheme="minorBidi"/>
          <w:noProof/>
          <w:sz w:val="22"/>
          <w:szCs w:val="22"/>
          <w:lang w:val="es-MX" w:eastAsia="es-MX"/>
        </w:rPr>
      </w:pPr>
      <w:hyperlink w:anchor="_Toc519100818" w:history="1">
        <w:r w:rsidR="00D8754C" w:rsidRPr="005209CC">
          <w:rPr>
            <w:rStyle w:val="Hipervnculo"/>
            <w:rFonts w:eastAsiaTheme="majorEastAsia" w:cstheme="majorBidi"/>
            <w:noProof/>
            <w:lang w:val="es-MX" w:eastAsia="en-US"/>
          </w:rPr>
          <w:t>III. CONSIDERANDO</w:t>
        </w:r>
        <w:r w:rsidR="00D8754C">
          <w:rPr>
            <w:noProof/>
            <w:webHidden/>
          </w:rPr>
          <w:tab/>
        </w:r>
        <w:r w:rsidR="00D8754C">
          <w:rPr>
            <w:noProof/>
            <w:webHidden/>
          </w:rPr>
          <w:fldChar w:fldCharType="begin"/>
        </w:r>
        <w:r w:rsidR="00D8754C">
          <w:rPr>
            <w:noProof/>
            <w:webHidden/>
          </w:rPr>
          <w:instrText xml:space="preserve"> PAGEREF _Toc519100818 \h </w:instrText>
        </w:r>
        <w:r w:rsidR="00D8754C">
          <w:rPr>
            <w:noProof/>
            <w:webHidden/>
          </w:rPr>
        </w:r>
        <w:r w:rsidR="00D8754C">
          <w:rPr>
            <w:noProof/>
            <w:webHidden/>
          </w:rPr>
          <w:fldChar w:fldCharType="separate"/>
        </w:r>
        <w:r w:rsidR="006750D1">
          <w:rPr>
            <w:noProof/>
            <w:webHidden/>
          </w:rPr>
          <w:t>7</w:t>
        </w:r>
        <w:r w:rsidR="00D8754C">
          <w:rPr>
            <w:noProof/>
            <w:webHidden/>
          </w:rPr>
          <w:fldChar w:fldCharType="end"/>
        </w:r>
      </w:hyperlink>
    </w:p>
    <w:p w:rsidR="00D8754C" w:rsidRDefault="00324C70">
      <w:pPr>
        <w:pStyle w:val="TDC2"/>
        <w:tabs>
          <w:tab w:val="right" w:leader="dot" w:pos="9394"/>
        </w:tabs>
        <w:rPr>
          <w:rFonts w:asciiTheme="minorHAnsi" w:eastAsiaTheme="minorEastAsia" w:hAnsiTheme="minorHAnsi" w:cstheme="minorBidi"/>
          <w:noProof/>
          <w:sz w:val="22"/>
          <w:szCs w:val="22"/>
          <w:lang w:val="es-MX" w:eastAsia="es-MX"/>
        </w:rPr>
      </w:pPr>
      <w:hyperlink w:anchor="_Toc519100819" w:history="1">
        <w:r w:rsidR="00D8754C" w:rsidRPr="005209CC">
          <w:rPr>
            <w:rStyle w:val="Hipervnculo"/>
            <w:noProof/>
            <w:lang w:val="es-MX"/>
          </w:rPr>
          <w:t>PRIMERO. Competencia del Instituto para conocer y resolver</w:t>
        </w:r>
        <w:r w:rsidR="00D8754C">
          <w:rPr>
            <w:noProof/>
            <w:webHidden/>
          </w:rPr>
          <w:tab/>
        </w:r>
        <w:r w:rsidR="00D8754C">
          <w:rPr>
            <w:noProof/>
            <w:webHidden/>
          </w:rPr>
          <w:fldChar w:fldCharType="begin"/>
        </w:r>
        <w:r w:rsidR="00D8754C">
          <w:rPr>
            <w:noProof/>
            <w:webHidden/>
          </w:rPr>
          <w:instrText xml:space="preserve"> PAGEREF _Toc519100819 \h </w:instrText>
        </w:r>
        <w:r w:rsidR="00D8754C">
          <w:rPr>
            <w:noProof/>
            <w:webHidden/>
          </w:rPr>
        </w:r>
        <w:r w:rsidR="00D8754C">
          <w:rPr>
            <w:noProof/>
            <w:webHidden/>
          </w:rPr>
          <w:fldChar w:fldCharType="separate"/>
        </w:r>
        <w:r w:rsidR="006750D1">
          <w:rPr>
            <w:noProof/>
            <w:webHidden/>
          </w:rPr>
          <w:t>7</w:t>
        </w:r>
        <w:r w:rsidR="00D8754C">
          <w:rPr>
            <w:noProof/>
            <w:webHidden/>
          </w:rPr>
          <w:fldChar w:fldCharType="end"/>
        </w:r>
      </w:hyperlink>
    </w:p>
    <w:p w:rsidR="00D8754C" w:rsidRDefault="00324C70">
      <w:pPr>
        <w:pStyle w:val="TDC2"/>
        <w:tabs>
          <w:tab w:val="right" w:leader="dot" w:pos="9394"/>
        </w:tabs>
        <w:rPr>
          <w:rFonts w:asciiTheme="minorHAnsi" w:eastAsiaTheme="minorEastAsia" w:hAnsiTheme="minorHAnsi" w:cstheme="minorBidi"/>
          <w:noProof/>
          <w:sz w:val="22"/>
          <w:szCs w:val="22"/>
          <w:lang w:val="es-MX" w:eastAsia="es-MX"/>
        </w:rPr>
      </w:pPr>
      <w:hyperlink w:anchor="_Toc519100820" w:history="1">
        <w:r w:rsidR="00D8754C" w:rsidRPr="005209CC">
          <w:rPr>
            <w:rStyle w:val="Hipervnculo"/>
            <w:noProof/>
            <w:lang w:val="es-MX"/>
          </w:rPr>
          <w:t>SEGUNDO. Alcances de esta resolución</w:t>
        </w:r>
        <w:r w:rsidR="00D8754C">
          <w:rPr>
            <w:noProof/>
            <w:webHidden/>
          </w:rPr>
          <w:tab/>
        </w:r>
        <w:r w:rsidR="00D8754C">
          <w:rPr>
            <w:noProof/>
            <w:webHidden/>
          </w:rPr>
          <w:fldChar w:fldCharType="begin"/>
        </w:r>
        <w:r w:rsidR="00D8754C">
          <w:rPr>
            <w:noProof/>
            <w:webHidden/>
          </w:rPr>
          <w:instrText xml:space="preserve"> PAGEREF _Toc519100820 \h </w:instrText>
        </w:r>
        <w:r w:rsidR="00D8754C">
          <w:rPr>
            <w:noProof/>
            <w:webHidden/>
          </w:rPr>
        </w:r>
        <w:r w:rsidR="00D8754C">
          <w:rPr>
            <w:noProof/>
            <w:webHidden/>
          </w:rPr>
          <w:fldChar w:fldCharType="separate"/>
        </w:r>
        <w:r w:rsidR="006750D1">
          <w:rPr>
            <w:noProof/>
            <w:webHidden/>
          </w:rPr>
          <w:t>7</w:t>
        </w:r>
        <w:r w:rsidR="00D8754C">
          <w:rPr>
            <w:noProof/>
            <w:webHidden/>
          </w:rPr>
          <w:fldChar w:fldCharType="end"/>
        </w:r>
      </w:hyperlink>
    </w:p>
    <w:p w:rsidR="00D8754C" w:rsidRDefault="00324C70">
      <w:pPr>
        <w:pStyle w:val="TDC3"/>
        <w:tabs>
          <w:tab w:val="left" w:pos="1100"/>
          <w:tab w:val="right" w:leader="dot" w:pos="9394"/>
        </w:tabs>
        <w:rPr>
          <w:rFonts w:asciiTheme="minorHAnsi" w:eastAsiaTheme="minorEastAsia" w:hAnsiTheme="minorHAnsi" w:cstheme="minorBidi"/>
          <w:noProof/>
          <w:sz w:val="22"/>
          <w:szCs w:val="22"/>
          <w:lang w:val="es-MX" w:eastAsia="es-MX"/>
        </w:rPr>
      </w:pPr>
      <w:hyperlink w:anchor="_Toc519100823" w:history="1">
        <w:r w:rsidR="00D8754C" w:rsidRPr="005209CC">
          <w:rPr>
            <w:rStyle w:val="Hipervnculo"/>
            <w:noProof/>
            <w:lang w:val="es-MX"/>
          </w:rPr>
          <w:t>2.1.</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Fundamentación</w:t>
        </w:r>
        <w:r w:rsidR="00D8754C">
          <w:rPr>
            <w:noProof/>
            <w:webHidden/>
          </w:rPr>
          <w:tab/>
        </w:r>
        <w:r w:rsidR="00D8754C">
          <w:rPr>
            <w:noProof/>
            <w:webHidden/>
          </w:rPr>
          <w:fldChar w:fldCharType="begin"/>
        </w:r>
        <w:r w:rsidR="00D8754C">
          <w:rPr>
            <w:noProof/>
            <w:webHidden/>
          </w:rPr>
          <w:instrText xml:space="preserve"> PAGEREF _Toc519100823 \h </w:instrText>
        </w:r>
        <w:r w:rsidR="00D8754C">
          <w:rPr>
            <w:noProof/>
            <w:webHidden/>
          </w:rPr>
        </w:r>
        <w:r w:rsidR="00D8754C">
          <w:rPr>
            <w:noProof/>
            <w:webHidden/>
          </w:rPr>
          <w:fldChar w:fldCharType="separate"/>
        </w:r>
        <w:r w:rsidR="006750D1">
          <w:rPr>
            <w:noProof/>
            <w:webHidden/>
          </w:rPr>
          <w:t>7</w:t>
        </w:r>
        <w:r w:rsidR="00D8754C">
          <w:rPr>
            <w:noProof/>
            <w:webHidden/>
          </w:rPr>
          <w:fldChar w:fldCharType="end"/>
        </w:r>
      </w:hyperlink>
    </w:p>
    <w:p w:rsidR="00D8754C" w:rsidRDefault="00324C70">
      <w:pPr>
        <w:pStyle w:val="TDC3"/>
        <w:tabs>
          <w:tab w:val="left" w:pos="1100"/>
          <w:tab w:val="right" w:leader="dot" w:pos="9394"/>
        </w:tabs>
        <w:rPr>
          <w:rFonts w:asciiTheme="minorHAnsi" w:eastAsiaTheme="minorEastAsia" w:hAnsiTheme="minorHAnsi" w:cstheme="minorBidi"/>
          <w:noProof/>
          <w:sz w:val="22"/>
          <w:szCs w:val="22"/>
          <w:lang w:val="es-MX" w:eastAsia="es-MX"/>
        </w:rPr>
      </w:pPr>
      <w:hyperlink w:anchor="_Toc519100824" w:history="1">
        <w:r w:rsidR="00D8754C" w:rsidRPr="005209CC">
          <w:rPr>
            <w:rStyle w:val="Hipervnculo"/>
            <w:noProof/>
            <w:lang w:val="es-MX"/>
          </w:rPr>
          <w:t>2.2.</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Procedimiento aplicable al Aviso de Concentración</w:t>
        </w:r>
        <w:r w:rsidR="00D8754C">
          <w:rPr>
            <w:noProof/>
            <w:webHidden/>
          </w:rPr>
          <w:tab/>
        </w:r>
        <w:r w:rsidR="00D8754C">
          <w:rPr>
            <w:noProof/>
            <w:webHidden/>
          </w:rPr>
          <w:fldChar w:fldCharType="begin"/>
        </w:r>
        <w:r w:rsidR="00D8754C">
          <w:rPr>
            <w:noProof/>
            <w:webHidden/>
          </w:rPr>
          <w:instrText xml:space="preserve"> PAGEREF _Toc519100824 \h </w:instrText>
        </w:r>
        <w:r w:rsidR="00D8754C">
          <w:rPr>
            <w:noProof/>
            <w:webHidden/>
          </w:rPr>
        </w:r>
        <w:r w:rsidR="00D8754C">
          <w:rPr>
            <w:noProof/>
            <w:webHidden/>
          </w:rPr>
          <w:fldChar w:fldCharType="separate"/>
        </w:r>
        <w:r w:rsidR="006750D1">
          <w:rPr>
            <w:noProof/>
            <w:webHidden/>
          </w:rPr>
          <w:t>8</w:t>
        </w:r>
        <w:r w:rsidR="00D8754C">
          <w:rPr>
            <w:noProof/>
            <w:webHidden/>
          </w:rPr>
          <w:fldChar w:fldCharType="end"/>
        </w:r>
      </w:hyperlink>
    </w:p>
    <w:p w:rsidR="00D8754C" w:rsidRDefault="00324C70">
      <w:pPr>
        <w:pStyle w:val="TDC2"/>
        <w:tabs>
          <w:tab w:val="right" w:leader="dot" w:pos="9394"/>
        </w:tabs>
        <w:rPr>
          <w:rFonts w:asciiTheme="minorHAnsi" w:eastAsiaTheme="minorEastAsia" w:hAnsiTheme="minorHAnsi" w:cstheme="minorBidi"/>
          <w:noProof/>
          <w:sz w:val="22"/>
          <w:szCs w:val="22"/>
          <w:lang w:val="es-MX" w:eastAsia="es-MX"/>
        </w:rPr>
      </w:pPr>
      <w:hyperlink w:anchor="_Toc519100825" w:history="1">
        <w:r w:rsidR="00D8754C" w:rsidRPr="005209CC">
          <w:rPr>
            <w:rStyle w:val="Hipervnculo"/>
            <w:noProof/>
            <w:lang w:val="es-MX"/>
          </w:rPr>
          <w:t>TERCERO. Operación materia del Aviso de Concentración</w:t>
        </w:r>
        <w:r w:rsidR="00D8754C">
          <w:rPr>
            <w:noProof/>
            <w:webHidden/>
          </w:rPr>
          <w:tab/>
        </w:r>
        <w:r w:rsidR="00D8754C">
          <w:rPr>
            <w:noProof/>
            <w:webHidden/>
          </w:rPr>
          <w:fldChar w:fldCharType="begin"/>
        </w:r>
        <w:r w:rsidR="00D8754C">
          <w:rPr>
            <w:noProof/>
            <w:webHidden/>
          </w:rPr>
          <w:instrText xml:space="preserve"> PAGEREF _Toc519100825 \h </w:instrText>
        </w:r>
        <w:r w:rsidR="00D8754C">
          <w:rPr>
            <w:noProof/>
            <w:webHidden/>
          </w:rPr>
        </w:r>
        <w:r w:rsidR="00D8754C">
          <w:rPr>
            <w:noProof/>
            <w:webHidden/>
          </w:rPr>
          <w:fldChar w:fldCharType="separate"/>
        </w:r>
        <w:r w:rsidR="006750D1">
          <w:rPr>
            <w:noProof/>
            <w:webHidden/>
          </w:rPr>
          <w:t>11</w:t>
        </w:r>
        <w:r w:rsidR="00D8754C">
          <w:rPr>
            <w:noProof/>
            <w:webHidden/>
          </w:rPr>
          <w:fldChar w:fldCharType="end"/>
        </w:r>
      </w:hyperlink>
    </w:p>
    <w:p w:rsidR="00D8754C" w:rsidRDefault="00324C70">
      <w:pPr>
        <w:pStyle w:val="TDC3"/>
        <w:tabs>
          <w:tab w:val="left" w:pos="1100"/>
          <w:tab w:val="right" w:leader="dot" w:pos="9394"/>
        </w:tabs>
        <w:rPr>
          <w:rFonts w:asciiTheme="minorHAnsi" w:eastAsiaTheme="minorEastAsia" w:hAnsiTheme="minorHAnsi" w:cstheme="minorBidi"/>
          <w:noProof/>
          <w:sz w:val="22"/>
          <w:szCs w:val="22"/>
          <w:lang w:val="es-MX" w:eastAsia="es-MX"/>
        </w:rPr>
      </w:pPr>
      <w:hyperlink w:anchor="_Toc519100827" w:history="1">
        <w:r w:rsidR="00D8754C" w:rsidRPr="005209CC">
          <w:rPr>
            <w:rStyle w:val="Hipervnculo"/>
            <w:noProof/>
            <w:lang w:val="es-MX"/>
          </w:rPr>
          <w:t>3.1.</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Actos constitutivos de la Operación</w:t>
        </w:r>
        <w:r w:rsidR="00D8754C">
          <w:rPr>
            <w:noProof/>
            <w:webHidden/>
          </w:rPr>
          <w:tab/>
        </w:r>
        <w:r w:rsidR="00D8754C">
          <w:rPr>
            <w:noProof/>
            <w:webHidden/>
          </w:rPr>
          <w:fldChar w:fldCharType="begin"/>
        </w:r>
        <w:r w:rsidR="00D8754C">
          <w:rPr>
            <w:noProof/>
            <w:webHidden/>
          </w:rPr>
          <w:instrText xml:space="preserve"> PAGEREF _Toc519100827 \h </w:instrText>
        </w:r>
        <w:r w:rsidR="00D8754C">
          <w:rPr>
            <w:noProof/>
            <w:webHidden/>
          </w:rPr>
        </w:r>
        <w:r w:rsidR="00D8754C">
          <w:rPr>
            <w:noProof/>
            <w:webHidden/>
          </w:rPr>
          <w:fldChar w:fldCharType="separate"/>
        </w:r>
        <w:r w:rsidR="006750D1">
          <w:rPr>
            <w:noProof/>
            <w:webHidden/>
          </w:rPr>
          <w:t>11</w:t>
        </w:r>
        <w:r w:rsidR="00D8754C">
          <w:rPr>
            <w:noProof/>
            <w:webHidden/>
          </w:rPr>
          <w:fldChar w:fldCharType="end"/>
        </w:r>
      </w:hyperlink>
    </w:p>
    <w:p w:rsidR="00D8754C" w:rsidRDefault="00324C70">
      <w:pPr>
        <w:pStyle w:val="TDC3"/>
        <w:tabs>
          <w:tab w:val="left" w:pos="1100"/>
          <w:tab w:val="right" w:leader="dot" w:pos="9394"/>
        </w:tabs>
        <w:rPr>
          <w:rFonts w:asciiTheme="minorHAnsi" w:eastAsiaTheme="minorEastAsia" w:hAnsiTheme="minorHAnsi" w:cstheme="minorBidi"/>
          <w:noProof/>
          <w:sz w:val="22"/>
          <w:szCs w:val="22"/>
          <w:lang w:val="es-MX" w:eastAsia="es-MX"/>
        </w:rPr>
      </w:pPr>
      <w:hyperlink w:anchor="_Toc519100828" w:history="1">
        <w:r w:rsidR="00D8754C" w:rsidRPr="005209CC">
          <w:rPr>
            <w:rStyle w:val="Hipervnculo"/>
            <w:noProof/>
            <w:lang w:val="es-MX"/>
          </w:rPr>
          <w:t>3.2.</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Fecha de realización de la Operación</w:t>
        </w:r>
        <w:r w:rsidR="00D8754C">
          <w:rPr>
            <w:noProof/>
            <w:webHidden/>
          </w:rPr>
          <w:tab/>
        </w:r>
        <w:r w:rsidR="00D8754C">
          <w:rPr>
            <w:noProof/>
            <w:webHidden/>
          </w:rPr>
          <w:fldChar w:fldCharType="begin"/>
        </w:r>
        <w:r w:rsidR="00D8754C">
          <w:rPr>
            <w:noProof/>
            <w:webHidden/>
          </w:rPr>
          <w:instrText xml:space="preserve"> PAGEREF _Toc519100828 \h </w:instrText>
        </w:r>
        <w:r w:rsidR="00D8754C">
          <w:rPr>
            <w:noProof/>
            <w:webHidden/>
          </w:rPr>
        </w:r>
        <w:r w:rsidR="00D8754C">
          <w:rPr>
            <w:noProof/>
            <w:webHidden/>
          </w:rPr>
          <w:fldChar w:fldCharType="separate"/>
        </w:r>
        <w:r w:rsidR="006750D1">
          <w:rPr>
            <w:noProof/>
            <w:webHidden/>
          </w:rPr>
          <w:t>11</w:t>
        </w:r>
        <w:r w:rsidR="00D8754C">
          <w:rPr>
            <w:noProof/>
            <w:webHidden/>
          </w:rPr>
          <w:fldChar w:fldCharType="end"/>
        </w:r>
      </w:hyperlink>
    </w:p>
    <w:p w:rsidR="00D8754C" w:rsidRDefault="00324C70">
      <w:pPr>
        <w:pStyle w:val="TDC3"/>
        <w:tabs>
          <w:tab w:val="left" w:pos="1100"/>
          <w:tab w:val="right" w:leader="dot" w:pos="9394"/>
        </w:tabs>
        <w:rPr>
          <w:rFonts w:asciiTheme="minorHAnsi" w:eastAsiaTheme="minorEastAsia" w:hAnsiTheme="minorHAnsi" w:cstheme="minorBidi"/>
          <w:noProof/>
          <w:sz w:val="22"/>
          <w:szCs w:val="22"/>
          <w:lang w:val="es-MX" w:eastAsia="es-MX"/>
        </w:rPr>
      </w:pPr>
      <w:hyperlink w:anchor="_Toc519100829" w:history="1">
        <w:r w:rsidR="00D8754C" w:rsidRPr="005209CC">
          <w:rPr>
            <w:rStyle w:val="Hipervnculo"/>
            <w:noProof/>
            <w:lang w:val="es-MX"/>
          </w:rPr>
          <w:t>3.3.</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Naturaleza de la Operación</w:t>
        </w:r>
        <w:r w:rsidR="00D8754C">
          <w:rPr>
            <w:noProof/>
            <w:webHidden/>
          </w:rPr>
          <w:tab/>
        </w:r>
        <w:r w:rsidR="00D8754C">
          <w:rPr>
            <w:noProof/>
            <w:webHidden/>
          </w:rPr>
          <w:fldChar w:fldCharType="begin"/>
        </w:r>
        <w:r w:rsidR="00D8754C">
          <w:rPr>
            <w:noProof/>
            <w:webHidden/>
          </w:rPr>
          <w:instrText xml:space="preserve"> PAGEREF _Toc519100829 \h </w:instrText>
        </w:r>
        <w:r w:rsidR="00D8754C">
          <w:rPr>
            <w:noProof/>
            <w:webHidden/>
          </w:rPr>
        </w:r>
        <w:r w:rsidR="00D8754C">
          <w:rPr>
            <w:noProof/>
            <w:webHidden/>
          </w:rPr>
          <w:fldChar w:fldCharType="separate"/>
        </w:r>
        <w:r w:rsidR="006750D1">
          <w:rPr>
            <w:noProof/>
            <w:webHidden/>
          </w:rPr>
          <w:t>12</w:t>
        </w:r>
        <w:r w:rsidR="00D8754C">
          <w:rPr>
            <w:noProof/>
            <w:webHidden/>
          </w:rPr>
          <w:fldChar w:fldCharType="end"/>
        </w:r>
      </w:hyperlink>
    </w:p>
    <w:p w:rsidR="00D8754C" w:rsidRDefault="00324C70">
      <w:pPr>
        <w:pStyle w:val="TDC3"/>
        <w:tabs>
          <w:tab w:val="left" w:pos="1100"/>
          <w:tab w:val="right" w:leader="dot" w:pos="9394"/>
        </w:tabs>
        <w:rPr>
          <w:rFonts w:asciiTheme="minorHAnsi" w:eastAsiaTheme="minorEastAsia" w:hAnsiTheme="minorHAnsi" w:cstheme="minorBidi"/>
          <w:noProof/>
          <w:sz w:val="22"/>
          <w:szCs w:val="22"/>
          <w:lang w:val="es-MX" w:eastAsia="es-MX"/>
        </w:rPr>
      </w:pPr>
      <w:hyperlink w:anchor="_Toc519100830" w:history="1">
        <w:r w:rsidR="00D8754C" w:rsidRPr="005209CC">
          <w:rPr>
            <w:rStyle w:val="Hipervnculo"/>
            <w:noProof/>
            <w:lang w:val="es-MX"/>
          </w:rPr>
          <w:t>3.4.</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Títulos de concesión adquiridos</w:t>
        </w:r>
        <w:r w:rsidR="00D8754C">
          <w:rPr>
            <w:noProof/>
            <w:webHidden/>
          </w:rPr>
          <w:tab/>
        </w:r>
        <w:r w:rsidR="00D8754C">
          <w:rPr>
            <w:noProof/>
            <w:webHidden/>
          </w:rPr>
          <w:fldChar w:fldCharType="begin"/>
        </w:r>
        <w:r w:rsidR="00D8754C">
          <w:rPr>
            <w:noProof/>
            <w:webHidden/>
          </w:rPr>
          <w:instrText xml:space="preserve"> PAGEREF _Toc519100830 \h </w:instrText>
        </w:r>
        <w:r w:rsidR="00D8754C">
          <w:rPr>
            <w:noProof/>
            <w:webHidden/>
          </w:rPr>
        </w:r>
        <w:r w:rsidR="00D8754C">
          <w:rPr>
            <w:noProof/>
            <w:webHidden/>
          </w:rPr>
          <w:fldChar w:fldCharType="separate"/>
        </w:r>
        <w:r w:rsidR="006750D1">
          <w:rPr>
            <w:noProof/>
            <w:webHidden/>
          </w:rPr>
          <w:t>12</w:t>
        </w:r>
        <w:r w:rsidR="00D8754C">
          <w:rPr>
            <w:noProof/>
            <w:webHidden/>
          </w:rPr>
          <w:fldChar w:fldCharType="end"/>
        </w:r>
      </w:hyperlink>
    </w:p>
    <w:p w:rsidR="00D8754C" w:rsidRDefault="00324C70">
      <w:pPr>
        <w:pStyle w:val="TDC3"/>
        <w:tabs>
          <w:tab w:val="left" w:pos="1100"/>
          <w:tab w:val="right" w:leader="dot" w:pos="9394"/>
        </w:tabs>
        <w:rPr>
          <w:rFonts w:asciiTheme="minorHAnsi" w:eastAsiaTheme="minorEastAsia" w:hAnsiTheme="minorHAnsi" w:cstheme="minorBidi"/>
          <w:noProof/>
          <w:sz w:val="22"/>
          <w:szCs w:val="22"/>
          <w:lang w:val="es-MX" w:eastAsia="es-MX"/>
        </w:rPr>
      </w:pPr>
      <w:hyperlink w:anchor="_Toc519100831" w:history="1">
        <w:r w:rsidR="00D8754C" w:rsidRPr="005209CC">
          <w:rPr>
            <w:rStyle w:val="Hipervnculo"/>
            <w:noProof/>
            <w:lang w:val="es-MX"/>
          </w:rPr>
          <w:t>3.5.</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Acuerdos comerciales adicionales</w:t>
        </w:r>
        <w:r w:rsidR="00D8754C">
          <w:rPr>
            <w:noProof/>
            <w:webHidden/>
          </w:rPr>
          <w:tab/>
        </w:r>
        <w:r w:rsidR="00D8754C">
          <w:rPr>
            <w:noProof/>
            <w:webHidden/>
          </w:rPr>
          <w:fldChar w:fldCharType="begin"/>
        </w:r>
        <w:r w:rsidR="00D8754C">
          <w:rPr>
            <w:noProof/>
            <w:webHidden/>
          </w:rPr>
          <w:instrText xml:space="preserve"> PAGEREF _Toc519100831 \h </w:instrText>
        </w:r>
        <w:r w:rsidR="00D8754C">
          <w:rPr>
            <w:noProof/>
            <w:webHidden/>
          </w:rPr>
        </w:r>
        <w:r w:rsidR="00D8754C">
          <w:rPr>
            <w:noProof/>
            <w:webHidden/>
          </w:rPr>
          <w:fldChar w:fldCharType="separate"/>
        </w:r>
        <w:r w:rsidR="006750D1">
          <w:rPr>
            <w:noProof/>
            <w:webHidden/>
          </w:rPr>
          <w:t>14</w:t>
        </w:r>
        <w:r w:rsidR="00D8754C">
          <w:rPr>
            <w:noProof/>
            <w:webHidden/>
          </w:rPr>
          <w:fldChar w:fldCharType="end"/>
        </w:r>
      </w:hyperlink>
    </w:p>
    <w:p w:rsidR="00D8754C" w:rsidRDefault="00324C70">
      <w:pPr>
        <w:pStyle w:val="TDC3"/>
        <w:tabs>
          <w:tab w:val="left" w:pos="1100"/>
          <w:tab w:val="right" w:leader="dot" w:pos="9394"/>
        </w:tabs>
        <w:rPr>
          <w:rFonts w:asciiTheme="minorHAnsi" w:eastAsiaTheme="minorEastAsia" w:hAnsiTheme="minorHAnsi" w:cstheme="minorBidi"/>
          <w:noProof/>
          <w:sz w:val="22"/>
          <w:szCs w:val="22"/>
          <w:lang w:val="es-MX" w:eastAsia="es-MX"/>
        </w:rPr>
      </w:pPr>
      <w:hyperlink w:anchor="_Toc519100832" w:history="1">
        <w:r w:rsidR="00D8754C" w:rsidRPr="005209CC">
          <w:rPr>
            <w:rStyle w:val="Hipervnculo"/>
            <w:noProof/>
            <w:lang w:val="es-MX"/>
          </w:rPr>
          <w:t>3.6.</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Objetivos de la Operación</w:t>
        </w:r>
        <w:r w:rsidR="00D8754C">
          <w:rPr>
            <w:noProof/>
            <w:webHidden/>
          </w:rPr>
          <w:tab/>
        </w:r>
        <w:r w:rsidR="00D8754C">
          <w:rPr>
            <w:noProof/>
            <w:webHidden/>
          </w:rPr>
          <w:fldChar w:fldCharType="begin"/>
        </w:r>
        <w:r w:rsidR="00D8754C">
          <w:rPr>
            <w:noProof/>
            <w:webHidden/>
          </w:rPr>
          <w:instrText xml:space="preserve"> PAGEREF _Toc519100832 \h </w:instrText>
        </w:r>
        <w:r w:rsidR="00D8754C">
          <w:rPr>
            <w:noProof/>
            <w:webHidden/>
          </w:rPr>
        </w:r>
        <w:r w:rsidR="00D8754C">
          <w:rPr>
            <w:noProof/>
            <w:webHidden/>
          </w:rPr>
          <w:fldChar w:fldCharType="separate"/>
        </w:r>
        <w:r w:rsidR="006750D1">
          <w:rPr>
            <w:noProof/>
            <w:webHidden/>
          </w:rPr>
          <w:t>14</w:t>
        </w:r>
        <w:r w:rsidR="00D8754C">
          <w:rPr>
            <w:noProof/>
            <w:webHidden/>
          </w:rPr>
          <w:fldChar w:fldCharType="end"/>
        </w:r>
      </w:hyperlink>
    </w:p>
    <w:p w:rsidR="00D8754C" w:rsidRDefault="00324C70">
      <w:pPr>
        <w:pStyle w:val="TDC2"/>
        <w:tabs>
          <w:tab w:val="right" w:leader="dot" w:pos="9394"/>
        </w:tabs>
        <w:rPr>
          <w:rFonts w:asciiTheme="minorHAnsi" w:eastAsiaTheme="minorEastAsia" w:hAnsiTheme="minorHAnsi" w:cstheme="minorBidi"/>
          <w:noProof/>
          <w:sz w:val="22"/>
          <w:szCs w:val="22"/>
          <w:lang w:val="es-MX" w:eastAsia="es-MX"/>
        </w:rPr>
      </w:pPr>
      <w:hyperlink w:anchor="_Toc519100833" w:history="1">
        <w:r w:rsidR="00D8754C" w:rsidRPr="005209CC">
          <w:rPr>
            <w:rStyle w:val="Hipervnculo"/>
            <w:noProof/>
            <w:lang w:val="es-MX"/>
          </w:rPr>
          <w:t>CUARTO. Descripción de las Partes involucradas en la Operación</w:t>
        </w:r>
        <w:r w:rsidR="00D8754C">
          <w:rPr>
            <w:noProof/>
            <w:webHidden/>
          </w:rPr>
          <w:tab/>
        </w:r>
        <w:r w:rsidR="00D8754C">
          <w:rPr>
            <w:noProof/>
            <w:webHidden/>
          </w:rPr>
          <w:fldChar w:fldCharType="begin"/>
        </w:r>
        <w:r w:rsidR="00D8754C">
          <w:rPr>
            <w:noProof/>
            <w:webHidden/>
          </w:rPr>
          <w:instrText xml:space="preserve"> PAGEREF _Toc519100833 \h </w:instrText>
        </w:r>
        <w:r w:rsidR="00D8754C">
          <w:rPr>
            <w:noProof/>
            <w:webHidden/>
          </w:rPr>
        </w:r>
        <w:r w:rsidR="00D8754C">
          <w:rPr>
            <w:noProof/>
            <w:webHidden/>
          </w:rPr>
          <w:fldChar w:fldCharType="separate"/>
        </w:r>
        <w:r w:rsidR="006750D1">
          <w:rPr>
            <w:noProof/>
            <w:webHidden/>
          </w:rPr>
          <w:t>14</w:t>
        </w:r>
        <w:r w:rsidR="00D8754C">
          <w:rPr>
            <w:noProof/>
            <w:webHidden/>
          </w:rPr>
          <w:fldChar w:fldCharType="end"/>
        </w:r>
      </w:hyperlink>
    </w:p>
    <w:p w:rsidR="00D8754C" w:rsidRDefault="00324C70">
      <w:pPr>
        <w:pStyle w:val="TDC3"/>
        <w:tabs>
          <w:tab w:val="left" w:pos="1100"/>
          <w:tab w:val="right" w:leader="dot" w:pos="9394"/>
        </w:tabs>
        <w:rPr>
          <w:rFonts w:asciiTheme="minorHAnsi" w:eastAsiaTheme="minorEastAsia" w:hAnsiTheme="minorHAnsi" w:cstheme="minorBidi"/>
          <w:noProof/>
          <w:sz w:val="22"/>
          <w:szCs w:val="22"/>
          <w:lang w:val="es-MX" w:eastAsia="es-MX"/>
        </w:rPr>
      </w:pPr>
      <w:hyperlink w:anchor="_Toc519100835" w:history="1">
        <w:r w:rsidR="00D8754C" w:rsidRPr="005209CC">
          <w:rPr>
            <w:rStyle w:val="Hipervnculo"/>
            <w:noProof/>
            <w:lang w:val="es-MX"/>
          </w:rPr>
          <w:t>4.1.</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Cedente</w:t>
        </w:r>
        <w:r w:rsidR="00D8754C">
          <w:rPr>
            <w:noProof/>
            <w:webHidden/>
          </w:rPr>
          <w:tab/>
        </w:r>
        <w:r w:rsidR="00D8754C">
          <w:rPr>
            <w:noProof/>
            <w:webHidden/>
          </w:rPr>
          <w:fldChar w:fldCharType="begin"/>
        </w:r>
        <w:r w:rsidR="00D8754C">
          <w:rPr>
            <w:noProof/>
            <w:webHidden/>
          </w:rPr>
          <w:instrText xml:space="preserve"> PAGEREF _Toc519100835 \h </w:instrText>
        </w:r>
        <w:r w:rsidR="00D8754C">
          <w:rPr>
            <w:noProof/>
            <w:webHidden/>
          </w:rPr>
        </w:r>
        <w:r w:rsidR="00D8754C">
          <w:rPr>
            <w:noProof/>
            <w:webHidden/>
          </w:rPr>
          <w:fldChar w:fldCharType="separate"/>
        </w:r>
        <w:r w:rsidR="006750D1">
          <w:rPr>
            <w:noProof/>
            <w:webHidden/>
          </w:rPr>
          <w:t>15</w:t>
        </w:r>
        <w:r w:rsidR="00D8754C">
          <w:rPr>
            <w:noProof/>
            <w:webHidden/>
          </w:rPr>
          <w:fldChar w:fldCharType="end"/>
        </w:r>
      </w:hyperlink>
    </w:p>
    <w:p w:rsidR="00D8754C" w:rsidRDefault="00324C70">
      <w:pPr>
        <w:pStyle w:val="TDC4"/>
        <w:tabs>
          <w:tab w:val="left" w:pos="1540"/>
          <w:tab w:val="right" w:leader="dot" w:pos="9394"/>
        </w:tabs>
        <w:rPr>
          <w:rFonts w:asciiTheme="minorHAnsi" w:eastAsiaTheme="minorEastAsia" w:hAnsiTheme="minorHAnsi" w:cstheme="minorBidi"/>
          <w:noProof/>
          <w:sz w:val="22"/>
          <w:szCs w:val="22"/>
          <w:lang w:val="es-MX" w:eastAsia="es-MX"/>
        </w:rPr>
      </w:pPr>
      <w:hyperlink w:anchor="_Toc519100841" w:history="1">
        <w:r w:rsidR="00D8754C" w:rsidRPr="005209CC">
          <w:rPr>
            <w:rStyle w:val="Hipervnculo"/>
            <w:noProof/>
            <w:lang w:val="es-MX"/>
          </w:rPr>
          <w:t>4.1.1.</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Audio Publicidad</w:t>
        </w:r>
        <w:r w:rsidR="00D8754C">
          <w:rPr>
            <w:noProof/>
            <w:webHidden/>
          </w:rPr>
          <w:tab/>
        </w:r>
        <w:r w:rsidR="00D8754C">
          <w:rPr>
            <w:noProof/>
            <w:webHidden/>
          </w:rPr>
          <w:fldChar w:fldCharType="begin"/>
        </w:r>
        <w:r w:rsidR="00D8754C">
          <w:rPr>
            <w:noProof/>
            <w:webHidden/>
          </w:rPr>
          <w:instrText xml:space="preserve"> PAGEREF _Toc519100841 \h </w:instrText>
        </w:r>
        <w:r w:rsidR="00D8754C">
          <w:rPr>
            <w:noProof/>
            <w:webHidden/>
          </w:rPr>
        </w:r>
        <w:r w:rsidR="00D8754C">
          <w:rPr>
            <w:noProof/>
            <w:webHidden/>
          </w:rPr>
          <w:fldChar w:fldCharType="separate"/>
        </w:r>
        <w:r w:rsidR="006750D1">
          <w:rPr>
            <w:noProof/>
            <w:webHidden/>
          </w:rPr>
          <w:t>15</w:t>
        </w:r>
        <w:r w:rsidR="00D8754C">
          <w:rPr>
            <w:noProof/>
            <w:webHidden/>
          </w:rPr>
          <w:fldChar w:fldCharType="end"/>
        </w:r>
      </w:hyperlink>
    </w:p>
    <w:p w:rsidR="00D8754C" w:rsidRDefault="00324C70">
      <w:pPr>
        <w:pStyle w:val="TDC4"/>
        <w:tabs>
          <w:tab w:val="left" w:pos="1540"/>
          <w:tab w:val="right" w:leader="dot" w:pos="9394"/>
        </w:tabs>
        <w:rPr>
          <w:rFonts w:asciiTheme="minorHAnsi" w:eastAsiaTheme="minorEastAsia" w:hAnsiTheme="minorHAnsi" w:cstheme="minorBidi"/>
          <w:noProof/>
          <w:sz w:val="22"/>
          <w:szCs w:val="22"/>
          <w:lang w:val="es-MX" w:eastAsia="es-MX"/>
        </w:rPr>
      </w:pPr>
      <w:hyperlink w:anchor="_Toc519100842" w:history="1">
        <w:r w:rsidR="00D8754C" w:rsidRPr="005209CC">
          <w:rPr>
            <w:rStyle w:val="Hipervnculo"/>
            <w:noProof/>
            <w:lang w:val="es-MX"/>
          </w:rPr>
          <w:t>4.1.2.</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GIE del Cedente</w:t>
        </w:r>
        <w:r w:rsidR="00D8754C">
          <w:rPr>
            <w:noProof/>
            <w:webHidden/>
          </w:rPr>
          <w:tab/>
        </w:r>
        <w:r w:rsidR="00D8754C">
          <w:rPr>
            <w:noProof/>
            <w:webHidden/>
          </w:rPr>
          <w:fldChar w:fldCharType="begin"/>
        </w:r>
        <w:r w:rsidR="00D8754C">
          <w:rPr>
            <w:noProof/>
            <w:webHidden/>
          </w:rPr>
          <w:instrText xml:space="preserve"> PAGEREF _Toc519100842 \h </w:instrText>
        </w:r>
        <w:r w:rsidR="00D8754C">
          <w:rPr>
            <w:noProof/>
            <w:webHidden/>
          </w:rPr>
        </w:r>
        <w:r w:rsidR="00D8754C">
          <w:rPr>
            <w:noProof/>
            <w:webHidden/>
          </w:rPr>
          <w:fldChar w:fldCharType="separate"/>
        </w:r>
        <w:r w:rsidR="006750D1">
          <w:rPr>
            <w:noProof/>
            <w:webHidden/>
          </w:rPr>
          <w:t>15</w:t>
        </w:r>
        <w:r w:rsidR="00D8754C">
          <w:rPr>
            <w:noProof/>
            <w:webHidden/>
          </w:rPr>
          <w:fldChar w:fldCharType="end"/>
        </w:r>
      </w:hyperlink>
    </w:p>
    <w:p w:rsidR="00D8754C" w:rsidRDefault="00324C70">
      <w:pPr>
        <w:pStyle w:val="TDC4"/>
        <w:tabs>
          <w:tab w:val="left" w:pos="1540"/>
          <w:tab w:val="right" w:leader="dot" w:pos="9394"/>
        </w:tabs>
        <w:rPr>
          <w:rFonts w:asciiTheme="minorHAnsi" w:eastAsiaTheme="minorEastAsia" w:hAnsiTheme="minorHAnsi" w:cstheme="minorBidi"/>
          <w:noProof/>
          <w:sz w:val="22"/>
          <w:szCs w:val="22"/>
          <w:lang w:val="es-MX" w:eastAsia="es-MX"/>
        </w:rPr>
      </w:pPr>
      <w:hyperlink w:anchor="_Toc519100843" w:history="1">
        <w:r w:rsidR="00D8754C" w:rsidRPr="005209CC">
          <w:rPr>
            <w:rStyle w:val="Hipervnculo"/>
            <w:noProof/>
            <w:lang w:val="es-MX"/>
          </w:rPr>
          <w:t>4.1.3.</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Actividades del GIE Audio Publicidad</w:t>
        </w:r>
        <w:r w:rsidR="00D8754C">
          <w:rPr>
            <w:noProof/>
            <w:webHidden/>
          </w:rPr>
          <w:tab/>
        </w:r>
        <w:r w:rsidR="00D8754C">
          <w:rPr>
            <w:noProof/>
            <w:webHidden/>
          </w:rPr>
          <w:fldChar w:fldCharType="begin"/>
        </w:r>
        <w:r w:rsidR="00D8754C">
          <w:rPr>
            <w:noProof/>
            <w:webHidden/>
          </w:rPr>
          <w:instrText xml:space="preserve"> PAGEREF _Toc519100843 \h </w:instrText>
        </w:r>
        <w:r w:rsidR="00D8754C">
          <w:rPr>
            <w:noProof/>
            <w:webHidden/>
          </w:rPr>
        </w:r>
        <w:r w:rsidR="00D8754C">
          <w:rPr>
            <w:noProof/>
            <w:webHidden/>
          </w:rPr>
          <w:fldChar w:fldCharType="separate"/>
        </w:r>
        <w:r w:rsidR="006750D1">
          <w:rPr>
            <w:noProof/>
            <w:webHidden/>
          </w:rPr>
          <w:t>16</w:t>
        </w:r>
        <w:r w:rsidR="00D8754C">
          <w:rPr>
            <w:noProof/>
            <w:webHidden/>
          </w:rPr>
          <w:fldChar w:fldCharType="end"/>
        </w:r>
      </w:hyperlink>
    </w:p>
    <w:p w:rsidR="00D8754C" w:rsidRDefault="00324C70">
      <w:pPr>
        <w:pStyle w:val="TDC3"/>
        <w:tabs>
          <w:tab w:val="left" w:pos="1100"/>
          <w:tab w:val="right" w:leader="dot" w:pos="9394"/>
        </w:tabs>
        <w:rPr>
          <w:rFonts w:asciiTheme="minorHAnsi" w:eastAsiaTheme="minorEastAsia" w:hAnsiTheme="minorHAnsi" w:cstheme="minorBidi"/>
          <w:noProof/>
          <w:sz w:val="22"/>
          <w:szCs w:val="22"/>
          <w:lang w:val="es-MX" w:eastAsia="es-MX"/>
        </w:rPr>
      </w:pPr>
      <w:hyperlink w:anchor="_Toc519100844" w:history="1">
        <w:r w:rsidR="00D8754C" w:rsidRPr="005209CC">
          <w:rPr>
            <w:rStyle w:val="Hipervnculo"/>
            <w:noProof/>
            <w:lang w:val="es-MX"/>
          </w:rPr>
          <w:t>4.2.</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Cesionario</w:t>
        </w:r>
        <w:r w:rsidR="00D8754C">
          <w:rPr>
            <w:noProof/>
            <w:webHidden/>
          </w:rPr>
          <w:tab/>
        </w:r>
        <w:r w:rsidR="00D8754C">
          <w:rPr>
            <w:noProof/>
            <w:webHidden/>
          </w:rPr>
          <w:fldChar w:fldCharType="begin"/>
        </w:r>
        <w:r w:rsidR="00D8754C">
          <w:rPr>
            <w:noProof/>
            <w:webHidden/>
          </w:rPr>
          <w:instrText xml:space="preserve"> PAGEREF _Toc519100844 \h </w:instrText>
        </w:r>
        <w:r w:rsidR="00D8754C">
          <w:rPr>
            <w:noProof/>
            <w:webHidden/>
          </w:rPr>
        </w:r>
        <w:r w:rsidR="00D8754C">
          <w:rPr>
            <w:noProof/>
            <w:webHidden/>
          </w:rPr>
          <w:fldChar w:fldCharType="separate"/>
        </w:r>
        <w:r w:rsidR="006750D1">
          <w:rPr>
            <w:noProof/>
            <w:webHidden/>
          </w:rPr>
          <w:t>16</w:t>
        </w:r>
        <w:r w:rsidR="00D8754C">
          <w:rPr>
            <w:noProof/>
            <w:webHidden/>
          </w:rPr>
          <w:fldChar w:fldCharType="end"/>
        </w:r>
      </w:hyperlink>
    </w:p>
    <w:p w:rsidR="00D8754C" w:rsidRDefault="00324C70">
      <w:pPr>
        <w:pStyle w:val="TDC4"/>
        <w:tabs>
          <w:tab w:val="left" w:pos="1540"/>
          <w:tab w:val="right" w:leader="dot" w:pos="9394"/>
        </w:tabs>
        <w:rPr>
          <w:rFonts w:asciiTheme="minorHAnsi" w:eastAsiaTheme="minorEastAsia" w:hAnsiTheme="minorHAnsi" w:cstheme="minorBidi"/>
          <w:noProof/>
          <w:sz w:val="22"/>
          <w:szCs w:val="22"/>
          <w:lang w:val="es-MX" w:eastAsia="es-MX"/>
        </w:rPr>
      </w:pPr>
      <w:hyperlink w:anchor="_Toc519100846" w:history="1">
        <w:r w:rsidR="00D8754C" w:rsidRPr="005209CC">
          <w:rPr>
            <w:rStyle w:val="Hipervnculo"/>
            <w:noProof/>
            <w:lang w:val="es-MX"/>
          </w:rPr>
          <w:t>4.2.1.</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Radio Triunfos</w:t>
        </w:r>
        <w:r w:rsidR="00D8754C">
          <w:rPr>
            <w:noProof/>
            <w:webHidden/>
          </w:rPr>
          <w:tab/>
        </w:r>
        <w:r w:rsidR="00D8754C">
          <w:rPr>
            <w:noProof/>
            <w:webHidden/>
          </w:rPr>
          <w:fldChar w:fldCharType="begin"/>
        </w:r>
        <w:r w:rsidR="00D8754C">
          <w:rPr>
            <w:noProof/>
            <w:webHidden/>
          </w:rPr>
          <w:instrText xml:space="preserve"> PAGEREF _Toc519100846 \h </w:instrText>
        </w:r>
        <w:r w:rsidR="00D8754C">
          <w:rPr>
            <w:noProof/>
            <w:webHidden/>
          </w:rPr>
        </w:r>
        <w:r w:rsidR="00D8754C">
          <w:rPr>
            <w:noProof/>
            <w:webHidden/>
          </w:rPr>
          <w:fldChar w:fldCharType="separate"/>
        </w:r>
        <w:r w:rsidR="006750D1">
          <w:rPr>
            <w:noProof/>
            <w:webHidden/>
          </w:rPr>
          <w:t>16</w:t>
        </w:r>
        <w:r w:rsidR="00D8754C">
          <w:rPr>
            <w:noProof/>
            <w:webHidden/>
          </w:rPr>
          <w:fldChar w:fldCharType="end"/>
        </w:r>
      </w:hyperlink>
    </w:p>
    <w:p w:rsidR="00D8754C" w:rsidRDefault="00324C70">
      <w:pPr>
        <w:pStyle w:val="TDC4"/>
        <w:tabs>
          <w:tab w:val="left" w:pos="1540"/>
          <w:tab w:val="right" w:leader="dot" w:pos="9394"/>
        </w:tabs>
        <w:rPr>
          <w:rFonts w:asciiTheme="minorHAnsi" w:eastAsiaTheme="minorEastAsia" w:hAnsiTheme="minorHAnsi" w:cstheme="minorBidi"/>
          <w:noProof/>
          <w:sz w:val="22"/>
          <w:szCs w:val="22"/>
          <w:lang w:val="es-MX" w:eastAsia="es-MX"/>
        </w:rPr>
      </w:pPr>
      <w:hyperlink w:anchor="_Toc519100847" w:history="1">
        <w:r w:rsidR="00D8754C" w:rsidRPr="005209CC">
          <w:rPr>
            <w:rStyle w:val="Hipervnculo"/>
            <w:noProof/>
            <w:lang w:val="es-MX"/>
          </w:rPr>
          <w:t>4.2.2.</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MMR</w:t>
        </w:r>
        <w:r w:rsidR="00D8754C">
          <w:rPr>
            <w:noProof/>
            <w:webHidden/>
          </w:rPr>
          <w:tab/>
        </w:r>
        <w:r w:rsidR="00D8754C">
          <w:rPr>
            <w:noProof/>
            <w:webHidden/>
          </w:rPr>
          <w:fldChar w:fldCharType="begin"/>
        </w:r>
        <w:r w:rsidR="00D8754C">
          <w:rPr>
            <w:noProof/>
            <w:webHidden/>
          </w:rPr>
          <w:instrText xml:space="preserve"> PAGEREF _Toc519100847 \h </w:instrText>
        </w:r>
        <w:r w:rsidR="00D8754C">
          <w:rPr>
            <w:noProof/>
            <w:webHidden/>
          </w:rPr>
        </w:r>
        <w:r w:rsidR="00D8754C">
          <w:rPr>
            <w:noProof/>
            <w:webHidden/>
          </w:rPr>
          <w:fldChar w:fldCharType="separate"/>
        </w:r>
        <w:r w:rsidR="006750D1">
          <w:rPr>
            <w:noProof/>
            <w:webHidden/>
          </w:rPr>
          <w:t>17</w:t>
        </w:r>
        <w:r w:rsidR="00D8754C">
          <w:rPr>
            <w:noProof/>
            <w:webHidden/>
          </w:rPr>
          <w:fldChar w:fldCharType="end"/>
        </w:r>
      </w:hyperlink>
    </w:p>
    <w:p w:rsidR="00D8754C" w:rsidRDefault="00324C70">
      <w:pPr>
        <w:pStyle w:val="TDC4"/>
        <w:tabs>
          <w:tab w:val="left" w:pos="1540"/>
          <w:tab w:val="right" w:leader="dot" w:pos="9394"/>
        </w:tabs>
        <w:rPr>
          <w:rFonts w:asciiTheme="minorHAnsi" w:eastAsiaTheme="minorEastAsia" w:hAnsiTheme="minorHAnsi" w:cstheme="minorBidi"/>
          <w:noProof/>
          <w:sz w:val="22"/>
          <w:szCs w:val="22"/>
          <w:lang w:val="es-MX" w:eastAsia="es-MX"/>
        </w:rPr>
      </w:pPr>
      <w:hyperlink w:anchor="_Toc519100848" w:history="1">
        <w:r w:rsidR="00D8754C" w:rsidRPr="005209CC">
          <w:rPr>
            <w:rStyle w:val="Hipervnculo"/>
            <w:noProof/>
            <w:lang w:val="es-MX"/>
          </w:rPr>
          <w:t>4.2.3.</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GIE del Cesionario</w:t>
        </w:r>
        <w:r w:rsidR="00D8754C">
          <w:rPr>
            <w:noProof/>
            <w:webHidden/>
          </w:rPr>
          <w:tab/>
        </w:r>
        <w:r w:rsidR="00D8754C">
          <w:rPr>
            <w:noProof/>
            <w:webHidden/>
          </w:rPr>
          <w:fldChar w:fldCharType="begin"/>
        </w:r>
        <w:r w:rsidR="00D8754C">
          <w:rPr>
            <w:noProof/>
            <w:webHidden/>
          </w:rPr>
          <w:instrText xml:space="preserve"> PAGEREF _Toc519100848 \h </w:instrText>
        </w:r>
        <w:r w:rsidR="00D8754C">
          <w:rPr>
            <w:noProof/>
            <w:webHidden/>
          </w:rPr>
        </w:r>
        <w:r w:rsidR="00D8754C">
          <w:rPr>
            <w:noProof/>
            <w:webHidden/>
          </w:rPr>
          <w:fldChar w:fldCharType="separate"/>
        </w:r>
        <w:r w:rsidR="006750D1">
          <w:rPr>
            <w:noProof/>
            <w:webHidden/>
          </w:rPr>
          <w:t>17</w:t>
        </w:r>
        <w:r w:rsidR="00D8754C">
          <w:rPr>
            <w:noProof/>
            <w:webHidden/>
          </w:rPr>
          <w:fldChar w:fldCharType="end"/>
        </w:r>
      </w:hyperlink>
    </w:p>
    <w:p w:rsidR="00D8754C" w:rsidRDefault="00324C70">
      <w:pPr>
        <w:pStyle w:val="TDC5"/>
        <w:tabs>
          <w:tab w:val="right" w:leader="dot" w:pos="9394"/>
        </w:tabs>
        <w:rPr>
          <w:rFonts w:asciiTheme="minorHAnsi" w:eastAsiaTheme="minorEastAsia" w:hAnsiTheme="minorHAnsi" w:cstheme="minorBidi"/>
          <w:noProof/>
          <w:sz w:val="22"/>
          <w:szCs w:val="22"/>
          <w:lang w:val="es-MX" w:eastAsia="es-MX"/>
        </w:rPr>
      </w:pPr>
      <w:hyperlink w:anchor="_Toc519100849" w:history="1">
        <w:r w:rsidR="00D8754C" w:rsidRPr="005209CC">
          <w:rPr>
            <w:rStyle w:val="Hipervnculo"/>
            <w:noProof/>
            <w:lang w:val="es-MX" w:eastAsia="en-US"/>
          </w:rPr>
          <w:t>Personas integrantes del GIE</w:t>
        </w:r>
        <w:r w:rsidR="00D8754C">
          <w:rPr>
            <w:noProof/>
            <w:webHidden/>
          </w:rPr>
          <w:tab/>
        </w:r>
        <w:r w:rsidR="00D8754C">
          <w:rPr>
            <w:noProof/>
            <w:webHidden/>
          </w:rPr>
          <w:fldChar w:fldCharType="begin"/>
        </w:r>
        <w:r w:rsidR="00D8754C">
          <w:rPr>
            <w:noProof/>
            <w:webHidden/>
          </w:rPr>
          <w:instrText xml:space="preserve"> PAGEREF _Toc519100849 \h </w:instrText>
        </w:r>
        <w:r w:rsidR="00D8754C">
          <w:rPr>
            <w:noProof/>
            <w:webHidden/>
          </w:rPr>
        </w:r>
        <w:r w:rsidR="00D8754C">
          <w:rPr>
            <w:noProof/>
            <w:webHidden/>
          </w:rPr>
          <w:fldChar w:fldCharType="separate"/>
        </w:r>
        <w:r w:rsidR="006750D1">
          <w:rPr>
            <w:noProof/>
            <w:webHidden/>
          </w:rPr>
          <w:t>17</w:t>
        </w:r>
        <w:r w:rsidR="00D8754C">
          <w:rPr>
            <w:noProof/>
            <w:webHidden/>
          </w:rPr>
          <w:fldChar w:fldCharType="end"/>
        </w:r>
      </w:hyperlink>
    </w:p>
    <w:p w:rsidR="00D8754C" w:rsidRDefault="00324C70">
      <w:pPr>
        <w:pStyle w:val="TDC5"/>
        <w:tabs>
          <w:tab w:val="right" w:leader="dot" w:pos="9394"/>
        </w:tabs>
        <w:rPr>
          <w:rFonts w:asciiTheme="minorHAnsi" w:eastAsiaTheme="minorEastAsia" w:hAnsiTheme="minorHAnsi" w:cstheme="minorBidi"/>
          <w:noProof/>
          <w:sz w:val="22"/>
          <w:szCs w:val="22"/>
          <w:lang w:val="es-MX" w:eastAsia="es-MX"/>
        </w:rPr>
      </w:pPr>
      <w:hyperlink w:anchor="_Toc519100850" w:history="1">
        <w:r w:rsidR="00D8754C" w:rsidRPr="005209CC">
          <w:rPr>
            <w:rStyle w:val="Hipervnculo"/>
            <w:noProof/>
            <w:lang w:val="es-MX" w:eastAsia="en-US"/>
          </w:rPr>
          <w:t>Contratos de Afiliación</w:t>
        </w:r>
        <w:r w:rsidR="00D8754C">
          <w:rPr>
            <w:noProof/>
            <w:webHidden/>
          </w:rPr>
          <w:tab/>
        </w:r>
        <w:r w:rsidR="00D8754C">
          <w:rPr>
            <w:noProof/>
            <w:webHidden/>
          </w:rPr>
          <w:fldChar w:fldCharType="begin"/>
        </w:r>
        <w:r w:rsidR="00D8754C">
          <w:rPr>
            <w:noProof/>
            <w:webHidden/>
          </w:rPr>
          <w:instrText xml:space="preserve"> PAGEREF _Toc519100850 \h </w:instrText>
        </w:r>
        <w:r w:rsidR="00D8754C">
          <w:rPr>
            <w:noProof/>
            <w:webHidden/>
          </w:rPr>
        </w:r>
        <w:r w:rsidR="00D8754C">
          <w:rPr>
            <w:noProof/>
            <w:webHidden/>
          </w:rPr>
          <w:fldChar w:fldCharType="separate"/>
        </w:r>
        <w:r w:rsidR="006750D1">
          <w:rPr>
            <w:noProof/>
            <w:webHidden/>
          </w:rPr>
          <w:t>20</w:t>
        </w:r>
        <w:r w:rsidR="00D8754C">
          <w:rPr>
            <w:noProof/>
            <w:webHidden/>
          </w:rPr>
          <w:fldChar w:fldCharType="end"/>
        </w:r>
      </w:hyperlink>
    </w:p>
    <w:p w:rsidR="00D8754C" w:rsidRDefault="00324C70">
      <w:pPr>
        <w:pStyle w:val="TDC4"/>
        <w:tabs>
          <w:tab w:val="left" w:pos="1540"/>
          <w:tab w:val="right" w:leader="dot" w:pos="9394"/>
        </w:tabs>
        <w:rPr>
          <w:rFonts w:asciiTheme="minorHAnsi" w:eastAsiaTheme="minorEastAsia" w:hAnsiTheme="minorHAnsi" w:cstheme="minorBidi"/>
          <w:noProof/>
          <w:sz w:val="22"/>
          <w:szCs w:val="22"/>
          <w:lang w:val="es-MX" w:eastAsia="es-MX"/>
        </w:rPr>
      </w:pPr>
      <w:hyperlink w:anchor="_Toc519100851" w:history="1">
        <w:r w:rsidR="00D8754C" w:rsidRPr="005209CC">
          <w:rPr>
            <w:rStyle w:val="Hipervnculo"/>
            <w:noProof/>
            <w:lang w:val="es-MX"/>
          </w:rPr>
          <w:t>4.2.4.</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Actividades del GIE Grupo Multimedios</w:t>
        </w:r>
        <w:r w:rsidR="00D8754C">
          <w:rPr>
            <w:noProof/>
            <w:webHidden/>
          </w:rPr>
          <w:tab/>
        </w:r>
        <w:r w:rsidR="00D8754C">
          <w:rPr>
            <w:noProof/>
            <w:webHidden/>
          </w:rPr>
          <w:fldChar w:fldCharType="begin"/>
        </w:r>
        <w:r w:rsidR="00D8754C">
          <w:rPr>
            <w:noProof/>
            <w:webHidden/>
          </w:rPr>
          <w:instrText xml:space="preserve"> PAGEREF _Toc519100851 \h </w:instrText>
        </w:r>
        <w:r w:rsidR="00D8754C">
          <w:rPr>
            <w:noProof/>
            <w:webHidden/>
          </w:rPr>
        </w:r>
        <w:r w:rsidR="00D8754C">
          <w:rPr>
            <w:noProof/>
            <w:webHidden/>
          </w:rPr>
          <w:fldChar w:fldCharType="separate"/>
        </w:r>
        <w:r w:rsidR="006750D1">
          <w:rPr>
            <w:noProof/>
            <w:webHidden/>
          </w:rPr>
          <w:t>22</w:t>
        </w:r>
        <w:r w:rsidR="00D8754C">
          <w:rPr>
            <w:noProof/>
            <w:webHidden/>
          </w:rPr>
          <w:fldChar w:fldCharType="end"/>
        </w:r>
      </w:hyperlink>
    </w:p>
    <w:p w:rsidR="00D8754C" w:rsidRDefault="00324C70">
      <w:pPr>
        <w:pStyle w:val="TDC5"/>
        <w:tabs>
          <w:tab w:val="right" w:leader="dot" w:pos="9394"/>
        </w:tabs>
        <w:rPr>
          <w:rFonts w:asciiTheme="minorHAnsi" w:eastAsiaTheme="minorEastAsia" w:hAnsiTheme="minorHAnsi" w:cstheme="minorBidi"/>
          <w:noProof/>
          <w:sz w:val="22"/>
          <w:szCs w:val="22"/>
          <w:lang w:val="es-MX" w:eastAsia="es-MX"/>
        </w:rPr>
      </w:pPr>
      <w:hyperlink w:anchor="_Toc519100852" w:history="1">
        <w:r w:rsidR="00D8754C" w:rsidRPr="005209CC">
          <w:rPr>
            <w:rStyle w:val="Hipervnculo"/>
            <w:noProof/>
            <w:lang w:val="es-MX" w:eastAsia="en-US"/>
          </w:rPr>
          <w:t>Solicitudes de concesiones en trámite</w:t>
        </w:r>
        <w:r w:rsidR="00D8754C">
          <w:rPr>
            <w:noProof/>
            <w:webHidden/>
          </w:rPr>
          <w:tab/>
        </w:r>
        <w:r w:rsidR="00D8754C">
          <w:rPr>
            <w:noProof/>
            <w:webHidden/>
          </w:rPr>
          <w:fldChar w:fldCharType="begin"/>
        </w:r>
        <w:r w:rsidR="00D8754C">
          <w:rPr>
            <w:noProof/>
            <w:webHidden/>
          </w:rPr>
          <w:instrText xml:space="preserve"> PAGEREF _Toc519100852 \h </w:instrText>
        </w:r>
        <w:r w:rsidR="00D8754C">
          <w:rPr>
            <w:noProof/>
            <w:webHidden/>
          </w:rPr>
        </w:r>
        <w:r w:rsidR="00D8754C">
          <w:rPr>
            <w:noProof/>
            <w:webHidden/>
          </w:rPr>
          <w:fldChar w:fldCharType="separate"/>
        </w:r>
        <w:r w:rsidR="006750D1">
          <w:rPr>
            <w:noProof/>
            <w:webHidden/>
          </w:rPr>
          <w:t>27</w:t>
        </w:r>
        <w:r w:rsidR="00D8754C">
          <w:rPr>
            <w:noProof/>
            <w:webHidden/>
          </w:rPr>
          <w:fldChar w:fldCharType="end"/>
        </w:r>
      </w:hyperlink>
    </w:p>
    <w:p w:rsidR="00D8754C" w:rsidRDefault="00324C70">
      <w:pPr>
        <w:pStyle w:val="TDC3"/>
        <w:tabs>
          <w:tab w:val="left" w:pos="1100"/>
          <w:tab w:val="right" w:leader="dot" w:pos="9394"/>
        </w:tabs>
        <w:rPr>
          <w:rFonts w:asciiTheme="minorHAnsi" w:eastAsiaTheme="minorEastAsia" w:hAnsiTheme="minorHAnsi" w:cstheme="minorBidi"/>
          <w:noProof/>
          <w:sz w:val="22"/>
          <w:szCs w:val="22"/>
          <w:lang w:val="es-MX" w:eastAsia="es-MX"/>
        </w:rPr>
      </w:pPr>
      <w:hyperlink w:anchor="_Toc519100853" w:history="1">
        <w:r w:rsidR="00D8754C" w:rsidRPr="005209CC">
          <w:rPr>
            <w:rStyle w:val="Hipervnculo"/>
            <w:noProof/>
            <w:lang w:val="es-MX"/>
          </w:rPr>
          <w:t>4.3.</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Coincidencias en las actividades económicas de las Partes</w:t>
        </w:r>
        <w:r w:rsidR="00D8754C">
          <w:rPr>
            <w:noProof/>
            <w:webHidden/>
          </w:rPr>
          <w:tab/>
        </w:r>
        <w:r w:rsidR="00D8754C">
          <w:rPr>
            <w:noProof/>
            <w:webHidden/>
          </w:rPr>
          <w:fldChar w:fldCharType="begin"/>
        </w:r>
        <w:r w:rsidR="00D8754C">
          <w:rPr>
            <w:noProof/>
            <w:webHidden/>
          </w:rPr>
          <w:instrText xml:space="preserve"> PAGEREF _Toc519100853 \h </w:instrText>
        </w:r>
        <w:r w:rsidR="00D8754C">
          <w:rPr>
            <w:noProof/>
            <w:webHidden/>
          </w:rPr>
        </w:r>
        <w:r w:rsidR="00D8754C">
          <w:rPr>
            <w:noProof/>
            <w:webHidden/>
          </w:rPr>
          <w:fldChar w:fldCharType="separate"/>
        </w:r>
        <w:r w:rsidR="006750D1">
          <w:rPr>
            <w:noProof/>
            <w:webHidden/>
          </w:rPr>
          <w:t>27</w:t>
        </w:r>
        <w:r w:rsidR="00D8754C">
          <w:rPr>
            <w:noProof/>
            <w:webHidden/>
          </w:rPr>
          <w:fldChar w:fldCharType="end"/>
        </w:r>
      </w:hyperlink>
    </w:p>
    <w:p w:rsidR="00D8754C" w:rsidRDefault="00324C70">
      <w:pPr>
        <w:pStyle w:val="TDC2"/>
        <w:tabs>
          <w:tab w:val="right" w:leader="dot" w:pos="9394"/>
        </w:tabs>
        <w:rPr>
          <w:rFonts w:asciiTheme="minorHAnsi" w:eastAsiaTheme="minorEastAsia" w:hAnsiTheme="minorHAnsi" w:cstheme="minorBidi"/>
          <w:noProof/>
          <w:sz w:val="22"/>
          <w:szCs w:val="22"/>
          <w:lang w:val="es-MX" w:eastAsia="es-MX"/>
        </w:rPr>
      </w:pPr>
      <w:hyperlink w:anchor="_Toc519100854" w:history="1">
        <w:r w:rsidR="00D8754C" w:rsidRPr="005209CC">
          <w:rPr>
            <w:rStyle w:val="Hipervnculo"/>
            <w:noProof/>
            <w:lang w:val="es-MX"/>
          </w:rPr>
          <w:t>QUINTO. Evaluación de los requisitos y elementos establecidos en los párrafos primero a cuarto del Noveno Transitorio</w:t>
        </w:r>
        <w:r w:rsidR="00D8754C">
          <w:rPr>
            <w:noProof/>
            <w:webHidden/>
          </w:rPr>
          <w:tab/>
        </w:r>
        <w:r w:rsidR="00D8754C">
          <w:rPr>
            <w:noProof/>
            <w:webHidden/>
          </w:rPr>
          <w:fldChar w:fldCharType="begin"/>
        </w:r>
        <w:r w:rsidR="00D8754C">
          <w:rPr>
            <w:noProof/>
            <w:webHidden/>
          </w:rPr>
          <w:instrText xml:space="preserve"> PAGEREF _Toc519100854 \h </w:instrText>
        </w:r>
        <w:r w:rsidR="00D8754C">
          <w:rPr>
            <w:noProof/>
            <w:webHidden/>
          </w:rPr>
        </w:r>
        <w:r w:rsidR="00D8754C">
          <w:rPr>
            <w:noProof/>
            <w:webHidden/>
          </w:rPr>
          <w:fldChar w:fldCharType="separate"/>
        </w:r>
        <w:r w:rsidR="006750D1">
          <w:rPr>
            <w:noProof/>
            <w:webHidden/>
          </w:rPr>
          <w:t>28</w:t>
        </w:r>
        <w:r w:rsidR="00D8754C">
          <w:rPr>
            <w:noProof/>
            <w:webHidden/>
          </w:rPr>
          <w:fldChar w:fldCharType="end"/>
        </w:r>
      </w:hyperlink>
    </w:p>
    <w:p w:rsidR="00D8754C" w:rsidRDefault="00324C70">
      <w:pPr>
        <w:pStyle w:val="TDC3"/>
        <w:tabs>
          <w:tab w:val="left" w:pos="1100"/>
          <w:tab w:val="right" w:leader="dot" w:pos="9394"/>
        </w:tabs>
        <w:rPr>
          <w:rFonts w:asciiTheme="minorHAnsi" w:eastAsiaTheme="minorEastAsia" w:hAnsiTheme="minorHAnsi" w:cstheme="minorBidi"/>
          <w:noProof/>
          <w:sz w:val="22"/>
          <w:szCs w:val="22"/>
          <w:lang w:val="es-MX" w:eastAsia="es-MX"/>
        </w:rPr>
      </w:pPr>
      <w:hyperlink w:anchor="_Toc519100856" w:history="1">
        <w:r w:rsidR="00D8754C" w:rsidRPr="005209CC">
          <w:rPr>
            <w:rStyle w:val="Hipervnculo"/>
            <w:noProof/>
          </w:rPr>
          <w:t>5.1.</w:t>
        </w:r>
        <w:r w:rsidR="00D8754C">
          <w:rPr>
            <w:rFonts w:asciiTheme="minorHAnsi" w:eastAsiaTheme="minorEastAsia" w:hAnsiTheme="minorHAnsi" w:cstheme="minorBidi"/>
            <w:noProof/>
            <w:sz w:val="22"/>
            <w:szCs w:val="22"/>
            <w:lang w:val="es-MX" w:eastAsia="es-MX"/>
          </w:rPr>
          <w:tab/>
        </w:r>
        <w:r w:rsidR="00D8754C" w:rsidRPr="005209CC">
          <w:rPr>
            <w:rStyle w:val="Hipervnculo"/>
            <w:noProof/>
          </w:rPr>
          <w:t xml:space="preserve">La </w:t>
        </w:r>
        <w:r w:rsidR="00D8754C" w:rsidRPr="005209CC">
          <w:rPr>
            <w:rStyle w:val="Hipervnculo"/>
            <w:noProof/>
            <w:lang w:val="es-MX"/>
          </w:rPr>
          <w:t>Operación</w:t>
        </w:r>
        <w:r w:rsidR="00D8754C" w:rsidRPr="005209CC">
          <w:rPr>
            <w:rStyle w:val="Hipervnculo"/>
            <w:noProof/>
          </w:rPr>
          <w:t xml:space="preserve"> constituye una concentración</w:t>
        </w:r>
        <w:r w:rsidR="00D8754C">
          <w:rPr>
            <w:noProof/>
            <w:webHidden/>
          </w:rPr>
          <w:tab/>
        </w:r>
        <w:r w:rsidR="00D8754C">
          <w:rPr>
            <w:noProof/>
            <w:webHidden/>
          </w:rPr>
          <w:fldChar w:fldCharType="begin"/>
        </w:r>
        <w:r w:rsidR="00D8754C">
          <w:rPr>
            <w:noProof/>
            <w:webHidden/>
          </w:rPr>
          <w:instrText xml:space="preserve"> PAGEREF _Toc519100856 \h </w:instrText>
        </w:r>
        <w:r w:rsidR="00D8754C">
          <w:rPr>
            <w:noProof/>
            <w:webHidden/>
          </w:rPr>
        </w:r>
        <w:r w:rsidR="00D8754C">
          <w:rPr>
            <w:noProof/>
            <w:webHidden/>
          </w:rPr>
          <w:fldChar w:fldCharType="separate"/>
        </w:r>
        <w:r w:rsidR="006750D1">
          <w:rPr>
            <w:noProof/>
            <w:webHidden/>
          </w:rPr>
          <w:t>29</w:t>
        </w:r>
        <w:r w:rsidR="00D8754C">
          <w:rPr>
            <w:noProof/>
            <w:webHidden/>
          </w:rPr>
          <w:fldChar w:fldCharType="end"/>
        </w:r>
      </w:hyperlink>
    </w:p>
    <w:p w:rsidR="00D8754C" w:rsidRDefault="00324C70">
      <w:pPr>
        <w:pStyle w:val="TDC3"/>
        <w:tabs>
          <w:tab w:val="left" w:pos="1100"/>
          <w:tab w:val="right" w:leader="dot" w:pos="9394"/>
        </w:tabs>
        <w:rPr>
          <w:rFonts w:asciiTheme="minorHAnsi" w:eastAsiaTheme="minorEastAsia" w:hAnsiTheme="minorHAnsi" w:cstheme="minorBidi"/>
          <w:noProof/>
          <w:sz w:val="22"/>
          <w:szCs w:val="22"/>
          <w:lang w:val="es-MX" w:eastAsia="es-MX"/>
        </w:rPr>
      </w:pPr>
      <w:hyperlink w:anchor="_Toc519100857" w:history="1">
        <w:r w:rsidR="00D8754C" w:rsidRPr="005209CC">
          <w:rPr>
            <w:rStyle w:val="Hipervnculo"/>
            <w:noProof/>
            <w:lang w:val="es-MX"/>
          </w:rPr>
          <w:t>5.2.</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Los Agentes Económicos que realizaron la concentración son titulares de concesiones</w:t>
        </w:r>
        <w:r w:rsidR="00D8754C">
          <w:rPr>
            <w:noProof/>
            <w:webHidden/>
          </w:rPr>
          <w:tab/>
        </w:r>
        <w:r w:rsidR="00D8754C">
          <w:rPr>
            <w:noProof/>
            <w:webHidden/>
          </w:rPr>
          <w:fldChar w:fldCharType="begin"/>
        </w:r>
        <w:r w:rsidR="00D8754C">
          <w:rPr>
            <w:noProof/>
            <w:webHidden/>
          </w:rPr>
          <w:instrText xml:space="preserve"> PAGEREF _Toc519100857 \h </w:instrText>
        </w:r>
        <w:r w:rsidR="00D8754C">
          <w:rPr>
            <w:noProof/>
            <w:webHidden/>
          </w:rPr>
        </w:r>
        <w:r w:rsidR="00D8754C">
          <w:rPr>
            <w:noProof/>
            <w:webHidden/>
          </w:rPr>
          <w:fldChar w:fldCharType="separate"/>
        </w:r>
        <w:r w:rsidR="006750D1">
          <w:rPr>
            <w:noProof/>
            <w:webHidden/>
          </w:rPr>
          <w:t>29</w:t>
        </w:r>
        <w:r w:rsidR="00D8754C">
          <w:rPr>
            <w:noProof/>
            <w:webHidden/>
          </w:rPr>
          <w:fldChar w:fldCharType="end"/>
        </w:r>
      </w:hyperlink>
    </w:p>
    <w:p w:rsidR="00D8754C" w:rsidRDefault="00324C70">
      <w:pPr>
        <w:pStyle w:val="TDC4"/>
        <w:tabs>
          <w:tab w:val="right" w:leader="dot" w:pos="9394"/>
        </w:tabs>
        <w:rPr>
          <w:rFonts w:asciiTheme="minorHAnsi" w:eastAsiaTheme="minorEastAsia" w:hAnsiTheme="minorHAnsi" w:cstheme="minorBidi"/>
          <w:noProof/>
          <w:sz w:val="22"/>
          <w:szCs w:val="22"/>
          <w:lang w:val="es-MX" w:eastAsia="es-MX"/>
        </w:rPr>
      </w:pPr>
      <w:hyperlink w:anchor="_Toc519100858" w:history="1">
        <w:r w:rsidR="00D8754C" w:rsidRPr="005209CC">
          <w:rPr>
            <w:rStyle w:val="Hipervnculo"/>
            <w:noProof/>
            <w:lang w:val="es-MX"/>
          </w:rPr>
          <w:t>Definición de agente económico —hasta su dimensión de GIE</w:t>
        </w:r>
        <w:r w:rsidR="00D8754C">
          <w:rPr>
            <w:noProof/>
            <w:webHidden/>
          </w:rPr>
          <w:tab/>
        </w:r>
        <w:r w:rsidR="00D8754C">
          <w:rPr>
            <w:noProof/>
            <w:webHidden/>
          </w:rPr>
          <w:fldChar w:fldCharType="begin"/>
        </w:r>
        <w:r w:rsidR="00D8754C">
          <w:rPr>
            <w:noProof/>
            <w:webHidden/>
          </w:rPr>
          <w:instrText xml:space="preserve"> PAGEREF _Toc519100858 \h </w:instrText>
        </w:r>
        <w:r w:rsidR="00D8754C">
          <w:rPr>
            <w:noProof/>
            <w:webHidden/>
          </w:rPr>
        </w:r>
        <w:r w:rsidR="00D8754C">
          <w:rPr>
            <w:noProof/>
            <w:webHidden/>
          </w:rPr>
          <w:fldChar w:fldCharType="separate"/>
        </w:r>
        <w:r w:rsidR="006750D1">
          <w:rPr>
            <w:noProof/>
            <w:webHidden/>
          </w:rPr>
          <w:t>29</w:t>
        </w:r>
        <w:r w:rsidR="00D8754C">
          <w:rPr>
            <w:noProof/>
            <w:webHidden/>
          </w:rPr>
          <w:fldChar w:fldCharType="end"/>
        </w:r>
      </w:hyperlink>
    </w:p>
    <w:p w:rsidR="00D8754C" w:rsidRDefault="00324C70">
      <w:pPr>
        <w:pStyle w:val="TDC4"/>
        <w:tabs>
          <w:tab w:val="right" w:leader="dot" w:pos="9394"/>
        </w:tabs>
        <w:rPr>
          <w:rFonts w:asciiTheme="minorHAnsi" w:eastAsiaTheme="minorEastAsia" w:hAnsiTheme="minorHAnsi" w:cstheme="minorBidi"/>
          <w:noProof/>
          <w:sz w:val="22"/>
          <w:szCs w:val="22"/>
          <w:lang w:val="es-MX" w:eastAsia="es-MX"/>
        </w:rPr>
      </w:pPr>
      <w:hyperlink w:anchor="_Toc519100859" w:history="1">
        <w:r w:rsidR="00D8754C" w:rsidRPr="005209CC">
          <w:rPr>
            <w:rStyle w:val="Hipervnculo"/>
            <w:noProof/>
            <w:lang w:val="es-MX"/>
          </w:rPr>
          <w:t>Los agentes económicos involucrados en la Operación son titulares de concesiones</w:t>
        </w:r>
        <w:r w:rsidR="00D8754C">
          <w:rPr>
            <w:noProof/>
            <w:webHidden/>
          </w:rPr>
          <w:tab/>
        </w:r>
        <w:r w:rsidR="00D8754C">
          <w:rPr>
            <w:noProof/>
            <w:webHidden/>
          </w:rPr>
          <w:fldChar w:fldCharType="begin"/>
        </w:r>
        <w:r w:rsidR="00D8754C">
          <w:rPr>
            <w:noProof/>
            <w:webHidden/>
          </w:rPr>
          <w:instrText xml:space="preserve"> PAGEREF _Toc519100859 \h </w:instrText>
        </w:r>
        <w:r w:rsidR="00D8754C">
          <w:rPr>
            <w:noProof/>
            <w:webHidden/>
          </w:rPr>
        </w:r>
        <w:r w:rsidR="00D8754C">
          <w:rPr>
            <w:noProof/>
            <w:webHidden/>
          </w:rPr>
          <w:fldChar w:fldCharType="separate"/>
        </w:r>
        <w:r w:rsidR="006750D1">
          <w:rPr>
            <w:noProof/>
            <w:webHidden/>
          </w:rPr>
          <w:t>30</w:t>
        </w:r>
        <w:r w:rsidR="00D8754C">
          <w:rPr>
            <w:noProof/>
            <w:webHidden/>
          </w:rPr>
          <w:fldChar w:fldCharType="end"/>
        </w:r>
      </w:hyperlink>
    </w:p>
    <w:p w:rsidR="00D8754C" w:rsidRDefault="00324C70">
      <w:pPr>
        <w:pStyle w:val="TDC3"/>
        <w:tabs>
          <w:tab w:val="left" w:pos="1100"/>
          <w:tab w:val="right" w:leader="dot" w:pos="9394"/>
        </w:tabs>
        <w:rPr>
          <w:rFonts w:asciiTheme="minorHAnsi" w:eastAsiaTheme="minorEastAsia" w:hAnsiTheme="minorHAnsi" w:cstheme="minorBidi"/>
          <w:noProof/>
          <w:sz w:val="22"/>
          <w:szCs w:val="22"/>
          <w:lang w:val="es-MX" w:eastAsia="es-MX"/>
        </w:rPr>
      </w:pPr>
      <w:hyperlink w:anchor="_Toc519100860" w:history="1">
        <w:r w:rsidR="00D8754C" w:rsidRPr="005209CC">
          <w:rPr>
            <w:rStyle w:val="Hipervnculo"/>
            <w:noProof/>
            <w:lang w:val="es-MX"/>
          </w:rPr>
          <w:t>5.3.</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El Aviso de Concentración fue presentado en tiempo</w:t>
        </w:r>
        <w:r w:rsidR="00D8754C">
          <w:rPr>
            <w:noProof/>
            <w:webHidden/>
          </w:rPr>
          <w:tab/>
        </w:r>
        <w:r w:rsidR="00D8754C">
          <w:rPr>
            <w:noProof/>
            <w:webHidden/>
          </w:rPr>
          <w:fldChar w:fldCharType="begin"/>
        </w:r>
        <w:r w:rsidR="00D8754C">
          <w:rPr>
            <w:noProof/>
            <w:webHidden/>
          </w:rPr>
          <w:instrText xml:space="preserve"> PAGEREF _Toc519100860 \h </w:instrText>
        </w:r>
        <w:r w:rsidR="00D8754C">
          <w:rPr>
            <w:noProof/>
            <w:webHidden/>
          </w:rPr>
        </w:r>
        <w:r w:rsidR="00D8754C">
          <w:rPr>
            <w:noProof/>
            <w:webHidden/>
          </w:rPr>
          <w:fldChar w:fldCharType="separate"/>
        </w:r>
        <w:r w:rsidR="006750D1">
          <w:rPr>
            <w:noProof/>
            <w:webHidden/>
          </w:rPr>
          <w:t>31</w:t>
        </w:r>
        <w:r w:rsidR="00D8754C">
          <w:rPr>
            <w:noProof/>
            <w:webHidden/>
          </w:rPr>
          <w:fldChar w:fldCharType="end"/>
        </w:r>
      </w:hyperlink>
    </w:p>
    <w:p w:rsidR="00D8754C" w:rsidRDefault="00324C70">
      <w:pPr>
        <w:pStyle w:val="TDC3"/>
        <w:tabs>
          <w:tab w:val="left" w:pos="1100"/>
          <w:tab w:val="right" w:leader="dot" w:pos="9394"/>
        </w:tabs>
        <w:rPr>
          <w:rFonts w:asciiTheme="minorHAnsi" w:eastAsiaTheme="minorEastAsia" w:hAnsiTheme="minorHAnsi" w:cstheme="minorBidi"/>
          <w:noProof/>
          <w:sz w:val="22"/>
          <w:szCs w:val="22"/>
          <w:lang w:val="es-MX" w:eastAsia="es-MX"/>
        </w:rPr>
      </w:pPr>
      <w:hyperlink w:anchor="_Toc519100861" w:history="1">
        <w:r w:rsidR="00D8754C" w:rsidRPr="005209CC">
          <w:rPr>
            <w:rStyle w:val="Hipervnculo"/>
            <w:noProof/>
            <w:lang w:val="es-MX"/>
          </w:rPr>
          <w:t>5.4.</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Evaluación de los requisitos previstos en los incisos a. a d. del párrafo primero del Noveno Transitorio</w:t>
        </w:r>
        <w:r w:rsidR="00D8754C">
          <w:rPr>
            <w:noProof/>
            <w:webHidden/>
          </w:rPr>
          <w:tab/>
        </w:r>
        <w:r w:rsidR="00D8754C">
          <w:rPr>
            <w:noProof/>
            <w:webHidden/>
          </w:rPr>
          <w:fldChar w:fldCharType="begin"/>
        </w:r>
        <w:r w:rsidR="00D8754C">
          <w:rPr>
            <w:noProof/>
            <w:webHidden/>
          </w:rPr>
          <w:instrText xml:space="preserve"> PAGEREF _Toc519100861 \h </w:instrText>
        </w:r>
        <w:r w:rsidR="00D8754C">
          <w:rPr>
            <w:noProof/>
            <w:webHidden/>
          </w:rPr>
        </w:r>
        <w:r w:rsidR="00D8754C">
          <w:rPr>
            <w:noProof/>
            <w:webHidden/>
          </w:rPr>
          <w:fldChar w:fldCharType="separate"/>
        </w:r>
        <w:r w:rsidR="006750D1">
          <w:rPr>
            <w:noProof/>
            <w:webHidden/>
          </w:rPr>
          <w:t>31</w:t>
        </w:r>
        <w:r w:rsidR="00D8754C">
          <w:rPr>
            <w:noProof/>
            <w:webHidden/>
          </w:rPr>
          <w:fldChar w:fldCharType="end"/>
        </w:r>
      </w:hyperlink>
    </w:p>
    <w:p w:rsidR="00D8754C" w:rsidRDefault="00324C70">
      <w:pPr>
        <w:pStyle w:val="TDC4"/>
        <w:tabs>
          <w:tab w:val="right" w:leader="dot" w:pos="9394"/>
        </w:tabs>
        <w:rPr>
          <w:rFonts w:asciiTheme="minorHAnsi" w:eastAsiaTheme="minorEastAsia" w:hAnsiTheme="minorHAnsi" w:cstheme="minorBidi"/>
          <w:noProof/>
          <w:sz w:val="22"/>
          <w:szCs w:val="22"/>
          <w:lang w:val="es-MX" w:eastAsia="es-MX"/>
        </w:rPr>
      </w:pPr>
      <w:hyperlink w:anchor="_Toc519100862" w:history="1">
        <w:r w:rsidR="00D8754C" w:rsidRPr="005209CC">
          <w:rPr>
            <w:rStyle w:val="Hipervnculo"/>
            <w:noProof/>
            <w:lang w:val="es-MX"/>
          </w:rPr>
          <w:t>Elementos para calcular las participaciones sectoriales previstas en los incisos a. y b.</w:t>
        </w:r>
        <w:r w:rsidR="00D8754C">
          <w:rPr>
            <w:noProof/>
            <w:webHidden/>
          </w:rPr>
          <w:tab/>
        </w:r>
        <w:r w:rsidR="00D8754C">
          <w:rPr>
            <w:noProof/>
            <w:webHidden/>
          </w:rPr>
          <w:fldChar w:fldCharType="begin"/>
        </w:r>
        <w:r w:rsidR="00D8754C">
          <w:rPr>
            <w:noProof/>
            <w:webHidden/>
          </w:rPr>
          <w:instrText xml:space="preserve"> PAGEREF _Toc519100862 \h </w:instrText>
        </w:r>
        <w:r w:rsidR="00D8754C">
          <w:rPr>
            <w:noProof/>
            <w:webHidden/>
          </w:rPr>
        </w:r>
        <w:r w:rsidR="00D8754C">
          <w:rPr>
            <w:noProof/>
            <w:webHidden/>
          </w:rPr>
          <w:fldChar w:fldCharType="separate"/>
        </w:r>
        <w:r w:rsidR="006750D1">
          <w:rPr>
            <w:noProof/>
            <w:webHidden/>
          </w:rPr>
          <w:t>31</w:t>
        </w:r>
        <w:r w:rsidR="00D8754C">
          <w:rPr>
            <w:noProof/>
            <w:webHidden/>
          </w:rPr>
          <w:fldChar w:fldCharType="end"/>
        </w:r>
      </w:hyperlink>
    </w:p>
    <w:p w:rsidR="00D8754C" w:rsidRDefault="00324C70">
      <w:pPr>
        <w:pStyle w:val="TDC4"/>
        <w:tabs>
          <w:tab w:val="right" w:leader="dot" w:pos="9394"/>
        </w:tabs>
        <w:rPr>
          <w:rFonts w:asciiTheme="minorHAnsi" w:eastAsiaTheme="minorEastAsia" w:hAnsiTheme="minorHAnsi" w:cstheme="minorBidi"/>
          <w:noProof/>
          <w:sz w:val="22"/>
          <w:szCs w:val="22"/>
          <w:lang w:val="es-MX" w:eastAsia="es-MX"/>
        </w:rPr>
      </w:pPr>
      <w:hyperlink w:anchor="_Toc519100863" w:history="1">
        <w:r w:rsidR="00D8754C" w:rsidRPr="005209CC">
          <w:rPr>
            <w:rStyle w:val="Hipervnculo"/>
            <w:noProof/>
            <w:lang w:val="es-MX"/>
          </w:rPr>
          <w:t>Estimación de participaciones en el sector e índices de concentración</w:t>
        </w:r>
        <w:r w:rsidR="00D8754C">
          <w:rPr>
            <w:noProof/>
            <w:webHidden/>
          </w:rPr>
          <w:tab/>
        </w:r>
        <w:r w:rsidR="00D8754C">
          <w:rPr>
            <w:noProof/>
            <w:webHidden/>
          </w:rPr>
          <w:fldChar w:fldCharType="begin"/>
        </w:r>
        <w:r w:rsidR="00D8754C">
          <w:rPr>
            <w:noProof/>
            <w:webHidden/>
          </w:rPr>
          <w:instrText xml:space="preserve"> PAGEREF _Toc519100863 \h </w:instrText>
        </w:r>
        <w:r w:rsidR="00D8754C">
          <w:rPr>
            <w:noProof/>
            <w:webHidden/>
          </w:rPr>
        </w:r>
        <w:r w:rsidR="00D8754C">
          <w:rPr>
            <w:noProof/>
            <w:webHidden/>
          </w:rPr>
          <w:fldChar w:fldCharType="separate"/>
        </w:r>
        <w:r w:rsidR="006750D1">
          <w:rPr>
            <w:noProof/>
            <w:webHidden/>
          </w:rPr>
          <w:t>34</w:t>
        </w:r>
        <w:r w:rsidR="00D8754C">
          <w:rPr>
            <w:noProof/>
            <w:webHidden/>
          </w:rPr>
          <w:fldChar w:fldCharType="end"/>
        </w:r>
      </w:hyperlink>
    </w:p>
    <w:p w:rsidR="00D8754C" w:rsidRDefault="00324C70">
      <w:pPr>
        <w:pStyle w:val="TDC4"/>
        <w:tabs>
          <w:tab w:val="left" w:pos="1540"/>
          <w:tab w:val="right" w:leader="dot" w:pos="9394"/>
        </w:tabs>
        <w:rPr>
          <w:rFonts w:asciiTheme="minorHAnsi" w:eastAsiaTheme="minorEastAsia" w:hAnsiTheme="minorHAnsi" w:cstheme="minorBidi"/>
          <w:noProof/>
          <w:sz w:val="22"/>
          <w:szCs w:val="22"/>
          <w:lang w:val="es-MX" w:eastAsia="es-MX"/>
        </w:rPr>
      </w:pPr>
      <w:hyperlink w:anchor="_Toc519100869" w:history="1">
        <w:r w:rsidR="00D8754C" w:rsidRPr="005209CC">
          <w:rPr>
            <w:rStyle w:val="Hipervnculo"/>
            <w:noProof/>
            <w:lang w:val="es-MX"/>
          </w:rPr>
          <w:t>5.4.1.</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Inciso a.</w:t>
        </w:r>
        <w:r w:rsidR="00D8754C">
          <w:rPr>
            <w:noProof/>
            <w:webHidden/>
          </w:rPr>
          <w:tab/>
        </w:r>
        <w:r w:rsidR="00D8754C">
          <w:rPr>
            <w:noProof/>
            <w:webHidden/>
          </w:rPr>
          <w:fldChar w:fldCharType="begin"/>
        </w:r>
        <w:r w:rsidR="00D8754C">
          <w:rPr>
            <w:noProof/>
            <w:webHidden/>
          </w:rPr>
          <w:instrText xml:space="preserve"> PAGEREF _Toc519100869 \h </w:instrText>
        </w:r>
        <w:r w:rsidR="00D8754C">
          <w:rPr>
            <w:noProof/>
            <w:webHidden/>
          </w:rPr>
        </w:r>
        <w:r w:rsidR="00D8754C">
          <w:rPr>
            <w:noProof/>
            <w:webHidden/>
          </w:rPr>
          <w:fldChar w:fldCharType="separate"/>
        </w:r>
        <w:r w:rsidR="006750D1">
          <w:rPr>
            <w:noProof/>
            <w:webHidden/>
          </w:rPr>
          <w:t>36</w:t>
        </w:r>
        <w:r w:rsidR="00D8754C">
          <w:rPr>
            <w:noProof/>
            <w:webHidden/>
          </w:rPr>
          <w:fldChar w:fldCharType="end"/>
        </w:r>
      </w:hyperlink>
    </w:p>
    <w:p w:rsidR="00D8754C" w:rsidRDefault="00324C70">
      <w:pPr>
        <w:pStyle w:val="TDC4"/>
        <w:tabs>
          <w:tab w:val="left" w:pos="1540"/>
          <w:tab w:val="right" w:leader="dot" w:pos="9394"/>
        </w:tabs>
        <w:rPr>
          <w:rFonts w:asciiTheme="minorHAnsi" w:eastAsiaTheme="minorEastAsia" w:hAnsiTheme="minorHAnsi" w:cstheme="minorBidi"/>
          <w:noProof/>
          <w:sz w:val="22"/>
          <w:szCs w:val="22"/>
          <w:lang w:val="es-MX" w:eastAsia="es-MX"/>
        </w:rPr>
      </w:pPr>
      <w:hyperlink w:anchor="_Toc519100870" w:history="1">
        <w:r w:rsidR="00D8754C" w:rsidRPr="005209CC">
          <w:rPr>
            <w:rStyle w:val="Hipervnculo"/>
            <w:noProof/>
            <w:lang w:val="es-MX"/>
          </w:rPr>
          <w:t>5.4.2.</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Inciso b.</w:t>
        </w:r>
        <w:r w:rsidR="00D8754C">
          <w:rPr>
            <w:noProof/>
            <w:webHidden/>
          </w:rPr>
          <w:tab/>
        </w:r>
        <w:r w:rsidR="00D8754C">
          <w:rPr>
            <w:noProof/>
            <w:webHidden/>
          </w:rPr>
          <w:fldChar w:fldCharType="begin"/>
        </w:r>
        <w:r w:rsidR="00D8754C">
          <w:rPr>
            <w:noProof/>
            <w:webHidden/>
          </w:rPr>
          <w:instrText xml:space="preserve"> PAGEREF _Toc519100870 \h </w:instrText>
        </w:r>
        <w:r w:rsidR="00D8754C">
          <w:rPr>
            <w:noProof/>
            <w:webHidden/>
          </w:rPr>
        </w:r>
        <w:r w:rsidR="00D8754C">
          <w:rPr>
            <w:noProof/>
            <w:webHidden/>
          </w:rPr>
          <w:fldChar w:fldCharType="separate"/>
        </w:r>
        <w:r w:rsidR="006750D1">
          <w:rPr>
            <w:noProof/>
            <w:webHidden/>
          </w:rPr>
          <w:t>37</w:t>
        </w:r>
        <w:r w:rsidR="00D8754C">
          <w:rPr>
            <w:noProof/>
            <w:webHidden/>
          </w:rPr>
          <w:fldChar w:fldCharType="end"/>
        </w:r>
      </w:hyperlink>
    </w:p>
    <w:p w:rsidR="00D8754C" w:rsidRDefault="00324C70">
      <w:pPr>
        <w:pStyle w:val="TDC4"/>
        <w:tabs>
          <w:tab w:val="left" w:pos="1540"/>
          <w:tab w:val="right" w:leader="dot" w:pos="9394"/>
        </w:tabs>
        <w:rPr>
          <w:rFonts w:asciiTheme="minorHAnsi" w:eastAsiaTheme="minorEastAsia" w:hAnsiTheme="minorHAnsi" w:cstheme="minorBidi"/>
          <w:noProof/>
          <w:sz w:val="22"/>
          <w:szCs w:val="22"/>
          <w:lang w:val="es-MX" w:eastAsia="es-MX"/>
        </w:rPr>
      </w:pPr>
      <w:hyperlink w:anchor="_Toc519100871" w:history="1">
        <w:r w:rsidR="00D8754C" w:rsidRPr="005209CC">
          <w:rPr>
            <w:rStyle w:val="Hipervnculo"/>
            <w:noProof/>
            <w:lang w:val="es-MX"/>
          </w:rPr>
          <w:t>5.4.3.</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Inciso c.</w:t>
        </w:r>
        <w:r w:rsidR="00D8754C">
          <w:rPr>
            <w:noProof/>
            <w:webHidden/>
          </w:rPr>
          <w:tab/>
        </w:r>
        <w:r w:rsidR="00D8754C">
          <w:rPr>
            <w:noProof/>
            <w:webHidden/>
          </w:rPr>
          <w:fldChar w:fldCharType="begin"/>
        </w:r>
        <w:r w:rsidR="00D8754C">
          <w:rPr>
            <w:noProof/>
            <w:webHidden/>
          </w:rPr>
          <w:instrText xml:space="preserve"> PAGEREF _Toc519100871 \h </w:instrText>
        </w:r>
        <w:r w:rsidR="00D8754C">
          <w:rPr>
            <w:noProof/>
            <w:webHidden/>
          </w:rPr>
        </w:r>
        <w:r w:rsidR="00D8754C">
          <w:rPr>
            <w:noProof/>
            <w:webHidden/>
          </w:rPr>
          <w:fldChar w:fldCharType="separate"/>
        </w:r>
        <w:r w:rsidR="006750D1">
          <w:rPr>
            <w:noProof/>
            <w:webHidden/>
          </w:rPr>
          <w:t>38</w:t>
        </w:r>
        <w:r w:rsidR="00D8754C">
          <w:rPr>
            <w:noProof/>
            <w:webHidden/>
          </w:rPr>
          <w:fldChar w:fldCharType="end"/>
        </w:r>
      </w:hyperlink>
    </w:p>
    <w:p w:rsidR="00D8754C" w:rsidRDefault="00324C70">
      <w:pPr>
        <w:pStyle w:val="TDC4"/>
        <w:tabs>
          <w:tab w:val="left" w:pos="1540"/>
          <w:tab w:val="right" w:leader="dot" w:pos="9394"/>
        </w:tabs>
        <w:rPr>
          <w:rFonts w:asciiTheme="minorHAnsi" w:eastAsiaTheme="minorEastAsia" w:hAnsiTheme="minorHAnsi" w:cstheme="minorBidi"/>
          <w:noProof/>
          <w:sz w:val="22"/>
          <w:szCs w:val="22"/>
          <w:lang w:val="es-MX" w:eastAsia="es-MX"/>
        </w:rPr>
      </w:pPr>
      <w:hyperlink w:anchor="_Toc519100872" w:history="1">
        <w:r w:rsidR="00D8754C" w:rsidRPr="005209CC">
          <w:rPr>
            <w:rStyle w:val="Hipervnculo"/>
            <w:noProof/>
            <w:lang w:val="es-MX"/>
          </w:rPr>
          <w:t>5.4.4.</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rPr>
          <w:t>Inciso d.</w:t>
        </w:r>
        <w:r w:rsidR="00D8754C">
          <w:rPr>
            <w:noProof/>
            <w:webHidden/>
          </w:rPr>
          <w:tab/>
        </w:r>
        <w:r w:rsidR="00D8754C">
          <w:rPr>
            <w:noProof/>
            <w:webHidden/>
          </w:rPr>
          <w:fldChar w:fldCharType="begin"/>
        </w:r>
        <w:r w:rsidR="00D8754C">
          <w:rPr>
            <w:noProof/>
            <w:webHidden/>
          </w:rPr>
          <w:instrText xml:space="preserve"> PAGEREF _Toc519100872 \h </w:instrText>
        </w:r>
        <w:r w:rsidR="00D8754C">
          <w:rPr>
            <w:noProof/>
            <w:webHidden/>
          </w:rPr>
        </w:r>
        <w:r w:rsidR="00D8754C">
          <w:rPr>
            <w:noProof/>
            <w:webHidden/>
          </w:rPr>
          <w:fldChar w:fldCharType="separate"/>
        </w:r>
        <w:r w:rsidR="006750D1">
          <w:rPr>
            <w:noProof/>
            <w:webHidden/>
          </w:rPr>
          <w:t>39</w:t>
        </w:r>
        <w:r w:rsidR="00D8754C">
          <w:rPr>
            <w:noProof/>
            <w:webHidden/>
          </w:rPr>
          <w:fldChar w:fldCharType="end"/>
        </w:r>
      </w:hyperlink>
    </w:p>
    <w:p w:rsidR="00D8754C" w:rsidRDefault="00324C70">
      <w:pPr>
        <w:pStyle w:val="TDC5"/>
        <w:tabs>
          <w:tab w:val="left" w:pos="1760"/>
          <w:tab w:val="right" w:leader="dot" w:pos="9394"/>
        </w:tabs>
        <w:rPr>
          <w:rFonts w:asciiTheme="minorHAnsi" w:eastAsiaTheme="minorEastAsia" w:hAnsiTheme="minorHAnsi" w:cstheme="minorBidi"/>
          <w:noProof/>
          <w:sz w:val="22"/>
          <w:szCs w:val="22"/>
          <w:lang w:val="es-MX" w:eastAsia="es-MX"/>
        </w:rPr>
      </w:pPr>
      <w:hyperlink w:anchor="_Toc519100873" w:history="1">
        <w:r w:rsidR="00D8754C" w:rsidRPr="005209CC">
          <w:rPr>
            <w:rStyle w:val="Hipervnculo"/>
            <w:noProof/>
            <w:lang w:val="es-MX" w:eastAsia="en-US"/>
          </w:rPr>
          <w:t>5.4.4.1.</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eastAsia="en-US"/>
          </w:rPr>
          <w:t>Marco conceptual</w:t>
        </w:r>
        <w:r w:rsidR="00D8754C">
          <w:rPr>
            <w:noProof/>
            <w:webHidden/>
          </w:rPr>
          <w:tab/>
        </w:r>
        <w:r w:rsidR="00D8754C">
          <w:rPr>
            <w:noProof/>
            <w:webHidden/>
          </w:rPr>
          <w:fldChar w:fldCharType="begin"/>
        </w:r>
        <w:r w:rsidR="00D8754C">
          <w:rPr>
            <w:noProof/>
            <w:webHidden/>
          </w:rPr>
          <w:instrText xml:space="preserve"> PAGEREF _Toc519100873 \h </w:instrText>
        </w:r>
        <w:r w:rsidR="00D8754C">
          <w:rPr>
            <w:noProof/>
            <w:webHidden/>
          </w:rPr>
        </w:r>
        <w:r w:rsidR="00D8754C">
          <w:rPr>
            <w:noProof/>
            <w:webHidden/>
          </w:rPr>
          <w:fldChar w:fldCharType="separate"/>
        </w:r>
        <w:r w:rsidR="006750D1">
          <w:rPr>
            <w:noProof/>
            <w:webHidden/>
          </w:rPr>
          <w:t>39</w:t>
        </w:r>
        <w:r w:rsidR="00D8754C">
          <w:rPr>
            <w:noProof/>
            <w:webHidden/>
          </w:rPr>
          <w:fldChar w:fldCharType="end"/>
        </w:r>
      </w:hyperlink>
    </w:p>
    <w:p w:rsidR="00D8754C" w:rsidRDefault="00324C70">
      <w:pPr>
        <w:pStyle w:val="TDC5"/>
        <w:tabs>
          <w:tab w:val="left" w:pos="1760"/>
          <w:tab w:val="right" w:leader="dot" w:pos="9394"/>
        </w:tabs>
        <w:rPr>
          <w:rFonts w:asciiTheme="minorHAnsi" w:eastAsiaTheme="minorEastAsia" w:hAnsiTheme="minorHAnsi" w:cstheme="minorBidi"/>
          <w:noProof/>
          <w:sz w:val="22"/>
          <w:szCs w:val="22"/>
          <w:lang w:val="es-MX" w:eastAsia="es-MX"/>
        </w:rPr>
      </w:pPr>
      <w:hyperlink w:anchor="_Toc519100874" w:history="1">
        <w:r w:rsidR="00D8754C" w:rsidRPr="005209CC">
          <w:rPr>
            <w:rStyle w:val="Hipervnculo"/>
            <w:noProof/>
            <w:lang w:val="es-MX" w:eastAsia="en-US"/>
          </w:rPr>
          <w:t>5.4.4.2.</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eastAsia="en-US"/>
          </w:rPr>
          <w:t>SRSAC</w:t>
        </w:r>
        <w:r w:rsidR="00D8754C">
          <w:rPr>
            <w:noProof/>
            <w:webHidden/>
          </w:rPr>
          <w:tab/>
        </w:r>
        <w:r w:rsidR="00D8754C">
          <w:rPr>
            <w:noProof/>
            <w:webHidden/>
          </w:rPr>
          <w:fldChar w:fldCharType="begin"/>
        </w:r>
        <w:r w:rsidR="00D8754C">
          <w:rPr>
            <w:noProof/>
            <w:webHidden/>
          </w:rPr>
          <w:instrText xml:space="preserve"> PAGEREF _Toc519100874 \h </w:instrText>
        </w:r>
        <w:r w:rsidR="00D8754C">
          <w:rPr>
            <w:noProof/>
            <w:webHidden/>
          </w:rPr>
        </w:r>
        <w:r w:rsidR="00D8754C">
          <w:rPr>
            <w:noProof/>
            <w:webHidden/>
          </w:rPr>
          <w:fldChar w:fldCharType="separate"/>
        </w:r>
        <w:r w:rsidR="006750D1">
          <w:rPr>
            <w:noProof/>
            <w:webHidden/>
          </w:rPr>
          <w:t>43</w:t>
        </w:r>
        <w:r w:rsidR="00D8754C">
          <w:rPr>
            <w:noProof/>
            <w:webHidden/>
          </w:rPr>
          <w:fldChar w:fldCharType="end"/>
        </w:r>
      </w:hyperlink>
    </w:p>
    <w:p w:rsidR="00D8754C" w:rsidRDefault="00324C70">
      <w:pPr>
        <w:pStyle w:val="TDC5"/>
        <w:tabs>
          <w:tab w:val="left" w:pos="1760"/>
          <w:tab w:val="right" w:leader="dot" w:pos="9394"/>
        </w:tabs>
        <w:rPr>
          <w:rFonts w:asciiTheme="minorHAnsi" w:eastAsiaTheme="minorEastAsia" w:hAnsiTheme="minorHAnsi" w:cstheme="minorBidi"/>
          <w:noProof/>
          <w:sz w:val="22"/>
          <w:szCs w:val="22"/>
          <w:lang w:val="es-MX" w:eastAsia="es-MX"/>
        </w:rPr>
      </w:pPr>
      <w:hyperlink w:anchor="_Toc519100875" w:history="1">
        <w:r w:rsidR="00D8754C" w:rsidRPr="005209CC">
          <w:rPr>
            <w:rStyle w:val="Hipervnculo"/>
            <w:noProof/>
            <w:lang w:val="es-MX" w:eastAsia="en-US"/>
          </w:rPr>
          <w:t>5.4.4.3.</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eastAsia="en-US"/>
          </w:rPr>
          <w:t>Evaluación de los efectos de la Operación en el sector de radiodifusión</w:t>
        </w:r>
        <w:r w:rsidR="00D8754C">
          <w:rPr>
            <w:noProof/>
            <w:webHidden/>
          </w:rPr>
          <w:tab/>
        </w:r>
        <w:r w:rsidR="00D8754C">
          <w:rPr>
            <w:noProof/>
            <w:webHidden/>
          </w:rPr>
          <w:fldChar w:fldCharType="begin"/>
        </w:r>
        <w:r w:rsidR="00D8754C">
          <w:rPr>
            <w:noProof/>
            <w:webHidden/>
          </w:rPr>
          <w:instrText xml:space="preserve"> PAGEREF _Toc519100875 \h </w:instrText>
        </w:r>
        <w:r w:rsidR="00D8754C">
          <w:rPr>
            <w:noProof/>
            <w:webHidden/>
          </w:rPr>
        </w:r>
        <w:r w:rsidR="00D8754C">
          <w:rPr>
            <w:noProof/>
            <w:webHidden/>
          </w:rPr>
          <w:fldChar w:fldCharType="separate"/>
        </w:r>
        <w:r w:rsidR="006750D1">
          <w:rPr>
            <w:noProof/>
            <w:webHidden/>
          </w:rPr>
          <w:t>45</w:t>
        </w:r>
        <w:r w:rsidR="00D8754C">
          <w:rPr>
            <w:noProof/>
            <w:webHidden/>
          </w:rPr>
          <w:fldChar w:fldCharType="end"/>
        </w:r>
      </w:hyperlink>
    </w:p>
    <w:p w:rsidR="00D8754C" w:rsidRDefault="00324C70">
      <w:pPr>
        <w:pStyle w:val="TDC5"/>
        <w:tabs>
          <w:tab w:val="left" w:pos="1760"/>
          <w:tab w:val="right" w:leader="dot" w:pos="9394"/>
        </w:tabs>
        <w:rPr>
          <w:rFonts w:asciiTheme="minorHAnsi" w:eastAsiaTheme="minorEastAsia" w:hAnsiTheme="minorHAnsi" w:cstheme="minorBidi"/>
          <w:noProof/>
          <w:sz w:val="22"/>
          <w:szCs w:val="22"/>
          <w:lang w:val="es-MX" w:eastAsia="es-MX"/>
        </w:rPr>
      </w:pPr>
      <w:hyperlink w:anchor="_Toc519100876" w:history="1">
        <w:r w:rsidR="00D8754C" w:rsidRPr="005209CC">
          <w:rPr>
            <w:rStyle w:val="Hipervnculo"/>
            <w:noProof/>
            <w:lang w:val="es-MX" w:eastAsia="en-US"/>
          </w:rPr>
          <w:t>5.4.4.4.</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eastAsia="en-US"/>
          </w:rPr>
          <w:t>Efectos de la Operación en el Servicio Evaluado</w:t>
        </w:r>
        <w:r w:rsidR="00D8754C">
          <w:rPr>
            <w:noProof/>
            <w:webHidden/>
          </w:rPr>
          <w:tab/>
        </w:r>
        <w:r w:rsidR="00D8754C">
          <w:rPr>
            <w:noProof/>
            <w:webHidden/>
          </w:rPr>
          <w:fldChar w:fldCharType="begin"/>
        </w:r>
        <w:r w:rsidR="00D8754C">
          <w:rPr>
            <w:noProof/>
            <w:webHidden/>
          </w:rPr>
          <w:instrText xml:space="preserve"> PAGEREF _Toc519100876 \h </w:instrText>
        </w:r>
        <w:r w:rsidR="00D8754C">
          <w:rPr>
            <w:noProof/>
            <w:webHidden/>
          </w:rPr>
        </w:r>
        <w:r w:rsidR="00D8754C">
          <w:rPr>
            <w:noProof/>
            <w:webHidden/>
          </w:rPr>
          <w:fldChar w:fldCharType="separate"/>
        </w:r>
        <w:r w:rsidR="006750D1">
          <w:rPr>
            <w:noProof/>
            <w:webHidden/>
          </w:rPr>
          <w:t>58</w:t>
        </w:r>
        <w:r w:rsidR="00D8754C">
          <w:rPr>
            <w:noProof/>
            <w:webHidden/>
          </w:rPr>
          <w:fldChar w:fldCharType="end"/>
        </w:r>
      </w:hyperlink>
    </w:p>
    <w:p w:rsidR="00D8754C" w:rsidRDefault="00324C70">
      <w:pPr>
        <w:pStyle w:val="TDC5"/>
        <w:tabs>
          <w:tab w:val="left" w:pos="1760"/>
          <w:tab w:val="right" w:leader="dot" w:pos="9394"/>
        </w:tabs>
        <w:rPr>
          <w:rFonts w:asciiTheme="minorHAnsi" w:eastAsiaTheme="minorEastAsia" w:hAnsiTheme="minorHAnsi" w:cstheme="minorBidi"/>
          <w:noProof/>
          <w:sz w:val="22"/>
          <w:szCs w:val="22"/>
          <w:lang w:val="es-MX" w:eastAsia="es-MX"/>
        </w:rPr>
      </w:pPr>
      <w:hyperlink w:anchor="_Toc519100877" w:history="1">
        <w:r w:rsidR="00D8754C" w:rsidRPr="005209CC">
          <w:rPr>
            <w:rStyle w:val="Hipervnculo"/>
            <w:noProof/>
            <w:lang w:val="es-MX" w:eastAsia="en-US"/>
          </w:rPr>
          <w:t>5.4.4.5.</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eastAsia="en-US"/>
          </w:rPr>
          <w:t>Efectos positivos derivados de la Operación</w:t>
        </w:r>
        <w:r w:rsidR="00D8754C">
          <w:rPr>
            <w:noProof/>
            <w:webHidden/>
          </w:rPr>
          <w:tab/>
        </w:r>
        <w:r w:rsidR="00D8754C">
          <w:rPr>
            <w:noProof/>
            <w:webHidden/>
          </w:rPr>
          <w:fldChar w:fldCharType="begin"/>
        </w:r>
        <w:r w:rsidR="00D8754C">
          <w:rPr>
            <w:noProof/>
            <w:webHidden/>
          </w:rPr>
          <w:instrText xml:space="preserve"> PAGEREF _Toc519100877 \h </w:instrText>
        </w:r>
        <w:r w:rsidR="00D8754C">
          <w:rPr>
            <w:noProof/>
            <w:webHidden/>
          </w:rPr>
        </w:r>
        <w:r w:rsidR="00D8754C">
          <w:rPr>
            <w:noProof/>
            <w:webHidden/>
          </w:rPr>
          <w:fldChar w:fldCharType="separate"/>
        </w:r>
        <w:r w:rsidR="006750D1">
          <w:rPr>
            <w:noProof/>
            <w:webHidden/>
          </w:rPr>
          <w:t>60</w:t>
        </w:r>
        <w:r w:rsidR="00D8754C">
          <w:rPr>
            <w:noProof/>
            <w:webHidden/>
          </w:rPr>
          <w:fldChar w:fldCharType="end"/>
        </w:r>
      </w:hyperlink>
    </w:p>
    <w:p w:rsidR="00D8754C" w:rsidRDefault="00324C70">
      <w:pPr>
        <w:pStyle w:val="TDC5"/>
        <w:tabs>
          <w:tab w:val="left" w:pos="1760"/>
          <w:tab w:val="right" w:leader="dot" w:pos="9394"/>
        </w:tabs>
        <w:rPr>
          <w:rFonts w:asciiTheme="minorHAnsi" w:eastAsiaTheme="minorEastAsia" w:hAnsiTheme="minorHAnsi" w:cstheme="minorBidi"/>
          <w:noProof/>
          <w:sz w:val="22"/>
          <w:szCs w:val="22"/>
          <w:lang w:val="es-MX" w:eastAsia="es-MX"/>
        </w:rPr>
      </w:pPr>
      <w:hyperlink w:anchor="_Toc519100878" w:history="1">
        <w:r w:rsidR="00D8754C" w:rsidRPr="005209CC">
          <w:rPr>
            <w:rStyle w:val="Hipervnculo"/>
            <w:noProof/>
            <w:lang w:val="es-MX" w:eastAsia="en-US"/>
          </w:rPr>
          <w:t>5.4.4.6.</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eastAsia="en-US"/>
          </w:rPr>
          <w:t>Conclusiones inciso d.</w:t>
        </w:r>
        <w:r w:rsidR="00D8754C">
          <w:rPr>
            <w:noProof/>
            <w:webHidden/>
          </w:rPr>
          <w:tab/>
        </w:r>
        <w:r w:rsidR="00D8754C">
          <w:rPr>
            <w:noProof/>
            <w:webHidden/>
          </w:rPr>
          <w:fldChar w:fldCharType="begin"/>
        </w:r>
        <w:r w:rsidR="00D8754C">
          <w:rPr>
            <w:noProof/>
            <w:webHidden/>
          </w:rPr>
          <w:instrText xml:space="preserve"> PAGEREF _Toc519100878 \h </w:instrText>
        </w:r>
        <w:r w:rsidR="00D8754C">
          <w:rPr>
            <w:noProof/>
            <w:webHidden/>
          </w:rPr>
        </w:r>
        <w:r w:rsidR="00D8754C">
          <w:rPr>
            <w:noProof/>
            <w:webHidden/>
          </w:rPr>
          <w:fldChar w:fldCharType="separate"/>
        </w:r>
        <w:r w:rsidR="006750D1">
          <w:rPr>
            <w:noProof/>
            <w:webHidden/>
          </w:rPr>
          <w:t>70</w:t>
        </w:r>
        <w:r w:rsidR="00D8754C">
          <w:rPr>
            <w:noProof/>
            <w:webHidden/>
          </w:rPr>
          <w:fldChar w:fldCharType="end"/>
        </w:r>
      </w:hyperlink>
    </w:p>
    <w:p w:rsidR="00D8754C" w:rsidRDefault="00324C70">
      <w:pPr>
        <w:pStyle w:val="TDC5"/>
        <w:tabs>
          <w:tab w:val="left" w:pos="1760"/>
          <w:tab w:val="right" w:leader="dot" w:pos="9394"/>
        </w:tabs>
        <w:rPr>
          <w:rFonts w:asciiTheme="minorHAnsi" w:eastAsiaTheme="minorEastAsia" w:hAnsiTheme="minorHAnsi" w:cstheme="minorBidi"/>
          <w:noProof/>
          <w:sz w:val="22"/>
          <w:szCs w:val="22"/>
          <w:lang w:val="es-MX" w:eastAsia="es-MX"/>
        </w:rPr>
      </w:pPr>
      <w:hyperlink w:anchor="_Toc519100879" w:history="1">
        <w:r w:rsidR="00D8754C" w:rsidRPr="005209CC">
          <w:rPr>
            <w:rStyle w:val="Hipervnculo"/>
            <w:noProof/>
            <w:lang w:val="es-MX" w:eastAsia="en-US"/>
          </w:rPr>
          <w:t>5.4.4.7.</w:t>
        </w:r>
        <w:r w:rsidR="00D8754C">
          <w:rPr>
            <w:rFonts w:asciiTheme="minorHAnsi" w:eastAsiaTheme="minorEastAsia" w:hAnsiTheme="minorHAnsi" w:cstheme="minorBidi"/>
            <w:noProof/>
            <w:sz w:val="22"/>
            <w:szCs w:val="22"/>
            <w:lang w:val="es-MX" w:eastAsia="es-MX"/>
          </w:rPr>
          <w:tab/>
        </w:r>
        <w:r w:rsidR="00D8754C" w:rsidRPr="005209CC">
          <w:rPr>
            <w:rStyle w:val="Hipervnculo"/>
            <w:noProof/>
            <w:lang w:val="es-MX" w:eastAsia="en-US"/>
          </w:rPr>
          <w:t>Cláusula de no Competir</w:t>
        </w:r>
        <w:r w:rsidR="00D8754C">
          <w:rPr>
            <w:noProof/>
            <w:webHidden/>
          </w:rPr>
          <w:tab/>
        </w:r>
        <w:r w:rsidR="00D8754C">
          <w:rPr>
            <w:noProof/>
            <w:webHidden/>
          </w:rPr>
          <w:fldChar w:fldCharType="begin"/>
        </w:r>
        <w:r w:rsidR="00D8754C">
          <w:rPr>
            <w:noProof/>
            <w:webHidden/>
          </w:rPr>
          <w:instrText xml:space="preserve"> PAGEREF _Toc519100879 \h </w:instrText>
        </w:r>
        <w:r w:rsidR="00D8754C">
          <w:rPr>
            <w:noProof/>
            <w:webHidden/>
          </w:rPr>
        </w:r>
        <w:r w:rsidR="00D8754C">
          <w:rPr>
            <w:noProof/>
            <w:webHidden/>
          </w:rPr>
          <w:fldChar w:fldCharType="separate"/>
        </w:r>
        <w:r w:rsidR="006750D1">
          <w:rPr>
            <w:noProof/>
            <w:webHidden/>
          </w:rPr>
          <w:t>70</w:t>
        </w:r>
        <w:r w:rsidR="00D8754C">
          <w:rPr>
            <w:noProof/>
            <w:webHidden/>
          </w:rPr>
          <w:fldChar w:fldCharType="end"/>
        </w:r>
      </w:hyperlink>
    </w:p>
    <w:p w:rsidR="00D8754C" w:rsidRDefault="00324C70">
      <w:pPr>
        <w:pStyle w:val="TDC2"/>
        <w:tabs>
          <w:tab w:val="right" w:leader="dot" w:pos="9394"/>
        </w:tabs>
        <w:rPr>
          <w:rFonts w:asciiTheme="minorHAnsi" w:eastAsiaTheme="minorEastAsia" w:hAnsiTheme="minorHAnsi" w:cstheme="minorBidi"/>
          <w:noProof/>
          <w:sz w:val="22"/>
          <w:szCs w:val="22"/>
          <w:lang w:val="es-MX" w:eastAsia="es-MX"/>
        </w:rPr>
      </w:pPr>
      <w:hyperlink w:anchor="_Toc519100880" w:history="1">
        <w:r w:rsidR="00D8754C" w:rsidRPr="005209CC">
          <w:rPr>
            <w:rStyle w:val="Hipervnculo"/>
            <w:noProof/>
          </w:rPr>
          <w:t>SEXTO. Conclusión</w:t>
        </w:r>
        <w:r w:rsidR="00D8754C">
          <w:rPr>
            <w:noProof/>
            <w:webHidden/>
          </w:rPr>
          <w:tab/>
        </w:r>
        <w:r w:rsidR="00D8754C">
          <w:rPr>
            <w:noProof/>
            <w:webHidden/>
          </w:rPr>
          <w:fldChar w:fldCharType="begin"/>
        </w:r>
        <w:r w:rsidR="00D8754C">
          <w:rPr>
            <w:noProof/>
            <w:webHidden/>
          </w:rPr>
          <w:instrText xml:space="preserve"> PAGEREF _Toc519100880 \h </w:instrText>
        </w:r>
        <w:r w:rsidR="00D8754C">
          <w:rPr>
            <w:noProof/>
            <w:webHidden/>
          </w:rPr>
        </w:r>
        <w:r w:rsidR="00D8754C">
          <w:rPr>
            <w:noProof/>
            <w:webHidden/>
          </w:rPr>
          <w:fldChar w:fldCharType="separate"/>
        </w:r>
        <w:r w:rsidR="006750D1">
          <w:rPr>
            <w:noProof/>
            <w:webHidden/>
          </w:rPr>
          <w:t>73</w:t>
        </w:r>
        <w:r w:rsidR="00D8754C">
          <w:rPr>
            <w:noProof/>
            <w:webHidden/>
          </w:rPr>
          <w:fldChar w:fldCharType="end"/>
        </w:r>
      </w:hyperlink>
    </w:p>
    <w:p w:rsidR="00D8754C" w:rsidRDefault="00324C70">
      <w:pPr>
        <w:pStyle w:val="TDC1"/>
        <w:tabs>
          <w:tab w:val="right" w:leader="dot" w:pos="9394"/>
        </w:tabs>
        <w:rPr>
          <w:rFonts w:asciiTheme="minorHAnsi" w:eastAsiaTheme="minorEastAsia" w:hAnsiTheme="minorHAnsi" w:cstheme="minorBidi"/>
          <w:noProof/>
          <w:sz w:val="22"/>
          <w:szCs w:val="22"/>
          <w:lang w:val="es-MX" w:eastAsia="es-MX"/>
        </w:rPr>
      </w:pPr>
      <w:hyperlink w:anchor="_Toc519100881" w:history="1">
        <w:r w:rsidR="00D8754C" w:rsidRPr="005209CC">
          <w:rPr>
            <w:rStyle w:val="Hipervnculo"/>
            <w:rFonts w:eastAsiaTheme="majorEastAsia" w:cstheme="majorBidi"/>
            <w:noProof/>
            <w:lang w:val="es-MX" w:eastAsia="en-US"/>
          </w:rPr>
          <w:t>IV. RESOLUTIVOS</w:t>
        </w:r>
        <w:r w:rsidR="00D8754C">
          <w:rPr>
            <w:noProof/>
            <w:webHidden/>
          </w:rPr>
          <w:tab/>
        </w:r>
        <w:r w:rsidR="00D8754C">
          <w:rPr>
            <w:noProof/>
            <w:webHidden/>
          </w:rPr>
          <w:fldChar w:fldCharType="begin"/>
        </w:r>
        <w:r w:rsidR="00D8754C">
          <w:rPr>
            <w:noProof/>
            <w:webHidden/>
          </w:rPr>
          <w:instrText xml:space="preserve"> PAGEREF _Toc519100881 \h </w:instrText>
        </w:r>
        <w:r w:rsidR="00D8754C">
          <w:rPr>
            <w:noProof/>
            <w:webHidden/>
          </w:rPr>
        </w:r>
        <w:r w:rsidR="00D8754C">
          <w:rPr>
            <w:noProof/>
            <w:webHidden/>
          </w:rPr>
          <w:fldChar w:fldCharType="separate"/>
        </w:r>
        <w:r w:rsidR="006750D1">
          <w:rPr>
            <w:noProof/>
            <w:webHidden/>
          </w:rPr>
          <w:t>75</w:t>
        </w:r>
        <w:r w:rsidR="00D8754C">
          <w:rPr>
            <w:noProof/>
            <w:webHidden/>
          </w:rPr>
          <w:fldChar w:fldCharType="end"/>
        </w:r>
      </w:hyperlink>
    </w:p>
    <w:p w:rsidR="00D7412C" w:rsidRPr="00A75729" w:rsidRDefault="008C3EE4" w:rsidP="0023224A">
      <w:pPr>
        <w:pStyle w:val="Encabezado"/>
        <w:tabs>
          <w:tab w:val="clear" w:pos="8838"/>
        </w:tabs>
        <w:spacing w:after="120" w:line="276" w:lineRule="auto"/>
        <w:ind w:right="-1"/>
        <w:rPr>
          <w:b/>
        </w:rPr>
        <w:sectPr w:rsidR="00D7412C" w:rsidRPr="00A75729" w:rsidSect="00DE77B3">
          <w:headerReference w:type="default" r:id="rId8"/>
          <w:footerReference w:type="default" r:id="rId9"/>
          <w:headerReference w:type="first" r:id="rId10"/>
          <w:pgSz w:w="12240" w:h="15840"/>
          <w:pgMar w:top="1985" w:right="1418" w:bottom="1418" w:left="1418" w:header="578" w:footer="567" w:gutter="0"/>
          <w:cols w:space="708"/>
          <w:titlePg/>
          <w:docGrid w:linePitch="360"/>
        </w:sectPr>
      </w:pPr>
      <w:r w:rsidRPr="00A75729">
        <w:rPr>
          <w:rFonts w:eastAsia="Times New Roman"/>
          <w:b/>
          <w:sz w:val="18"/>
          <w:szCs w:val="24"/>
          <w:lang w:eastAsia="es-ES"/>
        </w:rPr>
        <w:fldChar w:fldCharType="end"/>
      </w:r>
    </w:p>
    <w:p w:rsidR="00E50770" w:rsidRDefault="00E50770">
      <w:pPr>
        <w:spacing w:before="0" w:after="160" w:line="259" w:lineRule="auto"/>
        <w:jc w:val="left"/>
        <w:rPr>
          <w:b/>
        </w:rPr>
      </w:pPr>
      <w:r>
        <w:rPr>
          <w:b/>
        </w:rPr>
        <w:br w:type="page"/>
      </w:r>
    </w:p>
    <w:p w:rsidR="006161FB" w:rsidRPr="00A75729" w:rsidRDefault="0056008D" w:rsidP="0023224A">
      <w:pPr>
        <w:pStyle w:val="Encabezado"/>
        <w:tabs>
          <w:tab w:val="clear" w:pos="8838"/>
        </w:tabs>
        <w:spacing w:after="120" w:line="276" w:lineRule="auto"/>
        <w:ind w:right="-1"/>
        <w:rPr>
          <w:b/>
        </w:rPr>
      </w:pPr>
      <w:r w:rsidRPr="00A75729">
        <w:rPr>
          <w:b/>
        </w:rPr>
        <w:lastRenderedPageBreak/>
        <w:t xml:space="preserve">RESOLUCIÓN MEDIANTE LA CUAL EL PLENO DEL INSTITUTO FEDERAL DE TELECOMUNICACIONES DETERMINA QUE LA CONCENTRACIÓN </w:t>
      </w:r>
      <w:r w:rsidR="00B41CED" w:rsidRPr="00A75729">
        <w:rPr>
          <w:b/>
        </w:rPr>
        <w:t xml:space="preserve">ENTRE </w:t>
      </w:r>
      <w:r w:rsidR="00110E4A" w:rsidRPr="00A75729">
        <w:rPr>
          <w:b/>
        </w:rPr>
        <w:t>AUDIO PUBLICIDAD</w:t>
      </w:r>
      <w:r w:rsidR="009B0705" w:rsidRPr="00A75729">
        <w:rPr>
          <w:b/>
        </w:rPr>
        <w:t>, S.A. DE C.V.</w:t>
      </w:r>
      <w:r w:rsidR="00C45F7E" w:rsidRPr="00A75729">
        <w:rPr>
          <w:b/>
        </w:rPr>
        <w:t xml:space="preserve"> Y </w:t>
      </w:r>
      <w:r w:rsidR="00110E4A" w:rsidRPr="00A75729">
        <w:rPr>
          <w:b/>
        </w:rPr>
        <w:t>RADIO TRIUNFOS, S.A</w:t>
      </w:r>
      <w:r w:rsidR="009B0705" w:rsidRPr="00A75729">
        <w:rPr>
          <w:b/>
        </w:rPr>
        <w:t xml:space="preserve">. DE C.V. </w:t>
      </w:r>
      <w:r w:rsidR="00B41CED" w:rsidRPr="00A75729">
        <w:rPr>
          <w:b/>
        </w:rPr>
        <w:t>MATERIA</w:t>
      </w:r>
      <w:r w:rsidRPr="00A75729">
        <w:rPr>
          <w:b/>
        </w:rPr>
        <w:t xml:space="preserve"> </w:t>
      </w:r>
      <w:r w:rsidR="00B41CED" w:rsidRPr="00A75729">
        <w:rPr>
          <w:b/>
        </w:rPr>
        <w:t>D</w:t>
      </w:r>
      <w:r w:rsidRPr="00A75729">
        <w:rPr>
          <w:b/>
        </w:rPr>
        <w:t xml:space="preserve">EL AVISO QUE SE TRAMITA EN EL EXPEDIENTE </w:t>
      </w:r>
      <w:r w:rsidR="00D7412C" w:rsidRPr="00A75729">
        <w:rPr>
          <w:b/>
        </w:rPr>
        <w:t xml:space="preserve">NÚMERO </w:t>
      </w:r>
      <w:proofErr w:type="spellStart"/>
      <w:r w:rsidR="00A161A8" w:rsidRPr="00A75729">
        <w:rPr>
          <w:b/>
        </w:rPr>
        <w:t>UCE</w:t>
      </w:r>
      <w:proofErr w:type="spellEnd"/>
      <w:r w:rsidR="00A161A8" w:rsidRPr="00A75729">
        <w:rPr>
          <w:b/>
        </w:rPr>
        <w:t>/</w:t>
      </w:r>
      <w:proofErr w:type="spellStart"/>
      <w:r w:rsidRPr="00A75729">
        <w:rPr>
          <w:b/>
        </w:rPr>
        <w:t>AVC</w:t>
      </w:r>
      <w:proofErr w:type="spellEnd"/>
      <w:r w:rsidRPr="00A75729">
        <w:rPr>
          <w:b/>
        </w:rPr>
        <w:t>-001-201</w:t>
      </w:r>
      <w:r w:rsidR="00110E4A" w:rsidRPr="00A75729">
        <w:rPr>
          <w:b/>
        </w:rPr>
        <w:t>8</w:t>
      </w:r>
      <w:r w:rsidR="00C45F7E" w:rsidRPr="00A75729">
        <w:rPr>
          <w:b/>
        </w:rPr>
        <w:t>,</w:t>
      </w:r>
      <w:r w:rsidRPr="00A75729">
        <w:rPr>
          <w:b/>
        </w:rPr>
        <w:t xml:space="preserve"> CUMPLE CON LOS INCISOS </w:t>
      </w:r>
      <w:r w:rsidR="00D7412C" w:rsidRPr="00A75729">
        <w:rPr>
          <w:b/>
        </w:rPr>
        <w:t>a</w:t>
      </w:r>
      <w:r w:rsidR="006A0222" w:rsidRPr="00A75729">
        <w:rPr>
          <w:b/>
        </w:rPr>
        <w:t>.</w:t>
      </w:r>
      <w:r w:rsidR="00106F7D" w:rsidRPr="00A75729">
        <w:rPr>
          <w:b/>
        </w:rPr>
        <w:t xml:space="preserve"> A </w:t>
      </w:r>
      <w:r w:rsidR="00D7412C" w:rsidRPr="00A75729">
        <w:rPr>
          <w:b/>
        </w:rPr>
        <w:t>d</w:t>
      </w:r>
      <w:r w:rsidR="006A0222" w:rsidRPr="00A75729">
        <w:rPr>
          <w:b/>
        </w:rPr>
        <w:t>.</w:t>
      </w:r>
      <w:r w:rsidR="00106F7D" w:rsidRPr="00A75729">
        <w:rPr>
          <w:b/>
        </w:rPr>
        <w:t xml:space="preserve"> </w:t>
      </w:r>
      <w:r w:rsidRPr="00A75729">
        <w:rPr>
          <w:b/>
        </w:rPr>
        <w:t>ESTABLECIDOS EN EL PÁRRAFO PRIMERO DEL ARTÍCULO NOVENO TRANSITORIO DEL “</w:t>
      </w:r>
      <w:r w:rsidRPr="00A75729">
        <w:rPr>
          <w:b/>
          <w:i/>
        </w:rPr>
        <w:t>DECRETO POR EL QUE SE EXPIDE LA LEY FEDERAL DE TELECOMUNICACIONES Y RADIODIFUSIÓN, Y LA LEY DEL SISTEMA PÚBLICO DE RADIODIFUSIÓN DEL ESTADO MEXICANO; Y SE REFORMAN, ADICIONAN Y DEROGAN DIVERSAS DISPOSICIONES EN MATERIA DE TELECOMUNICACIONES Y RADIODIFUSIÓN</w:t>
      </w:r>
      <w:r w:rsidRPr="00A75729">
        <w:rPr>
          <w:b/>
        </w:rPr>
        <w:t>”</w:t>
      </w:r>
      <w:r w:rsidR="00B41CED" w:rsidRPr="00A75729">
        <w:rPr>
          <w:b/>
        </w:rPr>
        <w:t>.</w:t>
      </w:r>
      <w:r w:rsidR="00DD28F8" w:rsidRPr="00A75729">
        <w:rPr>
          <w:rStyle w:val="Refdenotaalpie"/>
          <w:b/>
        </w:rPr>
        <w:footnoteReference w:id="1"/>
      </w:r>
    </w:p>
    <w:p w:rsidR="00742C00" w:rsidRPr="00A75729" w:rsidRDefault="00742C00" w:rsidP="00742C00">
      <w:pPr>
        <w:spacing w:after="0"/>
      </w:pPr>
      <w:r w:rsidRPr="00A75729">
        <w:t>En la presente resolución se utilizarán los siguientes acrónimos y términos.</w:t>
      </w:r>
    </w:p>
    <w:p w:rsidR="00742C00" w:rsidRPr="00A75729" w:rsidRDefault="00742C00" w:rsidP="00742C00">
      <w:pPr>
        <w:pStyle w:val="Ttulo1"/>
        <w:keepLines/>
        <w:spacing w:after="240"/>
        <w:ind w:left="0" w:firstLine="0"/>
        <w:rPr>
          <w:rFonts w:eastAsiaTheme="majorEastAsia" w:cstheme="majorBidi"/>
          <w:bCs w:val="0"/>
          <w:szCs w:val="32"/>
          <w:lang w:val="es-MX" w:eastAsia="en-US"/>
        </w:rPr>
      </w:pPr>
      <w:bookmarkStart w:id="0" w:name="_Toc441722853"/>
      <w:bookmarkStart w:id="1" w:name="_Toc516755936"/>
      <w:bookmarkStart w:id="2" w:name="_Toc519100816"/>
      <w:r w:rsidRPr="00A75729">
        <w:rPr>
          <w:rFonts w:eastAsiaTheme="majorEastAsia" w:cstheme="majorBidi"/>
          <w:bCs w:val="0"/>
          <w:szCs w:val="32"/>
          <w:lang w:val="es-MX" w:eastAsia="en-US"/>
        </w:rPr>
        <w:t>GLOSARIO</w:t>
      </w:r>
      <w:bookmarkEnd w:id="0"/>
      <w:bookmarkEnd w:id="1"/>
      <w:bookmarkEnd w:id="2"/>
    </w:p>
    <w:tbl>
      <w:tblPr>
        <w:tblW w:w="0" w:type="auto"/>
        <w:tblLook w:val="04A0" w:firstRow="1" w:lastRow="0" w:firstColumn="1" w:lastColumn="0" w:noHBand="0" w:noVBand="1"/>
      </w:tblPr>
      <w:tblGrid>
        <w:gridCol w:w="2357"/>
        <w:gridCol w:w="239"/>
        <w:gridCol w:w="6798"/>
      </w:tblGrid>
      <w:tr w:rsidR="00742C00" w:rsidRPr="00A75729" w:rsidTr="00B41CED">
        <w:trPr>
          <w:tblHeader/>
        </w:trPr>
        <w:tc>
          <w:tcPr>
            <w:tcW w:w="2357" w:type="dxa"/>
            <w:shd w:val="clear" w:color="auto" w:fill="E7E6E6" w:themeFill="background2"/>
            <w:vAlign w:val="center"/>
          </w:tcPr>
          <w:p w:rsidR="00742C00" w:rsidRPr="00A75729" w:rsidRDefault="00742C00" w:rsidP="006D5127">
            <w:pPr>
              <w:spacing w:before="0" w:after="0"/>
              <w:jc w:val="left"/>
              <w:rPr>
                <w:b/>
                <w:sz w:val="20"/>
                <w:szCs w:val="20"/>
              </w:rPr>
            </w:pPr>
            <w:r w:rsidRPr="00A75729">
              <w:rPr>
                <w:b/>
                <w:sz w:val="20"/>
                <w:szCs w:val="20"/>
              </w:rPr>
              <w:t>Término o acrónimo</w:t>
            </w:r>
          </w:p>
        </w:tc>
        <w:tc>
          <w:tcPr>
            <w:tcW w:w="239" w:type="dxa"/>
            <w:shd w:val="clear" w:color="auto" w:fill="FFFFFF" w:themeFill="background1"/>
          </w:tcPr>
          <w:p w:rsidR="00742C00" w:rsidRPr="00A75729" w:rsidRDefault="00742C00" w:rsidP="00DF6C20">
            <w:pPr>
              <w:spacing w:before="0" w:after="0"/>
              <w:rPr>
                <w:b/>
                <w:sz w:val="16"/>
                <w:szCs w:val="20"/>
              </w:rPr>
            </w:pPr>
          </w:p>
        </w:tc>
        <w:tc>
          <w:tcPr>
            <w:tcW w:w="6798" w:type="dxa"/>
            <w:shd w:val="clear" w:color="auto" w:fill="E7E6E6" w:themeFill="background2"/>
            <w:vAlign w:val="center"/>
          </w:tcPr>
          <w:p w:rsidR="00742C00" w:rsidRPr="00A75729" w:rsidRDefault="00742C00" w:rsidP="006D5127">
            <w:pPr>
              <w:spacing w:before="0" w:after="80"/>
              <w:jc w:val="left"/>
              <w:rPr>
                <w:b/>
                <w:sz w:val="20"/>
                <w:szCs w:val="20"/>
              </w:rPr>
            </w:pPr>
            <w:r w:rsidRPr="00A75729">
              <w:rPr>
                <w:b/>
                <w:sz w:val="20"/>
                <w:szCs w:val="20"/>
              </w:rPr>
              <w:t>Definición</w:t>
            </w:r>
          </w:p>
        </w:tc>
      </w:tr>
      <w:tr w:rsidR="007A2B64" w:rsidRPr="00A75729" w:rsidTr="00B41CED">
        <w:tc>
          <w:tcPr>
            <w:tcW w:w="2357" w:type="dxa"/>
            <w:tcBorders>
              <w:bottom w:val="single" w:sz="4" w:space="0" w:color="auto"/>
            </w:tcBorders>
            <w:vAlign w:val="center"/>
          </w:tcPr>
          <w:p w:rsidR="007A2B64" w:rsidRPr="00A75729" w:rsidRDefault="007A2B64" w:rsidP="006D5127">
            <w:pPr>
              <w:spacing w:before="0" w:after="0"/>
              <w:jc w:val="left"/>
              <w:rPr>
                <w:b/>
                <w:sz w:val="20"/>
                <w:szCs w:val="20"/>
              </w:rPr>
            </w:pPr>
            <w:r w:rsidRPr="00A75729">
              <w:rPr>
                <w:b/>
                <w:sz w:val="20"/>
                <w:szCs w:val="20"/>
              </w:rPr>
              <w:t>Acuerdo de Transición de 2008</w:t>
            </w:r>
          </w:p>
        </w:tc>
        <w:tc>
          <w:tcPr>
            <w:tcW w:w="239" w:type="dxa"/>
            <w:tcBorders>
              <w:bottom w:val="single" w:sz="4" w:space="0" w:color="auto"/>
            </w:tcBorders>
            <w:shd w:val="clear" w:color="auto" w:fill="FFFFFF" w:themeFill="background1"/>
          </w:tcPr>
          <w:p w:rsidR="007A2B64" w:rsidRPr="00A75729" w:rsidRDefault="007A2B64" w:rsidP="00DF6C20">
            <w:pPr>
              <w:spacing w:before="0" w:after="0"/>
              <w:rPr>
                <w:sz w:val="16"/>
                <w:szCs w:val="20"/>
              </w:rPr>
            </w:pPr>
          </w:p>
        </w:tc>
        <w:tc>
          <w:tcPr>
            <w:tcW w:w="6798" w:type="dxa"/>
            <w:tcBorders>
              <w:bottom w:val="single" w:sz="4" w:space="0" w:color="auto"/>
            </w:tcBorders>
            <w:vAlign w:val="center"/>
          </w:tcPr>
          <w:p w:rsidR="007A2B64" w:rsidRPr="00A75729" w:rsidRDefault="007A2B64" w:rsidP="006D5127">
            <w:pPr>
              <w:spacing w:before="0" w:after="80"/>
              <w:rPr>
                <w:sz w:val="20"/>
                <w:szCs w:val="20"/>
              </w:rPr>
            </w:pPr>
            <w:r w:rsidRPr="00A75729">
              <w:rPr>
                <w:i/>
                <w:sz w:val="20"/>
                <w:szCs w:val="20"/>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Pr="00A75729">
              <w:rPr>
                <w:sz w:val="20"/>
                <w:szCs w:val="20"/>
              </w:rPr>
              <w:t xml:space="preserve">”, publicado en el </w:t>
            </w:r>
            <w:proofErr w:type="spellStart"/>
            <w:r w:rsidRPr="00A75729">
              <w:rPr>
                <w:sz w:val="20"/>
                <w:szCs w:val="20"/>
              </w:rPr>
              <w:t>DOF</w:t>
            </w:r>
            <w:proofErr w:type="spellEnd"/>
            <w:r w:rsidRPr="00A75729">
              <w:rPr>
                <w:sz w:val="20"/>
                <w:szCs w:val="20"/>
              </w:rPr>
              <w:t xml:space="preserve"> el 15 de septiembre de 2008.”</w:t>
            </w:r>
            <w:r w:rsidRPr="00A75729">
              <w:rPr>
                <w:sz w:val="20"/>
                <w:szCs w:val="20"/>
                <w:vertAlign w:val="superscript"/>
              </w:rPr>
              <w:footnoteReference w:id="2"/>
            </w:r>
          </w:p>
        </w:tc>
      </w:tr>
      <w:tr w:rsidR="00DC18D0" w:rsidRPr="00A75729" w:rsidTr="00B41CED">
        <w:tc>
          <w:tcPr>
            <w:tcW w:w="2357" w:type="dxa"/>
            <w:tcBorders>
              <w:bottom w:val="single" w:sz="4" w:space="0" w:color="auto"/>
            </w:tcBorders>
            <w:vAlign w:val="center"/>
          </w:tcPr>
          <w:p w:rsidR="00DC18D0" w:rsidRPr="00A75729" w:rsidRDefault="00DC18D0" w:rsidP="00DC18D0">
            <w:pPr>
              <w:spacing w:before="0" w:after="0"/>
              <w:jc w:val="left"/>
              <w:rPr>
                <w:b/>
                <w:sz w:val="20"/>
                <w:szCs w:val="20"/>
              </w:rPr>
            </w:pPr>
            <w:r w:rsidRPr="00A75729">
              <w:rPr>
                <w:b/>
                <w:sz w:val="20"/>
                <w:szCs w:val="20"/>
              </w:rPr>
              <w:t>Acuerdo de Transición de 2016</w:t>
            </w:r>
          </w:p>
        </w:tc>
        <w:tc>
          <w:tcPr>
            <w:tcW w:w="239" w:type="dxa"/>
            <w:tcBorders>
              <w:bottom w:val="single" w:sz="4" w:space="0" w:color="auto"/>
            </w:tcBorders>
            <w:shd w:val="clear" w:color="auto" w:fill="FFFFFF" w:themeFill="background1"/>
          </w:tcPr>
          <w:p w:rsidR="00DC18D0" w:rsidRPr="00A75729" w:rsidRDefault="00DC18D0" w:rsidP="00DF6C20">
            <w:pPr>
              <w:spacing w:before="0" w:after="0"/>
              <w:rPr>
                <w:sz w:val="16"/>
                <w:szCs w:val="20"/>
              </w:rPr>
            </w:pPr>
          </w:p>
        </w:tc>
        <w:tc>
          <w:tcPr>
            <w:tcW w:w="6798" w:type="dxa"/>
            <w:tcBorders>
              <w:bottom w:val="single" w:sz="4" w:space="0" w:color="auto"/>
            </w:tcBorders>
            <w:vAlign w:val="center"/>
          </w:tcPr>
          <w:p w:rsidR="00DC18D0" w:rsidRPr="00A75729" w:rsidRDefault="00DC18D0" w:rsidP="00DC18D0">
            <w:pPr>
              <w:spacing w:before="0" w:after="80"/>
              <w:rPr>
                <w:sz w:val="20"/>
                <w:szCs w:val="20"/>
              </w:rPr>
            </w:pPr>
            <w:r w:rsidRPr="00A75729">
              <w:rPr>
                <w:i/>
                <w:sz w:val="20"/>
                <w:szCs w:val="20"/>
              </w:rPr>
              <w:t>“ACUERDO mediante el cual el Pleno del Instituto Federal de Telecomunicaciones aprueba y emite los Lineamientos mediante los cuales el Instituto Federal de Telecomunicaciones establece los criterios para el cambio de frecuencias de estaciones de Radiodifusión Sonora que operan en la banda de amplitud modulada a frecuencia modulada”</w:t>
            </w:r>
            <w:r w:rsidRPr="00A75729">
              <w:rPr>
                <w:sz w:val="20"/>
                <w:szCs w:val="20"/>
              </w:rPr>
              <w:t>, emitido el 24 de noviembre de 2016</w:t>
            </w:r>
            <w:r w:rsidRPr="00A75729">
              <w:rPr>
                <w:i/>
                <w:sz w:val="20"/>
                <w:szCs w:val="20"/>
              </w:rPr>
              <w:t>.</w:t>
            </w:r>
          </w:p>
        </w:tc>
      </w:tr>
      <w:tr w:rsidR="00593888" w:rsidRPr="00A75729" w:rsidTr="00B41CED">
        <w:tc>
          <w:tcPr>
            <w:tcW w:w="2357" w:type="dxa"/>
            <w:tcBorders>
              <w:bottom w:val="single" w:sz="4" w:space="0" w:color="auto"/>
            </w:tcBorders>
            <w:vAlign w:val="center"/>
          </w:tcPr>
          <w:p w:rsidR="00593888" w:rsidRPr="00A75729" w:rsidRDefault="00593888" w:rsidP="006D5127">
            <w:pPr>
              <w:spacing w:before="0" w:after="0"/>
              <w:jc w:val="left"/>
              <w:rPr>
                <w:b/>
                <w:sz w:val="20"/>
                <w:szCs w:val="20"/>
              </w:rPr>
            </w:pPr>
            <w:r w:rsidRPr="00A75729">
              <w:rPr>
                <w:b/>
                <w:sz w:val="20"/>
                <w:szCs w:val="20"/>
              </w:rPr>
              <w:t xml:space="preserve">Agente Económico Preponderante en el sector de Radiodifusión o </w:t>
            </w:r>
            <w:proofErr w:type="spellStart"/>
            <w:r w:rsidRPr="00A75729">
              <w:rPr>
                <w:b/>
                <w:sz w:val="20"/>
                <w:szCs w:val="20"/>
              </w:rPr>
              <w:t>AEPR</w:t>
            </w:r>
            <w:proofErr w:type="spellEnd"/>
          </w:p>
        </w:tc>
        <w:tc>
          <w:tcPr>
            <w:tcW w:w="239" w:type="dxa"/>
            <w:tcBorders>
              <w:bottom w:val="single" w:sz="4" w:space="0" w:color="auto"/>
            </w:tcBorders>
            <w:shd w:val="clear" w:color="auto" w:fill="FFFFFF" w:themeFill="background1"/>
          </w:tcPr>
          <w:p w:rsidR="00593888" w:rsidRPr="00A75729" w:rsidRDefault="00593888" w:rsidP="00DF6C20">
            <w:pPr>
              <w:spacing w:before="0" w:after="0"/>
              <w:rPr>
                <w:sz w:val="16"/>
                <w:szCs w:val="20"/>
              </w:rPr>
            </w:pPr>
          </w:p>
        </w:tc>
        <w:tc>
          <w:tcPr>
            <w:tcW w:w="6798" w:type="dxa"/>
            <w:tcBorders>
              <w:bottom w:val="single" w:sz="4" w:space="0" w:color="auto"/>
            </w:tcBorders>
            <w:vAlign w:val="center"/>
          </w:tcPr>
          <w:p w:rsidR="00593888" w:rsidRPr="00A75729" w:rsidRDefault="00593888" w:rsidP="00593888">
            <w:pPr>
              <w:spacing w:before="0" w:after="80"/>
              <w:rPr>
                <w:sz w:val="20"/>
                <w:szCs w:val="20"/>
              </w:rPr>
            </w:pPr>
            <w:proofErr w:type="spellStart"/>
            <w:r w:rsidRPr="00A75729">
              <w:rPr>
                <w:sz w:val="20"/>
                <w:szCs w:val="20"/>
              </w:rPr>
              <w:t>GIE</w:t>
            </w:r>
            <w:proofErr w:type="spellEnd"/>
            <w:r w:rsidRPr="00A75729">
              <w:rPr>
                <w:sz w:val="20"/>
                <w:szCs w:val="20"/>
              </w:rPr>
              <w:t xml:space="preserve"> del que forman parte Grupo Televisa </w:t>
            </w:r>
            <w:proofErr w:type="spellStart"/>
            <w:r w:rsidRPr="00A75729">
              <w:rPr>
                <w:sz w:val="20"/>
                <w:szCs w:val="20"/>
              </w:rPr>
              <w:t>S.A.B</w:t>
            </w:r>
            <w:proofErr w:type="spellEnd"/>
            <w:r w:rsidRPr="00A75729">
              <w:rPr>
                <w:sz w:val="20"/>
                <w:szCs w:val="20"/>
              </w:rPr>
              <w:t xml:space="preserve">., Canales de Televisión Populares, S.A. de C.V., Radio Televisión, S.A. de C.V., </w:t>
            </w:r>
            <w:proofErr w:type="spellStart"/>
            <w:r w:rsidRPr="00A75729">
              <w:rPr>
                <w:sz w:val="20"/>
                <w:szCs w:val="20"/>
              </w:rPr>
              <w:t>Radiotelevisora</w:t>
            </w:r>
            <w:proofErr w:type="spellEnd"/>
            <w:r w:rsidRPr="00A75729">
              <w:rPr>
                <w:sz w:val="20"/>
                <w:szCs w:val="20"/>
              </w:rPr>
              <w:t xml:space="preserve"> de México Norte, S.A. de C.V., </w:t>
            </w:r>
            <w:proofErr w:type="spellStart"/>
            <w:r w:rsidRPr="00A75729">
              <w:rPr>
                <w:sz w:val="20"/>
                <w:szCs w:val="20"/>
              </w:rPr>
              <w:t>T.V</w:t>
            </w:r>
            <w:proofErr w:type="spellEnd"/>
            <w:r w:rsidRPr="00A75729">
              <w:rPr>
                <w:sz w:val="20"/>
                <w:szCs w:val="20"/>
              </w:rPr>
              <w:t xml:space="preserve">. de los Mochis, S.A. de C.V., </w:t>
            </w:r>
            <w:proofErr w:type="spellStart"/>
            <w:r w:rsidRPr="00A75729">
              <w:rPr>
                <w:sz w:val="20"/>
                <w:szCs w:val="20"/>
              </w:rPr>
              <w:t>Teleimagen</w:t>
            </w:r>
            <w:proofErr w:type="spellEnd"/>
            <w:r w:rsidRPr="00A75729">
              <w:rPr>
                <w:sz w:val="20"/>
                <w:szCs w:val="20"/>
              </w:rPr>
              <w:t xml:space="preserve"> del Noroeste, S.A. de C.V., </w:t>
            </w:r>
            <w:proofErr w:type="spellStart"/>
            <w:r w:rsidRPr="00A75729">
              <w:rPr>
                <w:sz w:val="20"/>
                <w:szCs w:val="20"/>
              </w:rPr>
              <w:t>Televimex</w:t>
            </w:r>
            <w:proofErr w:type="spellEnd"/>
            <w:r w:rsidRPr="00A75729">
              <w:rPr>
                <w:sz w:val="20"/>
                <w:szCs w:val="20"/>
              </w:rPr>
              <w:t xml:space="preserve">, S.A. de C.V., Televisión de Puebla, S.A. de C.V., Televisora de Mexicali, S.A. de C.V., Televisora de Navojoa, S.A., Televisora de Occidente, S.A. de C.V., Televisora Peninsular, S.A. de C.V., Mario Enríquez </w:t>
            </w:r>
            <w:proofErr w:type="spellStart"/>
            <w:r w:rsidRPr="00A75729">
              <w:rPr>
                <w:sz w:val="20"/>
                <w:szCs w:val="20"/>
              </w:rPr>
              <w:t>Mayans</w:t>
            </w:r>
            <w:proofErr w:type="spellEnd"/>
            <w:r w:rsidRPr="00A75729">
              <w:rPr>
                <w:sz w:val="20"/>
                <w:szCs w:val="20"/>
              </w:rPr>
              <w:t xml:space="preserve"> Concha, Televisión La Paz, S.A., Televisión de la Frontera, S.A., Pedro Luis </w:t>
            </w:r>
            <w:proofErr w:type="spellStart"/>
            <w:r w:rsidRPr="00A75729">
              <w:rPr>
                <w:sz w:val="20"/>
                <w:szCs w:val="20"/>
              </w:rPr>
              <w:t>Fitzmaurice</w:t>
            </w:r>
            <w:proofErr w:type="spellEnd"/>
            <w:r w:rsidRPr="00A75729">
              <w:rPr>
                <w:sz w:val="20"/>
                <w:szCs w:val="20"/>
              </w:rPr>
              <w:t xml:space="preserve"> Meneses, </w:t>
            </w:r>
            <w:proofErr w:type="spellStart"/>
            <w:r w:rsidRPr="00A75729">
              <w:rPr>
                <w:sz w:val="20"/>
                <w:szCs w:val="20"/>
              </w:rPr>
              <w:t>Telemisión</w:t>
            </w:r>
            <w:proofErr w:type="spellEnd"/>
            <w:r w:rsidRPr="00A75729">
              <w:rPr>
                <w:sz w:val="20"/>
                <w:szCs w:val="20"/>
              </w:rPr>
              <w:t xml:space="preserve">, S.A. de C.V., Comunicación del Sureste, S.A. de C.V., José de Jesús Partida Villanueva, Hilda Graciela Rivera Flores, Roberto Casimiro González Treviño, TV Diez Durango, </w:t>
            </w:r>
            <w:r w:rsidRPr="00A75729">
              <w:rPr>
                <w:sz w:val="20"/>
                <w:szCs w:val="20"/>
              </w:rPr>
              <w:lastRenderedPageBreak/>
              <w:t xml:space="preserve">S.A. de C.V., Televisora de Durango, S.A. de C.V., Corporación Tapatía de Televisión, S.A. de C.V., Televisión de Michoacán, S.A. de C.V., José Humberto y </w:t>
            </w:r>
            <w:proofErr w:type="spellStart"/>
            <w:r w:rsidRPr="00A75729">
              <w:rPr>
                <w:sz w:val="20"/>
                <w:szCs w:val="20"/>
              </w:rPr>
              <w:t>Loucille</w:t>
            </w:r>
            <w:proofErr w:type="spellEnd"/>
            <w:r w:rsidRPr="00A75729">
              <w:rPr>
                <w:sz w:val="20"/>
                <w:szCs w:val="20"/>
              </w:rPr>
              <w:t xml:space="preserve">, Martínez Morales, Canal 13 de Michoacán, S.A. de C.V., Televisora </w:t>
            </w:r>
            <w:proofErr w:type="spellStart"/>
            <w:r w:rsidRPr="00A75729">
              <w:rPr>
                <w:sz w:val="20"/>
                <w:szCs w:val="20"/>
              </w:rPr>
              <w:t>XHBO</w:t>
            </w:r>
            <w:proofErr w:type="spellEnd"/>
            <w:r w:rsidRPr="00A75729">
              <w:rPr>
                <w:sz w:val="20"/>
                <w:szCs w:val="20"/>
              </w:rPr>
              <w:t>, S.A. de C.V., TV Ocho, S.A. de C.V., Televisora Potosina, S.A. de C.V., TV de Culiacán, S.A. de C.V., Televisión del Pacífico, S.A. de C.V., Tele-Emisoras del Sureste, S.A. de C.V., Televisión de Tabasco, S.A. y Ramona Esparza González.</w:t>
            </w:r>
          </w:p>
          <w:p w:rsidR="00B41CED" w:rsidRPr="00A75729" w:rsidRDefault="00B41CED" w:rsidP="00B41CED">
            <w:pPr>
              <w:spacing w:before="0" w:after="80"/>
              <w:rPr>
                <w:sz w:val="20"/>
                <w:szCs w:val="20"/>
              </w:rPr>
            </w:pPr>
            <w:r w:rsidRPr="00A75729">
              <w:rPr>
                <w:sz w:val="20"/>
                <w:szCs w:val="20"/>
              </w:rPr>
              <w:t>Tal y como fue declarado en el Acuerdo del Pleno del Instituto número P/</w:t>
            </w:r>
            <w:proofErr w:type="spellStart"/>
            <w:r w:rsidRPr="00A75729">
              <w:rPr>
                <w:sz w:val="20"/>
                <w:szCs w:val="20"/>
              </w:rPr>
              <w:t>IFT</w:t>
            </w:r>
            <w:proofErr w:type="spellEnd"/>
            <w:r w:rsidRPr="00A75729">
              <w:rPr>
                <w:sz w:val="20"/>
                <w:szCs w:val="20"/>
              </w:rPr>
              <w:t>/EXT/060314/77.</w:t>
            </w:r>
            <w:r w:rsidRPr="00A75729">
              <w:rPr>
                <w:rStyle w:val="Refdenotaalpie"/>
                <w:sz w:val="20"/>
                <w:szCs w:val="20"/>
              </w:rPr>
              <w:footnoteReference w:id="3"/>
            </w:r>
          </w:p>
        </w:tc>
      </w:tr>
      <w:tr w:rsidR="007A2B64" w:rsidRPr="00A75729" w:rsidTr="00B41CED">
        <w:tc>
          <w:tcPr>
            <w:tcW w:w="2357" w:type="dxa"/>
            <w:tcBorders>
              <w:bottom w:val="single" w:sz="4" w:space="0" w:color="auto"/>
            </w:tcBorders>
            <w:vAlign w:val="center"/>
          </w:tcPr>
          <w:p w:rsidR="007A2B64" w:rsidRPr="00A75729" w:rsidRDefault="007A2B64" w:rsidP="007A2B64">
            <w:pPr>
              <w:spacing w:before="0" w:after="0"/>
              <w:jc w:val="left"/>
              <w:rPr>
                <w:b/>
                <w:sz w:val="20"/>
                <w:szCs w:val="20"/>
              </w:rPr>
            </w:pPr>
            <w:r w:rsidRPr="00A75729">
              <w:rPr>
                <w:b/>
                <w:sz w:val="20"/>
                <w:szCs w:val="20"/>
              </w:rPr>
              <w:t>Audio Publicidad o Cedente</w:t>
            </w:r>
          </w:p>
        </w:tc>
        <w:tc>
          <w:tcPr>
            <w:tcW w:w="239" w:type="dxa"/>
            <w:tcBorders>
              <w:bottom w:val="single" w:sz="4" w:space="0" w:color="auto"/>
            </w:tcBorders>
            <w:shd w:val="clear" w:color="auto" w:fill="FFFFFF" w:themeFill="background1"/>
          </w:tcPr>
          <w:p w:rsidR="007A2B64" w:rsidRPr="00A75729" w:rsidRDefault="007A2B64" w:rsidP="007A2B64">
            <w:pPr>
              <w:spacing w:before="0" w:after="0"/>
              <w:rPr>
                <w:sz w:val="16"/>
                <w:szCs w:val="20"/>
              </w:rPr>
            </w:pPr>
          </w:p>
        </w:tc>
        <w:tc>
          <w:tcPr>
            <w:tcW w:w="6798" w:type="dxa"/>
            <w:tcBorders>
              <w:bottom w:val="single" w:sz="4" w:space="0" w:color="auto"/>
            </w:tcBorders>
            <w:vAlign w:val="center"/>
          </w:tcPr>
          <w:p w:rsidR="007A2B64" w:rsidRPr="00A75729" w:rsidRDefault="007A2B64" w:rsidP="007A2B64">
            <w:pPr>
              <w:spacing w:before="0" w:after="80"/>
              <w:rPr>
                <w:sz w:val="20"/>
                <w:szCs w:val="20"/>
              </w:rPr>
            </w:pPr>
            <w:r w:rsidRPr="00A75729">
              <w:rPr>
                <w:sz w:val="20"/>
                <w:szCs w:val="20"/>
              </w:rPr>
              <w:t>Audio Publicidad, S.A. de C.V.</w:t>
            </w:r>
          </w:p>
        </w:tc>
      </w:tr>
      <w:tr w:rsidR="007A2B64" w:rsidRPr="00A75729" w:rsidTr="00B41CED">
        <w:tc>
          <w:tcPr>
            <w:tcW w:w="2357" w:type="dxa"/>
            <w:tcBorders>
              <w:top w:val="single" w:sz="4" w:space="0" w:color="auto"/>
              <w:bottom w:val="single" w:sz="4" w:space="0" w:color="auto"/>
            </w:tcBorders>
            <w:vAlign w:val="center"/>
          </w:tcPr>
          <w:p w:rsidR="007A2B64" w:rsidRPr="00A75729" w:rsidRDefault="007A2B64" w:rsidP="007A2B64">
            <w:pPr>
              <w:spacing w:before="0" w:after="0"/>
              <w:jc w:val="left"/>
              <w:rPr>
                <w:b/>
                <w:sz w:val="20"/>
                <w:szCs w:val="20"/>
              </w:rPr>
            </w:pPr>
            <w:r w:rsidRPr="00A75729">
              <w:rPr>
                <w:b/>
                <w:sz w:val="20"/>
                <w:szCs w:val="20"/>
              </w:rPr>
              <w:t>Aviso de Concentración</w:t>
            </w:r>
          </w:p>
        </w:tc>
        <w:tc>
          <w:tcPr>
            <w:tcW w:w="239" w:type="dxa"/>
            <w:tcBorders>
              <w:top w:val="single" w:sz="4" w:space="0" w:color="auto"/>
              <w:bottom w:val="single" w:sz="4" w:space="0" w:color="auto"/>
            </w:tcBorders>
            <w:shd w:val="clear" w:color="auto" w:fill="FFFFFF" w:themeFill="background1"/>
          </w:tcPr>
          <w:p w:rsidR="007A2B64" w:rsidRPr="00A75729" w:rsidRDefault="007A2B64" w:rsidP="007A2B64">
            <w:pPr>
              <w:spacing w:before="0" w:after="0"/>
              <w:rPr>
                <w:sz w:val="16"/>
                <w:szCs w:val="20"/>
              </w:rPr>
            </w:pPr>
          </w:p>
        </w:tc>
        <w:tc>
          <w:tcPr>
            <w:tcW w:w="6798" w:type="dxa"/>
            <w:tcBorders>
              <w:top w:val="single" w:sz="4" w:space="0" w:color="auto"/>
              <w:bottom w:val="single" w:sz="4" w:space="0" w:color="auto"/>
            </w:tcBorders>
            <w:vAlign w:val="center"/>
          </w:tcPr>
          <w:p w:rsidR="007A2B64" w:rsidRPr="00A75729" w:rsidRDefault="007A2B64" w:rsidP="007A2B64">
            <w:pPr>
              <w:spacing w:before="0" w:after="80"/>
              <w:rPr>
                <w:sz w:val="20"/>
                <w:szCs w:val="20"/>
              </w:rPr>
            </w:pPr>
            <w:r w:rsidRPr="00A75729">
              <w:rPr>
                <w:sz w:val="20"/>
                <w:szCs w:val="20"/>
              </w:rPr>
              <w:t>Escrito y anexos presentados por las Partes, en la oficialía de partes del Instituto, el 19 de abril de 2018.</w:t>
            </w:r>
          </w:p>
        </w:tc>
      </w:tr>
      <w:tr w:rsidR="007A2B64" w:rsidRPr="00A75729" w:rsidTr="00B41CED">
        <w:tc>
          <w:tcPr>
            <w:tcW w:w="2357" w:type="dxa"/>
            <w:tcBorders>
              <w:top w:val="single" w:sz="4" w:space="0" w:color="auto"/>
              <w:bottom w:val="single" w:sz="4" w:space="0" w:color="auto"/>
            </w:tcBorders>
            <w:vAlign w:val="center"/>
          </w:tcPr>
          <w:p w:rsidR="007A2B64" w:rsidRPr="00A75729" w:rsidRDefault="007A2B64" w:rsidP="007A2B64">
            <w:pPr>
              <w:spacing w:before="0" w:after="0"/>
              <w:jc w:val="left"/>
              <w:rPr>
                <w:sz w:val="20"/>
                <w:szCs w:val="20"/>
              </w:rPr>
            </w:pPr>
            <w:proofErr w:type="spellStart"/>
            <w:r w:rsidRPr="00A75729">
              <w:rPr>
                <w:rFonts w:eastAsia="Times New Roman"/>
                <w:b/>
                <w:bCs/>
                <w:color w:val="000000"/>
                <w:sz w:val="20"/>
                <w:szCs w:val="20"/>
              </w:rPr>
              <w:t>CPEUM</w:t>
            </w:r>
            <w:proofErr w:type="spellEnd"/>
          </w:p>
        </w:tc>
        <w:tc>
          <w:tcPr>
            <w:tcW w:w="239" w:type="dxa"/>
            <w:tcBorders>
              <w:top w:val="single" w:sz="4" w:space="0" w:color="auto"/>
              <w:bottom w:val="single" w:sz="4" w:space="0" w:color="auto"/>
            </w:tcBorders>
            <w:shd w:val="clear" w:color="auto" w:fill="FFFFFF" w:themeFill="background1"/>
          </w:tcPr>
          <w:p w:rsidR="007A2B64" w:rsidRPr="00A75729" w:rsidRDefault="007A2B64" w:rsidP="007A2B64">
            <w:pPr>
              <w:spacing w:before="0" w:after="0"/>
              <w:rPr>
                <w:sz w:val="16"/>
                <w:szCs w:val="20"/>
              </w:rPr>
            </w:pPr>
          </w:p>
        </w:tc>
        <w:tc>
          <w:tcPr>
            <w:tcW w:w="6798" w:type="dxa"/>
            <w:tcBorders>
              <w:top w:val="single" w:sz="4" w:space="0" w:color="auto"/>
              <w:bottom w:val="single" w:sz="4" w:space="0" w:color="auto"/>
            </w:tcBorders>
            <w:vAlign w:val="center"/>
          </w:tcPr>
          <w:p w:rsidR="007A2B64" w:rsidRPr="00A75729" w:rsidRDefault="007A2B64" w:rsidP="007A2B64">
            <w:pPr>
              <w:spacing w:before="0" w:after="80"/>
              <w:rPr>
                <w:sz w:val="20"/>
                <w:szCs w:val="20"/>
              </w:rPr>
            </w:pPr>
            <w:r w:rsidRPr="00A75729">
              <w:rPr>
                <w:rFonts w:eastAsia="Times New Roman"/>
                <w:bCs/>
                <w:color w:val="000000"/>
                <w:sz w:val="20"/>
                <w:szCs w:val="20"/>
              </w:rPr>
              <w:t>Constitución Política de los Estados Unidos Mexicanos.</w:t>
            </w:r>
          </w:p>
        </w:tc>
      </w:tr>
      <w:tr w:rsidR="007A2B64" w:rsidRPr="00A75729" w:rsidTr="00B41CED">
        <w:tc>
          <w:tcPr>
            <w:tcW w:w="2357" w:type="dxa"/>
            <w:tcBorders>
              <w:top w:val="single" w:sz="4" w:space="0" w:color="auto"/>
              <w:bottom w:val="single" w:sz="4" w:space="0" w:color="auto"/>
            </w:tcBorders>
            <w:vAlign w:val="center"/>
          </w:tcPr>
          <w:p w:rsidR="007A2B64" w:rsidRPr="00A75729" w:rsidRDefault="007A2B64" w:rsidP="007A2B64">
            <w:pPr>
              <w:spacing w:before="0" w:after="0"/>
              <w:jc w:val="left"/>
              <w:rPr>
                <w:b/>
                <w:sz w:val="20"/>
                <w:szCs w:val="20"/>
              </w:rPr>
            </w:pPr>
            <w:r w:rsidRPr="00A75729">
              <w:rPr>
                <w:b/>
                <w:sz w:val="20"/>
                <w:szCs w:val="20"/>
              </w:rPr>
              <w:t xml:space="preserve">Decreto que expide la </w:t>
            </w:r>
            <w:proofErr w:type="spellStart"/>
            <w:r w:rsidRPr="00A75729">
              <w:rPr>
                <w:b/>
                <w:sz w:val="20"/>
                <w:szCs w:val="20"/>
              </w:rPr>
              <w:t>LFTR</w:t>
            </w:r>
            <w:proofErr w:type="spellEnd"/>
          </w:p>
        </w:tc>
        <w:tc>
          <w:tcPr>
            <w:tcW w:w="239" w:type="dxa"/>
            <w:tcBorders>
              <w:top w:val="single" w:sz="4" w:space="0" w:color="auto"/>
              <w:bottom w:val="single" w:sz="4" w:space="0" w:color="auto"/>
            </w:tcBorders>
            <w:shd w:val="clear" w:color="auto" w:fill="FFFFFF" w:themeFill="background1"/>
          </w:tcPr>
          <w:p w:rsidR="007A2B64" w:rsidRPr="00A75729" w:rsidRDefault="007A2B64" w:rsidP="007A2B64">
            <w:pPr>
              <w:spacing w:before="0" w:after="0"/>
              <w:rPr>
                <w:sz w:val="16"/>
                <w:szCs w:val="20"/>
              </w:rPr>
            </w:pPr>
          </w:p>
        </w:tc>
        <w:tc>
          <w:tcPr>
            <w:tcW w:w="6798" w:type="dxa"/>
            <w:tcBorders>
              <w:top w:val="single" w:sz="4" w:space="0" w:color="auto"/>
              <w:bottom w:val="single" w:sz="4" w:space="0" w:color="auto"/>
            </w:tcBorders>
            <w:vAlign w:val="center"/>
          </w:tcPr>
          <w:p w:rsidR="007A2B64" w:rsidRPr="00A75729" w:rsidRDefault="007A2B64" w:rsidP="007A2B64">
            <w:pPr>
              <w:spacing w:before="0" w:after="80"/>
              <w:rPr>
                <w:sz w:val="20"/>
                <w:szCs w:val="20"/>
              </w:rPr>
            </w:pPr>
            <w:r w:rsidRPr="00A75729">
              <w:rPr>
                <w:sz w:val="20"/>
                <w:szCs w:val="20"/>
              </w:rPr>
              <w:t>“</w:t>
            </w:r>
            <w:r w:rsidRPr="00A75729">
              <w:rPr>
                <w:i/>
                <w:sz w:val="20"/>
                <w:szCs w:val="20"/>
              </w:rPr>
              <w:t>DECRETO por el que se expide la Ley Federal de Telecomunicaciones y Radiodifusión, y la Ley del Sistema Público de Radiodifusión del Estado Mexicano; y se reforman, adicionan y derogan diversas disposiciones en materia de telecomunicaciones y radiodifusión</w:t>
            </w:r>
            <w:r w:rsidRPr="00A75729">
              <w:rPr>
                <w:sz w:val="20"/>
                <w:szCs w:val="20"/>
              </w:rPr>
              <w:t xml:space="preserve">”, publicado en el </w:t>
            </w:r>
            <w:proofErr w:type="spellStart"/>
            <w:r w:rsidRPr="00A75729">
              <w:rPr>
                <w:sz w:val="20"/>
                <w:szCs w:val="20"/>
              </w:rPr>
              <w:t>DOF</w:t>
            </w:r>
            <w:proofErr w:type="spellEnd"/>
            <w:r w:rsidRPr="00A75729">
              <w:rPr>
                <w:sz w:val="20"/>
                <w:szCs w:val="20"/>
              </w:rPr>
              <w:t xml:space="preserve"> el 14 de julio de 2014. </w:t>
            </w:r>
          </w:p>
        </w:tc>
      </w:tr>
      <w:tr w:rsidR="007A2B64" w:rsidRPr="00A75729" w:rsidTr="00B41CED">
        <w:tc>
          <w:tcPr>
            <w:tcW w:w="2357" w:type="dxa"/>
            <w:tcBorders>
              <w:top w:val="single" w:sz="4" w:space="0" w:color="auto"/>
              <w:bottom w:val="single" w:sz="4" w:space="0" w:color="auto"/>
            </w:tcBorders>
            <w:vAlign w:val="center"/>
          </w:tcPr>
          <w:p w:rsidR="007A2B64" w:rsidRPr="00A75729" w:rsidRDefault="007A2B64" w:rsidP="007A2B64">
            <w:pPr>
              <w:spacing w:before="0" w:after="0"/>
              <w:jc w:val="left"/>
              <w:rPr>
                <w:b/>
                <w:sz w:val="20"/>
                <w:szCs w:val="20"/>
              </w:rPr>
            </w:pPr>
            <w:r w:rsidRPr="00A75729">
              <w:rPr>
                <w:b/>
                <w:sz w:val="20"/>
                <w:szCs w:val="20"/>
              </w:rPr>
              <w:t xml:space="preserve">Dictamen de la Cámara de Senadores relativo a la </w:t>
            </w:r>
            <w:proofErr w:type="spellStart"/>
            <w:r w:rsidRPr="00A75729">
              <w:rPr>
                <w:b/>
                <w:sz w:val="20"/>
                <w:szCs w:val="20"/>
              </w:rPr>
              <w:t>LFTR</w:t>
            </w:r>
            <w:proofErr w:type="spellEnd"/>
          </w:p>
        </w:tc>
        <w:tc>
          <w:tcPr>
            <w:tcW w:w="239" w:type="dxa"/>
            <w:tcBorders>
              <w:top w:val="single" w:sz="4" w:space="0" w:color="auto"/>
              <w:bottom w:val="single" w:sz="4" w:space="0" w:color="auto"/>
            </w:tcBorders>
            <w:shd w:val="clear" w:color="auto" w:fill="FFFFFF" w:themeFill="background1"/>
          </w:tcPr>
          <w:p w:rsidR="007A2B64" w:rsidRPr="00A75729" w:rsidRDefault="007A2B64" w:rsidP="007A2B64">
            <w:pPr>
              <w:spacing w:before="0" w:after="0"/>
              <w:rPr>
                <w:sz w:val="16"/>
                <w:szCs w:val="20"/>
              </w:rPr>
            </w:pPr>
          </w:p>
        </w:tc>
        <w:tc>
          <w:tcPr>
            <w:tcW w:w="6798" w:type="dxa"/>
            <w:tcBorders>
              <w:top w:val="single" w:sz="4" w:space="0" w:color="auto"/>
              <w:bottom w:val="single" w:sz="4" w:space="0" w:color="auto"/>
            </w:tcBorders>
            <w:vAlign w:val="center"/>
          </w:tcPr>
          <w:p w:rsidR="007A2B64" w:rsidRPr="00A75729" w:rsidRDefault="007A2B64" w:rsidP="00B41CED">
            <w:pPr>
              <w:spacing w:before="0" w:after="80"/>
              <w:rPr>
                <w:i/>
                <w:sz w:val="20"/>
                <w:szCs w:val="20"/>
              </w:rPr>
            </w:pPr>
            <w:r w:rsidRPr="00A75729">
              <w:rPr>
                <w:i/>
                <w:sz w:val="20"/>
                <w:szCs w:val="20"/>
              </w:rPr>
              <w:t xml:space="preserve">“DICTAMEN </w:t>
            </w:r>
            <w:r w:rsidR="00B41CED" w:rsidRPr="00A75729">
              <w:rPr>
                <w:i/>
                <w:sz w:val="20"/>
                <w:szCs w:val="20"/>
              </w:rPr>
              <w:t>de las Comisiones Unidas de Comunicaciones y Transportes, de Radio, Televisión y Cinematografía, y de Estudios Legislativos, con proyecto de Decreto por el que se expiden la Ley Federal de Telecomunicaciones y Radiodifusión, y la Ley del Sistema Público de Radiodifusión del Estado Mexicano; y se reforman, adicionan y derogan diversas disposiciones en materia de telecomunicaciones y radiodifusión</w:t>
            </w:r>
            <w:r w:rsidRPr="00A75729">
              <w:rPr>
                <w:i/>
                <w:sz w:val="20"/>
                <w:szCs w:val="20"/>
              </w:rPr>
              <w:t>.”</w:t>
            </w:r>
            <w:r w:rsidRPr="00A75729">
              <w:rPr>
                <w:rStyle w:val="Refdenotaalpie"/>
                <w:sz w:val="20"/>
                <w:szCs w:val="20"/>
                <w:lang w:val="es-MX"/>
              </w:rPr>
              <w:t xml:space="preserve"> </w:t>
            </w:r>
            <w:r w:rsidRPr="00A75729">
              <w:rPr>
                <w:rStyle w:val="Refdenotaalpie"/>
                <w:sz w:val="20"/>
                <w:szCs w:val="20"/>
                <w:lang w:val="es-MX"/>
              </w:rPr>
              <w:footnoteReference w:id="4"/>
            </w:r>
          </w:p>
        </w:tc>
      </w:tr>
      <w:tr w:rsidR="003B7DA8" w:rsidRPr="00A75729" w:rsidTr="00B41CED">
        <w:tc>
          <w:tcPr>
            <w:tcW w:w="2357" w:type="dxa"/>
            <w:tcBorders>
              <w:top w:val="single" w:sz="4" w:space="0" w:color="auto"/>
              <w:bottom w:val="single" w:sz="4" w:space="0" w:color="auto"/>
            </w:tcBorders>
            <w:vAlign w:val="center"/>
          </w:tcPr>
          <w:p w:rsidR="003B7DA8" w:rsidRPr="00A75729" w:rsidRDefault="003B7DA8" w:rsidP="007A2B64">
            <w:pPr>
              <w:spacing w:before="0" w:after="0"/>
              <w:jc w:val="left"/>
              <w:rPr>
                <w:b/>
                <w:sz w:val="20"/>
                <w:szCs w:val="20"/>
              </w:rPr>
            </w:pPr>
            <w:r w:rsidRPr="00A75729">
              <w:rPr>
                <w:b/>
                <w:sz w:val="20"/>
                <w:szCs w:val="20"/>
              </w:rPr>
              <w:t>Disposiciones Regulatorias</w:t>
            </w:r>
          </w:p>
        </w:tc>
        <w:tc>
          <w:tcPr>
            <w:tcW w:w="239" w:type="dxa"/>
            <w:tcBorders>
              <w:top w:val="single" w:sz="4" w:space="0" w:color="auto"/>
              <w:bottom w:val="single" w:sz="4" w:space="0" w:color="auto"/>
            </w:tcBorders>
            <w:shd w:val="clear" w:color="auto" w:fill="FFFFFF" w:themeFill="background1"/>
          </w:tcPr>
          <w:p w:rsidR="003B7DA8" w:rsidRPr="00A75729" w:rsidRDefault="003B7DA8" w:rsidP="007A2B64">
            <w:pPr>
              <w:spacing w:before="0" w:after="0"/>
              <w:rPr>
                <w:sz w:val="16"/>
                <w:szCs w:val="20"/>
              </w:rPr>
            </w:pPr>
          </w:p>
        </w:tc>
        <w:tc>
          <w:tcPr>
            <w:tcW w:w="6798" w:type="dxa"/>
            <w:tcBorders>
              <w:top w:val="single" w:sz="4" w:space="0" w:color="auto"/>
              <w:bottom w:val="single" w:sz="4" w:space="0" w:color="auto"/>
            </w:tcBorders>
            <w:vAlign w:val="center"/>
          </w:tcPr>
          <w:p w:rsidR="003B7DA8" w:rsidRPr="00A75729" w:rsidRDefault="003B7DA8" w:rsidP="003B7DA8">
            <w:pPr>
              <w:spacing w:before="0" w:after="80"/>
              <w:rPr>
                <w:i/>
                <w:sz w:val="20"/>
                <w:szCs w:val="20"/>
              </w:rPr>
            </w:pPr>
            <w:r w:rsidRPr="00A75729">
              <w:rPr>
                <w:bCs/>
                <w:color w:val="000000"/>
                <w:sz w:val="20"/>
                <w:szCs w:val="20"/>
              </w:rPr>
              <w:t xml:space="preserve">Disposiciones Regulatorias de la </w:t>
            </w:r>
            <w:proofErr w:type="spellStart"/>
            <w:r w:rsidRPr="00A75729">
              <w:rPr>
                <w:bCs/>
                <w:color w:val="000000"/>
                <w:sz w:val="20"/>
                <w:szCs w:val="20"/>
              </w:rPr>
              <w:t>LFCE</w:t>
            </w:r>
            <w:proofErr w:type="spellEnd"/>
            <w:r w:rsidRPr="00A75729">
              <w:rPr>
                <w:bCs/>
                <w:color w:val="000000"/>
                <w:sz w:val="20"/>
                <w:szCs w:val="20"/>
              </w:rPr>
              <w:t xml:space="preserve"> para los sectores de telecomunicaciones y radiodifusión,</w:t>
            </w:r>
            <w:r w:rsidRPr="00A75729">
              <w:rPr>
                <w:sz w:val="20"/>
                <w:szCs w:val="20"/>
              </w:rPr>
              <w:t xml:space="preserve"> publicadas en el </w:t>
            </w:r>
            <w:proofErr w:type="spellStart"/>
            <w:r w:rsidRPr="00A75729">
              <w:rPr>
                <w:sz w:val="20"/>
                <w:szCs w:val="20"/>
              </w:rPr>
              <w:t>DOF</w:t>
            </w:r>
            <w:proofErr w:type="spellEnd"/>
            <w:r w:rsidRPr="00A75729">
              <w:rPr>
                <w:sz w:val="20"/>
                <w:szCs w:val="20"/>
              </w:rPr>
              <w:t xml:space="preserve"> el 12 de enero de 2015.</w:t>
            </w:r>
          </w:p>
        </w:tc>
      </w:tr>
      <w:tr w:rsidR="007A2B64" w:rsidRPr="00A75729" w:rsidTr="00B41CED">
        <w:tc>
          <w:tcPr>
            <w:tcW w:w="2357" w:type="dxa"/>
            <w:tcBorders>
              <w:top w:val="single" w:sz="4" w:space="0" w:color="auto"/>
              <w:bottom w:val="single" w:sz="4" w:space="0" w:color="auto"/>
            </w:tcBorders>
            <w:vAlign w:val="center"/>
          </w:tcPr>
          <w:p w:rsidR="007A2B64" w:rsidRPr="00A75729" w:rsidRDefault="007A2B64" w:rsidP="007A2B64">
            <w:pPr>
              <w:spacing w:before="0" w:after="0"/>
              <w:jc w:val="left"/>
              <w:rPr>
                <w:rFonts w:eastAsia="Times New Roman"/>
                <w:b/>
                <w:bCs/>
                <w:color w:val="000000"/>
                <w:sz w:val="20"/>
                <w:szCs w:val="20"/>
              </w:rPr>
            </w:pPr>
            <w:proofErr w:type="spellStart"/>
            <w:r w:rsidRPr="00A75729">
              <w:rPr>
                <w:rFonts w:eastAsia="Times New Roman"/>
                <w:b/>
                <w:bCs/>
                <w:color w:val="000000"/>
                <w:sz w:val="20"/>
                <w:szCs w:val="20"/>
              </w:rPr>
              <w:t>DGCC</w:t>
            </w:r>
            <w:proofErr w:type="spellEnd"/>
          </w:p>
        </w:tc>
        <w:tc>
          <w:tcPr>
            <w:tcW w:w="239" w:type="dxa"/>
            <w:tcBorders>
              <w:top w:val="single" w:sz="4" w:space="0" w:color="auto"/>
              <w:bottom w:val="single" w:sz="4" w:space="0" w:color="auto"/>
            </w:tcBorders>
            <w:shd w:val="clear" w:color="auto" w:fill="FFFFFF" w:themeFill="background1"/>
          </w:tcPr>
          <w:p w:rsidR="007A2B64" w:rsidRPr="00A75729" w:rsidRDefault="007A2B64" w:rsidP="007A2B64">
            <w:pPr>
              <w:spacing w:before="0" w:after="0"/>
              <w:rPr>
                <w:sz w:val="16"/>
                <w:szCs w:val="20"/>
              </w:rPr>
            </w:pPr>
          </w:p>
        </w:tc>
        <w:tc>
          <w:tcPr>
            <w:tcW w:w="6798" w:type="dxa"/>
            <w:tcBorders>
              <w:top w:val="single" w:sz="4" w:space="0" w:color="auto"/>
              <w:bottom w:val="single" w:sz="4" w:space="0" w:color="auto"/>
            </w:tcBorders>
            <w:vAlign w:val="center"/>
          </w:tcPr>
          <w:p w:rsidR="007A2B64" w:rsidRPr="00A75729" w:rsidRDefault="007A2B64" w:rsidP="007A2B64">
            <w:pPr>
              <w:spacing w:before="0" w:after="80"/>
              <w:rPr>
                <w:rFonts w:eastAsia="Times New Roman"/>
                <w:bCs/>
                <w:color w:val="000000"/>
                <w:sz w:val="20"/>
                <w:szCs w:val="20"/>
              </w:rPr>
            </w:pPr>
            <w:r w:rsidRPr="00A75729">
              <w:rPr>
                <w:rFonts w:eastAsia="Times New Roman"/>
                <w:bCs/>
                <w:color w:val="000000"/>
                <w:sz w:val="20"/>
                <w:szCs w:val="20"/>
              </w:rPr>
              <w:t>Dirección General de Concentraciones y Concesiones del Instituto.</w:t>
            </w:r>
          </w:p>
        </w:tc>
      </w:tr>
      <w:tr w:rsidR="007A2B64" w:rsidRPr="00A75729" w:rsidTr="00B41CED">
        <w:tc>
          <w:tcPr>
            <w:tcW w:w="2357" w:type="dxa"/>
            <w:tcBorders>
              <w:top w:val="single" w:sz="4" w:space="0" w:color="auto"/>
              <w:bottom w:val="single" w:sz="4" w:space="0" w:color="auto"/>
            </w:tcBorders>
            <w:vAlign w:val="center"/>
          </w:tcPr>
          <w:p w:rsidR="007A2B64" w:rsidRPr="00A75729" w:rsidRDefault="007A2B64" w:rsidP="007A2B64">
            <w:pPr>
              <w:spacing w:before="0" w:after="0"/>
              <w:jc w:val="left"/>
              <w:rPr>
                <w:b/>
                <w:sz w:val="20"/>
                <w:szCs w:val="20"/>
              </w:rPr>
            </w:pPr>
            <w:proofErr w:type="spellStart"/>
            <w:r w:rsidRPr="00A75729">
              <w:rPr>
                <w:b/>
                <w:sz w:val="20"/>
                <w:szCs w:val="20"/>
              </w:rPr>
              <w:t>DOF</w:t>
            </w:r>
            <w:proofErr w:type="spellEnd"/>
          </w:p>
        </w:tc>
        <w:tc>
          <w:tcPr>
            <w:tcW w:w="239" w:type="dxa"/>
            <w:tcBorders>
              <w:top w:val="single" w:sz="4" w:space="0" w:color="auto"/>
              <w:bottom w:val="single" w:sz="4" w:space="0" w:color="auto"/>
            </w:tcBorders>
            <w:shd w:val="clear" w:color="auto" w:fill="FFFFFF" w:themeFill="background1"/>
          </w:tcPr>
          <w:p w:rsidR="007A2B64" w:rsidRPr="00A75729" w:rsidRDefault="007A2B64" w:rsidP="007A2B64">
            <w:pPr>
              <w:spacing w:before="0" w:after="0"/>
              <w:rPr>
                <w:sz w:val="16"/>
                <w:szCs w:val="20"/>
              </w:rPr>
            </w:pPr>
          </w:p>
        </w:tc>
        <w:tc>
          <w:tcPr>
            <w:tcW w:w="6798" w:type="dxa"/>
            <w:tcBorders>
              <w:top w:val="single" w:sz="4" w:space="0" w:color="auto"/>
              <w:bottom w:val="single" w:sz="4" w:space="0" w:color="auto"/>
            </w:tcBorders>
            <w:vAlign w:val="center"/>
          </w:tcPr>
          <w:p w:rsidR="007A2B64" w:rsidRPr="00A75729" w:rsidRDefault="007A2B64" w:rsidP="007A2B64">
            <w:pPr>
              <w:spacing w:before="0" w:after="80"/>
              <w:rPr>
                <w:sz w:val="20"/>
                <w:szCs w:val="20"/>
              </w:rPr>
            </w:pPr>
            <w:r w:rsidRPr="00A75729">
              <w:rPr>
                <w:sz w:val="20"/>
                <w:szCs w:val="20"/>
              </w:rPr>
              <w:t>Diario Oficial de la Federación.</w:t>
            </w:r>
          </w:p>
        </w:tc>
      </w:tr>
      <w:tr w:rsidR="006802F8" w:rsidRPr="00A75729" w:rsidTr="00B41CED">
        <w:tc>
          <w:tcPr>
            <w:tcW w:w="2357" w:type="dxa"/>
            <w:tcBorders>
              <w:top w:val="single" w:sz="4" w:space="0" w:color="auto"/>
              <w:bottom w:val="single" w:sz="4" w:space="0" w:color="auto"/>
            </w:tcBorders>
            <w:vAlign w:val="center"/>
          </w:tcPr>
          <w:p w:rsidR="006802F8" w:rsidRPr="00A75729" w:rsidRDefault="006802F8" w:rsidP="007A2B64">
            <w:pPr>
              <w:spacing w:before="0" w:after="0"/>
              <w:jc w:val="left"/>
              <w:rPr>
                <w:b/>
                <w:sz w:val="20"/>
                <w:szCs w:val="20"/>
              </w:rPr>
            </w:pPr>
            <w:proofErr w:type="spellStart"/>
            <w:r w:rsidRPr="00A75729">
              <w:rPr>
                <w:b/>
                <w:sz w:val="20"/>
                <w:szCs w:val="20"/>
              </w:rPr>
              <w:t>ENCCA</w:t>
            </w:r>
            <w:proofErr w:type="spellEnd"/>
          </w:p>
        </w:tc>
        <w:tc>
          <w:tcPr>
            <w:tcW w:w="239" w:type="dxa"/>
            <w:tcBorders>
              <w:top w:val="single" w:sz="4" w:space="0" w:color="auto"/>
              <w:bottom w:val="single" w:sz="4" w:space="0" w:color="auto"/>
            </w:tcBorders>
            <w:shd w:val="clear" w:color="auto" w:fill="FFFFFF" w:themeFill="background1"/>
          </w:tcPr>
          <w:p w:rsidR="006802F8" w:rsidRPr="00A75729" w:rsidRDefault="006802F8" w:rsidP="007A2B64">
            <w:pPr>
              <w:spacing w:before="0" w:after="0"/>
              <w:rPr>
                <w:sz w:val="16"/>
                <w:szCs w:val="20"/>
              </w:rPr>
            </w:pPr>
          </w:p>
        </w:tc>
        <w:tc>
          <w:tcPr>
            <w:tcW w:w="6798" w:type="dxa"/>
            <w:tcBorders>
              <w:top w:val="single" w:sz="4" w:space="0" w:color="auto"/>
              <w:bottom w:val="single" w:sz="4" w:space="0" w:color="auto"/>
            </w:tcBorders>
            <w:vAlign w:val="center"/>
          </w:tcPr>
          <w:p w:rsidR="006802F8" w:rsidRPr="00A75729" w:rsidRDefault="006802F8" w:rsidP="006802F8">
            <w:pPr>
              <w:spacing w:before="0" w:after="80"/>
              <w:rPr>
                <w:sz w:val="20"/>
                <w:szCs w:val="20"/>
              </w:rPr>
            </w:pPr>
            <w:r w:rsidRPr="00A75729">
              <w:rPr>
                <w:sz w:val="20"/>
                <w:szCs w:val="20"/>
              </w:rPr>
              <w:t>Encuesta Nacional de Consumo de Contenidos Audiovisuales.</w:t>
            </w:r>
          </w:p>
        </w:tc>
      </w:tr>
      <w:tr w:rsidR="007A2B64" w:rsidRPr="00A75729" w:rsidTr="00B41CED">
        <w:tc>
          <w:tcPr>
            <w:tcW w:w="2357" w:type="dxa"/>
            <w:tcBorders>
              <w:top w:val="single" w:sz="4" w:space="0" w:color="auto"/>
              <w:bottom w:val="single" w:sz="4" w:space="0" w:color="auto"/>
            </w:tcBorders>
            <w:vAlign w:val="center"/>
          </w:tcPr>
          <w:p w:rsidR="007A2B64" w:rsidRPr="00A75729" w:rsidRDefault="007A2B64" w:rsidP="007A2B64">
            <w:pPr>
              <w:spacing w:before="0" w:after="0"/>
              <w:jc w:val="left"/>
              <w:rPr>
                <w:b/>
                <w:sz w:val="20"/>
                <w:szCs w:val="20"/>
              </w:rPr>
            </w:pPr>
            <w:r w:rsidRPr="00A75729">
              <w:rPr>
                <w:b/>
                <w:sz w:val="20"/>
                <w:szCs w:val="20"/>
              </w:rPr>
              <w:t>Expediente</w:t>
            </w:r>
          </w:p>
        </w:tc>
        <w:tc>
          <w:tcPr>
            <w:tcW w:w="239" w:type="dxa"/>
            <w:tcBorders>
              <w:top w:val="single" w:sz="4" w:space="0" w:color="auto"/>
              <w:bottom w:val="single" w:sz="4" w:space="0" w:color="auto"/>
            </w:tcBorders>
            <w:shd w:val="clear" w:color="auto" w:fill="FFFFFF" w:themeFill="background1"/>
          </w:tcPr>
          <w:p w:rsidR="007A2B64" w:rsidRPr="00A75729" w:rsidRDefault="007A2B64" w:rsidP="007A2B64">
            <w:pPr>
              <w:spacing w:before="0" w:after="0"/>
              <w:rPr>
                <w:sz w:val="16"/>
                <w:szCs w:val="20"/>
              </w:rPr>
            </w:pPr>
          </w:p>
        </w:tc>
        <w:tc>
          <w:tcPr>
            <w:tcW w:w="6798" w:type="dxa"/>
            <w:tcBorders>
              <w:top w:val="single" w:sz="4" w:space="0" w:color="auto"/>
              <w:bottom w:val="single" w:sz="4" w:space="0" w:color="auto"/>
            </w:tcBorders>
            <w:vAlign w:val="center"/>
          </w:tcPr>
          <w:p w:rsidR="007A2B64" w:rsidRPr="00A75729" w:rsidRDefault="007A2B64" w:rsidP="007A2B64">
            <w:pPr>
              <w:spacing w:before="0" w:after="80"/>
              <w:rPr>
                <w:sz w:val="20"/>
                <w:szCs w:val="20"/>
              </w:rPr>
            </w:pPr>
            <w:r w:rsidRPr="00A75729">
              <w:rPr>
                <w:sz w:val="20"/>
                <w:szCs w:val="20"/>
              </w:rPr>
              <w:t xml:space="preserve">Expediente número </w:t>
            </w:r>
            <w:proofErr w:type="spellStart"/>
            <w:r w:rsidRPr="00A75729">
              <w:rPr>
                <w:sz w:val="20"/>
                <w:szCs w:val="20"/>
              </w:rPr>
              <w:t>UCE</w:t>
            </w:r>
            <w:proofErr w:type="spellEnd"/>
            <w:r w:rsidRPr="00A75729">
              <w:rPr>
                <w:sz w:val="20"/>
                <w:szCs w:val="20"/>
              </w:rPr>
              <w:t>/</w:t>
            </w:r>
            <w:proofErr w:type="spellStart"/>
            <w:r w:rsidRPr="00A75729">
              <w:rPr>
                <w:sz w:val="20"/>
                <w:szCs w:val="20"/>
              </w:rPr>
              <w:t>AVC</w:t>
            </w:r>
            <w:proofErr w:type="spellEnd"/>
            <w:r w:rsidRPr="00A75729">
              <w:rPr>
                <w:sz w:val="20"/>
                <w:szCs w:val="20"/>
              </w:rPr>
              <w:t>-001-2018 en el que se han radicado las actuaciones del procedimiento en el que se actúa.</w:t>
            </w:r>
          </w:p>
        </w:tc>
      </w:tr>
      <w:tr w:rsidR="007A2B64" w:rsidRPr="00A75729" w:rsidTr="00B41CED">
        <w:tc>
          <w:tcPr>
            <w:tcW w:w="2357" w:type="dxa"/>
            <w:tcBorders>
              <w:top w:val="single" w:sz="4" w:space="0" w:color="auto"/>
            </w:tcBorders>
            <w:vAlign w:val="center"/>
          </w:tcPr>
          <w:p w:rsidR="007A2B64" w:rsidRPr="00A75729" w:rsidRDefault="00593888" w:rsidP="007A2B64">
            <w:pPr>
              <w:spacing w:before="0" w:after="0"/>
              <w:jc w:val="left"/>
              <w:rPr>
                <w:b/>
                <w:sz w:val="20"/>
                <w:szCs w:val="20"/>
              </w:rPr>
            </w:pPr>
            <w:r w:rsidRPr="00A75729">
              <w:rPr>
                <w:b/>
                <w:sz w:val="20"/>
                <w:szCs w:val="20"/>
              </w:rPr>
              <w:lastRenderedPageBreak/>
              <w:t xml:space="preserve">Grupo de Interés Económico o </w:t>
            </w:r>
            <w:proofErr w:type="spellStart"/>
            <w:r w:rsidR="007A2B64" w:rsidRPr="00A75729">
              <w:rPr>
                <w:b/>
                <w:sz w:val="20"/>
                <w:szCs w:val="20"/>
              </w:rPr>
              <w:t>GIE</w:t>
            </w:r>
            <w:proofErr w:type="spellEnd"/>
          </w:p>
        </w:tc>
        <w:tc>
          <w:tcPr>
            <w:tcW w:w="239" w:type="dxa"/>
            <w:tcBorders>
              <w:top w:val="single" w:sz="4" w:space="0" w:color="auto"/>
            </w:tcBorders>
            <w:shd w:val="clear" w:color="auto" w:fill="FFFFFF" w:themeFill="background1"/>
          </w:tcPr>
          <w:p w:rsidR="007A2B64" w:rsidRPr="00A75729" w:rsidRDefault="007A2B64" w:rsidP="007A2B64">
            <w:pPr>
              <w:spacing w:before="0" w:after="0"/>
              <w:rPr>
                <w:sz w:val="16"/>
                <w:szCs w:val="20"/>
              </w:rPr>
            </w:pPr>
          </w:p>
        </w:tc>
        <w:tc>
          <w:tcPr>
            <w:tcW w:w="6798" w:type="dxa"/>
            <w:tcBorders>
              <w:top w:val="single" w:sz="4" w:space="0" w:color="auto"/>
            </w:tcBorders>
            <w:vAlign w:val="center"/>
          </w:tcPr>
          <w:p w:rsidR="007A2B64" w:rsidRPr="00A75729" w:rsidRDefault="00593888" w:rsidP="007A2B64">
            <w:pPr>
              <w:spacing w:before="0" w:after="80"/>
              <w:rPr>
                <w:sz w:val="20"/>
                <w:szCs w:val="20"/>
              </w:rPr>
            </w:pPr>
            <w:r w:rsidRPr="00A75729">
              <w:rPr>
                <w:rFonts w:cs="Arial"/>
                <w:sz w:val="20"/>
                <w:szCs w:val="20"/>
              </w:rPr>
              <w:t>C</w:t>
            </w:r>
            <w:r w:rsidR="007A2B64" w:rsidRPr="00A75729">
              <w:rPr>
                <w:rFonts w:cs="Arial"/>
                <w:sz w:val="20"/>
                <w:szCs w:val="20"/>
              </w:rPr>
              <w:t>onjunto de sujetos de derecho con intereses comerciales y financieros afines que coordinan sus actividades para participar en los mercados y actividades económicas, a través del control o influencia decisiva, directa o indirecta, que uno de sus integrantes ejerce sobre los demás.</w:t>
            </w:r>
            <w:r w:rsidR="007A2B64" w:rsidRPr="00A75729">
              <w:rPr>
                <w:rStyle w:val="Refdenotaalpie"/>
                <w:rFonts w:cs="Arial"/>
                <w:sz w:val="20"/>
                <w:szCs w:val="20"/>
              </w:rPr>
              <w:footnoteReference w:id="5"/>
            </w:r>
          </w:p>
        </w:tc>
      </w:tr>
      <w:tr w:rsidR="008C0AB4" w:rsidRPr="00A75729" w:rsidTr="00B41CED">
        <w:tc>
          <w:tcPr>
            <w:tcW w:w="2357" w:type="dxa"/>
            <w:tcBorders>
              <w:top w:val="single" w:sz="4" w:space="0" w:color="auto"/>
            </w:tcBorders>
            <w:vAlign w:val="center"/>
          </w:tcPr>
          <w:p w:rsidR="008C0AB4" w:rsidRPr="00A75729" w:rsidRDefault="008C0AB4" w:rsidP="007A2B64">
            <w:pPr>
              <w:spacing w:before="0" w:after="0"/>
              <w:jc w:val="left"/>
              <w:rPr>
                <w:b/>
                <w:sz w:val="20"/>
                <w:szCs w:val="20"/>
              </w:rPr>
            </w:pPr>
            <w:r w:rsidRPr="00A75729">
              <w:rPr>
                <w:b/>
                <w:sz w:val="20"/>
                <w:szCs w:val="20"/>
              </w:rPr>
              <w:t>INEGI</w:t>
            </w:r>
          </w:p>
        </w:tc>
        <w:tc>
          <w:tcPr>
            <w:tcW w:w="239" w:type="dxa"/>
            <w:tcBorders>
              <w:top w:val="single" w:sz="4" w:space="0" w:color="auto"/>
            </w:tcBorders>
            <w:shd w:val="clear" w:color="auto" w:fill="FFFFFF" w:themeFill="background1"/>
          </w:tcPr>
          <w:p w:rsidR="008C0AB4" w:rsidRPr="00A75729" w:rsidRDefault="008C0AB4" w:rsidP="007A2B64">
            <w:pPr>
              <w:spacing w:before="0" w:after="0"/>
              <w:rPr>
                <w:sz w:val="16"/>
                <w:szCs w:val="20"/>
              </w:rPr>
            </w:pPr>
          </w:p>
        </w:tc>
        <w:tc>
          <w:tcPr>
            <w:tcW w:w="6798" w:type="dxa"/>
            <w:tcBorders>
              <w:top w:val="single" w:sz="4" w:space="0" w:color="auto"/>
            </w:tcBorders>
            <w:vAlign w:val="center"/>
          </w:tcPr>
          <w:p w:rsidR="008C0AB4" w:rsidRPr="00A75729" w:rsidRDefault="008C0AB4" w:rsidP="007A2B64">
            <w:pPr>
              <w:spacing w:before="0" w:after="80"/>
              <w:rPr>
                <w:rFonts w:cs="Arial"/>
                <w:sz w:val="20"/>
                <w:szCs w:val="20"/>
              </w:rPr>
            </w:pPr>
            <w:r w:rsidRPr="00A75729">
              <w:rPr>
                <w:sz w:val="20"/>
                <w:szCs w:val="20"/>
              </w:rPr>
              <w:t>Instituto Nacional de Estadística y Geografía.</w:t>
            </w:r>
          </w:p>
        </w:tc>
      </w:tr>
      <w:tr w:rsidR="007A2B64" w:rsidRPr="00A75729" w:rsidTr="00B41CED">
        <w:tc>
          <w:tcPr>
            <w:tcW w:w="2357" w:type="dxa"/>
            <w:tcBorders>
              <w:top w:val="single" w:sz="4" w:space="0" w:color="auto"/>
              <w:bottom w:val="single" w:sz="4" w:space="0" w:color="auto"/>
            </w:tcBorders>
            <w:vAlign w:val="center"/>
          </w:tcPr>
          <w:p w:rsidR="007A2B64" w:rsidRPr="00A75729" w:rsidRDefault="007A2B64" w:rsidP="007A2B64">
            <w:pPr>
              <w:spacing w:before="0" w:after="0"/>
              <w:jc w:val="left"/>
              <w:rPr>
                <w:b/>
                <w:sz w:val="20"/>
                <w:szCs w:val="20"/>
              </w:rPr>
            </w:pPr>
            <w:r w:rsidRPr="00A75729">
              <w:rPr>
                <w:b/>
                <w:sz w:val="20"/>
                <w:szCs w:val="20"/>
              </w:rPr>
              <w:t>Instituto</w:t>
            </w:r>
          </w:p>
        </w:tc>
        <w:tc>
          <w:tcPr>
            <w:tcW w:w="239" w:type="dxa"/>
            <w:tcBorders>
              <w:top w:val="single" w:sz="4" w:space="0" w:color="auto"/>
              <w:bottom w:val="single" w:sz="4" w:space="0" w:color="auto"/>
            </w:tcBorders>
            <w:shd w:val="clear" w:color="auto" w:fill="FFFFFF" w:themeFill="background1"/>
          </w:tcPr>
          <w:p w:rsidR="007A2B64" w:rsidRPr="00A75729" w:rsidRDefault="007A2B64" w:rsidP="007A2B64">
            <w:pPr>
              <w:spacing w:before="0" w:after="0"/>
              <w:rPr>
                <w:sz w:val="16"/>
                <w:szCs w:val="20"/>
              </w:rPr>
            </w:pPr>
          </w:p>
        </w:tc>
        <w:tc>
          <w:tcPr>
            <w:tcW w:w="6798" w:type="dxa"/>
            <w:tcBorders>
              <w:top w:val="single" w:sz="4" w:space="0" w:color="auto"/>
              <w:bottom w:val="single" w:sz="4" w:space="0" w:color="auto"/>
            </w:tcBorders>
            <w:vAlign w:val="center"/>
          </w:tcPr>
          <w:p w:rsidR="007A2B64" w:rsidRPr="00A75729" w:rsidRDefault="007A2B64" w:rsidP="007A2B64">
            <w:pPr>
              <w:spacing w:before="0" w:after="80"/>
              <w:rPr>
                <w:sz w:val="20"/>
                <w:szCs w:val="20"/>
              </w:rPr>
            </w:pPr>
            <w:r w:rsidRPr="00A75729">
              <w:rPr>
                <w:sz w:val="20"/>
                <w:szCs w:val="20"/>
              </w:rPr>
              <w:t>Instituto Federal de Telecomunicaciones.</w:t>
            </w:r>
          </w:p>
        </w:tc>
      </w:tr>
      <w:tr w:rsidR="007A2B64" w:rsidRPr="00A75729" w:rsidTr="00B41CED">
        <w:tc>
          <w:tcPr>
            <w:tcW w:w="2357" w:type="dxa"/>
            <w:tcBorders>
              <w:top w:val="single" w:sz="4" w:space="0" w:color="auto"/>
              <w:bottom w:val="single" w:sz="4" w:space="0" w:color="auto"/>
            </w:tcBorders>
            <w:vAlign w:val="center"/>
          </w:tcPr>
          <w:p w:rsidR="007A2B64" w:rsidRPr="00A75729" w:rsidRDefault="007A2B64" w:rsidP="007A2B64">
            <w:pPr>
              <w:spacing w:before="0" w:after="0"/>
              <w:jc w:val="left"/>
              <w:rPr>
                <w:b/>
                <w:sz w:val="20"/>
                <w:szCs w:val="20"/>
              </w:rPr>
            </w:pPr>
            <w:proofErr w:type="spellStart"/>
            <w:r w:rsidRPr="00A75729">
              <w:rPr>
                <w:b/>
                <w:sz w:val="20"/>
                <w:szCs w:val="20"/>
              </w:rPr>
              <w:t>LFCE</w:t>
            </w:r>
            <w:proofErr w:type="spellEnd"/>
          </w:p>
        </w:tc>
        <w:tc>
          <w:tcPr>
            <w:tcW w:w="239" w:type="dxa"/>
            <w:tcBorders>
              <w:top w:val="single" w:sz="4" w:space="0" w:color="auto"/>
              <w:bottom w:val="single" w:sz="4" w:space="0" w:color="auto"/>
            </w:tcBorders>
            <w:shd w:val="clear" w:color="auto" w:fill="FFFFFF" w:themeFill="background1"/>
          </w:tcPr>
          <w:p w:rsidR="007A2B64" w:rsidRPr="00A75729" w:rsidRDefault="007A2B64" w:rsidP="007A2B64">
            <w:pPr>
              <w:spacing w:before="0" w:after="0"/>
              <w:rPr>
                <w:sz w:val="16"/>
                <w:szCs w:val="20"/>
              </w:rPr>
            </w:pPr>
          </w:p>
        </w:tc>
        <w:tc>
          <w:tcPr>
            <w:tcW w:w="6798" w:type="dxa"/>
            <w:tcBorders>
              <w:top w:val="single" w:sz="4" w:space="0" w:color="auto"/>
              <w:bottom w:val="single" w:sz="4" w:space="0" w:color="auto"/>
            </w:tcBorders>
            <w:vAlign w:val="center"/>
          </w:tcPr>
          <w:p w:rsidR="007A2B64" w:rsidRPr="00A75729" w:rsidRDefault="007A2B64" w:rsidP="007A2B64">
            <w:pPr>
              <w:spacing w:before="0" w:after="80"/>
              <w:rPr>
                <w:sz w:val="20"/>
                <w:szCs w:val="20"/>
              </w:rPr>
            </w:pPr>
            <w:r w:rsidRPr="00A75729">
              <w:rPr>
                <w:sz w:val="20"/>
                <w:szCs w:val="20"/>
              </w:rPr>
              <w:t>Ley Federal de Competencia Económica.</w:t>
            </w:r>
          </w:p>
        </w:tc>
      </w:tr>
      <w:tr w:rsidR="007A2B64" w:rsidRPr="00A75729" w:rsidTr="00B41CED">
        <w:tc>
          <w:tcPr>
            <w:tcW w:w="2357" w:type="dxa"/>
            <w:tcBorders>
              <w:top w:val="single" w:sz="4" w:space="0" w:color="auto"/>
              <w:bottom w:val="single" w:sz="4" w:space="0" w:color="auto"/>
            </w:tcBorders>
            <w:vAlign w:val="center"/>
          </w:tcPr>
          <w:p w:rsidR="007A2B64" w:rsidRPr="00A75729" w:rsidRDefault="007A2B64" w:rsidP="007A2B64">
            <w:pPr>
              <w:spacing w:before="0" w:after="0"/>
              <w:jc w:val="left"/>
              <w:rPr>
                <w:b/>
                <w:sz w:val="20"/>
                <w:szCs w:val="20"/>
              </w:rPr>
            </w:pPr>
            <w:proofErr w:type="spellStart"/>
            <w:r w:rsidRPr="00A75729">
              <w:rPr>
                <w:b/>
                <w:sz w:val="20"/>
                <w:szCs w:val="20"/>
              </w:rPr>
              <w:t>LFPA</w:t>
            </w:r>
            <w:proofErr w:type="spellEnd"/>
          </w:p>
        </w:tc>
        <w:tc>
          <w:tcPr>
            <w:tcW w:w="239" w:type="dxa"/>
            <w:tcBorders>
              <w:top w:val="single" w:sz="4" w:space="0" w:color="auto"/>
              <w:bottom w:val="single" w:sz="4" w:space="0" w:color="auto"/>
            </w:tcBorders>
            <w:shd w:val="clear" w:color="auto" w:fill="FFFFFF" w:themeFill="background1"/>
          </w:tcPr>
          <w:p w:rsidR="007A2B64" w:rsidRPr="00A75729" w:rsidRDefault="007A2B64" w:rsidP="007A2B64">
            <w:pPr>
              <w:spacing w:before="0" w:after="0"/>
              <w:rPr>
                <w:sz w:val="16"/>
                <w:szCs w:val="20"/>
              </w:rPr>
            </w:pPr>
          </w:p>
        </w:tc>
        <w:tc>
          <w:tcPr>
            <w:tcW w:w="6798" w:type="dxa"/>
            <w:tcBorders>
              <w:top w:val="single" w:sz="4" w:space="0" w:color="auto"/>
              <w:bottom w:val="single" w:sz="4" w:space="0" w:color="auto"/>
            </w:tcBorders>
            <w:vAlign w:val="center"/>
          </w:tcPr>
          <w:p w:rsidR="007A2B64" w:rsidRPr="00A75729" w:rsidRDefault="007A2B64" w:rsidP="007A2B64">
            <w:pPr>
              <w:spacing w:before="0" w:after="80"/>
              <w:rPr>
                <w:sz w:val="20"/>
                <w:szCs w:val="20"/>
              </w:rPr>
            </w:pPr>
            <w:r w:rsidRPr="00A75729">
              <w:rPr>
                <w:sz w:val="20"/>
                <w:szCs w:val="20"/>
              </w:rPr>
              <w:t>Ley Federal de Procedimiento Administrativo.</w:t>
            </w:r>
          </w:p>
        </w:tc>
      </w:tr>
      <w:tr w:rsidR="007A2B64" w:rsidRPr="00A75729" w:rsidTr="00B41CED">
        <w:tc>
          <w:tcPr>
            <w:tcW w:w="2357" w:type="dxa"/>
            <w:tcBorders>
              <w:top w:val="single" w:sz="4" w:space="0" w:color="auto"/>
              <w:bottom w:val="single" w:sz="4" w:space="0" w:color="auto"/>
            </w:tcBorders>
            <w:vAlign w:val="center"/>
          </w:tcPr>
          <w:p w:rsidR="007A2B64" w:rsidRPr="00A75729" w:rsidRDefault="007A2B64" w:rsidP="007A2B64">
            <w:pPr>
              <w:spacing w:before="0" w:after="0"/>
              <w:jc w:val="left"/>
              <w:rPr>
                <w:b/>
                <w:sz w:val="20"/>
                <w:szCs w:val="20"/>
              </w:rPr>
            </w:pPr>
            <w:proofErr w:type="spellStart"/>
            <w:r w:rsidRPr="00A75729">
              <w:rPr>
                <w:rFonts w:eastAsia="Times New Roman"/>
                <w:b/>
                <w:bCs/>
                <w:color w:val="000000"/>
                <w:sz w:val="20"/>
                <w:szCs w:val="20"/>
              </w:rPr>
              <w:t>LFTR</w:t>
            </w:r>
            <w:proofErr w:type="spellEnd"/>
          </w:p>
        </w:tc>
        <w:tc>
          <w:tcPr>
            <w:tcW w:w="239" w:type="dxa"/>
            <w:tcBorders>
              <w:top w:val="single" w:sz="4" w:space="0" w:color="auto"/>
              <w:bottom w:val="single" w:sz="4" w:space="0" w:color="auto"/>
            </w:tcBorders>
            <w:shd w:val="clear" w:color="auto" w:fill="FFFFFF" w:themeFill="background1"/>
          </w:tcPr>
          <w:p w:rsidR="007A2B64" w:rsidRPr="00A75729" w:rsidRDefault="007A2B64" w:rsidP="007A2B64">
            <w:pPr>
              <w:spacing w:before="0" w:after="0"/>
              <w:rPr>
                <w:sz w:val="16"/>
                <w:szCs w:val="20"/>
              </w:rPr>
            </w:pPr>
          </w:p>
        </w:tc>
        <w:tc>
          <w:tcPr>
            <w:tcW w:w="6798" w:type="dxa"/>
            <w:tcBorders>
              <w:top w:val="single" w:sz="4" w:space="0" w:color="auto"/>
              <w:bottom w:val="single" w:sz="4" w:space="0" w:color="auto"/>
            </w:tcBorders>
            <w:vAlign w:val="center"/>
          </w:tcPr>
          <w:p w:rsidR="007A2B64" w:rsidRPr="00A75729" w:rsidRDefault="007A2B64" w:rsidP="007A2B64">
            <w:pPr>
              <w:spacing w:before="0" w:after="80"/>
              <w:rPr>
                <w:sz w:val="20"/>
                <w:szCs w:val="20"/>
              </w:rPr>
            </w:pPr>
            <w:r w:rsidRPr="00A75729">
              <w:rPr>
                <w:rFonts w:eastAsia="Times New Roman"/>
                <w:bCs/>
                <w:color w:val="000000"/>
                <w:sz w:val="20"/>
                <w:szCs w:val="20"/>
              </w:rPr>
              <w:t>Ley Federal de Telecomunicaciones y Radiodifusión.</w:t>
            </w:r>
          </w:p>
        </w:tc>
      </w:tr>
      <w:tr w:rsidR="007A2B64" w:rsidRPr="00A75729" w:rsidTr="00B41CED">
        <w:tc>
          <w:tcPr>
            <w:tcW w:w="2357" w:type="dxa"/>
            <w:tcBorders>
              <w:top w:val="single" w:sz="4" w:space="0" w:color="auto"/>
              <w:bottom w:val="single" w:sz="4" w:space="0" w:color="auto"/>
            </w:tcBorders>
            <w:vAlign w:val="center"/>
          </w:tcPr>
          <w:p w:rsidR="007A2B64" w:rsidRPr="00A75729" w:rsidRDefault="007A2B64" w:rsidP="007A2B64">
            <w:pPr>
              <w:spacing w:before="0" w:after="0"/>
              <w:jc w:val="left"/>
              <w:rPr>
                <w:rFonts w:eastAsia="Times New Roman"/>
                <w:b/>
                <w:bCs/>
                <w:color w:val="000000"/>
                <w:sz w:val="20"/>
                <w:szCs w:val="20"/>
              </w:rPr>
            </w:pPr>
            <w:r w:rsidRPr="00A75729">
              <w:rPr>
                <w:b/>
                <w:sz w:val="20"/>
                <w:szCs w:val="20"/>
              </w:rPr>
              <w:t>Noveno Transitorio</w:t>
            </w:r>
          </w:p>
        </w:tc>
        <w:tc>
          <w:tcPr>
            <w:tcW w:w="239" w:type="dxa"/>
            <w:tcBorders>
              <w:top w:val="single" w:sz="4" w:space="0" w:color="auto"/>
              <w:bottom w:val="single" w:sz="4" w:space="0" w:color="auto"/>
            </w:tcBorders>
            <w:shd w:val="clear" w:color="auto" w:fill="FFFFFF" w:themeFill="background1"/>
          </w:tcPr>
          <w:p w:rsidR="007A2B64" w:rsidRPr="00A75729" w:rsidRDefault="007A2B64" w:rsidP="007A2B64">
            <w:pPr>
              <w:spacing w:before="0" w:after="0"/>
              <w:rPr>
                <w:sz w:val="16"/>
                <w:szCs w:val="20"/>
              </w:rPr>
            </w:pPr>
          </w:p>
        </w:tc>
        <w:tc>
          <w:tcPr>
            <w:tcW w:w="6798" w:type="dxa"/>
            <w:tcBorders>
              <w:top w:val="single" w:sz="4" w:space="0" w:color="auto"/>
              <w:bottom w:val="single" w:sz="4" w:space="0" w:color="auto"/>
            </w:tcBorders>
            <w:vAlign w:val="center"/>
          </w:tcPr>
          <w:p w:rsidR="007A2B64" w:rsidRPr="00A75729" w:rsidRDefault="007A2B64" w:rsidP="007A2B64">
            <w:pPr>
              <w:spacing w:before="0" w:after="80"/>
              <w:rPr>
                <w:rFonts w:eastAsia="Times New Roman"/>
                <w:bCs/>
                <w:color w:val="000000"/>
                <w:sz w:val="20"/>
                <w:szCs w:val="20"/>
              </w:rPr>
            </w:pPr>
            <w:r w:rsidRPr="00A75729">
              <w:rPr>
                <w:sz w:val="20"/>
                <w:szCs w:val="20"/>
              </w:rPr>
              <w:t xml:space="preserve">Artículo Noveno Transitorio del Decreto que expide la </w:t>
            </w:r>
            <w:proofErr w:type="spellStart"/>
            <w:r w:rsidRPr="00A75729">
              <w:rPr>
                <w:sz w:val="20"/>
                <w:szCs w:val="20"/>
              </w:rPr>
              <w:t>LFTR</w:t>
            </w:r>
            <w:proofErr w:type="spellEnd"/>
            <w:r w:rsidRPr="00A75729">
              <w:rPr>
                <w:sz w:val="20"/>
                <w:szCs w:val="20"/>
              </w:rPr>
              <w:t>.</w:t>
            </w:r>
          </w:p>
        </w:tc>
      </w:tr>
      <w:tr w:rsidR="007A2B64" w:rsidRPr="00A75729" w:rsidTr="00B41CED">
        <w:tc>
          <w:tcPr>
            <w:tcW w:w="2357" w:type="dxa"/>
            <w:tcBorders>
              <w:top w:val="single" w:sz="4" w:space="0" w:color="auto"/>
              <w:bottom w:val="single" w:sz="4" w:space="0" w:color="auto"/>
            </w:tcBorders>
            <w:vAlign w:val="center"/>
          </w:tcPr>
          <w:p w:rsidR="007A2B64" w:rsidRPr="00A75729" w:rsidRDefault="007A2B64" w:rsidP="007A2B64">
            <w:pPr>
              <w:spacing w:before="0" w:after="0"/>
              <w:jc w:val="left"/>
              <w:rPr>
                <w:rFonts w:eastAsia="Times New Roman"/>
                <w:b/>
                <w:bCs/>
                <w:color w:val="000000"/>
                <w:sz w:val="20"/>
                <w:szCs w:val="20"/>
              </w:rPr>
            </w:pPr>
            <w:r w:rsidRPr="00A75729">
              <w:rPr>
                <w:rFonts w:eastAsia="Times New Roman"/>
                <w:b/>
                <w:bCs/>
                <w:color w:val="000000"/>
                <w:sz w:val="20"/>
                <w:szCs w:val="20"/>
              </w:rPr>
              <w:t>Operación</w:t>
            </w:r>
          </w:p>
        </w:tc>
        <w:tc>
          <w:tcPr>
            <w:tcW w:w="239" w:type="dxa"/>
            <w:tcBorders>
              <w:top w:val="single" w:sz="4" w:space="0" w:color="auto"/>
              <w:bottom w:val="single" w:sz="4" w:space="0" w:color="auto"/>
            </w:tcBorders>
            <w:shd w:val="clear" w:color="auto" w:fill="FFFFFF" w:themeFill="background1"/>
          </w:tcPr>
          <w:p w:rsidR="007A2B64" w:rsidRPr="00A75729" w:rsidRDefault="007A2B64" w:rsidP="007A2B64">
            <w:pPr>
              <w:spacing w:before="0" w:after="0"/>
              <w:rPr>
                <w:sz w:val="16"/>
                <w:szCs w:val="20"/>
              </w:rPr>
            </w:pPr>
          </w:p>
        </w:tc>
        <w:tc>
          <w:tcPr>
            <w:tcW w:w="6798" w:type="dxa"/>
            <w:tcBorders>
              <w:top w:val="single" w:sz="4" w:space="0" w:color="auto"/>
              <w:bottom w:val="single" w:sz="4" w:space="0" w:color="auto"/>
            </w:tcBorders>
            <w:vAlign w:val="center"/>
          </w:tcPr>
          <w:p w:rsidR="007A2B64" w:rsidRPr="00A75729" w:rsidRDefault="007A2B64" w:rsidP="007A2B64">
            <w:pPr>
              <w:spacing w:before="0" w:after="80"/>
              <w:rPr>
                <w:rFonts w:eastAsia="Times New Roman"/>
                <w:bCs/>
                <w:color w:val="000000"/>
                <w:sz w:val="20"/>
                <w:szCs w:val="20"/>
              </w:rPr>
            </w:pPr>
            <w:r w:rsidRPr="00A75729">
              <w:rPr>
                <w:rFonts w:eastAsia="Times New Roman"/>
                <w:bCs/>
                <w:color w:val="000000"/>
                <w:sz w:val="20"/>
                <w:szCs w:val="20"/>
              </w:rPr>
              <w:t xml:space="preserve">Cesión, por parte de Audio Publicidad, de derechos y obligaciones del título de concesión para usar comercialmente frecuencias de radiodifusión a través de las estaciones </w:t>
            </w:r>
            <w:proofErr w:type="spellStart"/>
            <w:r w:rsidRPr="00A75729">
              <w:rPr>
                <w:rFonts w:eastAsia="Times New Roman"/>
                <w:bCs/>
                <w:color w:val="000000"/>
                <w:sz w:val="20"/>
                <w:szCs w:val="20"/>
              </w:rPr>
              <w:t>XEDD</w:t>
            </w:r>
            <w:proofErr w:type="spellEnd"/>
            <w:r w:rsidRPr="00A75729">
              <w:rPr>
                <w:rFonts w:eastAsia="Times New Roman"/>
                <w:bCs/>
                <w:color w:val="000000"/>
                <w:sz w:val="20"/>
                <w:szCs w:val="20"/>
              </w:rPr>
              <w:t xml:space="preserve">-AM y </w:t>
            </w:r>
            <w:proofErr w:type="spellStart"/>
            <w:r w:rsidRPr="00A75729">
              <w:rPr>
                <w:rFonts w:eastAsia="Times New Roman"/>
                <w:bCs/>
                <w:color w:val="000000"/>
                <w:sz w:val="20"/>
                <w:szCs w:val="20"/>
              </w:rPr>
              <w:t>XHDD</w:t>
            </w:r>
            <w:proofErr w:type="spellEnd"/>
            <w:r w:rsidRPr="00A75729">
              <w:rPr>
                <w:rFonts w:eastAsia="Times New Roman"/>
                <w:bCs/>
                <w:color w:val="000000"/>
                <w:sz w:val="20"/>
                <w:szCs w:val="20"/>
              </w:rPr>
              <w:t xml:space="preserve">-FM, </w:t>
            </w:r>
            <w:r w:rsidR="00645AD1" w:rsidRPr="00A75729">
              <w:rPr>
                <w:rFonts w:eastAsia="Times New Roman"/>
                <w:bCs/>
                <w:color w:val="000000"/>
                <w:sz w:val="20"/>
                <w:szCs w:val="20"/>
              </w:rPr>
              <w:t xml:space="preserve">cuya población principal a servir es </w:t>
            </w:r>
            <w:r w:rsidR="00E30100" w:rsidRPr="00A75729">
              <w:rPr>
                <w:rFonts w:eastAsia="Times New Roman"/>
                <w:bCs/>
                <w:color w:val="000000"/>
                <w:sz w:val="20"/>
                <w:szCs w:val="20"/>
              </w:rPr>
              <w:t xml:space="preserve">Ojo </w:t>
            </w:r>
            <w:r w:rsidR="00645AD1" w:rsidRPr="00A75729">
              <w:rPr>
                <w:rFonts w:eastAsia="Times New Roman"/>
                <w:bCs/>
                <w:color w:val="000000"/>
                <w:sz w:val="20"/>
                <w:szCs w:val="20"/>
              </w:rPr>
              <w:t>de Agua, Nuevo León</w:t>
            </w:r>
            <w:r w:rsidRPr="00A75729">
              <w:rPr>
                <w:rFonts w:eastAsia="Times New Roman"/>
                <w:bCs/>
                <w:color w:val="000000"/>
                <w:sz w:val="20"/>
                <w:szCs w:val="20"/>
              </w:rPr>
              <w:t>, a favor de Radio Triunfos.</w:t>
            </w:r>
          </w:p>
        </w:tc>
      </w:tr>
      <w:tr w:rsidR="007A2B64" w:rsidRPr="00A75729" w:rsidTr="00B41CED">
        <w:tc>
          <w:tcPr>
            <w:tcW w:w="2357" w:type="dxa"/>
            <w:tcBorders>
              <w:top w:val="single" w:sz="4" w:space="0" w:color="auto"/>
              <w:bottom w:val="single" w:sz="4" w:space="0" w:color="auto"/>
            </w:tcBorders>
            <w:vAlign w:val="center"/>
          </w:tcPr>
          <w:p w:rsidR="007A2B64" w:rsidRPr="00A75729" w:rsidRDefault="007A2B64" w:rsidP="007A2B64">
            <w:pPr>
              <w:spacing w:before="0" w:after="0"/>
              <w:jc w:val="left"/>
              <w:rPr>
                <w:rFonts w:eastAsia="Times New Roman"/>
                <w:b/>
                <w:bCs/>
                <w:color w:val="000000"/>
                <w:sz w:val="20"/>
                <w:szCs w:val="20"/>
              </w:rPr>
            </w:pPr>
            <w:r w:rsidRPr="00A75729">
              <w:rPr>
                <w:rFonts w:eastAsia="Times New Roman"/>
                <w:b/>
                <w:bCs/>
                <w:color w:val="000000"/>
                <w:sz w:val="20"/>
                <w:szCs w:val="20"/>
              </w:rPr>
              <w:t>Partes</w:t>
            </w:r>
          </w:p>
        </w:tc>
        <w:tc>
          <w:tcPr>
            <w:tcW w:w="239" w:type="dxa"/>
            <w:tcBorders>
              <w:top w:val="single" w:sz="4" w:space="0" w:color="auto"/>
              <w:bottom w:val="single" w:sz="4" w:space="0" w:color="auto"/>
            </w:tcBorders>
            <w:shd w:val="clear" w:color="auto" w:fill="FFFFFF" w:themeFill="background1"/>
          </w:tcPr>
          <w:p w:rsidR="007A2B64" w:rsidRPr="00A75729" w:rsidRDefault="007A2B64" w:rsidP="007A2B64">
            <w:pPr>
              <w:spacing w:before="0" w:after="0"/>
              <w:rPr>
                <w:sz w:val="16"/>
                <w:szCs w:val="20"/>
              </w:rPr>
            </w:pPr>
          </w:p>
        </w:tc>
        <w:tc>
          <w:tcPr>
            <w:tcW w:w="6798" w:type="dxa"/>
            <w:tcBorders>
              <w:top w:val="single" w:sz="4" w:space="0" w:color="auto"/>
              <w:bottom w:val="single" w:sz="4" w:space="0" w:color="auto"/>
            </w:tcBorders>
            <w:vAlign w:val="center"/>
          </w:tcPr>
          <w:p w:rsidR="007A2B64" w:rsidRPr="00A75729" w:rsidRDefault="007A2B64" w:rsidP="007A2B64">
            <w:pPr>
              <w:spacing w:before="0" w:after="80"/>
              <w:rPr>
                <w:rFonts w:eastAsia="Times New Roman"/>
                <w:bCs/>
                <w:color w:val="000000"/>
                <w:sz w:val="20"/>
                <w:szCs w:val="20"/>
              </w:rPr>
            </w:pPr>
            <w:r w:rsidRPr="00A75729">
              <w:rPr>
                <w:rFonts w:eastAsia="Times New Roman"/>
                <w:bCs/>
                <w:color w:val="000000"/>
                <w:sz w:val="20"/>
                <w:szCs w:val="20"/>
              </w:rPr>
              <w:t>Conjuntamente el Cedente y el Cesionario.</w:t>
            </w:r>
          </w:p>
        </w:tc>
      </w:tr>
      <w:tr w:rsidR="007A2B64" w:rsidRPr="00A75729" w:rsidTr="00B41CED">
        <w:tc>
          <w:tcPr>
            <w:tcW w:w="2357" w:type="dxa"/>
            <w:tcBorders>
              <w:top w:val="single" w:sz="4" w:space="0" w:color="auto"/>
              <w:bottom w:val="single" w:sz="4" w:space="0" w:color="auto"/>
            </w:tcBorders>
            <w:vAlign w:val="center"/>
          </w:tcPr>
          <w:p w:rsidR="007A2B64" w:rsidRPr="00A75729" w:rsidRDefault="007A2B64" w:rsidP="007A2B64">
            <w:pPr>
              <w:spacing w:before="0" w:after="0"/>
              <w:jc w:val="left"/>
              <w:rPr>
                <w:rFonts w:eastAsia="Times New Roman"/>
                <w:b/>
                <w:bCs/>
                <w:color w:val="000000"/>
                <w:sz w:val="20"/>
                <w:szCs w:val="20"/>
              </w:rPr>
            </w:pPr>
            <w:r w:rsidRPr="00A75729">
              <w:rPr>
                <w:rFonts w:eastAsia="Times New Roman"/>
                <w:b/>
                <w:bCs/>
                <w:color w:val="000000"/>
                <w:sz w:val="20"/>
                <w:szCs w:val="20"/>
              </w:rPr>
              <w:t>Radio Triunfos o Cesionario</w:t>
            </w:r>
          </w:p>
        </w:tc>
        <w:tc>
          <w:tcPr>
            <w:tcW w:w="239" w:type="dxa"/>
            <w:tcBorders>
              <w:top w:val="single" w:sz="4" w:space="0" w:color="auto"/>
              <w:bottom w:val="single" w:sz="4" w:space="0" w:color="auto"/>
            </w:tcBorders>
            <w:shd w:val="clear" w:color="auto" w:fill="FFFFFF" w:themeFill="background1"/>
          </w:tcPr>
          <w:p w:rsidR="007A2B64" w:rsidRPr="00A75729" w:rsidRDefault="007A2B64" w:rsidP="007A2B64">
            <w:pPr>
              <w:spacing w:before="0" w:after="0"/>
              <w:rPr>
                <w:sz w:val="16"/>
                <w:szCs w:val="20"/>
              </w:rPr>
            </w:pPr>
          </w:p>
        </w:tc>
        <w:tc>
          <w:tcPr>
            <w:tcW w:w="6798" w:type="dxa"/>
            <w:tcBorders>
              <w:top w:val="single" w:sz="4" w:space="0" w:color="auto"/>
              <w:bottom w:val="single" w:sz="4" w:space="0" w:color="auto"/>
            </w:tcBorders>
            <w:vAlign w:val="center"/>
          </w:tcPr>
          <w:p w:rsidR="007A2B64" w:rsidRPr="00A75729" w:rsidRDefault="007A2B64" w:rsidP="007A2B64">
            <w:pPr>
              <w:spacing w:before="0" w:after="80"/>
              <w:rPr>
                <w:rFonts w:eastAsia="Times New Roman"/>
                <w:bCs/>
                <w:color w:val="000000"/>
                <w:sz w:val="20"/>
                <w:szCs w:val="20"/>
              </w:rPr>
            </w:pPr>
            <w:r w:rsidRPr="00A75729">
              <w:rPr>
                <w:rFonts w:eastAsia="Times New Roman"/>
                <w:bCs/>
                <w:color w:val="000000"/>
                <w:sz w:val="20"/>
                <w:szCs w:val="20"/>
              </w:rPr>
              <w:t>Radio Triunfos, S.A. de C.V.</w:t>
            </w:r>
          </w:p>
        </w:tc>
      </w:tr>
      <w:tr w:rsidR="007A2B64" w:rsidRPr="00A75729" w:rsidTr="00B41CED">
        <w:tc>
          <w:tcPr>
            <w:tcW w:w="2357" w:type="dxa"/>
            <w:tcBorders>
              <w:top w:val="single" w:sz="4" w:space="0" w:color="auto"/>
              <w:bottom w:val="single" w:sz="4" w:space="0" w:color="auto"/>
            </w:tcBorders>
            <w:vAlign w:val="center"/>
          </w:tcPr>
          <w:p w:rsidR="007A2B64" w:rsidRPr="00A75729" w:rsidRDefault="007A2B64" w:rsidP="007A2B64">
            <w:pPr>
              <w:spacing w:before="0" w:after="0"/>
              <w:jc w:val="left"/>
              <w:rPr>
                <w:rFonts w:eastAsia="Times New Roman"/>
                <w:b/>
                <w:bCs/>
                <w:color w:val="000000"/>
                <w:sz w:val="20"/>
                <w:szCs w:val="20"/>
              </w:rPr>
            </w:pPr>
            <w:r w:rsidRPr="00A75729">
              <w:rPr>
                <w:rFonts w:eastAsia="Times New Roman"/>
                <w:b/>
                <w:bCs/>
                <w:color w:val="000000"/>
                <w:sz w:val="20"/>
                <w:szCs w:val="20"/>
              </w:rPr>
              <w:t>Resolución de Preponderancia en Radiodifusión</w:t>
            </w:r>
          </w:p>
        </w:tc>
        <w:tc>
          <w:tcPr>
            <w:tcW w:w="239" w:type="dxa"/>
            <w:tcBorders>
              <w:top w:val="single" w:sz="4" w:space="0" w:color="auto"/>
              <w:bottom w:val="single" w:sz="4" w:space="0" w:color="auto"/>
            </w:tcBorders>
            <w:shd w:val="clear" w:color="auto" w:fill="FFFFFF" w:themeFill="background1"/>
          </w:tcPr>
          <w:p w:rsidR="007A2B64" w:rsidRPr="00A75729" w:rsidRDefault="007A2B64" w:rsidP="007A2B64">
            <w:pPr>
              <w:spacing w:before="0" w:after="0"/>
              <w:rPr>
                <w:sz w:val="16"/>
                <w:szCs w:val="20"/>
              </w:rPr>
            </w:pPr>
          </w:p>
        </w:tc>
        <w:tc>
          <w:tcPr>
            <w:tcW w:w="6798" w:type="dxa"/>
            <w:tcBorders>
              <w:top w:val="single" w:sz="4" w:space="0" w:color="auto"/>
              <w:bottom w:val="single" w:sz="4" w:space="0" w:color="auto"/>
            </w:tcBorders>
            <w:vAlign w:val="center"/>
          </w:tcPr>
          <w:p w:rsidR="007A2B64" w:rsidRPr="00A75729" w:rsidRDefault="007A2B64" w:rsidP="00593888">
            <w:pPr>
              <w:spacing w:before="0" w:after="80"/>
              <w:rPr>
                <w:rFonts w:eastAsia="Times New Roman"/>
                <w:bCs/>
                <w:color w:val="000000"/>
                <w:sz w:val="20"/>
                <w:szCs w:val="20"/>
              </w:rPr>
            </w:pPr>
            <w:r w:rsidRPr="00A75729">
              <w:rPr>
                <w:sz w:val="20"/>
                <w:szCs w:val="20"/>
              </w:rPr>
              <w:t xml:space="preserve">Resolución mediante la cual el Pleno del Instituto Federal de telecomunicaciones determina al </w:t>
            </w:r>
            <w:proofErr w:type="spellStart"/>
            <w:r w:rsidR="00593888" w:rsidRPr="00A75729">
              <w:rPr>
                <w:sz w:val="20"/>
                <w:szCs w:val="20"/>
              </w:rPr>
              <w:t>AEPR</w:t>
            </w:r>
            <w:proofErr w:type="spellEnd"/>
            <w:r w:rsidRPr="00A75729">
              <w:rPr>
                <w:sz w:val="20"/>
                <w:szCs w:val="20"/>
              </w:rPr>
              <w:t xml:space="preserve"> y le impone las medidas necesarias para evitar que se afecte la competencia y la libre concurrencia</w:t>
            </w:r>
            <w:r w:rsidRPr="00A75729">
              <w:rPr>
                <w:sz w:val="20"/>
                <w:szCs w:val="20"/>
                <w:lang w:eastAsia="es-ES"/>
              </w:rPr>
              <w:t>.</w:t>
            </w:r>
            <w:r w:rsidRPr="00A75729">
              <w:rPr>
                <w:rStyle w:val="Refdenotaalpie"/>
                <w:sz w:val="20"/>
                <w:szCs w:val="20"/>
              </w:rPr>
              <w:footnoteReference w:id="6"/>
            </w:r>
          </w:p>
        </w:tc>
      </w:tr>
      <w:tr w:rsidR="00B31B4C" w:rsidRPr="00A75729" w:rsidTr="00B41CED">
        <w:tc>
          <w:tcPr>
            <w:tcW w:w="2357" w:type="dxa"/>
            <w:tcBorders>
              <w:top w:val="single" w:sz="4" w:space="0" w:color="auto"/>
              <w:bottom w:val="single" w:sz="4" w:space="0" w:color="auto"/>
            </w:tcBorders>
            <w:vAlign w:val="center"/>
          </w:tcPr>
          <w:p w:rsidR="00B31B4C" w:rsidRPr="00A75729" w:rsidRDefault="00B31B4C" w:rsidP="007A2B64">
            <w:pPr>
              <w:spacing w:before="0" w:after="0"/>
              <w:jc w:val="left"/>
              <w:rPr>
                <w:rFonts w:eastAsia="Times New Roman"/>
                <w:b/>
                <w:bCs/>
                <w:color w:val="000000"/>
                <w:sz w:val="20"/>
                <w:szCs w:val="20"/>
              </w:rPr>
            </w:pPr>
            <w:proofErr w:type="spellStart"/>
            <w:r w:rsidRPr="00A75729">
              <w:rPr>
                <w:rFonts w:eastAsia="Times New Roman"/>
                <w:b/>
                <w:bCs/>
                <w:color w:val="000000"/>
                <w:sz w:val="20"/>
                <w:szCs w:val="20"/>
              </w:rPr>
              <w:t>RPC</w:t>
            </w:r>
            <w:proofErr w:type="spellEnd"/>
          </w:p>
        </w:tc>
        <w:tc>
          <w:tcPr>
            <w:tcW w:w="239" w:type="dxa"/>
            <w:tcBorders>
              <w:top w:val="single" w:sz="4" w:space="0" w:color="auto"/>
              <w:bottom w:val="single" w:sz="4" w:space="0" w:color="auto"/>
            </w:tcBorders>
            <w:shd w:val="clear" w:color="auto" w:fill="FFFFFF" w:themeFill="background1"/>
          </w:tcPr>
          <w:p w:rsidR="00B31B4C" w:rsidRPr="00A75729" w:rsidRDefault="00B31B4C" w:rsidP="007A2B64">
            <w:pPr>
              <w:spacing w:before="0" w:after="0"/>
              <w:rPr>
                <w:sz w:val="16"/>
                <w:szCs w:val="20"/>
              </w:rPr>
            </w:pPr>
          </w:p>
        </w:tc>
        <w:tc>
          <w:tcPr>
            <w:tcW w:w="6798" w:type="dxa"/>
            <w:tcBorders>
              <w:top w:val="single" w:sz="4" w:space="0" w:color="auto"/>
              <w:bottom w:val="single" w:sz="4" w:space="0" w:color="auto"/>
            </w:tcBorders>
            <w:vAlign w:val="center"/>
          </w:tcPr>
          <w:p w:rsidR="00B31B4C" w:rsidRPr="00A75729" w:rsidRDefault="00B31B4C" w:rsidP="00B41CED">
            <w:pPr>
              <w:spacing w:before="0" w:after="80"/>
              <w:rPr>
                <w:sz w:val="20"/>
                <w:szCs w:val="20"/>
              </w:rPr>
            </w:pPr>
            <w:r w:rsidRPr="00A75729">
              <w:rPr>
                <w:sz w:val="20"/>
                <w:szCs w:val="20"/>
              </w:rPr>
              <w:t xml:space="preserve">Registro Público de Concesiones del Instituto </w:t>
            </w:r>
            <w:r w:rsidR="00B41CED" w:rsidRPr="00A75729">
              <w:rPr>
                <w:sz w:val="20"/>
                <w:szCs w:val="20"/>
              </w:rPr>
              <w:t xml:space="preserve">disponible en el sitio </w:t>
            </w:r>
            <w:r w:rsidRPr="00F51DF4">
              <w:rPr>
                <w:sz w:val="20"/>
                <w:szCs w:val="20"/>
              </w:rPr>
              <w:t>http://ucsweb.ift.org.mx/vrpc/</w:t>
            </w:r>
            <w:r w:rsidRPr="00A75729">
              <w:rPr>
                <w:sz w:val="20"/>
                <w:szCs w:val="20"/>
              </w:rPr>
              <w:t>.</w:t>
            </w:r>
          </w:p>
        </w:tc>
      </w:tr>
      <w:tr w:rsidR="007A2B64" w:rsidRPr="00A75729" w:rsidTr="00B41CED">
        <w:trPr>
          <w:trHeight w:val="376"/>
        </w:trPr>
        <w:tc>
          <w:tcPr>
            <w:tcW w:w="2357" w:type="dxa"/>
            <w:tcBorders>
              <w:top w:val="single" w:sz="4" w:space="0" w:color="auto"/>
              <w:bottom w:val="single" w:sz="4" w:space="0" w:color="auto"/>
            </w:tcBorders>
            <w:vAlign w:val="center"/>
          </w:tcPr>
          <w:p w:rsidR="007A2B64" w:rsidRPr="00A75729" w:rsidRDefault="007A2B64" w:rsidP="007A2B64">
            <w:pPr>
              <w:spacing w:before="0" w:after="0"/>
              <w:jc w:val="left"/>
              <w:rPr>
                <w:rFonts w:eastAsia="Times New Roman"/>
                <w:b/>
                <w:bCs/>
                <w:color w:val="000000"/>
                <w:sz w:val="20"/>
                <w:szCs w:val="20"/>
              </w:rPr>
            </w:pPr>
            <w:r w:rsidRPr="00A75729">
              <w:rPr>
                <w:rFonts w:eastAsia="Times New Roman"/>
                <w:b/>
                <w:bCs/>
                <w:color w:val="000000"/>
                <w:sz w:val="20"/>
                <w:szCs w:val="20"/>
              </w:rPr>
              <w:t>SCT</w:t>
            </w:r>
          </w:p>
        </w:tc>
        <w:tc>
          <w:tcPr>
            <w:tcW w:w="239" w:type="dxa"/>
            <w:tcBorders>
              <w:top w:val="single" w:sz="4" w:space="0" w:color="auto"/>
              <w:bottom w:val="single" w:sz="4" w:space="0" w:color="auto"/>
            </w:tcBorders>
            <w:shd w:val="clear" w:color="auto" w:fill="FFFFFF" w:themeFill="background1"/>
          </w:tcPr>
          <w:p w:rsidR="007A2B64" w:rsidRPr="00A75729" w:rsidRDefault="007A2B64" w:rsidP="007A2B64">
            <w:pPr>
              <w:spacing w:before="0" w:after="0"/>
              <w:rPr>
                <w:sz w:val="16"/>
                <w:szCs w:val="20"/>
              </w:rPr>
            </w:pPr>
          </w:p>
        </w:tc>
        <w:tc>
          <w:tcPr>
            <w:tcW w:w="6798" w:type="dxa"/>
            <w:tcBorders>
              <w:top w:val="single" w:sz="4" w:space="0" w:color="auto"/>
              <w:bottom w:val="single" w:sz="4" w:space="0" w:color="auto"/>
            </w:tcBorders>
            <w:vAlign w:val="center"/>
          </w:tcPr>
          <w:p w:rsidR="007A2B64" w:rsidRPr="00A75729" w:rsidRDefault="007A2B64" w:rsidP="007A2B64">
            <w:pPr>
              <w:spacing w:before="0" w:after="80"/>
              <w:jc w:val="left"/>
              <w:rPr>
                <w:rFonts w:eastAsia="Times New Roman"/>
                <w:bCs/>
                <w:color w:val="000000"/>
                <w:sz w:val="20"/>
                <w:szCs w:val="20"/>
              </w:rPr>
            </w:pPr>
            <w:r w:rsidRPr="00A75729">
              <w:rPr>
                <w:rFonts w:eastAsia="Times New Roman"/>
                <w:bCs/>
                <w:color w:val="000000"/>
                <w:sz w:val="20"/>
                <w:szCs w:val="20"/>
              </w:rPr>
              <w:t>Secretaría de Comunicaciones y Transportes.</w:t>
            </w:r>
          </w:p>
        </w:tc>
      </w:tr>
      <w:tr w:rsidR="007A2B64" w:rsidRPr="00A75729" w:rsidTr="00B41CED">
        <w:tc>
          <w:tcPr>
            <w:tcW w:w="2357" w:type="dxa"/>
            <w:tcBorders>
              <w:top w:val="single" w:sz="4" w:space="0" w:color="auto"/>
              <w:bottom w:val="single" w:sz="4" w:space="0" w:color="auto"/>
            </w:tcBorders>
            <w:vAlign w:val="center"/>
          </w:tcPr>
          <w:p w:rsidR="007A2B64" w:rsidRPr="00A75729" w:rsidRDefault="007A2B64" w:rsidP="007A2B64">
            <w:pPr>
              <w:spacing w:before="0" w:after="0"/>
              <w:jc w:val="left"/>
              <w:rPr>
                <w:rFonts w:eastAsia="Times New Roman"/>
                <w:b/>
                <w:bCs/>
                <w:color w:val="000000"/>
                <w:sz w:val="20"/>
                <w:szCs w:val="20"/>
              </w:rPr>
            </w:pPr>
            <w:proofErr w:type="spellStart"/>
            <w:r w:rsidRPr="00A75729">
              <w:rPr>
                <w:rFonts w:eastAsia="Times New Roman"/>
                <w:b/>
                <w:bCs/>
                <w:color w:val="000000"/>
                <w:sz w:val="20"/>
                <w:szCs w:val="20"/>
              </w:rPr>
              <w:t>UCE</w:t>
            </w:r>
            <w:proofErr w:type="spellEnd"/>
          </w:p>
        </w:tc>
        <w:tc>
          <w:tcPr>
            <w:tcW w:w="239" w:type="dxa"/>
            <w:tcBorders>
              <w:top w:val="single" w:sz="4" w:space="0" w:color="auto"/>
              <w:bottom w:val="single" w:sz="4" w:space="0" w:color="auto"/>
            </w:tcBorders>
            <w:shd w:val="clear" w:color="auto" w:fill="FFFFFF" w:themeFill="background1"/>
          </w:tcPr>
          <w:p w:rsidR="007A2B64" w:rsidRPr="00A75729" w:rsidRDefault="007A2B64" w:rsidP="007A2B64">
            <w:pPr>
              <w:spacing w:before="0" w:after="0"/>
              <w:rPr>
                <w:sz w:val="16"/>
                <w:szCs w:val="20"/>
              </w:rPr>
            </w:pPr>
          </w:p>
        </w:tc>
        <w:tc>
          <w:tcPr>
            <w:tcW w:w="6798" w:type="dxa"/>
            <w:tcBorders>
              <w:top w:val="single" w:sz="4" w:space="0" w:color="auto"/>
              <w:bottom w:val="single" w:sz="4" w:space="0" w:color="auto"/>
            </w:tcBorders>
            <w:vAlign w:val="center"/>
          </w:tcPr>
          <w:p w:rsidR="007A2B64" w:rsidRPr="00A75729" w:rsidRDefault="007A2B64" w:rsidP="007A2B64">
            <w:pPr>
              <w:spacing w:before="0" w:after="80"/>
              <w:jc w:val="left"/>
              <w:rPr>
                <w:rFonts w:eastAsia="Times New Roman"/>
                <w:bCs/>
                <w:color w:val="000000"/>
                <w:sz w:val="20"/>
                <w:szCs w:val="20"/>
              </w:rPr>
            </w:pPr>
            <w:r w:rsidRPr="00A75729">
              <w:rPr>
                <w:rFonts w:eastAsia="Times New Roman"/>
                <w:bCs/>
                <w:color w:val="000000"/>
                <w:sz w:val="20"/>
                <w:szCs w:val="20"/>
              </w:rPr>
              <w:t>Unidad de Competencia Económica del Instituto.</w:t>
            </w:r>
          </w:p>
        </w:tc>
      </w:tr>
      <w:tr w:rsidR="00E92F7C" w:rsidRPr="00A75729" w:rsidTr="00B41CED">
        <w:tc>
          <w:tcPr>
            <w:tcW w:w="2357" w:type="dxa"/>
            <w:tcBorders>
              <w:top w:val="single" w:sz="4" w:space="0" w:color="auto"/>
              <w:bottom w:val="single" w:sz="4" w:space="0" w:color="auto"/>
            </w:tcBorders>
            <w:vAlign w:val="center"/>
          </w:tcPr>
          <w:p w:rsidR="00E92F7C" w:rsidRPr="00A75729" w:rsidRDefault="00E92F7C" w:rsidP="00E92F7C">
            <w:pPr>
              <w:spacing w:before="0" w:after="0"/>
              <w:jc w:val="left"/>
              <w:rPr>
                <w:rFonts w:eastAsia="Times New Roman"/>
                <w:b/>
                <w:bCs/>
                <w:color w:val="000000"/>
                <w:sz w:val="20"/>
                <w:szCs w:val="20"/>
              </w:rPr>
            </w:pPr>
            <w:proofErr w:type="spellStart"/>
            <w:r w:rsidRPr="00A75729">
              <w:rPr>
                <w:rFonts w:eastAsia="Times New Roman"/>
                <w:b/>
                <w:bCs/>
                <w:color w:val="000000"/>
                <w:sz w:val="20"/>
                <w:szCs w:val="20"/>
              </w:rPr>
              <w:t>UER</w:t>
            </w:r>
            <w:proofErr w:type="spellEnd"/>
          </w:p>
        </w:tc>
        <w:tc>
          <w:tcPr>
            <w:tcW w:w="239" w:type="dxa"/>
            <w:tcBorders>
              <w:top w:val="single" w:sz="4" w:space="0" w:color="auto"/>
              <w:bottom w:val="single" w:sz="4" w:space="0" w:color="auto"/>
            </w:tcBorders>
            <w:shd w:val="clear" w:color="auto" w:fill="FFFFFF" w:themeFill="background1"/>
          </w:tcPr>
          <w:p w:rsidR="00E92F7C" w:rsidRPr="00A75729" w:rsidRDefault="00E92F7C" w:rsidP="00E92F7C">
            <w:pPr>
              <w:spacing w:before="0" w:after="0"/>
              <w:rPr>
                <w:sz w:val="16"/>
                <w:szCs w:val="20"/>
              </w:rPr>
            </w:pPr>
          </w:p>
        </w:tc>
        <w:tc>
          <w:tcPr>
            <w:tcW w:w="6798" w:type="dxa"/>
            <w:tcBorders>
              <w:top w:val="single" w:sz="4" w:space="0" w:color="auto"/>
              <w:bottom w:val="single" w:sz="4" w:space="0" w:color="auto"/>
            </w:tcBorders>
            <w:vAlign w:val="center"/>
          </w:tcPr>
          <w:p w:rsidR="00E92F7C" w:rsidRPr="00A75729" w:rsidRDefault="00E92F7C" w:rsidP="00E92F7C">
            <w:pPr>
              <w:spacing w:before="0" w:after="80"/>
              <w:jc w:val="left"/>
              <w:rPr>
                <w:rFonts w:eastAsia="Times New Roman"/>
                <w:bCs/>
                <w:color w:val="000000"/>
                <w:sz w:val="20"/>
                <w:szCs w:val="20"/>
              </w:rPr>
            </w:pPr>
            <w:r w:rsidRPr="00A75729">
              <w:rPr>
                <w:rFonts w:eastAsia="Times New Roman"/>
                <w:bCs/>
                <w:color w:val="000000"/>
                <w:sz w:val="20"/>
                <w:szCs w:val="20"/>
              </w:rPr>
              <w:t>Unidad de Espectro Radioeléctrico del Instituto.</w:t>
            </w:r>
          </w:p>
        </w:tc>
      </w:tr>
    </w:tbl>
    <w:p w:rsidR="006161FB" w:rsidRPr="00A75729" w:rsidRDefault="006161FB" w:rsidP="00E50770">
      <w:pPr>
        <w:pStyle w:val="Ttulo1"/>
        <w:keepLines/>
        <w:spacing w:after="0"/>
        <w:ind w:left="0" w:firstLine="0"/>
        <w:rPr>
          <w:rFonts w:eastAsiaTheme="majorEastAsia" w:cstheme="majorBidi"/>
          <w:bCs w:val="0"/>
          <w:szCs w:val="32"/>
          <w:lang w:val="es-MX" w:eastAsia="en-US"/>
        </w:rPr>
      </w:pPr>
      <w:bookmarkStart w:id="3" w:name="_Toc519100817"/>
      <w:r w:rsidRPr="00A75729">
        <w:rPr>
          <w:rFonts w:eastAsiaTheme="majorEastAsia" w:cstheme="majorBidi"/>
          <w:bCs w:val="0"/>
          <w:szCs w:val="32"/>
          <w:lang w:val="es-MX" w:eastAsia="en-US"/>
        </w:rPr>
        <w:lastRenderedPageBreak/>
        <w:t>ANTECEDENTES</w:t>
      </w:r>
      <w:bookmarkEnd w:id="3"/>
    </w:p>
    <w:p w:rsidR="00FE3DC7" w:rsidRPr="00A75729" w:rsidRDefault="00F541BA" w:rsidP="00E50770">
      <w:pPr>
        <w:pStyle w:val="Prrafodelista"/>
        <w:numPr>
          <w:ilvl w:val="0"/>
          <w:numId w:val="8"/>
        </w:numPr>
        <w:spacing w:after="120" w:line="276" w:lineRule="auto"/>
        <w:ind w:left="0"/>
        <w:contextualSpacing w:val="0"/>
      </w:pPr>
      <w:r w:rsidRPr="00A75729">
        <w:t>El</w:t>
      </w:r>
      <w:r w:rsidR="006161FB" w:rsidRPr="00A75729">
        <w:t xml:space="preserve"> </w:t>
      </w:r>
      <w:r w:rsidR="00E51B64" w:rsidRPr="00A75729">
        <w:t>19</w:t>
      </w:r>
      <w:r w:rsidR="004E3239" w:rsidRPr="00A75729">
        <w:t xml:space="preserve"> de abril de </w:t>
      </w:r>
      <w:r w:rsidR="00E51B64" w:rsidRPr="00A75729">
        <w:t>2018</w:t>
      </w:r>
      <w:r w:rsidR="006161FB" w:rsidRPr="00A75729">
        <w:t xml:space="preserve">, </w:t>
      </w:r>
      <w:r w:rsidRPr="00A75729">
        <w:t xml:space="preserve">los representantes legales de </w:t>
      </w:r>
      <w:r w:rsidR="00C45F7E" w:rsidRPr="00A75729">
        <w:t xml:space="preserve">Audio Publicidad y </w:t>
      </w:r>
      <w:r w:rsidR="00E84B6D" w:rsidRPr="00A75729">
        <w:t xml:space="preserve">Radio Triunfos </w:t>
      </w:r>
      <w:r w:rsidR="00D7412C" w:rsidRPr="00A75729">
        <w:t xml:space="preserve">presentaron ante </w:t>
      </w:r>
      <w:r w:rsidR="00C069CA" w:rsidRPr="00A75729">
        <w:t>la oficialía de partes del Instituto</w:t>
      </w:r>
      <w:r w:rsidR="00D7412C" w:rsidRPr="00A75729">
        <w:t xml:space="preserve"> </w:t>
      </w:r>
      <w:r w:rsidR="00C069CA" w:rsidRPr="00A75729">
        <w:t xml:space="preserve">un </w:t>
      </w:r>
      <w:r w:rsidR="00FF372F" w:rsidRPr="00A75729">
        <w:t>Aviso de Concentración</w:t>
      </w:r>
      <w:r w:rsidR="00C069CA" w:rsidRPr="00A75729">
        <w:t xml:space="preserve"> </w:t>
      </w:r>
      <w:r w:rsidR="00D7412C" w:rsidRPr="00A75729">
        <w:t>en términos de</w:t>
      </w:r>
      <w:r w:rsidR="00C069CA" w:rsidRPr="00A75729">
        <w:t xml:space="preserve"> </w:t>
      </w:r>
      <w:r w:rsidR="00D7412C" w:rsidRPr="00A75729">
        <w:t>l</w:t>
      </w:r>
      <w:r w:rsidR="00C069CA" w:rsidRPr="00A75729">
        <w:t xml:space="preserve">o establecido en los párrafos primero a cuarto del </w:t>
      </w:r>
      <w:r w:rsidR="00D7412C" w:rsidRPr="00A75729">
        <w:t>Noveno Transitorio</w:t>
      </w:r>
      <w:r w:rsidR="00E84B6D" w:rsidRPr="00A75729">
        <w:t xml:space="preserve">. </w:t>
      </w:r>
    </w:p>
    <w:p w:rsidR="003E5F2D" w:rsidRPr="00A75729" w:rsidRDefault="006161FB" w:rsidP="00E50770">
      <w:pPr>
        <w:rPr>
          <w:bCs/>
          <w:noProof/>
          <w:color w:val="000000"/>
        </w:rPr>
      </w:pPr>
      <w:r w:rsidRPr="00A75729">
        <w:t xml:space="preserve">Las Partes </w:t>
      </w:r>
      <w:r w:rsidR="00A613B6" w:rsidRPr="00A75729">
        <w:t>indicaron</w:t>
      </w:r>
      <w:r w:rsidRPr="00A75729">
        <w:t xml:space="preserve"> que </w:t>
      </w:r>
      <w:r w:rsidR="00B65C6C" w:rsidRPr="00A75729">
        <w:t xml:space="preserve">el aviso </w:t>
      </w:r>
      <w:r w:rsidR="00C069CA" w:rsidRPr="00A75729">
        <w:t xml:space="preserve">se </w:t>
      </w:r>
      <w:r w:rsidR="00B65C6C" w:rsidRPr="00A75729">
        <w:t>refiere</w:t>
      </w:r>
      <w:r w:rsidR="00C069CA" w:rsidRPr="00A75729">
        <w:t xml:space="preserve"> </w:t>
      </w:r>
      <w:r w:rsidR="00B65C6C" w:rsidRPr="00A75729">
        <w:t xml:space="preserve">a la </w:t>
      </w:r>
      <w:r w:rsidR="00FF372F" w:rsidRPr="00A75729">
        <w:t xml:space="preserve">Operación </w:t>
      </w:r>
      <w:r w:rsidR="00E5316B" w:rsidRPr="00A75729">
        <w:t>realiz</w:t>
      </w:r>
      <w:r w:rsidR="00C069CA" w:rsidRPr="00A75729">
        <w:t>ada</w:t>
      </w:r>
      <w:r w:rsidR="00E5316B" w:rsidRPr="00A75729">
        <w:t xml:space="preserve"> el </w:t>
      </w:r>
      <w:r w:rsidR="00E51B64" w:rsidRPr="00A75729">
        <w:t>19</w:t>
      </w:r>
      <w:r w:rsidR="0007087B" w:rsidRPr="00A75729">
        <w:t xml:space="preserve"> de abril de </w:t>
      </w:r>
      <w:r w:rsidR="00E51B64" w:rsidRPr="00A75729">
        <w:t>2018</w:t>
      </w:r>
      <w:r w:rsidR="00C069CA" w:rsidRPr="00A75729">
        <w:t>;</w:t>
      </w:r>
      <w:r w:rsidR="00E5316B" w:rsidRPr="00A75729">
        <w:t xml:space="preserve"> </w:t>
      </w:r>
      <w:r w:rsidR="00FF372F" w:rsidRPr="00A75729">
        <w:t xml:space="preserve">y </w:t>
      </w:r>
      <w:r w:rsidR="003E5F2D" w:rsidRPr="00A75729">
        <w:t>designaron como representante común al C.</w:t>
      </w:r>
      <w:r w:rsidR="003E5F2D" w:rsidRPr="00A75729">
        <w:rPr>
          <w:bCs/>
          <w:noProof/>
          <w:color w:val="000000"/>
        </w:rPr>
        <w:t xml:space="preserve"> </w:t>
      </w:r>
      <w:r w:rsidR="00A74C34">
        <w:rPr>
          <w:b/>
          <w:bCs/>
          <w:color w:val="0000CC"/>
          <w:kern w:val="24"/>
          <w:sz w:val="20"/>
          <w:szCs w:val="20"/>
        </w:rPr>
        <w:t>“CONFIDENCIAL POR LEY (1</w:t>
      </w:r>
      <w:r w:rsidR="0034544B" w:rsidRPr="0034544B">
        <w:rPr>
          <w:b/>
          <w:bCs/>
          <w:color w:val="0000CC"/>
          <w:kern w:val="24"/>
          <w:sz w:val="20"/>
          <w:szCs w:val="20"/>
        </w:rPr>
        <w:t>)”</w:t>
      </w:r>
      <w:r w:rsidR="003E5F2D" w:rsidRPr="00A75729">
        <w:rPr>
          <w:bCs/>
          <w:noProof/>
          <w:color w:val="000000"/>
        </w:rPr>
        <w:t>.</w:t>
      </w:r>
    </w:p>
    <w:p w:rsidR="00AF52F3" w:rsidRPr="00A75729" w:rsidRDefault="00AF52F3" w:rsidP="00E50770">
      <w:pPr>
        <w:pStyle w:val="Prrafodelista"/>
        <w:spacing w:after="120" w:line="276" w:lineRule="auto"/>
        <w:ind w:left="0"/>
        <w:contextualSpacing w:val="0"/>
      </w:pPr>
      <w:r w:rsidRPr="00A75729">
        <w:rPr>
          <w:bCs/>
          <w:noProof/>
          <w:color w:val="000000"/>
        </w:rPr>
        <w:t xml:space="preserve">De conformidad con lo establecido en el artículo 6 de la LFTR, este asunto se tramita conforme a lo dispuesto en la LFPA, toda vez que los avisos de concentración previstos en el </w:t>
      </w:r>
      <w:r w:rsidR="004C1EEA" w:rsidRPr="00A75729">
        <w:rPr>
          <w:bCs/>
          <w:noProof/>
          <w:color w:val="000000"/>
        </w:rPr>
        <w:t xml:space="preserve">Noveno Transitorio </w:t>
      </w:r>
      <w:r w:rsidRPr="00A75729">
        <w:rPr>
          <w:bCs/>
          <w:noProof/>
          <w:color w:val="000000"/>
        </w:rPr>
        <w:t xml:space="preserve">no </w:t>
      </w:r>
      <w:r w:rsidR="004C1EEA" w:rsidRPr="00A75729">
        <w:rPr>
          <w:bCs/>
          <w:noProof/>
          <w:color w:val="000000"/>
        </w:rPr>
        <w:t>tienen</w:t>
      </w:r>
      <w:r w:rsidRPr="00A75729">
        <w:rPr>
          <w:bCs/>
          <w:noProof/>
          <w:color w:val="000000"/>
        </w:rPr>
        <w:t xml:space="preserve"> previsto un trámite específico conforme a la </w:t>
      </w:r>
      <w:r w:rsidR="000420C6" w:rsidRPr="00A75729">
        <w:rPr>
          <w:bCs/>
          <w:noProof/>
          <w:color w:val="000000"/>
        </w:rPr>
        <w:t xml:space="preserve">LFCE </w:t>
      </w:r>
      <w:r w:rsidR="009017CA" w:rsidRPr="00A75729">
        <w:rPr>
          <w:bCs/>
          <w:noProof/>
          <w:color w:val="000000"/>
        </w:rPr>
        <w:t>o</w:t>
      </w:r>
      <w:r w:rsidR="004C1EEA" w:rsidRPr="00A75729">
        <w:rPr>
          <w:bCs/>
          <w:noProof/>
          <w:color w:val="000000"/>
        </w:rPr>
        <w:t xml:space="preserve"> la LFTR.</w:t>
      </w:r>
    </w:p>
    <w:p w:rsidR="00E5316B" w:rsidRPr="00A75729" w:rsidRDefault="00E5316B" w:rsidP="00E50770">
      <w:pPr>
        <w:pStyle w:val="Prrafodelista"/>
        <w:numPr>
          <w:ilvl w:val="0"/>
          <w:numId w:val="8"/>
        </w:numPr>
        <w:spacing w:after="120" w:line="276" w:lineRule="auto"/>
        <w:ind w:left="0" w:right="-1"/>
        <w:contextualSpacing w:val="0"/>
      </w:pPr>
      <w:r w:rsidRPr="00A75729">
        <w:t xml:space="preserve">El </w:t>
      </w:r>
      <w:r w:rsidR="00FF372F" w:rsidRPr="00A75729">
        <w:t>16 de mayo</w:t>
      </w:r>
      <w:r w:rsidR="0048098D" w:rsidRPr="00A75729">
        <w:t xml:space="preserve"> de </w:t>
      </w:r>
      <w:r w:rsidR="00FF372F" w:rsidRPr="00A75729">
        <w:t>2018</w:t>
      </w:r>
      <w:r w:rsidR="006161FB" w:rsidRPr="00A75729">
        <w:t xml:space="preserve">, </w:t>
      </w:r>
      <w:r w:rsidRPr="00A75729">
        <w:t xml:space="preserve">mediante acuerdo firmado por la Titular de la </w:t>
      </w:r>
      <w:proofErr w:type="spellStart"/>
      <w:r w:rsidRPr="00A75729">
        <w:t>UCE</w:t>
      </w:r>
      <w:proofErr w:type="spellEnd"/>
      <w:r w:rsidRPr="00A75729">
        <w:t xml:space="preserve">, se radicó el </w:t>
      </w:r>
      <w:r w:rsidR="006161FB" w:rsidRPr="00A75729">
        <w:t xml:space="preserve">Aviso de Concentración bajo el expediente número </w:t>
      </w:r>
      <w:proofErr w:type="spellStart"/>
      <w:r w:rsidR="006161FB" w:rsidRPr="00A75729">
        <w:t>UCE</w:t>
      </w:r>
      <w:proofErr w:type="spellEnd"/>
      <w:r w:rsidR="006161FB" w:rsidRPr="00A75729">
        <w:t>/</w:t>
      </w:r>
      <w:proofErr w:type="spellStart"/>
      <w:r w:rsidR="006161FB" w:rsidRPr="00A75729">
        <w:t>AVC</w:t>
      </w:r>
      <w:proofErr w:type="spellEnd"/>
      <w:r w:rsidR="006161FB" w:rsidRPr="00A75729">
        <w:t>-001-201</w:t>
      </w:r>
      <w:r w:rsidR="0048098D" w:rsidRPr="00A75729">
        <w:t>8</w:t>
      </w:r>
      <w:r w:rsidR="0081097B" w:rsidRPr="00A75729">
        <w:t>; y</w:t>
      </w:r>
      <w:r w:rsidRPr="00A75729">
        <w:t xml:space="preserve">, con fundamento en el artículo </w:t>
      </w:r>
      <w:r w:rsidR="003E5F2D" w:rsidRPr="00A75729">
        <w:t>17-A</w:t>
      </w:r>
      <w:r w:rsidRPr="00A75729">
        <w:t xml:space="preserve"> de</w:t>
      </w:r>
      <w:r w:rsidR="00BC7883">
        <w:t xml:space="preserve"> la</w:t>
      </w:r>
      <w:r w:rsidRPr="00A75729">
        <w:t xml:space="preserve"> </w:t>
      </w:r>
      <w:proofErr w:type="spellStart"/>
      <w:r w:rsidRPr="00A75729">
        <w:t>LFPA</w:t>
      </w:r>
      <w:proofErr w:type="spellEnd"/>
      <w:r w:rsidRPr="00A75729">
        <w:t>,</w:t>
      </w:r>
      <w:r w:rsidR="0081097B" w:rsidRPr="00A75729">
        <w:t xml:space="preserve"> </w:t>
      </w:r>
      <w:r w:rsidR="00672502" w:rsidRPr="00A75729">
        <w:t xml:space="preserve">se previno a las Partes para que </w:t>
      </w:r>
      <w:r w:rsidR="006D70A7" w:rsidRPr="00A75729">
        <w:t xml:space="preserve">en </w:t>
      </w:r>
      <w:r w:rsidR="006161FB" w:rsidRPr="00A75729">
        <w:t xml:space="preserve">un término de </w:t>
      </w:r>
      <w:r w:rsidR="00672502" w:rsidRPr="00A75729">
        <w:t>10 (</w:t>
      </w:r>
      <w:r w:rsidR="006161FB" w:rsidRPr="00A75729">
        <w:t>diez</w:t>
      </w:r>
      <w:r w:rsidR="00672502" w:rsidRPr="00A75729">
        <w:t>)</w:t>
      </w:r>
      <w:r w:rsidR="006161FB" w:rsidRPr="00A75729">
        <w:t xml:space="preserve"> días hábiles presentara</w:t>
      </w:r>
      <w:r w:rsidR="00672502" w:rsidRPr="00A75729">
        <w:t>n</w:t>
      </w:r>
      <w:r w:rsidR="006161FB" w:rsidRPr="00A75729">
        <w:t xml:space="preserve"> diversa información faltante (Acuerdo de Prevención).</w:t>
      </w:r>
    </w:p>
    <w:p w:rsidR="00E5316B" w:rsidRPr="00A75729" w:rsidRDefault="00E5316B" w:rsidP="00E50770">
      <w:pPr>
        <w:pStyle w:val="Prrafodelista"/>
        <w:numPr>
          <w:ilvl w:val="0"/>
          <w:numId w:val="8"/>
        </w:numPr>
        <w:spacing w:after="120" w:line="276" w:lineRule="auto"/>
        <w:ind w:left="0" w:right="-1"/>
        <w:contextualSpacing w:val="0"/>
      </w:pPr>
      <w:r w:rsidRPr="00A75729">
        <w:t xml:space="preserve">El </w:t>
      </w:r>
      <w:r w:rsidR="00FF372F" w:rsidRPr="00A75729">
        <w:t>30</w:t>
      </w:r>
      <w:r w:rsidR="003E5F2D" w:rsidRPr="00A75729">
        <w:t xml:space="preserve"> de </w:t>
      </w:r>
      <w:r w:rsidR="00A426E8" w:rsidRPr="00A75729">
        <w:t xml:space="preserve">mayo </w:t>
      </w:r>
      <w:r w:rsidR="003E5F2D" w:rsidRPr="00A75729">
        <w:t xml:space="preserve">de </w:t>
      </w:r>
      <w:r w:rsidR="00FF372F" w:rsidRPr="00A75729">
        <w:t>2018</w:t>
      </w:r>
      <w:r w:rsidRPr="00A75729">
        <w:t>, mediante escrito y anexos presentados en la oficialía de partes del Instituto, las Partes entregaron en tiempo y forma la información solicitada en el Acuerdo de Prevención (Escrito de Desahogo de Prevención).</w:t>
      </w:r>
    </w:p>
    <w:p w:rsidR="003E5F2D" w:rsidRPr="00A75729" w:rsidRDefault="00E5316B" w:rsidP="00E50770">
      <w:pPr>
        <w:pStyle w:val="Prrafodelista"/>
        <w:numPr>
          <w:ilvl w:val="0"/>
          <w:numId w:val="8"/>
        </w:numPr>
        <w:spacing w:after="120" w:line="276" w:lineRule="auto"/>
        <w:ind w:left="0" w:right="-1"/>
        <w:contextualSpacing w:val="0"/>
      </w:pPr>
      <w:r w:rsidRPr="00A75729">
        <w:t xml:space="preserve">El </w:t>
      </w:r>
      <w:r w:rsidR="00FF372F" w:rsidRPr="00A75729">
        <w:t>13 de junio de 2018</w:t>
      </w:r>
      <w:r w:rsidRPr="00A75729">
        <w:t>, m</w:t>
      </w:r>
      <w:r w:rsidR="006161FB" w:rsidRPr="00A75729">
        <w:t xml:space="preserve">ediante acuerdo </w:t>
      </w:r>
      <w:r w:rsidR="003E5F2D" w:rsidRPr="00A75729">
        <w:t xml:space="preserve">firmado por la Titular de la </w:t>
      </w:r>
      <w:proofErr w:type="spellStart"/>
      <w:r w:rsidR="003E5F2D" w:rsidRPr="00A75729">
        <w:t>UCE</w:t>
      </w:r>
      <w:proofErr w:type="spellEnd"/>
      <w:r w:rsidR="003E5F2D" w:rsidRPr="00A75729">
        <w:t xml:space="preserve">, </w:t>
      </w:r>
      <w:r w:rsidR="006161FB" w:rsidRPr="00A75729">
        <w:t xml:space="preserve">se </w:t>
      </w:r>
      <w:r w:rsidR="00CB7D1C" w:rsidRPr="00A75729">
        <w:t xml:space="preserve">tuvo por </w:t>
      </w:r>
      <w:r w:rsidR="003E5F2D" w:rsidRPr="00A75729">
        <w:t>d</w:t>
      </w:r>
      <w:r w:rsidR="00CB7D1C" w:rsidRPr="00A75729">
        <w:t>esahogad</w:t>
      </w:r>
      <w:r w:rsidR="003E5F2D" w:rsidRPr="00A75729">
        <w:t>o</w:t>
      </w:r>
      <w:r w:rsidR="00CB7D1C" w:rsidRPr="00A75729">
        <w:t xml:space="preserve"> </w:t>
      </w:r>
      <w:r w:rsidR="003E5F2D" w:rsidRPr="00A75729">
        <w:t>el Acuerdo de P</w:t>
      </w:r>
      <w:r w:rsidR="00CB7D1C" w:rsidRPr="00A75729">
        <w:t xml:space="preserve">revención y se </w:t>
      </w:r>
      <w:r w:rsidR="006161FB" w:rsidRPr="00A75729">
        <w:t xml:space="preserve">turnó el asunto a la </w:t>
      </w:r>
      <w:proofErr w:type="spellStart"/>
      <w:r w:rsidR="006161FB" w:rsidRPr="00A75729">
        <w:t>DGCC</w:t>
      </w:r>
      <w:proofErr w:type="spellEnd"/>
      <w:r w:rsidR="006161FB" w:rsidRPr="00A75729">
        <w:t xml:space="preserve"> para dar el trámite correspondiente en términos de la </w:t>
      </w:r>
      <w:proofErr w:type="spellStart"/>
      <w:r w:rsidR="006161FB" w:rsidRPr="00A75729">
        <w:t>LFPA</w:t>
      </w:r>
      <w:proofErr w:type="spellEnd"/>
      <w:r w:rsidR="006161FB" w:rsidRPr="00A75729">
        <w:t>.</w:t>
      </w:r>
    </w:p>
    <w:p w:rsidR="00D10FE3" w:rsidRPr="00A75729" w:rsidRDefault="00CB7D1C" w:rsidP="00E50770">
      <w:pPr>
        <w:pStyle w:val="Prrafodelista"/>
        <w:spacing w:after="120" w:line="276" w:lineRule="auto"/>
        <w:ind w:left="0" w:right="-1"/>
        <w:contextualSpacing w:val="0"/>
      </w:pPr>
      <w:r w:rsidRPr="00A75729">
        <w:t>De acuerdo con lo anterior</w:t>
      </w:r>
      <w:r w:rsidR="00D10FE3" w:rsidRPr="00A75729">
        <w:t>:</w:t>
      </w:r>
    </w:p>
    <w:p w:rsidR="00D10FE3" w:rsidRPr="00A75729" w:rsidRDefault="003E5F2D" w:rsidP="00E50770">
      <w:pPr>
        <w:pStyle w:val="Prrafodelista"/>
        <w:numPr>
          <w:ilvl w:val="0"/>
          <w:numId w:val="7"/>
        </w:numPr>
        <w:spacing w:after="120" w:line="276" w:lineRule="auto"/>
        <w:ind w:left="426" w:right="-1" w:hanging="425"/>
        <w:contextualSpacing w:val="0"/>
      </w:pPr>
      <w:r w:rsidRPr="00A75729">
        <w:t>E</w:t>
      </w:r>
      <w:r w:rsidR="006161FB" w:rsidRPr="00A75729">
        <w:t xml:space="preserve">l plazo de </w:t>
      </w:r>
      <w:r w:rsidR="00241D9A" w:rsidRPr="00A75729">
        <w:t>3 (</w:t>
      </w:r>
      <w:r w:rsidR="00CE11A2" w:rsidRPr="00A75729">
        <w:t>tres</w:t>
      </w:r>
      <w:r w:rsidR="00241D9A" w:rsidRPr="00A75729">
        <w:t>)</w:t>
      </w:r>
      <w:r w:rsidR="00CE11A2" w:rsidRPr="00A75729">
        <w:t xml:space="preserve"> meses</w:t>
      </w:r>
      <w:r w:rsidR="006161FB" w:rsidRPr="00A75729">
        <w:t xml:space="preserve"> para </w:t>
      </w:r>
      <w:r w:rsidR="00CB7D1C" w:rsidRPr="00A75729">
        <w:t xml:space="preserve">emitir resolución en </w:t>
      </w:r>
      <w:r w:rsidR="006161FB" w:rsidRPr="00A75729">
        <w:t xml:space="preserve">el </w:t>
      </w:r>
      <w:r w:rsidR="00CB7D1C" w:rsidRPr="00A75729">
        <w:t xml:space="preserve">presente </w:t>
      </w:r>
      <w:r w:rsidR="006161FB" w:rsidRPr="00A75729">
        <w:t>procedimiento</w:t>
      </w:r>
      <w:r w:rsidR="00B63280" w:rsidRPr="00A75729">
        <w:t>,</w:t>
      </w:r>
      <w:r w:rsidR="006161FB" w:rsidRPr="00A75729">
        <w:t xml:space="preserve"> </w:t>
      </w:r>
      <w:r w:rsidR="00CB7D1C" w:rsidRPr="00A75729">
        <w:t xml:space="preserve">previsto en el artículo 17 de la </w:t>
      </w:r>
      <w:proofErr w:type="spellStart"/>
      <w:r w:rsidR="00CB7D1C" w:rsidRPr="00A75729">
        <w:t>LFPA</w:t>
      </w:r>
      <w:proofErr w:type="spellEnd"/>
      <w:r w:rsidRPr="00A75729">
        <w:t>,</w:t>
      </w:r>
      <w:r w:rsidR="00CB7D1C" w:rsidRPr="00A75729">
        <w:t xml:space="preserve"> </w:t>
      </w:r>
      <w:r w:rsidR="006161FB" w:rsidRPr="00A75729">
        <w:t xml:space="preserve">inició el </w:t>
      </w:r>
      <w:r w:rsidR="00D50366" w:rsidRPr="00A75729">
        <w:t>20 de abril de 2018</w:t>
      </w:r>
      <w:r w:rsidR="00241D9A" w:rsidRPr="00A75729">
        <w:t>,</w:t>
      </w:r>
      <w:r w:rsidR="00290645" w:rsidRPr="00A75729">
        <w:t xml:space="preserve"> </w:t>
      </w:r>
      <w:r w:rsidR="00A6762B" w:rsidRPr="00A75729">
        <w:t>y</w:t>
      </w:r>
    </w:p>
    <w:p w:rsidR="006161FB" w:rsidRPr="00A75729" w:rsidRDefault="00D50366" w:rsidP="00E50770">
      <w:pPr>
        <w:pStyle w:val="Prrafodelista"/>
        <w:numPr>
          <w:ilvl w:val="0"/>
          <w:numId w:val="7"/>
        </w:numPr>
        <w:spacing w:after="120" w:line="276" w:lineRule="auto"/>
        <w:ind w:left="426" w:hanging="425"/>
        <w:contextualSpacing w:val="0"/>
      </w:pPr>
      <w:r w:rsidRPr="00A75729">
        <w:t>Por virtud de la notificación del Acuerdo de Prevención, dicho plazo fue suspendido el 16 de mayo de 2018, y se reinició el 31 de mayo de 2018, día hábil inmediato posterior a la fecha en la que las Partes desahogaron el Acuerdo de Prevención</w:t>
      </w:r>
      <w:r w:rsidR="006161FB" w:rsidRPr="00A75729">
        <w:t>.</w:t>
      </w:r>
    </w:p>
    <w:p w:rsidR="00241D9A" w:rsidRPr="00A75729" w:rsidRDefault="00241D9A" w:rsidP="00E50770">
      <w:pPr>
        <w:pStyle w:val="Prrafodelista"/>
        <w:numPr>
          <w:ilvl w:val="0"/>
          <w:numId w:val="8"/>
        </w:numPr>
        <w:spacing w:after="120" w:line="276" w:lineRule="auto"/>
        <w:ind w:left="0"/>
        <w:contextualSpacing w:val="0"/>
        <w:rPr>
          <w:b/>
        </w:rPr>
      </w:pPr>
      <w:r w:rsidRPr="00A75729">
        <w:t xml:space="preserve">El </w:t>
      </w:r>
      <w:r w:rsidR="00D6464E" w:rsidRPr="00A75729">
        <w:t>21</w:t>
      </w:r>
      <w:r w:rsidRPr="00A75729">
        <w:t xml:space="preserve"> de </w:t>
      </w:r>
      <w:r w:rsidR="000C24FB" w:rsidRPr="00A75729">
        <w:t>junio</w:t>
      </w:r>
      <w:r w:rsidRPr="00A75729">
        <w:t xml:space="preserve"> de </w:t>
      </w:r>
      <w:r w:rsidR="000C24FB" w:rsidRPr="00A75729">
        <w:t>2018</w:t>
      </w:r>
      <w:r w:rsidRPr="00A75729">
        <w:t xml:space="preserve">, mediante acuerdo firmado por el </w:t>
      </w:r>
      <w:r w:rsidR="00B63280" w:rsidRPr="00A75729">
        <w:t>T</w:t>
      </w:r>
      <w:r w:rsidRPr="00A75729">
        <w:t xml:space="preserve">itular de la </w:t>
      </w:r>
      <w:proofErr w:type="spellStart"/>
      <w:r w:rsidRPr="00A75729">
        <w:t>DGCC</w:t>
      </w:r>
      <w:proofErr w:type="spellEnd"/>
      <w:r w:rsidRPr="00A75729">
        <w:t>,</w:t>
      </w:r>
      <w:r w:rsidR="006161FB" w:rsidRPr="00A75729">
        <w:t xml:space="preserve"> </w:t>
      </w:r>
      <w:r w:rsidRPr="00A75729">
        <w:t>con fundamento en el artículo 56</w:t>
      </w:r>
      <w:r w:rsidR="0028474D" w:rsidRPr="00A75729">
        <w:t>, párrafos primero y segundo,</w:t>
      </w:r>
      <w:r w:rsidRPr="00A75729">
        <w:t xml:space="preserve"> de la </w:t>
      </w:r>
      <w:proofErr w:type="spellStart"/>
      <w:r w:rsidRPr="00A75729">
        <w:t>LFPA</w:t>
      </w:r>
      <w:proofErr w:type="spellEnd"/>
      <w:r w:rsidRPr="00A75729">
        <w:t xml:space="preserve">, </w:t>
      </w:r>
      <w:r w:rsidR="00E94A59" w:rsidRPr="00A75729">
        <w:rPr>
          <w:rFonts w:cs="Helvetica"/>
        </w:rPr>
        <w:t xml:space="preserve">las actuaciones dentro del Expediente </w:t>
      </w:r>
      <w:r w:rsidR="00B63280" w:rsidRPr="00A75729">
        <w:t xml:space="preserve">se </w:t>
      </w:r>
      <w:r w:rsidR="00B63280" w:rsidRPr="00A75729">
        <w:rPr>
          <w:rFonts w:cs="Helvetica"/>
        </w:rPr>
        <w:t xml:space="preserve">pusieron </w:t>
      </w:r>
      <w:r w:rsidR="00E94A59" w:rsidRPr="00A75729">
        <w:rPr>
          <w:rFonts w:cs="Helvetica"/>
        </w:rPr>
        <w:t xml:space="preserve">a disposición de las Partes </w:t>
      </w:r>
      <w:r w:rsidR="00CB7D1C" w:rsidRPr="00A75729">
        <w:rPr>
          <w:rFonts w:cs="Helvetica"/>
        </w:rPr>
        <w:t xml:space="preserve">para que en el término de </w:t>
      </w:r>
      <w:r w:rsidR="00EF43B9" w:rsidRPr="00A75729">
        <w:rPr>
          <w:rFonts w:cs="Helvetica"/>
        </w:rPr>
        <w:t>5</w:t>
      </w:r>
      <w:r w:rsidR="00106F7D" w:rsidRPr="00A75729">
        <w:rPr>
          <w:rFonts w:cs="Helvetica"/>
        </w:rPr>
        <w:t xml:space="preserve"> (</w:t>
      </w:r>
      <w:r w:rsidR="00EF43B9" w:rsidRPr="00A75729">
        <w:rPr>
          <w:rFonts w:cs="Helvetica"/>
        </w:rPr>
        <w:t>cinco</w:t>
      </w:r>
      <w:r w:rsidR="00106F7D" w:rsidRPr="00A75729">
        <w:rPr>
          <w:rFonts w:cs="Helvetica"/>
        </w:rPr>
        <w:t>)</w:t>
      </w:r>
      <w:r w:rsidR="00CB7D1C" w:rsidRPr="00A75729">
        <w:rPr>
          <w:rFonts w:cs="Helvetica"/>
        </w:rPr>
        <w:t xml:space="preserve"> días hábiles</w:t>
      </w:r>
      <w:r w:rsidR="00E94A59" w:rsidRPr="00A75729">
        <w:rPr>
          <w:rFonts w:cs="Helvetica"/>
        </w:rPr>
        <w:t xml:space="preserve"> </w:t>
      </w:r>
      <w:r w:rsidR="00CB7D1C" w:rsidRPr="00A75729">
        <w:rPr>
          <w:rFonts w:cs="Helvetica"/>
        </w:rPr>
        <w:t xml:space="preserve">formularan alegatos </w:t>
      </w:r>
      <w:r w:rsidR="00E94A59" w:rsidRPr="00A75729">
        <w:rPr>
          <w:rFonts w:cs="Helvetica"/>
        </w:rPr>
        <w:t>y manifestaran lo que a su derecho conv</w:t>
      </w:r>
      <w:r w:rsidR="00B63280" w:rsidRPr="00A75729">
        <w:rPr>
          <w:rFonts w:cs="Helvetica"/>
        </w:rPr>
        <w:t>iniera</w:t>
      </w:r>
      <w:r w:rsidR="006161FB" w:rsidRPr="00A75729">
        <w:t>.</w:t>
      </w:r>
    </w:p>
    <w:p w:rsidR="00EA10ED" w:rsidRPr="00A75729" w:rsidRDefault="0028474D" w:rsidP="00E50770">
      <w:pPr>
        <w:pStyle w:val="Prrafodelista"/>
        <w:numPr>
          <w:ilvl w:val="0"/>
          <w:numId w:val="8"/>
        </w:numPr>
        <w:spacing w:after="120" w:line="276" w:lineRule="auto"/>
        <w:ind w:left="0"/>
        <w:contextualSpacing w:val="0"/>
      </w:pPr>
      <w:r w:rsidRPr="00A75729">
        <w:t xml:space="preserve">El </w:t>
      </w:r>
      <w:r w:rsidR="00DE021B" w:rsidRPr="00A75729">
        <w:t>27</w:t>
      </w:r>
      <w:r w:rsidRPr="00A75729">
        <w:t xml:space="preserve"> de </w:t>
      </w:r>
      <w:r w:rsidR="000C24FB" w:rsidRPr="00A75729">
        <w:t>ju</w:t>
      </w:r>
      <w:r w:rsidR="00DE021B" w:rsidRPr="00A75729">
        <w:t>n</w:t>
      </w:r>
      <w:r w:rsidR="000C24FB" w:rsidRPr="00A75729">
        <w:t>io</w:t>
      </w:r>
      <w:r w:rsidRPr="00A75729">
        <w:t xml:space="preserve"> de </w:t>
      </w:r>
      <w:r w:rsidR="000C24FB" w:rsidRPr="00A75729">
        <w:t>2018</w:t>
      </w:r>
      <w:r w:rsidRPr="00A75729">
        <w:t xml:space="preserve">, mediante escrito presentado en la oficialía de partes del Instituto, las Partes </w:t>
      </w:r>
      <w:r w:rsidR="00DE021B" w:rsidRPr="00A75729">
        <w:t>señalaron que “</w:t>
      </w:r>
      <w:r w:rsidR="00DE021B" w:rsidRPr="00A75729">
        <w:rPr>
          <w:i/>
        </w:rPr>
        <w:t>no existen mayores alegatos a formularse en esta instancia</w:t>
      </w:r>
      <w:r w:rsidR="00DE021B" w:rsidRPr="00A75729">
        <w:t xml:space="preserve">”. El escrito </w:t>
      </w:r>
      <w:r w:rsidR="008F0774" w:rsidRPr="00A75729">
        <w:t>se anex</w:t>
      </w:r>
      <w:r w:rsidR="00DE021B" w:rsidRPr="00A75729">
        <w:t>ó</w:t>
      </w:r>
      <w:r w:rsidR="008F0774" w:rsidRPr="00A75729">
        <w:t xml:space="preserve"> al </w:t>
      </w:r>
      <w:r w:rsidR="00AF7AEF" w:rsidRPr="00A75729">
        <w:t>E</w:t>
      </w:r>
      <w:r w:rsidR="008F0774" w:rsidRPr="00A75729">
        <w:t>xpediente</w:t>
      </w:r>
      <w:r w:rsidR="00EB42A3" w:rsidRPr="00A75729">
        <w:t xml:space="preserve"> en que se actúa</w:t>
      </w:r>
      <w:r w:rsidR="00AF7AEF" w:rsidRPr="00A75729">
        <w:t xml:space="preserve"> y se tom</w:t>
      </w:r>
      <w:r w:rsidR="00DE021B" w:rsidRPr="00A75729">
        <w:t>ó</w:t>
      </w:r>
      <w:r w:rsidR="00AF7AEF" w:rsidRPr="00A75729">
        <w:t xml:space="preserve"> en cuenta para la emisión de la presente resolución</w:t>
      </w:r>
      <w:r w:rsidR="006161FB" w:rsidRPr="00A75729">
        <w:t>.</w:t>
      </w:r>
    </w:p>
    <w:p w:rsidR="006161FB" w:rsidRPr="00A75729" w:rsidRDefault="006161FB" w:rsidP="00D50366">
      <w:pPr>
        <w:pStyle w:val="Ttulo1"/>
        <w:keepLines/>
        <w:spacing w:after="240"/>
        <w:ind w:left="0" w:firstLine="0"/>
        <w:rPr>
          <w:rFonts w:eastAsiaTheme="majorEastAsia" w:cstheme="majorBidi"/>
          <w:bCs w:val="0"/>
          <w:szCs w:val="32"/>
          <w:lang w:val="es-MX" w:eastAsia="en-US"/>
        </w:rPr>
      </w:pPr>
      <w:bookmarkStart w:id="4" w:name="_Toc519100818"/>
      <w:r w:rsidRPr="00A75729">
        <w:rPr>
          <w:rFonts w:eastAsiaTheme="majorEastAsia" w:cstheme="majorBidi"/>
          <w:bCs w:val="0"/>
          <w:szCs w:val="32"/>
          <w:lang w:val="es-MX" w:eastAsia="en-US"/>
        </w:rPr>
        <w:lastRenderedPageBreak/>
        <w:t>CONSIDERAN</w:t>
      </w:r>
      <w:r w:rsidR="001106DD" w:rsidRPr="00A75729">
        <w:rPr>
          <w:rFonts w:eastAsiaTheme="majorEastAsia" w:cstheme="majorBidi"/>
          <w:bCs w:val="0"/>
          <w:szCs w:val="32"/>
          <w:lang w:val="es-MX" w:eastAsia="en-US"/>
        </w:rPr>
        <w:t>DO</w:t>
      </w:r>
      <w:bookmarkEnd w:id="4"/>
    </w:p>
    <w:p w:rsidR="00484E0F" w:rsidRPr="00A75729" w:rsidRDefault="006161FB" w:rsidP="00390B4C">
      <w:pPr>
        <w:pStyle w:val="Ttulo2"/>
        <w:spacing w:after="0"/>
        <w:rPr>
          <w:rFonts w:eastAsia="Times New Roman" w:cstheme="minorBidi"/>
          <w:szCs w:val="26"/>
          <w:lang w:val="es-MX"/>
        </w:rPr>
      </w:pPr>
      <w:bookmarkStart w:id="5" w:name="_Toc519100819"/>
      <w:r w:rsidRPr="00A75729">
        <w:rPr>
          <w:rFonts w:eastAsia="Times New Roman" w:cstheme="minorBidi"/>
          <w:szCs w:val="26"/>
          <w:lang w:val="es-MX"/>
        </w:rPr>
        <w:t>PRIMER</w:t>
      </w:r>
      <w:r w:rsidR="001106DD" w:rsidRPr="00A75729">
        <w:rPr>
          <w:rFonts w:eastAsia="Times New Roman" w:cstheme="minorBidi"/>
          <w:szCs w:val="26"/>
          <w:lang w:val="es-MX"/>
        </w:rPr>
        <w:t>O</w:t>
      </w:r>
      <w:r w:rsidRPr="00A75729">
        <w:rPr>
          <w:rFonts w:eastAsia="Times New Roman" w:cstheme="minorBidi"/>
          <w:szCs w:val="26"/>
          <w:lang w:val="es-MX"/>
        </w:rPr>
        <w:t xml:space="preserve">. </w:t>
      </w:r>
      <w:r w:rsidR="00484E0F" w:rsidRPr="00A75729">
        <w:rPr>
          <w:rFonts w:eastAsia="Times New Roman" w:cstheme="minorBidi"/>
          <w:szCs w:val="26"/>
          <w:lang w:val="es-MX"/>
        </w:rPr>
        <w:t xml:space="preserve">Competencia </w:t>
      </w:r>
      <w:r w:rsidR="000420C6" w:rsidRPr="00A75729">
        <w:rPr>
          <w:rFonts w:eastAsia="Times New Roman" w:cstheme="minorBidi"/>
          <w:szCs w:val="26"/>
          <w:lang w:val="es-MX"/>
        </w:rPr>
        <w:t>del Instituto</w:t>
      </w:r>
      <w:r w:rsidR="00484E0F" w:rsidRPr="00A75729">
        <w:rPr>
          <w:rFonts w:eastAsia="Times New Roman" w:cstheme="minorBidi"/>
          <w:szCs w:val="26"/>
          <w:lang w:val="es-MX"/>
        </w:rPr>
        <w:t xml:space="preserve"> para conocer y resolver</w:t>
      </w:r>
      <w:bookmarkEnd w:id="5"/>
    </w:p>
    <w:p w:rsidR="00EA10ED" w:rsidRPr="00A75729" w:rsidRDefault="00EA10ED" w:rsidP="0023224A">
      <w:pPr>
        <w:ind w:right="-1"/>
      </w:pPr>
      <w:r w:rsidRPr="00A75729">
        <w:t xml:space="preserve">De conformidad con lo dispuesto en </w:t>
      </w:r>
      <w:r w:rsidR="00C069CA" w:rsidRPr="00A75729">
        <w:t>los artículos</w:t>
      </w:r>
      <w:r w:rsidRPr="00A75729">
        <w:t xml:space="preserve"> 28</w:t>
      </w:r>
      <w:r w:rsidR="00EC5E6A" w:rsidRPr="00A75729">
        <w:t xml:space="preserve"> párrafos décimo cuarto a décimo sexto de la </w:t>
      </w:r>
      <w:proofErr w:type="spellStart"/>
      <w:r w:rsidR="00EC5E6A" w:rsidRPr="00A75729">
        <w:t>CPEUM</w:t>
      </w:r>
      <w:proofErr w:type="spellEnd"/>
      <w:r w:rsidR="00C069CA" w:rsidRPr="00A75729">
        <w:t>,</w:t>
      </w:r>
      <w:r w:rsidRPr="00A75729">
        <w:t xml:space="preserve"> 5 párrafo primero de la </w:t>
      </w:r>
      <w:proofErr w:type="spellStart"/>
      <w:r w:rsidRPr="00A75729">
        <w:t>LFCE</w:t>
      </w:r>
      <w:proofErr w:type="spellEnd"/>
      <w:r w:rsidR="0053621E" w:rsidRPr="00A75729">
        <w:t xml:space="preserve"> y 7</w:t>
      </w:r>
      <w:r w:rsidRPr="00A75729">
        <w:t xml:space="preserve"> de la </w:t>
      </w:r>
      <w:proofErr w:type="spellStart"/>
      <w:r w:rsidRPr="00A75729">
        <w:t>LFTR</w:t>
      </w:r>
      <w:proofErr w:type="spellEnd"/>
      <w:r w:rsidRPr="00A75729">
        <w:t>, el Instituto es un órgano autónomo, con personalidad jurídica y patrimonio propio que tiene por objeto el desarrollo eficiente de la radiodifusión y las telecomunicaciones, y para tales efectos tiene a su cargo, la regulación, promoción y supervisión, entre otros, del uso, aprovechamiento y explotación del espectro radioeléctrico</w:t>
      </w:r>
      <w:r w:rsidR="00E94A59" w:rsidRPr="00A75729">
        <w:rPr>
          <w:rFonts w:eastAsia="Times New Roman"/>
          <w:bCs/>
          <w:color w:val="000000"/>
        </w:rPr>
        <w:t xml:space="preserve"> y del acceso a infraestructura pasiva</w:t>
      </w:r>
      <w:r w:rsidR="00AC5D7C" w:rsidRPr="00A75729">
        <w:rPr>
          <w:rFonts w:eastAsia="Times New Roman"/>
          <w:bCs/>
          <w:color w:val="000000"/>
        </w:rPr>
        <w:t xml:space="preserve">. </w:t>
      </w:r>
      <w:r w:rsidR="00AC5D7C" w:rsidRPr="00A75729">
        <w:t>A</w:t>
      </w:r>
      <w:r w:rsidRPr="00A75729">
        <w:t xml:space="preserve">simismo, es la autoridad en materia de competencia económica en los sectores de radiodifusión y telecomunicaciones, </w:t>
      </w:r>
      <w:r w:rsidR="00AC5D7C" w:rsidRPr="00A75729">
        <w:t xml:space="preserve">en los que </w:t>
      </w:r>
      <w:r w:rsidRPr="00A75729">
        <w:t>ejerce en forma exclusiva las facultades que el artículo constitucional citado y las leyes establecen para la Comisión Federal de Competencia Económica.</w:t>
      </w:r>
    </w:p>
    <w:p w:rsidR="006161FB" w:rsidRPr="00A75729" w:rsidRDefault="00C069CA" w:rsidP="00E60446">
      <w:pPr>
        <w:ind w:right="-1"/>
      </w:pPr>
      <w:r w:rsidRPr="00A75729">
        <w:t>E</w:t>
      </w:r>
      <w:r w:rsidR="006161FB" w:rsidRPr="00A75729">
        <w:t xml:space="preserve">l Instituto es </w:t>
      </w:r>
      <w:r w:rsidRPr="00A75729">
        <w:t xml:space="preserve">la autoridad </w:t>
      </w:r>
      <w:r w:rsidR="006161FB" w:rsidRPr="00A75729">
        <w:t xml:space="preserve">competente para conocer y resolver sobre </w:t>
      </w:r>
      <w:r w:rsidR="00747410" w:rsidRPr="00A75729">
        <w:t>el Aviso de Concentración</w:t>
      </w:r>
      <w:r w:rsidR="00497B22" w:rsidRPr="00A75729">
        <w:t>,</w:t>
      </w:r>
      <w:r w:rsidR="00747410" w:rsidRPr="00A75729">
        <w:t xml:space="preserve"> toda vez que </w:t>
      </w:r>
      <w:r w:rsidR="00497B22" w:rsidRPr="00A75729">
        <w:t xml:space="preserve">éste </w:t>
      </w:r>
      <w:r w:rsidR="00747410" w:rsidRPr="00A75729">
        <w:t>fue</w:t>
      </w:r>
      <w:r w:rsidR="006161FB" w:rsidRPr="00A75729">
        <w:t xml:space="preserve"> presentado </w:t>
      </w:r>
      <w:r w:rsidR="003B1926" w:rsidRPr="00A75729">
        <w:t>en términos</w:t>
      </w:r>
      <w:r w:rsidR="006161FB" w:rsidRPr="00A75729">
        <w:t xml:space="preserve"> del </w:t>
      </w:r>
      <w:r w:rsidR="00014D8D" w:rsidRPr="00A75729">
        <w:t xml:space="preserve">Noveno Transitorio </w:t>
      </w:r>
      <w:r w:rsidR="00497B22" w:rsidRPr="00A75729">
        <w:t xml:space="preserve">y la Operación involucra a agentes </w:t>
      </w:r>
      <w:r w:rsidR="00ED1E76" w:rsidRPr="00A75729">
        <w:t xml:space="preserve">y actividades </w:t>
      </w:r>
      <w:r w:rsidR="00497B22" w:rsidRPr="00A75729">
        <w:t xml:space="preserve">económicos que </w:t>
      </w:r>
      <w:r w:rsidR="00ED1E76" w:rsidRPr="00A75729">
        <w:t>pertenecen al</w:t>
      </w:r>
      <w:r w:rsidR="00497B22" w:rsidRPr="00A75729">
        <w:t xml:space="preserve"> sector de </w:t>
      </w:r>
      <w:r w:rsidR="008253E8" w:rsidRPr="00A75729">
        <w:t>radiodifusión</w:t>
      </w:r>
      <w:r w:rsidR="006161FB" w:rsidRPr="00A75729">
        <w:t>.</w:t>
      </w:r>
    </w:p>
    <w:p w:rsidR="00D83435" w:rsidRPr="00A75729" w:rsidRDefault="00ED1E76" w:rsidP="00EC5E6A">
      <w:r w:rsidRPr="00A75729">
        <w:t xml:space="preserve">De conformidad con las constancias que obran en el expediente, </w:t>
      </w:r>
      <w:r w:rsidR="00497B22" w:rsidRPr="00A75729">
        <w:t>las Partes</w:t>
      </w:r>
      <w:r w:rsidRPr="00A75729">
        <w:t xml:space="preserve">: </w:t>
      </w:r>
    </w:p>
    <w:p w:rsidR="00EC5E6A" w:rsidRPr="00A75729" w:rsidRDefault="00FD7664" w:rsidP="006A7D5F">
      <w:pPr>
        <w:pStyle w:val="Prrafodelista"/>
        <w:numPr>
          <w:ilvl w:val="0"/>
          <w:numId w:val="26"/>
        </w:numPr>
        <w:spacing w:after="120" w:line="276" w:lineRule="auto"/>
        <w:ind w:left="567" w:hanging="425"/>
        <w:contextualSpacing w:val="0"/>
      </w:pPr>
      <w:r>
        <w:t>Son t</w:t>
      </w:r>
      <w:r w:rsidR="00497B22" w:rsidRPr="00A75729">
        <w:t xml:space="preserve">itulares de concesiones </w:t>
      </w:r>
      <w:r>
        <w:t xml:space="preserve">para </w:t>
      </w:r>
      <w:r w:rsidR="00ED1E76" w:rsidRPr="00A75729">
        <w:t>la</w:t>
      </w:r>
      <w:r w:rsidR="00497B22" w:rsidRPr="00A75729">
        <w:t xml:space="preserve"> </w:t>
      </w:r>
      <w:r w:rsidR="00996863" w:rsidRPr="00A75729">
        <w:t xml:space="preserve">explotación comercial </w:t>
      </w:r>
      <w:r w:rsidR="00EC5E6A" w:rsidRPr="00A75729">
        <w:t xml:space="preserve">de bandas de </w:t>
      </w:r>
      <w:r w:rsidR="00996863" w:rsidRPr="00A75729">
        <w:t>frecuencias mediante estaciones de radiodifusión sonora</w:t>
      </w:r>
      <w:r w:rsidR="00CE7180" w:rsidRPr="00A75729">
        <w:t>, y</w:t>
      </w:r>
    </w:p>
    <w:p w:rsidR="00497B22" w:rsidRPr="00A75729" w:rsidRDefault="00CE7180" w:rsidP="006A7D5F">
      <w:pPr>
        <w:pStyle w:val="Prrafodelista"/>
        <w:numPr>
          <w:ilvl w:val="0"/>
          <w:numId w:val="26"/>
        </w:numPr>
        <w:spacing w:after="120" w:line="276" w:lineRule="auto"/>
        <w:ind w:left="567" w:hanging="425"/>
        <w:contextualSpacing w:val="0"/>
      </w:pPr>
      <w:r w:rsidRPr="00A75729">
        <w:t>P</w:t>
      </w:r>
      <w:r w:rsidR="00497B22" w:rsidRPr="00A75729">
        <w:t>roveen</w:t>
      </w:r>
      <w:r w:rsidR="00B87C5B" w:rsidRPr="00A75729">
        <w:t>, entre otros,</w:t>
      </w:r>
      <w:r w:rsidR="00497B22" w:rsidRPr="00A75729">
        <w:t xml:space="preserve"> los siguientes servicios en el sector de </w:t>
      </w:r>
      <w:r w:rsidRPr="00A75729">
        <w:t>radiodifusión</w:t>
      </w:r>
      <w:r w:rsidR="00497B22" w:rsidRPr="00A75729">
        <w:t>:</w:t>
      </w:r>
    </w:p>
    <w:p w:rsidR="006D5127" w:rsidRPr="00A75729" w:rsidRDefault="006D5127" w:rsidP="006A7D5F">
      <w:pPr>
        <w:pStyle w:val="Prrafodelista"/>
        <w:numPr>
          <w:ilvl w:val="0"/>
          <w:numId w:val="31"/>
        </w:numPr>
        <w:spacing w:after="120" w:line="276" w:lineRule="auto"/>
        <w:ind w:left="1134" w:hanging="425"/>
        <w:contextualSpacing w:val="0"/>
      </w:pPr>
      <w:r w:rsidRPr="00A75729">
        <w:t xml:space="preserve">Provisión de servicios de </w:t>
      </w:r>
      <w:r w:rsidRPr="00A75729">
        <w:rPr>
          <w:b/>
        </w:rPr>
        <w:t>radiodifusión sonora abierta comercial</w:t>
      </w:r>
      <w:r w:rsidRPr="00A75729">
        <w:t>, y</w:t>
      </w:r>
    </w:p>
    <w:p w:rsidR="006D5127" w:rsidRPr="00A75729" w:rsidRDefault="006D5127" w:rsidP="006A7D5F">
      <w:pPr>
        <w:pStyle w:val="Prrafodelista"/>
        <w:numPr>
          <w:ilvl w:val="0"/>
          <w:numId w:val="31"/>
        </w:numPr>
        <w:spacing w:after="120" w:line="276" w:lineRule="auto"/>
        <w:ind w:left="1134" w:hanging="425"/>
        <w:contextualSpacing w:val="0"/>
      </w:pPr>
      <w:r w:rsidRPr="00A75729">
        <w:t xml:space="preserve">Provisión de servicios de </w:t>
      </w:r>
      <w:r w:rsidRPr="00A75729">
        <w:rPr>
          <w:b/>
        </w:rPr>
        <w:t>televisión ra</w:t>
      </w:r>
      <w:r w:rsidR="007A6BC0" w:rsidRPr="00A75729">
        <w:rPr>
          <w:b/>
        </w:rPr>
        <w:t>diodifundida digital comercial</w:t>
      </w:r>
      <w:r w:rsidR="007A6BC0" w:rsidRPr="00A75729">
        <w:t>.</w:t>
      </w:r>
    </w:p>
    <w:p w:rsidR="006161FB" w:rsidRPr="00A75729" w:rsidRDefault="00497B22" w:rsidP="00CE7180">
      <w:pPr>
        <w:ind w:right="-1"/>
      </w:pPr>
      <w:r w:rsidRPr="00A75729">
        <w:t>En términos de lo anterior</w:t>
      </w:r>
      <w:r w:rsidR="006161FB" w:rsidRPr="00A75729">
        <w:t xml:space="preserve">, el Instituto </w:t>
      </w:r>
      <w:r w:rsidR="00791DED" w:rsidRPr="00A75729">
        <w:t>es competente para conocer</w:t>
      </w:r>
      <w:r w:rsidR="00C069CA" w:rsidRPr="00A75729">
        <w:t xml:space="preserve">, </w:t>
      </w:r>
      <w:r w:rsidR="006161FB" w:rsidRPr="00A75729">
        <w:t>evaluar</w:t>
      </w:r>
      <w:r w:rsidR="00ED1E76" w:rsidRPr="00A75729">
        <w:t xml:space="preserve"> y resolver</w:t>
      </w:r>
      <w:r w:rsidR="00BA257A" w:rsidRPr="00A75729">
        <w:t xml:space="preserve"> dentro del procedimiento en que se actúa</w:t>
      </w:r>
      <w:r w:rsidR="00ED1E76" w:rsidRPr="00A75729">
        <w:t xml:space="preserve"> </w:t>
      </w:r>
      <w:r w:rsidR="00C069CA" w:rsidRPr="00A75729">
        <w:t>—</w:t>
      </w:r>
      <w:r w:rsidR="00ED1E76" w:rsidRPr="00A75729">
        <w:t xml:space="preserve">con base en </w:t>
      </w:r>
      <w:r w:rsidR="006161FB" w:rsidRPr="00A75729">
        <w:t>la información y los documentos aportados por las Partes</w:t>
      </w:r>
      <w:r w:rsidR="00C069CA" w:rsidRPr="00A75729">
        <w:t>—</w:t>
      </w:r>
      <w:r w:rsidR="00B65C6C" w:rsidRPr="00A75729">
        <w:t xml:space="preserve"> </w:t>
      </w:r>
      <w:r w:rsidR="006161FB" w:rsidRPr="00A75729">
        <w:t xml:space="preserve">si la </w:t>
      </w:r>
      <w:r w:rsidR="00791DED" w:rsidRPr="00A75729">
        <w:t xml:space="preserve">Operación </w:t>
      </w:r>
      <w:r w:rsidR="006161FB" w:rsidRPr="00A75729">
        <w:t xml:space="preserve">cumple con los </w:t>
      </w:r>
      <w:r w:rsidRPr="00A75729">
        <w:t>4 (</w:t>
      </w:r>
      <w:r w:rsidR="006161FB" w:rsidRPr="00A75729">
        <w:t>cuatro</w:t>
      </w:r>
      <w:r w:rsidRPr="00A75729">
        <w:t>)</w:t>
      </w:r>
      <w:r w:rsidR="006161FB" w:rsidRPr="00A75729">
        <w:t xml:space="preserve"> requisitos establecidos en los incisos </w:t>
      </w:r>
      <w:r w:rsidR="006161FB" w:rsidRPr="00A75729">
        <w:rPr>
          <w:b/>
        </w:rPr>
        <w:t>a.</w:t>
      </w:r>
      <w:r w:rsidR="006161FB" w:rsidRPr="00A75729">
        <w:t xml:space="preserve"> a </w:t>
      </w:r>
      <w:r w:rsidR="006161FB" w:rsidRPr="00A75729">
        <w:rPr>
          <w:b/>
        </w:rPr>
        <w:t>d.</w:t>
      </w:r>
      <w:r w:rsidR="006161FB" w:rsidRPr="00A75729">
        <w:t xml:space="preserve"> del </w:t>
      </w:r>
      <w:r w:rsidR="00BA257A" w:rsidRPr="00A75729">
        <w:t xml:space="preserve">primer </w:t>
      </w:r>
      <w:r w:rsidR="006161FB" w:rsidRPr="00A75729">
        <w:t xml:space="preserve">párrafo del </w:t>
      </w:r>
      <w:r w:rsidR="00014D8D" w:rsidRPr="00A75729">
        <w:t>Noveno Transitorio</w:t>
      </w:r>
      <w:r w:rsidR="006161FB" w:rsidRPr="00A75729">
        <w:t>.</w:t>
      </w:r>
    </w:p>
    <w:p w:rsidR="00904721" w:rsidRPr="00A75729" w:rsidRDefault="006161FB" w:rsidP="00390B4C">
      <w:pPr>
        <w:pStyle w:val="Ttulo2"/>
        <w:spacing w:after="0"/>
        <w:rPr>
          <w:rFonts w:eastAsia="Times New Roman" w:cstheme="minorBidi"/>
          <w:szCs w:val="26"/>
          <w:lang w:val="es-MX"/>
        </w:rPr>
      </w:pPr>
      <w:bookmarkStart w:id="6" w:name="_Toc519100820"/>
      <w:r w:rsidRPr="00A75729">
        <w:rPr>
          <w:rFonts w:eastAsia="Times New Roman" w:cstheme="minorBidi"/>
          <w:szCs w:val="26"/>
          <w:lang w:val="es-MX"/>
        </w:rPr>
        <w:t>SEGUND</w:t>
      </w:r>
      <w:r w:rsidR="001106DD" w:rsidRPr="00A75729">
        <w:rPr>
          <w:rFonts w:eastAsia="Times New Roman" w:cstheme="minorBidi"/>
          <w:szCs w:val="26"/>
          <w:lang w:val="es-MX"/>
        </w:rPr>
        <w:t>O</w:t>
      </w:r>
      <w:r w:rsidRPr="00A75729">
        <w:rPr>
          <w:rFonts w:eastAsia="Times New Roman" w:cstheme="minorBidi"/>
          <w:szCs w:val="26"/>
          <w:lang w:val="es-MX"/>
        </w:rPr>
        <w:t xml:space="preserve">. </w:t>
      </w:r>
      <w:r w:rsidR="00033161" w:rsidRPr="00A75729">
        <w:rPr>
          <w:rFonts w:eastAsia="Times New Roman" w:cstheme="minorBidi"/>
          <w:szCs w:val="26"/>
          <w:lang w:val="es-MX"/>
        </w:rPr>
        <w:t>Alcances de esta resolución</w:t>
      </w:r>
      <w:bookmarkEnd w:id="6"/>
    </w:p>
    <w:p w:rsidR="006161FB" w:rsidRPr="00BB652D" w:rsidRDefault="00BB652D" w:rsidP="00BB652D">
      <w:pPr>
        <w:pStyle w:val="Ttulo3"/>
        <w:keepLines w:val="0"/>
        <w:spacing w:after="0"/>
        <w:ind w:firstLine="0"/>
      </w:pPr>
      <w:bookmarkStart w:id="7" w:name="_Toc517823894"/>
      <w:bookmarkStart w:id="8" w:name="_Toc517980491"/>
      <w:bookmarkStart w:id="9" w:name="_Toc517980579"/>
      <w:bookmarkStart w:id="10" w:name="_Toc517983590"/>
      <w:bookmarkStart w:id="11" w:name="_Toc518329742"/>
      <w:bookmarkStart w:id="12" w:name="_Toc518923157"/>
      <w:bookmarkStart w:id="13" w:name="_Toc518923223"/>
      <w:bookmarkStart w:id="14" w:name="_Toc518923293"/>
      <w:bookmarkStart w:id="15" w:name="_Toc518925307"/>
      <w:bookmarkStart w:id="16" w:name="_Toc519008623"/>
      <w:bookmarkStart w:id="17" w:name="_Toc519013428"/>
      <w:bookmarkStart w:id="18" w:name="_Toc519100472"/>
      <w:bookmarkStart w:id="19" w:name="_Toc519100821"/>
      <w:bookmarkStart w:id="20" w:name="_Toc517823895"/>
      <w:bookmarkStart w:id="21" w:name="_Toc517980492"/>
      <w:bookmarkStart w:id="22" w:name="_Toc517980580"/>
      <w:bookmarkStart w:id="23" w:name="_Toc517983591"/>
      <w:bookmarkStart w:id="24" w:name="_Toc518329743"/>
      <w:bookmarkStart w:id="25" w:name="_Toc518923158"/>
      <w:bookmarkStart w:id="26" w:name="_Toc518923224"/>
      <w:bookmarkStart w:id="27" w:name="_Toc518923294"/>
      <w:bookmarkStart w:id="28" w:name="_Toc518925308"/>
      <w:bookmarkStart w:id="29" w:name="_Toc519008624"/>
      <w:bookmarkStart w:id="30" w:name="_Toc519013429"/>
      <w:bookmarkStart w:id="31" w:name="_Toc519100473"/>
      <w:bookmarkStart w:id="32" w:name="_Toc519100822"/>
      <w:bookmarkStart w:id="33" w:name="_Toc51910082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BB652D">
        <w:t xml:space="preserve">2.1 </w:t>
      </w:r>
      <w:r w:rsidR="00904721" w:rsidRPr="00BB652D">
        <w:rPr>
          <w:rFonts w:eastAsia="Times New Roman" w:cstheme="minorBidi"/>
          <w:szCs w:val="26"/>
          <w:lang w:val="es-MX"/>
        </w:rPr>
        <w:t>Fundamentación</w:t>
      </w:r>
      <w:bookmarkEnd w:id="33"/>
    </w:p>
    <w:p w:rsidR="00444F18" w:rsidRPr="00A75729" w:rsidRDefault="00B87C5B" w:rsidP="00424CCF">
      <w:pPr>
        <w:shd w:val="clear" w:color="auto" w:fill="FFFFFF"/>
        <w:ind w:right="-1"/>
      </w:pPr>
      <w:r w:rsidRPr="00A75729">
        <w:t>E</w:t>
      </w:r>
      <w:r w:rsidR="006161FB" w:rsidRPr="00A75729">
        <w:t xml:space="preserve">l </w:t>
      </w:r>
      <w:r w:rsidR="0043778B" w:rsidRPr="00A75729">
        <w:t>Noveno Transitorio</w:t>
      </w:r>
      <w:r w:rsidR="00497B22" w:rsidRPr="00A75729">
        <w:t xml:space="preserve"> </w:t>
      </w:r>
      <w:r w:rsidR="003848A6" w:rsidRPr="00A75729">
        <w:t xml:space="preserve">forma parte del régimen </w:t>
      </w:r>
      <w:r w:rsidR="003848A6" w:rsidRPr="00A75729">
        <w:rPr>
          <w:i/>
        </w:rPr>
        <w:t xml:space="preserve">transitorio </w:t>
      </w:r>
      <w:r w:rsidR="003848A6" w:rsidRPr="00A75729">
        <w:t xml:space="preserve">previsto en el </w:t>
      </w:r>
      <w:r w:rsidR="00A87635" w:rsidRPr="00A75729">
        <w:t>D</w:t>
      </w:r>
      <w:r w:rsidR="003848A6" w:rsidRPr="00A75729">
        <w:t>ecreto que expi</w:t>
      </w:r>
      <w:r w:rsidR="00A87635" w:rsidRPr="00A75729">
        <w:t>de</w:t>
      </w:r>
      <w:r w:rsidR="003848A6" w:rsidRPr="00A75729">
        <w:t xml:space="preserve"> la </w:t>
      </w:r>
      <w:proofErr w:type="spellStart"/>
      <w:r w:rsidR="003848A6" w:rsidRPr="00A75729">
        <w:t>LFTR</w:t>
      </w:r>
      <w:proofErr w:type="spellEnd"/>
      <w:r w:rsidR="003848A6" w:rsidRPr="00A75729">
        <w:t xml:space="preserve"> que es aplicable “</w:t>
      </w:r>
      <w:r w:rsidR="003848A6" w:rsidRPr="00A75729">
        <w:rPr>
          <w:i/>
        </w:rPr>
        <w:t xml:space="preserve">en tanto exista un agente económico preponderante en los sectores de telecomunicaciones y radiodifusión”. </w:t>
      </w:r>
      <w:r w:rsidR="003848A6" w:rsidRPr="00A75729">
        <w:t xml:space="preserve">Esta disposición </w:t>
      </w:r>
      <w:r w:rsidR="006161FB" w:rsidRPr="00A75729">
        <w:t xml:space="preserve">prevé </w:t>
      </w:r>
      <w:r w:rsidR="00791DED" w:rsidRPr="00A75729">
        <w:t>2 (</w:t>
      </w:r>
      <w:r w:rsidR="006161FB" w:rsidRPr="00A75729">
        <w:t>dos</w:t>
      </w:r>
      <w:r w:rsidR="00791DED" w:rsidRPr="00A75729">
        <w:t>)</w:t>
      </w:r>
      <w:r w:rsidR="006161FB" w:rsidRPr="00A75729">
        <w:t xml:space="preserve"> </w:t>
      </w:r>
      <w:r w:rsidR="003848A6" w:rsidRPr="00A75729">
        <w:t>procedimientos distintos</w:t>
      </w:r>
      <w:r w:rsidR="006161FB" w:rsidRPr="00A75729">
        <w:t>:</w:t>
      </w:r>
    </w:p>
    <w:p w:rsidR="00A87635" w:rsidRPr="00A75729" w:rsidRDefault="00444F18" w:rsidP="00FB57CD">
      <w:pPr>
        <w:pStyle w:val="Prrafodelista"/>
        <w:numPr>
          <w:ilvl w:val="0"/>
          <w:numId w:val="14"/>
        </w:numPr>
        <w:shd w:val="clear" w:color="auto" w:fill="FFFFFF"/>
        <w:spacing w:after="120" w:line="276" w:lineRule="auto"/>
        <w:ind w:left="426" w:hanging="425"/>
        <w:contextualSpacing w:val="0"/>
      </w:pPr>
      <w:r w:rsidRPr="00A75729">
        <w:lastRenderedPageBreak/>
        <w:t>En los p</w:t>
      </w:r>
      <w:r w:rsidR="009E2A89" w:rsidRPr="00A75729">
        <w:t xml:space="preserve">árrafos primero a cuarto, se refiere a </w:t>
      </w:r>
      <w:r w:rsidR="00641F0F" w:rsidRPr="00A75729">
        <w:rPr>
          <w:b/>
        </w:rPr>
        <w:t xml:space="preserve">un </w:t>
      </w:r>
      <w:r w:rsidR="009E2A89" w:rsidRPr="00A75729">
        <w:rPr>
          <w:b/>
        </w:rPr>
        <w:t>a</w:t>
      </w:r>
      <w:r w:rsidR="00641F0F" w:rsidRPr="00A75729">
        <w:rPr>
          <w:b/>
        </w:rPr>
        <w:t>viso</w:t>
      </w:r>
      <w:r w:rsidR="009E2A89" w:rsidRPr="00A75729">
        <w:rPr>
          <w:b/>
        </w:rPr>
        <w:t xml:space="preserve"> de concentración</w:t>
      </w:r>
      <w:r w:rsidR="009E2A89" w:rsidRPr="00A75729">
        <w:t xml:space="preserve">, el cual no tiene previsto un trámite específico conforme a la </w:t>
      </w:r>
      <w:proofErr w:type="spellStart"/>
      <w:r w:rsidR="009E2A89" w:rsidRPr="00A75729">
        <w:t>LFCE</w:t>
      </w:r>
      <w:proofErr w:type="spellEnd"/>
      <w:r w:rsidR="009E2A89" w:rsidRPr="00A75729">
        <w:t xml:space="preserve"> </w:t>
      </w:r>
      <w:r w:rsidR="00A87635" w:rsidRPr="00A75729">
        <w:t>o</w:t>
      </w:r>
      <w:r w:rsidR="009E2A89" w:rsidRPr="00A75729">
        <w:t xml:space="preserve"> la </w:t>
      </w:r>
      <w:proofErr w:type="spellStart"/>
      <w:r w:rsidR="009E2A89" w:rsidRPr="00A75729">
        <w:t>LFTR</w:t>
      </w:r>
      <w:proofErr w:type="spellEnd"/>
      <w:r w:rsidR="009E2A89" w:rsidRPr="00A75729">
        <w:t xml:space="preserve">, por lo que de conformidad con lo dispuesto en el artículo 6 de la misma </w:t>
      </w:r>
      <w:proofErr w:type="spellStart"/>
      <w:r w:rsidR="009E2A89" w:rsidRPr="00A75729">
        <w:t>LFTR</w:t>
      </w:r>
      <w:proofErr w:type="spellEnd"/>
      <w:r w:rsidR="009E2A89" w:rsidRPr="00A75729">
        <w:t xml:space="preserve">, se tramita conforme a lo dispuesto en la </w:t>
      </w:r>
      <w:proofErr w:type="spellStart"/>
      <w:r w:rsidR="009E2A89" w:rsidRPr="00A75729">
        <w:t>LFPA</w:t>
      </w:r>
      <w:proofErr w:type="spellEnd"/>
      <w:r w:rsidR="00AD2313" w:rsidRPr="00A75729">
        <w:t>.</w:t>
      </w:r>
    </w:p>
    <w:p w:rsidR="00BA257A" w:rsidRPr="00A75729" w:rsidRDefault="00BA257A" w:rsidP="00BA257A">
      <w:pPr>
        <w:shd w:val="clear" w:color="auto" w:fill="FFFFFF"/>
        <w:ind w:left="426"/>
      </w:pPr>
      <w:r w:rsidRPr="00A75729">
        <w:t xml:space="preserve">Son materia de este procedimiento las concentraciones que se realicen entre agentes económicos titulares de concesiones, las cesiones de concesión y los cambios de control que deriven de éstas </w:t>
      </w:r>
      <w:r w:rsidR="000C4969" w:rsidRPr="00A75729">
        <w:t xml:space="preserve">(en adelante asuntos) </w:t>
      </w:r>
      <w:r w:rsidR="00B65C6C" w:rsidRPr="00A75729">
        <w:t>en tanto</w:t>
      </w:r>
      <w:r w:rsidRPr="00A75729">
        <w:t xml:space="preserve"> </w:t>
      </w:r>
      <w:r w:rsidR="00B65C6C" w:rsidRPr="00A75729">
        <w:t xml:space="preserve">cumplan con </w:t>
      </w:r>
      <w:r w:rsidRPr="00A75729">
        <w:t xml:space="preserve">los requisitos previstos en los incisos </w:t>
      </w:r>
      <w:r w:rsidRPr="00A75729">
        <w:rPr>
          <w:b/>
        </w:rPr>
        <w:t xml:space="preserve">a. </w:t>
      </w:r>
      <w:r w:rsidRPr="00A75729">
        <w:t xml:space="preserve">a </w:t>
      </w:r>
      <w:r w:rsidRPr="00A75729">
        <w:rPr>
          <w:b/>
        </w:rPr>
        <w:t xml:space="preserve">d. </w:t>
      </w:r>
      <w:r w:rsidRPr="00A75729">
        <w:t>del primer párrafo de esta disposición —en tanto se encuentre vigente el régimen transitorio referido.</w:t>
      </w:r>
    </w:p>
    <w:p w:rsidR="00A87635" w:rsidRPr="00A75729" w:rsidRDefault="00BA257A" w:rsidP="00A87635">
      <w:pPr>
        <w:pStyle w:val="Prrafodelista"/>
        <w:shd w:val="clear" w:color="auto" w:fill="FFFFFF"/>
        <w:spacing w:after="120" w:line="276" w:lineRule="auto"/>
        <w:ind w:left="426"/>
        <w:contextualSpacing w:val="0"/>
      </w:pPr>
      <w:r w:rsidRPr="00A75729">
        <w:t>En caso que el Pleno del Instituto verifique que se cumple</w:t>
      </w:r>
      <w:r w:rsidR="000C4969" w:rsidRPr="00A75729">
        <w:t xml:space="preserve"> </w:t>
      </w:r>
      <w:r w:rsidR="00FD7664">
        <w:t xml:space="preserve">con </w:t>
      </w:r>
      <w:r w:rsidR="000C4969" w:rsidRPr="00A75729">
        <w:t>la totalidad de</w:t>
      </w:r>
      <w:r w:rsidRPr="00A75729">
        <w:t xml:space="preserve"> esos requisitos, se </w:t>
      </w:r>
      <w:r w:rsidR="00FD7664">
        <w:t>tendría</w:t>
      </w:r>
      <w:r w:rsidR="00FD7664" w:rsidRPr="00A75729">
        <w:t xml:space="preserve"> </w:t>
      </w:r>
      <w:r w:rsidRPr="00A75729">
        <w:t xml:space="preserve">por cumplido el supuesto </w:t>
      </w:r>
      <w:r w:rsidR="000C4969" w:rsidRPr="00A75729">
        <w:t xml:space="preserve">de </w:t>
      </w:r>
      <w:r w:rsidRPr="00A75729">
        <w:t>que</w:t>
      </w:r>
      <w:r w:rsidR="00242777" w:rsidRPr="00A75729">
        <w:t xml:space="preserve"> </w:t>
      </w:r>
      <w:r w:rsidRPr="00A75729">
        <w:t xml:space="preserve">la operación involucrada </w:t>
      </w:r>
      <w:r w:rsidR="00242777" w:rsidRPr="00A75729">
        <w:t xml:space="preserve">en efecto, </w:t>
      </w:r>
      <w:r w:rsidR="009E2A89" w:rsidRPr="00A75729">
        <w:t>no requiere de</w:t>
      </w:r>
      <w:r w:rsidR="00242777" w:rsidRPr="00A75729">
        <w:t xml:space="preserve"> la autorización del Instituto.</w:t>
      </w:r>
      <w:r w:rsidR="000C4969" w:rsidRPr="00A75729">
        <w:t xml:space="preserve"> De lo contrario, no </w:t>
      </w:r>
      <w:r w:rsidR="00FD7664">
        <w:t>s</w:t>
      </w:r>
      <w:r w:rsidR="000C4969" w:rsidRPr="00A75729">
        <w:t xml:space="preserve">e </w:t>
      </w:r>
      <w:r w:rsidR="00FD7664">
        <w:t xml:space="preserve">tendría </w:t>
      </w:r>
      <w:r w:rsidR="000C4969" w:rsidRPr="00A75729">
        <w:t xml:space="preserve">por cumplido ese supuesto y la concentración </w:t>
      </w:r>
      <w:r w:rsidR="00FD7664">
        <w:t xml:space="preserve">requeriría </w:t>
      </w:r>
      <w:r w:rsidR="000C4969" w:rsidRPr="00A75729">
        <w:t xml:space="preserve">de la autorización del Instituto en los términos dispuestos en las leyes aplicables (i.e. </w:t>
      </w:r>
      <w:proofErr w:type="spellStart"/>
      <w:r w:rsidR="000C4969" w:rsidRPr="00A75729">
        <w:t>LFCE</w:t>
      </w:r>
      <w:proofErr w:type="spellEnd"/>
      <w:r w:rsidR="000C4969" w:rsidRPr="00A75729">
        <w:t xml:space="preserve"> o </w:t>
      </w:r>
      <w:proofErr w:type="spellStart"/>
      <w:r w:rsidR="000C4969" w:rsidRPr="00A75729">
        <w:t>LFTR</w:t>
      </w:r>
      <w:proofErr w:type="spellEnd"/>
      <w:r w:rsidR="000C4969" w:rsidRPr="00A75729">
        <w:t>).</w:t>
      </w:r>
    </w:p>
    <w:p w:rsidR="00A87635" w:rsidRPr="00A75729" w:rsidRDefault="009E2A89" w:rsidP="00FB57CD">
      <w:pPr>
        <w:pStyle w:val="Prrafodelista"/>
        <w:numPr>
          <w:ilvl w:val="0"/>
          <w:numId w:val="14"/>
        </w:numPr>
        <w:shd w:val="clear" w:color="auto" w:fill="FFFFFF"/>
        <w:spacing w:after="120" w:line="276" w:lineRule="auto"/>
        <w:ind w:left="426" w:hanging="425"/>
        <w:contextualSpacing w:val="0"/>
      </w:pPr>
      <w:r w:rsidRPr="00A75729">
        <w:t xml:space="preserve">El párrafo </w:t>
      </w:r>
      <w:r w:rsidR="00927109" w:rsidRPr="00A75729">
        <w:t xml:space="preserve">quinto </w:t>
      </w:r>
      <w:r w:rsidRPr="00A75729">
        <w:t xml:space="preserve">prevé </w:t>
      </w:r>
      <w:r w:rsidR="00641F0F" w:rsidRPr="00A75729">
        <w:rPr>
          <w:b/>
        </w:rPr>
        <w:t>una Investigación</w:t>
      </w:r>
      <w:r w:rsidRPr="00A75729">
        <w:rPr>
          <w:b/>
        </w:rPr>
        <w:t xml:space="preserve"> </w:t>
      </w:r>
      <w:r w:rsidRPr="00A75729">
        <w:t xml:space="preserve">de </w:t>
      </w:r>
      <w:r w:rsidR="000C4969" w:rsidRPr="00A75729">
        <w:t>los asuntos en los que el</w:t>
      </w:r>
      <w:r w:rsidR="00E25CC5" w:rsidRPr="00A75729">
        <w:t xml:space="preserve"> Pleno del Instituto haya resuelto favorablemente el </w:t>
      </w:r>
      <w:r w:rsidR="00242777" w:rsidRPr="00A75729">
        <w:t>aviso de concentración</w:t>
      </w:r>
      <w:r w:rsidR="000C4969" w:rsidRPr="00A75729">
        <w:t xml:space="preserve">. Esta </w:t>
      </w:r>
      <w:r w:rsidR="00A87635" w:rsidRPr="00A75729">
        <w:t>Investigación</w:t>
      </w:r>
      <w:r w:rsidR="00242777" w:rsidRPr="00A75729">
        <w:t xml:space="preserve"> se tramita</w:t>
      </w:r>
      <w:r w:rsidR="00641F0F" w:rsidRPr="00A75729">
        <w:t xml:space="preserve"> </w:t>
      </w:r>
      <w:r w:rsidR="00A87635" w:rsidRPr="00A75729">
        <w:t xml:space="preserve">en términos de la </w:t>
      </w:r>
      <w:proofErr w:type="spellStart"/>
      <w:r w:rsidR="00A87635" w:rsidRPr="00A75729">
        <w:t>LFCE</w:t>
      </w:r>
      <w:proofErr w:type="spellEnd"/>
      <w:r w:rsidR="00A87635" w:rsidRPr="00A75729">
        <w:t xml:space="preserve"> y se </w:t>
      </w:r>
      <w:r w:rsidR="00242777" w:rsidRPr="00A75729">
        <w:t>aboca a determinar si existe “</w:t>
      </w:r>
      <w:r w:rsidR="00242777" w:rsidRPr="00A75729">
        <w:rPr>
          <w:i/>
        </w:rPr>
        <w:t>poder sustancial en el mercado de redes de telecomunicaciones que presten servicios de voz, datos o video o en el de radio y televisión</w:t>
      </w:r>
      <w:r w:rsidR="00242777" w:rsidRPr="00A75729">
        <w:t>”, según sea el caso.</w:t>
      </w:r>
    </w:p>
    <w:p w:rsidR="00A87635" w:rsidRPr="00A75729" w:rsidRDefault="00242777" w:rsidP="00A87635">
      <w:pPr>
        <w:pStyle w:val="Prrafodelista"/>
        <w:shd w:val="clear" w:color="auto" w:fill="FFFFFF"/>
        <w:spacing w:after="120" w:line="276" w:lineRule="auto"/>
        <w:ind w:left="426"/>
        <w:contextualSpacing w:val="0"/>
      </w:pPr>
      <w:r w:rsidRPr="00A75729">
        <w:t xml:space="preserve">En caso </w:t>
      </w:r>
      <w:r w:rsidR="00FD7664">
        <w:t xml:space="preserve">de </w:t>
      </w:r>
      <w:r w:rsidR="00FD7664" w:rsidRPr="00A75729">
        <w:t>que</w:t>
      </w:r>
      <w:r w:rsidR="00FD7664">
        <w:t>,</w:t>
      </w:r>
      <w:r w:rsidR="00FD7664" w:rsidRPr="00A75729">
        <w:t xml:space="preserve"> </w:t>
      </w:r>
      <w:r w:rsidR="00FD7664">
        <w:t>derivado</w:t>
      </w:r>
      <w:r w:rsidR="00FD7664" w:rsidRPr="00A75729">
        <w:t xml:space="preserve"> </w:t>
      </w:r>
      <w:r w:rsidR="00FD7664">
        <w:t>del procedimiento correspondiente de investigación sobre</w:t>
      </w:r>
      <w:r w:rsidR="00FD7664" w:rsidRPr="00A75729">
        <w:t xml:space="preserve"> esos asuntos</w:t>
      </w:r>
      <w:r w:rsidR="00FD7664">
        <w:t>, se determine</w:t>
      </w:r>
      <w:r w:rsidRPr="00A75729">
        <w:t xml:space="preserve"> la existencia de poder sustancial, el Instituto podrá imponer las medidas necesarias para proteger y fomentar en el mercado correspondiente la libre competencia y concurrencia, de conformidad con lo dispuesto en la </w:t>
      </w:r>
      <w:proofErr w:type="spellStart"/>
      <w:r w:rsidRPr="00A75729">
        <w:t>LFTR</w:t>
      </w:r>
      <w:proofErr w:type="spellEnd"/>
      <w:r w:rsidRPr="00A75729">
        <w:t xml:space="preserve"> y la </w:t>
      </w:r>
      <w:proofErr w:type="spellStart"/>
      <w:r w:rsidRPr="00A75729">
        <w:t>LFCE</w:t>
      </w:r>
      <w:proofErr w:type="spellEnd"/>
      <w:r w:rsidRPr="00A75729">
        <w:t>, sin perjuicio</w:t>
      </w:r>
      <w:r w:rsidR="00033161" w:rsidRPr="00A75729">
        <w:t xml:space="preserve"> de la </w:t>
      </w:r>
      <w:r w:rsidR="00A87635" w:rsidRPr="00A75729">
        <w:t>operación</w:t>
      </w:r>
      <w:r w:rsidR="00033161" w:rsidRPr="00A75729">
        <w:t xml:space="preserve"> realizada.</w:t>
      </w:r>
      <w:r w:rsidR="00E25CC5" w:rsidRPr="00A75729">
        <w:t xml:space="preserve"> </w:t>
      </w:r>
    </w:p>
    <w:p w:rsidR="00904721" w:rsidRPr="00A75729" w:rsidRDefault="00884007" w:rsidP="00A87635">
      <w:pPr>
        <w:pStyle w:val="Prrafodelista"/>
        <w:shd w:val="clear" w:color="auto" w:fill="FFFFFF"/>
        <w:spacing w:after="120" w:line="276" w:lineRule="auto"/>
        <w:ind w:left="426"/>
        <w:contextualSpacing w:val="0"/>
      </w:pPr>
      <w:r w:rsidRPr="00A75729">
        <w:t>Finalmente</w:t>
      </w:r>
      <w:r w:rsidR="00904721" w:rsidRPr="00A75729">
        <w:t xml:space="preserve">, el </w:t>
      </w:r>
      <w:r w:rsidR="00E25CC5" w:rsidRPr="00A75729">
        <w:t>párrafo sexto del Noveno Transitorio</w:t>
      </w:r>
      <w:r w:rsidR="00904721" w:rsidRPr="00A75729">
        <w:t xml:space="preserve"> dispone que las </w:t>
      </w:r>
      <w:r w:rsidR="00E25CC5" w:rsidRPr="00A75729">
        <w:t xml:space="preserve">medidas </w:t>
      </w:r>
      <w:r w:rsidR="00904721" w:rsidRPr="00A75729">
        <w:t xml:space="preserve">que en su caso se impongan, </w:t>
      </w:r>
      <w:r w:rsidR="00E25CC5" w:rsidRPr="00A75729">
        <w:t xml:space="preserve">se extinguirán </w:t>
      </w:r>
      <w:r w:rsidR="00904721" w:rsidRPr="00A75729">
        <w:t>una vez que se autorice a los agentes económicos preponderantes la prestación de los servicios adicionales.</w:t>
      </w:r>
    </w:p>
    <w:p w:rsidR="003D5EB4" w:rsidRPr="00A75729" w:rsidRDefault="00641F0F" w:rsidP="00424CCF">
      <w:pPr>
        <w:shd w:val="clear" w:color="auto" w:fill="FFFFFF"/>
      </w:pPr>
      <w:r w:rsidRPr="00A75729">
        <w:t>E</w:t>
      </w:r>
      <w:r w:rsidR="000C4969" w:rsidRPr="00A75729">
        <w:t>l asunto que se tramita en el E</w:t>
      </w:r>
      <w:r w:rsidRPr="00A75729">
        <w:t xml:space="preserve">xpediente </w:t>
      </w:r>
      <w:r w:rsidR="00904721" w:rsidRPr="00A75729">
        <w:t>corresponde</w:t>
      </w:r>
      <w:r w:rsidRPr="00A75729">
        <w:t xml:space="preserve"> </w:t>
      </w:r>
      <w:r w:rsidR="00904721" w:rsidRPr="00A75729">
        <w:t xml:space="preserve">a un </w:t>
      </w:r>
      <w:r w:rsidR="00904721" w:rsidRPr="00A75729">
        <w:rPr>
          <w:b/>
        </w:rPr>
        <w:t>a</w:t>
      </w:r>
      <w:r w:rsidRPr="00A75729">
        <w:rPr>
          <w:b/>
        </w:rPr>
        <w:t>viso</w:t>
      </w:r>
      <w:r w:rsidR="00904721" w:rsidRPr="00A75729">
        <w:rPr>
          <w:b/>
        </w:rPr>
        <w:t xml:space="preserve"> de concentración</w:t>
      </w:r>
      <w:r w:rsidRPr="00A75729">
        <w:t xml:space="preserve"> previsto en los párrafos primero a cuarto del </w:t>
      </w:r>
      <w:r w:rsidR="0043778B" w:rsidRPr="00A75729">
        <w:t>Noveno Transitorio</w:t>
      </w:r>
      <w:r w:rsidRPr="00A75729">
        <w:t xml:space="preserve">, </w:t>
      </w:r>
      <w:r w:rsidR="003D5EB4" w:rsidRPr="00A75729">
        <w:t>conforme al pro</w:t>
      </w:r>
      <w:r w:rsidR="000C4969" w:rsidRPr="00A75729">
        <w:t xml:space="preserve">cedimiento previsto en la </w:t>
      </w:r>
      <w:proofErr w:type="spellStart"/>
      <w:r w:rsidR="000C4969" w:rsidRPr="00A75729">
        <w:t>LFPA</w:t>
      </w:r>
      <w:proofErr w:type="spellEnd"/>
      <w:r w:rsidR="000C4969" w:rsidRPr="00A75729">
        <w:t xml:space="preserve">, cuyo fin es evaluar y resolver si la Operación cumple la totalidad de los requisitos </w:t>
      </w:r>
      <w:r w:rsidR="000C4969" w:rsidRPr="00A75729">
        <w:rPr>
          <w:b/>
        </w:rPr>
        <w:t>a.</w:t>
      </w:r>
      <w:r w:rsidR="000C4969" w:rsidRPr="00A75729">
        <w:t xml:space="preserve"> a </w:t>
      </w:r>
      <w:r w:rsidR="000C4969" w:rsidRPr="00A75729">
        <w:rPr>
          <w:b/>
        </w:rPr>
        <w:t>d.</w:t>
      </w:r>
      <w:r w:rsidR="000C4969" w:rsidRPr="00A75729">
        <w:t xml:space="preserve"> establecidos en el primer párrafo de esa disposición. </w:t>
      </w:r>
    </w:p>
    <w:p w:rsidR="00641F0F" w:rsidRPr="00BB652D" w:rsidRDefault="00BB652D" w:rsidP="00BB652D">
      <w:pPr>
        <w:pStyle w:val="Ttulo3"/>
        <w:keepLines w:val="0"/>
        <w:spacing w:after="0"/>
        <w:ind w:firstLine="0"/>
        <w:rPr>
          <w:rFonts w:eastAsia="Times New Roman" w:cstheme="minorBidi"/>
          <w:szCs w:val="26"/>
          <w:lang w:val="es-MX"/>
        </w:rPr>
      </w:pPr>
      <w:bookmarkStart w:id="34" w:name="_Toc510429519"/>
      <w:bookmarkStart w:id="35" w:name="_Toc510429520"/>
      <w:bookmarkStart w:id="36" w:name="_Toc519100824"/>
      <w:bookmarkEnd w:id="34"/>
      <w:bookmarkEnd w:id="35"/>
      <w:r w:rsidRPr="00BB652D">
        <w:t xml:space="preserve">2.2 </w:t>
      </w:r>
      <w:r w:rsidR="00904721" w:rsidRPr="00BB652D">
        <w:rPr>
          <w:rFonts w:eastAsia="Times New Roman" w:cstheme="minorBidi"/>
          <w:szCs w:val="26"/>
          <w:lang w:val="es-MX"/>
        </w:rPr>
        <w:t>Procedimiento aplicable al Aviso de Concentración</w:t>
      </w:r>
      <w:bookmarkEnd w:id="36"/>
    </w:p>
    <w:p w:rsidR="003848A6" w:rsidRPr="00A75729" w:rsidRDefault="003848A6" w:rsidP="003848A6">
      <w:pPr>
        <w:shd w:val="clear" w:color="auto" w:fill="FFFFFF"/>
      </w:pPr>
      <w:r w:rsidRPr="00A75729">
        <w:t xml:space="preserve">En este procedimiento corresponde al Pleno del Instituto determinar si —con base en la información y los elementos de convicción que obran en el </w:t>
      </w:r>
      <w:r w:rsidR="00663984" w:rsidRPr="00A75729">
        <w:t>E</w:t>
      </w:r>
      <w:r w:rsidRPr="00A75729">
        <w:t xml:space="preserve">xpediente que fueron aportados por las Partes— se verifica que la Operación cumple con los requisitos establecidos en el párrafo primero del Noveno Transitorio, en términos de lo establecido </w:t>
      </w:r>
      <w:r w:rsidRPr="00A75729">
        <w:lastRenderedPageBreak/>
        <w:t>en los párrafos primero a cuarto de esa disposición, pues sólo tras verificar que las Partes han acreditado tales requisitos es que se puede concluir que la realización de la Operación no requiere de la autorización del Instituto.</w:t>
      </w:r>
    </w:p>
    <w:p w:rsidR="0010520C" w:rsidRPr="00A75729" w:rsidRDefault="0010520C" w:rsidP="0010520C">
      <w:pPr>
        <w:ind w:right="-1"/>
      </w:pPr>
      <w:r w:rsidRPr="00A75729">
        <w:t>Los párrafos primero a cuarto del Noveno Transitorio establecen textualmente lo siguiente:</w:t>
      </w:r>
    </w:p>
    <w:p w:rsidR="0010520C" w:rsidRPr="00A75729" w:rsidRDefault="0010520C" w:rsidP="0010520C">
      <w:pPr>
        <w:ind w:left="567" w:right="-1"/>
        <w:rPr>
          <w:i/>
          <w:sz w:val="20"/>
        </w:rPr>
      </w:pPr>
      <w:r w:rsidRPr="00A75729">
        <w:rPr>
          <w:i/>
          <w:sz w:val="20"/>
        </w:rPr>
        <w:t>“</w:t>
      </w:r>
      <w:r w:rsidRPr="00A75729">
        <w:rPr>
          <w:b/>
          <w:i/>
          <w:sz w:val="20"/>
        </w:rPr>
        <w:t>NOVENO.</w:t>
      </w:r>
      <w:r w:rsidRPr="00A75729">
        <w:rPr>
          <w:i/>
          <w:sz w:val="20"/>
        </w:rPr>
        <w:t xml:space="preserve"> </w:t>
      </w:r>
      <w:r w:rsidRPr="00A75729">
        <w:rPr>
          <w:i/>
          <w:sz w:val="20"/>
          <w:u w:val="single"/>
        </w:rPr>
        <w:t>En tanto exista un agente económico preponderante</w:t>
      </w:r>
      <w:r w:rsidRPr="00A75729">
        <w:rPr>
          <w:i/>
          <w:sz w:val="20"/>
        </w:rPr>
        <w:t xml:space="preserve"> en los sectores de telecomunicaciones y radiodifusión, con el fin de promover la competencia y desarrollar competidores viables en el largo plazo, </w:t>
      </w:r>
      <w:r w:rsidRPr="00A75729">
        <w:rPr>
          <w:i/>
          <w:sz w:val="20"/>
          <w:u w:val="single"/>
        </w:rPr>
        <w:t>no requerirán de autorización</w:t>
      </w:r>
      <w:r w:rsidRPr="00A75729">
        <w:rPr>
          <w:i/>
          <w:sz w:val="20"/>
        </w:rPr>
        <w:t xml:space="preserve"> del Instituto Federal de Telecomunicaciones </w:t>
      </w:r>
      <w:r w:rsidRPr="00A75729">
        <w:rPr>
          <w:i/>
          <w:sz w:val="20"/>
          <w:u w:val="single"/>
        </w:rPr>
        <w:t>las concentraciones</w:t>
      </w:r>
      <w:r w:rsidRPr="00A75729">
        <w:rPr>
          <w:i/>
          <w:sz w:val="20"/>
        </w:rPr>
        <w:t xml:space="preserve"> que se realicen </w:t>
      </w:r>
      <w:r w:rsidRPr="00A75729">
        <w:rPr>
          <w:i/>
          <w:sz w:val="20"/>
          <w:u w:val="single"/>
        </w:rPr>
        <w:t>entre agentes económicos titulares de concesiones</w:t>
      </w:r>
      <w:r w:rsidRPr="00A75729">
        <w:rPr>
          <w:i/>
          <w:sz w:val="20"/>
        </w:rPr>
        <w:t xml:space="preserve">, </w:t>
      </w:r>
      <w:r w:rsidRPr="00A75729">
        <w:rPr>
          <w:i/>
          <w:sz w:val="20"/>
          <w:u w:val="single"/>
        </w:rPr>
        <w:t>ni las cesiones de concesión</w:t>
      </w:r>
      <w:r w:rsidRPr="00A75729">
        <w:rPr>
          <w:i/>
          <w:sz w:val="20"/>
        </w:rPr>
        <w:t xml:space="preserve"> y los cambios de control </w:t>
      </w:r>
      <w:r w:rsidRPr="00A75729">
        <w:rPr>
          <w:i/>
          <w:sz w:val="20"/>
          <w:u w:val="single"/>
        </w:rPr>
        <w:t>que deriven de éstas</w:t>
      </w:r>
      <w:r w:rsidRPr="00A75729">
        <w:rPr>
          <w:i/>
          <w:sz w:val="20"/>
        </w:rPr>
        <w:t xml:space="preserve">, </w:t>
      </w:r>
      <w:r w:rsidRPr="00A75729">
        <w:rPr>
          <w:i/>
          <w:sz w:val="20"/>
          <w:u w:val="single"/>
        </w:rPr>
        <w:t>que reúnan los siguientes requisitos</w:t>
      </w:r>
      <w:r w:rsidRPr="00A75729">
        <w:rPr>
          <w:i/>
          <w:sz w:val="20"/>
        </w:rPr>
        <w:t>:</w:t>
      </w:r>
    </w:p>
    <w:p w:rsidR="0010520C" w:rsidRPr="00A75729" w:rsidRDefault="0010520C" w:rsidP="00FB57CD">
      <w:pPr>
        <w:pStyle w:val="Prrafodelista"/>
        <w:numPr>
          <w:ilvl w:val="0"/>
          <w:numId w:val="1"/>
        </w:numPr>
        <w:spacing w:after="120" w:line="276" w:lineRule="auto"/>
        <w:ind w:left="1440" w:right="-1"/>
        <w:contextualSpacing w:val="0"/>
        <w:rPr>
          <w:i/>
          <w:sz w:val="20"/>
        </w:rPr>
      </w:pPr>
      <w:r w:rsidRPr="00A75729">
        <w:rPr>
          <w:i/>
          <w:sz w:val="20"/>
        </w:rPr>
        <w:t xml:space="preserve">Generen una reducción sectorial del Índice de Dominancia “ID”, siempre que el índice </w:t>
      </w:r>
      <w:proofErr w:type="spellStart"/>
      <w:r w:rsidRPr="00A75729">
        <w:rPr>
          <w:i/>
          <w:sz w:val="20"/>
        </w:rPr>
        <w:t>Hirschman-Herfindahl</w:t>
      </w:r>
      <w:proofErr w:type="spellEnd"/>
      <w:r w:rsidRPr="00A75729">
        <w:rPr>
          <w:i/>
          <w:sz w:val="20"/>
        </w:rPr>
        <w:t xml:space="preserve"> “</w:t>
      </w:r>
      <w:proofErr w:type="spellStart"/>
      <w:r w:rsidRPr="00A75729">
        <w:rPr>
          <w:i/>
          <w:sz w:val="20"/>
        </w:rPr>
        <w:t>IHH</w:t>
      </w:r>
      <w:proofErr w:type="spellEnd"/>
      <w:r w:rsidRPr="00A75729">
        <w:rPr>
          <w:i/>
          <w:sz w:val="20"/>
        </w:rPr>
        <w:t xml:space="preserve">” no se incremente en más de doscientos puntos; </w:t>
      </w:r>
    </w:p>
    <w:p w:rsidR="0010520C" w:rsidRPr="00A75729" w:rsidRDefault="0010520C" w:rsidP="00FB57CD">
      <w:pPr>
        <w:pStyle w:val="Prrafodelista"/>
        <w:numPr>
          <w:ilvl w:val="0"/>
          <w:numId w:val="1"/>
        </w:numPr>
        <w:spacing w:after="120" w:line="276" w:lineRule="auto"/>
        <w:ind w:left="1440" w:right="-1"/>
        <w:contextualSpacing w:val="0"/>
        <w:rPr>
          <w:i/>
          <w:sz w:val="20"/>
        </w:rPr>
      </w:pPr>
      <w:r w:rsidRPr="00A75729">
        <w:rPr>
          <w:i/>
          <w:sz w:val="20"/>
        </w:rPr>
        <w:t xml:space="preserve">Tengan como resultado que el agente económico cuente con un porcentaje de participación sectorial menor al veinte por ciento; </w:t>
      </w:r>
    </w:p>
    <w:p w:rsidR="0010520C" w:rsidRPr="00A75729" w:rsidRDefault="0010520C" w:rsidP="00FB57CD">
      <w:pPr>
        <w:pStyle w:val="Prrafodelista"/>
        <w:numPr>
          <w:ilvl w:val="0"/>
          <w:numId w:val="1"/>
        </w:numPr>
        <w:spacing w:after="120" w:line="276" w:lineRule="auto"/>
        <w:ind w:left="1440" w:right="-1"/>
        <w:contextualSpacing w:val="0"/>
        <w:rPr>
          <w:i/>
          <w:sz w:val="20"/>
        </w:rPr>
      </w:pPr>
      <w:r w:rsidRPr="00A75729">
        <w:rPr>
          <w:i/>
          <w:sz w:val="20"/>
        </w:rPr>
        <w:t xml:space="preserve">Que en dicha concentración no participe el agente económico preponderante en el sector en el que se lleve a cabo la concentración, y </w:t>
      </w:r>
    </w:p>
    <w:p w:rsidR="0010520C" w:rsidRPr="00A75729" w:rsidRDefault="0010520C" w:rsidP="00FB57CD">
      <w:pPr>
        <w:pStyle w:val="Prrafodelista"/>
        <w:numPr>
          <w:ilvl w:val="0"/>
          <w:numId w:val="1"/>
        </w:numPr>
        <w:spacing w:after="120" w:line="276" w:lineRule="auto"/>
        <w:ind w:left="1440" w:right="-1"/>
        <w:contextualSpacing w:val="0"/>
        <w:rPr>
          <w:sz w:val="20"/>
        </w:rPr>
      </w:pPr>
      <w:r w:rsidRPr="00A75729">
        <w:rPr>
          <w:i/>
          <w:sz w:val="20"/>
        </w:rPr>
        <w:t>No tengan como efecto disminuir, dañar o impedir la libre competencia y concurrencia, en el sector que corresponda.</w:t>
      </w:r>
    </w:p>
    <w:p w:rsidR="0010520C" w:rsidRPr="00A75729" w:rsidRDefault="0010520C" w:rsidP="0010520C">
      <w:pPr>
        <w:ind w:left="567" w:right="-1"/>
        <w:rPr>
          <w:i/>
          <w:sz w:val="20"/>
        </w:rPr>
      </w:pPr>
      <w:r w:rsidRPr="00A75729">
        <w:rPr>
          <w:i/>
          <w:sz w:val="20"/>
        </w:rPr>
        <w:t>P</w:t>
      </w:r>
      <w:r w:rsidR="00536557" w:rsidRPr="00A75729">
        <w:rPr>
          <w:i/>
          <w:sz w:val="20"/>
        </w:rPr>
        <w:t xml:space="preserve">or Índice </w:t>
      </w:r>
      <w:proofErr w:type="spellStart"/>
      <w:r w:rsidR="00536557" w:rsidRPr="00A75729">
        <w:rPr>
          <w:i/>
          <w:sz w:val="20"/>
        </w:rPr>
        <w:t>Hirschman-Herfindahl</w:t>
      </w:r>
      <w:proofErr w:type="spellEnd"/>
      <w:r w:rsidR="00536557" w:rsidRPr="00A75729">
        <w:rPr>
          <w:i/>
          <w:sz w:val="20"/>
        </w:rPr>
        <w:t xml:space="preserve"> “</w:t>
      </w:r>
      <w:proofErr w:type="spellStart"/>
      <w:r w:rsidRPr="00A75729">
        <w:rPr>
          <w:i/>
          <w:sz w:val="20"/>
        </w:rPr>
        <w:t>IHH</w:t>
      </w:r>
      <w:proofErr w:type="spellEnd"/>
      <w:r w:rsidR="00536557" w:rsidRPr="00A75729">
        <w:rPr>
          <w:i/>
          <w:sz w:val="20"/>
        </w:rPr>
        <w:t>”</w:t>
      </w:r>
      <w:r w:rsidRPr="00A75729">
        <w:rPr>
          <w:i/>
          <w:sz w:val="20"/>
        </w:rPr>
        <w:t xml:space="preserve"> se entiende la suma de los cuadrados de las </w:t>
      </w:r>
      <w:r w:rsidRPr="00A75729">
        <w:rPr>
          <w:i/>
          <w:sz w:val="20"/>
          <w:u w:val="single"/>
        </w:rPr>
        <w:t>participaciones</w:t>
      </w:r>
      <w:r w:rsidRPr="00A75729">
        <w:rPr>
          <w:i/>
          <w:sz w:val="20"/>
        </w:rPr>
        <w:t xml:space="preserve"> de cada agente económico (</w:t>
      </w:r>
      <w:proofErr w:type="spellStart"/>
      <w:r w:rsidRPr="00A75729">
        <w:rPr>
          <w:i/>
          <w:sz w:val="20"/>
        </w:rPr>
        <w:t>IHH</w:t>
      </w:r>
      <w:proofErr w:type="spellEnd"/>
      <w:r w:rsidRPr="00A75729">
        <w:rPr>
          <w:i/>
          <w:sz w:val="20"/>
        </w:rPr>
        <w:t xml:space="preserve">=∑i </w:t>
      </w:r>
      <w:proofErr w:type="spellStart"/>
      <w:r w:rsidRPr="00A75729">
        <w:rPr>
          <w:i/>
          <w:sz w:val="20"/>
        </w:rPr>
        <w:t>qi2</w:t>
      </w:r>
      <w:proofErr w:type="spellEnd"/>
      <w:r w:rsidRPr="00A75729">
        <w:rPr>
          <w:i/>
          <w:sz w:val="20"/>
        </w:rPr>
        <w:t xml:space="preserve">), en el sector que corresponda, medida para el caso del sector de las telecomunicaciones con base en el indicador de número de suscriptores y usuarios de servicios de telecomunicaciones, y </w:t>
      </w:r>
      <w:r w:rsidRPr="00A75729">
        <w:rPr>
          <w:i/>
          <w:sz w:val="20"/>
          <w:u w:val="single"/>
        </w:rPr>
        <w:t>para el sector de la radiodifusión con base en audiencia</w:t>
      </w:r>
      <w:r w:rsidRPr="00A75729">
        <w:rPr>
          <w:i/>
          <w:sz w:val="20"/>
        </w:rPr>
        <w:t>. Este índice puede tomar valores entre cero y diez mil.</w:t>
      </w:r>
    </w:p>
    <w:p w:rsidR="0010520C" w:rsidRPr="00A75729" w:rsidRDefault="0010520C" w:rsidP="0010520C">
      <w:pPr>
        <w:ind w:left="567" w:right="-1"/>
        <w:rPr>
          <w:i/>
          <w:sz w:val="20"/>
        </w:rPr>
      </w:pPr>
      <w:r w:rsidRPr="00A75729">
        <w:rPr>
          <w:i/>
          <w:sz w:val="20"/>
        </w:rPr>
        <w:t xml:space="preserve">Para calcular el Índice de Dominancia </w:t>
      </w:r>
      <w:r w:rsidR="00551DF7" w:rsidRPr="00A75729">
        <w:rPr>
          <w:i/>
          <w:sz w:val="20"/>
        </w:rPr>
        <w:t>“</w:t>
      </w:r>
      <w:r w:rsidRPr="00A75729">
        <w:rPr>
          <w:i/>
          <w:sz w:val="20"/>
        </w:rPr>
        <w:t>ID</w:t>
      </w:r>
      <w:r w:rsidR="00551DF7" w:rsidRPr="00A75729">
        <w:rPr>
          <w:i/>
          <w:sz w:val="20"/>
        </w:rPr>
        <w:t>”</w:t>
      </w:r>
      <w:r w:rsidRPr="00A75729">
        <w:rPr>
          <w:i/>
          <w:sz w:val="20"/>
        </w:rPr>
        <w:t xml:space="preserve">, se determinará primero la contribución porcentual hi de cada agente económico al índice </w:t>
      </w:r>
      <w:proofErr w:type="spellStart"/>
      <w:r w:rsidRPr="00A75729">
        <w:rPr>
          <w:i/>
          <w:sz w:val="20"/>
        </w:rPr>
        <w:t>IHH</w:t>
      </w:r>
      <w:proofErr w:type="spellEnd"/>
      <w:r w:rsidRPr="00A75729">
        <w:rPr>
          <w:i/>
          <w:sz w:val="20"/>
        </w:rPr>
        <w:t xml:space="preserve"> definido en el párrafo anterior (hi = </w:t>
      </w:r>
      <w:proofErr w:type="spellStart"/>
      <w:r w:rsidRPr="00A75729">
        <w:rPr>
          <w:i/>
          <w:sz w:val="20"/>
        </w:rPr>
        <w:t>100xqi2</w:t>
      </w:r>
      <w:proofErr w:type="spellEnd"/>
      <w:r w:rsidRPr="00A75729">
        <w:rPr>
          <w:i/>
          <w:sz w:val="20"/>
        </w:rPr>
        <w:t>/</w:t>
      </w:r>
      <w:proofErr w:type="spellStart"/>
      <w:r w:rsidRPr="00A75729">
        <w:rPr>
          <w:i/>
          <w:sz w:val="20"/>
        </w:rPr>
        <w:t>IHH</w:t>
      </w:r>
      <w:proofErr w:type="spellEnd"/>
      <w:r w:rsidRPr="00A75729">
        <w:rPr>
          <w:i/>
          <w:sz w:val="20"/>
        </w:rPr>
        <w:t xml:space="preserve">). Después se calculará el valor de ID aplicando la fórmula del </w:t>
      </w:r>
      <w:proofErr w:type="spellStart"/>
      <w:r w:rsidRPr="00A75729">
        <w:rPr>
          <w:i/>
          <w:sz w:val="20"/>
        </w:rPr>
        <w:t>Hirschman-Herfindahl</w:t>
      </w:r>
      <w:proofErr w:type="spellEnd"/>
      <w:r w:rsidRPr="00A75729">
        <w:rPr>
          <w:i/>
          <w:sz w:val="20"/>
        </w:rPr>
        <w:t xml:space="preserve">, pero utilizando ahora las contribuciones hi en vez de las participaciones </w:t>
      </w:r>
      <w:proofErr w:type="spellStart"/>
      <w:r w:rsidRPr="00A75729">
        <w:rPr>
          <w:i/>
          <w:sz w:val="20"/>
        </w:rPr>
        <w:t>qi</w:t>
      </w:r>
      <w:proofErr w:type="spellEnd"/>
      <w:r w:rsidRPr="00A75729">
        <w:rPr>
          <w:i/>
          <w:sz w:val="20"/>
        </w:rPr>
        <w:t xml:space="preserve"> (es decir, ID=∑i </w:t>
      </w:r>
      <w:proofErr w:type="spellStart"/>
      <w:r w:rsidRPr="00A75729">
        <w:rPr>
          <w:i/>
          <w:sz w:val="20"/>
        </w:rPr>
        <w:t>hi2</w:t>
      </w:r>
      <w:proofErr w:type="spellEnd"/>
      <w:r w:rsidRPr="00A75729">
        <w:rPr>
          <w:i/>
          <w:sz w:val="20"/>
        </w:rPr>
        <w:t>). Este índice también varía entre cero y diez mil.</w:t>
      </w:r>
    </w:p>
    <w:p w:rsidR="0010520C" w:rsidRPr="00A75729" w:rsidRDefault="0010520C" w:rsidP="0010520C">
      <w:pPr>
        <w:ind w:left="567" w:right="-1"/>
        <w:rPr>
          <w:sz w:val="20"/>
        </w:rPr>
      </w:pPr>
      <w:r w:rsidRPr="00A75729">
        <w:rPr>
          <w:i/>
          <w:sz w:val="20"/>
        </w:rPr>
        <w:t xml:space="preserve">Los agentes económicos </w:t>
      </w:r>
      <w:r w:rsidRPr="00A75729">
        <w:rPr>
          <w:i/>
          <w:sz w:val="20"/>
          <w:u w:val="single"/>
        </w:rPr>
        <w:t>deberán presentar al Instituto</w:t>
      </w:r>
      <w:r w:rsidRPr="00A75729">
        <w:rPr>
          <w:i/>
          <w:sz w:val="20"/>
        </w:rPr>
        <w:t xml:space="preserve"> Federal de Telecomunicaciones, </w:t>
      </w:r>
      <w:r w:rsidRPr="00A75729">
        <w:rPr>
          <w:i/>
          <w:sz w:val="20"/>
          <w:u w:val="single"/>
        </w:rPr>
        <w:t>dentro de los 10 días siguientes a la concentración, un aviso por escrito</w:t>
      </w:r>
      <w:r w:rsidRPr="00A75729">
        <w:rPr>
          <w:b/>
          <w:i/>
          <w:sz w:val="20"/>
          <w:u w:val="single"/>
        </w:rPr>
        <w:t xml:space="preserve"> </w:t>
      </w:r>
      <w:r w:rsidRPr="00A75729">
        <w:rPr>
          <w:i/>
          <w:sz w:val="20"/>
          <w:u w:val="single"/>
        </w:rPr>
        <w:t>que contendrá</w:t>
      </w:r>
      <w:r w:rsidRPr="00A75729">
        <w:rPr>
          <w:i/>
          <w:sz w:val="20"/>
        </w:rPr>
        <w:t xml:space="preserve"> la información a que se refiere el artículo </w:t>
      </w:r>
      <w:r w:rsidRPr="00A75729">
        <w:rPr>
          <w:i/>
          <w:sz w:val="20"/>
          <w:u w:val="single"/>
        </w:rPr>
        <w:t>89 de la Ley Federal de Competencia Económica</w:t>
      </w:r>
      <w:r w:rsidRPr="00A75729">
        <w:rPr>
          <w:i/>
          <w:sz w:val="20"/>
        </w:rPr>
        <w:t xml:space="preserve"> referida al sector </w:t>
      </w:r>
      <w:proofErr w:type="gramStart"/>
      <w:r w:rsidRPr="00A75729">
        <w:rPr>
          <w:i/>
          <w:sz w:val="20"/>
        </w:rPr>
        <w:t>correspondiente</w:t>
      </w:r>
      <w:proofErr w:type="gramEnd"/>
      <w:r w:rsidRPr="00A75729">
        <w:rPr>
          <w:i/>
          <w:sz w:val="20"/>
        </w:rPr>
        <w:t xml:space="preserve"> </w:t>
      </w:r>
      <w:r w:rsidRPr="00A75729">
        <w:rPr>
          <w:i/>
          <w:sz w:val="20"/>
          <w:u w:val="single"/>
        </w:rPr>
        <w:t>así como los elementos de convicción que demuestren que la concentración cumple con los incisos anteriores</w:t>
      </w:r>
      <w:r w:rsidRPr="00A75729">
        <w:rPr>
          <w:i/>
          <w:sz w:val="20"/>
        </w:rPr>
        <w:t xml:space="preserve">.” </w:t>
      </w:r>
      <w:r w:rsidRPr="00A75729">
        <w:rPr>
          <w:sz w:val="20"/>
        </w:rPr>
        <w:t>(Énfasis añadido).</w:t>
      </w:r>
    </w:p>
    <w:p w:rsidR="003848A6" w:rsidRPr="00A75729" w:rsidRDefault="003848A6" w:rsidP="00E50770">
      <w:pPr>
        <w:keepNext/>
        <w:shd w:val="clear" w:color="auto" w:fill="FFFFFF"/>
      </w:pPr>
      <w:r w:rsidRPr="00A75729">
        <w:lastRenderedPageBreak/>
        <w:t xml:space="preserve">En suma, los </w:t>
      </w:r>
      <w:r w:rsidR="001E592A" w:rsidRPr="00A75729">
        <w:t>requisitos que deben verificarse en este procedimiento son:</w:t>
      </w:r>
    </w:p>
    <w:p w:rsidR="001E592A" w:rsidRPr="00A75729" w:rsidRDefault="001E592A" w:rsidP="00FB57CD">
      <w:pPr>
        <w:pStyle w:val="Prrafodelista"/>
        <w:numPr>
          <w:ilvl w:val="0"/>
          <w:numId w:val="11"/>
        </w:numPr>
        <w:spacing w:after="120" w:line="276" w:lineRule="auto"/>
        <w:ind w:left="426"/>
        <w:contextualSpacing w:val="0"/>
      </w:pPr>
      <w:r w:rsidRPr="00A75729">
        <w:t xml:space="preserve">Que </w:t>
      </w:r>
      <w:r w:rsidR="006A0222" w:rsidRPr="00A75729">
        <w:t>se trate de una concentración</w:t>
      </w:r>
      <w:r w:rsidR="0010520C" w:rsidRPr="00A75729">
        <w:t>,</w:t>
      </w:r>
      <w:r w:rsidR="006A0222" w:rsidRPr="00A75729">
        <w:t xml:space="preserve"> </w:t>
      </w:r>
      <w:r w:rsidR="0010520C" w:rsidRPr="00A75729">
        <w:t xml:space="preserve">cesión de concesión(es) o cambio de control que deriven de esas operaciones, </w:t>
      </w:r>
      <w:r w:rsidR="006A0222" w:rsidRPr="00A75729">
        <w:t>entre agentes económicos titulares de concesiones;</w:t>
      </w:r>
    </w:p>
    <w:p w:rsidR="0010520C" w:rsidRPr="00A75729" w:rsidRDefault="0010520C" w:rsidP="00FB57CD">
      <w:pPr>
        <w:pStyle w:val="Prrafodelista"/>
        <w:numPr>
          <w:ilvl w:val="0"/>
          <w:numId w:val="11"/>
        </w:numPr>
        <w:spacing w:after="120" w:line="276" w:lineRule="auto"/>
        <w:ind w:left="426"/>
        <w:contextualSpacing w:val="0"/>
      </w:pPr>
      <w:r w:rsidRPr="00A75729">
        <w:t>Que los agentes económicos presenten ante el Instituto un aviso por escrito dentro de los 10 (diez) días siguientes a la realización de la concentración, cesión de derechos o cambio de control que derive de esas operaciones, y</w:t>
      </w:r>
    </w:p>
    <w:p w:rsidR="0010520C" w:rsidRPr="00A75729" w:rsidRDefault="0010520C" w:rsidP="00FB57CD">
      <w:pPr>
        <w:pStyle w:val="Prrafodelista"/>
        <w:numPr>
          <w:ilvl w:val="0"/>
          <w:numId w:val="11"/>
        </w:numPr>
        <w:spacing w:after="120" w:line="276" w:lineRule="auto"/>
        <w:ind w:left="426"/>
        <w:contextualSpacing w:val="0"/>
      </w:pPr>
      <w:r w:rsidRPr="00A75729">
        <w:t xml:space="preserve">Que el aviso se acompañe de la información a que se refiere el artículo 89 de la </w:t>
      </w:r>
      <w:proofErr w:type="spellStart"/>
      <w:r w:rsidRPr="00A75729">
        <w:t>LFCE</w:t>
      </w:r>
      <w:proofErr w:type="spellEnd"/>
      <w:r w:rsidRPr="00A75729">
        <w:t xml:space="preserve"> y los elementos de convicción que demuestren que la </w:t>
      </w:r>
      <w:r w:rsidR="00536557" w:rsidRPr="00A75729">
        <w:t>operación</w:t>
      </w:r>
      <w:r w:rsidRPr="00A75729">
        <w:t xml:space="preserve"> cumple con los 4 (cuatro) requisitos señalados en los incisos </w:t>
      </w:r>
      <w:r w:rsidRPr="00A75729">
        <w:rPr>
          <w:b/>
        </w:rPr>
        <w:t>a</w:t>
      </w:r>
      <w:r w:rsidRPr="00A75729">
        <w:t xml:space="preserve">. a </w:t>
      </w:r>
      <w:r w:rsidRPr="00A75729">
        <w:rPr>
          <w:b/>
        </w:rPr>
        <w:t>d</w:t>
      </w:r>
      <w:r w:rsidRPr="00A75729">
        <w:t>. del párrafo primero del artículo de mérito.</w:t>
      </w:r>
    </w:p>
    <w:p w:rsidR="00536557" w:rsidRPr="00A75729" w:rsidRDefault="0010520C" w:rsidP="00053E4A">
      <w:pPr>
        <w:ind w:right="-1"/>
      </w:pPr>
      <w:r w:rsidRPr="00A75729">
        <w:t>E</w:t>
      </w:r>
      <w:r w:rsidR="00A6762B" w:rsidRPr="00A75729">
        <w:t xml:space="preserve">l </w:t>
      </w:r>
      <w:r w:rsidR="0043778B" w:rsidRPr="00A75729">
        <w:t>Noveno Transitorio</w:t>
      </w:r>
      <w:r w:rsidR="00CB7013" w:rsidRPr="00A75729">
        <w:t xml:space="preserve"> </w:t>
      </w:r>
      <w:r w:rsidR="00A6762B" w:rsidRPr="00A75729">
        <w:t xml:space="preserve">establece que las </w:t>
      </w:r>
      <w:r w:rsidR="00536557" w:rsidRPr="00A75729">
        <w:t>operaciones</w:t>
      </w:r>
      <w:r w:rsidR="00A6762B" w:rsidRPr="00A75729">
        <w:t xml:space="preserve"> que cumplan con los requisitos </w:t>
      </w:r>
      <w:r w:rsidR="00927109" w:rsidRPr="00A75729">
        <w:t>señalados</w:t>
      </w:r>
      <w:r w:rsidRPr="00A75729">
        <w:t>: (i)</w:t>
      </w:r>
      <w:r w:rsidR="00A6762B" w:rsidRPr="00A75729">
        <w:t xml:space="preserve"> </w:t>
      </w:r>
      <w:r w:rsidR="00A6762B" w:rsidRPr="00A75729">
        <w:rPr>
          <w:i/>
        </w:rPr>
        <w:t>“</w:t>
      </w:r>
      <w:r w:rsidR="00A6762B" w:rsidRPr="00A75729">
        <w:rPr>
          <w:b/>
          <w:i/>
        </w:rPr>
        <w:t>no requerirán de autorización</w:t>
      </w:r>
      <w:r w:rsidR="00A6762B" w:rsidRPr="00A75729">
        <w:rPr>
          <w:i/>
        </w:rPr>
        <w:t>”</w:t>
      </w:r>
      <w:r w:rsidR="00A6762B" w:rsidRPr="00A75729">
        <w:t xml:space="preserve"> del Instituto para que puedan realizarse</w:t>
      </w:r>
      <w:r w:rsidRPr="00A75729">
        <w:t xml:space="preserve">; y (ii) los </w:t>
      </w:r>
      <w:r w:rsidR="00A6762B" w:rsidRPr="00A75729">
        <w:t xml:space="preserve">agentes económicos pueden realizarla y después deben presentar un </w:t>
      </w:r>
      <w:r w:rsidR="00927109" w:rsidRPr="00A75729">
        <w:t>a</w:t>
      </w:r>
      <w:r w:rsidR="00A6762B" w:rsidRPr="00A75729">
        <w:t>viso.</w:t>
      </w:r>
      <w:r w:rsidR="00053E4A" w:rsidRPr="00A75729">
        <w:t xml:space="preserve"> </w:t>
      </w:r>
      <w:r w:rsidR="00A6762B" w:rsidRPr="00A75729">
        <w:t xml:space="preserve">Esto es, el artículo mencionado establece un caso de excepción al régimen general de </w:t>
      </w:r>
      <w:r w:rsidR="00536557" w:rsidRPr="00A75729">
        <w:t xml:space="preserve">notificaciones </w:t>
      </w:r>
      <w:r w:rsidR="00A6762B" w:rsidRPr="00A75729">
        <w:rPr>
          <w:i/>
        </w:rPr>
        <w:t xml:space="preserve">ex ante </w:t>
      </w:r>
      <w:r w:rsidR="00A6762B" w:rsidRPr="00A75729">
        <w:t xml:space="preserve">(i.e. antes de su realización) </w:t>
      </w:r>
      <w:r w:rsidR="00536557" w:rsidRPr="00A75729">
        <w:t>de</w:t>
      </w:r>
      <w:r w:rsidR="00FD7664">
        <w:t>:</w:t>
      </w:r>
    </w:p>
    <w:p w:rsidR="00536557" w:rsidRPr="00A75729" w:rsidRDefault="00536557" w:rsidP="00587D98">
      <w:pPr>
        <w:pStyle w:val="Prrafodelista"/>
        <w:numPr>
          <w:ilvl w:val="0"/>
          <w:numId w:val="27"/>
        </w:numPr>
        <w:spacing w:after="120" w:line="276" w:lineRule="auto"/>
        <w:ind w:left="426"/>
        <w:contextualSpacing w:val="0"/>
      </w:pPr>
      <w:r w:rsidRPr="00A75729">
        <w:t xml:space="preserve">Concentraciones, cuyo procedimiento está </w:t>
      </w:r>
      <w:r w:rsidR="00A6762B" w:rsidRPr="00A75729">
        <w:t xml:space="preserve">establecido en </w:t>
      </w:r>
      <w:r w:rsidRPr="00A75729">
        <w:t>los artículos 86, 89 y 90 o 92 de l</w:t>
      </w:r>
      <w:r w:rsidR="00A6762B" w:rsidRPr="00A75729">
        <w:t xml:space="preserve">a </w:t>
      </w:r>
      <w:proofErr w:type="spellStart"/>
      <w:r w:rsidR="00A6762B" w:rsidRPr="00A75729">
        <w:t>LFCE</w:t>
      </w:r>
      <w:proofErr w:type="spellEnd"/>
      <w:r w:rsidRPr="00A75729">
        <w:t>;</w:t>
      </w:r>
    </w:p>
    <w:p w:rsidR="00536557" w:rsidRPr="00A75729" w:rsidRDefault="00536557" w:rsidP="00587D98">
      <w:pPr>
        <w:pStyle w:val="Prrafodelista"/>
        <w:numPr>
          <w:ilvl w:val="0"/>
          <w:numId w:val="27"/>
        </w:numPr>
        <w:spacing w:after="120" w:line="276" w:lineRule="auto"/>
        <w:ind w:left="426"/>
        <w:contextualSpacing w:val="0"/>
      </w:pPr>
      <w:r w:rsidRPr="00A75729">
        <w:t xml:space="preserve">Cesiones de concesiones, cuyo procedimiento está establecido en el artículo 110 de la </w:t>
      </w:r>
      <w:proofErr w:type="spellStart"/>
      <w:r w:rsidRPr="00A75729">
        <w:t>LFTR</w:t>
      </w:r>
      <w:proofErr w:type="spellEnd"/>
      <w:r w:rsidRPr="00A75729">
        <w:t>, y</w:t>
      </w:r>
    </w:p>
    <w:p w:rsidR="00A6762B" w:rsidRPr="00A75729" w:rsidRDefault="00536557" w:rsidP="00587D98">
      <w:pPr>
        <w:pStyle w:val="Prrafodelista"/>
        <w:numPr>
          <w:ilvl w:val="0"/>
          <w:numId w:val="27"/>
        </w:numPr>
        <w:spacing w:after="120" w:line="276" w:lineRule="auto"/>
        <w:ind w:left="426"/>
        <w:contextualSpacing w:val="0"/>
      </w:pPr>
      <w:r w:rsidRPr="00A75729">
        <w:t xml:space="preserve">Cambios de control, cuyo procedimiento está establecido en el artículo 112 de la </w:t>
      </w:r>
      <w:proofErr w:type="spellStart"/>
      <w:r w:rsidRPr="00A75729">
        <w:t>LFTR</w:t>
      </w:r>
      <w:proofErr w:type="spellEnd"/>
      <w:r w:rsidR="00A6762B" w:rsidRPr="00A75729">
        <w:t>.</w:t>
      </w:r>
    </w:p>
    <w:p w:rsidR="00A6762B" w:rsidRPr="00A75729" w:rsidRDefault="00A6762B" w:rsidP="00536557">
      <w:pPr>
        <w:rPr>
          <w:b/>
        </w:rPr>
      </w:pPr>
      <w:r w:rsidRPr="00A75729">
        <w:t xml:space="preserve">Por otra parte, se advierte que el </w:t>
      </w:r>
      <w:r w:rsidR="00053E4A" w:rsidRPr="00A75729">
        <w:t>a</w:t>
      </w:r>
      <w:r w:rsidRPr="00A75729">
        <w:t xml:space="preserve">viso </w:t>
      </w:r>
      <w:r w:rsidR="00053E4A" w:rsidRPr="00A75729">
        <w:t xml:space="preserve">de concentración </w:t>
      </w:r>
      <w:r w:rsidRPr="00A75729">
        <w:t xml:space="preserve">al que se refieren los párrafos primero a cuarto del </w:t>
      </w:r>
      <w:r w:rsidR="0043778B" w:rsidRPr="00A75729">
        <w:t>Noveno Transitorio</w:t>
      </w:r>
      <w:r w:rsidRPr="00A75729">
        <w:t xml:space="preserve">, no tiene previsto un trámite específico conforme a la </w:t>
      </w:r>
      <w:proofErr w:type="spellStart"/>
      <w:r w:rsidRPr="00A75729">
        <w:t>LFTR</w:t>
      </w:r>
      <w:proofErr w:type="spellEnd"/>
      <w:r w:rsidR="00CB7013" w:rsidRPr="00A75729">
        <w:t xml:space="preserve"> o la </w:t>
      </w:r>
      <w:proofErr w:type="spellStart"/>
      <w:r w:rsidR="00CB7013" w:rsidRPr="00A75729">
        <w:t>LFCE</w:t>
      </w:r>
      <w:proofErr w:type="spellEnd"/>
      <w:r w:rsidRPr="00A75729">
        <w:t xml:space="preserve">, por lo que se sitúa en el supuesto establecido en el artículo 6, párrafo </w:t>
      </w:r>
      <w:r w:rsidR="0053621E" w:rsidRPr="00A75729">
        <w:t>último</w:t>
      </w:r>
      <w:r w:rsidRPr="00A75729">
        <w:t xml:space="preserve">, de la </w:t>
      </w:r>
      <w:proofErr w:type="spellStart"/>
      <w:r w:rsidRPr="00A75729">
        <w:t>LFTR</w:t>
      </w:r>
      <w:proofErr w:type="spellEnd"/>
      <w:r w:rsidRPr="00A75729">
        <w:t xml:space="preserve"> y, en consecuencia, </w:t>
      </w:r>
      <w:r w:rsidRPr="00A75729">
        <w:rPr>
          <w:b/>
        </w:rPr>
        <w:t xml:space="preserve">debe tramitarse conforme a lo dispuesto en la </w:t>
      </w:r>
      <w:proofErr w:type="spellStart"/>
      <w:r w:rsidRPr="00A75729">
        <w:rPr>
          <w:b/>
        </w:rPr>
        <w:t>LFPA</w:t>
      </w:r>
      <w:proofErr w:type="spellEnd"/>
      <w:r w:rsidRPr="00A75729">
        <w:rPr>
          <w:b/>
        </w:rPr>
        <w:t>.</w:t>
      </w:r>
    </w:p>
    <w:p w:rsidR="006161FB" w:rsidRPr="00A75729" w:rsidRDefault="006161FB" w:rsidP="0023224A">
      <w:pPr>
        <w:shd w:val="clear" w:color="auto" w:fill="FFFFFF"/>
        <w:ind w:right="-1"/>
      </w:pPr>
      <w:r w:rsidRPr="00A75729">
        <w:t xml:space="preserve">Esto es, el </w:t>
      </w:r>
      <w:r w:rsidR="00A13A2A" w:rsidRPr="00A75729">
        <w:t>a</w:t>
      </w:r>
      <w:r w:rsidRPr="00A75729">
        <w:t xml:space="preserve">viso al que se refieren los párrafos primero a cuarto del </w:t>
      </w:r>
      <w:r w:rsidR="0043778B" w:rsidRPr="00A75729">
        <w:t>Noveno Transitorio</w:t>
      </w:r>
      <w:r w:rsidR="00CB7013" w:rsidRPr="00A75729">
        <w:t xml:space="preserve"> </w:t>
      </w:r>
      <w:r w:rsidRPr="00A75729">
        <w:t>otorga el derecho a los particulares de acogerse a un régimen de excepción</w:t>
      </w:r>
      <w:r w:rsidR="00AB6F83" w:rsidRPr="00A75729">
        <w:t xml:space="preserve"> de notificación de </w:t>
      </w:r>
      <w:r w:rsidR="00A13A2A" w:rsidRPr="00A75729">
        <w:t>operaciones</w:t>
      </w:r>
      <w:r w:rsidR="00AB6F83" w:rsidRPr="00A75729">
        <w:t xml:space="preserve"> al</w:t>
      </w:r>
      <w:r w:rsidRPr="00A75729">
        <w:t xml:space="preserve"> no requerir la autorización del Instituto</w:t>
      </w:r>
      <w:r w:rsidR="00CB7013" w:rsidRPr="00A75729">
        <w:t xml:space="preserve"> para poder realizarlas</w:t>
      </w:r>
      <w:r w:rsidR="00AB6F83" w:rsidRPr="00A75729">
        <w:t>; no obstante</w:t>
      </w:r>
      <w:r w:rsidRPr="00A75729">
        <w:t xml:space="preserve">, tal derecho está sujeto a que el Instituto verifique si los agentes económicos </w:t>
      </w:r>
      <w:r w:rsidR="00AB6F83" w:rsidRPr="00A75729">
        <w:t xml:space="preserve">que </w:t>
      </w:r>
      <w:r w:rsidRPr="00A75729">
        <w:t>part</w:t>
      </w:r>
      <w:r w:rsidR="00AB6F83" w:rsidRPr="00A75729">
        <w:t>icipan</w:t>
      </w:r>
      <w:r w:rsidRPr="00A75729">
        <w:t xml:space="preserve"> en </w:t>
      </w:r>
      <w:r w:rsidR="00A13A2A" w:rsidRPr="00A75729">
        <w:t>ellas</w:t>
      </w:r>
      <w:r w:rsidRPr="00A75729">
        <w:t xml:space="preserve"> acreditan o no el cumplimiento de los requisitos específicos establecidos en </w:t>
      </w:r>
      <w:r w:rsidR="00405461" w:rsidRPr="00A75729">
        <w:t>esa</w:t>
      </w:r>
      <w:r w:rsidRPr="00A75729">
        <w:t xml:space="preserve"> disposici</w:t>
      </w:r>
      <w:r w:rsidR="00405461" w:rsidRPr="00A75729">
        <w:t>ón</w:t>
      </w:r>
      <w:r w:rsidRPr="00A75729">
        <w:t xml:space="preserve"> legal.</w:t>
      </w:r>
    </w:p>
    <w:p w:rsidR="006161FB" w:rsidRPr="00A75729" w:rsidRDefault="00AB6F83" w:rsidP="0023224A">
      <w:pPr>
        <w:ind w:right="-1"/>
        <w:rPr>
          <w:lang w:val="es-MX"/>
        </w:rPr>
      </w:pPr>
      <w:r w:rsidRPr="00A75729">
        <w:t xml:space="preserve">Lo anterior </w:t>
      </w:r>
      <w:r w:rsidR="006161FB" w:rsidRPr="00A75729">
        <w:t>quedó de manifiesto en el</w:t>
      </w:r>
      <w:r w:rsidR="006D5127" w:rsidRPr="00A75729">
        <w:t xml:space="preserve"> </w:t>
      </w:r>
      <w:r w:rsidR="006161FB" w:rsidRPr="00A75729">
        <w:rPr>
          <w:lang w:val="es-MX"/>
        </w:rPr>
        <w:t xml:space="preserve">Dictamen de la Cámara de Senadores </w:t>
      </w:r>
      <w:r w:rsidR="00E6125F" w:rsidRPr="00A75729">
        <w:rPr>
          <w:lang w:val="es-MX"/>
        </w:rPr>
        <w:t>relativo a la</w:t>
      </w:r>
      <w:r w:rsidR="006161FB" w:rsidRPr="00A75729">
        <w:rPr>
          <w:lang w:val="es-MX"/>
        </w:rPr>
        <w:t xml:space="preserve"> </w:t>
      </w:r>
      <w:proofErr w:type="spellStart"/>
      <w:r w:rsidR="006161FB" w:rsidRPr="00A75729">
        <w:rPr>
          <w:lang w:val="es-MX"/>
        </w:rPr>
        <w:t>LFTR</w:t>
      </w:r>
      <w:proofErr w:type="spellEnd"/>
      <w:r w:rsidR="006161FB" w:rsidRPr="00A75729">
        <w:rPr>
          <w:lang w:val="es-MX"/>
        </w:rPr>
        <w:t>, en el cual se establece que:</w:t>
      </w:r>
    </w:p>
    <w:p w:rsidR="006161FB" w:rsidRPr="00A75729" w:rsidRDefault="00A13A2A" w:rsidP="0023224A">
      <w:pPr>
        <w:ind w:left="567" w:right="-1"/>
        <w:rPr>
          <w:i/>
          <w:sz w:val="20"/>
          <w:lang w:val="es-MX"/>
        </w:rPr>
      </w:pPr>
      <w:r w:rsidRPr="00A75729">
        <w:rPr>
          <w:i/>
          <w:sz w:val="20"/>
          <w:lang w:val="es-MX"/>
        </w:rPr>
        <w:lastRenderedPageBreak/>
        <w:t>“</w:t>
      </w:r>
      <w:r w:rsidR="006161FB" w:rsidRPr="00A75729">
        <w:rPr>
          <w:i/>
          <w:sz w:val="20"/>
          <w:lang w:val="es-MX"/>
        </w:rPr>
        <w:t xml:space="preserve">Teniendo en cuenta que </w:t>
      </w:r>
      <w:r w:rsidR="006161FB" w:rsidRPr="00A75729">
        <w:rPr>
          <w:i/>
          <w:sz w:val="20"/>
          <w:u w:val="single"/>
          <w:lang w:val="es-MX"/>
        </w:rPr>
        <w:t>el objetivo principal</w:t>
      </w:r>
      <w:r w:rsidR="006161FB" w:rsidRPr="00A75729">
        <w:rPr>
          <w:i/>
          <w:sz w:val="20"/>
          <w:lang w:val="es-MX"/>
        </w:rPr>
        <w:t xml:space="preserve"> de la (sic) Decreto de Reforma Constitucional en materia de telecomunicaciones</w:t>
      </w:r>
      <w:r w:rsidR="006161FB" w:rsidRPr="00A75729">
        <w:rPr>
          <w:i/>
          <w:sz w:val="20"/>
          <w:u w:val="single"/>
          <w:lang w:val="es-MX"/>
        </w:rPr>
        <w:t xml:space="preserve"> es aumentar la competencia económica en el sector</w:t>
      </w:r>
      <w:r w:rsidR="006161FB" w:rsidRPr="00A75729">
        <w:rPr>
          <w:i/>
          <w:sz w:val="20"/>
          <w:lang w:val="es-MX"/>
        </w:rPr>
        <w:t xml:space="preserve">. Estas Comisiones Dictaminadoras establecen en el artículo transitorio Noveno en el que se especifican los casos en que, </w:t>
      </w:r>
      <w:r w:rsidR="006161FB" w:rsidRPr="00A75729">
        <w:rPr>
          <w:i/>
          <w:sz w:val="20"/>
          <w:u w:val="single"/>
          <w:lang w:val="es-MX"/>
        </w:rPr>
        <w:t>con el fin de promover la competencia y desarrollar competidores viables en el largo plazo, y siempre que se observen determinados requisitos no se requerirá de autorización del Instituto Federal de Telecomunicaciones para llevar a cabo una concentración</w:t>
      </w:r>
      <w:r w:rsidR="006161FB" w:rsidRPr="00A75729">
        <w:rPr>
          <w:i/>
          <w:sz w:val="20"/>
          <w:lang w:val="es-MX"/>
        </w:rPr>
        <w:t>, hasta en tanto exista un agente económico preponderante en los sectores de telecomunicaciones y radiodifusión.”</w:t>
      </w:r>
      <w:r w:rsidR="00CA2680" w:rsidRPr="00A75729">
        <w:rPr>
          <w:i/>
          <w:sz w:val="20"/>
          <w:lang w:val="es-MX"/>
        </w:rPr>
        <w:t xml:space="preserve"> </w:t>
      </w:r>
      <w:r w:rsidR="00AB6F83" w:rsidRPr="00A75729">
        <w:rPr>
          <w:sz w:val="20"/>
          <w:lang w:val="es-MX"/>
        </w:rPr>
        <w:t>[Énfasis añadido]</w:t>
      </w:r>
    </w:p>
    <w:p w:rsidR="006161FB" w:rsidRDefault="006161FB" w:rsidP="0023224A">
      <w:pPr>
        <w:ind w:right="-1"/>
      </w:pPr>
      <w:r w:rsidRPr="00A75729">
        <w:t>Así, conforme a lo señalado en l</w:t>
      </w:r>
      <w:r w:rsidR="001106DD" w:rsidRPr="00A75729">
        <w:t>o</w:t>
      </w:r>
      <w:r w:rsidRPr="00A75729">
        <w:t>s Consideran</w:t>
      </w:r>
      <w:r w:rsidR="001106DD" w:rsidRPr="00A75729">
        <w:t>dos</w:t>
      </w:r>
      <w:r w:rsidRPr="00A75729">
        <w:t xml:space="preserve"> Primer</w:t>
      </w:r>
      <w:r w:rsidR="001106DD" w:rsidRPr="00A75729">
        <w:t>o</w:t>
      </w:r>
      <w:r w:rsidRPr="00A75729">
        <w:t xml:space="preserve"> y Segund</w:t>
      </w:r>
      <w:r w:rsidR="001106DD" w:rsidRPr="00A75729">
        <w:t>o</w:t>
      </w:r>
      <w:r w:rsidRPr="00A75729">
        <w:rPr>
          <w:smallCaps/>
        </w:rPr>
        <w:t xml:space="preserve"> </w:t>
      </w:r>
      <w:r w:rsidR="00CB7013" w:rsidRPr="00A75729">
        <w:t>de la presente r</w:t>
      </w:r>
      <w:r w:rsidRPr="00A75729">
        <w:t xml:space="preserve">esolución, las actuaciones de este Instituto </w:t>
      </w:r>
      <w:r w:rsidR="00CB7013" w:rsidRPr="00A75729">
        <w:t xml:space="preserve">dentro del presente procedimiento </w:t>
      </w:r>
      <w:r w:rsidRPr="00A75729">
        <w:t xml:space="preserve">se fundamentan en los artículos </w:t>
      </w:r>
      <w:r w:rsidR="00CB7013" w:rsidRPr="00A75729">
        <w:t xml:space="preserve">28 párrafos décimo sexto y décimo séptimo de la </w:t>
      </w:r>
      <w:proofErr w:type="spellStart"/>
      <w:r w:rsidR="00CB7013" w:rsidRPr="00A75729">
        <w:t>CPEUM</w:t>
      </w:r>
      <w:proofErr w:type="spellEnd"/>
      <w:r w:rsidRPr="00A75729">
        <w:t>; Noveno Transitorio párrafos primero a cuarto de</w:t>
      </w:r>
      <w:r w:rsidR="00014D8D" w:rsidRPr="00A75729">
        <w:t>l Decreto</w:t>
      </w:r>
      <w:r w:rsidR="00CB7013" w:rsidRPr="00A75729">
        <w:t xml:space="preserve"> que expide la </w:t>
      </w:r>
      <w:proofErr w:type="spellStart"/>
      <w:r w:rsidR="00CB7013" w:rsidRPr="00A75729">
        <w:t>LFTR</w:t>
      </w:r>
      <w:proofErr w:type="spellEnd"/>
      <w:r w:rsidRPr="00A75729">
        <w:t>; 1, 6</w:t>
      </w:r>
      <w:r w:rsidR="00CB7013" w:rsidRPr="00A75729">
        <w:t xml:space="preserve"> </w:t>
      </w:r>
      <w:r w:rsidRPr="00A75729">
        <w:t>párrafo</w:t>
      </w:r>
      <w:r w:rsidR="00CB7013" w:rsidRPr="00A75729">
        <w:t xml:space="preserve"> último</w:t>
      </w:r>
      <w:r w:rsidRPr="00A75729">
        <w:t xml:space="preserve">, 7 y 15 fracción XVIII de la </w:t>
      </w:r>
      <w:proofErr w:type="spellStart"/>
      <w:r w:rsidRPr="00A75729">
        <w:t>LFTR</w:t>
      </w:r>
      <w:proofErr w:type="spellEnd"/>
      <w:r w:rsidRPr="00A75729">
        <w:t xml:space="preserve">; </w:t>
      </w:r>
      <w:r w:rsidRPr="00A75729">
        <w:rPr>
          <w:bCs/>
          <w:color w:val="000000"/>
        </w:rPr>
        <w:t xml:space="preserve">8, 13, 14, 17 y 49 de la </w:t>
      </w:r>
      <w:proofErr w:type="spellStart"/>
      <w:r w:rsidRPr="00A75729">
        <w:rPr>
          <w:bCs/>
          <w:color w:val="000000"/>
        </w:rPr>
        <w:t>LFPA</w:t>
      </w:r>
      <w:proofErr w:type="spellEnd"/>
      <w:r w:rsidR="00641F0F" w:rsidRPr="00A75729">
        <w:rPr>
          <w:bCs/>
          <w:color w:val="000000"/>
        </w:rPr>
        <w:t>;</w:t>
      </w:r>
      <w:r w:rsidR="000C4969" w:rsidRPr="00A75729">
        <w:t xml:space="preserve"> y 6</w:t>
      </w:r>
      <w:r w:rsidRPr="00A75729">
        <w:t xml:space="preserve"> fracción IX del Estatuto</w:t>
      </w:r>
      <w:r w:rsidR="0053621E" w:rsidRPr="00A75729">
        <w:t xml:space="preserve"> Orgánico del Instituto</w:t>
      </w:r>
      <w:r w:rsidRPr="00A75729">
        <w:t>.</w:t>
      </w:r>
    </w:p>
    <w:p w:rsidR="0029563A" w:rsidRPr="00BB652D" w:rsidRDefault="006161FB" w:rsidP="00BB652D">
      <w:pPr>
        <w:pStyle w:val="Ttulo2"/>
        <w:spacing w:after="0"/>
        <w:rPr>
          <w:rFonts w:eastAsia="Times New Roman" w:cstheme="minorBidi"/>
          <w:szCs w:val="26"/>
          <w:lang w:val="es-MX"/>
        </w:rPr>
      </w:pPr>
      <w:bookmarkStart w:id="37" w:name="_Toc519100825"/>
      <w:r w:rsidRPr="00A75729">
        <w:rPr>
          <w:rFonts w:eastAsia="Times New Roman" w:cstheme="minorBidi"/>
          <w:szCs w:val="26"/>
          <w:lang w:val="es-MX"/>
        </w:rPr>
        <w:t>TERCER</w:t>
      </w:r>
      <w:r w:rsidR="001106DD" w:rsidRPr="00A75729">
        <w:rPr>
          <w:rFonts w:eastAsia="Times New Roman" w:cstheme="minorBidi"/>
          <w:szCs w:val="26"/>
          <w:lang w:val="es-MX"/>
        </w:rPr>
        <w:t>O</w:t>
      </w:r>
      <w:r w:rsidRPr="00A75729">
        <w:rPr>
          <w:rFonts w:eastAsia="Times New Roman" w:cstheme="minorBidi"/>
          <w:szCs w:val="26"/>
          <w:lang w:val="es-MX"/>
        </w:rPr>
        <w:t xml:space="preserve">. </w:t>
      </w:r>
      <w:r w:rsidR="00CB7013" w:rsidRPr="00A75729">
        <w:rPr>
          <w:rFonts w:eastAsia="Times New Roman" w:cstheme="minorBidi"/>
          <w:szCs w:val="26"/>
          <w:lang w:val="es-MX"/>
        </w:rPr>
        <w:t>Operación</w:t>
      </w:r>
      <w:r w:rsidRPr="00A75729">
        <w:rPr>
          <w:rFonts w:eastAsia="Times New Roman" w:cstheme="minorBidi"/>
          <w:szCs w:val="26"/>
          <w:lang w:val="es-MX"/>
        </w:rPr>
        <w:t xml:space="preserve"> materia del Aviso</w:t>
      </w:r>
      <w:r w:rsidR="00CB7013" w:rsidRPr="00A75729">
        <w:rPr>
          <w:rFonts w:eastAsia="Times New Roman" w:cstheme="minorBidi"/>
          <w:szCs w:val="26"/>
          <w:lang w:val="es-MX"/>
        </w:rPr>
        <w:t xml:space="preserve"> de Concentración</w:t>
      </w:r>
      <w:bookmarkStart w:id="38" w:name="_Toc517823899"/>
      <w:bookmarkStart w:id="39" w:name="_Toc517980496"/>
      <w:bookmarkStart w:id="40" w:name="_Toc517980584"/>
      <w:bookmarkStart w:id="41" w:name="_Toc517983595"/>
      <w:bookmarkStart w:id="42" w:name="_Toc518329747"/>
      <w:bookmarkStart w:id="43" w:name="_Toc518923162"/>
      <w:bookmarkStart w:id="44" w:name="_Toc518923228"/>
      <w:bookmarkStart w:id="45" w:name="_Toc518923298"/>
      <w:bookmarkStart w:id="46" w:name="_Toc518925312"/>
      <w:bookmarkStart w:id="47" w:name="_Toc519008628"/>
      <w:bookmarkStart w:id="48" w:name="_Toc519013433"/>
      <w:bookmarkStart w:id="49" w:name="_Toc519100477"/>
      <w:bookmarkStart w:id="50" w:name="_Toc51910082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4F5014" w:rsidRPr="00A75729" w:rsidRDefault="00BB652D" w:rsidP="00BB652D">
      <w:pPr>
        <w:pStyle w:val="Ttulo3"/>
        <w:keepLines w:val="0"/>
        <w:spacing w:after="0"/>
        <w:ind w:firstLine="0"/>
        <w:rPr>
          <w:rFonts w:eastAsia="Times New Roman" w:cstheme="minorBidi"/>
          <w:szCs w:val="26"/>
          <w:lang w:val="es-MX"/>
        </w:rPr>
      </w:pPr>
      <w:bookmarkStart w:id="51" w:name="_Toc519100827"/>
      <w:r>
        <w:rPr>
          <w:rFonts w:eastAsia="Times New Roman" w:cstheme="minorBidi"/>
          <w:szCs w:val="26"/>
          <w:lang w:val="es-MX"/>
        </w:rPr>
        <w:t xml:space="preserve">3.1 </w:t>
      </w:r>
      <w:r w:rsidR="004F5014" w:rsidRPr="00A75729">
        <w:rPr>
          <w:rFonts w:eastAsia="Times New Roman" w:cstheme="minorBidi"/>
          <w:szCs w:val="26"/>
          <w:lang w:val="es-MX"/>
        </w:rPr>
        <w:t>Actos constitutivos de la Operación</w:t>
      </w:r>
      <w:bookmarkEnd w:id="51"/>
    </w:p>
    <w:p w:rsidR="000C4969" w:rsidRPr="00A75729" w:rsidRDefault="00773F67" w:rsidP="00302FCA">
      <w:pPr>
        <w:pStyle w:val="Prrafodelista"/>
        <w:spacing w:after="120" w:line="276" w:lineRule="auto"/>
        <w:ind w:left="0" w:right="-1"/>
        <w:contextualSpacing w:val="0"/>
      </w:pPr>
      <w:r w:rsidRPr="00A75729">
        <w:t xml:space="preserve">A efecto de llevar a cabo la Operación, </w:t>
      </w:r>
      <w:r w:rsidR="007B3D1E" w:rsidRPr="00A75729">
        <w:t xml:space="preserve">las Partes </w:t>
      </w:r>
      <w:r w:rsidR="00432B2D" w:rsidRPr="00A75729">
        <w:t>firmaron</w:t>
      </w:r>
      <w:r w:rsidR="000C4969" w:rsidRPr="00A75729">
        <w:t>:</w:t>
      </w:r>
    </w:p>
    <w:p w:rsidR="000C4969" w:rsidRPr="00A75729" w:rsidRDefault="000C4969" w:rsidP="00587D98">
      <w:pPr>
        <w:pStyle w:val="Prrafodelista"/>
        <w:numPr>
          <w:ilvl w:val="0"/>
          <w:numId w:val="41"/>
        </w:numPr>
        <w:spacing w:after="120" w:line="276" w:lineRule="auto"/>
        <w:ind w:left="426" w:right="-1"/>
        <w:contextualSpacing w:val="0"/>
      </w:pPr>
      <w:r w:rsidRPr="00A75729">
        <w:t>U</w:t>
      </w:r>
      <w:r w:rsidR="00432B2D" w:rsidRPr="00A75729">
        <w:t xml:space="preserve">n convenio de </w:t>
      </w:r>
      <w:r w:rsidR="00FC33D1" w:rsidRPr="00A75729">
        <w:t>cesión</w:t>
      </w:r>
      <w:r w:rsidR="00432B2D" w:rsidRPr="00A75729">
        <w:t xml:space="preserve"> de derechos de concesión</w:t>
      </w:r>
      <w:r w:rsidR="007B64AF" w:rsidRPr="00A75729">
        <w:t xml:space="preserve"> el 19 de abril de 2018</w:t>
      </w:r>
      <w:r w:rsidR="00302FCA" w:rsidRPr="00A75729">
        <w:t xml:space="preserve"> (Convenio de Cesión)</w:t>
      </w:r>
      <w:r w:rsidR="007B64AF" w:rsidRPr="00A75729">
        <w:t>,</w:t>
      </w:r>
      <w:r w:rsidR="007B64AF" w:rsidRPr="00A75729">
        <w:rPr>
          <w:vertAlign w:val="superscript"/>
        </w:rPr>
        <w:footnoteReference w:id="7"/>
      </w:r>
      <w:r w:rsidR="007B64AF" w:rsidRPr="00A75729">
        <w:t xml:space="preserve"> y </w:t>
      </w:r>
    </w:p>
    <w:p w:rsidR="000C4969" w:rsidRPr="00A75729" w:rsidRDefault="000C4969" w:rsidP="00587D98">
      <w:pPr>
        <w:pStyle w:val="Prrafodelista"/>
        <w:numPr>
          <w:ilvl w:val="0"/>
          <w:numId w:val="41"/>
        </w:numPr>
        <w:spacing w:after="120" w:line="276" w:lineRule="auto"/>
        <w:ind w:left="426" w:right="-1"/>
        <w:contextualSpacing w:val="0"/>
      </w:pPr>
      <w:r w:rsidRPr="00A75729">
        <w:t>U</w:t>
      </w:r>
      <w:r w:rsidR="007B64AF" w:rsidRPr="00A75729">
        <w:t>n convenio modificatorio en la misma ficha</w:t>
      </w:r>
      <w:r w:rsidR="00302FCA" w:rsidRPr="00A75729">
        <w:t xml:space="preserve"> (Convenio Modificatorio)</w:t>
      </w:r>
      <w:r w:rsidRPr="00A75729">
        <w:t>.</w:t>
      </w:r>
      <w:r w:rsidR="007B64AF" w:rsidRPr="00A75729">
        <w:rPr>
          <w:vertAlign w:val="superscript"/>
        </w:rPr>
        <w:footnoteReference w:id="8"/>
      </w:r>
      <w:r w:rsidR="007A7489" w:rsidRPr="00A75729">
        <w:t xml:space="preserve"> </w:t>
      </w:r>
    </w:p>
    <w:p w:rsidR="00302FCA" w:rsidRPr="00A75729" w:rsidRDefault="000C4969" w:rsidP="000C4969">
      <w:pPr>
        <w:ind w:right="-1"/>
      </w:pPr>
      <w:r w:rsidRPr="00A75729">
        <w:rPr>
          <w:rFonts w:cs="Helvetica"/>
        </w:rPr>
        <w:t>Con ambos actos</w:t>
      </w:r>
      <w:r w:rsidR="007B64AF" w:rsidRPr="00A75729">
        <w:rPr>
          <w:rFonts w:cs="Helvetica"/>
        </w:rPr>
        <w:t xml:space="preserve"> </w:t>
      </w:r>
      <w:r w:rsidR="00FC33D1" w:rsidRPr="00A75729">
        <w:t>Audio Publicidad</w:t>
      </w:r>
      <w:r w:rsidR="00773F67" w:rsidRPr="00A75729">
        <w:t xml:space="preserve"> </w:t>
      </w:r>
      <w:r w:rsidR="007A7489" w:rsidRPr="00A75729">
        <w:t>ced</w:t>
      </w:r>
      <w:r w:rsidR="007B64AF" w:rsidRPr="00A75729">
        <w:t>ió</w:t>
      </w:r>
      <w:r w:rsidRPr="00A75729">
        <w:t xml:space="preserve"> —</w:t>
      </w:r>
      <w:r w:rsidR="007B64AF" w:rsidRPr="00A75729">
        <w:t>sin reserva ni limitaciones, incondicional e irrevocablemente</w:t>
      </w:r>
      <w:r w:rsidRPr="00A75729">
        <w:t>—</w:t>
      </w:r>
      <w:r w:rsidR="007B64AF" w:rsidRPr="00A75729">
        <w:t xml:space="preserve"> a favor de Radio Triunfos,</w:t>
      </w:r>
      <w:r w:rsidR="007A7489" w:rsidRPr="00A75729">
        <w:t xml:space="preserve"> los </w:t>
      </w:r>
      <w:r w:rsidR="00302FCA" w:rsidRPr="00A75729">
        <w:t xml:space="preserve">derechos y obligaciones del título de concesión para usar comercialmente frecuencias de radiodifusión a través de las estaciones </w:t>
      </w:r>
      <w:proofErr w:type="spellStart"/>
      <w:r w:rsidR="00302FCA" w:rsidRPr="00A75729">
        <w:t>XEDD</w:t>
      </w:r>
      <w:proofErr w:type="spellEnd"/>
      <w:r w:rsidR="00302FCA" w:rsidRPr="00A75729">
        <w:t xml:space="preserve">-AM y </w:t>
      </w:r>
      <w:proofErr w:type="spellStart"/>
      <w:r w:rsidR="00302FCA" w:rsidRPr="00A75729">
        <w:t>XHDD</w:t>
      </w:r>
      <w:proofErr w:type="spellEnd"/>
      <w:r w:rsidR="00302FCA" w:rsidRPr="00A75729">
        <w:t xml:space="preserve">-FM, </w:t>
      </w:r>
      <w:r w:rsidR="00645AD1" w:rsidRPr="00A75729">
        <w:t xml:space="preserve">cuya población principal a servir es </w:t>
      </w:r>
      <w:r w:rsidR="00E30100" w:rsidRPr="00A75729">
        <w:t xml:space="preserve">Ojo </w:t>
      </w:r>
      <w:r w:rsidR="00645AD1" w:rsidRPr="00A75729">
        <w:t>de Agua, Nuevo León</w:t>
      </w:r>
      <w:r w:rsidR="00D55F64" w:rsidRPr="00A75729">
        <w:t>.</w:t>
      </w:r>
    </w:p>
    <w:p w:rsidR="00773F67" w:rsidRPr="00A75729" w:rsidRDefault="00BB652D" w:rsidP="00BB652D">
      <w:pPr>
        <w:pStyle w:val="Ttulo3"/>
        <w:keepLines w:val="0"/>
        <w:spacing w:after="0"/>
        <w:ind w:firstLine="0"/>
        <w:rPr>
          <w:rFonts w:eastAsia="Times New Roman" w:cstheme="minorBidi"/>
          <w:szCs w:val="26"/>
          <w:lang w:val="es-MX"/>
        </w:rPr>
      </w:pPr>
      <w:bookmarkStart w:id="52" w:name="_Toc519100828"/>
      <w:r>
        <w:rPr>
          <w:rFonts w:eastAsia="Times New Roman" w:cstheme="minorBidi"/>
          <w:szCs w:val="26"/>
          <w:lang w:val="es-MX"/>
        </w:rPr>
        <w:t xml:space="preserve">3.2 </w:t>
      </w:r>
      <w:r w:rsidR="004F5014" w:rsidRPr="00A75729">
        <w:rPr>
          <w:rFonts w:eastAsia="Times New Roman" w:cstheme="minorBidi"/>
          <w:szCs w:val="26"/>
          <w:lang w:val="es-MX"/>
        </w:rPr>
        <w:t xml:space="preserve">Fecha </w:t>
      </w:r>
      <w:r w:rsidR="00EC3A98" w:rsidRPr="00A75729">
        <w:rPr>
          <w:rFonts w:eastAsia="Times New Roman" w:cstheme="minorBidi"/>
          <w:szCs w:val="26"/>
          <w:lang w:val="es-MX"/>
        </w:rPr>
        <w:t>de realización de la Operación</w:t>
      </w:r>
      <w:bookmarkEnd w:id="52"/>
    </w:p>
    <w:p w:rsidR="0051511C" w:rsidRPr="00A75729" w:rsidRDefault="008C49E8" w:rsidP="0023224A">
      <w:pPr>
        <w:pStyle w:val="Prrafodelista"/>
        <w:spacing w:after="120" w:line="276" w:lineRule="auto"/>
        <w:ind w:left="0" w:right="-1"/>
        <w:contextualSpacing w:val="0"/>
      </w:pPr>
      <w:r w:rsidRPr="00A75729">
        <w:t>Las Partes mencionaron que l</w:t>
      </w:r>
      <w:r w:rsidR="003D72B3" w:rsidRPr="00A75729">
        <w:t xml:space="preserve">a Operación </w:t>
      </w:r>
      <w:r w:rsidR="00302FCA" w:rsidRPr="00A75729">
        <w:t>“</w:t>
      </w:r>
      <w:r w:rsidR="00302FCA" w:rsidRPr="00A75729">
        <w:rPr>
          <w:i/>
        </w:rPr>
        <w:t xml:space="preserve">se realizó en su totalidad el día 19 de abril de 2018 (…) y </w:t>
      </w:r>
      <w:r w:rsidR="00C92E2B" w:rsidRPr="00A75729">
        <w:rPr>
          <w:i/>
        </w:rPr>
        <w:t>surtió efectos plenos</w:t>
      </w:r>
      <w:r w:rsidR="003D72B3" w:rsidRPr="00A75729">
        <w:rPr>
          <w:i/>
        </w:rPr>
        <w:t xml:space="preserve"> </w:t>
      </w:r>
      <w:r w:rsidR="00302FCA" w:rsidRPr="00A75729">
        <w:rPr>
          <w:i/>
        </w:rPr>
        <w:t>en la fecha de cierre.</w:t>
      </w:r>
      <w:r w:rsidR="00302FCA" w:rsidRPr="00A75729">
        <w:t>”</w:t>
      </w:r>
      <w:r w:rsidR="00302FCA" w:rsidRPr="00A75729">
        <w:rPr>
          <w:vertAlign w:val="superscript"/>
        </w:rPr>
        <w:footnoteReference w:id="9"/>
      </w:r>
      <w:r w:rsidR="00302FCA" w:rsidRPr="00A75729">
        <w:t xml:space="preserve"> En el Convenio Modificatorio se establece lo siguiente:</w:t>
      </w:r>
      <w:r w:rsidR="00302FCA" w:rsidRPr="00A75729">
        <w:rPr>
          <w:vertAlign w:val="superscript"/>
        </w:rPr>
        <w:footnoteReference w:id="10"/>
      </w:r>
    </w:p>
    <w:p w:rsidR="00CA2680" w:rsidRPr="00A75729" w:rsidRDefault="0034544B" w:rsidP="00CA2680">
      <w:pPr>
        <w:ind w:left="567" w:right="-1"/>
        <w:rPr>
          <w:i/>
          <w:sz w:val="20"/>
          <w:szCs w:val="20"/>
          <w:lang w:val="es-MX"/>
        </w:rPr>
      </w:pPr>
      <w:r w:rsidRPr="0034544B">
        <w:rPr>
          <w:b/>
          <w:bCs/>
          <w:color w:val="0000CC"/>
          <w:kern w:val="24"/>
          <w:sz w:val="20"/>
          <w:szCs w:val="20"/>
        </w:rPr>
        <w:t>“CONFIDENCIAL POR LEY (</w:t>
      </w:r>
      <w:r w:rsidR="00A74C34">
        <w:rPr>
          <w:b/>
          <w:bCs/>
          <w:color w:val="0000CC"/>
          <w:kern w:val="24"/>
          <w:sz w:val="20"/>
          <w:szCs w:val="20"/>
        </w:rPr>
        <w:t>6</w:t>
      </w:r>
      <w:r w:rsidRPr="0034544B">
        <w:rPr>
          <w:b/>
          <w:bCs/>
          <w:color w:val="0000CC"/>
          <w:kern w:val="24"/>
          <w:sz w:val="20"/>
          <w:szCs w:val="20"/>
        </w:rPr>
        <w:t>)”</w:t>
      </w:r>
    </w:p>
    <w:p w:rsidR="00CA2680" w:rsidRPr="00A75729" w:rsidRDefault="00BB652D" w:rsidP="00BB652D">
      <w:pPr>
        <w:pStyle w:val="Ttulo3"/>
        <w:keepLines w:val="0"/>
        <w:spacing w:after="0"/>
        <w:ind w:firstLine="0"/>
        <w:rPr>
          <w:rFonts w:eastAsia="Times New Roman" w:cstheme="minorBidi"/>
          <w:szCs w:val="26"/>
          <w:lang w:val="es-MX"/>
        </w:rPr>
      </w:pPr>
      <w:bookmarkStart w:id="53" w:name="_Toc519100829"/>
      <w:r>
        <w:rPr>
          <w:rFonts w:eastAsia="Times New Roman" w:cstheme="minorBidi"/>
          <w:szCs w:val="26"/>
          <w:lang w:val="es-MX"/>
        </w:rPr>
        <w:lastRenderedPageBreak/>
        <w:t xml:space="preserve">3.3 </w:t>
      </w:r>
      <w:r w:rsidR="00EC3A98" w:rsidRPr="00A75729">
        <w:rPr>
          <w:rFonts w:eastAsia="Times New Roman" w:cstheme="minorBidi"/>
          <w:szCs w:val="26"/>
          <w:lang w:val="es-MX"/>
        </w:rPr>
        <w:t>Naturaleza de la Operación</w:t>
      </w:r>
      <w:bookmarkEnd w:id="53"/>
    </w:p>
    <w:p w:rsidR="00EC3A98" w:rsidRPr="00A75729" w:rsidRDefault="00CA2680" w:rsidP="0023224A">
      <w:pPr>
        <w:pStyle w:val="Prrafodelista"/>
        <w:spacing w:after="120" w:line="276" w:lineRule="auto"/>
        <w:ind w:left="0" w:right="-1"/>
        <w:contextualSpacing w:val="0"/>
      </w:pPr>
      <w:r w:rsidRPr="00A75729">
        <w:t xml:space="preserve">Como se describe en la sección </w:t>
      </w:r>
      <w:r w:rsidR="007A2B64" w:rsidRPr="00A75729">
        <w:t xml:space="preserve">3.1. </w:t>
      </w:r>
      <w:r w:rsidR="00EC3A98" w:rsidRPr="00A75729">
        <w:t>de esta resolución</w:t>
      </w:r>
      <w:r w:rsidRPr="00A75729">
        <w:t>, la Operación</w:t>
      </w:r>
      <w:r w:rsidR="00EC3A98" w:rsidRPr="00A75729">
        <w:t>:</w:t>
      </w:r>
    </w:p>
    <w:p w:rsidR="00EC3A98" w:rsidRPr="00A75729" w:rsidRDefault="00EC3A98" w:rsidP="00EC3A98">
      <w:pPr>
        <w:pStyle w:val="Prrafodelista"/>
        <w:numPr>
          <w:ilvl w:val="0"/>
          <w:numId w:val="14"/>
        </w:numPr>
        <w:spacing w:after="120" w:line="276" w:lineRule="auto"/>
        <w:ind w:right="-1"/>
        <w:contextualSpacing w:val="0"/>
      </w:pPr>
      <w:r w:rsidRPr="00A75729">
        <w:t>Constituye una</w:t>
      </w:r>
      <w:r w:rsidR="00CA2680" w:rsidRPr="00A75729">
        <w:t xml:space="preserve"> cesión de un título de concesión</w:t>
      </w:r>
      <w:r w:rsidRPr="00A75729">
        <w:t>,</w:t>
      </w:r>
      <w:r w:rsidR="00CA2680" w:rsidRPr="00A75729">
        <w:t xml:space="preserve"> y </w:t>
      </w:r>
    </w:p>
    <w:p w:rsidR="00302FCA" w:rsidRPr="00A75729" w:rsidRDefault="00EC3A98" w:rsidP="00EC3A98">
      <w:pPr>
        <w:pStyle w:val="Prrafodelista"/>
        <w:numPr>
          <w:ilvl w:val="0"/>
          <w:numId w:val="14"/>
        </w:numPr>
        <w:spacing w:after="120" w:line="276" w:lineRule="auto"/>
        <w:ind w:right="-1"/>
        <w:contextualSpacing w:val="0"/>
      </w:pPr>
      <w:r w:rsidRPr="00A75729">
        <w:t>N</w:t>
      </w:r>
      <w:r w:rsidR="00CA2680" w:rsidRPr="00A75729">
        <w:t>o implic</w:t>
      </w:r>
      <w:r w:rsidR="00CB4190" w:rsidRPr="00A75729">
        <w:t>ó</w:t>
      </w:r>
      <w:r w:rsidR="00CA2680" w:rsidRPr="00A75729">
        <w:t xml:space="preserve"> la adquisición de acciones o partes sociales de alguna sociedad, por lo que no modificó la estructura accionaria de las sociedades que participa</w:t>
      </w:r>
      <w:r w:rsidR="006D5127" w:rsidRPr="00A75729">
        <w:t>ron</w:t>
      </w:r>
      <w:r w:rsidR="00CA2680" w:rsidRPr="00A75729">
        <w:t xml:space="preserve"> en ella.</w:t>
      </w:r>
    </w:p>
    <w:p w:rsidR="0051511C" w:rsidRPr="00A75729" w:rsidRDefault="00BB652D" w:rsidP="00BB652D">
      <w:pPr>
        <w:pStyle w:val="Ttulo3"/>
        <w:keepLines w:val="0"/>
        <w:spacing w:after="0"/>
        <w:ind w:firstLine="0"/>
        <w:rPr>
          <w:rFonts w:eastAsia="Times New Roman" w:cstheme="minorBidi"/>
          <w:szCs w:val="26"/>
          <w:lang w:val="es-MX"/>
        </w:rPr>
      </w:pPr>
      <w:bookmarkStart w:id="54" w:name="_Toc519100830"/>
      <w:r>
        <w:rPr>
          <w:rFonts w:eastAsia="Times New Roman" w:cstheme="minorBidi"/>
          <w:szCs w:val="26"/>
          <w:lang w:val="es-MX"/>
        </w:rPr>
        <w:t xml:space="preserve">3.4 </w:t>
      </w:r>
      <w:r w:rsidR="0051511C" w:rsidRPr="00A75729">
        <w:rPr>
          <w:rFonts w:eastAsia="Times New Roman" w:cstheme="minorBidi"/>
          <w:szCs w:val="26"/>
          <w:lang w:val="es-MX"/>
        </w:rPr>
        <w:t>Títulos de concesión</w:t>
      </w:r>
      <w:r w:rsidR="00EC3A98" w:rsidRPr="00A75729">
        <w:rPr>
          <w:rFonts w:eastAsia="Times New Roman" w:cstheme="minorBidi"/>
          <w:szCs w:val="26"/>
          <w:lang w:val="es-MX"/>
        </w:rPr>
        <w:t xml:space="preserve"> </w:t>
      </w:r>
      <w:r w:rsidR="00CA2680" w:rsidRPr="00A75729">
        <w:rPr>
          <w:rFonts w:eastAsia="Times New Roman" w:cstheme="minorBidi"/>
          <w:szCs w:val="26"/>
          <w:lang w:val="es-MX"/>
        </w:rPr>
        <w:t>adquiridos</w:t>
      </w:r>
      <w:bookmarkEnd w:id="54"/>
    </w:p>
    <w:p w:rsidR="00D85CE5" w:rsidRPr="00A75729" w:rsidRDefault="00CA2680" w:rsidP="0051511C">
      <w:pPr>
        <w:shd w:val="clear" w:color="auto" w:fill="FFFFFF"/>
        <w:ind w:right="-1"/>
      </w:pPr>
      <w:r w:rsidRPr="00A75729">
        <w:t>La Operación implic</w:t>
      </w:r>
      <w:r w:rsidR="006D5127" w:rsidRPr="00A75729">
        <w:t>ó</w:t>
      </w:r>
      <w:r w:rsidRPr="00A75729">
        <w:t xml:space="preserve"> la adquisición de u</w:t>
      </w:r>
      <w:r w:rsidR="00D50A88" w:rsidRPr="00A75729">
        <w:t xml:space="preserve">n </w:t>
      </w:r>
      <w:r w:rsidR="00C96B73" w:rsidRPr="00A75729">
        <w:t xml:space="preserve">título de concesión para </w:t>
      </w:r>
      <w:r w:rsidRPr="00A75729">
        <w:t>usar</w:t>
      </w:r>
      <w:r w:rsidR="00C96B73" w:rsidRPr="00A75729">
        <w:t xml:space="preserve"> comercialmente </w:t>
      </w:r>
      <w:r w:rsidR="00D85CE5" w:rsidRPr="00A75729">
        <w:t xml:space="preserve">frecuencias de radiodifusión a través de las estaciones </w:t>
      </w:r>
      <w:proofErr w:type="spellStart"/>
      <w:r w:rsidR="00D85CE5" w:rsidRPr="00A75729">
        <w:t>XEDD</w:t>
      </w:r>
      <w:proofErr w:type="spellEnd"/>
      <w:r w:rsidR="00D85CE5" w:rsidRPr="00A75729">
        <w:t xml:space="preserve">-AM y </w:t>
      </w:r>
      <w:proofErr w:type="spellStart"/>
      <w:r w:rsidR="00D85CE5" w:rsidRPr="00A75729">
        <w:t>XHDD</w:t>
      </w:r>
      <w:proofErr w:type="spellEnd"/>
      <w:r w:rsidR="00D85CE5" w:rsidRPr="00A75729">
        <w:t xml:space="preserve">-FM, </w:t>
      </w:r>
      <w:r w:rsidR="00645AD1" w:rsidRPr="00A75729">
        <w:t xml:space="preserve">cuya población principal a servir es </w:t>
      </w:r>
      <w:r w:rsidR="00E30100" w:rsidRPr="00A75729">
        <w:t xml:space="preserve">Ojo </w:t>
      </w:r>
      <w:r w:rsidR="00645AD1" w:rsidRPr="00A75729">
        <w:t>de Agua, Nuevo León</w:t>
      </w:r>
      <w:r w:rsidR="00D85CE5" w:rsidRPr="00A75729">
        <w:t>. A continuación se hace un relato cronológico del título de concesión involucrado:</w:t>
      </w:r>
      <w:r w:rsidR="00D85CE5" w:rsidRPr="00A75729">
        <w:rPr>
          <w:vertAlign w:val="superscript"/>
        </w:rPr>
        <w:t xml:space="preserve"> </w:t>
      </w:r>
      <w:r w:rsidR="00D85CE5" w:rsidRPr="00A75729">
        <w:rPr>
          <w:vertAlign w:val="superscript"/>
        </w:rPr>
        <w:footnoteReference w:id="11"/>
      </w:r>
    </w:p>
    <w:p w:rsidR="00D85CE5" w:rsidRPr="00A75729" w:rsidRDefault="00D85CE5" w:rsidP="00FB57CD">
      <w:pPr>
        <w:pStyle w:val="Prrafodelista"/>
        <w:numPr>
          <w:ilvl w:val="0"/>
          <w:numId w:val="14"/>
        </w:numPr>
        <w:shd w:val="clear" w:color="auto" w:fill="FFFFFF"/>
        <w:spacing w:after="120" w:line="276" w:lineRule="auto"/>
        <w:ind w:left="357" w:hanging="357"/>
        <w:contextualSpacing w:val="0"/>
      </w:pPr>
      <w:r w:rsidRPr="00A75729">
        <w:t>E</w:t>
      </w:r>
      <w:r w:rsidR="00C96B73" w:rsidRPr="00A75729">
        <w:t xml:space="preserve">l </w:t>
      </w:r>
      <w:r w:rsidRPr="00A75729">
        <w:t xml:space="preserve">18 </w:t>
      </w:r>
      <w:r w:rsidR="00C96B73" w:rsidRPr="00A75729">
        <w:t xml:space="preserve">de enero de </w:t>
      </w:r>
      <w:r w:rsidRPr="00A75729">
        <w:t xml:space="preserve">1971 el Gobierno Federal otorgó un título de concesión al C. Marcelo Becerra </w:t>
      </w:r>
      <w:r w:rsidR="00A91950" w:rsidRPr="00A75729">
        <w:t>González</w:t>
      </w:r>
      <w:r w:rsidRPr="00A75729">
        <w:t xml:space="preserve"> para operar la estación </w:t>
      </w:r>
      <w:proofErr w:type="spellStart"/>
      <w:r w:rsidRPr="00A75729">
        <w:t>XEDD</w:t>
      </w:r>
      <w:proofErr w:type="spellEnd"/>
      <w:r w:rsidRPr="00A75729">
        <w:t>-AM en la frecuencia 1,560 KHz, cuyo transmisor estaba ubicado en Montemorelos, Nuevo León</w:t>
      </w:r>
      <w:r w:rsidR="00C96B73" w:rsidRPr="00A75729">
        <w:t>.</w:t>
      </w:r>
    </w:p>
    <w:p w:rsidR="00D85CE5" w:rsidRPr="00A75729" w:rsidRDefault="00D85CE5" w:rsidP="00FB57CD">
      <w:pPr>
        <w:pStyle w:val="Prrafodelista"/>
        <w:numPr>
          <w:ilvl w:val="0"/>
          <w:numId w:val="14"/>
        </w:numPr>
        <w:shd w:val="clear" w:color="auto" w:fill="FFFFFF"/>
        <w:spacing w:after="120" w:line="276" w:lineRule="auto"/>
        <w:ind w:left="357" w:hanging="357"/>
        <w:contextualSpacing w:val="0"/>
      </w:pPr>
      <w:r w:rsidRPr="00A75729">
        <w:t>El 27 de julio de 1978, la SCT autorizó la cesión de derechos a favor de Audio Publicidad.</w:t>
      </w:r>
    </w:p>
    <w:p w:rsidR="00D85CE5" w:rsidRPr="00A75729" w:rsidRDefault="00D85CE5" w:rsidP="00FB57CD">
      <w:pPr>
        <w:pStyle w:val="Prrafodelista"/>
        <w:numPr>
          <w:ilvl w:val="0"/>
          <w:numId w:val="14"/>
        </w:numPr>
        <w:shd w:val="clear" w:color="auto" w:fill="FFFFFF"/>
        <w:spacing w:after="120" w:line="276" w:lineRule="auto"/>
        <w:ind w:left="357" w:hanging="357"/>
        <w:contextualSpacing w:val="0"/>
      </w:pPr>
      <w:r w:rsidRPr="00A75729">
        <w:t>El 16 de mayo de 2000, la SCT autorizó el cambio de frecuencia a 800 KHz y el cambio de ubicación del transmisor a Ojo de Agua, Nuevo León.</w:t>
      </w:r>
    </w:p>
    <w:p w:rsidR="00856C10" w:rsidRPr="00A75729" w:rsidRDefault="00856C10" w:rsidP="00FB57CD">
      <w:pPr>
        <w:pStyle w:val="Prrafodelista"/>
        <w:numPr>
          <w:ilvl w:val="0"/>
          <w:numId w:val="14"/>
        </w:numPr>
        <w:shd w:val="clear" w:color="auto" w:fill="FFFFFF"/>
        <w:spacing w:after="120" w:line="276" w:lineRule="auto"/>
        <w:ind w:left="357" w:hanging="357"/>
        <w:contextualSpacing w:val="0"/>
      </w:pPr>
      <w:r w:rsidRPr="00A75729">
        <w:t>El 18 de diciembre de 2012, la SCT otorgó prórroga a Audio Publicidad para continuar operando el título de concesión con una vigencia del 18 de enero de 2013 al 17 de enero de 2025.</w:t>
      </w:r>
    </w:p>
    <w:p w:rsidR="00856C10" w:rsidRPr="00A75729" w:rsidRDefault="00856C10" w:rsidP="00FB57CD">
      <w:pPr>
        <w:pStyle w:val="Prrafodelista"/>
        <w:numPr>
          <w:ilvl w:val="0"/>
          <w:numId w:val="14"/>
        </w:numPr>
        <w:shd w:val="clear" w:color="auto" w:fill="FFFFFF"/>
        <w:spacing w:after="120" w:line="276" w:lineRule="auto"/>
        <w:ind w:left="357" w:hanging="357"/>
        <w:contextualSpacing w:val="0"/>
      </w:pPr>
      <w:r w:rsidRPr="00A75729">
        <w:t xml:space="preserve">El 7 de mayo de 2013, la extinta Comisión Federal de Telecomunicaciones, con base en </w:t>
      </w:r>
      <w:r w:rsidR="00FD7664">
        <w:t xml:space="preserve">el </w:t>
      </w:r>
      <w:r w:rsidR="00DF6C20" w:rsidRPr="00A75729">
        <w:t xml:space="preserve">Acuerdo de </w:t>
      </w:r>
      <w:r w:rsidR="00F40EAC" w:rsidRPr="00A75729">
        <w:t xml:space="preserve">Transición </w:t>
      </w:r>
      <w:r w:rsidR="00DF6C20" w:rsidRPr="00A75729">
        <w:t>de 2008</w:t>
      </w:r>
      <w:r w:rsidRPr="00A75729">
        <w:t xml:space="preserve">, autorizó a Audio Publicidad el cambio de frecuencia para operar en FM, utilizar el distintivo </w:t>
      </w:r>
      <w:proofErr w:type="spellStart"/>
      <w:r w:rsidRPr="00A75729">
        <w:t>XHDD</w:t>
      </w:r>
      <w:proofErr w:type="spellEnd"/>
      <w:r w:rsidRPr="00A75729">
        <w:t>-FM</w:t>
      </w:r>
      <w:r w:rsidR="007A2B64" w:rsidRPr="00A75729">
        <w:t xml:space="preserve"> con</w:t>
      </w:r>
      <w:r w:rsidRPr="00A75729">
        <w:t xml:space="preserve"> la frecuencia 92.9 MHz </w:t>
      </w:r>
      <w:r w:rsidR="007A2B64" w:rsidRPr="00A75729">
        <w:t xml:space="preserve">y </w:t>
      </w:r>
      <w:r w:rsidRPr="00A75729">
        <w:t>con el equipo transmisor ubicado en Ojo de Agua, Nuevo León.</w:t>
      </w:r>
    </w:p>
    <w:p w:rsidR="00F40EAC" w:rsidRPr="00A75729" w:rsidRDefault="00DF6C20" w:rsidP="00FB57CD">
      <w:pPr>
        <w:pStyle w:val="Prrafodelista"/>
        <w:numPr>
          <w:ilvl w:val="0"/>
          <w:numId w:val="14"/>
        </w:numPr>
        <w:shd w:val="clear" w:color="auto" w:fill="FFFFFF"/>
        <w:spacing w:after="120" w:line="276" w:lineRule="auto"/>
        <w:contextualSpacing w:val="0"/>
      </w:pPr>
      <w:r w:rsidRPr="00A75729">
        <w:t xml:space="preserve">El 9 de julio de 2014, el Pleno del Instituto emitió acuerdo mediante el cual determinó </w:t>
      </w:r>
      <w:r w:rsidR="00F40EAC" w:rsidRPr="00A75729">
        <w:t xml:space="preserve">que 27 (veintisiete) </w:t>
      </w:r>
      <w:r w:rsidRPr="00A75729">
        <w:t>estaciones</w:t>
      </w:r>
      <w:r w:rsidR="007A2B64" w:rsidRPr="00A75729">
        <w:t xml:space="preserve"> de radiodifusión sonora en AM</w:t>
      </w:r>
      <w:r w:rsidR="00F40EAC" w:rsidRPr="00A75729">
        <w:t xml:space="preserve">, entre ellas la </w:t>
      </w:r>
      <w:proofErr w:type="spellStart"/>
      <w:r w:rsidR="00F40EAC" w:rsidRPr="00A75729">
        <w:t>XEDD</w:t>
      </w:r>
      <w:proofErr w:type="spellEnd"/>
      <w:r w:rsidR="00F40EAC" w:rsidRPr="00A75729">
        <w:t>-AM,</w:t>
      </w:r>
      <w:r w:rsidRPr="00A75729">
        <w:t xml:space="preserve"> deben continuar operando en AM en términos del Acuerdo de </w:t>
      </w:r>
      <w:r w:rsidR="00F40EAC" w:rsidRPr="00A75729">
        <w:t>Transición</w:t>
      </w:r>
      <w:r w:rsidRPr="00A75729">
        <w:t xml:space="preserve"> de 2008</w:t>
      </w:r>
      <w:r w:rsidR="00F40EAC" w:rsidRPr="00A75729">
        <w:t xml:space="preserve"> “</w:t>
      </w:r>
      <w:r w:rsidR="00F40EAC" w:rsidRPr="00A75729">
        <w:rPr>
          <w:i/>
        </w:rPr>
        <w:t xml:space="preserve">hasta el término de su vigencia o hasta en tanto el Instituto cuente con elementos adicionales para definir la terminación de dicha obligación, a efecto de que continúen transmitiendo en forma simultanea el mismo contenido de las dos bandas (AM y FM) o dejen de operar de manera inmediata las frecuencias de la banda de AM, según sea el caso, lo cual se hará del oportuno conocimiento de sus </w:t>
      </w:r>
      <w:r w:rsidR="00F40EAC" w:rsidRPr="00A75729">
        <w:rPr>
          <w:i/>
        </w:rPr>
        <w:lastRenderedPageBreak/>
        <w:t>concesionarias o permisionarias mediante la notificación que este órgano autónomo realice para tal efecto.</w:t>
      </w:r>
      <w:r w:rsidR="00F40EAC" w:rsidRPr="00A75729">
        <w:t>”</w:t>
      </w:r>
      <w:r w:rsidR="00F40EAC" w:rsidRPr="00A75729">
        <w:rPr>
          <w:rStyle w:val="Refdenotaalpie"/>
        </w:rPr>
        <w:footnoteReference w:id="12"/>
      </w:r>
    </w:p>
    <w:p w:rsidR="00F40EAC" w:rsidRPr="00A75729" w:rsidRDefault="00F40EAC" w:rsidP="00F40EAC">
      <w:pPr>
        <w:pStyle w:val="Prrafodelista"/>
        <w:shd w:val="clear" w:color="auto" w:fill="FFFFFF"/>
        <w:spacing w:after="120" w:line="276" w:lineRule="auto"/>
        <w:ind w:left="360"/>
        <w:contextualSpacing w:val="0"/>
      </w:pPr>
      <w:r w:rsidRPr="00A75729">
        <w:t xml:space="preserve">Respecto a la estación </w:t>
      </w:r>
      <w:proofErr w:type="spellStart"/>
      <w:r w:rsidRPr="00A75729">
        <w:t>XEDD</w:t>
      </w:r>
      <w:proofErr w:type="spellEnd"/>
      <w:r w:rsidRPr="00A75729">
        <w:t>-AM, el Pleno señaló que:</w:t>
      </w:r>
    </w:p>
    <w:p w:rsidR="00F40EAC" w:rsidRPr="00A75729" w:rsidRDefault="00F40EAC" w:rsidP="00F40EAC">
      <w:pPr>
        <w:pStyle w:val="Prrafodelista"/>
        <w:shd w:val="clear" w:color="auto" w:fill="FFFFFF"/>
        <w:spacing w:after="120" w:line="276" w:lineRule="auto"/>
        <w:ind w:left="851"/>
        <w:contextualSpacing w:val="0"/>
        <w:rPr>
          <w:i/>
          <w:sz w:val="20"/>
        </w:rPr>
      </w:pPr>
      <w:r w:rsidRPr="00A75729">
        <w:rPr>
          <w:i/>
          <w:sz w:val="20"/>
        </w:rPr>
        <w:t xml:space="preserve">“Después de realizado el análisis de continuidad del servicio de radiodifusión sonora en los municipios comprendidos dentro del área de servicio de la estación </w:t>
      </w:r>
      <w:proofErr w:type="spellStart"/>
      <w:r w:rsidRPr="00A75729">
        <w:rPr>
          <w:i/>
          <w:sz w:val="20"/>
        </w:rPr>
        <w:t>XEDD</w:t>
      </w:r>
      <w:proofErr w:type="spellEnd"/>
      <w:r w:rsidRPr="00A75729">
        <w:rPr>
          <w:i/>
          <w:sz w:val="20"/>
        </w:rPr>
        <w:t>-AM sujeta al Acuerdo de Transición, se determinó que dicha continuidad no está garantizada por otras estaciones de radiodifusión en localidades de los municipios de Galeana y Rayones, Nuevo León.”</w:t>
      </w:r>
    </w:p>
    <w:p w:rsidR="00401EEE" w:rsidRPr="00A75729" w:rsidRDefault="00401EEE" w:rsidP="00FB57CD">
      <w:pPr>
        <w:pStyle w:val="Prrafodelista"/>
        <w:numPr>
          <w:ilvl w:val="0"/>
          <w:numId w:val="14"/>
        </w:numPr>
        <w:shd w:val="clear" w:color="auto" w:fill="FFFFFF"/>
        <w:spacing w:after="120" w:line="276" w:lineRule="auto"/>
        <w:ind w:left="357" w:hanging="357"/>
        <w:contextualSpacing w:val="0"/>
      </w:pPr>
      <w:r w:rsidRPr="00A75729">
        <w:t>El 12 de julio de 2017, el Pleno del Instituto resolvió</w:t>
      </w:r>
      <w:r w:rsidR="00F9559F" w:rsidRPr="00A75729">
        <w:t xml:space="preserve"> </w:t>
      </w:r>
      <w:r w:rsidRPr="00A75729">
        <w:t>autorizar modificaci</w:t>
      </w:r>
      <w:r w:rsidR="00326298" w:rsidRPr="00A75729">
        <w:t>ones</w:t>
      </w:r>
      <w:r w:rsidRPr="00A75729">
        <w:t xml:space="preserve"> </w:t>
      </w:r>
      <w:r w:rsidR="001A04AF" w:rsidRPr="00A75729">
        <w:t>a</w:t>
      </w:r>
      <w:r w:rsidR="00326298" w:rsidRPr="00A75729">
        <w:t xml:space="preserve"> las </w:t>
      </w:r>
      <w:r w:rsidRPr="00A75729">
        <w:t xml:space="preserve">características técnicas de la concesión que ampara a la estación </w:t>
      </w:r>
      <w:proofErr w:type="spellStart"/>
      <w:r w:rsidRPr="00A75729">
        <w:t>XHDD</w:t>
      </w:r>
      <w:proofErr w:type="spellEnd"/>
      <w:r w:rsidRPr="00A75729">
        <w:t>-FM</w:t>
      </w:r>
      <w:r w:rsidR="00760870" w:rsidRPr="00A75729">
        <w:t xml:space="preserve">, entre ellas el cambio de </w:t>
      </w:r>
      <w:r w:rsidRPr="00A75729">
        <w:t>ubicación de la antena y planta transmisora</w:t>
      </w:r>
      <w:r w:rsidR="00760870" w:rsidRPr="00A75729">
        <w:t xml:space="preserve"> a La Peña, Guadalupe, Nuevo León, así como la </w:t>
      </w:r>
      <w:r w:rsidRPr="00A75729">
        <w:t xml:space="preserve">instalación y operación de un equipo complementario </w:t>
      </w:r>
      <w:r w:rsidR="00760870" w:rsidRPr="00A75729">
        <w:t xml:space="preserve">de la estación </w:t>
      </w:r>
      <w:proofErr w:type="spellStart"/>
      <w:r w:rsidR="00760870" w:rsidRPr="00A75729">
        <w:t>XHDD</w:t>
      </w:r>
      <w:proofErr w:type="spellEnd"/>
      <w:r w:rsidR="00760870" w:rsidRPr="00A75729">
        <w:t>-FM en Camino a El Pilón viejo, Ojo de Agua, Nuevo León.</w:t>
      </w:r>
      <w:r w:rsidR="00FC0931" w:rsidRPr="00A75729">
        <w:rPr>
          <w:rStyle w:val="Refdenotaalpie"/>
        </w:rPr>
        <w:footnoteReference w:id="13"/>
      </w:r>
    </w:p>
    <w:p w:rsidR="00326298" w:rsidRPr="00A75729" w:rsidRDefault="00F9559F" w:rsidP="00326298">
      <w:pPr>
        <w:pStyle w:val="Prrafodelista"/>
        <w:shd w:val="clear" w:color="auto" w:fill="FFFFFF"/>
        <w:spacing w:after="120" w:line="276" w:lineRule="auto"/>
        <w:ind w:left="357"/>
        <w:contextualSpacing w:val="0"/>
        <w:rPr>
          <w:rFonts w:eastAsiaTheme="minorHAnsi" w:cstheme="minorBidi"/>
          <w:bCs/>
        </w:rPr>
      </w:pPr>
      <w:r w:rsidRPr="00A75729">
        <w:rPr>
          <w:rFonts w:eastAsiaTheme="minorHAnsi" w:cstheme="minorBidi"/>
          <w:bCs/>
        </w:rPr>
        <w:t>Es de señalar</w:t>
      </w:r>
      <w:r w:rsidR="00326298" w:rsidRPr="00A75729">
        <w:rPr>
          <w:rFonts w:eastAsiaTheme="minorHAnsi" w:cstheme="minorBidi"/>
          <w:bCs/>
        </w:rPr>
        <w:t xml:space="preserve"> que</w:t>
      </w:r>
      <w:r w:rsidR="007A2B64" w:rsidRPr="00A75729">
        <w:rPr>
          <w:rFonts w:eastAsiaTheme="minorHAnsi" w:cstheme="minorBidi"/>
          <w:bCs/>
        </w:rPr>
        <w:t>,</w:t>
      </w:r>
      <w:r w:rsidR="00326298" w:rsidRPr="00A75729">
        <w:rPr>
          <w:rFonts w:eastAsiaTheme="minorHAnsi" w:cstheme="minorBidi"/>
          <w:bCs/>
        </w:rPr>
        <w:t xml:space="preserve"> </w:t>
      </w:r>
      <w:r w:rsidR="007A2B64" w:rsidRPr="00A75729">
        <w:rPr>
          <w:rFonts w:eastAsiaTheme="minorHAnsi" w:cstheme="minorBidi"/>
          <w:bCs/>
        </w:rPr>
        <w:t>si bien</w:t>
      </w:r>
      <w:r w:rsidR="00326298" w:rsidRPr="00A75729">
        <w:rPr>
          <w:rFonts w:eastAsiaTheme="minorHAnsi" w:cstheme="minorBidi"/>
          <w:bCs/>
        </w:rPr>
        <w:t xml:space="preserve"> </w:t>
      </w:r>
      <w:r w:rsidR="007A2B64" w:rsidRPr="00A75729">
        <w:rPr>
          <w:rFonts w:eastAsiaTheme="minorHAnsi" w:cstheme="minorBidi"/>
          <w:bCs/>
        </w:rPr>
        <w:t xml:space="preserve">cambiaron </w:t>
      </w:r>
      <w:r w:rsidR="00326298" w:rsidRPr="00A75729">
        <w:rPr>
          <w:rFonts w:eastAsiaTheme="minorHAnsi" w:cstheme="minorBidi"/>
          <w:bCs/>
        </w:rPr>
        <w:t xml:space="preserve">las </w:t>
      </w:r>
      <w:r w:rsidR="007A2B64" w:rsidRPr="00A75729">
        <w:rPr>
          <w:rFonts w:eastAsiaTheme="minorHAnsi" w:cstheme="minorBidi"/>
          <w:bCs/>
        </w:rPr>
        <w:t xml:space="preserve">características </w:t>
      </w:r>
      <w:r w:rsidR="00326298" w:rsidRPr="00A75729">
        <w:rPr>
          <w:rFonts w:eastAsiaTheme="minorHAnsi" w:cstheme="minorBidi"/>
          <w:bCs/>
        </w:rPr>
        <w:t xml:space="preserve">técnicas </w:t>
      </w:r>
      <w:r w:rsidR="007A2B64" w:rsidRPr="00A75729">
        <w:rPr>
          <w:rFonts w:eastAsiaTheme="minorHAnsi" w:cstheme="minorBidi"/>
          <w:bCs/>
        </w:rPr>
        <w:t xml:space="preserve">de </w:t>
      </w:r>
      <w:r w:rsidR="00326298" w:rsidRPr="00A75729">
        <w:rPr>
          <w:rFonts w:eastAsiaTheme="minorHAnsi" w:cstheme="minorBidi"/>
          <w:bCs/>
        </w:rPr>
        <w:t xml:space="preserve">la estación </w:t>
      </w:r>
      <w:r w:rsidR="00A75729">
        <w:rPr>
          <w:rFonts w:eastAsiaTheme="minorHAnsi" w:cstheme="minorBidi"/>
          <w:bCs/>
        </w:rPr>
        <w:t>materia de la Operación</w:t>
      </w:r>
      <w:r w:rsidR="00326298" w:rsidRPr="00A75729">
        <w:rPr>
          <w:rFonts w:eastAsiaTheme="minorHAnsi" w:cstheme="minorBidi"/>
          <w:bCs/>
        </w:rPr>
        <w:t>, la población principal a servir continúa siendo Ojo de Agua, Nuevo León.</w:t>
      </w:r>
      <w:r w:rsidR="000D0383" w:rsidRPr="00A75729">
        <w:rPr>
          <w:rFonts w:eastAsiaTheme="minorHAnsi" w:cstheme="minorBidi"/>
          <w:bCs/>
        </w:rPr>
        <w:t xml:space="preserve"> A este respecto, las Partes señalaron lo siguiente:</w:t>
      </w:r>
      <w:r w:rsidR="000D0383" w:rsidRPr="00A75729">
        <w:rPr>
          <w:vertAlign w:val="superscript"/>
        </w:rPr>
        <w:footnoteReference w:id="14"/>
      </w:r>
    </w:p>
    <w:p w:rsidR="000D0383" w:rsidRPr="00A75729" w:rsidRDefault="000D0383" w:rsidP="000D0383">
      <w:pPr>
        <w:pStyle w:val="Prrafodelista"/>
        <w:shd w:val="clear" w:color="auto" w:fill="FFFFFF"/>
        <w:spacing w:after="120" w:line="276" w:lineRule="auto"/>
        <w:ind w:left="851"/>
        <w:contextualSpacing w:val="0"/>
        <w:rPr>
          <w:rFonts w:eastAsiaTheme="minorHAnsi" w:cstheme="minorBidi"/>
          <w:bCs/>
          <w:sz w:val="20"/>
        </w:rPr>
      </w:pPr>
      <w:r w:rsidRPr="00A75729">
        <w:rPr>
          <w:rFonts w:eastAsiaTheme="minorHAnsi" w:cstheme="minorBidi"/>
          <w:bCs/>
          <w:i/>
          <w:sz w:val="20"/>
        </w:rPr>
        <w:t xml:space="preserve">“Por lo que hace a las frecuencias de las estaciones de radiodifusión con distintivo de llamada </w:t>
      </w:r>
      <w:proofErr w:type="spellStart"/>
      <w:r w:rsidRPr="00A75729">
        <w:rPr>
          <w:rFonts w:eastAsiaTheme="minorHAnsi" w:cstheme="minorBidi"/>
          <w:bCs/>
          <w:i/>
          <w:sz w:val="20"/>
        </w:rPr>
        <w:t>XEDD</w:t>
      </w:r>
      <w:proofErr w:type="spellEnd"/>
      <w:r w:rsidRPr="00A75729">
        <w:rPr>
          <w:rFonts w:eastAsiaTheme="minorHAnsi" w:cstheme="minorBidi"/>
          <w:bCs/>
          <w:i/>
          <w:sz w:val="20"/>
        </w:rPr>
        <w:t xml:space="preserve">- 800 AM y </w:t>
      </w:r>
      <w:proofErr w:type="spellStart"/>
      <w:r w:rsidRPr="00A75729">
        <w:rPr>
          <w:rFonts w:eastAsiaTheme="minorHAnsi" w:cstheme="minorBidi"/>
          <w:bCs/>
          <w:i/>
          <w:sz w:val="20"/>
        </w:rPr>
        <w:t>XHDD</w:t>
      </w:r>
      <w:proofErr w:type="spellEnd"/>
      <w:r w:rsidRPr="00A75729">
        <w:rPr>
          <w:rFonts w:eastAsiaTheme="minorHAnsi" w:cstheme="minorBidi"/>
          <w:bCs/>
          <w:i/>
          <w:sz w:val="20"/>
        </w:rPr>
        <w:t xml:space="preserve">-92.9 FM se tiene que los equipos de transmisores de la estación AM y la estación complementaria de FM </w:t>
      </w:r>
      <w:r w:rsidRPr="00A75729">
        <w:rPr>
          <w:rFonts w:eastAsiaTheme="minorHAnsi" w:cstheme="minorBidi"/>
          <w:bCs/>
          <w:i/>
          <w:sz w:val="20"/>
          <w:u w:val="single"/>
        </w:rPr>
        <w:t>se ubican en la localidad de Ojo de Agua, municipio de Montemorelos, Nuevo León.</w:t>
      </w:r>
      <w:r w:rsidRPr="00A75729">
        <w:rPr>
          <w:rFonts w:eastAsiaTheme="minorHAnsi" w:cstheme="minorBidi"/>
          <w:bCs/>
          <w:i/>
          <w:sz w:val="20"/>
        </w:rPr>
        <w:t>”</w:t>
      </w:r>
      <w:r w:rsidRPr="00A75729">
        <w:rPr>
          <w:rFonts w:eastAsiaTheme="minorHAnsi" w:cstheme="minorBidi"/>
          <w:bCs/>
          <w:sz w:val="20"/>
        </w:rPr>
        <w:t xml:space="preserve"> [Énfasis añadido]</w:t>
      </w:r>
    </w:p>
    <w:p w:rsidR="003B2317" w:rsidRPr="00A75729" w:rsidRDefault="003B2317" w:rsidP="00DB5335">
      <w:pPr>
        <w:shd w:val="clear" w:color="auto" w:fill="FFFFFF"/>
        <w:spacing w:after="0"/>
      </w:pPr>
      <w:r w:rsidRPr="00A75729">
        <w:t xml:space="preserve">De acuerdo con lo anterior, las estaciones </w:t>
      </w:r>
      <w:r w:rsidR="00A75729">
        <w:t>materia de la Operación</w:t>
      </w:r>
      <w:r w:rsidR="001A04AF" w:rsidRPr="00A75729">
        <w:t>:</w:t>
      </w:r>
      <w:r w:rsidRPr="00A75729">
        <w:t xml:space="preserve"> </w:t>
      </w:r>
      <w:proofErr w:type="spellStart"/>
      <w:r w:rsidRPr="00A75729">
        <w:t>XHDD</w:t>
      </w:r>
      <w:proofErr w:type="spellEnd"/>
      <w:r w:rsidRPr="00A75729">
        <w:t xml:space="preserve">-FM y </w:t>
      </w:r>
      <w:proofErr w:type="spellStart"/>
      <w:r w:rsidR="0040305B" w:rsidRPr="00A75729">
        <w:t>X</w:t>
      </w:r>
      <w:r w:rsidRPr="00A75729">
        <w:t>EDD</w:t>
      </w:r>
      <w:proofErr w:type="spellEnd"/>
      <w:r w:rsidRPr="00A75729">
        <w:t>-AM</w:t>
      </w:r>
      <w:r w:rsidR="001A04AF" w:rsidRPr="00A75729">
        <w:t>,</w:t>
      </w:r>
      <w:r w:rsidRPr="00A75729">
        <w:t xml:space="preserve"> operan en</w:t>
      </w:r>
      <w:r w:rsidR="006C2BE2" w:rsidRPr="00A75729">
        <w:t xml:space="preserve"> un formato que en la industria se denomina </w:t>
      </w:r>
      <w:r w:rsidRPr="00A75729">
        <w:rPr>
          <w:i/>
        </w:rPr>
        <w:t>“combo”</w:t>
      </w:r>
      <w:r w:rsidRPr="00A75729">
        <w:t xml:space="preserve">, </w:t>
      </w:r>
      <w:r w:rsidR="006C2BE2" w:rsidRPr="00A75729">
        <w:t xml:space="preserve">en </w:t>
      </w:r>
      <w:r w:rsidRPr="00A75729">
        <w:t xml:space="preserve">el cual la estación AM retransmite en forma simultánea el mismo contenido de programación </w:t>
      </w:r>
      <w:r w:rsidR="006C2BE2" w:rsidRPr="00A75729">
        <w:t>que</w:t>
      </w:r>
      <w:r w:rsidRPr="00A75729">
        <w:t xml:space="preserve"> </w:t>
      </w:r>
      <w:r w:rsidR="0040305B" w:rsidRPr="00A75729">
        <w:t>la estación</w:t>
      </w:r>
      <w:r w:rsidRPr="00A75729">
        <w:t xml:space="preserve"> FM asociada</w:t>
      </w:r>
      <w:r w:rsidR="001A04AF" w:rsidRPr="00A75729">
        <w:t>,</w:t>
      </w:r>
      <w:r w:rsidR="001A04AF" w:rsidRPr="00A75729">
        <w:rPr>
          <w:rStyle w:val="Refdenotaalpie"/>
        </w:rPr>
        <w:footnoteReference w:id="15"/>
      </w:r>
      <w:r w:rsidR="001A04AF" w:rsidRPr="00A75729">
        <w:t xml:space="preserve"> </w:t>
      </w:r>
      <w:r w:rsidR="006C2BE2" w:rsidRPr="00A75729">
        <w:t xml:space="preserve">cuya </w:t>
      </w:r>
      <w:r w:rsidR="001A04AF" w:rsidRPr="00A75729">
        <w:rPr>
          <w:rFonts w:eastAsiaTheme="minorHAnsi" w:cstheme="minorBidi"/>
          <w:bCs/>
        </w:rPr>
        <w:t xml:space="preserve">principal </w:t>
      </w:r>
      <w:r w:rsidR="006C2BE2" w:rsidRPr="00A75729">
        <w:rPr>
          <w:rFonts w:eastAsiaTheme="minorHAnsi" w:cstheme="minorBidi"/>
          <w:bCs/>
        </w:rPr>
        <w:t xml:space="preserve">población </w:t>
      </w:r>
      <w:r w:rsidR="001A04AF" w:rsidRPr="00A75729">
        <w:rPr>
          <w:rFonts w:eastAsiaTheme="minorHAnsi" w:cstheme="minorBidi"/>
          <w:bCs/>
        </w:rPr>
        <w:t xml:space="preserve">a servir </w:t>
      </w:r>
      <w:r w:rsidR="006C2BE2" w:rsidRPr="00A75729">
        <w:rPr>
          <w:rFonts w:eastAsiaTheme="minorHAnsi" w:cstheme="minorBidi"/>
          <w:bCs/>
        </w:rPr>
        <w:t xml:space="preserve">es </w:t>
      </w:r>
      <w:r w:rsidR="001A04AF" w:rsidRPr="00A75729">
        <w:rPr>
          <w:rFonts w:eastAsiaTheme="minorHAnsi" w:cstheme="minorBidi"/>
          <w:bCs/>
        </w:rPr>
        <w:t>la localidad de Ojo de Agua, Nuevo León.</w:t>
      </w:r>
    </w:p>
    <w:p w:rsidR="0051511C" w:rsidRPr="00A75729" w:rsidRDefault="00BB652D" w:rsidP="00BB652D">
      <w:pPr>
        <w:pStyle w:val="Ttulo3"/>
        <w:keepLines w:val="0"/>
        <w:spacing w:after="0"/>
        <w:ind w:firstLine="0"/>
        <w:rPr>
          <w:rFonts w:eastAsia="Times New Roman" w:cstheme="minorBidi"/>
          <w:szCs w:val="26"/>
          <w:lang w:val="es-MX"/>
        </w:rPr>
      </w:pPr>
      <w:bookmarkStart w:id="55" w:name="_Toc519100831"/>
      <w:r>
        <w:rPr>
          <w:rFonts w:eastAsia="Times New Roman" w:cstheme="minorBidi"/>
          <w:szCs w:val="26"/>
          <w:lang w:val="es-MX"/>
        </w:rPr>
        <w:t xml:space="preserve">3.5 </w:t>
      </w:r>
      <w:r w:rsidR="0051511C" w:rsidRPr="00A75729">
        <w:rPr>
          <w:rFonts w:eastAsia="Times New Roman" w:cstheme="minorBidi"/>
          <w:szCs w:val="26"/>
          <w:lang w:val="es-MX"/>
        </w:rPr>
        <w:t>Acuerdo</w:t>
      </w:r>
      <w:r w:rsidR="003D5EDF" w:rsidRPr="00A75729">
        <w:rPr>
          <w:rFonts w:eastAsia="Times New Roman" w:cstheme="minorBidi"/>
          <w:szCs w:val="26"/>
          <w:lang w:val="es-MX"/>
        </w:rPr>
        <w:t>s</w:t>
      </w:r>
      <w:r w:rsidR="0051511C" w:rsidRPr="00A75729">
        <w:rPr>
          <w:rFonts w:eastAsia="Times New Roman" w:cstheme="minorBidi"/>
          <w:szCs w:val="26"/>
          <w:lang w:val="es-MX"/>
        </w:rPr>
        <w:t xml:space="preserve"> comercial</w:t>
      </w:r>
      <w:r w:rsidR="003D5EDF" w:rsidRPr="00A75729">
        <w:rPr>
          <w:rFonts w:eastAsia="Times New Roman" w:cstheme="minorBidi"/>
          <w:szCs w:val="26"/>
          <w:lang w:val="es-MX"/>
        </w:rPr>
        <w:t>es adicionales</w:t>
      </w:r>
      <w:bookmarkEnd w:id="55"/>
    </w:p>
    <w:p w:rsidR="008A55C0" w:rsidRPr="00A75729" w:rsidRDefault="006C2BE2" w:rsidP="003D5EDF">
      <w:pPr>
        <w:pStyle w:val="Prrafodelista"/>
        <w:spacing w:after="120" w:line="276" w:lineRule="auto"/>
        <w:ind w:left="0" w:right="-1"/>
        <w:contextualSpacing w:val="0"/>
        <w:rPr>
          <w:rFonts w:cs="Arial"/>
          <w:color w:val="000000" w:themeColor="text1"/>
        </w:rPr>
      </w:pPr>
      <w:r w:rsidRPr="00A75729">
        <w:rPr>
          <w:rFonts w:cs="Arial"/>
          <w:color w:val="000000" w:themeColor="text1"/>
        </w:rPr>
        <w:t xml:space="preserve">De la documentación que obra en el Expediente se identifica </w:t>
      </w:r>
      <w:r w:rsidR="003D5EDF" w:rsidRPr="00A75729">
        <w:rPr>
          <w:rFonts w:cs="Arial"/>
          <w:color w:val="000000" w:themeColor="text1"/>
        </w:rPr>
        <w:t>que</w:t>
      </w:r>
      <w:r w:rsidR="008A55C0" w:rsidRPr="00A75729">
        <w:rPr>
          <w:rFonts w:cs="Arial"/>
          <w:color w:val="000000" w:themeColor="text1"/>
        </w:rPr>
        <w:t>:</w:t>
      </w:r>
    </w:p>
    <w:p w:rsidR="003D5EDF" w:rsidRPr="00A75729" w:rsidRDefault="003D5EDF" w:rsidP="008A55C0">
      <w:pPr>
        <w:pStyle w:val="Prrafodelista"/>
        <w:numPr>
          <w:ilvl w:val="0"/>
          <w:numId w:val="14"/>
        </w:numPr>
        <w:spacing w:after="120" w:line="276" w:lineRule="auto"/>
        <w:ind w:right="-1"/>
        <w:contextualSpacing w:val="0"/>
        <w:rPr>
          <w:rFonts w:cs="Arial"/>
          <w:color w:val="000000" w:themeColor="text1"/>
        </w:rPr>
      </w:pPr>
      <w:r w:rsidRPr="00A75729">
        <w:rPr>
          <w:rFonts w:cs="Arial"/>
          <w:color w:val="000000" w:themeColor="text1"/>
        </w:rPr>
        <w:t>Audio Publicidad cedió a favor de Radio Triunfos los derechos sobre la marca denominada “</w:t>
      </w:r>
      <w:r w:rsidRPr="00A75729">
        <w:rPr>
          <w:rFonts w:cs="Arial"/>
          <w:i/>
          <w:color w:val="000000" w:themeColor="text1"/>
        </w:rPr>
        <w:t>Delta 929 FM</w:t>
      </w:r>
      <w:r w:rsidRPr="00A75729">
        <w:rPr>
          <w:rFonts w:cs="Arial"/>
          <w:color w:val="000000" w:themeColor="text1"/>
        </w:rPr>
        <w:t>”</w:t>
      </w:r>
      <w:r w:rsidR="00362591" w:rsidRPr="00A75729">
        <w:rPr>
          <w:rFonts w:cs="Arial"/>
          <w:color w:val="000000" w:themeColor="text1"/>
        </w:rPr>
        <w:t xml:space="preserve"> </w:t>
      </w:r>
      <w:r w:rsidR="006C2BE2" w:rsidRPr="00A75729">
        <w:rPr>
          <w:rFonts w:cs="Arial"/>
          <w:color w:val="000000" w:themeColor="text1"/>
        </w:rPr>
        <w:t xml:space="preserve">asociada a las estaciones cedidas, </w:t>
      </w:r>
      <w:r w:rsidR="00362591" w:rsidRPr="00A75729">
        <w:rPr>
          <w:rFonts w:cs="Arial"/>
          <w:color w:val="000000" w:themeColor="text1"/>
        </w:rPr>
        <w:t xml:space="preserve">por un monto de </w:t>
      </w:r>
      <w:r w:rsidR="0034544B" w:rsidRPr="0034544B">
        <w:rPr>
          <w:b/>
          <w:bCs/>
          <w:color w:val="0000CC"/>
          <w:kern w:val="24"/>
          <w:sz w:val="20"/>
          <w:szCs w:val="20"/>
        </w:rPr>
        <w:t>“CONFIDENCIAL POR LEY (</w:t>
      </w:r>
      <w:r w:rsidR="00A74C34">
        <w:rPr>
          <w:b/>
          <w:bCs/>
          <w:color w:val="0000CC"/>
          <w:kern w:val="24"/>
          <w:sz w:val="20"/>
          <w:szCs w:val="20"/>
        </w:rPr>
        <w:t>7</w:t>
      </w:r>
      <w:r w:rsidR="0034544B" w:rsidRPr="0034544B">
        <w:rPr>
          <w:b/>
          <w:bCs/>
          <w:color w:val="0000CC"/>
          <w:kern w:val="24"/>
          <w:sz w:val="20"/>
          <w:szCs w:val="20"/>
        </w:rPr>
        <w:t>)”</w:t>
      </w:r>
      <w:r w:rsidR="00362591" w:rsidRPr="00A75729">
        <w:rPr>
          <w:rFonts w:cs="Arial"/>
          <w:color w:val="000000" w:themeColor="text1"/>
        </w:rPr>
        <w:t xml:space="preserve"> de pesos</w:t>
      </w:r>
      <w:r w:rsidR="008A55C0" w:rsidRPr="00A75729">
        <w:rPr>
          <w:rFonts w:cs="Arial"/>
          <w:color w:val="000000" w:themeColor="text1"/>
        </w:rPr>
        <w:t>,</w:t>
      </w:r>
      <w:r w:rsidRPr="00A75729">
        <w:rPr>
          <w:vertAlign w:val="superscript"/>
        </w:rPr>
        <w:footnoteReference w:id="16"/>
      </w:r>
      <w:r w:rsidR="008A55C0" w:rsidRPr="00A75729">
        <w:rPr>
          <w:rFonts w:cs="Arial"/>
          <w:color w:val="000000" w:themeColor="text1"/>
        </w:rPr>
        <w:t xml:space="preserve"> y </w:t>
      </w:r>
    </w:p>
    <w:p w:rsidR="008C4174" w:rsidRPr="00A75729" w:rsidRDefault="008A55C0" w:rsidP="008A55C0">
      <w:pPr>
        <w:pStyle w:val="Prrafodelista"/>
        <w:numPr>
          <w:ilvl w:val="0"/>
          <w:numId w:val="14"/>
        </w:numPr>
        <w:spacing w:after="120" w:line="276" w:lineRule="auto"/>
        <w:ind w:right="-1"/>
        <w:contextualSpacing w:val="0"/>
        <w:rPr>
          <w:rFonts w:cs="Arial"/>
          <w:color w:val="000000" w:themeColor="text1"/>
        </w:rPr>
      </w:pPr>
      <w:r w:rsidRPr="00A75729">
        <w:lastRenderedPageBreak/>
        <w:t>C</w:t>
      </w:r>
      <w:r w:rsidR="003D5EDF" w:rsidRPr="00A75729">
        <w:t xml:space="preserve">on anterioridad a la Operación, el 26 de junio de 2017, celebraron un contrato de compraventa de activos (del cual proporcionaron copia) mediante el cual </w:t>
      </w:r>
      <w:r w:rsidR="008C4174" w:rsidRPr="00A75729">
        <w:t>Radio</w:t>
      </w:r>
      <w:r w:rsidR="003D5EDF" w:rsidRPr="00A75729">
        <w:t xml:space="preserve"> Triunfos adquirió de Audio Publicidad equipos con los que </w:t>
      </w:r>
      <w:r w:rsidR="007A2B64" w:rsidRPr="00A75729">
        <w:t>funcionan</w:t>
      </w:r>
      <w:r w:rsidR="003D5EDF" w:rsidRPr="00A75729">
        <w:t xml:space="preserve"> las estaciones </w:t>
      </w:r>
      <w:r w:rsidR="00A75729">
        <w:t>materia de la Operación</w:t>
      </w:r>
      <w:r w:rsidRPr="00A75729">
        <w:t xml:space="preserve"> que incluyen, entre otros</w:t>
      </w:r>
      <w:r w:rsidR="003D5EDF" w:rsidRPr="00A75729">
        <w:t xml:space="preserve">: </w:t>
      </w:r>
      <w:r w:rsidR="0034544B" w:rsidRPr="0034544B">
        <w:rPr>
          <w:b/>
          <w:bCs/>
          <w:color w:val="0000CC"/>
          <w:kern w:val="24"/>
          <w:sz w:val="20"/>
          <w:szCs w:val="20"/>
        </w:rPr>
        <w:t>“CONFIDENCIAL POR LEY (</w:t>
      </w:r>
      <w:r w:rsidR="00A74C34">
        <w:rPr>
          <w:b/>
          <w:bCs/>
          <w:color w:val="0000CC"/>
          <w:kern w:val="24"/>
          <w:sz w:val="20"/>
          <w:szCs w:val="20"/>
        </w:rPr>
        <w:t>6</w:t>
      </w:r>
      <w:r w:rsidR="0034544B" w:rsidRPr="0034544B">
        <w:rPr>
          <w:b/>
          <w:bCs/>
          <w:color w:val="0000CC"/>
          <w:kern w:val="24"/>
          <w:sz w:val="20"/>
          <w:szCs w:val="20"/>
        </w:rPr>
        <w:t>)”</w:t>
      </w:r>
      <w:r w:rsidRPr="00A75729">
        <w:t>. E</w:t>
      </w:r>
      <w:r w:rsidR="003D5EDF" w:rsidRPr="00A75729">
        <w:t xml:space="preserve">l monto de esa transacción fue de </w:t>
      </w:r>
      <w:r w:rsidR="0034544B" w:rsidRPr="0034544B">
        <w:rPr>
          <w:b/>
          <w:bCs/>
          <w:color w:val="0000CC"/>
          <w:kern w:val="24"/>
          <w:sz w:val="20"/>
          <w:szCs w:val="20"/>
        </w:rPr>
        <w:t>“CONFIDENCIAL POR LEY (</w:t>
      </w:r>
      <w:r w:rsidR="00A74C34">
        <w:rPr>
          <w:b/>
          <w:bCs/>
          <w:color w:val="0000CC"/>
          <w:kern w:val="24"/>
          <w:sz w:val="20"/>
          <w:szCs w:val="20"/>
        </w:rPr>
        <w:t>7</w:t>
      </w:r>
      <w:r w:rsidR="0034544B" w:rsidRPr="0034544B">
        <w:rPr>
          <w:b/>
          <w:bCs/>
          <w:color w:val="0000CC"/>
          <w:kern w:val="24"/>
          <w:sz w:val="20"/>
          <w:szCs w:val="20"/>
        </w:rPr>
        <w:t>)”</w:t>
      </w:r>
      <w:r w:rsidR="003D5EDF" w:rsidRPr="00A75729">
        <w:t xml:space="preserve"> pesos</w:t>
      </w:r>
      <w:r w:rsidR="008C4174" w:rsidRPr="00A75729">
        <w:t>.</w:t>
      </w:r>
      <w:r w:rsidR="008C4174" w:rsidRPr="00A75729">
        <w:rPr>
          <w:rStyle w:val="Refdenotaalpie"/>
          <w:rFonts w:cs="Arial"/>
          <w:color w:val="000000" w:themeColor="text1"/>
        </w:rPr>
        <w:footnoteReference w:id="17"/>
      </w:r>
    </w:p>
    <w:p w:rsidR="0051511C" w:rsidRPr="00A75729" w:rsidRDefault="00696823" w:rsidP="00696823">
      <w:pPr>
        <w:pStyle w:val="Ttulo3"/>
        <w:keepLines w:val="0"/>
        <w:spacing w:after="0"/>
        <w:ind w:firstLine="0"/>
        <w:rPr>
          <w:rFonts w:eastAsia="Times New Roman" w:cstheme="minorBidi"/>
          <w:szCs w:val="26"/>
          <w:lang w:val="es-MX"/>
        </w:rPr>
      </w:pPr>
      <w:bookmarkStart w:id="56" w:name="_Toc519100832"/>
      <w:r>
        <w:rPr>
          <w:rFonts w:eastAsia="Times New Roman" w:cstheme="minorBidi"/>
          <w:szCs w:val="26"/>
          <w:lang w:val="es-MX"/>
        </w:rPr>
        <w:t xml:space="preserve">3.6 </w:t>
      </w:r>
      <w:r w:rsidR="0051511C" w:rsidRPr="00A75729">
        <w:rPr>
          <w:rFonts w:eastAsia="Times New Roman" w:cstheme="minorBidi"/>
          <w:szCs w:val="26"/>
          <w:lang w:val="es-MX"/>
        </w:rPr>
        <w:t>Objetivos de la Operación</w:t>
      </w:r>
      <w:bookmarkEnd w:id="56"/>
    </w:p>
    <w:p w:rsidR="0051511C" w:rsidRPr="00A75729" w:rsidRDefault="0051511C" w:rsidP="0051511C">
      <w:pPr>
        <w:pStyle w:val="Prrafodelista"/>
        <w:spacing w:after="120" w:line="276" w:lineRule="auto"/>
        <w:ind w:left="0" w:right="-1"/>
        <w:contextualSpacing w:val="0"/>
      </w:pPr>
      <w:r w:rsidRPr="00A75729">
        <w:t>Las Partes mencionaron que la racionalidad de la Operación estriba en los siguientes elementos:</w:t>
      </w:r>
      <w:r w:rsidRPr="00A75729">
        <w:rPr>
          <w:vertAlign w:val="superscript"/>
        </w:rPr>
        <w:footnoteReference w:id="18"/>
      </w:r>
    </w:p>
    <w:p w:rsidR="002A5BC5" w:rsidRPr="00A75729" w:rsidRDefault="002A5BC5" w:rsidP="00FB57CD">
      <w:pPr>
        <w:pStyle w:val="Prrafodelista"/>
        <w:numPr>
          <w:ilvl w:val="0"/>
          <w:numId w:val="13"/>
        </w:numPr>
        <w:spacing w:after="120" w:line="276" w:lineRule="auto"/>
        <w:ind w:left="426"/>
        <w:contextualSpacing w:val="0"/>
        <w:rPr>
          <w:rFonts w:eastAsia="Times New Roman"/>
          <w:i/>
          <w:color w:val="000000"/>
          <w:sz w:val="20"/>
          <w:lang w:val="es-MX"/>
        </w:rPr>
      </w:pPr>
      <w:r w:rsidRPr="00A75729">
        <w:rPr>
          <w:rFonts w:eastAsia="Times New Roman"/>
          <w:i/>
          <w:color w:val="000000"/>
          <w:sz w:val="20"/>
          <w:lang w:val="es-MX"/>
        </w:rPr>
        <w:t>“[Audio Publicidad se acercó con Radio Triunfos] con el propósito de ceder su concesión debido a que los ingresos de la estación de radiodifusión no son suficientes para poder mejorar la programación o aumentar las audiencias.”</w:t>
      </w:r>
    </w:p>
    <w:p w:rsidR="00CE5D23" w:rsidRPr="00A75729" w:rsidRDefault="00CE5D23" w:rsidP="00FB57CD">
      <w:pPr>
        <w:pStyle w:val="Prrafodelista"/>
        <w:numPr>
          <w:ilvl w:val="0"/>
          <w:numId w:val="13"/>
        </w:numPr>
        <w:spacing w:after="120" w:line="276" w:lineRule="auto"/>
        <w:ind w:left="426"/>
        <w:contextualSpacing w:val="0"/>
        <w:rPr>
          <w:rFonts w:eastAsia="Times New Roman"/>
          <w:color w:val="000000"/>
          <w:sz w:val="20"/>
          <w:lang w:val="es-MX"/>
        </w:rPr>
      </w:pPr>
      <w:r w:rsidRPr="00A75729">
        <w:rPr>
          <w:rFonts w:eastAsia="Times New Roman"/>
          <w:i/>
          <w:color w:val="000000"/>
          <w:sz w:val="20"/>
          <w:lang w:val="es-MX"/>
        </w:rPr>
        <w:t>Debido a las circunstancias de la inseguridad, tecnológica y económicas, la empresa Audio Publicidad empezó a presentar baja en los ingresos de la venta de publicidad, que después afectarían en el desarrollo operativo y crecimiento de ella misma, a tal grado que hubo ocasiones que no tenía para solventar los gastos operativos de la estación.</w:t>
      </w:r>
    </w:p>
    <w:p w:rsidR="003D72B3" w:rsidRPr="00A75729" w:rsidRDefault="000E13EC" w:rsidP="00DB5335">
      <w:pPr>
        <w:pStyle w:val="Prrafodelista"/>
        <w:numPr>
          <w:ilvl w:val="0"/>
          <w:numId w:val="13"/>
        </w:numPr>
        <w:spacing w:after="0" w:line="276" w:lineRule="auto"/>
        <w:ind w:left="426"/>
        <w:contextualSpacing w:val="0"/>
        <w:rPr>
          <w:rFonts w:eastAsia="Times New Roman"/>
          <w:color w:val="000000"/>
          <w:sz w:val="20"/>
          <w:lang w:val="es-MX"/>
        </w:rPr>
      </w:pPr>
      <w:r w:rsidRPr="00A75729">
        <w:rPr>
          <w:rFonts w:eastAsia="Times New Roman"/>
          <w:i/>
          <w:color w:val="000000"/>
          <w:sz w:val="20"/>
          <w:lang w:val="es-MX"/>
        </w:rPr>
        <w:t>(…) además a Audio P</w:t>
      </w:r>
      <w:r w:rsidR="00CE5D23" w:rsidRPr="00A75729">
        <w:rPr>
          <w:rFonts w:eastAsia="Times New Roman"/>
          <w:i/>
          <w:color w:val="000000"/>
          <w:sz w:val="20"/>
          <w:lang w:val="es-MX"/>
        </w:rPr>
        <w:t>ublicidad se le autoriz</w:t>
      </w:r>
      <w:r w:rsidR="002A5BC5" w:rsidRPr="00A75729">
        <w:rPr>
          <w:rFonts w:eastAsia="Times New Roman"/>
          <w:i/>
          <w:color w:val="000000"/>
          <w:sz w:val="20"/>
          <w:lang w:val="es-MX"/>
        </w:rPr>
        <w:t>ó</w:t>
      </w:r>
      <w:r w:rsidR="00CE5D23" w:rsidRPr="00A75729">
        <w:rPr>
          <w:rFonts w:eastAsia="Times New Roman"/>
          <w:i/>
          <w:color w:val="000000"/>
          <w:sz w:val="20"/>
          <w:lang w:val="es-MX"/>
        </w:rPr>
        <w:t xml:space="preserve"> su migración a FM en mayo de 2013, sin </w:t>
      </w:r>
      <w:proofErr w:type="gramStart"/>
      <w:r w:rsidR="00CE5D23" w:rsidRPr="00A75729">
        <w:rPr>
          <w:rFonts w:eastAsia="Times New Roman"/>
          <w:i/>
          <w:color w:val="000000"/>
          <w:sz w:val="20"/>
          <w:lang w:val="es-MX"/>
        </w:rPr>
        <w:t>embargo</w:t>
      </w:r>
      <w:proofErr w:type="gramEnd"/>
      <w:r w:rsidR="00CE5D23" w:rsidRPr="00A75729">
        <w:rPr>
          <w:rFonts w:eastAsia="Times New Roman"/>
          <w:i/>
          <w:color w:val="000000"/>
          <w:sz w:val="20"/>
          <w:lang w:val="es-MX"/>
        </w:rPr>
        <w:t xml:space="preserve"> </w:t>
      </w:r>
      <w:r w:rsidR="00CE5D23" w:rsidRPr="00A75729">
        <w:rPr>
          <w:rFonts w:eastAsia="Times New Roman"/>
          <w:i/>
          <w:color w:val="000000"/>
          <w:sz w:val="20"/>
          <w:u w:val="single"/>
          <w:lang w:val="es-MX"/>
        </w:rPr>
        <w:t xml:space="preserve">en julio de 2014 el pleno del </w:t>
      </w:r>
      <w:proofErr w:type="spellStart"/>
      <w:r w:rsidR="00CE5D23" w:rsidRPr="00A75729">
        <w:rPr>
          <w:rFonts w:eastAsia="Times New Roman"/>
          <w:i/>
          <w:color w:val="000000"/>
          <w:sz w:val="20"/>
          <w:u w:val="single"/>
          <w:lang w:val="es-MX"/>
        </w:rPr>
        <w:t>IFT</w:t>
      </w:r>
      <w:proofErr w:type="spellEnd"/>
      <w:r w:rsidR="00CE5D23" w:rsidRPr="00A75729">
        <w:rPr>
          <w:rFonts w:eastAsia="Times New Roman"/>
          <w:i/>
          <w:color w:val="000000"/>
          <w:sz w:val="20"/>
          <w:u w:val="single"/>
          <w:lang w:val="es-MX"/>
        </w:rPr>
        <w:t xml:space="preserve"> le impuso la carga de continuar operando su frecuencia de AM, lo cual implic</w:t>
      </w:r>
      <w:r w:rsidRPr="00A75729">
        <w:rPr>
          <w:rFonts w:eastAsia="Times New Roman"/>
          <w:i/>
          <w:color w:val="000000"/>
          <w:sz w:val="20"/>
          <w:u w:val="single"/>
          <w:lang w:val="es-MX"/>
        </w:rPr>
        <w:t>ó</w:t>
      </w:r>
      <w:r w:rsidR="00CE5D23" w:rsidRPr="00A75729">
        <w:rPr>
          <w:rFonts w:eastAsia="Times New Roman"/>
          <w:i/>
          <w:color w:val="000000"/>
          <w:sz w:val="20"/>
          <w:u w:val="single"/>
          <w:lang w:val="es-MX"/>
        </w:rPr>
        <w:t xml:space="preserve"> mayores gastos</w:t>
      </w:r>
      <w:r w:rsidR="00CE5D23" w:rsidRPr="00A75729">
        <w:rPr>
          <w:rFonts w:eastAsia="Times New Roman"/>
          <w:i/>
          <w:color w:val="000000"/>
          <w:sz w:val="20"/>
          <w:lang w:val="es-MX"/>
        </w:rPr>
        <w:t>, lo que abund</w:t>
      </w:r>
      <w:r w:rsidRPr="00A75729">
        <w:rPr>
          <w:rFonts w:eastAsia="Times New Roman"/>
          <w:i/>
          <w:color w:val="000000"/>
          <w:sz w:val="20"/>
          <w:lang w:val="es-MX"/>
        </w:rPr>
        <w:t>ó</w:t>
      </w:r>
      <w:r w:rsidR="00CE5D23" w:rsidRPr="00A75729">
        <w:rPr>
          <w:rFonts w:eastAsia="Times New Roman"/>
          <w:i/>
          <w:color w:val="000000"/>
          <w:sz w:val="20"/>
          <w:lang w:val="es-MX"/>
        </w:rPr>
        <w:t xml:space="preserve"> en su decisión de llevar a cabo la concentración que nos ocupa.”</w:t>
      </w:r>
      <w:r w:rsidR="007A2B64" w:rsidRPr="00A75729">
        <w:rPr>
          <w:rFonts w:eastAsia="Times New Roman"/>
          <w:i/>
          <w:color w:val="000000"/>
          <w:sz w:val="20"/>
          <w:lang w:val="es-MX"/>
        </w:rPr>
        <w:t xml:space="preserve"> </w:t>
      </w:r>
      <w:r w:rsidR="007A2B64" w:rsidRPr="00A75729">
        <w:rPr>
          <w:rFonts w:eastAsia="Times New Roman"/>
          <w:color w:val="000000"/>
          <w:sz w:val="20"/>
          <w:lang w:val="es-MX"/>
        </w:rPr>
        <w:t>[Énfasis añadido]</w:t>
      </w:r>
    </w:p>
    <w:p w:rsidR="009031EA" w:rsidRPr="00A75729" w:rsidRDefault="009031EA" w:rsidP="00DB5335">
      <w:pPr>
        <w:pStyle w:val="Ttulo2"/>
        <w:spacing w:after="0"/>
        <w:rPr>
          <w:rFonts w:eastAsia="Times New Roman" w:cstheme="minorBidi"/>
          <w:szCs w:val="26"/>
          <w:lang w:val="es-MX"/>
        </w:rPr>
      </w:pPr>
      <w:bookmarkStart w:id="57" w:name="_Toc519100833"/>
      <w:r w:rsidRPr="00A75729">
        <w:rPr>
          <w:rFonts w:eastAsia="Times New Roman" w:cstheme="minorBidi"/>
          <w:szCs w:val="26"/>
          <w:lang w:val="es-MX"/>
        </w:rPr>
        <w:t>CUARTO. Descripción de las Partes involucradas en la Operación</w:t>
      </w:r>
      <w:bookmarkEnd w:id="57"/>
    </w:p>
    <w:p w:rsidR="0029563A" w:rsidRPr="00696823" w:rsidRDefault="009031EA" w:rsidP="00696823">
      <w:pPr>
        <w:pStyle w:val="Prrafodelista"/>
        <w:spacing w:after="120" w:line="276" w:lineRule="auto"/>
        <w:ind w:left="0"/>
        <w:contextualSpacing w:val="0"/>
        <w:rPr>
          <w:rFonts w:eastAsia="Times New Roman"/>
          <w:color w:val="000000"/>
          <w:lang w:val="es-MX"/>
        </w:rPr>
      </w:pPr>
      <w:r w:rsidRPr="00A75729">
        <w:rPr>
          <w:rFonts w:eastAsia="Times New Roman"/>
          <w:color w:val="000000"/>
          <w:lang w:val="es-MX"/>
        </w:rPr>
        <w:t xml:space="preserve">En las siguientes secciones se presentan las estructuras del capital social y las actividades económicas que realizan </w:t>
      </w:r>
      <w:r w:rsidR="00274763" w:rsidRPr="00A75729">
        <w:rPr>
          <w:rFonts w:eastAsia="Times New Roman"/>
          <w:color w:val="000000"/>
          <w:lang w:val="es-MX"/>
        </w:rPr>
        <w:t>el Cedente y el Cesionario</w:t>
      </w:r>
      <w:r w:rsidRPr="00A75729">
        <w:rPr>
          <w:rFonts w:eastAsia="Times New Roman"/>
          <w:color w:val="000000"/>
          <w:lang w:val="es-MX"/>
        </w:rPr>
        <w:t>, así como las personas relacionadas con éstos.</w:t>
      </w:r>
      <w:bookmarkStart w:id="58" w:name="_Toc517823907"/>
      <w:bookmarkStart w:id="59" w:name="_Toc517980504"/>
      <w:bookmarkStart w:id="60" w:name="_Toc517980592"/>
      <w:bookmarkStart w:id="61" w:name="_Toc517983603"/>
      <w:bookmarkStart w:id="62" w:name="_Toc518329755"/>
      <w:bookmarkStart w:id="63" w:name="_Toc518923170"/>
      <w:bookmarkStart w:id="64" w:name="_Toc518923236"/>
      <w:bookmarkStart w:id="65" w:name="_Toc518923306"/>
      <w:bookmarkStart w:id="66" w:name="_Toc518925320"/>
      <w:bookmarkStart w:id="67" w:name="_Toc519008636"/>
      <w:bookmarkStart w:id="68" w:name="_Toc519013441"/>
      <w:bookmarkStart w:id="69" w:name="_Toc519100485"/>
      <w:bookmarkStart w:id="70" w:name="_Toc519100834"/>
      <w:bookmarkEnd w:id="58"/>
      <w:bookmarkEnd w:id="59"/>
      <w:bookmarkEnd w:id="60"/>
      <w:bookmarkEnd w:id="61"/>
      <w:bookmarkEnd w:id="62"/>
      <w:bookmarkEnd w:id="63"/>
      <w:bookmarkEnd w:id="64"/>
      <w:bookmarkEnd w:id="65"/>
      <w:bookmarkEnd w:id="66"/>
      <w:bookmarkEnd w:id="67"/>
      <w:bookmarkEnd w:id="68"/>
      <w:bookmarkEnd w:id="69"/>
      <w:bookmarkEnd w:id="70"/>
    </w:p>
    <w:p w:rsidR="00CC6D3E" w:rsidRPr="00696823" w:rsidRDefault="00696823" w:rsidP="00696823">
      <w:pPr>
        <w:pStyle w:val="Ttulo3"/>
        <w:keepLines w:val="0"/>
        <w:spacing w:after="0" w:line="240" w:lineRule="auto"/>
        <w:ind w:firstLine="0"/>
        <w:rPr>
          <w:rFonts w:eastAsia="Times New Roman" w:cstheme="minorBidi"/>
          <w:szCs w:val="26"/>
          <w:lang w:val="es-MX"/>
        </w:rPr>
      </w:pPr>
      <w:bookmarkStart w:id="71" w:name="_Toc519100835"/>
      <w:r>
        <w:rPr>
          <w:rFonts w:eastAsia="Times New Roman" w:cstheme="minorBidi"/>
          <w:szCs w:val="26"/>
          <w:lang w:val="es-MX"/>
        </w:rPr>
        <w:t xml:space="preserve">4.1 </w:t>
      </w:r>
      <w:r w:rsidR="009B02AB" w:rsidRPr="00A75729">
        <w:rPr>
          <w:rFonts w:eastAsia="Times New Roman" w:cstheme="minorBidi"/>
          <w:szCs w:val="26"/>
          <w:lang w:val="es-MX"/>
        </w:rPr>
        <w:t>Cedente</w:t>
      </w:r>
      <w:bookmarkStart w:id="72" w:name="_Toc517823909"/>
      <w:bookmarkStart w:id="73" w:name="_Toc517980506"/>
      <w:bookmarkStart w:id="74" w:name="_Toc517980594"/>
      <w:bookmarkStart w:id="75" w:name="_Toc517983605"/>
      <w:bookmarkStart w:id="76" w:name="_Toc518329757"/>
      <w:bookmarkStart w:id="77" w:name="_Toc518923172"/>
      <w:bookmarkStart w:id="78" w:name="_Toc518923238"/>
      <w:bookmarkStart w:id="79" w:name="_Toc518923308"/>
      <w:bookmarkStart w:id="80" w:name="_Toc518925322"/>
      <w:bookmarkStart w:id="81" w:name="_Toc519008638"/>
      <w:bookmarkStart w:id="82" w:name="_Toc519013443"/>
      <w:bookmarkStart w:id="83" w:name="_Toc519100487"/>
      <w:bookmarkStart w:id="84" w:name="_Toc519100836"/>
      <w:bookmarkStart w:id="85" w:name="_Toc517823910"/>
      <w:bookmarkStart w:id="86" w:name="_Toc517980507"/>
      <w:bookmarkStart w:id="87" w:name="_Toc517980595"/>
      <w:bookmarkStart w:id="88" w:name="_Toc517983606"/>
      <w:bookmarkStart w:id="89" w:name="_Toc518329758"/>
      <w:bookmarkStart w:id="90" w:name="_Toc518923173"/>
      <w:bookmarkStart w:id="91" w:name="_Toc518923239"/>
      <w:bookmarkStart w:id="92" w:name="_Toc518923309"/>
      <w:bookmarkStart w:id="93" w:name="_Toc518925323"/>
      <w:bookmarkStart w:id="94" w:name="_Toc519008639"/>
      <w:bookmarkStart w:id="95" w:name="_Toc519013444"/>
      <w:bookmarkStart w:id="96" w:name="_Toc519100488"/>
      <w:bookmarkStart w:id="97" w:name="_Toc519100837"/>
      <w:bookmarkStart w:id="98" w:name="_Toc517823911"/>
      <w:bookmarkStart w:id="99" w:name="_Toc517980508"/>
      <w:bookmarkStart w:id="100" w:name="_Toc517980596"/>
      <w:bookmarkStart w:id="101" w:name="_Toc517983607"/>
      <w:bookmarkStart w:id="102" w:name="_Toc518329759"/>
      <w:bookmarkStart w:id="103" w:name="_Toc518923174"/>
      <w:bookmarkStart w:id="104" w:name="_Toc518923240"/>
      <w:bookmarkStart w:id="105" w:name="_Toc518923310"/>
      <w:bookmarkStart w:id="106" w:name="_Toc518925324"/>
      <w:bookmarkStart w:id="107" w:name="_Toc519008640"/>
      <w:bookmarkStart w:id="108" w:name="_Toc519013445"/>
      <w:bookmarkStart w:id="109" w:name="_Toc519100489"/>
      <w:bookmarkStart w:id="110" w:name="_Toc519100838"/>
      <w:bookmarkStart w:id="111" w:name="_Toc517823912"/>
      <w:bookmarkStart w:id="112" w:name="_Toc517980509"/>
      <w:bookmarkStart w:id="113" w:name="_Toc517980597"/>
      <w:bookmarkStart w:id="114" w:name="_Toc517983608"/>
      <w:bookmarkStart w:id="115" w:name="_Toc518329760"/>
      <w:bookmarkStart w:id="116" w:name="_Toc518923175"/>
      <w:bookmarkStart w:id="117" w:name="_Toc518923241"/>
      <w:bookmarkStart w:id="118" w:name="_Toc518923311"/>
      <w:bookmarkStart w:id="119" w:name="_Toc518925325"/>
      <w:bookmarkStart w:id="120" w:name="_Toc519008641"/>
      <w:bookmarkStart w:id="121" w:name="_Toc519013446"/>
      <w:bookmarkStart w:id="122" w:name="_Toc519100490"/>
      <w:bookmarkStart w:id="123" w:name="_Toc519100839"/>
      <w:bookmarkStart w:id="124" w:name="_Toc517823913"/>
      <w:bookmarkStart w:id="125" w:name="_Toc517980510"/>
      <w:bookmarkStart w:id="126" w:name="_Toc517980598"/>
      <w:bookmarkStart w:id="127" w:name="_Toc517983609"/>
      <w:bookmarkStart w:id="128" w:name="_Toc518329761"/>
      <w:bookmarkStart w:id="129" w:name="_Toc518923176"/>
      <w:bookmarkStart w:id="130" w:name="_Toc518923242"/>
      <w:bookmarkStart w:id="131" w:name="_Toc518923312"/>
      <w:bookmarkStart w:id="132" w:name="_Toc518925326"/>
      <w:bookmarkStart w:id="133" w:name="_Toc519008642"/>
      <w:bookmarkStart w:id="134" w:name="_Toc519013447"/>
      <w:bookmarkStart w:id="135" w:name="_Toc519100491"/>
      <w:bookmarkStart w:id="136" w:name="_Toc51910084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FD7514" w:rsidRPr="00A75729" w:rsidRDefault="00696823" w:rsidP="00696823">
      <w:pPr>
        <w:pStyle w:val="Ttulo4"/>
        <w:keepNext/>
        <w:spacing w:before="360" w:after="0" w:line="240" w:lineRule="auto"/>
        <w:ind w:firstLine="708"/>
        <w:jc w:val="left"/>
        <w:rPr>
          <w:lang w:val="es-MX"/>
        </w:rPr>
      </w:pPr>
      <w:bookmarkStart w:id="137" w:name="_Toc519100841"/>
      <w:r>
        <w:rPr>
          <w:lang w:val="es-MX"/>
        </w:rPr>
        <w:t xml:space="preserve">4.1.1 </w:t>
      </w:r>
      <w:r w:rsidR="00FD7514" w:rsidRPr="00A75729">
        <w:rPr>
          <w:lang w:val="es-MX"/>
        </w:rPr>
        <w:t>Audio Publicidad</w:t>
      </w:r>
      <w:bookmarkEnd w:id="137"/>
    </w:p>
    <w:p w:rsidR="00F319BA" w:rsidRPr="00A75729" w:rsidRDefault="004D5321" w:rsidP="00F319BA">
      <w:pPr>
        <w:pStyle w:val="Sinespaciado"/>
        <w:spacing w:before="120" w:after="120" w:line="276" w:lineRule="auto"/>
        <w:jc w:val="both"/>
        <w:rPr>
          <w:rFonts w:ascii="ITC Avant Garde" w:hAnsi="ITC Avant Garde"/>
        </w:rPr>
      </w:pPr>
      <w:r w:rsidRPr="00A75729">
        <w:rPr>
          <w:rFonts w:ascii="ITC Avant Garde" w:hAnsi="ITC Avant Garde"/>
          <w:bCs/>
        </w:rPr>
        <w:t xml:space="preserve">Audio Publicidad es una sociedad constituida conforme a las leyes mexicanas, según consta en la escritura pública </w:t>
      </w:r>
      <w:r w:rsidR="004E2998" w:rsidRPr="00A75729">
        <w:rPr>
          <w:rFonts w:ascii="ITC Avant Garde" w:hAnsi="ITC Avant Garde"/>
          <w:bCs/>
        </w:rPr>
        <w:t>de</w:t>
      </w:r>
      <w:r w:rsidR="00501A7E" w:rsidRPr="00A75729">
        <w:rPr>
          <w:rFonts w:ascii="ITC Avant Garde" w:hAnsi="ITC Avant Garde"/>
          <w:bCs/>
        </w:rPr>
        <w:t>l 9 de diciembre de 1975,</w:t>
      </w:r>
      <w:r w:rsidR="00501A7E" w:rsidRPr="00A75729">
        <w:rPr>
          <w:rFonts w:ascii="ITC Avant Garde" w:eastAsia="Times New Roman" w:hAnsi="ITC Avant Garde"/>
          <w:color w:val="000000"/>
          <w:vertAlign w:val="superscript"/>
        </w:rPr>
        <w:footnoteReference w:id="19"/>
      </w:r>
      <w:r w:rsidR="00F319BA" w:rsidRPr="00A75729">
        <w:rPr>
          <w:rFonts w:ascii="ITC Avant Garde" w:hAnsi="ITC Avant Garde"/>
          <w:bCs/>
          <w:color w:val="000000"/>
          <w:lang w:eastAsia="es-MX"/>
        </w:rPr>
        <w:t xml:space="preserve"> cuya estructura accionaria se presenta en el Cuadro siguiente</w:t>
      </w:r>
      <w:r w:rsidR="00501A7E" w:rsidRPr="00A75729">
        <w:rPr>
          <w:rFonts w:ascii="ITC Avant Garde" w:hAnsi="ITC Avant Garde"/>
          <w:bCs/>
          <w:color w:val="000000"/>
          <w:lang w:eastAsia="es-MX"/>
        </w:rPr>
        <w:t>, misma que no se modificó en virtud de la Operación</w:t>
      </w:r>
      <w:r w:rsidR="00F319BA" w:rsidRPr="00A75729">
        <w:rPr>
          <w:rFonts w:ascii="ITC Avant Garde" w:hAnsi="ITC Avant Garde"/>
        </w:rPr>
        <w:t xml:space="preserve">. </w:t>
      </w:r>
    </w:p>
    <w:p w:rsidR="00F319BA" w:rsidRPr="00A75729" w:rsidRDefault="00C941A7" w:rsidP="00FB57CD">
      <w:pPr>
        <w:pStyle w:val="Prrafodelista"/>
        <w:keepNext/>
        <w:numPr>
          <w:ilvl w:val="0"/>
          <w:numId w:val="18"/>
        </w:numPr>
        <w:spacing w:after="120" w:line="276" w:lineRule="auto"/>
        <w:ind w:left="714" w:hanging="357"/>
        <w:contextualSpacing w:val="0"/>
        <w:jc w:val="center"/>
        <w:rPr>
          <w:b/>
          <w:szCs w:val="20"/>
        </w:rPr>
      </w:pPr>
      <w:r w:rsidRPr="00A75729">
        <w:rPr>
          <w:b/>
          <w:szCs w:val="20"/>
        </w:rPr>
        <w:lastRenderedPageBreak/>
        <w:t>Accionistas</w:t>
      </w:r>
      <w:r w:rsidR="00F319BA" w:rsidRPr="00A75729">
        <w:rPr>
          <w:b/>
          <w:szCs w:val="20"/>
        </w:rPr>
        <w:t xml:space="preserve"> de</w:t>
      </w:r>
      <w:r w:rsidR="00753838" w:rsidRPr="00A75729">
        <w:rPr>
          <w:b/>
          <w:szCs w:val="20"/>
        </w:rPr>
        <w:t xml:space="preserve"> Audio Publicidad</w:t>
      </w:r>
      <w:r w:rsidR="00F319BA" w:rsidRPr="00A75729">
        <w:rPr>
          <w:b/>
          <w:szCs w:val="20"/>
        </w:rPr>
        <w:t xml:space="preserve"> </w:t>
      </w:r>
    </w:p>
    <w:tbl>
      <w:tblPr>
        <w:tblW w:w="3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8"/>
        <w:gridCol w:w="2098"/>
      </w:tblGrid>
      <w:tr w:rsidR="00501A7E" w:rsidRPr="00A75729" w:rsidTr="00501A7E">
        <w:trPr>
          <w:trHeight w:val="53"/>
          <w:tblHeader/>
          <w:jc w:val="center"/>
        </w:trPr>
        <w:tc>
          <w:tcPr>
            <w:tcW w:w="3490" w:type="pct"/>
            <w:shd w:val="clear" w:color="auto" w:fill="92D050"/>
            <w:noWrap/>
            <w:vAlign w:val="center"/>
            <w:hideMark/>
          </w:tcPr>
          <w:p w:rsidR="00501A7E" w:rsidRPr="00A75729" w:rsidRDefault="00501A7E" w:rsidP="00501A7E">
            <w:pPr>
              <w:keepNext/>
              <w:spacing w:before="0" w:after="0" w:line="240" w:lineRule="auto"/>
              <w:jc w:val="center"/>
              <w:rPr>
                <w:rFonts w:eastAsia="Times New Roman"/>
                <w:b/>
                <w:bCs/>
                <w:sz w:val="20"/>
                <w:szCs w:val="18"/>
              </w:rPr>
            </w:pPr>
            <w:r w:rsidRPr="00A75729">
              <w:rPr>
                <w:rFonts w:eastAsia="Times New Roman"/>
                <w:b/>
                <w:bCs/>
                <w:sz w:val="20"/>
                <w:szCs w:val="18"/>
              </w:rPr>
              <w:t>Accionista</w:t>
            </w:r>
          </w:p>
        </w:tc>
        <w:tc>
          <w:tcPr>
            <w:tcW w:w="1510" w:type="pct"/>
            <w:shd w:val="clear" w:color="auto" w:fill="92D050"/>
            <w:vAlign w:val="center"/>
          </w:tcPr>
          <w:p w:rsidR="00501A7E" w:rsidRPr="00A75729" w:rsidRDefault="00501A7E" w:rsidP="00501A7E">
            <w:pPr>
              <w:keepNext/>
              <w:spacing w:before="0" w:after="0" w:line="240" w:lineRule="auto"/>
              <w:jc w:val="center"/>
              <w:rPr>
                <w:rFonts w:eastAsia="Times New Roman"/>
                <w:b/>
                <w:bCs/>
                <w:sz w:val="20"/>
                <w:szCs w:val="18"/>
              </w:rPr>
            </w:pPr>
            <w:r w:rsidRPr="00A75729">
              <w:rPr>
                <w:rFonts w:eastAsia="Times New Roman"/>
                <w:b/>
                <w:bCs/>
                <w:sz w:val="20"/>
                <w:szCs w:val="18"/>
              </w:rPr>
              <w:t>Participación (%)</w:t>
            </w:r>
          </w:p>
        </w:tc>
      </w:tr>
      <w:tr w:rsidR="0049763B" w:rsidRPr="00A75729" w:rsidTr="00501A7E">
        <w:trPr>
          <w:trHeight w:val="20"/>
          <w:jc w:val="center"/>
        </w:trPr>
        <w:tc>
          <w:tcPr>
            <w:tcW w:w="3490" w:type="pct"/>
            <w:shd w:val="clear" w:color="000000" w:fill="FFFFFF"/>
            <w:vAlign w:val="center"/>
          </w:tcPr>
          <w:p w:rsidR="0049763B" w:rsidRPr="00A75729" w:rsidRDefault="0049763B" w:rsidP="00501A7E">
            <w:pPr>
              <w:spacing w:before="0" w:after="0" w:line="240" w:lineRule="auto"/>
              <w:rPr>
                <w:rFonts w:eastAsia="Times New Roman"/>
                <w:color w:val="000000"/>
                <w:sz w:val="20"/>
                <w:szCs w:val="18"/>
              </w:rPr>
            </w:pPr>
            <w:r w:rsidRPr="00A75729">
              <w:rPr>
                <w:rFonts w:eastAsia="Times New Roman"/>
                <w:color w:val="000000"/>
                <w:sz w:val="20"/>
                <w:szCs w:val="18"/>
              </w:rPr>
              <w:t xml:space="preserve">Adalberto Gerardo </w:t>
            </w:r>
            <w:proofErr w:type="spellStart"/>
            <w:r w:rsidRPr="00A75729">
              <w:rPr>
                <w:rFonts w:eastAsia="Times New Roman"/>
                <w:color w:val="000000"/>
                <w:sz w:val="20"/>
                <w:szCs w:val="18"/>
              </w:rPr>
              <w:t>Pezino</w:t>
            </w:r>
            <w:proofErr w:type="spellEnd"/>
            <w:r w:rsidRPr="00A75729">
              <w:rPr>
                <w:rFonts w:eastAsia="Times New Roman"/>
                <w:color w:val="000000"/>
                <w:sz w:val="20"/>
                <w:szCs w:val="18"/>
              </w:rPr>
              <w:t xml:space="preserve"> Hernández</w:t>
            </w:r>
          </w:p>
        </w:tc>
        <w:tc>
          <w:tcPr>
            <w:tcW w:w="1510" w:type="pct"/>
            <w:shd w:val="clear" w:color="auto" w:fill="auto"/>
            <w:noWrap/>
            <w:vAlign w:val="center"/>
          </w:tcPr>
          <w:p w:rsidR="0049763B" w:rsidRPr="00A75729" w:rsidRDefault="0049763B" w:rsidP="00501A7E">
            <w:pPr>
              <w:spacing w:before="0" w:after="0" w:line="240" w:lineRule="auto"/>
              <w:jc w:val="right"/>
              <w:rPr>
                <w:rFonts w:eastAsia="Times New Roman"/>
                <w:color w:val="000000"/>
                <w:sz w:val="20"/>
                <w:szCs w:val="18"/>
              </w:rPr>
            </w:pPr>
            <w:r w:rsidRPr="00A75729">
              <w:rPr>
                <w:rFonts w:eastAsia="Times New Roman"/>
                <w:color w:val="000000"/>
                <w:sz w:val="20"/>
                <w:szCs w:val="18"/>
              </w:rPr>
              <w:t>40.00</w:t>
            </w:r>
          </w:p>
        </w:tc>
      </w:tr>
      <w:tr w:rsidR="0049763B" w:rsidRPr="00A75729" w:rsidTr="00501A7E">
        <w:trPr>
          <w:trHeight w:val="20"/>
          <w:jc w:val="center"/>
        </w:trPr>
        <w:tc>
          <w:tcPr>
            <w:tcW w:w="3490" w:type="pct"/>
            <w:shd w:val="clear" w:color="000000" w:fill="FFFFFF"/>
            <w:vAlign w:val="center"/>
          </w:tcPr>
          <w:p w:rsidR="0049763B" w:rsidRPr="00A75729" w:rsidRDefault="0049763B" w:rsidP="00501A7E">
            <w:pPr>
              <w:spacing w:before="0" w:after="0" w:line="240" w:lineRule="auto"/>
              <w:rPr>
                <w:rFonts w:eastAsia="Times New Roman"/>
                <w:color w:val="000000"/>
                <w:sz w:val="20"/>
                <w:szCs w:val="18"/>
              </w:rPr>
            </w:pPr>
            <w:r w:rsidRPr="00A75729">
              <w:rPr>
                <w:rFonts w:eastAsia="Times New Roman"/>
                <w:color w:val="000000"/>
                <w:sz w:val="20"/>
                <w:szCs w:val="18"/>
              </w:rPr>
              <w:t xml:space="preserve">Leticia Susana </w:t>
            </w:r>
            <w:proofErr w:type="spellStart"/>
            <w:r w:rsidRPr="00A75729">
              <w:rPr>
                <w:rFonts w:eastAsia="Times New Roman"/>
                <w:color w:val="000000"/>
                <w:sz w:val="20"/>
                <w:szCs w:val="18"/>
              </w:rPr>
              <w:t>Pezino</w:t>
            </w:r>
            <w:proofErr w:type="spellEnd"/>
            <w:r w:rsidRPr="00A75729">
              <w:rPr>
                <w:rFonts w:eastAsia="Times New Roman"/>
                <w:color w:val="000000"/>
                <w:sz w:val="20"/>
                <w:szCs w:val="18"/>
              </w:rPr>
              <w:t xml:space="preserve"> Hernández</w:t>
            </w:r>
          </w:p>
        </w:tc>
        <w:tc>
          <w:tcPr>
            <w:tcW w:w="1510" w:type="pct"/>
            <w:shd w:val="clear" w:color="auto" w:fill="auto"/>
            <w:noWrap/>
            <w:vAlign w:val="center"/>
          </w:tcPr>
          <w:p w:rsidR="0049763B" w:rsidRPr="00A75729" w:rsidRDefault="0049763B" w:rsidP="00501A7E">
            <w:pPr>
              <w:spacing w:before="0" w:after="0" w:line="240" w:lineRule="auto"/>
              <w:jc w:val="right"/>
              <w:rPr>
                <w:rFonts w:eastAsia="Times New Roman"/>
                <w:color w:val="000000"/>
                <w:sz w:val="20"/>
                <w:szCs w:val="18"/>
              </w:rPr>
            </w:pPr>
            <w:r w:rsidRPr="00A75729">
              <w:rPr>
                <w:rFonts w:eastAsia="Times New Roman"/>
                <w:color w:val="000000"/>
                <w:sz w:val="20"/>
                <w:szCs w:val="18"/>
              </w:rPr>
              <w:t>30.00</w:t>
            </w:r>
          </w:p>
        </w:tc>
      </w:tr>
      <w:tr w:rsidR="0049763B" w:rsidRPr="00A75729" w:rsidTr="00501A7E">
        <w:trPr>
          <w:trHeight w:val="20"/>
          <w:jc w:val="center"/>
        </w:trPr>
        <w:tc>
          <w:tcPr>
            <w:tcW w:w="3490" w:type="pct"/>
            <w:shd w:val="clear" w:color="000000" w:fill="FFFFFF"/>
            <w:vAlign w:val="center"/>
          </w:tcPr>
          <w:p w:rsidR="0049763B" w:rsidRPr="00A75729" w:rsidRDefault="0049763B" w:rsidP="00501A7E">
            <w:pPr>
              <w:spacing w:before="0" w:after="0" w:line="240" w:lineRule="auto"/>
              <w:rPr>
                <w:rFonts w:eastAsia="Times New Roman"/>
                <w:color w:val="000000"/>
                <w:sz w:val="20"/>
                <w:szCs w:val="18"/>
              </w:rPr>
            </w:pPr>
            <w:r w:rsidRPr="00A75729">
              <w:rPr>
                <w:rFonts w:eastAsia="Times New Roman"/>
                <w:color w:val="000000"/>
                <w:sz w:val="20"/>
                <w:szCs w:val="18"/>
              </w:rPr>
              <w:t xml:space="preserve">Verónica del Consuelo </w:t>
            </w:r>
            <w:proofErr w:type="spellStart"/>
            <w:r w:rsidRPr="00A75729">
              <w:rPr>
                <w:rFonts w:eastAsia="Times New Roman"/>
                <w:color w:val="000000"/>
                <w:sz w:val="20"/>
                <w:szCs w:val="18"/>
              </w:rPr>
              <w:t>Pezino</w:t>
            </w:r>
            <w:proofErr w:type="spellEnd"/>
            <w:r w:rsidRPr="00A75729">
              <w:rPr>
                <w:rFonts w:eastAsia="Times New Roman"/>
                <w:color w:val="000000"/>
                <w:sz w:val="20"/>
                <w:szCs w:val="18"/>
              </w:rPr>
              <w:t xml:space="preserve"> Hernández</w:t>
            </w:r>
          </w:p>
        </w:tc>
        <w:tc>
          <w:tcPr>
            <w:tcW w:w="1510" w:type="pct"/>
            <w:shd w:val="clear" w:color="auto" w:fill="auto"/>
            <w:noWrap/>
            <w:vAlign w:val="center"/>
          </w:tcPr>
          <w:p w:rsidR="0049763B" w:rsidRPr="00A75729" w:rsidRDefault="0049763B" w:rsidP="00501A7E">
            <w:pPr>
              <w:spacing w:before="0" w:after="0" w:line="240" w:lineRule="auto"/>
              <w:jc w:val="right"/>
              <w:rPr>
                <w:rFonts w:eastAsia="Times New Roman"/>
                <w:color w:val="000000"/>
                <w:sz w:val="20"/>
                <w:szCs w:val="18"/>
              </w:rPr>
            </w:pPr>
            <w:r w:rsidRPr="00A75729">
              <w:rPr>
                <w:rFonts w:eastAsia="Times New Roman"/>
                <w:color w:val="000000"/>
                <w:sz w:val="20"/>
                <w:szCs w:val="18"/>
              </w:rPr>
              <w:t>30.00</w:t>
            </w:r>
          </w:p>
        </w:tc>
      </w:tr>
      <w:tr w:rsidR="0049763B" w:rsidRPr="00A75729" w:rsidTr="00501A7E">
        <w:trPr>
          <w:trHeight w:val="20"/>
          <w:jc w:val="center"/>
        </w:trPr>
        <w:tc>
          <w:tcPr>
            <w:tcW w:w="3490" w:type="pct"/>
            <w:shd w:val="clear" w:color="000000" w:fill="FFFFFF"/>
            <w:vAlign w:val="center"/>
            <w:hideMark/>
          </w:tcPr>
          <w:p w:rsidR="0049763B" w:rsidRPr="00A75729" w:rsidRDefault="0049763B" w:rsidP="00501A7E">
            <w:pPr>
              <w:spacing w:before="0" w:after="0" w:line="240" w:lineRule="auto"/>
              <w:jc w:val="right"/>
              <w:rPr>
                <w:rFonts w:eastAsia="Times New Roman"/>
                <w:b/>
                <w:color w:val="000000"/>
                <w:sz w:val="20"/>
                <w:szCs w:val="18"/>
              </w:rPr>
            </w:pPr>
            <w:r w:rsidRPr="00A75729">
              <w:rPr>
                <w:rFonts w:eastAsia="Times New Roman"/>
                <w:b/>
                <w:color w:val="000000"/>
                <w:sz w:val="20"/>
                <w:szCs w:val="18"/>
              </w:rPr>
              <w:t>Total</w:t>
            </w:r>
          </w:p>
        </w:tc>
        <w:tc>
          <w:tcPr>
            <w:tcW w:w="1510" w:type="pct"/>
            <w:shd w:val="clear" w:color="auto" w:fill="auto"/>
            <w:noWrap/>
            <w:vAlign w:val="center"/>
            <w:hideMark/>
          </w:tcPr>
          <w:p w:rsidR="0049763B" w:rsidRPr="00A75729" w:rsidRDefault="0049763B" w:rsidP="00501A7E">
            <w:pPr>
              <w:spacing w:before="0" w:after="0" w:line="240" w:lineRule="auto"/>
              <w:jc w:val="right"/>
              <w:rPr>
                <w:rFonts w:eastAsia="Times New Roman"/>
                <w:b/>
                <w:color w:val="000000"/>
                <w:sz w:val="20"/>
                <w:szCs w:val="18"/>
              </w:rPr>
            </w:pPr>
            <w:r w:rsidRPr="00A75729">
              <w:rPr>
                <w:rFonts w:eastAsia="Times New Roman"/>
                <w:b/>
                <w:color w:val="000000"/>
                <w:sz w:val="20"/>
                <w:szCs w:val="18"/>
              </w:rPr>
              <w:t>100.00</w:t>
            </w:r>
          </w:p>
        </w:tc>
      </w:tr>
    </w:tbl>
    <w:p w:rsidR="00F319BA" w:rsidRPr="00A75729" w:rsidRDefault="00F319BA" w:rsidP="00501A7E">
      <w:pPr>
        <w:pStyle w:val="Sinespaciado"/>
        <w:spacing w:line="276" w:lineRule="auto"/>
        <w:ind w:left="1559" w:firstLine="1"/>
        <w:rPr>
          <w:rFonts w:ascii="ITC Avant Garde" w:hAnsi="ITC Avant Garde"/>
          <w:sz w:val="16"/>
          <w:szCs w:val="16"/>
        </w:rPr>
      </w:pPr>
      <w:r w:rsidRPr="00A75729">
        <w:rPr>
          <w:rFonts w:ascii="ITC Avant Garde" w:hAnsi="ITC Avant Garde"/>
          <w:sz w:val="16"/>
          <w:szCs w:val="16"/>
        </w:rPr>
        <w:t xml:space="preserve">Fuente: Elaboración propia con información </w:t>
      </w:r>
      <w:r w:rsidR="003365D5" w:rsidRPr="00A75729">
        <w:rPr>
          <w:rFonts w:ascii="ITC Avant Garde" w:hAnsi="ITC Avant Garde"/>
          <w:sz w:val="16"/>
          <w:szCs w:val="16"/>
        </w:rPr>
        <w:t xml:space="preserve">contenida en Foja </w:t>
      </w:r>
      <w:r w:rsidR="004E2998" w:rsidRPr="00A75729">
        <w:rPr>
          <w:rFonts w:ascii="ITC Avant Garde" w:hAnsi="ITC Avant Garde"/>
          <w:sz w:val="16"/>
          <w:szCs w:val="16"/>
        </w:rPr>
        <w:t>7</w:t>
      </w:r>
      <w:r w:rsidR="003365D5" w:rsidRPr="00A75729">
        <w:rPr>
          <w:rFonts w:ascii="ITC Avant Garde" w:hAnsi="ITC Avant Garde"/>
          <w:sz w:val="16"/>
          <w:szCs w:val="16"/>
        </w:rPr>
        <w:t xml:space="preserve"> del Expediente</w:t>
      </w:r>
      <w:r w:rsidR="003365D5" w:rsidRPr="00A75729" w:rsidDel="003365D5">
        <w:rPr>
          <w:rFonts w:ascii="ITC Avant Garde" w:hAnsi="ITC Avant Garde"/>
          <w:sz w:val="16"/>
          <w:szCs w:val="16"/>
        </w:rPr>
        <w:t xml:space="preserve"> </w:t>
      </w:r>
    </w:p>
    <w:p w:rsidR="00CF35D1" w:rsidRPr="00A75729" w:rsidRDefault="00CF35D1" w:rsidP="00CF35D1">
      <w:pPr>
        <w:pStyle w:val="Prrafodelista"/>
        <w:spacing w:after="120" w:line="276" w:lineRule="auto"/>
        <w:ind w:left="0"/>
        <w:contextualSpacing w:val="0"/>
        <w:rPr>
          <w:rFonts w:eastAsia="Times New Roman"/>
          <w:color w:val="000000"/>
          <w:lang w:val="es-MX"/>
        </w:rPr>
      </w:pPr>
      <w:r w:rsidRPr="00A75729">
        <w:t xml:space="preserve">Con base en la información proporcionada por las Partes, en el </w:t>
      </w:r>
      <w:r w:rsidR="008F6BF9" w:rsidRPr="00A75729">
        <w:t>C</w:t>
      </w:r>
      <w:r w:rsidRPr="00A75729">
        <w:t xml:space="preserve">uadro </w:t>
      </w:r>
      <w:r w:rsidR="008F6BF9" w:rsidRPr="00A75729">
        <w:t xml:space="preserve">siguiente </w:t>
      </w:r>
      <w:r w:rsidRPr="00A75729">
        <w:t xml:space="preserve">se presenta la información financiera de Audio Publicidad, para el año </w:t>
      </w:r>
      <w:r w:rsidR="00D25AEE" w:rsidRPr="00A75729">
        <w:t>2017</w:t>
      </w:r>
      <w:r w:rsidRPr="00A75729">
        <w:t>.</w:t>
      </w:r>
    </w:p>
    <w:p w:rsidR="00CF35D1" w:rsidRPr="00A75729" w:rsidRDefault="00CF35D1" w:rsidP="00FB57CD">
      <w:pPr>
        <w:pStyle w:val="Prrafodelista"/>
        <w:keepNext/>
        <w:numPr>
          <w:ilvl w:val="0"/>
          <w:numId w:val="18"/>
        </w:numPr>
        <w:spacing w:after="120" w:line="276" w:lineRule="auto"/>
        <w:ind w:left="426" w:hanging="357"/>
        <w:contextualSpacing w:val="0"/>
        <w:jc w:val="center"/>
        <w:rPr>
          <w:b/>
          <w:szCs w:val="20"/>
        </w:rPr>
      </w:pPr>
      <w:r w:rsidRPr="00A75729">
        <w:rPr>
          <w:b/>
          <w:szCs w:val="20"/>
        </w:rPr>
        <w:t>Cifras financieras no consolidadas de Audio Publicidad</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7"/>
        <w:gridCol w:w="3676"/>
      </w:tblGrid>
      <w:tr w:rsidR="00CF35D1" w:rsidRPr="00A75729" w:rsidTr="0034544B">
        <w:trPr>
          <w:trHeight w:val="20"/>
          <w:tblHeader/>
          <w:jc w:val="center"/>
        </w:trPr>
        <w:tc>
          <w:tcPr>
            <w:tcW w:w="4967" w:type="dxa"/>
            <w:shd w:val="clear" w:color="auto" w:fill="92D050"/>
            <w:vAlign w:val="center"/>
            <w:hideMark/>
          </w:tcPr>
          <w:p w:rsidR="00CF35D1" w:rsidRPr="00A75729" w:rsidRDefault="00CF35D1" w:rsidP="001F5317">
            <w:pPr>
              <w:keepNext/>
              <w:spacing w:before="0" w:after="0" w:line="240" w:lineRule="auto"/>
              <w:jc w:val="center"/>
              <w:rPr>
                <w:rFonts w:eastAsia="Times New Roman"/>
                <w:b/>
                <w:bCs/>
                <w:sz w:val="20"/>
                <w:szCs w:val="18"/>
              </w:rPr>
            </w:pPr>
            <w:r w:rsidRPr="00A75729">
              <w:rPr>
                <w:rFonts w:eastAsia="Times New Roman"/>
                <w:b/>
                <w:bCs/>
                <w:sz w:val="20"/>
                <w:szCs w:val="18"/>
              </w:rPr>
              <w:t>Concepto (pesos nominales)</w:t>
            </w:r>
          </w:p>
        </w:tc>
        <w:tc>
          <w:tcPr>
            <w:tcW w:w="3676" w:type="dxa"/>
            <w:shd w:val="clear" w:color="auto" w:fill="92D050"/>
            <w:vAlign w:val="center"/>
            <w:hideMark/>
          </w:tcPr>
          <w:p w:rsidR="00CF35D1" w:rsidRPr="00A75729" w:rsidRDefault="00CF35D1" w:rsidP="001F5317">
            <w:pPr>
              <w:keepNext/>
              <w:spacing w:before="0" w:after="0" w:line="240" w:lineRule="auto"/>
              <w:jc w:val="center"/>
              <w:rPr>
                <w:rFonts w:eastAsia="Times New Roman"/>
                <w:b/>
                <w:bCs/>
                <w:sz w:val="20"/>
                <w:szCs w:val="18"/>
              </w:rPr>
            </w:pPr>
            <w:r w:rsidRPr="00A75729">
              <w:rPr>
                <w:b/>
                <w:sz w:val="20"/>
                <w:szCs w:val="18"/>
              </w:rPr>
              <w:t xml:space="preserve">diciembre de </w:t>
            </w:r>
            <w:r w:rsidRPr="00A75729">
              <w:rPr>
                <w:rFonts w:eastAsia="Times New Roman"/>
                <w:b/>
                <w:bCs/>
                <w:sz w:val="20"/>
                <w:szCs w:val="18"/>
              </w:rPr>
              <w:t>2017</w:t>
            </w:r>
          </w:p>
        </w:tc>
      </w:tr>
      <w:tr w:rsidR="00CF35D1" w:rsidRPr="00A75729" w:rsidTr="0034544B">
        <w:trPr>
          <w:trHeight w:val="20"/>
          <w:jc w:val="center"/>
        </w:trPr>
        <w:tc>
          <w:tcPr>
            <w:tcW w:w="4967" w:type="dxa"/>
            <w:shd w:val="clear" w:color="auto" w:fill="auto"/>
            <w:vAlign w:val="center"/>
            <w:hideMark/>
          </w:tcPr>
          <w:p w:rsidR="00CF35D1" w:rsidRPr="00A75729" w:rsidRDefault="00CF35D1" w:rsidP="001F5317">
            <w:pPr>
              <w:keepNext/>
              <w:spacing w:before="0" w:after="0" w:line="240" w:lineRule="auto"/>
              <w:rPr>
                <w:rFonts w:eastAsia="Times New Roman"/>
                <w:color w:val="000000"/>
                <w:sz w:val="20"/>
                <w:szCs w:val="18"/>
              </w:rPr>
            </w:pPr>
            <w:r w:rsidRPr="00A75729">
              <w:rPr>
                <w:rFonts w:eastAsia="Times New Roman"/>
                <w:color w:val="000000"/>
                <w:sz w:val="20"/>
                <w:szCs w:val="18"/>
              </w:rPr>
              <w:t>Ingresos</w:t>
            </w:r>
          </w:p>
        </w:tc>
        <w:tc>
          <w:tcPr>
            <w:tcW w:w="3676" w:type="dxa"/>
            <w:shd w:val="clear" w:color="auto" w:fill="auto"/>
            <w:vAlign w:val="center"/>
          </w:tcPr>
          <w:p w:rsidR="00CF35D1" w:rsidRPr="00324C70" w:rsidRDefault="0034544B" w:rsidP="00A74C34">
            <w:pPr>
              <w:keepNext/>
              <w:spacing w:before="0" w:after="0" w:line="240" w:lineRule="auto"/>
              <w:ind w:right="190" w:firstLineChars="200" w:firstLine="400"/>
              <w:jc w:val="right"/>
              <w:rPr>
                <w:rFonts w:eastAsia="Times New Roman"/>
                <w:color w:val="000000"/>
                <w:sz w:val="20"/>
                <w:szCs w:val="18"/>
                <w:highlight w:val="green"/>
              </w:rPr>
            </w:pPr>
            <w:r w:rsidRPr="0034544B">
              <w:rPr>
                <w:b/>
                <w:bCs/>
                <w:color w:val="0000CC"/>
                <w:kern w:val="24"/>
                <w:sz w:val="20"/>
                <w:szCs w:val="20"/>
              </w:rPr>
              <w:t>“CONFIDENCIAL POR LEY (</w:t>
            </w:r>
            <w:r w:rsidR="00A74C34">
              <w:rPr>
                <w:b/>
                <w:bCs/>
                <w:color w:val="0000CC"/>
                <w:kern w:val="24"/>
                <w:sz w:val="20"/>
                <w:szCs w:val="20"/>
              </w:rPr>
              <w:t>7</w:t>
            </w:r>
            <w:r w:rsidRPr="0034544B">
              <w:rPr>
                <w:b/>
                <w:bCs/>
                <w:color w:val="0000CC"/>
                <w:kern w:val="24"/>
                <w:sz w:val="20"/>
                <w:szCs w:val="20"/>
              </w:rPr>
              <w:t>)”</w:t>
            </w:r>
          </w:p>
        </w:tc>
      </w:tr>
      <w:tr w:rsidR="00CF35D1" w:rsidRPr="00A75729" w:rsidTr="0034544B">
        <w:trPr>
          <w:trHeight w:val="20"/>
          <w:jc w:val="center"/>
        </w:trPr>
        <w:tc>
          <w:tcPr>
            <w:tcW w:w="4967" w:type="dxa"/>
            <w:shd w:val="clear" w:color="auto" w:fill="auto"/>
            <w:vAlign w:val="center"/>
            <w:hideMark/>
          </w:tcPr>
          <w:p w:rsidR="00CF35D1" w:rsidRPr="00A75729" w:rsidRDefault="00CF35D1" w:rsidP="001F5317">
            <w:pPr>
              <w:keepNext/>
              <w:spacing w:before="0" w:after="0" w:line="240" w:lineRule="auto"/>
              <w:rPr>
                <w:rFonts w:eastAsia="Times New Roman"/>
                <w:color w:val="000000"/>
                <w:sz w:val="20"/>
                <w:szCs w:val="18"/>
              </w:rPr>
            </w:pPr>
            <w:r w:rsidRPr="00A75729">
              <w:rPr>
                <w:rFonts w:eastAsia="Times New Roman"/>
                <w:color w:val="000000"/>
                <w:sz w:val="20"/>
                <w:szCs w:val="18"/>
              </w:rPr>
              <w:t xml:space="preserve">Utilidad (pérdida) neta </w:t>
            </w:r>
          </w:p>
        </w:tc>
        <w:tc>
          <w:tcPr>
            <w:tcW w:w="3676" w:type="dxa"/>
            <w:shd w:val="clear" w:color="auto" w:fill="auto"/>
            <w:vAlign w:val="center"/>
          </w:tcPr>
          <w:p w:rsidR="00CF35D1" w:rsidRPr="00324C70" w:rsidRDefault="0034544B" w:rsidP="00A74C34">
            <w:pPr>
              <w:keepNext/>
              <w:spacing w:before="0" w:after="0" w:line="240" w:lineRule="auto"/>
              <w:ind w:right="190" w:firstLineChars="200" w:firstLine="400"/>
              <w:jc w:val="right"/>
              <w:rPr>
                <w:rFonts w:eastAsia="Times New Roman"/>
                <w:color w:val="000000"/>
                <w:sz w:val="20"/>
                <w:szCs w:val="18"/>
                <w:highlight w:val="green"/>
              </w:rPr>
            </w:pPr>
            <w:r w:rsidRPr="0034544B">
              <w:rPr>
                <w:b/>
                <w:bCs/>
                <w:color w:val="0000CC"/>
                <w:kern w:val="24"/>
                <w:sz w:val="20"/>
                <w:szCs w:val="20"/>
              </w:rPr>
              <w:t>“CONFIDENCIAL POR LEY (</w:t>
            </w:r>
            <w:r w:rsidR="00A74C34">
              <w:rPr>
                <w:b/>
                <w:bCs/>
                <w:color w:val="0000CC"/>
                <w:kern w:val="24"/>
                <w:sz w:val="20"/>
                <w:szCs w:val="20"/>
              </w:rPr>
              <w:t>7</w:t>
            </w:r>
            <w:r w:rsidRPr="0034544B">
              <w:rPr>
                <w:b/>
                <w:bCs/>
                <w:color w:val="0000CC"/>
                <w:kern w:val="24"/>
                <w:sz w:val="20"/>
                <w:szCs w:val="20"/>
              </w:rPr>
              <w:t>)”</w:t>
            </w:r>
          </w:p>
        </w:tc>
      </w:tr>
      <w:tr w:rsidR="00CF35D1" w:rsidRPr="00A75729" w:rsidTr="0034544B">
        <w:trPr>
          <w:trHeight w:val="20"/>
          <w:jc w:val="center"/>
        </w:trPr>
        <w:tc>
          <w:tcPr>
            <w:tcW w:w="4967" w:type="dxa"/>
            <w:shd w:val="clear" w:color="auto" w:fill="auto"/>
            <w:vAlign w:val="center"/>
            <w:hideMark/>
          </w:tcPr>
          <w:p w:rsidR="00CF35D1" w:rsidRPr="00A75729" w:rsidRDefault="00CF35D1" w:rsidP="001F5317">
            <w:pPr>
              <w:keepNext/>
              <w:spacing w:before="0" w:after="0" w:line="240" w:lineRule="auto"/>
              <w:rPr>
                <w:rFonts w:eastAsia="Times New Roman"/>
                <w:color w:val="000000"/>
                <w:sz w:val="20"/>
                <w:szCs w:val="18"/>
              </w:rPr>
            </w:pPr>
            <w:r w:rsidRPr="00A75729">
              <w:rPr>
                <w:rFonts w:eastAsia="Times New Roman"/>
                <w:color w:val="000000"/>
                <w:sz w:val="20"/>
                <w:szCs w:val="18"/>
              </w:rPr>
              <w:t>Activos</w:t>
            </w:r>
          </w:p>
        </w:tc>
        <w:tc>
          <w:tcPr>
            <w:tcW w:w="3676" w:type="dxa"/>
            <w:shd w:val="clear" w:color="auto" w:fill="auto"/>
            <w:vAlign w:val="center"/>
          </w:tcPr>
          <w:p w:rsidR="00CF35D1" w:rsidRPr="00324C70" w:rsidRDefault="0034544B" w:rsidP="00A74C34">
            <w:pPr>
              <w:keepNext/>
              <w:spacing w:before="0" w:after="0" w:line="240" w:lineRule="auto"/>
              <w:ind w:right="190" w:firstLineChars="200" w:firstLine="400"/>
              <w:jc w:val="right"/>
              <w:rPr>
                <w:rFonts w:eastAsia="Times New Roman"/>
                <w:color w:val="000000"/>
                <w:sz w:val="20"/>
                <w:szCs w:val="18"/>
                <w:highlight w:val="green"/>
              </w:rPr>
            </w:pPr>
            <w:r w:rsidRPr="0034544B">
              <w:rPr>
                <w:b/>
                <w:bCs/>
                <w:color w:val="0000CC"/>
                <w:kern w:val="24"/>
                <w:sz w:val="20"/>
                <w:szCs w:val="20"/>
              </w:rPr>
              <w:t>“CONFIDENCIAL POR LEY (</w:t>
            </w:r>
            <w:r w:rsidR="00A74C34">
              <w:rPr>
                <w:b/>
                <w:bCs/>
                <w:color w:val="0000CC"/>
                <w:kern w:val="24"/>
                <w:sz w:val="20"/>
                <w:szCs w:val="20"/>
              </w:rPr>
              <w:t>7</w:t>
            </w:r>
            <w:r w:rsidRPr="0034544B">
              <w:rPr>
                <w:b/>
                <w:bCs/>
                <w:color w:val="0000CC"/>
                <w:kern w:val="24"/>
                <w:sz w:val="20"/>
                <w:szCs w:val="20"/>
              </w:rPr>
              <w:t>)”</w:t>
            </w:r>
          </w:p>
        </w:tc>
      </w:tr>
    </w:tbl>
    <w:p w:rsidR="00CF35D1" w:rsidRPr="00A75729" w:rsidRDefault="00CF35D1" w:rsidP="0029563A">
      <w:pPr>
        <w:pStyle w:val="Notaalpie"/>
        <w:ind w:left="1134" w:right="708"/>
        <w:rPr>
          <w:sz w:val="16"/>
        </w:rPr>
      </w:pPr>
      <w:r w:rsidRPr="00A75729">
        <w:rPr>
          <w:rFonts w:eastAsia="Calibri" w:cs="Times New Roman"/>
          <w:sz w:val="16"/>
        </w:rPr>
        <w:t xml:space="preserve">Fuente: Elaboración propia con información contenida </w:t>
      </w:r>
      <w:r w:rsidRPr="00A75729">
        <w:rPr>
          <w:sz w:val="16"/>
        </w:rPr>
        <w:t xml:space="preserve">en Fojas </w:t>
      </w:r>
      <w:r w:rsidR="004E2998" w:rsidRPr="00A75729">
        <w:rPr>
          <w:sz w:val="16"/>
        </w:rPr>
        <w:t>265</w:t>
      </w:r>
      <w:r w:rsidRPr="00A75729">
        <w:rPr>
          <w:sz w:val="16"/>
        </w:rPr>
        <w:t>-</w:t>
      </w:r>
      <w:r w:rsidR="004E2998" w:rsidRPr="00A75729">
        <w:rPr>
          <w:sz w:val="16"/>
        </w:rPr>
        <w:t>273</w:t>
      </w:r>
      <w:r w:rsidRPr="00A75729">
        <w:rPr>
          <w:sz w:val="16"/>
        </w:rPr>
        <w:t xml:space="preserve"> del Expediente.</w:t>
      </w:r>
    </w:p>
    <w:p w:rsidR="003E45DC" w:rsidRPr="00A75729" w:rsidRDefault="00696823" w:rsidP="00696823">
      <w:pPr>
        <w:pStyle w:val="Ttulo4"/>
        <w:keepNext/>
        <w:spacing w:before="360" w:after="0"/>
        <w:ind w:firstLine="708"/>
        <w:jc w:val="left"/>
        <w:rPr>
          <w:lang w:val="es-MX"/>
        </w:rPr>
      </w:pPr>
      <w:bookmarkStart w:id="138" w:name="_Toc519100842"/>
      <w:r>
        <w:rPr>
          <w:lang w:val="es-MX"/>
        </w:rPr>
        <w:t xml:space="preserve">4.1.2 </w:t>
      </w:r>
      <w:proofErr w:type="spellStart"/>
      <w:r w:rsidR="00CF35D1" w:rsidRPr="00A75729">
        <w:rPr>
          <w:lang w:val="es-MX"/>
        </w:rPr>
        <w:t>GIE</w:t>
      </w:r>
      <w:proofErr w:type="spellEnd"/>
      <w:r w:rsidR="00CF35D1" w:rsidRPr="00A75729">
        <w:rPr>
          <w:lang w:val="es-MX"/>
        </w:rPr>
        <w:t xml:space="preserve"> </w:t>
      </w:r>
      <w:r w:rsidR="0050772D" w:rsidRPr="00A75729">
        <w:rPr>
          <w:lang w:val="es-MX"/>
        </w:rPr>
        <w:t>d</w:t>
      </w:r>
      <w:r w:rsidR="00AC2A82" w:rsidRPr="00A75729">
        <w:rPr>
          <w:lang w:val="es-MX"/>
        </w:rPr>
        <w:t>el</w:t>
      </w:r>
      <w:r w:rsidR="00CF35D1" w:rsidRPr="00A75729">
        <w:rPr>
          <w:lang w:val="es-MX"/>
        </w:rPr>
        <w:t xml:space="preserve"> </w:t>
      </w:r>
      <w:r w:rsidR="00F9190C" w:rsidRPr="00A75729">
        <w:rPr>
          <w:lang w:val="es-MX"/>
        </w:rPr>
        <w:t>Cedente</w:t>
      </w:r>
      <w:bookmarkEnd w:id="138"/>
    </w:p>
    <w:p w:rsidR="00FA16AE" w:rsidRPr="00A75729" w:rsidRDefault="00FA16AE" w:rsidP="00FA16AE">
      <w:pPr>
        <w:pStyle w:val="Prrafodelista"/>
        <w:spacing w:after="120" w:line="276" w:lineRule="auto"/>
        <w:ind w:left="0"/>
        <w:contextualSpacing w:val="0"/>
        <w:rPr>
          <w:rFonts w:eastAsia="Times New Roman"/>
          <w:color w:val="000000"/>
        </w:rPr>
      </w:pPr>
      <w:r w:rsidRPr="00A75729">
        <w:rPr>
          <w:rFonts w:eastAsia="Times New Roman"/>
          <w:color w:val="000000"/>
          <w:lang w:val="es-MX"/>
        </w:rPr>
        <w:t>Las Partes declararon que “</w:t>
      </w:r>
      <w:r w:rsidRPr="00A75729">
        <w:rPr>
          <w:rFonts w:eastAsia="Times New Roman"/>
          <w:i/>
          <w:color w:val="000000"/>
          <w:lang w:val="es-MX"/>
        </w:rPr>
        <w:t>los accionistas de [Audio Publicidad] no tienen participación, directa o indirecta, en ningún otro agente económico que sea titular de concesiones que le permitan prestar servicios de radiodifusión. Asimismo, no tienen relación de parentesco, consanguinidad o afinidad, hasta el cuarto grado, con personas relacionadas con la provisión de servicios de radiodifusión.</w:t>
      </w:r>
      <w:r w:rsidRPr="00A75729">
        <w:rPr>
          <w:rFonts w:eastAsia="Times New Roman"/>
          <w:color w:val="000000"/>
          <w:lang w:val="es-MX"/>
        </w:rPr>
        <w:t>”</w:t>
      </w:r>
      <w:r w:rsidRPr="00A75729">
        <w:rPr>
          <w:rStyle w:val="Refdenotaalpie"/>
        </w:rPr>
        <w:footnoteReference w:id="20"/>
      </w:r>
    </w:p>
    <w:p w:rsidR="00C31A81" w:rsidRPr="00A75729" w:rsidRDefault="00FA16AE" w:rsidP="00FA16AE">
      <w:pPr>
        <w:pStyle w:val="Prrafodelista"/>
        <w:spacing w:after="120" w:line="276" w:lineRule="auto"/>
        <w:ind w:left="0"/>
        <w:contextualSpacing w:val="0"/>
        <w:rPr>
          <w:rFonts w:eastAsia="Times New Roman"/>
          <w:color w:val="000000"/>
          <w:lang w:val="es-MX"/>
        </w:rPr>
      </w:pPr>
      <w:r w:rsidRPr="00A75729">
        <w:rPr>
          <w:rFonts w:eastAsia="Times New Roman"/>
          <w:color w:val="000000"/>
          <w:lang w:val="es-MX"/>
        </w:rPr>
        <w:t xml:space="preserve">En virtud de lo anterior, se identifica que el Cedente y sus accionistas conforman un </w:t>
      </w:r>
      <w:proofErr w:type="spellStart"/>
      <w:r w:rsidRPr="00A75729">
        <w:rPr>
          <w:rFonts w:eastAsia="Times New Roman"/>
          <w:color w:val="000000"/>
          <w:lang w:val="es-MX"/>
        </w:rPr>
        <w:t>GIE</w:t>
      </w:r>
      <w:proofErr w:type="spellEnd"/>
      <w:r w:rsidRPr="00A75729">
        <w:rPr>
          <w:rFonts w:eastAsia="Times New Roman"/>
          <w:color w:val="000000"/>
          <w:lang w:val="es-MX"/>
        </w:rPr>
        <w:t xml:space="preserve"> controlado en última instancia por la </w:t>
      </w:r>
      <w:r w:rsidRPr="00A75729">
        <w:rPr>
          <w:rFonts w:eastAsia="Times New Roman"/>
          <w:b/>
          <w:color w:val="000000"/>
          <w:lang w:val="es-MX"/>
        </w:rPr>
        <w:t xml:space="preserve">familia </w:t>
      </w:r>
      <w:proofErr w:type="spellStart"/>
      <w:r w:rsidRPr="00A75729">
        <w:rPr>
          <w:rFonts w:eastAsia="Times New Roman"/>
          <w:b/>
          <w:color w:val="000000"/>
          <w:lang w:val="es-MX"/>
        </w:rPr>
        <w:t>Pezino</w:t>
      </w:r>
      <w:proofErr w:type="spellEnd"/>
      <w:r w:rsidRPr="00A75729">
        <w:rPr>
          <w:rFonts w:eastAsia="Times New Roman"/>
          <w:b/>
          <w:color w:val="000000"/>
          <w:lang w:val="es-MX"/>
        </w:rPr>
        <w:t xml:space="preserve"> Hernández</w:t>
      </w:r>
      <w:r w:rsidRPr="00A75729">
        <w:rPr>
          <w:rFonts w:eastAsia="Times New Roman"/>
          <w:color w:val="000000"/>
          <w:lang w:val="es-MX"/>
        </w:rPr>
        <w:t xml:space="preserve">, al que se le denominará </w:t>
      </w:r>
      <w:proofErr w:type="spellStart"/>
      <w:r w:rsidRPr="00A75729">
        <w:rPr>
          <w:rFonts w:eastAsia="Times New Roman"/>
          <w:b/>
          <w:color w:val="000000"/>
          <w:lang w:val="es-MX"/>
        </w:rPr>
        <w:t>GIE</w:t>
      </w:r>
      <w:proofErr w:type="spellEnd"/>
      <w:r w:rsidRPr="00A75729">
        <w:rPr>
          <w:rFonts w:eastAsia="Times New Roman"/>
          <w:b/>
          <w:color w:val="000000"/>
          <w:lang w:val="es-MX"/>
        </w:rPr>
        <w:t xml:space="preserve"> Audio Publicidad</w:t>
      </w:r>
      <w:r w:rsidRPr="00A75729">
        <w:rPr>
          <w:rFonts w:eastAsia="Times New Roman"/>
          <w:color w:val="000000"/>
          <w:lang w:val="es-MX"/>
        </w:rPr>
        <w:t>.</w:t>
      </w:r>
      <w:r w:rsidRPr="00A75729">
        <w:rPr>
          <w:rStyle w:val="Refdenotaalpie"/>
        </w:rPr>
        <w:footnoteReference w:id="21"/>
      </w:r>
    </w:p>
    <w:p w:rsidR="003C195E" w:rsidRPr="00A75729" w:rsidRDefault="00696823" w:rsidP="00696823">
      <w:pPr>
        <w:pStyle w:val="Ttulo4"/>
        <w:keepNext/>
        <w:spacing w:before="360" w:after="0"/>
        <w:ind w:firstLine="708"/>
        <w:jc w:val="left"/>
        <w:rPr>
          <w:lang w:val="es-MX"/>
        </w:rPr>
      </w:pPr>
      <w:bookmarkStart w:id="139" w:name="_Toc519100843"/>
      <w:r>
        <w:rPr>
          <w:lang w:val="es-MX"/>
        </w:rPr>
        <w:t xml:space="preserve">4.1.3 </w:t>
      </w:r>
      <w:r w:rsidR="003C195E" w:rsidRPr="00A75729">
        <w:rPr>
          <w:lang w:val="es-MX"/>
        </w:rPr>
        <w:t xml:space="preserve">Actividades del </w:t>
      </w:r>
      <w:proofErr w:type="spellStart"/>
      <w:r w:rsidR="003C195E" w:rsidRPr="00A75729">
        <w:rPr>
          <w:lang w:val="es-MX"/>
        </w:rPr>
        <w:t>GIE</w:t>
      </w:r>
      <w:proofErr w:type="spellEnd"/>
      <w:r w:rsidR="003C195E" w:rsidRPr="00A75729">
        <w:rPr>
          <w:lang w:val="es-MX"/>
        </w:rPr>
        <w:t xml:space="preserve"> Audio Publicidad</w:t>
      </w:r>
      <w:bookmarkEnd w:id="139"/>
    </w:p>
    <w:p w:rsidR="003C195E" w:rsidRPr="00A75729" w:rsidRDefault="003C195E" w:rsidP="003C195E">
      <w:pPr>
        <w:pStyle w:val="Prrafodelista"/>
        <w:spacing w:after="120" w:line="276" w:lineRule="auto"/>
        <w:ind w:left="0"/>
        <w:contextualSpacing w:val="0"/>
        <w:rPr>
          <w:rFonts w:eastAsia="Times New Roman"/>
          <w:color w:val="000000"/>
          <w:lang w:val="es-MX"/>
        </w:rPr>
      </w:pPr>
      <w:r w:rsidRPr="00A75729">
        <w:rPr>
          <w:rFonts w:eastAsia="Times New Roman"/>
          <w:color w:val="000000"/>
          <w:lang w:val="es-MX"/>
        </w:rPr>
        <w:t xml:space="preserve">De acuerdo con la información proporcionada por las Partes, el </w:t>
      </w:r>
      <w:proofErr w:type="spellStart"/>
      <w:r w:rsidRPr="00A75729">
        <w:rPr>
          <w:rFonts w:eastAsia="Times New Roman"/>
          <w:color w:val="000000"/>
          <w:lang w:val="es-MX"/>
        </w:rPr>
        <w:t>GIE</w:t>
      </w:r>
      <w:proofErr w:type="spellEnd"/>
      <w:r w:rsidRPr="00A75729">
        <w:rPr>
          <w:rFonts w:eastAsia="Times New Roman"/>
          <w:color w:val="000000"/>
          <w:lang w:val="es-MX"/>
        </w:rPr>
        <w:t xml:space="preserve"> Audio </w:t>
      </w:r>
      <w:r w:rsidR="00753705" w:rsidRPr="00A75729">
        <w:rPr>
          <w:rFonts w:eastAsia="Times New Roman"/>
          <w:color w:val="000000"/>
          <w:lang w:val="es-MX"/>
        </w:rPr>
        <w:t>Publicidad</w:t>
      </w:r>
      <w:r w:rsidRPr="00A75729">
        <w:rPr>
          <w:rFonts w:eastAsia="Times New Roman"/>
          <w:color w:val="000000"/>
          <w:lang w:val="es-MX"/>
        </w:rPr>
        <w:t xml:space="preserve"> </w:t>
      </w:r>
      <w:r w:rsidR="00D17BB7" w:rsidRPr="00A75729">
        <w:rPr>
          <w:rFonts w:eastAsia="Times New Roman"/>
          <w:color w:val="000000"/>
          <w:lang w:val="es-MX"/>
        </w:rPr>
        <w:t>participaba en la provisión de servicios de radiodifusión sonora a través del título de concesión materia de la Operación.</w:t>
      </w:r>
      <w:r w:rsidRPr="00A75729">
        <w:rPr>
          <w:rFonts w:eastAsia="Times New Roman"/>
          <w:color w:val="000000"/>
          <w:sz w:val="20"/>
          <w:vertAlign w:val="superscript"/>
          <w:lang w:val="es-MX"/>
        </w:rPr>
        <w:footnoteReference w:id="22"/>
      </w:r>
    </w:p>
    <w:p w:rsidR="00F9190C" w:rsidRPr="00A75729" w:rsidRDefault="003C195E" w:rsidP="00D17BB7">
      <w:pPr>
        <w:pStyle w:val="Prrafodelista"/>
        <w:spacing w:after="120" w:line="276" w:lineRule="auto"/>
        <w:ind w:left="0"/>
        <w:contextualSpacing w:val="0"/>
      </w:pPr>
      <w:r w:rsidRPr="00A75729">
        <w:rPr>
          <w:rFonts w:eastAsia="Times New Roman"/>
          <w:color w:val="000000"/>
          <w:lang w:val="es-MX"/>
        </w:rPr>
        <w:t xml:space="preserve">Con base en la información proporcionada por las Partes y </w:t>
      </w:r>
      <w:r w:rsidR="00DA612F" w:rsidRPr="00A75729">
        <w:rPr>
          <w:rFonts w:eastAsia="Times New Roman"/>
          <w:color w:val="000000"/>
          <w:lang w:val="es-MX"/>
        </w:rPr>
        <w:t xml:space="preserve">la disponible en </w:t>
      </w:r>
      <w:r w:rsidRPr="00A75729">
        <w:rPr>
          <w:rFonts w:eastAsia="Times New Roman"/>
          <w:color w:val="000000"/>
          <w:lang w:val="es-MX"/>
        </w:rPr>
        <w:t>el</w:t>
      </w:r>
      <w:r w:rsidR="00B31B4C" w:rsidRPr="00A75729">
        <w:rPr>
          <w:rFonts w:eastAsia="Times New Roman"/>
          <w:color w:val="000000"/>
          <w:lang w:val="es-MX"/>
        </w:rPr>
        <w:t xml:space="preserve"> </w:t>
      </w:r>
      <w:proofErr w:type="spellStart"/>
      <w:r w:rsidR="00B31B4C" w:rsidRPr="00A75729">
        <w:rPr>
          <w:rFonts w:eastAsia="Times New Roman"/>
          <w:color w:val="000000"/>
          <w:lang w:val="es-MX"/>
        </w:rPr>
        <w:t>RPC</w:t>
      </w:r>
      <w:proofErr w:type="spellEnd"/>
      <w:r w:rsidRPr="00A75729">
        <w:rPr>
          <w:rFonts w:eastAsia="Times New Roman"/>
          <w:color w:val="000000"/>
          <w:lang w:val="es-MX"/>
        </w:rPr>
        <w:t xml:space="preserve">, se identifica que la única concesión, autorización y/o permiso otorgado al </w:t>
      </w:r>
      <w:proofErr w:type="spellStart"/>
      <w:r w:rsidRPr="00A75729">
        <w:rPr>
          <w:rFonts w:eastAsia="Times New Roman"/>
          <w:color w:val="000000"/>
          <w:lang w:val="es-MX"/>
        </w:rPr>
        <w:t>GIE</w:t>
      </w:r>
      <w:proofErr w:type="spellEnd"/>
      <w:r w:rsidRPr="00A75729">
        <w:rPr>
          <w:rFonts w:eastAsia="Times New Roman"/>
          <w:color w:val="000000"/>
          <w:lang w:val="es-MX"/>
        </w:rPr>
        <w:t xml:space="preserve"> Audio Publicidad para proveer servicios de radiodifusión en México es la </w:t>
      </w:r>
      <w:r w:rsidR="00D17BB7" w:rsidRPr="00A75729">
        <w:rPr>
          <w:rFonts w:eastAsia="Times New Roman"/>
          <w:color w:val="000000"/>
          <w:lang w:val="es-MX"/>
        </w:rPr>
        <w:t>concesión materia de la Operación,</w:t>
      </w:r>
      <w:r w:rsidR="00F9190C" w:rsidRPr="00A75729">
        <w:rPr>
          <w:bCs/>
        </w:rPr>
        <w:t xml:space="preserve"> la cual se describe en el Cuadro siguiente</w:t>
      </w:r>
      <w:r w:rsidR="00DA612F" w:rsidRPr="00A75729">
        <w:t xml:space="preserve">. </w:t>
      </w:r>
    </w:p>
    <w:p w:rsidR="00F9190C" w:rsidRPr="00A75729" w:rsidRDefault="00F9190C" w:rsidP="00FB57CD">
      <w:pPr>
        <w:pStyle w:val="Prrafodelista"/>
        <w:keepNext/>
        <w:numPr>
          <w:ilvl w:val="0"/>
          <w:numId w:val="18"/>
        </w:numPr>
        <w:spacing w:after="120" w:line="276" w:lineRule="auto"/>
        <w:ind w:left="426" w:hanging="357"/>
        <w:contextualSpacing w:val="0"/>
        <w:jc w:val="center"/>
        <w:rPr>
          <w:b/>
          <w:szCs w:val="20"/>
        </w:rPr>
      </w:pPr>
      <w:r w:rsidRPr="00A75729">
        <w:rPr>
          <w:b/>
          <w:szCs w:val="20"/>
        </w:rPr>
        <w:lastRenderedPageBreak/>
        <w:t xml:space="preserve">Características de la </w:t>
      </w:r>
      <w:r w:rsidR="00B31B4C" w:rsidRPr="00A75729">
        <w:rPr>
          <w:b/>
          <w:szCs w:val="20"/>
        </w:rPr>
        <w:t>concesión</w:t>
      </w:r>
      <w:r w:rsidRPr="00A75729">
        <w:rPr>
          <w:b/>
          <w:szCs w:val="20"/>
        </w:rPr>
        <w:t xml:space="preserve"> </w:t>
      </w:r>
      <w:r w:rsidR="00A75729">
        <w:rPr>
          <w:b/>
          <w:szCs w:val="20"/>
        </w:rPr>
        <w:t>materia de la Operación</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994"/>
        <w:gridCol w:w="1628"/>
        <w:gridCol w:w="1560"/>
      </w:tblGrid>
      <w:tr w:rsidR="00F9190C" w:rsidRPr="00A75729" w:rsidTr="00D17BB7">
        <w:trPr>
          <w:trHeight w:val="455"/>
          <w:tblHeader/>
          <w:jc w:val="center"/>
        </w:trPr>
        <w:tc>
          <w:tcPr>
            <w:tcW w:w="2610" w:type="dxa"/>
            <w:shd w:val="clear" w:color="auto" w:fill="92D050"/>
            <w:vAlign w:val="center"/>
            <w:hideMark/>
          </w:tcPr>
          <w:p w:rsidR="00F9190C" w:rsidRPr="00A75729" w:rsidRDefault="00F9190C" w:rsidP="007B6F76">
            <w:pPr>
              <w:spacing w:before="0" w:after="0" w:line="240" w:lineRule="auto"/>
              <w:jc w:val="center"/>
              <w:rPr>
                <w:rFonts w:eastAsia="Times New Roman"/>
                <w:b/>
                <w:bCs/>
                <w:sz w:val="20"/>
                <w:szCs w:val="18"/>
              </w:rPr>
            </w:pPr>
            <w:r w:rsidRPr="00A75729">
              <w:rPr>
                <w:rFonts w:eastAsia="Times New Roman"/>
                <w:b/>
                <w:bCs/>
                <w:sz w:val="20"/>
                <w:szCs w:val="18"/>
              </w:rPr>
              <w:t>Localidad principal a servir</w:t>
            </w:r>
          </w:p>
        </w:tc>
        <w:tc>
          <w:tcPr>
            <w:tcW w:w="1994" w:type="dxa"/>
            <w:shd w:val="clear" w:color="auto" w:fill="92D050"/>
            <w:vAlign w:val="center"/>
            <w:hideMark/>
          </w:tcPr>
          <w:p w:rsidR="00F9190C" w:rsidRPr="00A75729" w:rsidRDefault="00D17BB7" w:rsidP="00D17BB7">
            <w:pPr>
              <w:spacing w:before="0" w:after="0" w:line="240" w:lineRule="auto"/>
              <w:jc w:val="center"/>
              <w:rPr>
                <w:rFonts w:eastAsia="Times New Roman"/>
                <w:b/>
                <w:bCs/>
                <w:sz w:val="20"/>
                <w:szCs w:val="18"/>
              </w:rPr>
            </w:pPr>
            <w:r w:rsidRPr="00A75729">
              <w:rPr>
                <w:rFonts w:eastAsia="Times New Roman"/>
                <w:b/>
                <w:bCs/>
                <w:sz w:val="20"/>
                <w:szCs w:val="18"/>
              </w:rPr>
              <w:t>Distintivo</w:t>
            </w:r>
          </w:p>
        </w:tc>
        <w:tc>
          <w:tcPr>
            <w:tcW w:w="1628" w:type="dxa"/>
            <w:shd w:val="clear" w:color="auto" w:fill="92D050"/>
            <w:vAlign w:val="center"/>
            <w:hideMark/>
          </w:tcPr>
          <w:p w:rsidR="00F9190C" w:rsidRPr="00A75729" w:rsidRDefault="00F9190C" w:rsidP="00B31B4C">
            <w:pPr>
              <w:spacing w:before="0" w:after="0" w:line="240" w:lineRule="auto"/>
              <w:jc w:val="center"/>
              <w:rPr>
                <w:rFonts w:eastAsia="Times New Roman"/>
                <w:b/>
                <w:bCs/>
                <w:sz w:val="20"/>
                <w:szCs w:val="18"/>
              </w:rPr>
            </w:pPr>
            <w:r w:rsidRPr="00A75729">
              <w:rPr>
                <w:rFonts w:eastAsia="Times New Roman"/>
                <w:b/>
                <w:bCs/>
                <w:sz w:val="20"/>
                <w:szCs w:val="18"/>
              </w:rPr>
              <w:t xml:space="preserve">Inicio/ </w:t>
            </w:r>
            <w:r w:rsidR="00B31B4C" w:rsidRPr="00A75729">
              <w:rPr>
                <w:rFonts w:eastAsia="Times New Roman"/>
                <w:b/>
                <w:bCs/>
                <w:sz w:val="20"/>
                <w:szCs w:val="18"/>
              </w:rPr>
              <w:t>Vencimiento</w:t>
            </w:r>
          </w:p>
        </w:tc>
        <w:tc>
          <w:tcPr>
            <w:tcW w:w="1560" w:type="dxa"/>
            <w:shd w:val="clear" w:color="auto" w:fill="92D050"/>
            <w:vAlign w:val="center"/>
          </w:tcPr>
          <w:p w:rsidR="00F9190C" w:rsidRPr="00A75729" w:rsidRDefault="00F9190C" w:rsidP="007B6F76">
            <w:pPr>
              <w:spacing w:before="0" w:after="0" w:line="240" w:lineRule="auto"/>
              <w:jc w:val="center"/>
              <w:rPr>
                <w:rFonts w:eastAsia="Times New Roman"/>
                <w:b/>
                <w:bCs/>
                <w:sz w:val="20"/>
                <w:szCs w:val="18"/>
              </w:rPr>
            </w:pPr>
            <w:r w:rsidRPr="00A75729">
              <w:rPr>
                <w:rFonts w:eastAsia="Times New Roman"/>
                <w:b/>
                <w:bCs/>
                <w:sz w:val="20"/>
                <w:szCs w:val="18"/>
              </w:rPr>
              <w:t>Frecuencia</w:t>
            </w:r>
          </w:p>
        </w:tc>
      </w:tr>
      <w:tr w:rsidR="00F9190C" w:rsidRPr="00A75729" w:rsidTr="00D17BB7">
        <w:trPr>
          <w:trHeight w:val="126"/>
          <w:jc w:val="center"/>
        </w:trPr>
        <w:tc>
          <w:tcPr>
            <w:tcW w:w="2610" w:type="dxa"/>
            <w:shd w:val="clear" w:color="auto" w:fill="auto"/>
            <w:vAlign w:val="center"/>
            <w:hideMark/>
          </w:tcPr>
          <w:p w:rsidR="00F9190C" w:rsidRPr="00A75729" w:rsidRDefault="00F9190C" w:rsidP="00D17BB7">
            <w:pPr>
              <w:spacing w:before="0" w:after="0" w:line="240" w:lineRule="auto"/>
              <w:jc w:val="center"/>
              <w:rPr>
                <w:rFonts w:eastAsia="Times New Roman"/>
                <w:bCs/>
                <w:color w:val="000000"/>
                <w:sz w:val="20"/>
                <w:szCs w:val="18"/>
              </w:rPr>
            </w:pPr>
            <w:r w:rsidRPr="00A75729">
              <w:rPr>
                <w:rFonts w:eastAsia="Times New Roman"/>
                <w:bCs/>
                <w:color w:val="000000"/>
                <w:sz w:val="20"/>
                <w:szCs w:val="18"/>
              </w:rPr>
              <w:t>Ojo de Agua, Nuevo León</w:t>
            </w:r>
          </w:p>
        </w:tc>
        <w:tc>
          <w:tcPr>
            <w:tcW w:w="1994" w:type="dxa"/>
            <w:shd w:val="clear" w:color="auto" w:fill="auto"/>
            <w:vAlign w:val="center"/>
            <w:hideMark/>
          </w:tcPr>
          <w:p w:rsidR="00F9190C" w:rsidRPr="00A75729" w:rsidRDefault="00F9190C" w:rsidP="00D17BB7">
            <w:pPr>
              <w:spacing w:before="0" w:after="0" w:line="240" w:lineRule="auto"/>
              <w:jc w:val="center"/>
              <w:rPr>
                <w:rFonts w:eastAsia="Times New Roman"/>
                <w:bCs/>
                <w:color w:val="000000"/>
                <w:sz w:val="20"/>
                <w:szCs w:val="18"/>
                <w:lang w:val="en-US"/>
              </w:rPr>
            </w:pPr>
            <w:proofErr w:type="spellStart"/>
            <w:r w:rsidRPr="00A75729">
              <w:rPr>
                <w:rFonts w:eastAsia="Times New Roman"/>
                <w:bCs/>
                <w:color w:val="000000"/>
                <w:sz w:val="20"/>
                <w:szCs w:val="18"/>
                <w:lang w:val="en-US"/>
              </w:rPr>
              <w:t>XEDD</w:t>
            </w:r>
            <w:proofErr w:type="spellEnd"/>
            <w:r w:rsidRPr="00A75729">
              <w:rPr>
                <w:rFonts w:eastAsia="Times New Roman"/>
                <w:bCs/>
                <w:color w:val="000000"/>
                <w:sz w:val="20"/>
                <w:szCs w:val="18"/>
                <w:lang w:val="en-US"/>
              </w:rPr>
              <w:t>-AM /</w:t>
            </w:r>
          </w:p>
          <w:p w:rsidR="00F9190C" w:rsidRPr="00A75729" w:rsidRDefault="00F9190C" w:rsidP="00D17BB7">
            <w:pPr>
              <w:spacing w:before="0" w:after="0" w:line="240" w:lineRule="auto"/>
              <w:jc w:val="center"/>
              <w:rPr>
                <w:rFonts w:eastAsia="Times New Roman"/>
                <w:bCs/>
                <w:color w:val="000000"/>
                <w:sz w:val="20"/>
                <w:szCs w:val="18"/>
                <w:lang w:val="en-US"/>
              </w:rPr>
            </w:pPr>
            <w:proofErr w:type="spellStart"/>
            <w:r w:rsidRPr="00A75729">
              <w:rPr>
                <w:rFonts w:eastAsia="Times New Roman"/>
                <w:bCs/>
                <w:color w:val="000000"/>
                <w:sz w:val="20"/>
                <w:szCs w:val="18"/>
                <w:lang w:val="en-US"/>
              </w:rPr>
              <w:t>XHDD</w:t>
            </w:r>
            <w:proofErr w:type="spellEnd"/>
            <w:r w:rsidRPr="00A75729">
              <w:rPr>
                <w:rFonts w:eastAsia="Times New Roman"/>
                <w:bCs/>
                <w:color w:val="000000"/>
                <w:sz w:val="20"/>
                <w:szCs w:val="18"/>
                <w:lang w:val="en-US"/>
              </w:rPr>
              <w:t>-FM</w:t>
            </w:r>
          </w:p>
        </w:tc>
        <w:tc>
          <w:tcPr>
            <w:tcW w:w="1628" w:type="dxa"/>
            <w:shd w:val="clear" w:color="auto" w:fill="auto"/>
            <w:vAlign w:val="center"/>
            <w:hideMark/>
          </w:tcPr>
          <w:p w:rsidR="00F9190C" w:rsidRPr="00A75729" w:rsidRDefault="00F9190C" w:rsidP="00D17BB7">
            <w:pPr>
              <w:spacing w:before="0" w:after="0" w:line="240" w:lineRule="auto"/>
              <w:jc w:val="center"/>
              <w:rPr>
                <w:rFonts w:eastAsia="Times New Roman"/>
                <w:color w:val="000000"/>
                <w:sz w:val="20"/>
                <w:szCs w:val="18"/>
              </w:rPr>
            </w:pPr>
            <w:r w:rsidRPr="00A75729">
              <w:rPr>
                <w:rFonts w:eastAsia="Times New Roman"/>
                <w:color w:val="000000"/>
                <w:sz w:val="20"/>
                <w:szCs w:val="18"/>
              </w:rPr>
              <w:t>18/01/2013</w:t>
            </w:r>
          </w:p>
          <w:p w:rsidR="00F9190C" w:rsidRPr="00A75729" w:rsidRDefault="00F9190C" w:rsidP="00D17BB7">
            <w:pPr>
              <w:spacing w:before="0" w:after="0" w:line="240" w:lineRule="auto"/>
              <w:jc w:val="center"/>
              <w:rPr>
                <w:rFonts w:eastAsia="Times New Roman"/>
                <w:color w:val="000000"/>
                <w:sz w:val="20"/>
                <w:szCs w:val="18"/>
              </w:rPr>
            </w:pPr>
            <w:r w:rsidRPr="00A75729">
              <w:rPr>
                <w:rFonts w:eastAsia="Times New Roman"/>
                <w:color w:val="000000"/>
                <w:sz w:val="20"/>
                <w:szCs w:val="18"/>
              </w:rPr>
              <w:t>17/01/2025</w:t>
            </w:r>
          </w:p>
        </w:tc>
        <w:tc>
          <w:tcPr>
            <w:tcW w:w="1560" w:type="dxa"/>
            <w:vAlign w:val="center"/>
          </w:tcPr>
          <w:p w:rsidR="00F9190C" w:rsidRPr="00A75729" w:rsidRDefault="00F9190C" w:rsidP="00D17BB7">
            <w:pPr>
              <w:spacing w:before="0" w:after="0" w:line="240" w:lineRule="auto"/>
              <w:jc w:val="center"/>
              <w:rPr>
                <w:rFonts w:eastAsia="Times New Roman"/>
                <w:bCs/>
                <w:color w:val="000000"/>
                <w:sz w:val="20"/>
                <w:szCs w:val="18"/>
                <w:lang w:val="en-US"/>
              </w:rPr>
            </w:pPr>
            <w:r w:rsidRPr="00A75729">
              <w:rPr>
                <w:rFonts w:eastAsia="Times New Roman"/>
                <w:bCs/>
                <w:color w:val="000000"/>
                <w:sz w:val="20"/>
                <w:szCs w:val="18"/>
                <w:lang w:val="en-US"/>
              </w:rPr>
              <w:t>800 kHz</w:t>
            </w:r>
          </w:p>
          <w:p w:rsidR="00F9190C" w:rsidRPr="00A75729" w:rsidRDefault="00F9190C" w:rsidP="00D17BB7">
            <w:pPr>
              <w:spacing w:before="0" w:after="0" w:line="240" w:lineRule="auto"/>
              <w:jc w:val="center"/>
              <w:rPr>
                <w:rFonts w:eastAsia="Times New Roman"/>
                <w:color w:val="000000"/>
                <w:sz w:val="20"/>
                <w:szCs w:val="18"/>
              </w:rPr>
            </w:pPr>
            <w:r w:rsidRPr="00A75729">
              <w:rPr>
                <w:rFonts w:eastAsia="Times New Roman"/>
                <w:bCs/>
                <w:color w:val="000000"/>
                <w:sz w:val="20"/>
                <w:szCs w:val="18"/>
                <w:lang w:val="en-US"/>
              </w:rPr>
              <w:t>92.9 MHz</w:t>
            </w:r>
          </w:p>
        </w:tc>
      </w:tr>
    </w:tbl>
    <w:p w:rsidR="00F9190C" w:rsidRPr="00A75729" w:rsidRDefault="00F9190C" w:rsidP="00D17BB7">
      <w:pPr>
        <w:pStyle w:val="estilo30"/>
        <w:spacing w:before="0" w:beforeAutospacing="0" w:after="0" w:afterAutospacing="0"/>
        <w:ind w:left="1134" w:right="424"/>
        <w:rPr>
          <w:rFonts w:ascii="ITC Avant Garde" w:hAnsi="ITC Avant Garde"/>
          <w:sz w:val="16"/>
          <w:szCs w:val="16"/>
          <w:lang w:eastAsia="es-ES"/>
        </w:rPr>
      </w:pPr>
      <w:r w:rsidRPr="00A75729">
        <w:rPr>
          <w:rFonts w:ascii="ITC Avant Garde" w:hAnsi="ITC Avant Garde"/>
          <w:sz w:val="16"/>
          <w:szCs w:val="16"/>
          <w:lang w:eastAsia="es-ES"/>
        </w:rPr>
        <w:t xml:space="preserve">Fuente: Elaboración propia con información </w:t>
      </w:r>
      <w:r w:rsidR="00B31B4C" w:rsidRPr="00A75729">
        <w:rPr>
          <w:rFonts w:ascii="ITC Avant Garde" w:hAnsi="ITC Avant Garde"/>
          <w:sz w:val="16"/>
          <w:szCs w:val="16"/>
          <w:lang w:eastAsia="es-ES"/>
        </w:rPr>
        <w:t>proporcionada por las Partes</w:t>
      </w:r>
      <w:r w:rsidRPr="00A75729">
        <w:rPr>
          <w:rFonts w:ascii="ITC Avant Garde" w:hAnsi="ITC Avant Garde"/>
          <w:sz w:val="16"/>
          <w:szCs w:val="16"/>
          <w:lang w:eastAsia="es-ES"/>
        </w:rPr>
        <w:t xml:space="preserve"> y del </w:t>
      </w:r>
      <w:proofErr w:type="spellStart"/>
      <w:r w:rsidRPr="00A75729">
        <w:rPr>
          <w:rFonts w:ascii="ITC Avant Garde" w:hAnsi="ITC Avant Garde"/>
          <w:sz w:val="16"/>
          <w:szCs w:val="16"/>
          <w:lang w:eastAsia="es-ES"/>
        </w:rPr>
        <w:t>RPC</w:t>
      </w:r>
      <w:proofErr w:type="spellEnd"/>
      <w:r w:rsidRPr="00A75729">
        <w:rPr>
          <w:rFonts w:ascii="ITC Avant Garde" w:hAnsi="ITC Avant Garde"/>
          <w:sz w:val="16"/>
          <w:szCs w:val="16"/>
          <w:lang w:eastAsia="es-ES"/>
        </w:rPr>
        <w:t>.</w:t>
      </w:r>
    </w:p>
    <w:p w:rsidR="00E032E5" w:rsidRPr="00696823" w:rsidRDefault="00696823" w:rsidP="00696823">
      <w:pPr>
        <w:pStyle w:val="Ttulo3"/>
        <w:keepLines w:val="0"/>
        <w:spacing w:after="0"/>
        <w:ind w:firstLine="0"/>
        <w:rPr>
          <w:rFonts w:eastAsia="Times New Roman" w:cstheme="minorBidi"/>
          <w:szCs w:val="26"/>
          <w:lang w:val="es-MX"/>
        </w:rPr>
      </w:pPr>
      <w:bookmarkStart w:id="140" w:name="_Toc519100844"/>
      <w:r>
        <w:rPr>
          <w:rFonts w:eastAsia="Times New Roman" w:cstheme="minorBidi"/>
          <w:szCs w:val="26"/>
          <w:lang w:val="es-MX"/>
        </w:rPr>
        <w:t xml:space="preserve">4.2 </w:t>
      </w:r>
      <w:r w:rsidR="00E032E5" w:rsidRPr="00A75729">
        <w:rPr>
          <w:rFonts w:eastAsia="Times New Roman" w:cstheme="minorBidi"/>
          <w:szCs w:val="26"/>
          <w:lang w:val="es-MX"/>
        </w:rPr>
        <w:t>Cesionario</w:t>
      </w:r>
      <w:bookmarkStart w:id="141" w:name="_Toc517823918"/>
      <w:bookmarkStart w:id="142" w:name="_Toc517980515"/>
      <w:bookmarkStart w:id="143" w:name="_Toc517980603"/>
      <w:bookmarkStart w:id="144" w:name="_Toc517983614"/>
      <w:bookmarkStart w:id="145" w:name="_Toc518329766"/>
      <w:bookmarkStart w:id="146" w:name="_Toc518923181"/>
      <w:bookmarkStart w:id="147" w:name="_Toc518923247"/>
      <w:bookmarkStart w:id="148" w:name="_Toc518923317"/>
      <w:bookmarkStart w:id="149" w:name="_Toc518925331"/>
      <w:bookmarkStart w:id="150" w:name="_Toc519008647"/>
      <w:bookmarkStart w:id="151" w:name="_Toc519013452"/>
      <w:bookmarkStart w:id="152" w:name="_Toc519100496"/>
      <w:bookmarkStart w:id="153" w:name="_Toc519100845"/>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AC549B" w:rsidRPr="00A75729" w:rsidRDefault="00696823" w:rsidP="00696823">
      <w:pPr>
        <w:pStyle w:val="Ttulo4"/>
        <w:keepNext/>
        <w:spacing w:before="360" w:after="0"/>
        <w:ind w:firstLine="708"/>
        <w:jc w:val="left"/>
        <w:rPr>
          <w:lang w:val="es-MX"/>
        </w:rPr>
      </w:pPr>
      <w:bookmarkStart w:id="154" w:name="_Toc519100846"/>
      <w:r>
        <w:rPr>
          <w:lang w:val="es-MX"/>
        </w:rPr>
        <w:t xml:space="preserve">4.2.1 </w:t>
      </w:r>
      <w:r w:rsidR="00AC549B" w:rsidRPr="00A75729">
        <w:rPr>
          <w:lang w:val="es-MX"/>
        </w:rPr>
        <w:t>Radio Triunfos</w:t>
      </w:r>
      <w:bookmarkEnd w:id="154"/>
    </w:p>
    <w:p w:rsidR="007F0F10" w:rsidRPr="00A75729" w:rsidRDefault="007F0F10" w:rsidP="00EE374E">
      <w:pPr>
        <w:pStyle w:val="Sinespaciado"/>
        <w:spacing w:before="120" w:after="120" w:line="276" w:lineRule="auto"/>
        <w:jc w:val="both"/>
        <w:rPr>
          <w:rFonts w:ascii="ITC Avant Garde" w:hAnsi="ITC Avant Garde"/>
          <w:bCs/>
        </w:rPr>
      </w:pPr>
      <w:r w:rsidRPr="00A75729">
        <w:rPr>
          <w:rFonts w:ascii="ITC Avant Garde" w:hAnsi="ITC Avant Garde"/>
          <w:bCs/>
        </w:rPr>
        <w:t xml:space="preserve">Radio Triunfos es una sociedad constituida conforme a las leyes mexicanas, según consta en la escritura pública de fecha </w:t>
      </w:r>
      <w:r w:rsidR="00555017" w:rsidRPr="00A75729">
        <w:rPr>
          <w:rFonts w:ascii="ITC Avant Garde" w:hAnsi="ITC Avant Garde"/>
          <w:bCs/>
        </w:rPr>
        <w:t>30</w:t>
      </w:r>
      <w:r w:rsidR="004E4214" w:rsidRPr="00A75729">
        <w:rPr>
          <w:rFonts w:ascii="ITC Avant Garde" w:hAnsi="ITC Avant Garde"/>
          <w:bCs/>
        </w:rPr>
        <w:t xml:space="preserve"> de </w:t>
      </w:r>
      <w:r w:rsidR="00EE374E" w:rsidRPr="00A75729">
        <w:rPr>
          <w:rFonts w:ascii="ITC Avant Garde" w:hAnsi="ITC Avant Garde"/>
          <w:bCs/>
        </w:rPr>
        <w:t>enero</w:t>
      </w:r>
      <w:r w:rsidRPr="00A75729">
        <w:rPr>
          <w:rFonts w:ascii="ITC Avant Garde" w:hAnsi="ITC Avant Garde"/>
          <w:bCs/>
        </w:rPr>
        <w:t xml:space="preserve"> de </w:t>
      </w:r>
      <w:r w:rsidR="00555017" w:rsidRPr="00A75729">
        <w:rPr>
          <w:rFonts w:ascii="ITC Avant Garde" w:hAnsi="ITC Avant Garde"/>
          <w:bCs/>
        </w:rPr>
        <w:t>19</w:t>
      </w:r>
      <w:r w:rsidR="00EE374E" w:rsidRPr="00A75729">
        <w:rPr>
          <w:rFonts w:ascii="ITC Avant Garde" w:hAnsi="ITC Avant Garde"/>
          <w:bCs/>
        </w:rPr>
        <w:t>63</w:t>
      </w:r>
      <w:r w:rsidR="00DA612F" w:rsidRPr="00A75729">
        <w:rPr>
          <w:rFonts w:ascii="ITC Avant Garde" w:hAnsi="ITC Avant Garde"/>
          <w:bCs/>
        </w:rPr>
        <w:t>,</w:t>
      </w:r>
      <w:r w:rsidR="00D25AEE" w:rsidRPr="00A75729">
        <w:rPr>
          <w:rFonts w:ascii="ITC Avant Garde" w:eastAsia="Times New Roman" w:hAnsi="ITC Avant Garde"/>
          <w:color w:val="000000"/>
          <w:vertAlign w:val="superscript"/>
        </w:rPr>
        <w:footnoteReference w:id="23"/>
      </w:r>
      <w:r w:rsidR="00D25AEE" w:rsidRPr="00A75729">
        <w:rPr>
          <w:rFonts w:ascii="ITC Avant Garde" w:hAnsi="ITC Avant Garde"/>
          <w:bCs/>
          <w:color w:val="000000"/>
          <w:lang w:eastAsia="es-MX"/>
        </w:rPr>
        <w:t xml:space="preserve"> cuya estructura accionaria </w:t>
      </w:r>
      <w:r w:rsidR="00DA612F" w:rsidRPr="00A75729">
        <w:rPr>
          <w:rFonts w:ascii="ITC Avant Garde" w:hAnsi="ITC Avant Garde"/>
          <w:bCs/>
          <w:color w:val="000000"/>
          <w:lang w:eastAsia="es-MX"/>
        </w:rPr>
        <w:t xml:space="preserve">no se modificó en virtud de la Operación y </w:t>
      </w:r>
      <w:r w:rsidR="00D25AEE" w:rsidRPr="00A75729">
        <w:rPr>
          <w:rFonts w:ascii="ITC Avant Garde" w:hAnsi="ITC Avant Garde"/>
          <w:bCs/>
          <w:color w:val="000000"/>
          <w:lang w:eastAsia="es-MX"/>
        </w:rPr>
        <w:t>se presenta en el Cuadro siguiente</w:t>
      </w:r>
      <w:r w:rsidR="00D25AEE" w:rsidRPr="00A75729">
        <w:rPr>
          <w:rFonts w:ascii="ITC Avant Garde" w:hAnsi="ITC Avant Garde"/>
        </w:rPr>
        <w:t>.</w:t>
      </w:r>
    </w:p>
    <w:p w:rsidR="003643E8" w:rsidRPr="00A75729" w:rsidRDefault="00C941A7" w:rsidP="00DB5335">
      <w:pPr>
        <w:pStyle w:val="Prrafodelista"/>
        <w:keepNext/>
        <w:numPr>
          <w:ilvl w:val="0"/>
          <w:numId w:val="18"/>
        </w:numPr>
        <w:spacing w:before="0" w:after="120" w:line="276" w:lineRule="auto"/>
        <w:ind w:left="426" w:hanging="357"/>
        <w:contextualSpacing w:val="0"/>
        <w:jc w:val="center"/>
        <w:rPr>
          <w:b/>
          <w:szCs w:val="20"/>
        </w:rPr>
      </w:pPr>
      <w:r w:rsidRPr="00A75729">
        <w:rPr>
          <w:b/>
          <w:szCs w:val="20"/>
        </w:rPr>
        <w:t>Accionistas</w:t>
      </w:r>
      <w:r w:rsidR="003643E8" w:rsidRPr="00A75729">
        <w:rPr>
          <w:b/>
          <w:szCs w:val="20"/>
        </w:rPr>
        <w:t xml:space="preserve"> de</w:t>
      </w:r>
      <w:r w:rsidRPr="00A75729">
        <w:rPr>
          <w:b/>
          <w:szCs w:val="20"/>
        </w:rPr>
        <w:t xml:space="preserve"> Radio Triunfos</w:t>
      </w:r>
      <w:r w:rsidR="003643E8" w:rsidRPr="00A75729">
        <w:rPr>
          <w:b/>
          <w:szCs w:val="20"/>
        </w:rPr>
        <w:t xml:space="preserve"> </w:t>
      </w:r>
    </w:p>
    <w:tbl>
      <w:tblPr>
        <w:tblW w:w="35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2127"/>
      </w:tblGrid>
      <w:tr w:rsidR="00555017" w:rsidRPr="00A75729" w:rsidTr="004E2460">
        <w:trPr>
          <w:trHeight w:val="20"/>
          <w:tblHeader/>
          <w:jc w:val="center"/>
        </w:trPr>
        <w:tc>
          <w:tcPr>
            <w:tcW w:w="3403" w:type="pct"/>
            <w:shd w:val="clear" w:color="auto" w:fill="92D050"/>
            <w:noWrap/>
            <w:vAlign w:val="center"/>
            <w:hideMark/>
          </w:tcPr>
          <w:p w:rsidR="00555017" w:rsidRPr="00A75729" w:rsidRDefault="00555017" w:rsidP="008253E8">
            <w:pPr>
              <w:spacing w:before="0" w:after="0" w:line="240" w:lineRule="auto"/>
              <w:jc w:val="center"/>
              <w:rPr>
                <w:rFonts w:eastAsia="Times New Roman"/>
                <w:b/>
                <w:bCs/>
                <w:sz w:val="20"/>
                <w:szCs w:val="18"/>
              </w:rPr>
            </w:pPr>
            <w:r w:rsidRPr="00A75729">
              <w:rPr>
                <w:rFonts w:eastAsia="Times New Roman"/>
                <w:b/>
                <w:bCs/>
                <w:sz w:val="20"/>
                <w:szCs w:val="18"/>
              </w:rPr>
              <w:t>Accionista</w:t>
            </w:r>
          </w:p>
        </w:tc>
        <w:tc>
          <w:tcPr>
            <w:tcW w:w="1597" w:type="pct"/>
            <w:shd w:val="clear" w:color="auto" w:fill="92D050"/>
          </w:tcPr>
          <w:p w:rsidR="00555017" w:rsidRPr="00A75729" w:rsidRDefault="00555017" w:rsidP="00555017">
            <w:pPr>
              <w:spacing w:before="0" w:after="0" w:line="240" w:lineRule="auto"/>
              <w:jc w:val="center"/>
              <w:rPr>
                <w:rFonts w:eastAsia="Times New Roman"/>
                <w:b/>
                <w:bCs/>
                <w:sz w:val="20"/>
                <w:szCs w:val="18"/>
              </w:rPr>
            </w:pPr>
            <w:r w:rsidRPr="00A75729">
              <w:rPr>
                <w:rFonts w:eastAsia="Times New Roman"/>
                <w:b/>
                <w:bCs/>
                <w:sz w:val="20"/>
                <w:szCs w:val="18"/>
              </w:rPr>
              <w:t>Participación %</w:t>
            </w:r>
          </w:p>
        </w:tc>
      </w:tr>
      <w:tr w:rsidR="003643E8" w:rsidRPr="00A75729" w:rsidTr="004E2460">
        <w:trPr>
          <w:trHeight w:val="20"/>
          <w:jc w:val="center"/>
        </w:trPr>
        <w:tc>
          <w:tcPr>
            <w:tcW w:w="3403" w:type="pct"/>
            <w:shd w:val="clear" w:color="000000" w:fill="FFFFFF"/>
            <w:vAlign w:val="center"/>
          </w:tcPr>
          <w:p w:rsidR="003643E8" w:rsidRPr="00A75729" w:rsidRDefault="003643E8" w:rsidP="00EE374E">
            <w:pPr>
              <w:spacing w:before="0" w:after="0" w:line="240" w:lineRule="auto"/>
              <w:rPr>
                <w:rFonts w:eastAsia="Times New Roman"/>
                <w:color w:val="000000"/>
                <w:sz w:val="20"/>
                <w:szCs w:val="18"/>
                <w:lang w:val="es-MX"/>
              </w:rPr>
            </w:pPr>
            <w:r w:rsidRPr="00A75729">
              <w:rPr>
                <w:rFonts w:eastAsia="Times New Roman"/>
                <w:color w:val="000000"/>
                <w:sz w:val="20"/>
                <w:szCs w:val="18"/>
                <w:lang w:val="es-MX"/>
              </w:rPr>
              <w:t>MM Radio, S.A. de C.V.</w:t>
            </w:r>
            <w:r w:rsidR="00110E16" w:rsidRPr="00A75729">
              <w:rPr>
                <w:rFonts w:eastAsia="Times New Roman"/>
                <w:color w:val="000000"/>
                <w:sz w:val="20"/>
                <w:szCs w:val="18"/>
                <w:lang w:val="es-MX"/>
              </w:rPr>
              <w:t xml:space="preserve"> (</w:t>
            </w:r>
            <w:proofErr w:type="spellStart"/>
            <w:r w:rsidR="00110E16" w:rsidRPr="00A75729">
              <w:rPr>
                <w:rFonts w:eastAsia="Times New Roman"/>
                <w:color w:val="000000"/>
                <w:sz w:val="20"/>
                <w:szCs w:val="18"/>
                <w:lang w:val="es-MX"/>
              </w:rPr>
              <w:t>MMR</w:t>
            </w:r>
            <w:proofErr w:type="spellEnd"/>
            <w:r w:rsidR="00110E16" w:rsidRPr="00A75729">
              <w:rPr>
                <w:rFonts w:eastAsia="Times New Roman"/>
                <w:color w:val="000000"/>
                <w:sz w:val="20"/>
                <w:szCs w:val="18"/>
                <w:lang w:val="es-MX"/>
              </w:rPr>
              <w:t>)</w:t>
            </w:r>
          </w:p>
        </w:tc>
        <w:tc>
          <w:tcPr>
            <w:tcW w:w="1597" w:type="pct"/>
            <w:shd w:val="clear" w:color="auto" w:fill="auto"/>
            <w:noWrap/>
            <w:vAlign w:val="center"/>
          </w:tcPr>
          <w:p w:rsidR="003643E8" w:rsidRPr="00A75729" w:rsidRDefault="003643E8" w:rsidP="008253E8">
            <w:pPr>
              <w:spacing w:before="0" w:after="0" w:line="240" w:lineRule="auto"/>
              <w:jc w:val="right"/>
              <w:rPr>
                <w:rFonts w:eastAsia="Times New Roman"/>
                <w:color w:val="000000"/>
                <w:sz w:val="20"/>
                <w:szCs w:val="18"/>
              </w:rPr>
            </w:pPr>
            <w:r w:rsidRPr="00A75729">
              <w:rPr>
                <w:rFonts w:eastAsia="Times New Roman"/>
                <w:color w:val="000000"/>
                <w:sz w:val="20"/>
                <w:szCs w:val="18"/>
              </w:rPr>
              <w:t>99.88</w:t>
            </w:r>
          </w:p>
        </w:tc>
      </w:tr>
      <w:tr w:rsidR="00110E16" w:rsidRPr="00A75729" w:rsidTr="004E2460">
        <w:trPr>
          <w:trHeight w:val="20"/>
          <w:jc w:val="center"/>
        </w:trPr>
        <w:tc>
          <w:tcPr>
            <w:tcW w:w="3403" w:type="pct"/>
            <w:shd w:val="clear" w:color="000000" w:fill="FFFFFF"/>
            <w:vAlign w:val="center"/>
          </w:tcPr>
          <w:p w:rsidR="00110E16" w:rsidRPr="00A75729" w:rsidRDefault="00110E16" w:rsidP="00110E16">
            <w:pPr>
              <w:spacing w:before="0" w:after="0" w:line="240" w:lineRule="auto"/>
              <w:rPr>
                <w:rFonts w:eastAsia="Times New Roman"/>
                <w:color w:val="000000"/>
                <w:sz w:val="20"/>
                <w:szCs w:val="18"/>
                <w:lang w:val="en-US"/>
              </w:rPr>
            </w:pPr>
            <w:r w:rsidRPr="00A75729">
              <w:rPr>
                <w:rFonts w:eastAsia="Times New Roman"/>
                <w:color w:val="000000"/>
                <w:sz w:val="20"/>
                <w:szCs w:val="18"/>
              </w:rPr>
              <w:t>Francisco Antonio González Sánchez</w:t>
            </w:r>
          </w:p>
        </w:tc>
        <w:tc>
          <w:tcPr>
            <w:tcW w:w="1597" w:type="pct"/>
            <w:shd w:val="clear" w:color="auto" w:fill="auto"/>
            <w:noWrap/>
            <w:vAlign w:val="center"/>
          </w:tcPr>
          <w:p w:rsidR="00110E16" w:rsidRPr="00A75729" w:rsidRDefault="00110E16" w:rsidP="00110E16">
            <w:pPr>
              <w:spacing w:before="0" w:after="0" w:line="240" w:lineRule="auto"/>
              <w:jc w:val="right"/>
              <w:rPr>
                <w:rFonts w:eastAsia="Times New Roman"/>
                <w:color w:val="000000"/>
                <w:sz w:val="20"/>
                <w:szCs w:val="18"/>
              </w:rPr>
            </w:pPr>
            <w:r w:rsidRPr="00A75729">
              <w:rPr>
                <w:rFonts w:eastAsia="Times New Roman"/>
                <w:color w:val="000000"/>
                <w:sz w:val="20"/>
                <w:szCs w:val="18"/>
              </w:rPr>
              <w:t>0.12</w:t>
            </w:r>
          </w:p>
        </w:tc>
      </w:tr>
      <w:tr w:rsidR="00110E16" w:rsidRPr="00A75729" w:rsidTr="004E2460">
        <w:trPr>
          <w:trHeight w:val="20"/>
          <w:jc w:val="center"/>
        </w:trPr>
        <w:tc>
          <w:tcPr>
            <w:tcW w:w="3403" w:type="pct"/>
            <w:shd w:val="clear" w:color="000000" w:fill="FFFFFF"/>
            <w:vAlign w:val="center"/>
          </w:tcPr>
          <w:p w:rsidR="00110E16" w:rsidRPr="00A75729" w:rsidRDefault="00DA612F" w:rsidP="00110E16">
            <w:pPr>
              <w:spacing w:before="0" w:after="0" w:line="240" w:lineRule="auto"/>
              <w:rPr>
                <w:rFonts w:eastAsia="Times New Roman"/>
                <w:color w:val="000000"/>
                <w:sz w:val="20"/>
                <w:szCs w:val="18"/>
                <w:lang w:val="es-MX"/>
              </w:rPr>
            </w:pPr>
            <w:r w:rsidRPr="00A75729">
              <w:rPr>
                <w:rFonts w:eastAsia="Times New Roman"/>
                <w:color w:val="000000"/>
                <w:sz w:val="20"/>
                <w:szCs w:val="18"/>
              </w:rPr>
              <w:t>Marí</w:t>
            </w:r>
            <w:r w:rsidR="00110E16" w:rsidRPr="00A75729">
              <w:rPr>
                <w:rFonts w:eastAsia="Times New Roman"/>
                <w:color w:val="000000"/>
                <w:sz w:val="20"/>
                <w:szCs w:val="18"/>
              </w:rPr>
              <w:t>a de los Dolores González Sánchez</w:t>
            </w:r>
          </w:p>
        </w:tc>
        <w:tc>
          <w:tcPr>
            <w:tcW w:w="1597" w:type="pct"/>
            <w:shd w:val="clear" w:color="auto" w:fill="auto"/>
            <w:noWrap/>
            <w:vAlign w:val="center"/>
          </w:tcPr>
          <w:p w:rsidR="00110E16" w:rsidRPr="00A75729" w:rsidRDefault="00110E16" w:rsidP="00110E16">
            <w:pPr>
              <w:spacing w:before="0" w:after="0" w:line="240" w:lineRule="auto"/>
              <w:jc w:val="right"/>
              <w:rPr>
                <w:rFonts w:eastAsia="Times New Roman"/>
                <w:color w:val="000000"/>
                <w:sz w:val="20"/>
                <w:szCs w:val="18"/>
              </w:rPr>
            </w:pPr>
            <w:r w:rsidRPr="00A75729">
              <w:rPr>
                <w:rFonts w:eastAsia="Times New Roman"/>
                <w:color w:val="000000"/>
                <w:sz w:val="20"/>
                <w:szCs w:val="18"/>
              </w:rPr>
              <w:t>N.S.</w:t>
            </w:r>
          </w:p>
        </w:tc>
      </w:tr>
      <w:tr w:rsidR="00110E16" w:rsidRPr="00A75729" w:rsidTr="004E2460">
        <w:trPr>
          <w:trHeight w:val="20"/>
          <w:jc w:val="center"/>
        </w:trPr>
        <w:tc>
          <w:tcPr>
            <w:tcW w:w="3403" w:type="pct"/>
            <w:shd w:val="clear" w:color="000000" w:fill="FFFFFF"/>
            <w:vAlign w:val="center"/>
            <w:hideMark/>
          </w:tcPr>
          <w:p w:rsidR="00110E16" w:rsidRPr="00A75729" w:rsidRDefault="00110E16" w:rsidP="00110E16">
            <w:pPr>
              <w:spacing w:before="0" w:after="0" w:line="240" w:lineRule="auto"/>
              <w:jc w:val="right"/>
              <w:rPr>
                <w:rFonts w:eastAsia="Times New Roman"/>
                <w:b/>
                <w:color w:val="000000"/>
                <w:sz w:val="20"/>
                <w:szCs w:val="18"/>
              </w:rPr>
            </w:pPr>
            <w:r w:rsidRPr="00A75729">
              <w:rPr>
                <w:rFonts w:eastAsia="Times New Roman"/>
                <w:b/>
                <w:color w:val="000000"/>
                <w:sz w:val="20"/>
                <w:szCs w:val="18"/>
              </w:rPr>
              <w:t>Total</w:t>
            </w:r>
          </w:p>
        </w:tc>
        <w:tc>
          <w:tcPr>
            <w:tcW w:w="1597" w:type="pct"/>
            <w:shd w:val="clear" w:color="auto" w:fill="auto"/>
            <w:noWrap/>
            <w:vAlign w:val="center"/>
            <w:hideMark/>
          </w:tcPr>
          <w:p w:rsidR="00110E16" w:rsidRPr="00A75729" w:rsidRDefault="00110E16" w:rsidP="00110E16">
            <w:pPr>
              <w:spacing w:before="0" w:after="0" w:line="240" w:lineRule="auto"/>
              <w:jc w:val="right"/>
              <w:rPr>
                <w:rFonts w:eastAsia="Times New Roman"/>
                <w:b/>
                <w:color w:val="000000"/>
                <w:sz w:val="20"/>
                <w:szCs w:val="18"/>
              </w:rPr>
            </w:pPr>
            <w:r w:rsidRPr="00A75729">
              <w:rPr>
                <w:rFonts w:eastAsia="Times New Roman"/>
                <w:b/>
                <w:color w:val="000000"/>
                <w:sz w:val="20"/>
                <w:szCs w:val="18"/>
              </w:rPr>
              <w:t>100.00</w:t>
            </w:r>
          </w:p>
        </w:tc>
      </w:tr>
    </w:tbl>
    <w:p w:rsidR="00495CA2" w:rsidRPr="00A75729" w:rsidRDefault="00495CA2" w:rsidP="00D25AEE">
      <w:pPr>
        <w:spacing w:before="0" w:after="0"/>
        <w:ind w:left="1560" w:firstLine="2"/>
        <w:rPr>
          <w:sz w:val="16"/>
        </w:rPr>
      </w:pPr>
      <w:r w:rsidRPr="00A75729">
        <w:rPr>
          <w:sz w:val="16"/>
        </w:rPr>
        <w:t xml:space="preserve">Fuente: Elaboración propia con información contenida en Foja </w:t>
      </w:r>
      <w:r w:rsidR="00E861E0" w:rsidRPr="00A75729">
        <w:rPr>
          <w:sz w:val="16"/>
        </w:rPr>
        <w:t>8</w:t>
      </w:r>
      <w:r w:rsidRPr="00A75729">
        <w:rPr>
          <w:sz w:val="16"/>
        </w:rPr>
        <w:t xml:space="preserve"> del Expediente.</w:t>
      </w:r>
    </w:p>
    <w:p w:rsidR="00110E16" w:rsidRPr="00A75729" w:rsidRDefault="00110E16" w:rsidP="00D25AEE">
      <w:pPr>
        <w:spacing w:before="0" w:after="0"/>
        <w:ind w:left="1560" w:firstLine="2"/>
        <w:rPr>
          <w:sz w:val="16"/>
        </w:rPr>
      </w:pPr>
      <w:r w:rsidRPr="00A75729">
        <w:rPr>
          <w:sz w:val="16"/>
        </w:rPr>
        <w:t>N.S. No Significativo.</w:t>
      </w:r>
    </w:p>
    <w:p w:rsidR="003A59F7" w:rsidRPr="00A75729" w:rsidRDefault="003A59F7" w:rsidP="003A59F7">
      <w:pPr>
        <w:rPr>
          <w:lang w:val="es-ES"/>
        </w:rPr>
      </w:pPr>
      <w:r w:rsidRPr="00A75729">
        <w:t xml:space="preserve">Con base en la información proporcionada por las Partes, en el </w:t>
      </w:r>
      <w:r w:rsidR="008F6BF9" w:rsidRPr="00A75729">
        <w:t>C</w:t>
      </w:r>
      <w:r w:rsidRPr="00A75729">
        <w:t xml:space="preserve">uadro </w:t>
      </w:r>
      <w:r w:rsidR="008F6BF9" w:rsidRPr="00A75729">
        <w:t xml:space="preserve">siguiente </w:t>
      </w:r>
      <w:r w:rsidRPr="00A75729">
        <w:t>se presenta la información financiera de Radio Triunfos, para el año 2017.</w:t>
      </w:r>
    </w:p>
    <w:p w:rsidR="003A59F7" w:rsidRPr="00A75729" w:rsidRDefault="003A59F7" w:rsidP="00DB5335">
      <w:pPr>
        <w:pStyle w:val="Prrafodelista"/>
        <w:keepNext/>
        <w:numPr>
          <w:ilvl w:val="0"/>
          <w:numId w:val="18"/>
        </w:numPr>
        <w:spacing w:before="0" w:after="0" w:line="276" w:lineRule="auto"/>
        <w:ind w:left="426" w:hanging="357"/>
        <w:contextualSpacing w:val="0"/>
        <w:jc w:val="center"/>
        <w:rPr>
          <w:b/>
          <w:szCs w:val="20"/>
        </w:rPr>
      </w:pPr>
      <w:r w:rsidRPr="00A75729">
        <w:rPr>
          <w:b/>
          <w:szCs w:val="20"/>
        </w:rPr>
        <w:t>Cifras financieras de Radio Triunfos</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8"/>
        <w:gridCol w:w="3502"/>
      </w:tblGrid>
      <w:tr w:rsidR="003A59F7" w:rsidRPr="00A75729" w:rsidTr="0034544B">
        <w:trPr>
          <w:trHeight w:val="20"/>
          <w:tblHeader/>
          <w:jc w:val="center"/>
        </w:trPr>
        <w:tc>
          <w:tcPr>
            <w:tcW w:w="4978" w:type="dxa"/>
            <w:shd w:val="clear" w:color="auto" w:fill="92D050"/>
            <w:vAlign w:val="center"/>
            <w:hideMark/>
          </w:tcPr>
          <w:p w:rsidR="003A59F7" w:rsidRPr="00A75729" w:rsidRDefault="003A59F7" w:rsidP="00A11C48">
            <w:pPr>
              <w:keepNext/>
              <w:spacing w:before="0" w:after="0" w:line="240" w:lineRule="auto"/>
              <w:jc w:val="center"/>
              <w:rPr>
                <w:rFonts w:eastAsia="Times New Roman"/>
                <w:b/>
                <w:bCs/>
                <w:sz w:val="20"/>
                <w:szCs w:val="18"/>
              </w:rPr>
            </w:pPr>
            <w:r w:rsidRPr="00A75729">
              <w:rPr>
                <w:rFonts w:eastAsia="Times New Roman"/>
                <w:b/>
                <w:bCs/>
                <w:sz w:val="20"/>
                <w:szCs w:val="18"/>
              </w:rPr>
              <w:t>Concepto (</w:t>
            </w:r>
            <w:r w:rsidR="00AC416D" w:rsidRPr="00A75729">
              <w:rPr>
                <w:rFonts w:eastAsia="Times New Roman"/>
                <w:b/>
                <w:bCs/>
                <w:sz w:val="20"/>
                <w:szCs w:val="18"/>
              </w:rPr>
              <w:t>pesos</w:t>
            </w:r>
            <w:r w:rsidRPr="00A75729">
              <w:rPr>
                <w:rFonts w:eastAsia="Times New Roman"/>
                <w:b/>
                <w:bCs/>
                <w:sz w:val="20"/>
                <w:szCs w:val="18"/>
              </w:rPr>
              <w:t xml:space="preserve"> nominales)</w:t>
            </w:r>
          </w:p>
        </w:tc>
        <w:tc>
          <w:tcPr>
            <w:tcW w:w="3502" w:type="dxa"/>
            <w:shd w:val="clear" w:color="auto" w:fill="92D050"/>
            <w:vAlign w:val="center"/>
            <w:hideMark/>
          </w:tcPr>
          <w:p w:rsidR="003A59F7" w:rsidRPr="00A75729" w:rsidRDefault="003A59F7" w:rsidP="00B21A4A">
            <w:pPr>
              <w:keepNext/>
              <w:spacing w:before="0" w:after="0" w:line="240" w:lineRule="auto"/>
              <w:jc w:val="center"/>
              <w:rPr>
                <w:rFonts w:eastAsia="Times New Roman"/>
                <w:b/>
                <w:bCs/>
                <w:sz w:val="20"/>
                <w:szCs w:val="18"/>
              </w:rPr>
            </w:pPr>
            <w:r w:rsidRPr="00A75729">
              <w:rPr>
                <w:b/>
                <w:sz w:val="20"/>
                <w:szCs w:val="18"/>
              </w:rPr>
              <w:t xml:space="preserve">diciembre de </w:t>
            </w:r>
            <w:r w:rsidRPr="00A75729">
              <w:rPr>
                <w:rFonts w:eastAsia="Times New Roman"/>
                <w:b/>
                <w:bCs/>
                <w:sz w:val="20"/>
                <w:szCs w:val="18"/>
              </w:rPr>
              <w:t>2017</w:t>
            </w:r>
          </w:p>
        </w:tc>
      </w:tr>
      <w:tr w:rsidR="003A59F7" w:rsidRPr="00A75729" w:rsidTr="0034544B">
        <w:trPr>
          <w:trHeight w:val="20"/>
          <w:jc w:val="center"/>
        </w:trPr>
        <w:tc>
          <w:tcPr>
            <w:tcW w:w="4978" w:type="dxa"/>
            <w:shd w:val="clear" w:color="auto" w:fill="auto"/>
            <w:vAlign w:val="center"/>
            <w:hideMark/>
          </w:tcPr>
          <w:p w:rsidR="003A59F7" w:rsidRPr="00A75729" w:rsidRDefault="003A59F7" w:rsidP="00B21A4A">
            <w:pPr>
              <w:keepNext/>
              <w:spacing w:before="0" w:after="0" w:line="240" w:lineRule="auto"/>
              <w:rPr>
                <w:rFonts w:eastAsia="Times New Roman"/>
                <w:color w:val="000000"/>
                <w:sz w:val="20"/>
                <w:szCs w:val="18"/>
              </w:rPr>
            </w:pPr>
            <w:r w:rsidRPr="00A75729">
              <w:rPr>
                <w:rFonts w:eastAsia="Times New Roman"/>
                <w:color w:val="000000"/>
                <w:sz w:val="20"/>
                <w:szCs w:val="18"/>
              </w:rPr>
              <w:t>Ingresos</w:t>
            </w:r>
          </w:p>
        </w:tc>
        <w:tc>
          <w:tcPr>
            <w:tcW w:w="3502" w:type="dxa"/>
            <w:shd w:val="clear" w:color="auto" w:fill="auto"/>
            <w:vAlign w:val="center"/>
          </w:tcPr>
          <w:p w:rsidR="003A59F7" w:rsidRPr="00324C70" w:rsidRDefault="0034544B" w:rsidP="00A74C34">
            <w:pPr>
              <w:keepNext/>
              <w:spacing w:before="0" w:after="0" w:line="240" w:lineRule="auto"/>
              <w:ind w:right="16" w:firstLineChars="200" w:firstLine="400"/>
              <w:jc w:val="right"/>
              <w:rPr>
                <w:rFonts w:eastAsia="Times New Roman"/>
                <w:color w:val="000000"/>
                <w:sz w:val="20"/>
                <w:szCs w:val="18"/>
                <w:highlight w:val="green"/>
              </w:rPr>
            </w:pPr>
            <w:r w:rsidRPr="0034544B">
              <w:rPr>
                <w:b/>
                <w:bCs/>
                <w:color w:val="0000CC"/>
                <w:kern w:val="24"/>
                <w:sz w:val="20"/>
                <w:szCs w:val="20"/>
              </w:rPr>
              <w:t>“CONFIDENCIAL POR LEY (</w:t>
            </w:r>
            <w:r w:rsidR="00A74C34">
              <w:rPr>
                <w:b/>
                <w:bCs/>
                <w:color w:val="0000CC"/>
                <w:kern w:val="24"/>
                <w:sz w:val="20"/>
                <w:szCs w:val="20"/>
              </w:rPr>
              <w:t>7</w:t>
            </w:r>
            <w:r w:rsidRPr="0034544B">
              <w:rPr>
                <w:b/>
                <w:bCs/>
                <w:color w:val="0000CC"/>
                <w:kern w:val="24"/>
                <w:sz w:val="20"/>
                <w:szCs w:val="20"/>
              </w:rPr>
              <w:t>)”</w:t>
            </w:r>
          </w:p>
        </w:tc>
      </w:tr>
      <w:tr w:rsidR="003A59F7" w:rsidRPr="00A75729" w:rsidTr="0034544B">
        <w:trPr>
          <w:trHeight w:val="20"/>
          <w:jc w:val="center"/>
        </w:trPr>
        <w:tc>
          <w:tcPr>
            <w:tcW w:w="4978" w:type="dxa"/>
            <w:shd w:val="clear" w:color="auto" w:fill="auto"/>
            <w:vAlign w:val="center"/>
            <w:hideMark/>
          </w:tcPr>
          <w:p w:rsidR="003A59F7" w:rsidRPr="00A75729" w:rsidRDefault="003A59F7" w:rsidP="00B21A4A">
            <w:pPr>
              <w:keepNext/>
              <w:spacing w:before="0" w:after="0" w:line="240" w:lineRule="auto"/>
              <w:rPr>
                <w:rFonts w:eastAsia="Times New Roman"/>
                <w:color w:val="000000"/>
                <w:sz w:val="20"/>
                <w:szCs w:val="18"/>
              </w:rPr>
            </w:pPr>
            <w:r w:rsidRPr="00A75729">
              <w:rPr>
                <w:rFonts w:eastAsia="Times New Roman"/>
                <w:color w:val="000000"/>
                <w:sz w:val="20"/>
                <w:szCs w:val="18"/>
              </w:rPr>
              <w:t xml:space="preserve">Utilidad (pérdida) neta </w:t>
            </w:r>
          </w:p>
        </w:tc>
        <w:tc>
          <w:tcPr>
            <w:tcW w:w="3502" w:type="dxa"/>
            <w:shd w:val="clear" w:color="auto" w:fill="auto"/>
            <w:vAlign w:val="center"/>
          </w:tcPr>
          <w:p w:rsidR="003A59F7" w:rsidRPr="00324C70" w:rsidRDefault="0034544B" w:rsidP="00A74C34">
            <w:pPr>
              <w:keepNext/>
              <w:spacing w:before="0" w:after="0" w:line="240" w:lineRule="auto"/>
              <w:ind w:right="16" w:firstLineChars="200" w:firstLine="400"/>
              <w:jc w:val="right"/>
              <w:rPr>
                <w:rFonts w:eastAsia="Times New Roman"/>
                <w:color w:val="000000"/>
                <w:sz w:val="20"/>
                <w:szCs w:val="18"/>
                <w:highlight w:val="green"/>
              </w:rPr>
            </w:pPr>
            <w:r w:rsidRPr="0034544B">
              <w:rPr>
                <w:b/>
                <w:bCs/>
                <w:color w:val="0000CC"/>
                <w:kern w:val="24"/>
                <w:sz w:val="20"/>
                <w:szCs w:val="20"/>
              </w:rPr>
              <w:t>“CONFIDENCIAL POR LEY (</w:t>
            </w:r>
            <w:r w:rsidR="00A74C34">
              <w:rPr>
                <w:b/>
                <w:bCs/>
                <w:color w:val="0000CC"/>
                <w:kern w:val="24"/>
                <w:sz w:val="20"/>
                <w:szCs w:val="20"/>
              </w:rPr>
              <w:t>7</w:t>
            </w:r>
            <w:r w:rsidRPr="0034544B">
              <w:rPr>
                <w:b/>
                <w:bCs/>
                <w:color w:val="0000CC"/>
                <w:kern w:val="24"/>
                <w:sz w:val="20"/>
                <w:szCs w:val="20"/>
              </w:rPr>
              <w:t>)”</w:t>
            </w:r>
          </w:p>
        </w:tc>
      </w:tr>
      <w:tr w:rsidR="003A59F7" w:rsidRPr="00A75729" w:rsidTr="0034544B">
        <w:trPr>
          <w:trHeight w:val="20"/>
          <w:jc w:val="center"/>
        </w:trPr>
        <w:tc>
          <w:tcPr>
            <w:tcW w:w="4978" w:type="dxa"/>
            <w:shd w:val="clear" w:color="auto" w:fill="auto"/>
            <w:vAlign w:val="center"/>
            <w:hideMark/>
          </w:tcPr>
          <w:p w:rsidR="003A59F7" w:rsidRPr="00A75729" w:rsidRDefault="003A59F7" w:rsidP="00B21A4A">
            <w:pPr>
              <w:keepNext/>
              <w:spacing w:before="0" w:after="0" w:line="240" w:lineRule="auto"/>
              <w:rPr>
                <w:rFonts w:eastAsia="Times New Roman"/>
                <w:color w:val="000000"/>
                <w:sz w:val="20"/>
                <w:szCs w:val="18"/>
              </w:rPr>
            </w:pPr>
            <w:r w:rsidRPr="00A75729">
              <w:rPr>
                <w:rFonts w:eastAsia="Times New Roman"/>
                <w:color w:val="000000"/>
                <w:sz w:val="20"/>
                <w:szCs w:val="18"/>
              </w:rPr>
              <w:t>Activos</w:t>
            </w:r>
          </w:p>
        </w:tc>
        <w:tc>
          <w:tcPr>
            <w:tcW w:w="3502" w:type="dxa"/>
            <w:shd w:val="clear" w:color="auto" w:fill="auto"/>
            <w:vAlign w:val="center"/>
          </w:tcPr>
          <w:p w:rsidR="003A59F7" w:rsidRPr="00324C70" w:rsidRDefault="0034544B" w:rsidP="00A74C34">
            <w:pPr>
              <w:keepNext/>
              <w:spacing w:before="0" w:after="0" w:line="240" w:lineRule="auto"/>
              <w:ind w:right="16" w:firstLineChars="200" w:firstLine="400"/>
              <w:jc w:val="right"/>
              <w:rPr>
                <w:rFonts w:eastAsia="Times New Roman"/>
                <w:color w:val="000000"/>
                <w:sz w:val="20"/>
                <w:szCs w:val="18"/>
                <w:highlight w:val="green"/>
              </w:rPr>
            </w:pPr>
            <w:r w:rsidRPr="0034544B">
              <w:rPr>
                <w:b/>
                <w:bCs/>
                <w:color w:val="0000CC"/>
                <w:kern w:val="24"/>
                <w:sz w:val="20"/>
                <w:szCs w:val="20"/>
              </w:rPr>
              <w:t>“CONFIDENCIAL POR LEY (</w:t>
            </w:r>
            <w:r w:rsidR="00A74C34">
              <w:rPr>
                <w:b/>
                <w:bCs/>
                <w:color w:val="0000CC"/>
                <w:kern w:val="24"/>
                <w:sz w:val="20"/>
                <w:szCs w:val="20"/>
              </w:rPr>
              <w:t>7</w:t>
            </w:r>
            <w:r w:rsidRPr="0034544B">
              <w:rPr>
                <w:b/>
                <w:bCs/>
                <w:color w:val="0000CC"/>
                <w:kern w:val="24"/>
                <w:sz w:val="20"/>
                <w:szCs w:val="20"/>
              </w:rPr>
              <w:t>)”</w:t>
            </w:r>
          </w:p>
        </w:tc>
      </w:tr>
    </w:tbl>
    <w:p w:rsidR="003A59F7" w:rsidRPr="00A75729" w:rsidRDefault="003A59F7" w:rsidP="003A59F7">
      <w:pPr>
        <w:tabs>
          <w:tab w:val="left" w:pos="3318"/>
        </w:tabs>
        <w:spacing w:before="0" w:after="0" w:line="23" w:lineRule="atLeast"/>
        <w:ind w:left="1276"/>
        <w:rPr>
          <w:sz w:val="16"/>
        </w:rPr>
      </w:pPr>
      <w:r w:rsidRPr="00A75729">
        <w:rPr>
          <w:sz w:val="16"/>
        </w:rPr>
        <w:t>Fuente: Elaboración propia con información contenida en Fojas 275-</w:t>
      </w:r>
      <w:r w:rsidR="00D264A8" w:rsidRPr="00A75729">
        <w:rPr>
          <w:sz w:val="16"/>
        </w:rPr>
        <w:t>279</w:t>
      </w:r>
      <w:r w:rsidRPr="00A75729">
        <w:rPr>
          <w:sz w:val="16"/>
        </w:rPr>
        <w:t xml:space="preserve"> del Expediente</w:t>
      </w:r>
      <w:r w:rsidR="00D264A8" w:rsidRPr="00A75729">
        <w:rPr>
          <w:sz w:val="16"/>
        </w:rPr>
        <w:t>.</w:t>
      </w:r>
    </w:p>
    <w:p w:rsidR="00753705" w:rsidRPr="00A75729" w:rsidRDefault="00696823" w:rsidP="00696823">
      <w:pPr>
        <w:pStyle w:val="Ttulo4"/>
        <w:keepNext/>
        <w:spacing w:before="360" w:after="0"/>
        <w:ind w:firstLine="708"/>
        <w:jc w:val="left"/>
        <w:rPr>
          <w:lang w:val="es-MX"/>
        </w:rPr>
      </w:pPr>
      <w:bookmarkStart w:id="155" w:name="_Toc519100847"/>
      <w:r>
        <w:rPr>
          <w:lang w:val="es-MX"/>
        </w:rPr>
        <w:t xml:space="preserve">4.2.2 </w:t>
      </w:r>
      <w:proofErr w:type="spellStart"/>
      <w:r w:rsidR="00110E16" w:rsidRPr="00A75729">
        <w:rPr>
          <w:lang w:val="es-MX"/>
        </w:rPr>
        <w:t>M</w:t>
      </w:r>
      <w:r w:rsidR="00753705" w:rsidRPr="00A75729">
        <w:rPr>
          <w:lang w:val="es-MX"/>
        </w:rPr>
        <w:t>MR</w:t>
      </w:r>
      <w:bookmarkEnd w:id="155"/>
      <w:proofErr w:type="spellEnd"/>
    </w:p>
    <w:p w:rsidR="00753705" w:rsidRPr="00A75729" w:rsidRDefault="00753705" w:rsidP="00753705">
      <w:pPr>
        <w:pStyle w:val="Prrafodelista"/>
        <w:spacing w:after="120" w:line="276" w:lineRule="auto"/>
        <w:ind w:left="0"/>
        <w:contextualSpacing w:val="0"/>
        <w:rPr>
          <w:rFonts w:eastAsia="Times New Roman"/>
          <w:color w:val="000000"/>
          <w:lang w:val="es-MX"/>
        </w:rPr>
      </w:pPr>
      <w:proofErr w:type="spellStart"/>
      <w:r w:rsidRPr="00A75729">
        <w:rPr>
          <w:rFonts w:eastAsia="Times New Roman"/>
          <w:color w:val="000000"/>
          <w:lang w:val="es-MX"/>
        </w:rPr>
        <w:t>MMR</w:t>
      </w:r>
      <w:proofErr w:type="spellEnd"/>
      <w:r w:rsidRPr="00A75729">
        <w:rPr>
          <w:rFonts w:eastAsia="Times New Roman"/>
          <w:color w:val="000000"/>
          <w:lang w:val="es-MX"/>
        </w:rPr>
        <w:t xml:space="preserve"> es una sociedad constituida conforme a las leyes mexicanas, según consta en la escritura pública de fecha </w:t>
      </w:r>
      <w:r w:rsidR="00EE374E" w:rsidRPr="00A75729">
        <w:rPr>
          <w:rFonts w:eastAsia="Times New Roman"/>
          <w:color w:val="000000"/>
          <w:lang w:val="es-MX"/>
        </w:rPr>
        <w:t>5</w:t>
      </w:r>
      <w:r w:rsidRPr="00A75729">
        <w:rPr>
          <w:rFonts w:eastAsia="Times New Roman"/>
          <w:color w:val="000000"/>
          <w:lang w:val="es-MX"/>
        </w:rPr>
        <w:t xml:space="preserve"> de </w:t>
      </w:r>
      <w:r w:rsidR="00EE374E" w:rsidRPr="00A75729">
        <w:rPr>
          <w:rFonts w:eastAsia="Times New Roman"/>
          <w:color w:val="000000"/>
          <w:lang w:val="es-MX"/>
        </w:rPr>
        <w:t xml:space="preserve">julio </w:t>
      </w:r>
      <w:r w:rsidRPr="00A75729">
        <w:rPr>
          <w:rFonts w:eastAsia="Times New Roman"/>
          <w:color w:val="000000"/>
          <w:lang w:val="es-MX"/>
        </w:rPr>
        <w:t>de</w:t>
      </w:r>
      <w:r w:rsidR="00EE374E" w:rsidRPr="00A75729">
        <w:rPr>
          <w:rFonts w:eastAsia="Times New Roman"/>
          <w:color w:val="000000"/>
          <w:lang w:val="es-MX"/>
        </w:rPr>
        <w:t xml:space="preserve"> 2000,</w:t>
      </w:r>
      <w:r w:rsidRPr="00A75729">
        <w:rPr>
          <w:rFonts w:eastAsia="Times New Roman"/>
          <w:color w:val="000000"/>
          <w:vertAlign w:val="superscript"/>
          <w:lang w:val="es-MX"/>
        </w:rPr>
        <w:footnoteReference w:id="24"/>
      </w:r>
      <w:r w:rsidR="00EE374E" w:rsidRPr="00A75729">
        <w:rPr>
          <w:bCs/>
          <w:color w:val="000000"/>
        </w:rPr>
        <w:t xml:space="preserve"> cuya estructura accionaria se presenta en el Cuadro siguiente, misma que no se modificó en virtud de la Operación.</w:t>
      </w:r>
    </w:p>
    <w:p w:rsidR="00753705" w:rsidRPr="00A75729" w:rsidRDefault="00753705" w:rsidP="00FB57CD">
      <w:pPr>
        <w:pStyle w:val="Prrafodelista"/>
        <w:keepNext/>
        <w:numPr>
          <w:ilvl w:val="0"/>
          <w:numId w:val="18"/>
        </w:numPr>
        <w:spacing w:after="120" w:line="276" w:lineRule="auto"/>
        <w:ind w:left="426" w:hanging="357"/>
        <w:contextualSpacing w:val="0"/>
        <w:jc w:val="center"/>
        <w:rPr>
          <w:b/>
          <w:szCs w:val="20"/>
        </w:rPr>
      </w:pPr>
      <w:r w:rsidRPr="00A75729">
        <w:rPr>
          <w:b/>
          <w:szCs w:val="20"/>
        </w:rPr>
        <w:lastRenderedPageBreak/>
        <w:t xml:space="preserve">Accionistas de </w:t>
      </w:r>
      <w:proofErr w:type="spellStart"/>
      <w:r w:rsidRPr="00A75729">
        <w:rPr>
          <w:b/>
          <w:szCs w:val="20"/>
        </w:rPr>
        <w:t>MMR</w:t>
      </w:r>
      <w:proofErr w:type="spellEnd"/>
      <w:r w:rsidRPr="00A75729">
        <w:rPr>
          <w:b/>
          <w:szCs w:val="20"/>
        </w:rPr>
        <w:t xml:space="preserve"> </w:t>
      </w:r>
    </w:p>
    <w:tbl>
      <w:tblPr>
        <w:tblW w:w="3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1"/>
        <w:gridCol w:w="3087"/>
      </w:tblGrid>
      <w:tr w:rsidR="00EE374E" w:rsidRPr="00A75729" w:rsidTr="0034544B">
        <w:trPr>
          <w:trHeight w:val="20"/>
          <w:tblHeader/>
          <w:jc w:val="center"/>
        </w:trPr>
        <w:tc>
          <w:tcPr>
            <w:tcW w:w="2769" w:type="pct"/>
            <w:shd w:val="clear" w:color="auto" w:fill="92D050"/>
            <w:noWrap/>
            <w:vAlign w:val="center"/>
            <w:hideMark/>
          </w:tcPr>
          <w:p w:rsidR="00EE374E" w:rsidRPr="00A75729" w:rsidRDefault="00EE374E" w:rsidP="001F5317">
            <w:pPr>
              <w:spacing w:before="0" w:after="0" w:line="240" w:lineRule="auto"/>
              <w:jc w:val="center"/>
              <w:rPr>
                <w:rFonts w:eastAsia="Times New Roman"/>
                <w:b/>
                <w:bCs/>
                <w:sz w:val="18"/>
                <w:szCs w:val="18"/>
              </w:rPr>
            </w:pPr>
            <w:r w:rsidRPr="00A75729">
              <w:rPr>
                <w:rFonts w:eastAsia="Times New Roman"/>
                <w:b/>
                <w:bCs/>
                <w:sz w:val="18"/>
                <w:szCs w:val="18"/>
              </w:rPr>
              <w:t>Accionista</w:t>
            </w:r>
          </w:p>
        </w:tc>
        <w:tc>
          <w:tcPr>
            <w:tcW w:w="2231" w:type="pct"/>
            <w:shd w:val="clear" w:color="auto" w:fill="92D050"/>
          </w:tcPr>
          <w:p w:rsidR="00EE374E" w:rsidRPr="00A75729" w:rsidRDefault="00EE374E" w:rsidP="00EE374E">
            <w:pPr>
              <w:spacing w:before="0" w:after="0" w:line="240" w:lineRule="auto"/>
              <w:jc w:val="center"/>
              <w:rPr>
                <w:rFonts w:eastAsia="Times New Roman"/>
                <w:b/>
                <w:bCs/>
                <w:sz w:val="18"/>
                <w:szCs w:val="18"/>
              </w:rPr>
            </w:pPr>
            <w:r w:rsidRPr="00A75729">
              <w:rPr>
                <w:rFonts w:eastAsia="Times New Roman"/>
                <w:b/>
                <w:bCs/>
                <w:sz w:val="18"/>
                <w:szCs w:val="18"/>
              </w:rPr>
              <w:t>Participación %</w:t>
            </w:r>
          </w:p>
        </w:tc>
      </w:tr>
      <w:tr w:rsidR="00753705" w:rsidRPr="00A75729" w:rsidTr="0034544B">
        <w:trPr>
          <w:trHeight w:val="20"/>
          <w:jc w:val="center"/>
        </w:trPr>
        <w:tc>
          <w:tcPr>
            <w:tcW w:w="2769" w:type="pct"/>
            <w:shd w:val="clear" w:color="000000" w:fill="FFFFFF"/>
            <w:vAlign w:val="center"/>
          </w:tcPr>
          <w:p w:rsidR="00753705" w:rsidRPr="00A75729" w:rsidRDefault="00A91950" w:rsidP="00A91950">
            <w:pPr>
              <w:spacing w:before="0" w:after="0"/>
              <w:rPr>
                <w:rFonts w:eastAsia="Times New Roman"/>
                <w:color w:val="000000"/>
                <w:sz w:val="20"/>
                <w:szCs w:val="18"/>
              </w:rPr>
            </w:pPr>
            <w:r w:rsidRPr="00A75729">
              <w:rPr>
                <w:rFonts w:eastAsia="Times New Roman"/>
                <w:color w:val="000000"/>
                <w:sz w:val="20"/>
                <w:szCs w:val="18"/>
              </w:rPr>
              <w:t>Francisco Antonio Gonzá</w:t>
            </w:r>
            <w:r w:rsidR="00753705" w:rsidRPr="00A75729">
              <w:rPr>
                <w:rFonts w:eastAsia="Times New Roman"/>
                <w:color w:val="000000"/>
                <w:sz w:val="20"/>
                <w:szCs w:val="18"/>
              </w:rPr>
              <w:t>lez S</w:t>
            </w:r>
            <w:r w:rsidRPr="00A75729">
              <w:rPr>
                <w:rFonts w:eastAsia="Times New Roman"/>
                <w:color w:val="000000"/>
                <w:sz w:val="20"/>
                <w:szCs w:val="18"/>
              </w:rPr>
              <w:t>á</w:t>
            </w:r>
            <w:r w:rsidR="00753705" w:rsidRPr="00A75729">
              <w:rPr>
                <w:rFonts w:eastAsia="Times New Roman"/>
                <w:color w:val="000000"/>
                <w:sz w:val="20"/>
                <w:szCs w:val="18"/>
              </w:rPr>
              <w:t>nchez</w:t>
            </w:r>
          </w:p>
        </w:tc>
        <w:tc>
          <w:tcPr>
            <w:tcW w:w="2231" w:type="pct"/>
            <w:shd w:val="clear" w:color="auto" w:fill="auto"/>
            <w:noWrap/>
            <w:vAlign w:val="center"/>
          </w:tcPr>
          <w:p w:rsidR="00753705" w:rsidRPr="00324C70" w:rsidRDefault="0034544B" w:rsidP="00FC77F7">
            <w:pPr>
              <w:spacing w:before="0" w:after="0"/>
              <w:jc w:val="right"/>
              <w:rPr>
                <w:rFonts w:eastAsia="Times New Roman"/>
                <w:color w:val="000000"/>
                <w:sz w:val="20"/>
                <w:szCs w:val="18"/>
                <w:highlight w:val="green"/>
              </w:rPr>
            </w:pPr>
            <w:r w:rsidRPr="0034544B">
              <w:rPr>
                <w:b/>
                <w:bCs/>
                <w:color w:val="0000CC"/>
                <w:kern w:val="24"/>
                <w:sz w:val="20"/>
                <w:szCs w:val="20"/>
              </w:rPr>
              <w:t>“CONFIDENCIAL POR LEY (3)”</w:t>
            </w:r>
          </w:p>
        </w:tc>
      </w:tr>
      <w:tr w:rsidR="00753705" w:rsidRPr="00A75729" w:rsidTr="0034544B">
        <w:trPr>
          <w:trHeight w:val="20"/>
          <w:jc w:val="center"/>
        </w:trPr>
        <w:tc>
          <w:tcPr>
            <w:tcW w:w="2769" w:type="pct"/>
            <w:shd w:val="clear" w:color="000000" w:fill="FFFFFF"/>
            <w:vAlign w:val="center"/>
          </w:tcPr>
          <w:p w:rsidR="00753705" w:rsidRPr="00A75729" w:rsidRDefault="001F5317" w:rsidP="00FF298E">
            <w:pPr>
              <w:spacing w:before="0" w:after="0"/>
              <w:rPr>
                <w:rFonts w:eastAsia="Times New Roman"/>
                <w:color w:val="000000"/>
                <w:sz w:val="20"/>
                <w:szCs w:val="18"/>
              </w:rPr>
            </w:pPr>
            <w:r w:rsidRPr="00A75729">
              <w:rPr>
                <w:rFonts w:eastAsia="Times New Roman"/>
                <w:color w:val="000000"/>
                <w:sz w:val="20"/>
                <w:szCs w:val="18"/>
              </w:rPr>
              <w:t xml:space="preserve">Valeria </w:t>
            </w:r>
            <w:r w:rsidR="00A91950" w:rsidRPr="00A75729">
              <w:rPr>
                <w:rFonts w:eastAsia="Times New Roman"/>
                <w:color w:val="000000"/>
                <w:sz w:val="20"/>
                <w:szCs w:val="18"/>
              </w:rPr>
              <w:t>González</w:t>
            </w:r>
            <w:r w:rsidRPr="00A75729">
              <w:rPr>
                <w:rFonts w:eastAsia="Times New Roman"/>
                <w:color w:val="000000"/>
                <w:sz w:val="20"/>
                <w:szCs w:val="18"/>
              </w:rPr>
              <w:t xml:space="preserve"> </w:t>
            </w:r>
            <w:proofErr w:type="spellStart"/>
            <w:r w:rsidRPr="00A75729">
              <w:rPr>
                <w:rFonts w:eastAsia="Times New Roman"/>
                <w:color w:val="000000"/>
                <w:sz w:val="20"/>
                <w:szCs w:val="18"/>
              </w:rPr>
              <w:t>Albuerne</w:t>
            </w:r>
            <w:proofErr w:type="spellEnd"/>
          </w:p>
        </w:tc>
        <w:tc>
          <w:tcPr>
            <w:tcW w:w="2231" w:type="pct"/>
            <w:shd w:val="clear" w:color="auto" w:fill="auto"/>
            <w:noWrap/>
            <w:vAlign w:val="center"/>
          </w:tcPr>
          <w:p w:rsidR="00753705" w:rsidRPr="00324C70" w:rsidRDefault="007724D8" w:rsidP="00FC77F7">
            <w:pPr>
              <w:spacing w:before="0" w:after="0"/>
              <w:jc w:val="right"/>
              <w:rPr>
                <w:rFonts w:eastAsia="Times New Roman"/>
                <w:color w:val="000000"/>
                <w:sz w:val="20"/>
                <w:szCs w:val="18"/>
                <w:highlight w:val="green"/>
              </w:rPr>
            </w:pPr>
            <w:r w:rsidRPr="0034544B">
              <w:rPr>
                <w:b/>
                <w:bCs/>
                <w:color w:val="0000CC"/>
                <w:kern w:val="24"/>
                <w:sz w:val="20"/>
                <w:szCs w:val="20"/>
              </w:rPr>
              <w:t>“CONFIDENCIAL POR LEY (3)”</w:t>
            </w:r>
          </w:p>
        </w:tc>
      </w:tr>
      <w:tr w:rsidR="00753705" w:rsidRPr="00A75729" w:rsidTr="0034544B">
        <w:trPr>
          <w:trHeight w:val="20"/>
          <w:jc w:val="center"/>
        </w:trPr>
        <w:tc>
          <w:tcPr>
            <w:tcW w:w="2769" w:type="pct"/>
            <w:shd w:val="clear" w:color="000000" w:fill="FFFFFF"/>
            <w:vAlign w:val="center"/>
          </w:tcPr>
          <w:p w:rsidR="00753705" w:rsidRPr="00A75729" w:rsidRDefault="001F5317" w:rsidP="00FF298E">
            <w:pPr>
              <w:spacing w:before="0" w:after="0"/>
              <w:rPr>
                <w:rFonts w:eastAsia="Times New Roman"/>
                <w:color w:val="000000"/>
                <w:sz w:val="20"/>
                <w:szCs w:val="18"/>
              </w:rPr>
            </w:pPr>
            <w:r w:rsidRPr="00A75729">
              <w:rPr>
                <w:rFonts w:eastAsia="Times New Roman"/>
                <w:color w:val="000000"/>
                <w:sz w:val="20"/>
                <w:szCs w:val="18"/>
              </w:rPr>
              <w:t xml:space="preserve">Francisco </w:t>
            </w:r>
            <w:r w:rsidR="002216D7" w:rsidRPr="00A75729">
              <w:rPr>
                <w:rFonts w:eastAsia="Times New Roman"/>
                <w:color w:val="000000"/>
                <w:sz w:val="20"/>
                <w:szCs w:val="18"/>
              </w:rPr>
              <w:t>Darío</w:t>
            </w:r>
            <w:r w:rsidRPr="00A75729">
              <w:rPr>
                <w:rFonts w:eastAsia="Times New Roman"/>
                <w:color w:val="000000"/>
                <w:sz w:val="20"/>
                <w:szCs w:val="18"/>
              </w:rPr>
              <w:t xml:space="preserve"> </w:t>
            </w:r>
            <w:r w:rsidR="00A91950" w:rsidRPr="00A75729">
              <w:rPr>
                <w:rFonts w:eastAsia="Times New Roman"/>
                <w:color w:val="000000"/>
                <w:sz w:val="20"/>
                <w:szCs w:val="18"/>
              </w:rPr>
              <w:t>González</w:t>
            </w:r>
            <w:r w:rsidRPr="00A75729">
              <w:rPr>
                <w:rFonts w:eastAsia="Times New Roman"/>
                <w:color w:val="000000"/>
                <w:sz w:val="20"/>
                <w:szCs w:val="18"/>
              </w:rPr>
              <w:t xml:space="preserve"> </w:t>
            </w:r>
            <w:proofErr w:type="spellStart"/>
            <w:r w:rsidRPr="00A75729">
              <w:rPr>
                <w:rFonts w:eastAsia="Times New Roman"/>
                <w:color w:val="000000"/>
                <w:sz w:val="20"/>
                <w:szCs w:val="18"/>
              </w:rPr>
              <w:t>Albuerne</w:t>
            </w:r>
            <w:proofErr w:type="spellEnd"/>
          </w:p>
        </w:tc>
        <w:tc>
          <w:tcPr>
            <w:tcW w:w="2231" w:type="pct"/>
            <w:shd w:val="clear" w:color="auto" w:fill="auto"/>
            <w:noWrap/>
            <w:vAlign w:val="center"/>
          </w:tcPr>
          <w:p w:rsidR="00753705" w:rsidRPr="00324C70" w:rsidRDefault="007724D8" w:rsidP="00FC77F7">
            <w:pPr>
              <w:spacing w:before="0" w:after="0"/>
              <w:jc w:val="right"/>
              <w:rPr>
                <w:rFonts w:eastAsia="Times New Roman"/>
                <w:color w:val="000000"/>
                <w:sz w:val="20"/>
                <w:szCs w:val="18"/>
                <w:highlight w:val="green"/>
              </w:rPr>
            </w:pPr>
            <w:r w:rsidRPr="0034544B">
              <w:rPr>
                <w:b/>
                <w:bCs/>
                <w:color w:val="0000CC"/>
                <w:kern w:val="24"/>
                <w:sz w:val="20"/>
                <w:szCs w:val="20"/>
              </w:rPr>
              <w:t>“CONFIDENCIAL POR LEY (3)”</w:t>
            </w:r>
          </w:p>
        </w:tc>
      </w:tr>
      <w:tr w:rsidR="001F5317" w:rsidRPr="00A75729" w:rsidTr="0034544B">
        <w:trPr>
          <w:trHeight w:val="20"/>
          <w:jc w:val="center"/>
        </w:trPr>
        <w:tc>
          <w:tcPr>
            <w:tcW w:w="2769" w:type="pct"/>
            <w:shd w:val="clear" w:color="000000" w:fill="FFFFFF"/>
            <w:vAlign w:val="center"/>
          </w:tcPr>
          <w:p w:rsidR="001F5317" w:rsidRPr="00A75729" w:rsidDel="001F5317" w:rsidRDefault="001F5317" w:rsidP="00FF298E">
            <w:pPr>
              <w:spacing w:before="0" w:after="0"/>
              <w:rPr>
                <w:rFonts w:eastAsia="Times New Roman"/>
                <w:color w:val="000000"/>
                <w:sz w:val="20"/>
                <w:szCs w:val="18"/>
              </w:rPr>
            </w:pPr>
            <w:r w:rsidRPr="00A75729">
              <w:rPr>
                <w:rFonts w:eastAsia="Times New Roman"/>
                <w:color w:val="000000"/>
                <w:sz w:val="20"/>
                <w:szCs w:val="18"/>
              </w:rPr>
              <w:t xml:space="preserve">Patricia </w:t>
            </w:r>
            <w:r w:rsidR="00A91950" w:rsidRPr="00A75729">
              <w:rPr>
                <w:rFonts w:eastAsia="Times New Roman"/>
                <w:color w:val="000000"/>
                <w:sz w:val="20"/>
                <w:szCs w:val="18"/>
              </w:rPr>
              <w:t>González</w:t>
            </w:r>
            <w:r w:rsidRPr="00A75729">
              <w:rPr>
                <w:rFonts w:eastAsia="Times New Roman"/>
                <w:color w:val="000000"/>
                <w:sz w:val="20"/>
                <w:szCs w:val="18"/>
              </w:rPr>
              <w:t xml:space="preserve"> </w:t>
            </w:r>
            <w:proofErr w:type="spellStart"/>
            <w:r w:rsidRPr="00A75729">
              <w:rPr>
                <w:rFonts w:eastAsia="Times New Roman"/>
                <w:color w:val="000000"/>
                <w:sz w:val="20"/>
                <w:szCs w:val="18"/>
              </w:rPr>
              <w:t>Albuerne</w:t>
            </w:r>
            <w:proofErr w:type="spellEnd"/>
          </w:p>
        </w:tc>
        <w:tc>
          <w:tcPr>
            <w:tcW w:w="2231" w:type="pct"/>
            <w:shd w:val="clear" w:color="auto" w:fill="auto"/>
            <w:noWrap/>
            <w:vAlign w:val="center"/>
          </w:tcPr>
          <w:p w:rsidR="001F5317" w:rsidRPr="00324C70" w:rsidRDefault="007724D8" w:rsidP="00FF298E">
            <w:pPr>
              <w:spacing w:before="0" w:after="0"/>
              <w:jc w:val="right"/>
              <w:rPr>
                <w:rFonts w:eastAsia="Times New Roman"/>
                <w:color w:val="000000"/>
                <w:sz w:val="20"/>
                <w:szCs w:val="18"/>
                <w:highlight w:val="green"/>
              </w:rPr>
            </w:pPr>
            <w:r w:rsidRPr="0034544B">
              <w:rPr>
                <w:b/>
                <w:bCs/>
                <w:color w:val="0000CC"/>
                <w:kern w:val="24"/>
                <w:sz w:val="20"/>
                <w:szCs w:val="20"/>
              </w:rPr>
              <w:t>“CONFIDENCIAL POR LEY (3)”</w:t>
            </w:r>
          </w:p>
        </w:tc>
      </w:tr>
      <w:tr w:rsidR="001F5317" w:rsidRPr="00A75729" w:rsidTr="0034544B">
        <w:trPr>
          <w:trHeight w:val="20"/>
          <w:jc w:val="center"/>
        </w:trPr>
        <w:tc>
          <w:tcPr>
            <w:tcW w:w="2769" w:type="pct"/>
            <w:shd w:val="clear" w:color="000000" w:fill="FFFFFF"/>
            <w:vAlign w:val="center"/>
          </w:tcPr>
          <w:p w:rsidR="001F5317" w:rsidRPr="00A75729" w:rsidDel="001F5317" w:rsidRDefault="001F5317" w:rsidP="00FF298E">
            <w:pPr>
              <w:spacing w:before="0" w:after="0"/>
              <w:rPr>
                <w:rFonts w:eastAsia="Times New Roman"/>
                <w:color w:val="000000"/>
                <w:sz w:val="20"/>
                <w:szCs w:val="18"/>
              </w:rPr>
            </w:pPr>
            <w:r w:rsidRPr="00A75729">
              <w:rPr>
                <w:rFonts w:eastAsia="Times New Roman"/>
                <w:color w:val="000000"/>
                <w:sz w:val="20"/>
                <w:szCs w:val="18"/>
              </w:rPr>
              <w:t xml:space="preserve">Jesus Dionisio </w:t>
            </w:r>
            <w:r w:rsidR="00A91950" w:rsidRPr="00A75729">
              <w:rPr>
                <w:rFonts w:eastAsia="Times New Roman"/>
                <w:color w:val="000000"/>
                <w:sz w:val="20"/>
                <w:szCs w:val="18"/>
              </w:rPr>
              <w:t>González</w:t>
            </w:r>
            <w:r w:rsidRPr="00A75729">
              <w:rPr>
                <w:rFonts w:eastAsia="Times New Roman"/>
                <w:color w:val="000000"/>
                <w:sz w:val="20"/>
                <w:szCs w:val="18"/>
              </w:rPr>
              <w:t xml:space="preserve"> </w:t>
            </w:r>
            <w:proofErr w:type="spellStart"/>
            <w:r w:rsidRPr="00A75729">
              <w:rPr>
                <w:rFonts w:eastAsia="Times New Roman"/>
                <w:color w:val="000000"/>
                <w:sz w:val="20"/>
                <w:szCs w:val="18"/>
              </w:rPr>
              <w:t>Albuerne</w:t>
            </w:r>
            <w:proofErr w:type="spellEnd"/>
          </w:p>
        </w:tc>
        <w:tc>
          <w:tcPr>
            <w:tcW w:w="2231" w:type="pct"/>
            <w:shd w:val="clear" w:color="auto" w:fill="auto"/>
            <w:noWrap/>
            <w:vAlign w:val="center"/>
          </w:tcPr>
          <w:p w:rsidR="001F5317" w:rsidRPr="00324C70" w:rsidRDefault="007724D8" w:rsidP="00FF298E">
            <w:pPr>
              <w:spacing w:before="0" w:after="0"/>
              <w:jc w:val="right"/>
              <w:rPr>
                <w:rFonts w:eastAsia="Times New Roman"/>
                <w:color w:val="000000"/>
                <w:sz w:val="20"/>
                <w:szCs w:val="18"/>
                <w:highlight w:val="green"/>
              </w:rPr>
            </w:pPr>
            <w:r w:rsidRPr="0034544B">
              <w:rPr>
                <w:b/>
                <w:bCs/>
                <w:color w:val="0000CC"/>
                <w:kern w:val="24"/>
                <w:sz w:val="20"/>
                <w:szCs w:val="20"/>
              </w:rPr>
              <w:t>“CONFIDENCIAL POR LEY (3)”</w:t>
            </w:r>
          </w:p>
        </w:tc>
      </w:tr>
      <w:tr w:rsidR="00753705" w:rsidRPr="00A75729" w:rsidTr="0034544B">
        <w:trPr>
          <w:trHeight w:val="20"/>
          <w:jc w:val="center"/>
        </w:trPr>
        <w:tc>
          <w:tcPr>
            <w:tcW w:w="2769" w:type="pct"/>
            <w:shd w:val="clear" w:color="000000" w:fill="FFFFFF"/>
            <w:vAlign w:val="center"/>
            <w:hideMark/>
          </w:tcPr>
          <w:p w:rsidR="00753705" w:rsidRPr="00A75729" w:rsidRDefault="00753705" w:rsidP="00FF298E">
            <w:pPr>
              <w:spacing w:before="0" w:after="0"/>
              <w:jc w:val="right"/>
              <w:rPr>
                <w:rFonts w:eastAsia="Times New Roman"/>
                <w:b/>
                <w:color w:val="000000"/>
                <w:sz w:val="20"/>
                <w:szCs w:val="18"/>
              </w:rPr>
            </w:pPr>
            <w:r w:rsidRPr="00A75729">
              <w:rPr>
                <w:rFonts w:eastAsia="Times New Roman"/>
                <w:b/>
                <w:color w:val="000000"/>
                <w:sz w:val="20"/>
                <w:szCs w:val="18"/>
              </w:rPr>
              <w:t>Total</w:t>
            </w:r>
          </w:p>
        </w:tc>
        <w:tc>
          <w:tcPr>
            <w:tcW w:w="2231" w:type="pct"/>
            <w:shd w:val="clear" w:color="auto" w:fill="auto"/>
            <w:noWrap/>
            <w:vAlign w:val="center"/>
            <w:hideMark/>
          </w:tcPr>
          <w:p w:rsidR="00753705" w:rsidRPr="00A75729" w:rsidRDefault="00753705" w:rsidP="00FF298E">
            <w:pPr>
              <w:spacing w:before="0" w:after="0"/>
              <w:jc w:val="right"/>
              <w:rPr>
                <w:rFonts w:eastAsia="Times New Roman"/>
                <w:b/>
                <w:color w:val="000000"/>
                <w:sz w:val="20"/>
                <w:szCs w:val="18"/>
              </w:rPr>
            </w:pPr>
            <w:r w:rsidRPr="00A75729">
              <w:rPr>
                <w:rFonts w:eastAsia="Times New Roman"/>
                <w:b/>
                <w:color w:val="000000"/>
                <w:sz w:val="20"/>
                <w:szCs w:val="18"/>
              </w:rPr>
              <w:t>100.00</w:t>
            </w:r>
          </w:p>
        </w:tc>
      </w:tr>
    </w:tbl>
    <w:p w:rsidR="00E861E0" w:rsidRPr="00A75729" w:rsidRDefault="00E861E0" w:rsidP="00EE374E">
      <w:pPr>
        <w:spacing w:before="0" w:after="0"/>
        <w:ind w:left="1560" w:firstLine="2"/>
        <w:rPr>
          <w:sz w:val="16"/>
        </w:rPr>
      </w:pPr>
      <w:r w:rsidRPr="00A75729">
        <w:rPr>
          <w:sz w:val="16"/>
        </w:rPr>
        <w:t>Fuente: Elaboración propia con información contenida en Foja 8 del Expediente.</w:t>
      </w:r>
    </w:p>
    <w:p w:rsidR="00FC77F7" w:rsidRPr="00A75729" w:rsidRDefault="00FC77F7" w:rsidP="00EE374E">
      <w:pPr>
        <w:spacing w:before="0" w:after="0"/>
        <w:ind w:left="1560" w:firstLine="2"/>
        <w:rPr>
          <w:sz w:val="16"/>
        </w:rPr>
      </w:pPr>
      <w:r w:rsidRPr="00A75729">
        <w:rPr>
          <w:sz w:val="16"/>
        </w:rPr>
        <w:t>N.S. No Significativo.</w:t>
      </w:r>
    </w:p>
    <w:p w:rsidR="00EA33AE" w:rsidRPr="00A75729" w:rsidRDefault="00EA33AE" w:rsidP="00EA33AE">
      <w:pPr>
        <w:rPr>
          <w:lang w:val="es-ES"/>
        </w:rPr>
      </w:pPr>
      <w:r w:rsidRPr="00A75729">
        <w:t xml:space="preserve">Con base en la información proporcionada por las Partes, en el Cuadro siguiente se presenta la información financiera de </w:t>
      </w:r>
      <w:proofErr w:type="spellStart"/>
      <w:r w:rsidRPr="00A75729">
        <w:t>MMR</w:t>
      </w:r>
      <w:proofErr w:type="spellEnd"/>
      <w:r w:rsidRPr="00A75729">
        <w:t>, para el año 2017.</w:t>
      </w:r>
    </w:p>
    <w:p w:rsidR="00EA33AE" w:rsidRPr="00A75729" w:rsidRDefault="00EA33AE" w:rsidP="00FB57CD">
      <w:pPr>
        <w:pStyle w:val="Prrafodelista"/>
        <w:keepNext/>
        <w:numPr>
          <w:ilvl w:val="0"/>
          <w:numId w:val="18"/>
        </w:numPr>
        <w:spacing w:after="120" w:line="276" w:lineRule="auto"/>
        <w:ind w:left="426" w:hanging="357"/>
        <w:contextualSpacing w:val="0"/>
        <w:jc w:val="center"/>
        <w:rPr>
          <w:b/>
          <w:szCs w:val="20"/>
        </w:rPr>
      </w:pPr>
      <w:r w:rsidRPr="00A75729">
        <w:rPr>
          <w:b/>
          <w:szCs w:val="20"/>
        </w:rPr>
        <w:t xml:space="preserve">Cifras financieras (no consolidadas) de </w:t>
      </w:r>
      <w:proofErr w:type="spellStart"/>
      <w:r w:rsidRPr="00A75729">
        <w:rPr>
          <w:b/>
          <w:szCs w:val="20"/>
        </w:rPr>
        <w:t>MMR</w:t>
      </w:r>
      <w:proofErr w:type="spellEnd"/>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8"/>
        <w:gridCol w:w="3502"/>
      </w:tblGrid>
      <w:tr w:rsidR="00EA33AE" w:rsidRPr="00A75729" w:rsidTr="007724D8">
        <w:trPr>
          <w:trHeight w:val="20"/>
          <w:tblHeader/>
          <w:jc w:val="center"/>
        </w:trPr>
        <w:tc>
          <w:tcPr>
            <w:tcW w:w="4978" w:type="dxa"/>
            <w:shd w:val="clear" w:color="auto" w:fill="92D050"/>
            <w:vAlign w:val="center"/>
            <w:hideMark/>
          </w:tcPr>
          <w:p w:rsidR="00EA33AE" w:rsidRPr="00A75729" w:rsidRDefault="00EA33AE" w:rsidP="006D5127">
            <w:pPr>
              <w:keepNext/>
              <w:spacing w:before="0" w:after="0" w:line="240" w:lineRule="auto"/>
              <w:jc w:val="center"/>
              <w:rPr>
                <w:rFonts w:eastAsia="Times New Roman"/>
                <w:b/>
                <w:bCs/>
                <w:sz w:val="20"/>
                <w:szCs w:val="18"/>
              </w:rPr>
            </w:pPr>
            <w:r w:rsidRPr="00A75729">
              <w:rPr>
                <w:rFonts w:eastAsia="Times New Roman"/>
                <w:b/>
                <w:bCs/>
                <w:sz w:val="20"/>
                <w:szCs w:val="18"/>
              </w:rPr>
              <w:t>Concepto (pesos nominales)</w:t>
            </w:r>
          </w:p>
        </w:tc>
        <w:tc>
          <w:tcPr>
            <w:tcW w:w="3502" w:type="dxa"/>
            <w:shd w:val="clear" w:color="auto" w:fill="92D050"/>
            <w:vAlign w:val="center"/>
            <w:hideMark/>
          </w:tcPr>
          <w:p w:rsidR="00EA33AE" w:rsidRPr="00A75729" w:rsidRDefault="00EA33AE" w:rsidP="006D5127">
            <w:pPr>
              <w:keepNext/>
              <w:spacing w:before="0" w:after="0" w:line="240" w:lineRule="auto"/>
              <w:jc w:val="center"/>
              <w:rPr>
                <w:rFonts w:eastAsia="Times New Roman"/>
                <w:b/>
                <w:bCs/>
                <w:sz w:val="20"/>
                <w:szCs w:val="18"/>
              </w:rPr>
            </w:pPr>
            <w:r w:rsidRPr="00A75729">
              <w:rPr>
                <w:b/>
                <w:sz w:val="20"/>
                <w:szCs w:val="18"/>
              </w:rPr>
              <w:t xml:space="preserve">diciembre de </w:t>
            </w:r>
            <w:r w:rsidRPr="00A75729">
              <w:rPr>
                <w:rFonts w:eastAsia="Times New Roman"/>
                <w:b/>
                <w:bCs/>
                <w:sz w:val="20"/>
                <w:szCs w:val="18"/>
              </w:rPr>
              <w:t>2017</w:t>
            </w:r>
          </w:p>
        </w:tc>
      </w:tr>
      <w:tr w:rsidR="00EA33AE" w:rsidRPr="00A75729" w:rsidTr="007724D8">
        <w:trPr>
          <w:trHeight w:val="20"/>
          <w:jc w:val="center"/>
        </w:trPr>
        <w:tc>
          <w:tcPr>
            <w:tcW w:w="4978" w:type="dxa"/>
            <w:shd w:val="clear" w:color="auto" w:fill="auto"/>
            <w:vAlign w:val="center"/>
            <w:hideMark/>
          </w:tcPr>
          <w:p w:rsidR="00EA33AE" w:rsidRPr="00A75729" w:rsidRDefault="00EA33AE" w:rsidP="006D5127">
            <w:pPr>
              <w:keepNext/>
              <w:spacing w:before="0" w:after="0" w:line="240" w:lineRule="auto"/>
              <w:rPr>
                <w:rFonts w:eastAsia="Times New Roman"/>
                <w:color w:val="000000"/>
                <w:sz w:val="20"/>
                <w:szCs w:val="18"/>
              </w:rPr>
            </w:pPr>
            <w:r w:rsidRPr="00A75729">
              <w:rPr>
                <w:rFonts w:eastAsia="Times New Roman"/>
                <w:color w:val="000000"/>
                <w:sz w:val="20"/>
                <w:szCs w:val="18"/>
              </w:rPr>
              <w:t>Ingresos</w:t>
            </w:r>
          </w:p>
        </w:tc>
        <w:tc>
          <w:tcPr>
            <w:tcW w:w="3502" w:type="dxa"/>
            <w:shd w:val="clear" w:color="auto" w:fill="auto"/>
            <w:vAlign w:val="center"/>
          </w:tcPr>
          <w:p w:rsidR="00EA33AE" w:rsidRPr="00324C70" w:rsidRDefault="007724D8" w:rsidP="00A74C34">
            <w:pPr>
              <w:keepNext/>
              <w:spacing w:before="0" w:after="0" w:line="240" w:lineRule="auto"/>
              <w:ind w:right="16" w:firstLineChars="200" w:firstLine="400"/>
              <w:jc w:val="right"/>
              <w:rPr>
                <w:rFonts w:eastAsia="Times New Roman"/>
                <w:color w:val="000000"/>
                <w:sz w:val="20"/>
                <w:szCs w:val="18"/>
                <w:highlight w:val="green"/>
              </w:rPr>
            </w:pPr>
            <w:r w:rsidRPr="0034544B">
              <w:rPr>
                <w:b/>
                <w:bCs/>
                <w:color w:val="0000CC"/>
                <w:kern w:val="24"/>
                <w:sz w:val="20"/>
                <w:szCs w:val="20"/>
              </w:rPr>
              <w:t>“CONFIDENCIAL POR LEY (</w:t>
            </w:r>
            <w:r w:rsidR="00A74C34">
              <w:rPr>
                <w:b/>
                <w:bCs/>
                <w:color w:val="0000CC"/>
                <w:kern w:val="24"/>
                <w:sz w:val="20"/>
                <w:szCs w:val="20"/>
              </w:rPr>
              <w:t>7</w:t>
            </w:r>
            <w:r w:rsidRPr="0034544B">
              <w:rPr>
                <w:b/>
                <w:bCs/>
                <w:color w:val="0000CC"/>
                <w:kern w:val="24"/>
                <w:sz w:val="20"/>
                <w:szCs w:val="20"/>
              </w:rPr>
              <w:t>)”</w:t>
            </w:r>
          </w:p>
        </w:tc>
      </w:tr>
      <w:tr w:rsidR="00EA33AE" w:rsidRPr="00A75729" w:rsidTr="007724D8">
        <w:trPr>
          <w:trHeight w:val="20"/>
          <w:jc w:val="center"/>
        </w:trPr>
        <w:tc>
          <w:tcPr>
            <w:tcW w:w="4978" w:type="dxa"/>
            <w:shd w:val="clear" w:color="auto" w:fill="auto"/>
            <w:vAlign w:val="center"/>
            <w:hideMark/>
          </w:tcPr>
          <w:p w:rsidR="00EA33AE" w:rsidRPr="00A75729" w:rsidRDefault="00EA33AE" w:rsidP="006D5127">
            <w:pPr>
              <w:keepNext/>
              <w:spacing w:before="0" w:after="0" w:line="240" w:lineRule="auto"/>
              <w:rPr>
                <w:rFonts w:eastAsia="Times New Roman"/>
                <w:color w:val="000000"/>
                <w:sz w:val="20"/>
                <w:szCs w:val="18"/>
              </w:rPr>
            </w:pPr>
            <w:r w:rsidRPr="00A75729">
              <w:rPr>
                <w:rFonts w:eastAsia="Times New Roman"/>
                <w:color w:val="000000"/>
                <w:sz w:val="20"/>
                <w:szCs w:val="18"/>
              </w:rPr>
              <w:t xml:space="preserve">Utilidad (pérdida) neta </w:t>
            </w:r>
          </w:p>
        </w:tc>
        <w:tc>
          <w:tcPr>
            <w:tcW w:w="3502" w:type="dxa"/>
            <w:shd w:val="clear" w:color="auto" w:fill="auto"/>
            <w:vAlign w:val="center"/>
          </w:tcPr>
          <w:p w:rsidR="00EA33AE" w:rsidRPr="00324C70" w:rsidRDefault="007724D8" w:rsidP="00A74C34">
            <w:pPr>
              <w:keepNext/>
              <w:spacing w:before="0" w:after="0" w:line="240" w:lineRule="auto"/>
              <w:ind w:right="16" w:firstLineChars="200" w:firstLine="400"/>
              <w:jc w:val="right"/>
              <w:rPr>
                <w:rFonts w:eastAsia="Times New Roman"/>
                <w:color w:val="000000"/>
                <w:sz w:val="20"/>
                <w:szCs w:val="18"/>
                <w:highlight w:val="green"/>
              </w:rPr>
            </w:pPr>
            <w:r w:rsidRPr="0034544B">
              <w:rPr>
                <w:b/>
                <w:bCs/>
                <w:color w:val="0000CC"/>
                <w:kern w:val="24"/>
                <w:sz w:val="20"/>
                <w:szCs w:val="20"/>
              </w:rPr>
              <w:t>“CONFIDENCIAL POR LEY (</w:t>
            </w:r>
            <w:r w:rsidR="00A74C34">
              <w:rPr>
                <w:b/>
                <w:bCs/>
                <w:color w:val="0000CC"/>
                <w:kern w:val="24"/>
                <w:sz w:val="20"/>
                <w:szCs w:val="20"/>
              </w:rPr>
              <w:t>7</w:t>
            </w:r>
            <w:r w:rsidRPr="0034544B">
              <w:rPr>
                <w:b/>
                <w:bCs/>
                <w:color w:val="0000CC"/>
                <w:kern w:val="24"/>
                <w:sz w:val="20"/>
                <w:szCs w:val="20"/>
              </w:rPr>
              <w:t>)”</w:t>
            </w:r>
          </w:p>
        </w:tc>
      </w:tr>
      <w:tr w:rsidR="00EA33AE" w:rsidRPr="00A75729" w:rsidTr="007724D8">
        <w:trPr>
          <w:trHeight w:val="20"/>
          <w:jc w:val="center"/>
        </w:trPr>
        <w:tc>
          <w:tcPr>
            <w:tcW w:w="4978" w:type="dxa"/>
            <w:shd w:val="clear" w:color="auto" w:fill="auto"/>
            <w:vAlign w:val="center"/>
            <w:hideMark/>
          </w:tcPr>
          <w:p w:rsidR="00EA33AE" w:rsidRPr="00A75729" w:rsidRDefault="00EA33AE" w:rsidP="006D5127">
            <w:pPr>
              <w:keepNext/>
              <w:spacing w:before="0" w:after="0" w:line="240" w:lineRule="auto"/>
              <w:rPr>
                <w:rFonts w:eastAsia="Times New Roman"/>
                <w:color w:val="000000"/>
                <w:sz w:val="20"/>
                <w:szCs w:val="18"/>
              </w:rPr>
            </w:pPr>
            <w:r w:rsidRPr="00A75729">
              <w:rPr>
                <w:rFonts w:eastAsia="Times New Roman"/>
                <w:color w:val="000000"/>
                <w:sz w:val="20"/>
                <w:szCs w:val="18"/>
              </w:rPr>
              <w:t>Activos</w:t>
            </w:r>
          </w:p>
        </w:tc>
        <w:tc>
          <w:tcPr>
            <w:tcW w:w="3502" w:type="dxa"/>
            <w:shd w:val="clear" w:color="auto" w:fill="auto"/>
            <w:vAlign w:val="center"/>
          </w:tcPr>
          <w:p w:rsidR="00EA33AE" w:rsidRPr="00324C70" w:rsidRDefault="007724D8" w:rsidP="00A74C34">
            <w:pPr>
              <w:keepNext/>
              <w:spacing w:before="0" w:after="0" w:line="240" w:lineRule="auto"/>
              <w:ind w:right="16" w:firstLineChars="200" w:firstLine="400"/>
              <w:jc w:val="right"/>
              <w:rPr>
                <w:rFonts w:eastAsia="Times New Roman"/>
                <w:color w:val="000000"/>
                <w:sz w:val="20"/>
                <w:szCs w:val="18"/>
                <w:highlight w:val="green"/>
              </w:rPr>
            </w:pPr>
            <w:r w:rsidRPr="0034544B">
              <w:rPr>
                <w:b/>
                <w:bCs/>
                <w:color w:val="0000CC"/>
                <w:kern w:val="24"/>
                <w:sz w:val="20"/>
                <w:szCs w:val="20"/>
              </w:rPr>
              <w:t>“CONFIDENCIAL POR LEY (</w:t>
            </w:r>
            <w:r w:rsidR="00A74C34">
              <w:rPr>
                <w:b/>
                <w:bCs/>
                <w:color w:val="0000CC"/>
                <w:kern w:val="24"/>
                <w:sz w:val="20"/>
                <w:szCs w:val="20"/>
              </w:rPr>
              <w:t>7</w:t>
            </w:r>
            <w:r w:rsidRPr="0034544B">
              <w:rPr>
                <w:b/>
                <w:bCs/>
                <w:color w:val="0000CC"/>
                <w:kern w:val="24"/>
                <w:sz w:val="20"/>
                <w:szCs w:val="20"/>
              </w:rPr>
              <w:t>)”</w:t>
            </w:r>
          </w:p>
        </w:tc>
      </w:tr>
    </w:tbl>
    <w:p w:rsidR="00DB5335" w:rsidRDefault="00EA33AE" w:rsidP="00EA33AE">
      <w:pPr>
        <w:tabs>
          <w:tab w:val="left" w:pos="3318"/>
        </w:tabs>
        <w:spacing w:before="0" w:after="0" w:line="23" w:lineRule="atLeast"/>
        <w:ind w:left="1276"/>
        <w:rPr>
          <w:sz w:val="16"/>
        </w:rPr>
      </w:pPr>
      <w:r w:rsidRPr="00A75729">
        <w:rPr>
          <w:sz w:val="16"/>
        </w:rPr>
        <w:t>Fuente: Elaboración propia con información contenida en Fojas 331-334 del Expediente.</w:t>
      </w:r>
    </w:p>
    <w:p w:rsidR="003365D5" w:rsidRPr="00A75729" w:rsidRDefault="00696823" w:rsidP="00696823">
      <w:pPr>
        <w:pStyle w:val="Ttulo4"/>
        <w:keepNext/>
        <w:spacing w:before="240" w:after="240"/>
        <w:ind w:firstLine="709"/>
        <w:jc w:val="left"/>
        <w:rPr>
          <w:lang w:val="es-MX"/>
        </w:rPr>
      </w:pPr>
      <w:bookmarkStart w:id="156" w:name="_Toc519100848"/>
      <w:r>
        <w:rPr>
          <w:lang w:val="es-MX"/>
        </w:rPr>
        <w:t xml:space="preserve">4.2.3 </w:t>
      </w:r>
      <w:proofErr w:type="spellStart"/>
      <w:r w:rsidR="003365D5" w:rsidRPr="00A75729">
        <w:rPr>
          <w:lang w:val="es-MX"/>
        </w:rPr>
        <w:t>GIE</w:t>
      </w:r>
      <w:proofErr w:type="spellEnd"/>
      <w:r w:rsidR="003365D5" w:rsidRPr="00A75729">
        <w:rPr>
          <w:lang w:val="es-MX"/>
        </w:rPr>
        <w:t xml:space="preserve"> </w:t>
      </w:r>
      <w:r w:rsidR="0050772D" w:rsidRPr="00A75729">
        <w:rPr>
          <w:lang w:val="es-MX"/>
        </w:rPr>
        <w:t>d</w:t>
      </w:r>
      <w:r w:rsidR="00AC2A82" w:rsidRPr="00A75729">
        <w:rPr>
          <w:lang w:val="es-MX"/>
        </w:rPr>
        <w:t>el</w:t>
      </w:r>
      <w:r w:rsidR="003365D5" w:rsidRPr="00A75729">
        <w:rPr>
          <w:lang w:val="es-MX"/>
        </w:rPr>
        <w:t xml:space="preserve"> </w:t>
      </w:r>
      <w:r w:rsidR="00FC77F7" w:rsidRPr="00A75729">
        <w:rPr>
          <w:lang w:val="es-MX"/>
        </w:rPr>
        <w:t>Cesionario</w:t>
      </w:r>
      <w:bookmarkEnd w:id="156"/>
    </w:p>
    <w:p w:rsidR="00851AEB" w:rsidRPr="00A75729" w:rsidRDefault="00851AEB" w:rsidP="00DB5335">
      <w:pPr>
        <w:pStyle w:val="Ttulo5"/>
        <w:numPr>
          <w:ilvl w:val="0"/>
          <w:numId w:val="0"/>
        </w:numPr>
        <w:spacing w:before="0"/>
        <w:ind w:left="1080"/>
        <w:rPr>
          <w:lang w:val="es-MX" w:eastAsia="en-US"/>
        </w:rPr>
      </w:pPr>
      <w:bookmarkStart w:id="157" w:name="_Toc519100849"/>
      <w:r w:rsidRPr="00A75729">
        <w:rPr>
          <w:lang w:val="es-MX" w:eastAsia="en-US"/>
        </w:rPr>
        <w:t xml:space="preserve">Personas integrantes del </w:t>
      </w:r>
      <w:proofErr w:type="spellStart"/>
      <w:r w:rsidRPr="00A75729">
        <w:rPr>
          <w:lang w:val="es-MX" w:eastAsia="en-US"/>
        </w:rPr>
        <w:t>GIE</w:t>
      </w:r>
      <w:bookmarkEnd w:id="157"/>
      <w:proofErr w:type="spellEnd"/>
    </w:p>
    <w:p w:rsidR="00FC77F7" w:rsidRPr="00A75729" w:rsidRDefault="00FC77F7" w:rsidP="00FC77F7">
      <w:pPr>
        <w:pStyle w:val="Prrafodelista"/>
        <w:spacing w:after="120" w:line="276" w:lineRule="auto"/>
        <w:ind w:left="0"/>
        <w:contextualSpacing w:val="0"/>
        <w:rPr>
          <w:rFonts w:eastAsia="Times New Roman"/>
          <w:color w:val="000000"/>
          <w:lang w:val="es-MX"/>
        </w:rPr>
      </w:pPr>
      <w:r w:rsidRPr="00A75729">
        <w:rPr>
          <w:rFonts w:eastAsia="Times New Roman"/>
          <w:color w:val="000000"/>
          <w:lang w:val="es-MX"/>
        </w:rPr>
        <w:t xml:space="preserve">Como se observa de las secciones anteriores, </w:t>
      </w:r>
      <w:proofErr w:type="spellStart"/>
      <w:r w:rsidRPr="00A75729">
        <w:rPr>
          <w:rFonts w:eastAsia="Times New Roman"/>
          <w:color w:val="000000"/>
          <w:lang w:val="es-MX"/>
        </w:rPr>
        <w:t>MMR</w:t>
      </w:r>
      <w:proofErr w:type="spellEnd"/>
      <w:r w:rsidRPr="00A75729">
        <w:rPr>
          <w:rFonts w:eastAsia="Times New Roman"/>
          <w:color w:val="000000"/>
          <w:lang w:val="es-MX"/>
        </w:rPr>
        <w:t xml:space="preserve"> es el controlador del Cesionario. Al respecto, l</w:t>
      </w:r>
      <w:r w:rsidR="002252D1" w:rsidRPr="00A75729">
        <w:rPr>
          <w:rFonts w:eastAsia="Times New Roman"/>
          <w:color w:val="000000"/>
          <w:lang w:val="es-MX"/>
        </w:rPr>
        <w:t xml:space="preserve">as Partes señalaron </w:t>
      </w:r>
      <w:r w:rsidRPr="00A75729">
        <w:rPr>
          <w:rFonts w:eastAsia="Times New Roman"/>
          <w:color w:val="000000"/>
          <w:lang w:val="es-MX"/>
        </w:rPr>
        <w:t>lo siguiente:</w:t>
      </w:r>
      <w:r w:rsidRPr="00A75729">
        <w:rPr>
          <w:rStyle w:val="Refdenotaalpie"/>
          <w:rFonts w:eastAsia="Times New Roman"/>
          <w:color w:val="000000"/>
          <w:lang w:val="es-MX"/>
        </w:rPr>
        <w:footnoteReference w:id="25"/>
      </w:r>
    </w:p>
    <w:p w:rsidR="00FC77F7" w:rsidRPr="00A75729" w:rsidRDefault="00FC77F7" w:rsidP="00FC77F7">
      <w:pPr>
        <w:pStyle w:val="Prrafodelista"/>
        <w:spacing w:after="120" w:line="276" w:lineRule="auto"/>
        <w:ind w:left="567"/>
        <w:contextualSpacing w:val="0"/>
        <w:rPr>
          <w:rFonts w:eastAsia="Times New Roman"/>
          <w:i/>
          <w:color w:val="000000"/>
          <w:sz w:val="20"/>
          <w:lang w:val="es-MX"/>
        </w:rPr>
      </w:pPr>
      <w:r w:rsidRPr="00A75729">
        <w:rPr>
          <w:rFonts w:eastAsia="Times New Roman"/>
          <w:i/>
          <w:color w:val="000000"/>
          <w:sz w:val="20"/>
          <w:lang w:val="es-MX"/>
        </w:rPr>
        <w:t>“</w:t>
      </w:r>
      <w:proofErr w:type="spellStart"/>
      <w:r w:rsidRPr="00A75729">
        <w:rPr>
          <w:rFonts w:eastAsia="Times New Roman"/>
          <w:i/>
          <w:color w:val="000000"/>
          <w:sz w:val="20"/>
          <w:lang w:val="es-MX"/>
        </w:rPr>
        <w:t>MMR</w:t>
      </w:r>
      <w:proofErr w:type="spellEnd"/>
      <w:r w:rsidRPr="00A75729">
        <w:rPr>
          <w:rFonts w:eastAsia="Times New Roman"/>
          <w:i/>
          <w:color w:val="000000"/>
          <w:sz w:val="20"/>
          <w:lang w:val="es-MX"/>
        </w:rPr>
        <w:t xml:space="preserve"> controla, de manera directa o indirecta, a otros agentes económicos que cuentan con concesiones para prestar el servicio de radio en bandas de AM y FM </w:t>
      </w:r>
      <w:r w:rsidRPr="00A75729">
        <w:rPr>
          <w:rFonts w:eastAsia="Times New Roman"/>
          <w:i/>
          <w:color w:val="000000"/>
          <w:sz w:val="20"/>
          <w:u w:val="single"/>
          <w:lang w:val="es-MX"/>
        </w:rPr>
        <w:t>en las mismas áreas en donde Audio Publicidad tiene cobertura</w:t>
      </w:r>
      <w:r w:rsidRPr="00A75729">
        <w:rPr>
          <w:rFonts w:eastAsia="Times New Roman"/>
          <w:i/>
          <w:color w:val="000000"/>
          <w:sz w:val="20"/>
          <w:lang w:val="es-MX"/>
        </w:rPr>
        <w:t xml:space="preserve"> y </w:t>
      </w:r>
      <w:r w:rsidRPr="00A75729">
        <w:rPr>
          <w:rFonts w:eastAsia="Times New Roman"/>
          <w:i/>
          <w:color w:val="000000"/>
          <w:sz w:val="20"/>
          <w:u w:val="single"/>
          <w:lang w:val="es-MX"/>
        </w:rPr>
        <w:t>es miembro de Grupo Multimedios</w:t>
      </w:r>
      <w:r w:rsidRPr="00A75729">
        <w:rPr>
          <w:rFonts w:eastAsia="Times New Roman"/>
          <w:i/>
          <w:color w:val="000000"/>
          <w:sz w:val="20"/>
          <w:lang w:val="es-MX"/>
        </w:rPr>
        <w:t xml:space="preserve">, el cual opera estaciones de radio y TV en el norte del país.” </w:t>
      </w:r>
    </w:p>
    <w:p w:rsidR="00FC77F7" w:rsidRPr="00A75729" w:rsidRDefault="00FC77F7" w:rsidP="00FC77F7">
      <w:pPr>
        <w:pStyle w:val="Prrafodelista"/>
        <w:spacing w:after="120" w:line="276" w:lineRule="auto"/>
        <w:ind w:left="567"/>
        <w:contextualSpacing w:val="0"/>
        <w:rPr>
          <w:rFonts w:eastAsia="Times New Roman"/>
          <w:color w:val="000000"/>
          <w:sz w:val="20"/>
          <w:lang w:val="es-MX"/>
        </w:rPr>
      </w:pPr>
      <w:r w:rsidRPr="00A75729">
        <w:rPr>
          <w:rFonts w:eastAsia="Times New Roman"/>
          <w:i/>
          <w:color w:val="000000"/>
          <w:sz w:val="20"/>
          <w:lang w:val="es-MX"/>
        </w:rPr>
        <w:t xml:space="preserve">(…) [Radio Triunfos] </w:t>
      </w:r>
      <w:r w:rsidR="002252D1" w:rsidRPr="00A75729">
        <w:rPr>
          <w:rFonts w:eastAsia="Times New Roman"/>
          <w:i/>
          <w:color w:val="000000"/>
          <w:sz w:val="20"/>
          <w:lang w:val="es-MX"/>
        </w:rPr>
        <w:t xml:space="preserve">pertenece a Grupo Multimedios, a través de </w:t>
      </w:r>
      <w:proofErr w:type="spellStart"/>
      <w:r w:rsidR="002252D1" w:rsidRPr="00A75729">
        <w:rPr>
          <w:rFonts w:eastAsia="Times New Roman"/>
          <w:i/>
          <w:color w:val="000000"/>
          <w:sz w:val="20"/>
          <w:lang w:val="es-MX"/>
        </w:rPr>
        <w:t>MMR</w:t>
      </w:r>
      <w:proofErr w:type="spellEnd"/>
      <w:r w:rsidR="002252D1" w:rsidRPr="00A75729">
        <w:rPr>
          <w:rFonts w:eastAsia="Times New Roman"/>
          <w:i/>
          <w:color w:val="000000"/>
          <w:sz w:val="20"/>
          <w:lang w:val="es-MX"/>
        </w:rPr>
        <w:t xml:space="preserve">. Este agente económico es controlado de manera directa por el C. </w:t>
      </w:r>
      <w:r w:rsidR="007724D8" w:rsidRPr="0034544B">
        <w:rPr>
          <w:b/>
          <w:bCs/>
          <w:color w:val="0000CC"/>
          <w:kern w:val="24"/>
          <w:sz w:val="20"/>
          <w:szCs w:val="20"/>
        </w:rPr>
        <w:t>“CONFIDENCIAL POR LEY (</w:t>
      </w:r>
      <w:r w:rsidR="00A74C34">
        <w:rPr>
          <w:b/>
          <w:bCs/>
          <w:color w:val="0000CC"/>
          <w:kern w:val="24"/>
          <w:sz w:val="20"/>
          <w:szCs w:val="20"/>
        </w:rPr>
        <w:t>1</w:t>
      </w:r>
      <w:r w:rsidR="007724D8" w:rsidRPr="0034544B">
        <w:rPr>
          <w:b/>
          <w:bCs/>
          <w:color w:val="0000CC"/>
          <w:kern w:val="24"/>
          <w:sz w:val="20"/>
          <w:szCs w:val="20"/>
        </w:rPr>
        <w:t>)”</w:t>
      </w:r>
      <w:r w:rsidR="002252D1" w:rsidRPr="00A75729">
        <w:rPr>
          <w:rFonts w:eastAsia="Times New Roman"/>
          <w:i/>
          <w:color w:val="000000"/>
          <w:sz w:val="20"/>
          <w:lang w:val="es-MX"/>
        </w:rPr>
        <w:t xml:space="preserve"> quien a su vez controla la sociedad MM </w:t>
      </w:r>
      <w:r w:rsidR="002D702E" w:rsidRPr="00A75729">
        <w:rPr>
          <w:rFonts w:eastAsia="Times New Roman"/>
          <w:i/>
          <w:color w:val="000000"/>
          <w:sz w:val="20"/>
          <w:lang w:val="es-MX"/>
        </w:rPr>
        <w:t>Televisión</w:t>
      </w:r>
      <w:r w:rsidR="002252D1" w:rsidRPr="00A75729">
        <w:rPr>
          <w:rFonts w:eastAsia="Times New Roman"/>
          <w:i/>
          <w:color w:val="000000"/>
          <w:sz w:val="20"/>
          <w:lang w:val="es-MX"/>
        </w:rPr>
        <w:t xml:space="preserve">, S.A. de C.V. A través de dichas empresas </w:t>
      </w:r>
      <w:r w:rsidR="002252D1" w:rsidRPr="00A75729">
        <w:rPr>
          <w:rFonts w:eastAsia="Times New Roman"/>
          <w:i/>
          <w:color w:val="000000"/>
          <w:sz w:val="20"/>
          <w:u w:val="single"/>
          <w:lang w:val="es-MX"/>
        </w:rPr>
        <w:t>dirige diversas</w:t>
      </w:r>
      <w:r w:rsidR="00D45581" w:rsidRPr="00A75729">
        <w:rPr>
          <w:rFonts w:eastAsia="Times New Roman"/>
          <w:i/>
          <w:color w:val="000000"/>
          <w:sz w:val="20"/>
          <w:u w:val="single"/>
          <w:lang w:val="es-MX"/>
        </w:rPr>
        <w:t xml:space="preserve"> estaciones de radio y canales de televisión radiodifundida</w:t>
      </w:r>
      <w:r w:rsidR="00D45581" w:rsidRPr="00A75729">
        <w:rPr>
          <w:rFonts w:eastAsia="Times New Roman"/>
          <w:i/>
          <w:color w:val="000000"/>
          <w:sz w:val="20"/>
          <w:lang w:val="es-MX"/>
        </w:rPr>
        <w:t xml:space="preserve"> en varias localidades del norte del país, bajo el nombre de Grupo Multimedios”.</w:t>
      </w:r>
      <w:r w:rsidRPr="00A75729">
        <w:rPr>
          <w:sz w:val="20"/>
          <w:lang w:val="es-MX"/>
        </w:rPr>
        <w:t xml:space="preserve"> [Énfasis añadido]</w:t>
      </w:r>
    </w:p>
    <w:p w:rsidR="0048537C" w:rsidRDefault="00FC77F7" w:rsidP="00FC77F7">
      <w:pPr>
        <w:pStyle w:val="Prrafodelista"/>
        <w:spacing w:after="120" w:line="276" w:lineRule="auto"/>
        <w:ind w:left="0"/>
        <w:contextualSpacing w:val="0"/>
      </w:pPr>
      <w:r w:rsidRPr="00A75729">
        <w:t>Así, se concluye que</w:t>
      </w:r>
      <w:r w:rsidR="0048537C" w:rsidRPr="00A75729">
        <w:t xml:space="preserve"> el C.</w:t>
      </w:r>
      <w:r w:rsidRPr="00A75729">
        <w:t xml:space="preserve"> </w:t>
      </w:r>
      <w:r w:rsidR="007724D8" w:rsidRPr="0034544B">
        <w:rPr>
          <w:b/>
          <w:bCs/>
          <w:color w:val="0000CC"/>
          <w:kern w:val="24"/>
          <w:sz w:val="20"/>
          <w:szCs w:val="20"/>
        </w:rPr>
        <w:t>“CONFIDENCIAL POR LEY (</w:t>
      </w:r>
      <w:r w:rsidR="00A74C34">
        <w:rPr>
          <w:b/>
          <w:bCs/>
          <w:color w:val="0000CC"/>
          <w:kern w:val="24"/>
          <w:sz w:val="20"/>
          <w:szCs w:val="20"/>
        </w:rPr>
        <w:t>1</w:t>
      </w:r>
      <w:r w:rsidR="007724D8" w:rsidRPr="0034544B">
        <w:rPr>
          <w:b/>
          <w:bCs/>
          <w:color w:val="0000CC"/>
          <w:kern w:val="24"/>
          <w:sz w:val="20"/>
          <w:szCs w:val="20"/>
        </w:rPr>
        <w:t>)”</w:t>
      </w:r>
      <w:r w:rsidR="0048537C" w:rsidRPr="00A75729">
        <w:t xml:space="preserve"> y su familia </w:t>
      </w:r>
      <w:r w:rsidRPr="00A75729">
        <w:t>control</w:t>
      </w:r>
      <w:r w:rsidR="004E2460" w:rsidRPr="00A75729">
        <w:t>an</w:t>
      </w:r>
      <w:r w:rsidRPr="00A75729">
        <w:t xml:space="preserve"> en última instancia </w:t>
      </w:r>
      <w:r w:rsidR="004E2460" w:rsidRPr="00A75729">
        <w:t>al</w:t>
      </w:r>
      <w:r w:rsidR="0048537C" w:rsidRPr="00A75729">
        <w:t xml:space="preserve"> Cesionario</w:t>
      </w:r>
      <w:r w:rsidR="000F6BEB" w:rsidRPr="00A75729">
        <w:t xml:space="preserve">. En la </w:t>
      </w:r>
      <w:r w:rsidR="00DA612F" w:rsidRPr="00A75729">
        <w:t>Figura 1</w:t>
      </w:r>
      <w:r w:rsidR="000F6BEB" w:rsidRPr="00A75729">
        <w:t xml:space="preserve"> se muestra la estructura de control del Cesionario</w:t>
      </w:r>
      <w:r w:rsidR="0048537C" w:rsidRPr="00A75729">
        <w:t>.</w:t>
      </w:r>
    </w:p>
    <w:p w:rsidR="0094602E" w:rsidRPr="00A75729" w:rsidRDefault="0094602E" w:rsidP="000F6BEB">
      <w:pPr>
        <w:pStyle w:val="Figura"/>
        <w:spacing w:after="120"/>
        <w:ind w:left="1276" w:right="45" w:hanging="992"/>
        <w:jc w:val="both"/>
        <w:rPr>
          <w:b/>
          <w:sz w:val="22"/>
          <w:szCs w:val="20"/>
        </w:rPr>
      </w:pPr>
      <w:r w:rsidRPr="00A75729">
        <w:rPr>
          <w:b/>
          <w:sz w:val="22"/>
          <w:szCs w:val="20"/>
        </w:rPr>
        <w:lastRenderedPageBreak/>
        <w:t>Estructura de control del Cesionario</w:t>
      </w:r>
    </w:p>
    <w:p w:rsidR="0048537C" w:rsidRPr="00A75729" w:rsidRDefault="002541FB" w:rsidP="00FC77F7">
      <w:pPr>
        <w:pStyle w:val="Prrafodelista"/>
        <w:spacing w:after="120" w:line="276" w:lineRule="auto"/>
        <w:ind w:left="0"/>
        <w:contextualSpacing w:val="0"/>
        <w:rPr>
          <w:rFonts w:eastAsia="Times New Roman"/>
          <w:color w:val="000000"/>
          <w:lang w:val="es-MX"/>
        </w:rPr>
      </w:pPr>
      <w:r w:rsidRPr="002541FB">
        <w:rPr>
          <w:rFonts w:eastAsia="Times New Roman"/>
          <w:noProof/>
          <w:color w:val="000000"/>
          <w:bdr w:val="single" w:sz="8" w:space="0" w:color="auto"/>
          <w:lang w:val="es-MX"/>
        </w:rPr>
        <w:drawing>
          <wp:inline distT="0" distB="0" distL="0" distR="0">
            <wp:extent cx="5970905" cy="4721860"/>
            <wp:effectExtent l="0" t="0" r="0" b="2540"/>
            <wp:docPr id="2" name="Imagen 2" descr="Describe la estructura accionaria del cesionario." title="Fugura 1. Figura 1.  Estructura de control del Cesio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0905" cy="4721860"/>
                    </a:xfrm>
                    <a:prstGeom prst="rect">
                      <a:avLst/>
                    </a:prstGeom>
                    <a:noFill/>
                    <a:ln>
                      <a:noFill/>
                    </a:ln>
                  </pic:spPr>
                </pic:pic>
              </a:graphicData>
            </a:graphic>
          </wp:inline>
        </w:drawing>
      </w:r>
    </w:p>
    <w:p w:rsidR="000F6BEB" w:rsidRPr="00A75729" w:rsidRDefault="000F6BEB" w:rsidP="00FC77F7">
      <w:pPr>
        <w:pStyle w:val="Prrafodelista"/>
        <w:spacing w:after="120" w:line="276" w:lineRule="auto"/>
        <w:ind w:left="0"/>
        <w:contextualSpacing w:val="0"/>
        <w:rPr>
          <w:rFonts w:eastAsia="Times New Roman"/>
          <w:color w:val="000000"/>
          <w:lang w:val="es-MX"/>
        </w:rPr>
      </w:pPr>
      <w:r w:rsidRPr="00A75729">
        <w:rPr>
          <w:sz w:val="16"/>
        </w:rPr>
        <w:t>Fuente: Elaboración propia con información contenida en el Expediente</w:t>
      </w:r>
      <w:r w:rsidR="00E85453" w:rsidRPr="00A75729">
        <w:rPr>
          <w:sz w:val="16"/>
        </w:rPr>
        <w:t>.</w:t>
      </w:r>
    </w:p>
    <w:p w:rsidR="00FD7514" w:rsidRPr="00A75729" w:rsidRDefault="003365D5" w:rsidP="0048537C">
      <w:r w:rsidRPr="00A75729">
        <w:rPr>
          <w:rFonts w:eastAsia="Times New Roman"/>
        </w:rPr>
        <w:t xml:space="preserve">Con base en la información </w:t>
      </w:r>
      <w:r w:rsidR="000F6BEB" w:rsidRPr="00A75729">
        <w:rPr>
          <w:rFonts w:eastAsia="Times New Roman"/>
        </w:rPr>
        <w:t>proporcionada por las Partes y disponible para el Instituto</w:t>
      </w:r>
      <w:r w:rsidRPr="00A75729">
        <w:rPr>
          <w:rFonts w:eastAsia="Times New Roman"/>
        </w:rPr>
        <w:t xml:space="preserve">, </w:t>
      </w:r>
      <w:r w:rsidR="000F6BEB" w:rsidRPr="00A75729">
        <w:rPr>
          <w:rFonts w:eastAsia="Times New Roman"/>
        </w:rPr>
        <w:t xml:space="preserve">en el </w:t>
      </w:r>
      <w:r w:rsidRPr="00A75729">
        <w:rPr>
          <w:rFonts w:eastAsia="Times New Roman"/>
        </w:rPr>
        <w:t xml:space="preserve">Cuadro </w:t>
      </w:r>
      <w:r w:rsidR="008F6BF9" w:rsidRPr="00A75729">
        <w:rPr>
          <w:rFonts w:eastAsia="Times New Roman"/>
        </w:rPr>
        <w:t xml:space="preserve">siguiente </w:t>
      </w:r>
      <w:r w:rsidR="000F6BEB" w:rsidRPr="00A75729">
        <w:rPr>
          <w:rFonts w:eastAsia="Times New Roman"/>
        </w:rPr>
        <w:t>se</w:t>
      </w:r>
      <w:r w:rsidRPr="00A75729">
        <w:rPr>
          <w:rFonts w:eastAsia="Times New Roman"/>
        </w:rPr>
        <w:t xml:space="preserve"> presenta a las personas que, en virtud de su participación societaria, </w:t>
      </w:r>
      <w:r w:rsidRPr="00A75729">
        <w:t>y participaciones accionarias mayores o iguales al 50% (cincuenta por ciento), en lo individual o en conjunto considerando sus relaciones por parentesco</w:t>
      </w:r>
      <w:r w:rsidRPr="00A75729">
        <w:rPr>
          <w:rFonts w:eastAsia="Times New Roman"/>
        </w:rPr>
        <w:t xml:space="preserve">, se identifican como parte del </w:t>
      </w:r>
      <w:proofErr w:type="spellStart"/>
      <w:r w:rsidRPr="00A75729">
        <w:rPr>
          <w:rFonts w:eastAsia="Times New Roman"/>
        </w:rPr>
        <w:t>GIE</w:t>
      </w:r>
      <w:proofErr w:type="spellEnd"/>
      <w:r w:rsidRPr="00A75729">
        <w:rPr>
          <w:rFonts w:eastAsia="Times New Roman"/>
        </w:rPr>
        <w:t xml:space="preserve"> </w:t>
      </w:r>
      <w:r w:rsidR="0050772D" w:rsidRPr="00A75729">
        <w:rPr>
          <w:rFonts w:eastAsia="Times New Roman"/>
        </w:rPr>
        <w:t>d</w:t>
      </w:r>
      <w:r w:rsidRPr="00A75729">
        <w:rPr>
          <w:rFonts w:eastAsia="Times New Roman"/>
        </w:rPr>
        <w:t xml:space="preserve">el </w:t>
      </w:r>
      <w:r w:rsidR="000F6BEB" w:rsidRPr="00A75729">
        <w:rPr>
          <w:rFonts w:eastAsia="Times New Roman"/>
        </w:rPr>
        <w:t>Cesionario</w:t>
      </w:r>
      <w:r w:rsidRPr="00A75729">
        <w:rPr>
          <w:rFonts w:eastAsia="Times New Roman"/>
        </w:rPr>
        <w:t xml:space="preserve"> y, además, participan, directa e indirectamente, en los sectores de radiodifusión y telecomunicaciones.</w:t>
      </w:r>
    </w:p>
    <w:p w:rsidR="003365D5" w:rsidRPr="00A75729" w:rsidRDefault="003365D5" w:rsidP="00FB57CD">
      <w:pPr>
        <w:pStyle w:val="Prrafodelista"/>
        <w:keepNext/>
        <w:numPr>
          <w:ilvl w:val="0"/>
          <w:numId w:val="18"/>
        </w:numPr>
        <w:spacing w:after="120" w:line="276" w:lineRule="auto"/>
        <w:ind w:left="426" w:hanging="357"/>
        <w:contextualSpacing w:val="0"/>
        <w:jc w:val="center"/>
        <w:rPr>
          <w:b/>
          <w:szCs w:val="20"/>
        </w:rPr>
      </w:pPr>
      <w:r w:rsidRPr="00A75729">
        <w:rPr>
          <w:b/>
          <w:szCs w:val="20"/>
        </w:rPr>
        <w:t xml:space="preserve">Personas que forman parte </w:t>
      </w:r>
      <w:r w:rsidR="009F570B" w:rsidRPr="00A75729">
        <w:rPr>
          <w:b/>
          <w:szCs w:val="20"/>
        </w:rPr>
        <w:t xml:space="preserve">del </w:t>
      </w:r>
      <w:proofErr w:type="spellStart"/>
      <w:r w:rsidR="009F570B" w:rsidRPr="00A75729">
        <w:rPr>
          <w:b/>
          <w:szCs w:val="20"/>
        </w:rPr>
        <w:t>GIE</w:t>
      </w:r>
      <w:proofErr w:type="spellEnd"/>
      <w:r w:rsidR="009F570B" w:rsidRPr="00A75729">
        <w:rPr>
          <w:b/>
          <w:szCs w:val="20"/>
        </w:rPr>
        <w:t xml:space="preserve"> </w:t>
      </w:r>
      <w:r w:rsidR="0050772D" w:rsidRPr="00A75729">
        <w:rPr>
          <w:b/>
          <w:szCs w:val="20"/>
        </w:rPr>
        <w:t>d</w:t>
      </w:r>
      <w:r w:rsidR="009F570B" w:rsidRPr="00A75729">
        <w:rPr>
          <w:b/>
          <w:szCs w:val="20"/>
        </w:rPr>
        <w:t>el Cesionario</w:t>
      </w:r>
      <w:r w:rsidRPr="00A75729">
        <w:rPr>
          <w:b/>
          <w:szCs w:val="20"/>
        </w:rPr>
        <w:t xml:space="preserve"> </w:t>
      </w:r>
      <w:r w:rsidR="009F570B" w:rsidRPr="00A75729">
        <w:rPr>
          <w:b/>
          <w:szCs w:val="20"/>
        </w:rPr>
        <w:t>por vínculos de patrimonio</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4110"/>
        <w:gridCol w:w="1470"/>
      </w:tblGrid>
      <w:tr w:rsidR="003365D5" w:rsidRPr="00A75729" w:rsidTr="00FE46FC">
        <w:trPr>
          <w:trHeight w:val="360"/>
          <w:tblHeader/>
          <w:jc w:val="center"/>
        </w:trPr>
        <w:tc>
          <w:tcPr>
            <w:tcW w:w="3823" w:type="dxa"/>
            <w:shd w:val="clear" w:color="auto" w:fill="92D050"/>
            <w:vAlign w:val="center"/>
          </w:tcPr>
          <w:p w:rsidR="003365D5" w:rsidRPr="00A75729" w:rsidRDefault="003365D5" w:rsidP="0050772D">
            <w:pPr>
              <w:spacing w:before="0" w:after="0" w:line="240" w:lineRule="auto"/>
              <w:jc w:val="center"/>
              <w:rPr>
                <w:rFonts w:eastAsia="Times New Roman" w:cs="Arial"/>
                <w:b/>
                <w:bCs/>
                <w:sz w:val="18"/>
                <w:szCs w:val="18"/>
              </w:rPr>
            </w:pPr>
            <w:r w:rsidRPr="00A75729">
              <w:rPr>
                <w:rFonts w:eastAsia="Times New Roman"/>
                <w:b/>
                <w:sz w:val="18"/>
                <w:szCs w:val="18"/>
              </w:rPr>
              <w:t xml:space="preserve">Personas morales identificadas como parte del </w:t>
            </w:r>
            <w:proofErr w:type="spellStart"/>
            <w:r w:rsidR="009F570B" w:rsidRPr="00A75729">
              <w:rPr>
                <w:rFonts w:eastAsia="Times New Roman"/>
                <w:b/>
                <w:sz w:val="18"/>
                <w:szCs w:val="18"/>
              </w:rPr>
              <w:t>GIE</w:t>
            </w:r>
            <w:proofErr w:type="spellEnd"/>
            <w:r w:rsidR="009F570B" w:rsidRPr="00A75729">
              <w:rPr>
                <w:rFonts w:eastAsia="Times New Roman"/>
                <w:b/>
                <w:sz w:val="18"/>
                <w:szCs w:val="18"/>
              </w:rPr>
              <w:t xml:space="preserve"> </w:t>
            </w:r>
            <w:r w:rsidR="0050772D" w:rsidRPr="00A75729">
              <w:rPr>
                <w:rFonts w:eastAsia="Times New Roman"/>
                <w:b/>
                <w:sz w:val="18"/>
                <w:szCs w:val="18"/>
              </w:rPr>
              <w:t>d</w:t>
            </w:r>
            <w:r w:rsidR="009F570B" w:rsidRPr="00A75729">
              <w:rPr>
                <w:rFonts w:eastAsia="Times New Roman"/>
                <w:b/>
                <w:sz w:val="18"/>
                <w:szCs w:val="18"/>
              </w:rPr>
              <w:t>el Cesionario</w:t>
            </w:r>
          </w:p>
        </w:tc>
        <w:tc>
          <w:tcPr>
            <w:tcW w:w="4110" w:type="dxa"/>
            <w:shd w:val="clear" w:color="auto" w:fill="92D050"/>
            <w:vAlign w:val="center"/>
          </w:tcPr>
          <w:p w:rsidR="003365D5" w:rsidRPr="00A75729" w:rsidRDefault="003365D5" w:rsidP="00FE46FC">
            <w:pPr>
              <w:spacing w:before="0" w:after="0" w:line="240" w:lineRule="auto"/>
              <w:jc w:val="center"/>
              <w:rPr>
                <w:rFonts w:eastAsia="Times New Roman" w:cs="Arial"/>
                <w:b/>
                <w:bCs/>
                <w:sz w:val="18"/>
                <w:szCs w:val="18"/>
              </w:rPr>
            </w:pPr>
            <w:r w:rsidRPr="00A75729">
              <w:rPr>
                <w:rFonts w:eastAsia="Times New Roman"/>
                <w:b/>
                <w:sz w:val="18"/>
                <w:szCs w:val="18"/>
              </w:rPr>
              <w:t>Accionistas</w:t>
            </w:r>
          </w:p>
        </w:tc>
        <w:tc>
          <w:tcPr>
            <w:tcW w:w="1470" w:type="dxa"/>
            <w:shd w:val="clear" w:color="auto" w:fill="92D050"/>
            <w:vAlign w:val="center"/>
          </w:tcPr>
          <w:p w:rsidR="003365D5" w:rsidRPr="00A75729" w:rsidRDefault="003365D5" w:rsidP="009F570B">
            <w:pPr>
              <w:spacing w:before="0" w:after="0" w:line="240" w:lineRule="auto"/>
              <w:jc w:val="center"/>
              <w:rPr>
                <w:rFonts w:eastAsia="Times New Roman" w:cs="Arial"/>
                <w:b/>
                <w:bCs/>
                <w:sz w:val="18"/>
                <w:szCs w:val="18"/>
              </w:rPr>
            </w:pPr>
            <w:r w:rsidRPr="00A75729">
              <w:rPr>
                <w:rFonts w:eastAsia="Times New Roman"/>
                <w:b/>
                <w:sz w:val="18"/>
                <w:szCs w:val="18"/>
              </w:rPr>
              <w:t>Participación (%)</w:t>
            </w:r>
          </w:p>
        </w:tc>
      </w:tr>
      <w:tr w:rsidR="009F570B" w:rsidRPr="00A75729" w:rsidTr="00FE46FC">
        <w:trPr>
          <w:jc w:val="center"/>
        </w:trPr>
        <w:tc>
          <w:tcPr>
            <w:tcW w:w="3823" w:type="dxa"/>
            <w:tcBorders>
              <w:left w:val="single" w:sz="4" w:space="0" w:color="auto"/>
              <w:bottom w:val="single" w:sz="4" w:space="0" w:color="auto"/>
              <w:right w:val="single" w:sz="4" w:space="0" w:color="auto"/>
            </w:tcBorders>
            <w:shd w:val="clear" w:color="000000" w:fill="FFFFFF"/>
            <w:noWrap/>
            <w:vAlign w:val="center"/>
          </w:tcPr>
          <w:p w:rsidR="009F570B" w:rsidRPr="00A75729" w:rsidRDefault="009F570B" w:rsidP="009F570B">
            <w:pPr>
              <w:spacing w:before="0" w:after="0" w:line="240" w:lineRule="auto"/>
              <w:rPr>
                <w:b/>
                <w:sz w:val="18"/>
                <w:szCs w:val="18"/>
              </w:rPr>
            </w:pPr>
            <w:r w:rsidRPr="00A75729">
              <w:rPr>
                <w:b/>
                <w:sz w:val="18"/>
                <w:szCs w:val="18"/>
              </w:rPr>
              <w:t>Radio Triunfos</w:t>
            </w:r>
          </w:p>
        </w:tc>
        <w:tc>
          <w:tcPr>
            <w:tcW w:w="4110" w:type="dxa"/>
            <w:tcBorders>
              <w:top w:val="nil"/>
              <w:left w:val="nil"/>
              <w:bottom w:val="single" w:sz="4" w:space="0" w:color="auto"/>
              <w:right w:val="single" w:sz="4" w:space="0" w:color="auto"/>
            </w:tcBorders>
            <w:shd w:val="clear" w:color="auto" w:fill="auto"/>
            <w:noWrap/>
            <w:vAlign w:val="center"/>
          </w:tcPr>
          <w:p w:rsidR="009F570B" w:rsidRPr="00A75729" w:rsidRDefault="009F570B" w:rsidP="009F570B">
            <w:pPr>
              <w:spacing w:before="0" w:after="0" w:line="240" w:lineRule="auto"/>
              <w:rPr>
                <w:rFonts w:eastAsia="Times New Roman"/>
                <w:color w:val="000000"/>
                <w:sz w:val="18"/>
                <w:szCs w:val="18"/>
              </w:rPr>
            </w:pPr>
            <w:proofErr w:type="spellStart"/>
            <w:r w:rsidRPr="00A75729">
              <w:rPr>
                <w:rFonts w:eastAsia="Times New Roman"/>
                <w:color w:val="000000"/>
                <w:sz w:val="18"/>
                <w:szCs w:val="18"/>
              </w:rPr>
              <w:t>MMR</w:t>
            </w:r>
            <w:proofErr w:type="spellEnd"/>
          </w:p>
          <w:p w:rsidR="009F570B" w:rsidRPr="00A75729" w:rsidRDefault="009F570B" w:rsidP="009F570B">
            <w:pPr>
              <w:spacing w:before="0" w:after="0" w:line="240" w:lineRule="auto"/>
              <w:rPr>
                <w:rFonts w:eastAsia="Times New Roman"/>
                <w:color w:val="000000"/>
                <w:sz w:val="18"/>
                <w:szCs w:val="18"/>
              </w:rPr>
            </w:pPr>
            <w:r w:rsidRPr="00A75729">
              <w:rPr>
                <w:rFonts w:eastAsia="Times New Roman"/>
                <w:color w:val="000000"/>
                <w:sz w:val="18"/>
                <w:szCs w:val="18"/>
              </w:rPr>
              <w:t>Francisco Antonio González Sánchez</w:t>
            </w:r>
          </w:p>
          <w:p w:rsidR="009F570B" w:rsidRPr="00A75729" w:rsidRDefault="009F570B" w:rsidP="009F570B">
            <w:pPr>
              <w:spacing w:before="0" w:after="0" w:line="240" w:lineRule="auto"/>
              <w:rPr>
                <w:sz w:val="18"/>
                <w:szCs w:val="18"/>
              </w:rPr>
            </w:pPr>
            <w:r w:rsidRPr="00A75729">
              <w:rPr>
                <w:sz w:val="18"/>
                <w:szCs w:val="18"/>
              </w:rPr>
              <w:lastRenderedPageBreak/>
              <w:t>María de los Dolores González Sánchez</w:t>
            </w:r>
          </w:p>
        </w:tc>
        <w:tc>
          <w:tcPr>
            <w:tcW w:w="1470" w:type="dxa"/>
            <w:tcBorders>
              <w:top w:val="nil"/>
              <w:left w:val="nil"/>
              <w:bottom w:val="single" w:sz="4" w:space="0" w:color="auto"/>
              <w:right w:val="single" w:sz="4" w:space="0" w:color="auto"/>
            </w:tcBorders>
            <w:shd w:val="clear" w:color="auto" w:fill="auto"/>
            <w:noWrap/>
            <w:vAlign w:val="center"/>
          </w:tcPr>
          <w:p w:rsidR="009F570B" w:rsidRPr="00A75729" w:rsidRDefault="009F570B" w:rsidP="009F570B">
            <w:pPr>
              <w:spacing w:before="0" w:after="0" w:line="240" w:lineRule="auto"/>
              <w:jc w:val="right"/>
              <w:rPr>
                <w:rFonts w:eastAsia="Times New Roman"/>
                <w:color w:val="000000"/>
                <w:sz w:val="18"/>
                <w:szCs w:val="18"/>
              </w:rPr>
            </w:pPr>
            <w:r w:rsidRPr="00A75729">
              <w:rPr>
                <w:rFonts w:eastAsia="Times New Roman"/>
                <w:color w:val="000000"/>
                <w:sz w:val="18"/>
                <w:szCs w:val="18"/>
              </w:rPr>
              <w:lastRenderedPageBreak/>
              <w:t>99.88</w:t>
            </w:r>
          </w:p>
          <w:p w:rsidR="009F570B" w:rsidRPr="00A75729" w:rsidRDefault="009F570B" w:rsidP="009F570B">
            <w:pPr>
              <w:spacing w:before="0" w:after="0" w:line="240" w:lineRule="auto"/>
              <w:jc w:val="right"/>
              <w:rPr>
                <w:rFonts w:eastAsia="Times New Roman"/>
                <w:color w:val="000000"/>
                <w:sz w:val="18"/>
                <w:szCs w:val="18"/>
              </w:rPr>
            </w:pPr>
            <w:r w:rsidRPr="00A75729">
              <w:rPr>
                <w:rFonts w:eastAsia="Times New Roman"/>
                <w:color w:val="000000"/>
                <w:sz w:val="18"/>
                <w:szCs w:val="18"/>
              </w:rPr>
              <w:t>0.12</w:t>
            </w:r>
          </w:p>
          <w:p w:rsidR="009F570B" w:rsidRPr="00A75729" w:rsidRDefault="009F570B" w:rsidP="009F570B">
            <w:pPr>
              <w:spacing w:before="0" w:after="0" w:line="240" w:lineRule="auto"/>
              <w:jc w:val="right"/>
              <w:rPr>
                <w:sz w:val="18"/>
                <w:szCs w:val="18"/>
              </w:rPr>
            </w:pPr>
            <w:r w:rsidRPr="00A75729">
              <w:rPr>
                <w:color w:val="000000"/>
                <w:sz w:val="18"/>
                <w:szCs w:val="18"/>
              </w:rPr>
              <w:lastRenderedPageBreak/>
              <w:t>N.S.</w:t>
            </w:r>
          </w:p>
        </w:tc>
      </w:tr>
      <w:tr w:rsidR="009F570B" w:rsidRPr="00A75729" w:rsidTr="00FE46FC">
        <w:trPr>
          <w:jc w:val="center"/>
        </w:trPr>
        <w:tc>
          <w:tcPr>
            <w:tcW w:w="3823" w:type="dxa"/>
            <w:tcBorders>
              <w:left w:val="single" w:sz="4" w:space="0" w:color="auto"/>
              <w:bottom w:val="single" w:sz="4" w:space="0" w:color="auto"/>
              <w:right w:val="single" w:sz="4" w:space="0" w:color="auto"/>
            </w:tcBorders>
            <w:shd w:val="clear" w:color="000000" w:fill="FFFFFF"/>
            <w:noWrap/>
            <w:vAlign w:val="center"/>
          </w:tcPr>
          <w:p w:rsidR="009F570B" w:rsidRPr="00A75729" w:rsidRDefault="009F570B" w:rsidP="009F570B">
            <w:pPr>
              <w:spacing w:before="0" w:after="0" w:line="240" w:lineRule="auto"/>
              <w:rPr>
                <w:b/>
                <w:sz w:val="18"/>
                <w:szCs w:val="18"/>
              </w:rPr>
            </w:pPr>
            <w:proofErr w:type="spellStart"/>
            <w:r w:rsidRPr="00A75729">
              <w:rPr>
                <w:b/>
                <w:sz w:val="18"/>
                <w:szCs w:val="18"/>
              </w:rPr>
              <w:lastRenderedPageBreak/>
              <w:t>MMR</w:t>
            </w:r>
            <w:proofErr w:type="spellEnd"/>
          </w:p>
        </w:tc>
        <w:tc>
          <w:tcPr>
            <w:tcW w:w="4110" w:type="dxa"/>
            <w:tcBorders>
              <w:top w:val="nil"/>
              <w:left w:val="nil"/>
              <w:bottom w:val="single" w:sz="4" w:space="0" w:color="auto"/>
              <w:right w:val="single" w:sz="4" w:space="0" w:color="auto"/>
            </w:tcBorders>
            <w:shd w:val="clear" w:color="auto" w:fill="auto"/>
            <w:noWrap/>
            <w:vAlign w:val="center"/>
          </w:tcPr>
          <w:p w:rsidR="009F570B" w:rsidRPr="00A75729" w:rsidRDefault="009F570B" w:rsidP="009F570B">
            <w:pPr>
              <w:spacing w:before="0" w:after="0" w:line="240" w:lineRule="auto"/>
              <w:rPr>
                <w:rFonts w:eastAsia="Times New Roman"/>
                <w:color w:val="000000"/>
                <w:sz w:val="18"/>
                <w:szCs w:val="18"/>
              </w:rPr>
            </w:pPr>
            <w:r w:rsidRPr="00A75729">
              <w:rPr>
                <w:rFonts w:eastAsia="Times New Roman"/>
                <w:color w:val="000000"/>
                <w:sz w:val="18"/>
                <w:szCs w:val="18"/>
              </w:rPr>
              <w:t>Francisco Antonio González Sánchez</w:t>
            </w:r>
          </w:p>
          <w:p w:rsidR="009F570B" w:rsidRPr="00A75729" w:rsidRDefault="009F570B" w:rsidP="009F570B">
            <w:pPr>
              <w:spacing w:before="0" w:after="0" w:line="240" w:lineRule="auto"/>
              <w:rPr>
                <w:sz w:val="18"/>
                <w:szCs w:val="18"/>
              </w:rPr>
            </w:pPr>
            <w:r w:rsidRPr="00A75729">
              <w:rPr>
                <w:sz w:val="18"/>
                <w:szCs w:val="18"/>
              </w:rPr>
              <w:t xml:space="preserve">Francisco Darío González </w:t>
            </w:r>
            <w:proofErr w:type="spellStart"/>
            <w:r w:rsidRPr="00A75729">
              <w:rPr>
                <w:sz w:val="18"/>
                <w:szCs w:val="18"/>
              </w:rPr>
              <w:t>Albuerne</w:t>
            </w:r>
            <w:proofErr w:type="spellEnd"/>
          </w:p>
          <w:p w:rsidR="009F570B" w:rsidRPr="00A75729" w:rsidRDefault="009F570B" w:rsidP="009F570B">
            <w:pPr>
              <w:spacing w:before="0" w:after="0" w:line="240" w:lineRule="auto"/>
              <w:rPr>
                <w:sz w:val="18"/>
                <w:szCs w:val="18"/>
              </w:rPr>
            </w:pPr>
            <w:r w:rsidRPr="00A75729">
              <w:rPr>
                <w:sz w:val="18"/>
                <w:szCs w:val="18"/>
              </w:rPr>
              <w:t xml:space="preserve">Valeria González </w:t>
            </w:r>
            <w:proofErr w:type="spellStart"/>
            <w:r w:rsidRPr="00A75729">
              <w:rPr>
                <w:sz w:val="18"/>
                <w:szCs w:val="18"/>
              </w:rPr>
              <w:t>Albuerne</w:t>
            </w:r>
            <w:proofErr w:type="spellEnd"/>
          </w:p>
          <w:p w:rsidR="009F570B" w:rsidRPr="00A75729" w:rsidRDefault="009F570B" w:rsidP="009F570B">
            <w:pPr>
              <w:spacing w:before="0" w:after="0" w:line="240" w:lineRule="auto"/>
              <w:rPr>
                <w:sz w:val="18"/>
                <w:szCs w:val="18"/>
              </w:rPr>
            </w:pPr>
            <w:r w:rsidRPr="00A75729">
              <w:rPr>
                <w:sz w:val="18"/>
                <w:szCs w:val="18"/>
              </w:rPr>
              <w:t xml:space="preserve">Patricia González </w:t>
            </w:r>
            <w:proofErr w:type="spellStart"/>
            <w:r w:rsidRPr="00A75729">
              <w:rPr>
                <w:sz w:val="18"/>
                <w:szCs w:val="18"/>
              </w:rPr>
              <w:t>Albuerne</w:t>
            </w:r>
            <w:proofErr w:type="spellEnd"/>
          </w:p>
          <w:p w:rsidR="009F570B" w:rsidRPr="00A75729" w:rsidRDefault="009F570B" w:rsidP="009F570B">
            <w:pPr>
              <w:spacing w:before="0" w:after="0" w:line="240" w:lineRule="auto"/>
              <w:rPr>
                <w:sz w:val="18"/>
                <w:szCs w:val="18"/>
                <w:lang w:val="es-MX"/>
              </w:rPr>
            </w:pPr>
            <w:r w:rsidRPr="00A75729">
              <w:rPr>
                <w:sz w:val="18"/>
                <w:szCs w:val="18"/>
              </w:rPr>
              <w:t xml:space="preserve">Jesús Dionisio González </w:t>
            </w:r>
            <w:proofErr w:type="spellStart"/>
            <w:r w:rsidRPr="00A75729">
              <w:rPr>
                <w:sz w:val="18"/>
                <w:szCs w:val="18"/>
              </w:rPr>
              <w:t>Albuerne</w:t>
            </w:r>
            <w:proofErr w:type="spellEnd"/>
          </w:p>
        </w:tc>
        <w:tc>
          <w:tcPr>
            <w:tcW w:w="1470" w:type="dxa"/>
            <w:tcBorders>
              <w:top w:val="nil"/>
              <w:left w:val="nil"/>
              <w:bottom w:val="single" w:sz="4" w:space="0" w:color="auto"/>
              <w:right w:val="single" w:sz="4" w:space="0" w:color="auto"/>
            </w:tcBorders>
            <w:shd w:val="clear" w:color="auto" w:fill="auto"/>
            <w:noWrap/>
            <w:vAlign w:val="center"/>
          </w:tcPr>
          <w:p w:rsidR="009F570B" w:rsidRPr="007724D8" w:rsidRDefault="007724D8" w:rsidP="009F570B">
            <w:pPr>
              <w:spacing w:before="0" w:after="0" w:line="240" w:lineRule="auto"/>
              <w:jc w:val="right"/>
              <w:rPr>
                <w:sz w:val="16"/>
                <w:szCs w:val="16"/>
                <w:highlight w:val="green"/>
              </w:rPr>
            </w:pPr>
            <w:r w:rsidRPr="007724D8">
              <w:rPr>
                <w:b/>
                <w:bCs/>
                <w:color w:val="0000CC"/>
                <w:kern w:val="24"/>
                <w:sz w:val="16"/>
                <w:szCs w:val="16"/>
              </w:rPr>
              <w:t>“CONFIDENCIAL POR LEY (3)”</w:t>
            </w:r>
          </w:p>
        </w:tc>
      </w:tr>
      <w:tr w:rsidR="009F570B" w:rsidRPr="00A75729" w:rsidTr="00FE46FC">
        <w:trPr>
          <w:jc w:val="center"/>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F570B" w:rsidRPr="00A75729" w:rsidDel="0031220D" w:rsidRDefault="009F570B" w:rsidP="009F570B">
            <w:pPr>
              <w:spacing w:before="0" w:after="0" w:line="240" w:lineRule="auto"/>
              <w:rPr>
                <w:sz w:val="18"/>
                <w:szCs w:val="18"/>
              </w:rPr>
            </w:pPr>
            <w:r w:rsidRPr="00A75729">
              <w:rPr>
                <w:sz w:val="18"/>
                <w:szCs w:val="18"/>
              </w:rPr>
              <w:t>La Voz de Linares, S.A.</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9F570B" w:rsidRPr="00A75729" w:rsidRDefault="009F570B" w:rsidP="009F570B">
            <w:pPr>
              <w:spacing w:before="0" w:after="0" w:line="240" w:lineRule="auto"/>
              <w:rPr>
                <w:rFonts w:eastAsia="Times New Roman"/>
                <w:color w:val="000000"/>
                <w:sz w:val="18"/>
                <w:szCs w:val="18"/>
              </w:rPr>
            </w:pPr>
            <w:r w:rsidRPr="00A75729">
              <w:rPr>
                <w:rFonts w:eastAsia="Times New Roman"/>
                <w:color w:val="000000"/>
                <w:sz w:val="18"/>
                <w:szCs w:val="18"/>
              </w:rPr>
              <w:t>MM Televisión, S.A. de C.V.</w:t>
            </w:r>
          </w:p>
          <w:p w:rsidR="009F570B" w:rsidRPr="00A75729" w:rsidRDefault="009F570B" w:rsidP="009F570B">
            <w:pPr>
              <w:spacing w:before="0" w:after="0" w:line="240" w:lineRule="auto"/>
              <w:rPr>
                <w:rFonts w:eastAsia="Times New Roman"/>
                <w:color w:val="000000"/>
                <w:sz w:val="18"/>
                <w:szCs w:val="18"/>
              </w:rPr>
            </w:pPr>
            <w:r w:rsidRPr="00A75729">
              <w:rPr>
                <w:rFonts w:eastAsia="Times New Roman"/>
                <w:color w:val="000000"/>
                <w:sz w:val="18"/>
                <w:szCs w:val="18"/>
              </w:rPr>
              <w:t xml:space="preserve">Francisco Antonio González Sánchez </w:t>
            </w:r>
          </w:p>
          <w:p w:rsidR="009F570B" w:rsidRPr="00A75729" w:rsidDel="0031220D" w:rsidRDefault="009F570B" w:rsidP="009F570B">
            <w:pPr>
              <w:spacing w:before="0" w:after="0" w:line="240" w:lineRule="auto"/>
              <w:rPr>
                <w:sz w:val="18"/>
                <w:szCs w:val="18"/>
              </w:rPr>
            </w:pPr>
            <w:r w:rsidRPr="00A75729">
              <w:rPr>
                <w:rFonts w:eastAsia="Times New Roman"/>
                <w:color w:val="000000"/>
                <w:sz w:val="18"/>
                <w:szCs w:val="18"/>
              </w:rPr>
              <w:t xml:space="preserve">Nora Patricia </w:t>
            </w:r>
            <w:proofErr w:type="spellStart"/>
            <w:r w:rsidRPr="00A75729">
              <w:rPr>
                <w:rFonts w:eastAsia="Times New Roman"/>
                <w:color w:val="000000"/>
                <w:sz w:val="18"/>
                <w:szCs w:val="18"/>
              </w:rPr>
              <w:t>Albuerne</w:t>
            </w:r>
            <w:proofErr w:type="spellEnd"/>
            <w:r w:rsidRPr="00A75729">
              <w:rPr>
                <w:rFonts w:eastAsia="Times New Roman"/>
                <w:color w:val="000000"/>
                <w:sz w:val="18"/>
                <w:szCs w:val="18"/>
              </w:rPr>
              <w:t xml:space="preserve"> </w:t>
            </w:r>
            <w:proofErr w:type="spellStart"/>
            <w:r w:rsidRPr="00A75729">
              <w:rPr>
                <w:rFonts w:eastAsia="Times New Roman"/>
                <w:color w:val="000000"/>
                <w:sz w:val="18"/>
                <w:szCs w:val="18"/>
              </w:rPr>
              <w:t>Wendorf</w:t>
            </w:r>
            <w:proofErr w:type="spellEnd"/>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9F570B" w:rsidRPr="00A75729" w:rsidRDefault="009F570B" w:rsidP="009F570B">
            <w:pPr>
              <w:spacing w:before="0" w:after="0" w:line="240" w:lineRule="auto"/>
              <w:jc w:val="right"/>
              <w:rPr>
                <w:rFonts w:eastAsia="Times New Roman"/>
                <w:color w:val="000000"/>
                <w:sz w:val="18"/>
                <w:szCs w:val="18"/>
              </w:rPr>
            </w:pPr>
            <w:r w:rsidRPr="00A75729">
              <w:rPr>
                <w:rFonts w:eastAsia="Times New Roman"/>
                <w:color w:val="000000"/>
                <w:sz w:val="18"/>
                <w:szCs w:val="18"/>
              </w:rPr>
              <w:t>99.96</w:t>
            </w:r>
          </w:p>
          <w:p w:rsidR="009F570B" w:rsidRPr="00A75729" w:rsidRDefault="009F570B" w:rsidP="009F570B">
            <w:pPr>
              <w:spacing w:before="0" w:after="0" w:line="240" w:lineRule="auto"/>
              <w:jc w:val="right"/>
              <w:rPr>
                <w:rFonts w:eastAsia="Times New Roman"/>
                <w:color w:val="000000"/>
                <w:sz w:val="18"/>
                <w:szCs w:val="18"/>
              </w:rPr>
            </w:pPr>
            <w:r w:rsidRPr="00A75729">
              <w:rPr>
                <w:rFonts w:eastAsia="Times New Roman"/>
                <w:color w:val="000000"/>
                <w:sz w:val="18"/>
                <w:szCs w:val="18"/>
              </w:rPr>
              <w:t>0.03</w:t>
            </w:r>
          </w:p>
          <w:p w:rsidR="009F570B" w:rsidRPr="00A75729" w:rsidDel="0031220D" w:rsidRDefault="009F570B" w:rsidP="009F570B">
            <w:pPr>
              <w:spacing w:before="0" w:after="0" w:line="240" w:lineRule="auto"/>
              <w:jc w:val="right"/>
              <w:rPr>
                <w:sz w:val="18"/>
                <w:szCs w:val="18"/>
              </w:rPr>
            </w:pPr>
            <w:r w:rsidRPr="00A75729">
              <w:rPr>
                <w:rFonts w:eastAsia="Times New Roman"/>
                <w:color w:val="000000"/>
                <w:sz w:val="18"/>
                <w:szCs w:val="18"/>
              </w:rPr>
              <w:t>0.01</w:t>
            </w:r>
          </w:p>
        </w:tc>
      </w:tr>
      <w:tr w:rsidR="00EB3171" w:rsidRPr="00A75729" w:rsidTr="00FE46FC">
        <w:trPr>
          <w:jc w:val="center"/>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3171" w:rsidRPr="00A75729" w:rsidRDefault="00EB3171" w:rsidP="00EB3171">
            <w:pPr>
              <w:spacing w:before="0" w:after="0" w:line="240" w:lineRule="auto"/>
              <w:rPr>
                <w:sz w:val="18"/>
                <w:szCs w:val="18"/>
              </w:rPr>
            </w:pPr>
            <w:r w:rsidRPr="00A75729">
              <w:rPr>
                <w:sz w:val="18"/>
                <w:szCs w:val="18"/>
              </w:rPr>
              <w:t xml:space="preserve">MM Televisión, S.A. de C.V. </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EB3171" w:rsidRPr="00A75729" w:rsidRDefault="00EB3171" w:rsidP="00EB3171">
            <w:pPr>
              <w:spacing w:before="0" w:after="0" w:line="240" w:lineRule="auto"/>
              <w:rPr>
                <w:rFonts w:eastAsia="Times New Roman"/>
                <w:color w:val="000000"/>
                <w:sz w:val="18"/>
                <w:szCs w:val="18"/>
              </w:rPr>
            </w:pPr>
            <w:r w:rsidRPr="00A75729">
              <w:rPr>
                <w:rFonts w:eastAsia="Times New Roman"/>
                <w:color w:val="000000"/>
                <w:sz w:val="18"/>
                <w:szCs w:val="18"/>
              </w:rPr>
              <w:t>Francisco Antonio González Sánchez</w:t>
            </w:r>
          </w:p>
          <w:p w:rsidR="00EB3171" w:rsidRPr="00A75729" w:rsidRDefault="00EB3171" w:rsidP="00EB3171">
            <w:pPr>
              <w:spacing w:before="0" w:after="0" w:line="240" w:lineRule="auto"/>
              <w:rPr>
                <w:rFonts w:eastAsia="Times New Roman"/>
                <w:color w:val="000000"/>
                <w:sz w:val="18"/>
                <w:szCs w:val="18"/>
              </w:rPr>
            </w:pPr>
            <w:r w:rsidRPr="00A75729">
              <w:rPr>
                <w:rFonts w:eastAsia="Times New Roman"/>
                <w:color w:val="000000"/>
                <w:sz w:val="18"/>
                <w:szCs w:val="18"/>
              </w:rPr>
              <w:t xml:space="preserve">Patricia González </w:t>
            </w:r>
            <w:proofErr w:type="spellStart"/>
            <w:r w:rsidRPr="00A75729">
              <w:rPr>
                <w:rFonts w:eastAsia="Times New Roman"/>
                <w:color w:val="000000"/>
                <w:sz w:val="18"/>
                <w:szCs w:val="18"/>
              </w:rPr>
              <w:t>Albuerne</w:t>
            </w:r>
            <w:proofErr w:type="spellEnd"/>
          </w:p>
          <w:p w:rsidR="00EB3171" w:rsidRPr="00A75729" w:rsidRDefault="00EB3171" w:rsidP="00EB3171">
            <w:pPr>
              <w:spacing w:before="0" w:after="0" w:line="240" w:lineRule="auto"/>
              <w:rPr>
                <w:rFonts w:eastAsia="Times New Roman"/>
                <w:color w:val="000000"/>
                <w:sz w:val="18"/>
                <w:szCs w:val="18"/>
              </w:rPr>
            </w:pPr>
            <w:r w:rsidRPr="00A75729">
              <w:rPr>
                <w:rFonts w:eastAsia="Times New Roman"/>
                <w:color w:val="000000"/>
                <w:sz w:val="18"/>
                <w:szCs w:val="18"/>
              </w:rPr>
              <w:t xml:space="preserve">Jesús Dionisio González </w:t>
            </w:r>
            <w:proofErr w:type="spellStart"/>
            <w:r w:rsidRPr="00A75729">
              <w:rPr>
                <w:rFonts w:eastAsia="Times New Roman"/>
                <w:color w:val="000000"/>
                <w:sz w:val="18"/>
                <w:szCs w:val="18"/>
              </w:rPr>
              <w:t>Albuerne</w:t>
            </w:r>
            <w:proofErr w:type="spellEnd"/>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EB3171" w:rsidRPr="007724D8" w:rsidRDefault="007724D8" w:rsidP="00EB3171">
            <w:pPr>
              <w:spacing w:before="0" w:after="0" w:line="240" w:lineRule="auto"/>
              <w:jc w:val="right"/>
              <w:rPr>
                <w:rFonts w:eastAsia="Times New Roman"/>
                <w:color w:val="000000"/>
                <w:sz w:val="16"/>
                <w:szCs w:val="16"/>
              </w:rPr>
            </w:pPr>
            <w:r w:rsidRPr="007724D8">
              <w:rPr>
                <w:b/>
                <w:bCs/>
                <w:color w:val="0000CC"/>
                <w:kern w:val="24"/>
                <w:sz w:val="16"/>
                <w:szCs w:val="16"/>
              </w:rPr>
              <w:t>“CONFIDENCIAL POR LEY (3)”</w:t>
            </w:r>
          </w:p>
        </w:tc>
      </w:tr>
      <w:tr w:rsidR="00EB3171" w:rsidRPr="00A75729" w:rsidTr="00FE46FC">
        <w:trPr>
          <w:jc w:val="center"/>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3171" w:rsidRPr="00A75729" w:rsidDel="0031220D" w:rsidRDefault="00EB3171" w:rsidP="00EB3171">
            <w:pPr>
              <w:spacing w:before="0" w:after="0" w:line="240" w:lineRule="auto"/>
              <w:rPr>
                <w:sz w:val="18"/>
                <w:szCs w:val="18"/>
              </w:rPr>
            </w:pPr>
            <w:r w:rsidRPr="00A75729">
              <w:rPr>
                <w:sz w:val="18"/>
                <w:szCs w:val="18"/>
              </w:rPr>
              <w:t>Multimedios Radio, S.A. de C.V.</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EB3171" w:rsidRPr="00A75729" w:rsidRDefault="00EB3171" w:rsidP="00EB3171">
            <w:pPr>
              <w:spacing w:before="0" w:after="0" w:line="240" w:lineRule="auto"/>
              <w:contextualSpacing/>
              <w:rPr>
                <w:sz w:val="18"/>
                <w:szCs w:val="18"/>
              </w:rPr>
            </w:pPr>
            <w:r w:rsidRPr="00A75729">
              <w:rPr>
                <w:sz w:val="18"/>
                <w:szCs w:val="18"/>
              </w:rPr>
              <w:t xml:space="preserve">MM Televisión, S.A. de C.V. </w:t>
            </w:r>
          </w:p>
          <w:p w:rsidR="00EB3171" w:rsidRPr="00A75729" w:rsidRDefault="00EB3171" w:rsidP="00EB3171">
            <w:pPr>
              <w:spacing w:before="0" w:after="0" w:line="240" w:lineRule="auto"/>
              <w:contextualSpacing/>
              <w:rPr>
                <w:sz w:val="18"/>
                <w:szCs w:val="18"/>
              </w:rPr>
            </w:pPr>
            <w:proofErr w:type="spellStart"/>
            <w:r w:rsidRPr="00A75729">
              <w:rPr>
                <w:sz w:val="18"/>
                <w:szCs w:val="18"/>
              </w:rPr>
              <w:t>MMR</w:t>
            </w:r>
            <w:proofErr w:type="spellEnd"/>
          </w:p>
          <w:p w:rsidR="00EB3171" w:rsidRPr="00A75729" w:rsidDel="0031220D" w:rsidRDefault="00EB3171" w:rsidP="00EB3171">
            <w:pPr>
              <w:spacing w:before="0" w:after="0" w:line="240" w:lineRule="auto"/>
              <w:rPr>
                <w:sz w:val="18"/>
                <w:szCs w:val="18"/>
              </w:rPr>
            </w:pPr>
            <w:r w:rsidRPr="00A75729">
              <w:rPr>
                <w:sz w:val="18"/>
                <w:szCs w:val="18"/>
              </w:rPr>
              <w:t>Francisco González Sánchez</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EB3171" w:rsidRPr="00A75729" w:rsidRDefault="00EB3171" w:rsidP="00EB3171">
            <w:pPr>
              <w:spacing w:before="0" w:after="0" w:line="240" w:lineRule="auto"/>
              <w:contextualSpacing/>
              <w:jc w:val="right"/>
              <w:rPr>
                <w:color w:val="000000"/>
                <w:sz w:val="18"/>
                <w:szCs w:val="18"/>
              </w:rPr>
            </w:pPr>
            <w:r w:rsidRPr="00A75729">
              <w:rPr>
                <w:color w:val="000000"/>
                <w:sz w:val="18"/>
                <w:szCs w:val="18"/>
              </w:rPr>
              <w:t>99.95</w:t>
            </w:r>
          </w:p>
          <w:p w:rsidR="00EB3171" w:rsidRPr="00A75729" w:rsidRDefault="00EB3171" w:rsidP="00EB3171">
            <w:pPr>
              <w:spacing w:before="0" w:after="0" w:line="240" w:lineRule="auto"/>
              <w:jc w:val="right"/>
              <w:rPr>
                <w:color w:val="000000"/>
                <w:sz w:val="18"/>
                <w:szCs w:val="18"/>
              </w:rPr>
            </w:pPr>
            <w:r w:rsidRPr="00A75729">
              <w:rPr>
                <w:color w:val="000000"/>
                <w:sz w:val="18"/>
                <w:szCs w:val="18"/>
              </w:rPr>
              <w:t>0.04</w:t>
            </w:r>
          </w:p>
          <w:p w:rsidR="00EB3171" w:rsidRPr="00A75729" w:rsidDel="0031220D" w:rsidRDefault="00EB3171" w:rsidP="00EB3171">
            <w:pPr>
              <w:spacing w:before="0" w:after="0" w:line="240" w:lineRule="auto"/>
              <w:jc w:val="right"/>
              <w:rPr>
                <w:sz w:val="18"/>
                <w:szCs w:val="18"/>
              </w:rPr>
            </w:pPr>
            <w:r w:rsidRPr="00A75729">
              <w:rPr>
                <w:color w:val="000000"/>
                <w:sz w:val="18"/>
                <w:szCs w:val="18"/>
              </w:rPr>
              <w:t>N.S.</w:t>
            </w:r>
          </w:p>
        </w:tc>
      </w:tr>
      <w:tr w:rsidR="00EB3171" w:rsidRPr="00A75729" w:rsidTr="00FE46FC">
        <w:trPr>
          <w:jc w:val="center"/>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3171" w:rsidRPr="00A75729" w:rsidDel="0031220D" w:rsidRDefault="00EB3171" w:rsidP="00EB3171">
            <w:pPr>
              <w:spacing w:before="0" w:after="0" w:line="240" w:lineRule="auto"/>
              <w:rPr>
                <w:sz w:val="18"/>
                <w:szCs w:val="18"/>
              </w:rPr>
            </w:pPr>
            <w:r w:rsidRPr="00A75729">
              <w:rPr>
                <w:sz w:val="18"/>
                <w:szCs w:val="18"/>
              </w:rPr>
              <w:t>Radio Centinela, S.A. de C.V.</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EB3171" w:rsidRPr="00A75729" w:rsidRDefault="00EB3171" w:rsidP="00EB3171">
            <w:pPr>
              <w:spacing w:before="0" w:after="0" w:line="240" w:lineRule="auto"/>
              <w:rPr>
                <w:rFonts w:eastAsia="Times New Roman"/>
                <w:color w:val="000000"/>
                <w:sz w:val="18"/>
                <w:szCs w:val="18"/>
              </w:rPr>
            </w:pPr>
            <w:r w:rsidRPr="00A75729">
              <w:rPr>
                <w:rFonts w:eastAsia="Times New Roman"/>
                <w:color w:val="000000"/>
                <w:sz w:val="18"/>
                <w:szCs w:val="18"/>
              </w:rPr>
              <w:t>Gregorio Martínez Rodríguez</w:t>
            </w:r>
          </w:p>
          <w:p w:rsidR="00EB3171" w:rsidRPr="00A75729" w:rsidDel="0031220D" w:rsidRDefault="00EB3171" w:rsidP="00EB3171">
            <w:pPr>
              <w:spacing w:before="0" w:after="0" w:line="240" w:lineRule="auto"/>
              <w:rPr>
                <w:sz w:val="18"/>
                <w:szCs w:val="18"/>
              </w:rPr>
            </w:pPr>
            <w:r w:rsidRPr="00A75729">
              <w:rPr>
                <w:rFonts w:eastAsia="Times New Roman"/>
                <w:color w:val="000000"/>
                <w:sz w:val="18"/>
                <w:szCs w:val="18"/>
              </w:rPr>
              <w:t>Jaime Eduardo Elías García</w:t>
            </w:r>
          </w:p>
        </w:tc>
        <w:tc>
          <w:tcPr>
            <w:tcW w:w="1470" w:type="dxa"/>
            <w:tcBorders>
              <w:top w:val="single" w:sz="4" w:space="0" w:color="auto"/>
              <w:left w:val="nil"/>
              <w:bottom w:val="single" w:sz="4" w:space="0" w:color="auto"/>
              <w:right w:val="single" w:sz="4" w:space="0" w:color="auto"/>
            </w:tcBorders>
            <w:shd w:val="clear" w:color="auto" w:fill="auto"/>
            <w:noWrap/>
          </w:tcPr>
          <w:p w:rsidR="00EB3171" w:rsidRPr="00A75729" w:rsidRDefault="00EB3171" w:rsidP="00EB3171">
            <w:pPr>
              <w:spacing w:before="0" w:after="0" w:line="240" w:lineRule="auto"/>
              <w:jc w:val="right"/>
              <w:rPr>
                <w:rFonts w:eastAsia="Times New Roman"/>
                <w:color w:val="000000"/>
                <w:sz w:val="18"/>
                <w:szCs w:val="18"/>
              </w:rPr>
            </w:pPr>
            <w:r w:rsidRPr="00A75729">
              <w:rPr>
                <w:rFonts w:eastAsia="Times New Roman"/>
                <w:color w:val="000000"/>
                <w:sz w:val="18"/>
                <w:szCs w:val="18"/>
              </w:rPr>
              <w:t>98.00</w:t>
            </w:r>
          </w:p>
          <w:p w:rsidR="00EB3171" w:rsidRPr="00A75729" w:rsidDel="0031220D" w:rsidRDefault="00EB3171" w:rsidP="00EB3171">
            <w:pPr>
              <w:spacing w:before="0" w:after="0" w:line="240" w:lineRule="auto"/>
              <w:jc w:val="right"/>
              <w:rPr>
                <w:sz w:val="18"/>
                <w:szCs w:val="18"/>
              </w:rPr>
            </w:pPr>
            <w:r w:rsidRPr="00A75729">
              <w:rPr>
                <w:rFonts w:eastAsia="Times New Roman"/>
                <w:color w:val="000000"/>
                <w:sz w:val="18"/>
                <w:szCs w:val="18"/>
              </w:rPr>
              <w:t>2.00</w:t>
            </w:r>
          </w:p>
        </w:tc>
      </w:tr>
      <w:tr w:rsidR="00EB3171" w:rsidRPr="00A75729" w:rsidTr="00FE46FC">
        <w:trPr>
          <w:jc w:val="center"/>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3171" w:rsidRPr="00A75729" w:rsidDel="0031220D" w:rsidRDefault="00EB3171" w:rsidP="00EB3171">
            <w:pPr>
              <w:spacing w:before="0" w:after="0" w:line="240" w:lineRule="auto"/>
              <w:rPr>
                <w:sz w:val="18"/>
                <w:szCs w:val="18"/>
              </w:rPr>
            </w:pPr>
            <w:r w:rsidRPr="00A75729">
              <w:rPr>
                <w:sz w:val="18"/>
                <w:szCs w:val="18"/>
              </w:rPr>
              <w:t>Multimedios Televisión, S.A. de C.V.</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EB3171" w:rsidRPr="00A75729" w:rsidRDefault="00EB3171" w:rsidP="00EB3171">
            <w:pPr>
              <w:spacing w:before="0" w:after="0" w:line="240" w:lineRule="auto"/>
              <w:contextualSpacing/>
              <w:rPr>
                <w:sz w:val="18"/>
                <w:szCs w:val="18"/>
              </w:rPr>
            </w:pPr>
            <w:proofErr w:type="spellStart"/>
            <w:r w:rsidRPr="00A75729">
              <w:rPr>
                <w:sz w:val="18"/>
                <w:szCs w:val="18"/>
              </w:rPr>
              <w:t>MMR</w:t>
            </w:r>
            <w:proofErr w:type="spellEnd"/>
          </w:p>
          <w:p w:rsidR="00EB3171" w:rsidRPr="00A75729" w:rsidRDefault="00EB3171" w:rsidP="00EB3171">
            <w:pPr>
              <w:spacing w:before="0" w:after="0" w:line="240" w:lineRule="auto"/>
              <w:rPr>
                <w:rFonts w:eastAsia="Times New Roman"/>
                <w:color w:val="000000"/>
                <w:sz w:val="18"/>
                <w:szCs w:val="18"/>
              </w:rPr>
            </w:pPr>
            <w:r w:rsidRPr="00A75729">
              <w:rPr>
                <w:rFonts w:eastAsia="Times New Roman"/>
                <w:color w:val="000000"/>
                <w:sz w:val="18"/>
                <w:szCs w:val="18"/>
              </w:rPr>
              <w:t>Francisco Antonio González Sánchez</w:t>
            </w:r>
          </w:p>
          <w:p w:rsidR="00EB3171" w:rsidRPr="00A75729" w:rsidRDefault="00EB3171" w:rsidP="00EB3171">
            <w:pPr>
              <w:spacing w:before="0" w:after="0" w:line="240" w:lineRule="auto"/>
              <w:rPr>
                <w:rFonts w:eastAsia="Times New Roman"/>
                <w:color w:val="000000"/>
                <w:sz w:val="18"/>
                <w:szCs w:val="18"/>
              </w:rPr>
            </w:pPr>
            <w:r w:rsidRPr="00A75729">
              <w:rPr>
                <w:rFonts w:eastAsia="Times New Roman"/>
                <w:color w:val="000000"/>
                <w:sz w:val="18"/>
                <w:szCs w:val="18"/>
              </w:rPr>
              <w:t xml:space="preserve">Jesús Dionisio González </w:t>
            </w:r>
            <w:proofErr w:type="spellStart"/>
            <w:r w:rsidRPr="00A75729">
              <w:rPr>
                <w:rFonts w:eastAsia="Times New Roman"/>
                <w:color w:val="000000"/>
                <w:sz w:val="18"/>
                <w:szCs w:val="18"/>
              </w:rPr>
              <w:t>Albuerne</w:t>
            </w:r>
            <w:proofErr w:type="spellEnd"/>
          </w:p>
          <w:p w:rsidR="00EB3171" w:rsidRPr="00A75729" w:rsidRDefault="00EB3171" w:rsidP="00EB3171">
            <w:pPr>
              <w:spacing w:before="0" w:after="0" w:line="240" w:lineRule="auto"/>
              <w:rPr>
                <w:sz w:val="18"/>
                <w:szCs w:val="18"/>
              </w:rPr>
            </w:pPr>
            <w:r w:rsidRPr="00A75729">
              <w:rPr>
                <w:sz w:val="18"/>
                <w:szCs w:val="18"/>
              </w:rPr>
              <w:t xml:space="preserve">Francisco Darío González </w:t>
            </w:r>
            <w:proofErr w:type="spellStart"/>
            <w:r w:rsidRPr="00A75729">
              <w:rPr>
                <w:sz w:val="18"/>
                <w:szCs w:val="18"/>
              </w:rPr>
              <w:t>Albuerne</w:t>
            </w:r>
            <w:proofErr w:type="spellEnd"/>
          </w:p>
          <w:p w:rsidR="00EB3171" w:rsidRPr="00A75729" w:rsidRDefault="00EB3171" w:rsidP="00EB3171">
            <w:pPr>
              <w:spacing w:before="0" w:after="0" w:line="240" w:lineRule="auto"/>
              <w:rPr>
                <w:sz w:val="18"/>
                <w:szCs w:val="18"/>
              </w:rPr>
            </w:pPr>
            <w:r w:rsidRPr="00A75729">
              <w:rPr>
                <w:sz w:val="18"/>
                <w:szCs w:val="18"/>
              </w:rPr>
              <w:t xml:space="preserve">Patricia González </w:t>
            </w:r>
            <w:proofErr w:type="spellStart"/>
            <w:r w:rsidRPr="00A75729">
              <w:rPr>
                <w:sz w:val="18"/>
                <w:szCs w:val="18"/>
              </w:rPr>
              <w:t>Albuerne</w:t>
            </w:r>
            <w:proofErr w:type="spellEnd"/>
          </w:p>
          <w:p w:rsidR="00EB3171" w:rsidRPr="00A75729" w:rsidDel="0031220D" w:rsidRDefault="00EB3171" w:rsidP="00EB3171">
            <w:pPr>
              <w:spacing w:before="0" w:after="0" w:line="240" w:lineRule="auto"/>
              <w:rPr>
                <w:sz w:val="18"/>
                <w:szCs w:val="18"/>
              </w:rPr>
            </w:pPr>
            <w:r w:rsidRPr="00A75729">
              <w:rPr>
                <w:sz w:val="18"/>
                <w:szCs w:val="18"/>
                <w:lang w:val="en-US"/>
              </w:rPr>
              <w:t xml:space="preserve">Valeria González </w:t>
            </w:r>
            <w:proofErr w:type="spellStart"/>
            <w:r w:rsidRPr="00A75729">
              <w:rPr>
                <w:sz w:val="18"/>
                <w:szCs w:val="18"/>
                <w:lang w:val="en-US"/>
              </w:rPr>
              <w:t>Albuerne</w:t>
            </w:r>
            <w:proofErr w:type="spellEnd"/>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EB3171" w:rsidRPr="00A75729" w:rsidRDefault="00EB3171" w:rsidP="00EB3171">
            <w:pPr>
              <w:spacing w:before="0" w:after="0" w:line="240" w:lineRule="auto"/>
              <w:contextualSpacing/>
              <w:jc w:val="right"/>
              <w:rPr>
                <w:color w:val="000000"/>
                <w:sz w:val="18"/>
                <w:szCs w:val="18"/>
              </w:rPr>
            </w:pPr>
            <w:r w:rsidRPr="00A75729">
              <w:rPr>
                <w:color w:val="000000"/>
                <w:sz w:val="18"/>
                <w:szCs w:val="18"/>
              </w:rPr>
              <w:t>99.95</w:t>
            </w:r>
          </w:p>
          <w:p w:rsidR="00EB3171" w:rsidRPr="00A75729" w:rsidRDefault="00EB3171" w:rsidP="00EB3171">
            <w:pPr>
              <w:spacing w:before="0" w:after="0" w:line="240" w:lineRule="auto"/>
              <w:jc w:val="right"/>
              <w:rPr>
                <w:color w:val="000000"/>
                <w:sz w:val="18"/>
                <w:szCs w:val="18"/>
              </w:rPr>
            </w:pPr>
            <w:r w:rsidRPr="00A75729">
              <w:rPr>
                <w:color w:val="000000"/>
                <w:sz w:val="18"/>
                <w:szCs w:val="18"/>
              </w:rPr>
              <w:t>N.S.</w:t>
            </w:r>
          </w:p>
          <w:p w:rsidR="00EB3171" w:rsidRPr="00A75729" w:rsidRDefault="00EB3171" w:rsidP="00EB3171">
            <w:pPr>
              <w:spacing w:before="0" w:after="0" w:line="240" w:lineRule="auto"/>
              <w:jc w:val="right"/>
              <w:rPr>
                <w:color w:val="000000"/>
                <w:sz w:val="18"/>
                <w:szCs w:val="18"/>
              </w:rPr>
            </w:pPr>
            <w:r w:rsidRPr="00A75729">
              <w:rPr>
                <w:color w:val="000000"/>
                <w:sz w:val="18"/>
                <w:szCs w:val="18"/>
              </w:rPr>
              <w:t>N.S.</w:t>
            </w:r>
          </w:p>
          <w:p w:rsidR="00EB3171" w:rsidRPr="00A75729" w:rsidRDefault="00EB3171" w:rsidP="00EB3171">
            <w:pPr>
              <w:spacing w:before="0" w:after="0" w:line="240" w:lineRule="auto"/>
              <w:jc w:val="right"/>
              <w:rPr>
                <w:color w:val="000000"/>
                <w:sz w:val="18"/>
                <w:szCs w:val="18"/>
              </w:rPr>
            </w:pPr>
            <w:r w:rsidRPr="00A75729">
              <w:rPr>
                <w:color w:val="000000"/>
                <w:sz w:val="18"/>
                <w:szCs w:val="18"/>
              </w:rPr>
              <w:t>N.S.</w:t>
            </w:r>
          </w:p>
          <w:p w:rsidR="00EB3171" w:rsidRPr="00A75729" w:rsidRDefault="00EB3171" w:rsidP="00EB3171">
            <w:pPr>
              <w:spacing w:before="0" w:after="0" w:line="240" w:lineRule="auto"/>
              <w:jc w:val="right"/>
              <w:rPr>
                <w:color w:val="000000"/>
                <w:sz w:val="18"/>
                <w:szCs w:val="18"/>
              </w:rPr>
            </w:pPr>
            <w:r w:rsidRPr="00A75729">
              <w:rPr>
                <w:color w:val="000000"/>
                <w:sz w:val="18"/>
                <w:szCs w:val="18"/>
              </w:rPr>
              <w:t>N.S.</w:t>
            </w:r>
          </w:p>
          <w:p w:rsidR="00EB3171" w:rsidRPr="00A75729" w:rsidDel="0031220D" w:rsidRDefault="00EB3171" w:rsidP="00EB3171">
            <w:pPr>
              <w:spacing w:before="0" w:after="0" w:line="240" w:lineRule="auto"/>
              <w:jc w:val="right"/>
              <w:rPr>
                <w:sz w:val="18"/>
                <w:szCs w:val="18"/>
              </w:rPr>
            </w:pPr>
            <w:r w:rsidRPr="00A75729">
              <w:rPr>
                <w:color w:val="000000"/>
                <w:sz w:val="18"/>
                <w:szCs w:val="18"/>
              </w:rPr>
              <w:t>N.S.</w:t>
            </w:r>
          </w:p>
        </w:tc>
      </w:tr>
      <w:tr w:rsidR="00EB3171" w:rsidRPr="00A75729" w:rsidTr="00FE46FC">
        <w:trPr>
          <w:jc w:val="center"/>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3171" w:rsidRPr="00A75729" w:rsidDel="0031220D" w:rsidRDefault="00EB3171" w:rsidP="00EB3171">
            <w:pPr>
              <w:spacing w:before="0" w:after="0" w:line="240" w:lineRule="auto"/>
              <w:rPr>
                <w:sz w:val="18"/>
                <w:szCs w:val="18"/>
              </w:rPr>
            </w:pPr>
            <w:r w:rsidRPr="00A75729">
              <w:rPr>
                <w:sz w:val="18"/>
                <w:szCs w:val="18"/>
              </w:rPr>
              <w:t>Televisión Digital, S.A. de C.V.</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EB3171" w:rsidRPr="00A75729" w:rsidRDefault="00EB3171" w:rsidP="00EB3171">
            <w:pPr>
              <w:spacing w:before="0" w:after="0" w:line="240" w:lineRule="auto"/>
              <w:contextualSpacing/>
              <w:rPr>
                <w:sz w:val="18"/>
                <w:szCs w:val="18"/>
              </w:rPr>
            </w:pPr>
            <w:r w:rsidRPr="00A75729">
              <w:rPr>
                <w:sz w:val="18"/>
                <w:szCs w:val="18"/>
              </w:rPr>
              <w:t>MM Televisión, S.A. de C.V.</w:t>
            </w:r>
          </w:p>
          <w:p w:rsidR="00EB3171" w:rsidRPr="00A75729" w:rsidDel="0031220D" w:rsidRDefault="00EB3171" w:rsidP="00EB3171">
            <w:pPr>
              <w:spacing w:before="0" w:after="0" w:line="240" w:lineRule="auto"/>
              <w:rPr>
                <w:sz w:val="18"/>
                <w:szCs w:val="18"/>
              </w:rPr>
            </w:pPr>
            <w:r w:rsidRPr="00A75729">
              <w:rPr>
                <w:rFonts w:eastAsia="Times New Roman"/>
                <w:color w:val="000000"/>
                <w:sz w:val="18"/>
                <w:szCs w:val="18"/>
              </w:rPr>
              <w:t>Francisco Antonio González Sánchez</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EB3171" w:rsidRPr="00A75729" w:rsidRDefault="00EB3171" w:rsidP="00EB3171">
            <w:pPr>
              <w:spacing w:before="0" w:after="0" w:line="240" w:lineRule="auto"/>
              <w:contextualSpacing/>
              <w:jc w:val="right"/>
              <w:rPr>
                <w:color w:val="000000"/>
                <w:sz w:val="18"/>
                <w:szCs w:val="18"/>
              </w:rPr>
            </w:pPr>
            <w:r w:rsidRPr="00A75729">
              <w:rPr>
                <w:color w:val="000000"/>
                <w:sz w:val="18"/>
                <w:szCs w:val="18"/>
              </w:rPr>
              <w:t>99.96</w:t>
            </w:r>
          </w:p>
          <w:p w:rsidR="00EB3171" w:rsidRPr="00A75729" w:rsidDel="0031220D" w:rsidRDefault="00EB3171" w:rsidP="00EB3171">
            <w:pPr>
              <w:spacing w:before="0" w:after="0" w:line="240" w:lineRule="auto"/>
              <w:jc w:val="right"/>
              <w:rPr>
                <w:sz w:val="18"/>
                <w:szCs w:val="18"/>
              </w:rPr>
            </w:pPr>
            <w:r w:rsidRPr="00A75729">
              <w:rPr>
                <w:color w:val="000000"/>
                <w:sz w:val="18"/>
                <w:szCs w:val="18"/>
              </w:rPr>
              <w:t>0.04</w:t>
            </w:r>
          </w:p>
        </w:tc>
      </w:tr>
      <w:tr w:rsidR="00EB3171" w:rsidRPr="00A75729" w:rsidTr="00FE46FC">
        <w:trPr>
          <w:jc w:val="center"/>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3171" w:rsidRPr="00A75729" w:rsidDel="0031220D" w:rsidRDefault="00EB3171" w:rsidP="00EB3171">
            <w:pPr>
              <w:spacing w:before="0" w:after="0" w:line="240" w:lineRule="auto"/>
              <w:rPr>
                <w:sz w:val="18"/>
                <w:szCs w:val="18"/>
              </w:rPr>
            </w:pPr>
            <w:r w:rsidRPr="00A75729">
              <w:rPr>
                <w:sz w:val="18"/>
                <w:szCs w:val="18"/>
              </w:rPr>
              <w:t>Radio Informativa, S.A. de C.V.</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EB3171" w:rsidRPr="00A75729" w:rsidRDefault="00EB3171" w:rsidP="00EB3171">
            <w:pPr>
              <w:spacing w:before="0" w:after="0" w:line="240" w:lineRule="auto"/>
              <w:rPr>
                <w:sz w:val="18"/>
                <w:szCs w:val="18"/>
              </w:rPr>
            </w:pPr>
            <w:proofErr w:type="spellStart"/>
            <w:r w:rsidRPr="00A75729">
              <w:rPr>
                <w:sz w:val="18"/>
                <w:szCs w:val="18"/>
              </w:rPr>
              <w:t>MMR</w:t>
            </w:r>
            <w:proofErr w:type="spellEnd"/>
          </w:p>
          <w:p w:rsidR="00EB3171" w:rsidRPr="00A75729" w:rsidRDefault="00EB3171" w:rsidP="00EB3171">
            <w:pPr>
              <w:spacing w:before="0" w:after="0" w:line="240" w:lineRule="auto"/>
              <w:rPr>
                <w:rFonts w:eastAsia="Times New Roman"/>
                <w:color w:val="000000"/>
                <w:sz w:val="18"/>
                <w:szCs w:val="18"/>
              </w:rPr>
            </w:pPr>
            <w:r w:rsidRPr="00A75729">
              <w:rPr>
                <w:rFonts w:eastAsia="Times New Roman"/>
                <w:color w:val="000000"/>
                <w:sz w:val="18"/>
                <w:szCs w:val="18"/>
              </w:rPr>
              <w:t>Francisco Antonio González Sánchez</w:t>
            </w:r>
          </w:p>
          <w:p w:rsidR="00EB3171" w:rsidRPr="00A75729" w:rsidDel="0031220D" w:rsidRDefault="00EB3171" w:rsidP="00EB3171">
            <w:pPr>
              <w:spacing w:before="0" w:after="0" w:line="240" w:lineRule="auto"/>
              <w:rPr>
                <w:sz w:val="18"/>
                <w:szCs w:val="18"/>
              </w:rPr>
            </w:pPr>
            <w:r w:rsidRPr="00A75729">
              <w:rPr>
                <w:rFonts w:eastAsia="Times New Roman"/>
                <w:color w:val="000000"/>
                <w:sz w:val="18"/>
                <w:szCs w:val="18"/>
              </w:rPr>
              <w:t xml:space="preserve">Nora Patricia </w:t>
            </w:r>
            <w:proofErr w:type="spellStart"/>
            <w:r w:rsidRPr="00A75729">
              <w:rPr>
                <w:rFonts w:eastAsia="Times New Roman"/>
                <w:color w:val="000000"/>
                <w:sz w:val="18"/>
                <w:szCs w:val="18"/>
              </w:rPr>
              <w:t>Albuerne</w:t>
            </w:r>
            <w:proofErr w:type="spellEnd"/>
            <w:r w:rsidRPr="00A75729">
              <w:rPr>
                <w:rFonts w:eastAsia="Times New Roman"/>
                <w:color w:val="000000"/>
                <w:sz w:val="18"/>
                <w:szCs w:val="18"/>
              </w:rPr>
              <w:t xml:space="preserve"> </w:t>
            </w:r>
            <w:proofErr w:type="spellStart"/>
            <w:r w:rsidRPr="00A75729">
              <w:rPr>
                <w:rFonts w:eastAsia="Times New Roman"/>
                <w:color w:val="000000"/>
                <w:sz w:val="18"/>
                <w:szCs w:val="18"/>
              </w:rPr>
              <w:t>Wendorf</w:t>
            </w:r>
            <w:proofErr w:type="spellEnd"/>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EB3171" w:rsidRPr="00A75729" w:rsidRDefault="00EB3171" w:rsidP="00EB3171">
            <w:pPr>
              <w:spacing w:before="0" w:after="0" w:line="240" w:lineRule="auto"/>
              <w:jc w:val="right"/>
              <w:rPr>
                <w:rFonts w:eastAsia="Times New Roman"/>
                <w:color w:val="000000"/>
                <w:sz w:val="18"/>
                <w:szCs w:val="18"/>
              </w:rPr>
            </w:pPr>
            <w:r w:rsidRPr="00A75729">
              <w:rPr>
                <w:rFonts w:eastAsia="Times New Roman"/>
                <w:color w:val="000000"/>
                <w:sz w:val="18"/>
                <w:szCs w:val="18"/>
              </w:rPr>
              <w:t>99.96</w:t>
            </w:r>
          </w:p>
          <w:p w:rsidR="00EB3171" w:rsidRPr="00A75729" w:rsidRDefault="00EB3171" w:rsidP="00EB3171">
            <w:pPr>
              <w:spacing w:before="0" w:after="0" w:line="240" w:lineRule="auto"/>
              <w:jc w:val="right"/>
              <w:rPr>
                <w:rFonts w:eastAsia="Times New Roman"/>
                <w:color w:val="000000"/>
                <w:sz w:val="18"/>
                <w:szCs w:val="18"/>
              </w:rPr>
            </w:pPr>
            <w:r w:rsidRPr="00A75729">
              <w:rPr>
                <w:rFonts w:eastAsia="Times New Roman"/>
                <w:color w:val="000000"/>
                <w:sz w:val="18"/>
                <w:szCs w:val="18"/>
              </w:rPr>
              <w:t>0.04</w:t>
            </w:r>
          </w:p>
          <w:p w:rsidR="00EB3171" w:rsidRPr="00A75729" w:rsidDel="0031220D" w:rsidRDefault="00EB3171" w:rsidP="00EB3171">
            <w:pPr>
              <w:spacing w:before="0" w:after="0" w:line="240" w:lineRule="auto"/>
              <w:jc w:val="right"/>
              <w:rPr>
                <w:sz w:val="18"/>
                <w:szCs w:val="18"/>
              </w:rPr>
            </w:pPr>
            <w:r w:rsidRPr="00A75729">
              <w:rPr>
                <w:rFonts w:eastAsia="Times New Roman"/>
                <w:color w:val="000000"/>
                <w:sz w:val="18"/>
                <w:szCs w:val="18"/>
              </w:rPr>
              <w:t>N.S.</w:t>
            </w:r>
          </w:p>
        </w:tc>
      </w:tr>
      <w:tr w:rsidR="00EB3171" w:rsidRPr="00A75729" w:rsidTr="00FE46FC">
        <w:trPr>
          <w:jc w:val="center"/>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3171" w:rsidRPr="00A75729" w:rsidDel="0031220D" w:rsidRDefault="00EB3171" w:rsidP="00EB3171">
            <w:pPr>
              <w:spacing w:before="0" w:after="0" w:line="240" w:lineRule="auto"/>
              <w:rPr>
                <w:sz w:val="18"/>
                <w:szCs w:val="18"/>
              </w:rPr>
            </w:pPr>
            <w:r w:rsidRPr="00A75729">
              <w:rPr>
                <w:sz w:val="18"/>
                <w:szCs w:val="18"/>
              </w:rPr>
              <w:t>Transmisora de Monterrey, S.A. de C.V.</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EB3171" w:rsidRPr="00A75729" w:rsidRDefault="00EB3171" w:rsidP="00EB3171">
            <w:pPr>
              <w:spacing w:before="0" w:after="0" w:line="240" w:lineRule="auto"/>
              <w:contextualSpacing/>
              <w:rPr>
                <w:sz w:val="18"/>
                <w:szCs w:val="18"/>
              </w:rPr>
            </w:pPr>
            <w:r w:rsidRPr="00A75729">
              <w:rPr>
                <w:sz w:val="18"/>
                <w:szCs w:val="18"/>
              </w:rPr>
              <w:t>Gregorio Martínez Rodríguez</w:t>
            </w:r>
          </w:p>
          <w:p w:rsidR="00EB3171" w:rsidRPr="00A75729" w:rsidDel="0031220D" w:rsidRDefault="00EB3171" w:rsidP="00EB3171">
            <w:pPr>
              <w:spacing w:before="0" w:after="0" w:line="240" w:lineRule="auto"/>
              <w:rPr>
                <w:sz w:val="18"/>
                <w:szCs w:val="18"/>
              </w:rPr>
            </w:pPr>
            <w:r w:rsidRPr="00A75729">
              <w:rPr>
                <w:sz w:val="18"/>
                <w:szCs w:val="18"/>
              </w:rPr>
              <w:t>Jaime Eduardo Elías García</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EB3171" w:rsidRPr="00A75729" w:rsidRDefault="00EB3171" w:rsidP="00EB3171">
            <w:pPr>
              <w:spacing w:before="0" w:after="0" w:line="240" w:lineRule="auto"/>
              <w:contextualSpacing/>
              <w:jc w:val="right"/>
              <w:rPr>
                <w:color w:val="000000"/>
                <w:sz w:val="18"/>
                <w:szCs w:val="18"/>
              </w:rPr>
            </w:pPr>
            <w:r w:rsidRPr="00A75729">
              <w:rPr>
                <w:color w:val="000000"/>
                <w:sz w:val="18"/>
                <w:szCs w:val="18"/>
              </w:rPr>
              <w:t>98.00</w:t>
            </w:r>
          </w:p>
          <w:p w:rsidR="00EB3171" w:rsidRPr="00A75729" w:rsidDel="0031220D" w:rsidRDefault="00EB3171" w:rsidP="00EB3171">
            <w:pPr>
              <w:spacing w:before="0" w:after="0" w:line="240" w:lineRule="auto"/>
              <w:jc w:val="right"/>
              <w:rPr>
                <w:sz w:val="18"/>
                <w:szCs w:val="18"/>
              </w:rPr>
            </w:pPr>
            <w:r w:rsidRPr="00A75729">
              <w:rPr>
                <w:color w:val="000000"/>
                <w:sz w:val="18"/>
                <w:szCs w:val="18"/>
              </w:rPr>
              <w:t>2.00</w:t>
            </w:r>
          </w:p>
        </w:tc>
      </w:tr>
      <w:tr w:rsidR="00EB3171" w:rsidRPr="00A75729" w:rsidTr="00FE46FC">
        <w:trPr>
          <w:jc w:val="center"/>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3171" w:rsidRPr="00A75729" w:rsidRDefault="00EB3171" w:rsidP="00EB3171">
            <w:pPr>
              <w:spacing w:before="0" w:after="0" w:line="240" w:lineRule="auto"/>
              <w:rPr>
                <w:sz w:val="18"/>
                <w:szCs w:val="18"/>
              </w:rPr>
            </w:pPr>
            <w:r w:rsidRPr="00A75729">
              <w:rPr>
                <w:sz w:val="18"/>
                <w:szCs w:val="18"/>
              </w:rPr>
              <w:t xml:space="preserve">Fundación </w:t>
            </w:r>
            <w:proofErr w:type="spellStart"/>
            <w:r w:rsidRPr="00A75729">
              <w:rPr>
                <w:sz w:val="18"/>
                <w:szCs w:val="18"/>
              </w:rPr>
              <w:t>Ecoforestal</w:t>
            </w:r>
            <w:proofErr w:type="spellEnd"/>
            <w:r w:rsidRPr="00A75729">
              <w:rPr>
                <w:sz w:val="18"/>
                <w:szCs w:val="18"/>
              </w:rPr>
              <w:t>, A.C.</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EB3171" w:rsidRPr="00A75729" w:rsidRDefault="00EB3171" w:rsidP="00EB3171">
            <w:pPr>
              <w:spacing w:before="0" w:after="0" w:line="240" w:lineRule="auto"/>
              <w:rPr>
                <w:sz w:val="18"/>
                <w:szCs w:val="18"/>
                <w:lang w:val="en-US"/>
              </w:rPr>
            </w:pPr>
            <w:r w:rsidRPr="00A75729">
              <w:rPr>
                <w:sz w:val="18"/>
                <w:szCs w:val="18"/>
                <w:lang w:val="en-US"/>
              </w:rPr>
              <w:t>Goal Land, S.A. de C.V.</w:t>
            </w:r>
          </w:p>
          <w:p w:rsidR="00EB3171" w:rsidRPr="00A75729" w:rsidRDefault="00EB3171" w:rsidP="00EB3171">
            <w:pPr>
              <w:spacing w:before="0" w:after="0" w:line="240" w:lineRule="auto"/>
              <w:contextualSpacing/>
              <w:rPr>
                <w:sz w:val="18"/>
                <w:szCs w:val="18"/>
              </w:rPr>
            </w:pPr>
            <w:r w:rsidRPr="00A75729">
              <w:rPr>
                <w:sz w:val="18"/>
                <w:szCs w:val="18"/>
              </w:rPr>
              <w:t>Puerto Pajares, S.A. de C.V.</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EB3171" w:rsidRPr="00A75729" w:rsidRDefault="00EB3171" w:rsidP="00EB3171">
            <w:pPr>
              <w:spacing w:before="0" w:after="0" w:line="240" w:lineRule="auto"/>
              <w:jc w:val="right"/>
              <w:rPr>
                <w:sz w:val="18"/>
                <w:szCs w:val="18"/>
              </w:rPr>
            </w:pPr>
            <w:proofErr w:type="spellStart"/>
            <w:r w:rsidRPr="00A75729">
              <w:rPr>
                <w:sz w:val="18"/>
                <w:szCs w:val="18"/>
              </w:rPr>
              <w:t>N.A</w:t>
            </w:r>
            <w:proofErr w:type="spellEnd"/>
            <w:r w:rsidRPr="00A75729">
              <w:rPr>
                <w:sz w:val="18"/>
                <w:szCs w:val="18"/>
              </w:rPr>
              <w:t>.</w:t>
            </w:r>
          </w:p>
          <w:p w:rsidR="00EB3171" w:rsidRPr="00A75729" w:rsidRDefault="00EB3171" w:rsidP="00EB3171">
            <w:pPr>
              <w:spacing w:before="0" w:after="0" w:line="240" w:lineRule="auto"/>
              <w:contextualSpacing/>
              <w:jc w:val="right"/>
              <w:rPr>
                <w:color w:val="000000"/>
                <w:sz w:val="18"/>
                <w:szCs w:val="18"/>
              </w:rPr>
            </w:pPr>
            <w:proofErr w:type="spellStart"/>
            <w:r w:rsidRPr="00A75729">
              <w:rPr>
                <w:sz w:val="18"/>
                <w:szCs w:val="18"/>
              </w:rPr>
              <w:t>N.A</w:t>
            </w:r>
            <w:proofErr w:type="spellEnd"/>
            <w:r w:rsidRPr="00A75729">
              <w:rPr>
                <w:sz w:val="18"/>
                <w:szCs w:val="18"/>
              </w:rPr>
              <w:t>.</w:t>
            </w:r>
          </w:p>
        </w:tc>
      </w:tr>
      <w:tr w:rsidR="00EB3171" w:rsidRPr="00A75729" w:rsidTr="00FE46FC">
        <w:trPr>
          <w:jc w:val="center"/>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3171" w:rsidRPr="00A75729" w:rsidRDefault="00EB3171" w:rsidP="00EB3171">
            <w:pPr>
              <w:spacing w:before="0" w:after="0" w:line="240" w:lineRule="auto"/>
              <w:rPr>
                <w:sz w:val="18"/>
                <w:szCs w:val="18"/>
                <w:lang w:val="en-US"/>
              </w:rPr>
            </w:pPr>
            <w:r w:rsidRPr="00A75729">
              <w:rPr>
                <w:sz w:val="18"/>
                <w:szCs w:val="18"/>
                <w:lang w:val="en-US"/>
              </w:rPr>
              <w:t>Goal Land, S.A. de C.V.</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EB3171" w:rsidRPr="00A75729" w:rsidRDefault="00EB3171" w:rsidP="00EB3171">
            <w:pPr>
              <w:spacing w:before="0" w:after="0" w:line="240" w:lineRule="auto"/>
              <w:rPr>
                <w:sz w:val="18"/>
                <w:szCs w:val="18"/>
              </w:rPr>
            </w:pPr>
            <w:r w:rsidRPr="00A75729">
              <w:rPr>
                <w:sz w:val="18"/>
                <w:szCs w:val="18"/>
              </w:rPr>
              <w:t xml:space="preserve">Jesús Dionisio González </w:t>
            </w:r>
            <w:proofErr w:type="spellStart"/>
            <w:r w:rsidRPr="00A75729">
              <w:rPr>
                <w:sz w:val="18"/>
                <w:szCs w:val="18"/>
              </w:rPr>
              <w:t>Albuerne</w:t>
            </w:r>
            <w:proofErr w:type="spellEnd"/>
          </w:p>
          <w:p w:rsidR="00EB3171" w:rsidRPr="00A75729" w:rsidRDefault="00EB3171" w:rsidP="00EB3171">
            <w:pPr>
              <w:spacing w:before="0" w:after="0" w:line="240" w:lineRule="auto"/>
              <w:rPr>
                <w:sz w:val="18"/>
                <w:szCs w:val="18"/>
              </w:rPr>
            </w:pPr>
            <w:r w:rsidRPr="00A75729">
              <w:rPr>
                <w:sz w:val="18"/>
                <w:szCs w:val="18"/>
              </w:rPr>
              <w:t xml:space="preserve">Francisco Darío González </w:t>
            </w:r>
            <w:proofErr w:type="spellStart"/>
            <w:r w:rsidRPr="00A75729">
              <w:rPr>
                <w:sz w:val="18"/>
                <w:szCs w:val="18"/>
              </w:rPr>
              <w:t>Albuerne</w:t>
            </w:r>
            <w:proofErr w:type="spellEnd"/>
          </w:p>
          <w:p w:rsidR="00EB3171" w:rsidRPr="00A75729" w:rsidRDefault="00EB3171" w:rsidP="00EB3171">
            <w:pPr>
              <w:spacing w:before="0" w:after="0" w:line="240" w:lineRule="auto"/>
              <w:rPr>
                <w:sz w:val="18"/>
                <w:szCs w:val="18"/>
              </w:rPr>
            </w:pPr>
            <w:r w:rsidRPr="00A75729">
              <w:rPr>
                <w:sz w:val="18"/>
                <w:szCs w:val="18"/>
              </w:rPr>
              <w:t xml:space="preserve">Patricia González </w:t>
            </w:r>
            <w:proofErr w:type="spellStart"/>
            <w:r w:rsidRPr="00A75729">
              <w:rPr>
                <w:sz w:val="18"/>
                <w:szCs w:val="18"/>
              </w:rPr>
              <w:t>Albuerne</w:t>
            </w:r>
            <w:proofErr w:type="spellEnd"/>
          </w:p>
          <w:p w:rsidR="00EB3171" w:rsidRPr="00A75729" w:rsidRDefault="00EB3171" w:rsidP="00EB3171">
            <w:pPr>
              <w:spacing w:before="0" w:after="0" w:line="240" w:lineRule="auto"/>
              <w:contextualSpacing/>
              <w:rPr>
                <w:sz w:val="18"/>
                <w:szCs w:val="18"/>
              </w:rPr>
            </w:pPr>
            <w:r w:rsidRPr="00A75729">
              <w:rPr>
                <w:sz w:val="18"/>
                <w:szCs w:val="18"/>
              </w:rPr>
              <w:t xml:space="preserve">Valeria González </w:t>
            </w:r>
            <w:proofErr w:type="spellStart"/>
            <w:r w:rsidRPr="00A75729">
              <w:rPr>
                <w:sz w:val="18"/>
                <w:szCs w:val="18"/>
              </w:rPr>
              <w:t>Albuerne</w:t>
            </w:r>
            <w:proofErr w:type="spellEnd"/>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EB3171" w:rsidRPr="007724D8" w:rsidRDefault="007724D8" w:rsidP="00EB3171">
            <w:pPr>
              <w:spacing w:before="0" w:after="0" w:line="240" w:lineRule="auto"/>
              <w:contextualSpacing/>
              <w:jc w:val="right"/>
              <w:rPr>
                <w:color w:val="000000"/>
                <w:sz w:val="16"/>
                <w:szCs w:val="16"/>
                <w:highlight w:val="green"/>
              </w:rPr>
            </w:pPr>
            <w:r w:rsidRPr="007724D8">
              <w:rPr>
                <w:b/>
                <w:bCs/>
                <w:color w:val="0000CC"/>
                <w:kern w:val="24"/>
                <w:sz w:val="16"/>
                <w:szCs w:val="16"/>
              </w:rPr>
              <w:t>“CONFIDENCIAL POR LEY (3)”</w:t>
            </w:r>
          </w:p>
        </w:tc>
      </w:tr>
      <w:tr w:rsidR="00EB3171" w:rsidRPr="00A75729" w:rsidTr="00FE46FC">
        <w:trPr>
          <w:jc w:val="center"/>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3171" w:rsidRPr="00A75729" w:rsidRDefault="00EB3171" w:rsidP="00EB3171">
            <w:pPr>
              <w:spacing w:before="0" w:after="0" w:line="240" w:lineRule="auto"/>
              <w:rPr>
                <w:sz w:val="18"/>
                <w:szCs w:val="18"/>
              </w:rPr>
            </w:pPr>
            <w:r w:rsidRPr="00A75729">
              <w:rPr>
                <w:sz w:val="18"/>
                <w:szCs w:val="18"/>
              </w:rPr>
              <w:t>Puerto Pajares, S.A. de C.V.</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EB3171" w:rsidRPr="00A75729" w:rsidRDefault="00EB3171" w:rsidP="00EB3171">
            <w:pPr>
              <w:spacing w:before="0" w:after="0" w:line="240" w:lineRule="auto"/>
              <w:rPr>
                <w:rFonts w:eastAsia="Times New Roman"/>
                <w:color w:val="000000"/>
                <w:sz w:val="18"/>
                <w:szCs w:val="18"/>
              </w:rPr>
            </w:pPr>
            <w:r w:rsidRPr="00A75729">
              <w:rPr>
                <w:rFonts w:eastAsia="Times New Roman"/>
                <w:color w:val="000000"/>
                <w:sz w:val="18"/>
                <w:szCs w:val="18"/>
              </w:rPr>
              <w:t>Francisco Antonio González Sánchez</w:t>
            </w:r>
          </w:p>
          <w:p w:rsidR="00EB3171" w:rsidRPr="00A75729" w:rsidRDefault="00EB3171" w:rsidP="00EB3171">
            <w:pPr>
              <w:spacing w:before="0" w:after="0" w:line="240" w:lineRule="auto"/>
              <w:contextualSpacing/>
              <w:rPr>
                <w:sz w:val="18"/>
                <w:szCs w:val="18"/>
              </w:rPr>
            </w:pPr>
            <w:r w:rsidRPr="00A75729">
              <w:rPr>
                <w:rFonts w:eastAsia="Times New Roman"/>
                <w:color w:val="000000"/>
                <w:sz w:val="18"/>
                <w:szCs w:val="18"/>
              </w:rPr>
              <w:t xml:space="preserve">Nora Patricia </w:t>
            </w:r>
            <w:proofErr w:type="spellStart"/>
            <w:r w:rsidRPr="00A75729">
              <w:rPr>
                <w:rFonts w:eastAsia="Times New Roman"/>
                <w:color w:val="000000"/>
                <w:sz w:val="18"/>
                <w:szCs w:val="18"/>
              </w:rPr>
              <w:t>Albuerne</w:t>
            </w:r>
            <w:proofErr w:type="spellEnd"/>
            <w:r w:rsidRPr="00A75729">
              <w:rPr>
                <w:rFonts w:eastAsia="Times New Roman"/>
                <w:color w:val="000000"/>
                <w:sz w:val="18"/>
                <w:szCs w:val="18"/>
              </w:rPr>
              <w:t xml:space="preserve"> </w:t>
            </w:r>
            <w:proofErr w:type="spellStart"/>
            <w:r w:rsidRPr="00A75729">
              <w:rPr>
                <w:rFonts w:eastAsia="Times New Roman"/>
                <w:color w:val="000000"/>
                <w:sz w:val="18"/>
                <w:szCs w:val="18"/>
              </w:rPr>
              <w:t>Wendrof</w:t>
            </w:r>
            <w:proofErr w:type="spellEnd"/>
            <w:r w:rsidRPr="00A75729" w:rsidDel="0031220D">
              <w:rPr>
                <w:sz w:val="18"/>
                <w:szCs w:val="18"/>
              </w:rPr>
              <w:t xml:space="preserve"> </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EB3171" w:rsidRPr="007724D8" w:rsidRDefault="007724D8" w:rsidP="00EB3171">
            <w:pPr>
              <w:spacing w:before="0" w:after="0" w:line="240" w:lineRule="auto"/>
              <w:contextualSpacing/>
              <w:jc w:val="right"/>
              <w:rPr>
                <w:color w:val="000000"/>
                <w:sz w:val="16"/>
                <w:szCs w:val="16"/>
                <w:highlight w:val="green"/>
              </w:rPr>
            </w:pPr>
            <w:r w:rsidRPr="007724D8">
              <w:rPr>
                <w:b/>
                <w:bCs/>
                <w:color w:val="0000CC"/>
                <w:kern w:val="24"/>
                <w:sz w:val="16"/>
                <w:szCs w:val="16"/>
              </w:rPr>
              <w:t>“CONFIDENCIAL POR LEY (3)”</w:t>
            </w:r>
          </w:p>
        </w:tc>
      </w:tr>
      <w:tr w:rsidR="00EB3171" w:rsidRPr="00A75729" w:rsidTr="00FE46FC">
        <w:trPr>
          <w:jc w:val="center"/>
        </w:trPr>
        <w:tc>
          <w:tcPr>
            <w:tcW w:w="3823"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EB3171" w:rsidRPr="00A75729" w:rsidRDefault="00EB3171" w:rsidP="0050772D">
            <w:pPr>
              <w:spacing w:before="0" w:after="0" w:line="240" w:lineRule="auto"/>
              <w:jc w:val="center"/>
              <w:rPr>
                <w:rFonts w:eastAsia="Times New Roman"/>
                <w:b/>
                <w:sz w:val="18"/>
                <w:szCs w:val="18"/>
              </w:rPr>
            </w:pPr>
            <w:r w:rsidRPr="00A75729">
              <w:rPr>
                <w:rFonts w:eastAsia="Times New Roman"/>
                <w:b/>
                <w:sz w:val="18"/>
                <w:szCs w:val="18"/>
              </w:rPr>
              <w:t xml:space="preserve">Personas físicas identificadas como parte del </w:t>
            </w:r>
            <w:proofErr w:type="spellStart"/>
            <w:r w:rsidRPr="00A75729">
              <w:rPr>
                <w:rFonts w:eastAsia="Times New Roman"/>
                <w:b/>
                <w:sz w:val="18"/>
                <w:szCs w:val="18"/>
              </w:rPr>
              <w:t>GIE</w:t>
            </w:r>
            <w:proofErr w:type="spellEnd"/>
            <w:r w:rsidRPr="00A75729">
              <w:rPr>
                <w:rFonts w:eastAsia="Times New Roman"/>
                <w:b/>
                <w:sz w:val="18"/>
                <w:szCs w:val="18"/>
              </w:rPr>
              <w:t xml:space="preserve"> </w:t>
            </w:r>
            <w:r w:rsidR="0050772D" w:rsidRPr="00A75729">
              <w:rPr>
                <w:rFonts w:eastAsia="Times New Roman"/>
                <w:b/>
                <w:sz w:val="18"/>
                <w:szCs w:val="18"/>
              </w:rPr>
              <w:t>d</w:t>
            </w:r>
            <w:r w:rsidRPr="00A75729">
              <w:rPr>
                <w:rFonts w:eastAsia="Times New Roman"/>
                <w:b/>
                <w:sz w:val="18"/>
                <w:szCs w:val="18"/>
              </w:rPr>
              <w:t>el Cesionario</w:t>
            </w:r>
          </w:p>
        </w:tc>
        <w:tc>
          <w:tcPr>
            <w:tcW w:w="5580" w:type="dxa"/>
            <w:gridSpan w:val="2"/>
            <w:tcBorders>
              <w:top w:val="single" w:sz="4" w:space="0" w:color="auto"/>
              <w:left w:val="nil"/>
              <w:bottom w:val="single" w:sz="4" w:space="0" w:color="auto"/>
              <w:right w:val="single" w:sz="4" w:space="0" w:color="auto"/>
            </w:tcBorders>
            <w:shd w:val="clear" w:color="auto" w:fill="92D050"/>
            <w:noWrap/>
            <w:vAlign w:val="center"/>
          </w:tcPr>
          <w:p w:rsidR="00EB3171" w:rsidRPr="00A75729" w:rsidRDefault="00EB3171" w:rsidP="00EB3171">
            <w:pPr>
              <w:spacing w:before="0" w:after="0" w:line="240" w:lineRule="auto"/>
              <w:contextualSpacing/>
              <w:jc w:val="center"/>
              <w:rPr>
                <w:rFonts w:eastAsia="Times New Roman"/>
                <w:b/>
                <w:sz w:val="18"/>
                <w:szCs w:val="18"/>
              </w:rPr>
            </w:pPr>
            <w:r w:rsidRPr="00A75729">
              <w:rPr>
                <w:rFonts w:eastAsia="Times New Roman"/>
                <w:b/>
                <w:sz w:val="18"/>
                <w:szCs w:val="18"/>
              </w:rPr>
              <w:t>Vínculos por parentesco</w:t>
            </w:r>
          </w:p>
        </w:tc>
      </w:tr>
      <w:tr w:rsidR="008F3CC0" w:rsidRPr="00A75729" w:rsidTr="008F3CC0">
        <w:trPr>
          <w:trHeight w:val="1481"/>
          <w:jc w:val="center"/>
        </w:trPr>
        <w:tc>
          <w:tcPr>
            <w:tcW w:w="3823" w:type="dxa"/>
            <w:tcBorders>
              <w:top w:val="single" w:sz="4" w:space="0" w:color="auto"/>
              <w:left w:val="single" w:sz="4" w:space="0" w:color="auto"/>
              <w:right w:val="single" w:sz="4" w:space="0" w:color="auto"/>
            </w:tcBorders>
            <w:shd w:val="clear" w:color="auto" w:fill="auto"/>
            <w:noWrap/>
            <w:vAlign w:val="center"/>
          </w:tcPr>
          <w:p w:rsidR="008F3CC0" w:rsidRPr="00A75729" w:rsidRDefault="008F3CC0" w:rsidP="00EB3171">
            <w:pPr>
              <w:spacing w:before="0" w:after="0" w:line="240" w:lineRule="auto"/>
              <w:rPr>
                <w:sz w:val="18"/>
                <w:szCs w:val="18"/>
              </w:rPr>
            </w:pPr>
            <w:r w:rsidRPr="00A75729">
              <w:rPr>
                <w:rFonts w:eastAsia="Times New Roman"/>
                <w:color w:val="000000"/>
                <w:sz w:val="18"/>
                <w:szCs w:val="18"/>
              </w:rPr>
              <w:t>Francisco Antonio González Sánchez</w:t>
            </w:r>
          </w:p>
          <w:p w:rsidR="008F3CC0" w:rsidRPr="00A75729" w:rsidRDefault="008F3CC0" w:rsidP="00EB3171">
            <w:pPr>
              <w:spacing w:before="0" w:after="0" w:line="240" w:lineRule="auto"/>
              <w:rPr>
                <w:rFonts w:eastAsia="Times New Roman"/>
                <w:color w:val="000000"/>
                <w:sz w:val="18"/>
                <w:szCs w:val="18"/>
              </w:rPr>
            </w:pPr>
            <w:r w:rsidRPr="00A75729">
              <w:rPr>
                <w:rFonts w:eastAsia="Times New Roman"/>
                <w:color w:val="000000"/>
                <w:sz w:val="18"/>
                <w:szCs w:val="18"/>
              </w:rPr>
              <w:t xml:space="preserve">Jesús Dionisio González </w:t>
            </w:r>
            <w:proofErr w:type="spellStart"/>
            <w:r w:rsidRPr="00A75729">
              <w:rPr>
                <w:rFonts w:eastAsia="Times New Roman"/>
                <w:color w:val="000000"/>
                <w:sz w:val="18"/>
                <w:szCs w:val="18"/>
              </w:rPr>
              <w:t>Albuerne</w:t>
            </w:r>
            <w:proofErr w:type="spellEnd"/>
          </w:p>
          <w:p w:rsidR="008F3CC0" w:rsidRPr="00A75729" w:rsidRDefault="008F3CC0" w:rsidP="00EB3171">
            <w:pPr>
              <w:spacing w:before="0" w:after="0" w:line="240" w:lineRule="auto"/>
              <w:rPr>
                <w:rFonts w:eastAsia="Times New Roman"/>
                <w:color w:val="000000"/>
                <w:sz w:val="18"/>
                <w:szCs w:val="18"/>
              </w:rPr>
            </w:pPr>
            <w:r w:rsidRPr="00A75729">
              <w:rPr>
                <w:sz w:val="18"/>
                <w:szCs w:val="18"/>
              </w:rPr>
              <w:t xml:space="preserve">Patricia González </w:t>
            </w:r>
            <w:proofErr w:type="spellStart"/>
            <w:r w:rsidRPr="00A75729">
              <w:rPr>
                <w:sz w:val="18"/>
                <w:szCs w:val="18"/>
              </w:rPr>
              <w:t>Albuerne</w:t>
            </w:r>
            <w:proofErr w:type="spellEnd"/>
          </w:p>
          <w:p w:rsidR="008F3CC0" w:rsidRPr="00A75729" w:rsidRDefault="008F3CC0" w:rsidP="00EB3171">
            <w:pPr>
              <w:spacing w:before="0" w:after="0" w:line="240" w:lineRule="auto"/>
              <w:rPr>
                <w:rFonts w:eastAsia="Times New Roman"/>
                <w:color w:val="000000"/>
                <w:sz w:val="18"/>
                <w:szCs w:val="18"/>
              </w:rPr>
            </w:pPr>
            <w:r w:rsidRPr="00A75729">
              <w:rPr>
                <w:sz w:val="18"/>
                <w:szCs w:val="18"/>
              </w:rPr>
              <w:t xml:space="preserve">Valeria González </w:t>
            </w:r>
            <w:proofErr w:type="spellStart"/>
            <w:r w:rsidRPr="00A75729">
              <w:rPr>
                <w:sz w:val="18"/>
                <w:szCs w:val="18"/>
              </w:rPr>
              <w:t>Albuerne</w:t>
            </w:r>
            <w:proofErr w:type="spellEnd"/>
          </w:p>
          <w:p w:rsidR="008F3CC0" w:rsidRPr="00A75729" w:rsidRDefault="008F3CC0" w:rsidP="00EB3171">
            <w:pPr>
              <w:spacing w:before="0" w:after="0" w:line="240" w:lineRule="auto"/>
              <w:rPr>
                <w:rFonts w:eastAsia="Times New Roman"/>
                <w:color w:val="000000"/>
                <w:sz w:val="18"/>
                <w:szCs w:val="18"/>
              </w:rPr>
            </w:pPr>
            <w:r w:rsidRPr="00A75729">
              <w:rPr>
                <w:sz w:val="18"/>
                <w:szCs w:val="18"/>
              </w:rPr>
              <w:t>María de los Dolores González Sánchez</w:t>
            </w:r>
          </w:p>
          <w:p w:rsidR="008F3CC0" w:rsidRPr="00A75729" w:rsidRDefault="008F3CC0" w:rsidP="00EB3171">
            <w:pPr>
              <w:spacing w:before="0" w:after="0" w:line="240" w:lineRule="auto"/>
              <w:rPr>
                <w:rFonts w:eastAsia="Times New Roman"/>
                <w:color w:val="000000"/>
                <w:sz w:val="18"/>
                <w:szCs w:val="18"/>
              </w:rPr>
            </w:pPr>
            <w:r w:rsidRPr="00A75729">
              <w:rPr>
                <w:sz w:val="18"/>
                <w:szCs w:val="18"/>
              </w:rPr>
              <w:t xml:space="preserve">Francisco Darío González </w:t>
            </w:r>
            <w:proofErr w:type="spellStart"/>
            <w:r w:rsidRPr="00A75729">
              <w:rPr>
                <w:sz w:val="18"/>
                <w:szCs w:val="18"/>
              </w:rPr>
              <w:t>Albuerne</w:t>
            </w:r>
            <w:proofErr w:type="spellEnd"/>
          </w:p>
          <w:p w:rsidR="008F3CC0" w:rsidRPr="00A75729" w:rsidRDefault="008F3CC0" w:rsidP="00EB3171">
            <w:pPr>
              <w:spacing w:before="0" w:after="0" w:line="240" w:lineRule="auto"/>
              <w:rPr>
                <w:rFonts w:eastAsia="Times New Roman"/>
                <w:color w:val="000000"/>
                <w:sz w:val="18"/>
                <w:szCs w:val="18"/>
              </w:rPr>
            </w:pPr>
            <w:r w:rsidRPr="00A75729">
              <w:rPr>
                <w:sz w:val="18"/>
                <w:szCs w:val="18"/>
              </w:rPr>
              <w:t xml:space="preserve">Nora Patricia </w:t>
            </w:r>
            <w:proofErr w:type="spellStart"/>
            <w:r w:rsidRPr="00A75729">
              <w:rPr>
                <w:sz w:val="18"/>
                <w:szCs w:val="18"/>
              </w:rPr>
              <w:t>Albuerne</w:t>
            </w:r>
            <w:proofErr w:type="spellEnd"/>
            <w:r w:rsidRPr="00A75729">
              <w:rPr>
                <w:sz w:val="18"/>
                <w:szCs w:val="18"/>
              </w:rPr>
              <w:t xml:space="preserve"> </w:t>
            </w:r>
            <w:proofErr w:type="spellStart"/>
            <w:r w:rsidRPr="00A75729">
              <w:rPr>
                <w:sz w:val="18"/>
                <w:szCs w:val="18"/>
              </w:rPr>
              <w:t>Wendorf</w:t>
            </w:r>
            <w:proofErr w:type="spellEnd"/>
          </w:p>
          <w:p w:rsidR="008F3CC0" w:rsidRPr="00A75729" w:rsidRDefault="008F3CC0" w:rsidP="00EB3171">
            <w:pPr>
              <w:spacing w:before="0" w:after="0" w:line="240" w:lineRule="auto"/>
              <w:rPr>
                <w:sz w:val="18"/>
                <w:szCs w:val="18"/>
              </w:rPr>
            </w:pPr>
            <w:r w:rsidRPr="00A75729">
              <w:rPr>
                <w:rFonts w:eastAsia="Times New Roman"/>
                <w:color w:val="000000"/>
                <w:sz w:val="18"/>
                <w:szCs w:val="18"/>
              </w:rPr>
              <w:t>Gregorio Martínez Rodríguez</w:t>
            </w:r>
          </w:p>
        </w:tc>
        <w:tc>
          <w:tcPr>
            <w:tcW w:w="5580" w:type="dxa"/>
            <w:gridSpan w:val="2"/>
            <w:tcBorders>
              <w:left w:val="nil"/>
              <w:right w:val="single" w:sz="4" w:space="0" w:color="auto"/>
            </w:tcBorders>
            <w:shd w:val="clear" w:color="auto" w:fill="auto"/>
            <w:noWrap/>
            <w:vAlign w:val="center"/>
          </w:tcPr>
          <w:p w:rsidR="008F3CC0" w:rsidRPr="00A75729" w:rsidRDefault="008F3CC0" w:rsidP="00EB3171">
            <w:pPr>
              <w:spacing w:before="0" w:after="0" w:line="240" w:lineRule="auto"/>
              <w:contextualSpacing/>
              <w:jc w:val="center"/>
              <w:rPr>
                <w:rFonts w:eastAsia="Times New Roman"/>
                <w:b/>
                <w:sz w:val="18"/>
                <w:szCs w:val="18"/>
              </w:rPr>
            </w:pPr>
            <w:r w:rsidRPr="00A75729">
              <w:rPr>
                <w:rFonts w:eastAsia="Times New Roman"/>
                <w:b/>
                <w:sz w:val="18"/>
                <w:szCs w:val="18"/>
              </w:rPr>
              <w:t xml:space="preserve">Familia González </w:t>
            </w:r>
            <w:proofErr w:type="spellStart"/>
            <w:r w:rsidRPr="00A75729">
              <w:rPr>
                <w:rFonts w:eastAsia="Times New Roman"/>
                <w:b/>
                <w:sz w:val="18"/>
                <w:szCs w:val="18"/>
              </w:rPr>
              <w:t>Albuerne</w:t>
            </w:r>
            <w:proofErr w:type="spellEnd"/>
          </w:p>
          <w:p w:rsidR="008F3CC0" w:rsidRPr="00A75729" w:rsidRDefault="008F3CC0" w:rsidP="00EB3171">
            <w:pPr>
              <w:spacing w:before="0" w:after="0" w:line="240" w:lineRule="auto"/>
              <w:contextualSpacing/>
              <w:jc w:val="center"/>
              <w:rPr>
                <w:rFonts w:eastAsia="Times New Roman"/>
                <w:sz w:val="18"/>
                <w:szCs w:val="18"/>
              </w:rPr>
            </w:pPr>
          </w:p>
          <w:p w:rsidR="008F3CC0" w:rsidRPr="00A75729" w:rsidRDefault="008F3CC0" w:rsidP="00A74C34">
            <w:pPr>
              <w:spacing w:before="0" w:after="0" w:line="240" w:lineRule="auto"/>
              <w:contextualSpacing/>
              <w:jc w:val="center"/>
              <w:rPr>
                <w:sz w:val="18"/>
                <w:szCs w:val="18"/>
              </w:rPr>
            </w:pPr>
            <w:r w:rsidRPr="00A75729">
              <w:rPr>
                <w:rFonts w:eastAsia="Times New Roman"/>
                <w:sz w:val="18"/>
                <w:szCs w:val="18"/>
              </w:rPr>
              <w:t xml:space="preserve">El C. </w:t>
            </w:r>
            <w:r w:rsidRPr="00A75729">
              <w:rPr>
                <w:rFonts w:eastAsia="Times New Roman"/>
                <w:color w:val="000000"/>
                <w:sz w:val="18"/>
                <w:szCs w:val="18"/>
              </w:rPr>
              <w:t>Francisco Antonio González Sánchez es: (1)</w:t>
            </w:r>
            <w:r w:rsidR="000D2A64">
              <w:rPr>
                <w:rFonts w:eastAsia="Times New Roman"/>
                <w:color w:val="000000"/>
                <w:sz w:val="18"/>
                <w:szCs w:val="18"/>
              </w:rPr>
              <w:t xml:space="preserve"> </w:t>
            </w:r>
            <w:r w:rsidR="007724D8" w:rsidRPr="007724D8">
              <w:rPr>
                <w:b/>
                <w:bCs/>
                <w:color w:val="0000CC"/>
                <w:kern w:val="24"/>
                <w:sz w:val="16"/>
                <w:szCs w:val="16"/>
              </w:rPr>
              <w:t>“CONFIDENCIAL POR LEY (</w:t>
            </w:r>
            <w:r w:rsidR="00A74C34">
              <w:rPr>
                <w:b/>
                <w:bCs/>
                <w:color w:val="0000CC"/>
                <w:kern w:val="24"/>
                <w:sz w:val="16"/>
                <w:szCs w:val="16"/>
              </w:rPr>
              <w:t>8</w:t>
            </w:r>
            <w:r w:rsidR="007724D8" w:rsidRPr="007724D8">
              <w:rPr>
                <w:b/>
                <w:bCs/>
                <w:color w:val="0000CC"/>
                <w:kern w:val="24"/>
                <w:sz w:val="16"/>
                <w:szCs w:val="16"/>
              </w:rPr>
              <w:t>)”</w:t>
            </w:r>
            <w:r w:rsidRPr="00A75729">
              <w:rPr>
                <w:rFonts w:eastAsia="Times New Roman"/>
                <w:color w:val="000000"/>
                <w:sz w:val="18"/>
                <w:szCs w:val="18"/>
              </w:rPr>
              <w:t xml:space="preserve"> de Jesús Dionisio, </w:t>
            </w:r>
            <w:r w:rsidRPr="00A75729">
              <w:rPr>
                <w:sz w:val="18"/>
                <w:szCs w:val="18"/>
              </w:rPr>
              <w:t xml:space="preserve">Patricia, Valeria y Francisco Darío, </w:t>
            </w:r>
            <w:r w:rsidRPr="00A75729">
              <w:rPr>
                <w:rFonts w:eastAsia="Times New Roman"/>
                <w:color w:val="000000"/>
                <w:sz w:val="18"/>
                <w:szCs w:val="18"/>
              </w:rPr>
              <w:t xml:space="preserve">todos de apellidos González </w:t>
            </w:r>
            <w:proofErr w:type="spellStart"/>
            <w:r w:rsidRPr="00A75729">
              <w:rPr>
                <w:rFonts w:eastAsia="Times New Roman"/>
                <w:color w:val="000000"/>
                <w:sz w:val="18"/>
                <w:szCs w:val="18"/>
              </w:rPr>
              <w:t>Albuerne</w:t>
            </w:r>
            <w:proofErr w:type="spellEnd"/>
            <w:r w:rsidRPr="00A75729">
              <w:rPr>
                <w:rFonts w:eastAsia="Times New Roman"/>
                <w:color w:val="000000"/>
                <w:sz w:val="18"/>
                <w:szCs w:val="18"/>
              </w:rPr>
              <w:t xml:space="preserve">; (2) </w:t>
            </w:r>
            <w:r w:rsidR="007724D8" w:rsidRPr="007724D8">
              <w:rPr>
                <w:b/>
                <w:bCs/>
                <w:color w:val="0000CC"/>
                <w:kern w:val="24"/>
                <w:sz w:val="16"/>
                <w:szCs w:val="16"/>
              </w:rPr>
              <w:t>“CONFIDENCIAL POR LEY (</w:t>
            </w:r>
            <w:r w:rsidR="00A74C34">
              <w:rPr>
                <w:b/>
                <w:bCs/>
                <w:color w:val="0000CC"/>
                <w:kern w:val="24"/>
                <w:sz w:val="16"/>
                <w:szCs w:val="16"/>
              </w:rPr>
              <w:t>8</w:t>
            </w:r>
            <w:r w:rsidR="007724D8" w:rsidRPr="007724D8">
              <w:rPr>
                <w:b/>
                <w:bCs/>
                <w:color w:val="0000CC"/>
                <w:kern w:val="24"/>
                <w:sz w:val="16"/>
                <w:szCs w:val="16"/>
              </w:rPr>
              <w:t>)”</w:t>
            </w:r>
            <w:r w:rsidRPr="00A75729">
              <w:rPr>
                <w:rFonts w:eastAsia="Times New Roman"/>
                <w:color w:val="000000"/>
                <w:sz w:val="18"/>
                <w:szCs w:val="18"/>
              </w:rPr>
              <w:t xml:space="preserve"> de </w:t>
            </w:r>
            <w:r w:rsidRPr="00A75729">
              <w:rPr>
                <w:sz w:val="18"/>
                <w:szCs w:val="18"/>
              </w:rPr>
              <w:t xml:space="preserve">María de los Dolores González Sánchez; (3) </w:t>
            </w:r>
            <w:r w:rsidR="007724D8" w:rsidRPr="007724D8">
              <w:rPr>
                <w:b/>
                <w:bCs/>
                <w:color w:val="0000CC"/>
                <w:kern w:val="24"/>
                <w:sz w:val="16"/>
                <w:szCs w:val="16"/>
              </w:rPr>
              <w:t>“CONFIDENCIAL POR LEY (</w:t>
            </w:r>
            <w:r w:rsidR="00A74C34">
              <w:rPr>
                <w:b/>
                <w:bCs/>
                <w:color w:val="0000CC"/>
                <w:kern w:val="24"/>
                <w:sz w:val="16"/>
                <w:szCs w:val="16"/>
              </w:rPr>
              <w:t>8</w:t>
            </w:r>
            <w:r w:rsidR="007724D8" w:rsidRPr="007724D8">
              <w:rPr>
                <w:b/>
                <w:bCs/>
                <w:color w:val="0000CC"/>
                <w:kern w:val="24"/>
                <w:sz w:val="16"/>
                <w:szCs w:val="16"/>
              </w:rPr>
              <w:t>)”</w:t>
            </w:r>
            <w:r w:rsidR="007724D8">
              <w:rPr>
                <w:b/>
                <w:bCs/>
                <w:color w:val="0000CC"/>
                <w:kern w:val="24"/>
                <w:sz w:val="16"/>
                <w:szCs w:val="16"/>
              </w:rPr>
              <w:t xml:space="preserve"> </w:t>
            </w:r>
            <w:r w:rsidRPr="00A75729">
              <w:rPr>
                <w:sz w:val="18"/>
                <w:szCs w:val="18"/>
              </w:rPr>
              <w:t xml:space="preserve">de Nora Patricia </w:t>
            </w:r>
            <w:proofErr w:type="spellStart"/>
            <w:r w:rsidRPr="00A75729">
              <w:rPr>
                <w:sz w:val="18"/>
                <w:szCs w:val="18"/>
              </w:rPr>
              <w:t>Albuerne</w:t>
            </w:r>
            <w:proofErr w:type="spellEnd"/>
            <w:r w:rsidRPr="00A75729">
              <w:rPr>
                <w:sz w:val="18"/>
                <w:szCs w:val="18"/>
              </w:rPr>
              <w:t xml:space="preserve"> </w:t>
            </w:r>
            <w:proofErr w:type="spellStart"/>
            <w:r w:rsidRPr="00A75729">
              <w:rPr>
                <w:sz w:val="18"/>
                <w:szCs w:val="18"/>
              </w:rPr>
              <w:t>Wendorf</w:t>
            </w:r>
            <w:proofErr w:type="spellEnd"/>
            <w:r w:rsidRPr="00A75729">
              <w:rPr>
                <w:sz w:val="18"/>
                <w:szCs w:val="18"/>
              </w:rPr>
              <w:t xml:space="preserve">; y (4) </w:t>
            </w:r>
            <w:r w:rsidR="007724D8" w:rsidRPr="007724D8">
              <w:rPr>
                <w:b/>
                <w:bCs/>
                <w:color w:val="0000CC"/>
                <w:kern w:val="24"/>
                <w:sz w:val="16"/>
                <w:szCs w:val="16"/>
              </w:rPr>
              <w:t>“CONFIDENCIAL POR LEY (</w:t>
            </w:r>
            <w:r w:rsidR="00A74C34">
              <w:rPr>
                <w:b/>
                <w:bCs/>
                <w:color w:val="0000CC"/>
                <w:kern w:val="24"/>
                <w:sz w:val="16"/>
                <w:szCs w:val="16"/>
              </w:rPr>
              <w:t>8</w:t>
            </w:r>
            <w:r w:rsidR="007724D8" w:rsidRPr="007724D8">
              <w:rPr>
                <w:b/>
                <w:bCs/>
                <w:color w:val="0000CC"/>
                <w:kern w:val="24"/>
                <w:sz w:val="16"/>
                <w:szCs w:val="16"/>
              </w:rPr>
              <w:t>)”</w:t>
            </w:r>
            <w:r w:rsidR="007724D8">
              <w:rPr>
                <w:b/>
                <w:bCs/>
                <w:color w:val="0000CC"/>
                <w:kern w:val="24"/>
                <w:sz w:val="16"/>
                <w:szCs w:val="16"/>
              </w:rPr>
              <w:t xml:space="preserve"> </w:t>
            </w:r>
            <w:r w:rsidRPr="00A75729">
              <w:rPr>
                <w:sz w:val="18"/>
                <w:szCs w:val="18"/>
              </w:rPr>
              <w:t xml:space="preserve">de </w:t>
            </w:r>
            <w:r w:rsidRPr="00A75729">
              <w:rPr>
                <w:rFonts w:eastAsia="Times New Roman"/>
                <w:color w:val="000000"/>
                <w:sz w:val="18"/>
                <w:szCs w:val="18"/>
              </w:rPr>
              <w:t>Gregorio Martínez Rodríguez.</w:t>
            </w:r>
          </w:p>
        </w:tc>
      </w:tr>
    </w:tbl>
    <w:p w:rsidR="003365D5" w:rsidRPr="00A75729" w:rsidRDefault="003365D5" w:rsidP="009F570B">
      <w:pPr>
        <w:spacing w:before="0" w:after="0" w:line="264" w:lineRule="auto"/>
        <w:rPr>
          <w:rFonts w:eastAsia="Times New Roman"/>
          <w:bCs/>
          <w:sz w:val="16"/>
          <w:szCs w:val="16"/>
        </w:rPr>
      </w:pPr>
      <w:r w:rsidRPr="00A75729">
        <w:rPr>
          <w:rFonts w:eastAsia="Times New Roman"/>
          <w:bCs/>
          <w:sz w:val="16"/>
          <w:szCs w:val="16"/>
        </w:rPr>
        <w:t xml:space="preserve">Fuente: Elaboración propia con información </w:t>
      </w:r>
      <w:r w:rsidR="009F570B" w:rsidRPr="00A75729">
        <w:rPr>
          <w:rFonts w:eastAsia="Times New Roman"/>
          <w:bCs/>
          <w:sz w:val="16"/>
          <w:szCs w:val="16"/>
        </w:rPr>
        <w:t xml:space="preserve">proporcionada por las Partes en Fojas 439-440 y </w:t>
      </w:r>
      <w:r w:rsidRPr="00A75729">
        <w:rPr>
          <w:rFonts w:eastAsia="Times New Roman"/>
          <w:bCs/>
          <w:sz w:val="16"/>
          <w:szCs w:val="16"/>
        </w:rPr>
        <w:t xml:space="preserve">la entregada por </w:t>
      </w:r>
      <w:r w:rsidR="009F570B" w:rsidRPr="00A75729">
        <w:rPr>
          <w:sz w:val="16"/>
          <w:szCs w:val="16"/>
        </w:rPr>
        <w:t>Televisión Digital</w:t>
      </w:r>
      <w:r w:rsidRPr="00A75729">
        <w:rPr>
          <w:sz w:val="16"/>
          <w:szCs w:val="16"/>
        </w:rPr>
        <w:t xml:space="preserve">, S.A. de C.V. </w:t>
      </w:r>
      <w:r w:rsidR="009F570B" w:rsidRPr="00A75729">
        <w:rPr>
          <w:sz w:val="16"/>
          <w:szCs w:val="16"/>
        </w:rPr>
        <w:t xml:space="preserve">y Multimedios Televisión, S.A. de C.V. </w:t>
      </w:r>
      <w:r w:rsidRPr="00A75729">
        <w:rPr>
          <w:sz w:val="16"/>
          <w:szCs w:val="16"/>
        </w:rPr>
        <w:t xml:space="preserve">en el marco de la Licitación No. </w:t>
      </w:r>
      <w:proofErr w:type="spellStart"/>
      <w:r w:rsidRPr="00A75729">
        <w:rPr>
          <w:sz w:val="16"/>
          <w:szCs w:val="16"/>
        </w:rPr>
        <w:t>IFT</w:t>
      </w:r>
      <w:proofErr w:type="spellEnd"/>
      <w:r w:rsidRPr="00A75729">
        <w:rPr>
          <w:sz w:val="16"/>
          <w:szCs w:val="16"/>
        </w:rPr>
        <w:t>-6</w:t>
      </w:r>
      <w:r w:rsidRPr="00A75729">
        <w:rPr>
          <w:rFonts w:eastAsia="Times New Roman"/>
          <w:bCs/>
          <w:sz w:val="16"/>
          <w:szCs w:val="16"/>
        </w:rPr>
        <w:t>.</w:t>
      </w:r>
    </w:p>
    <w:p w:rsidR="003365D5" w:rsidRPr="00A75729" w:rsidRDefault="003365D5" w:rsidP="009F570B">
      <w:pPr>
        <w:spacing w:before="0" w:after="0" w:line="264" w:lineRule="auto"/>
        <w:rPr>
          <w:rFonts w:eastAsia="Times New Roman"/>
          <w:bCs/>
          <w:sz w:val="16"/>
          <w:szCs w:val="16"/>
        </w:rPr>
      </w:pPr>
      <w:proofErr w:type="spellStart"/>
      <w:r w:rsidRPr="00A75729">
        <w:rPr>
          <w:rFonts w:eastAsia="Times New Roman"/>
          <w:bCs/>
          <w:sz w:val="16"/>
          <w:szCs w:val="16"/>
        </w:rPr>
        <w:t>N.A</w:t>
      </w:r>
      <w:proofErr w:type="spellEnd"/>
      <w:r w:rsidRPr="00A75729">
        <w:rPr>
          <w:rFonts w:eastAsia="Times New Roman"/>
          <w:bCs/>
          <w:sz w:val="16"/>
          <w:szCs w:val="16"/>
        </w:rPr>
        <w:t>. No Aplica.</w:t>
      </w:r>
    </w:p>
    <w:p w:rsidR="003365D5" w:rsidRPr="00A75729" w:rsidRDefault="003365D5" w:rsidP="009F570B">
      <w:pPr>
        <w:spacing w:before="0" w:after="0" w:line="264" w:lineRule="auto"/>
        <w:rPr>
          <w:rFonts w:eastAsia="Times New Roman"/>
          <w:bCs/>
          <w:sz w:val="16"/>
          <w:szCs w:val="16"/>
        </w:rPr>
      </w:pPr>
      <w:proofErr w:type="spellStart"/>
      <w:r w:rsidRPr="00A75729">
        <w:rPr>
          <w:rFonts w:eastAsia="Times New Roman"/>
          <w:bCs/>
          <w:sz w:val="16"/>
          <w:szCs w:val="16"/>
        </w:rPr>
        <w:t>N.D</w:t>
      </w:r>
      <w:proofErr w:type="spellEnd"/>
      <w:r w:rsidRPr="00A75729">
        <w:rPr>
          <w:rFonts w:eastAsia="Times New Roman"/>
          <w:bCs/>
          <w:sz w:val="16"/>
          <w:szCs w:val="16"/>
        </w:rPr>
        <w:t>. No Disponible.</w:t>
      </w:r>
    </w:p>
    <w:p w:rsidR="003365D5" w:rsidRPr="00A75729" w:rsidRDefault="003365D5" w:rsidP="009F570B">
      <w:pPr>
        <w:spacing w:before="0" w:after="0" w:line="264" w:lineRule="auto"/>
        <w:rPr>
          <w:rFonts w:eastAsia="Times New Roman"/>
          <w:bCs/>
          <w:sz w:val="16"/>
          <w:szCs w:val="16"/>
        </w:rPr>
      </w:pPr>
      <w:r w:rsidRPr="00A75729">
        <w:rPr>
          <w:rFonts w:eastAsia="Times New Roman"/>
          <w:bCs/>
          <w:sz w:val="16"/>
          <w:szCs w:val="16"/>
        </w:rPr>
        <w:lastRenderedPageBreak/>
        <w:t>N.S. No significativo.</w:t>
      </w:r>
    </w:p>
    <w:p w:rsidR="0095411F" w:rsidRPr="00E50770" w:rsidRDefault="00851AEB" w:rsidP="00E50770">
      <w:pPr>
        <w:pStyle w:val="Ttulo5"/>
        <w:numPr>
          <w:ilvl w:val="0"/>
          <w:numId w:val="0"/>
        </w:numPr>
        <w:ind w:left="1080"/>
        <w:rPr>
          <w:lang w:val="es-MX" w:eastAsia="en-US"/>
        </w:rPr>
      </w:pPr>
      <w:bookmarkStart w:id="158" w:name="_Toc519100850"/>
      <w:r w:rsidRPr="00E50770">
        <w:rPr>
          <w:lang w:val="es-MX" w:eastAsia="en-US"/>
        </w:rPr>
        <w:t>Contratos de Afiliación</w:t>
      </w:r>
      <w:bookmarkEnd w:id="158"/>
    </w:p>
    <w:p w:rsidR="008F6BF9" w:rsidRPr="00A75729" w:rsidRDefault="00681D37" w:rsidP="00BA0CB5">
      <w:pPr>
        <w:pStyle w:val="Prrafodelista"/>
        <w:spacing w:after="120" w:line="276" w:lineRule="auto"/>
        <w:ind w:left="0" w:right="-1"/>
        <w:contextualSpacing w:val="0"/>
      </w:pPr>
      <w:r w:rsidRPr="00A75729">
        <w:rPr>
          <w:bCs/>
        </w:rPr>
        <w:t>Adicionalmente</w:t>
      </w:r>
      <w:r w:rsidR="008F6BF9" w:rsidRPr="00A75729">
        <w:rPr>
          <w:bCs/>
        </w:rPr>
        <w:t xml:space="preserve"> las Partes remitieron información respecto a estaciones de radiodifusión sonora y televisión radiodifundida </w:t>
      </w:r>
      <w:r w:rsidR="00851AEB" w:rsidRPr="00A75729">
        <w:rPr>
          <w:bCs/>
        </w:rPr>
        <w:t xml:space="preserve">que tienen vínculos comerciales </w:t>
      </w:r>
      <w:r w:rsidR="008F6BF9" w:rsidRPr="00A75729">
        <w:rPr>
          <w:bCs/>
        </w:rPr>
        <w:t xml:space="preserve">con </w:t>
      </w:r>
      <w:r w:rsidR="0050772D" w:rsidRPr="00A75729">
        <w:rPr>
          <w:bCs/>
        </w:rPr>
        <w:t xml:space="preserve">personas </w:t>
      </w:r>
      <w:r w:rsidR="00851AEB" w:rsidRPr="00A75729">
        <w:rPr>
          <w:bCs/>
        </w:rPr>
        <w:t xml:space="preserve">integrantes </w:t>
      </w:r>
      <w:r w:rsidR="0050772D" w:rsidRPr="00A75729">
        <w:rPr>
          <w:bCs/>
        </w:rPr>
        <w:t xml:space="preserve">del </w:t>
      </w:r>
      <w:proofErr w:type="spellStart"/>
      <w:r w:rsidR="0050772D" w:rsidRPr="00A75729">
        <w:rPr>
          <w:bCs/>
        </w:rPr>
        <w:t>GIE</w:t>
      </w:r>
      <w:proofErr w:type="spellEnd"/>
      <w:r w:rsidR="0050772D" w:rsidRPr="00A75729">
        <w:rPr>
          <w:bCs/>
        </w:rPr>
        <w:t xml:space="preserve"> del Cesionario</w:t>
      </w:r>
      <w:r w:rsidR="008F6BF9" w:rsidRPr="00A75729">
        <w:rPr>
          <w:bCs/>
        </w:rPr>
        <w:t xml:space="preserve"> consistentes en la “</w:t>
      </w:r>
      <w:r w:rsidR="008F6BF9" w:rsidRPr="00A75729">
        <w:rPr>
          <w:bCs/>
          <w:i/>
        </w:rPr>
        <w:t>Afiliación comercial de servicios</w:t>
      </w:r>
      <w:r w:rsidR="008F6BF9" w:rsidRPr="00A75729">
        <w:rPr>
          <w:bCs/>
        </w:rPr>
        <w:t>”, “</w:t>
      </w:r>
      <w:r w:rsidR="008F6BF9" w:rsidRPr="00A75729">
        <w:rPr>
          <w:i/>
        </w:rPr>
        <w:t>explotación comercial de frecuencias</w:t>
      </w:r>
      <w:r w:rsidR="008F6BF9" w:rsidRPr="00A75729">
        <w:t>” y “</w:t>
      </w:r>
      <w:r w:rsidR="008F6BF9" w:rsidRPr="00A75729">
        <w:rPr>
          <w:i/>
        </w:rPr>
        <w:t>comercialización de espacios comerciales</w:t>
      </w:r>
      <w:r w:rsidR="008F6BF9" w:rsidRPr="00A75729">
        <w:t>”</w:t>
      </w:r>
      <w:r w:rsidR="00851AEB" w:rsidRPr="00A75729">
        <w:rPr>
          <w:rStyle w:val="Refdenotaalpie"/>
          <w:rFonts w:eastAsia="Times New Roman"/>
          <w:color w:val="000000"/>
          <w:lang w:val="es-MX"/>
        </w:rPr>
        <w:footnoteReference w:id="26"/>
      </w:r>
      <w:r w:rsidR="00851AEB" w:rsidRPr="00A75729">
        <w:t xml:space="preserve"> </w:t>
      </w:r>
      <w:r w:rsidR="00851AEB" w:rsidRPr="00A75729">
        <w:rPr>
          <w:bCs/>
        </w:rPr>
        <w:t>(Contratos de Afiliación)</w:t>
      </w:r>
      <w:r w:rsidR="008F6BF9" w:rsidRPr="00A75729">
        <w:t>.</w:t>
      </w:r>
    </w:p>
    <w:p w:rsidR="0050772D" w:rsidRPr="00A75729" w:rsidRDefault="0050772D" w:rsidP="0050772D">
      <w:pPr>
        <w:pStyle w:val="Prrafodelista"/>
        <w:spacing w:after="120" w:line="276" w:lineRule="auto"/>
        <w:ind w:left="0" w:right="-1"/>
        <w:contextualSpacing w:val="0"/>
        <w:rPr>
          <w:bCs/>
        </w:rPr>
      </w:pPr>
      <w:r w:rsidRPr="00A75729">
        <w:t>S</w:t>
      </w:r>
      <w:r w:rsidRPr="00A75729">
        <w:rPr>
          <w:rFonts w:cs="Helvetica"/>
        </w:rPr>
        <w:t xml:space="preserve">e </w:t>
      </w:r>
      <w:r w:rsidR="00851AEB" w:rsidRPr="00A75729">
        <w:rPr>
          <w:rFonts w:cs="Helvetica"/>
        </w:rPr>
        <w:t>entiende</w:t>
      </w:r>
      <w:r w:rsidRPr="00A75729">
        <w:rPr>
          <w:rFonts w:cs="Helvetica"/>
        </w:rPr>
        <w:t xml:space="preserve"> que existen vínculos o relaciones de </w:t>
      </w:r>
      <w:r w:rsidRPr="00A75729">
        <w:rPr>
          <w:rFonts w:cs="Helvetica"/>
          <w:i/>
        </w:rPr>
        <w:t>afiliación</w:t>
      </w:r>
      <w:r w:rsidRPr="00A75729">
        <w:rPr>
          <w:rFonts w:cs="Helvetica"/>
        </w:rPr>
        <w:t xml:space="preserve"> cuando los contratos, convenios o acuerdos, formales o informales, independientemente de quien los firme, permitan u obliguen a un concesionario (afiliado), a través de su estación concesionada, a destinar desde el 15% (quince por ciento)</w:t>
      </w:r>
      <w:r w:rsidRPr="00A75729">
        <w:rPr>
          <w:rFonts w:cs="Helvetica"/>
          <w:vertAlign w:val="superscript"/>
        </w:rPr>
        <w:footnoteReference w:id="27"/>
      </w:r>
      <w:r w:rsidRPr="00A75729">
        <w:rPr>
          <w:rFonts w:cs="Helvetica"/>
        </w:rPr>
        <w:t xml:space="preserve"> hasta la totalidad de su tiempo de contenido programático a retransmitir las señales de canales de programación pertenecientes a la empresa a la cual se afilia.</w:t>
      </w:r>
      <w:r w:rsidRPr="00A75729">
        <w:rPr>
          <w:rFonts w:cs="Helvetica"/>
          <w:vertAlign w:val="superscript"/>
        </w:rPr>
        <w:footnoteReference w:id="28"/>
      </w:r>
    </w:p>
    <w:p w:rsidR="00851AEB" w:rsidRPr="00A75729" w:rsidRDefault="0050772D" w:rsidP="0050772D">
      <w:pPr>
        <w:pStyle w:val="Prrafodelista"/>
        <w:spacing w:after="120" w:line="276" w:lineRule="auto"/>
        <w:ind w:left="0" w:right="-1"/>
        <w:contextualSpacing w:val="0"/>
      </w:pPr>
      <w:r w:rsidRPr="00A75729">
        <w:t>Las Partes mencionaron que e</w:t>
      </w:r>
      <w:r w:rsidR="008F6BF9" w:rsidRPr="00A75729">
        <w:t>l porcentaje que representa el contenido</w:t>
      </w:r>
      <w:r w:rsidRPr="00A75729">
        <w:t xml:space="preserve"> programático </w:t>
      </w:r>
      <w:r w:rsidR="008F6BF9" w:rsidRPr="00A75729">
        <w:t>objeto de</w:t>
      </w:r>
      <w:r w:rsidRPr="00A75729">
        <w:t xml:space="preserve"> los Contratos de Afiliación</w:t>
      </w:r>
      <w:r w:rsidR="008F6BF9" w:rsidRPr="00A75729">
        <w:t>, respecto al total de la programación</w:t>
      </w:r>
      <w:r w:rsidRPr="00A75729">
        <w:t xml:space="preserve"> </w:t>
      </w:r>
      <w:r w:rsidR="008F6BF9" w:rsidRPr="00A75729">
        <w:t xml:space="preserve">de las estaciones afiliadas (de 6:00 a 23:00 horas) asciende a </w:t>
      </w:r>
      <w:r w:rsidR="007724D8" w:rsidRPr="007724D8">
        <w:rPr>
          <w:b/>
          <w:bCs/>
          <w:color w:val="0000CC"/>
          <w:kern w:val="24"/>
          <w:sz w:val="20"/>
          <w:szCs w:val="20"/>
        </w:rPr>
        <w:t>“CONFIDENCIAL POR LEY (</w:t>
      </w:r>
      <w:r w:rsidR="00A74C34">
        <w:rPr>
          <w:b/>
          <w:bCs/>
          <w:color w:val="0000CC"/>
          <w:kern w:val="24"/>
          <w:sz w:val="20"/>
          <w:szCs w:val="20"/>
        </w:rPr>
        <w:t>5</w:t>
      </w:r>
      <w:r w:rsidR="007724D8" w:rsidRPr="007724D8">
        <w:rPr>
          <w:b/>
          <w:bCs/>
          <w:color w:val="0000CC"/>
          <w:kern w:val="24"/>
          <w:sz w:val="20"/>
          <w:szCs w:val="20"/>
        </w:rPr>
        <w:t>)”</w:t>
      </w:r>
      <w:r w:rsidR="00551F79" w:rsidRPr="00A75729">
        <w:t xml:space="preserve"> por ciento)</w:t>
      </w:r>
      <w:r w:rsidR="008F6BF9" w:rsidRPr="00A75729">
        <w:t xml:space="preserve">. </w:t>
      </w:r>
    </w:p>
    <w:p w:rsidR="0050772D" w:rsidRPr="00A75729" w:rsidRDefault="008F6BF9" w:rsidP="0050772D">
      <w:pPr>
        <w:pStyle w:val="Prrafodelista"/>
        <w:spacing w:after="120" w:line="276" w:lineRule="auto"/>
        <w:ind w:left="0" w:right="-1"/>
        <w:contextualSpacing w:val="0"/>
      </w:pPr>
      <w:r w:rsidRPr="00A75729">
        <w:rPr>
          <w:b/>
        </w:rPr>
        <w:t xml:space="preserve">Toda vez que los </w:t>
      </w:r>
      <w:r w:rsidR="0050772D" w:rsidRPr="00A75729">
        <w:rPr>
          <w:b/>
        </w:rPr>
        <w:t>C</w:t>
      </w:r>
      <w:r w:rsidRPr="00A75729">
        <w:rPr>
          <w:b/>
        </w:rPr>
        <w:t xml:space="preserve">ontratos de </w:t>
      </w:r>
      <w:r w:rsidR="0050772D" w:rsidRPr="00A75729">
        <w:rPr>
          <w:b/>
        </w:rPr>
        <w:t>A</w:t>
      </w:r>
      <w:r w:rsidRPr="00A75729">
        <w:rPr>
          <w:b/>
        </w:rPr>
        <w:t>filiación representan más del 40%</w:t>
      </w:r>
      <w:r w:rsidR="0050772D" w:rsidRPr="00A75729">
        <w:rPr>
          <w:b/>
        </w:rPr>
        <w:t xml:space="preserve"> </w:t>
      </w:r>
      <w:r w:rsidR="0050772D" w:rsidRPr="00A75729">
        <w:t>(cuarenta por ciento)</w:t>
      </w:r>
      <w:r w:rsidRPr="00A75729">
        <w:t xml:space="preserve"> de las estaciones de radiodifusión afiliadas, a los concesionarios </w:t>
      </w:r>
      <w:r w:rsidR="0050772D" w:rsidRPr="00A75729">
        <w:t xml:space="preserve">de las estaciones involucradas </w:t>
      </w:r>
      <w:r w:rsidRPr="00A75729">
        <w:rPr>
          <w:b/>
        </w:rPr>
        <w:t xml:space="preserve">también se les considera parte del </w:t>
      </w:r>
      <w:proofErr w:type="spellStart"/>
      <w:r w:rsidRPr="00A75729">
        <w:rPr>
          <w:b/>
        </w:rPr>
        <w:t>GIE</w:t>
      </w:r>
      <w:proofErr w:type="spellEnd"/>
      <w:r w:rsidRPr="00A75729">
        <w:rPr>
          <w:b/>
        </w:rPr>
        <w:t xml:space="preserve"> de</w:t>
      </w:r>
      <w:r w:rsidR="0050772D" w:rsidRPr="00A75729">
        <w:rPr>
          <w:b/>
        </w:rPr>
        <w:t>l Cesionario</w:t>
      </w:r>
      <w:r w:rsidR="0050772D" w:rsidRPr="00A75729">
        <w:t>,</w:t>
      </w:r>
      <w:r w:rsidRPr="00A75729">
        <w:rPr>
          <w:rStyle w:val="Refdenotaalpie"/>
        </w:rPr>
        <w:footnoteReference w:id="29"/>
      </w:r>
      <w:r w:rsidR="0050772D" w:rsidRPr="00A75729">
        <w:t xml:space="preserve"> mismos que se presentan en el </w:t>
      </w:r>
      <w:r w:rsidR="003365D5" w:rsidRPr="00A75729">
        <w:rPr>
          <w:bCs/>
        </w:rPr>
        <w:t>Cuadro</w:t>
      </w:r>
      <w:r w:rsidRPr="00A75729">
        <w:rPr>
          <w:bCs/>
        </w:rPr>
        <w:t xml:space="preserve"> siguiente</w:t>
      </w:r>
      <w:r w:rsidR="003365D5" w:rsidRPr="00A75729">
        <w:t>.</w:t>
      </w:r>
    </w:p>
    <w:p w:rsidR="003365D5" w:rsidRPr="00A75729" w:rsidRDefault="003365D5" w:rsidP="00FB57CD">
      <w:pPr>
        <w:pStyle w:val="Prrafodelista"/>
        <w:keepNext/>
        <w:numPr>
          <w:ilvl w:val="0"/>
          <w:numId w:val="18"/>
        </w:numPr>
        <w:spacing w:after="120" w:line="276" w:lineRule="auto"/>
        <w:ind w:left="426" w:hanging="357"/>
        <w:contextualSpacing w:val="0"/>
        <w:jc w:val="center"/>
        <w:rPr>
          <w:b/>
          <w:szCs w:val="20"/>
        </w:rPr>
      </w:pPr>
      <w:r w:rsidRPr="00A75729">
        <w:rPr>
          <w:b/>
          <w:szCs w:val="20"/>
        </w:rPr>
        <w:lastRenderedPageBreak/>
        <w:t xml:space="preserve">Personas </w:t>
      </w:r>
      <w:r w:rsidR="00C72A93" w:rsidRPr="00A75729">
        <w:rPr>
          <w:b/>
          <w:szCs w:val="20"/>
        </w:rPr>
        <w:t xml:space="preserve">que forman parte </w:t>
      </w:r>
      <w:r w:rsidRPr="00A75729">
        <w:rPr>
          <w:b/>
          <w:szCs w:val="20"/>
        </w:rPr>
        <w:t xml:space="preserve">del </w:t>
      </w:r>
      <w:proofErr w:type="spellStart"/>
      <w:r w:rsidRPr="00A75729">
        <w:rPr>
          <w:b/>
          <w:szCs w:val="20"/>
        </w:rPr>
        <w:t>GIE</w:t>
      </w:r>
      <w:proofErr w:type="spellEnd"/>
      <w:r w:rsidRPr="00A75729">
        <w:rPr>
          <w:b/>
          <w:szCs w:val="20"/>
        </w:rPr>
        <w:t xml:space="preserve"> de</w:t>
      </w:r>
      <w:r w:rsidR="00C72A93" w:rsidRPr="00A75729">
        <w:rPr>
          <w:b/>
          <w:szCs w:val="20"/>
        </w:rPr>
        <w:t xml:space="preserve">l Cesionario </w:t>
      </w:r>
      <w:r w:rsidRPr="00A75729">
        <w:rPr>
          <w:b/>
          <w:szCs w:val="20"/>
        </w:rPr>
        <w:t xml:space="preserve">por </w:t>
      </w:r>
      <w:r w:rsidR="00C72A93" w:rsidRPr="00A75729">
        <w:rPr>
          <w:b/>
          <w:szCs w:val="20"/>
        </w:rPr>
        <w:t>C</w:t>
      </w:r>
      <w:r w:rsidRPr="00A75729">
        <w:rPr>
          <w:b/>
          <w:szCs w:val="20"/>
        </w:rPr>
        <w:t xml:space="preserve">ontratos de </w:t>
      </w:r>
      <w:r w:rsidR="00C72A93" w:rsidRPr="00A75729">
        <w:rPr>
          <w:b/>
          <w:szCs w:val="20"/>
        </w:rPr>
        <w:t>A</w:t>
      </w:r>
      <w:r w:rsidRPr="00A75729">
        <w:rPr>
          <w:b/>
          <w:szCs w:val="20"/>
        </w:rPr>
        <w:t>filiación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2"/>
        <w:gridCol w:w="2683"/>
        <w:gridCol w:w="2332"/>
        <w:gridCol w:w="1847"/>
      </w:tblGrid>
      <w:tr w:rsidR="00FE46FC" w:rsidRPr="00A75729" w:rsidTr="00FE46FC">
        <w:trPr>
          <w:tblHeader/>
          <w:jc w:val="center"/>
        </w:trPr>
        <w:tc>
          <w:tcPr>
            <w:tcW w:w="1348" w:type="pct"/>
            <w:shd w:val="clear" w:color="auto" w:fill="92D050"/>
            <w:vAlign w:val="center"/>
          </w:tcPr>
          <w:p w:rsidR="00FE46FC" w:rsidRPr="00A75729" w:rsidRDefault="00FE46FC" w:rsidP="00FE46FC">
            <w:pPr>
              <w:spacing w:before="0" w:after="0" w:line="240" w:lineRule="auto"/>
              <w:jc w:val="center"/>
              <w:rPr>
                <w:rFonts w:eastAsia="Times New Roman"/>
                <w:b/>
                <w:sz w:val="16"/>
                <w:szCs w:val="16"/>
              </w:rPr>
            </w:pPr>
            <w:r w:rsidRPr="00A75729">
              <w:rPr>
                <w:rFonts w:eastAsia="Times New Roman"/>
                <w:b/>
                <w:sz w:val="16"/>
                <w:szCs w:val="16"/>
              </w:rPr>
              <w:t>Estación afiliada / Localidad</w:t>
            </w:r>
          </w:p>
        </w:tc>
        <w:tc>
          <w:tcPr>
            <w:tcW w:w="1428" w:type="pct"/>
            <w:shd w:val="clear" w:color="auto" w:fill="92D050"/>
            <w:vAlign w:val="center"/>
          </w:tcPr>
          <w:p w:rsidR="00FE46FC" w:rsidRPr="00A75729" w:rsidRDefault="00FE46FC" w:rsidP="00FE46FC">
            <w:pPr>
              <w:spacing w:before="0" w:after="0" w:line="240" w:lineRule="auto"/>
              <w:jc w:val="center"/>
              <w:rPr>
                <w:rFonts w:eastAsia="Times New Roman"/>
                <w:b/>
                <w:sz w:val="16"/>
                <w:szCs w:val="16"/>
              </w:rPr>
            </w:pPr>
            <w:r w:rsidRPr="00A75729">
              <w:rPr>
                <w:rFonts w:eastAsia="Times New Roman"/>
                <w:b/>
                <w:sz w:val="16"/>
                <w:szCs w:val="16"/>
              </w:rPr>
              <w:t>Concesionario o sociedad con la que se celebra afiliación (afiliado)</w:t>
            </w:r>
          </w:p>
        </w:tc>
        <w:tc>
          <w:tcPr>
            <w:tcW w:w="1241" w:type="pct"/>
            <w:shd w:val="clear" w:color="auto" w:fill="92D050"/>
            <w:noWrap/>
            <w:vAlign w:val="center"/>
          </w:tcPr>
          <w:p w:rsidR="00FE46FC" w:rsidRPr="00A75729" w:rsidRDefault="00FE46FC" w:rsidP="00C72A93">
            <w:pPr>
              <w:spacing w:before="0" w:after="0" w:line="240" w:lineRule="auto"/>
              <w:jc w:val="center"/>
              <w:rPr>
                <w:rFonts w:eastAsia="Times New Roman"/>
                <w:b/>
                <w:sz w:val="16"/>
                <w:szCs w:val="16"/>
              </w:rPr>
            </w:pPr>
            <w:r w:rsidRPr="00A75729">
              <w:rPr>
                <w:rFonts w:eastAsia="Times New Roman"/>
                <w:b/>
                <w:sz w:val="16"/>
                <w:szCs w:val="16"/>
              </w:rPr>
              <w:t xml:space="preserve">Tipo de </w:t>
            </w:r>
            <w:r w:rsidR="00C72A93" w:rsidRPr="00A75729">
              <w:rPr>
                <w:rFonts w:eastAsia="Times New Roman"/>
                <w:b/>
                <w:sz w:val="16"/>
                <w:szCs w:val="16"/>
              </w:rPr>
              <w:t>relación</w:t>
            </w:r>
          </w:p>
        </w:tc>
        <w:tc>
          <w:tcPr>
            <w:tcW w:w="983" w:type="pct"/>
            <w:shd w:val="clear" w:color="auto" w:fill="92D050"/>
            <w:noWrap/>
            <w:vAlign w:val="center"/>
          </w:tcPr>
          <w:p w:rsidR="00FE46FC" w:rsidRPr="00A75729" w:rsidRDefault="00FE46FC" w:rsidP="00FE46FC">
            <w:pPr>
              <w:spacing w:before="0" w:after="0" w:line="240" w:lineRule="auto"/>
              <w:jc w:val="center"/>
              <w:rPr>
                <w:b/>
                <w:sz w:val="16"/>
                <w:szCs w:val="16"/>
              </w:rPr>
            </w:pPr>
            <w:r w:rsidRPr="00A75729">
              <w:rPr>
                <w:b/>
                <w:sz w:val="16"/>
                <w:szCs w:val="16"/>
              </w:rPr>
              <w:t>Porcentaje respecto al total de la programación (%)</w:t>
            </w:r>
          </w:p>
        </w:tc>
      </w:tr>
      <w:tr w:rsidR="00A74C34" w:rsidRPr="00A75729" w:rsidTr="00965D41">
        <w:trPr>
          <w:jc w:val="center"/>
        </w:trPr>
        <w:tc>
          <w:tcPr>
            <w:tcW w:w="1348" w:type="pct"/>
            <w:vAlign w:val="center"/>
          </w:tcPr>
          <w:p w:rsidR="00A74C34" w:rsidRPr="00A75729" w:rsidRDefault="00A74C34" w:rsidP="00A74C34">
            <w:pPr>
              <w:spacing w:before="0" w:after="0" w:line="240" w:lineRule="auto"/>
              <w:rPr>
                <w:sz w:val="18"/>
                <w:szCs w:val="18"/>
              </w:rPr>
            </w:pPr>
            <w:proofErr w:type="spellStart"/>
            <w:r w:rsidRPr="00A75729">
              <w:rPr>
                <w:rFonts w:eastAsia="Times New Roman"/>
                <w:sz w:val="18"/>
                <w:szCs w:val="16"/>
              </w:rPr>
              <w:t>XHSDD-TDT</w:t>
            </w:r>
            <w:proofErr w:type="spellEnd"/>
            <w:r w:rsidRPr="00A75729">
              <w:rPr>
                <w:rFonts w:eastAsia="Times New Roman"/>
                <w:sz w:val="18"/>
                <w:szCs w:val="16"/>
              </w:rPr>
              <w:t xml:space="preserve"> (Sabinas, Coahuila)</w:t>
            </w:r>
          </w:p>
        </w:tc>
        <w:tc>
          <w:tcPr>
            <w:tcW w:w="1428" w:type="pct"/>
            <w:vAlign w:val="center"/>
          </w:tcPr>
          <w:p w:rsidR="00A74C34" w:rsidRPr="00A75729" w:rsidRDefault="00A74C34" w:rsidP="00A74C34">
            <w:pPr>
              <w:spacing w:before="0" w:after="0" w:line="240" w:lineRule="auto"/>
              <w:rPr>
                <w:sz w:val="18"/>
                <w:szCs w:val="18"/>
              </w:rPr>
            </w:pPr>
            <w:proofErr w:type="spellStart"/>
            <w:r w:rsidRPr="00A75729">
              <w:rPr>
                <w:rFonts w:eastAsia="Times New Roman"/>
                <w:sz w:val="18"/>
                <w:szCs w:val="16"/>
              </w:rPr>
              <w:t>Telesistemas</w:t>
            </w:r>
            <w:proofErr w:type="spellEnd"/>
            <w:r w:rsidRPr="00A75729">
              <w:rPr>
                <w:rFonts w:eastAsia="Times New Roman"/>
                <w:sz w:val="18"/>
                <w:szCs w:val="16"/>
              </w:rPr>
              <w:t xml:space="preserve"> de Coahuila, S.A. de C.V.</w:t>
            </w:r>
          </w:p>
        </w:tc>
        <w:tc>
          <w:tcPr>
            <w:tcW w:w="1241" w:type="pct"/>
            <w:vMerge w:val="restart"/>
            <w:shd w:val="clear" w:color="auto" w:fill="auto"/>
            <w:noWrap/>
          </w:tcPr>
          <w:p w:rsidR="00A74C34" w:rsidRDefault="00A74C34" w:rsidP="00A74C34">
            <w:pPr>
              <w:spacing w:before="0" w:after="0" w:line="240" w:lineRule="auto"/>
              <w:jc w:val="right"/>
            </w:pPr>
            <w:r w:rsidRPr="00163A93">
              <w:rPr>
                <w:b/>
                <w:bCs/>
                <w:color w:val="0000CC"/>
                <w:kern w:val="24"/>
                <w:sz w:val="16"/>
                <w:szCs w:val="16"/>
              </w:rPr>
              <w:t>“CONFIDENCIAL POR LEY (4)”</w:t>
            </w:r>
          </w:p>
        </w:tc>
        <w:tc>
          <w:tcPr>
            <w:tcW w:w="983" w:type="pct"/>
            <w:shd w:val="clear" w:color="auto" w:fill="auto"/>
            <w:noWrap/>
          </w:tcPr>
          <w:p w:rsidR="00A74C34" w:rsidRDefault="00A74C34" w:rsidP="00A74C34">
            <w:pPr>
              <w:spacing w:before="0" w:after="0" w:line="240" w:lineRule="auto"/>
              <w:jc w:val="right"/>
            </w:pPr>
            <w:r w:rsidRPr="00163A93">
              <w:rPr>
                <w:b/>
                <w:bCs/>
                <w:color w:val="0000CC"/>
                <w:kern w:val="24"/>
                <w:sz w:val="16"/>
                <w:szCs w:val="16"/>
              </w:rPr>
              <w:t>“CONFIDENCIAL POR LEY (4)”</w:t>
            </w:r>
          </w:p>
        </w:tc>
      </w:tr>
      <w:tr w:rsidR="00A74C34" w:rsidRPr="00A75729" w:rsidTr="00965D41">
        <w:trPr>
          <w:jc w:val="center"/>
        </w:trPr>
        <w:tc>
          <w:tcPr>
            <w:tcW w:w="1348" w:type="pct"/>
            <w:vAlign w:val="center"/>
          </w:tcPr>
          <w:p w:rsidR="00A74C34" w:rsidRPr="00A75729" w:rsidRDefault="00A74C34" w:rsidP="00A74C34">
            <w:pPr>
              <w:spacing w:before="0" w:after="0" w:line="240" w:lineRule="auto"/>
              <w:rPr>
                <w:sz w:val="18"/>
                <w:szCs w:val="18"/>
              </w:rPr>
            </w:pPr>
            <w:proofErr w:type="spellStart"/>
            <w:r w:rsidRPr="00A75729">
              <w:rPr>
                <w:sz w:val="18"/>
                <w:szCs w:val="18"/>
              </w:rPr>
              <w:t>XHPNW-TDT</w:t>
            </w:r>
            <w:proofErr w:type="spellEnd"/>
            <w:r w:rsidRPr="00A75729">
              <w:rPr>
                <w:sz w:val="18"/>
                <w:szCs w:val="18"/>
              </w:rPr>
              <w:t xml:space="preserve"> (Piedras Negras, Coahuila)</w:t>
            </w:r>
          </w:p>
        </w:tc>
        <w:tc>
          <w:tcPr>
            <w:tcW w:w="1428" w:type="pct"/>
            <w:vAlign w:val="center"/>
          </w:tcPr>
          <w:p w:rsidR="00A74C34" w:rsidRPr="00A75729" w:rsidRDefault="00A74C34" w:rsidP="00A74C34">
            <w:pPr>
              <w:spacing w:before="0" w:after="0" w:line="240" w:lineRule="auto"/>
              <w:rPr>
                <w:sz w:val="18"/>
                <w:szCs w:val="18"/>
              </w:rPr>
            </w:pPr>
            <w:proofErr w:type="spellStart"/>
            <w:r w:rsidRPr="00A75729">
              <w:rPr>
                <w:sz w:val="18"/>
                <w:szCs w:val="18"/>
              </w:rPr>
              <w:t>XHFJS</w:t>
            </w:r>
            <w:proofErr w:type="spellEnd"/>
            <w:r w:rsidRPr="00A75729">
              <w:rPr>
                <w:sz w:val="18"/>
                <w:szCs w:val="18"/>
              </w:rPr>
              <w:t>-TV, S.A. de C.V.</w:t>
            </w:r>
          </w:p>
        </w:tc>
        <w:tc>
          <w:tcPr>
            <w:tcW w:w="1241" w:type="pct"/>
            <w:vMerge/>
            <w:shd w:val="clear" w:color="auto" w:fill="auto"/>
            <w:noWrap/>
          </w:tcPr>
          <w:p w:rsidR="00A74C34" w:rsidRPr="00E8226C" w:rsidRDefault="00A74C34" w:rsidP="00A74C34">
            <w:pPr>
              <w:spacing w:before="0" w:after="0" w:line="240" w:lineRule="auto"/>
              <w:jc w:val="right"/>
              <w:rPr>
                <w:b/>
                <w:bCs/>
                <w:color w:val="0000CC"/>
                <w:kern w:val="24"/>
                <w:sz w:val="16"/>
                <w:szCs w:val="16"/>
              </w:rPr>
            </w:pPr>
          </w:p>
        </w:tc>
        <w:tc>
          <w:tcPr>
            <w:tcW w:w="983" w:type="pct"/>
            <w:shd w:val="clear" w:color="auto" w:fill="auto"/>
            <w:noWrap/>
          </w:tcPr>
          <w:p w:rsidR="00A74C34" w:rsidRDefault="00A74C34" w:rsidP="00A74C34">
            <w:pPr>
              <w:spacing w:before="0" w:after="0" w:line="240" w:lineRule="auto"/>
              <w:jc w:val="right"/>
            </w:pPr>
            <w:r w:rsidRPr="00163A93">
              <w:rPr>
                <w:b/>
                <w:bCs/>
                <w:color w:val="0000CC"/>
                <w:kern w:val="24"/>
                <w:sz w:val="16"/>
                <w:szCs w:val="16"/>
              </w:rPr>
              <w:t>“CONFIDENCIAL POR LEY (4)”</w:t>
            </w:r>
          </w:p>
        </w:tc>
      </w:tr>
      <w:tr w:rsidR="00A74C34" w:rsidRPr="00A75729" w:rsidTr="00965D41">
        <w:trPr>
          <w:jc w:val="center"/>
        </w:trPr>
        <w:tc>
          <w:tcPr>
            <w:tcW w:w="1348" w:type="pct"/>
            <w:vAlign w:val="center"/>
          </w:tcPr>
          <w:p w:rsidR="00A74C34" w:rsidRPr="00A75729" w:rsidRDefault="00A74C34" w:rsidP="00A74C34">
            <w:pPr>
              <w:spacing w:before="0" w:after="0" w:line="240" w:lineRule="auto"/>
              <w:rPr>
                <w:sz w:val="18"/>
                <w:szCs w:val="18"/>
              </w:rPr>
            </w:pPr>
            <w:proofErr w:type="spellStart"/>
            <w:r w:rsidRPr="00A75729">
              <w:rPr>
                <w:sz w:val="18"/>
                <w:szCs w:val="18"/>
              </w:rPr>
              <w:t>XHBP</w:t>
            </w:r>
            <w:proofErr w:type="spellEnd"/>
            <w:r w:rsidRPr="00A75729">
              <w:rPr>
                <w:sz w:val="18"/>
                <w:szCs w:val="18"/>
              </w:rPr>
              <w:t>-FM/Gómez Palacio, Durango</w:t>
            </w:r>
          </w:p>
        </w:tc>
        <w:tc>
          <w:tcPr>
            <w:tcW w:w="1428" w:type="pct"/>
            <w:vAlign w:val="center"/>
          </w:tcPr>
          <w:p w:rsidR="00A74C34" w:rsidRPr="00A75729" w:rsidRDefault="00A74C34" w:rsidP="00A74C34">
            <w:pPr>
              <w:spacing w:before="0" w:after="0" w:line="240" w:lineRule="auto"/>
              <w:rPr>
                <w:sz w:val="18"/>
                <w:szCs w:val="18"/>
              </w:rPr>
            </w:pPr>
            <w:r w:rsidRPr="00A75729">
              <w:rPr>
                <w:sz w:val="18"/>
                <w:szCs w:val="18"/>
              </w:rPr>
              <w:t xml:space="preserve">Radiodifusora </w:t>
            </w:r>
            <w:proofErr w:type="spellStart"/>
            <w:r w:rsidRPr="00A75729">
              <w:rPr>
                <w:sz w:val="18"/>
                <w:szCs w:val="18"/>
              </w:rPr>
              <w:t>XEBP</w:t>
            </w:r>
            <w:proofErr w:type="spellEnd"/>
            <w:r w:rsidRPr="00A75729">
              <w:rPr>
                <w:sz w:val="18"/>
                <w:szCs w:val="18"/>
              </w:rPr>
              <w:t>-AM, S.A. de C.V.</w:t>
            </w:r>
          </w:p>
        </w:tc>
        <w:tc>
          <w:tcPr>
            <w:tcW w:w="1241" w:type="pct"/>
            <w:vMerge w:val="restart"/>
            <w:shd w:val="clear" w:color="auto" w:fill="auto"/>
            <w:noWrap/>
          </w:tcPr>
          <w:p w:rsidR="00A74C34" w:rsidRDefault="00A74C34" w:rsidP="00A74C34">
            <w:pPr>
              <w:spacing w:before="0" w:after="0" w:line="240" w:lineRule="auto"/>
              <w:jc w:val="right"/>
            </w:pPr>
            <w:r w:rsidRPr="00163A93">
              <w:rPr>
                <w:b/>
                <w:bCs/>
                <w:color w:val="0000CC"/>
                <w:kern w:val="24"/>
                <w:sz w:val="16"/>
                <w:szCs w:val="16"/>
              </w:rPr>
              <w:t>“CONFIDENCIAL POR LEY (4)”</w:t>
            </w:r>
          </w:p>
        </w:tc>
        <w:tc>
          <w:tcPr>
            <w:tcW w:w="983" w:type="pct"/>
            <w:shd w:val="clear" w:color="auto" w:fill="auto"/>
            <w:noWrap/>
          </w:tcPr>
          <w:p w:rsidR="00A74C34" w:rsidRDefault="00A74C34" w:rsidP="00A74C34">
            <w:pPr>
              <w:spacing w:before="0" w:after="0" w:line="240" w:lineRule="auto"/>
              <w:jc w:val="right"/>
            </w:pPr>
            <w:r w:rsidRPr="00163A93">
              <w:rPr>
                <w:b/>
                <w:bCs/>
                <w:color w:val="0000CC"/>
                <w:kern w:val="24"/>
                <w:sz w:val="16"/>
                <w:szCs w:val="16"/>
              </w:rPr>
              <w:t>“CONFIDENCIAL POR LEY (4)”</w:t>
            </w:r>
          </w:p>
        </w:tc>
      </w:tr>
      <w:tr w:rsidR="00A74C34" w:rsidRPr="00A75729" w:rsidTr="00965D41">
        <w:trPr>
          <w:jc w:val="center"/>
        </w:trPr>
        <w:tc>
          <w:tcPr>
            <w:tcW w:w="1348" w:type="pct"/>
            <w:vAlign w:val="center"/>
          </w:tcPr>
          <w:p w:rsidR="00A74C34" w:rsidRPr="00A75729" w:rsidRDefault="00A74C34" w:rsidP="00A74C34">
            <w:pPr>
              <w:spacing w:before="0" w:after="0" w:line="240" w:lineRule="auto"/>
              <w:rPr>
                <w:color w:val="000000"/>
                <w:sz w:val="18"/>
                <w:szCs w:val="18"/>
              </w:rPr>
            </w:pPr>
            <w:proofErr w:type="spellStart"/>
            <w:r w:rsidRPr="00A75729">
              <w:rPr>
                <w:color w:val="000000"/>
                <w:sz w:val="18"/>
                <w:szCs w:val="18"/>
              </w:rPr>
              <w:t>XHGZ</w:t>
            </w:r>
            <w:proofErr w:type="spellEnd"/>
            <w:r w:rsidRPr="00A75729">
              <w:rPr>
                <w:color w:val="000000"/>
                <w:sz w:val="18"/>
                <w:szCs w:val="18"/>
              </w:rPr>
              <w:t>-FM/ Gómez Palacio, Durango</w:t>
            </w:r>
          </w:p>
        </w:tc>
        <w:tc>
          <w:tcPr>
            <w:tcW w:w="1428" w:type="pct"/>
            <w:vAlign w:val="center"/>
          </w:tcPr>
          <w:p w:rsidR="00A74C34" w:rsidRPr="00A75729" w:rsidRDefault="00A74C34" w:rsidP="00A74C34">
            <w:pPr>
              <w:spacing w:before="0" w:after="0" w:line="240" w:lineRule="auto"/>
              <w:rPr>
                <w:sz w:val="18"/>
                <w:szCs w:val="18"/>
              </w:rPr>
            </w:pPr>
            <w:r w:rsidRPr="00A75729">
              <w:rPr>
                <w:sz w:val="18"/>
                <w:szCs w:val="18"/>
              </w:rPr>
              <w:t xml:space="preserve">Radiodifusora </w:t>
            </w:r>
            <w:proofErr w:type="spellStart"/>
            <w:r w:rsidRPr="00A75729">
              <w:rPr>
                <w:sz w:val="18"/>
                <w:szCs w:val="18"/>
              </w:rPr>
              <w:t>XEGZ</w:t>
            </w:r>
            <w:proofErr w:type="spellEnd"/>
            <w:r w:rsidRPr="00A75729">
              <w:rPr>
                <w:sz w:val="18"/>
                <w:szCs w:val="18"/>
              </w:rPr>
              <w:t xml:space="preserve"> AM, S.A. de C.V.</w:t>
            </w:r>
          </w:p>
        </w:tc>
        <w:tc>
          <w:tcPr>
            <w:tcW w:w="1241" w:type="pct"/>
            <w:vMerge/>
            <w:shd w:val="clear" w:color="auto" w:fill="auto"/>
            <w:noWrap/>
          </w:tcPr>
          <w:p w:rsidR="00A74C34" w:rsidRPr="00E8226C" w:rsidRDefault="00A74C34" w:rsidP="00A74C34">
            <w:pPr>
              <w:spacing w:before="0" w:after="0" w:line="240" w:lineRule="auto"/>
              <w:jc w:val="right"/>
              <w:rPr>
                <w:b/>
                <w:bCs/>
                <w:color w:val="0000CC"/>
                <w:kern w:val="24"/>
                <w:sz w:val="16"/>
                <w:szCs w:val="16"/>
              </w:rPr>
            </w:pPr>
          </w:p>
        </w:tc>
        <w:tc>
          <w:tcPr>
            <w:tcW w:w="983" w:type="pct"/>
            <w:shd w:val="clear" w:color="auto" w:fill="auto"/>
            <w:noWrap/>
          </w:tcPr>
          <w:p w:rsidR="00A74C34" w:rsidRDefault="00A74C34" w:rsidP="00A74C34">
            <w:pPr>
              <w:spacing w:before="0" w:after="0" w:line="240" w:lineRule="auto"/>
              <w:jc w:val="right"/>
            </w:pPr>
            <w:r w:rsidRPr="00163A93">
              <w:rPr>
                <w:b/>
                <w:bCs/>
                <w:color w:val="0000CC"/>
                <w:kern w:val="24"/>
                <w:sz w:val="16"/>
                <w:szCs w:val="16"/>
              </w:rPr>
              <w:t>“CONFIDENCIAL POR LEY (4)”</w:t>
            </w:r>
          </w:p>
        </w:tc>
      </w:tr>
      <w:tr w:rsidR="00A74C34" w:rsidRPr="00A75729" w:rsidTr="00965D41">
        <w:trPr>
          <w:trHeight w:val="299"/>
          <w:jc w:val="center"/>
        </w:trPr>
        <w:tc>
          <w:tcPr>
            <w:tcW w:w="1348" w:type="pct"/>
            <w:vAlign w:val="center"/>
          </w:tcPr>
          <w:p w:rsidR="00A74C34" w:rsidRPr="00A75729" w:rsidRDefault="00A74C34" w:rsidP="00A74C34">
            <w:pPr>
              <w:spacing w:before="0" w:after="0" w:line="240" w:lineRule="auto"/>
              <w:rPr>
                <w:sz w:val="18"/>
                <w:szCs w:val="18"/>
              </w:rPr>
            </w:pPr>
            <w:proofErr w:type="spellStart"/>
            <w:r w:rsidRPr="00A75729">
              <w:rPr>
                <w:sz w:val="18"/>
                <w:szCs w:val="18"/>
              </w:rPr>
              <w:t>XHSAC</w:t>
            </w:r>
            <w:proofErr w:type="spellEnd"/>
            <w:r w:rsidRPr="00A75729">
              <w:rPr>
                <w:sz w:val="18"/>
                <w:szCs w:val="18"/>
              </w:rPr>
              <w:t>-FM/ Saltillo, Coahuila</w:t>
            </w:r>
          </w:p>
        </w:tc>
        <w:tc>
          <w:tcPr>
            <w:tcW w:w="1428" w:type="pct"/>
            <w:vAlign w:val="center"/>
          </w:tcPr>
          <w:p w:rsidR="00A74C34" w:rsidRPr="00A75729" w:rsidRDefault="00A74C34" w:rsidP="00A74C34">
            <w:pPr>
              <w:spacing w:before="0" w:after="0" w:line="240" w:lineRule="auto"/>
              <w:rPr>
                <w:sz w:val="18"/>
                <w:szCs w:val="18"/>
                <w:lang w:val="en-US"/>
              </w:rPr>
            </w:pPr>
            <w:proofErr w:type="spellStart"/>
            <w:r w:rsidRPr="00A75729">
              <w:rPr>
                <w:sz w:val="18"/>
                <w:szCs w:val="18"/>
                <w:lang w:val="en-US"/>
              </w:rPr>
              <w:t>XESAC</w:t>
            </w:r>
            <w:proofErr w:type="spellEnd"/>
            <w:r w:rsidRPr="00A75729">
              <w:rPr>
                <w:sz w:val="18"/>
                <w:szCs w:val="18"/>
                <w:lang w:val="en-US"/>
              </w:rPr>
              <w:t>-AM, S.A. de C.V.</w:t>
            </w:r>
          </w:p>
        </w:tc>
        <w:tc>
          <w:tcPr>
            <w:tcW w:w="1241" w:type="pct"/>
            <w:vMerge/>
            <w:shd w:val="clear" w:color="auto" w:fill="auto"/>
            <w:noWrap/>
          </w:tcPr>
          <w:p w:rsidR="00A74C34" w:rsidRPr="00E8226C" w:rsidRDefault="00A74C34" w:rsidP="00A74C34">
            <w:pPr>
              <w:spacing w:before="0" w:after="0" w:line="240" w:lineRule="auto"/>
              <w:jc w:val="right"/>
              <w:rPr>
                <w:b/>
                <w:bCs/>
                <w:color w:val="0000CC"/>
                <w:kern w:val="24"/>
                <w:sz w:val="16"/>
                <w:szCs w:val="16"/>
              </w:rPr>
            </w:pPr>
          </w:p>
        </w:tc>
        <w:tc>
          <w:tcPr>
            <w:tcW w:w="983" w:type="pct"/>
            <w:shd w:val="clear" w:color="auto" w:fill="auto"/>
            <w:noWrap/>
          </w:tcPr>
          <w:p w:rsidR="00A74C34" w:rsidRDefault="00A74C34" w:rsidP="00A74C34">
            <w:pPr>
              <w:spacing w:before="0" w:after="0" w:line="240" w:lineRule="auto"/>
              <w:jc w:val="right"/>
            </w:pPr>
            <w:r w:rsidRPr="00163A93">
              <w:rPr>
                <w:b/>
                <w:bCs/>
                <w:color w:val="0000CC"/>
                <w:kern w:val="24"/>
                <w:sz w:val="16"/>
                <w:szCs w:val="16"/>
              </w:rPr>
              <w:t>“CONFIDENCIAL POR LEY (4)”</w:t>
            </w:r>
          </w:p>
        </w:tc>
      </w:tr>
      <w:tr w:rsidR="00A74C34" w:rsidRPr="00A75729" w:rsidTr="00965D41">
        <w:trPr>
          <w:trHeight w:val="299"/>
          <w:jc w:val="center"/>
        </w:trPr>
        <w:tc>
          <w:tcPr>
            <w:tcW w:w="1348" w:type="pct"/>
            <w:vAlign w:val="center"/>
          </w:tcPr>
          <w:p w:rsidR="00A74C34" w:rsidRPr="00A75729" w:rsidRDefault="00A74C34" w:rsidP="00A74C34">
            <w:pPr>
              <w:spacing w:before="0" w:after="0" w:line="240" w:lineRule="auto"/>
              <w:rPr>
                <w:sz w:val="18"/>
                <w:szCs w:val="18"/>
              </w:rPr>
            </w:pPr>
            <w:proofErr w:type="spellStart"/>
            <w:r w:rsidRPr="00A75729">
              <w:rPr>
                <w:sz w:val="18"/>
                <w:szCs w:val="18"/>
              </w:rPr>
              <w:t>XHSHT</w:t>
            </w:r>
            <w:proofErr w:type="spellEnd"/>
            <w:r w:rsidRPr="00A75729">
              <w:rPr>
                <w:sz w:val="18"/>
                <w:szCs w:val="18"/>
              </w:rPr>
              <w:t>-FM/Saltillo, Coahuila</w:t>
            </w:r>
          </w:p>
        </w:tc>
        <w:tc>
          <w:tcPr>
            <w:tcW w:w="1428" w:type="pct"/>
            <w:vAlign w:val="center"/>
          </w:tcPr>
          <w:p w:rsidR="00A74C34" w:rsidRPr="00A75729" w:rsidRDefault="00A74C34" w:rsidP="00A74C34">
            <w:pPr>
              <w:spacing w:before="0" w:after="0" w:line="240" w:lineRule="auto"/>
              <w:rPr>
                <w:sz w:val="18"/>
                <w:szCs w:val="18"/>
                <w:lang w:val="en-US"/>
              </w:rPr>
            </w:pPr>
            <w:proofErr w:type="spellStart"/>
            <w:r w:rsidRPr="00A75729">
              <w:rPr>
                <w:sz w:val="18"/>
                <w:szCs w:val="18"/>
                <w:lang w:val="en-US"/>
              </w:rPr>
              <w:t>XESHT</w:t>
            </w:r>
            <w:proofErr w:type="spellEnd"/>
            <w:r w:rsidRPr="00A75729">
              <w:rPr>
                <w:sz w:val="18"/>
                <w:szCs w:val="18"/>
                <w:lang w:val="en-US"/>
              </w:rPr>
              <w:t>-AM, S.A. de C.V.</w:t>
            </w:r>
          </w:p>
        </w:tc>
        <w:tc>
          <w:tcPr>
            <w:tcW w:w="1241" w:type="pct"/>
            <w:vMerge/>
            <w:shd w:val="clear" w:color="auto" w:fill="auto"/>
            <w:noWrap/>
          </w:tcPr>
          <w:p w:rsidR="00A74C34" w:rsidRPr="00E8226C" w:rsidRDefault="00A74C34" w:rsidP="00A74C34">
            <w:pPr>
              <w:spacing w:before="0" w:after="0" w:line="240" w:lineRule="auto"/>
              <w:jc w:val="right"/>
              <w:rPr>
                <w:b/>
                <w:bCs/>
                <w:color w:val="0000CC"/>
                <w:kern w:val="24"/>
                <w:sz w:val="16"/>
                <w:szCs w:val="16"/>
              </w:rPr>
            </w:pPr>
          </w:p>
        </w:tc>
        <w:tc>
          <w:tcPr>
            <w:tcW w:w="983" w:type="pct"/>
            <w:shd w:val="clear" w:color="auto" w:fill="auto"/>
            <w:noWrap/>
          </w:tcPr>
          <w:p w:rsidR="00A74C34" w:rsidRDefault="00A74C34" w:rsidP="00A74C34">
            <w:pPr>
              <w:spacing w:before="0" w:after="0" w:line="240" w:lineRule="auto"/>
              <w:jc w:val="right"/>
            </w:pPr>
            <w:r w:rsidRPr="00163A93">
              <w:rPr>
                <w:b/>
                <w:bCs/>
                <w:color w:val="0000CC"/>
                <w:kern w:val="24"/>
                <w:sz w:val="16"/>
                <w:szCs w:val="16"/>
              </w:rPr>
              <w:t>“CONFIDENCIAL POR LEY (4)”</w:t>
            </w:r>
          </w:p>
        </w:tc>
      </w:tr>
      <w:tr w:rsidR="00A74C34" w:rsidRPr="00A75729" w:rsidTr="00965D41">
        <w:trPr>
          <w:trHeight w:val="299"/>
          <w:jc w:val="center"/>
        </w:trPr>
        <w:tc>
          <w:tcPr>
            <w:tcW w:w="1348" w:type="pct"/>
            <w:vAlign w:val="center"/>
          </w:tcPr>
          <w:p w:rsidR="00A74C34" w:rsidRPr="00A75729" w:rsidRDefault="00A74C34" w:rsidP="00A74C34">
            <w:pPr>
              <w:spacing w:before="0" w:after="0" w:line="240" w:lineRule="auto"/>
              <w:rPr>
                <w:sz w:val="18"/>
                <w:szCs w:val="18"/>
              </w:rPr>
            </w:pPr>
            <w:proofErr w:type="spellStart"/>
            <w:r w:rsidRPr="00A75729">
              <w:rPr>
                <w:sz w:val="18"/>
                <w:szCs w:val="18"/>
              </w:rPr>
              <w:t>XHEAT</w:t>
            </w:r>
            <w:proofErr w:type="spellEnd"/>
            <w:r w:rsidRPr="00A75729">
              <w:rPr>
                <w:sz w:val="18"/>
                <w:szCs w:val="18"/>
              </w:rPr>
              <w:t>-FM / Saltillo, Coahuila</w:t>
            </w:r>
          </w:p>
        </w:tc>
        <w:tc>
          <w:tcPr>
            <w:tcW w:w="1428" w:type="pct"/>
            <w:vAlign w:val="center"/>
          </w:tcPr>
          <w:p w:rsidR="00A74C34" w:rsidRPr="00A75729" w:rsidRDefault="00A74C34" w:rsidP="00A74C34">
            <w:pPr>
              <w:spacing w:before="0" w:after="0" w:line="240" w:lineRule="auto"/>
              <w:rPr>
                <w:sz w:val="18"/>
                <w:szCs w:val="18"/>
              </w:rPr>
            </w:pPr>
            <w:r w:rsidRPr="00A75729">
              <w:rPr>
                <w:sz w:val="18"/>
                <w:szCs w:val="18"/>
              </w:rPr>
              <w:t>Gutiérrez Meléndez Adalberto</w:t>
            </w:r>
          </w:p>
        </w:tc>
        <w:tc>
          <w:tcPr>
            <w:tcW w:w="1241" w:type="pct"/>
            <w:vMerge/>
            <w:shd w:val="clear" w:color="auto" w:fill="auto"/>
            <w:noWrap/>
          </w:tcPr>
          <w:p w:rsidR="00A74C34" w:rsidRPr="00E8226C" w:rsidRDefault="00A74C34" w:rsidP="00A74C34">
            <w:pPr>
              <w:spacing w:before="0" w:after="0" w:line="240" w:lineRule="auto"/>
              <w:jc w:val="right"/>
              <w:rPr>
                <w:b/>
                <w:bCs/>
                <w:color w:val="0000CC"/>
                <w:kern w:val="24"/>
                <w:sz w:val="16"/>
                <w:szCs w:val="16"/>
              </w:rPr>
            </w:pPr>
          </w:p>
        </w:tc>
        <w:tc>
          <w:tcPr>
            <w:tcW w:w="983" w:type="pct"/>
            <w:shd w:val="clear" w:color="auto" w:fill="auto"/>
            <w:noWrap/>
          </w:tcPr>
          <w:p w:rsidR="00A74C34" w:rsidRDefault="00A74C34" w:rsidP="00A74C34">
            <w:pPr>
              <w:spacing w:before="0" w:after="0" w:line="240" w:lineRule="auto"/>
              <w:jc w:val="right"/>
            </w:pPr>
            <w:r w:rsidRPr="00163A93">
              <w:rPr>
                <w:b/>
                <w:bCs/>
                <w:color w:val="0000CC"/>
                <w:kern w:val="24"/>
                <w:sz w:val="16"/>
                <w:szCs w:val="16"/>
              </w:rPr>
              <w:t>“CONFIDENCIAL POR LEY (4)”</w:t>
            </w:r>
          </w:p>
        </w:tc>
      </w:tr>
      <w:tr w:rsidR="00A74C34" w:rsidRPr="00A75729" w:rsidTr="00965D41">
        <w:trPr>
          <w:trHeight w:val="299"/>
          <w:jc w:val="center"/>
        </w:trPr>
        <w:tc>
          <w:tcPr>
            <w:tcW w:w="1348" w:type="pct"/>
            <w:vAlign w:val="center"/>
          </w:tcPr>
          <w:p w:rsidR="00A74C34" w:rsidRPr="00A75729" w:rsidRDefault="00A74C34" w:rsidP="00A74C34">
            <w:pPr>
              <w:spacing w:before="0" w:after="0" w:line="240" w:lineRule="auto"/>
              <w:rPr>
                <w:sz w:val="18"/>
                <w:szCs w:val="18"/>
              </w:rPr>
            </w:pPr>
            <w:proofErr w:type="spellStart"/>
            <w:r w:rsidRPr="00A75729">
              <w:rPr>
                <w:sz w:val="18"/>
                <w:szCs w:val="18"/>
              </w:rPr>
              <w:t>XHHEM</w:t>
            </w:r>
            <w:proofErr w:type="spellEnd"/>
            <w:r w:rsidRPr="00A75729">
              <w:rPr>
                <w:sz w:val="18"/>
                <w:szCs w:val="18"/>
              </w:rPr>
              <w:t>-FM /Hidalgo del Parral, Chihuahua</w:t>
            </w:r>
          </w:p>
        </w:tc>
        <w:tc>
          <w:tcPr>
            <w:tcW w:w="1428" w:type="pct"/>
            <w:vAlign w:val="center"/>
          </w:tcPr>
          <w:p w:rsidR="00A74C34" w:rsidRPr="00A75729" w:rsidRDefault="00A74C34" w:rsidP="00A74C34">
            <w:pPr>
              <w:spacing w:before="0" w:after="0" w:line="240" w:lineRule="auto"/>
              <w:rPr>
                <w:sz w:val="18"/>
                <w:szCs w:val="18"/>
              </w:rPr>
            </w:pPr>
            <w:r w:rsidRPr="00A75729">
              <w:rPr>
                <w:sz w:val="18"/>
                <w:szCs w:val="18"/>
              </w:rPr>
              <w:t>Radio Chihuahua, S.a. de C.V.</w:t>
            </w:r>
          </w:p>
        </w:tc>
        <w:tc>
          <w:tcPr>
            <w:tcW w:w="1241" w:type="pct"/>
            <w:vMerge/>
            <w:shd w:val="clear" w:color="auto" w:fill="auto"/>
            <w:noWrap/>
          </w:tcPr>
          <w:p w:rsidR="00A74C34" w:rsidRPr="00E8226C" w:rsidRDefault="00A74C34" w:rsidP="00A74C34">
            <w:pPr>
              <w:spacing w:before="0" w:after="0" w:line="240" w:lineRule="auto"/>
              <w:jc w:val="right"/>
              <w:rPr>
                <w:b/>
                <w:bCs/>
                <w:color w:val="0000CC"/>
                <w:kern w:val="24"/>
                <w:sz w:val="16"/>
                <w:szCs w:val="16"/>
              </w:rPr>
            </w:pPr>
          </w:p>
        </w:tc>
        <w:tc>
          <w:tcPr>
            <w:tcW w:w="983" w:type="pct"/>
            <w:shd w:val="clear" w:color="auto" w:fill="auto"/>
            <w:noWrap/>
          </w:tcPr>
          <w:p w:rsidR="00A74C34" w:rsidRDefault="00A74C34" w:rsidP="00A74C34">
            <w:pPr>
              <w:spacing w:before="0" w:after="0" w:line="240" w:lineRule="auto"/>
              <w:jc w:val="right"/>
            </w:pPr>
            <w:r w:rsidRPr="00163A93">
              <w:rPr>
                <w:b/>
                <w:bCs/>
                <w:color w:val="0000CC"/>
                <w:kern w:val="24"/>
                <w:sz w:val="16"/>
                <w:szCs w:val="16"/>
              </w:rPr>
              <w:t>“CONFIDENCIAL POR LEY (4)”</w:t>
            </w:r>
          </w:p>
        </w:tc>
      </w:tr>
      <w:tr w:rsidR="00A74C34" w:rsidRPr="00A75729" w:rsidTr="00965D41">
        <w:trPr>
          <w:trHeight w:val="299"/>
          <w:jc w:val="center"/>
        </w:trPr>
        <w:tc>
          <w:tcPr>
            <w:tcW w:w="1348" w:type="pct"/>
            <w:vAlign w:val="center"/>
          </w:tcPr>
          <w:p w:rsidR="00A74C34" w:rsidRPr="00A75729" w:rsidRDefault="00A74C34" w:rsidP="00A74C34">
            <w:pPr>
              <w:spacing w:before="0" w:after="0" w:line="240" w:lineRule="auto"/>
              <w:rPr>
                <w:sz w:val="18"/>
                <w:szCs w:val="18"/>
              </w:rPr>
            </w:pPr>
            <w:proofErr w:type="spellStart"/>
            <w:r w:rsidRPr="00A75729">
              <w:rPr>
                <w:sz w:val="18"/>
                <w:szCs w:val="18"/>
              </w:rPr>
              <w:t>XHXT</w:t>
            </w:r>
            <w:proofErr w:type="spellEnd"/>
            <w:r w:rsidRPr="00A75729">
              <w:rPr>
                <w:sz w:val="18"/>
                <w:szCs w:val="18"/>
              </w:rPr>
              <w:t>-FM / Tepic, Nayarit</w:t>
            </w:r>
          </w:p>
        </w:tc>
        <w:tc>
          <w:tcPr>
            <w:tcW w:w="1428" w:type="pct"/>
            <w:vAlign w:val="center"/>
          </w:tcPr>
          <w:p w:rsidR="00A74C34" w:rsidRPr="00A75729" w:rsidRDefault="00A74C34" w:rsidP="00A74C34">
            <w:pPr>
              <w:spacing w:before="0" w:after="0" w:line="240" w:lineRule="auto"/>
              <w:rPr>
                <w:sz w:val="18"/>
                <w:szCs w:val="18"/>
              </w:rPr>
            </w:pPr>
            <w:r w:rsidRPr="00A75729">
              <w:rPr>
                <w:sz w:val="18"/>
                <w:szCs w:val="18"/>
              </w:rPr>
              <w:t>Amplitudes y Frecuencias de Occidente, S.A. de C.V.</w:t>
            </w:r>
          </w:p>
        </w:tc>
        <w:tc>
          <w:tcPr>
            <w:tcW w:w="1241" w:type="pct"/>
            <w:vMerge/>
            <w:shd w:val="clear" w:color="auto" w:fill="auto"/>
            <w:noWrap/>
          </w:tcPr>
          <w:p w:rsidR="00A74C34" w:rsidRPr="00E8226C" w:rsidRDefault="00A74C34" w:rsidP="00A74C34">
            <w:pPr>
              <w:spacing w:before="0" w:after="0" w:line="240" w:lineRule="auto"/>
              <w:jc w:val="right"/>
              <w:rPr>
                <w:b/>
                <w:bCs/>
                <w:color w:val="0000CC"/>
                <w:kern w:val="24"/>
                <w:sz w:val="16"/>
                <w:szCs w:val="16"/>
              </w:rPr>
            </w:pPr>
          </w:p>
        </w:tc>
        <w:tc>
          <w:tcPr>
            <w:tcW w:w="983" w:type="pct"/>
            <w:shd w:val="clear" w:color="auto" w:fill="auto"/>
            <w:noWrap/>
          </w:tcPr>
          <w:p w:rsidR="00A74C34" w:rsidRDefault="00A74C34" w:rsidP="00A74C34">
            <w:pPr>
              <w:spacing w:before="0" w:after="0" w:line="240" w:lineRule="auto"/>
              <w:jc w:val="right"/>
            </w:pPr>
            <w:r w:rsidRPr="00163A93">
              <w:rPr>
                <w:b/>
                <w:bCs/>
                <w:color w:val="0000CC"/>
                <w:kern w:val="24"/>
                <w:sz w:val="16"/>
                <w:szCs w:val="16"/>
              </w:rPr>
              <w:t>“CONFIDENCIAL POR LEY (4)”</w:t>
            </w:r>
          </w:p>
        </w:tc>
      </w:tr>
      <w:tr w:rsidR="00A74C34" w:rsidRPr="00A75729" w:rsidTr="00965D41">
        <w:trPr>
          <w:trHeight w:val="299"/>
          <w:jc w:val="center"/>
        </w:trPr>
        <w:tc>
          <w:tcPr>
            <w:tcW w:w="1348" w:type="pct"/>
            <w:vAlign w:val="center"/>
          </w:tcPr>
          <w:p w:rsidR="00A74C34" w:rsidRPr="00A75729" w:rsidRDefault="00A74C34" w:rsidP="00A74C34">
            <w:pPr>
              <w:spacing w:before="0" w:after="0" w:line="240" w:lineRule="auto"/>
              <w:rPr>
                <w:sz w:val="18"/>
                <w:szCs w:val="18"/>
              </w:rPr>
            </w:pPr>
            <w:proofErr w:type="spellStart"/>
            <w:r w:rsidRPr="00A75729">
              <w:rPr>
                <w:sz w:val="18"/>
                <w:szCs w:val="18"/>
              </w:rPr>
              <w:t>XHGDA</w:t>
            </w:r>
            <w:proofErr w:type="spellEnd"/>
            <w:r w:rsidRPr="00A75729">
              <w:rPr>
                <w:sz w:val="18"/>
                <w:szCs w:val="18"/>
              </w:rPr>
              <w:t>-FM / Guadalajara, Jalisco</w:t>
            </w:r>
          </w:p>
        </w:tc>
        <w:tc>
          <w:tcPr>
            <w:tcW w:w="1428" w:type="pct"/>
            <w:vAlign w:val="center"/>
          </w:tcPr>
          <w:p w:rsidR="00A74C34" w:rsidRPr="00A75729" w:rsidRDefault="00A74C34" w:rsidP="00A74C34">
            <w:pPr>
              <w:spacing w:before="0" w:after="0" w:line="240" w:lineRule="auto"/>
              <w:rPr>
                <w:sz w:val="18"/>
                <w:szCs w:val="18"/>
              </w:rPr>
            </w:pPr>
            <w:r w:rsidRPr="00A75729">
              <w:rPr>
                <w:sz w:val="18"/>
                <w:szCs w:val="18"/>
              </w:rPr>
              <w:t>Mercadotecnia en Medios de Comunicación, S.A. de C.V.</w:t>
            </w:r>
          </w:p>
        </w:tc>
        <w:tc>
          <w:tcPr>
            <w:tcW w:w="1241" w:type="pct"/>
            <w:vMerge/>
            <w:shd w:val="clear" w:color="auto" w:fill="auto"/>
            <w:noWrap/>
          </w:tcPr>
          <w:p w:rsidR="00A74C34" w:rsidRPr="00E8226C" w:rsidRDefault="00A74C34" w:rsidP="00A74C34">
            <w:pPr>
              <w:spacing w:before="0" w:after="0" w:line="240" w:lineRule="auto"/>
              <w:jc w:val="right"/>
              <w:rPr>
                <w:b/>
                <w:bCs/>
                <w:color w:val="0000CC"/>
                <w:kern w:val="24"/>
                <w:sz w:val="16"/>
                <w:szCs w:val="16"/>
              </w:rPr>
            </w:pPr>
          </w:p>
        </w:tc>
        <w:tc>
          <w:tcPr>
            <w:tcW w:w="983" w:type="pct"/>
            <w:shd w:val="clear" w:color="auto" w:fill="auto"/>
            <w:noWrap/>
          </w:tcPr>
          <w:p w:rsidR="00A74C34" w:rsidRDefault="00A74C34" w:rsidP="00A74C34">
            <w:pPr>
              <w:spacing w:before="0" w:after="0" w:line="240" w:lineRule="auto"/>
              <w:jc w:val="right"/>
            </w:pPr>
            <w:r w:rsidRPr="00163A93">
              <w:rPr>
                <w:b/>
                <w:bCs/>
                <w:color w:val="0000CC"/>
                <w:kern w:val="24"/>
                <w:sz w:val="16"/>
                <w:szCs w:val="16"/>
              </w:rPr>
              <w:t>“CONFIDENCIAL POR LEY (4)”</w:t>
            </w:r>
          </w:p>
        </w:tc>
      </w:tr>
      <w:tr w:rsidR="00A74C34" w:rsidRPr="00A75729" w:rsidTr="00965D41">
        <w:trPr>
          <w:trHeight w:val="299"/>
          <w:jc w:val="center"/>
        </w:trPr>
        <w:tc>
          <w:tcPr>
            <w:tcW w:w="1348" w:type="pct"/>
            <w:vAlign w:val="center"/>
          </w:tcPr>
          <w:p w:rsidR="00A74C34" w:rsidRPr="00A75729" w:rsidRDefault="00A74C34" w:rsidP="00A74C34">
            <w:pPr>
              <w:spacing w:before="0" w:after="0" w:line="240" w:lineRule="auto"/>
              <w:rPr>
                <w:sz w:val="18"/>
                <w:szCs w:val="18"/>
              </w:rPr>
            </w:pPr>
            <w:proofErr w:type="spellStart"/>
            <w:r w:rsidRPr="00A75729">
              <w:rPr>
                <w:sz w:val="18"/>
                <w:szCs w:val="18"/>
              </w:rPr>
              <w:t>XHPC</w:t>
            </w:r>
            <w:proofErr w:type="spellEnd"/>
            <w:r w:rsidRPr="00A75729">
              <w:rPr>
                <w:sz w:val="18"/>
                <w:szCs w:val="18"/>
              </w:rPr>
              <w:t>-FM / Piedras Negras, Coahuila</w:t>
            </w:r>
          </w:p>
        </w:tc>
        <w:tc>
          <w:tcPr>
            <w:tcW w:w="1428" w:type="pct"/>
            <w:vAlign w:val="center"/>
          </w:tcPr>
          <w:p w:rsidR="00A74C34" w:rsidRPr="00A75729" w:rsidRDefault="00A74C34" w:rsidP="00A74C34">
            <w:pPr>
              <w:spacing w:before="0" w:after="0" w:line="240" w:lineRule="auto"/>
              <w:rPr>
                <w:sz w:val="18"/>
                <w:szCs w:val="18"/>
              </w:rPr>
            </w:pPr>
            <w:r w:rsidRPr="00A75729">
              <w:rPr>
                <w:sz w:val="18"/>
                <w:szCs w:val="18"/>
              </w:rPr>
              <w:t>Radio Zócalo, S.A. de C.V.</w:t>
            </w:r>
          </w:p>
        </w:tc>
        <w:tc>
          <w:tcPr>
            <w:tcW w:w="1241" w:type="pct"/>
            <w:shd w:val="clear" w:color="auto" w:fill="auto"/>
            <w:noWrap/>
          </w:tcPr>
          <w:p w:rsidR="00A74C34" w:rsidRDefault="00A74C34" w:rsidP="00A74C34">
            <w:pPr>
              <w:spacing w:before="0" w:after="0" w:line="240" w:lineRule="auto"/>
              <w:jc w:val="right"/>
            </w:pPr>
            <w:r w:rsidRPr="00163A93">
              <w:rPr>
                <w:b/>
                <w:bCs/>
                <w:color w:val="0000CC"/>
                <w:kern w:val="24"/>
                <w:sz w:val="16"/>
                <w:szCs w:val="16"/>
              </w:rPr>
              <w:t>“CONFIDENCIAL POR LEY (4)”</w:t>
            </w:r>
          </w:p>
        </w:tc>
        <w:tc>
          <w:tcPr>
            <w:tcW w:w="983" w:type="pct"/>
            <w:shd w:val="clear" w:color="auto" w:fill="auto"/>
            <w:noWrap/>
          </w:tcPr>
          <w:p w:rsidR="00A74C34" w:rsidRDefault="00A74C34" w:rsidP="00A74C34">
            <w:pPr>
              <w:spacing w:before="0" w:after="0" w:line="240" w:lineRule="auto"/>
              <w:jc w:val="right"/>
            </w:pPr>
            <w:r w:rsidRPr="00163A93">
              <w:rPr>
                <w:b/>
                <w:bCs/>
                <w:color w:val="0000CC"/>
                <w:kern w:val="24"/>
                <w:sz w:val="16"/>
                <w:szCs w:val="16"/>
              </w:rPr>
              <w:t>“CONFIDENCIAL POR LEY (4)”</w:t>
            </w:r>
          </w:p>
        </w:tc>
      </w:tr>
      <w:tr w:rsidR="00A74C34" w:rsidRPr="00A75729" w:rsidTr="00965D41">
        <w:trPr>
          <w:trHeight w:val="299"/>
          <w:jc w:val="center"/>
        </w:trPr>
        <w:tc>
          <w:tcPr>
            <w:tcW w:w="1348" w:type="pct"/>
            <w:vAlign w:val="center"/>
          </w:tcPr>
          <w:p w:rsidR="00A74C34" w:rsidRPr="00A75729" w:rsidRDefault="00A74C34" w:rsidP="00A74C34">
            <w:pPr>
              <w:spacing w:before="0" w:after="0" w:line="240" w:lineRule="auto"/>
              <w:rPr>
                <w:sz w:val="18"/>
                <w:szCs w:val="18"/>
              </w:rPr>
            </w:pPr>
            <w:proofErr w:type="spellStart"/>
            <w:r w:rsidRPr="00A75729">
              <w:rPr>
                <w:sz w:val="18"/>
                <w:szCs w:val="18"/>
              </w:rPr>
              <w:t>XHHC</w:t>
            </w:r>
            <w:proofErr w:type="spellEnd"/>
            <w:r w:rsidRPr="00A75729">
              <w:rPr>
                <w:sz w:val="18"/>
                <w:szCs w:val="18"/>
              </w:rPr>
              <w:t>-FM/Ensenada, Baja California</w:t>
            </w:r>
          </w:p>
        </w:tc>
        <w:tc>
          <w:tcPr>
            <w:tcW w:w="1428" w:type="pct"/>
            <w:vAlign w:val="center"/>
          </w:tcPr>
          <w:p w:rsidR="00A74C34" w:rsidRPr="00A75729" w:rsidRDefault="00A74C34" w:rsidP="00A74C34">
            <w:pPr>
              <w:spacing w:before="0" w:after="0" w:line="240" w:lineRule="auto"/>
              <w:rPr>
                <w:sz w:val="18"/>
                <w:szCs w:val="18"/>
              </w:rPr>
            </w:pPr>
            <w:r w:rsidRPr="00A75729">
              <w:rPr>
                <w:sz w:val="18"/>
                <w:szCs w:val="18"/>
              </w:rPr>
              <w:t>José Enrique Jiménez Enciso</w:t>
            </w:r>
          </w:p>
        </w:tc>
        <w:tc>
          <w:tcPr>
            <w:tcW w:w="1241" w:type="pct"/>
            <w:vMerge w:val="restart"/>
            <w:shd w:val="clear" w:color="auto" w:fill="auto"/>
            <w:noWrap/>
          </w:tcPr>
          <w:p w:rsidR="00A74C34" w:rsidRDefault="00A74C34" w:rsidP="00A74C34">
            <w:pPr>
              <w:spacing w:before="0" w:after="0" w:line="240" w:lineRule="auto"/>
              <w:jc w:val="right"/>
            </w:pPr>
            <w:r w:rsidRPr="00163A93">
              <w:rPr>
                <w:b/>
                <w:bCs/>
                <w:color w:val="0000CC"/>
                <w:kern w:val="24"/>
                <w:sz w:val="16"/>
                <w:szCs w:val="16"/>
              </w:rPr>
              <w:t>“CONFIDENCIAL POR LEY (4)”</w:t>
            </w:r>
          </w:p>
        </w:tc>
        <w:tc>
          <w:tcPr>
            <w:tcW w:w="983" w:type="pct"/>
            <w:shd w:val="clear" w:color="auto" w:fill="auto"/>
            <w:noWrap/>
          </w:tcPr>
          <w:p w:rsidR="00A74C34" w:rsidRDefault="00A74C34" w:rsidP="00A74C34">
            <w:pPr>
              <w:spacing w:before="0" w:after="0" w:line="240" w:lineRule="auto"/>
              <w:jc w:val="right"/>
            </w:pPr>
            <w:r w:rsidRPr="00163A93">
              <w:rPr>
                <w:b/>
                <w:bCs/>
                <w:color w:val="0000CC"/>
                <w:kern w:val="24"/>
                <w:sz w:val="16"/>
                <w:szCs w:val="16"/>
              </w:rPr>
              <w:t>“CONFIDENCIAL POR LEY (4)”</w:t>
            </w:r>
          </w:p>
        </w:tc>
      </w:tr>
      <w:tr w:rsidR="00A74C34" w:rsidRPr="00A75729" w:rsidTr="00066214">
        <w:trPr>
          <w:trHeight w:val="299"/>
          <w:jc w:val="center"/>
        </w:trPr>
        <w:tc>
          <w:tcPr>
            <w:tcW w:w="1348" w:type="pct"/>
            <w:vAlign w:val="center"/>
          </w:tcPr>
          <w:p w:rsidR="00A74C34" w:rsidRPr="00A75729" w:rsidRDefault="00A74C34" w:rsidP="00A74C34">
            <w:pPr>
              <w:spacing w:before="0" w:after="0" w:line="240" w:lineRule="auto"/>
              <w:rPr>
                <w:sz w:val="18"/>
                <w:szCs w:val="18"/>
              </w:rPr>
            </w:pPr>
            <w:proofErr w:type="spellStart"/>
            <w:r w:rsidRPr="00A75729">
              <w:rPr>
                <w:sz w:val="18"/>
                <w:szCs w:val="18"/>
              </w:rPr>
              <w:t>XHOO</w:t>
            </w:r>
            <w:proofErr w:type="spellEnd"/>
            <w:r w:rsidRPr="00A75729">
              <w:rPr>
                <w:sz w:val="18"/>
                <w:szCs w:val="18"/>
              </w:rPr>
              <w:t>-FM/León, Guanajuato</w:t>
            </w:r>
          </w:p>
        </w:tc>
        <w:tc>
          <w:tcPr>
            <w:tcW w:w="1428" w:type="pct"/>
            <w:vAlign w:val="center"/>
          </w:tcPr>
          <w:p w:rsidR="00A74C34" w:rsidRPr="00A75729" w:rsidRDefault="00A74C34" w:rsidP="00A74C34">
            <w:pPr>
              <w:spacing w:before="0" w:after="0" w:line="240" w:lineRule="auto"/>
              <w:rPr>
                <w:sz w:val="18"/>
                <w:szCs w:val="18"/>
              </w:rPr>
            </w:pPr>
            <w:proofErr w:type="spellStart"/>
            <w:r w:rsidRPr="00A75729">
              <w:rPr>
                <w:sz w:val="18"/>
                <w:szCs w:val="18"/>
              </w:rPr>
              <w:t>XHOO</w:t>
            </w:r>
            <w:proofErr w:type="spellEnd"/>
            <w:r w:rsidRPr="00A75729">
              <w:rPr>
                <w:sz w:val="18"/>
                <w:szCs w:val="18"/>
              </w:rPr>
              <w:t>-FM, S.A. de C.V.</w:t>
            </w:r>
          </w:p>
        </w:tc>
        <w:tc>
          <w:tcPr>
            <w:tcW w:w="1241" w:type="pct"/>
            <w:vMerge/>
            <w:shd w:val="clear" w:color="auto" w:fill="auto"/>
            <w:noWrap/>
          </w:tcPr>
          <w:p w:rsidR="00A74C34" w:rsidRPr="005C4036" w:rsidRDefault="00A74C34" w:rsidP="00A74C34">
            <w:pPr>
              <w:spacing w:before="0" w:after="0" w:line="240" w:lineRule="auto"/>
              <w:jc w:val="right"/>
              <w:rPr>
                <w:sz w:val="18"/>
                <w:szCs w:val="18"/>
                <w:highlight w:val="green"/>
              </w:rPr>
            </w:pPr>
          </w:p>
        </w:tc>
        <w:tc>
          <w:tcPr>
            <w:tcW w:w="983" w:type="pct"/>
            <w:shd w:val="clear" w:color="auto" w:fill="auto"/>
            <w:noWrap/>
          </w:tcPr>
          <w:p w:rsidR="00A74C34" w:rsidRDefault="00A74C34" w:rsidP="00A74C34">
            <w:pPr>
              <w:spacing w:before="0" w:after="0" w:line="240" w:lineRule="auto"/>
              <w:jc w:val="right"/>
            </w:pPr>
            <w:r w:rsidRPr="00163A93">
              <w:rPr>
                <w:b/>
                <w:bCs/>
                <w:color w:val="0000CC"/>
                <w:kern w:val="24"/>
                <w:sz w:val="16"/>
                <w:szCs w:val="16"/>
              </w:rPr>
              <w:t>“CONFIDENCIAL POR LEY (4)”</w:t>
            </w:r>
          </w:p>
        </w:tc>
      </w:tr>
      <w:tr w:rsidR="00A74C34" w:rsidRPr="00A75729" w:rsidTr="00066214">
        <w:trPr>
          <w:trHeight w:val="299"/>
          <w:jc w:val="center"/>
        </w:trPr>
        <w:tc>
          <w:tcPr>
            <w:tcW w:w="1348" w:type="pct"/>
            <w:vAlign w:val="center"/>
          </w:tcPr>
          <w:p w:rsidR="00A74C34" w:rsidRPr="00A75729" w:rsidRDefault="00A74C34" w:rsidP="00A74C34">
            <w:pPr>
              <w:spacing w:before="0" w:after="0" w:line="240" w:lineRule="auto"/>
              <w:rPr>
                <w:sz w:val="18"/>
                <w:szCs w:val="18"/>
              </w:rPr>
            </w:pPr>
            <w:proofErr w:type="spellStart"/>
            <w:r w:rsidRPr="00A75729">
              <w:rPr>
                <w:sz w:val="18"/>
                <w:szCs w:val="18"/>
              </w:rPr>
              <w:t>XEGTO</w:t>
            </w:r>
            <w:proofErr w:type="spellEnd"/>
            <w:r w:rsidRPr="00A75729">
              <w:rPr>
                <w:sz w:val="18"/>
                <w:szCs w:val="18"/>
              </w:rPr>
              <w:t>-AM-</w:t>
            </w:r>
            <w:proofErr w:type="spellStart"/>
            <w:r w:rsidRPr="00A75729">
              <w:rPr>
                <w:sz w:val="18"/>
                <w:szCs w:val="18"/>
              </w:rPr>
              <w:t>XHGTO</w:t>
            </w:r>
            <w:proofErr w:type="spellEnd"/>
            <w:r w:rsidRPr="00A75729">
              <w:rPr>
                <w:sz w:val="18"/>
                <w:szCs w:val="18"/>
              </w:rPr>
              <w:t>-FM/Guanajuato, Guanajuato</w:t>
            </w:r>
          </w:p>
        </w:tc>
        <w:tc>
          <w:tcPr>
            <w:tcW w:w="1428" w:type="pct"/>
            <w:vAlign w:val="center"/>
          </w:tcPr>
          <w:p w:rsidR="00A74C34" w:rsidRPr="00A75729" w:rsidRDefault="00A74C34" w:rsidP="00A74C34">
            <w:pPr>
              <w:spacing w:before="0" w:after="0" w:line="240" w:lineRule="auto"/>
              <w:rPr>
                <w:sz w:val="18"/>
                <w:szCs w:val="18"/>
              </w:rPr>
            </w:pPr>
            <w:proofErr w:type="spellStart"/>
            <w:r w:rsidRPr="00A75729">
              <w:rPr>
                <w:sz w:val="18"/>
                <w:szCs w:val="18"/>
              </w:rPr>
              <w:t>XEGTO</w:t>
            </w:r>
            <w:proofErr w:type="spellEnd"/>
            <w:r w:rsidRPr="00A75729">
              <w:rPr>
                <w:sz w:val="18"/>
                <w:szCs w:val="18"/>
              </w:rPr>
              <w:t>-AM, S.A.</w:t>
            </w:r>
          </w:p>
        </w:tc>
        <w:tc>
          <w:tcPr>
            <w:tcW w:w="1241" w:type="pct"/>
            <w:vMerge/>
            <w:shd w:val="clear" w:color="auto" w:fill="auto"/>
            <w:noWrap/>
          </w:tcPr>
          <w:p w:rsidR="00A74C34" w:rsidRPr="005C4036" w:rsidRDefault="00A74C34" w:rsidP="00A74C34">
            <w:pPr>
              <w:spacing w:before="0" w:after="0" w:line="240" w:lineRule="auto"/>
              <w:jc w:val="right"/>
              <w:rPr>
                <w:sz w:val="18"/>
                <w:szCs w:val="18"/>
                <w:highlight w:val="green"/>
              </w:rPr>
            </w:pPr>
          </w:p>
        </w:tc>
        <w:tc>
          <w:tcPr>
            <w:tcW w:w="983" w:type="pct"/>
            <w:shd w:val="clear" w:color="auto" w:fill="auto"/>
            <w:noWrap/>
          </w:tcPr>
          <w:p w:rsidR="00A74C34" w:rsidRDefault="00A74C34" w:rsidP="00A74C34">
            <w:pPr>
              <w:spacing w:before="0" w:after="0" w:line="240" w:lineRule="auto"/>
              <w:jc w:val="right"/>
            </w:pPr>
            <w:r w:rsidRPr="00163A93">
              <w:rPr>
                <w:b/>
                <w:bCs/>
                <w:color w:val="0000CC"/>
                <w:kern w:val="24"/>
                <w:sz w:val="16"/>
                <w:szCs w:val="16"/>
              </w:rPr>
              <w:t>“CONFIDENCIAL POR LEY (4)”</w:t>
            </w:r>
          </w:p>
        </w:tc>
      </w:tr>
      <w:tr w:rsidR="00A74C34" w:rsidRPr="00A75729" w:rsidTr="00066214">
        <w:trPr>
          <w:trHeight w:val="299"/>
          <w:jc w:val="center"/>
        </w:trPr>
        <w:tc>
          <w:tcPr>
            <w:tcW w:w="1348" w:type="pct"/>
            <w:vAlign w:val="center"/>
          </w:tcPr>
          <w:p w:rsidR="00A74C34" w:rsidRPr="00A75729" w:rsidRDefault="00A74C34" w:rsidP="00A74C34">
            <w:pPr>
              <w:spacing w:before="0" w:after="0" w:line="240" w:lineRule="auto"/>
              <w:rPr>
                <w:sz w:val="18"/>
                <w:szCs w:val="18"/>
                <w:lang w:val="en-US"/>
              </w:rPr>
            </w:pPr>
            <w:proofErr w:type="spellStart"/>
            <w:r w:rsidRPr="00A75729">
              <w:rPr>
                <w:sz w:val="18"/>
                <w:szCs w:val="18"/>
                <w:lang w:val="en-US"/>
              </w:rPr>
              <w:t>XESD</w:t>
            </w:r>
            <w:proofErr w:type="spellEnd"/>
            <w:r w:rsidRPr="00A75729">
              <w:rPr>
                <w:sz w:val="18"/>
                <w:szCs w:val="18"/>
                <w:lang w:val="en-US"/>
              </w:rPr>
              <w:t>-AM-</w:t>
            </w:r>
            <w:proofErr w:type="spellStart"/>
            <w:r w:rsidRPr="00A75729">
              <w:rPr>
                <w:sz w:val="18"/>
                <w:szCs w:val="18"/>
                <w:lang w:val="en-US"/>
              </w:rPr>
              <w:t>XHSD</w:t>
            </w:r>
            <w:proofErr w:type="spellEnd"/>
            <w:r w:rsidRPr="00A75729">
              <w:rPr>
                <w:sz w:val="18"/>
                <w:szCs w:val="18"/>
                <w:lang w:val="en-US"/>
              </w:rPr>
              <w:t>-FM/</w:t>
            </w:r>
            <w:proofErr w:type="spellStart"/>
            <w:r w:rsidRPr="00A75729">
              <w:rPr>
                <w:sz w:val="18"/>
                <w:szCs w:val="18"/>
                <w:lang w:val="en-US"/>
              </w:rPr>
              <w:t>Silao</w:t>
            </w:r>
            <w:proofErr w:type="spellEnd"/>
            <w:r w:rsidRPr="00A75729">
              <w:rPr>
                <w:sz w:val="18"/>
                <w:szCs w:val="18"/>
                <w:lang w:val="en-US"/>
              </w:rPr>
              <w:t>, Guanajuato</w:t>
            </w:r>
          </w:p>
        </w:tc>
        <w:tc>
          <w:tcPr>
            <w:tcW w:w="1428" w:type="pct"/>
            <w:vAlign w:val="center"/>
          </w:tcPr>
          <w:p w:rsidR="00A74C34" w:rsidRPr="00A75729" w:rsidRDefault="00A74C34" w:rsidP="00A74C34">
            <w:pPr>
              <w:spacing w:before="0" w:after="0" w:line="240" w:lineRule="auto"/>
              <w:rPr>
                <w:sz w:val="18"/>
                <w:szCs w:val="18"/>
              </w:rPr>
            </w:pPr>
            <w:proofErr w:type="spellStart"/>
            <w:r w:rsidRPr="00A75729">
              <w:rPr>
                <w:sz w:val="18"/>
                <w:szCs w:val="18"/>
              </w:rPr>
              <w:t>Jaced</w:t>
            </w:r>
            <w:proofErr w:type="spellEnd"/>
            <w:r w:rsidRPr="00A75729">
              <w:rPr>
                <w:sz w:val="18"/>
                <w:szCs w:val="18"/>
              </w:rPr>
              <w:t>, S.A. de C.V.</w:t>
            </w:r>
          </w:p>
        </w:tc>
        <w:tc>
          <w:tcPr>
            <w:tcW w:w="1241" w:type="pct"/>
            <w:vMerge/>
            <w:shd w:val="clear" w:color="auto" w:fill="auto"/>
            <w:noWrap/>
          </w:tcPr>
          <w:p w:rsidR="00A74C34" w:rsidRPr="005C4036" w:rsidRDefault="00A74C34" w:rsidP="00A74C34">
            <w:pPr>
              <w:spacing w:before="0" w:after="0" w:line="240" w:lineRule="auto"/>
              <w:jc w:val="right"/>
              <w:rPr>
                <w:sz w:val="18"/>
                <w:szCs w:val="18"/>
                <w:highlight w:val="green"/>
              </w:rPr>
            </w:pPr>
          </w:p>
        </w:tc>
        <w:tc>
          <w:tcPr>
            <w:tcW w:w="983" w:type="pct"/>
            <w:shd w:val="clear" w:color="auto" w:fill="auto"/>
            <w:noWrap/>
          </w:tcPr>
          <w:p w:rsidR="00A74C34" w:rsidRDefault="00A74C34" w:rsidP="00A74C34">
            <w:pPr>
              <w:spacing w:before="0" w:after="0" w:line="240" w:lineRule="auto"/>
              <w:jc w:val="right"/>
            </w:pPr>
            <w:r w:rsidRPr="00163A93">
              <w:rPr>
                <w:b/>
                <w:bCs/>
                <w:color w:val="0000CC"/>
                <w:kern w:val="24"/>
                <w:sz w:val="16"/>
                <w:szCs w:val="16"/>
              </w:rPr>
              <w:t>“CONFIDENCIAL POR LEY (4)”</w:t>
            </w:r>
          </w:p>
        </w:tc>
      </w:tr>
      <w:tr w:rsidR="00A74C34" w:rsidRPr="00A75729" w:rsidTr="00066214">
        <w:trPr>
          <w:trHeight w:val="299"/>
          <w:jc w:val="center"/>
        </w:trPr>
        <w:tc>
          <w:tcPr>
            <w:tcW w:w="1348" w:type="pct"/>
            <w:vAlign w:val="center"/>
          </w:tcPr>
          <w:p w:rsidR="00A74C34" w:rsidRPr="00A75729" w:rsidRDefault="00A74C34" w:rsidP="00A74C34">
            <w:pPr>
              <w:spacing w:before="0" w:after="0" w:line="240" w:lineRule="auto"/>
              <w:rPr>
                <w:sz w:val="18"/>
                <w:szCs w:val="18"/>
              </w:rPr>
            </w:pPr>
            <w:proofErr w:type="spellStart"/>
            <w:r w:rsidRPr="00A75729">
              <w:rPr>
                <w:sz w:val="18"/>
                <w:szCs w:val="18"/>
              </w:rPr>
              <w:t>XHBO</w:t>
            </w:r>
            <w:proofErr w:type="spellEnd"/>
            <w:r w:rsidRPr="00A75729">
              <w:rPr>
                <w:sz w:val="18"/>
                <w:szCs w:val="18"/>
              </w:rPr>
              <w:t>-FM/San José de la Sonaja, Guanajuato</w:t>
            </w:r>
          </w:p>
        </w:tc>
        <w:tc>
          <w:tcPr>
            <w:tcW w:w="1428" w:type="pct"/>
            <w:vAlign w:val="center"/>
          </w:tcPr>
          <w:p w:rsidR="00A74C34" w:rsidRPr="00A75729" w:rsidRDefault="00A74C34" w:rsidP="00A74C34">
            <w:pPr>
              <w:spacing w:before="0" w:after="0" w:line="240" w:lineRule="auto"/>
              <w:rPr>
                <w:sz w:val="18"/>
                <w:szCs w:val="18"/>
              </w:rPr>
            </w:pPr>
            <w:r w:rsidRPr="00A75729">
              <w:rPr>
                <w:sz w:val="18"/>
                <w:szCs w:val="18"/>
              </w:rPr>
              <w:t>Radio Bo, S.A. de C.V.</w:t>
            </w:r>
          </w:p>
        </w:tc>
        <w:tc>
          <w:tcPr>
            <w:tcW w:w="1241" w:type="pct"/>
            <w:vMerge/>
            <w:shd w:val="clear" w:color="auto" w:fill="auto"/>
            <w:noWrap/>
          </w:tcPr>
          <w:p w:rsidR="00A74C34" w:rsidRPr="005C4036" w:rsidRDefault="00A74C34" w:rsidP="00A74C34">
            <w:pPr>
              <w:spacing w:before="0" w:after="0" w:line="240" w:lineRule="auto"/>
              <w:jc w:val="right"/>
              <w:rPr>
                <w:sz w:val="18"/>
                <w:szCs w:val="18"/>
                <w:highlight w:val="green"/>
              </w:rPr>
            </w:pPr>
          </w:p>
        </w:tc>
        <w:tc>
          <w:tcPr>
            <w:tcW w:w="983" w:type="pct"/>
            <w:shd w:val="clear" w:color="auto" w:fill="auto"/>
            <w:noWrap/>
          </w:tcPr>
          <w:p w:rsidR="00A74C34" w:rsidRDefault="00A74C34" w:rsidP="00A74C34">
            <w:pPr>
              <w:spacing w:before="0" w:after="0" w:line="240" w:lineRule="auto"/>
              <w:jc w:val="right"/>
            </w:pPr>
            <w:r w:rsidRPr="00163A93">
              <w:rPr>
                <w:b/>
                <w:bCs/>
                <w:color w:val="0000CC"/>
                <w:kern w:val="24"/>
                <w:sz w:val="16"/>
                <w:szCs w:val="16"/>
              </w:rPr>
              <w:t>“CONFIDENCIAL POR LEY (4)”</w:t>
            </w:r>
          </w:p>
        </w:tc>
      </w:tr>
    </w:tbl>
    <w:p w:rsidR="00FE46FC" w:rsidRPr="00A75729" w:rsidRDefault="00FE46FC" w:rsidP="00FE46FC">
      <w:pPr>
        <w:spacing w:before="0" w:after="0" w:line="264" w:lineRule="auto"/>
        <w:ind w:left="284"/>
        <w:rPr>
          <w:rFonts w:eastAsia="Times New Roman"/>
          <w:bCs/>
          <w:sz w:val="16"/>
          <w:szCs w:val="16"/>
        </w:rPr>
      </w:pPr>
      <w:r w:rsidRPr="00A75729">
        <w:rPr>
          <w:rFonts w:eastAsia="Times New Roman"/>
          <w:bCs/>
          <w:sz w:val="16"/>
          <w:szCs w:val="16"/>
        </w:rPr>
        <w:t xml:space="preserve">Fuente: </w:t>
      </w:r>
      <w:r w:rsidR="00C72A93" w:rsidRPr="00A75729">
        <w:rPr>
          <w:rFonts w:eastAsia="Times New Roman"/>
          <w:bCs/>
          <w:sz w:val="16"/>
          <w:szCs w:val="16"/>
        </w:rPr>
        <w:t xml:space="preserve">Elaboración propia con información proporcionada por las Partes en Fojas </w:t>
      </w:r>
      <w:r w:rsidR="00B21A4A" w:rsidRPr="00A75729">
        <w:rPr>
          <w:rFonts w:eastAsia="Times New Roman"/>
          <w:bCs/>
          <w:sz w:val="16"/>
          <w:szCs w:val="16"/>
        </w:rPr>
        <w:t>391-392</w:t>
      </w:r>
      <w:r w:rsidR="00C72A93" w:rsidRPr="00A75729">
        <w:rPr>
          <w:rFonts w:eastAsia="Times New Roman"/>
          <w:bCs/>
          <w:sz w:val="16"/>
          <w:szCs w:val="16"/>
        </w:rPr>
        <w:t xml:space="preserve"> y la entregada por </w:t>
      </w:r>
      <w:r w:rsidR="00C72A93" w:rsidRPr="00A75729">
        <w:rPr>
          <w:sz w:val="16"/>
          <w:szCs w:val="16"/>
        </w:rPr>
        <w:t xml:space="preserve">Televisión Digital, S.A. de C.V. y Multimedios Televisión, S.A. de C.V. en el marco de la Licitación No. </w:t>
      </w:r>
      <w:proofErr w:type="spellStart"/>
      <w:r w:rsidR="00C72A93" w:rsidRPr="00A75729">
        <w:rPr>
          <w:sz w:val="16"/>
          <w:szCs w:val="16"/>
        </w:rPr>
        <w:t>IFT</w:t>
      </w:r>
      <w:proofErr w:type="spellEnd"/>
      <w:r w:rsidR="00C72A93" w:rsidRPr="00A75729">
        <w:rPr>
          <w:sz w:val="16"/>
          <w:szCs w:val="16"/>
        </w:rPr>
        <w:t>-6</w:t>
      </w:r>
      <w:r w:rsidRPr="00A75729">
        <w:rPr>
          <w:rFonts w:eastAsia="Times New Roman"/>
          <w:bCs/>
          <w:sz w:val="16"/>
          <w:szCs w:val="16"/>
        </w:rPr>
        <w:t>.</w:t>
      </w:r>
    </w:p>
    <w:p w:rsidR="00C72A93" w:rsidRPr="00A75729" w:rsidRDefault="00C72A93" w:rsidP="00C72A93">
      <w:pPr>
        <w:spacing w:before="0" w:after="0" w:line="264" w:lineRule="auto"/>
        <w:ind w:left="284"/>
        <w:rPr>
          <w:rFonts w:eastAsia="Times New Roman"/>
          <w:bCs/>
          <w:sz w:val="16"/>
          <w:szCs w:val="16"/>
        </w:rPr>
      </w:pPr>
      <w:r w:rsidRPr="00A75729">
        <w:rPr>
          <w:rFonts w:eastAsia="Times New Roman"/>
          <w:bCs/>
          <w:sz w:val="16"/>
          <w:szCs w:val="16"/>
        </w:rPr>
        <w:t xml:space="preserve">Nota: Se incluyen a todas las estaciones que tienen contratos, convenios o acuerdos de afiliación con integrantes del </w:t>
      </w:r>
      <w:proofErr w:type="spellStart"/>
      <w:r w:rsidRPr="00A75729">
        <w:rPr>
          <w:rFonts w:eastAsia="Times New Roman"/>
          <w:bCs/>
          <w:sz w:val="16"/>
          <w:szCs w:val="16"/>
        </w:rPr>
        <w:t>GIE</w:t>
      </w:r>
      <w:proofErr w:type="spellEnd"/>
      <w:r w:rsidRPr="00A75729">
        <w:rPr>
          <w:rFonts w:eastAsia="Times New Roman"/>
          <w:bCs/>
          <w:sz w:val="16"/>
          <w:szCs w:val="16"/>
        </w:rPr>
        <w:t xml:space="preserve"> del Cesionario. El porcentaje que se presenta es el porcentaje de tiempo de contenido programático que ofrece a la estación afiliada respecto al tiempo de programación total de esta última (de lunes a viernes de las 6:00 a las 23:00 horas).</w:t>
      </w:r>
    </w:p>
    <w:p w:rsidR="00490ABA" w:rsidRPr="00A75729" w:rsidRDefault="00490ABA" w:rsidP="00C72A93">
      <w:pPr>
        <w:spacing w:before="0" w:after="0" w:line="264" w:lineRule="auto"/>
        <w:ind w:left="284"/>
        <w:rPr>
          <w:rFonts w:eastAsia="Times New Roman"/>
          <w:bCs/>
          <w:sz w:val="16"/>
          <w:szCs w:val="16"/>
        </w:rPr>
      </w:pPr>
      <w:proofErr w:type="spellStart"/>
      <w:r w:rsidRPr="00A75729">
        <w:rPr>
          <w:rFonts w:eastAsia="Times New Roman"/>
          <w:bCs/>
          <w:sz w:val="16"/>
          <w:szCs w:val="16"/>
        </w:rPr>
        <w:t>N.D</w:t>
      </w:r>
      <w:proofErr w:type="spellEnd"/>
      <w:r w:rsidRPr="00A75729">
        <w:rPr>
          <w:rFonts w:eastAsia="Times New Roman"/>
          <w:bCs/>
          <w:sz w:val="16"/>
          <w:szCs w:val="16"/>
        </w:rPr>
        <w:t>. No Disponible. Las Partes mencionaron que “</w:t>
      </w:r>
      <w:r w:rsidRPr="00A75729">
        <w:rPr>
          <w:rFonts w:eastAsia="Times New Roman"/>
          <w:bCs/>
          <w:i/>
          <w:sz w:val="16"/>
          <w:szCs w:val="16"/>
        </w:rPr>
        <w:t>Se desconoce</w:t>
      </w:r>
      <w:r w:rsidRPr="00A75729">
        <w:rPr>
          <w:rFonts w:eastAsia="Times New Roman"/>
          <w:bCs/>
          <w:sz w:val="16"/>
          <w:szCs w:val="16"/>
        </w:rPr>
        <w:t xml:space="preserve">” el porcentaje; señalaron que en 2017 la relación comercial generó </w:t>
      </w:r>
      <w:r w:rsidR="00C05A93">
        <w:rPr>
          <w:b/>
          <w:bCs/>
          <w:color w:val="0000CC"/>
          <w:kern w:val="24"/>
          <w:sz w:val="14"/>
          <w:szCs w:val="14"/>
        </w:rPr>
        <w:t>“CONFIDENCIAL POR LEY (7</w:t>
      </w:r>
      <w:r w:rsidR="00E8226C" w:rsidRPr="00E8226C">
        <w:rPr>
          <w:b/>
          <w:bCs/>
          <w:color w:val="0000CC"/>
          <w:kern w:val="24"/>
          <w:sz w:val="14"/>
          <w:szCs w:val="14"/>
        </w:rPr>
        <w:t>)”</w:t>
      </w:r>
      <w:r w:rsidRPr="00A75729">
        <w:rPr>
          <w:rFonts w:eastAsia="Times New Roman"/>
          <w:bCs/>
          <w:sz w:val="16"/>
          <w:szCs w:val="16"/>
        </w:rPr>
        <w:t xml:space="preserve"> pesos de ingresos.</w:t>
      </w:r>
    </w:p>
    <w:p w:rsidR="00991F35" w:rsidRPr="00A75729" w:rsidRDefault="00991F35" w:rsidP="0009615C">
      <w:pPr>
        <w:rPr>
          <w:rFonts w:eastAsia="Times New Roman"/>
          <w:b/>
          <w:vanish/>
          <w:color w:val="000000"/>
          <w:specVanish/>
        </w:rPr>
      </w:pPr>
      <w:r w:rsidRPr="00A75729">
        <w:rPr>
          <w:rFonts w:eastAsia="Times New Roman"/>
          <w:color w:val="000000"/>
          <w:lang w:val="es-MX"/>
        </w:rPr>
        <w:t>De acuerdo con lo anterior</w:t>
      </w:r>
      <w:r w:rsidR="000F6BEB" w:rsidRPr="00A75729">
        <w:rPr>
          <w:rFonts w:eastAsia="Times New Roman"/>
          <w:color w:val="000000"/>
          <w:lang w:val="es-MX"/>
        </w:rPr>
        <w:t xml:space="preserve">, se </w:t>
      </w:r>
      <w:r w:rsidRPr="00A75729">
        <w:rPr>
          <w:rFonts w:eastAsia="Times New Roman"/>
          <w:color w:val="000000"/>
          <w:lang w:val="es-MX"/>
        </w:rPr>
        <w:t xml:space="preserve">concluye </w:t>
      </w:r>
      <w:r w:rsidR="000F6BEB" w:rsidRPr="00A75729">
        <w:rPr>
          <w:rFonts w:eastAsia="Times New Roman"/>
          <w:color w:val="000000"/>
          <w:lang w:val="es-MX"/>
        </w:rPr>
        <w:t xml:space="preserve">que el Cesionario forma parte de un conjunto de empresas que conforman un </w:t>
      </w:r>
      <w:proofErr w:type="spellStart"/>
      <w:r w:rsidR="000F6BEB" w:rsidRPr="00A75729">
        <w:rPr>
          <w:rFonts w:eastAsia="Times New Roman"/>
          <w:color w:val="000000"/>
          <w:lang w:val="es-MX"/>
        </w:rPr>
        <w:t>GIE</w:t>
      </w:r>
      <w:proofErr w:type="spellEnd"/>
      <w:r w:rsidR="000F6BEB" w:rsidRPr="00A75729">
        <w:rPr>
          <w:rFonts w:eastAsia="Times New Roman"/>
          <w:color w:val="000000"/>
          <w:lang w:val="es-MX"/>
        </w:rPr>
        <w:t xml:space="preserve"> controlado en última instancia por la </w:t>
      </w:r>
      <w:r w:rsidR="00551F79" w:rsidRPr="00A75729">
        <w:rPr>
          <w:rFonts w:eastAsia="Times New Roman"/>
          <w:color w:val="000000"/>
          <w:lang w:val="es-MX"/>
        </w:rPr>
        <w:t>F</w:t>
      </w:r>
      <w:r w:rsidR="000F6BEB" w:rsidRPr="00A75729">
        <w:rPr>
          <w:rFonts w:eastAsia="Times New Roman"/>
          <w:color w:val="000000"/>
          <w:lang w:val="es-MX"/>
        </w:rPr>
        <w:t xml:space="preserve">amilia González </w:t>
      </w:r>
      <w:proofErr w:type="spellStart"/>
      <w:r w:rsidR="000F6BEB" w:rsidRPr="00A75729">
        <w:rPr>
          <w:rFonts w:eastAsia="Times New Roman"/>
          <w:color w:val="000000"/>
          <w:lang w:val="es-MX"/>
        </w:rPr>
        <w:t>Albuerne</w:t>
      </w:r>
      <w:proofErr w:type="spellEnd"/>
      <w:r w:rsidR="000F6BEB" w:rsidRPr="00A75729">
        <w:rPr>
          <w:rFonts w:eastAsia="Times New Roman"/>
          <w:color w:val="000000"/>
          <w:lang w:val="es-MX"/>
        </w:rPr>
        <w:t xml:space="preserve"> al que se le denominará </w:t>
      </w:r>
      <w:proofErr w:type="spellStart"/>
      <w:r w:rsidR="000F6BEB" w:rsidRPr="00A75729">
        <w:rPr>
          <w:rFonts w:eastAsia="Times New Roman"/>
          <w:b/>
          <w:color w:val="000000"/>
          <w:lang w:val="es-MX"/>
        </w:rPr>
        <w:t>GIE</w:t>
      </w:r>
      <w:proofErr w:type="spellEnd"/>
      <w:r w:rsidR="000F6BEB" w:rsidRPr="00A75729">
        <w:rPr>
          <w:rFonts w:eastAsia="Times New Roman"/>
          <w:b/>
          <w:color w:val="000000"/>
          <w:lang w:val="es-MX"/>
        </w:rPr>
        <w:t xml:space="preserve"> Grupo Multimedios</w:t>
      </w:r>
      <w:r w:rsidRPr="00A75729">
        <w:rPr>
          <w:rFonts w:eastAsia="Times New Roman"/>
          <w:b/>
          <w:color w:val="000000"/>
          <w:lang w:val="es-MX"/>
        </w:rPr>
        <w:t xml:space="preserve">, del cual forman </w:t>
      </w:r>
      <w:r w:rsidRPr="00A75729">
        <w:rPr>
          <w:rFonts w:eastAsia="Times New Roman"/>
          <w:b/>
          <w:color w:val="000000"/>
          <w:lang w:val="es-MX"/>
        </w:rPr>
        <w:lastRenderedPageBreak/>
        <w:t xml:space="preserve">parte el Cesionario, las personas físicas y morales identificadas en el Cuadro </w:t>
      </w:r>
      <w:r w:rsidR="00551F79" w:rsidRPr="00A75729">
        <w:rPr>
          <w:rFonts w:eastAsia="Times New Roman"/>
          <w:b/>
          <w:color w:val="000000"/>
          <w:lang w:val="es-MX"/>
        </w:rPr>
        <w:t>8</w:t>
      </w:r>
      <w:r w:rsidRPr="00A75729">
        <w:rPr>
          <w:rFonts w:eastAsia="Times New Roman"/>
          <w:b/>
          <w:color w:val="000000"/>
          <w:lang w:val="es-MX"/>
        </w:rPr>
        <w:t xml:space="preserve"> y los concesionarios identificados en el Cuadro </w:t>
      </w:r>
      <w:r w:rsidR="00551F79" w:rsidRPr="00A75729">
        <w:rPr>
          <w:rFonts w:eastAsia="Times New Roman"/>
          <w:b/>
          <w:color w:val="000000"/>
          <w:lang w:val="es-MX"/>
        </w:rPr>
        <w:t>9</w:t>
      </w:r>
      <w:r w:rsidRPr="00A75729">
        <w:rPr>
          <w:rFonts w:eastAsia="Times New Roman"/>
          <w:b/>
          <w:color w:val="000000"/>
          <w:lang w:val="es-MX"/>
        </w:rPr>
        <w:t>.</w:t>
      </w:r>
      <w:r w:rsidRPr="00A75729">
        <w:rPr>
          <w:rStyle w:val="Refdenotaalpie"/>
        </w:rPr>
        <w:footnoteReference w:id="30"/>
      </w:r>
    </w:p>
    <w:p w:rsidR="000F6BEB" w:rsidRPr="00A75729" w:rsidRDefault="00991F35" w:rsidP="0009615C">
      <w:pPr>
        <w:pStyle w:val="Prrafodelista"/>
        <w:spacing w:after="120" w:line="276" w:lineRule="auto"/>
        <w:ind w:left="0"/>
        <w:contextualSpacing w:val="0"/>
        <w:rPr>
          <w:rFonts w:eastAsia="Times New Roman"/>
          <w:color w:val="000000"/>
          <w:lang w:val="es-MX"/>
        </w:rPr>
      </w:pPr>
      <w:r w:rsidRPr="00A75729">
        <w:rPr>
          <w:rFonts w:cs="Calibri"/>
          <w:sz w:val="16"/>
          <w:szCs w:val="16"/>
        </w:rPr>
        <w:t xml:space="preserve"> </w:t>
      </w:r>
    </w:p>
    <w:p w:rsidR="0009615C" w:rsidRPr="00A75729" w:rsidRDefault="0009615C" w:rsidP="0009615C">
      <w:pPr>
        <w:rPr>
          <w:rFonts w:eastAsia="Times New Roman"/>
          <w:color w:val="000000"/>
        </w:rPr>
      </w:pPr>
      <w:r w:rsidRPr="00A75729">
        <w:t>Con base en la información disponible, y tomando en consideración los elementos presentados por las Partes</w:t>
      </w:r>
      <w:r w:rsidR="00851AEB" w:rsidRPr="00A75729">
        <w:t xml:space="preserve"> bajo protesta de decir verdad</w:t>
      </w:r>
      <w:r w:rsidRPr="00A75729">
        <w:t xml:space="preserve">, no se identifican Personas Vinculadas/Relacionadas con el </w:t>
      </w:r>
      <w:proofErr w:type="spellStart"/>
      <w:r w:rsidRPr="00A75729">
        <w:t>GIE</w:t>
      </w:r>
      <w:proofErr w:type="spellEnd"/>
      <w:r w:rsidRPr="00A75729">
        <w:t xml:space="preserve"> Grupo Multimedios adicionales que lleven a cabo actividades en el sector de </w:t>
      </w:r>
      <w:r w:rsidRPr="00A75729">
        <w:rPr>
          <w:rFonts w:eastAsia="Times New Roman"/>
        </w:rPr>
        <w:t>telecomunicaciones</w:t>
      </w:r>
      <w:r w:rsidRPr="00A75729">
        <w:t xml:space="preserve"> y radiodifusión</w:t>
      </w:r>
      <w:r w:rsidRPr="00A75729">
        <w:rPr>
          <w:bCs/>
          <w:color w:val="000000"/>
        </w:rPr>
        <w:t>.</w:t>
      </w:r>
      <w:r w:rsidRPr="00A75729">
        <w:rPr>
          <w:rStyle w:val="Refdenotaalpie"/>
          <w:rFonts w:eastAsia="Times New Roman"/>
        </w:rPr>
        <w:t xml:space="preserve"> </w:t>
      </w:r>
      <w:r w:rsidRPr="00A75729">
        <w:rPr>
          <w:rStyle w:val="Refdenotaalpie"/>
          <w:rFonts w:eastAsia="Times New Roman"/>
        </w:rPr>
        <w:footnoteReference w:id="31"/>
      </w:r>
    </w:p>
    <w:p w:rsidR="00F07E04" w:rsidRPr="00A75729" w:rsidRDefault="00C30CB6" w:rsidP="00C30CB6">
      <w:pPr>
        <w:pStyle w:val="Ttulo4"/>
        <w:keepNext/>
        <w:spacing w:before="360" w:after="0"/>
        <w:ind w:firstLine="708"/>
        <w:jc w:val="left"/>
        <w:rPr>
          <w:lang w:val="es-MX"/>
        </w:rPr>
      </w:pPr>
      <w:bookmarkStart w:id="159" w:name="_Toc519100851"/>
      <w:r>
        <w:rPr>
          <w:lang w:val="es-MX"/>
        </w:rPr>
        <w:t xml:space="preserve">4.2.4 </w:t>
      </w:r>
      <w:r w:rsidR="00B60726" w:rsidRPr="00A75729">
        <w:rPr>
          <w:lang w:val="es-MX"/>
        </w:rPr>
        <w:t xml:space="preserve">Actividades del </w:t>
      </w:r>
      <w:proofErr w:type="spellStart"/>
      <w:r w:rsidR="00B60726" w:rsidRPr="00A75729">
        <w:rPr>
          <w:lang w:val="es-MX"/>
        </w:rPr>
        <w:t>GIE</w:t>
      </w:r>
      <w:proofErr w:type="spellEnd"/>
      <w:r w:rsidR="00B60726" w:rsidRPr="00A75729">
        <w:rPr>
          <w:lang w:val="es-MX"/>
        </w:rPr>
        <w:t xml:space="preserve"> Grupo Multimedios</w:t>
      </w:r>
      <w:bookmarkEnd w:id="159"/>
      <w:r w:rsidR="00B60726" w:rsidRPr="00A75729" w:rsidDel="00B60726">
        <w:rPr>
          <w:lang w:val="es-MX"/>
        </w:rPr>
        <w:t xml:space="preserve"> </w:t>
      </w:r>
    </w:p>
    <w:p w:rsidR="00F07E04" w:rsidRPr="00A75729" w:rsidRDefault="00B60726" w:rsidP="005B40F4">
      <w:pPr>
        <w:pStyle w:val="Prrafodelista"/>
        <w:spacing w:after="120" w:line="276" w:lineRule="auto"/>
        <w:ind w:left="0"/>
        <w:contextualSpacing w:val="0"/>
        <w:rPr>
          <w:rFonts w:eastAsia="Times New Roman"/>
          <w:color w:val="000000"/>
          <w:lang w:val="es-MX"/>
        </w:rPr>
      </w:pPr>
      <w:r w:rsidRPr="00A75729">
        <w:rPr>
          <w:rFonts w:eastAsia="Times New Roman"/>
          <w:color w:val="000000"/>
          <w:lang w:val="es-MX"/>
        </w:rPr>
        <w:t xml:space="preserve">De acuerdo con la información proporcionada por las Partes, el </w:t>
      </w:r>
      <w:proofErr w:type="spellStart"/>
      <w:r w:rsidRPr="00A75729">
        <w:rPr>
          <w:rFonts w:eastAsia="Times New Roman"/>
          <w:color w:val="000000"/>
          <w:lang w:val="es-MX"/>
        </w:rPr>
        <w:t>GIE</w:t>
      </w:r>
      <w:proofErr w:type="spellEnd"/>
      <w:r w:rsidRPr="00A75729">
        <w:rPr>
          <w:rFonts w:eastAsia="Times New Roman"/>
          <w:color w:val="000000"/>
          <w:lang w:val="es-MX"/>
        </w:rPr>
        <w:t xml:space="preserve"> Grupo Multimedios realiza las siguientes actividades económicas en </w:t>
      </w:r>
      <w:r w:rsidR="00FD7664">
        <w:rPr>
          <w:rFonts w:eastAsia="Times New Roman"/>
          <w:color w:val="000000"/>
          <w:lang w:val="es-MX"/>
        </w:rPr>
        <w:t>e</w:t>
      </w:r>
      <w:r w:rsidRPr="00A75729">
        <w:rPr>
          <w:rFonts w:eastAsia="Times New Roman"/>
          <w:color w:val="000000"/>
          <w:lang w:val="es-MX"/>
        </w:rPr>
        <w:t>l sector de radiodifusión:</w:t>
      </w:r>
    </w:p>
    <w:p w:rsidR="005B40F4" w:rsidRPr="00A75729" w:rsidRDefault="005B40F4" w:rsidP="006A7D5F">
      <w:pPr>
        <w:pStyle w:val="Prrafodelista"/>
        <w:numPr>
          <w:ilvl w:val="0"/>
          <w:numId w:val="30"/>
        </w:numPr>
        <w:spacing w:after="120" w:line="276" w:lineRule="auto"/>
        <w:ind w:left="426"/>
        <w:contextualSpacing w:val="0"/>
      </w:pPr>
      <w:r w:rsidRPr="00A75729">
        <w:t xml:space="preserve">Provisión de servicios de </w:t>
      </w:r>
      <w:r w:rsidRPr="00A75729">
        <w:rPr>
          <w:b/>
        </w:rPr>
        <w:t>radiodifusión sonora abierta</w:t>
      </w:r>
      <w:r w:rsidR="00457430" w:rsidRPr="00A75729">
        <w:rPr>
          <w:b/>
        </w:rPr>
        <w:t xml:space="preserve"> comercial (</w:t>
      </w:r>
      <w:proofErr w:type="spellStart"/>
      <w:r w:rsidR="00457430" w:rsidRPr="00A75729">
        <w:rPr>
          <w:b/>
        </w:rPr>
        <w:t>SRSAC</w:t>
      </w:r>
      <w:proofErr w:type="spellEnd"/>
      <w:r w:rsidR="00457430" w:rsidRPr="00A75729">
        <w:rPr>
          <w:b/>
        </w:rPr>
        <w:t>)</w:t>
      </w:r>
      <w:r w:rsidRPr="00A75729">
        <w:t xml:space="preserve"> que incluye:</w:t>
      </w:r>
    </w:p>
    <w:p w:rsidR="005B40F4" w:rsidRPr="00A75729" w:rsidRDefault="005B40F4" w:rsidP="006A7D5F">
      <w:pPr>
        <w:pStyle w:val="Prrafodelista"/>
        <w:numPr>
          <w:ilvl w:val="0"/>
          <w:numId w:val="42"/>
        </w:numPr>
        <w:spacing w:after="120" w:line="276" w:lineRule="auto"/>
        <w:ind w:left="1134" w:hanging="425"/>
        <w:contextualSpacing w:val="0"/>
      </w:pPr>
      <w:r w:rsidRPr="00A75729">
        <w:t>La provisión y venta de tiempos para mensajes comerciales o publicidad en señales de radiodifusión sonora, y</w:t>
      </w:r>
    </w:p>
    <w:p w:rsidR="005B40F4" w:rsidRPr="00A75729" w:rsidRDefault="005B40F4" w:rsidP="006A7D5F">
      <w:pPr>
        <w:pStyle w:val="Prrafodelista"/>
        <w:numPr>
          <w:ilvl w:val="0"/>
          <w:numId w:val="42"/>
        </w:numPr>
        <w:spacing w:after="120" w:line="276" w:lineRule="auto"/>
        <w:ind w:left="1134" w:hanging="425"/>
        <w:contextualSpacing w:val="0"/>
      </w:pPr>
      <w:r w:rsidRPr="00A75729">
        <w:t>La provisión y transmisión de señales de radiodif</w:t>
      </w:r>
      <w:r w:rsidR="007A76DB" w:rsidRPr="00A75729">
        <w:t xml:space="preserve">usión sonora (señales de audio o </w:t>
      </w:r>
      <w:r w:rsidRPr="00A75729">
        <w:t>programas) con lo que la población puede recibir de manera directa y gratuita la programación de su emisor</w:t>
      </w:r>
      <w:r w:rsidR="007A76DB" w:rsidRPr="00A75729">
        <w:t>,</w:t>
      </w:r>
      <w:r w:rsidRPr="00A75729">
        <w:t xml:space="preserve"> utilizando los dispositivos idóneos para ello.</w:t>
      </w:r>
    </w:p>
    <w:p w:rsidR="005B40F4" w:rsidRPr="00A75729" w:rsidRDefault="005B40F4" w:rsidP="006A7D5F">
      <w:pPr>
        <w:pStyle w:val="Prrafodelista"/>
        <w:numPr>
          <w:ilvl w:val="0"/>
          <w:numId w:val="30"/>
        </w:numPr>
        <w:spacing w:after="120" w:line="276" w:lineRule="auto"/>
        <w:ind w:left="426"/>
        <w:contextualSpacing w:val="0"/>
      </w:pPr>
      <w:r w:rsidRPr="00A75729">
        <w:t xml:space="preserve">Provisión de servicios de </w:t>
      </w:r>
      <w:r w:rsidRPr="00A75729">
        <w:rPr>
          <w:b/>
        </w:rPr>
        <w:t>televisión radiodifundida digital</w:t>
      </w:r>
      <w:r w:rsidR="00457430" w:rsidRPr="00A75729">
        <w:rPr>
          <w:b/>
        </w:rPr>
        <w:t xml:space="preserve"> comercial</w:t>
      </w:r>
      <w:r w:rsidR="0095411F" w:rsidRPr="00A75729">
        <w:rPr>
          <w:b/>
        </w:rPr>
        <w:t xml:space="preserve"> (</w:t>
      </w:r>
      <w:proofErr w:type="spellStart"/>
      <w:r w:rsidR="0095411F" w:rsidRPr="00A75729">
        <w:rPr>
          <w:b/>
        </w:rPr>
        <w:t>STRDC</w:t>
      </w:r>
      <w:proofErr w:type="spellEnd"/>
      <w:r w:rsidR="0095411F" w:rsidRPr="00A75729">
        <w:rPr>
          <w:b/>
        </w:rPr>
        <w:t>)</w:t>
      </w:r>
      <w:r w:rsidRPr="00A75729">
        <w:t xml:space="preserve"> que incluye:</w:t>
      </w:r>
    </w:p>
    <w:p w:rsidR="005B40F4" w:rsidRPr="00A75729" w:rsidRDefault="005B40F4" w:rsidP="006A7D5F">
      <w:pPr>
        <w:pStyle w:val="Prrafodelista"/>
        <w:numPr>
          <w:ilvl w:val="0"/>
          <w:numId w:val="32"/>
        </w:numPr>
        <w:spacing w:after="120" w:line="276" w:lineRule="auto"/>
        <w:ind w:left="1134" w:hanging="425"/>
        <w:contextualSpacing w:val="0"/>
      </w:pPr>
      <w:r w:rsidRPr="00A75729">
        <w:t>La provisión y venta de tiempos para mensajes comerciales o publicidad a través de señales de televisión radiodifundida, y</w:t>
      </w:r>
    </w:p>
    <w:p w:rsidR="005B40F4" w:rsidRPr="00A75729" w:rsidRDefault="005B40F4" w:rsidP="006A7D5F">
      <w:pPr>
        <w:pStyle w:val="Prrafodelista"/>
        <w:numPr>
          <w:ilvl w:val="0"/>
          <w:numId w:val="32"/>
        </w:numPr>
        <w:spacing w:after="120" w:line="276" w:lineRule="auto"/>
        <w:ind w:left="1134" w:hanging="425"/>
        <w:contextualSpacing w:val="0"/>
      </w:pPr>
      <w:r w:rsidRPr="00A75729">
        <w:t>La provisión y transmisión de señales de televisión radiodifun</w:t>
      </w:r>
      <w:r w:rsidR="007A76DB" w:rsidRPr="00A75729">
        <w:t xml:space="preserve">dida (señales de audio y video o </w:t>
      </w:r>
      <w:r w:rsidRPr="00A75729">
        <w:t>programas), con lo que la población puede recibir de manera directa y gratuita la programación de su emisor utilizando los dispositivos idóneos para ello.</w:t>
      </w:r>
    </w:p>
    <w:p w:rsidR="00627893" w:rsidRPr="00FF43E3" w:rsidRDefault="004F78EC" w:rsidP="00627893">
      <w:pPr>
        <w:rPr>
          <w:rFonts w:eastAsia="Times New Roman"/>
          <w:color w:val="000000"/>
          <w:lang w:val="es-MX"/>
        </w:rPr>
      </w:pPr>
      <w:r w:rsidRPr="00A75729">
        <w:rPr>
          <w:rFonts w:eastAsia="Times New Roman"/>
          <w:color w:val="000000"/>
          <w:lang w:val="es-MX"/>
        </w:rPr>
        <w:t xml:space="preserve">Con base en la información proporcionada por las Partes y </w:t>
      </w:r>
      <w:r w:rsidR="007A76DB" w:rsidRPr="00A75729">
        <w:rPr>
          <w:rFonts w:eastAsia="Times New Roman"/>
          <w:color w:val="000000"/>
          <w:lang w:val="es-MX"/>
        </w:rPr>
        <w:t xml:space="preserve">la disponible en </w:t>
      </w:r>
      <w:r w:rsidRPr="00A75729">
        <w:rPr>
          <w:rFonts w:eastAsia="Times New Roman"/>
          <w:color w:val="000000"/>
          <w:lang w:val="es-MX"/>
        </w:rPr>
        <w:t xml:space="preserve">el </w:t>
      </w:r>
      <w:proofErr w:type="spellStart"/>
      <w:r w:rsidR="007A76DB" w:rsidRPr="00A75729">
        <w:rPr>
          <w:rFonts w:eastAsia="Times New Roman"/>
          <w:color w:val="000000"/>
          <w:lang w:val="es-MX"/>
        </w:rPr>
        <w:t>RPC</w:t>
      </w:r>
      <w:proofErr w:type="spellEnd"/>
      <w:r w:rsidRPr="00A75729">
        <w:rPr>
          <w:rFonts w:eastAsia="Times New Roman"/>
          <w:color w:val="000000"/>
          <w:lang w:val="es-MX"/>
        </w:rPr>
        <w:t xml:space="preserve">, en el </w:t>
      </w:r>
      <w:r w:rsidR="00CA182B" w:rsidRPr="00A75729">
        <w:rPr>
          <w:rFonts w:eastAsia="Times New Roman"/>
          <w:color w:val="000000"/>
          <w:lang w:val="es-MX"/>
        </w:rPr>
        <w:t xml:space="preserve">Cuadro 10 </w:t>
      </w:r>
      <w:r w:rsidRPr="00A75729">
        <w:rPr>
          <w:rFonts w:eastAsia="Times New Roman"/>
          <w:color w:val="000000"/>
          <w:lang w:val="es-MX"/>
        </w:rPr>
        <w:t xml:space="preserve">se </w:t>
      </w:r>
      <w:r w:rsidR="007A76DB" w:rsidRPr="00A75729">
        <w:rPr>
          <w:rFonts w:eastAsia="Times New Roman"/>
          <w:color w:val="000000"/>
          <w:lang w:val="es-MX"/>
        </w:rPr>
        <w:t xml:space="preserve">identifican </w:t>
      </w:r>
      <w:r w:rsidRPr="00A75729">
        <w:rPr>
          <w:rFonts w:eastAsia="Times New Roman"/>
          <w:color w:val="000000"/>
          <w:lang w:val="es-MX"/>
        </w:rPr>
        <w:t>las concesiones</w:t>
      </w:r>
      <w:r w:rsidR="007A76DB" w:rsidRPr="00A75729">
        <w:rPr>
          <w:rFonts w:eastAsia="Times New Roman"/>
          <w:color w:val="000000"/>
          <w:lang w:val="es-MX"/>
        </w:rPr>
        <w:t xml:space="preserve"> otorgada</w:t>
      </w:r>
      <w:r w:rsidRPr="00A75729">
        <w:rPr>
          <w:rFonts w:eastAsia="Times New Roman"/>
          <w:color w:val="000000"/>
          <w:lang w:val="es-MX"/>
        </w:rPr>
        <w:t xml:space="preserve">s al </w:t>
      </w:r>
      <w:proofErr w:type="spellStart"/>
      <w:r w:rsidRPr="00A75729">
        <w:rPr>
          <w:rFonts w:eastAsia="Times New Roman"/>
          <w:color w:val="000000"/>
          <w:lang w:val="es-MX"/>
        </w:rPr>
        <w:t>GIE</w:t>
      </w:r>
      <w:proofErr w:type="spellEnd"/>
      <w:r w:rsidRPr="00A75729">
        <w:rPr>
          <w:rFonts w:eastAsia="Times New Roman"/>
          <w:color w:val="000000"/>
          <w:lang w:val="es-MX"/>
        </w:rPr>
        <w:t xml:space="preserve"> Grupo </w:t>
      </w:r>
      <w:r w:rsidR="00DC7F8C" w:rsidRPr="00A75729">
        <w:rPr>
          <w:rFonts w:eastAsia="Times New Roman"/>
          <w:color w:val="000000"/>
          <w:lang w:val="es-MX"/>
        </w:rPr>
        <w:t>Multimedios</w:t>
      </w:r>
      <w:r w:rsidRPr="00A75729">
        <w:rPr>
          <w:rFonts w:eastAsia="Times New Roman"/>
          <w:color w:val="000000"/>
          <w:lang w:val="es-MX"/>
        </w:rPr>
        <w:t xml:space="preserve"> para proveer servicios de </w:t>
      </w:r>
      <w:r w:rsidR="00DC7F8C" w:rsidRPr="00A75729">
        <w:rPr>
          <w:rFonts w:eastAsia="Times New Roman"/>
          <w:color w:val="000000"/>
          <w:lang w:val="es-MX"/>
        </w:rPr>
        <w:t>radiodifusión</w:t>
      </w:r>
      <w:r w:rsidRPr="00A75729">
        <w:rPr>
          <w:rFonts w:eastAsia="Times New Roman"/>
          <w:color w:val="000000"/>
          <w:lang w:val="es-MX"/>
        </w:rPr>
        <w:t xml:space="preserve"> en México</w:t>
      </w:r>
      <w:r w:rsidR="005E5CAC" w:rsidRPr="00A75729">
        <w:rPr>
          <w:rFonts w:eastAsia="Times New Roman"/>
          <w:color w:val="000000"/>
          <w:lang w:val="es-MX"/>
        </w:rPr>
        <w:t xml:space="preserve"> (después de la Operación)</w:t>
      </w:r>
      <w:r w:rsidRPr="00A75729">
        <w:rPr>
          <w:rFonts w:eastAsia="Times New Roman"/>
          <w:color w:val="000000"/>
          <w:lang w:val="es-MX"/>
        </w:rPr>
        <w:t>.</w:t>
      </w:r>
      <w:r w:rsidR="007A76DB" w:rsidRPr="00A75729">
        <w:rPr>
          <w:rFonts w:eastAsia="Times New Roman"/>
          <w:color w:val="000000"/>
          <w:lang w:val="es-MX"/>
        </w:rPr>
        <w:t xml:space="preserve"> No se identifica que sea titular de permisos o autorizaciones adicionales.</w:t>
      </w:r>
    </w:p>
    <w:p w:rsidR="00627893" w:rsidRPr="00BE7DCE" w:rsidRDefault="00627893" w:rsidP="00627893">
      <w:pPr>
        <w:jc w:val="center"/>
        <w:rPr>
          <w:rFonts w:eastAsia="Times New Roman"/>
          <w:b/>
          <w:color w:val="D9D9D9" w:themeColor="background1" w:themeShade="D9"/>
          <w:sz w:val="28"/>
          <w:szCs w:val="28"/>
          <w:lang w:val="es-MX"/>
        </w:rPr>
      </w:pPr>
      <w:r w:rsidRPr="00BE7DCE">
        <w:rPr>
          <w:rFonts w:eastAsia="Times New Roman"/>
          <w:b/>
          <w:color w:val="D9D9D9" w:themeColor="background1" w:themeShade="D9"/>
          <w:sz w:val="28"/>
          <w:szCs w:val="28"/>
          <w:lang w:val="es-MX"/>
        </w:rPr>
        <w:t>ESPACIO INTENCIONALMENTE EN BLANCO</w:t>
      </w:r>
    </w:p>
    <w:p w:rsidR="00CA182B" w:rsidRPr="00627893" w:rsidRDefault="00CA182B" w:rsidP="00627893">
      <w:pPr>
        <w:rPr>
          <w:rFonts w:eastAsia="Times New Roman"/>
          <w:lang w:val="es-MX"/>
        </w:rPr>
        <w:sectPr w:rsidR="00CA182B" w:rsidRPr="00627893" w:rsidSect="00DB5335">
          <w:type w:val="continuous"/>
          <w:pgSz w:w="12240" w:h="15840"/>
          <w:pgMar w:top="1985" w:right="1418" w:bottom="1418" w:left="1418" w:header="578" w:footer="567" w:gutter="0"/>
          <w:cols w:space="708"/>
          <w:docGrid w:linePitch="360"/>
        </w:sectPr>
      </w:pPr>
    </w:p>
    <w:p w:rsidR="004F78EC" w:rsidRPr="00A75729" w:rsidRDefault="004F78EC" w:rsidP="00FB57CD">
      <w:pPr>
        <w:pStyle w:val="Prrafodelista"/>
        <w:keepNext/>
        <w:numPr>
          <w:ilvl w:val="0"/>
          <w:numId w:val="18"/>
        </w:numPr>
        <w:spacing w:after="120" w:line="276" w:lineRule="auto"/>
        <w:ind w:left="426" w:hanging="357"/>
        <w:contextualSpacing w:val="0"/>
        <w:jc w:val="center"/>
        <w:rPr>
          <w:b/>
          <w:szCs w:val="20"/>
        </w:rPr>
      </w:pPr>
      <w:r w:rsidRPr="00A75729">
        <w:rPr>
          <w:b/>
          <w:szCs w:val="20"/>
        </w:rPr>
        <w:lastRenderedPageBreak/>
        <w:t>Concesiones</w:t>
      </w:r>
      <w:r w:rsidR="005E5CAC" w:rsidRPr="00A75729">
        <w:rPr>
          <w:b/>
          <w:szCs w:val="20"/>
        </w:rPr>
        <w:t>, autorizaciones y permisos</w:t>
      </w:r>
      <w:r w:rsidRPr="00A75729">
        <w:rPr>
          <w:b/>
          <w:szCs w:val="20"/>
        </w:rPr>
        <w:t xml:space="preserve"> del </w:t>
      </w:r>
      <w:proofErr w:type="spellStart"/>
      <w:r w:rsidRPr="00A75729">
        <w:rPr>
          <w:b/>
          <w:szCs w:val="20"/>
        </w:rPr>
        <w:t>GIE</w:t>
      </w:r>
      <w:proofErr w:type="spellEnd"/>
      <w:r w:rsidRPr="00A75729">
        <w:rPr>
          <w:b/>
          <w:szCs w:val="20"/>
        </w:rPr>
        <w:t xml:space="preserve"> </w:t>
      </w:r>
      <w:r w:rsidR="00681516" w:rsidRPr="00A75729">
        <w:rPr>
          <w:b/>
          <w:szCs w:val="20"/>
        </w:rPr>
        <w:t>Grupo Multimedios</w:t>
      </w:r>
      <w:r w:rsidR="008E0E96" w:rsidRPr="00A75729">
        <w:rPr>
          <w:b/>
          <w:szCs w:val="20"/>
        </w:rPr>
        <w:t xml:space="preserve"> (después de la Operación)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5"/>
        <w:gridCol w:w="1957"/>
        <w:gridCol w:w="1308"/>
        <w:gridCol w:w="1308"/>
        <w:gridCol w:w="1308"/>
        <w:gridCol w:w="2290"/>
        <w:gridCol w:w="1961"/>
        <w:gridCol w:w="1640"/>
      </w:tblGrid>
      <w:tr w:rsidR="004F78EC" w:rsidRPr="00A75729" w:rsidTr="00CA182B">
        <w:trPr>
          <w:tblHeader/>
          <w:jc w:val="center"/>
        </w:trPr>
        <w:tc>
          <w:tcPr>
            <w:tcW w:w="263" w:type="pct"/>
            <w:shd w:val="clear" w:color="auto" w:fill="92D050"/>
            <w:vAlign w:val="center"/>
          </w:tcPr>
          <w:p w:rsidR="004F78EC" w:rsidRPr="00A75729" w:rsidRDefault="004F78EC" w:rsidP="00B5159A">
            <w:pPr>
              <w:spacing w:before="0" w:after="0" w:line="240" w:lineRule="auto"/>
              <w:jc w:val="center"/>
              <w:rPr>
                <w:rFonts w:eastAsia="Times New Roman"/>
                <w:b/>
                <w:sz w:val="16"/>
                <w:szCs w:val="16"/>
              </w:rPr>
            </w:pPr>
            <w:r w:rsidRPr="00A75729">
              <w:rPr>
                <w:rFonts w:eastAsia="Times New Roman"/>
                <w:b/>
                <w:sz w:val="16"/>
                <w:szCs w:val="16"/>
              </w:rPr>
              <w:t>No.</w:t>
            </w:r>
          </w:p>
        </w:tc>
        <w:tc>
          <w:tcPr>
            <w:tcW w:w="787" w:type="pct"/>
            <w:shd w:val="clear" w:color="auto" w:fill="92D050"/>
            <w:vAlign w:val="center"/>
          </w:tcPr>
          <w:p w:rsidR="004F78EC" w:rsidRPr="00A75729" w:rsidRDefault="004F78EC" w:rsidP="00B5159A">
            <w:pPr>
              <w:spacing w:before="0" w:after="0" w:line="240" w:lineRule="auto"/>
              <w:jc w:val="center"/>
              <w:rPr>
                <w:rFonts w:eastAsia="Times New Roman"/>
                <w:b/>
                <w:sz w:val="16"/>
                <w:szCs w:val="16"/>
              </w:rPr>
            </w:pPr>
            <w:r w:rsidRPr="00A75729">
              <w:rPr>
                <w:rFonts w:eastAsia="Times New Roman"/>
                <w:b/>
                <w:sz w:val="16"/>
                <w:szCs w:val="16"/>
              </w:rPr>
              <w:t>Nombre o Razón social del concesionario/</w:t>
            </w:r>
          </w:p>
          <w:p w:rsidR="004F78EC" w:rsidRPr="00A75729" w:rsidRDefault="004F78EC" w:rsidP="00B5159A">
            <w:pPr>
              <w:spacing w:before="0" w:after="0" w:line="240" w:lineRule="auto"/>
              <w:jc w:val="center"/>
              <w:rPr>
                <w:rFonts w:eastAsia="Times New Roman"/>
                <w:b/>
                <w:sz w:val="16"/>
                <w:szCs w:val="16"/>
              </w:rPr>
            </w:pPr>
            <w:r w:rsidRPr="00A75729">
              <w:rPr>
                <w:rFonts w:eastAsia="Times New Roman"/>
                <w:b/>
                <w:sz w:val="16"/>
                <w:szCs w:val="16"/>
              </w:rPr>
              <w:t>permisionario</w:t>
            </w:r>
          </w:p>
        </w:tc>
        <w:tc>
          <w:tcPr>
            <w:tcW w:w="526" w:type="pct"/>
            <w:shd w:val="clear" w:color="auto" w:fill="92D050"/>
            <w:vAlign w:val="center"/>
          </w:tcPr>
          <w:p w:rsidR="004F78EC" w:rsidRPr="00A75729" w:rsidRDefault="004F78EC" w:rsidP="00B5159A">
            <w:pPr>
              <w:spacing w:before="0" w:after="0" w:line="240" w:lineRule="auto"/>
              <w:jc w:val="center"/>
              <w:rPr>
                <w:rFonts w:eastAsia="Times New Roman"/>
                <w:b/>
                <w:sz w:val="16"/>
                <w:szCs w:val="16"/>
              </w:rPr>
            </w:pPr>
            <w:r w:rsidRPr="00A75729">
              <w:rPr>
                <w:rFonts w:eastAsia="Times New Roman"/>
                <w:b/>
                <w:sz w:val="16"/>
                <w:szCs w:val="16"/>
              </w:rPr>
              <w:t>Tipo de Concesión</w:t>
            </w:r>
          </w:p>
        </w:tc>
        <w:tc>
          <w:tcPr>
            <w:tcW w:w="526" w:type="pct"/>
            <w:shd w:val="clear" w:color="auto" w:fill="92D050"/>
            <w:vAlign w:val="center"/>
          </w:tcPr>
          <w:p w:rsidR="004F78EC" w:rsidRPr="00A75729" w:rsidRDefault="004F78EC" w:rsidP="00B5159A">
            <w:pPr>
              <w:spacing w:before="0" w:after="0" w:line="240" w:lineRule="auto"/>
              <w:jc w:val="center"/>
              <w:rPr>
                <w:rFonts w:eastAsia="Times New Roman"/>
                <w:b/>
                <w:sz w:val="16"/>
                <w:szCs w:val="16"/>
              </w:rPr>
            </w:pPr>
            <w:r w:rsidRPr="00A75729">
              <w:rPr>
                <w:rFonts w:eastAsia="Times New Roman"/>
                <w:b/>
                <w:sz w:val="16"/>
                <w:szCs w:val="16"/>
              </w:rPr>
              <w:t>Distintivo de estación - Banda</w:t>
            </w:r>
          </w:p>
        </w:tc>
        <w:tc>
          <w:tcPr>
            <w:tcW w:w="526" w:type="pct"/>
            <w:shd w:val="clear" w:color="auto" w:fill="92D050"/>
            <w:vAlign w:val="center"/>
          </w:tcPr>
          <w:p w:rsidR="004F78EC" w:rsidRPr="00A75729" w:rsidRDefault="004F78EC" w:rsidP="00B5159A">
            <w:pPr>
              <w:spacing w:before="0" w:after="0" w:line="240" w:lineRule="auto"/>
              <w:jc w:val="center"/>
              <w:rPr>
                <w:rFonts w:eastAsia="Times New Roman"/>
                <w:b/>
                <w:bCs/>
                <w:sz w:val="16"/>
                <w:szCs w:val="16"/>
              </w:rPr>
            </w:pPr>
            <w:r w:rsidRPr="00A75729">
              <w:rPr>
                <w:rFonts w:eastAsia="Times New Roman"/>
                <w:b/>
                <w:bCs/>
                <w:sz w:val="16"/>
                <w:szCs w:val="16"/>
              </w:rPr>
              <w:t xml:space="preserve">Frecuencia </w:t>
            </w:r>
          </w:p>
        </w:tc>
        <w:tc>
          <w:tcPr>
            <w:tcW w:w="921" w:type="pct"/>
            <w:shd w:val="clear" w:color="auto" w:fill="92D050"/>
            <w:vAlign w:val="center"/>
          </w:tcPr>
          <w:p w:rsidR="004F78EC" w:rsidRPr="00A75729" w:rsidRDefault="004F78EC" w:rsidP="00B5159A">
            <w:pPr>
              <w:spacing w:before="0" w:after="0" w:line="240" w:lineRule="auto"/>
              <w:jc w:val="center"/>
              <w:rPr>
                <w:rFonts w:eastAsia="Times New Roman"/>
                <w:b/>
                <w:bCs/>
                <w:sz w:val="16"/>
                <w:szCs w:val="16"/>
              </w:rPr>
            </w:pPr>
            <w:r w:rsidRPr="00A75729">
              <w:rPr>
                <w:rFonts w:eastAsia="Times New Roman"/>
                <w:b/>
                <w:bCs/>
                <w:sz w:val="16"/>
                <w:szCs w:val="16"/>
              </w:rPr>
              <w:t>Localidad principal a servir</w:t>
            </w:r>
          </w:p>
        </w:tc>
        <w:tc>
          <w:tcPr>
            <w:tcW w:w="789" w:type="pct"/>
            <w:shd w:val="clear" w:color="auto" w:fill="92D050"/>
            <w:vAlign w:val="center"/>
          </w:tcPr>
          <w:p w:rsidR="004F78EC" w:rsidRPr="00A75729" w:rsidRDefault="004F78EC" w:rsidP="00B5159A">
            <w:pPr>
              <w:spacing w:before="0" w:after="0" w:line="240" w:lineRule="auto"/>
              <w:jc w:val="center"/>
              <w:rPr>
                <w:rFonts w:eastAsia="Times New Roman"/>
                <w:b/>
                <w:bCs/>
                <w:sz w:val="16"/>
                <w:szCs w:val="16"/>
              </w:rPr>
            </w:pPr>
            <w:r w:rsidRPr="00A75729">
              <w:rPr>
                <w:rFonts w:eastAsia="Times New Roman"/>
                <w:b/>
                <w:bCs/>
                <w:sz w:val="16"/>
                <w:szCs w:val="16"/>
              </w:rPr>
              <w:t>Directivo</w:t>
            </w:r>
          </w:p>
        </w:tc>
        <w:tc>
          <w:tcPr>
            <w:tcW w:w="660" w:type="pct"/>
            <w:shd w:val="clear" w:color="auto" w:fill="92D050"/>
            <w:vAlign w:val="center"/>
          </w:tcPr>
          <w:p w:rsidR="004F78EC" w:rsidRPr="00A75729" w:rsidRDefault="004F78EC" w:rsidP="00B5159A">
            <w:pPr>
              <w:spacing w:before="0" w:after="0" w:line="240" w:lineRule="auto"/>
              <w:jc w:val="center"/>
              <w:rPr>
                <w:rFonts w:eastAsia="Times New Roman"/>
                <w:b/>
                <w:bCs/>
                <w:sz w:val="16"/>
                <w:szCs w:val="16"/>
              </w:rPr>
            </w:pPr>
            <w:r w:rsidRPr="00A75729">
              <w:rPr>
                <w:rFonts w:eastAsia="Times New Roman"/>
                <w:b/>
                <w:bCs/>
                <w:sz w:val="16"/>
                <w:szCs w:val="16"/>
              </w:rPr>
              <w:t>Representante Comercial</w:t>
            </w:r>
          </w:p>
        </w:tc>
      </w:tr>
      <w:tr w:rsidR="004B1D1A" w:rsidRPr="00A75729" w:rsidTr="00CA182B">
        <w:trPr>
          <w:jc w:val="center"/>
        </w:trPr>
        <w:tc>
          <w:tcPr>
            <w:tcW w:w="263" w:type="pct"/>
            <w:shd w:val="clear" w:color="auto" w:fill="auto"/>
            <w:vAlign w:val="center"/>
          </w:tcPr>
          <w:p w:rsidR="004B1D1A" w:rsidRPr="00A75729" w:rsidRDefault="004B1D1A" w:rsidP="004B1D1A">
            <w:pPr>
              <w:spacing w:before="0" w:after="0" w:line="240" w:lineRule="auto"/>
              <w:jc w:val="center"/>
              <w:rPr>
                <w:rFonts w:eastAsia="Times New Roman"/>
                <w:b/>
                <w:sz w:val="16"/>
                <w:szCs w:val="16"/>
              </w:rPr>
            </w:pPr>
            <w:r w:rsidRPr="00A75729">
              <w:rPr>
                <w:rFonts w:eastAsia="Times New Roman"/>
                <w:b/>
                <w:sz w:val="16"/>
                <w:szCs w:val="16"/>
              </w:rPr>
              <w:t>1</w:t>
            </w:r>
          </w:p>
        </w:tc>
        <w:tc>
          <w:tcPr>
            <w:tcW w:w="787" w:type="pct"/>
            <w:vMerge w:val="restart"/>
            <w:shd w:val="clear" w:color="auto" w:fill="auto"/>
            <w:vAlign w:val="center"/>
          </w:tcPr>
          <w:p w:rsidR="004B1D1A" w:rsidRPr="00A75729" w:rsidRDefault="004B1D1A" w:rsidP="004B1D1A">
            <w:pPr>
              <w:spacing w:before="0" w:after="0" w:line="240" w:lineRule="auto"/>
              <w:jc w:val="center"/>
              <w:rPr>
                <w:rFonts w:eastAsia="Times New Roman"/>
                <w:b/>
                <w:sz w:val="16"/>
                <w:szCs w:val="16"/>
              </w:rPr>
            </w:pPr>
            <w:r w:rsidRPr="00A75729">
              <w:rPr>
                <w:rFonts w:eastAsia="Times New Roman"/>
                <w:b/>
                <w:sz w:val="16"/>
                <w:szCs w:val="16"/>
              </w:rPr>
              <w:t>Radio Triunfos</w:t>
            </w:r>
          </w:p>
        </w:tc>
        <w:tc>
          <w:tcPr>
            <w:tcW w:w="526" w:type="pct"/>
            <w:shd w:val="clear" w:color="auto" w:fill="auto"/>
            <w:vAlign w:val="center"/>
          </w:tcPr>
          <w:p w:rsidR="004B1D1A" w:rsidRPr="00A75729" w:rsidRDefault="004B1D1A" w:rsidP="004B1D1A">
            <w:pPr>
              <w:spacing w:before="0" w:after="0" w:line="240" w:lineRule="auto"/>
              <w:jc w:val="center"/>
              <w:rPr>
                <w:rFonts w:eastAsia="Times New Roman"/>
                <w:b/>
                <w:sz w:val="16"/>
                <w:szCs w:val="16"/>
              </w:rPr>
            </w:pPr>
            <w:r w:rsidRPr="00A75729">
              <w:rPr>
                <w:rFonts w:eastAsia="Times New Roman"/>
                <w:bCs/>
                <w:color w:val="000000"/>
                <w:sz w:val="16"/>
                <w:szCs w:val="16"/>
              </w:rPr>
              <w:t>Comercial</w:t>
            </w:r>
          </w:p>
        </w:tc>
        <w:tc>
          <w:tcPr>
            <w:tcW w:w="526" w:type="pct"/>
            <w:shd w:val="clear" w:color="auto" w:fill="auto"/>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color w:val="000000"/>
                <w:sz w:val="16"/>
                <w:szCs w:val="16"/>
              </w:rPr>
              <w:t>XEJUA</w:t>
            </w:r>
            <w:proofErr w:type="spellEnd"/>
            <w:r w:rsidRPr="00A75729">
              <w:rPr>
                <w:color w:val="000000"/>
                <w:sz w:val="16"/>
                <w:szCs w:val="16"/>
              </w:rPr>
              <w:t>-AM</w:t>
            </w:r>
          </w:p>
        </w:tc>
        <w:tc>
          <w:tcPr>
            <w:tcW w:w="526" w:type="pct"/>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r w:rsidRPr="00A75729">
              <w:rPr>
                <w:color w:val="000000"/>
                <w:sz w:val="16"/>
                <w:szCs w:val="16"/>
              </w:rPr>
              <w:t>640 KHz</w:t>
            </w:r>
          </w:p>
        </w:tc>
        <w:tc>
          <w:tcPr>
            <w:tcW w:w="921" w:type="pct"/>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r w:rsidRPr="00A75729">
              <w:rPr>
                <w:rFonts w:eastAsia="Times New Roman"/>
                <w:sz w:val="16"/>
                <w:szCs w:val="16"/>
              </w:rPr>
              <w:t>Cd. Juárez, Chihuahua</w:t>
            </w:r>
          </w:p>
        </w:tc>
        <w:tc>
          <w:tcPr>
            <w:tcW w:w="789" w:type="pct"/>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r w:rsidRPr="00A75729">
              <w:rPr>
                <w:rFonts w:eastAsia="Times New Roman"/>
                <w:bCs/>
                <w:color w:val="000000"/>
                <w:sz w:val="16"/>
                <w:szCs w:val="16"/>
              </w:rPr>
              <w:t>Liliana Araceli Ibarra Rivera</w:t>
            </w:r>
          </w:p>
        </w:tc>
        <w:tc>
          <w:tcPr>
            <w:tcW w:w="660" w:type="pct"/>
            <w:vMerge w:val="restart"/>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r w:rsidRPr="00A75729">
              <w:rPr>
                <w:rFonts w:eastAsia="Times New Roman"/>
                <w:bCs/>
                <w:color w:val="000000"/>
                <w:sz w:val="16"/>
                <w:szCs w:val="16"/>
              </w:rPr>
              <w:t>Multimedios, S.A. de C.V.</w:t>
            </w:r>
          </w:p>
        </w:tc>
      </w:tr>
      <w:tr w:rsidR="004B1D1A" w:rsidRPr="00A75729" w:rsidTr="00CA182B">
        <w:trPr>
          <w:jc w:val="center"/>
        </w:trPr>
        <w:tc>
          <w:tcPr>
            <w:tcW w:w="263" w:type="pct"/>
            <w:shd w:val="clear" w:color="auto" w:fill="auto"/>
            <w:vAlign w:val="center"/>
          </w:tcPr>
          <w:p w:rsidR="004B1D1A" w:rsidRPr="00A75729" w:rsidRDefault="004B1D1A" w:rsidP="004B1D1A">
            <w:pPr>
              <w:spacing w:before="0" w:after="0" w:line="240" w:lineRule="auto"/>
              <w:jc w:val="center"/>
              <w:rPr>
                <w:rFonts w:eastAsia="Times New Roman"/>
                <w:b/>
                <w:sz w:val="16"/>
                <w:szCs w:val="16"/>
              </w:rPr>
            </w:pPr>
            <w:r w:rsidRPr="00A75729">
              <w:rPr>
                <w:rFonts w:eastAsia="Times New Roman"/>
                <w:b/>
                <w:sz w:val="16"/>
                <w:szCs w:val="16"/>
              </w:rPr>
              <w:t>2</w:t>
            </w:r>
          </w:p>
        </w:tc>
        <w:tc>
          <w:tcPr>
            <w:tcW w:w="787" w:type="pct"/>
            <w:vMerge/>
            <w:shd w:val="clear" w:color="auto" w:fill="auto"/>
            <w:vAlign w:val="center"/>
          </w:tcPr>
          <w:p w:rsidR="004B1D1A" w:rsidRPr="00A75729" w:rsidRDefault="004B1D1A" w:rsidP="004B1D1A">
            <w:pPr>
              <w:spacing w:before="0" w:after="0" w:line="240" w:lineRule="auto"/>
              <w:jc w:val="center"/>
              <w:rPr>
                <w:rFonts w:eastAsia="Times New Roman"/>
                <w:b/>
                <w:sz w:val="16"/>
                <w:szCs w:val="16"/>
              </w:rPr>
            </w:pPr>
          </w:p>
        </w:tc>
        <w:tc>
          <w:tcPr>
            <w:tcW w:w="526" w:type="pct"/>
            <w:shd w:val="clear" w:color="auto" w:fill="auto"/>
            <w:vAlign w:val="center"/>
          </w:tcPr>
          <w:p w:rsidR="004B1D1A" w:rsidRPr="00A75729" w:rsidRDefault="004B1D1A" w:rsidP="004B1D1A">
            <w:pPr>
              <w:spacing w:before="0" w:after="0" w:line="240" w:lineRule="auto"/>
              <w:jc w:val="center"/>
              <w:rPr>
                <w:rFonts w:eastAsia="Times New Roman"/>
                <w:b/>
                <w:sz w:val="16"/>
                <w:szCs w:val="16"/>
              </w:rPr>
            </w:pPr>
            <w:r w:rsidRPr="00A75729">
              <w:rPr>
                <w:rFonts w:eastAsia="Times New Roman"/>
                <w:bCs/>
                <w:color w:val="000000"/>
                <w:sz w:val="16"/>
                <w:szCs w:val="16"/>
              </w:rPr>
              <w:t>Comercial</w:t>
            </w:r>
          </w:p>
        </w:tc>
        <w:tc>
          <w:tcPr>
            <w:tcW w:w="526" w:type="pct"/>
            <w:shd w:val="clear" w:color="auto" w:fill="auto"/>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color w:val="000000"/>
                <w:sz w:val="16"/>
                <w:szCs w:val="16"/>
              </w:rPr>
              <w:t>XHHIT</w:t>
            </w:r>
            <w:proofErr w:type="spellEnd"/>
            <w:r w:rsidRPr="00A75729">
              <w:rPr>
                <w:color w:val="000000"/>
                <w:sz w:val="16"/>
                <w:szCs w:val="16"/>
              </w:rPr>
              <w:t>-FM</w:t>
            </w:r>
          </w:p>
        </w:tc>
        <w:tc>
          <w:tcPr>
            <w:tcW w:w="526" w:type="pct"/>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r w:rsidRPr="00A75729">
              <w:rPr>
                <w:color w:val="000000"/>
                <w:sz w:val="16"/>
                <w:szCs w:val="16"/>
              </w:rPr>
              <w:t>95.3 MHz</w:t>
            </w:r>
          </w:p>
        </w:tc>
        <w:tc>
          <w:tcPr>
            <w:tcW w:w="921" w:type="pct"/>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r w:rsidRPr="00A75729">
              <w:rPr>
                <w:rFonts w:eastAsia="Times New Roman"/>
                <w:sz w:val="16"/>
                <w:szCs w:val="16"/>
              </w:rPr>
              <w:t>Tecate, Baja California</w:t>
            </w:r>
          </w:p>
        </w:tc>
        <w:tc>
          <w:tcPr>
            <w:tcW w:w="789" w:type="pct"/>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r w:rsidRPr="00A75729">
              <w:rPr>
                <w:rFonts w:eastAsia="Times New Roman"/>
                <w:bCs/>
                <w:color w:val="000000"/>
                <w:sz w:val="16"/>
                <w:szCs w:val="16"/>
              </w:rPr>
              <w:t>Roberto García Rodríguez</w:t>
            </w:r>
          </w:p>
        </w:tc>
        <w:tc>
          <w:tcPr>
            <w:tcW w:w="660" w:type="pct"/>
            <w:vMerge/>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p>
        </w:tc>
      </w:tr>
      <w:tr w:rsidR="004B1D1A" w:rsidRPr="00A75729" w:rsidTr="00CA182B">
        <w:trPr>
          <w:jc w:val="center"/>
        </w:trPr>
        <w:tc>
          <w:tcPr>
            <w:tcW w:w="263" w:type="pct"/>
            <w:shd w:val="clear" w:color="auto" w:fill="auto"/>
            <w:vAlign w:val="center"/>
          </w:tcPr>
          <w:p w:rsidR="004B1D1A" w:rsidRPr="00A75729" w:rsidRDefault="004B1D1A" w:rsidP="004B1D1A">
            <w:pPr>
              <w:spacing w:before="0" w:after="0" w:line="240" w:lineRule="auto"/>
              <w:jc w:val="center"/>
              <w:rPr>
                <w:rFonts w:eastAsia="Times New Roman"/>
                <w:b/>
                <w:sz w:val="16"/>
                <w:szCs w:val="16"/>
              </w:rPr>
            </w:pPr>
            <w:r w:rsidRPr="00A75729">
              <w:rPr>
                <w:rFonts w:eastAsia="Times New Roman"/>
                <w:b/>
                <w:sz w:val="16"/>
                <w:szCs w:val="16"/>
              </w:rPr>
              <w:t>3</w:t>
            </w:r>
          </w:p>
        </w:tc>
        <w:tc>
          <w:tcPr>
            <w:tcW w:w="787" w:type="pct"/>
            <w:vMerge/>
            <w:shd w:val="clear" w:color="auto" w:fill="auto"/>
            <w:vAlign w:val="center"/>
          </w:tcPr>
          <w:p w:rsidR="004B1D1A" w:rsidRPr="00A75729" w:rsidRDefault="004B1D1A" w:rsidP="004B1D1A">
            <w:pPr>
              <w:spacing w:before="0" w:after="0" w:line="240" w:lineRule="auto"/>
              <w:jc w:val="center"/>
              <w:rPr>
                <w:rFonts w:eastAsia="Times New Roman"/>
                <w:b/>
                <w:sz w:val="16"/>
                <w:szCs w:val="16"/>
              </w:rPr>
            </w:pPr>
          </w:p>
        </w:tc>
        <w:tc>
          <w:tcPr>
            <w:tcW w:w="526" w:type="pct"/>
            <w:shd w:val="clear" w:color="auto" w:fill="auto"/>
            <w:vAlign w:val="center"/>
          </w:tcPr>
          <w:p w:rsidR="004B1D1A" w:rsidRPr="00A75729" w:rsidRDefault="004B1D1A" w:rsidP="004B1D1A">
            <w:pPr>
              <w:spacing w:before="0" w:after="0" w:line="240" w:lineRule="auto"/>
              <w:jc w:val="center"/>
              <w:rPr>
                <w:rFonts w:eastAsia="Times New Roman"/>
                <w:b/>
                <w:sz w:val="16"/>
                <w:szCs w:val="16"/>
              </w:rPr>
            </w:pPr>
            <w:r w:rsidRPr="00A75729">
              <w:rPr>
                <w:rFonts w:eastAsia="Times New Roman"/>
                <w:bCs/>
                <w:color w:val="000000"/>
                <w:sz w:val="16"/>
                <w:szCs w:val="16"/>
              </w:rPr>
              <w:t>Comercial</w:t>
            </w:r>
          </w:p>
        </w:tc>
        <w:tc>
          <w:tcPr>
            <w:tcW w:w="526" w:type="pct"/>
            <w:shd w:val="clear" w:color="auto" w:fill="auto"/>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color w:val="000000"/>
                <w:sz w:val="16"/>
                <w:szCs w:val="16"/>
              </w:rPr>
              <w:t>XHQC</w:t>
            </w:r>
            <w:proofErr w:type="spellEnd"/>
            <w:r w:rsidRPr="00A75729">
              <w:rPr>
                <w:color w:val="000000"/>
                <w:sz w:val="16"/>
                <w:szCs w:val="16"/>
              </w:rPr>
              <w:t>-FM</w:t>
            </w:r>
          </w:p>
        </w:tc>
        <w:tc>
          <w:tcPr>
            <w:tcW w:w="526" w:type="pct"/>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r w:rsidRPr="00A75729">
              <w:rPr>
                <w:color w:val="000000"/>
                <w:sz w:val="16"/>
                <w:szCs w:val="16"/>
              </w:rPr>
              <w:t>93.5 MHz</w:t>
            </w:r>
          </w:p>
        </w:tc>
        <w:tc>
          <w:tcPr>
            <w:tcW w:w="921" w:type="pct"/>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r w:rsidRPr="00A75729">
              <w:rPr>
                <w:rFonts w:eastAsia="Times New Roman"/>
                <w:sz w:val="16"/>
                <w:szCs w:val="16"/>
              </w:rPr>
              <w:t>Saltillo, Coahuila</w:t>
            </w:r>
          </w:p>
        </w:tc>
        <w:tc>
          <w:tcPr>
            <w:tcW w:w="789" w:type="pct"/>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r w:rsidRPr="00A75729">
              <w:rPr>
                <w:rFonts w:eastAsia="Times New Roman"/>
                <w:bCs/>
                <w:color w:val="000000"/>
                <w:sz w:val="16"/>
                <w:szCs w:val="16"/>
              </w:rPr>
              <w:t xml:space="preserve">Juan Manuel Dávila </w:t>
            </w:r>
            <w:proofErr w:type="spellStart"/>
            <w:r w:rsidRPr="00A75729">
              <w:rPr>
                <w:rFonts w:eastAsia="Times New Roman"/>
                <w:bCs/>
                <w:color w:val="000000"/>
                <w:sz w:val="16"/>
                <w:szCs w:val="16"/>
              </w:rPr>
              <w:t>Udave</w:t>
            </w:r>
            <w:proofErr w:type="spellEnd"/>
          </w:p>
        </w:tc>
        <w:tc>
          <w:tcPr>
            <w:tcW w:w="660" w:type="pct"/>
            <w:vMerge/>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p>
        </w:tc>
      </w:tr>
      <w:tr w:rsidR="004B1D1A" w:rsidRPr="00A75729" w:rsidTr="00CA182B">
        <w:trPr>
          <w:jc w:val="center"/>
        </w:trPr>
        <w:tc>
          <w:tcPr>
            <w:tcW w:w="263" w:type="pct"/>
            <w:shd w:val="clear" w:color="auto" w:fill="auto"/>
            <w:vAlign w:val="center"/>
          </w:tcPr>
          <w:p w:rsidR="004B1D1A" w:rsidRPr="00A75729" w:rsidRDefault="004B1D1A" w:rsidP="004B1D1A">
            <w:pPr>
              <w:spacing w:before="0" w:after="0" w:line="240" w:lineRule="auto"/>
              <w:jc w:val="center"/>
              <w:rPr>
                <w:rFonts w:eastAsia="Times New Roman"/>
                <w:b/>
                <w:sz w:val="16"/>
                <w:szCs w:val="16"/>
              </w:rPr>
            </w:pPr>
            <w:r w:rsidRPr="00A75729">
              <w:rPr>
                <w:rFonts w:eastAsia="Times New Roman"/>
                <w:b/>
                <w:sz w:val="16"/>
                <w:szCs w:val="16"/>
              </w:rPr>
              <w:t>4</w:t>
            </w:r>
          </w:p>
        </w:tc>
        <w:tc>
          <w:tcPr>
            <w:tcW w:w="787" w:type="pct"/>
            <w:vMerge/>
            <w:shd w:val="clear" w:color="auto" w:fill="auto"/>
            <w:vAlign w:val="center"/>
          </w:tcPr>
          <w:p w:rsidR="004B1D1A" w:rsidRPr="00A75729" w:rsidRDefault="004B1D1A" w:rsidP="004B1D1A">
            <w:pPr>
              <w:spacing w:before="0" w:after="0" w:line="240" w:lineRule="auto"/>
              <w:jc w:val="center"/>
              <w:rPr>
                <w:rFonts w:eastAsia="Times New Roman"/>
                <w:b/>
                <w:sz w:val="16"/>
                <w:szCs w:val="16"/>
              </w:rPr>
            </w:pPr>
          </w:p>
        </w:tc>
        <w:tc>
          <w:tcPr>
            <w:tcW w:w="526" w:type="pct"/>
            <w:shd w:val="clear" w:color="auto" w:fill="auto"/>
            <w:vAlign w:val="center"/>
          </w:tcPr>
          <w:p w:rsidR="004B1D1A" w:rsidRPr="00A75729" w:rsidRDefault="004B1D1A" w:rsidP="004B1D1A">
            <w:pPr>
              <w:spacing w:before="0" w:after="0" w:line="240" w:lineRule="auto"/>
              <w:jc w:val="center"/>
              <w:rPr>
                <w:rFonts w:eastAsia="Times New Roman"/>
                <w:b/>
                <w:sz w:val="16"/>
                <w:szCs w:val="16"/>
              </w:rPr>
            </w:pPr>
            <w:r w:rsidRPr="00A75729">
              <w:rPr>
                <w:rFonts w:eastAsia="Times New Roman"/>
                <w:bCs/>
                <w:color w:val="000000"/>
                <w:sz w:val="16"/>
                <w:szCs w:val="16"/>
              </w:rPr>
              <w:t>Comercial</w:t>
            </w:r>
          </w:p>
        </w:tc>
        <w:tc>
          <w:tcPr>
            <w:tcW w:w="526" w:type="pct"/>
            <w:shd w:val="clear" w:color="auto" w:fill="auto"/>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color w:val="000000"/>
                <w:sz w:val="16"/>
                <w:szCs w:val="16"/>
              </w:rPr>
              <w:t>XET</w:t>
            </w:r>
            <w:proofErr w:type="spellEnd"/>
            <w:r w:rsidRPr="00A75729">
              <w:rPr>
                <w:color w:val="000000"/>
                <w:sz w:val="16"/>
                <w:szCs w:val="16"/>
              </w:rPr>
              <w:t>-AM</w:t>
            </w:r>
          </w:p>
        </w:tc>
        <w:tc>
          <w:tcPr>
            <w:tcW w:w="526" w:type="pct"/>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r w:rsidRPr="00A75729">
              <w:rPr>
                <w:color w:val="000000"/>
                <w:sz w:val="16"/>
                <w:szCs w:val="16"/>
              </w:rPr>
              <w:t>990 KHz</w:t>
            </w:r>
          </w:p>
        </w:tc>
        <w:tc>
          <w:tcPr>
            <w:tcW w:w="921" w:type="pct"/>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r w:rsidRPr="00A75729">
              <w:rPr>
                <w:rFonts w:eastAsia="Times New Roman"/>
                <w:sz w:val="16"/>
                <w:szCs w:val="16"/>
              </w:rPr>
              <w:t>San Nicolás de los Garza, Nuevo León</w:t>
            </w:r>
          </w:p>
        </w:tc>
        <w:tc>
          <w:tcPr>
            <w:tcW w:w="789" w:type="pct"/>
            <w:vMerge w:val="restart"/>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r w:rsidRPr="00A75729">
              <w:rPr>
                <w:rFonts w:eastAsia="Times New Roman"/>
                <w:bCs/>
                <w:color w:val="000000"/>
                <w:sz w:val="16"/>
                <w:szCs w:val="16"/>
              </w:rPr>
              <w:t>Francisco González Sánchez</w:t>
            </w:r>
          </w:p>
        </w:tc>
        <w:tc>
          <w:tcPr>
            <w:tcW w:w="660" w:type="pct"/>
            <w:vMerge/>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p>
        </w:tc>
      </w:tr>
      <w:tr w:rsidR="004B1D1A" w:rsidRPr="00A75729" w:rsidTr="00CA182B">
        <w:trPr>
          <w:jc w:val="center"/>
        </w:trPr>
        <w:tc>
          <w:tcPr>
            <w:tcW w:w="263" w:type="pct"/>
            <w:shd w:val="clear" w:color="auto" w:fill="auto"/>
            <w:vAlign w:val="center"/>
          </w:tcPr>
          <w:p w:rsidR="004B1D1A" w:rsidRPr="00A75729" w:rsidRDefault="004B1D1A" w:rsidP="004B1D1A">
            <w:pPr>
              <w:spacing w:before="0" w:after="0" w:line="240" w:lineRule="auto"/>
              <w:jc w:val="center"/>
              <w:rPr>
                <w:rFonts w:eastAsia="Times New Roman"/>
                <w:b/>
                <w:sz w:val="16"/>
                <w:szCs w:val="16"/>
              </w:rPr>
            </w:pPr>
            <w:r w:rsidRPr="00A75729">
              <w:rPr>
                <w:rFonts w:eastAsia="Times New Roman"/>
                <w:b/>
                <w:sz w:val="16"/>
                <w:szCs w:val="16"/>
              </w:rPr>
              <w:t>5</w:t>
            </w:r>
          </w:p>
        </w:tc>
        <w:tc>
          <w:tcPr>
            <w:tcW w:w="787" w:type="pct"/>
            <w:vMerge/>
            <w:shd w:val="clear" w:color="auto" w:fill="auto"/>
            <w:vAlign w:val="center"/>
          </w:tcPr>
          <w:p w:rsidR="004B1D1A" w:rsidRPr="00A75729" w:rsidRDefault="004B1D1A" w:rsidP="004B1D1A">
            <w:pPr>
              <w:spacing w:before="0" w:after="0" w:line="240" w:lineRule="auto"/>
              <w:jc w:val="center"/>
              <w:rPr>
                <w:rFonts w:eastAsia="Times New Roman"/>
                <w:b/>
                <w:sz w:val="16"/>
                <w:szCs w:val="16"/>
              </w:rPr>
            </w:pPr>
          </w:p>
        </w:tc>
        <w:tc>
          <w:tcPr>
            <w:tcW w:w="526" w:type="pct"/>
            <w:shd w:val="clear" w:color="auto" w:fill="auto"/>
            <w:vAlign w:val="center"/>
          </w:tcPr>
          <w:p w:rsidR="004B1D1A" w:rsidRPr="00A75729" w:rsidRDefault="004B1D1A" w:rsidP="004B1D1A">
            <w:pPr>
              <w:spacing w:before="0" w:after="0" w:line="240" w:lineRule="auto"/>
              <w:jc w:val="center"/>
              <w:rPr>
                <w:rFonts w:eastAsia="Times New Roman"/>
                <w:b/>
                <w:sz w:val="16"/>
                <w:szCs w:val="16"/>
              </w:rPr>
            </w:pPr>
            <w:r w:rsidRPr="00A75729">
              <w:rPr>
                <w:rFonts w:eastAsia="Times New Roman"/>
                <w:bCs/>
                <w:color w:val="000000"/>
                <w:sz w:val="16"/>
                <w:szCs w:val="16"/>
              </w:rPr>
              <w:t>Comercial</w:t>
            </w:r>
          </w:p>
        </w:tc>
        <w:tc>
          <w:tcPr>
            <w:tcW w:w="526" w:type="pct"/>
            <w:shd w:val="clear" w:color="auto" w:fill="auto"/>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color w:val="000000"/>
                <w:sz w:val="16"/>
                <w:szCs w:val="16"/>
              </w:rPr>
              <w:t>XHPJ</w:t>
            </w:r>
            <w:proofErr w:type="spellEnd"/>
            <w:r w:rsidRPr="00A75729">
              <w:rPr>
                <w:color w:val="000000"/>
                <w:sz w:val="16"/>
                <w:szCs w:val="16"/>
              </w:rPr>
              <w:t>-FM</w:t>
            </w:r>
          </w:p>
        </w:tc>
        <w:tc>
          <w:tcPr>
            <w:tcW w:w="526" w:type="pct"/>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r w:rsidRPr="00A75729">
              <w:rPr>
                <w:color w:val="000000"/>
                <w:sz w:val="16"/>
                <w:szCs w:val="16"/>
              </w:rPr>
              <w:t>106.9 MHz</w:t>
            </w:r>
          </w:p>
        </w:tc>
        <w:tc>
          <w:tcPr>
            <w:tcW w:w="921" w:type="pct"/>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r w:rsidRPr="00A75729">
              <w:rPr>
                <w:rFonts w:eastAsia="Times New Roman"/>
                <w:sz w:val="16"/>
                <w:szCs w:val="16"/>
              </w:rPr>
              <w:t>Monterrey, Nuevo León</w:t>
            </w:r>
          </w:p>
        </w:tc>
        <w:tc>
          <w:tcPr>
            <w:tcW w:w="789" w:type="pct"/>
            <w:vMerge/>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p>
        </w:tc>
        <w:tc>
          <w:tcPr>
            <w:tcW w:w="660" w:type="pct"/>
            <w:vMerge/>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p>
        </w:tc>
      </w:tr>
      <w:tr w:rsidR="004B1D1A" w:rsidRPr="00A75729" w:rsidTr="00CA182B">
        <w:trPr>
          <w:jc w:val="center"/>
        </w:trPr>
        <w:tc>
          <w:tcPr>
            <w:tcW w:w="263" w:type="pct"/>
            <w:shd w:val="clear" w:color="auto" w:fill="auto"/>
            <w:vAlign w:val="center"/>
          </w:tcPr>
          <w:p w:rsidR="004B1D1A" w:rsidRPr="00A75729" w:rsidRDefault="004B1D1A" w:rsidP="004B1D1A">
            <w:pPr>
              <w:spacing w:before="0" w:after="0" w:line="240" w:lineRule="auto"/>
              <w:jc w:val="center"/>
              <w:rPr>
                <w:rFonts w:eastAsia="Times New Roman"/>
                <w:b/>
                <w:sz w:val="16"/>
                <w:szCs w:val="16"/>
              </w:rPr>
            </w:pPr>
            <w:r w:rsidRPr="00A75729">
              <w:rPr>
                <w:rFonts w:eastAsia="Times New Roman"/>
                <w:b/>
                <w:sz w:val="16"/>
                <w:szCs w:val="16"/>
              </w:rPr>
              <w:t>6</w:t>
            </w:r>
          </w:p>
        </w:tc>
        <w:tc>
          <w:tcPr>
            <w:tcW w:w="787" w:type="pct"/>
            <w:vMerge/>
            <w:shd w:val="clear" w:color="auto" w:fill="auto"/>
            <w:vAlign w:val="center"/>
          </w:tcPr>
          <w:p w:rsidR="004B1D1A" w:rsidRPr="00A75729" w:rsidRDefault="004B1D1A" w:rsidP="004B1D1A">
            <w:pPr>
              <w:spacing w:before="0" w:after="0" w:line="240" w:lineRule="auto"/>
              <w:jc w:val="center"/>
              <w:rPr>
                <w:rFonts w:eastAsia="Times New Roman"/>
                <w:b/>
                <w:sz w:val="16"/>
                <w:szCs w:val="16"/>
              </w:rPr>
            </w:pPr>
          </w:p>
        </w:tc>
        <w:tc>
          <w:tcPr>
            <w:tcW w:w="526" w:type="pct"/>
            <w:shd w:val="clear" w:color="auto" w:fill="auto"/>
            <w:vAlign w:val="center"/>
          </w:tcPr>
          <w:p w:rsidR="004B1D1A" w:rsidRPr="00A75729" w:rsidRDefault="004B1D1A" w:rsidP="004B1D1A">
            <w:pPr>
              <w:spacing w:before="0" w:after="0" w:line="240" w:lineRule="auto"/>
              <w:jc w:val="center"/>
              <w:rPr>
                <w:rFonts w:eastAsia="Times New Roman"/>
                <w:b/>
                <w:sz w:val="16"/>
                <w:szCs w:val="16"/>
              </w:rPr>
            </w:pPr>
            <w:r w:rsidRPr="00A75729">
              <w:rPr>
                <w:rFonts w:eastAsia="Times New Roman"/>
                <w:bCs/>
                <w:color w:val="000000"/>
                <w:sz w:val="16"/>
                <w:szCs w:val="16"/>
              </w:rPr>
              <w:t>Comercial</w:t>
            </w:r>
          </w:p>
        </w:tc>
        <w:tc>
          <w:tcPr>
            <w:tcW w:w="526" w:type="pct"/>
            <w:shd w:val="clear" w:color="auto" w:fill="auto"/>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color w:val="000000"/>
                <w:sz w:val="16"/>
                <w:szCs w:val="16"/>
              </w:rPr>
              <w:t>XET</w:t>
            </w:r>
            <w:proofErr w:type="spellEnd"/>
            <w:r w:rsidRPr="00A75729">
              <w:rPr>
                <w:color w:val="000000"/>
                <w:sz w:val="16"/>
                <w:szCs w:val="16"/>
              </w:rPr>
              <w:t>-FM</w:t>
            </w:r>
          </w:p>
        </w:tc>
        <w:tc>
          <w:tcPr>
            <w:tcW w:w="526" w:type="pct"/>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r w:rsidRPr="00A75729">
              <w:rPr>
                <w:color w:val="000000"/>
                <w:sz w:val="16"/>
                <w:szCs w:val="16"/>
              </w:rPr>
              <w:t>94.1 MHz</w:t>
            </w:r>
          </w:p>
        </w:tc>
        <w:tc>
          <w:tcPr>
            <w:tcW w:w="921" w:type="pct"/>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r w:rsidRPr="00A75729">
              <w:rPr>
                <w:rFonts w:eastAsia="Times New Roman"/>
                <w:sz w:val="16"/>
                <w:szCs w:val="16"/>
              </w:rPr>
              <w:t>Monterrey, Nuevo León</w:t>
            </w:r>
          </w:p>
        </w:tc>
        <w:tc>
          <w:tcPr>
            <w:tcW w:w="789" w:type="pct"/>
            <w:vMerge/>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p>
        </w:tc>
        <w:tc>
          <w:tcPr>
            <w:tcW w:w="660" w:type="pct"/>
            <w:vMerge/>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p>
        </w:tc>
      </w:tr>
      <w:tr w:rsidR="004B1D1A" w:rsidRPr="00A75729" w:rsidTr="00CA182B">
        <w:trPr>
          <w:jc w:val="center"/>
        </w:trPr>
        <w:tc>
          <w:tcPr>
            <w:tcW w:w="263" w:type="pct"/>
            <w:shd w:val="clear" w:color="auto" w:fill="auto"/>
            <w:vAlign w:val="center"/>
          </w:tcPr>
          <w:p w:rsidR="004B1D1A" w:rsidRPr="00A75729" w:rsidRDefault="004B1D1A" w:rsidP="004B1D1A">
            <w:pPr>
              <w:spacing w:before="0" w:after="0" w:line="240" w:lineRule="auto"/>
              <w:jc w:val="center"/>
              <w:rPr>
                <w:rFonts w:eastAsia="Times New Roman"/>
                <w:b/>
                <w:sz w:val="16"/>
                <w:szCs w:val="16"/>
              </w:rPr>
            </w:pPr>
            <w:r w:rsidRPr="00A75729">
              <w:rPr>
                <w:rFonts w:eastAsia="Times New Roman"/>
                <w:b/>
                <w:sz w:val="16"/>
                <w:szCs w:val="16"/>
              </w:rPr>
              <w:t>7</w:t>
            </w:r>
          </w:p>
        </w:tc>
        <w:tc>
          <w:tcPr>
            <w:tcW w:w="787" w:type="pct"/>
            <w:vMerge/>
            <w:shd w:val="clear" w:color="auto" w:fill="auto"/>
            <w:vAlign w:val="center"/>
          </w:tcPr>
          <w:p w:rsidR="004B1D1A" w:rsidRPr="00A75729" w:rsidRDefault="004B1D1A" w:rsidP="004B1D1A">
            <w:pPr>
              <w:spacing w:before="0" w:after="0" w:line="240" w:lineRule="auto"/>
              <w:jc w:val="center"/>
              <w:rPr>
                <w:rFonts w:eastAsia="Times New Roman"/>
                <w:b/>
                <w:sz w:val="16"/>
                <w:szCs w:val="16"/>
              </w:rPr>
            </w:pPr>
          </w:p>
        </w:tc>
        <w:tc>
          <w:tcPr>
            <w:tcW w:w="526" w:type="pct"/>
            <w:shd w:val="clear" w:color="auto" w:fill="auto"/>
            <w:vAlign w:val="center"/>
          </w:tcPr>
          <w:p w:rsidR="004B1D1A" w:rsidRPr="00A75729" w:rsidRDefault="004B1D1A" w:rsidP="004B1D1A">
            <w:pPr>
              <w:spacing w:before="0" w:after="0" w:line="240" w:lineRule="auto"/>
              <w:jc w:val="center"/>
              <w:rPr>
                <w:rFonts w:eastAsia="Times New Roman"/>
                <w:b/>
                <w:sz w:val="16"/>
                <w:szCs w:val="16"/>
              </w:rPr>
            </w:pPr>
            <w:r w:rsidRPr="00A75729">
              <w:rPr>
                <w:rFonts w:eastAsia="Times New Roman"/>
                <w:b/>
                <w:bCs/>
                <w:color w:val="000000"/>
                <w:sz w:val="16"/>
                <w:szCs w:val="16"/>
              </w:rPr>
              <w:t>Comercial</w:t>
            </w:r>
          </w:p>
        </w:tc>
        <w:tc>
          <w:tcPr>
            <w:tcW w:w="526" w:type="pct"/>
            <w:shd w:val="clear" w:color="auto" w:fill="auto"/>
            <w:vAlign w:val="center"/>
          </w:tcPr>
          <w:p w:rsidR="004B1D1A" w:rsidRPr="00A75729" w:rsidRDefault="004B1D1A" w:rsidP="004B1D1A">
            <w:pPr>
              <w:spacing w:before="0" w:after="0" w:line="240" w:lineRule="auto"/>
              <w:jc w:val="center"/>
              <w:rPr>
                <w:b/>
                <w:color w:val="000000"/>
                <w:sz w:val="16"/>
                <w:szCs w:val="16"/>
              </w:rPr>
            </w:pPr>
            <w:proofErr w:type="spellStart"/>
            <w:r w:rsidRPr="00A75729">
              <w:rPr>
                <w:b/>
                <w:color w:val="000000"/>
                <w:sz w:val="16"/>
                <w:szCs w:val="16"/>
              </w:rPr>
              <w:t>XHDD</w:t>
            </w:r>
            <w:proofErr w:type="spellEnd"/>
            <w:r w:rsidRPr="00A75729">
              <w:rPr>
                <w:b/>
                <w:color w:val="000000"/>
                <w:sz w:val="16"/>
                <w:szCs w:val="16"/>
              </w:rPr>
              <w:t>-FM/</w:t>
            </w:r>
          </w:p>
          <w:p w:rsidR="004B1D1A" w:rsidRPr="00A75729" w:rsidRDefault="004B1D1A" w:rsidP="004B1D1A">
            <w:pPr>
              <w:spacing w:before="0" w:after="0" w:line="240" w:lineRule="auto"/>
              <w:jc w:val="center"/>
              <w:rPr>
                <w:rFonts w:eastAsia="Times New Roman"/>
                <w:b/>
                <w:sz w:val="16"/>
                <w:szCs w:val="16"/>
              </w:rPr>
            </w:pPr>
            <w:proofErr w:type="spellStart"/>
            <w:r w:rsidRPr="00A75729">
              <w:rPr>
                <w:b/>
                <w:color w:val="000000"/>
                <w:sz w:val="16"/>
                <w:szCs w:val="16"/>
              </w:rPr>
              <w:t>XEDD</w:t>
            </w:r>
            <w:proofErr w:type="spellEnd"/>
            <w:r w:rsidRPr="00A75729">
              <w:rPr>
                <w:b/>
                <w:color w:val="000000"/>
                <w:sz w:val="16"/>
                <w:szCs w:val="16"/>
              </w:rPr>
              <w:t>-AM</w:t>
            </w:r>
          </w:p>
        </w:tc>
        <w:tc>
          <w:tcPr>
            <w:tcW w:w="526" w:type="pct"/>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r w:rsidRPr="00A75729">
              <w:rPr>
                <w:rFonts w:eastAsia="Times New Roman"/>
                <w:b/>
                <w:bCs/>
                <w:sz w:val="16"/>
                <w:szCs w:val="16"/>
              </w:rPr>
              <w:t>92.9 MHz/</w:t>
            </w:r>
          </w:p>
          <w:p w:rsidR="004B1D1A" w:rsidRPr="00A75729" w:rsidRDefault="004B1D1A" w:rsidP="004B1D1A">
            <w:pPr>
              <w:spacing w:before="0" w:after="0" w:line="240" w:lineRule="auto"/>
              <w:jc w:val="center"/>
              <w:rPr>
                <w:rFonts w:eastAsia="Times New Roman"/>
                <w:b/>
                <w:bCs/>
                <w:sz w:val="16"/>
                <w:szCs w:val="16"/>
              </w:rPr>
            </w:pPr>
            <w:r w:rsidRPr="00A75729">
              <w:rPr>
                <w:rFonts w:eastAsia="Times New Roman"/>
                <w:b/>
                <w:bCs/>
                <w:sz w:val="16"/>
                <w:szCs w:val="16"/>
              </w:rPr>
              <w:t>800 KHz</w:t>
            </w:r>
          </w:p>
        </w:tc>
        <w:tc>
          <w:tcPr>
            <w:tcW w:w="921" w:type="pct"/>
            <w:shd w:val="clear" w:color="auto" w:fill="auto"/>
            <w:vAlign w:val="center"/>
          </w:tcPr>
          <w:p w:rsidR="004B1D1A" w:rsidRPr="00A75729" w:rsidRDefault="004B1D1A" w:rsidP="00E30100">
            <w:pPr>
              <w:spacing w:before="0" w:after="0" w:line="240" w:lineRule="auto"/>
              <w:jc w:val="center"/>
              <w:rPr>
                <w:rFonts w:eastAsia="Times New Roman"/>
                <w:b/>
                <w:bCs/>
                <w:sz w:val="16"/>
                <w:szCs w:val="16"/>
              </w:rPr>
            </w:pPr>
            <w:r w:rsidRPr="00A75729">
              <w:rPr>
                <w:rFonts w:eastAsia="Times New Roman"/>
                <w:b/>
                <w:bCs/>
                <w:sz w:val="16"/>
                <w:szCs w:val="16"/>
              </w:rPr>
              <w:t>Ojo de Agua</w:t>
            </w:r>
            <w:r w:rsidR="00E30100" w:rsidRPr="00A75729">
              <w:rPr>
                <w:rFonts w:eastAsia="Times New Roman"/>
                <w:b/>
                <w:bCs/>
                <w:sz w:val="16"/>
                <w:szCs w:val="16"/>
              </w:rPr>
              <w:t>,</w:t>
            </w:r>
            <w:r w:rsidRPr="00A75729">
              <w:rPr>
                <w:rFonts w:eastAsia="Times New Roman"/>
                <w:b/>
                <w:bCs/>
                <w:sz w:val="16"/>
                <w:szCs w:val="16"/>
              </w:rPr>
              <w:t xml:space="preserve"> Nuevo León</w:t>
            </w:r>
          </w:p>
        </w:tc>
        <w:tc>
          <w:tcPr>
            <w:tcW w:w="789" w:type="pct"/>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r w:rsidRPr="00A75729">
              <w:rPr>
                <w:rFonts w:eastAsia="Times New Roman"/>
                <w:b/>
                <w:bCs/>
                <w:sz w:val="16"/>
                <w:szCs w:val="16"/>
              </w:rPr>
              <w:t xml:space="preserve">Adalberto </w:t>
            </w:r>
            <w:proofErr w:type="spellStart"/>
            <w:r w:rsidRPr="00A75729">
              <w:rPr>
                <w:rFonts w:eastAsia="Times New Roman"/>
                <w:b/>
                <w:bCs/>
                <w:sz w:val="16"/>
                <w:szCs w:val="16"/>
              </w:rPr>
              <w:t>Pezino</w:t>
            </w:r>
            <w:proofErr w:type="spellEnd"/>
            <w:r w:rsidRPr="00A75729">
              <w:rPr>
                <w:rFonts w:eastAsia="Times New Roman"/>
                <w:b/>
                <w:bCs/>
                <w:sz w:val="16"/>
                <w:szCs w:val="16"/>
              </w:rPr>
              <w:t xml:space="preserve"> Hernandez</w:t>
            </w:r>
          </w:p>
        </w:tc>
        <w:tc>
          <w:tcPr>
            <w:tcW w:w="660" w:type="pct"/>
            <w:shd w:val="clear" w:color="auto" w:fill="auto"/>
            <w:vAlign w:val="center"/>
          </w:tcPr>
          <w:p w:rsidR="004B1D1A" w:rsidRPr="00A75729" w:rsidRDefault="004B1D1A" w:rsidP="004B1D1A">
            <w:pPr>
              <w:spacing w:before="0" w:after="0" w:line="240" w:lineRule="auto"/>
              <w:jc w:val="center"/>
              <w:rPr>
                <w:rFonts w:eastAsia="Times New Roman"/>
                <w:b/>
                <w:bCs/>
                <w:sz w:val="16"/>
                <w:szCs w:val="16"/>
              </w:rPr>
            </w:pPr>
            <w:r w:rsidRPr="00A75729">
              <w:rPr>
                <w:rFonts w:eastAsia="Times New Roman"/>
                <w:b/>
                <w:bCs/>
                <w:sz w:val="16"/>
                <w:szCs w:val="16"/>
              </w:rPr>
              <w:t>Independiente</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8</w:t>
            </w:r>
          </w:p>
        </w:tc>
        <w:tc>
          <w:tcPr>
            <w:tcW w:w="787" w:type="pct"/>
            <w:vMerge w:val="restart"/>
            <w:shd w:val="clear" w:color="auto" w:fill="FFFFFF"/>
            <w:vAlign w:val="center"/>
          </w:tcPr>
          <w:p w:rsidR="004B1D1A" w:rsidRPr="00A75729" w:rsidRDefault="004B1D1A" w:rsidP="004B1D1A">
            <w:pPr>
              <w:spacing w:before="0" w:after="0" w:line="240" w:lineRule="auto"/>
              <w:rPr>
                <w:rFonts w:eastAsia="Times New Roman"/>
                <w:sz w:val="16"/>
                <w:szCs w:val="16"/>
              </w:rPr>
            </w:pPr>
            <w:r w:rsidRPr="00A75729">
              <w:rPr>
                <w:rFonts w:eastAsia="Times New Roman"/>
                <w:sz w:val="16"/>
                <w:szCs w:val="16"/>
              </w:rPr>
              <w:t>La Voz de Linares, S.A.</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rFonts w:eastAsia="Times New Roman"/>
                <w:sz w:val="16"/>
                <w:szCs w:val="16"/>
              </w:rPr>
              <w:t>XENL</w:t>
            </w:r>
            <w:proofErr w:type="spellEnd"/>
            <w:r w:rsidRPr="00A75729">
              <w:rPr>
                <w:rFonts w:eastAsia="Times New Roman"/>
                <w:sz w:val="16"/>
                <w:szCs w:val="16"/>
              </w:rPr>
              <w:t>-AM</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860 kHz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Monterrey, Nuevo León</w:t>
            </w:r>
          </w:p>
        </w:tc>
        <w:tc>
          <w:tcPr>
            <w:tcW w:w="789" w:type="pct"/>
            <w:vMerge w:val="restar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Francisco González Sánchez</w:t>
            </w:r>
          </w:p>
        </w:tc>
        <w:tc>
          <w:tcPr>
            <w:tcW w:w="660" w:type="pct"/>
            <w:vMerge w:val="restart"/>
            <w:shd w:val="clear" w:color="auto" w:fill="FFFFFF"/>
            <w:vAlign w:val="center"/>
          </w:tcPr>
          <w:p w:rsidR="004B1D1A" w:rsidRPr="00A75729" w:rsidRDefault="004B1D1A" w:rsidP="004B1D1A">
            <w:pPr>
              <w:spacing w:before="0" w:after="0" w:line="240" w:lineRule="auto"/>
              <w:rPr>
                <w:rFonts w:eastAsia="Times New Roman"/>
                <w:bCs/>
                <w:color w:val="000000"/>
                <w:sz w:val="16"/>
                <w:szCs w:val="16"/>
              </w:rPr>
            </w:pPr>
            <w:r w:rsidRPr="00A75729">
              <w:rPr>
                <w:rFonts w:eastAsia="Times New Roman"/>
                <w:bCs/>
                <w:color w:val="000000"/>
                <w:sz w:val="16"/>
                <w:szCs w:val="16"/>
              </w:rPr>
              <w:t>Multimedios, S.A. de C.V.</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9</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color w:val="000000"/>
                <w:sz w:val="16"/>
                <w:szCs w:val="16"/>
              </w:rPr>
              <w:t>XERG</w:t>
            </w:r>
            <w:proofErr w:type="spellEnd"/>
            <w:r w:rsidRPr="00A75729">
              <w:rPr>
                <w:color w:val="000000"/>
                <w:sz w:val="16"/>
                <w:szCs w:val="16"/>
              </w:rPr>
              <w:t>-AM</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color w:val="000000"/>
                <w:sz w:val="16"/>
                <w:szCs w:val="16"/>
              </w:rPr>
              <w:t>690 KHz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Guadalupe, Nuevo León</w:t>
            </w:r>
          </w:p>
        </w:tc>
        <w:tc>
          <w:tcPr>
            <w:tcW w:w="789"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10</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color w:val="000000"/>
                <w:sz w:val="16"/>
                <w:szCs w:val="16"/>
              </w:rPr>
              <w:t>XHLN</w:t>
            </w:r>
            <w:proofErr w:type="spellEnd"/>
            <w:r w:rsidRPr="00A75729">
              <w:rPr>
                <w:color w:val="000000"/>
                <w:sz w:val="16"/>
                <w:szCs w:val="16"/>
              </w:rPr>
              <w:t xml:space="preserve">-FM </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color w:val="000000"/>
                <w:sz w:val="16"/>
                <w:szCs w:val="16"/>
              </w:rPr>
              <w:t xml:space="preserve">105.7 MHz </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Linares, Nuevo León</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Fernando Saldaña García</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11</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color w:val="000000"/>
                <w:sz w:val="16"/>
                <w:szCs w:val="16"/>
              </w:rPr>
              <w:t>XHCTC</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color w:val="000000"/>
                <w:sz w:val="16"/>
                <w:szCs w:val="16"/>
              </w:rPr>
              <w:t>99.9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Cd. Cuauhtémoc, Chihuahua</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Gabriel Dueñas Huerta</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12</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color w:val="000000"/>
                <w:sz w:val="16"/>
                <w:szCs w:val="16"/>
              </w:rPr>
              <w:t>XHAHC</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color w:val="000000"/>
                <w:sz w:val="16"/>
                <w:szCs w:val="16"/>
              </w:rPr>
              <w:t>90.9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Chihuahua, Chihuahua</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Efrén Herrera Sánchez</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13</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color w:val="000000"/>
                <w:sz w:val="16"/>
                <w:szCs w:val="16"/>
              </w:rPr>
              <w:t>XHFMTU</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color w:val="000000"/>
                <w:sz w:val="16"/>
                <w:szCs w:val="16"/>
              </w:rPr>
              <w:t>103.7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Monterrey, Nuevo León</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Francisco González Sánchez</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14</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color w:val="000000"/>
                <w:sz w:val="16"/>
                <w:szCs w:val="16"/>
              </w:rPr>
              <w:t>XHVTH</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color w:val="000000"/>
                <w:sz w:val="16"/>
                <w:szCs w:val="16"/>
              </w:rPr>
              <w:t>107.1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 xml:space="preserve">Matamoros, Tamaulipas </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Héctor Enrique López Saldívar</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15</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color w:val="000000"/>
                <w:sz w:val="16"/>
                <w:szCs w:val="16"/>
              </w:rPr>
              <w:t>XHAAA</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color w:val="000000"/>
                <w:sz w:val="16"/>
                <w:szCs w:val="16"/>
              </w:rPr>
              <w:t>93.1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Reynosa, Tamaulipas</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Raúl Villarreal Zamora</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16</w:t>
            </w:r>
          </w:p>
        </w:tc>
        <w:tc>
          <w:tcPr>
            <w:tcW w:w="787" w:type="pct"/>
            <w:vMerge w:val="restart"/>
            <w:shd w:val="clear" w:color="auto" w:fill="FFFFFF"/>
            <w:vAlign w:val="center"/>
          </w:tcPr>
          <w:p w:rsidR="004B1D1A" w:rsidRPr="00A75729" w:rsidRDefault="004B1D1A" w:rsidP="004B1D1A">
            <w:pPr>
              <w:spacing w:before="0" w:after="0" w:line="240" w:lineRule="auto"/>
              <w:rPr>
                <w:rFonts w:eastAsia="Times New Roman"/>
                <w:sz w:val="16"/>
                <w:szCs w:val="16"/>
              </w:rPr>
            </w:pPr>
            <w:r w:rsidRPr="00A75729">
              <w:rPr>
                <w:rFonts w:eastAsia="Times New Roman"/>
                <w:sz w:val="16"/>
                <w:szCs w:val="16"/>
              </w:rPr>
              <w:t>Multimedios Radio, S.A. de C.V.</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color w:val="000000"/>
                <w:sz w:val="16"/>
                <w:szCs w:val="16"/>
              </w:rPr>
              <w:t>XHCLO</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color w:val="000000"/>
                <w:sz w:val="16"/>
                <w:szCs w:val="16"/>
              </w:rPr>
              <w:t>107.1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Monclova, Coahuila</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Juana Patricia García</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17</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color w:val="000000"/>
                <w:sz w:val="16"/>
                <w:szCs w:val="16"/>
              </w:rPr>
              <w:t>XHCTO</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color w:val="000000"/>
                <w:sz w:val="16"/>
                <w:szCs w:val="16"/>
              </w:rPr>
              <w:t>93.1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Torreón, Coahuila</w:t>
            </w:r>
          </w:p>
        </w:tc>
        <w:tc>
          <w:tcPr>
            <w:tcW w:w="789" w:type="pct"/>
            <w:vMerge w:val="restar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Juan Gramillo Flores</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18</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color w:val="000000"/>
                <w:sz w:val="16"/>
                <w:szCs w:val="16"/>
              </w:rPr>
              <w:t>XHTRR</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color w:val="000000"/>
                <w:sz w:val="16"/>
                <w:szCs w:val="16"/>
              </w:rPr>
              <w:t>92.3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Torreón Coahuila</w:t>
            </w:r>
          </w:p>
        </w:tc>
        <w:tc>
          <w:tcPr>
            <w:tcW w:w="789"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19</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color w:val="000000"/>
                <w:sz w:val="16"/>
                <w:szCs w:val="16"/>
              </w:rPr>
              <w:t>XHCHA</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color w:val="000000"/>
                <w:sz w:val="16"/>
                <w:szCs w:val="16"/>
              </w:rPr>
              <w:t>104.5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Chihuahua, Chihuahua</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Efrén Herrera Sánchez</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trHeight w:val="47"/>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20</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color w:val="000000"/>
                <w:sz w:val="16"/>
                <w:szCs w:val="16"/>
              </w:rPr>
              <w:t>XHHPR</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color w:val="000000"/>
                <w:sz w:val="16"/>
                <w:szCs w:val="16"/>
              </w:rPr>
              <w:t>101.7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Hidalgo del Parral, Chihuahua</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Jorge Sánchez Carrera</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21</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rFonts w:eastAsia="Times New Roman"/>
                <w:sz w:val="16"/>
                <w:szCs w:val="16"/>
              </w:rPr>
              <w:t>XHSNP</w:t>
            </w:r>
            <w:proofErr w:type="spellEnd"/>
            <w:r w:rsidRPr="00A75729">
              <w:rPr>
                <w:rFonts w:eastAsia="Times New Roman"/>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97.7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San Luis Potosí, San Luis Potosí</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Juan Carlos Ruiz Gómez</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22</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color w:val="000000"/>
                <w:sz w:val="16"/>
                <w:szCs w:val="16"/>
              </w:rPr>
              <w:t>XHNLO</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color w:val="000000"/>
                <w:sz w:val="16"/>
                <w:szCs w:val="16"/>
              </w:rPr>
              <w:t>97.1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Nuevo Laredo, Tamaulipas</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Julián González Martínez</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23</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color w:val="000000"/>
                <w:sz w:val="16"/>
                <w:szCs w:val="16"/>
              </w:rPr>
              <w:t>XHTPO</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color w:val="000000"/>
                <w:sz w:val="16"/>
                <w:szCs w:val="16"/>
              </w:rPr>
              <w:t>94.5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Tampico, Tamaulipas</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Víctor Salazar Chávez</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24</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XHON</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96.1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Tampico, Tamaulipas</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Carlos Jesús Flores Meza</w:t>
            </w:r>
          </w:p>
        </w:tc>
        <w:tc>
          <w:tcPr>
            <w:tcW w:w="660"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 xml:space="preserve">Grupo </w:t>
            </w:r>
            <w:proofErr w:type="spellStart"/>
            <w:r w:rsidRPr="00A75729">
              <w:rPr>
                <w:rFonts w:eastAsia="Times New Roman"/>
                <w:bCs/>
                <w:color w:val="000000"/>
                <w:sz w:val="16"/>
                <w:szCs w:val="16"/>
              </w:rPr>
              <w:t>Acir</w:t>
            </w:r>
            <w:proofErr w:type="spellEnd"/>
            <w:r w:rsidRPr="00A75729">
              <w:rPr>
                <w:rFonts w:eastAsia="Times New Roman"/>
                <w:bCs/>
                <w:color w:val="000000"/>
                <w:sz w:val="16"/>
                <w:szCs w:val="16"/>
              </w:rPr>
              <w:t xml:space="preserve">, S.A. </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25</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XHPUGC</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96.3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proofErr w:type="spellStart"/>
            <w:r w:rsidRPr="00A75729">
              <w:rPr>
                <w:rFonts w:eastAsia="Times New Roman"/>
                <w:sz w:val="16"/>
                <w:szCs w:val="16"/>
              </w:rPr>
              <w:t>Úrsulo</w:t>
            </w:r>
            <w:proofErr w:type="spellEnd"/>
            <w:r w:rsidRPr="00A75729">
              <w:rPr>
                <w:rFonts w:eastAsia="Times New Roman"/>
                <w:sz w:val="16"/>
                <w:szCs w:val="16"/>
              </w:rPr>
              <w:t xml:space="preserve"> Galván, </w:t>
            </w:r>
            <w:proofErr w:type="spellStart"/>
            <w:r w:rsidRPr="00A75729">
              <w:rPr>
                <w:rFonts w:eastAsia="Times New Roman"/>
                <w:sz w:val="16"/>
                <w:szCs w:val="16"/>
              </w:rPr>
              <w:t>Cardel</w:t>
            </w:r>
            <w:proofErr w:type="spellEnd"/>
            <w:r w:rsidRPr="00A75729">
              <w:rPr>
                <w:rFonts w:eastAsia="Times New Roman"/>
                <w:sz w:val="16"/>
                <w:szCs w:val="16"/>
              </w:rPr>
              <w:t>, Veracruz</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c>
          <w:tcPr>
            <w:tcW w:w="660"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lastRenderedPageBreak/>
              <w:t>26</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XHPCCC</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103.3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Ciudad Cuauhtémoc, Chihuahua</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c>
          <w:tcPr>
            <w:tcW w:w="660"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27</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XHPALV</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100.9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Alto Lucero, Veracruz</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c>
          <w:tcPr>
            <w:tcW w:w="660"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28</w:t>
            </w:r>
          </w:p>
        </w:tc>
        <w:tc>
          <w:tcPr>
            <w:tcW w:w="787" w:type="pct"/>
            <w:vMerge w:val="restart"/>
            <w:shd w:val="clear" w:color="auto" w:fill="FFFFFF"/>
            <w:vAlign w:val="center"/>
          </w:tcPr>
          <w:p w:rsidR="004B1D1A" w:rsidRPr="00A75729" w:rsidRDefault="004B1D1A" w:rsidP="004B1D1A">
            <w:pPr>
              <w:spacing w:before="0" w:after="0" w:line="240" w:lineRule="auto"/>
              <w:rPr>
                <w:rFonts w:eastAsia="Times New Roman"/>
                <w:sz w:val="16"/>
                <w:szCs w:val="16"/>
              </w:rPr>
            </w:pPr>
            <w:r w:rsidRPr="00A75729">
              <w:rPr>
                <w:rFonts w:eastAsia="Times New Roman"/>
                <w:sz w:val="16"/>
                <w:szCs w:val="16"/>
              </w:rPr>
              <w:t>Radio Informativa, S.A. de C.V.</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XHCHH</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94.9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Chihuahua, Chihuahua</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Efrén Herrera Sánchez</w:t>
            </w:r>
          </w:p>
        </w:tc>
        <w:tc>
          <w:tcPr>
            <w:tcW w:w="660" w:type="pct"/>
            <w:vMerge w:val="restar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Multimedios, S.A. de C.V.</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29</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XHLRS</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95.3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Linares, Nuevo León</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Fernando Saldaña García</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30</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XHAW</w:t>
            </w:r>
            <w:proofErr w:type="spellEnd"/>
            <w:r w:rsidRPr="00A75729">
              <w:rPr>
                <w:color w:val="000000"/>
                <w:sz w:val="16"/>
                <w:szCs w:val="16"/>
              </w:rPr>
              <w:t xml:space="preserve">-FM </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101.3 MHz</w:t>
            </w:r>
          </w:p>
        </w:tc>
        <w:tc>
          <w:tcPr>
            <w:tcW w:w="921" w:type="pct"/>
            <w:vMerge w:val="restar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Monterrey, Nuevo León</w:t>
            </w:r>
          </w:p>
        </w:tc>
        <w:tc>
          <w:tcPr>
            <w:tcW w:w="789" w:type="pct"/>
            <w:vMerge w:val="restar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Francisco González Sánchez</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31</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XHITS</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106.1 MHz</w:t>
            </w:r>
          </w:p>
        </w:tc>
        <w:tc>
          <w:tcPr>
            <w:tcW w:w="921" w:type="pct"/>
            <w:vMerge/>
            <w:shd w:val="clear" w:color="auto" w:fill="FFFFFF"/>
            <w:vAlign w:val="center"/>
          </w:tcPr>
          <w:p w:rsidR="004B1D1A" w:rsidRPr="00A75729" w:rsidRDefault="004B1D1A" w:rsidP="004B1D1A">
            <w:pPr>
              <w:spacing w:before="0" w:after="0" w:line="240" w:lineRule="auto"/>
              <w:jc w:val="center"/>
              <w:rPr>
                <w:rFonts w:eastAsia="Times New Roman"/>
                <w:sz w:val="16"/>
                <w:szCs w:val="16"/>
              </w:rPr>
            </w:pPr>
          </w:p>
        </w:tc>
        <w:tc>
          <w:tcPr>
            <w:tcW w:w="789"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32</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XHJD</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98.9 MHz</w:t>
            </w:r>
          </w:p>
        </w:tc>
        <w:tc>
          <w:tcPr>
            <w:tcW w:w="921" w:type="pct"/>
            <w:vMerge/>
            <w:shd w:val="clear" w:color="auto" w:fill="FFFFFF"/>
            <w:vAlign w:val="center"/>
          </w:tcPr>
          <w:p w:rsidR="004B1D1A" w:rsidRPr="00A75729" w:rsidRDefault="004B1D1A" w:rsidP="004B1D1A">
            <w:pPr>
              <w:spacing w:before="0" w:after="0" w:line="240" w:lineRule="auto"/>
              <w:jc w:val="center"/>
              <w:rPr>
                <w:rFonts w:eastAsia="Times New Roman"/>
                <w:sz w:val="16"/>
                <w:szCs w:val="16"/>
              </w:rPr>
            </w:pPr>
          </w:p>
        </w:tc>
        <w:tc>
          <w:tcPr>
            <w:tcW w:w="789"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33</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XHPAG</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105.3 MHz</w:t>
            </w:r>
          </w:p>
        </w:tc>
        <w:tc>
          <w:tcPr>
            <w:tcW w:w="921" w:type="pct"/>
            <w:vMerge/>
            <w:shd w:val="clear" w:color="auto" w:fill="FFFFFF"/>
            <w:vAlign w:val="center"/>
          </w:tcPr>
          <w:p w:rsidR="004B1D1A" w:rsidRPr="00A75729" w:rsidRDefault="004B1D1A" w:rsidP="004B1D1A">
            <w:pPr>
              <w:spacing w:before="0" w:after="0" w:line="240" w:lineRule="auto"/>
              <w:jc w:val="center"/>
              <w:rPr>
                <w:rFonts w:eastAsia="Times New Roman"/>
                <w:sz w:val="16"/>
                <w:szCs w:val="16"/>
              </w:rPr>
            </w:pPr>
          </w:p>
        </w:tc>
        <w:tc>
          <w:tcPr>
            <w:tcW w:w="789"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34</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XEAW</w:t>
            </w:r>
            <w:proofErr w:type="spellEnd"/>
            <w:r w:rsidRPr="00A75729">
              <w:rPr>
                <w:color w:val="000000"/>
                <w:sz w:val="16"/>
                <w:szCs w:val="16"/>
              </w:rPr>
              <w:t>-AM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1280 KHz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Guadalupe, Nuevo León</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Francisco González Sánchez</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35</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XHRYS</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90.1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Reynosa, Tamaulipas</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Raúl Villarreal Zamora</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36</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XHPCTN</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88.3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Compostela, Nayarit</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c>
          <w:tcPr>
            <w:tcW w:w="660"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37</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XHPMAZ</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92.1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Mazatlán, Sinaloa</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c>
          <w:tcPr>
            <w:tcW w:w="660"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38</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XHPENS</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94.7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Ensenada, Baja California</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c>
          <w:tcPr>
            <w:tcW w:w="660"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39</w:t>
            </w:r>
          </w:p>
        </w:tc>
        <w:tc>
          <w:tcPr>
            <w:tcW w:w="787" w:type="pct"/>
            <w:vMerge w:val="restart"/>
            <w:shd w:val="clear" w:color="auto" w:fill="FFFFFF"/>
            <w:vAlign w:val="center"/>
          </w:tcPr>
          <w:p w:rsidR="004B1D1A" w:rsidRPr="00A75729" w:rsidRDefault="004B1D1A" w:rsidP="004B1D1A">
            <w:pPr>
              <w:spacing w:before="0" w:after="0" w:line="240" w:lineRule="auto"/>
              <w:rPr>
                <w:rFonts w:eastAsia="Times New Roman"/>
                <w:sz w:val="16"/>
                <w:szCs w:val="16"/>
              </w:rPr>
            </w:pPr>
            <w:r w:rsidRPr="00A75729">
              <w:rPr>
                <w:rFonts w:eastAsia="Times New Roman"/>
                <w:sz w:val="16"/>
                <w:szCs w:val="16"/>
              </w:rPr>
              <w:t>Radio Centinela, S.A. de C.V.</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XEAU</w:t>
            </w:r>
            <w:proofErr w:type="spellEnd"/>
            <w:r w:rsidRPr="00A75729">
              <w:rPr>
                <w:color w:val="000000"/>
                <w:sz w:val="16"/>
                <w:szCs w:val="16"/>
              </w:rPr>
              <w:t>-AM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1090 KHz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Guadalupe, Nuevo León</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Francisco González Sánchez</w:t>
            </w:r>
          </w:p>
        </w:tc>
        <w:tc>
          <w:tcPr>
            <w:tcW w:w="660" w:type="pct"/>
            <w:vMerge w:val="restar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Multimedios, S.A. de C.V.</w:t>
            </w:r>
          </w:p>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Multimedios, S.A. de C.V.</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40</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XHR</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104.9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Linares, Nuevo León</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Fernando Saldaña García</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41</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vMerge w:val="restar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vMerge w:val="restar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XHFW</w:t>
            </w:r>
            <w:proofErr w:type="spellEnd"/>
            <w:r w:rsidRPr="00A75729">
              <w:rPr>
                <w:color w:val="000000"/>
                <w:sz w:val="16"/>
                <w:szCs w:val="16"/>
              </w:rPr>
              <w:t>-FM*</w:t>
            </w:r>
          </w:p>
        </w:tc>
        <w:tc>
          <w:tcPr>
            <w:tcW w:w="526" w:type="pct"/>
            <w:vMerge w:val="restar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106.3 MHz</w:t>
            </w:r>
          </w:p>
        </w:tc>
        <w:tc>
          <w:tcPr>
            <w:tcW w:w="921" w:type="pct"/>
            <w:vMerge w:val="restar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Tampico, Tamaulipas</w:t>
            </w:r>
          </w:p>
        </w:tc>
        <w:tc>
          <w:tcPr>
            <w:tcW w:w="789" w:type="pct"/>
            <w:vMerge w:val="restar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Carlos Jesús Flores Meza</w:t>
            </w:r>
          </w:p>
        </w:tc>
        <w:tc>
          <w:tcPr>
            <w:tcW w:w="660" w:type="pct"/>
            <w:vMerge w:val="restar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Firmesa</w:t>
            </w:r>
            <w:proofErr w:type="spellEnd"/>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42</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c>
          <w:tcPr>
            <w:tcW w:w="526" w:type="pct"/>
            <w:vMerge/>
            <w:shd w:val="clear" w:color="auto" w:fill="FFFFFF"/>
            <w:vAlign w:val="center"/>
          </w:tcPr>
          <w:p w:rsidR="004B1D1A" w:rsidRPr="00A75729" w:rsidRDefault="004B1D1A" w:rsidP="004B1D1A">
            <w:pPr>
              <w:spacing w:before="0" w:after="0" w:line="240" w:lineRule="auto"/>
              <w:jc w:val="center"/>
              <w:rPr>
                <w:color w:val="000000"/>
                <w:sz w:val="16"/>
                <w:szCs w:val="16"/>
              </w:rPr>
            </w:pPr>
          </w:p>
        </w:tc>
        <w:tc>
          <w:tcPr>
            <w:tcW w:w="526" w:type="pct"/>
            <w:vMerge/>
            <w:shd w:val="clear" w:color="auto" w:fill="FFFFFF"/>
            <w:vAlign w:val="center"/>
          </w:tcPr>
          <w:p w:rsidR="004B1D1A" w:rsidRPr="00A75729" w:rsidRDefault="004B1D1A" w:rsidP="004B1D1A">
            <w:pPr>
              <w:spacing w:before="0" w:after="0" w:line="240" w:lineRule="auto"/>
              <w:jc w:val="center"/>
              <w:rPr>
                <w:color w:val="000000"/>
                <w:sz w:val="16"/>
                <w:szCs w:val="16"/>
              </w:rPr>
            </w:pPr>
          </w:p>
        </w:tc>
        <w:tc>
          <w:tcPr>
            <w:tcW w:w="921" w:type="pct"/>
            <w:vMerge/>
            <w:shd w:val="clear" w:color="auto" w:fill="FFFFFF"/>
            <w:vAlign w:val="center"/>
          </w:tcPr>
          <w:p w:rsidR="004B1D1A" w:rsidRPr="00A75729" w:rsidRDefault="004B1D1A" w:rsidP="004B1D1A">
            <w:pPr>
              <w:spacing w:before="0" w:after="0" w:line="240" w:lineRule="auto"/>
              <w:jc w:val="center"/>
              <w:rPr>
                <w:rFonts w:eastAsia="Times New Roman"/>
                <w:sz w:val="16"/>
                <w:szCs w:val="16"/>
              </w:rPr>
            </w:pPr>
          </w:p>
        </w:tc>
        <w:tc>
          <w:tcPr>
            <w:tcW w:w="789"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43</w:t>
            </w:r>
          </w:p>
        </w:tc>
        <w:tc>
          <w:tcPr>
            <w:tcW w:w="787" w:type="pct"/>
            <w:shd w:val="clear" w:color="auto" w:fill="FFFFFF"/>
            <w:vAlign w:val="center"/>
          </w:tcPr>
          <w:p w:rsidR="004B1D1A" w:rsidRPr="00A75729" w:rsidRDefault="004B1D1A" w:rsidP="004B1D1A">
            <w:pPr>
              <w:spacing w:before="0" w:after="0" w:line="240" w:lineRule="auto"/>
              <w:rPr>
                <w:rFonts w:eastAsia="Times New Roman"/>
                <w:sz w:val="16"/>
                <w:szCs w:val="16"/>
              </w:rPr>
            </w:pPr>
            <w:r w:rsidRPr="00A75729">
              <w:rPr>
                <w:color w:val="000000"/>
                <w:sz w:val="16"/>
                <w:szCs w:val="16"/>
              </w:rPr>
              <w:t>Transmisora Monterrey, S.A. de C.V.</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XETKR</w:t>
            </w:r>
            <w:proofErr w:type="spellEnd"/>
            <w:r w:rsidRPr="00A75729">
              <w:rPr>
                <w:color w:val="000000"/>
                <w:sz w:val="16"/>
                <w:szCs w:val="16"/>
              </w:rPr>
              <w:t>-AM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1,480 KHz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Guadalupe, Nuevo León</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Francisco González Sánchez</w:t>
            </w:r>
          </w:p>
        </w:tc>
        <w:tc>
          <w:tcPr>
            <w:tcW w:w="660" w:type="pct"/>
            <w:vMerge w:val="restar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Multimedios, S.A. de C.V.</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44</w:t>
            </w:r>
          </w:p>
        </w:tc>
        <w:tc>
          <w:tcPr>
            <w:tcW w:w="787" w:type="pct"/>
            <w:vMerge w:val="restart"/>
            <w:shd w:val="clear" w:color="auto" w:fill="FFFFFF"/>
            <w:vAlign w:val="center"/>
          </w:tcPr>
          <w:p w:rsidR="004B1D1A" w:rsidRPr="00A75729" w:rsidRDefault="004B1D1A" w:rsidP="004B1D1A">
            <w:pPr>
              <w:spacing w:before="0" w:after="0" w:line="240" w:lineRule="auto"/>
              <w:rPr>
                <w:rFonts w:eastAsia="Times New Roman"/>
                <w:sz w:val="16"/>
                <w:szCs w:val="16"/>
              </w:rPr>
            </w:pPr>
            <w:r w:rsidRPr="00A75729">
              <w:rPr>
                <w:rFonts w:eastAsia="Times New Roman"/>
                <w:sz w:val="16"/>
                <w:szCs w:val="16"/>
              </w:rPr>
              <w:t>Televisión Digital, S.A. de C.V.</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XHAW-TDT</w:t>
            </w:r>
            <w:proofErr w:type="spellEnd"/>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Canal 25</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Monterrey, Nuevo León</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Hugo Ismael Chapa Gamboa</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45</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XHSAW-TDT</w:t>
            </w:r>
            <w:proofErr w:type="spellEnd"/>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Canal 21</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Sabinas Hidalgo, Nuevo León</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Guillermo Franco Gallegos</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46</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XHVTV-TDT</w:t>
            </w:r>
            <w:proofErr w:type="spellEnd"/>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Canal 51</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Matamoros, Tamaulipas</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 xml:space="preserve">Héctor Enrique López Saldívar </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47</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XHTDJA-TDT</w:t>
            </w:r>
            <w:proofErr w:type="spellEnd"/>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Canal 34</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Guadalajara, Jalisco</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c>
          <w:tcPr>
            <w:tcW w:w="660"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48</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XHTDMX-TDT</w:t>
            </w:r>
            <w:proofErr w:type="spellEnd"/>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Canal 11</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Ciudad de México</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c>
          <w:tcPr>
            <w:tcW w:w="660"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49</w:t>
            </w:r>
          </w:p>
        </w:tc>
        <w:tc>
          <w:tcPr>
            <w:tcW w:w="787" w:type="pct"/>
            <w:vMerge w:val="restart"/>
            <w:shd w:val="clear" w:color="auto" w:fill="FFFFFF"/>
            <w:vAlign w:val="center"/>
          </w:tcPr>
          <w:p w:rsidR="004B1D1A" w:rsidRPr="00A75729" w:rsidRDefault="004B1D1A" w:rsidP="004B1D1A">
            <w:pPr>
              <w:spacing w:before="0" w:after="0" w:line="240" w:lineRule="auto"/>
              <w:rPr>
                <w:rFonts w:eastAsia="Times New Roman"/>
                <w:sz w:val="16"/>
                <w:szCs w:val="16"/>
              </w:rPr>
            </w:pPr>
            <w:r w:rsidRPr="00A75729">
              <w:rPr>
                <w:rFonts w:eastAsia="Times New Roman"/>
                <w:sz w:val="16"/>
                <w:szCs w:val="16"/>
              </w:rPr>
              <w:t>Multimedios Televisión, S.A. de C.V.</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XHOAH-TDT</w:t>
            </w:r>
            <w:proofErr w:type="spellEnd"/>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Canal 23</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Torreón, Coahuila</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Juan Gramillo Flores</w:t>
            </w:r>
          </w:p>
        </w:tc>
        <w:tc>
          <w:tcPr>
            <w:tcW w:w="660" w:type="pct"/>
            <w:vMerge w:val="restar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Multimedios, S.A. de C.V.</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50</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XHLGG-TDT</w:t>
            </w:r>
            <w:proofErr w:type="spellEnd"/>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Canal 27</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León, Guanajuato</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Martín Arriaga Soto</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51</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XHVTU-TDT</w:t>
            </w:r>
            <w:proofErr w:type="spellEnd"/>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Canal 50</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Cd. Victoria, Tamaulipas</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Armando Orta González</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52</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XHNAT-TDT</w:t>
            </w:r>
            <w:proofErr w:type="spellEnd"/>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Canal 32</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Nuevo Laredo, Tamaulipas</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Julián González Martínez</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53</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XHTAO-TDT</w:t>
            </w:r>
            <w:proofErr w:type="spellEnd"/>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Canal 47</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Tampico, Tamaulipas</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Víctor Salazar Chávez</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54</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XHMTCO-TDT</w:t>
            </w:r>
            <w:proofErr w:type="spellEnd"/>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Canal 33</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 xml:space="preserve">Monclova y Castaños, </w:t>
            </w:r>
            <w:proofErr w:type="spellStart"/>
            <w:r w:rsidRPr="00A75729">
              <w:rPr>
                <w:rFonts w:eastAsia="Times New Roman"/>
                <w:sz w:val="16"/>
                <w:szCs w:val="16"/>
              </w:rPr>
              <w:t>Coah</w:t>
            </w:r>
            <w:proofErr w:type="spellEnd"/>
            <w:r w:rsidRPr="00A75729">
              <w:rPr>
                <w:rFonts w:eastAsia="Times New Roman"/>
                <w:sz w:val="16"/>
                <w:szCs w:val="16"/>
              </w:rPr>
              <w:t>.</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c>
          <w:tcPr>
            <w:tcW w:w="660"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55</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XHMTCH-TDT</w:t>
            </w:r>
            <w:proofErr w:type="spellEnd"/>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Canal 28</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 xml:space="preserve">Ciudad Juárez, </w:t>
            </w:r>
            <w:proofErr w:type="spellStart"/>
            <w:r w:rsidRPr="00A75729">
              <w:rPr>
                <w:rFonts w:eastAsia="Times New Roman"/>
                <w:sz w:val="16"/>
                <w:szCs w:val="16"/>
              </w:rPr>
              <w:t>Chih</w:t>
            </w:r>
            <w:proofErr w:type="spellEnd"/>
            <w:r w:rsidRPr="00A75729">
              <w:rPr>
                <w:rFonts w:eastAsia="Times New Roman"/>
                <w:sz w:val="16"/>
                <w:szCs w:val="16"/>
              </w:rPr>
              <w:t>.</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c>
          <w:tcPr>
            <w:tcW w:w="660"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lastRenderedPageBreak/>
              <w:t>56</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XHTPU-TDT</w:t>
            </w:r>
            <w:proofErr w:type="spellEnd"/>
            <w:r w:rsidRPr="00A75729">
              <w:rPr>
                <w:color w:val="000000"/>
                <w:sz w:val="16"/>
                <w:szCs w:val="16"/>
              </w:rPr>
              <w:t xml:space="preserve"> </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Canal 15</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Puebla, Puebla.</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c>
          <w:tcPr>
            <w:tcW w:w="660"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57</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XHMTDU-TDT</w:t>
            </w:r>
            <w:proofErr w:type="spellEnd"/>
            <w:r w:rsidRPr="00A75729">
              <w:rPr>
                <w:color w:val="000000"/>
                <w:sz w:val="16"/>
                <w:szCs w:val="16"/>
              </w:rPr>
              <w:t xml:space="preserve"> </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Canal 29</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 xml:space="preserve">Durango, </w:t>
            </w:r>
            <w:proofErr w:type="spellStart"/>
            <w:r w:rsidRPr="00A75729">
              <w:rPr>
                <w:rFonts w:eastAsia="Times New Roman"/>
                <w:sz w:val="16"/>
                <w:szCs w:val="16"/>
              </w:rPr>
              <w:t>Dgo</w:t>
            </w:r>
            <w:proofErr w:type="spellEnd"/>
            <w:r w:rsidRPr="00A75729">
              <w:rPr>
                <w:rFonts w:eastAsia="Times New Roman"/>
                <w:sz w:val="16"/>
                <w:szCs w:val="16"/>
              </w:rPr>
              <w:t>.</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c>
          <w:tcPr>
            <w:tcW w:w="660"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roofErr w:type="spellStart"/>
            <w:r w:rsidRPr="00A75729">
              <w:rPr>
                <w:rFonts w:eastAsia="Times New Roman"/>
                <w:bCs/>
                <w:color w:val="000000"/>
                <w:sz w:val="16"/>
                <w:szCs w:val="16"/>
              </w:rPr>
              <w:t>N.D</w:t>
            </w:r>
            <w:proofErr w:type="spellEnd"/>
            <w:r w:rsidRPr="00A75729">
              <w:rPr>
                <w:rFonts w:eastAsia="Times New Roman"/>
                <w:bCs/>
                <w:color w:val="000000"/>
                <w:sz w:val="16"/>
                <w:szCs w:val="16"/>
              </w:rPr>
              <w:t>.</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58</w:t>
            </w:r>
          </w:p>
        </w:tc>
        <w:tc>
          <w:tcPr>
            <w:tcW w:w="787" w:type="pct"/>
            <w:vMerge/>
            <w:shd w:val="clear" w:color="auto" w:fill="FFFFFF"/>
            <w:vAlign w:val="center"/>
          </w:tcPr>
          <w:p w:rsidR="004B1D1A" w:rsidRPr="00A75729" w:rsidRDefault="004B1D1A" w:rsidP="004B1D1A">
            <w:pPr>
              <w:spacing w:before="0" w:after="0" w:line="240" w:lineRule="auto"/>
              <w:rPr>
                <w:rFonts w:eastAsia="Times New Roman"/>
                <w:sz w:val="16"/>
                <w:szCs w:val="16"/>
              </w:rPr>
            </w:pP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XHTW</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107.1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Tampico, Tamaulipas</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Carlos Jesús Flores Meza</w:t>
            </w:r>
          </w:p>
        </w:tc>
        <w:tc>
          <w:tcPr>
            <w:tcW w:w="660"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Radiodifusoras Asociadas, S.A.</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59</w:t>
            </w:r>
          </w:p>
        </w:tc>
        <w:tc>
          <w:tcPr>
            <w:tcW w:w="787" w:type="pct"/>
            <w:shd w:val="clear" w:color="auto" w:fill="FFFFFF"/>
            <w:vAlign w:val="center"/>
          </w:tcPr>
          <w:p w:rsidR="004B1D1A" w:rsidRPr="00A75729" w:rsidRDefault="004B1D1A" w:rsidP="004B1D1A">
            <w:pPr>
              <w:spacing w:before="0" w:after="0" w:line="240" w:lineRule="auto"/>
              <w:rPr>
                <w:rFonts w:eastAsia="Times New Roman"/>
                <w:sz w:val="16"/>
                <w:szCs w:val="16"/>
              </w:rPr>
            </w:pPr>
            <w:proofErr w:type="spellStart"/>
            <w:r w:rsidRPr="00A75729">
              <w:rPr>
                <w:color w:val="000000"/>
                <w:sz w:val="16"/>
                <w:szCs w:val="16"/>
              </w:rPr>
              <w:t>Telesistemas</w:t>
            </w:r>
            <w:proofErr w:type="spellEnd"/>
            <w:r w:rsidRPr="00A75729">
              <w:rPr>
                <w:color w:val="000000"/>
                <w:sz w:val="16"/>
                <w:szCs w:val="16"/>
              </w:rPr>
              <w:t xml:space="preserve"> de Coahuila, S.A. de C.V.</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sz w:val="16"/>
                <w:szCs w:val="16"/>
              </w:rPr>
              <w:t>XHSDD-TDT</w:t>
            </w:r>
            <w:proofErr w:type="spellEnd"/>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 xml:space="preserve">Canal </w:t>
            </w:r>
            <w:r w:rsidRPr="00A75729">
              <w:rPr>
                <w:sz w:val="16"/>
                <w:szCs w:val="16"/>
              </w:rPr>
              <w:t>21</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sz w:val="16"/>
                <w:szCs w:val="16"/>
              </w:rPr>
              <w:t xml:space="preserve">Sabinas, </w:t>
            </w:r>
            <w:proofErr w:type="spellStart"/>
            <w:r w:rsidRPr="00A75729">
              <w:rPr>
                <w:sz w:val="16"/>
                <w:szCs w:val="16"/>
              </w:rPr>
              <w:t>Coah</w:t>
            </w:r>
            <w:proofErr w:type="spellEnd"/>
            <w:r w:rsidRPr="00A75729">
              <w:rPr>
                <w:sz w:val="16"/>
                <w:szCs w:val="16"/>
              </w:rPr>
              <w:t>.</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color w:val="000000"/>
                <w:sz w:val="16"/>
                <w:szCs w:val="16"/>
              </w:rPr>
              <w:t> --</w:t>
            </w:r>
          </w:p>
        </w:tc>
        <w:tc>
          <w:tcPr>
            <w:tcW w:w="660"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color w:val="000000"/>
                <w:sz w:val="16"/>
                <w:szCs w:val="16"/>
              </w:rPr>
              <w:t>--</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60</w:t>
            </w:r>
          </w:p>
        </w:tc>
        <w:tc>
          <w:tcPr>
            <w:tcW w:w="787" w:type="pct"/>
            <w:shd w:val="clear" w:color="auto" w:fill="FFFFFF"/>
            <w:vAlign w:val="center"/>
          </w:tcPr>
          <w:p w:rsidR="004B1D1A" w:rsidRPr="00A75729" w:rsidRDefault="004B1D1A" w:rsidP="004B1D1A">
            <w:pPr>
              <w:spacing w:before="0" w:after="0" w:line="240" w:lineRule="auto"/>
              <w:rPr>
                <w:rFonts w:eastAsia="Times New Roman"/>
                <w:sz w:val="16"/>
                <w:szCs w:val="16"/>
              </w:rPr>
            </w:pPr>
            <w:proofErr w:type="spellStart"/>
            <w:r w:rsidRPr="00A75729">
              <w:rPr>
                <w:sz w:val="16"/>
                <w:szCs w:val="16"/>
              </w:rPr>
              <w:t>XHFJS</w:t>
            </w:r>
            <w:proofErr w:type="spellEnd"/>
            <w:r w:rsidRPr="00A75729">
              <w:rPr>
                <w:sz w:val="16"/>
                <w:szCs w:val="16"/>
              </w:rPr>
              <w:t>-TV, S.A. de C.V.</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XHPNW-TDT</w:t>
            </w:r>
            <w:proofErr w:type="spellEnd"/>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Canal 39</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color w:val="000000"/>
                <w:sz w:val="16"/>
                <w:szCs w:val="16"/>
              </w:rPr>
              <w:t xml:space="preserve">Piedras Negras, </w:t>
            </w:r>
            <w:proofErr w:type="spellStart"/>
            <w:r w:rsidRPr="00A75729">
              <w:rPr>
                <w:color w:val="000000"/>
                <w:sz w:val="16"/>
                <w:szCs w:val="16"/>
              </w:rPr>
              <w:t>Coah</w:t>
            </w:r>
            <w:proofErr w:type="spellEnd"/>
            <w:r w:rsidRPr="00A75729">
              <w:rPr>
                <w:color w:val="000000"/>
                <w:sz w:val="16"/>
                <w:szCs w:val="16"/>
              </w:rPr>
              <w:t>.</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color w:val="000000"/>
                <w:sz w:val="16"/>
                <w:szCs w:val="16"/>
              </w:rPr>
              <w:t> --</w:t>
            </w:r>
          </w:p>
        </w:tc>
        <w:tc>
          <w:tcPr>
            <w:tcW w:w="660"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color w:val="000000"/>
                <w:sz w:val="16"/>
                <w:szCs w:val="16"/>
              </w:rPr>
              <w:t>--</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61</w:t>
            </w:r>
          </w:p>
        </w:tc>
        <w:tc>
          <w:tcPr>
            <w:tcW w:w="787" w:type="pct"/>
            <w:shd w:val="clear" w:color="auto" w:fill="FFFFFF"/>
            <w:vAlign w:val="center"/>
          </w:tcPr>
          <w:p w:rsidR="004B1D1A" w:rsidRPr="00A75729" w:rsidRDefault="004B1D1A" w:rsidP="004B1D1A">
            <w:pPr>
              <w:spacing w:before="0" w:after="0" w:line="240" w:lineRule="auto"/>
              <w:rPr>
                <w:rFonts w:eastAsia="Times New Roman"/>
                <w:sz w:val="16"/>
                <w:szCs w:val="16"/>
              </w:rPr>
            </w:pPr>
            <w:r w:rsidRPr="00A75729">
              <w:rPr>
                <w:sz w:val="16"/>
                <w:szCs w:val="16"/>
              </w:rPr>
              <w:t xml:space="preserve">Radiodifusora </w:t>
            </w:r>
            <w:proofErr w:type="spellStart"/>
            <w:r w:rsidRPr="00A75729">
              <w:rPr>
                <w:sz w:val="16"/>
                <w:szCs w:val="16"/>
              </w:rPr>
              <w:t>XEBP</w:t>
            </w:r>
            <w:proofErr w:type="spellEnd"/>
            <w:r w:rsidRPr="00A75729">
              <w:rPr>
                <w:sz w:val="16"/>
                <w:szCs w:val="16"/>
              </w:rPr>
              <w:t>-AM, S.A. de C.V.</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XHBP</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90.3 MHz</w:t>
            </w:r>
          </w:p>
        </w:tc>
        <w:tc>
          <w:tcPr>
            <w:tcW w:w="921" w:type="pct"/>
            <w:vMerge w:val="restar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Gómez Palacio, Durango</w:t>
            </w:r>
          </w:p>
        </w:tc>
        <w:tc>
          <w:tcPr>
            <w:tcW w:w="789" w:type="pct"/>
            <w:vMerge w:val="restar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Juan Gramillo Flores</w:t>
            </w:r>
          </w:p>
        </w:tc>
        <w:tc>
          <w:tcPr>
            <w:tcW w:w="660" w:type="pct"/>
            <w:vMerge w:val="restar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 xml:space="preserve">Multimedios, S.A. de </w:t>
            </w:r>
            <w:proofErr w:type="spellStart"/>
            <w:r w:rsidRPr="00A75729">
              <w:rPr>
                <w:rFonts w:eastAsia="Times New Roman"/>
                <w:bCs/>
                <w:color w:val="000000"/>
                <w:sz w:val="16"/>
                <w:szCs w:val="16"/>
              </w:rPr>
              <w:t>C.V</w:t>
            </w:r>
            <w:proofErr w:type="spellEnd"/>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62</w:t>
            </w:r>
          </w:p>
        </w:tc>
        <w:tc>
          <w:tcPr>
            <w:tcW w:w="787" w:type="pct"/>
            <w:shd w:val="clear" w:color="auto" w:fill="FFFFFF"/>
            <w:vAlign w:val="center"/>
          </w:tcPr>
          <w:p w:rsidR="004B1D1A" w:rsidRPr="00A75729" w:rsidRDefault="004B1D1A" w:rsidP="004B1D1A">
            <w:pPr>
              <w:spacing w:before="0" w:after="0" w:line="240" w:lineRule="auto"/>
              <w:rPr>
                <w:rFonts w:eastAsia="Times New Roman"/>
                <w:sz w:val="16"/>
                <w:szCs w:val="16"/>
              </w:rPr>
            </w:pPr>
            <w:r w:rsidRPr="00A75729">
              <w:rPr>
                <w:sz w:val="16"/>
                <w:szCs w:val="16"/>
              </w:rPr>
              <w:t xml:space="preserve">Radiodifusora </w:t>
            </w:r>
            <w:proofErr w:type="spellStart"/>
            <w:r w:rsidRPr="00A75729">
              <w:rPr>
                <w:sz w:val="16"/>
                <w:szCs w:val="16"/>
              </w:rPr>
              <w:t>XEGZ</w:t>
            </w:r>
            <w:proofErr w:type="spellEnd"/>
            <w:r w:rsidRPr="00A75729">
              <w:rPr>
                <w:sz w:val="16"/>
                <w:szCs w:val="16"/>
              </w:rPr>
              <w:t xml:space="preserve"> AM, S.A. de C.V.</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XHGZ</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99.5 MHz</w:t>
            </w:r>
          </w:p>
        </w:tc>
        <w:tc>
          <w:tcPr>
            <w:tcW w:w="921" w:type="pct"/>
            <w:vMerge/>
            <w:shd w:val="clear" w:color="auto" w:fill="FFFFFF"/>
            <w:vAlign w:val="center"/>
          </w:tcPr>
          <w:p w:rsidR="004B1D1A" w:rsidRPr="00A75729" w:rsidRDefault="004B1D1A" w:rsidP="004B1D1A">
            <w:pPr>
              <w:spacing w:before="0" w:after="0" w:line="240" w:lineRule="auto"/>
              <w:jc w:val="center"/>
              <w:rPr>
                <w:rFonts w:eastAsia="Times New Roman"/>
                <w:sz w:val="16"/>
                <w:szCs w:val="16"/>
              </w:rPr>
            </w:pPr>
          </w:p>
        </w:tc>
        <w:tc>
          <w:tcPr>
            <w:tcW w:w="789"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63</w:t>
            </w:r>
          </w:p>
        </w:tc>
        <w:tc>
          <w:tcPr>
            <w:tcW w:w="787" w:type="pct"/>
            <w:shd w:val="clear" w:color="auto" w:fill="FFFFFF"/>
            <w:vAlign w:val="center"/>
          </w:tcPr>
          <w:p w:rsidR="004B1D1A" w:rsidRPr="00A75729" w:rsidRDefault="004B1D1A" w:rsidP="004B1D1A">
            <w:pPr>
              <w:spacing w:before="0" w:after="0" w:line="240" w:lineRule="auto"/>
              <w:rPr>
                <w:rFonts w:eastAsia="Times New Roman"/>
                <w:sz w:val="16"/>
                <w:szCs w:val="16"/>
                <w:lang w:val="en-US"/>
              </w:rPr>
            </w:pPr>
            <w:proofErr w:type="spellStart"/>
            <w:r w:rsidRPr="00A75729">
              <w:rPr>
                <w:sz w:val="16"/>
                <w:szCs w:val="16"/>
                <w:lang w:val="en-US"/>
              </w:rPr>
              <w:t>XESAC</w:t>
            </w:r>
            <w:proofErr w:type="spellEnd"/>
            <w:r w:rsidRPr="00A75729">
              <w:rPr>
                <w:sz w:val="16"/>
                <w:szCs w:val="16"/>
                <w:lang w:val="en-US"/>
              </w:rPr>
              <w:t>-AM, S.A. de C.V.</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XHSAC</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99.3 MHZ</w:t>
            </w:r>
          </w:p>
        </w:tc>
        <w:tc>
          <w:tcPr>
            <w:tcW w:w="921" w:type="pct"/>
            <w:vMerge w:val="restar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Saltillo, Coahuila</w:t>
            </w:r>
          </w:p>
        </w:tc>
        <w:tc>
          <w:tcPr>
            <w:tcW w:w="789" w:type="pct"/>
            <w:vMerge w:val="restar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 xml:space="preserve">Juan Manuel Dávila </w:t>
            </w:r>
            <w:proofErr w:type="spellStart"/>
            <w:r w:rsidRPr="00A75729">
              <w:rPr>
                <w:rFonts w:eastAsia="Times New Roman"/>
                <w:bCs/>
                <w:color w:val="000000"/>
                <w:sz w:val="16"/>
                <w:szCs w:val="16"/>
              </w:rPr>
              <w:t>Udave</w:t>
            </w:r>
            <w:proofErr w:type="spellEnd"/>
          </w:p>
        </w:tc>
        <w:tc>
          <w:tcPr>
            <w:tcW w:w="660" w:type="pct"/>
            <w:vMerge w:val="restar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Multimedios, S.A. de C.V.</w:t>
            </w: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64</w:t>
            </w:r>
          </w:p>
        </w:tc>
        <w:tc>
          <w:tcPr>
            <w:tcW w:w="787" w:type="pct"/>
            <w:shd w:val="clear" w:color="auto" w:fill="FFFFFF"/>
            <w:vAlign w:val="center"/>
          </w:tcPr>
          <w:p w:rsidR="004B1D1A" w:rsidRPr="00A75729" w:rsidRDefault="004B1D1A" w:rsidP="004B1D1A">
            <w:pPr>
              <w:spacing w:before="0" w:after="0" w:line="240" w:lineRule="auto"/>
              <w:rPr>
                <w:rFonts w:eastAsia="Times New Roman"/>
                <w:sz w:val="16"/>
                <w:szCs w:val="16"/>
                <w:lang w:val="en-US"/>
              </w:rPr>
            </w:pPr>
            <w:proofErr w:type="spellStart"/>
            <w:r w:rsidRPr="00A75729">
              <w:rPr>
                <w:sz w:val="16"/>
                <w:szCs w:val="16"/>
                <w:lang w:val="en-US"/>
              </w:rPr>
              <w:t>XESHT</w:t>
            </w:r>
            <w:proofErr w:type="spellEnd"/>
            <w:r w:rsidRPr="00A75729">
              <w:rPr>
                <w:sz w:val="16"/>
                <w:szCs w:val="16"/>
                <w:lang w:val="en-US"/>
              </w:rPr>
              <w:t>-AM, S.A. de C.V.</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XHSHT</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102.5 MHz</w:t>
            </w:r>
          </w:p>
        </w:tc>
        <w:tc>
          <w:tcPr>
            <w:tcW w:w="921" w:type="pct"/>
            <w:vMerge/>
            <w:shd w:val="clear" w:color="auto" w:fill="FFFFFF"/>
            <w:vAlign w:val="center"/>
          </w:tcPr>
          <w:p w:rsidR="004B1D1A" w:rsidRPr="00A75729" w:rsidRDefault="004B1D1A" w:rsidP="004B1D1A">
            <w:pPr>
              <w:spacing w:before="0" w:after="0" w:line="240" w:lineRule="auto"/>
              <w:jc w:val="center"/>
              <w:rPr>
                <w:rFonts w:eastAsia="Times New Roman"/>
                <w:sz w:val="16"/>
                <w:szCs w:val="16"/>
              </w:rPr>
            </w:pPr>
          </w:p>
        </w:tc>
        <w:tc>
          <w:tcPr>
            <w:tcW w:w="789"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65</w:t>
            </w:r>
          </w:p>
        </w:tc>
        <w:tc>
          <w:tcPr>
            <w:tcW w:w="787" w:type="pct"/>
            <w:shd w:val="clear" w:color="auto" w:fill="FFFFFF"/>
            <w:vAlign w:val="center"/>
          </w:tcPr>
          <w:p w:rsidR="004B1D1A" w:rsidRPr="00A75729" w:rsidRDefault="004B1D1A" w:rsidP="004B1D1A">
            <w:pPr>
              <w:spacing w:before="0" w:after="0" w:line="240" w:lineRule="auto"/>
              <w:rPr>
                <w:rFonts w:eastAsia="Times New Roman"/>
                <w:sz w:val="16"/>
                <w:szCs w:val="16"/>
              </w:rPr>
            </w:pPr>
            <w:r w:rsidRPr="00A75729">
              <w:rPr>
                <w:sz w:val="16"/>
                <w:szCs w:val="16"/>
              </w:rPr>
              <w:t>Gutiérrez Meléndez Adalberto</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XHEAT</w:t>
            </w:r>
            <w:proofErr w:type="spellEnd"/>
            <w:r w:rsidRPr="00A75729">
              <w:rPr>
                <w:color w:val="000000"/>
                <w:sz w:val="16"/>
                <w:szCs w:val="16"/>
              </w:rPr>
              <w:t xml:space="preserve">-FM </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102.5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Hidalgo del Parral, Chihuahua</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Jorge Sánchez Carrera</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66</w:t>
            </w:r>
          </w:p>
        </w:tc>
        <w:tc>
          <w:tcPr>
            <w:tcW w:w="787" w:type="pct"/>
            <w:shd w:val="clear" w:color="auto" w:fill="FFFFFF"/>
            <w:vAlign w:val="center"/>
          </w:tcPr>
          <w:p w:rsidR="004B1D1A" w:rsidRPr="00A75729" w:rsidRDefault="004B1D1A" w:rsidP="004B1D1A">
            <w:pPr>
              <w:spacing w:before="0" w:after="0" w:line="240" w:lineRule="auto"/>
              <w:rPr>
                <w:rFonts w:eastAsia="Times New Roman"/>
                <w:sz w:val="16"/>
                <w:szCs w:val="16"/>
              </w:rPr>
            </w:pPr>
            <w:r w:rsidRPr="00A75729">
              <w:rPr>
                <w:sz w:val="16"/>
                <w:szCs w:val="16"/>
              </w:rPr>
              <w:t>Radio Chihuahua, S.a. de C.V.</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XHHEM</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103.7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Chihuahua, Chihuahua</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Ricardo Boone Salmón</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67</w:t>
            </w:r>
          </w:p>
        </w:tc>
        <w:tc>
          <w:tcPr>
            <w:tcW w:w="787" w:type="pct"/>
            <w:shd w:val="clear" w:color="auto" w:fill="FFFFFF"/>
            <w:vAlign w:val="center"/>
          </w:tcPr>
          <w:p w:rsidR="004B1D1A" w:rsidRPr="00A75729" w:rsidRDefault="004B1D1A" w:rsidP="004B1D1A">
            <w:pPr>
              <w:spacing w:before="0" w:after="0" w:line="240" w:lineRule="auto"/>
              <w:rPr>
                <w:rFonts w:eastAsia="Times New Roman"/>
                <w:sz w:val="16"/>
                <w:szCs w:val="16"/>
              </w:rPr>
            </w:pPr>
            <w:r w:rsidRPr="00A75729">
              <w:rPr>
                <w:sz w:val="16"/>
                <w:szCs w:val="16"/>
              </w:rPr>
              <w:t>Amplitudes y Frecuencias de Occidente, S.A. de C.V.</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XHXT</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103.7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color w:val="000000"/>
                <w:sz w:val="16"/>
                <w:szCs w:val="16"/>
              </w:rPr>
              <w:t>Tepic, Nayarit</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Verónica Castañeda Uribe</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68</w:t>
            </w:r>
          </w:p>
        </w:tc>
        <w:tc>
          <w:tcPr>
            <w:tcW w:w="787" w:type="pct"/>
            <w:shd w:val="clear" w:color="auto" w:fill="FFFFFF"/>
            <w:vAlign w:val="center"/>
          </w:tcPr>
          <w:p w:rsidR="004B1D1A" w:rsidRPr="00A75729" w:rsidRDefault="004B1D1A" w:rsidP="004B1D1A">
            <w:pPr>
              <w:spacing w:before="0" w:after="0" w:line="240" w:lineRule="auto"/>
              <w:rPr>
                <w:rFonts w:eastAsia="Times New Roman"/>
                <w:sz w:val="16"/>
                <w:szCs w:val="16"/>
              </w:rPr>
            </w:pPr>
            <w:r w:rsidRPr="00A75729">
              <w:rPr>
                <w:sz w:val="16"/>
                <w:szCs w:val="16"/>
              </w:rPr>
              <w:t>Medios de Información de Occidente, S.A. de C.V.</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XHGDA</w:t>
            </w:r>
            <w:proofErr w:type="spellEnd"/>
            <w:r w:rsidRPr="00A75729">
              <w:rPr>
                <w:color w:val="000000"/>
                <w:sz w:val="16"/>
                <w:szCs w:val="16"/>
              </w:rPr>
              <w:t>-FM </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89.1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rFonts w:eastAsia="Times New Roman"/>
                <w:sz w:val="16"/>
                <w:szCs w:val="16"/>
              </w:rPr>
              <w:t>Guadalajara, Jalisco</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Jaime Barrera Rodríguez</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69</w:t>
            </w:r>
          </w:p>
        </w:tc>
        <w:tc>
          <w:tcPr>
            <w:tcW w:w="787" w:type="pct"/>
            <w:shd w:val="clear" w:color="auto" w:fill="FFFFFF"/>
            <w:vAlign w:val="center"/>
          </w:tcPr>
          <w:p w:rsidR="004B1D1A" w:rsidRPr="00A75729" w:rsidRDefault="004B1D1A" w:rsidP="004B1D1A">
            <w:pPr>
              <w:spacing w:before="0" w:after="0" w:line="240" w:lineRule="auto"/>
              <w:rPr>
                <w:rFonts w:eastAsia="Times New Roman"/>
                <w:sz w:val="16"/>
                <w:szCs w:val="16"/>
              </w:rPr>
            </w:pPr>
            <w:r w:rsidRPr="00A75729">
              <w:rPr>
                <w:sz w:val="16"/>
                <w:szCs w:val="16"/>
              </w:rPr>
              <w:t>Radio Zócalo, S.A. de C.V.</w:t>
            </w:r>
          </w:p>
        </w:tc>
        <w:tc>
          <w:tcPr>
            <w:tcW w:w="526"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color w:val="000000"/>
                <w:sz w:val="16"/>
                <w:szCs w:val="16"/>
              </w:rPr>
              <w:t>XHPC</w:t>
            </w:r>
            <w:proofErr w:type="spellEnd"/>
            <w:r w:rsidRPr="00A75729">
              <w:rPr>
                <w:color w:val="000000"/>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107.9 MHz</w:t>
            </w:r>
          </w:p>
        </w:tc>
        <w:tc>
          <w:tcPr>
            <w:tcW w:w="921" w:type="pct"/>
            <w:shd w:val="clear" w:color="auto" w:fill="FFFFFF"/>
            <w:vAlign w:val="center"/>
          </w:tcPr>
          <w:p w:rsidR="004B1D1A" w:rsidRPr="00A75729" w:rsidRDefault="004B1D1A" w:rsidP="004B1D1A">
            <w:pPr>
              <w:spacing w:before="0" w:after="0" w:line="240" w:lineRule="auto"/>
              <w:jc w:val="center"/>
              <w:rPr>
                <w:rFonts w:eastAsia="Times New Roman"/>
                <w:sz w:val="16"/>
                <w:szCs w:val="16"/>
              </w:rPr>
            </w:pPr>
            <w:r w:rsidRPr="00A75729">
              <w:rPr>
                <w:color w:val="000000"/>
                <w:sz w:val="16"/>
                <w:szCs w:val="16"/>
              </w:rPr>
              <w:t>Piedras Negras, Coahuila</w:t>
            </w:r>
          </w:p>
        </w:tc>
        <w:tc>
          <w:tcPr>
            <w:tcW w:w="789" w:type="pct"/>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r w:rsidRPr="00A75729">
              <w:rPr>
                <w:rFonts w:eastAsia="Times New Roman"/>
                <w:bCs/>
                <w:color w:val="000000"/>
                <w:sz w:val="16"/>
                <w:szCs w:val="16"/>
              </w:rPr>
              <w:t xml:space="preserve">Francisco José </w:t>
            </w:r>
            <w:proofErr w:type="spellStart"/>
            <w:r w:rsidRPr="00A75729">
              <w:rPr>
                <w:rFonts w:eastAsia="Times New Roman"/>
                <w:bCs/>
                <w:color w:val="000000"/>
                <w:sz w:val="16"/>
                <w:szCs w:val="16"/>
              </w:rPr>
              <w:t>Juaristi</w:t>
            </w:r>
            <w:proofErr w:type="spellEnd"/>
            <w:r w:rsidRPr="00A75729">
              <w:rPr>
                <w:rFonts w:eastAsia="Times New Roman"/>
                <w:bCs/>
                <w:color w:val="000000"/>
                <w:sz w:val="16"/>
                <w:szCs w:val="16"/>
              </w:rPr>
              <w:t xml:space="preserve"> Santos</w:t>
            </w:r>
          </w:p>
        </w:tc>
        <w:tc>
          <w:tcPr>
            <w:tcW w:w="660" w:type="pct"/>
            <w:vMerge/>
            <w:shd w:val="clear" w:color="auto" w:fill="FFFFFF"/>
            <w:vAlign w:val="center"/>
          </w:tcPr>
          <w:p w:rsidR="004B1D1A" w:rsidRPr="00A75729" w:rsidRDefault="004B1D1A" w:rsidP="004B1D1A">
            <w:pPr>
              <w:spacing w:before="0" w:after="0" w:line="240" w:lineRule="auto"/>
              <w:jc w:val="center"/>
              <w:rPr>
                <w:rFonts w:eastAsia="Times New Roman"/>
                <w:bCs/>
                <w:color w:val="000000"/>
                <w:sz w:val="16"/>
                <w:szCs w:val="16"/>
              </w:rPr>
            </w:pPr>
          </w:p>
        </w:tc>
      </w:tr>
      <w:tr w:rsidR="004B1D1A" w:rsidRPr="00A75729" w:rsidTr="00CA182B">
        <w:trPr>
          <w:jc w:val="center"/>
        </w:trPr>
        <w:tc>
          <w:tcPr>
            <w:tcW w:w="263" w:type="pct"/>
            <w:shd w:val="clear" w:color="auto" w:fill="FFFFFF"/>
            <w:vAlign w:val="center"/>
          </w:tcPr>
          <w:p w:rsidR="004B1D1A" w:rsidRPr="00A75729" w:rsidDel="000A5AE2" w:rsidRDefault="004B1D1A" w:rsidP="004B1D1A">
            <w:pPr>
              <w:spacing w:before="0" w:after="0" w:line="240" w:lineRule="auto"/>
              <w:jc w:val="center"/>
              <w:rPr>
                <w:rFonts w:eastAsia="Times New Roman"/>
                <w:bCs/>
                <w:sz w:val="16"/>
                <w:szCs w:val="16"/>
              </w:rPr>
            </w:pPr>
            <w:r w:rsidRPr="00A75729">
              <w:rPr>
                <w:rFonts w:eastAsia="Times New Roman"/>
                <w:bCs/>
                <w:sz w:val="16"/>
                <w:szCs w:val="16"/>
              </w:rPr>
              <w:t>70</w:t>
            </w:r>
          </w:p>
        </w:tc>
        <w:tc>
          <w:tcPr>
            <w:tcW w:w="787" w:type="pct"/>
            <w:shd w:val="clear" w:color="auto" w:fill="FFFFFF"/>
            <w:vAlign w:val="center"/>
          </w:tcPr>
          <w:p w:rsidR="004B1D1A" w:rsidRPr="00A75729" w:rsidRDefault="004B1D1A" w:rsidP="004B1D1A">
            <w:pPr>
              <w:spacing w:before="0" w:after="0" w:line="240" w:lineRule="auto"/>
              <w:rPr>
                <w:sz w:val="16"/>
                <w:szCs w:val="16"/>
              </w:rPr>
            </w:pPr>
            <w:r w:rsidRPr="00A75729">
              <w:rPr>
                <w:sz w:val="16"/>
                <w:szCs w:val="16"/>
              </w:rPr>
              <w:t>José Enrique Jiménez Enciso</w:t>
            </w:r>
          </w:p>
        </w:tc>
        <w:tc>
          <w:tcPr>
            <w:tcW w:w="526" w:type="pct"/>
            <w:shd w:val="clear" w:color="auto" w:fill="FFFFFF"/>
            <w:vAlign w:val="center"/>
          </w:tcPr>
          <w:p w:rsidR="004B1D1A" w:rsidRPr="00A75729" w:rsidRDefault="004B1D1A" w:rsidP="004B1D1A">
            <w:pPr>
              <w:spacing w:before="0" w:after="0" w:line="240" w:lineRule="auto"/>
              <w:jc w:val="center"/>
              <w:rPr>
                <w:sz w:val="16"/>
                <w:szCs w:val="16"/>
              </w:rPr>
            </w:pPr>
            <w:r w:rsidRPr="00A75729">
              <w:rPr>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sz w:val="16"/>
                <w:szCs w:val="16"/>
              </w:rPr>
              <w:t>XHHC</w:t>
            </w:r>
            <w:proofErr w:type="spellEnd"/>
            <w:r w:rsidRPr="00A75729">
              <w:rPr>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92.1 MHz</w:t>
            </w:r>
          </w:p>
        </w:tc>
        <w:tc>
          <w:tcPr>
            <w:tcW w:w="921"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sz w:val="16"/>
                <w:szCs w:val="16"/>
              </w:rPr>
              <w:t>Ensenada, Baja California</w:t>
            </w:r>
          </w:p>
        </w:tc>
        <w:tc>
          <w:tcPr>
            <w:tcW w:w="789"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rFonts w:eastAsiaTheme="minorHAnsi" w:cs="Arial"/>
                <w:sz w:val="16"/>
                <w:szCs w:val="16"/>
                <w:lang w:val="es-MX" w:eastAsia="en-US"/>
              </w:rPr>
              <w:t>José Femando Ruiz López</w:t>
            </w:r>
          </w:p>
        </w:tc>
        <w:tc>
          <w:tcPr>
            <w:tcW w:w="660"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rFonts w:eastAsiaTheme="minorHAnsi" w:cs="Arial"/>
                <w:sz w:val="16"/>
                <w:szCs w:val="16"/>
                <w:lang w:val="es-MX" w:eastAsia="en-US"/>
              </w:rPr>
              <w:t>Megacima</w:t>
            </w:r>
            <w:proofErr w:type="spellEnd"/>
            <w:r w:rsidRPr="00A75729">
              <w:rPr>
                <w:rFonts w:eastAsiaTheme="minorHAnsi" w:cs="Arial"/>
                <w:sz w:val="16"/>
                <w:szCs w:val="16"/>
                <w:lang w:val="es-MX" w:eastAsia="en-US"/>
              </w:rPr>
              <w:t xml:space="preserve"> Radio, S.A.</w:t>
            </w:r>
          </w:p>
        </w:tc>
      </w:tr>
      <w:tr w:rsidR="004B1D1A" w:rsidRPr="00A75729" w:rsidTr="00CA182B">
        <w:trPr>
          <w:jc w:val="center"/>
        </w:trPr>
        <w:tc>
          <w:tcPr>
            <w:tcW w:w="263" w:type="pct"/>
            <w:shd w:val="clear" w:color="auto" w:fill="FFFFFF"/>
            <w:vAlign w:val="center"/>
          </w:tcPr>
          <w:p w:rsidR="004B1D1A" w:rsidRPr="00A75729" w:rsidDel="000A5AE2" w:rsidRDefault="004B1D1A" w:rsidP="004B1D1A">
            <w:pPr>
              <w:spacing w:before="0" w:after="0" w:line="240" w:lineRule="auto"/>
              <w:jc w:val="center"/>
              <w:rPr>
                <w:rFonts w:eastAsia="Times New Roman"/>
                <w:bCs/>
                <w:sz w:val="16"/>
                <w:szCs w:val="16"/>
              </w:rPr>
            </w:pPr>
            <w:r w:rsidRPr="00A75729">
              <w:rPr>
                <w:rFonts w:eastAsia="Times New Roman"/>
                <w:bCs/>
                <w:sz w:val="16"/>
                <w:szCs w:val="16"/>
              </w:rPr>
              <w:t>71</w:t>
            </w:r>
          </w:p>
        </w:tc>
        <w:tc>
          <w:tcPr>
            <w:tcW w:w="787" w:type="pct"/>
            <w:shd w:val="clear" w:color="auto" w:fill="FFFFFF"/>
            <w:vAlign w:val="center"/>
          </w:tcPr>
          <w:p w:rsidR="004B1D1A" w:rsidRPr="00A75729" w:rsidRDefault="004B1D1A" w:rsidP="004B1D1A">
            <w:pPr>
              <w:spacing w:before="0" w:after="0" w:line="240" w:lineRule="auto"/>
              <w:rPr>
                <w:sz w:val="16"/>
                <w:szCs w:val="16"/>
              </w:rPr>
            </w:pPr>
            <w:proofErr w:type="spellStart"/>
            <w:r w:rsidRPr="00A75729">
              <w:rPr>
                <w:sz w:val="16"/>
                <w:szCs w:val="16"/>
              </w:rPr>
              <w:t>XHOO</w:t>
            </w:r>
            <w:proofErr w:type="spellEnd"/>
            <w:r w:rsidRPr="00A75729">
              <w:rPr>
                <w:sz w:val="16"/>
                <w:szCs w:val="16"/>
              </w:rPr>
              <w:t>-FM, S.A. de C.V.</w:t>
            </w:r>
          </w:p>
        </w:tc>
        <w:tc>
          <w:tcPr>
            <w:tcW w:w="526" w:type="pct"/>
            <w:shd w:val="clear" w:color="auto" w:fill="FFFFFF"/>
            <w:vAlign w:val="center"/>
          </w:tcPr>
          <w:p w:rsidR="004B1D1A" w:rsidRPr="00A75729" w:rsidRDefault="004B1D1A" w:rsidP="004B1D1A">
            <w:pPr>
              <w:spacing w:before="0" w:after="0" w:line="240" w:lineRule="auto"/>
              <w:jc w:val="center"/>
              <w:rPr>
                <w:sz w:val="16"/>
                <w:szCs w:val="16"/>
              </w:rPr>
            </w:pPr>
            <w:r w:rsidRPr="00A75729">
              <w:rPr>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sz w:val="16"/>
                <w:szCs w:val="16"/>
              </w:rPr>
              <w:t>XHOO</w:t>
            </w:r>
            <w:proofErr w:type="spellEnd"/>
            <w:r w:rsidRPr="00A75729">
              <w:rPr>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102.3 MHz</w:t>
            </w:r>
          </w:p>
        </w:tc>
        <w:tc>
          <w:tcPr>
            <w:tcW w:w="921"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sz w:val="16"/>
                <w:szCs w:val="16"/>
              </w:rPr>
              <w:t>León, Guanajuato</w:t>
            </w:r>
          </w:p>
        </w:tc>
        <w:tc>
          <w:tcPr>
            <w:tcW w:w="789"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rFonts w:eastAsiaTheme="minorHAnsi" w:cs="Arial"/>
                <w:sz w:val="16"/>
                <w:szCs w:val="16"/>
                <w:lang w:val="es-MX" w:eastAsia="en-US"/>
              </w:rPr>
              <w:t>Edgar Pereda Gómez</w:t>
            </w:r>
          </w:p>
        </w:tc>
        <w:tc>
          <w:tcPr>
            <w:tcW w:w="660"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rFonts w:eastAsiaTheme="minorHAnsi" w:cs="Arial"/>
                <w:sz w:val="16"/>
                <w:szCs w:val="16"/>
                <w:lang w:val="es-MX" w:eastAsia="en-US"/>
              </w:rPr>
              <w:t>Radiorama</w:t>
            </w:r>
            <w:proofErr w:type="spellEnd"/>
            <w:r w:rsidRPr="00A75729">
              <w:rPr>
                <w:rFonts w:eastAsiaTheme="minorHAnsi" w:cs="Arial"/>
                <w:sz w:val="16"/>
                <w:szCs w:val="16"/>
                <w:lang w:val="es-MX" w:eastAsia="en-US"/>
              </w:rPr>
              <w:t>, S.A.</w:t>
            </w:r>
          </w:p>
        </w:tc>
      </w:tr>
      <w:tr w:rsidR="004B1D1A" w:rsidRPr="00A75729" w:rsidTr="00CA182B">
        <w:trPr>
          <w:jc w:val="center"/>
        </w:trPr>
        <w:tc>
          <w:tcPr>
            <w:tcW w:w="263" w:type="pct"/>
            <w:shd w:val="clear" w:color="auto" w:fill="FFFFFF"/>
            <w:vAlign w:val="center"/>
          </w:tcPr>
          <w:p w:rsidR="004B1D1A" w:rsidRPr="00A75729" w:rsidDel="000A5AE2" w:rsidRDefault="004B1D1A" w:rsidP="004B1D1A">
            <w:pPr>
              <w:spacing w:before="0" w:after="0" w:line="240" w:lineRule="auto"/>
              <w:jc w:val="center"/>
              <w:rPr>
                <w:rFonts w:eastAsia="Times New Roman"/>
                <w:bCs/>
                <w:sz w:val="16"/>
                <w:szCs w:val="16"/>
              </w:rPr>
            </w:pPr>
            <w:r w:rsidRPr="00A75729">
              <w:rPr>
                <w:rFonts w:eastAsia="Times New Roman"/>
                <w:bCs/>
                <w:sz w:val="16"/>
                <w:szCs w:val="16"/>
              </w:rPr>
              <w:t>72</w:t>
            </w:r>
          </w:p>
        </w:tc>
        <w:tc>
          <w:tcPr>
            <w:tcW w:w="787" w:type="pct"/>
            <w:shd w:val="clear" w:color="auto" w:fill="FFFFFF"/>
            <w:vAlign w:val="center"/>
          </w:tcPr>
          <w:p w:rsidR="004B1D1A" w:rsidRPr="00A75729" w:rsidRDefault="004B1D1A" w:rsidP="004B1D1A">
            <w:pPr>
              <w:spacing w:before="0" w:after="0" w:line="240" w:lineRule="auto"/>
              <w:rPr>
                <w:sz w:val="16"/>
                <w:szCs w:val="16"/>
              </w:rPr>
            </w:pPr>
            <w:proofErr w:type="spellStart"/>
            <w:r w:rsidRPr="00A75729">
              <w:rPr>
                <w:sz w:val="16"/>
                <w:szCs w:val="16"/>
              </w:rPr>
              <w:t>XEGTO</w:t>
            </w:r>
            <w:proofErr w:type="spellEnd"/>
            <w:r w:rsidRPr="00A75729">
              <w:rPr>
                <w:sz w:val="16"/>
                <w:szCs w:val="16"/>
              </w:rPr>
              <w:t>-AM, S.A.</w:t>
            </w:r>
          </w:p>
        </w:tc>
        <w:tc>
          <w:tcPr>
            <w:tcW w:w="526" w:type="pct"/>
            <w:shd w:val="clear" w:color="auto" w:fill="FFFFFF"/>
            <w:vAlign w:val="center"/>
          </w:tcPr>
          <w:p w:rsidR="004B1D1A" w:rsidRPr="00A75729" w:rsidRDefault="004B1D1A" w:rsidP="004B1D1A">
            <w:pPr>
              <w:spacing w:before="0" w:after="0" w:line="240" w:lineRule="auto"/>
              <w:jc w:val="center"/>
              <w:rPr>
                <w:sz w:val="16"/>
                <w:szCs w:val="16"/>
              </w:rPr>
            </w:pPr>
            <w:r w:rsidRPr="00A75729">
              <w:rPr>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sz w:val="16"/>
                <w:szCs w:val="16"/>
              </w:rPr>
              <w:t>XHGTO</w:t>
            </w:r>
            <w:proofErr w:type="spellEnd"/>
            <w:r w:rsidRPr="00A75729">
              <w:rPr>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95.9 MHz</w:t>
            </w:r>
          </w:p>
        </w:tc>
        <w:tc>
          <w:tcPr>
            <w:tcW w:w="921"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sz w:val="16"/>
                <w:szCs w:val="16"/>
              </w:rPr>
              <w:t>Guanajuato, Guanajuato</w:t>
            </w:r>
          </w:p>
        </w:tc>
        <w:tc>
          <w:tcPr>
            <w:tcW w:w="789"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rFonts w:eastAsiaTheme="minorHAnsi" w:cs="Arial"/>
                <w:sz w:val="16"/>
                <w:szCs w:val="16"/>
                <w:lang w:val="es-MX" w:eastAsia="en-US"/>
              </w:rPr>
              <w:t>Edgar Pereda Gómez</w:t>
            </w:r>
          </w:p>
        </w:tc>
        <w:tc>
          <w:tcPr>
            <w:tcW w:w="660"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rFonts w:eastAsiaTheme="minorHAnsi" w:cs="Arial"/>
                <w:sz w:val="16"/>
                <w:szCs w:val="16"/>
                <w:lang w:val="es-MX" w:eastAsia="en-US"/>
              </w:rPr>
              <w:t>Megacima</w:t>
            </w:r>
            <w:proofErr w:type="spellEnd"/>
            <w:r w:rsidRPr="00A75729">
              <w:rPr>
                <w:rFonts w:eastAsiaTheme="minorHAnsi" w:cs="Arial"/>
                <w:sz w:val="16"/>
                <w:szCs w:val="16"/>
                <w:lang w:val="es-MX" w:eastAsia="en-US"/>
              </w:rPr>
              <w:t xml:space="preserve"> Radio, </w:t>
            </w:r>
            <w:proofErr w:type="spellStart"/>
            <w:r w:rsidRPr="00A75729">
              <w:rPr>
                <w:rFonts w:eastAsiaTheme="minorHAnsi" w:cs="Arial"/>
                <w:sz w:val="16"/>
                <w:szCs w:val="16"/>
                <w:lang w:val="es-MX" w:eastAsia="en-US"/>
              </w:rPr>
              <w:t>S.A</w:t>
            </w:r>
            <w:proofErr w:type="spellEnd"/>
          </w:p>
        </w:tc>
      </w:tr>
      <w:tr w:rsidR="004B1D1A" w:rsidRPr="00A75729" w:rsidTr="00CA182B">
        <w:trPr>
          <w:jc w:val="center"/>
        </w:trPr>
        <w:tc>
          <w:tcPr>
            <w:tcW w:w="263" w:type="pct"/>
            <w:shd w:val="clear" w:color="auto" w:fill="FFFFFF"/>
            <w:vAlign w:val="center"/>
          </w:tcPr>
          <w:p w:rsidR="004B1D1A" w:rsidRPr="00A75729" w:rsidDel="000A5AE2" w:rsidRDefault="004B1D1A" w:rsidP="004B1D1A">
            <w:pPr>
              <w:spacing w:before="0" w:after="0" w:line="240" w:lineRule="auto"/>
              <w:jc w:val="center"/>
              <w:rPr>
                <w:rFonts w:eastAsia="Times New Roman"/>
                <w:bCs/>
                <w:sz w:val="16"/>
                <w:szCs w:val="16"/>
              </w:rPr>
            </w:pPr>
            <w:r w:rsidRPr="00A75729">
              <w:rPr>
                <w:rFonts w:eastAsia="Times New Roman"/>
                <w:bCs/>
                <w:sz w:val="16"/>
                <w:szCs w:val="16"/>
              </w:rPr>
              <w:t>73</w:t>
            </w:r>
          </w:p>
        </w:tc>
        <w:tc>
          <w:tcPr>
            <w:tcW w:w="787" w:type="pct"/>
            <w:shd w:val="clear" w:color="auto" w:fill="FFFFFF"/>
            <w:vAlign w:val="center"/>
          </w:tcPr>
          <w:p w:rsidR="004B1D1A" w:rsidRPr="00A75729" w:rsidRDefault="004B1D1A" w:rsidP="004B1D1A">
            <w:pPr>
              <w:spacing w:before="0" w:after="0" w:line="240" w:lineRule="auto"/>
              <w:rPr>
                <w:sz w:val="16"/>
                <w:szCs w:val="16"/>
              </w:rPr>
            </w:pPr>
            <w:proofErr w:type="spellStart"/>
            <w:r w:rsidRPr="00A75729">
              <w:rPr>
                <w:sz w:val="16"/>
                <w:szCs w:val="16"/>
              </w:rPr>
              <w:t>Jaced</w:t>
            </w:r>
            <w:proofErr w:type="spellEnd"/>
            <w:r w:rsidRPr="00A75729">
              <w:rPr>
                <w:sz w:val="16"/>
                <w:szCs w:val="16"/>
              </w:rPr>
              <w:t>, S.A. de C.V.</w:t>
            </w:r>
          </w:p>
        </w:tc>
        <w:tc>
          <w:tcPr>
            <w:tcW w:w="526" w:type="pct"/>
            <w:shd w:val="clear" w:color="auto" w:fill="FFFFFF"/>
            <w:vAlign w:val="center"/>
          </w:tcPr>
          <w:p w:rsidR="004B1D1A" w:rsidRPr="00A75729" w:rsidRDefault="004B1D1A" w:rsidP="004B1D1A">
            <w:pPr>
              <w:spacing w:before="0" w:after="0" w:line="240" w:lineRule="auto"/>
              <w:jc w:val="center"/>
              <w:rPr>
                <w:sz w:val="16"/>
                <w:szCs w:val="16"/>
              </w:rPr>
            </w:pPr>
            <w:r w:rsidRPr="00A75729">
              <w:rPr>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sz w:val="16"/>
                <w:szCs w:val="16"/>
              </w:rPr>
              <w:t>XHSD</w:t>
            </w:r>
            <w:proofErr w:type="spellEnd"/>
            <w:r w:rsidRPr="00A75729">
              <w:rPr>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99.3 MHz</w:t>
            </w:r>
          </w:p>
        </w:tc>
        <w:tc>
          <w:tcPr>
            <w:tcW w:w="921"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sz w:val="16"/>
                <w:szCs w:val="16"/>
              </w:rPr>
              <w:t>Silao, Guanajuato</w:t>
            </w:r>
          </w:p>
        </w:tc>
        <w:tc>
          <w:tcPr>
            <w:tcW w:w="789"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rFonts w:eastAsiaTheme="minorHAnsi" w:cs="Arial"/>
                <w:sz w:val="16"/>
                <w:szCs w:val="16"/>
                <w:lang w:val="es-MX" w:eastAsia="en-US"/>
              </w:rPr>
              <w:t>Edgar Pereda Gómez</w:t>
            </w:r>
          </w:p>
        </w:tc>
        <w:tc>
          <w:tcPr>
            <w:tcW w:w="660"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rFonts w:eastAsiaTheme="minorHAnsi" w:cs="Arial"/>
                <w:sz w:val="16"/>
                <w:szCs w:val="16"/>
                <w:lang w:val="es-MX" w:eastAsia="en-US"/>
              </w:rPr>
              <w:t>Megacima</w:t>
            </w:r>
            <w:proofErr w:type="spellEnd"/>
            <w:r w:rsidRPr="00A75729">
              <w:rPr>
                <w:rFonts w:eastAsiaTheme="minorHAnsi" w:cs="Arial"/>
                <w:sz w:val="16"/>
                <w:szCs w:val="16"/>
                <w:lang w:val="es-MX" w:eastAsia="en-US"/>
              </w:rPr>
              <w:t xml:space="preserve"> Radio, S.A.</w:t>
            </w:r>
          </w:p>
        </w:tc>
      </w:tr>
      <w:tr w:rsidR="004B1D1A" w:rsidRPr="00A75729" w:rsidTr="00CA182B">
        <w:trPr>
          <w:jc w:val="center"/>
        </w:trPr>
        <w:tc>
          <w:tcPr>
            <w:tcW w:w="263" w:type="pct"/>
            <w:shd w:val="clear" w:color="auto" w:fill="FFFFFF"/>
            <w:vAlign w:val="center"/>
          </w:tcPr>
          <w:p w:rsidR="004B1D1A" w:rsidRPr="00A75729" w:rsidDel="000A5AE2" w:rsidRDefault="004B1D1A" w:rsidP="004B1D1A">
            <w:pPr>
              <w:spacing w:before="0" w:after="0" w:line="240" w:lineRule="auto"/>
              <w:jc w:val="center"/>
              <w:rPr>
                <w:rFonts w:eastAsia="Times New Roman"/>
                <w:bCs/>
                <w:sz w:val="16"/>
                <w:szCs w:val="16"/>
              </w:rPr>
            </w:pPr>
            <w:r w:rsidRPr="00A75729">
              <w:rPr>
                <w:rFonts w:eastAsia="Times New Roman"/>
                <w:bCs/>
                <w:sz w:val="16"/>
                <w:szCs w:val="16"/>
              </w:rPr>
              <w:t>74</w:t>
            </w:r>
          </w:p>
        </w:tc>
        <w:tc>
          <w:tcPr>
            <w:tcW w:w="787" w:type="pct"/>
            <w:shd w:val="clear" w:color="auto" w:fill="FFFFFF"/>
            <w:vAlign w:val="center"/>
          </w:tcPr>
          <w:p w:rsidR="004B1D1A" w:rsidRPr="00A75729" w:rsidRDefault="004B1D1A" w:rsidP="004B1D1A">
            <w:pPr>
              <w:spacing w:before="0" w:after="0" w:line="240" w:lineRule="auto"/>
              <w:rPr>
                <w:sz w:val="16"/>
                <w:szCs w:val="16"/>
              </w:rPr>
            </w:pPr>
            <w:r w:rsidRPr="00A75729">
              <w:rPr>
                <w:sz w:val="16"/>
                <w:szCs w:val="16"/>
              </w:rPr>
              <w:t>Radio Bo, S.A. de C.V.</w:t>
            </w:r>
          </w:p>
        </w:tc>
        <w:tc>
          <w:tcPr>
            <w:tcW w:w="526" w:type="pct"/>
            <w:shd w:val="clear" w:color="auto" w:fill="FFFFFF"/>
            <w:vAlign w:val="center"/>
          </w:tcPr>
          <w:p w:rsidR="004B1D1A" w:rsidRPr="00A75729" w:rsidRDefault="004B1D1A" w:rsidP="004B1D1A">
            <w:pPr>
              <w:spacing w:before="0" w:after="0" w:line="240" w:lineRule="auto"/>
              <w:jc w:val="center"/>
              <w:rPr>
                <w:sz w:val="16"/>
                <w:szCs w:val="16"/>
              </w:rPr>
            </w:pPr>
            <w:r w:rsidRPr="00A75729">
              <w:rPr>
                <w:sz w:val="16"/>
                <w:szCs w:val="16"/>
              </w:rPr>
              <w:t>Comercial</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sz w:val="16"/>
                <w:szCs w:val="16"/>
              </w:rPr>
              <w:t>XHBO</w:t>
            </w:r>
            <w:proofErr w:type="spellEnd"/>
            <w:r w:rsidRPr="00A75729">
              <w:rPr>
                <w:sz w:val="16"/>
                <w:szCs w:val="16"/>
              </w:rPr>
              <w:t>-FM/</w:t>
            </w:r>
          </w:p>
        </w:tc>
        <w:tc>
          <w:tcPr>
            <w:tcW w:w="526"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color w:val="000000"/>
                <w:sz w:val="16"/>
                <w:szCs w:val="16"/>
              </w:rPr>
              <w:t>105.5 MHz</w:t>
            </w:r>
          </w:p>
        </w:tc>
        <w:tc>
          <w:tcPr>
            <w:tcW w:w="921"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sz w:val="16"/>
                <w:szCs w:val="16"/>
              </w:rPr>
              <w:t>San José de la Sonaja, Guanajuato</w:t>
            </w:r>
          </w:p>
        </w:tc>
        <w:tc>
          <w:tcPr>
            <w:tcW w:w="789" w:type="pct"/>
            <w:shd w:val="clear" w:color="auto" w:fill="FFFFFF"/>
            <w:vAlign w:val="center"/>
          </w:tcPr>
          <w:p w:rsidR="004B1D1A" w:rsidRPr="00A75729" w:rsidRDefault="004B1D1A" w:rsidP="004B1D1A">
            <w:pPr>
              <w:spacing w:before="0" w:after="0" w:line="240" w:lineRule="auto"/>
              <w:jc w:val="center"/>
              <w:rPr>
                <w:color w:val="000000"/>
                <w:sz w:val="16"/>
                <w:szCs w:val="16"/>
              </w:rPr>
            </w:pPr>
            <w:r w:rsidRPr="00A75729">
              <w:rPr>
                <w:rFonts w:eastAsiaTheme="minorHAnsi" w:cs="Arial"/>
                <w:sz w:val="16"/>
                <w:szCs w:val="16"/>
                <w:lang w:val="es-MX" w:eastAsia="en-US"/>
              </w:rPr>
              <w:t xml:space="preserve">Alejandro Luis Martínez </w:t>
            </w:r>
            <w:r w:rsidRPr="00A75729">
              <w:rPr>
                <w:rFonts w:eastAsia="Times New Roman"/>
                <w:bCs/>
                <w:color w:val="000000"/>
                <w:sz w:val="16"/>
                <w:szCs w:val="16"/>
              </w:rPr>
              <w:t>Durán</w:t>
            </w:r>
          </w:p>
        </w:tc>
        <w:tc>
          <w:tcPr>
            <w:tcW w:w="660" w:type="pct"/>
            <w:shd w:val="clear" w:color="auto" w:fill="FFFFFF"/>
            <w:vAlign w:val="center"/>
          </w:tcPr>
          <w:p w:rsidR="004B1D1A" w:rsidRPr="00A75729" w:rsidRDefault="004B1D1A" w:rsidP="004B1D1A">
            <w:pPr>
              <w:spacing w:before="0" w:after="0" w:line="240" w:lineRule="auto"/>
              <w:jc w:val="center"/>
              <w:rPr>
                <w:color w:val="000000"/>
                <w:sz w:val="16"/>
                <w:szCs w:val="16"/>
              </w:rPr>
            </w:pPr>
            <w:proofErr w:type="spellStart"/>
            <w:r w:rsidRPr="00A75729">
              <w:rPr>
                <w:rFonts w:eastAsiaTheme="minorHAnsi" w:cs="Arial"/>
                <w:sz w:val="16"/>
                <w:szCs w:val="16"/>
                <w:lang w:val="es-MX" w:eastAsia="en-US"/>
              </w:rPr>
              <w:t>Megacima</w:t>
            </w:r>
            <w:proofErr w:type="spellEnd"/>
            <w:r w:rsidRPr="00A75729">
              <w:rPr>
                <w:rFonts w:eastAsiaTheme="minorHAnsi" w:cs="Arial"/>
                <w:sz w:val="16"/>
                <w:szCs w:val="16"/>
                <w:lang w:val="es-MX" w:eastAsia="en-US"/>
              </w:rPr>
              <w:t xml:space="preserve"> Radio, S.A.</w:t>
            </w:r>
          </w:p>
        </w:tc>
      </w:tr>
    </w:tbl>
    <w:p w:rsidR="004F78EC" w:rsidRPr="00D75A3E" w:rsidRDefault="004F78EC" w:rsidP="00D75A3E">
      <w:pPr>
        <w:spacing w:before="0" w:after="0" w:line="240" w:lineRule="auto"/>
        <w:rPr>
          <w:rFonts w:cs="ITC Avant Garde"/>
          <w:bCs/>
          <w:sz w:val="15"/>
          <w:szCs w:val="15"/>
        </w:rPr>
      </w:pPr>
      <w:r w:rsidRPr="00D75A3E">
        <w:rPr>
          <w:rFonts w:eastAsia="Times New Roman"/>
          <w:bCs/>
          <w:sz w:val="15"/>
          <w:szCs w:val="15"/>
        </w:rPr>
        <w:t xml:space="preserve">Fuente: </w:t>
      </w:r>
      <w:r w:rsidR="000C7032" w:rsidRPr="00D75A3E">
        <w:rPr>
          <w:rFonts w:eastAsia="Times New Roman"/>
          <w:bCs/>
          <w:sz w:val="15"/>
          <w:szCs w:val="15"/>
        </w:rPr>
        <w:t xml:space="preserve">Elaboración propia con información proporcionada por las Partes en Fojas 389-392 y la entregada por </w:t>
      </w:r>
      <w:r w:rsidR="000C7032" w:rsidRPr="00D75A3E">
        <w:rPr>
          <w:sz w:val="15"/>
          <w:szCs w:val="15"/>
        </w:rPr>
        <w:t xml:space="preserve">Televisión Digital, S.A. de C.V. y Multimedios Televisión, S.A. de C.V. en el marco de la Licitación No. </w:t>
      </w:r>
      <w:proofErr w:type="spellStart"/>
      <w:r w:rsidR="000C7032" w:rsidRPr="00D75A3E">
        <w:rPr>
          <w:sz w:val="15"/>
          <w:szCs w:val="15"/>
        </w:rPr>
        <w:t>IFT</w:t>
      </w:r>
      <w:proofErr w:type="spellEnd"/>
      <w:r w:rsidR="000C7032" w:rsidRPr="00D75A3E">
        <w:rPr>
          <w:sz w:val="15"/>
          <w:szCs w:val="15"/>
        </w:rPr>
        <w:t>-6</w:t>
      </w:r>
      <w:r w:rsidRPr="00D75A3E">
        <w:rPr>
          <w:rFonts w:cs="ITC Avant Garde"/>
          <w:bCs/>
          <w:sz w:val="15"/>
          <w:szCs w:val="15"/>
        </w:rPr>
        <w:t xml:space="preserve">, el </w:t>
      </w:r>
      <w:proofErr w:type="spellStart"/>
      <w:r w:rsidRPr="00D75A3E">
        <w:rPr>
          <w:rFonts w:cs="ITC Avant Garde"/>
          <w:bCs/>
          <w:sz w:val="15"/>
          <w:szCs w:val="15"/>
        </w:rPr>
        <w:t>RPC</w:t>
      </w:r>
      <w:proofErr w:type="spellEnd"/>
      <w:r w:rsidR="000C7032" w:rsidRPr="00D75A3E">
        <w:rPr>
          <w:rFonts w:cs="ITC Avant Garde"/>
          <w:bCs/>
          <w:sz w:val="15"/>
          <w:szCs w:val="15"/>
        </w:rPr>
        <w:t xml:space="preserve"> y</w:t>
      </w:r>
      <w:r w:rsidRPr="00D75A3E">
        <w:rPr>
          <w:rFonts w:cs="ITC Avant Garde"/>
          <w:bCs/>
          <w:sz w:val="15"/>
          <w:szCs w:val="15"/>
        </w:rPr>
        <w:t xml:space="preserve"> el Directorio de la </w:t>
      </w:r>
      <w:proofErr w:type="spellStart"/>
      <w:r w:rsidRPr="00D75A3E">
        <w:rPr>
          <w:rFonts w:cs="ITC Avant Garde"/>
          <w:bCs/>
          <w:sz w:val="15"/>
          <w:szCs w:val="15"/>
        </w:rPr>
        <w:t>CIRT</w:t>
      </w:r>
      <w:proofErr w:type="spellEnd"/>
      <w:r w:rsidRPr="00D75A3E">
        <w:rPr>
          <w:rFonts w:cs="ITC Avant Garde"/>
          <w:bCs/>
          <w:sz w:val="15"/>
          <w:szCs w:val="15"/>
        </w:rPr>
        <w:t xml:space="preserve"> 2017.</w:t>
      </w:r>
    </w:p>
    <w:p w:rsidR="004F78EC" w:rsidRPr="00D75A3E" w:rsidRDefault="004F78EC" w:rsidP="00D75A3E">
      <w:pPr>
        <w:spacing w:before="0" w:after="0" w:line="240" w:lineRule="auto"/>
        <w:rPr>
          <w:rFonts w:cs="ITC Avant Garde"/>
          <w:bCs/>
          <w:sz w:val="15"/>
          <w:szCs w:val="15"/>
        </w:rPr>
      </w:pPr>
      <w:proofErr w:type="spellStart"/>
      <w:r w:rsidRPr="00D75A3E">
        <w:rPr>
          <w:rFonts w:cs="ITC Avant Garde"/>
          <w:bCs/>
          <w:sz w:val="15"/>
          <w:szCs w:val="15"/>
        </w:rPr>
        <w:t>N.A</w:t>
      </w:r>
      <w:proofErr w:type="spellEnd"/>
      <w:r w:rsidRPr="00D75A3E">
        <w:rPr>
          <w:rFonts w:cs="ITC Avant Garde"/>
          <w:bCs/>
          <w:sz w:val="15"/>
          <w:szCs w:val="15"/>
        </w:rPr>
        <w:t>: No aplica.</w:t>
      </w:r>
    </w:p>
    <w:p w:rsidR="00D93347" w:rsidRPr="00D75A3E" w:rsidRDefault="00D93347" w:rsidP="00D75A3E">
      <w:pPr>
        <w:pStyle w:val="Notaalpie"/>
        <w:ind w:right="45"/>
        <w:rPr>
          <w:sz w:val="15"/>
          <w:szCs w:val="15"/>
        </w:rPr>
      </w:pPr>
      <w:proofErr w:type="spellStart"/>
      <w:r w:rsidRPr="00D75A3E">
        <w:rPr>
          <w:rFonts w:eastAsia="Calibri" w:cs="Times New Roman"/>
          <w:sz w:val="15"/>
          <w:szCs w:val="15"/>
        </w:rPr>
        <w:t>N.D</w:t>
      </w:r>
      <w:proofErr w:type="spellEnd"/>
      <w:r w:rsidRPr="00D75A3E">
        <w:rPr>
          <w:rFonts w:eastAsia="Calibri" w:cs="Times New Roman"/>
          <w:sz w:val="15"/>
          <w:szCs w:val="15"/>
        </w:rPr>
        <w:t>. No Disponible.</w:t>
      </w:r>
    </w:p>
    <w:p w:rsidR="00F441D0" w:rsidRPr="00D75A3E" w:rsidRDefault="008E0E96" w:rsidP="00D75A3E">
      <w:pPr>
        <w:spacing w:before="0" w:after="0" w:line="240" w:lineRule="auto"/>
        <w:rPr>
          <w:rFonts w:cs="ITC Avant Garde"/>
          <w:bCs/>
          <w:sz w:val="15"/>
          <w:szCs w:val="15"/>
        </w:rPr>
      </w:pPr>
      <w:r w:rsidRPr="00D75A3E">
        <w:rPr>
          <w:rFonts w:cs="ITC Avant Garde"/>
          <w:bCs/>
          <w:sz w:val="15"/>
          <w:szCs w:val="15"/>
        </w:rPr>
        <w:t>*</w:t>
      </w:r>
      <w:r w:rsidR="00457430" w:rsidRPr="00D75A3E">
        <w:rPr>
          <w:rFonts w:cs="ITC Avant Garde"/>
          <w:bCs/>
          <w:sz w:val="15"/>
          <w:szCs w:val="15"/>
        </w:rPr>
        <w:t>E</w:t>
      </w:r>
      <w:r w:rsidR="00BF6F5F" w:rsidRPr="00D75A3E">
        <w:rPr>
          <w:rFonts w:cs="ITC Avant Garde"/>
          <w:bCs/>
          <w:sz w:val="15"/>
          <w:szCs w:val="15"/>
        </w:rPr>
        <w:t>stas estaciones fueron cedidas por Flores, S.A. de C.V. a favor de Radio Centinela, S.A. de C.V.</w:t>
      </w:r>
      <w:r w:rsidR="000C7032" w:rsidRPr="00D75A3E">
        <w:rPr>
          <w:rFonts w:cs="ITC Avant Garde"/>
          <w:bCs/>
          <w:sz w:val="15"/>
          <w:szCs w:val="15"/>
        </w:rPr>
        <w:t xml:space="preserve"> y Multimedios Radio, S.A. de C.V.</w:t>
      </w:r>
      <w:r w:rsidR="00BF6F5F" w:rsidRPr="00D75A3E">
        <w:rPr>
          <w:rFonts w:cs="ITC Avant Garde"/>
          <w:bCs/>
          <w:sz w:val="15"/>
          <w:szCs w:val="15"/>
        </w:rPr>
        <w:t xml:space="preserve"> La operación fue autorizada por el Pleno del Instituto el 25 de abril de 2018. Mediante las Resoluciones P/</w:t>
      </w:r>
      <w:proofErr w:type="spellStart"/>
      <w:r w:rsidR="00BF6F5F" w:rsidRPr="00D75A3E">
        <w:rPr>
          <w:rFonts w:cs="ITC Avant Garde"/>
          <w:bCs/>
          <w:sz w:val="15"/>
          <w:szCs w:val="15"/>
        </w:rPr>
        <w:t>IFT</w:t>
      </w:r>
      <w:proofErr w:type="spellEnd"/>
      <w:r w:rsidR="00BF6F5F" w:rsidRPr="00D75A3E">
        <w:rPr>
          <w:rFonts w:cs="ITC Avant Garde"/>
          <w:bCs/>
          <w:sz w:val="15"/>
          <w:szCs w:val="15"/>
        </w:rPr>
        <w:t>/250418/319 y P/</w:t>
      </w:r>
      <w:proofErr w:type="spellStart"/>
      <w:r w:rsidR="00BF6F5F" w:rsidRPr="00D75A3E">
        <w:rPr>
          <w:rFonts w:cs="ITC Avant Garde"/>
          <w:bCs/>
          <w:sz w:val="15"/>
          <w:szCs w:val="15"/>
        </w:rPr>
        <w:t>IFT</w:t>
      </w:r>
      <w:proofErr w:type="spellEnd"/>
      <w:r w:rsidR="00BF6F5F" w:rsidRPr="00D75A3E">
        <w:rPr>
          <w:rFonts w:cs="ITC Avant Garde"/>
          <w:bCs/>
          <w:sz w:val="15"/>
          <w:szCs w:val="15"/>
        </w:rPr>
        <w:t>/250418/317</w:t>
      </w:r>
      <w:r w:rsidR="000C7032" w:rsidRPr="00D75A3E">
        <w:rPr>
          <w:rFonts w:cs="ITC Avant Garde"/>
          <w:bCs/>
          <w:sz w:val="15"/>
          <w:szCs w:val="15"/>
        </w:rPr>
        <w:t>.</w:t>
      </w:r>
    </w:p>
    <w:p w:rsidR="00CA182B" w:rsidRPr="00A75729" w:rsidRDefault="00CA182B" w:rsidP="0095411F">
      <w:pPr>
        <w:rPr>
          <w:rFonts w:cs="ITC Avant Garde"/>
          <w:bCs/>
          <w:szCs w:val="16"/>
        </w:rPr>
        <w:sectPr w:rsidR="00CA182B" w:rsidRPr="00A75729" w:rsidSect="00D75A3E">
          <w:pgSz w:w="15840" w:h="12240" w:orient="landscape"/>
          <w:pgMar w:top="1418" w:right="1985" w:bottom="1418" w:left="1418" w:header="578" w:footer="567" w:gutter="0"/>
          <w:cols w:space="708"/>
          <w:docGrid w:linePitch="360"/>
        </w:sectPr>
      </w:pPr>
    </w:p>
    <w:p w:rsidR="009A222D" w:rsidRPr="00A75729" w:rsidRDefault="009A222D" w:rsidP="0095411F">
      <w:pPr>
        <w:pStyle w:val="Prrafodelista"/>
        <w:spacing w:after="120" w:line="276" w:lineRule="auto"/>
        <w:ind w:left="0"/>
        <w:contextualSpacing w:val="0"/>
        <w:rPr>
          <w:rFonts w:cs="ITC Avant Garde"/>
          <w:bCs/>
          <w:szCs w:val="16"/>
        </w:rPr>
      </w:pPr>
      <w:r w:rsidRPr="00A75729">
        <w:rPr>
          <w:rFonts w:cs="ITC Avant Garde"/>
          <w:bCs/>
          <w:szCs w:val="16"/>
        </w:rPr>
        <w:lastRenderedPageBreak/>
        <w:t xml:space="preserve">Como se observa del cuadro anterior, </w:t>
      </w:r>
      <w:r w:rsidR="008F3CC0">
        <w:rPr>
          <w:rFonts w:cs="ITC Avant Garde"/>
          <w:bCs/>
          <w:szCs w:val="16"/>
        </w:rPr>
        <w:t xml:space="preserve">a partir de la Operación, </w:t>
      </w:r>
      <w:r w:rsidRPr="00A75729">
        <w:rPr>
          <w:rFonts w:cs="ITC Avant Garde"/>
          <w:bCs/>
          <w:szCs w:val="16"/>
        </w:rPr>
        <w:t xml:space="preserve">el </w:t>
      </w:r>
      <w:proofErr w:type="spellStart"/>
      <w:r w:rsidRPr="00A75729">
        <w:rPr>
          <w:rFonts w:cs="ITC Avant Garde"/>
          <w:bCs/>
          <w:szCs w:val="16"/>
        </w:rPr>
        <w:t>GIE</w:t>
      </w:r>
      <w:proofErr w:type="spellEnd"/>
      <w:r w:rsidRPr="00A75729">
        <w:rPr>
          <w:rFonts w:cs="ITC Avant Garde"/>
          <w:bCs/>
          <w:szCs w:val="16"/>
        </w:rPr>
        <w:t xml:space="preserve"> Grupo Multimedios opera </w:t>
      </w:r>
      <w:r w:rsidR="004B1D1A" w:rsidRPr="00A75729">
        <w:rPr>
          <w:rFonts w:cs="ITC Avant Garde"/>
          <w:bCs/>
          <w:szCs w:val="16"/>
        </w:rPr>
        <w:t>58 (cincuenta y ocho)</w:t>
      </w:r>
      <w:r w:rsidRPr="00A75729">
        <w:rPr>
          <w:rFonts w:cs="ITC Avant Garde"/>
          <w:bCs/>
          <w:szCs w:val="16"/>
        </w:rPr>
        <w:t xml:space="preserve"> estaciones para proveer el </w:t>
      </w:r>
      <w:proofErr w:type="spellStart"/>
      <w:r w:rsidRPr="00A75729">
        <w:rPr>
          <w:rFonts w:cs="ITC Avant Garde"/>
          <w:bCs/>
          <w:szCs w:val="16"/>
        </w:rPr>
        <w:t>SRSAC</w:t>
      </w:r>
      <w:proofErr w:type="spellEnd"/>
      <w:r w:rsidRPr="00A75729">
        <w:rPr>
          <w:rFonts w:cs="ITC Avant Garde"/>
          <w:bCs/>
          <w:szCs w:val="16"/>
        </w:rPr>
        <w:t xml:space="preserve"> y </w:t>
      </w:r>
      <w:r w:rsidR="004B1D1A" w:rsidRPr="00A75729">
        <w:rPr>
          <w:rFonts w:cs="ITC Avant Garde"/>
          <w:bCs/>
          <w:szCs w:val="16"/>
        </w:rPr>
        <w:t>16 (dieciséis)</w:t>
      </w:r>
      <w:r w:rsidRPr="00A75729">
        <w:rPr>
          <w:rFonts w:cs="ITC Avant Garde"/>
          <w:bCs/>
          <w:szCs w:val="16"/>
        </w:rPr>
        <w:t xml:space="preserve"> estaciones para proveer el </w:t>
      </w:r>
      <w:proofErr w:type="spellStart"/>
      <w:r w:rsidR="0095411F" w:rsidRPr="00A75729">
        <w:t>STRDC</w:t>
      </w:r>
      <w:proofErr w:type="spellEnd"/>
      <w:r w:rsidRPr="00A75729">
        <w:rPr>
          <w:rFonts w:cs="ITC Avant Garde"/>
          <w:bCs/>
          <w:szCs w:val="16"/>
        </w:rPr>
        <w:t xml:space="preserve"> en </w:t>
      </w:r>
      <w:r w:rsidR="00CA1811" w:rsidRPr="00A75729">
        <w:rPr>
          <w:rFonts w:cs="ITC Avant Garde"/>
          <w:bCs/>
          <w:szCs w:val="16"/>
        </w:rPr>
        <w:t>distintas localidades del país.</w:t>
      </w:r>
    </w:p>
    <w:p w:rsidR="00625898" w:rsidRPr="00E50770" w:rsidRDefault="00625898" w:rsidP="00E50770">
      <w:pPr>
        <w:pStyle w:val="Ttulo5"/>
        <w:numPr>
          <w:ilvl w:val="0"/>
          <w:numId w:val="0"/>
        </w:numPr>
        <w:ind w:left="1080"/>
        <w:rPr>
          <w:lang w:val="es-MX" w:eastAsia="en-US"/>
        </w:rPr>
      </w:pPr>
      <w:bookmarkStart w:id="160" w:name="_Toc519100852"/>
      <w:r w:rsidRPr="00E50770">
        <w:rPr>
          <w:lang w:val="es-MX" w:eastAsia="en-US"/>
        </w:rPr>
        <w:t>Solicitudes de concesiones en trámite</w:t>
      </w:r>
      <w:bookmarkEnd w:id="160"/>
    </w:p>
    <w:p w:rsidR="00625898" w:rsidRPr="00A75729" w:rsidRDefault="00625898" w:rsidP="0095411F">
      <w:pPr>
        <w:pStyle w:val="Prrafodelista"/>
        <w:spacing w:after="120" w:line="276" w:lineRule="auto"/>
        <w:ind w:left="0"/>
        <w:contextualSpacing w:val="0"/>
      </w:pPr>
      <w:r w:rsidRPr="00A75729">
        <w:rPr>
          <w:rFonts w:eastAsia="Times New Roman"/>
          <w:color w:val="000000"/>
          <w:lang w:val="es-MX"/>
        </w:rPr>
        <w:t>Adicionalmente</w:t>
      </w:r>
      <w:r w:rsidR="009A222D" w:rsidRPr="00A75729">
        <w:rPr>
          <w:rFonts w:eastAsia="Times New Roman"/>
          <w:color w:val="000000"/>
          <w:lang w:val="es-MX"/>
        </w:rPr>
        <w:t xml:space="preserve"> </w:t>
      </w:r>
      <w:r w:rsidRPr="00A75729">
        <w:rPr>
          <w:rFonts w:eastAsia="Times New Roman"/>
          <w:color w:val="000000"/>
          <w:lang w:val="es-MX"/>
        </w:rPr>
        <w:t>—</w:t>
      </w:r>
      <w:r w:rsidR="009A222D" w:rsidRPr="00A75729">
        <w:rPr>
          <w:rFonts w:eastAsia="Times New Roman"/>
          <w:color w:val="000000"/>
          <w:lang w:val="es-MX"/>
        </w:rPr>
        <w:t xml:space="preserve">conforme a información disponible en el </w:t>
      </w:r>
      <w:r w:rsidRPr="00A75729">
        <w:rPr>
          <w:rFonts w:eastAsia="Times New Roman"/>
          <w:color w:val="000000"/>
          <w:lang w:val="es-MX"/>
        </w:rPr>
        <w:t>Instituto</w:t>
      </w:r>
      <w:r w:rsidRPr="00A75729">
        <w:rPr>
          <w:rStyle w:val="Refdenotaalpie"/>
          <w:rFonts w:eastAsia="Times New Roman"/>
          <w:color w:val="000000"/>
          <w:lang w:val="es-MX"/>
        </w:rPr>
        <w:footnoteReference w:id="32"/>
      </w:r>
      <w:r w:rsidRPr="00A75729">
        <w:rPr>
          <w:rFonts w:eastAsia="Times New Roman"/>
          <w:color w:val="000000"/>
          <w:lang w:val="es-MX"/>
        </w:rPr>
        <w:t>—</w:t>
      </w:r>
      <w:r w:rsidR="009A222D" w:rsidRPr="00A75729">
        <w:rPr>
          <w:rFonts w:eastAsia="Times New Roman"/>
          <w:color w:val="000000"/>
          <w:lang w:val="es-MX"/>
        </w:rPr>
        <w:t xml:space="preserve"> </w:t>
      </w:r>
      <w:r w:rsidR="009A222D" w:rsidRPr="00A75729">
        <w:t>se identificó que</w:t>
      </w:r>
      <w:r w:rsidRPr="00A75729">
        <w:t xml:space="preserve"> Fundación </w:t>
      </w:r>
      <w:proofErr w:type="spellStart"/>
      <w:r w:rsidRPr="00A75729">
        <w:t>Ecoforestal</w:t>
      </w:r>
      <w:proofErr w:type="spellEnd"/>
      <w:r w:rsidRPr="00A75729">
        <w:t xml:space="preserve">, A.C. —integrante del </w:t>
      </w:r>
      <w:proofErr w:type="spellStart"/>
      <w:r w:rsidRPr="00A75729">
        <w:t>GIE</w:t>
      </w:r>
      <w:proofErr w:type="spellEnd"/>
      <w:r w:rsidRPr="00A75729">
        <w:t xml:space="preserve"> Grupo Multimedios— tiene en trámite: </w:t>
      </w:r>
    </w:p>
    <w:p w:rsidR="00625898" w:rsidRPr="00A75729" w:rsidRDefault="00E8226C" w:rsidP="008F3CC0">
      <w:pPr>
        <w:pStyle w:val="Prrafodelista"/>
        <w:numPr>
          <w:ilvl w:val="0"/>
          <w:numId w:val="13"/>
        </w:numPr>
        <w:spacing w:after="120" w:line="276" w:lineRule="auto"/>
        <w:ind w:left="426"/>
        <w:contextualSpacing w:val="0"/>
        <w:rPr>
          <w:rFonts w:eastAsia="Times New Roman"/>
          <w:color w:val="000000"/>
          <w:lang w:val="es-MX"/>
        </w:rPr>
      </w:pPr>
      <w:r w:rsidRPr="00E8226C">
        <w:rPr>
          <w:b/>
          <w:bCs/>
          <w:color w:val="0000CC"/>
          <w:kern w:val="24"/>
          <w:sz w:val="20"/>
          <w:szCs w:val="20"/>
        </w:rPr>
        <w:t>“CONFIDENCIAL POR LEY (</w:t>
      </w:r>
      <w:r w:rsidR="00C05A93">
        <w:rPr>
          <w:b/>
          <w:bCs/>
          <w:color w:val="0000CC"/>
          <w:kern w:val="24"/>
          <w:sz w:val="20"/>
          <w:szCs w:val="20"/>
        </w:rPr>
        <w:t>4</w:t>
      </w:r>
      <w:r w:rsidRPr="00E8226C">
        <w:rPr>
          <w:b/>
          <w:bCs/>
          <w:color w:val="0000CC"/>
          <w:kern w:val="24"/>
          <w:sz w:val="20"/>
          <w:szCs w:val="20"/>
        </w:rPr>
        <w:t>)”</w:t>
      </w:r>
      <w:r w:rsidR="009A222D" w:rsidRPr="00A75729">
        <w:t xml:space="preserve"> solicitudes de permiso </w:t>
      </w:r>
      <w:r w:rsidR="00625898" w:rsidRPr="00A75729">
        <w:t>a</w:t>
      </w:r>
      <w:r w:rsidR="009A222D" w:rsidRPr="00A75729">
        <w:t xml:space="preserve">ctualmente concesión de uso social para instalar y operar estaciones de radiodifusión sonora en frecuencia modulada (FM), en </w:t>
      </w:r>
      <w:r w:rsidRPr="00E8226C">
        <w:rPr>
          <w:b/>
          <w:bCs/>
          <w:color w:val="0000CC"/>
          <w:kern w:val="24"/>
          <w:sz w:val="20"/>
          <w:szCs w:val="20"/>
        </w:rPr>
        <w:t>“CONFIDENCIAL POR LEY (</w:t>
      </w:r>
      <w:r w:rsidR="00C05A93">
        <w:rPr>
          <w:b/>
          <w:bCs/>
          <w:color w:val="0000CC"/>
          <w:kern w:val="24"/>
          <w:sz w:val="20"/>
          <w:szCs w:val="20"/>
        </w:rPr>
        <w:t>4</w:t>
      </w:r>
      <w:r w:rsidRPr="00E8226C">
        <w:rPr>
          <w:b/>
          <w:bCs/>
          <w:color w:val="0000CC"/>
          <w:kern w:val="24"/>
          <w:sz w:val="20"/>
          <w:szCs w:val="20"/>
        </w:rPr>
        <w:t>)”</w:t>
      </w:r>
      <w:r w:rsidR="00625898" w:rsidRPr="00A75729">
        <w:t xml:space="preserve"> </w:t>
      </w:r>
    </w:p>
    <w:p w:rsidR="009A222D" w:rsidRPr="00A75729" w:rsidRDefault="00E8226C" w:rsidP="008F3CC0">
      <w:pPr>
        <w:pStyle w:val="Prrafodelista"/>
        <w:numPr>
          <w:ilvl w:val="0"/>
          <w:numId w:val="13"/>
        </w:numPr>
        <w:spacing w:after="120" w:line="276" w:lineRule="auto"/>
        <w:ind w:left="426"/>
        <w:contextualSpacing w:val="0"/>
        <w:rPr>
          <w:rFonts w:eastAsia="Times New Roman"/>
          <w:color w:val="000000"/>
          <w:lang w:val="es-MX"/>
        </w:rPr>
      </w:pPr>
      <w:r w:rsidRPr="00E8226C">
        <w:rPr>
          <w:b/>
          <w:bCs/>
          <w:color w:val="0000CC"/>
          <w:kern w:val="24"/>
          <w:sz w:val="20"/>
          <w:szCs w:val="20"/>
        </w:rPr>
        <w:t>“CONFIDENCIAL POR LEY (</w:t>
      </w:r>
      <w:r w:rsidR="00C05A93">
        <w:rPr>
          <w:b/>
          <w:bCs/>
          <w:color w:val="0000CC"/>
          <w:kern w:val="24"/>
          <w:sz w:val="20"/>
          <w:szCs w:val="20"/>
        </w:rPr>
        <w:t>4</w:t>
      </w:r>
      <w:r w:rsidRPr="00E8226C">
        <w:rPr>
          <w:b/>
          <w:bCs/>
          <w:color w:val="0000CC"/>
          <w:kern w:val="24"/>
          <w:sz w:val="20"/>
          <w:szCs w:val="20"/>
        </w:rPr>
        <w:t>)”</w:t>
      </w:r>
      <w:r w:rsidR="009A222D" w:rsidRPr="00A75729">
        <w:t xml:space="preserve"> de concesión de uso social para instalar y operar una estación de </w:t>
      </w:r>
      <w:r w:rsidR="000D19D1" w:rsidRPr="00A75729">
        <w:t xml:space="preserve">televisión radiodifundida digital </w:t>
      </w:r>
      <w:r w:rsidR="009A222D" w:rsidRPr="00A75729">
        <w:t xml:space="preserve">en la </w:t>
      </w:r>
      <w:r w:rsidRPr="00E8226C">
        <w:rPr>
          <w:b/>
          <w:bCs/>
          <w:color w:val="0000CC"/>
          <w:kern w:val="24"/>
          <w:sz w:val="20"/>
          <w:szCs w:val="20"/>
        </w:rPr>
        <w:t>“CONFIDENCIAL POR LEY (</w:t>
      </w:r>
      <w:r w:rsidR="00C05A93">
        <w:rPr>
          <w:b/>
          <w:bCs/>
          <w:color w:val="0000CC"/>
          <w:kern w:val="24"/>
          <w:sz w:val="20"/>
          <w:szCs w:val="20"/>
        </w:rPr>
        <w:t>4</w:t>
      </w:r>
      <w:r w:rsidRPr="00E8226C">
        <w:rPr>
          <w:b/>
          <w:bCs/>
          <w:color w:val="0000CC"/>
          <w:kern w:val="24"/>
          <w:sz w:val="20"/>
          <w:szCs w:val="20"/>
        </w:rPr>
        <w:t>)”</w:t>
      </w:r>
      <w:r w:rsidR="009A222D" w:rsidRPr="00A75729">
        <w:t>.</w:t>
      </w:r>
    </w:p>
    <w:p w:rsidR="003A75E1" w:rsidRPr="00A75729" w:rsidRDefault="00C30CB6" w:rsidP="00C30CB6">
      <w:pPr>
        <w:pStyle w:val="Ttulo3"/>
        <w:keepLines w:val="0"/>
        <w:spacing w:after="0"/>
        <w:ind w:hanging="218"/>
        <w:rPr>
          <w:rFonts w:eastAsia="Times New Roman" w:cstheme="minorBidi"/>
          <w:szCs w:val="26"/>
          <w:lang w:val="es-MX"/>
        </w:rPr>
      </w:pPr>
      <w:bookmarkStart w:id="161" w:name="_Toc519100853"/>
      <w:r>
        <w:rPr>
          <w:rFonts w:eastAsia="Times New Roman" w:cstheme="minorBidi"/>
          <w:szCs w:val="26"/>
          <w:lang w:val="es-MX"/>
        </w:rPr>
        <w:t xml:space="preserve">4.3 </w:t>
      </w:r>
      <w:r w:rsidR="003A75E1" w:rsidRPr="00A75729">
        <w:rPr>
          <w:rFonts w:eastAsia="Times New Roman" w:cstheme="minorBidi"/>
          <w:szCs w:val="26"/>
          <w:lang w:val="es-MX"/>
        </w:rPr>
        <w:t>Coincidencias en las actividades económicas de las Partes</w:t>
      </w:r>
      <w:bookmarkEnd w:id="161"/>
    </w:p>
    <w:p w:rsidR="003A75E1" w:rsidRPr="00A75729" w:rsidRDefault="008E0E96" w:rsidP="003A75E1">
      <w:pPr>
        <w:ind w:right="-1"/>
      </w:pPr>
      <w:r w:rsidRPr="00A75729">
        <w:t xml:space="preserve">En el </w:t>
      </w:r>
      <w:r w:rsidR="003A75E1" w:rsidRPr="00A75729">
        <w:t xml:space="preserve">Cuadro </w:t>
      </w:r>
      <w:r w:rsidRPr="00A75729">
        <w:t>siguiente</w:t>
      </w:r>
      <w:r w:rsidR="003A75E1" w:rsidRPr="00A75729">
        <w:t xml:space="preserve"> </w:t>
      </w:r>
      <w:r w:rsidR="0095411F" w:rsidRPr="00A75729">
        <w:t xml:space="preserve">se </w:t>
      </w:r>
      <w:r w:rsidR="003A75E1" w:rsidRPr="00A75729">
        <w:t>presenta</w:t>
      </w:r>
      <w:r w:rsidR="0095411F" w:rsidRPr="00A75729">
        <w:t xml:space="preserve"> un</w:t>
      </w:r>
      <w:r w:rsidR="003A75E1" w:rsidRPr="00A75729">
        <w:t xml:space="preserve"> resumen</w:t>
      </w:r>
      <w:r w:rsidR="0095411F" w:rsidRPr="00A75729">
        <w:t xml:space="preserve"> de</w:t>
      </w:r>
      <w:r w:rsidR="003A75E1" w:rsidRPr="00A75729">
        <w:t xml:space="preserve"> las actividades en los sectores de telecomunicaciones y radiodifusión en las que participan el </w:t>
      </w:r>
      <w:proofErr w:type="spellStart"/>
      <w:r w:rsidR="003A75E1" w:rsidRPr="00A75729">
        <w:t>GIE</w:t>
      </w:r>
      <w:proofErr w:type="spellEnd"/>
      <w:r w:rsidR="003A75E1" w:rsidRPr="00A75729">
        <w:t xml:space="preserve"> Grupo Multimedios y el </w:t>
      </w:r>
      <w:proofErr w:type="spellStart"/>
      <w:r w:rsidR="003A75E1" w:rsidRPr="00A75729">
        <w:t>GIE</w:t>
      </w:r>
      <w:proofErr w:type="spellEnd"/>
      <w:r w:rsidR="003A75E1" w:rsidRPr="00A75729">
        <w:t xml:space="preserve"> </w:t>
      </w:r>
      <w:r w:rsidR="00681516" w:rsidRPr="00A75729">
        <w:t>Audio Publicidad</w:t>
      </w:r>
      <w:r w:rsidR="003A75E1" w:rsidRPr="00A75729">
        <w:t>.</w:t>
      </w:r>
    </w:p>
    <w:p w:rsidR="003A75E1" w:rsidRPr="00A75729" w:rsidRDefault="003A75E1" w:rsidP="00FB57CD">
      <w:pPr>
        <w:pStyle w:val="Prrafodelista"/>
        <w:keepNext/>
        <w:numPr>
          <w:ilvl w:val="0"/>
          <w:numId w:val="18"/>
        </w:numPr>
        <w:spacing w:after="120" w:line="276" w:lineRule="auto"/>
        <w:ind w:left="426" w:hanging="357"/>
        <w:contextualSpacing w:val="0"/>
        <w:jc w:val="center"/>
        <w:rPr>
          <w:b/>
          <w:szCs w:val="20"/>
        </w:rPr>
      </w:pPr>
      <w:r w:rsidRPr="00A75729">
        <w:rPr>
          <w:b/>
          <w:szCs w:val="20"/>
        </w:rPr>
        <w:t xml:space="preserve">Servicios en los que participan las Partes, </w:t>
      </w:r>
      <w:r w:rsidR="00625898" w:rsidRPr="00A75729">
        <w:rPr>
          <w:b/>
          <w:szCs w:val="20"/>
          <w:u w:val="single"/>
        </w:rPr>
        <w:t>a</w:t>
      </w:r>
      <w:r w:rsidRPr="00A75729">
        <w:rPr>
          <w:b/>
          <w:szCs w:val="20"/>
          <w:u w:val="single"/>
        </w:rPr>
        <w:t>ntes de la Operación</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562"/>
        <w:gridCol w:w="2409"/>
      </w:tblGrid>
      <w:tr w:rsidR="003A75E1" w:rsidRPr="00A75729" w:rsidTr="0095411F">
        <w:trPr>
          <w:trHeight w:val="254"/>
          <w:tblHeader/>
          <w:jc w:val="center"/>
        </w:trPr>
        <w:tc>
          <w:tcPr>
            <w:tcW w:w="3397" w:type="dxa"/>
            <w:shd w:val="clear" w:color="auto" w:fill="92D050"/>
            <w:vAlign w:val="center"/>
          </w:tcPr>
          <w:p w:rsidR="003A75E1" w:rsidRPr="00A75729" w:rsidRDefault="003A75E1" w:rsidP="00B5159A">
            <w:pPr>
              <w:spacing w:before="0" w:after="0"/>
              <w:jc w:val="center"/>
              <w:rPr>
                <w:b/>
                <w:sz w:val="20"/>
                <w:szCs w:val="18"/>
              </w:rPr>
            </w:pPr>
            <w:r w:rsidRPr="00A75729">
              <w:rPr>
                <w:b/>
                <w:sz w:val="20"/>
                <w:szCs w:val="18"/>
              </w:rPr>
              <w:t>Servicios/Actividades</w:t>
            </w:r>
          </w:p>
        </w:tc>
        <w:tc>
          <w:tcPr>
            <w:tcW w:w="2562" w:type="dxa"/>
            <w:shd w:val="clear" w:color="auto" w:fill="92D050"/>
            <w:vAlign w:val="center"/>
          </w:tcPr>
          <w:p w:rsidR="003A75E1" w:rsidRPr="00A75729" w:rsidRDefault="003A75E1">
            <w:pPr>
              <w:spacing w:before="0" w:after="0"/>
              <w:jc w:val="center"/>
              <w:rPr>
                <w:b/>
                <w:sz w:val="20"/>
                <w:szCs w:val="18"/>
              </w:rPr>
            </w:pPr>
            <w:proofErr w:type="spellStart"/>
            <w:r w:rsidRPr="00A75729">
              <w:rPr>
                <w:b/>
                <w:sz w:val="20"/>
                <w:szCs w:val="18"/>
              </w:rPr>
              <w:t>GIE</w:t>
            </w:r>
            <w:proofErr w:type="spellEnd"/>
            <w:r w:rsidRPr="00A75729">
              <w:rPr>
                <w:b/>
                <w:sz w:val="20"/>
                <w:szCs w:val="18"/>
              </w:rPr>
              <w:t xml:space="preserve"> Grupo Multimedios</w:t>
            </w:r>
          </w:p>
        </w:tc>
        <w:tc>
          <w:tcPr>
            <w:tcW w:w="2409" w:type="dxa"/>
            <w:shd w:val="clear" w:color="auto" w:fill="92D050"/>
            <w:vAlign w:val="center"/>
          </w:tcPr>
          <w:p w:rsidR="003A75E1" w:rsidRPr="00A75729" w:rsidRDefault="003A75E1" w:rsidP="00EB588D">
            <w:pPr>
              <w:spacing w:before="0" w:after="0"/>
              <w:jc w:val="center"/>
              <w:rPr>
                <w:b/>
                <w:sz w:val="20"/>
                <w:szCs w:val="18"/>
              </w:rPr>
            </w:pPr>
            <w:proofErr w:type="spellStart"/>
            <w:r w:rsidRPr="00A75729">
              <w:rPr>
                <w:b/>
                <w:sz w:val="20"/>
                <w:szCs w:val="18"/>
              </w:rPr>
              <w:t>GIE</w:t>
            </w:r>
            <w:proofErr w:type="spellEnd"/>
            <w:r w:rsidRPr="00A75729">
              <w:rPr>
                <w:b/>
                <w:sz w:val="20"/>
                <w:szCs w:val="18"/>
              </w:rPr>
              <w:t xml:space="preserve"> </w:t>
            </w:r>
            <w:r w:rsidR="00EB588D" w:rsidRPr="00A75729">
              <w:rPr>
                <w:b/>
                <w:sz w:val="20"/>
                <w:szCs w:val="18"/>
              </w:rPr>
              <w:t>Audio Publicidad</w:t>
            </w:r>
          </w:p>
        </w:tc>
      </w:tr>
      <w:tr w:rsidR="003A75E1" w:rsidRPr="00A75729" w:rsidTr="0095411F">
        <w:trPr>
          <w:trHeight w:val="254"/>
          <w:jc w:val="center"/>
        </w:trPr>
        <w:tc>
          <w:tcPr>
            <w:tcW w:w="3397" w:type="dxa"/>
          </w:tcPr>
          <w:p w:rsidR="003A75E1" w:rsidRPr="00A75729" w:rsidRDefault="0095411F" w:rsidP="00B5159A">
            <w:pPr>
              <w:spacing w:before="0" w:after="0"/>
              <w:rPr>
                <w:b/>
                <w:sz w:val="20"/>
                <w:szCs w:val="20"/>
              </w:rPr>
            </w:pPr>
            <w:proofErr w:type="spellStart"/>
            <w:r w:rsidRPr="00A75729">
              <w:rPr>
                <w:b/>
                <w:sz w:val="20"/>
                <w:szCs w:val="20"/>
              </w:rPr>
              <w:t>SRSAC</w:t>
            </w:r>
            <w:proofErr w:type="spellEnd"/>
          </w:p>
        </w:tc>
        <w:tc>
          <w:tcPr>
            <w:tcW w:w="2562" w:type="dxa"/>
            <w:vAlign w:val="center"/>
          </w:tcPr>
          <w:p w:rsidR="003A75E1" w:rsidRPr="00A75729" w:rsidRDefault="003A75E1" w:rsidP="00B5159A">
            <w:pPr>
              <w:spacing w:before="0" w:after="0"/>
              <w:jc w:val="center"/>
              <w:rPr>
                <w:b/>
                <w:sz w:val="20"/>
                <w:szCs w:val="18"/>
              </w:rPr>
            </w:pPr>
            <w:r w:rsidRPr="00A75729">
              <w:rPr>
                <w:b/>
                <w:sz w:val="20"/>
                <w:szCs w:val="18"/>
              </w:rPr>
              <w:t>Sí</w:t>
            </w:r>
          </w:p>
        </w:tc>
        <w:tc>
          <w:tcPr>
            <w:tcW w:w="2409" w:type="dxa"/>
            <w:vAlign w:val="center"/>
          </w:tcPr>
          <w:p w:rsidR="003A75E1" w:rsidRPr="00A75729" w:rsidRDefault="003A75E1" w:rsidP="00B5159A">
            <w:pPr>
              <w:spacing w:before="0" w:after="0"/>
              <w:jc w:val="center"/>
              <w:rPr>
                <w:b/>
                <w:sz w:val="20"/>
                <w:szCs w:val="18"/>
              </w:rPr>
            </w:pPr>
            <w:r w:rsidRPr="00A75729">
              <w:rPr>
                <w:b/>
                <w:sz w:val="20"/>
                <w:szCs w:val="18"/>
              </w:rPr>
              <w:t>Sí</w:t>
            </w:r>
          </w:p>
        </w:tc>
      </w:tr>
      <w:tr w:rsidR="003A75E1" w:rsidRPr="00A75729" w:rsidTr="0095411F">
        <w:trPr>
          <w:trHeight w:val="263"/>
          <w:jc w:val="center"/>
        </w:trPr>
        <w:tc>
          <w:tcPr>
            <w:tcW w:w="3397" w:type="dxa"/>
          </w:tcPr>
          <w:p w:rsidR="003A75E1" w:rsidRPr="00A75729" w:rsidRDefault="0095411F" w:rsidP="00B5159A">
            <w:pPr>
              <w:spacing w:before="0" w:after="0"/>
              <w:rPr>
                <w:sz w:val="20"/>
                <w:szCs w:val="20"/>
              </w:rPr>
            </w:pPr>
            <w:proofErr w:type="spellStart"/>
            <w:r w:rsidRPr="00A75729">
              <w:rPr>
                <w:sz w:val="20"/>
                <w:szCs w:val="20"/>
              </w:rPr>
              <w:t>STRDC</w:t>
            </w:r>
            <w:proofErr w:type="spellEnd"/>
          </w:p>
        </w:tc>
        <w:tc>
          <w:tcPr>
            <w:tcW w:w="2562" w:type="dxa"/>
            <w:vAlign w:val="center"/>
          </w:tcPr>
          <w:p w:rsidR="003A75E1" w:rsidRPr="00A75729" w:rsidRDefault="003A75E1" w:rsidP="00B5159A">
            <w:pPr>
              <w:spacing w:before="0" w:after="0"/>
              <w:jc w:val="center"/>
              <w:rPr>
                <w:sz w:val="20"/>
                <w:szCs w:val="18"/>
              </w:rPr>
            </w:pPr>
            <w:r w:rsidRPr="00A75729">
              <w:rPr>
                <w:sz w:val="20"/>
                <w:szCs w:val="18"/>
              </w:rPr>
              <w:t>Sí</w:t>
            </w:r>
          </w:p>
        </w:tc>
        <w:tc>
          <w:tcPr>
            <w:tcW w:w="2409" w:type="dxa"/>
            <w:vAlign w:val="center"/>
          </w:tcPr>
          <w:p w:rsidR="003A75E1" w:rsidRPr="00A75729" w:rsidRDefault="003A75E1" w:rsidP="00B5159A">
            <w:pPr>
              <w:spacing w:before="0" w:after="0"/>
              <w:jc w:val="center"/>
              <w:rPr>
                <w:sz w:val="20"/>
                <w:szCs w:val="18"/>
              </w:rPr>
            </w:pPr>
            <w:r w:rsidRPr="00A75729">
              <w:rPr>
                <w:sz w:val="20"/>
                <w:szCs w:val="18"/>
              </w:rPr>
              <w:t>No</w:t>
            </w:r>
          </w:p>
        </w:tc>
      </w:tr>
    </w:tbl>
    <w:p w:rsidR="003A75E1" w:rsidRPr="00A75729" w:rsidRDefault="003A75E1" w:rsidP="003A75E1">
      <w:pPr>
        <w:pStyle w:val="Notaalpie"/>
        <w:ind w:left="567" w:right="708"/>
        <w:rPr>
          <w:rFonts w:eastAsia="Calibri" w:cs="Times New Roman"/>
          <w:sz w:val="16"/>
        </w:rPr>
      </w:pPr>
      <w:r w:rsidRPr="00A75729">
        <w:rPr>
          <w:rFonts w:eastAsia="Calibri" w:cs="Times New Roman"/>
          <w:sz w:val="16"/>
        </w:rPr>
        <w:t>Fuente: Elaboración propia con información presentada por las Partes.</w:t>
      </w:r>
    </w:p>
    <w:p w:rsidR="0095411F" w:rsidRPr="00A75729" w:rsidRDefault="003A75E1" w:rsidP="0095411F">
      <w:r w:rsidRPr="00A75729">
        <w:t xml:space="preserve">Del cuadro anterior se observa que </w:t>
      </w:r>
      <w:r w:rsidRPr="00A75729">
        <w:rPr>
          <w:b/>
        </w:rPr>
        <w:t xml:space="preserve">el </w:t>
      </w:r>
      <w:proofErr w:type="spellStart"/>
      <w:r w:rsidRPr="00A75729">
        <w:rPr>
          <w:b/>
        </w:rPr>
        <w:t>GIE</w:t>
      </w:r>
      <w:proofErr w:type="spellEnd"/>
      <w:r w:rsidRPr="00A75729">
        <w:rPr>
          <w:b/>
        </w:rPr>
        <w:t xml:space="preserve"> Grupo Multimedios y el </w:t>
      </w:r>
      <w:proofErr w:type="spellStart"/>
      <w:r w:rsidRPr="00A75729">
        <w:rPr>
          <w:b/>
        </w:rPr>
        <w:t>GIE</w:t>
      </w:r>
      <w:proofErr w:type="spellEnd"/>
      <w:r w:rsidRPr="00A75729">
        <w:rPr>
          <w:b/>
        </w:rPr>
        <w:t xml:space="preserve"> </w:t>
      </w:r>
      <w:r w:rsidR="00681516" w:rsidRPr="00A75729">
        <w:rPr>
          <w:b/>
        </w:rPr>
        <w:t>Audio Publicidad</w:t>
      </w:r>
      <w:r w:rsidRPr="00A75729">
        <w:rPr>
          <w:b/>
        </w:rPr>
        <w:t xml:space="preserve"> </w:t>
      </w:r>
      <w:r w:rsidRPr="00A75729">
        <w:rPr>
          <w:b/>
          <w:u w:val="single"/>
        </w:rPr>
        <w:t xml:space="preserve">coinciden en </w:t>
      </w:r>
      <w:r w:rsidR="0095411F" w:rsidRPr="00A75729">
        <w:rPr>
          <w:b/>
          <w:u w:val="single"/>
        </w:rPr>
        <w:t xml:space="preserve">el sector de radiodifusión en </w:t>
      </w:r>
      <w:r w:rsidRPr="00A75729">
        <w:rPr>
          <w:b/>
          <w:u w:val="single"/>
        </w:rPr>
        <w:t xml:space="preserve">la provisión del </w:t>
      </w:r>
      <w:proofErr w:type="spellStart"/>
      <w:r w:rsidR="0095411F" w:rsidRPr="00A75729">
        <w:rPr>
          <w:b/>
          <w:u w:val="single"/>
        </w:rPr>
        <w:t>SRSAC</w:t>
      </w:r>
      <w:proofErr w:type="spellEnd"/>
      <w:r w:rsidR="0095411F" w:rsidRPr="00A75729">
        <w:t xml:space="preserve">. Este servicio se presta por medio de la emisión de señales de audio hasta los dispositivos receptores a través de bandas de frecuencias en los rangos de 535-1605 kHz (banda AM estándar), </w:t>
      </w:r>
      <w:r w:rsidR="00625898" w:rsidRPr="00A75729">
        <w:br w:type="textWrapping" w:clear="all"/>
      </w:r>
      <w:r w:rsidR="0095411F" w:rsidRPr="00A75729">
        <w:t>1605-1705 KHz (banda AM ampliada) y 88-108 MHz (banda FM).</w:t>
      </w:r>
    </w:p>
    <w:p w:rsidR="004F78EC" w:rsidRPr="00A75729" w:rsidRDefault="003A75E1" w:rsidP="00EA33AE">
      <w:r w:rsidRPr="00A75729">
        <w:t>Por lo anterior, se concluye que los agentes económicos que participa</w:t>
      </w:r>
      <w:r w:rsidR="00390B4C" w:rsidRPr="00A75729">
        <w:t>ron</w:t>
      </w:r>
      <w:r w:rsidRPr="00A75729">
        <w:t xml:space="preserve"> en la Operación </w:t>
      </w:r>
      <w:r w:rsidR="00390B4C" w:rsidRPr="00A75729">
        <w:t xml:space="preserve">eran o </w:t>
      </w:r>
      <w:r w:rsidRPr="00A75729">
        <w:t>son titulares de concesiones para prestar servicios de</w:t>
      </w:r>
      <w:r w:rsidR="00B77F1C" w:rsidRPr="00A75729">
        <w:t xml:space="preserve"> </w:t>
      </w:r>
      <w:proofErr w:type="spellStart"/>
      <w:r w:rsidR="00B77F1C" w:rsidRPr="00A75729">
        <w:t>SRSAC</w:t>
      </w:r>
      <w:proofErr w:type="spellEnd"/>
      <w:r w:rsidRPr="00A75729">
        <w:t xml:space="preserve"> </w:t>
      </w:r>
      <w:r w:rsidR="00B77F1C" w:rsidRPr="00A75729">
        <w:t xml:space="preserve">que forma parte del sector de </w:t>
      </w:r>
      <w:r w:rsidR="001424A6" w:rsidRPr="00A75729">
        <w:rPr>
          <w:b/>
        </w:rPr>
        <w:t>radiodifusión</w:t>
      </w:r>
      <w:r w:rsidRPr="00A75729">
        <w:t xml:space="preserve">, por lo que el análisis de cumplimiento de los supuestos que establecen los párrafos primero a cuarto del Noveno Transitorio se realiza respecto de ese </w:t>
      </w:r>
      <w:r w:rsidRPr="00A75729">
        <w:rPr>
          <w:b/>
        </w:rPr>
        <w:t>sector</w:t>
      </w:r>
      <w:r w:rsidRPr="00A75729">
        <w:t>.</w:t>
      </w:r>
    </w:p>
    <w:p w:rsidR="00F80D00" w:rsidRPr="00A75729" w:rsidRDefault="00F80D00" w:rsidP="00E50770">
      <w:pPr>
        <w:pStyle w:val="Ttulo2"/>
        <w:spacing w:after="0"/>
        <w:ind w:left="993" w:hanging="993"/>
        <w:rPr>
          <w:rFonts w:eastAsia="Times New Roman" w:cstheme="minorBidi"/>
          <w:szCs w:val="26"/>
          <w:lang w:val="es-MX"/>
        </w:rPr>
      </w:pPr>
      <w:bookmarkStart w:id="162" w:name="_Toc519100854"/>
      <w:r w:rsidRPr="00A75729">
        <w:rPr>
          <w:rFonts w:eastAsia="Times New Roman" w:cstheme="minorBidi"/>
          <w:szCs w:val="26"/>
          <w:lang w:val="es-MX"/>
        </w:rPr>
        <w:lastRenderedPageBreak/>
        <w:t>QUINTO. Evaluación de los requisitos y elementos establecidos en los párrafos primero a cuarto del Noveno Transitorio</w:t>
      </w:r>
      <w:bookmarkEnd w:id="162"/>
    </w:p>
    <w:p w:rsidR="00F80D00" w:rsidRPr="00A75729" w:rsidRDefault="00F80D00" w:rsidP="00F80D00">
      <w:r w:rsidRPr="00A75729">
        <w:t>Tal y como se refiere en el Considerando Segundo de esta resolución, el Noveno Transitorio está vigente en tanto exista un agente económico declarado preponderante en el sector donde ocurra la concentración que sea materia del aviso.</w:t>
      </w:r>
    </w:p>
    <w:p w:rsidR="00645AD1" w:rsidRPr="00A75729" w:rsidRDefault="00F80D00" w:rsidP="00645AD1">
      <w:pPr>
        <w:ind w:right="-1"/>
      </w:pPr>
      <w:r w:rsidRPr="00A75729">
        <w:t xml:space="preserve">A este respecto, el </w:t>
      </w:r>
      <w:r w:rsidR="006466E7" w:rsidRPr="00A75729">
        <w:t>6</w:t>
      </w:r>
      <w:r w:rsidR="00E019AD" w:rsidRPr="00A75729">
        <w:t xml:space="preserve"> de marzo de </w:t>
      </w:r>
      <w:r w:rsidR="006466E7" w:rsidRPr="00A75729">
        <w:t>2014</w:t>
      </w:r>
      <w:r w:rsidRPr="00A75729">
        <w:t>, el Pleno del Instituto emitió la</w:t>
      </w:r>
      <w:r w:rsidR="006466E7" w:rsidRPr="00A75729">
        <w:rPr>
          <w:lang w:eastAsia="es-ES"/>
        </w:rPr>
        <w:t xml:space="preserve"> Resolución de Preponderancia en Radiodifusión</w:t>
      </w:r>
      <w:r w:rsidR="00645AD1" w:rsidRPr="00A75729">
        <w:t>, la cual</w:t>
      </w:r>
      <w:r w:rsidR="00E019AD" w:rsidRPr="00A75729">
        <w:rPr>
          <w:lang w:eastAsia="es-ES"/>
        </w:rPr>
        <w:t xml:space="preserve"> </w:t>
      </w:r>
      <w:r w:rsidRPr="00A75729">
        <w:rPr>
          <w:lang w:eastAsia="es-ES"/>
        </w:rPr>
        <w:t>no ha sido revocada ni modificada en cuanto a la determinación del a</w:t>
      </w:r>
      <w:r w:rsidRPr="00A75729">
        <w:t xml:space="preserve">gente económico preponderante en el sector de </w:t>
      </w:r>
      <w:r w:rsidR="00AD4B43" w:rsidRPr="00A75729">
        <w:t xml:space="preserve">radiodifusión </w:t>
      </w:r>
      <w:r w:rsidRPr="00A75729">
        <w:t>(</w:t>
      </w:r>
      <w:proofErr w:type="spellStart"/>
      <w:r w:rsidRPr="00A75729">
        <w:t>AEP</w:t>
      </w:r>
      <w:r w:rsidR="00AD4B43" w:rsidRPr="00A75729">
        <w:t>R</w:t>
      </w:r>
      <w:proofErr w:type="spellEnd"/>
      <w:r w:rsidRPr="00A75729">
        <w:t>).</w:t>
      </w:r>
    </w:p>
    <w:p w:rsidR="00F80D00" w:rsidRPr="00A75729" w:rsidRDefault="00F80D00" w:rsidP="00645AD1">
      <w:pPr>
        <w:ind w:right="-1"/>
      </w:pPr>
      <w:r w:rsidRPr="00A75729">
        <w:t xml:space="preserve">Dado que existe un agente económico preponderante en el sector de </w:t>
      </w:r>
      <w:r w:rsidR="00E019AD" w:rsidRPr="00A75729">
        <w:t>radiodifusión</w:t>
      </w:r>
      <w:r w:rsidRPr="00A75729">
        <w:t>, la Operación puede tramitarse y resolverse en términos de lo dispuesto en los</w:t>
      </w:r>
      <w:r w:rsidRPr="00A75729">
        <w:rPr>
          <w:b/>
        </w:rPr>
        <w:t xml:space="preserve"> </w:t>
      </w:r>
      <w:r w:rsidRPr="00A75729">
        <w:t>párrafos primero a cuarto del Noveno Transitorio.</w:t>
      </w:r>
    </w:p>
    <w:p w:rsidR="00F80D00" w:rsidRPr="00A75729" w:rsidRDefault="00F80D00" w:rsidP="00F80D00">
      <w:r w:rsidRPr="00A75729">
        <w:t xml:space="preserve">Conforme a esa misma disposición, los agentes económicos </w:t>
      </w:r>
      <w:r w:rsidR="008A7A62" w:rsidRPr="00A75729">
        <w:t xml:space="preserve">no requieren de una autorización y pueden presentar un aviso tratándose de operaciones </w:t>
      </w:r>
      <w:r w:rsidRPr="00A75729">
        <w:t xml:space="preserve">en el sector de </w:t>
      </w:r>
      <w:r w:rsidR="00E019AD" w:rsidRPr="00A75729">
        <w:t xml:space="preserve">radiodifusión </w:t>
      </w:r>
      <w:r w:rsidRPr="00A75729">
        <w:t xml:space="preserve">sin la autorización del </w:t>
      </w:r>
      <w:r w:rsidR="00B77F1C" w:rsidRPr="00A75729">
        <w:t xml:space="preserve">Instituto —que conforme a las disposiciones aplicables de la </w:t>
      </w:r>
      <w:proofErr w:type="spellStart"/>
      <w:r w:rsidR="00B77F1C" w:rsidRPr="00A75729">
        <w:t>LFTR</w:t>
      </w:r>
      <w:proofErr w:type="spellEnd"/>
      <w:r w:rsidR="00B77F1C" w:rsidRPr="00A75729">
        <w:rPr>
          <w:rStyle w:val="Refdenotaalpie"/>
        </w:rPr>
        <w:footnoteReference w:id="33"/>
      </w:r>
      <w:r w:rsidR="00B77F1C" w:rsidRPr="00A75729">
        <w:t xml:space="preserve"> </w:t>
      </w:r>
      <w:r w:rsidR="000638DD" w:rsidRPr="00A75729">
        <w:t xml:space="preserve">y </w:t>
      </w:r>
      <w:proofErr w:type="spellStart"/>
      <w:r w:rsidR="000638DD" w:rsidRPr="00A75729">
        <w:t>LFCE</w:t>
      </w:r>
      <w:proofErr w:type="spellEnd"/>
      <w:r w:rsidR="000638DD" w:rsidRPr="00A75729">
        <w:rPr>
          <w:rStyle w:val="Refdenotaalpie"/>
        </w:rPr>
        <w:footnoteReference w:id="34"/>
      </w:r>
      <w:r w:rsidR="000638DD" w:rsidRPr="00A75729">
        <w:t xml:space="preserve"> </w:t>
      </w:r>
      <w:r w:rsidR="00B77F1C" w:rsidRPr="00A75729">
        <w:t>es previa—</w:t>
      </w:r>
      <w:r w:rsidRPr="00A75729">
        <w:t xml:space="preserve"> siempre que reúnan los siguientes requisitos:</w:t>
      </w:r>
    </w:p>
    <w:p w:rsidR="008A7A62" w:rsidRPr="00A75729" w:rsidRDefault="008A7A62" w:rsidP="00FB57CD">
      <w:pPr>
        <w:pStyle w:val="Prrafodelista"/>
        <w:numPr>
          <w:ilvl w:val="0"/>
          <w:numId w:val="16"/>
        </w:numPr>
        <w:spacing w:after="120" w:line="276" w:lineRule="auto"/>
        <w:ind w:left="426"/>
        <w:contextualSpacing w:val="0"/>
      </w:pPr>
      <w:r w:rsidRPr="00A75729">
        <w:t xml:space="preserve">La operación sea una </w:t>
      </w:r>
      <w:r w:rsidRPr="00A75729">
        <w:rPr>
          <w:b/>
        </w:rPr>
        <w:t>concentración</w:t>
      </w:r>
      <w:r w:rsidRPr="00A75729">
        <w:t>;</w:t>
      </w:r>
    </w:p>
    <w:p w:rsidR="00F80D00" w:rsidRPr="00A75729" w:rsidRDefault="00F80D00" w:rsidP="00FB57CD">
      <w:pPr>
        <w:pStyle w:val="Prrafodelista"/>
        <w:numPr>
          <w:ilvl w:val="0"/>
          <w:numId w:val="16"/>
        </w:numPr>
        <w:spacing w:after="120" w:line="276" w:lineRule="auto"/>
        <w:ind w:left="426"/>
        <w:contextualSpacing w:val="0"/>
      </w:pPr>
      <w:r w:rsidRPr="00A75729">
        <w:t>Los agentes económicos involucrados sean titulares de concesiones;</w:t>
      </w:r>
    </w:p>
    <w:p w:rsidR="00F80D00" w:rsidRPr="00A75729" w:rsidRDefault="00F80D00" w:rsidP="00FB57CD">
      <w:pPr>
        <w:pStyle w:val="Prrafodelista"/>
        <w:numPr>
          <w:ilvl w:val="0"/>
          <w:numId w:val="16"/>
        </w:numPr>
        <w:spacing w:after="120" w:line="276" w:lineRule="auto"/>
        <w:ind w:left="426"/>
        <w:contextualSpacing w:val="0"/>
      </w:pPr>
      <w:r w:rsidRPr="00A75729">
        <w:t>Los agentes económicos involucrados presenten ante el Instituto un aviso por escrito dentro de los 10 (diez) días siguientes a la realización de la concentración, y</w:t>
      </w:r>
    </w:p>
    <w:p w:rsidR="00F80D00" w:rsidRPr="00A75729" w:rsidRDefault="00F80D00" w:rsidP="00FB57CD">
      <w:pPr>
        <w:pStyle w:val="Prrafodelista"/>
        <w:numPr>
          <w:ilvl w:val="0"/>
          <w:numId w:val="16"/>
        </w:numPr>
        <w:spacing w:after="120" w:line="276" w:lineRule="auto"/>
        <w:ind w:left="426"/>
        <w:contextualSpacing w:val="0"/>
      </w:pPr>
      <w:r w:rsidRPr="00A75729">
        <w:t xml:space="preserve">El aviso se acompañe de la información a que se refiere el artículo 89 de la </w:t>
      </w:r>
      <w:proofErr w:type="spellStart"/>
      <w:r w:rsidRPr="00A75729">
        <w:t>LFCE</w:t>
      </w:r>
      <w:proofErr w:type="spellEnd"/>
      <w:r w:rsidRPr="00A75729">
        <w:t xml:space="preserve"> y los elementos de convicción que demuestren que la concentración cumple con los 4 (cuatro) requisitos señalados en los incisos </w:t>
      </w:r>
      <w:r w:rsidRPr="00A75729">
        <w:rPr>
          <w:b/>
        </w:rPr>
        <w:t>a</w:t>
      </w:r>
      <w:r w:rsidRPr="00A75729">
        <w:t xml:space="preserve">. a </w:t>
      </w:r>
      <w:r w:rsidRPr="00A75729">
        <w:rPr>
          <w:b/>
        </w:rPr>
        <w:t>d</w:t>
      </w:r>
      <w:r w:rsidRPr="00A75729">
        <w:t>. del párrafo primero del artículo de mérito.</w:t>
      </w:r>
    </w:p>
    <w:p w:rsidR="008A7A62" w:rsidRPr="00C30CB6" w:rsidRDefault="00681A2E" w:rsidP="00C30CB6">
      <w:r w:rsidRPr="00A75729">
        <w:t xml:space="preserve">A continuación, se presentan los elementos y el análisis </w:t>
      </w:r>
      <w:r w:rsidR="00F80D00" w:rsidRPr="00A75729">
        <w:t xml:space="preserve">para determinar si la Operación cumple los requisitos mencionados, tomando en consideración los elementos contenidos en el </w:t>
      </w:r>
      <w:r w:rsidR="002507A4" w:rsidRPr="00A75729">
        <w:t>E</w:t>
      </w:r>
      <w:r w:rsidR="00F80D00" w:rsidRPr="00A75729">
        <w:t>xpediente aportados por las Partes.</w:t>
      </w:r>
      <w:bookmarkStart w:id="163" w:name="_Toc510429551"/>
      <w:bookmarkStart w:id="164" w:name="_Toc510440070"/>
      <w:bookmarkStart w:id="165" w:name="_Toc518923191"/>
      <w:bookmarkStart w:id="166" w:name="_Toc518923257"/>
      <w:bookmarkStart w:id="167" w:name="_Toc518923327"/>
      <w:bookmarkStart w:id="168" w:name="_Toc518925341"/>
      <w:bookmarkStart w:id="169" w:name="_Toc519008657"/>
      <w:bookmarkStart w:id="170" w:name="_Toc519013462"/>
      <w:bookmarkStart w:id="171" w:name="_Toc519100506"/>
      <w:bookmarkStart w:id="172" w:name="_Toc519100855"/>
      <w:bookmarkEnd w:id="163"/>
      <w:bookmarkEnd w:id="164"/>
      <w:bookmarkEnd w:id="165"/>
      <w:bookmarkEnd w:id="166"/>
      <w:bookmarkEnd w:id="167"/>
      <w:bookmarkEnd w:id="168"/>
      <w:bookmarkEnd w:id="169"/>
      <w:bookmarkEnd w:id="170"/>
      <w:bookmarkEnd w:id="171"/>
      <w:bookmarkEnd w:id="172"/>
    </w:p>
    <w:p w:rsidR="00F80D00" w:rsidRPr="00A75729" w:rsidRDefault="00C30CB6" w:rsidP="00C30CB6">
      <w:pPr>
        <w:pStyle w:val="Ttulo3"/>
        <w:keepLines w:val="0"/>
        <w:spacing w:after="0"/>
        <w:ind w:firstLine="0"/>
      </w:pPr>
      <w:bookmarkStart w:id="173" w:name="_Toc519100856"/>
      <w:r>
        <w:lastRenderedPageBreak/>
        <w:t xml:space="preserve">5.1 </w:t>
      </w:r>
      <w:r w:rsidR="00F80D00" w:rsidRPr="00A75729">
        <w:t xml:space="preserve">La </w:t>
      </w:r>
      <w:r w:rsidR="00F80D00" w:rsidRPr="00A75729">
        <w:rPr>
          <w:rFonts w:eastAsia="Times New Roman" w:cstheme="minorBidi"/>
          <w:szCs w:val="26"/>
          <w:lang w:val="es-MX"/>
        </w:rPr>
        <w:t>Operación</w:t>
      </w:r>
      <w:r w:rsidR="00F80D00" w:rsidRPr="00A75729">
        <w:t xml:space="preserve"> constituye una concentración</w:t>
      </w:r>
      <w:bookmarkEnd w:id="173"/>
    </w:p>
    <w:p w:rsidR="00F80D00" w:rsidRDefault="00F80D00" w:rsidP="00F80D00">
      <w:r w:rsidRPr="00A75729">
        <w:t xml:space="preserve">El término </w:t>
      </w:r>
      <w:r w:rsidRPr="00A75729">
        <w:rPr>
          <w:i/>
        </w:rPr>
        <w:t>“concentración”</w:t>
      </w:r>
      <w:r w:rsidRPr="00A75729">
        <w:t xml:space="preserve"> no está definido en la </w:t>
      </w:r>
      <w:proofErr w:type="spellStart"/>
      <w:r w:rsidRPr="00A75729">
        <w:t>LFTR</w:t>
      </w:r>
      <w:proofErr w:type="spellEnd"/>
      <w:r w:rsidRPr="00A75729">
        <w:t xml:space="preserve"> ni en el decreto que la expidió. No obstante, sirve de referencia la definición contenida en la </w:t>
      </w:r>
      <w:proofErr w:type="spellStart"/>
      <w:r w:rsidRPr="00A75729">
        <w:t>LFCE</w:t>
      </w:r>
      <w:proofErr w:type="spellEnd"/>
      <w:r w:rsidRPr="00A75729">
        <w:t>:</w:t>
      </w:r>
    </w:p>
    <w:p w:rsidR="00F80D00" w:rsidRPr="00A75729" w:rsidRDefault="00F80D00" w:rsidP="00681A2E">
      <w:pPr>
        <w:pStyle w:val="Cita"/>
        <w:spacing w:line="276" w:lineRule="auto"/>
        <w:ind w:left="567" w:right="45"/>
        <w:jc w:val="center"/>
      </w:pPr>
      <w:r w:rsidRPr="00A75729">
        <w:t>“Capítulo VI</w:t>
      </w:r>
    </w:p>
    <w:p w:rsidR="00F80D00" w:rsidRPr="00A75729" w:rsidRDefault="00F80D00" w:rsidP="00681A2E">
      <w:pPr>
        <w:pStyle w:val="Cita"/>
        <w:spacing w:line="276" w:lineRule="auto"/>
        <w:ind w:left="567" w:right="45"/>
        <w:jc w:val="center"/>
      </w:pPr>
      <w:r w:rsidRPr="00A75729">
        <w:t>De las Concentraciones</w:t>
      </w:r>
    </w:p>
    <w:p w:rsidR="00F80D00" w:rsidRPr="00A75729" w:rsidRDefault="00F80D00" w:rsidP="00681A2E">
      <w:pPr>
        <w:pStyle w:val="Cita"/>
        <w:spacing w:line="276" w:lineRule="auto"/>
        <w:ind w:left="567" w:right="45"/>
        <w:jc w:val="center"/>
      </w:pPr>
      <w:r w:rsidRPr="00A75729">
        <w:t>Sección I</w:t>
      </w:r>
    </w:p>
    <w:p w:rsidR="00F80D00" w:rsidRPr="00A75729" w:rsidRDefault="00F80D00" w:rsidP="00681A2E">
      <w:pPr>
        <w:pStyle w:val="Cita"/>
        <w:spacing w:line="276" w:lineRule="auto"/>
        <w:ind w:left="567" w:right="45"/>
        <w:jc w:val="center"/>
      </w:pPr>
      <w:r w:rsidRPr="00A75729">
        <w:t>De la Definición de Concentración</w:t>
      </w:r>
    </w:p>
    <w:p w:rsidR="00F80D00" w:rsidRPr="00A75729" w:rsidRDefault="00F80D00" w:rsidP="00F80D00">
      <w:pPr>
        <w:pStyle w:val="Cita"/>
        <w:spacing w:before="120" w:after="120" w:line="276" w:lineRule="auto"/>
        <w:ind w:left="567" w:right="48"/>
      </w:pPr>
      <w:r w:rsidRPr="00A75729">
        <w:t xml:space="preserve">Artículo 61. Para los efectos de esta Ley, </w:t>
      </w:r>
      <w:r w:rsidRPr="00A75729">
        <w:rPr>
          <w:b/>
        </w:rPr>
        <w:t>se entiende por concentración</w:t>
      </w:r>
      <w:r w:rsidRPr="00A75729">
        <w:t xml:space="preserve"> la fusión, </w:t>
      </w:r>
      <w:r w:rsidRPr="00A75729">
        <w:rPr>
          <w:b/>
        </w:rPr>
        <w:t>adquisición del control o cualquier acto</w:t>
      </w:r>
      <w:r w:rsidRPr="00A75729">
        <w:t xml:space="preserve"> por virtud del cual se unan sociedades, asociaciones, acciones, partes sociales, fideicomisos o activos en general </w:t>
      </w:r>
      <w:r w:rsidRPr="00A75729">
        <w:rPr>
          <w:b/>
        </w:rPr>
        <w:t>que se realice entre</w:t>
      </w:r>
      <w:r w:rsidRPr="00A75729">
        <w:t xml:space="preserve"> competidores, proveedores, clientes o </w:t>
      </w:r>
      <w:r w:rsidRPr="00A75729">
        <w:rPr>
          <w:b/>
        </w:rPr>
        <w:t>cualesquiera otros agentes económicos</w:t>
      </w:r>
      <w:r w:rsidRPr="00A75729">
        <w:t xml:space="preserve">. La Comisión no autorizará o en su caso investigará y sancionará aquellas concentraciones cuyo objeto o </w:t>
      </w:r>
      <w:r w:rsidRPr="00A75729">
        <w:rPr>
          <w:b/>
        </w:rPr>
        <w:t>efecto sea disminuir, dañar o impedir la competencia y la libre concurrencia respecto de bienes o servicios iguales, similares o sustancialmente relacionados</w:t>
      </w:r>
      <w:r w:rsidRPr="00A75729">
        <w:t xml:space="preserve">.” </w:t>
      </w:r>
      <w:r w:rsidRPr="00A75729">
        <w:rPr>
          <w:i w:val="0"/>
        </w:rPr>
        <w:t>[Énfasis añadido]</w:t>
      </w:r>
    </w:p>
    <w:p w:rsidR="00F80D00" w:rsidRPr="00A75729" w:rsidRDefault="00F80D00" w:rsidP="00F80D00">
      <w:r w:rsidRPr="00A75729">
        <w:t xml:space="preserve">Tratándose de un concepto jurídico indeterminado contenido en el régimen transitorio previsto en el </w:t>
      </w:r>
      <w:r w:rsidR="005406C5" w:rsidRPr="00A75729">
        <w:t>D</w:t>
      </w:r>
      <w:r w:rsidRPr="00A75729">
        <w:t xml:space="preserve">ecreto que expide la </w:t>
      </w:r>
      <w:proofErr w:type="spellStart"/>
      <w:r w:rsidRPr="00A75729">
        <w:t>LFTR</w:t>
      </w:r>
      <w:proofErr w:type="spellEnd"/>
      <w:r w:rsidRPr="00A75729">
        <w:t xml:space="preserve">, esta autoridad —en ejercicio de las facultades otorgadas en la fracción LVII del artículo 15 </w:t>
      </w:r>
      <w:r w:rsidR="00FD7664">
        <w:t xml:space="preserve">de </w:t>
      </w:r>
      <w:r w:rsidRPr="00A75729">
        <w:t>este ordenamiento— adopta una interpretación del término “</w:t>
      </w:r>
      <w:r w:rsidRPr="00A75729">
        <w:rPr>
          <w:i/>
        </w:rPr>
        <w:t>concentración</w:t>
      </w:r>
      <w:r w:rsidRPr="00A75729">
        <w:t xml:space="preserve">” en forma armónica con lo previsto en el artículo 61 de la </w:t>
      </w:r>
      <w:proofErr w:type="spellStart"/>
      <w:r w:rsidRPr="00A75729">
        <w:t>LFCE</w:t>
      </w:r>
      <w:proofErr w:type="spellEnd"/>
      <w:r w:rsidR="00681A2E" w:rsidRPr="00A75729">
        <w:t xml:space="preserve"> </w:t>
      </w:r>
      <w:r w:rsidRPr="00A75729">
        <w:t>—que constituye una disposición administrativa en materia de telecomunicaciones y radiodifusión, que pertenece al ámbito de sus atribuciones.</w:t>
      </w:r>
    </w:p>
    <w:p w:rsidR="00F80D00" w:rsidRPr="00A75729" w:rsidRDefault="00F80D00" w:rsidP="00F80D00">
      <w:r w:rsidRPr="00A75729">
        <w:t xml:space="preserve">Así, se verifica que </w:t>
      </w:r>
      <w:r w:rsidRPr="00A75729">
        <w:rPr>
          <w:b/>
        </w:rPr>
        <w:t xml:space="preserve">la Operación constituye una </w:t>
      </w:r>
      <w:r w:rsidRPr="00A75729">
        <w:rPr>
          <w:b/>
          <w:i/>
        </w:rPr>
        <w:t>concentración</w:t>
      </w:r>
      <w:r w:rsidRPr="00A75729">
        <w:t xml:space="preserve"> consistente en la</w:t>
      </w:r>
      <w:r w:rsidR="005406C5" w:rsidRPr="00A75729">
        <w:t xml:space="preserve"> adquisición, a través de una cesión de derechos y obligaciones, </w:t>
      </w:r>
      <w:r w:rsidR="002902E4" w:rsidRPr="00A75729">
        <w:t>de</w:t>
      </w:r>
      <w:r w:rsidR="00E92085" w:rsidRPr="00A75729">
        <w:t xml:space="preserve"> un</w:t>
      </w:r>
      <w:r w:rsidR="002902E4" w:rsidRPr="00A75729">
        <w:t xml:space="preserve"> título </w:t>
      </w:r>
      <w:r w:rsidR="00AD4B43" w:rsidRPr="00A75729">
        <w:t xml:space="preserve">de concesión para </w:t>
      </w:r>
      <w:r w:rsidR="00681A2E" w:rsidRPr="00A75729">
        <w:t xml:space="preserve">el </w:t>
      </w:r>
      <w:r w:rsidR="00AD4B43" w:rsidRPr="00A75729">
        <w:t>us</w:t>
      </w:r>
      <w:r w:rsidR="00681A2E" w:rsidRPr="00A75729">
        <w:t>o</w:t>
      </w:r>
      <w:r w:rsidR="00AD4B43" w:rsidRPr="00A75729">
        <w:t xml:space="preserve"> comercial</w:t>
      </w:r>
      <w:r w:rsidR="00681A2E" w:rsidRPr="00A75729">
        <w:t xml:space="preserve"> de</w:t>
      </w:r>
      <w:r w:rsidR="00AD4B43" w:rsidRPr="00A75729">
        <w:t xml:space="preserve"> frecuencias de radiodifusión a través de las</w:t>
      </w:r>
      <w:r w:rsidR="00AD4B43" w:rsidRPr="00A75729">
        <w:rPr>
          <w:rFonts w:cs="Helvetica"/>
        </w:rPr>
        <w:t xml:space="preserve"> estaciones </w:t>
      </w:r>
      <w:proofErr w:type="spellStart"/>
      <w:r w:rsidR="00AD4B43" w:rsidRPr="00A75729">
        <w:rPr>
          <w:rFonts w:cs="Helvetica"/>
        </w:rPr>
        <w:t>XEDD</w:t>
      </w:r>
      <w:proofErr w:type="spellEnd"/>
      <w:r w:rsidR="00AD4B43" w:rsidRPr="00A75729">
        <w:rPr>
          <w:rFonts w:cs="Helvetica"/>
        </w:rPr>
        <w:t xml:space="preserve">-AM y </w:t>
      </w:r>
      <w:proofErr w:type="spellStart"/>
      <w:r w:rsidR="00AD4B43" w:rsidRPr="00A75729">
        <w:rPr>
          <w:rFonts w:cs="Helvetica"/>
        </w:rPr>
        <w:t>XHDD</w:t>
      </w:r>
      <w:proofErr w:type="spellEnd"/>
      <w:r w:rsidR="00AD4B43" w:rsidRPr="00A75729">
        <w:rPr>
          <w:rFonts w:cs="Helvetica"/>
        </w:rPr>
        <w:t xml:space="preserve">-FM, </w:t>
      </w:r>
      <w:r w:rsidR="00645AD1" w:rsidRPr="00A75729">
        <w:t>cuya población principal a servir es</w:t>
      </w:r>
      <w:r w:rsidR="005406C5" w:rsidRPr="00A75729">
        <w:t xml:space="preserve"> </w:t>
      </w:r>
      <w:r w:rsidR="00E30100" w:rsidRPr="00A75729">
        <w:t xml:space="preserve">Ojo </w:t>
      </w:r>
      <w:r w:rsidR="005406C5" w:rsidRPr="00A75729">
        <w:t>de Agua, Nuevo León</w:t>
      </w:r>
      <w:r w:rsidRPr="00A75729">
        <w:t>.</w:t>
      </w:r>
    </w:p>
    <w:p w:rsidR="00F80D00" w:rsidRPr="00A75729" w:rsidRDefault="00C30CB6" w:rsidP="00C30CB6">
      <w:pPr>
        <w:pStyle w:val="Ttulo3"/>
        <w:keepLines w:val="0"/>
        <w:spacing w:after="0"/>
        <w:ind w:firstLine="0"/>
        <w:rPr>
          <w:rFonts w:eastAsia="Times New Roman" w:cstheme="minorBidi"/>
          <w:szCs w:val="26"/>
          <w:lang w:val="es-MX"/>
        </w:rPr>
      </w:pPr>
      <w:bookmarkStart w:id="174" w:name="_Toc517823926"/>
      <w:bookmarkStart w:id="175" w:name="_Toc517980523"/>
      <w:bookmarkStart w:id="176" w:name="_Toc517980611"/>
      <w:bookmarkStart w:id="177" w:name="_Toc517983622"/>
      <w:bookmarkStart w:id="178" w:name="_Toc518329777"/>
      <w:bookmarkStart w:id="179" w:name="_Toc519100857"/>
      <w:bookmarkEnd w:id="174"/>
      <w:bookmarkEnd w:id="175"/>
      <w:bookmarkEnd w:id="176"/>
      <w:bookmarkEnd w:id="177"/>
      <w:bookmarkEnd w:id="178"/>
      <w:r>
        <w:rPr>
          <w:rFonts w:eastAsia="Times New Roman" w:cstheme="minorBidi"/>
          <w:szCs w:val="26"/>
          <w:lang w:val="es-MX"/>
        </w:rPr>
        <w:t xml:space="preserve">5.2 </w:t>
      </w:r>
      <w:r w:rsidR="00681A2E" w:rsidRPr="00A75729">
        <w:rPr>
          <w:rFonts w:eastAsia="Times New Roman" w:cstheme="minorBidi"/>
          <w:szCs w:val="26"/>
          <w:lang w:val="es-MX"/>
        </w:rPr>
        <w:t xml:space="preserve">Los Agentes Económicos </w:t>
      </w:r>
      <w:r w:rsidR="00F80D00" w:rsidRPr="00A75729">
        <w:rPr>
          <w:rFonts w:eastAsia="Times New Roman" w:cstheme="minorBidi"/>
          <w:szCs w:val="26"/>
          <w:lang w:val="es-MX"/>
        </w:rPr>
        <w:t>que realizaron la concentración son titulares de concesiones</w:t>
      </w:r>
      <w:bookmarkEnd w:id="179"/>
    </w:p>
    <w:p w:rsidR="00681A2E" w:rsidRPr="00E50770" w:rsidRDefault="00681A2E" w:rsidP="00E50770">
      <w:pPr>
        <w:pStyle w:val="Ttulo4"/>
        <w:keepNext/>
        <w:spacing w:before="360" w:after="0"/>
        <w:ind w:left="1225"/>
        <w:jc w:val="left"/>
        <w:rPr>
          <w:lang w:val="es-MX"/>
        </w:rPr>
      </w:pPr>
      <w:bookmarkStart w:id="180" w:name="_Toc519100858"/>
      <w:r w:rsidRPr="00E50770">
        <w:rPr>
          <w:lang w:val="es-MX"/>
        </w:rPr>
        <w:t xml:space="preserve">Definición de agente económico —hasta su dimensión de </w:t>
      </w:r>
      <w:proofErr w:type="spellStart"/>
      <w:r w:rsidRPr="00E50770">
        <w:rPr>
          <w:lang w:val="es-MX"/>
        </w:rPr>
        <w:t>GIE</w:t>
      </w:r>
      <w:bookmarkEnd w:id="180"/>
      <w:proofErr w:type="spellEnd"/>
    </w:p>
    <w:p w:rsidR="00F80D00" w:rsidRPr="00A75729" w:rsidRDefault="00F80D00" w:rsidP="00F80D00">
      <w:r w:rsidRPr="00A75729">
        <w:t xml:space="preserve">El término </w:t>
      </w:r>
      <w:r w:rsidRPr="00A75729">
        <w:rPr>
          <w:i/>
        </w:rPr>
        <w:t>“agente económico”</w:t>
      </w:r>
      <w:r w:rsidRPr="00A75729">
        <w:t xml:space="preserve"> no está definido en la </w:t>
      </w:r>
      <w:proofErr w:type="spellStart"/>
      <w:r w:rsidRPr="00A75729">
        <w:t>LFTR</w:t>
      </w:r>
      <w:proofErr w:type="spellEnd"/>
      <w:r w:rsidRPr="00A75729">
        <w:t xml:space="preserve"> ni en el decreto que la expidió. No obstante, sirve de referencia la definición contenida en el artículo 3, fracción I, de la </w:t>
      </w:r>
      <w:proofErr w:type="spellStart"/>
      <w:r w:rsidRPr="00A75729">
        <w:t>LFCE</w:t>
      </w:r>
      <w:proofErr w:type="spellEnd"/>
      <w:r w:rsidRPr="00A75729">
        <w:t>:</w:t>
      </w:r>
    </w:p>
    <w:p w:rsidR="00F80D00" w:rsidRPr="00A75729" w:rsidRDefault="00F80D00" w:rsidP="00F80D00">
      <w:pPr>
        <w:pStyle w:val="Cita"/>
        <w:spacing w:before="120" w:after="120" w:line="276" w:lineRule="auto"/>
        <w:ind w:left="567" w:right="48"/>
      </w:pPr>
      <w:r w:rsidRPr="00A75729">
        <w:t>“Artículo 3. Para los efectos de esta Ley, se entiende por:</w:t>
      </w:r>
    </w:p>
    <w:p w:rsidR="00F80D00" w:rsidRPr="00A75729" w:rsidRDefault="00F80D00" w:rsidP="00F80D00">
      <w:pPr>
        <w:pStyle w:val="Cita"/>
        <w:spacing w:before="120" w:after="120" w:line="276" w:lineRule="auto"/>
        <w:ind w:left="567" w:right="48"/>
      </w:pPr>
      <w:r w:rsidRPr="00A75729">
        <w:rPr>
          <w:b/>
        </w:rPr>
        <w:t xml:space="preserve">I. Agente Económico: </w:t>
      </w:r>
      <w:r w:rsidRPr="00A75729">
        <w:t xml:space="preserve">Toda persona física o moral, con o sin fines de lucro, dependencias y entidades de la administración pública federal, estatal o municipal, asociaciones, </w:t>
      </w:r>
      <w:r w:rsidRPr="00A75729">
        <w:lastRenderedPageBreak/>
        <w:t xml:space="preserve">cámaras empresariales, agrupaciones de profesionistas, fideicomisos, o cualquier otra forma de participación en la actividad económica;” </w:t>
      </w:r>
      <w:r w:rsidRPr="00A75729">
        <w:rPr>
          <w:i w:val="0"/>
        </w:rPr>
        <w:t>[Énfasis añadido]</w:t>
      </w:r>
    </w:p>
    <w:p w:rsidR="00F80D00" w:rsidRPr="00A75729" w:rsidRDefault="00F80D00" w:rsidP="00F80D00">
      <w:r w:rsidRPr="00A75729">
        <w:t>De conformidad con diversos criterios judiciales,</w:t>
      </w:r>
      <w:r w:rsidRPr="00A75729">
        <w:rPr>
          <w:rStyle w:val="Refdenotaalpie"/>
        </w:rPr>
        <w:footnoteReference w:id="35"/>
      </w:r>
      <w:r w:rsidRPr="00A75729">
        <w:t xml:space="preserve"> aplicados consistentemente en precedentes decisorios del Instituto,</w:t>
      </w:r>
      <w:r w:rsidRPr="00A75729">
        <w:rPr>
          <w:rStyle w:val="Refdenotaalpie"/>
        </w:rPr>
        <w:footnoteReference w:id="36"/>
      </w:r>
      <w:r w:rsidRPr="00A75729">
        <w:t xml:space="preserve"> los agentes económicos se definen hasta su dimensión de </w:t>
      </w:r>
      <w:proofErr w:type="spellStart"/>
      <w:r w:rsidR="00EB588D" w:rsidRPr="00A75729">
        <w:t>GIE</w:t>
      </w:r>
      <w:proofErr w:type="spellEnd"/>
      <w:r w:rsidRPr="00A75729">
        <w:t xml:space="preserve">. Lo anterior, en el entendido de que cuando el artículo 3, fracción I, de la </w:t>
      </w:r>
      <w:proofErr w:type="spellStart"/>
      <w:r w:rsidRPr="00A75729">
        <w:t>LFCE</w:t>
      </w:r>
      <w:proofErr w:type="spellEnd"/>
      <w:r w:rsidRPr="00A75729">
        <w:t xml:space="preserve"> se refiere a </w:t>
      </w:r>
      <w:r w:rsidR="00EB588D" w:rsidRPr="00A75729">
        <w:t>“</w:t>
      </w:r>
      <w:r w:rsidRPr="00A75729">
        <w:rPr>
          <w:i/>
        </w:rPr>
        <w:t>cualquier otra forma de participación en la actividad económica</w:t>
      </w:r>
      <w:r w:rsidR="00EB588D" w:rsidRPr="00A75729">
        <w:rPr>
          <w:i/>
        </w:rPr>
        <w:t>”</w:t>
      </w:r>
      <w:r w:rsidRPr="00A75729">
        <w:t xml:space="preserve">, no se refiere solamente a la presencia de algún sujeto de derecho, sino también a la actividad que éstos pueden desarrollar o realizar y que trasciende a la vida económica del país. Por ende, se colige que un grupo de personas físicas o morales, al participar en la economía como un solo ente, pueden, en su conjunto, considerarse como un </w:t>
      </w:r>
      <w:r w:rsidR="00EB588D" w:rsidRPr="00A75729">
        <w:t>“</w:t>
      </w:r>
      <w:r w:rsidRPr="00A75729">
        <w:rPr>
          <w:i/>
        </w:rPr>
        <w:t>Agente Económico</w:t>
      </w:r>
      <w:r w:rsidR="00EB588D" w:rsidRPr="00A75729">
        <w:t>”</w:t>
      </w:r>
      <w:r w:rsidRPr="00A75729">
        <w:t>, con independencia de la forma en que el grupo esté configurado</w:t>
      </w:r>
      <w:r w:rsidR="00EB588D" w:rsidRPr="00A75729">
        <w:t>.</w:t>
      </w:r>
    </w:p>
    <w:p w:rsidR="00EB588D" w:rsidRPr="00A75729" w:rsidRDefault="00F80D00" w:rsidP="00F80D00">
      <w:pPr>
        <w:rPr>
          <w:rFonts w:cs="Arial"/>
        </w:rPr>
      </w:pPr>
      <w:r w:rsidRPr="00A75729">
        <w:t xml:space="preserve">En ejercicio de las facultades que la fracción LVII del artículo 15 de la </w:t>
      </w:r>
      <w:proofErr w:type="spellStart"/>
      <w:r w:rsidRPr="00A75729">
        <w:t>LFTR</w:t>
      </w:r>
      <w:proofErr w:type="spellEnd"/>
      <w:r w:rsidRPr="00A75729">
        <w:t xml:space="preserve"> otorga a esta autoridad, para efectos de esta resolución</w:t>
      </w:r>
      <w:r w:rsidR="00EB588D" w:rsidRPr="00A75729">
        <w:t>,</w:t>
      </w:r>
      <w:r w:rsidRPr="00A75729">
        <w:t xml:space="preserve"> el término “</w:t>
      </w:r>
      <w:r w:rsidRPr="00A75729">
        <w:rPr>
          <w:i/>
        </w:rPr>
        <w:t>agente económico</w:t>
      </w:r>
      <w:r w:rsidRPr="00A75729">
        <w:t xml:space="preserve">” se entenderá hasta su dimensión de </w:t>
      </w:r>
      <w:proofErr w:type="spellStart"/>
      <w:r w:rsidRPr="00A75729">
        <w:t>GIE</w:t>
      </w:r>
      <w:proofErr w:type="spellEnd"/>
      <w:r w:rsidR="00EB588D" w:rsidRPr="00A75729">
        <w:t xml:space="preserve">, definido como un </w:t>
      </w:r>
      <w:r w:rsidR="00EB588D" w:rsidRPr="00A75729">
        <w:rPr>
          <w:rFonts w:cs="Arial"/>
        </w:rPr>
        <w:t>conjunto de sujetos de derecho con intereses comerciales y financieros afines que coordinan sus actividades para participar en los mercados y actividades económicas, a través del control o influencia decisiva, directa o indirecta, que uno de sus integrantes ejerce sobre los demás.</w:t>
      </w:r>
    </w:p>
    <w:p w:rsidR="00AA7B5D" w:rsidRPr="00E50770" w:rsidRDefault="00AA7B5D" w:rsidP="00E50770">
      <w:pPr>
        <w:pStyle w:val="Ttulo4"/>
        <w:keepNext/>
        <w:spacing w:before="360" w:after="0"/>
        <w:ind w:left="1224"/>
        <w:jc w:val="both"/>
        <w:rPr>
          <w:lang w:val="es-MX"/>
        </w:rPr>
      </w:pPr>
      <w:bookmarkStart w:id="181" w:name="_Toc519100859"/>
      <w:r w:rsidRPr="00E50770">
        <w:rPr>
          <w:lang w:val="es-MX"/>
        </w:rPr>
        <w:t>Los agentes económicos involucrados en l</w:t>
      </w:r>
      <w:r w:rsidR="00FD7664">
        <w:rPr>
          <w:lang w:val="es-MX"/>
        </w:rPr>
        <w:t>a</w:t>
      </w:r>
      <w:r w:rsidRPr="00E50770">
        <w:rPr>
          <w:lang w:val="es-MX"/>
        </w:rPr>
        <w:t xml:space="preserve"> Operación</w:t>
      </w:r>
      <w:r w:rsidR="00E2352E" w:rsidRPr="00E50770">
        <w:rPr>
          <w:lang w:val="es-MX"/>
        </w:rPr>
        <w:t xml:space="preserve"> son titulares de concesiones</w:t>
      </w:r>
      <w:bookmarkEnd w:id="181"/>
    </w:p>
    <w:p w:rsidR="00F80D00" w:rsidRPr="00A75729" w:rsidRDefault="00AA7B5D" w:rsidP="00EB588D">
      <w:pPr>
        <w:autoSpaceDE w:val="0"/>
        <w:autoSpaceDN w:val="0"/>
      </w:pPr>
      <w:r w:rsidRPr="00A75729">
        <w:t xml:space="preserve">Con base en lo anterior a continuación </w:t>
      </w:r>
      <w:r w:rsidR="00F80D00" w:rsidRPr="00A75729">
        <w:t xml:space="preserve">se evalúa si los agentes económicos —hasta su dimensión de </w:t>
      </w:r>
      <w:r w:rsidR="00540E79">
        <w:t>grupos de interés económico</w:t>
      </w:r>
      <w:r w:rsidR="00F80D00" w:rsidRPr="00A75729">
        <w:t xml:space="preserve">— que realizaron la </w:t>
      </w:r>
      <w:r w:rsidRPr="00A75729">
        <w:t>Operación</w:t>
      </w:r>
      <w:r w:rsidR="00F80D00" w:rsidRPr="00A75729">
        <w:t xml:space="preserve"> (i.e. </w:t>
      </w:r>
      <w:r w:rsidR="00EB588D" w:rsidRPr="00A75729">
        <w:t xml:space="preserve">el </w:t>
      </w:r>
      <w:proofErr w:type="spellStart"/>
      <w:r w:rsidR="00EB588D" w:rsidRPr="00A75729">
        <w:t>GIE</w:t>
      </w:r>
      <w:proofErr w:type="spellEnd"/>
      <w:r w:rsidR="00EB588D" w:rsidRPr="00A75729">
        <w:t xml:space="preserve"> Grupo Multimedios</w:t>
      </w:r>
      <w:r w:rsidR="00F80D00" w:rsidRPr="00A75729">
        <w:t xml:space="preserve"> y </w:t>
      </w:r>
      <w:r w:rsidR="00EB588D" w:rsidRPr="00A75729">
        <w:t>e</w:t>
      </w:r>
      <w:r w:rsidR="00F80D00" w:rsidRPr="00A75729">
        <w:t xml:space="preserve">l </w:t>
      </w:r>
      <w:proofErr w:type="spellStart"/>
      <w:r w:rsidR="00EB588D" w:rsidRPr="00A75729">
        <w:t>GIE</w:t>
      </w:r>
      <w:proofErr w:type="spellEnd"/>
      <w:r w:rsidR="00EB588D" w:rsidRPr="00A75729">
        <w:t xml:space="preserve"> Audio Publicidad</w:t>
      </w:r>
      <w:r w:rsidR="00F80D00" w:rsidRPr="00A75729">
        <w:t>) son titulares de concesiones.</w:t>
      </w:r>
    </w:p>
    <w:p w:rsidR="00F80D00" w:rsidRPr="00A75729" w:rsidRDefault="00F80D00" w:rsidP="00EB588D">
      <w:pPr>
        <w:ind w:right="-1"/>
      </w:pPr>
      <w:r w:rsidRPr="00A75729">
        <w:t>Como se expone en el Considerando Cuarto, a la fecha de cierre de la Operación:</w:t>
      </w:r>
    </w:p>
    <w:p w:rsidR="00F80D00" w:rsidRPr="00A75729" w:rsidRDefault="00F80D00" w:rsidP="00587D98">
      <w:pPr>
        <w:pStyle w:val="Prrafodelista"/>
        <w:numPr>
          <w:ilvl w:val="0"/>
          <w:numId w:val="15"/>
        </w:numPr>
        <w:spacing w:after="120" w:line="276" w:lineRule="auto"/>
        <w:ind w:left="426" w:hanging="357"/>
        <w:contextualSpacing w:val="0"/>
      </w:pPr>
      <w:r w:rsidRPr="00A75729">
        <w:t xml:space="preserve">El </w:t>
      </w:r>
      <w:proofErr w:type="spellStart"/>
      <w:r w:rsidRPr="00A75729">
        <w:t>GIE</w:t>
      </w:r>
      <w:proofErr w:type="spellEnd"/>
      <w:r w:rsidRPr="00A75729">
        <w:t xml:space="preserve"> </w:t>
      </w:r>
      <w:r w:rsidR="004D7ACE" w:rsidRPr="00A75729">
        <w:t>Audio Publicidad</w:t>
      </w:r>
      <w:r w:rsidRPr="00A75729">
        <w:t xml:space="preserve"> </w:t>
      </w:r>
      <w:r w:rsidR="00EB588D" w:rsidRPr="00A75729">
        <w:t xml:space="preserve">era </w:t>
      </w:r>
      <w:r w:rsidRPr="00A75729">
        <w:t xml:space="preserve">titular de una concesión </w:t>
      </w:r>
      <w:r w:rsidR="00BC4167" w:rsidRPr="00A75729">
        <w:t>para usar comercialmente frecuencias de radiodifusión</w:t>
      </w:r>
      <w:r w:rsidR="00EB588D" w:rsidRPr="00A75729">
        <w:t>, que es justamente la concesión que se cedió a través de la Operaci</w:t>
      </w:r>
      <w:r w:rsidR="005B10F8" w:rsidRPr="00A75729">
        <w:t>ón</w:t>
      </w:r>
      <w:r w:rsidRPr="00A75729">
        <w:t xml:space="preserve"> (véase sección 4.1.</w:t>
      </w:r>
      <w:r w:rsidR="00A30E0F">
        <w:t>3</w:t>
      </w:r>
      <w:r w:rsidRPr="00A75729">
        <w:t xml:space="preserve"> de esta resolución), y</w:t>
      </w:r>
    </w:p>
    <w:p w:rsidR="00F80D00" w:rsidRPr="00A75729" w:rsidRDefault="00F80D00" w:rsidP="00587D98">
      <w:pPr>
        <w:pStyle w:val="Prrafodelista"/>
        <w:numPr>
          <w:ilvl w:val="0"/>
          <w:numId w:val="15"/>
        </w:numPr>
        <w:spacing w:after="120" w:line="276" w:lineRule="auto"/>
        <w:ind w:left="426" w:hanging="357"/>
        <w:contextualSpacing w:val="0"/>
      </w:pPr>
      <w:r w:rsidRPr="00A75729">
        <w:t xml:space="preserve">El </w:t>
      </w:r>
      <w:proofErr w:type="spellStart"/>
      <w:r w:rsidRPr="00A75729">
        <w:t>GIE</w:t>
      </w:r>
      <w:proofErr w:type="spellEnd"/>
      <w:r w:rsidRPr="00A75729">
        <w:t xml:space="preserve"> Grupo </w:t>
      </w:r>
      <w:r w:rsidR="000A649F" w:rsidRPr="00A75729">
        <w:t>Multimedios</w:t>
      </w:r>
      <w:r w:rsidRPr="00A75729">
        <w:t xml:space="preserve">, al cual pertenece </w:t>
      </w:r>
      <w:r w:rsidR="00EB588D" w:rsidRPr="00A75729">
        <w:t>e</w:t>
      </w:r>
      <w:r w:rsidRPr="00A75729">
        <w:t>l C</w:t>
      </w:r>
      <w:r w:rsidR="00EB588D" w:rsidRPr="00A75729">
        <w:t>esionario</w:t>
      </w:r>
      <w:r w:rsidRPr="00A75729">
        <w:t>, e</w:t>
      </w:r>
      <w:r w:rsidR="00BC4167" w:rsidRPr="00A75729">
        <w:t>s</w:t>
      </w:r>
      <w:r w:rsidRPr="00A75729">
        <w:t xml:space="preserve"> titular </w:t>
      </w:r>
      <w:r w:rsidR="002925DF" w:rsidRPr="00A75729">
        <w:t xml:space="preserve">de </w:t>
      </w:r>
      <w:r w:rsidR="00BC4167" w:rsidRPr="00A75729">
        <w:rPr>
          <w:rFonts w:eastAsia="Times New Roman"/>
          <w:color w:val="000000"/>
          <w:lang w:val="es-MX"/>
        </w:rPr>
        <w:t xml:space="preserve">concesiones para instalar, operar y explotar comercialmente frecuencias de radiodifusión </w:t>
      </w:r>
      <w:r w:rsidR="00EB588D" w:rsidRPr="00A75729">
        <w:rPr>
          <w:rFonts w:eastAsia="Times New Roman"/>
          <w:color w:val="000000"/>
          <w:lang w:val="es-MX"/>
        </w:rPr>
        <w:t xml:space="preserve">sonora y de televisión radiodifundida </w:t>
      </w:r>
      <w:r w:rsidR="002925DF" w:rsidRPr="00A75729">
        <w:rPr>
          <w:rFonts w:eastAsia="Times New Roman"/>
          <w:color w:val="000000"/>
          <w:lang w:val="es-MX"/>
        </w:rPr>
        <w:t xml:space="preserve">digital </w:t>
      </w:r>
      <w:r w:rsidR="00BC4167" w:rsidRPr="00A75729">
        <w:rPr>
          <w:rFonts w:eastAsia="Times New Roman"/>
          <w:color w:val="000000"/>
          <w:lang w:val="es-MX"/>
        </w:rPr>
        <w:t>en varias localidades del país</w:t>
      </w:r>
      <w:r w:rsidR="00BC4167" w:rsidRPr="00A75729">
        <w:t xml:space="preserve"> </w:t>
      </w:r>
      <w:r w:rsidRPr="00A75729">
        <w:t>(véase sección 4.</w:t>
      </w:r>
      <w:r w:rsidR="00220E5D" w:rsidRPr="00A75729">
        <w:t>2</w:t>
      </w:r>
      <w:r w:rsidRPr="00A75729">
        <w:t>.4 de esta resolución).</w:t>
      </w:r>
    </w:p>
    <w:p w:rsidR="00F80D00" w:rsidRPr="00A75729" w:rsidRDefault="00F80D00" w:rsidP="00EB588D">
      <w:pPr>
        <w:ind w:right="-1"/>
      </w:pPr>
      <w:r w:rsidRPr="00A75729">
        <w:lastRenderedPageBreak/>
        <w:t xml:space="preserve">En términos de lo anterior, </w:t>
      </w:r>
      <w:r w:rsidRPr="00A75729">
        <w:rPr>
          <w:b/>
        </w:rPr>
        <w:t xml:space="preserve">se tiene por cumplido el requisito </w:t>
      </w:r>
      <w:r w:rsidRPr="00A75729">
        <w:t xml:space="preserve">establecido en el párrafo primero del Noveno Transitorio en el sentido de que </w:t>
      </w:r>
      <w:r w:rsidRPr="00A75729">
        <w:rPr>
          <w:b/>
        </w:rPr>
        <w:t>la concentración se realizó “</w:t>
      </w:r>
      <w:r w:rsidRPr="00A75729">
        <w:rPr>
          <w:b/>
          <w:i/>
        </w:rPr>
        <w:t>entre agentes económicos titulares de concesiones.</w:t>
      </w:r>
      <w:r w:rsidRPr="00A75729">
        <w:rPr>
          <w:b/>
        </w:rPr>
        <w:t>”</w:t>
      </w:r>
      <w:r w:rsidRPr="00A75729">
        <w:t xml:space="preserve"> </w:t>
      </w:r>
    </w:p>
    <w:p w:rsidR="00F80D00" w:rsidRPr="00A75729" w:rsidRDefault="00C30CB6" w:rsidP="00C30CB6">
      <w:pPr>
        <w:pStyle w:val="Ttulo3"/>
        <w:keepLines w:val="0"/>
        <w:spacing w:after="0"/>
        <w:ind w:firstLine="0"/>
        <w:rPr>
          <w:rFonts w:eastAsia="Times New Roman" w:cstheme="minorBidi"/>
          <w:szCs w:val="26"/>
          <w:lang w:val="es-MX"/>
        </w:rPr>
      </w:pPr>
      <w:bookmarkStart w:id="182" w:name="_Toc519100860"/>
      <w:r>
        <w:rPr>
          <w:rFonts w:eastAsia="Times New Roman" w:cstheme="minorBidi"/>
          <w:szCs w:val="26"/>
          <w:lang w:val="es-MX"/>
        </w:rPr>
        <w:t xml:space="preserve">5.3 </w:t>
      </w:r>
      <w:r w:rsidR="00E2352E" w:rsidRPr="00A75729">
        <w:rPr>
          <w:rFonts w:eastAsia="Times New Roman" w:cstheme="minorBidi"/>
          <w:szCs w:val="26"/>
          <w:lang w:val="es-MX"/>
        </w:rPr>
        <w:t xml:space="preserve">El </w:t>
      </w:r>
      <w:r w:rsidR="00F80D00" w:rsidRPr="00A75729">
        <w:rPr>
          <w:rFonts w:eastAsia="Times New Roman" w:cstheme="minorBidi"/>
          <w:szCs w:val="26"/>
          <w:lang w:val="es-MX"/>
        </w:rPr>
        <w:t>Aviso de Concentración</w:t>
      </w:r>
      <w:r w:rsidR="00E2352E" w:rsidRPr="00A75729">
        <w:rPr>
          <w:rFonts w:eastAsia="Times New Roman" w:cstheme="minorBidi"/>
          <w:szCs w:val="26"/>
          <w:lang w:val="es-MX"/>
        </w:rPr>
        <w:t xml:space="preserve"> fue presentado en tiempo</w:t>
      </w:r>
      <w:bookmarkEnd w:id="182"/>
    </w:p>
    <w:p w:rsidR="00E2352E" w:rsidRPr="00A75729" w:rsidRDefault="00F80D00" w:rsidP="00587D98">
      <w:pPr>
        <w:ind w:right="-1"/>
      </w:pPr>
      <w:r w:rsidRPr="00A75729">
        <w:t xml:space="preserve">De acuerdo con la información y la documentación proporcionada por </w:t>
      </w:r>
      <w:r w:rsidR="00E2352E" w:rsidRPr="00A75729">
        <w:t>las Partes la Operación:</w:t>
      </w:r>
    </w:p>
    <w:p w:rsidR="00E2352E" w:rsidRPr="00A75729" w:rsidRDefault="00E2352E" w:rsidP="00587D98">
      <w:pPr>
        <w:pStyle w:val="Prrafodelista"/>
        <w:numPr>
          <w:ilvl w:val="0"/>
          <w:numId w:val="15"/>
        </w:numPr>
        <w:spacing w:after="120" w:line="276" w:lineRule="auto"/>
        <w:ind w:left="426" w:hanging="357"/>
        <w:contextualSpacing w:val="0"/>
      </w:pPr>
      <w:r w:rsidRPr="00A75729">
        <w:t>S</w:t>
      </w:r>
      <w:r w:rsidR="00645AD1" w:rsidRPr="00A75729">
        <w:t>e realizó en su totalidad el día 19 de abril de 2018</w:t>
      </w:r>
      <w:r w:rsidRPr="00A75729">
        <w:t>,</w:t>
      </w:r>
      <w:r w:rsidR="00645AD1" w:rsidRPr="00A75729">
        <w:t xml:space="preserve"> y </w:t>
      </w:r>
    </w:p>
    <w:p w:rsidR="00E2352E" w:rsidRPr="00A75729" w:rsidRDefault="00E2352E" w:rsidP="00587D98">
      <w:pPr>
        <w:pStyle w:val="Prrafodelista"/>
        <w:numPr>
          <w:ilvl w:val="0"/>
          <w:numId w:val="15"/>
        </w:numPr>
        <w:spacing w:after="120" w:line="276" w:lineRule="auto"/>
        <w:ind w:left="426" w:hanging="357"/>
        <w:contextualSpacing w:val="0"/>
      </w:pPr>
      <w:r w:rsidRPr="00A75729">
        <w:t>S</w:t>
      </w:r>
      <w:r w:rsidR="00645AD1" w:rsidRPr="00A75729">
        <w:t xml:space="preserve">urtió efectos plenos en esa misma fecha. </w:t>
      </w:r>
    </w:p>
    <w:p w:rsidR="00F80D00" w:rsidRPr="00A75729" w:rsidRDefault="003520D1" w:rsidP="00587D98">
      <w:pPr>
        <w:ind w:right="-1"/>
      </w:pPr>
      <w:r w:rsidRPr="00A75729">
        <w:t>D</w:t>
      </w:r>
      <w:r w:rsidR="00F80D00" w:rsidRPr="00A75729">
        <w:t xml:space="preserve">e conformidad con el párrafo cuarto del Noveno Transitorio, las Partes </w:t>
      </w:r>
      <w:r w:rsidRPr="00A75729">
        <w:t>deben</w:t>
      </w:r>
      <w:r w:rsidR="00F80D00" w:rsidRPr="00A75729">
        <w:t xml:space="preserve"> presentar el Aviso de Concentración ante el Instituto dentro de los 10 (diez) días siguientes al </w:t>
      </w:r>
      <w:r w:rsidR="00645AD1" w:rsidRPr="00A75729">
        <w:t xml:space="preserve">19 </w:t>
      </w:r>
      <w:r w:rsidR="00BC4167" w:rsidRPr="00A75729">
        <w:t xml:space="preserve">de abril </w:t>
      </w:r>
      <w:r w:rsidR="00645AD1" w:rsidRPr="00A75729">
        <w:t>2018</w:t>
      </w:r>
      <w:r w:rsidRPr="00A75729">
        <w:t>.</w:t>
      </w:r>
    </w:p>
    <w:p w:rsidR="00F80D00" w:rsidRPr="00A75729" w:rsidRDefault="00F80D00" w:rsidP="00587D98">
      <w:pPr>
        <w:ind w:right="-1"/>
      </w:pPr>
      <w:r w:rsidRPr="00A75729">
        <w:t xml:space="preserve">Toda vez que el Aviso de Concentración fue presentado por las Partes ante el Instituto el </w:t>
      </w:r>
      <w:r w:rsidR="00645AD1" w:rsidRPr="00A75729">
        <w:t xml:space="preserve">mismo 19 </w:t>
      </w:r>
      <w:r w:rsidR="00E76FC1" w:rsidRPr="00A75729">
        <w:t xml:space="preserve">de abril de </w:t>
      </w:r>
      <w:r w:rsidR="00645AD1" w:rsidRPr="00A75729">
        <w:t>2018</w:t>
      </w:r>
      <w:r w:rsidRPr="00A75729">
        <w:t xml:space="preserve">, </w:t>
      </w:r>
      <w:r w:rsidRPr="00A75729">
        <w:rPr>
          <w:b/>
        </w:rPr>
        <w:t xml:space="preserve">se </w:t>
      </w:r>
      <w:r w:rsidR="0008544C" w:rsidRPr="00A75729">
        <w:rPr>
          <w:b/>
        </w:rPr>
        <w:t xml:space="preserve">tiene por cumplido el requisito de presentación </w:t>
      </w:r>
      <w:r w:rsidR="00791EE7" w:rsidRPr="00A75729">
        <w:rPr>
          <w:b/>
        </w:rPr>
        <w:t xml:space="preserve">dentro del plazo establecido </w:t>
      </w:r>
      <w:r w:rsidR="0008544C" w:rsidRPr="00A75729">
        <w:rPr>
          <w:b/>
        </w:rPr>
        <w:t>en el</w:t>
      </w:r>
      <w:r w:rsidRPr="00A75729">
        <w:rPr>
          <w:b/>
        </w:rPr>
        <w:t xml:space="preserve"> párrafo cuarto del Noveno Transitorio</w:t>
      </w:r>
      <w:r w:rsidRPr="00A75729">
        <w:t>.</w:t>
      </w:r>
    </w:p>
    <w:p w:rsidR="00F80D00" w:rsidRPr="00A75729" w:rsidRDefault="00C30CB6" w:rsidP="00C30CB6">
      <w:pPr>
        <w:pStyle w:val="Ttulo3"/>
        <w:keepLines w:val="0"/>
        <w:spacing w:after="0"/>
        <w:ind w:firstLine="0"/>
        <w:rPr>
          <w:rFonts w:eastAsia="Times New Roman" w:cstheme="minorBidi"/>
          <w:szCs w:val="26"/>
          <w:lang w:val="es-MX"/>
        </w:rPr>
      </w:pPr>
      <w:bookmarkStart w:id="183" w:name="_Toc519100861"/>
      <w:r>
        <w:rPr>
          <w:rFonts w:eastAsia="Times New Roman" w:cstheme="minorBidi"/>
          <w:szCs w:val="26"/>
          <w:lang w:val="es-MX"/>
        </w:rPr>
        <w:t xml:space="preserve">5.4 </w:t>
      </w:r>
      <w:r w:rsidR="00F80D00" w:rsidRPr="00A75729">
        <w:rPr>
          <w:rFonts w:eastAsia="Times New Roman" w:cstheme="minorBidi"/>
          <w:szCs w:val="26"/>
          <w:lang w:val="es-MX"/>
        </w:rPr>
        <w:t>Evaluación de los requisitos previstos en los incisos a. a d. del párrafo primero del Noveno Transitorio</w:t>
      </w:r>
      <w:bookmarkEnd w:id="183"/>
    </w:p>
    <w:p w:rsidR="00F80D00" w:rsidRPr="00E50770" w:rsidRDefault="00F80D00" w:rsidP="00E50770">
      <w:pPr>
        <w:pStyle w:val="Ttulo4"/>
        <w:keepNext/>
        <w:spacing w:before="360" w:after="0"/>
        <w:ind w:left="1224"/>
        <w:jc w:val="both"/>
        <w:rPr>
          <w:lang w:val="es-MX"/>
        </w:rPr>
      </w:pPr>
      <w:bookmarkStart w:id="184" w:name="_Toc519100862"/>
      <w:r w:rsidRPr="00E50770">
        <w:rPr>
          <w:lang w:val="es-MX"/>
        </w:rPr>
        <w:t>Elementos para calcular las participaciones sectoriales previstas en los incisos a. y b.</w:t>
      </w:r>
      <w:bookmarkEnd w:id="184"/>
    </w:p>
    <w:p w:rsidR="008A7A62" w:rsidRPr="00A75729" w:rsidRDefault="008A7A62" w:rsidP="00CB5F26">
      <w:pPr>
        <w:ind w:right="-1"/>
        <w:rPr>
          <w:i/>
        </w:rPr>
      </w:pPr>
      <w:r w:rsidRPr="00A75729">
        <w:t xml:space="preserve">La </w:t>
      </w:r>
      <w:proofErr w:type="spellStart"/>
      <w:r w:rsidRPr="00A75729">
        <w:t>LFTR</w:t>
      </w:r>
      <w:proofErr w:type="spellEnd"/>
      <w:r w:rsidRPr="00A75729">
        <w:t xml:space="preserve"> no define lo que debe entenderse como </w:t>
      </w:r>
      <w:r w:rsidRPr="00A75729">
        <w:rPr>
          <w:i/>
        </w:rPr>
        <w:t xml:space="preserve">sector de radiodifusión </w:t>
      </w:r>
      <w:r w:rsidRPr="00A75729">
        <w:t>—aunque sí define radiodifusión</w:t>
      </w:r>
      <w:r w:rsidRPr="00A75729">
        <w:rPr>
          <w:rStyle w:val="Refdenotaalpie"/>
        </w:rPr>
        <w:footnoteReference w:id="37"/>
      </w:r>
      <w:r w:rsidRPr="00A75729">
        <w:t xml:space="preserve"> y hace referencia a servicios de radiodifusión.</w:t>
      </w:r>
    </w:p>
    <w:p w:rsidR="0036536C" w:rsidRPr="00A75729" w:rsidRDefault="008A7A62" w:rsidP="00CB5F26">
      <w:pPr>
        <w:ind w:right="-1"/>
        <w:rPr>
          <w:lang w:eastAsia="es-ES"/>
        </w:rPr>
      </w:pPr>
      <w:r w:rsidRPr="00A75729">
        <w:t>Tomando esos preceptos en consideración</w:t>
      </w:r>
      <w:r w:rsidR="00F80D00" w:rsidRPr="00A75729">
        <w:t>, e</w:t>
      </w:r>
      <w:r w:rsidR="00F80D00" w:rsidRPr="00A75729">
        <w:rPr>
          <w:lang w:eastAsia="es-ES"/>
        </w:rPr>
        <w:t xml:space="preserve">n la Resolución de Preponderancia en </w:t>
      </w:r>
      <w:r w:rsidR="001A2D2E" w:rsidRPr="00A75729">
        <w:rPr>
          <w:lang w:eastAsia="es-ES"/>
        </w:rPr>
        <w:t>Radiodifusión</w:t>
      </w:r>
      <w:r w:rsidR="00FC7C53" w:rsidRPr="00A75729">
        <w:rPr>
          <w:lang w:eastAsia="es-ES"/>
        </w:rPr>
        <w:t xml:space="preserve"> </w:t>
      </w:r>
      <w:r w:rsidR="00F80D00" w:rsidRPr="00A75729">
        <w:rPr>
          <w:lang w:eastAsia="es-ES"/>
        </w:rPr>
        <w:t xml:space="preserve">el Instituto </w:t>
      </w:r>
      <w:r w:rsidR="00E8488B" w:rsidRPr="00A75729">
        <w:rPr>
          <w:lang w:eastAsia="es-ES"/>
        </w:rPr>
        <w:t>reconoció</w:t>
      </w:r>
      <w:r w:rsidR="00F80D00" w:rsidRPr="00A75729">
        <w:rPr>
          <w:lang w:eastAsia="es-ES"/>
        </w:rPr>
        <w:t xml:space="preserve"> </w:t>
      </w:r>
      <w:r w:rsidR="00E8488B" w:rsidRPr="00A75729">
        <w:rPr>
          <w:lang w:eastAsia="es-ES"/>
        </w:rPr>
        <w:t>que el sector de radiodifusión está conformado por 2 (dos)</w:t>
      </w:r>
      <w:r w:rsidR="0036536C" w:rsidRPr="00A75729">
        <w:rPr>
          <w:lang w:eastAsia="es-ES"/>
        </w:rPr>
        <w:t xml:space="preserve"> servicios: el </w:t>
      </w:r>
      <w:proofErr w:type="spellStart"/>
      <w:r w:rsidR="0036536C" w:rsidRPr="00A75729">
        <w:rPr>
          <w:lang w:eastAsia="es-ES"/>
        </w:rPr>
        <w:t>SRSAC</w:t>
      </w:r>
      <w:proofErr w:type="spellEnd"/>
      <w:r w:rsidR="0036536C" w:rsidRPr="00A75729">
        <w:rPr>
          <w:lang w:eastAsia="es-ES"/>
        </w:rPr>
        <w:t xml:space="preserve"> y el </w:t>
      </w:r>
      <w:proofErr w:type="spellStart"/>
      <w:r w:rsidR="0036536C" w:rsidRPr="00A75729">
        <w:rPr>
          <w:lang w:eastAsia="es-ES"/>
        </w:rPr>
        <w:t>STRDC</w:t>
      </w:r>
      <w:proofErr w:type="spellEnd"/>
      <w:r w:rsidR="0036536C" w:rsidRPr="00A75729">
        <w:rPr>
          <w:lang w:eastAsia="es-ES"/>
        </w:rPr>
        <w:t xml:space="preserve">. </w:t>
      </w:r>
    </w:p>
    <w:p w:rsidR="00F80D00" w:rsidRPr="00A75729" w:rsidRDefault="0036536C" w:rsidP="00CB5F26">
      <w:pPr>
        <w:ind w:right="-1"/>
        <w:rPr>
          <w:lang w:eastAsia="es-ES"/>
        </w:rPr>
      </w:pPr>
      <w:r w:rsidRPr="00A75729">
        <w:rPr>
          <w:lang w:eastAsia="es-ES"/>
        </w:rPr>
        <w:t>N</w:t>
      </w:r>
      <w:r w:rsidR="00E8488B" w:rsidRPr="00A75729">
        <w:rPr>
          <w:lang w:eastAsia="es-ES"/>
        </w:rPr>
        <w:t>o obstante, por las razones expuestas en</w:t>
      </w:r>
      <w:r w:rsidRPr="00A75729">
        <w:rPr>
          <w:lang w:eastAsia="es-ES"/>
        </w:rPr>
        <w:t xml:space="preserve"> </w:t>
      </w:r>
      <w:r w:rsidR="00E8488B" w:rsidRPr="00A75729">
        <w:rPr>
          <w:lang w:eastAsia="es-ES"/>
        </w:rPr>
        <w:t xml:space="preserve">esa resolución, el Instituto determinó que para </w:t>
      </w:r>
      <w:r w:rsidR="00F80D00" w:rsidRPr="00A75729">
        <w:t xml:space="preserve">estimar la participación </w:t>
      </w:r>
      <w:r w:rsidR="00EF16D9" w:rsidRPr="00A75729">
        <w:t xml:space="preserve">sectorial </w:t>
      </w:r>
      <w:r w:rsidR="00F80D00" w:rsidRPr="00A75729">
        <w:t xml:space="preserve">del </w:t>
      </w:r>
      <w:proofErr w:type="spellStart"/>
      <w:r w:rsidR="00F80D00" w:rsidRPr="00A75729">
        <w:t>AEP</w:t>
      </w:r>
      <w:r w:rsidR="003673EB" w:rsidRPr="00A75729">
        <w:t>R</w:t>
      </w:r>
      <w:proofErr w:type="spellEnd"/>
      <w:r w:rsidR="00E8488B" w:rsidRPr="00A75729">
        <w:t xml:space="preserve"> debía considerar únicamente uno de ellos:</w:t>
      </w:r>
      <w:r w:rsidRPr="00A75729">
        <w:t xml:space="preserve"> </w:t>
      </w:r>
    </w:p>
    <w:p w:rsidR="00F80D00" w:rsidRPr="00A75729" w:rsidRDefault="00E8488B" w:rsidP="00FB57CD">
      <w:pPr>
        <w:pStyle w:val="Prrafodelista"/>
        <w:numPr>
          <w:ilvl w:val="0"/>
          <w:numId w:val="3"/>
        </w:numPr>
        <w:spacing w:after="120" w:line="276" w:lineRule="auto"/>
        <w:ind w:left="567" w:right="-1"/>
        <w:contextualSpacing w:val="0"/>
        <w:rPr>
          <w:b/>
        </w:rPr>
      </w:pPr>
      <w:r w:rsidRPr="00A75729">
        <w:rPr>
          <w:b/>
        </w:rPr>
        <w:t xml:space="preserve">El </w:t>
      </w:r>
      <w:proofErr w:type="spellStart"/>
      <w:r w:rsidRPr="00A75729">
        <w:rPr>
          <w:b/>
        </w:rPr>
        <w:t>STRDC</w:t>
      </w:r>
      <w:proofErr w:type="spellEnd"/>
      <w:r w:rsidRPr="00A75729">
        <w:rPr>
          <w:b/>
        </w:rPr>
        <w:t xml:space="preserve"> (</w:t>
      </w:r>
      <w:r w:rsidR="008711F9" w:rsidRPr="00A75729">
        <w:rPr>
          <w:b/>
        </w:rPr>
        <w:t>Servicio de televisión radiodifundida</w:t>
      </w:r>
      <w:r w:rsidR="00593888" w:rsidRPr="00A75729">
        <w:rPr>
          <w:b/>
        </w:rPr>
        <w:t xml:space="preserve"> </w:t>
      </w:r>
      <w:r w:rsidRPr="00A75729">
        <w:rPr>
          <w:b/>
        </w:rPr>
        <w:t xml:space="preserve">digital </w:t>
      </w:r>
      <w:r w:rsidR="00593888" w:rsidRPr="00A75729">
        <w:rPr>
          <w:b/>
        </w:rPr>
        <w:t>comercial</w:t>
      </w:r>
      <w:r w:rsidRPr="00A75729">
        <w:rPr>
          <w:b/>
        </w:rPr>
        <w:t>)</w:t>
      </w:r>
      <w:r w:rsidR="008711F9" w:rsidRPr="00A75729">
        <w:rPr>
          <w:b/>
        </w:rPr>
        <w:t>.</w:t>
      </w:r>
    </w:p>
    <w:p w:rsidR="00EF16D9" w:rsidRPr="00A75729" w:rsidRDefault="00E8488B" w:rsidP="00CB5F26">
      <w:pPr>
        <w:ind w:right="-1"/>
      </w:pPr>
      <w:r w:rsidRPr="00A75729">
        <w:t>En efecto</w:t>
      </w:r>
      <w:r w:rsidR="00EF16D9" w:rsidRPr="00A75729">
        <w:t xml:space="preserve">, en la </w:t>
      </w:r>
      <w:r w:rsidR="00EF16D9" w:rsidRPr="00A75729">
        <w:rPr>
          <w:lang w:eastAsia="es-ES"/>
        </w:rPr>
        <w:t xml:space="preserve">Resolución de Preponderancia en Radiodifusión </w:t>
      </w:r>
      <w:r w:rsidR="00EF16D9" w:rsidRPr="00A75729">
        <w:t>el Instituto mencionó lo siguiente:</w:t>
      </w:r>
      <w:r w:rsidR="00EF16D9" w:rsidRPr="00A75729">
        <w:rPr>
          <w:rStyle w:val="Refdenotaalpie"/>
        </w:rPr>
        <w:footnoteReference w:id="38"/>
      </w:r>
    </w:p>
    <w:p w:rsidR="00EF16D9" w:rsidRPr="00A75729" w:rsidRDefault="00EF16D9" w:rsidP="00CB5F26">
      <w:pPr>
        <w:ind w:left="567" w:right="-1"/>
        <w:rPr>
          <w:i/>
          <w:sz w:val="20"/>
        </w:rPr>
      </w:pPr>
      <w:r w:rsidRPr="00A75729">
        <w:rPr>
          <w:i/>
          <w:sz w:val="20"/>
        </w:rPr>
        <w:t xml:space="preserve">“De igual forma, destaca que el servicio de </w:t>
      </w:r>
      <w:r w:rsidRPr="00A75729">
        <w:rPr>
          <w:i/>
          <w:sz w:val="20"/>
          <w:u w:val="single"/>
        </w:rPr>
        <w:t>radiodifusión</w:t>
      </w:r>
      <w:r w:rsidRPr="00A75729">
        <w:rPr>
          <w:i/>
          <w:sz w:val="20"/>
        </w:rPr>
        <w:t xml:space="preserve">, de acuerdo a su definición y naturaleza técnica de funcionamiento, se presta bajo dos formas o modalidades: </w:t>
      </w:r>
      <w:r w:rsidRPr="00A75729">
        <w:rPr>
          <w:i/>
          <w:sz w:val="20"/>
          <w:u w:val="single"/>
        </w:rPr>
        <w:t xml:space="preserve">el servicio </w:t>
      </w:r>
      <w:r w:rsidRPr="00A75729">
        <w:rPr>
          <w:i/>
          <w:sz w:val="20"/>
          <w:u w:val="single"/>
        </w:rPr>
        <w:lastRenderedPageBreak/>
        <w:t>de radiodifusión sonora (</w:t>
      </w:r>
      <w:r w:rsidRPr="00A75729">
        <w:rPr>
          <w:b/>
          <w:i/>
          <w:sz w:val="20"/>
          <w:u w:val="single"/>
        </w:rPr>
        <w:t>radio</w:t>
      </w:r>
      <w:r w:rsidRPr="00A75729">
        <w:rPr>
          <w:i/>
          <w:sz w:val="20"/>
          <w:u w:val="single"/>
        </w:rPr>
        <w:t>) y el servicio de radiodifusión de televisión (</w:t>
      </w:r>
      <w:r w:rsidRPr="00A75729">
        <w:rPr>
          <w:b/>
          <w:i/>
          <w:sz w:val="20"/>
          <w:u w:val="single"/>
        </w:rPr>
        <w:t>televisión</w:t>
      </w:r>
      <w:r w:rsidRPr="00A75729">
        <w:rPr>
          <w:i/>
          <w:sz w:val="20"/>
          <w:u w:val="single"/>
        </w:rPr>
        <w:t>)</w:t>
      </w:r>
      <w:r w:rsidRPr="00A75729">
        <w:rPr>
          <w:i/>
          <w:sz w:val="20"/>
        </w:rPr>
        <w:t>, señalando válidamente que cada uno de éstos tiene sus particularidades en cuanto a su forma de transmisión, capacidad de distribución, ancho de banda</w:t>
      </w:r>
      <w:r w:rsidR="00CB5F26" w:rsidRPr="00A75729">
        <w:rPr>
          <w:i/>
          <w:sz w:val="20"/>
        </w:rPr>
        <w:t>,</w:t>
      </w:r>
      <w:r w:rsidRPr="00A75729">
        <w:rPr>
          <w:i/>
          <w:sz w:val="20"/>
        </w:rPr>
        <w:t xml:space="preserve"> alcances y coberturas, elementos que distinguen a una de otra modalidad.</w:t>
      </w:r>
    </w:p>
    <w:p w:rsidR="00EF16D9" w:rsidRPr="00A75729" w:rsidRDefault="00593888" w:rsidP="00CB5F26">
      <w:pPr>
        <w:ind w:left="567" w:right="-1"/>
        <w:rPr>
          <w:i/>
          <w:sz w:val="20"/>
        </w:rPr>
      </w:pPr>
      <w:r w:rsidRPr="00A75729">
        <w:rPr>
          <w:i/>
          <w:sz w:val="20"/>
        </w:rPr>
        <w:t>Resulta importante precisar que estas dos formas o modalidades de radiodifusión,</w:t>
      </w:r>
      <w:r w:rsidR="00EF16D9" w:rsidRPr="00A75729">
        <w:rPr>
          <w:i/>
          <w:sz w:val="20"/>
        </w:rPr>
        <w:t xml:space="preserve"> </w:t>
      </w:r>
      <w:r w:rsidRPr="00A75729">
        <w:rPr>
          <w:i/>
          <w:sz w:val="20"/>
        </w:rPr>
        <w:t>radio y televisión, representan en sí mismas se</w:t>
      </w:r>
      <w:r w:rsidR="00EF16D9" w:rsidRPr="00A75729">
        <w:rPr>
          <w:i/>
          <w:sz w:val="20"/>
        </w:rPr>
        <w:t>rvi</w:t>
      </w:r>
      <w:r w:rsidRPr="00A75729">
        <w:rPr>
          <w:i/>
          <w:sz w:val="20"/>
        </w:rPr>
        <w:t xml:space="preserve">cios distintos, que </w:t>
      </w:r>
      <w:r w:rsidRPr="00A75729">
        <w:rPr>
          <w:i/>
          <w:sz w:val="20"/>
          <w:u w:val="single"/>
        </w:rPr>
        <w:t>no son sustitutos</w:t>
      </w:r>
      <w:r w:rsidR="00EF16D9" w:rsidRPr="00A75729">
        <w:rPr>
          <w:i/>
          <w:sz w:val="20"/>
          <w:u w:val="single"/>
        </w:rPr>
        <w:t xml:space="preserve"> </w:t>
      </w:r>
      <w:r w:rsidRPr="00A75729">
        <w:rPr>
          <w:i/>
          <w:sz w:val="20"/>
          <w:u w:val="single"/>
        </w:rPr>
        <w:t>entre sí</w:t>
      </w:r>
      <w:r w:rsidRPr="00A75729">
        <w:rPr>
          <w:i/>
          <w:sz w:val="20"/>
        </w:rPr>
        <w:t>. Mientras que la radiodifusión sonora, ya sea en su modalidad de radio</w:t>
      </w:r>
      <w:r w:rsidR="00EF16D9" w:rsidRPr="00A75729">
        <w:rPr>
          <w:i/>
          <w:sz w:val="20"/>
        </w:rPr>
        <w:t xml:space="preserve"> </w:t>
      </w:r>
      <w:r w:rsidRPr="00A75729">
        <w:rPr>
          <w:i/>
          <w:sz w:val="20"/>
        </w:rPr>
        <w:t xml:space="preserve">A.M. o de radio </w:t>
      </w:r>
      <w:proofErr w:type="spellStart"/>
      <w:r w:rsidRPr="00A75729">
        <w:rPr>
          <w:i/>
          <w:sz w:val="20"/>
        </w:rPr>
        <w:t>F.M</w:t>
      </w:r>
      <w:proofErr w:type="spellEnd"/>
      <w:r w:rsidRPr="00A75729">
        <w:rPr>
          <w:i/>
          <w:sz w:val="20"/>
        </w:rPr>
        <w:t xml:space="preserve">., se refiere al </w:t>
      </w:r>
      <w:r w:rsidR="00EF16D9" w:rsidRPr="00A75729">
        <w:rPr>
          <w:i/>
          <w:sz w:val="20"/>
        </w:rPr>
        <w:t xml:space="preserve">servicio </w:t>
      </w:r>
      <w:r w:rsidRPr="00A75729">
        <w:rPr>
          <w:i/>
          <w:sz w:val="20"/>
        </w:rPr>
        <w:t>de radiodifusión con el que se hace</w:t>
      </w:r>
      <w:r w:rsidR="00EF16D9" w:rsidRPr="00A75729">
        <w:rPr>
          <w:i/>
          <w:sz w:val="20"/>
        </w:rPr>
        <w:t xml:space="preserve"> llegar de</w:t>
      </w:r>
      <w:r w:rsidRPr="00A75729">
        <w:rPr>
          <w:i/>
          <w:sz w:val="20"/>
        </w:rPr>
        <w:t xml:space="preserve"> un punto transmisor a múltiples puntos receptores información </w:t>
      </w:r>
      <w:r w:rsidR="00EF16D9" w:rsidRPr="00A75729">
        <w:rPr>
          <w:i/>
          <w:sz w:val="20"/>
        </w:rPr>
        <w:t xml:space="preserve">audible </w:t>
      </w:r>
      <w:r w:rsidRPr="00A75729">
        <w:rPr>
          <w:i/>
          <w:sz w:val="20"/>
        </w:rPr>
        <w:t xml:space="preserve">únicamente (sonidos), en el </w:t>
      </w:r>
      <w:r w:rsidR="00EF16D9" w:rsidRPr="00A75729">
        <w:rPr>
          <w:i/>
          <w:sz w:val="20"/>
        </w:rPr>
        <w:t xml:space="preserve">servicio </w:t>
      </w:r>
      <w:r w:rsidRPr="00A75729">
        <w:rPr>
          <w:i/>
          <w:sz w:val="20"/>
        </w:rPr>
        <w:t>de televisión se emite información de audio</w:t>
      </w:r>
      <w:r w:rsidR="00EF16D9" w:rsidRPr="00A75729">
        <w:rPr>
          <w:i/>
          <w:sz w:val="20"/>
        </w:rPr>
        <w:t xml:space="preserve"> </w:t>
      </w:r>
      <w:r w:rsidRPr="00A75729">
        <w:rPr>
          <w:i/>
          <w:sz w:val="20"/>
        </w:rPr>
        <w:t>y video asociados (sonidos e imágenes asociados en</w:t>
      </w:r>
      <w:r w:rsidR="00EF16D9" w:rsidRPr="00A75729">
        <w:rPr>
          <w:i/>
          <w:sz w:val="20"/>
        </w:rPr>
        <w:t>tre sí</w:t>
      </w:r>
      <w:r w:rsidRPr="00A75729">
        <w:rPr>
          <w:i/>
          <w:sz w:val="20"/>
        </w:rPr>
        <w:t>)</w:t>
      </w:r>
      <w:r w:rsidR="00EF16D9" w:rsidRPr="00A75729">
        <w:rPr>
          <w:i/>
          <w:sz w:val="20"/>
        </w:rPr>
        <w:t>.</w:t>
      </w:r>
    </w:p>
    <w:p w:rsidR="005E40A6" w:rsidRPr="00A75729" w:rsidRDefault="005E40A6" w:rsidP="00CB5F26">
      <w:pPr>
        <w:ind w:left="567" w:right="-1"/>
        <w:rPr>
          <w:i/>
          <w:sz w:val="20"/>
        </w:rPr>
      </w:pPr>
      <w:r w:rsidRPr="00A75729">
        <w:rPr>
          <w:i/>
          <w:sz w:val="20"/>
        </w:rPr>
        <w:t>(…)</w:t>
      </w:r>
    </w:p>
    <w:p w:rsidR="00593888" w:rsidRPr="00A75729" w:rsidRDefault="00593888" w:rsidP="00CB5F26">
      <w:pPr>
        <w:ind w:left="567" w:right="-1"/>
        <w:rPr>
          <w:i/>
          <w:sz w:val="20"/>
        </w:rPr>
      </w:pPr>
      <w:r w:rsidRPr="00A75729">
        <w:rPr>
          <w:i/>
          <w:sz w:val="20"/>
        </w:rPr>
        <w:t>Esta distinción no es menor, toda vez que no sólo existen implicaciones de</w:t>
      </w:r>
      <w:r w:rsidR="00EF16D9" w:rsidRPr="00A75729">
        <w:rPr>
          <w:i/>
          <w:sz w:val="20"/>
        </w:rPr>
        <w:t xml:space="preserve"> </w:t>
      </w:r>
      <w:r w:rsidRPr="00A75729">
        <w:rPr>
          <w:i/>
          <w:sz w:val="20"/>
        </w:rPr>
        <w:t>carácter técnico, sino también características específicas de los mercados de la</w:t>
      </w:r>
      <w:r w:rsidR="00EF16D9" w:rsidRPr="00A75729">
        <w:rPr>
          <w:i/>
          <w:sz w:val="20"/>
        </w:rPr>
        <w:t xml:space="preserve"> </w:t>
      </w:r>
      <w:r w:rsidRPr="00A75729">
        <w:rPr>
          <w:i/>
          <w:sz w:val="20"/>
        </w:rPr>
        <w:t>radio y de la televisión, en términos de audiencias, tipo y formatos de publicidad,</w:t>
      </w:r>
      <w:r w:rsidR="00EF16D9" w:rsidRPr="00A75729">
        <w:rPr>
          <w:i/>
          <w:sz w:val="20"/>
        </w:rPr>
        <w:t xml:space="preserve"> </w:t>
      </w:r>
      <w:r w:rsidRPr="00A75729">
        <w:rPr>
          <w:i/>
          <w:sz w:val="20"/>
        </w:rPr>
        <w:t>ingresos,</w:t>
      </w:r>
      <w:r w:rsidR="00EF16D9" w:rsidRPr="00A75729">
        <w:rPr>
          <w:i/>
          <w:sz w:val="20"/>
        </w:rPr>
        <w:t xml:space="preserve"> cantidad de a</w:t>
      </w:r>
      <w:r w:rsidRPr="00A75729">
        <w:rPr>
          <w:i/>
          <w:sz w:val="20"/>
        </w:rPr>
        <w:t>gentes económicos participantes en cada mercado y,</w:t>
      </w:r>
      <w:r w:rsidR="00EF16D9" w:rsidRPr="00A75729">
        <w:rPr>
          <w:i/>
          <w:sz w:val="20"/>
        </w:rPr>
        <w:t xml:space="preserve"> </w:t>
      </w:r>
      <w:r w:rsidRPr="00A75729">
        <w:rPr>
          <w:i/>
          <w:sz w:val="20"/>
        </w:rPr>
        <w:t>fundamentalmente, circunstancias particulares de competencia y</w:t>
      </w:r>
      <w:r w:rsidR="00EF16D9" w:rsidRPr="00A75729">
        <w:rPr>
          <w:i/>
          <w:sz w:val="20"/>
        </w:rPr>
        <w:t xml:space="preserve"> </w:t>
      </w:r>
      <w:r w:rsidRPr="00A75729">
        <w:rPr>
          <w:i/>
          <w:sz w:val="20"/>
        </w:rPr>
        <w:t>concentración muy distintas en la radio y en la televisión radiodifundidos en los</w:t>
      </w:r>
      <w:r w:rsidR="00EF16D9" w:rsidRPr="00A75729">
        <w:rPr>
          <w:i/>
          <w:sz w:val="20"/>
        </w:rPr>
        <w:t xml:space="preserve"> </w:t>
      </w:r>
      <w:r w:rsidRPr="00A75729">
        <w:rPr>
          <w:i/>
          <w:sz w:val="20"/>
        </w:rPr>
        <w:t>Estados Unidos Mexicanos.</w:t>
      </w:r>
    </w:p>
    <w:p w:rsidR="00593888" w:rsidRPr="00A75729" w:rsidRDefault="00593888" w:rsidP="00CB5F26">
      <w:pPr>
        <w:ind w:left="567" w:right="-1"/>
        <w:rPr>
          <w:i/>
          <w:sz w:val="20"/>
        </w:rPr>
      </w:pPr>
      <w:r w:rsidRPr="00A75729">
        <w:rPr>
          <w:i/>
          <w:sz w:val="20"/>
        </w:rPr>
        <w:t xml:space="preserve">Particularmente, se advierte que estas diferencias provocan que </w:t>
      </w:r>
      <w:r w:rsidRPr="00A75729">
        <w:rPr>
          <w:i/>
          <w:sz w:val="20"/>
          <w:u w:val="single"/>
        </w:rPr>
        <w:t>la medición de</w:t>
      </w:r>
      <w:r w:rsidR="00EF16D9" w:rsidRPr="00A75729">
        <w:rPr>
          <w:i/>
          <w:sz w:val="20"/>
          <w:u w:val="single"/>
        </w:rPr>
        <w:t xml:space="preserve"> </w:t>
      </w:r>
      <w:r w:rsidRPr="00A75729">
        <w:rPr>
          <w:i/>
          <w:sz w:val="20"/>
          <w:u w:val="single"/>
        </w:rPr>
        <w:t xml:space="preserve">audiencias, capacidad y usuarios de los </w:t>
      </w:r>
      <w:r w:rsidR="00EF16D9" w:rsidRPr="00A75729">
        <w:rPr>
          <w:i/>
          <w:sz w:val="20"/>
          <w:u w:val="single"/>
        </w:rPr>
        <w:t xml:space="preserve">servicios </w:t>
      </w:r>
      <w:r w:rsidRPr="00A75729">
        <w:rPr>
          <w:i/>
          <w:sz w:val="20"/>
          <w:u w:val="single"/>
        </w:rPr>
        <w:t>de radiodifusión sonora y</w:t>
      </w:r>
      <w:r w:rsidR="00EF16D9" w:rsidRPr="00A75729">
        <w:rPr>
          <w:i/>
          <w:sz w:val="20"/>
          <w:u w:val="single"/>
        </w:rPr>
        <w:t xml:space="preserve"> </w:t>
      </w:r>
      <w:r w:rsidRPr="00A75729">
        <w:rPr>
          <w:i/>
          <w:sz w:val="20"/>
          <w:u w:val="single"/>
        </w:rPr>
        <w:t>radiodifusión por televisión se deba hacer separadamente, ya que se trata de</w:t>
      </w:r>
      <w:r w:rsidR="00EF16D9" w:rsidRPr="00A75729">
        <w:rPr>
          <w:i/>
          <w:sz w:val="20"/>
          <w:u w:val="single"/>
        </w:rPr>
        <w:t xml:space="preserve"> </w:t>
      </w:r>
      <w:r w:rsidRPr="00A75729">
        <w:rPr>
          <w:i/>
          <w:sz w:val="20"/>
          <w:u w:val="single"/>
        </w:rPr>
        <w:t>indicadores que miden manifestaciones de naturaleza distinta.</w:t>
      </w:r>
      <w:r w:rsidRPr="00A75729">
        <w:rPr>
          <w:i/>
          <w:sz w:val="20"/>
        </w:rPr>
        <w:t xml:space="preserve"> Este hech</w:t>
      </w:r>
      <w:r w:rsidR="00EF16D9" w:rsidRPr="00A75729">
        <w:rPr>
          <w:i/>
          <w:sz w:val="20"/>
        </w:rPr>
        <w:t>o</w:t>
      </w:r>
      <w:r w:rsidRPr="00A75729">
        <w:rPr>
          <w:i/>
          <w:sz w:val="20"/>
        </w:rPr>
        <w:t xml:space="preserve"> se</w:t>
      </w:r>
      <w:r w:rsidR="00EF16D9" w:rsidRPr="00A75729">
        <w:rPr>
          <w:i/>
          <w:sz w:val="20"/>
        </w:rPr>
        <w:t xml:space="preserve"> </w:t>
      </w:r>
      <w:r w:rsidRPr="00A75729">
        <w:rPr>
          <w:i/>
          <w:sz w:val="20"/>
        </w:rPr>
        <w:t>manifiesta en la práctica generalizada de la industria, la academia y las</w:t>
      </w:r>
      <w:r w:rsidR="00EF16D9" w:rsidRPr="00A75729">
        <w:rPr>
          <w:i/>
          <w:sz w:val="20"/>
        </w:rPr>
        <w:t xml:space="preserve"> </w:t>
      </w:r>
      <w:r w:rsidRPr="00A75729">
        <w:rPr>
          <w:i/>
          <w:sz w:val="20"/>
        </w:rPr>
        <w:t>entidades especializadas, que miden la audiencia, capacidad y usuarios de</w:t>
      </w:r>
      <w:r w:rsidR="00EF16D9" w:rsidRPr="00A75729">
        <w:rPr>
          <w:i/>
          <w:sz w:val="20"/>
        </w:rPr>
        <w:t xml:space="preserve"> </w:t>
      </w:r>
      <w:r w:rsidRPr="00A75729">
        <w:rPr>
          <w:i/>
          <w:sz w:val="20"/>
        </w:rPr>
        <w:t>radiodifusión por televisión separadamente de las que corresponden a la</w:t>
      </w:r>
      <w:r w:rsidR="00EF16D9" w:rsidRPr="00A75729">
        <w:rPr>
          <w:i/>
          <w:sz w:val="20"/>
        </w:rPr>
        <w:t xml:space="preserve"> </w:t>
      </w:r>
      <w:r w:rsidRPr="00A75729">
        <w:rPr>
          <w:i/>
          <w:sz w:val="20"/>
        </w:rPr>
        <w:t>radiodifusión sonora.</w:t>
      </w:r>
    </w:p>
    <w:p w:rsidR="005E40A6" w:rsidRPr="00A75729" w:rsidRDefault="005E40A6" w:rsidP="00CB5F26">
      <w:pPr>
        <w:ind w:left="567" w:right="-1"/>
        <w:rPr>
          <w:i/>
          <w:sz w:val="20"/>
        </w:rPr>
      </w:pPr>
      <w:r w:rsidRPr="00A75729">
        <w:rPr>
          <w:i/>
          <w:sz w:val="20"/>
        </w:rPr>
        <w:t>(…)</w:t>
      </w:r>
    </w:p>
    <w:p w:rsidR="00CB5F26" w:rsidRPr="00A75729" w:rsidRDefault="00CB5F26" w:rsidP="00CB5F26">
      <w:pPr>
        <w:ind w:left="567" w:right="-1"/>
        <w:rPr>
          <w:i/>
          <w:sz w:val="20"/>
        </w:rPr>
      </w:pPr>
      <w:r w:rsidRPr="00A75729">
        <w:rPr>
          <w:i/>
          <w:sz w:val="20"/>
        </w:rPr>
        <w:t xml:space="preserve">De este modo, de conformidad con la legislación vigente en la materia, se arriba a la determinación que, para la prestación del servicio de radiodifusión se pueden identificar dos tipos de estaciones: (i) estaciones de radiodifusión </w:t>
      </w:r>
      <w:r w:rsidRPr="00A75729">
        <w:rPr>
          <w:i/>
          <w:sz w:val="20"/>
          <w:u w:val="single"/>
        </w:rPr>
        <w:t>con fines comerciales</w:t>
      </w:r>
      <w:r w:rsidRPr="00A75729">
        <w:rPr>
          <w:i/>
          <w:sz w:val="20"/>
        </w:rPr>
        <w:t xml:space="preserve"> (otorgadas a través de una concesión) y (ii) estaciones </w:t>
      </w:r>
      <w:r w:rsidRPr="00A75729">
        <w:rPr>
          <w:i/>
          <w:sz w:val="20"/>
          <w:u w:val="single"/>
        </w:rPr>
        <w:t>sin fines comerciales</w:t>
      </w:r>
      <w:r w:rsidRPr="00A75729">
        <w:rPr>
          <w:i/>
          <w:sz w:val="20"/>
        </w:rPr>
        <w:t xml:space="preserve"> (otorgadas a través de un permiso).</w:t>
      </w:r>
    </w:p>
    <w:p w:rsidR="00CB5F26" w:rsidRPr="00A75729" w:rsidRDefault="00CB5F26" w:rsidP="00CB5F26">
      <w:pPr>
        <w:ind w:left="567" w:right="-1"/>
        <w:rPr>
          <w:i/>
          <w:sz w:val="20"/>
        </w:rPr>
      </w:pPr>
      <w:r w:rsidRPr="00A75729">
        <w:rPr>
          <w:i/>
          <w:sz w:val="20"/>
        </w:rPr>
        <w:t>(…)</w:t>
      </w:r>
    </w:p>
    <w:p w:rsidR="00CB5F26" w:rsidRPr="00A75729" w:rsidRDefault="00CB5F26" w:rsidP="00CB5F26">
      <w:pPr>
        <w:ind w:left="567" w:right="-1"/>
        <w:rPr>
          <w:i/>
          <w:sz w:val="20"/>
        </w:rPr>
      </w:pPr>
      <w:r w:rsidRPr="00A75729">
        <w:rPr>
          <w:i/>
          <w:sz w:val="20"/>
        </w:rPr>
        <w:t xml:space="preserve">Por lo anterior, se concluye válidamente que las estaciones de radio y televisión otorgadas bajo la figura de </w:t>
      </w:r>
      <w:r w:rsidRPr="00A75729">
        <w:rPr>
          <w:i/>
          <w:sz w:val="20"/>
          <w:u w:val="single"/>
        </w:rPr>
        <w:t>permisos no pueden ser sustitutas de las estaciones de radiodifusión comerciales</w:t>
      </w:r>
      <w:r w:rsidRPr="00A75729">
        <w:rPr>
          <w:i/>
          <w:sz w:val="20"/>
        </w:rPr>
        <w:t xml:space="preserve">, de forma que las estaciones </w:t>
      </w:r>
      <w:proofErr w:type="spellStart"/>
      <w:r w:rsidRPr="00A75729">
        <w:rPr>
          <w:i/>
          <w:sz w:val="20"/>
        </w:rPr>
        <w:t>permisionadas</w:t>
      </w:r>
      <w:proofErr w:type="spellEnd"/>
      <w:r w:rsidRPr="00A75729">
        <w:rPr>
          <w:i/>
          <w:sz w:val="20"/>
        </w:rPr>
        <w:t xml:space="preserve"> no son competidores de las estaciones concesionadas de radiodifusión comercial en el mercado de venta de espacios de publicidad en televisión radiodifundida.</w:t>
      </w:r>
    </w:p>
    <w:p w:rsidR="00CB5F26" w:rsidRPr="00A75729" w:rsidRDefault="00CB5F26" w:rsidP="00CB5F26">
      <w:pPr>
        <w:ind w:left="567" w:right="-1"/>
        <w:rPr>
          <w:i/>
          <w:sz w:val="20"/>
        </w:rPr>
      </w:pPr>
      <w:r w:rsidRPr="00A75729">
        <w:rPr>
          <w:i/>
          <w:sz w:val="20"/>
        </w:rPr>
        <w:t>(…)</w:t>
      </w:r>
    </w:p>
    <w:p w:rsidR="005E40A6" w:rsidRPr="00A75729" w:rsidRDefault="005E40A6" w:rsidP="00CB5F26">
      <w:pPr>
        <w:ind w:left="567" w:right="-1"/>
        <w:rPr>
          <w:i/>
          <w:sz w:val="20"/>
        </w:rPr>
      </w:pPr>
      <w:r w:rsidRPr="00A75729">
        <w:rPr>
          <w:i/>
          <w:sz w:val="20"/>
        </w:rPr>
        <w:t xml:space="preserve">De esta manera, el Instituto llegó a la conclusión de que </w:t>
      </w:r>
      <w:r w:rsidRPr="00A75729">
        <w:rPr>
          <w:i/>
          <w:sz w:val="20"/>
          <w:u w:val="single"/>
        </w:rPr>
        <w:t>la televisión</w:t>
      </w:r>
      <w:r w:rsidR="00EF16D9" w:rsidRPr="00A75729">
        <w:rPr>
          <w:i/>
          <w:sz w:val="20"/>
          <w:u w:val="single"/>
        </w:rPr>
        <w:t xml:space="preserve"> </w:t>
      </w:r>
      <w:r w:rsidRPr="00A75729">
        <w:rPr>
          <w:i/>
          <w:sz w:val="20"/>
          <w:u w:val="single"/>
        </w:rPr>
        <w:t>radiodifundida es el</w:t>
      </w:r>
      <w:r w:rsidR="00EF16D9" w:rsidRPr="00A75729">
        <w:rPr>
          <w:i/>
          <w:sz w:val="20"/>
          <w:u w:val="single"/>
        </w:rPr>
        <w:t xml:space="preserve"> servicio</w:t>
      </w:r>
      <w:r w:rsidRPr="00A75729">
        <w:rPr>
          <w:i/>
          <w:sz w:val="20"/>
          <w:u w:val="single"/>
        </w:rPr>
        <w:t xml:space="preserve"> a través del cual un agente económico podría tener</w:t>
      </w:r>
      <w:r w:rsidR="00EF16D9" w:rsidRPr="00A75729">
        <w:rPr>
          <w:i/>
          <w:sz w:val="20"/>
          <w:u w:val="single"/>
        </w:rPr>
        <w:t xml:space="preserve"> </w:t>
      </w:r>
      <w:r w:rsidRPr="00A75729">
        <w:rPr>
          <w:i/>
          <w:sz w:val="20"/>
          <w:u w:val="single"/>
        </w:rPr>
        <w:t xml:space="preserve">la capacidad para afectar las </w:t>
      </w:r>
      <w:r w:rsidRPr="00A75729">
        <w:rPr>
          <w:i/>
          <w:sz w:val="20"/>
          <w:u w:val="single"/>
        </w:rPr>
        <w:lastRenderedPageBreak/>
        <w:t>condiciones de competencia y libre concurrencia</w:t>
      </w:r>
      <w:r w:rsidR="00EF16D9" w:rsidRPr="00A75729">
        <w:rPr>
          <w:i/>
          <w:sz w:val="20"/>
          <w:u w:val="single"/>
        </w:rPr>
        <w:t xml:space="preserve"> </w:t>
      </w:r>
      <w:r w:rsidRPr="00A75729">
        <w:rPr>
          <w:i/>
          <w:sz w:val="20"/>
          <w:u w:val="single"/>
        </w:rPr>
        <w:t>y, con ello, a los usuarios finales con trascendencia en el sector.</w:t>
      </w:r>
      <w:r w:rsidRPr="00A75729">
        <w:rPr>
          <w:i/>
          <w:sz w:val="20"/>
        </w:rPr>
        <w:t xml:space="preserve"> El Instituto no es</w:t>
      </w:r>
      <w:r w:rsidR="00EF16D9" w:rsidRPr="00A75729">
        <w:rPr>
          <w:i/>
          <w:sz w:val="20"/>
        </w:rPr>
        <w:t xml:space="preserve"> </w:t>
      </w:r>
      <w:r w:rsidRPr="00A75729">
        <w:rPr>
          <w:i/>
          <w:sz w:val="20"/>
        </w:rPr>
        <w:t>omiso respecto del servicio de radio sonora, pues esta autoridad determinó que</w:t>
      </w:r>
      <w:r w:rsidR="00EF16D9" w:rsidRPr="00A75729">
        <w:rPr>
          <w:i/>
          <w:sz w:val="20"/>
        </w:rPr>
        <w:t xml:space="preserve"> </w:t>
      </w:r>
      <w:r w:rsidRPr="00A75729">
        <w:rPr>
          <w:i/>
          <w:sz w:val="20"/>
        </w:rPr>
        <w:t>entre los servicios de radiodifusión el servicio de televisión tiene una mayor</w:t>
      </w:r>
      <w:r w:rsidR="00EF16D9" w:rsidRPr="00A75729">
        <w:rPr>
          <w:i/>
          <w:sz w:val="20"/>
        </w:rPr>
        <w:t xml:space="preserve"> </w:t>
      </w:r>
      <w:r w:rsidRPr="00A75729">
        <w:rPr>
          <w:i/>
          <w:sz w:val="20"/>
        </w:rPr>
        <w:t>relevancia que el servicio de radio sonora para trascender en las condiciones de</w:t>
      </w:r>
      <w:r w:rsidR="00EF16D9" w:rsidRPr="00A75729">
        <w:rPr>
          <w:i/>
          <w:sz w:val="20"/>
        </w:rPr>
        <w:t xml:space="preserve"> </w:t>
      </w:r>
      <w:r w:rsidRPr="00A75729">
        <w:rPr>
          <w:i/>
          <w:sz w:val="20"/>
        </w:rPr>
        <w:t>competencia y concurrencia del sector.</w:t>
      </w:r>
    </w:p>
    <w:p w:rsidR="005E40A6" w:rsidRPr="00A75729" w:rsidRDefault="005E40A6" w:rsidP="00CB5F26">
      <w:pPr>
        <w:ind w:left="567" w:right="-1"/>
        <w:rPr>
          <w:i/>
          <w:sz w:val="20"/>
        </w:rPr>
      </w:pPr>
      <w:r w:rsidRPr="00A75729">
        <w:rPr>
          <w:i/>
          <w:sz w:val="20"/>
        </w:rPr>
        <w:t>(…)</w:t>
      </w:r>
    </w:p>
    <w:p w:rsidR="005E40A6" w:rsidRPr="00A75729" w:rsidRDefault="005E40A6" w:rsidP="00CB5F26">
      <w:pPr>
        <w:ind w:left="567" w:right="-1"/>
        <w:rPr>
          <w:i/>
          <w:sz w:val="20"/>
        </w:rPr>
      </w:pPr>
      <w:r w:rsidRPr="00A75729">
        <w:rPr>
          <w:i/>
          <w:sz w:val="20"/>
          <w:u w:val="single"/>
        </w:rPr>
        <w:t xml:space="preserve">El sector de la radiodifusión, en efecto, </w:t>
      </w:r>
      <w:r w:rsidRPr="00A75729">
        <w:rPr>
          <w:b/>
          <w:i/>
          <w:sz w:val="20"/>
          <w:u w:val="single"/>
        </w:rPr>
        <w:t>está conformado por</w:t>
      </w:r>
      <w:r w:rsidRPr="00A75729">
        <w:rPr>
          <w:i/>
          <w:sz w:val="20"/>
          <w:u w:val="single"/>
        </w:rPr>
        <w:t xml:space="preserve"> los servicios de </w:t>
      </w:r>
      <w:r w:rsidRPr="00A75729">
        <w:rPr>
          <w:b/>
          <w:i/>
          <w:sz w:val="20"/>
          <w:u w:val="single"/>
        </w:rPr>
        <w:t>radio</w:t>
      </w:r>
      <w:r w:rsidR="00CB5F26" w:rsidRPr="00A75729">
        <w:rPr>
          <w:b/>
          <w:i/>
          <w:sz w:val="20"/>
          <w:u w:val="single"/>
        </w:rPr>
        <w:t xml:space="preserve"> </w:t>
      </w:r>
      <w:r w:rsidRPr="00A75729">
        <w:rPr>
          <w:b/>
          <w:i/>
          <w:sz w:val="20"/>
          <w:u w:val="single"/>
        </w:rPr>
        <w:t>sonora</w:t>
      </w:r>
      <w:r w:rsidRPr="00A75729">
        <w:rPr>
          <w:i/>
          <w:sz w:val="20"/>
          <w:u w:val="single"/>
        </w:rPr>
        <w:t xml:space="preserve"> y </w:t>
      </w:r>
      <w:r w:rsidRPr="00A75729">
        <w:rPr>
          <w:b/>
          <w:i/>
          <w:sz w:val="20"/>
          <w:u w:val="single"/>
        </w:rPr>
        <w:t>televisión</w:t>
      </w:r>
      <w:r w:rsidRPr="00A75729">
        <w:rPr>
          <w:i/>
          <w:sz w:val="20"/>
        </w:rPr>
        <w:t xml:space="preserve">. </w:t>
      </w:r>
      <w:r w:rsidRPr="00A75729">
        <w:rPr>
          <w:i/>
          <w:sz w:val="20"/>
          <w:u w:val="single"/>
        </w:rPr>
        <w:t>No obstante</w:t>
      </w:r>
      <w:r w:rsidR="00CB5F26" w:rsidRPr="00A75729">
        <w:rPr>
          <w:i/>
          <w:sz w:val="20"/>
          <w:u w:val="single"/>
        </w:rPr>
        <w:t>,</w:t>
      </w:r>
      <w:r w:rsidRPr="00A75729">
        <w:rPr>
          <w:i/>
          <w:sz w:val="20"/>
          <w:u w:val="single"/>
        </w:rPr>
        <w:t xml:space="preserve"> estos servicios </w:t>
      </w:r>
      <w:r w:rsidRPr="00A75729">
        <w:rPr>
          <w:b/>
          <w:i/>
          <w:sz w:val="20"/>
          <w:u w:val="single"/>
        </w:rPr>
        <w:t>son diferentes</w:t>
      </w:r>
      <w:r w:rsidRPr="00A75729">
        <w:rPr>
          <w:i/>
          <w:sz w:val="20"/>
          <w:u w:val="single"/>
        </w:rPr>
        <w:t xml:space="preserve"> entre sí en razón de</w:t>
      </w:r>
      <w:r w:rsidR="00CB5F26" w:rsidRPr="00A75729">
        <w:rPr>
          <w:i/>
          <w:sz w:val="20"/>
          <w:u w:val="single"/>
        </w:rPr>
        <w:t xml:space="preserve"> </w:t>
      </w:r>
      <w:r w:rsidRPr="00A75729">
        <w:rPr>
          <w:i/>
          <w:sz w:val="20"/>
          <w:u w:val="single"/>
        </w:rPr>
        <w:t>usuarios, audiencia</w:t>
      </w:r>
      <w:r w:rsidR="00CB5F26" w:rsidRPr="00A75729">
        <w:rPr>
          <w:i/>
          <w:sz w:val="20"/>
          <w:u w:val="single"/>
        </w:rPr>
        <w:t>,</w:t>
      </w:r>
      <w:r w:rsidRPr="00A75729">
        <w:rPr>
          <w:i/>
          <w:sz w:val="20"/>
          <w:u w:val="single"/>
        </w:rPr>
        <w:t xml:space="preserve"> redes y la capacidad utilizada de las mismas</w:t>
      </w:r>
      <w:r w:rsidRPr="00A75729">
        <w:rPr>
          <w:i/>
          <w:sz w:val="20"/>
        </w:rPr>
        <w:t>.</w:t>
      </w:r>
    </w:p>
    <w:p w:rsidR="005E40A6" w:rsidRPr="00A75729" w:rsidRDefault="005E40A6" w:rsidP="00CB5F26">
      <w:pPr>
        <w:ind w:left="567" w:right="-1"/>
        <w:rPr>
          <w:i/>
          <w:sz w:val="20"/>
        </w:rPr>
      </w:pPr>
      <w:r w:rsidRPr="00A75729">
        <w:rPr>
          <w:i/>
          <w:sz w:val="20"/>
        </w:rPr>
        <w:t>(…)</w:t>
      </w:r>
    </w:p>
    <w:p w:rsidR="005E40A6" w:rsidRPr="00A75729" w:rsidRDefault="005E40A6" w:rsidP="00CB5F26">
      <w:pPr>
        <w:ind w:left="567" w:right="-1"/>
        <w:rPr>
          <w:i/>
          <w:sz w:val="20"/>
        </w:rPr>
      </w:pPr>
      <w:r w:rsidRPr="00A75729">
        <w:rPr>
          <w:i/>
          <w:sz w:val="20"/>
        </w:rPr>
        <w:t>En estos términos, los ingresos registrados por e</w:t>
      </w:r>
      <w:r w:rsidR="00CB5F26" w:rsidRPr="00A75729">
        <w:rPr>
          <w:i/>
          <w:sz w:val="20"/>
        </w:rPr>
        <w:t>l I</w:t>
      </w:r>
      <w:r w:rsidRPr="00A75729">
        <w:rPr>
          <w:i/>
          <w:sz w:val="20"/>
        </w:rPr>
        <w:t xml:space="preserve">NEGI para el </w:t>
      </w:r>
      <w:r w:rsidR="00CB5F26" w:rsidRPr="00A75729">
        <w:rPr>
          <w:i/>
          <w:sz w:val="20"/>
        </w:rPr>
        <w:t xml:space="preserve">servicio </w:t>
      </w:r>
      <w:r w:rsidRPr="00A75729">
        <w:rPr>
          <w:i/>
          <w:sz w:val="20"/>
        </w:rPr>
        <w:t>de televisión</w:t>
      </w:r>
      <w:r w:rsidR="00CB5F26" w:rsidRPr="00A75729">
        <w:rPr>
          <w:i/>
          <w:sz w:val="20"/>
        </w:rPr>
        <w:t xml:space="preserve"> </w:t>
      </w:r>
      <w:r w:rsidRPr="00A75729">
        <w:rPr>
          <w:i/>
          <w:sz w:val="20"/>
        </w:rPr>
        <w:t>radiodifundida representan ochenta y seis por ciento - 86% -</w:t>
      </w:r>
      <w:r w:rsidR="00CB5F26" w:rsidRPr="00A75729">
        <w:rPr>
          <w:i/>
          <w:sz w:val="20"/>
        </w:rPr>
        <w:t xml:space="preserve"> </w:t>
      </w:r>
      <w:r w:rsidRPr="00A75729">
        <w:rPr>
          <w:i/>
          <w:sz w:val="20"/>
        </w:rPr>
        <w:t>de los ingresos</w:t>
      </w:r>
      <w:r w:rsidR="00CB5F26" w:rsidRPr="00A75729">
        <w:rPr>
          <w:i/>
          <w:sz w:val="20"/>
        </w:rPr>
        <w:t xml:space="preserve"> </w:t>
      </w:r>
      <w:r w:rsidRPr="00A75729">
        <w:rPr>
          <w:i/>
          <w:sz w:val="20"/>
        </w:rPr>
        <w:t xml:space="preserve">totales atribuibles a lo que </w:t>
      </w:r>
      <w:r w:rsidR="00CB5F26" w:rsidRPr="00A75729">
        <w:rPr>
          <w:i/>
          <w:sz w:val="20"/>
        </w:rPr>
        <w:t>a</w:t>
      </w:r>
      <w:r w:rsidRPr="00A75729">
        <w:rPr>
          <w:i/>
          <w:sz w:val="20"/>
        </w:rPr>
        <w:t xml:space="preserve">quí se denomina el sector de radiodifusión. El </w:t>
      </w:r>
      <w:r w:rsidR="00CB5F26" w:rsidRPr="00A75729">
        <w:rPr>
          <w:i/>
          <w:sz w:val="20"/>
        </w:rPr>
        <w:t xml:space="preserve">servicio </w:t>
      </w:r>
      <w:r w:rsidRPr="00A75729">
        <w:rPr>
          <w:i/>
          <w:sz w:val="20"/>
        </w:rPr>
        <w:t>de radio sonora acumuló ingresos equivalentes apenas al catorce por ciento -</w:t>
      </w:r>
      <w:r w:rsidR="00CB5F26" w:rsidRPr="00A75729">
        <w:rPr>
          <w:i/>
          <w:sz w:val="20"/>
        </w:rPr>
        <w:t xml:space="preserve"> </w:t>
      </w:r>
      <w:r w:rsidRPr="00A75729">
        <w:rPr>
          <w:i/>
          <w:sz w:val="20"/>
        </w:rPr>
        <w:t>14% -</w:t>
      </w:r>
      <w:r w:rsidR="00CB5F26" w:rsidRPr="00A75729">
        <w:rPr>
          <w:i/>
          <w:sz w:val="20"/>
        </w:rPr>
        <w:t xml:space="preserve"> </w:t>
      </w:r>
      <w:r w:rsidRPr="00A75729">
        <w:rPr>
          <w:i/>
          <w:sz w:val="20"/>
        </w:rPr>
        <w:t>restante.</w:t>
      </w:r>
    </w:p>
    <w:p w:rsidR="005E40A6" w:rsidRPr="00A75729" w:rsidRDefault="005E40A6" w:rsidP="00CB5F26">
      <w:pPr>
        <w:ind w:left="567" w:right="-1"/>
        <w:rPr>
          <w:i/>
          <w:sz w:val="20"/>
        </w:rPr>
      </w:pPr>
      <w:r w:rsidRPr="00A75729">
        <w:rPr>
          <w:i/>
          <w:sz w:val="20"/>
        </w:rPr>
        <w:t>Aunado a lo anterior, a la luz del alcance que tiene la televisión frente al radio,</w:t>
      </w:r>
      <w:r w:rsidR="00CB5F26" w:rsidRPr="00A75729">
        <w:rPr>
          <w:i/>
          <w:sz w:val="20"/>
        </w:rPr>
        <w:t xml:space="preserve"> </w:t>
      </w:r>
      <w:r w:rsidRPr="00A75729">
        <w:rPr>
          <w:i/>
          <w:sz w:val="20"/>
        </w:rPr>
        <w:t>las metodologías con que se miden las audiencias son distintas, pues el aporte</w:t>
      </w:r>
      <w:r w:rsidR="00CB5F26" w:rsidRPr="00A75729">
        <w:rPr>
          <w:i/>
          <w:sz w:val="20"/>
        </w:rPr>
        <w:t xml:space="preserve"> </w:t>
      </w:r>
      <w:r w:rsidRPr="00A75729">
        <w:rPr>
          <w:i/>
          <w:sz w:val="20"/>
        </w:rPr>
        <w:t>que tiene cada uno de estos sobre las decisiones de compra no es la misma.</w:t>
      </w:r>
    </w:p>
    <w:p w:rsidR="005E40A6" w:rsidRPr="00A75729" w:rsidRDefault="005E40A6" w:rsidP="00CB5F26">
      <w:pPr>
        <w:ind w:left="567" w:right="-1"/>
        <w:rPr>
          <w:i/>
          <w:sz w:val="20"/>
        </w:rPr>
      </w:pPr>
      <w:r w:rsidRPr="00A75729">
        <w:rPr>
          <w:i/>
          <w:sz w:val="20"/>
        </w:rPr>
        <w:t>(…)</w:t>
      </w:r>
    </w:p>
    <w:p w:rsidR="005E40A6" w:rsidRPr="00A75729" w:rsidRDefault="005E40A6" w:rsidP="00CB5F26">
      <w:pPr>
        <w:ind w:left="567" w:right="-1"/>
        <w:rPr>
          <w:i/>
          <w:sz w:val="20"/>
        </w:rPr>
      </w:pPr>
      <w:r w:rsidRPr="00A75729">
        <w:rPr>
          <w:i/>
          <w:sz w:val="20"/>
        </w:rPr>
        <w:t>Con base en los hechos notorios citado a lo largo de este apartado el Instituto</w:t>
      </w:r>
      <w:r w:rsidR="00CB5F26" w:rsidRPr="00A75729">
        <w:rPr>
          <w:i/>
          <w:sz w:val="20"/>
        </w:rPr>
        <w:t xml:space="preserve"> </w:t>
      </w:r>
      <w:r w:rsidRPr="00A75729">
        <w:rPr>
          <w:i/>
          <w:sz w:val="20"/>
        </w:rPr>
        <w:t xml:space="preserve">determinó </w:t>
      </w:r>
      <w:proofErr w:type="gramStart"/>
      <w:r w:rsidRPr="00A75729">
        <w:rPr>
          <w:i/>
          <w:sz w:val="20"/>
        </w:rPr>
        <w:t>que</w:t>
      </w:r>
      <w:proofErr w:type="gramEnd"/>
      <w:r w:rsidRPr="00A75729">
        <w:rPr>
          <w:i/>
          <w:sz w:val="20"/>
        </w:rPr>
        <w:t xml:space="preserve"> </w:t>
      </w:r>
      <w:r w:rsidRPr="00A75729">
        <w:rPr>
          <w:i/>
          <w:sz w:val="20"/>
          <w:u w:val="single"/>
        </w:rPr>
        <w:t xml:space="preserve">en el sector de radiodifusión, el </w:t>
      </w:r>
      <w:r w:rsidR="00CB5F26" w:rsidRPr="00A75729">
        <w:rPr>
          <w:i/>
          <w:sz w:val="20"/>
          <w:u w:val="single"/>
        </w:rPr>
        <w:t xml:space="preserve">servicio </w:t>
      </w:r>
      <w:r w:rsidRPr="00A75729">
        <w:rPr>
          <w:i/>
          <w:sz w:val="20"/>
          <w:u w:val="single"/>
        </w:rPr>
        <w:t>de televisión radiodifundida es el</w:t>
      </w:r>
      <w:r w:rsidR="00CB5F26" w:rsidRPr="00A75729">
        <w:rPr>
          <w:i/>
          <w:sz w:val="20"/>
          <w:u w:val="single"/>
        </w:rPr>
        <w:t xml:space="preserve"> </w:t>
      </w:r>
      <w:r w:rsidRPr="00A75729">
        <w:rPr>
          <w:i/>
          <w:sz w:val="20"/>
          <w:u w:val="single"/>
        </w:rPr>
        <w:t>que tiene una mayor importancia relativa frente al servicio</w:t>
      </w:r>
      <w:r w:rsidR="00CB5F26" w:rsidRPr="00A75729">
        <w:rPr>
          <w:i/>
          <w:sz w:val="20"/>
          <w:u w:val="single"/>
        </w:rPr>
        <w:t xml:space="preserve"> </w:t>
      </w:r>
      <w:r w:rsidRPr="00A75729">
        <w:rPr>
          <w:i/>
          <w:sz w:val="20"/>
          <w:u w:val="single"/>
        </w:rPr>
        <w:t>de radio sonora</w:t>
      </w:r>
      <w:r w:rsidR="00CB5F26" w:rsidRPr="00A75729">
        <w:rPr>
          <w:i/>
          <w:sz w:val="20"/>
        </w:rPr>
        <w:t>,</w:t>
      </w:r>
      <w:r w:rsidRPr="00A75729">
        <w:rPr>
          <w:i/>
          <w:sz w:val="20"/>
        </w:rPr>
        <w:t xml:space="preserve"> debido a</w:t>
      </w:r>
      <w:r w:rsidR="00CB5F26" w:rsidRPr="00A75729">
        <w:rPr>
          <w:i/>
          <w:sz w:val="20"/>
        </w:rPr>
        <w:t>:</w:t>
      </w:r>
    </w:p>
    <w:p w:rsidR="00EF16D9" w:rsidRPr="00A75729" w:rsidRDefault="00EF16D9" w:rsidP="006A7D5F">
      <w:pPr>
        <w:pStyle w:val="Prrafodelista"/>
        <w:numPr>
          <w:ilvl w:val="0"/>
          <w:numId w:val="33"/>
        </w:numPr>
        <w:spacing w:after="120" w:line="276" w:lineRule="auto"/>
        <w:ind w:left="1134" w:hanging="357"/>
        <w:contextualSpacing w:val="0"/>
        <w:rPr>
          <w:i/>
          <w:sz w:val="20"/>
        </w:rPr>
      </w:pPr>
      <w:r w:rsidRPr="00A75729">
        <w:rPr>
          <w:i/>
          <w:sz w:val="20"/>
        </w:rPr>
        <w:t>Ser el servicio con la mayor exposición por parte de las audiencias;</w:t>
      </w:r>
    </w:p>
    <w:p w:rsidR="00EF16D9" w:rsidRPr="00A75729" w:rsidRDefault="00EF16D9" w:rsidP="006A7D5F">
      <w:pPr>
        <w:pStyle w:val="Prrafodelista"/>
        <w:numPr>
          <w:ilvl w:val="0"/>
          <w:numId w:val="33"/>
        </w:numPr>
        <w:spacing w:after="120" w:line="276" w:lineRule="auto"/>
        <w:ind w:left="1134" w:hanging="357"/>
        <w:contextualSpacing w:val="0"/>
        <w:rPr>
          <w:i/>
          <w:sz w:val="20"/>
        </w:rPr>
      </w:pPr>
      <w:r w:rsidRPr="00A75729">
        <w:rPr>
          <w:i/>
          <w:sz w:val="20"/>
        </w:rPr>
        <w:t>La capacidad que tiene este para influir en las decisiones de sus audiencias;</w:t>
      </w:r>
    </w:p>
    <w:p w:rsidR="00EF16D9" w:rsidRPr="00A75729" w:rsidRDefault="00EF16D9" w:rsidP="006A7D5F">
      <w:pPr>
        <w:pStyle w:val="Prrafodelista"/>
        <w:numPr>
          <w:ilvl w:val="0"/>
          <w:numId w:val="33"/>
        </w:numPr>
        <w:spacing w:after="120" w:line="276" w:lineRule="auto"/>
        <w:ind w:left="1134" w:right="-1" w:hanging="357"/>
        <w:contextualSpacing w:val="0"/>
        <w:rPr>
          <w:i/>
          <w:sz w:val="20"/>
        </w:rPr>
      </w:pPr>
      <w:r w:rsidRPr="00A75729">
        <w:rPr>
          <w:i/>
          <w:sz w:val="20"/>
        </w:rPr>
        <w:t>La capacidad de obtener ingresos al emplear espacios en sus transmisiones</w:t>
      </w:r>
      <w:r w:rsidR="00CB5F26" w:rsidRPr="00A75729">
        <w:rPr>
          <w:i/>
          <w:sz w:val="20"/>
        </w:rPr>
        <w:t xml:space="preserve"> </w:t>
      </w:r>
      <w:r w:rsidRPr="00A75729">
        <w:rPr>
          <w:i/>
          <w:sz w:val="20"/>
        </w:rPr>
        <w:t>para comercializar bienes y servicios</w:t>
      </w:r>
      <w:r w:rsidR="00CB5F26" w:rsidRPr="00A75729">
        <w:rPr>
          <w:i/>
          <w:sz w:val="20"/>
        </w:rPr>
        <w:t>;</w:t>
      </w:r>
    </w:p>
    <w:p w:rsidR="00EF16D9" w:rsidRPr="00A75729" w:rsidRDefault="00EF16D9" w:rsidP="00CB5F26">
      <w:pPr>
        <w:ind w:left="567" w:right="-1"/>
        <w:rPr>
          <w:i/>
          <w:sz w:val="20"/>
        </w:rPr>
      </w:pPr>
      <w:r w:rsidRPr="00A75729">
        <w:rPr>
          <w:i/>
          <w:sz w:val="20"/>
        </w:rPr>
        <w:t xml:space="preserve">Estos atributos permiten a este Instituto determinar que </w:t>
      </w:r>
      <w:r w:rsidRPr="00A75729">
        <w:rPr>
          <w:i/>
          <w:sz w:val="20"/>
          <w:u w:val="single"/>
        </w:rPr>
        <w:t>es a partir del servicio de</w:t>
      </w:r>
      <w:r w:rsidR="00CB5F26" w:rsidRPr="00A75729">
        <w:rPr>
          <w:i/>
          <w:sz w:val="20"/>
          <w:u w:val="single"/>
        </w:rPr>
        <w:t xml:space="preserve"> </w:t>
      </w:r>
      <w:r w:rsidRPr="00A75729">
        <w:rPr>
          <w:i/>
          <w:sz w:val="20"/>
          <w:u w:val="single"/>
        </w:rPr>
        <w:t>televisión radiodifundida que se determinará al agente económico</w:t>
      </w:r>
      <w:r w:rsidR="00CB5F26" w:rsidRPr="00A75729">
        <w:rPr>
          <w:i/>
          <w:sz w:val="20"/>
          <w:u w:val="single"/>
        </w:rPr>
        <w:t xml:space="preserve"> </w:t>
      </w:r>
      <w:r w:rsidRPr="00A75729">
        <w:rPr>
          <w:i/>
          <w:sz w:val="20"/>
          <w:u w:val="single"/>
        </w:rPr>
        <w:t>preponderante</w:t>
      </w:r>
      <w:r w:rsidRPr="00A75729">
        <w:rPr>
          <w:i/>
          <w:sz w:val="20"/>
        </w:rPr>
        <w:t>, en razón de su participación nacional en la prestación de los</w:t>
      </w:r>
      <w:r w:rsidR="00CB5F26" w:rsidRPr="00A75729">
        <w:rPr>
          <w:i/>
          <w:sz w:val="20"/>
        </w:rPr>
        <w:t xml:space="preserve"> </w:t>
      </w:r>
      <w:r w:rsidRPr="00A75729">
        <w:rPr>
          <w:i/>
          <w:sz w:val="20"/>
        </w:rPr>
        <w:t>servicios de radiodifusión. En el entendido que el agente económico que se</w:t>
      </w:r>
      <w:r w:rsidR="00CB5F26" w:rsidRPr="00A75729">
        <w:rPr>
          <w:i/>
          <w:sz w:val="20"/>
        </w:rPr>
        <w:t xml:space="preserve"> </w:t>
      </w:r>
      <w:r w:rsidRPr="00A75729">
        <w:rPr>
          <w:i/>
          <w:sz w:val="20"/>
        </w:rPr>
        <w:t>determine preponderante en el sector de radiodifusión tiene la capacidad de</w:t>
      </w:r>
      <w:r w:rsidR="00CB5F26" w:rsidRPr="00A75729">
        <w:rPr>
          <w:i/>
          <w:sz w:val="20"/>
        </w:rPr>
        <w:t xml:space="preserve"> </w:t>
      </w:r>
      <w:r w:rsidRPr="00A75729">
        <w:rPr>
          <w:i/>
          <w:sz w:val="20"/>
        </w:rPr>
        <w:t>afectar</w:t>
      </w:r>
      <w:r w:rsidR="00CB5F26" w:rsidRPr="00A75729">
        <w:rPr>
          <w:i/>
          <w:sz w:val="20"/>
        </w:rPr>
        <w:t xml:space="preserve"> </w:t>
      </w:r>
      <w:r w:rsidRPr="00A75729">
        <w:rPr>
          <w:i/>
          <w:sz w:val="20"/>
        </w:rPr>
        <w:t>la competencia y libre concurrencia que trascienda al ámbito del sector</w:t>
      </w:r>
      <w:r w:rsidR="00CB5F26" w:rsidRPr="00A75729">
        <w:rPr>
          <w:i/>
          <w:sz w:val="20"/>
        </w:rPr>
        <w:t xml:space="preserve"> </w:t>
      </w:r>
      <w:r w:rsidRPr="00A75729">
        <w:rPr>
          <w:i/>
          <w:sz w:val="20"/>
        </w:rPr>
        <w:t>de radiodifusión.</w:t>
      </w:r>
      <w:r w:rsidR="00CB5F26" w:rsidRPr="00A75729">
        <w:rPr>
          <w:i/>
          <w:sz w:val="20"/>
        </w:rPr>
        <w:t>”</w:t>
      </w:r>
      <w:r w:rsidR="0039148D">
        <w:rPr>
          <w:i/>
          <w:sz w:val="20"/>
        </w:rPr>
        <w:t xml:space="preserve"> </w:t>
      </w:r>
      <w:r w:rsidR="0039148D" w:rsidRPr="0039148D">
        <w:rPr>
          <w:sz w:val="20"/>
        </w:rPr>
        <w:t>[Énfasis añadido]</w:t>
      </w:r>
    </w:p>
    <w:p w:rsidR="00EF16D9" w:rsidRPr="00A75729" w:rsidRDefault="00E8488B" w:rsidP="00EF16D9">
      <w:pPr>
        <w:ind w:right="-1"/>
        <w:rPr>
          <w:i/>
        </w:rPr>
      </w:pPr>
      <w:r w:rsidRPr="00A75729">
        <w:t xml:space="preserve">De acuerdo con lo anterior, </w:t>
      </w:r>
      <w:r w:rsidR="0036536C" w:rsidRPr="00A75729">
        <w:t xml:space="preserve">el Instituto determinó que la </w:t>
      </w:r>
      <w:r w:rsidRPr="00A75729">
        <w:t xml:space="preserve">radiodifusión </w:t>
      </w:r>
      <w:r w:rsidR="0036536C" w:rsidRPr="00A75729">
        <w:t xml:space="preserve">sonora forma parte del sector de radiodifusión. </w:t>
      </w:r>
      <w:r w:rsidR="00A710DE" w:rsidRPr="00A75729">
        <w:t xml:space="preserve">La determinación del </w:t>
      </w:r>
      <w:proofErr w:type="spellStart"/>
      <w:r w:rsidR="00A710DE" w:rsidRPr="00A75729">
        <w:t>AEPR</w:t>
      </w:r>
      <w:proofErr w:type="spellEnd"/>
      <w:r w:rsidR="00A710DE" w:rsidRPr="00A75729">
        <w:t xml:space="preserve"> consideró </w:t>
      </w:r>
      <w:r w:rsidRPr="00A75729">
        <w:t xml:space="preserve">sólo </w:t>
      </w:r>
      <w:r w:rsidR="00A710DE" w:rsidRPr="00A75729">
        <w:t xml:space="preserve">el </w:t>
      </w:r>
      <w:proofErr w:type="spellStart"/>
      <w:r w:rsidR="00A710DE" w:rsidRPr="00A75729">
        <w:t>STRDC</w:t>
      </w:r>
      <w:proofErr w:type="spellEnd"/>
      <w:r w:rsidRPr="00A75729">
        <w:t xml:space="preserve"> </w:t>
      </w:r>
      <w:r w:rsidR="00A710DE" w:rsidRPr="00A75729">
        <w:t xml:space="preserve">en cumplimiento </w:t>
      </w:r>
      <w:r w:rsidR="00551DF7" w:rsidRPr="00A75729">
        <w:t>a</w:t>
      </w:r>
      <w:r w:rsidR="00A710DE" w:rsidRPr="00A75729">
        <w:t>l mandato constitucional que refiere</w:t>
      </w:r>
      <w:r w:rsidR="00551DF7" w:rsidRPr="00A75729">
        <w:t xml:space="preserve"> a </w:t>
      </w:r>
      <w:r w:rsidR="00551DF7" w:rsidRPr="00A75729">
        <w:rPr>
          <w:b/>
        </w:rPr>
        <w:t xml:space="preserve">un </w:t>
      </w:r>
      <w:r w:rsidR="00551DF7" w:rsidRPr="00A75729">
        <w:t>Agente Económico con la “</w:t>
      </w:r>
      <w:r w:rsidR="00551DF7" w:rsidRPr="00A75729">
        <w:rPr>
          <w:i/>
        </w:rPr>
        <w:t>capacidad de afectar la competencia y libre concurrencia que trascienda al ámbito del sector de radiodifusión.”</w:t>
      </w:r>
    </w:p>
    <w:p w:rsidR="006B1D90" w:rsidRPr="00A75729" w:rsidRDefault="006B1D90" w:rsidP="006B1D90">
      <w:pPr>
        <w:ind w:right="-1"/>
        <w:rPr>
          <w:szCs w:val="18"/>
        </w:rPr>
      </w:pPr>
      <w:r w:rsidRPr="00A75729">
        <w:lastRenderedPageBreak/>
        <w:t xml:space="preserve">De manera consistente, en esta resolución el sector de radiodifusión se entiende integrado por </w:t>
      </w:r>
      <w:r w:rsidR="007D3745" w:rsidRPr="00A75729">
        <w:rPr>
          <w:b/>
        </w:rPr>
        <w:t xml:space="preserve">el </w:t>
      </w:r>
      <w:proofErr w:type="spellStart"/>
      <w:r w:rsidR="007D3745" w:rsidRPr="00A75729">
        <w:rPr>
          <w:b/>
        </w:rPr>
        <w:t>STRDC</w:t>
      </w:r>
      <w:proofErr w:type="spellEnd"/>
      <w:r w:rsidRPr="00A75729">
        <w:rPr>
          <w:b/>
        </w:rPr>
        <w:t xml:space="preserve"> y</w:t>
      </w:r>
      <w:r w:rsidR="007D3745" w:rsidRPr="00A75729">
        <w:rPr>
          <w:b/>
        </w:rPr>
        <w:t xml:space="preserve"> el </w:t>
      </w:r>
      <w:proofErr w:type="spellStart"/>
      <w:r w:rsidR="007D3745" w:rsidRPr="00A75729">
        <w:rPr>
          <w:b/>
        </w:rPr>
        <w:t>SRSAC</w:t>
      </w:r>
      <w:proofErr w:type="spellEnd"/>
      <w:r w:rsidR="00F80D00" w:rsidRPr="00A75729">
        <w:rPr>
          <w:szCs w:val="18"/>
        </w:rPr>
        <w:t>.</w:t>
      </w:r>
      <w:r w:rsidRPr="00A75729">
        <w:rPr>
          <w:szCs w:val="18"/>
        </w:rPr>
        <w:t xml:space="preserve"> De tal forma que el análisis de los requisitos </w:t>
      </w:r>
      <w:r w:rsidRPr="00A75729">
        <w:rPr>
          <w:b/>
          <w:szCs w:val="18"/>
        </w:rPr>
        <w:t xml:space="preserve">a. </w:t>
      </w:r>
      <w:r w:rsidRPr="00A75729">
        <w:rPr>
          <w:szCs w:val="18"/>
        </w:rPr>
        <w:t xml:space="preserve">a </w:t>
      </w:r>
      <w:r w:rsidRPr="00A75729">
        <w:rPr>
          <w:b/>
          <w:szCs w:val="18"/>
        </w:rPr>
        <w:t>d.</w:t>
      </w:r>
      <w:r w:rsidRPr="00A75729">
        <w:rPr>
          <w:szCs w:val="18"/>
        </w:rPr>
        <w:t xml:space="preserve"> en términos de lo dispuesto en los párrafos primero a cuarto del </w:t>
      </w:r>
      <w:r w:rsidRPr="00A75729">
        <w:t>Noveno Transitorio, se realiza tomado estas dimensiones del sector.</w:t>
      </w:r>
    </w:p>
    <w:p w:rsidR="006B1D90" w:rsidRPr="00E50770" w:rsidRDefault="006B1D90" w:rsidP="00E50770">
      <w:pPr>
        <w:pStyle w:val="Ttulo4"/>
        <w:keepNext/>
        <w:spacing w:before="360" w:after="0"/>
        <w:ind w:left="1224"/>
        <w:jc w:val="both"/>
        <w:rPr>
          <w:lang w:val="es-MX"/>
        </w:rPr>
      </w:pPr>
      <w:bookmarkStart w:id="185" w:name="_Toc519100863"/>
      <w:r w:rsidRPr="00E50770">
        <w:rPr>
          <w:lang w:val="es-MX"/>
        </w:rPr>
        <w:t>Estimación de participaciones en el sector e índices de concentración</w:t>
      </w:r>
      <w:bookmarkEnd w:id="185"/>
    </w:p>
    <w:p w:rsidR="007D3745" w:rsidRPr="00A75729" w:rsidRDefault="00F80D00" w:rsidP="00F80D00">
      <w:pPr>
        <w:ind w:right="-1"/>
      </w:pPr>
      <w:r w:rsidRPr="00A75729">
        <w:t xml:space="preserve">De conformidad con lo establecido en el párrafo segundo del Noveno Transitorio, las participaciones sectoriales y los índices de concentración en el sector se </w:t>
      </w:r>
      <w:r w:rsidR="001A04AF" w:rsidRPr="00A75729">
        <w:t>deben calcular “</w:t>
      </w:r>
      <w:r w:rsidR="001A04AF" w:rsidRPr="00A75729">
        <w:rPr>
          <w:b/>
          <w:i/>
        </w:rPr>
        <w:t xml:space="preserve">con base en </w:t>
      </w:r>
      <w:r w:rsidR="007D3745" w:rsidRPr="00A75729">
        <w:rPr>
          <w:b/>
          <w:i/>
        </w:rPr>
        <w:t>audiencia</w:t>
      </w:r>
      <w:r w:rsidR="007D3745" w:rsidRPr="00A75729">
        <w:t>” de las estaciones de radiodifusión.</w:t>
      </w:r>
    </w:p>
    <w:p w:rsidR="007D3745" w:rsidRPr="00A75729" w:rsidRDefault="001F1C62" w:rsidP="00F80D00">
      <w:pPr>
        <w:ind w:right="-1"/>
      </w:pPr>
      <w:r w:rsidRPr="00A75729">
        <w:t>No obstante, c</w:t>
      </w:r>
      <w:r w:rsidR="007D3745" w:rsidRPr="00A75729">
        <w:t xml:space="preserve">omo se señala en la Resolución de Preponderancia en Radiodifusión, el </w:t>
      </w:r>
      <w:proofErr w:type="spellStart"/>
      <w:r w:rsidR="007D3745" w:rsidRPr="00A75729">
        <w:t>SRSAC</w:t>
      </w:r>
      <w:proofErr w:type="spellEnd"/>
      <w:r w:rsidR="007D3745" w:rsidRPr="00A75729">
        <w:t xml:space="preserve"> y el </w:t>
      </w:r>
      <w:proofErr w:type="spellStart"/>
      <w:r w:rsidR="007D3745" w:rsidRPr="00A75729">
        <w:t>STRDC</w:t>
      </w:r>
      <w:proofErr w:type="spellEnd"/>
      <w:r w:rsidR="007D3745" w:rsidRPr="00A75729">
        <w:t xml:space="preserve"> tienen una naturaleza distinta que conlleva realizar mediciones de audiencia de los </w:t>
      </w:r>
      <w:r w:rsidRPr="00A75729">
        <w:t>2 (</w:t>
      </w:r>
      <w:r w:rsidR="007D3745" w:rsidRPr="00A75729">
        <w:t>dos</w:t>
      </w:r>
      <w:r w:rsidRPr="00A75729">
        <w:t>)</w:t>
      </w:r>
      <w:r w:rsidR="007D3745" w:rsidRPr="00A75729">
        <w:t xml:space="preserve"> servicios de manera separada. “</w:t>
      </w:r>
      <w:r w:rsidR="007D3745" w:rsidRPr="00A75729">
        <w:rPr>
          <w:i/>
        </w:rPr>
        <w:t>Este hecho se manifiesta en la práctica generalizada de la industria, la academia y las entidades especializadas, que miden la audiencia, capacidad y usuarios de radiodifusión por televisión separadamente de las que corresponden a la radiodifusión sonora.</w:t>
      </w:r>
      <w:r w:rsidR="007D3745" w:rsidRPr="00A75729">
        <w:t>”</w:t>
      </w:r>
    </w:p>
    <w:p w:rsidR="004F3C60" w:rsidRPr="00A75729" w:rsidRDefault="00087773" w:rsidP="00F80D00">
      <w:pPr>
        <w:ind w:right="-1"/>
      </w:pPr>
      <w:r w:rsidRPr="00A75729">
        <w:t xml:space="preserve">Además de la complejidad de medir las audiencias del </w:t>
      </w:r>
      <w:proofErr w:type="spellStart"/>
      <w:r w:rsidRPr="00A75729">
        <w:t>SRSAC</w:t>
      </w:r>
      <w:proofErr w:type="spellEnd"/>
      <w:r w:rsidRPr="00A75729">
        <w:t xml:space="preserve"> y el </w:t>
      </w:r>
      <w:proofErr w:type="spellStart"/>
      <w:r w:rsidRPr="00A75729">
        <w:t>STRDC</w:t>
      </w:r>
      <w:proofErr w:type="spellEnd"/>
      <w:r w:rsidRPr="00A75729">
        <w:t xml:space="preserve"> de manera conjunta, para el caso del </w:t>
      </w:r>
      <w:proofErr w:type="spellStart"/>
      <w:r w:rsidRPr="00A75729">
        <w:t>SRSAC</w:t>
      </w:r>
      <w:proofErr w:type="spellEnd"/>
      <w:r w:rsidRPr="00A75729">
        <w:t xml:space="preserve"> no se cuenta con información de audiencia a nivel nacional, pues por la naturaleza del servicio, las empresas que realizan estas mediciones las hacen y reportan </w:t>
      </w:r>
      <w:r w:rsidR="006B1D90" w:rsidRPr="00A75729">
        <w:t>a nivel local.</w:t>
      </w:r>
    </w:p>
    <w:p w:rsidR="006B1D90" w:rsidRPr="00A75729" w:rsidRDefault="004F3C60" w:rsidP="00F80D00">
      <w:pPr>
        <w:ind w:right="-1"/>
      </w:pPr>
      <w:r w:rsidRPr="00A75729">
        <w:t xml:space="preserve">Por otra parte, no se cuenta con información de audiencia </w:t>
      </w:r>
      <w:r w:rsidR="00B60F92" w:rsidRPr="00A75729">
        <w:t xml:space="preserve">del </w:t>
      </w:r>
      <w:proofErr w:type="spellStart"/>
      <w:r w:rsidR="00B60F92" w:rsidRPr="00A75729">
        <w:t>SRSAC</w:t>
      </w:r>
      <w:proofErr w:type="spellEnd"/>
      <w:r w:rsidR="00B60F92" w:rsidRPr="00A75729">
        <w:t xml:space="preserve"> </w:t>
      </w:r>
      <w:r w:rsidRPr="00A75729">
        <w:t>para tod</w:t>
      </w:r>
      <w:r w:rsidR="006B1D90" w:rsidRPr="00A75729">
        <w:t>as las localidades del país (ej</w:t>
      </w:r>
      <w:r w:rsidRPr="00A75729">
        <w:t xml:space="preserve">. </w:t>
      </w:r>
      <w:proofErr w:type="spellStart"/>
      <w:r w:rsidRPr="00A75729">
        <w:t>INRAMEDIOS</w:t>
      </w:r>
      <w:proofErr w:type="spellEnd"/>
      <w:r w:rsidRPr="00A75729">
        <w:t xml:space="preserve"> reporta información de audiencia únicamente para cuarenta y cinco localidades). En particular, no se cuenta con información de audiencia en la</w:t>
      </w:r>
      <w:r w:rsidR="008B3BC1" w:rsidRPr="00A75729">
        <w:t>s</w:t>
      </w:r>
      <w:r w:rsidRPr="00A75729">
        <w:t xml:space="preserve"> localidad</w:t>
      </w:r>
      <w:r w:rsidR="008B3BC1" w:rsidRPr="00A75729">
        <w:t>es</w:t>
      </w:r>
      <w:r w:rsidRPr="00A75729">
        <w:t xml:space="preserve"> </w:t>
      </w:r>
      <w:r w:rsidR="008B3BC1" w:rsidRPr="00A75729">
        <w:t xml:space="preserve">en las que tiene cobertura de servicio la estación </w:t>
      </w:r>
      <w:r w:rsidRPr="00A75729">
        <w:t xml:space="preserve">involucrada en la Operación. </w:t>
      </w:r>
    </w:p>
    <w:p w:rsidR="004F3C60" w:rsidRPr="00A75729" w:rsidRDefault="004F3C60" w:rsidP="00F80D00">
      <w:pPr>
        <w:ind w:right="-1"/>
      </w:pPr>
      <w:r w:rsidRPr="00A75729">
        <w:t>Al respecto, las Partes mencionaron lo siguiente:</w:t>
      </w:r>
      <w:r w:rsidR="008B3BC1" w:rsidRPr="00A75729">
        <w:rPr>
          <w:rStyle w:val="Refdenotaalpie"/>
        </w:rPr>
        <w:footnoteReference w:id="39"/>
      </w:r>
    </w:p>
    <w:p w:rsidR="004F3C60" w:rsidRPr="00A75729" w:rsidRDefault="008B3BC1" w:rsidP="008B3BC1">
      <w:pPr>
        <w:ind w:left="567" w:right="-1"/>
        <w:rPr>
          <w:sz w:val="20"/>
        </w:rPr>
      </w:pPr>
      <w:r w:rsidRPr="00A75729">
        <w:rPr>
          <w:i/>
          <w:sz w:val="20"/>
        </w:rPr>
        <w:t>“</w:t>
      </w:r>
      <w:r w:rsidRPr="00A75729">
        <w:rPr>
          <w:i/>
          <w:sz w:val="20"/>
          <w:u w:val="single"/>
        </w:rPr>
        <w:t>NO HAY ESTUDIOS DE AUDIENCIA</w:t>
      </w:r>
      <w:r w:rsidRPr="00A75729">
        <w:rPr>
          <w:i/>
          <w:sz w:val="20"/>
        </w:rPr>
        <w:t xml:space="preserve"> EN LOS MUNICIPIOS DE OJO DE AGUA, MONTEMORELOS Y CADEREYTA DEL ESTADO DE NUEVO LEÓN.”</w:t>
      </w:r>
      <w:r w:rsidR="001F1C62" w:rsidRPr="00A75729">
        <w:rPr>
          <w:sz w:val="20"/>
        </w:rPr>
        <w:t xml:space="preserve"> [Énfasis añadido]</w:t>
      </w:r>
    </w:p>
    <w:p w:rsidR="006B1D90" w:rsidRPr="00A75729" w:rsidRDefault="006B1D90" w:rsidP="00087773">
      <w:pPr>
        <w:ind w:right="-1"/>
      </w:pPr>
      <w:r w:rsidRPr="00A75729">
        <w:t xml:space="preserve">En el </w:t>
      </w:r>
      <w:proofErr w:type="spellStart"/>
      <w:r w:rsidRPr="00A75729">
        <w:t>SRSAC</w:t>
      </w:r>
      <w:proofErr w:type="spellEnd"/>
      <w:r w:rsidRPr="00A75729">
        <w:t xml:space="preserve"> </w:t>
      </w:r>
      <w:r w:rsidR="00087773" w:rsidRPr="00A75729">
        <w:t xml:space="preserve">la capacidad potencial para competir de cada </w:t>
      </w:r>
      <w:r w:rsidR="007C552A" w:rsidRPr="00A75729">
        <w:t>A</w:t>
      </w:r>
      <w:r w:rsidR="00087773" w:rsidRPr="00A75729">
        <w:t xml:space="preserve">gente </w:t>
      </w:r>
      <w:r w:rsidR="007C552A" w:rsidRPr="00A75729">
        <w:t>E</w:t>
      </w:r>
      <w:r w:rsidR="00087773" w:rsidRPr="00A75729">
        <w:t>conómico está relacionada directamente con la cantidad de estaciones que ope</w:t>
      </w:r>
      <w:r w:rsidRPr="00A75729">
        <w:t>ra o de la que es concesionario, así como por su presencia en las localidades donde genera audiencias.</w:t>
      </w:r>
    </w:p>
    <w:p w:rsidR="00087773" w:rsidRPr="00A75729" w:rsidRDefault="007C552A" w:rsidP="00087773">
      <w:pPr>
        <w:ind w:right="-1"/>
      </w:pPr>
      <w:r w:rsidRPr="00A75729">
        <w:t xml:space="preserve">Utilizar el número de estaciones </w:t>
      </w:r>
      <w:r w:rsidR="001F1C62" w:rsidRPr="00A75729">
        <w:t xml:space="preserve">encuentra justificación </w:t>
      </w:r>
      <w:r w:rsidR="00D944E8" w:rsidRPr="00A75729">
        <w:t xml:space="preserve">debido a que </w:t>
      </w:r>
      <w:r w:rsidR="00087773" w:rsidRPr="00A75729">
        <w:t xml:space="preserve">el poder de negociación de cada agente económico frente a los contratantes de espacios publicitarios (los anunciantes) depende, en parte, de la cobertura y diversidad de </w:t>
      </w:r>
      <w:r w:rsidR="00D944E8" w:rsidRPr="00A75729">
        <w:t xml:space="preserve">contenidos </w:t>
      </w:r>
      <w:r w:rsidR="00087773" w:rsidRPr="00A75729">
        <w:t xml:space="preserve">que puede ofrecer. De esta forma, el número de estaciones que controla </w:t>
      </w:r>
      <w:r w:rsidR="00087773" w:rsidRPr="00A75729">
        <w:lastRenderedPageBreak/>
        <w:t xml:space="preserve">cada </w:t>
      </w:r>
      <w:r w:rsidRPr="00A75729">
        <w:t>A</w:t>
      </w:r>
      <w:r w:rsidR="00087773" w:rsidRPr="00A75729">
        <w:t xml:space="preserve">gente </w:t>
      </w:r>
      <w:r w:rsidRPr="00A75729">
        <w:t>E</w:t>
      </w:r>
      <w:r w:rsidR="00087773" w:rsidRPr="00A75729">
        <w:t xml:space="preserve">conómico es un indicador </w:t>
      </w:r>
      <w:r w:rsidR="00D944E8" w:rsidRPr="00A75729">
        <w:t>de la audiencia que podría tener en los mercados</w:t>
      </w:r>
      <w:r w:rsidR="00087773" w:rsidRPr="00A75729">
        <w:t>.</w:t>
      </w:r>
      <w:r w:rsidR="001F1C62" w:rsidRPr="00A75729">
        <w:t xml:space="preserve"> </w:t>
      </w:r>
    </w:p>
    <w:p w:rsidR="00F314F1" w:rsidRPr="00A75729" w:rsidRDefault="001F1C62" w:rsidP="00F314F1">
      <w:r w:rsidRPr="00A75729">
        <w:t>Así</w:t>
      </w:r>
      <w:r w:rsidR="003D6506" w:rsidRPr="00A75729">
        <w:t xml:space="preserve">, </w:t>
      </w:r>
      <w:r w:rsidRPr="00A75729">
        <w:t xml:space="preserve">para calcular las participaciones en el sector de radiodifusión </w:t>
      </w:r>
      <w:r w:rsidR="007C552A" w:rsidRPr="00A75729">
        <w:t>“</w:t>
      </w:r>
      <w:r w:rsidR="007C552A" w:rsidRPr="00A75729">
        <w:rPr>
          <w:i/>
        </w:rPr>
        <w:t>con base en audiencia</w:t>
      </w:r>
      <w:r w:rsidR="007C552A" w:rsidRPr="00A75729">
        <w:t>”</w:t>
      </w:r>
      <w:r w:rsidR="003D6506" w:rsidRPr="00A75729">
        <w:t xml:space="preserve">, </w:t>
      </w:r>
      <w:r w:rsidR="007C552A" w:rsidRPr="00A75729">
        <w:t xml:space="preserve">en la presente resolución </w:t>
      </w:r>
      <w:r w:rsidR="00E57BD8" w:rsidRPr="00A75729">
        <w:t xml:space="preserve">se </w:t>
      </w:r>
      <w:r w:rsidR="003D6506" w:rsidRPr="00A75729">
        <w:t xml:space="preserve">consideraron </w:t>
      </w:r>
      <w:r w:rsidR="00F314F1" w:rsidRPr="00A75729">
        <w:t>las siguientes fuentes de información:</w:t>
      </w:r>
    </w:p>
    <w:p w:rsidR="00F80D00" w:rsidRPr="00A75729" w:rsidRDefault="000D0383" w:rsidP="006A7D5F">
      <w:pPr>
        <w:pStyle w:val="Prrafodelista"/>
        <w:numPr>
          <w:ilvl w:val="0"/>
          <w:numId w:val="34"/>
        </w:numPr>
        <w:spacing w:after="120" w:line="276" w:lineRule="auto"/>
        <w:ind w:left="426"/>
        <w:contextualSpacing w:val="0"/>
      </w:pPr>
      <w:r w:rsidRPr="00A75729">
        <w:t>Cifras proporcionadas por las Partes basadas en l</w:t>
      </w:r>
      <w:r w:rsidR="003D6506" w:rsidRPr="00A75729">
        <w:t xml:space="preserve">os resultados de la </w:t>
      </w:r>
      <w:proofErr w:type="spellStart"/>
      <w:r w:rsidR="00C721EF" w:rsidRPr="00A75729">
        <w:rPr>
          <w:b/>
        </w:rPr>
        <w:t>ENCCA</w:t>
      </w:r>
      <w:proofErr w:type="spellEnd"/>
      <w:r w:rsidR="00C721EF" w:rsidRPr="00A75729">
        <w:rPr>
          <w:b/>
        </w:rPr>
        <w:t xml:space="preserve"> 2016</w:t>
      </w:r>
      <w:r w:rsidR="00C721EF" w:rsidRPr="00A75729">
        <w:rPr>
          <w:rStyle w:val="Refdenotaalpie"/>
        </w:rPr>
        <w:footnoteReference w:id="40"/>
      </w:r>
      <w:r w:rsidR="006802F8" w:rsidRPr="00A75729">
        <w:t xml:space="preserve"> publicada por el Instituto, la cual mide el hábito de consumo de contenidos de las audiencias de radio y televisión</w:t>
      </w:r>
      <w:r w:rsidR="005E5826" w:rsidRPr="00A75729">
        <w:t>, así como la demanda de contenidos en Internet</w:t>
      </w:r>
      <w:r w:rsidR="00F314F1" w:rsidRPr="00A75729">
        <w:t>;</w:t>
      </w:r>
    </w:p>
    <w:p w:rsidR="007E1B30" w:rsidRPr="00A75729" w:rsidRDefault="007E1B30" w:rsidP="00FB57CD">
      <w:pPr>
        <w:pStyle w:val="Prrafodelista"/>
        <w:keepNext/>
        <w:numPr>
          <w:ilvl w:val="0"/>
          <w:numId w:val="18"/>
        </w:numPr>
        <w:spacing w:after="120" w:line="276" w:lineRule="auto"/>
        <w:ind w:left="426" w:hanging="357"/>
        <w:contextualSpacing w:val="0"/>
        <w:jc w:val="center"/>
        <w:rPr>
          <w:b/>
          <w:szCs w:val="20"/>
        </w:rPr>
      </w:pPr>
      <w:r w:rsidRPr="00A75729">
        <w:rPr>
          <w:b/>
          <w:szCs w:val="20"/>
        </w:rPr>
        <w:t xml:space="preserve">Características de la </w:t>
      </w:r>
      <w:proofErr w:type="spellStart"/>
      <w:r w:rsidRPr="00A75729">
        <w:rPr>
          <w:b/>
          <w:szCs w:val="20"/>
        </w:rPr>
        <w:t>ENCCA</w:t>
      </w:r>
      <w:proofErr w:type="spellEnd"/>
      <w:r w:rsidRPr="00A75729">
        <w:rPr>
          <w:b/>
          <w:szCs w:val="20"/>
        </w:rPr>
        <w:t xml:space="preserve"> 2016</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391"/>
      </w:tblGrid>
      <w:tr w:rsidR="007E1B30" w:rsidRPr="00A75729" w:rsidTr="007E1B30">
        <w:trPr>
          <w:trHeight w:val="254"/>
          <w:tblHeader/>
          <w:jc w:val="center"/>
        </w:trPr>
        <w:tc>
          <w:tcPr>
            <w:tcW w:w="2405" w:type="dxa"/>
            <w:shd w:val="clear" w:color="auto" w:fill="92D050"/>
            <w:vAlign w:val="center"/>
          </w:tcPr>
          <w:p w:rsidR="007E1B30" w:rsidRPr="00A75729" w:rsidRDefault="007E1B30" w:rsidP="00B60F92">
            <w:pPr>
              <w:spacing w:before="0" w:after="0"/>
              <w:jc w:val="center"/>
              <w:rPr>
                <w:b/>
                <w:sz w:val="20"/>
                <w:szCs w:val="20"/>
              </w:rPr>
            </w:pPr>
            <w:r w:rsidRPr="00A75729">
              <w:rPr>
                <w:b/>
                <w:sz w:val="20"/>
                <w:szCs w:val="20"/>
              </w:rPr>
              <w:t>Característica</w:t>
            </w:r>
          </w:p>
        </w:tc>
        <w:tc>
          <w:tcPr>
            <w:tcW w:w="5391" w:type="dxa"/>
            <w:shd w:val="clear" w:color="auto" w:fill="92D050"/>
            <w:vAlign w:val="center"/>
          </w:tcPr>
          <w:p w:rsidR="007E1B30" w:rsidRPr="00A75729" w:rsidRDefault="007E1B30" w:rsidP="00B60F92">
            <w:pPr>
              <w:spacing w:before="0" w:after="0"/>
              <w:jc w:val="center"/>
              <w:rPr>
                <w:b/>
                <w:sz w:val="20"/>
                <w:szCs w:val="20"/>
              </w:rPr>
            </w:pPr>
            <w:r w:rsidRPr="00A75729">
              <w:rPr>
                <w:b/>
                <w:sz w:val="20"/>
                <w:szCs w:val="20"/>
              </w:rPr>
              <w:t>Descripción</w:t>
            </w:r>
          </w:p>
        </w:tc>
      </w:tr>
      <w:tr w:rsidR="007E1B30" w:rsidRPr="00A75729" w:rsidTr="007E1B30">
        <w:trPr>
          <w:trHeight w:val="254"/>
          <w:jc w:val="center"/>
        </w:trPr>
        <w:tc>
          <w:tcPr>
            <w:tcW w:w="2405" w:type="dxa"/>
            <w:vAlign w:val="center"/>
          </w:tcPr>
          <w:p w:rsidR="007E1B30" w:rsidRPr="00A75729" w:rsidRDefault="007E1B30" w:rsidP="00B60F92">
            <w:pPr>
              <w:spacing w:before="0" w:after="0"/>
              <w:jc w:val="left"/>
              <w:rPr>
                <w:b/>
                <w:sz w:val="20"/>
                <w:szCs w:val="20"/>
              </w:rPr>
            </w:pPr>
            <w:r w:rsidRPr="00A75729">
              <w:rPr>
                <w:sz w:val="20"/>
                <w:szCs w:val="20"/>
              </w:rPr>
              <w:t>Metodología</w:t>
            </w:r>
          </w:p>
        </w:tc>
        <w:tc>
          <w:tcPr>
            <w:tcW w:w="5391" w:type="dxa"/>
            <w:vAlign w:val="center"/>
          </w:tcPr>
          <w:p w:rsidR="007E1B30" w:rsidRPr="00A75729" w:rsidRDefault="007E1B30" w:rsidP="00B60F92">
            <w:pPr>
              <w:spacing w:before="0" w:after="0"/>
              <w:rPr>
                <w:b/>
                <w:sz w:val="20"/>
                <w:szCs w:val="20"/>
              </w:rPr>
            </w:pPr>
            <w:r w:rsidRPr="00A75729">
              <w:rPr>
                <w:sz w:val="20"/>
                <w:szCs w:val="20"/>
              </w:rPr>
              <w:t>Entrevistas cara a cara a individuos en hogares.</w:t>
            </w:r>
          </w:p>
        </w:tc>
      </w:tr>
      <w:tr w:rsidR="007E1B30" w:rsidRPr="00A75729" w:rsidTr="007E1B30">
        <w:trPr>
          <w:trHeight w:val="263"/>
          <w:jc w:val="center"/>
        </w:trPr>
        <w:tc>
          <w:tcPr>
            <w:tcW w:w="2405" w:type="dxa"/>
            <w:vAlign w:val="center"/>
          </w:tcPr>
          <w:p w:rsidR="007E1B30" w:rsidRPr="00A75729" w:rsidRDefault="007E1B30" w:rsidP="00B60F92">
            <w:pPr>
              <w:spacing w:before="0" w:after="0"/>
              <w:jc w:val="left"/>
              <w:rPr>
                <w:sz w:val="20"/>
                <w:szCs w:val="20"/>
              </w:rPr>
            </w:pPr>
            <w:r w:rsidRPr="00A75729">
              <w:rPr>
                <w:sz w:val="20"/>
                <w:szCs w:val="20"/>
              </w:rPr>
              <w:t>Población Objetivo</w:t>
            </w:r>
          </w:p>
        </w:tc>
        <w:tc>
          <w:tcPr>
            <w:tcW w:w="5391" w:type="dxa"/>
            <w:vAlign w:val="center"/>
          </w:tcPr>
          <w:p w:rsidR="007E1B30" w:rsidRPr="00A75729" w:rsidRDefault="007E1B30" w:rsidP="00B60F92">
            <w:pPr>
              <w:spacing w:before="0" w:after="0"/>
              <w:rPr>
                <w:sz w:val="20"/>
                <w:szCs w:val="20"/>
              </w:rPr>
            </w:pPr>
            <w:r w:rsidRPr="00A75729">
              <w:rPr>
                <w:sz w:val="20"/>
                <w:szCs w:val="20"/>
              </w:rPr>
              <w:t>Individuos de 7 años o más, habitantes de la República Mexicana.</w:t>
            </w:r>
          </w:p>
        </w:tc>
      </w:tr>
      <w:tr w:rsidR="007E1B30" w:rsidRPr="00A75729" w:rsidTr="007E1B30">
        <w:trPr>
          <w:trHeight w:val="263"/>
          <w:jc w:val="center"/>
        </w:trPr>
        <w:tc>
          <w:tcPr>
            <w:tcW w:w="2405" w:type="dxa"/>
            <w:vAlign w:val="center"/>
          </w:tcPr>
          <w:p w:rsidR="007E1B30" w:rsidRPr="00A75729" w:rsidRDefault="007E1B30" w:rsidP="00B60F92">
            <w:pPr>
              <w:spacing w:before="0" w:after="0"/>
              <w:jc w:val="left"/>
              <w:rPr>
                <w:sz w:val="20"/>
                <w:szCs w:val="20"/>
              </w:rPr>
            </w:pPr>
            <w:r w:rsidRPr="00A75729">
              <w:rPr>
                <w:sz w:val="20"/>
                <w:szCs w:val="20"/>
              </w:rPr>
              <w:t>Periodo de levantamiento de información</w:t>
            </w:r>
          </w:p>
        </w:tc>
        <w:tc>
          <w:tcPr>
            <w:tcW w:w="5391" w:type="dxa"/>
            <w:vAlign w:val="center"/>
          </w:tcPr>
          <w:p w:rsidR="007E1B30" w:rsidRPr="00A75729" w:rsidRDefault="007E1B30" w:rsidP="00B60F92">
            <w:pPr>
              <w:spacing w:before="0" w:after="0"/>
              <w:rPr>
                <w:sz w:val="20"/>
                <w:szCs w:val="20"/>
              </w:rPr>
            </w:pPr>
            <w:r w:rsidRPr="00A75729">
              <w:rPr>
                <w:sz w:val="20"/>
                <w:szCs w:val="20"/>
              </w:rPr>
              <w:t>14 de octubre al 24 noviembre del 2016.</w:t>
            </w:r>
          </w:p>
        </w:tc>
      </w:tr>
      <w:tr w:rsidR="007E1B30" w:rsidRPr="00A75729" w:rsidTr="007E1B30">
        <w:trPr>
          <w:trHeight w:val="263"/>
          <w:jc w:val="center"/>
        </w:trPr>
        <w:tc>
          <w:tcPr>
            <w:tcW w:w="2405" w:type="dxa"/>
            <w:vAlign w:val="center"/>
          </w:tcPr>
          <w:p w:rsidR="007E1B30" w:rsidRPr="00A75729" w:rsidRDefault="007E1B30" w:rsidP="00B60F92">
            <w:pPr>
              <w:spacing w:before="0" w:after="0"/>
              <w:jc w:val="left"/>
              <w:rPr>
                <w:sz w:val="20"/>
                <w:szCs w:val="20"/>
              </w:rPr>
            </w:pPr>
            <w:r w:rsidRPr="00A75729">
              <w:rPr>
                <w:sz w:val="20"/>
                <w:szCs w:val="20"/>
              </w:rPr>
              <w:t>Tamaño de la muestra</w:t>
            </w:r>
          </w:p>
        </w:tc>
        <w:tc>
          <w:tcPr>
            <w:tcW w:w="5391" w:type="dxa"/>
            <w:vAlign w:val="center"/>
          </w:tcPr>
          <w:p w:rsidR="007E1B30" w:rsidRPr="00A75729" w:rsidRDefault="007E1B30" w:rsidP="00B60F92">
            <w:pPr>
              <w:spacing w:before="0" w:after="0"/>
              <w:rPr>
                <w:sz w:val="20"/>
                <w:szCs w:val="20"/>
              </w:rPr>
            </w:pPr>
            <w:r w:rsidRPr="00A75729">
              <w:rPr>
                <w:sz w:val="20"/>
                <w:szCs w:val="20"/>
              </w:rPr>
              <w:t>8,750 casos finales (6,125 en localidades urbanas y 2,625 en rurales).</w:t>
            </w:r>
          </w:p>
        </w:tc>
      </w:tr>
      <w:tr w:rsidR="007E1B30" w:rsidRPr="00A75729" w:rsidTr="007E1B30">
        <w:trPr>
          <w:trHeight w:val="263"/>
          <w:jc w:val="center"/>
        </w:trPr>
        <w:tc>
          <w:tcPr>
            <w:tcW w:w="2405" w:type="dxa"/>
            <w:vAlign w:val="center"/>
          </w:tcPr>
          <w:p w:rsidR="007E1B30" w:rsidRPr="00A75729" w:rsidRDefault="007E1B30" w:rsidP="00B60F92">
            <w:pPr>
              <w:spacing w:before="0" w:after="0"/>
              <w:jc w:val="left"/>
              <w:rPr>
                <w:sz w:val="20"/>
                <w:szCs w:val="20"/>
              </w:rPr>
            </w:pPr>
            <w:r w:rsidRPr="00A75729">
              <w:rPr>
                <w:sz w:val="20"/>
                <w:szCs w:val="20"/>
              </w:rPr>
              <w:t>Nivel de confianza</w:t>
            </w:r>
          </w:p>
        </w:tc>
        <w:tc>
          <w:tcPr>
            <w:tcW w:w="5391" w:type="dxa"/>
            <w:vAlign w:val="center"/>
          </w:tcPr>
          <w:p w:rsidR="007E1B30" w:rsidRPr="00A75729" w:rsidRDefault="007E1B30" w:rsidP="00B60F92">
            <w:pPr>
              <w:spacing w:before="0" w:after="0"/>
              <w:rPr>
                <w:sz w:val="20"/>
                <w:szCs w:val="20"/>
              </w:rPr>
            </w:pPr>
            <w:r w:rsidRPr="00A75729">
              <w:rPr>
                <w:sz w:val="20"/>
                <w:szCs w:val="20"/>
              </w:rPr>
              <w:t>95%.</w:t>
            </w:r>
          </w:p>
        </w:tc>
      </w:tr>
    </w:tbl>
    <w:p w:rsidR="007E1B30" w:rsidRPr="00A75729" w:rsidRDefault="007E1B30" w:rsidP="007E1B30">
      <w:pPr>
        <w:pStyle w:val="Notaalpie"/>
        <w:ind w:left="1134" w:right="708"/>
        <w:rPr>
          <w:rFonts w:eastAsia="Calibri" w:cs="Times New Roman"/>
          <w:sz w:val="16"/>
        </w:rPr>
      </w:pPr>
      <w:r w:rsidRPr="00A75729">
        <w:rPr>
          <w:rFonts w:eastAsia="Calibri" w:cs="Times New Roman"/>
          <w:sz w:val="16"/>
        </w:rPr>
        <w:t xml:space="preserve">Fuente: Elaboración propia con información de la </w:t>
      </w:r>
      <w:proofErr w:type="spellStart"/>
      <w:r w:rsidRPr="00A75729">
        <w:rPr>
          <w:rFonts w:eastAsia="Calibri" w:cs="Times New Roman"/>
          <w:sz w:val="16"/>
        </w:rPr>
        <w:t>ENCCA</w:t>
      </w:r>
      <w:proofErr w:type="spellEnd"/>
      <w:r w:rsidRPr="00A75729">
        <w:rPr>
          <w:rFonts w:eastAsia="Calibri" w:cs="Times New Roman"/>
          <w:sz w:val="16"/>
        </w:rPr>
        <w:t xml:space="preserve"> 2016.</w:t>
      </w:r>
    </w:p>
    <w:p w:rsidR="00F314F1" w:rsidRPr="00A75729" w:rsidRDefault="00F314F1" w:rsidP="006A7D5F">
      <w:pPr>
        <w:pStyle w:val="Prrafodelista"/>
        <w:numPr>
          <w:ilvl w:val="0"/>
          <w:numId w:val="34"/>
        </w:numPr>
        <w:spacing w:after="120" w:line="276" w:lineRule="auto"/>
        <w:ind w:left="426" w:right="-1"/>
        <w:contextualSpacing w:val="0"/>
      </w:pPr>
      <w:r w:rsidRPr="00A75729">
        <w:t xml:space="preserve">Información </w:t>
      </w:r>
      <w:r w:rsidR="003A22C8" w:rsidRPr="00A75729">
        <w:t xml:space="preserve">de infraestructura </w:t>
      </w:r>
      <w:r w:rsidRPr="00A75729">
        <w:t xml:space="preserve">de estaciones para proveer el </w:t>
      </w:r>
      <w:proofErr w:type="spellStart"/>
      <w:r w:rsidRPr="00A75729">
        <w:t>SRSAC</w:t>
      </w:r>
      <w:proofErr w:type="spellEnd"/>
      <w:r w:rsidRPr="00A75729">
        <w:t xml:space="preserve"> y el </w:t>
      </w:r>
      <w:proofErr w:type="spellStart"/>
      <w:r w:rsidRPr="00A75729">
        <w:t>STRDC</w:t>
      </w:r>
      <w:proofErr w:type="spellEnd"/>
      <w:r w:rsidRPr="00A75729">
        <w:t>,</w:t>
      </w:r>
      <w:r w:rsidR="003A22C8" w:rsidRPr="00A75729">
        <w:rPr>
          <w:rStyle w:val="Refdenotaalpie"/>
        </w:rPr>
        <w:footnoteReference w:id="41"/>
      </w:r>
      <w:r w:rsidRPr="00A75729">
        <w:t xml:space="preserve"> e</w:t>
      </w:r>
    </w:p>
    <w:p w:rsidR="00757714" w:rsidRPr="000806F7" w:rsidRDefault="00F314F1" w:rsidP="000806F7">
      <w:pPr>
        <w:pStyle w:val="Prrafodelista"/>
        <w:numPr>
          <w:ilvl w:val="0"/>
          <w:numId w:val="34"/>
        </w:numPr>
        <w:spacing w:after="120" w:line="276" w:lineRule="auto"/>
        <w:ind w:left="426" w:right="-1"/>
        <w:contextualSpacing w:val="0"/>
      </w:pPr>
      <w:r w:rsidRPr="00A75729">
        <w:t xml:space="preserve">Información disponible en el Instituto sobre niveles de audiencia </w:t>
      </w:r>
      <w:r w:rsidR="00607795" w:rsidRPr="00A75729">
        <w:t xml:space="preserve">del </w:t>
      </w:r>
      <w:proofErr w:type="spellStart"/>
      <w:r w:rsidR="00607795" w:rsidRPr="00A75729">
        <w:t>STRDC</w:t>
      </w:r>
      <w:proofErr w:type="spellEnd"/>
      <w:r w:rsidR="00607795" w:rsidRPr="00A75729">
        <w:t xml:space="preserve"> a nivel nacional </w:t>
      </w:r>
      <w:r w:rsidRPr="00A75729">
        <w:t xml:space="preserve">obtenidos de reportes de </w:t>
      </w:r>
      <w:proofErr w:type="spellStart"/>
      <w:r w:rsidRPr="00A75729">
        <w:t>Nielsen</w:t>
      </w:r>
      <w:proofErr w:type="spellEnd"/>
      <w:r w:rsidRPr="00A75729">
        <w:t xml:space="preserve"> </w:t>
      </w:r>
      <w:proofErr w:type="spellStart"/>
      <w:r w:rsidRPr="00A75729">
        <w:t>IBOPE</w:t>
      </w:r>
      <w:proofErr w:type="spellEnd"/>
      <w:r w:rsidRPr="00A75729">
        <w:t>.</w:t>
      </w:r>
      <w:bookmarkStart w:id="186" w:name="_Toc517823931"/>
      <w:bookmarkStart w:id="187" w:name="_Toc517980528"/>
      <w:bookmarkStart w:id="188" w:name="_Toc517980616"/>
      <w:bookmarkStart w:id="189" w:name="_Toc517983627"/>
      <w:bookmarkStart w:id="190" w:name="_Toc518329785"/>
      <w:bookmarkStart w:id="191" w:name="_Toc518923200"/>
      <w:bookmarkStart w:id="192" w:name="_Toc518923266"/>
      <w:bookmarkStart w:id="193" w:name="_Toc518923336"/>
      <w:bookmarkStart w:id="194" w:name="_Toc518925350"/>
      <w:bookmarkStart w:id="195" w:name="_Toc519008666"/>
      <w:bookmarkStart w:id="196" w:name="_Toc519013471"/>
      <w:bookmarkStart w:id="197" w:name="_Toc519100515"/>
      <w:bookmarkStart w:id="198" w:name="_Toc519100864"/>
      <w:bookmarkStart w:id="199" w:name="_Toc518923201"/>
      <w:bookmarkStart w:id="200" w:name="_Toc518923267"/>
      <w:bookmarkStart w:id="201" w:name="_Toc518923337"/>
      <w:bookmarkStart w:id="202" w:name="_Toc518925351"/>
      <w:bookmarkStart w:id="203" w:name="_Toc519008667"/>
      <w:bookmarkStart w:id="204" w:name="_Toc519013472"/>
      <w:bookmarkStart w:id="205" w:name="_Toc519100516"/>
      <w:bookmarkStart w:id="206" w:name="_Toc519100865"/>
      <w:bookmarkStart w:id="207" w:name="_Toc518923202"/>
      <w:bookmarkStart w:id="208" w:name="_Toc518923268"/>
      <w:bookmarkStart w:id="209" w:name="_Toc518923338"/>
      <w:bookmarkStart w:id="210" w:name="_Toc518925352"/>
      <w:bookmarkStart w:id="211" w:name="_Toc519008668"/>
      <w:bookmarkStart w:id="212" w:name="_Toc519013473"/>
      <w:bookmarkStart w:id="213" w:name="_Toc519100517"/>
      <w:bookmarkStart w:id="214" w:name="_Toc519100866"/>
      <w:bookmarkStart w:id="215" w:name="_Toc518923203"/>
      <w:bookmarkStart w:id="216" w:name="_Toc518923269"/>
      <w:bookmarkStart w:id="217" w:name="_Toc518923339"/>
      <w:bookmarkStart w:id="218" w:name="_Toc518925353"/>
      <w:bookmarkStart w:id="219" w:name="_Toc519008669"/>
      <w:bookmarkStart w:id="220" w:name="_Toc519013474"/>
      <w:bookmarkStart w:id="221" w:name="_Toc519100518"/>
      <w:bookmarkStart w:id="222" w:name="_Toc519100867"/>
      <w:bookmarkStart w:id="223" w:name="_Toc518923204"/>
      <w:bookmarkStart w:id="224" w:name="_Toc518923270"/>
      <w:bookmarkStart w:id="225" w:name="_Toc518923340"/>
      <w:bookmarkStart w:id="226" w:name="_Toc518925354"/>
      <w:bookmarkStart w:id="227" w:name="_Toc519008670"/>
      <w:bookmarkStart w:id="228" w:name="_Toc519013475"/>
      <w:bookmarkStart w:id="229" w:name="_Toc519100519"/>
      <w:bookmarkStart w:id="230" w:name="_Toc519100868"/>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80D00" w:rsidRPr="00A75729" w:rsidRDefault="000806F7" w:rsidP="000806F7">
      <w:pPr>
        <w:pStyle w:val="Ttulo4"/>
        <w:keepNext/>
        <w:spacing w:before="360" w:after="0"/>
        <w:ind w:firstLine="708"/>
        <w:jc w:val="left"/>
        <w:rPr>
          <w:lang w:val="es-MX"/>
        </w:rPr>
      </w:pPr>
      <w:bookmarkStart w:id="231" w:name="_Toc519100869"/>
      <w:r>
        <w:rPr>
          <w:lang w:val="es-MX" w:eastAsia="en-US"/>
        </w:rPr>
        <w:t xml:space="preserve">5.4.1 </w:t>
      </w:r>
      <w:r w:rsidR="00F80D00" w:rsidRPr="00A75729">
        <w:rPr>
          <w:lang w:val="es-MX"/>
        </w:rPr>
        <w:t>Inciso a.</w:t>
      </w:r>
      <w:bookmarkEnd w:id="231"/>
    </w:p>
    <w:p w:rsidR="00F80D00" w:rsidRPr="00A75729" w:rsidRDefault="00F80D00" w:rsidP="00F80D00">
      <w:r w:rsidRPr="00A75729">
        <w:t>El inciso a. del párrafo primero del Noveno Transitorio establece lo siguiente:</w:t>
      </w:r>
    </w:p>
    <w:p w:rsidR="00F80D00" w:rsidRPr="00A75729" w:rsidRDefault="00F80D00" w:rsidP="00FB57CD">
      <w:pPr>
        <w:pStyle w:val="Prrafodelista"/>
        <w:numPr>
          <w:ilvl w:val="0"/>
          <w:numId w:val="10"/>
        </w:numPr>
        <w:spacing w:after="120" w:line="276" w:lineRule="auto"/>
        <w:ind w:left="567"/>
        <w:contextualSpacing w:val="0"/>
        <w:rPr>
          <w:sz w:val="20"/>
        </w:rPr>
      </w:pPr>
      <w:r w:rsidRPr="00A75729">
        <w:rPr>
          <w:i/>
          <w:sz w:val="20"/>
        </w:rPr>
        <w:t xml:space="preserve">Generen una reducción sectorial del Índice de Dominancia “ID”, siempre que el índice </w:t>
      </w:r>
      <w:proofErr w:type="spellStart"/>
      <w:r w:rsidRPr="00A75729">
        <w:rPr>
          <w:i/>
          <w:sz w:val="20"/>
        </w:rPr>
        <w:t>Hirschman-Herfindahl</w:t>
      </w:r>
      <w:proofErr w:type="spellEnd"/>
      <w:r w:rsidRPr="00A75729">
        <w:rPr>
          <w:i/>
          <w:sz w:val="20"/>
        </w:rPr>
        <w:t xml:space="preserve"> “</w:t>
      </w:r>
      <w:proofErr w:type="spellStart"/>
      <w:r w:rsidRPr="00A75729">
        <w:rPr>
          <w:i/>
          <w:sz w:val="20"/>
        </w:rPr>
        <w:t>IHH</w:t>
      </w:r>
      <w:proofErr w:type="spellEnd"/>
      <w:r w:rsidRPr="00A75729">
        <w:rPr>
          <w:i/>
          <w:sz w:val="20"/>
        </w:rPr>
        <w:t>” no se incremente en más de doscientos puntos;</w:t>
      </w:r>
    </w:p>
    <w:p w:rsidR="00F57A73" w:rsidRPr="00A75729" w:rsidRDefault="00F80D00" w:rsidP="00F80D00">
      <w:r w:rsidRPr="00A75729">
        <w:t xml:space="preserve">Los índices de concentración </w:t>
      </w:r>
      <w:proofErr w:type="spellStart"/>
      <w:r w:rsidRPr="00A75729">
        <w:t>IHH</w:t>
      </w:r>
      <w:proofErr w:type="spellEnd"/>
      <w:r w:rsidRPr="00A75729">
        <w:t xml:space="preserve"> e ID se estiman con base en las participaciones de las Partes y terceros agentes económicos que concurren en el sector. </w:t>
      </w:r>
    </w:p>
    <w:p w:rsidR="007A0268" w:rsidRPr="00A75729" w:rsidRDefault="007A0268" w:rsidP="00F80D00">
      <w:r w:rsidRPr="00A75729">
        <w:lastRenderedPageBreak/>
        <w:t>En el Cuadro siguiente</w:t>
      </w:r>
      <w:r w:rsidR="00F80D00" w:rsidRPr="00A75729">
        <w:t xml:space="preserve"> se presenta</w:t>
      </w:r>
      <w:r w:rsidRPr="00A75729">
        <w:t>n</w:t>
      </w:r>
      <w:r w:rsidR="00F80D00" w:rsidRPr="00A75729">
        <w:t xml:space="preserve"> </w:t>
      </w:r>
      <w:r w:rsidR="00BF6160" w:rsidRPr="00A75729">
        <w:t xml:space="preserve">las participaciones </w:t>
      </w:r>
      <w:r w:rsidRPr="00A75729">
        <w:t xml:space="preserve">sectoriales calculadas con las fuentes de información disponibles y considerando los 2 (dos) servicios identificados en el sector de radiodifusión: el </w:t>
      </w:r>
      <w:proofErr w:type="spellStart"/>
      <w:r w:rsidRPr="00A75729">
        <w:t>SRSAC</w:t>
      </w:r>
      <w:proofErr w:type="spellEnd"/>
      <w:r w:rsidRPr="00A75729">
        <w:t xml:space="preserve"> y el </w:t>
      </w:r>
      <w:proofErr w:type="spellStart"/>
      <w:r w:rsidRPr="00A75729">
        <w:t>STRDC</w:t>
      </w:r>
      <w:proofErr w:type="spellEnd"/>
      <w:r w:rsidRPr="00A75729">
        <w:t>.</w:t>
      </w:r>
    </w:p>
    <w:p w:rsidR="00F80D00" w:rsidRPr="00A75729" w:rsidRDefault="00D27199" w:rsidP="00FB57CD">
      <w:pPr>
        <w:pStyle w:val="Prrafodelista"/>
        <w:keepNext/>
        <w:numPr>
          <w:ilvl w:val="0"/>
          <w:numId w:val="18"/>
        </w:numPr>
        <w:spacing w:after="120" w:line="276" w:lineRule="auto"/>
        <w:ind w:left="426" w:hanging="357"/>
        <w:contextualSpacing w:val="0"/>
        <w:jc w:val="center"/>
        <w:rPr>
          <w:b/>
          <w:szCs w:val="20"/>
        </w:rPr>
      </w:pPr>
      <w:r w:rsidRPr="00A75729">
        <w:rPr>
          <w:b/>
          <w:szCs w:val="20"/>
        </w:rPr>
        <w:t>Participaciones</w:t>
      </w:r>
      <w:r w:rsidR="00336211" w:rsidRPr="00A75729">
        <w:rPr>
          <w:b/>
          <w:szCs w:val="20"/>
        </w:rPr>
        <w:t xml:space="preserve"> (%)</w:t>
      </w:r>
      <w:r w:rsidRPr="00A75729">
        <w:rPr>
          <w:b/>
          <w:szCs w:val="20"/>
        </w:rPr>
        <w:t xml:space="preserve"> </w:t>
      </w:r>
      <w:r w:rsidR="002413B1" w:rsidRPr="00A75729">
        <w:rPr>
          <w:b/>
          <w:szCs w:val="20"/>
        </w:rPr>
        <w:t>a nivel nacional</w:t>
      </w:r>
      <w:r w:rsidR="00336211" w:rsidRPr="00A75729">
        <w:rPr>
          <w:b/>
          <w:szCs w:val="20"/>
        </w:rPr>
        <w:t xml:space="preserve"> en el sector de radiodifusión</w:t>
      </w:r>
      <w:r w:rsidR="004178FC">
        <w:rPr>
          <w:b/>
          <w:szCs w:val="20"/>
        </w:rPr>
        <w:t xml:space="preserve"> – antes de la Operación</w:t>
      </w:r>
    </w:p>
    <w:tbl>
      <w:tblPr>
        <w:tblStyle w:val="Tablaconcuadrcula"/>
        <w:tblW w:w="5000" w:type="pct"/>
        <w:jc w:val="center"/>
        <w:tblLook w:val="04A0" w:firstRow="1" w:lastRow="0" w:firstColumn="1" w:lastColumn="0" w:noHBand="0" w:noVBand="1"/>
        <w:tblCaption w:val="Cuadro 13. Participaciones (%) a nivel nacional en el sector de radiodifusión antes de la Operación"/>
        <w:tblDescription w:val="Se establecen cuales son las participaciones a nivel nacional antes de la operación del: GIE Grupo Multimedios, GIE Audio Publicidad y Otros proveedores."/>
      </w:tblPr>
      <w:tblGrid>
        <w:gridCol w:w="3252"/>
        <w:gridCol w:w="1660"/>
        <w:gridCol w:w="1660"/>
        <w:gridCol w:w="1639"/>
        <w:gridCol w:w="1183"/>
      </w:tblGrid>
      <w:tr w:rsidR="001C47CA" w:rsidRPr="00A75729" w:rsidTr="00F57A73">
        <w:trPr>
          <w:tblHeader/>
          <w:jc w:val="center"/>
        </w:trPr>
        <w:tc>
          <w:tcPr>
            <w:tcW w:w="1780" w:type="pct"/>
            <w:shd w:val="clear" w:color="auto" w:fill="92D050"/>
            <w:vAlign w:val="center"/>
          </w:tcPr>
          <w:p w:rsidR="001C47CA" w:rsidRPr="00A75729" w:rsidRDefault="001C47CA" w:rsidP="001C47CA">
            <w:pPr>
              <w:spacing w:before="0" w:after="0" w:line="240" w:lineRule="auto"/>
              <w:ind w:right="-1"/>
              <w:jc w:val="center"/>
            </w:pPr>
            <w:r w:rsidRPr="00A75729">
              <w:rPr>
                <w:b/>
              </w:rPr>
              <w:t>Variable o fuente de Información</w:t>
            </w:r>
          </w:p>
        </w:tc>
        <w:tc>
          <w:tcPr>
            <w:tcW w:w="932" w:type="pct"/>
            <w:shd w:val="clear" w:color="auto" w:fill="92D050"/>
            <w:vAlign w:val="center"/>
          </w:tcPr>
          <w:p w:rsidR="001C47CA" w:rsidRPr="00A75729" w:rsidRDefault="001C47CA" w:rsidP="001C47CA">
            <w:pPr>
              <w:spacing w:before="0" w:after="0" w:line="240" w:lineRule="auto"/>
              <w:jc w:val="center"/>
              <w:rPr>
                <w:rFonts w:eastAsia="Times New Roman" w:cs="Calibri"/>
                <w:b/>
                <w:color w:val="000000"/>
                <w:lang w:val="es-MX"/>
              </w:rPr>
            </w:pPr>
            <w:r w:rsidRPr="00A75729">
              <w:rPr>
                <w:rFonts w:eastAsia="Times New Roman" w:cs="Calibri"/>
                <w:b/>
                <w:color w:val="000000"/>
                <w:lang w:val="es-MX"/>
              </w:rPr>
              <w:t>Proveedor</w:t>
            </w:r>
            <w:r w:rsidRPr="00A75729">
              <w:rPr>
                <w:rFonts w:eastAsia="Times New Roman" w:cs="Calibri"/>
                <w:b/>
                <w:color w:val="000000"/>
              </w:rPr>
              <w:t xml:space="preserve"> </w:t>
            </w:r>
            <w:proofErr w:type="spellStart"/>
            <w:r w:rsidRPr="00A75729">
              <w:rPr>
                <w:rFonts w:eastAsia="Times New Roman" w:cs="Calibri"/>
                <w:b/>
                <w:color w:val="000000"/>
              </w:rPr>
              <w:t>GIE</w:t>
            </w:r>
            <w:proofErr w:type="spellEnd"/>
            <w:r w:rsidRPr="00A75729">
              <w:rPr>
                <w:rFonts w:eastAsia="Times New Roman" w:cs="Calibri"/>
                <w:b/>
                <w:color w:val="000000"/>
              </w:rPr>
              <w:t xml:space="preserve"> Grupo Multimedios</w:t>
            </w:r>
          </w:p>
        </w:tc>
        <w:tc>
          <w:tcPr>
            <w:tcW w:w="932" w:type="pct"/>
            <w:shd w:val="clear" w:color="auto" w:fill="92D050"/>
            <w:vAlign w:val="center"/>
          </w:tcPr>
          <w:p w:rsidR="001C47CA" w:rsidRPr="00A75729" w:rsidRDefault="001C47CA" w:rsidP="001C47CA">
            <w:pPr>
              <w:spacing w:before="0" w:after="0" w:line="240" w:lineRule="auto"/>
              <w:jc w:val="center"/>
              <w:rPr>
                <w:rFonts w:eastAsia="Times New Roman" w:cs="Calibri"/>
                <w:b/>
                <w:bCs/>
                <w:color w:val="000000"/>
                <w:lang w:val="es-MX"/>
              </w:rPr>
            </w:pPr>
            <w:r w:rsidRPr="00A75729">
              <w:rPr>
                <w:rFonts w:eastAsia="Times New Roman" w:cs="Calibri"/>
                <w:b/>
                <w:color w:val="000000"/>
                <w:lang w:val="es-MX"/>
              </w:rPr>
              <w:t>Proveedor</w:t>
            </w:r>
            <w:r w:rsidRPr="00A75729">
              <w:rPr>
                <w:rFonts w:eastAsia="Times New Roman" w:cs="Calibri"/>
                <w:b/>
                <w:bCs/>
                <w:color w:val="000000"/>
              </w:rPr>
              <w:t xml:space="preserve"> </w:t>
            </w:r>
            <w:proofErr w:type="spellStart"/>
            <w:r w:rsidRPr="00A75729">
              <w:rPr>
                <w:rFonts w:eastAsia="Times New Roman" w:cs="Calibri"/>
                <w:b/>
                <w:bCs/>
                <w:color w:val="000000"/>
              </w:rPr>
              <w:t>GIE</w:t>
            </w:r>
            <w:proofErr w:type="spellEnd"/>
            <w:r w:rsidRPr="00A75729">
              <w:rPr>
                <w:rFonts w:eastAsia="Times New Roman" w:cs="Calibri"/>
                <w:b/>
                <w:bCs/>
                <w:color w:val="000000"/>
              </w:rPr>
              <w:t xml:space="preserve"> Audio Publicidad</w:t>
            </w:r>
          </w:p>
        </w:tc>
        <w:tc>
          <w:tcPr>
            <w:tcW w:w="678" w:type="pct"/>
            <w:shd w:val="clear" w:color="auto" w:fill="92D050"/>
            <w:vAlign w:val="center"/>
          </w:tcPr>
          <w:p w:rsidR="001C47CA" w:rsidRPr="00A75729" w:rsidRDefault="001C47CA" w:rsidP="001C47CA">
            <w:pPr>
              <w:spacing w:before="0" w:after="0" w:line="240" w:lineRule="auto"/>
              <w:jc w:val="center"/>
              <w:rPr>
                <w:rFonts w:eastAsia="Times New Roman" w:cs="Calibri"/>
                <w:b/>
                <w:bCs/>
                <w:color w:val="000000"/>
                <w:lang w:val="es-MX"/>
              </w:rPr>
            </w:pPr>
            <w:r w:rsidRPr="00A75729">
              <w:rPr>
                <w:rFonts w:eastAsia="Times New Roman" w:cs="Calibri"/>
                <w:b/>
                <w:color w:val="000000"/>
                <w:lang w:val="es-MX"/>
              </w:rPr>
              <w:t>Proveedor</w:t>
            </w:r>
            <w:r w:rsidRPr="00A75729">
              <w:rPr>
                <w:rFonts w:eastAsia="Times New Roman" w:cs="Calibri"/>
                <w:b/>
                <w:bCs/>
                <w:color w:val="000000"/>
              </w:rPr>
              <w:t xml:space="preserve"> </w:t>
            </w:r>
            <w:r w:rsidRPr="00A75729">
              <w:rPr>
                <w:rFonts w:eastAsia="Times New Roman" w:cs="Calibri"/>
                <w:b/>
                <w:bCs/>
                <w:color w:val="000000"/>
              </w:rPr>
              <w:t>Otros</w:t>
            </w:r>
          </w:p>
        </w:tc>
        <w:tc>
          <w:tcPr>
            <w:tcW w:w="678" w:type="pct"/>
            <w:shd w:val="clear" w:color="auto" w:fill="92D050"/>
            <w:vAlign w:val="center"/>
          </w:tcPr>
          <w:p w:rsidR="001C47CA" w:rsidRPr="00A75729" w:rsidRDefault="001C47CA" w:rsidP="001C47CA">
            <w:pPr>
              <w:spacing w:before="0" w:after="0" w:line="240" w:lineRule="auto"/>
              <w:ind w:right="-1"/>
              <w:jc w:val="center"/>
            </w:pPr>
            <w:r w:rsidRPr="00A75729">
              <w:rPr>
                <w:rFonts w:eastAsia="Times New Roman" w:cs="Calibri"/>
                <w:b/>
                <w:color w:val="000000"/>
              </w:rPr>
              <w:t>TOTAL</w:t>
            </w:r>
          </w:p>
        </w:tc>
      </w:tr>
      <w:tr w:rsidR="001C47CA" w:rsidRPr="00A75729" w:rsidTr="00F57A73">
        <w:trPr>
          <w:jc w:val="center"/>
        </w:trPr>
        <w:tc>
          <w:tcPr>
            <w:tcW w:w="1780" w:type="pct"/>
            <w:vAlign w:val="center"/>
          </w:tcPr>
          <w:p w:rsidR="001C47CA" w:rsidRPr="00A75729" w:rsidRDefault="001C47CA" w:rsidP="001C47CA">
            <w:pPr>
              <w:spacing w:before="0" w:after="0" w:line="240" w:lineRule="auto"/>
              <w:jc w:val="left"/>
              <w:rPr>
                <w:rFonts w:eastAsia="Times New Roman" w:cs="Calibri"/>
                <w:color w:val="000000"/>
                <w:lang w:val="es-MX"/>
              </w:rPr>
            </w:pPr>
            <w:proofErr w:type="spellStart"/>
            <w:r w:rsidRPr="00A75729">
              <w:rPr>
                <w:rFonts w:eastAsia="Times New Roman" w:cs="Calibri"/>
                <w:color w:val="000000"/>
              </w:rPr>
              <w:t>ENCCA</w:t>
            </w:r>
            <w:proofErr w:type="spellEnd"/>
            <w:r w:rsidRPr="00A75729">
              <w:rPr>
                <w:rFonts w:eastAsia="Times New Roman" w:cs="Calibri"/>
                <w:color w:val="000000"/>
              </w:rPr>
              <w:t xml:space="preserve"> </w:t>
            </w:r>
            <w:r w:rsidRPr="00A75729">
              <w:rPr>
                <w:rFonts w:eastAsia="Times New Roman" w:cs="Calibri"/>
                <w:color w:val="000000"/>
                <w:vertAlign w:val="superscript"/>
              </w:rPr>
              <w:t>1/</w:t>
            </w:r>
          </w:p>
        </w:tc>
        <w:tc>
          <w:tcPr>
            <w:tcW w:w="932" w:type="pct"/>
            <w:vAlign w:val="center"/>
          </w:tcPr>
          <w:p w:rsidR="001C47CA" w:rsidRPr="00A75729" w:rsidRDefault="001C47CA" w:rsidP="001C47CA">
            <w:pPr>
              <w:spacing w:before="0" w:after="0" w:line="240" w:lineRule="auto"/>
              <w:ind w:right="-1"/>
              <w:jc w:val="right"/>
            </w:pPr>
            <w:r w:rsidRPr="00A75729">
              <w:t>4.40</w:t>
            </w:r>
          </w:p>
        </w:tc>
        <w:tc>
          <w:tcPr>
            <w:tcW w:w="932" w:type="pct"/>
            <w:vAlign w:val="center"/>
          </w:tcPr>
          <w:p w:rsidR="001C47CA" w:rsidRPr="00A75729" w:rsidRDefault="001C47CA" w:rsidP="001C47CA">
            <w:pPr>
              <w:spacing w:before="0" w:after="0" w:line="240" w:lineRule="auto"/>
              <w:ind w:right="-1"/>
              <w:jc w:val="right"/>
            </w:pPr>
            <w:r w:rsidRPr="00A75729">
              <w:t>0.01</w:t>
            </w:r>
          </w:p>
        </w:tc>
        <w:tc>
          <w:tcPr>
            <w:tcW w:w="678" w:type="pct"/>
            <w:vAlign w:val="center"/>
          </w:tcPr>
          <w:p w:rsidR="001C47CA" w:rsidRPr="00A75729" w:rsidRDefault="001C47CA" w:rsidP="001C47CA">
            <w:pPr>
              <w:spacing w:before="0" w:after="0" w:line="240" w:lineRule="auto"/>
              <w:ind w:right="-1"/>
              <w:jc w:val="right"/>
            </w:pPr>
            <w:r w:rsidRPr="00A75729">
              <w:t>95.59</w:t>
            </w:r>
          </w:p>
        </w:tc>
        <w:tc>
          <w:tcPr>
            <w:tcW w:w="678" w:type="pct"/>
            <w:vAlign w:val="center"/>
          </w:tcPr>
          <w:p w:rsidR="001C47CA" w:rsidRPr="00A75729" w:rsidRDefault="001C47CA" w:rsidP="001C47CA">
            <w:pPr>
              <w:spacing w:before="0" w:after="0" w:line="240" w:lineRule="auto"/>
              <w:ind w:right="-1"/>
              <w:jc w:val="right"/>
            </w:pPr>
            <w:r w:rsidRPr="00A75729">
              <w:t>100.00</w:t>
            </w:r>
          </w:p>
        </w:tc>
      </w:tr>
      <w:tr w:rsidR="001C47CA" w:rsidRPr="00A75729" w:rsidTr="00F57A73">
        <w:trPr>
          <w:jc w:val="center"/>
        </w:trPr>
        <w:tc>
          <w:tcPr>
            <w:tcW w:w="1780" w:type="pct"/>
            <w:vAlign w:val="center"/>
          </w:tcPr>
          <w:p w:rsidR="001C47CA" w:rsidRPr="00A75729" w:rsidRDefault="001C47CA" w:rsidP="001C47CA">
            <w:pPr>
              <w:spacing w:before="0" w:after="0" w:line="240" w:lineRule="auto"/>
              <w:jc w:val="left"/>
              <w:rPr>
                <w:rFonts w:eastAsia="Times New Roman" w:cs="Calibri"/>
                <w:color w:val="000000"/>
                <w:lang w:val="es-MX"/>
              </w:rPr>
            </w:pPr>
            <w:r w:rsidRPr="00A75729">
              <w:rPr>
                <w:rFonts w:eastAsia="Times New Roman" w:cs="Calibri"/>
                <w:color w:val="000000"/>
                <w:lang w:val="es-MX"/>
              </w:rPr>
              <w:t xml:space="preserve">Número de estaciones de radiodifusión </w:t>
            </w:r>
            <w:r w:rsidRPr="00A75729">
              <w:rPr>
                <w:rFonts w:eastAsia="Times New Roman" w:cs="Calibri"/>
                <w:color w:val="000000"/>
                <w:vertAlign w:val="superscript"/>
                <w:lang w:val="es-MX"/>
              </w:rPr>
              <w:t>2/</w:t>
            </w:r>
          </w:p>
        </w:tc>
        <w:tc>
          <w:tcPr>
            <w:tcW w:w="932" w:type="pct"/>
            <w:vAlign w:val="center"/>
          </w:tcPr>
          <w:p w:rsidR="001C47CA" w:rsidRPr="00A75729" w:rsidRDefault="001C47CA" w:rsidP="001C47CA">
            <w:pPr>
              <w:spacing w:before="0" w:after="0" w:line="240" w:lineRule="auto"/>
              <w:ind w:right="-1"/>
              <w:jc w:val="right"/>
            </w:pPr>
            <w:r w:rsidRPr="00A75729">
              <w:t>3.5</w:t>
            </w:r>
            <w:r>
              <w:t>4</w:t>
            </w:r>
          </w:p>
        </w:tc>
        <w:tc>
          <w:tcPr>
            <w:tcW w:w="932" w:type="pct"/>
            <w:vAlign w:val="center"/>
          </w:tcPr>
          <w:p w:rsidR="001C47CA" w:rsidRPr="00A75729" w:rsidRDefault="001C47CA" w:rsidP="001C47CA">
            <w:pPr>
              <w:spacing w:before="0" w:after="0" w:line="240" w:lineRule="auto"/>
              <w:ind w:right="-1"/>
              <w:jc w:val="right"/>
            </w:pPr>
            <w:r w:rsidRPr="00A75729">
              <w:t>0.05</w:t>
            </w:r>
          </w:p>
        </w:tc>
        <w:tc>
          <w:tcPr>
            <w:tcW w:w="678" w:type="pct"/>
            <w:vAlign w:val="center"/>
          </w:tcPr>
          <w:p w:rsidR="001C47CA" w:rsidRPr="00A75729" w:rsidRDefault="001C47CA" w:rsidP="001C47CA">
            <w:pPr>
              <w:spacing w:before="0" w:after="0" w:line="240" w:lineRule="auto"/>
              <w:ind w:right="-1"/>
              <w:jc w:val="right"/>
            </w:pPr>
            <w:r w:rsidRPr="00A75729">
              <w:t>96.</w:t>
            </w:r>
            <w:r>
              <w:t>41</w:t>
            </w:r>
          </w:p>
        </w:tc>
        <w:tc>
          <w:tcPr>
            <w:tcW w:w="678" w:type="pct"/>
            <w:vAlign w:val="center"/>
          </w:tcPr>
          <w:p w:rsidR="001C47CA" w:rsidRPr="00A75729" w:rsidRDefault="001C47CA" w:rsidP="001C47CA">
            <w:pPr>
              <w:spacing w:before="0" w:after="0" w:line="240" w:lineRule="auto"/>
              <w:ind w:right="-1"/>
              <w:jc w:val="right"/>
            </w:pPr>
            <w:r w:rsidRPr="00A75729">
              <w:t>100.00</w:t>
            </w:r>
          </w:p>
        </w:tc>
      </w:tr>
      <w:tr w:rsidR="001C47CA" w:rsidRPr="00A75729" w:rsidTr="00F57A73">
        <w:trPr>
          <w:jc w:val="center"/>
        </w:trPr>
        <w:tc>
          <w:tcPr>
            <w:tcW w:w="1780" w:type="pct"/>
            <w:vAlign w:val="center"/>
          </w:tcPr>
          <w:p w:rsidR="001C47CA" w:rsidRPr="00A75729" w:rsidRDefault="001C47CA" w:rsidP="001C47CA">
            <w:pPr>
              <w:spacing w:before="0" w:after="0" w:line="240" w:lineRule="auto"/>
              <w:jc w:val="left"/>
              <w:rPr>
                <w:rFonts w:eastAsia="Times New Roman" w:cs="Calibri"/>
                <w:color w:val="000000"/>
                <w:lang w:val="es-MX"/>
              </w:rPr>
            </w:pPr>
            <w:r w:rsidRPr="00A75729">
              <w:rPr>
                <w:rFonts w:eastAsia="Times New Roman" w:cs="Calibri"/>
                <w:color w:val="000000"/>
                <w:lang w:val="es-MX"/>
              </w:rPr>
              <w:t>Audiencia (</w:t>
            </w:r>
            <w:r w:rsidRPr="00A75729">
              <w:rPr>
                <w:rFonts w:eastAsia="Times New Roman" w:cs="Calibri"/>
                <w:i/>
                <w:color w:val="000000"/>
                <w:lang w:val="es-MX"/>
              </w:rPr>
              <w:t>Share</w:t>
            </w:r>
            <w:r w:rsidRPr="00A75729">
              <w:rPr>
                <w:rFonts w:eastAsia="Times New Roman" w:cs="Calibri"/>
                <w:color w:val="000000"/>
                <w:lang w:val="es-MX"/>
              </w:rPr>
              <w:t>)</w:t>
            </w:r>
            <w:r w:rsidRPr="00A75729">
              <w:rPr>
                <w:rFonts w:eastAsia="Times New Roman" w:cs="Calibri"/>
                <w:color w:val="000000"/>
                <w:vertAlign w:val="superscript"/>
                <w:lang w:val="es-MX"/>
              </w:rPr>
              <w:t xml:space="preserve"> 3/</w:t>
            </w:r>
          </w:p>
        </w:tc>
        <w:tc>
          <w:tcPr>
            <w:tcW w:w="932" w:type="pct"/>
            <w:vAlign w:val="center"/>
          </w:tcPr>
          <w:p w:rsidR="001C47CA" w:rsidRPr="00E8226C" w:rsidRDefault="00E8226C" w:rsidP="00C05A93">
            <w:pPr>
              <w:spacing w:before="0" w:after="0" w:line="240" w:lineRule="auto"/>
              <w:ind w:right="-1"/>
              <w:jc w:val="right"/>
              <w:rPr>
                <w:sz w:val="18"/>
                <w:szCs w:val="18"/>
                <w:highlight w:val="green"/>
              </w:rPr>
            </w:pPr>
            <w:r w:rsidRPr="00E8226C">
              <w:rPr>
                <w:b/>
                <w:bCs/>
                <w:color w:val="0000CC"/>
                <w:kern w:val="24"/>
                <w:sz w:val="18"/>
                <w:szCs w:val="18"/>
              </w:rPr>
              <w:t>“CONFIDENCIAL POR LEY (</w:t>
            </w:r>
            <w:r w:rsidR="00C05A93">
              <w:rPr>
                <w:b/>
                <w:bCs/>
                <w:color w:val="0000CC"/>
                <w:kern w:val="24"/>
                <w:sz w:val="18"/>
                <w:szCs w:val="18"/>
              </w:rPr>
              <w:t>4</w:t>
            </w:r>
            <w:r w:rsidRPr="00E8226C">
              <w:rPr>
                <w:b/>
                <w:bCs/>
                <w:color w:val="0000CC"/>
                <w:kern w:val="24"/>
                <w:sz w:val="18"/>
                <w:szCs w:val="18"/>
              </w:rPr>
              <w:t>)”</w:t>
            </w:r>
          </w:p>
        </w:tc>
        <w:tc>
          <w:tcPr>
            <w:tcW w:w="932" w:type="pct"/>
            <w:vAlign w:val="center"/>
          </w:tcPr>
          <w:p w:rsidR="001C47CA" w:rsidRPr="00E8226C" w:rsidRDefault="00E8226C" w:rsidP="00C05A93">
            <w:pPr>
              <w:spacing w:before="0" w:after="0" w:line="240" w:lineRule="auto"/>
              <w:ind w:right="-1"/>
              <w:jc w:val="right"/>
              <w:rPr>
                <w:sz w:val="18"/>
                <w:szCs w:val="18"/>
                <w:highlight w:val="green"/>
              </w:rPr>
            </w:pPr>
            <w:r w:rsidRPr="00E8226C">
              <w:rPr>
                <w:b/>
                <w:bCs/>
                <w:color w:val="0000CC"/>
                <w:kern w:val="24"/>
                <w:sz w:val="18"/>
                <w:szCs w:val="18"/>
              </w:rPr>
              <w:t>“CONFIDENCIAL POR LEY (</w:t>
            </w:r>
            <w:r w:rsidR="00C05A93">
              <w:rPr>
                <w:b/>
                <w:bCs/>
                <w:color w:val="0000CC"/>
                <w:kern w:val="24"/>
                <w:sz w:val="18"/>
                <w:szCs w:val="18"/>
              </w:rPr>
              <w:t>4</w:t>
            </w:r>
            <w:r w:rsidRPr="00E8226C">
              <w:rPr>
                <w:b/>
                <w:bCs/>
                <w:color w:val="0000CC"/>
                <w:kern w:val="24"/>
                <w:sz w:val="18"/>
                <w:szCs w:val="18"/>
              </w:rPr>
              <w:t>)”</w:t>
            </w:r>
          </w:p>
        </w:tc>
        <w:tc>
          <w:tcPr>
            <w:tcW w:w="678" w:type="pct"/>
            <w:vAlign w:val="center"/>
          </w:tcPr>
          <w:p w:rsidR="001C47CA" w:rsidRPr="00E8226C" w:rsidRDefault="00E8226C" w:rsidP="00C05A93">
            <w:pPr>
              <w:spacing w:before="0" w:after="0" w:line="240" w:lineRule="auto"/>
              <w:ind w:right="-1"/>
              <w:jc w:val="right"/>
              <w:rPr>
                <w:sz w:val="18"/>
                <w:szCs w:val="18"/>
                <w:highlight w:val="green"/>
              </w:rPr>
            </w:pPr>
            <w:r w:rsidRPr="00E8226C">
              <w:rPr>
                <w:b/>
                <w:bCs/>
                <w:color w:val="0000CC"/>
                <w:kern w:val="24"/>
                <w:sz w:val="18"/>
                <w:szCs w:val="18"/>
              </w:rPr>
              <w:t>“CONFIDENCIAL POR LEY (</w:t>
            </w:r>
            <w:r w:rsidR="00C05A93">
              <w:rPr>
                <w:b/>
                <w:bCs/>
                <w:color w:val="0000CC"/>
                <w:kern w:val="24"/>
                <w:sz w:val="18"/>
                <w:szCs w:val="18"/>
              </w:rPr>
              <w:t>4</w:t>
            </w:r>
            <w:r w:rsidRPr="00E8226C">
              <w:rPr>
                <w:b/>
                <w:bCs/>
                <w:color w:val="0000CC"/>
                <w:kern w:val="24"/>
                <w:sz w:val="18"/>
                <w:szCs w:val="18"/>
              </w:rPr>
              <w:t>)”</w:t>
            </w:r>
          </w:p>
        </w:tc>
        <w:tc>
          <w:tcPr>
            <w:tcW w:w="678" w:type="pct"/>
            <w:vAlign w:val="center"/>
          </w:tcPr>
          <w:p w:rsidR="001C47CA" w:rsidRPr="00A75729" w:rsidRDefault="001C47CA" w:rsidP="001C47CA">
            <w:pPr>
              <w:spacing w:before="0" w:after="0" w:line="240" w:lineRule="auto"/>
              <w:ind w:right="-1"/>
              <w:jc w:val="right"/>
            </w:pPr>
            <w:r w:rsidRPr="00A75729">
              <w:t>100.00</w:t>
            </w:r>
          </w:p>
        </w:tc>
      </w:tr>
    </w:tbl>
    <w:p w:rsidR="00DD46AD" w:rsidRPr="00A75729" w:rsidRDefault="00DD46AD" w:rsidP="00F57A73">
      <w:pPr>
        <w:spacing w:before="0" w:after="0" w:line="240" w:lineRule="auto"/>
        <w:ind w:right="48"/>
        <w:rPr>
          <w:sz w:val="16"/>
          <w:szCs w:val="16"/>
        </w:rPr>
      </w:pPr>
      <w:r w:rsidRPr="00A75729">
        <w:rPr>
          <w:sz w:val="16"/>
          <w:szCs w:val="16"/>
        </w:rPr>
        <w:t>Fuente: Elaboración propia.</w:t>
      </w:r>
    </w:p>
    <w:p w:rsidR="002413B1" w:rsidRPr="00A75729" w:rsidRDefault="002413B1" w:rsidP="00F57A73">
      <w:pPr>
        <w:spacing w:before="0" w:after="0" w:line="240" w:lineRule="auto"/>
        <w:ind w:right="48"/>
        <w:rPr>
          <w:sz w:val="16"/>
          <w:szCs w:val="16"/>
        </w:rPr>
      </w:pPr>
      <w:r w:rsidRPr="00A75729">
        <w:rPr>
          <w:sz w:val="16"/>
          <w:szCs w:val="16"/>
        </w:rPr>
        <w:t>NOTAS:</w:t>
      </w:r>
    </w:p>
    <w:p w:rsidR="002413B1" w:rsidRPr="00A75729" w:rsidRDefault="002413B1" w:rsidP="00F57A73">
      <w:pPr>
        <w:spacing w:before="0" w:after="0" w:line="240" w:lineRule="auto"/>
        <w:ind w:right="48"/>
        <w:rPr>
          <w:sz w:val="16"/>
          <w:szCs w:val="16"/>
        </w:rPr>
      </w:pPr>
      <w:r w:rsidRPr="00A75729">
        <w:rPr>
          <w:sz w:val="16"/>
          <w:szCs w:val="16"/>
        </w:rPr>
        <w:t>1/ Las cifras fueron reportadas por las Partes</w:t>
      </w:r>
      <w:r w:rsidR="00F753DA" w:rsidRPr="00A75729">
        <w:rPr>
          <w:sz w:val="16"/>
          <w:szCs w:val="16"/>
        </w:rPr>
        <w:t>, quienes señalaron que “</w:t>
      </w:r>
      <w:r w:rsidR="00F753DA" w:rsidRPr="00A75729">
        <w:rPr>
          <w:i/>
          <w:sz w:val="16"/>
          <w:szCs w:val="16"/>
        </w:rPr>
        <w:t xml:space="preserve">una ventaja del uso de [la </w:t>
      </w:r>
      <w:proofErr w:type="spellStart"/>
      <w:r w:rsidR="00F753DA" w:rsidRPr="00A75729">
        <w:rPr>
          <w:i/>
          <w:sz w:val="16"/>
          <w:szCs w:val="16"/>
        </w:rPr>
        <w:t>ENCCA</w:t>
      </w:r>
      <w:proofErr w:type="spellEnd"/>
      <w:r w:rsidR="00F753DA" w:rsidRPr="00A75729">
        <w:rPr>
          <w:i/>
          <w:sz w:val="16"/>
          <w:szCs w:val="16"/>
        </w:rPr>
        <w:t>] es que permite observar la complementariedad existente entre la radio y la televisión, por lo que permitirá conocer con mayor certeza la penetración que tiene algún grupo en particular dentro de todo el sector, además de que hace comparable la información respecto de las audiencias de radio y televisión, ya que surgen dentro del mismo cuestionario. Con los resultados de esta encuesta, en particular con las respuestas dadas a la pregunta sobre los canales de televisión y estaciones de radio más sintonizados, es posible aproximar la audiencia que tiene cada grupo dentro del sector.</w:t>
      </w:r>
      <w:r w:rsidR="00F753DA" w:rsidRPr="00A75729">
        <w:rPr>
          <w:sz w:val="16"/>
          <w:szCs w:val="16"/>
        </w:rPr>
        <w:t>”</w:t>
      </w:r>
      <w:r w:rsidRPr="00A75729">
        <w:rPr>
          <w:sz w:val="16"/>
          <w:szCs w:val="16"/>
        </w:rPr>
        <w:t xml:space="preserve"> Fuente: Fojas 10</w:t>
      </w:r>
      <w:r w:rsidR="00F753DA" w:rsidRPr="00A75729">
        <w:rPr>
          <w:sz w:val="16"/>
          <w:szCs w:val="16"/>
        </w:rPr>
        <w:t>, 17</w:t>
      </w:r>
      <w:r w:rsidRPr="00A75729">
        <w:rPr>
          <w:sz w:val="16"/>
          <w:szCs w:val="16"/>
        </w:rPr>
        <w:t xml:space="preserve"> y 19 del Expediente</w:t>
      </w:r>
      <w:r w:rsidR="005314EA" w:rsidRPr="00A75729">
        <w:rPr>
          <w:sz w:val="16"/>
          <w:szCs w:val="16"/>
        </w:rPr>
        <w:t>.</w:t>
      </w:r>
    </w:p>
    <w:p w:rsidR="002413B1" w:rsidRPr="00A75729" w:rsidRDefault="00DD46AD" w:rsidP="00F57A73">
      <w:pPr>
        <w:spacing w:before="0" w:after="0" w:line="240" w:lineRule="auto"/>
        <w:ind w:right="48"/>
        <w:rPr>
          <w:sz w:val="16"/>
          <w:szCs w:val="16"/>
        </w:rPr>
      </w:pPr>
      <w:r w:rsidRPr="00A75729">
        <w:rPr>
          <w:sz w:val="16"/>
          <w:szCs w:val="16"/>
        </w:rPr>
        <w:t xml:space="preserve">2/ </w:t>
      </w:r>
      <w:r w:rsidR="008C0AB4" w:rsidRPr="00A75729">
        <w:rPr>
          <w:sz w:val="16"/>
          <w:szCs w:val="16"/>
        </w:rPr>
        <w:t xml:space="preserve">Las participaciones por Agente Económico se calcularon como sigue: 1) se </w:t>
      </w:r>
      <w:r w:rsidRPr="00A75729">
        <w:rPr>
          <w:sz w:val="16"/>
          <w:szCs w:val="16"/>
        </w:rPr>
        <w:t>sum</w:t>
      </w:r>
      <w:r w:rsidR="008C0AB4" w:rsidRPr="00A75729">
        <w:rPr>
          <w:sz w:val="16"/>
          <w:szCs w:val="16"/>
        </w:rPr>
        <w:t>ó</w:t>
      </w:r>
      <w:r w:rsidRPr="00A75729">
        <w:rPr>
          <w:sz w:val="16"/>
          <w:szCs w:val="16"/>
        </w:rPr>
        <w:t xml:space="preserve"> el número de estaciones para proveer el </w:t>
      </w:r>
      <w:proofErr w:type="spellStart"/>
      <w:r w:rsidRPr="00A75729">
        <w:rPr>
          <w:sz w:val="16"/>
          <w:szCs w:val="16"/>
        </w:rPr>
        <w:t>SRSAC</w:t>
      </w:r>
      <w:proofErr w:type="spellEnd"/>
      <w:r w:rsidRPr="00A75729">
        <w:rPr>
          <w:sz w:val="16"/>
          <w:szCs w:val="16"/>
        </w:rPr>
        <w:t xml:space="preserve"> y </w:t>
      </w:r>
      <w:r w:rsidR="008C0AB4" w:rsidRPr="00A75729">
        <w:rPr>
          <w:sz w:val="16"/>
          <w:szCs w:val="16"/>
        </w:rPr>
        <w:t xml:space="preserve">el número de </w:t>
      </w:r>
      <w:r w:rsidRPr="00A75729">
        <w:rPr>
          <w:sz w:val="16"/>
          <w:szCs w:val="16"/>
        </w:rPr>
        <w:t xml:space="preserve">estaciones para proveer el </w:t>
      </w:r>
      <w:proofErr w:type="spellStart"/>
      <w:r w:rsidRPr="00A75729">
        <w:rPr>
          <w:sz w:val="16"/>
          <w:szCs w:val="16"/>
        </w:rPr>
        <w:t>STRDC</w:t>
      </w:r>
      <w:proofErr w:type="spellEnd"/>
      <w:r w:rsidRPr="00A75729">
        <w:rPr>
          <w:sz w:val="16"/>
          <w:szCs w:val="16"/>
        </w:rPr>
        <w:t>;</w:t>
      </w:r>
      <w:r w:rsidR="008C0AB4" w:rsidRPr="00A75729">
        <w:rPr>
          <w:sz w:val="16"/>
          <w:szCs w:val="16"/>
        </w:rPr>
        <w:t xml:space="preserve"> y 2)</w:t>
      </w:r>
      <w:r w:rsidRPr="00A75729">
        <w:rPr>
          <w:sz w:val="16"/>
          <w:szCs w:val="16"/>
        </w:rPr>
        <w:t xml:space="preserve"> </w:t>
      </w:r>
      <w:r w:rsidR="008C0AB4" w:rsidRPr="00A75729">
        <w:rPr>
          <w:sz w:val="16"/>
          <w:szCs w:val="16"/>
        </w:rPr>
        <w:t>los</w:t>
      </w:r>
      <w:r w:rsidRPr="00A75729">
        <w:rPr>
          <w:sz w:val="16"/>
          <w:szCs w:val="16"/>
        </w:rPr>
        <w:t xml:space="preserve"> resultados </w:t>
      </w:r>
      <w:r w:rsidR="008C0AB4" w:rsidRPr="00A75729">
        <w:rPr>
          <w:sz w:val="16"/>
          <w:szCs w:val="16"/>
        </w:rPr>
        <w:t xml:space="preserve">del inciso anterior </w:t>
      </w:r>
      <w:r w:rsidRPr="00A75729">
        <w:rPr>
          <w:sz w:val="16"/>
          <w:szCs w:val="16"/>
        </w:rPr>
        <w:t xml:space="preserve">se dividieron entre el total de estaciones </w:t>
      </w:r>
      <w:r w:rsidR="00EB1393" w:rsidRPr="00A75729">
        <w:rPr>
          <w:sz w:val="16"/>
          <w:szCs w:val="16"/>
        </w:rPr>
        <w:t xml:space="preserve">de uso comercial </w:t>
      </w:r>
      <w:r w:rsidRPr="00A75729">
        <w:rPr>
          <w:sz w:val="16"/>
          <w:szCs w:val="16"/>
        </w:rPr>
        <w:t>existentes en el país</w:t>
      </w:r>
      <w:r w:rsidR="005314EA" w:rsidRPr="00A75729">
        <w:rPr>
          <w:sz w:val="16"/>
          <w:szCs w:val="16"/>
        </w:rPr>
        <w:t>:</w:t>
      </w:r>
      <w:r w:rsidRPr="00A75729">
        <w:rPr>
          <w:sz w:val="16"/>
          <w:szCs w:val="16"/>
        </w:rPr>
        <w:t xml:space="preserve"> </w:t>
      </w:r>
      <w:r w:rsidR="005314EA" w:rsidRPr="00A75729">
        <w:rPr>
          <w:sz w:val="16"/>
          <w:szCs w:val="16"/>
        </w:rPr>
        <w:t xml:space="preserve">2,062 </w:t>
      </w:r>
      <w:r w:rsidRPr="00A75729">
        <w:rPr>
          <w:sz w:val="16"/>
          <w:szCs w:val="16"/>
        </w:rPr>
        <w:t xml:space="preserve">(610 para el </w:t>
      </w:r>
      <w:proofErr w:type="spellStart"/>
      <w:r w:rsidRPr="00A75729">
        <w:rPr>
          <w:sz w:val="16"/>
          <w:szCs w:val="16"/>
        </w:rPr>
        <w:t>STRDC</w:t>
      </w:r>
      <w:proofErr w:type="spellEnd"/>
      <w:r w:rsidRPr="00A75729">
        <w:rPr>
          <w:sz w:val="16"/>
          <w:szCs w:val="16"/>
        </w:rPr>
        <w:t xml:space="preserve"> y </w:t>
      </w:r>
      <w:r w:rsidR="005314EA" w:rsidRPr="00A75729">
        <w:rPr>
          <w:sz w:val="16"/>
          <w:szCs w:val="16"/>
        </w:rPr>
        <w:t>1,452</w:t>
      </w:r>
      <w:r w:rsidRPr="00A75729">
        <w:rPr>
          <w:sz w:val="16"/>
          <w:szCs w:val="16"/>
        </w:rPr>
        <w:t xml:space="preserve"> para el </w:t>
      </w:r>
      <w:proofErr w:type="spellStart"/>
      <w:r w:rsidRPr="00A75729">
        <w:rPr>
          <w:sz w:val="16"/>
          <w:szCs w:val="16"/>
        </w:rPr>
        <w:t>SRSAC</w:t>
      </w:r>
      <w:proofErr w:type="spellEnd"/>
      <w:r w:rsidRPr="00A75729">
        <w:rPr>
          <w:sz w:val="16"/>
          <w:szCs w:val="16"/>
        </w:rPr>
        <w:t>).</w:t>
      </w:r>
    </w:p>
    <w:p w:rsidR="005314EA" w:rsidRPr="00A75729" w:rsidRDefault="00DD46AD" w:rsidP="00F57A73">
      <w:pPr>
        <w:spacing w:before="0" w:after="0" w:line="240" w:lineRule="auto"/>
        <w:ind w:right="48"/>
        <w:rPr>
          <w:sz w:val="16"/>
          <w:szCs w:val="16"/>
        </w:rPr>
      </w:pPr>
      <w:r w:rsidRPr="00A75729">
        <w:rPr>
          <w:sz w:val="16"/>
          <w:szCs w:val="16"/>
        </w:rPr>
        <w:t xml:space="preserve">3/ </w:t>
      </w:r>
      <w:r w:rsidR="005314EA" w:rsidRPr="00A75729">
        <w:rPr>
          <w:sz w:val="16"/>
          <w:szCs w:val="16"/>
        </w:rPr>
        <w:t xml:space="preserve">Las participaciones por Agente Económico se calcularon como sigue: 1) se calcularon cifras de </w:t>
      </w:r>
      <w:r w:rsidR="005314EA" w:rsidRPr="00A75729">
        <w:rPr>
          <w:i/>
          <w:sz w:val="16"/>
          <w:szCs w:val="16"/>
        </w:rPr>
        <w:t>share</w:t>
      </w:r>
      <w:r w:rsidR="005314EA" w:rsidRPr="00A75729">
        <w:rPr>
          <w:sz w:val="16"/>
          <w:szCs w:val="16"/>
        </w:rPr>
        <w:t xml:space="preserve"> a nivel nacional en la provisión del </w:t>
      </w:r>
      <w:proofErr w:type="spellStart"/>
      <w:r w:rsidR="005314EA" w:rsidRPr="00A75729">
        <w:rPr>
          <w:sz w:val="16"/>
          <w:szCs w:val="16"/>
        </w:rPr>
        <w:t>STRDC</w:t>
      </w:r>
      <w:proofErr w:type="spellEnd"/>
      <w:r w:rsidR="005314EA" w:rsidRPr="00A75729">
        <w:rPr>
          <w:sz w:val="16"/>
          <w:szCs w:val="16"/>
        </w:rPr>
        <w:t xml:space="preserve"> con base en cifras de </w:t>
      </w:r>
      <w:proofErr w:type="spellStart"/>
      <w:r w:rsidR="005314EA" w:rsidRPr="00A75729">
        <w:rPr>
          <w:sz w:val="16"/>
          <w:szCs w:val="16"/>
        </w:rPr>
        <w:t>Nielsen</w:t>
      </w:r>
      <w:proofErr w:type="spellEnd"/>
      <w:r w:rsidR="005314EA" w:rsidRPr="00A75729">
        <w:rPr>
          <w:sz w:val="16"/>
          <w:szCs w:val="16"/>
        </w:rPr>
        <w:t xml:space="preserve"> </w:t>
      </w:r>
      <w:proofErr w:type="spellStart"/>
      <w:r w:rsidR="005314EA" w:rsidRPr="00A75729">
        <w:rPr>
          <w:sz w:val="16"/>
          <w:szCs w:val="16"/>
        </w:rPr>
        <w:t>IBOPE</w:t>
      </w:r>
      <w:proofErr w:type="spellEnd"/>
      <w:r w:rsidR="005314EA" w:rsidRPr="00A75729">
        <w:rPr>
          <w:sz w:val="16"/>
          <w:szCs w:val="16"/>
        </w:rPr>
        <w:t xml:space="preserve"> – febrero de 2017; 2) se calcularon cifras de </w:t>
      </w:r>
      <w:r w:rsidR="005314EA" w:rsidRPr="00A75729">
        <w:rPr>
          <w:i/>
          <w:sz w:val="16"/>
          <w:szCs w:val="16"/>
        </w:rPr>
        <w:t>share</w:t>
      </w:r>
      <w:r w:rsidR="005314EA" w:rsidRPr="00A75729">
        <w:rPr>
          <w:sz w:val="16"/>
          <w:szCs w:val="16"/>
        </w:rPr>
        <w:t xml:space="preserve"> a nivel nacional en la provisión del </w:t>
      </w:r>
      <w:proofErr w:type="spellStart"/>
      <w:r w:rsidR="005314EA" w:rsidRPr="00A75729">
        <w:rPr>
          <w:sz w:val="16"/>
          <w:szCs w:val="16"/>
        </w:rPr>
        <w:t>SRSAC</w:t>
      </w:r>
      <w:proofErr w:type="spellEnd"/>
      <w:r w:rsidR="005314EA" w:rsidRPr="00A75729">
        <w:rPr>
          <w:sz w:val="16"/>
          <w:szCs w:val="16"/>
        </w:rPr>
        <w:t xml:space="preserve"> utilizando como </w:t>
      </w:r>
      <w:r w:rsidR="005314EA" w:rsidRPr="00A75729">
        <w:rPr>
          <w:i/>
          <w:sz w:val="16"/>
          <w:szCs w:val="16"/>
        </w:rPr>
        <w:t>proxy</w:t>
      </w:r>
      <w:r w:rsidR="005314EA" w:rsidRPr="00A75729">
        <w:rPr>
          <w:sz w:val="16"/>
          <w:szCs w:val="16"/>
        </w:rPr>
        <w:t xml:space="preserve"> </w:t>
      </w:r>
      <w:r w:rsidR="005B580C" w:rsidRPr="00A75729">
        <w:rPr>
          <w:sz w:val="16"/>
          <w:szCs w:val="16"/>
        </w:rPr>
        <w:t xml:space="preserve">la participación en </w:t>
      </w:r>
      <w:r w:rsidR="005314EA" w:rsidRPr="00A75729">
        <w:rPr>
          <w:sz w:val="16"/>
          <w:szCs w:val="16"/>
        </w:rPr>
        <w:t>el número de estaciones de radio</w:t>
      </w:r>
      <w:r w:rsidR="00EB1393" w:rsidRPr="00A75729">
        <w:rPr>
          <w:sz w:val="16"/>
          <w:szCs w:val="16"/>
        </w:rPr>
        <w:t>difusión</w:t>
      </w:r>
      <w:r w:rsidR="005314EA" w:rsidRPr="00A75729">
        <w:rPr>
          <w:sz w:val="16"/>
          <w:szCs w:val="16"/>
        </w:rPr>
        <w:t xml:space="preserve"> sonora </w:t>
      </w:r>
      <w:r w:rsidR="00EB1393" w:rsidRPr="00A75729">
        <w:rPr>
          <w:sz w:val="16"/>
          <w:szCs w:val="16"/>
        </w:rPr>
        <w:t xml:space="preserve">abierta comercial </w:t>
      </w:r>
      <w:r w:rsidR="005314EA" w:rsidRPr="00A75729">
        <w:rPr>
          <w:sz w:val="16"/>
          <w:szCs w:val="16"/>
        </w:rPr>
        <w:t xml:space="preserve">a nivel nacional; </w:t>
      </w:r>
      <w:r w:rsidR="00EB1393" w:rsidRPr="00A75729">
        <w:rPr>
          <w:sz w:val="16"/>
          <w:szCs w:val="16"/>
        </w:rPr>
        <w:t xml:space="preserve">y </w:t>
      </w:r>
      <w:r w:rsidR="005314EA" w:rsidRPr="00A75729">
        <w:rPr>
          <w:sz w:val="16"/>
          <w:szCs w:val="16"/>
        </w:rPr>
        <w:t xml:space="preserve">3) se calculó un promedio ponderado del </w:t>
      </w:r>
      <w:r w:rsidR="005314EA" w:rsidRPr="00A75729">
        <w:rPr>
          <w:i/>
          <w:sz w:val="16"/>
          <w:szCs w:val="16"/>
        </w:rPr>
        <w:t>share</w:t>
      </w:r>
      <w:r w:rsidR="005314EA" w:rsidRPr="00A75729">
        <w:rPr>
          <w:sz w:val="16"/>
          <w:szCs w:val="16"/>
        </w:rPr>
        <w:t xml:space="preserve"> en el </w:t>
      </w:r>
      <w:proofErr w:type="spellStart"/>
      <w:r w:rsidR="005314EA" w:rsidRPr="00A75729">
        <w:rPr>
          <w:sz w:val="16"/>
          <w:szCs w:val="16"/>
        </w:rPr>
        <w:t>STRDC</w:t>
      </w:r>
      <w:proofErr w:type="spellEnd"/>
      <w:r w:rsidR="005314EA" w:rsidRPr="00A75729">
        <w:rPr>
          <w:sz w:val="16"/>
          <w:szCs w:val="16"/>
        </w:rPr>
        <w:t xml:space="preserve"> y del </w:t>
      </w:r>
      <w:r w:rsidR="005314EA" w:rsidRPr="00A75729">
        <w:rPr>
          <w:i/>
          <w:sz w:val="16"/>
          <w:szCs w:val="16"/>
        </w:rPr>
        <w:t>share</w:t>
      </w:r>
      <w:r w:rsidR="005314EA" w:rsidRPr="00A75729">
        <w:rPr>
          <w:sz w:val="16"/>
          <w:szCs w:val="16"/>
        </w:rPr>
        <w:t xml:space="preserve"> en el </w:t>
      </w:r>
      <w:proofErr w:type="spellStart"/>
      <w:r w:rsidR="005314EA" w:rsidRPr="00A75729">
        <w:rPr>
          <w:sz w:val="16"/>
          <w:szCs w:val="16"/>
        </w:rPr>
        <w:t>SRSAC</w:t>
      </w:r>
      <w:proofErr w:type="spellEnd"/>
      <w:r w:rsidR="005314EA" w:rsidRPr="00A75729">
        <w:rPr>
          <w:sz w:val="16"/>
          <w:szCs w:val="16"/>
        </w:rPr>
        <w:t xml:space="preserve">, con base en la distribución de ingresos </w:t>
      </w:r>
      <w:r w:rsidR="005B580C" w:rsidRPr="00A75729">
        <w:rPr>
          <w:sz w:val="16"/>
          <w:szCs w:val="16"/>
        </w:rPr>
        <w:t>destinados a radio y a televisión reportados por el INEGI</w:t>
      </w:r>
      <w:r w:rsidR="006B35D8" w:rsidRPr="00A75729">
        <w:rPr>
          <w:sz w:val="16"/>
          <w:szCs w:val="16"/>
        </w:rPr>
        <w:t xml:space="preserve"> (de acuerdo con el Censo Económico 2014 –el último disponible- realizado por el INEGI, la actividad económica “</w:t>
      </w:r>
      <w:r w:rsidR="006B35D8" w:rsidRPr="00A75729">
        <w:rPr>
          <w:i/>
          <w:sz w:val="16"/>
          <w:szCs w:val="16"/>
        </w:rPr>
        <w:t>Transmisión de programas de Radio</w:t>
      </w:r>
      <w:r w:rsidR="006B35D8" w:rsidRPr="00A75729">
        <w:rPr>
          <w:sz w:val="16"/>
          <w:szCs w:val="16"/>
        </w:rPr>
        <w:t xml:space="preserve">” tuvo </w:t>
      </w:r>
      <w:r w:rsidR="00006D4B">
        <w:rPr>
          <w:sz w:val="16"/>
          <w:szCs w:val="16"/>
        </w:rPr>
        <w:t>ingresos</w:t>
      </w:r>
      <w:r w:rsidR="006B35D8" w:rsidRPr="00A75729">
        <w:rPr>
          <w:sz w:val="16"/>
          <w:szCs w:val="16"/>
        </w:rPr>
        <w:t xml:space="preserve"> de </w:t>
      </w:r>
      <w:r w:rsidR="00006D4B">
        <w:rPr>
          <w:sz w:val="16"/>
          <w:szCs w:val="16"/>
        </w:rPr>
        <w:t>10,821.06</w:t>
      </w:r>
      <w:r w:rsidR="006B35D8" w:rsidRPr="00A75729">
        <w:rPr>
          <w:sz w:val="16"/>
          <w:szCs w:val="16"/>
        </w:rPr>
        <w:t xml:space="preserve"> millones de pesos y la actividad “</w:t>
      </w:r>
      <w:r w:rsidR="006B35D8" w:rsidRPr="00A75729">
        <w:rPr>
          <w:i/>
          <w:sz w:val="16"/>
          <w:szCs w:val="16"/>
        </w:rPr>
        <w:t>Transmisión de programas de televisión</w:t>
      </w:r>
      <w:r w:rsidR="006B35D8" w:rsidRPr="00A75729">
        <w:rPr>
          <w:sz w:val="16"/>
          <w:szCs w:val="16"/>
        </w:rPr>
        <w:t xml:space="preserve">” </w:t>
      </w:r>
      <w:r w:rsidR="00006D4B">
        <w:rPr>
          <w:sz w:val="16"/>
          <w:szCs w:val="16"/>
        </w:rPr>
        <w:t>ingresos</w:t>
      </w:r>
      <w:r w:rsidR="006B35D8" w:rsidRPr="00A75729">
        <w:rPr>
          <w:sz w:val="16"/>
          <w:szCs w:val="16"/>
        </w:rPr>
        <w:t xml:space="preserve"> de </w:t>
      </w:r>
      <w:r w:rsidR="00006D4B">
        <w:rPr>
          <w:sz w:val="16"/>
          <w:szCs w:val="16"/>
        </w:rPr>
        <w:t>54,362.97</w:t>
      </w:r>
      <w:r w:rsidR="006B35D8" w:rsidRPr="00A75729">
        <w:rPr>
          <w:sz w:val="16"/>
          <w:szCs w:val="16"/>
        </w:rPr>
        <w:t xml:space="preserve"> millones de pesos; con estas cifras, se tiene que el </w:t>
      </w:r>
      <w:proofErr w:type="spellStart"/>
      <w:r w:rsidR="006B35D8" w:rsidRPr="00A75729">
        <w:rPr>
          <w:sz w:val="16"/>
          <w:szCs w:val="16"/>
        </w:rPr>
        <w:t>SRSAC</w:t>
      </w:r>
      <w:proofErr w:type="spellEnd"/>
      <w:r w:rsidR="006B35D8" w:rsidRPr="00A75729">
        <w:rPr>
          <w:sz w:val="16"/>
          <w:szCs w:val="16"/>
        </w:rPr>
        <w:t xml:space="preserve"> y el </w:t>
      </w:r>
      <w:proofErr w:type="spellStart"/>
      <w:r w:rsidR="006B35D8" w:rsidRPr="00A75729">
        <w:rPr>
          <w:sz w:val="16"/>
          <w:szCs w:val="16"/>
        </w:rPr>
        <w:t>STRDC</w:t>
      </w:r>
      <w:proofErr w:type="spellEnd"/>
      <w:r w:rsidR="006B35D8" w:rsidRPr="00A75729">
        <w:rPr>
          <w:sz w:val="16"/>
          <w:szCs w:val="16"/>
        </w:rPr>
        <w:t xml:space="preserve"> reciben </w:t>
      </w:r>
      <w:r w:rsidR="00006D4B">
        <w:rPr>
          <w:sz w:val="16"/>
          <w:szCs w:val="16"/>
        </w:rPr>
        <w:t>16.53</w:t>
      </w:r>
      <w:r w:rsidR="006B35D8" w:rsidRPr="00A75729">
        <w:rPr>
          <w:sz w:val="16"/>
          <w:szCs w:val="16"/>
        </w:rPr>
        <w:t xml:space="preserve">% y </w:t>
      </w:r>
      <w:r w:rsidR="00006D4B">
        <w:rPr>
          <w:sz w:val="16"/>
          <w:szCs w:val="16"/>
        </w:rPr>
        <w:t>83.47</w:t>
      </w:r>
      <w:r w:rsidR="006B35D8" w:rsidRPr="00A75729">
        <w:rPr>
          <w:sz w:val="16"/>
          <w:szCs w:val="16"/>
        </w:rPr>
        <w:t xml:space="preserve">% de </w:t>
      </w:r>
      <w:r w:rsidR="00006D4B">
        <w:rPr>
          <w:sz w:val="16"/>
          <w:szCs w:val="16"/>
        </w:rPr>
        <w:t>los ingresos</w:t>
      </w:r>
      <w:r w:rsidR="006B35D8" w:rsidRPr="00A75729">
        <w:rPr>
          <w:sz w:val="16"/>
          <w:szCs w:val="16"/>
        </w:rPr>
        <w:t xml:space="preserve"> de publicidad en el sector de radiodifusión, respectivamente;</w:t>
      </w:r>
      <w:r w:rsidR="006B35D8" w:rsidRPr="00A75729">
        <w:rPr>
          <w:rStyle w:val="Refdenotaalpie"/>
          <w:sz w:val="16"/>
          <w:szCs w:val="16"/>
        </w:rPr>
        <w:footnoteReference w:id="42"/>
      </w:r>
      <w:r w:rsidR="006B35D8" w:rsidRPr="00A75729">
        <w:rPr>
          <w:sz w:val="16"/>
          <w:szCs w:val="16"/>
        </w:rPr>
        <w:t xml:space="preserve"> con esos pesos relativos se calculó el promedio ponderado mencionado anteriormente)</w:t>
      </w:r>
      <w:r w:rsidR="005B580C" w:rsidRPr="00A75729">
        <w:rPr>
          <w:sz w:val="16"/>
          <w:szCs w:val="16"/>
        </w:rPr>
        <w:t>.</w:t>
      </w:r>
    </w:p>
    <w:p w:rsidR="00F80D00" w:rsidRPr="00A75729" w:rsidRDefault="00F80D00" w:rsidP="00F80D00">
      <w:pPr>
        <w:ind w:right="-1"/>
      </w:pPr>
      <w:r w:rsidRPr="00A75729">
        <w:t>Con base en las participaciones sectoriales a niv</w:t>
      </w:r>
      <w:r w:rsidR="00DD46AD" w:rsidRPr="00A75729">
        <w:t>el nacional de cada uno de los A</w:t>
      </w:r>
      <w:r w:rsidRPr="00A75729">
        <w:t xml:space="preserve">gentes </w:t>
      </w:r>
      <w:r w:rsidR="00DD46AD" w:rsidRPr="00A75729">
        <w:t>E</w:t>
      </w:r>
      <w:r w:rsidRPr="00A75729">
        <w:t xml:space="preserve">conómicos que participan en el sector de </w:t>
      </w:r>
      <w:r w:rsidR="00EE2DD2" w:rsidRPr="00A75729">
        <w:t>radiodifusión</w:t>
      </w:r>
      <w:r w:rsidRPr="00A75729">
        <w:t>, y de conformidad con la metodología establecida en el tercer párrafo del Noveno Transitorio,</w:t>
      </w:r>
      <w:r w:rsidRPr="00A75729">
        <w:rPr>
          <w:rStyle w:val="Refdenotaalpie"/>
        </w:rPr>
        <w:footnoteReference w:id="43"/>
      </w:r>
      <w:r w:rsidRPr="00A75729">
        <w:t xml:space="preserve"> se calculó el </w:t>
      </w:r>
      <w:proofErr w:type="spellStart"/>
      <w:r w:rsidRPr="00A75729">
        <w:t>IHH</w:t>
      </w:r>
      <w:proofErr w:type="spellEnd"/>
      <w:r w:rsidRPr="00A75729">
        <w:t xml:space="preserve"> y el ID antes y después de la Operación. Los resultados se presentan en el </w:t>
      </w:r>
      <w:r w:rsidR="00336211" w:rsidRPr="00A75729">
        <w:t>C</w:t>
      </w:r>
      <w:r w:rsidRPr="00A75729">
        <w:t>uadro</w:t>
      </w:r>
      <w:r w:rsidR="00336211" w:rsidRPr="00A75729">
        <w:t xml:space="preserve"> siguiente</w:t>
      </w:r>
      <w:r w:rsidRPr="00A75729">
        <w:t>.</w:t>
      </w:r>
    </w:p>
    <w:p w:rsidR="00F80D00" w:rsidRPr="00A75729" w:rsidRDefault="00F80D00" w:rsidP="00FB57CD">
      <w:pPr>
        <w:pStyle w:val="Prrafodelista"/>
        <w:keepNext/>
        <w:numPr>
          <w:ilvl w:val="0"/>
          <w:numId w:val="18"/>
        </w:numPr>
        <w:spacing w:after="120" w:line="276" w:lineRule="auto"/>
        <w:ind w:left="426" w:hanging="357"/>
        <w:contextualSpacing w:val="0"/>
        <w:jc w:val="center"/>
        <w:rPr>
          <w:b/>
          <w:szCs w:val="20"/>
        </w:rPr>
      </w:pPr>
      <w:r w:rsidRPr="00A75729">
        <w:rPr>
          <w:b/>
          <w:szCs w:val="20"/>
        </w:rPr>
        <w:lastRenderedPageBreak/>
        <w:t xml:space="preserve">Índices de concentración en el sector de </w:t>
      </w:r>
      <w:r w:rsidR="0088356E" w:rsidRPr="00A75729">
        <w:rPr>
          <w:b/>
          <w:szCs w:val="20"/>
        </w:rPr>
        <w:t xml:space="preserve">radiodifusión </w:t>
      </w:r>
      <w:r w:rsidRPr="00A75729">
        <w:rPr>
          <w:b/>
          <w:szCs w:val="20"/>
        </w:rPr>
        <w:t>antes y después de la Operación</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395"/>
        <w:gridCol w:w="1602"/>
        <w:gridCol w:w="1217"/>
        <w:gridCol w:w="1491"/>
        <w:gridCol w:w="1380"/>
        <w:gridCol w:w="1217"/>
      </w:tblGrid>
      <w:tr w:rsidR="00EB1393" w:rsidRPr="00A75729" w:rsidTr="008F3CC0">
        <w:trPr>
          <w:tblHeader/>
          <w:jc w:val="center"/>
        </w:trPr>
        <w:tc>
          <w:tcPr>
            <w:tcW w:w="1696" w:type="dxa"/>
            <w:vMerge w:val="restart"/>
            <w:shd w:val="clear" w:color="auto" w:fill="92D050"/>
            <w:vAlign w:val="center"/>
          </w:tcPr>
          <w:p w:rsidR="00EB1393" w:rsidRPr="00A75729" w:rsidRDefault="00EB1393" w:rsidP="00EB1393">
            <w:pPr>
              <w:spacing w:before="0" w:after="0"/>
              <w:ind w:right="-1"/>
              <w:jc w:val="center"/>
              <w:rPr>
                <w:b/>
                <w:sz w:val="20"/>
                <w:szCs w:val="20"/>
              </w:rPr>
            </w:pPr>
            <w:r w:rsidRPr="00A75729">
              <w:rPr>
                <w:b/>
                <w:sz w:val="20"/>
                <w:szCs w:val="20"/>
              </w:rPr>
              <w:t>Variable o fuente de Información</w:t>
            </w:r>
          </w:p>
        </w:tc>
        <w:tc>
          <w:tcPr>
            <w:tcW w:w="4214" w:type="dxa"/>
            <w:gridSpan w:val="3"/>
            <w:shd w:val="clear" w:color="auto" w:fill="92D050"/>
            <w:vAlign w:val="center"/>
          </w:tcPr>
          <w:p w:rsidR="00EB1393" w:rsidRPr="00A75729" w:rsidRDefault="00EB1393" w:rsidP="00EB1393">
            <w:pPr>
              <w:spacing w:before="0" w:after="0"/>
              <w:ind w:right="-1"/>
              <w:jc w:val="center"/>
              <w:rPr>
                <w:b/>
                <w:sz w:val="20"/>
                <w:szCs w:val="20"/>
              </w:rPr>
            </w:pPr>
            <w:proofErr w:type="spellStart"/>
            <w:r w:rsidRPr="00A75729">
              <w:rPr>
                <w:b/>
                <w:sz w:val="20"/>
                <w:szCs w:val="20"/>
              </w:rPr>
              <w:t>IHH</w:t>
            </w:r>
            <w:proofErr w:type="spellEnd"/>
          </w:p>
        </w:tc>
        <w:tc>
          <w:tcPr>
            <w:tcW w:w="4088" w:type="dxa"/>
            <w:gridSpan w:val="3"/>
            <w:shd w:val="clear" w:color="auto" w:fill="92D050"/>
            <w:vAlign w:val="center"/>
          </w:tcPr>
          <w:p w:rsidR="00EB1393" w:rsidRPr="00A75729" w:rsidRDefault="00EB1393" w:rsidP="00EB1393">
            <w:pPr>
              <w:spacing w:before="0" w:after="0"/>
              <w:ind w:right="-1"/>
              <w:jc w:val="center"/>
              <w:rPr>
                <w:b/>
                <w:sz w:val="20"/>
                <w:szCs w:val="20"/>
              </w:rPr>
            </w:pPr>
            <w:r w:rsidRPr="00A75729">
              <w:rPr>
                <w:b/>
                <w:sz w:val="20"/>
                <w:szCs w:val="20"/>
              </w:rPr>
              <w:t>ID</w:t>
            </w:r>
          </w:p>
        </w:tc>
      </w:tr>
      <w:tr w:rsidR="00EB1393" w:rsidRPr="00A75729" w:rsidTr="008F3CC0">
        <w:trPr>
          <w:tblHeader/>
          <w:jc w:val="center"/>
        </w:trPr>
        <w:tc>
          <w:tcPr>
            <w:tcW w:w="1696" w:type="dxa"/>
            <w:vMerge/>
            <w:shd w:val="clear" w:color="auto" w:fill="92D050"/>
            <w:vAlign w:val="center"/>
          </w:tcPr>
          <w:p w:rsidR="00EB1393" w:rsidRPr="00A75729" w:rsidRDefault="00EB1393" w:rsidP="00EB1393">
            <w:pPr>
              <w:spacing w:before="0" w:after="0"/>
              <w:ind w:right="-1"/>
              <w:jc w:val="center"/>
              <w:rPr>
                <w:b/>
                <w:sz w:val="20"/>
                <w:szCs w:val="20"/>
              </w:rPr>
            </w:pPr>
          </w:p>
        </w:tc>
        <w:tc>
          <w:tcPr>
            <w:tcW w:w="1395" w:type="dxa"/>
            <w:shd w:val="clear" w:color="auto" w:fill="92D050"/>
            <w:vAlign w:val="center"/>
          </w:tcPr>
          <w:p w:rsidR="00EB1393" w:rsidRPr="00A75729" w:rsidRDefault="00EB1393" w:rsidP="00EB1393">
            <w:pPr>
              <w:spacing w:before="0" w:after="0"/>
              <w:ind w:right="-1"/>
              <w:jc w:val="center"/>
              <w:rPr>
                <w:b/>
                <w:sz w:val="20"/>
                <w:szCs w:val="20"/>
              </w:rPr>
            </w:pPr>
            <w:r w:rsidRPr="00A75729">
              <w:rPr>
                <w:b/>
                <w:sz w:val="20"/>
                <w:szCs w:val="20"/>
              </w:rPr>
              <w:t>Antes</w:t>
            </w:r>
          </w:p>
          <w:p w:rsidR="00EB1393" w:rsidRPr="00A75729" w:rsidRDefault="00EB1393" w:rsidP="00EB1393">
            <w:pPr>
              <w:spacing w:before="0" w:after="0"/>
              <w:ind w:right="-1"/>
              <w:jc w:val="center"/>
              <w:rPr>
                <w:b/>
                <w:sz w:val="20"/>
                <w:szCs w:val="20"/>
              </w:rPr>
            </w:pPr>
            <w:r w:rsidRPr="00A75729">
              <w:rPr>
                <w:b/>
                <w:sz w:val="20"/>
                <w:szCs w:val="20"/>
              </w:rPr>
              <w:t>de la Operación</w:t>
            </w:r>
          </w:p>
        </w:tc>
        <w:tc>
          <w:tcPr>
            <w:tcW w:w="1602" w:type="dxa"/>
            <w:shd w:val="clear" w:color="auto" w:fill="92D050"/>
            <w:vAlign w:val="center"/>
          </w:tcPr>
          <w:p w:rsidR="00EB1393" w:rsidRPr="00A75729" w:rsidRDefault="00EB1393" w:rsidP="00EB1393">
            <w:pPr>
              <w:spacing w:before="0" w:after="0"/>
              <w:ind w:right="-1"/>
              <w:jc w:val="center"/>
              <w:rPr>
                <w:b/>
                <w:sz w:val="20"/>
                <w:szCs w:val="20"/>
              </w:rPr>
            </w:pPr>
            <w:r w:rsidRPr="00A75729">
              <w:rPr>
                <w:b/>
                <w:sz w:val="20"/>
                <w:szCs w:val="20"/>
              </w:rPr>
              <w:t>Después</w:t>
            </w:r>
          </w:p>
          <w:p w:rsidR="00EB1393" w:rsidRPr="00A75729" w:rsidRDefault="00EB1393" w:rsidP="00EB1393">
            <w:pPr>
              <w:spacing w:before="0" w:after="0"/>
              <w:ind w:right="-1"/>
              <w:jc w:val="center"/>
              <w:rPr>
                <w:b/>
                <w:sz w:val="20"/>
                <w:szCs w:val="20"/>
              </w:rPr>
            </w:pPr>
            <w:r w:rsidRPr="00A75729">
              <w:rPr>
                <w:b/>
                <w:sz w:val="20"/>
                <w:szCs w:val="20"/>
              </w:rPr>
              <w:t>de la Operación</w:t>
            </w:r>
          </w:p>
        </w:tc>
        <w:tc>
          <w:tcPr>
            <w:tcW w:w="1217" w:type="dxa"/>
            <w:shd w:val="clear" w:color="auto" w:fill="92D050"/>
            <w:vAlign w:val="center"/>
          </w:tcPr>
          <w:p w:rsidR="00EB1393" w:rsidRPr="00A75729" w:rsidRDefault="00EB1393" w:rsidP="00EB1393">
            <w:pPr>
              <w:spacing w:before="0" w:after="0"/>
              <w:ind w:right="-1"/>
              <w:jc w:val="center"/>
              <w:rPr>
                <w:b/>
                <w:sz w:val="20"/>
                <w:szCs w:val="20"/>
              </w:rPr>
            </w:pPr>
            <w:r w:rsidRPr="00A75729">
              <w:rPr>
                <w:b/>
                <w:sz w:val="20"/>
                <w:szCs w:val="20"/>
              </w:rPr>
              <w:t>Diferencia</w:t>
            </w:r>
          </w:p>
        </w:tc>
        <w:tc>
          <w:tcPr>
            <w:tcW w:w="1491" w:type="dxa"/>
            <w:shd w:val="clear" w:color="auto" w:fill="92D050"/>
            <w:vAlign w:val="center"/>
          </w:tcPr>
          <w:p w:rsidR="00EB1393" w:rsidRPr="00A75729" w:rsidRDefault="00EB1393" w:rsidP="00EB1393">
            <w:pPr>
              <w:spacing w:before="0" w:after="0"/>
              <w:ind w:right="-1"/>
              <w:jc w:val="center"/>
              <w:rPr>
                <w:b/>
                <w:sz w:val="20"/>
                <w:szCs w:val="20"/>
              </w:rPr>
            </w:pPr>
            <w:r w:rsidRPr="00A75729">
              <w:rPr>
                <w:b/>
                <w:sz w:val="20"/>
                <w:szCs w:val="20"/>
              </w:rPr>
              <w:t>Antes</w:t>
            </w:r>
          </w:p>
          <w:p w:rsidR="00EB1393" w:rsidRPr="00A75729" w:rsidRDefault="00EB1393" w:rsidP="00EB1393">
            <w:pPr>
              <w:spacing w:before="0" w:after="0"/>
              <w:ind w:right="-1"/>
              <w:jc w:val="center"/>
              <w:rPr>
                <w:b/>
                <w:sz w:val="20"/>
                <w:szCs w:val="20"/>
              </w:rPr>
            </w:pPr>
            <w:r w:rsidRPr="00A75729">
              <w:rPr>
                <w:b/>
                <w:sz w:val="20"/>
                <w:szCs w:val="20"/>
              </w:rPr>
              <w:t>de la Operación</w:t>
            </w:r>
          </w:p>
        </w:tc>
        <w:tc>
          <w:tcPr>
            <w:tcW w:w="1380" w:type="dxa"/>
            <w:shd w:val="clear" w:color="auto" w:fill="92D050"/>
            <w:vAlign w:val="center"/>
          </w:tcPr>
          <w:p w:rsidR="00EB1393" w:rsidRPr="00A75729" w:rsidRDefault="00EB1393" w:rsidP="00EB1393">
            <w:pPr>
              <w:spacing w:before="0" w:after="0"/>
              <w:ind w:right="-1"/>
              <w:jc w:val="center"/>
              <w:rPr>
                <w:b/>
                <w:sz w:val="20"/>
                <w:szCs w:val="20"/>
              </w:rPr>
            </w:pPr>
            <w:r w:rsidRPr="00A75729">
              <w:rPr>
                <w:b/>
                <w:sz w:val="20"/>
                <w:szCs w:val="20"/>
              </w:rPr>
              <w:t>Después</w:t>
            </w:r>
          </w:p>
          <w:p w:rsidR="00EB1393" w:rsidRPr="00A75729" w:rsidRDefault="00EB1393" w:rsidP="00EB1393">
            <w:pPr>
              <w:spacing w:before="0" w:after="0"/>
              <w:ind w:right="-1"/>
              <w:jc w:val="center"/>
              <w:rPr>
                <w:b/>
                <w:sz w:val="20"/>
                <w:szCs w:val="20"/>
              </w:rPr>
            </w:pPr>
            <w:r w:rsidRPr="00A75729">
              <w:rPr>
                <w:b/>
                <w:sz w:val="20"/>
                <w:szCs w:val="20"/>
              </w:rPr>
              <w:t>de la Operación</w:t>
            </w:r>
          </w:p>
        </w:tc>
        <w:tc>
          <w:tcPr>
            <w:tcW w:w="1217" w:type="dxa"/>
            <w:shd w:val="clear" w:color="auto" w:fill="92D050"/>
            <w:vAlign w:val="center"/>
          </w:tcPr>
          <w:p w:rsidR="00EB1393" w:rsidRPr="00A75729" w:rsidRDefault="00EB1393" w:rsidP="00EB1393">
            <w:pPr>
              <w:spacing w:before="0" w:after="0"/>
              <w:ind w:right="-1"/>
              <w:jc w:val="center"/>
              <w:rPr>
                <w:b/>
                <w:sz w:val="20"/>
                <w:szCs w:val="20"/>
              </w:rPr>
            </w:pPr>
            <w:r w:rsidRPr="00A75729">
              <w:rPr>
                <w:b/>
                <w:sz w:val="20"/>
                <w:szCs w:val="20"/>
              </w:rPr>
              <w:t>Diferencia</w:t>
            </w:r>
          </w:p>
        </w:tc>
      </w:tr>
      <w:tr w:rsidR="00EB1393" w:rsidRPr="00A75729" w:rsidTr="008F3CC0">
        <w:trPr>
          <w:trHeight w:val="53"/>
          <w:jc w:val="center"/>
        </w:trPr>
        <w:tc>
          <w:tcPr>
            <w:tcW w:w="1696" w:type="dxa"/>
            <w:vAlign w:val="center"/>
          </w:tcPr>
          <w:p w:rsidR="00EB1393" w:rsidRPr="00A75729" w:rsidRDefault="00EB1393" w:rsidP="00EB1393">
            <w:pPr>
              <w:spacing w:before="0" w:after="0"/>
              <w:ind w:right="-1"/>
              <w:rPr>
                <w:sz w:val="20"/>
                <w:szCs w:val="20"/>
              </w:rPr>
            </w:pPr>
            <w:proofErr w:type="spellStart"/>
            <w:r w:rsidRPr="00A75729">
              <w:rPr>
                <w:rFonts w:eastAsia="Times New Roman" w:cs="Calibri"/>
                <w:color w:val="000000"/>
                <w:sz w:val="20"/>
                <w:szCs w:val="20"/>
              </w:rPr>
              <w:t>ENCCA</w:t>
            </w:r>
            <w:proofErr w:type="spellEnd"/>
          </w:p>
        </w:tc>
        <w:tc>
          <w:tcPr>
            <w:tcW w:w="1395" w:type="dxa"/>
            <w:vAlign w:val="center"/>
          </w:tcPr>
          <w:p w:rsidR="00EB1393" w:rsidRPr="00A75729" w:rsidRDefault="00EB1393" w:rsidP="00F511CC">
            <w:pPr>
              <w:spacing w:before="0" w:after="0"/>
              <w:ind w:right="-1"/>
              <w:jc w:val="right"/>
              <w:rPr>
                <w:sz w:val="20"/>
                <w:szCs w:val="20"/>
              </w:rPr>
            </w:pPr>
            <w:r w:rsidRPr="00A75729">
              <w:rPr>
                <w:sz w:val="20"/>
                <w:szCs w:val="20"/>
              </w:rPr>
              <w:t>3</w:t>
            </w:r>
            <w:r w:rsidR="007C552A" w:rsidRPr="00A75729">
              <w:rPr>
                <w:sz w:val="20"/>
                <w:szCs w:val="20"/>
              </w:rPr>
              <w:t>,</w:t>
            </w:r>
            <w:r w:rsidRPr="00A75729">
              <w:rPr>
                <w:sz w:val="20"/>
                <w:szCs w:val="20"/>
              </w:rPr>
              <w:t>097.79</w:t>
            </w:r>
          </w:p>
        </w:tc>
        <w:tc>
          <w:tcPr>
            <w:tcW w:w="1602" w:type="dxa"/>
            <w:vAlign w:val="center"/>
          </w:tcPr>
          <w:p w:rsidR="00EB1393" w:rsidRPr="00A75729" w:rsidRDefault="00EB1393" w:rsidP="00F511CC">
            <w:pPr>
              <w:spacing w:before="0" w:after="0"/>
              <w:ind w:right="-1"/>
              <w:jc w:val="right"/>
              <w:rPr>
                <w:sz w:val="20"/>
                <w:szCs w:val="20"/>
              </w:rPr>
            </w:pPr>
            <w:r w:rsidRPr="00A75729">
              <w:rPr>
                <w:sz w:val="20"/>
                <w:szCs w:val="20"/>
              </w:rPr>
              <w:t>3,097.88</w:t>
            </w:r>
          </w:p>
        </w:tc>
        <w:tc>
          <w:tcPr>
            <w:tcW w:w="1217" w:type="dxa"/>
            <w:vAlign w:val="center"/>
          </w:tcPr>
          <w:p w:rsidR="00EB1393" w:rsidRPr="00A75729" w:rsidRDefault="00EB1393" w:rsidP="00F511CC">
            <w:pPr>
              <w:spacing w:before="0" w:after="0"/>
              <w:ind w:right="-1"/>
              <w:jc w:val="right"/>
              <w:rPr>
                <w:b/>
                <w:sz w:val="20"/>
                <w:szCs w:val="20"/>
              </w:rPr>
            </w:pPr>
            <w:r w:rsidRPr="00A75729">
              <w:rPr>
                <w:b/>
                <w:sz w:val="20"/>
                <w:szCs w:val="20"/>
              </w:rPr>
              <w:t>0.09</w:t>
            </w:r>
          </w:p>
        </w:tc>
        <w:tc>
          <w:tcPr>
            <w:tcW w:w="1491" w:type="dxa"/>
            <w:vAlign w:val="center"/>
          </w:tcPr>
          <w:p w:rsidR="00EB1393" w:rsidRPr="00A75729" w:rsidRDefault="00EB1393" w:rsidP="00F511CC">
            <w:pPr>
              <w:spacing w:before="0" w:after="0"/>
              <w:ind w:right="-1"/>
              <w:jc w:val="right"/>
              <w:rPr>
                <w:sz w:val="20"/>
                <w:szCs w:val="20"/>
              </w:rPr>
            </w:pPr>
            <w:r w:rsidRPr="00A75729">
              <w:rPr>
                <w:sz w:val="20"/>
                <w:szCs w:val="20"/>
              </w:rPr>
              <w:t>4,818.71</w:t>
            </w:r>
          </w:p>
        </w:tc>
        <w:tc>
          <w:tcPr>
            <w:tcW w:w="1380" w:type="dxa"/>
            <w:vAlign w:val="center"/>
          </w:tcPr>
          <w:p w:rsidR="00EB1393" w:rsidRPr="00A75729" w:rsidRDefault="00EB1393" w:rsidP="00F511CC">
            <w:pPr>
              <w:spacing w:before="0" w:after="0"/>
              <w:ind w:right="-1"/>
              <w:jc w:val="right"/>
              <w:rPr>
                <w:sz w:val="20"/>
                <w:szCs w:val="20"/>
              </w:rPr>
            </w:pPr>
            <w:r w:rsidRPr="00A75729">
              <w:rPr>
                <w:sz w:val="20"/>
                <w:szCs w:val="20"/>
              </w:rPr>
              <w:t>4,818.44</w:t>
            </w:r>
          </w:p>
        </w:tc>
        <w:tc>
          <w:tcPr>
            <w:tcW w:w="1217" w:type="dxa"/>
            <w:vAlign w:val="center"/>
          </w:tcPr>
          <w:p w:rsidR="00EB1393" w:rsidRPr="00A75729" w:rsidRDefault="00EB1393" w:rsidP="00F511CC">
            <w:pPr>
              <w:spacing w:before="0" w:after="0"/>
              <w:ind w:right="-1"/>
              <w:jc w:val="right"/>
              <w:rPr>
                <w:b/>
                <w:sz w:val="20"/>
                <w:szCs w:val="20"/>
              </w:rPr>
            </w:pPr>
            <w:r w:rsidRPr="00A75729">
              <w:rPr>
                <w:b/>
                <w:sz w:val="20"/>
                <w:szCs w:val="20"/>
              </w:rPr>
              <w:t>-0.27</w:t>
            </w:r>
          </w:p>
        </w:tc>
      </w:tr>
      <w:tr w:rsidR="00EB1393" w:rsidRPr="00A75729" w:rsidTr="008F3CC0">
        <w:trPr>
          <w:trHeight w:val="53"/>
          <w:jc w:val="center"/>
        </w:trPr>
        <w:tc>
          <w:tcPr>
            <w:tcW w:w="1696" w:type="dxa"/>
            <w:vAlign w:val="center"/>
          </w:tcPr>
          <w:p w:rsidR="00EB1393" w:rsidRPr="00A75729" w:rsidRDefault="00EB1393" w:rsidP="00EB1393">
            <w:pPr>
              <w:spacing w:before="0" w:after="0"/>
              <w:ind w:right="-1"/>
              <w:rPr>
                <w:sz w:val="20"/>
                <w:szCs w:val="20"/>
              </w:rPr>
            </w:pPr>
            <w:r w:rsidRPr="00A75729">
              <w:rPr>
                <w:rFonts w:eastAsia="Times New Roman" w:cs="Calibri"/>
                <w:color w:val="000000"/>
                <w:sz w:val="20"/>
                <w:szCs w:val="20"/>
                <w:lang w:val="es-MX"/>
              </w:rPr>
              <w:t>Número de estaciones de radiodifusión</w:t>
            </w:r>
          </w:p>
        </w:tc>
        <w:tc>
          <w:tcPr>
            <w:tcW w:w="1395" w:type="dxa"/>
            <w:vAlign w:val="center"/>
          </w:tcPr>
          <w:p w:rsidR="00EB1393" w:rsidRPr="00A75729" w:rsidRDefault="00F37F0F" w:rsidP="004178FC">
            <w:pPr>
              <w:spacing w:before="0" w:after="0"/>
              <w:ind w:right="-1"/>
              <w:jc w:val="right"/>
              <w:rPr>
                <w:sz w:val="20"/>
                <w:szCs w:val="20"/>
              </w:rPr>
            </w:pPr>
            <w:r w:rsidRPr="00A75729">
              <w:rPr>
                <w:sz w:val="20"/>
                <w:szCs w:val="20"/>
              </w:rPr>
              <w:t>699.4</w:t>
            </w:r>
            <w:r w:rsidR="004178FC">
              <w:rPr>
                <w:sz w:val="20"/>
                <w:szCs w:val="20"/>
              </w:rPr>
              <w:t>1</w:t>
            </w:r>
          </w:p>
        </w:tc>
        <w:tc>
          <w:tcPr>
            <w:tcW w:w="1602" w:type="dxa"/>
            <w:vAlign w:val="center"/>
          </w:tcPr>
          <w:p w:rsidR="00EB1393" w:rsidRPr="00A75729" w:rsidRDefault="00F37F0F" w:rsidP="004178FC">
            <w:pPr>
              <w:spacing w:before="0" w:after="0"/>
              <w:ind w:right="-1"/>
              <w:jc w:val="right"/>
              <w:rPr>
                <w:sz w:val="20"/>
                <w:szCs w:val="20"/>
              </w:rPr>
            </w:pPr>
            <w:r w:rsidRPr="00A75729">
              <w:rPr>
                <w:sz w:val="20"/>
                <w:szCs w:val="20"/>
              </w:rPr>
              <w:t>699.</w:t>
            </w:r>
            <w:r w:rsidR="004178FC">
              <w:rPr>
                <w:sz w:val="20"/>
                <w:szCs w:val="20"/>
              </w:rPr>
              <w:t>75</w:t>
            </w:r>
          </w:p>
        </w:tc>
        <w:tc>
          <w:tcPr>
            <w:tcW w:w="1217" w:type="dxa"/>
            <w:vAlign w:val="center"/>
          </w:tcPr>
          <w:p w:rsidR="00EB1393" w:rsidRPr="00A75729" w:rsidRDefault="00F37F0F" w:rsidP="004178FC">
            <w:pPr>
              <w:spacing w:before="0" w:after="0"/>
              <w:ind w:right="-1"/>
              <w:jc w:val="right"/>
              <w:rPr>
                <w:b/>
                <w:sz w:val="20"/>
                <w:szCs w:val="20"/>
              </w:rPr>
            </w:pPr>
            <w:r w:rsidRPr="00A75729">
              <w:rPr>
                <w:b/>
                <w:sz w:val="20"/>
                <w:szCs w:val="20"/>
              </w:rPr>
              <w:t>0.3</w:t>
            </w:r>
            <w:r w:rsidR="004178FC">
              <w:rPr>
                <w:b/>
                <w:sz w:val="20"/>
                <w:szCs w:val="20"/>
              </w:rPr>
              <w:t>4</w:t>
            </w:r>
          </w:p>
        </w:tc>
        <w:tc>
          <w:tcPr>
            <w:tcW w:w="1491" w:type="dxa"/>
            <w:vAlign w:val="center"/>
          </w:tcPr>
          <w:p w:rsidR="00EB1393" w:rsidRPr="00A75729" w:rsidRDefault="00F37F0F" w:rsidP="004178FC">
            <w:pPr>
              <w:spacing w:before="0" w:after="0"/>
              <w:ind w:right="-1"/>
              <w:jc w:val="right"/>
              <w:rPr>
                <w:sz w:val="20"/>
                <w:szCs w:val="20"/>
              </w:rPr>
            </w:pPr>
            <w:r w:rsidRPr="00A75729">
              <w:rPr>
                <w:sz w:val="20"/>
                <w:szCs w:val="20"/>
              </w:rPr>
              <w:t>2</w:t>
            </w:r>
            <w:r w:rsidR="007C552A" w:rsidRPr="00A75729">
              <w:rPr>
                <w:sz w:val="20"/>
                <w:szCs w:val="20"/>
              </w:rPr>
              <w:t>,</w:t>
            </w:r>
            <w:r w:rsidRPr="00A75729">
              <w:rPr>
                <w:sz w:val="20"/>
                <w:szCs w:val="20"/>
              </w:rPr>
              <w:t>2</w:t>
            </w:r>
            <w:r w:rsidR="004178FC">
              <w:rPr>
                <w:sz w:val="20"/>
                <w:szCs w:val="20"/>
              </w:rPr>
              <w:t>51.13</w:t>
            </w:r>
          </w:p>
        </w:tc>
        <w:tc>
          <w:tcPr>
            <w:tcW w:w="1380" w:type="dxa"/>
            <w:vAlign w:val="center"/>
          </w:tcPr>
          <w:p w:rsidR="00EB1393" w:rsidRPr="00A75729" w:rsidRDefault="00F37F0F" w:rsidP="004178FC">
            <w:pPr>
              <w:spacing w:before="0" w:after="0"/>
              <w:ind w:right="-1"/>
              <w:jc w:val="right"/>
              <w:rPr>
                <w:sz w:val="20"/>
                <w:szCs w:val="20"/>
              </w:rPr>
            </w:pPr>
            <w:r w:rsidRPr="00A75729">
              <w:rPr>
                <w:sz w:val="20"/>
                <w:szCs w:val="20"/>
              </w:rPr>
              <w:t>2</w:t>
            </w:r>
            <w:r w:rsidR="007C552A" w:rsidRPr="00A75729">
              <w:rPr>
                <w:sz w:val="20"/>
                <w:szCs w:val="20"/>
              </w:rPr>
              <w:t>,</w:t>
            </w:r>
            <w:r w:rsidRPr="00A75729">
              <w:rPr>
                <w:sz w:val="20"/>
                <w:szCs w:val="20"/>
              </w:rPr>
              <w:t>24</w:t>
            </w:r>
            <w:r w:rsidR="004178FC">
              <w:rPr>
                <w:sz w:val="20"/>
                <w:szCs w:val="20"/>
              </w:rPr>
              <w:t>9.12</w:t>
            </w:r>
          </w:p>
        </w:tc>
        <w:tc>
          <w:tcPr>
            <w:tcW w:w="1217" w:type="dxa"/>
            <w:vAlign w:val="center"/>
          </w:tcPr>
          <w:p w:rsidR="00EB1393" w:rsidRPr="00A75729" w:rsidRDefault="00F37F0F" w:rsidP="004178FC">
            <w:pPr>
              <w:spacing w:before="0" w:after="0"/>
              <w:ind w:right="-1"/>
              <w:jc w:val="right"/>
              <w:rPr>
                <w:b/>
                <w:sz w:val="20"/>
                <w:szCs w:val="20"/>
              </w:rPr>
            </w:pPr>
            <w:r w:rsidRPr="00A75729">
              <w:rPr>
                <w:b/>
                <w:sz w:val="20"/>
                <w:szCs w:val="20"/>
              </w:rPr>
              <w:t>-2.</w:t>
            </w:r>
            <w:r w:rsidR="004178FC">
              <w:rPr>
                <w:b/>
                <w:sz w:val="20"/>
                <w:szCs w:val="20"/>
              </w:rPr>
              <w:t>01</w:t>
            </w:r>
          </w:p>
        </w:tc>
      </w:tr>
      <w:tr w:rsidR="00EB1393" w:rsidRPr="00A75729" w:rsidTr="008F3CC0">
        <w:trPr>
          <w:trHeight w:val="53"/>
          <w:jc w:val="center"/>
        </w:trPr>
        <w:tc>
          <w:tcPr>
            <w:tcW w:w="1696" w:type="dxa"/>
            <w:tcBorders>
              <w:bottom w:val="single" w:sz="4" w:space="0" w:color="auto"/>
            </w:tcBorders>
            <w:vAlign w:val="center"/>
          </w:tcPr>
          <w:p w:rsidR="00EB1393" w:rsidRPr="00A75729" w:rsidRDefault="00EB1393" w:rsidP="00EB1393">
            <w:pPr>
              <w:spacing w:before="0" w:after="0"/>
              <w:ind w:right="-1"/>
              <w:rPr>
                <w:sz w:val="20"/>
                <w:szCs w:val="20"/>
              </w:rPr>
            </w:pPr>
            <w:r w:rsidRPr="00A75729">
              <w:rPr>
                <w:rFonts w:eastAsia="Times New Roman" w:cs="Calibri"/>
                <w:color w:val="000000"/>
                <w:sz w:val="20"/>
                <w:szCs w:val="20"/>
                <w:lang w:val="es-MX"/>
              </w:rPr>
              <w:t>Audiencia (</w:t>
            </w:r>
            <w:r w:rsidRPr="00A75729">
              <w:rPr>
                <w:rFonts w:eastAsia="Times New Roman" w:cs="Calibri"/>
                <w:i/>
                <w:color w:val="000000"/>
                <w:sz w:val="20"/>
                <w:szCs w:val="20"/>
                <w:lang w:val="es-MX"/>
              </w:rPr>
              <w:t>Share</w:t>
            </w:r>
            <w:r w:rsidRPr="00A75729">
              <w:rPr>
                <w:rFonts w:eastAsia="Times New Roman" w:cs="Calibri"/>
                <w:color w:val="000000"/>
                <w:sz w:val="20"/>
                <w:szCs w:val="20"/>
                <w:lang w:val="es-MX"/>
              </w:rPr>
              <w:t>)</w:t>
            </w:r>
          </w:p>
        </w:tc>
        <w:tc>
          <w:tcPr>
            <w:tcW w:w="1395" w:type="dxa"/>
            <w:tcBorders>
              <w:bottom w:val="single" w:sz="4" w:space="0" w:color="auto"/>
            </w:tcBorders>
            <w:vAlign w:val="center"/>
          </w:tcPr>
          <w:p w:rsidR="00EB1393" w:rsidRPr="00A75729" w:rsidRDefault="00F511CC" w:rsidP="00006D4B">
            <w:pPr>
              <w:spacing w:before="0" w:after="0"/>
              <w:ind w:right="-1"/>
              <w:jc w:val="right"/>
              <w:rPr>
                <w:sz w:val="20"/>
                <w:szCs w:val="20"/>
              </w:rPr>
            </w:pPr>
            <w:r w:rsidRPr="00A75729">
              <w:rPr>
                <w:sz w:val="20"/>
                <w:szCs w:val="20"/>
              </w:rPr>
              <w:t>3,</w:t>
            </w:r>
            <w:r w:rsidR="00006D4B">
              <w:rPr>
                <w:sz w:val="20"/>
                <w:szCs w:val="20"/>
              </w:rPr>
              <w:t>590.15</w:t>
            </w:r>
          </w:p>
        </w:tc>
        <w:tc>
          <w:tcPr>
            <w:tcW w:w="1602" w:type="dxa"/>
            <w:tcBorders>
              <w:bottom w:val="single" w:sz="4" w:space="0" w:color="auto"/>
            </w:tcBorders>
            <w:vAlign w:val="center"/>
          </w:tcPr>
          <w:p w:rsidR="00EB1393" w:rsidRPr="00A75729" w:rsidRDefault="00F511CC" w:rsidP="00006D4B">
            <w:pPr>
              <w:spacing w:before="0" w:after="0"/>
              <w:ind w:right="-1"/>
              <w:jc w:val="right"/>
              <w:rPr>
                <w:sz w:val="20"/>
                <w:szCs w:val="20"/>
              </w:rPr>
            </w:pPr>
            <w:r w:rsidRPr="00A75729">
              <w:rPr>
                <w:sz w:val="20"/>
                <w:szCs w:val="20"/>
              </w:rPr>
              <w:t>3,</w:t>
            </w:r>
            <w:r w:rsidR="00006D4B">
              <w:rPr>
                <w:sz w:val="20"/>
                <w:szCs w:val="20"/>
              </w:rPr>
              <w:t>590.20</w:t>
            </w:r>
          </w:p>
        </w:tc>
        <w:tc>
          <w:tcPr>
            <w:tcW w:w="1217" w:type="dxa"/>
            <w:tcBorders>
              <w:bottom w:val="single" w:sz="4" w:space="0" w:color="auto"/>
            </w:tcBorders>
            <w:vAlign w:val="center"/>
          </w:tcPr>
          <w:p w:rsidR="00EB1393" w:rsidRPr="00A75729" w:rsidRDefault="00F511CC" w:rsidP="00006D4B">
            <w:pPr>
              <w:spacing w:before="0" w:after="0"/>
              <w:ind w:right="-1"/>
              <w:jc w:val="right"/>
              <w:rPr>
                <w:b/>
                <w:sz w:val="20"/>
                <w:szCs w:val="20"/>
              </w:rPr>
            </w:pPr>
            <w:r w:rsidRPr="00A75729">
              <w:rPr>
                <w:b/>
                <w:sz w:val="20"/>
                <w:szCs w:val="20"/>
              </w:rPr>
              <w:t>0.0</w:t>
            </w:r>
            <w:r w:rsidR="00006D4B">
              <w:rPr>
                <w:b/>
                <w:sz w:val="20"/>
                <w:szCs w:val="20"/>
              </w:rPr>
              <w:t>5</w:t>
            </w:r>
          </w:p>
        </w:tc>
        <w:tc>
          <w:tcPr>
            <w:tcW w:w="1491" w:type="dxa"/>
            <w:tcBorders>
              <w:bottom w:val="single" w:sz="4" w:space="0" w:color="auto"/>
            </w:tcBorders>
            <w:vAlign w:val="center"/>
          </w:tcPr>
          <w:p w:rsidR="00EB1393" w:rsidRPr="00A75729" w:rsidRDefault="00F511CC" w:rsidP="004178FC">
            <w:pPr>
              <w:spacing w:before="0" w:after="0"/>
              <w:ind w:right="-1"/>
              <w:jc w:val="right"/>
              <w:rPr>
                <w:sz w:val="20"/>
                <w:szCs w:val="20"/>
              </w:rPr>
            </w:pPr>
            <w:r w:rsidRPr="00A75729">
              <w:rPr>
                <w:sz w:val="20"/>
                <w:szCs w:val="20"/>
              </w:rPr>
              <w:t>7,767.14</w:t>
            </w:r>
          </w:p>
        </w:tc>
        <w:tc>
          <w:tcPr>
            <w:tcW w:w="1380" w:type="dxa"/>
            <w:tcBorders>
              <w:bottom w:val="single" w:sz="4" w:space="0" w:color="auto"/>
            </w:tcBorders>
            <w:vAlign w:val="center"/>
          </w:tcPr>
          <w:p w:rsidR="00EB1393" w:rsidRPr="00A75729" w:rsidRDefault="00F511CC" w:rsidP="00006D4B">
            <w:pPr>
              <w:spacing w:before="0" w:after="0"/>
              <w:ind w:right="-1"/>
              <w:jc w:val="right"/>
              <w:rPr>
                <w:sz w:val="20"/>
                <w:szCs w:val="20"/>
              </w:rPr>
            </w:pPr>
            <w:r w:rsidRPr="00A75729">
              <w:rPr>
                <w:sz w:val="20"/>
                <w:szCs w:val="20"/>
              </w:rPr>
              <w:t>7,76</w:t>
            </w:r>
            <w:r w:rsidR="00006D4B">
              <w:rPr>
                <w:sz w:val="20"/>
                <w:szCs w:val="20"/>
              </w:rPr>
              <w:t>1.24</w:t>
            </w:r>
          </w:p>
        </w:tc>
        <w:tc>
          <w:tcPr>
            <w:tcW w:w="1217" w:type="dxa"/>
            <w:tcBorders>
              <w:bottom w:val="single" w:sz="4" w:space="0" w:color="auto"/>
            </w:tcBorders>
            <w:vAlign w:val="center"/>
          </w:tcPr>
          <w:p w:rsidR="00EB1393" w:rsidRPr="00A75729" w:rsidRDefault="00F511CC" w:rsidP="00006D4B">
            <w:pPr>
              <w:spacing w:before="0" w:after="0"/>
              <w:ind w:right="-1"/>
              <w:jc w:val="right"/>
              <w:rPr>
                <w:b/>
                <w:sz w:val="20"/>
                <w:szCs w:val="20"/>
              </w:rPr>
            </w:pPr>
            <w:r w:rsidRPr="00A75729">
              <w:rPr>
                <w:b/>
                <w:sz w:val="20"/>
                <w:szCs w:val="20"/>
              </w:rPr>
              <w:t>-0.</w:t>
            </w:r>
            <w:r w:rsidR="00006D4B">
              <w:rPr>
                <w:b/>
                <w:sz w:val="20"/>
                <w:szCs w:val="20"/>
              </w:rPr>
              <w:t>20</w:t>
            </w:r>
          </w:p>
        </w:tc>
      </w:tr>
    </w:tbl>
    <w:p w:rsidR="00336211" w:rsidRPr="00A75729" w:rsidRDefault="00336211" w:rsidP="00336211">
      <w:pPr>
        <w:spacing w:before="0" w:after="0"/>
        <w:rPr>
          <w:rFonts w:eastAsia="Times New Roman"/>
          <w:bCs/>
          <w:sz w:val="16"/>
          <w:szCs w:val="20"/>
        </w:rPr>
      </w:pPr>
      <w:r w:rsidRPr="00A75729">
        <w:rPr>
          <w:rFonts w:eastAsia="Times New Roman"/>
          <w:bCs/>
          <w:sz w:val="16"/>
          <w:szCs w:val="20"/>
        </w:rPr>
        <w:t>Fuente: Elaboración propia con información</w:t>
      </w:r>
      <w:r w:rsidR="00F37F0F" w:rsidRPr="00A75729">
        <w:rPr>
          <w:rFonts w:eastAsia="Times New Roman"/>
          <w:bCs/>
          <w:sz w:val="16"/>
          <w:szCs w:val="20"/>
        </w:rPr>
        <w:t xml:space="preserve"> del Cuadro 13.</w:t>
      </w:r>
    </w:p>
    <w:p w:rsidR="00F37F0F" w:rsidRPr="00A75729" w:rsidRDefault="00F37F0F" w:rsidP="00336211">
      <w:pPr>
        <w:spacing w:before="0" w:after="0"/>
        <w:rPr>
          <w:rFonts w:eastAsia="Times New Roman"/>
          <w:bCs/>
          <w:sz w:val="16"/>
          <w:szCs w:val="20"/>
        </w:rPr>
      </w:pPr>
      <w:r w:rsidRPr="00A75729">
        <w:rPr>
          <w:rFonts w:eastAsia="Times New Roman"/>
          <w:bCs/>
          <w:sz w:val="16"/>
          <w:szCs w:val="20"/>
        </w:rPr>
        <w:t>NOTA:</w:t>
      </w:r>
    </w:p>
    <w:p w:rsidR="00F37F0F" w:rsidRPr="00A75729" w:rsidRDefault="00F37F0F" w:rsidP="00F37F0F">
      <w:pPr>
        <w:spacing w:before="0" w:after="0"/>
        <w:rPr>
          <w:sz w:val="16"/>
          <w:szCs w:val="20"/>
        </w:rPr>
      </w:pPr>
      <w:r w:rsidRPr="00A75729">
        <w:rPr>
          <w:sz w:val="16"/>
          <w:szCs w:val="20"/>
        </w:rPr>
        <w:t xml:space="preserve">En el cálculo del </w:t>
      </w:r>
      <w:proofErr w:type="spellStart"/>
      <w:r w:rsidRPr="00A75729">
        <w:rPr>
          <w:sz w:val="16"/>
          <w:szCs w:val="20"/>
        </w:rPr>
        <w:t>IHH</w:t>
      </w:r>
      <w:proofErr w:type="spellEnd"/>
      <w:r w:rsidRPr="00A75729">
        <w:rPr>
          <w:sz w:val="16"/>
          <w:szCs w:val="20"/>
        </w:rPr>
        <w:t xml:space="preserve"> y del ID se consideraron únicamente a los principales grupos que prestan servicios de radiodifusión comercial conocidos como Televisa, TV Azteca, Radio Centro, Imagen, Grupo Fórmula, </w:t>
      </w:r>
      <w:proofErr w:type="spellStart"/>
      <w:r w:rsidRPr="00A75729">
        <w:rPr>
          <w:sz w:val="16"/>
          <w:szCs w:val="20"/>
        </w:rPr>
        <w:t>MVS</w:t>
      </w:r>
      <w:proofErr w:type="spellEnd"/>
      <w:r w:rsidRPr="00A75729">
        <w:rPr>
          <w:sz w:val="16"/>
          <w:szCs w:val="20"/>
        </w:rPr>
        <w:t xml:space="preserve">, </w:t>
      </w:r>
      <w:proofErr w:type="spellStart"/>
      <w:r w:rsidRPr="00A75729">
        <w:rPr>
          <w:sz w:val="16"/>
          <w:szCs w:val="20"/>
        </w:rPr>
        <w:t>Acir</w:t>
      </w:r>
      <w:proofErr w:type="spellEnd"/>
      <w:r w:rsidRPr="00A75729">
        <w:rPr>
          <w:sz w:val="16"/>
          <w:szCs w:val="20"/>
        </w:rPr>
        <w:t xml:space="preserve">, </w:t>
      </w:r>
      <w:proofErr w:type="spellStart"/>
      <w:r w:rsidRPr="00A75729">
        <w:rPr>
          <w:sz w:val="16"/>
          <w:szCs w:val="20"/>
        </w:rPr>
        <w:t>Radiorama</w:t>
      </w:r>
      <w:proofErr w:type="spellEnd"/>
      <w:r w:rsidRPr="00A75729">
        <w:rPr>
          <w:sz w:val="16"/>
          <w:szCs w:val="20"/>
        </w:rPr>
        <w:t xml:space="preserve">, </w:t>
      </w:r>
      <w:proofErr w:type="spellStart"/>
      <w:r w:rsidRPr="00A75729">
        <w:rPr>
          <w:sz w:val="16"/>
          <w:szCs w:val="20"/>
        </w:rPr>
        <w:t>TELSUSA</w:t>
      </w:r>
      <w:proofErr w:type="spellEnd"/>
      <w:r w:rsidRPr="00A75729">
        <w:rPr>
          <w:sz w:val="16"/>
          <w:szCs w:val="20"/>
        </w:rPr>
        <w:t xml:space="preserve"> y Multimedios.</w:t>
      </w:r>
    </w:p>
    <w:p w:rsidR="00F37F0F" w:rsidRPr="00A75729" w:rsidRDefault="00F37F0F" w:rsidP="00F37F0F">
      <w:pPr>
        <w:spacing w:before="0" w:after="0"/>
        <w:rPr>
          <w:sz w:val="16"/>
          <w:szCs w:val="20"/>
        </w:rPr>
      </w:pPr>
      <w:r w:rsidRPr="00A75729">
        <w:rPr>
          <w:sz w:val="16"/>
          <w:szCs w:val="20"/>
        </w:rPr>
        <w:t>El resto del mercado se dividió en “otros”, de tal manera que la participación de cada uno de los “otros” fuese menor a la del participante más pequeño de los identificados en el párrafo anterior.</w:t>
      </w:r>
    </w:p>
    <w:p w:rsidR="00F80D00" w:rsidRPr="00A75729" w:rsidRDefault="00F80D00" w:rsidP="00F80D00">
      <w:pPr>
        <w:ind w:right="-1"/>
      </w:pPr>
      <w:r w:rsidRPr="00A75729">
        <w:t xml:space="preserve">Como se observa en el cuadro anterior, la Operación implica una disminución del ID </w:t>
      </w:r>
      <w:r w:rsidR="00BB48F6" w:rsidRPr="00A75729">
        <w:t>a nivel nacional que va de 0.</w:t>
      </w:r>
      <w:r w:rsidR="00B461C8">
        <w:t>20</w:t>
      </w:r>
      <w:r w:rsidR="00BB48F6" w:rsidRPr="00A75729">
        <w:t xml:space="preserve"> (</w:t>
      </w:r>
      <w:proofErr w:type="gramStart"/>
      <w:r w:rsidR="00BB48F6" w:rsidRPr="00A75729">
        <w:t>cero punto</w:t>
      </w:r>
      <w:proofErr w:type="gramEnd"/>
      <w:r w:rsidR="00BB48F6" w:rsidRPr="00A75729">
        <w:t xml:space="preserve"> </w:t>
      </w:r>
      <w:r w:rsidR="00B461C8">
        <w:t>veinte</w:t>
      </w:r>
      <w:r w:rsidR="00BB48F6" w:rsidRPr="00A75729">
        <w:t>) a 2.</w:t>
      </w:r>
      <w:r w:rsidR="00B461C8">
        <w:t>01</w:t>
      </w:r>
      <w:r w:rsidR="00BB48F6" w:rsidRPr="00A75729">
        <w:t xml:space="preserve"> (dos punto </w:t>
      </w:r>
      <w:r w:rsidR="00B461C8">
        <w:t>cero uno</w:t>
      </w:r>
      <w:r w:rsidR="00BB48F6" w:rsidRPr="00A75729">
        <w:t xml:space="preserve">) </w:t>
      </w:r>
      <w:r w:rsidRPr="00A75729">
        <w:t xml:space="preserve">puntos y un incremento en el </w:t>
      </w:r>
      <w:proofErr w:type="spellStart"/>
      <w:r w:rsidRPr="00A75729">
        <w:t>IHH</w:t>
      </w:r>
      <w:proofErr w:type="spellEnd"/>
      <w:r w:rsidRPr="00A75729">
        <w:t xml:space="preserve"> </w:t>
      </w:r>
      <w:r w:rsidR="00BB48F6" w:rsidRPr="00A75729">
        <w:t>que va de 0.0</w:t>
      </w:r>
      <w:r w:rsidR="00B461C8">
        <w:t>5</w:t>
      </w:r>
      <w:r w:rsidR="00BB48F6" w:rsidRPr="00A75729">
        <w:t xml:space="preserve"> (cero punto cero </w:t>
      </w:r>
      <w:r w:rsidR="00B461C8">
        <w:t>cinco</w:t>
      </w:r>
      <w:r w:rsidR="00BB48F6" w:rsidRPr="00A75729">
        <w:t>) a 0.3</w:t>
      </w:r>
      <w:r w:rsidR="00B461C8">
        <w:t>4</w:t>
      </w:r>
      <w:r w:rsidRPr="00A75729">
        <w:t xml:space="preserve"> </w:t>
      </w:r>
      <w:r w:rsidR="00BB48F6" w:rsidRPr="00A75729">
        <w:t xml:space="preserve">(cero punto treinta y </w:t>
      </w:r>
      <w:r w:rsidR="00B461C8">
        <w:t>cuatro</w:t>
      </w:r>
      <w:r w:rsidR="00BB48F6" w:rsidRPr="00A75729">
        <w:t xml:space="preserve">) </w:t>
      </w:r>
      <w:r w:rsidRPr="00A75729">
        <w:t xml:space="preserve">puntos. Esto es, la Operación genera una reducción del ID en el sector </w:t>
      </w:r>
      <w:r w:rsidR="00BB48F6" w:rsidRPr="00A75729">
        <w:t xml:space="preserve">evaluado </w:t>
      </w:r>
      <w:r w:rsidRPr="00A75729">
        <w:t xml:space="preserve">y el </w:t>
      </w:r>
      <w:proofErr w:type="spellStart"/>
      <w:r w:rsidRPr="00A75729">
        <w:t>IHH</w:t>
      </w:r>
      <w:proofErr w:type="spellEnd"/>
      <w:r w:rsidRPr="00A75729">
        <w:t xml:space="preserve"> no se incrementa en más de 200 (doscientos) puntos.</w:t>
      </w:r>
    </w:p>
    <w:p w:rsidR="00F80D00" w:rsidRPr="00A75729" w:rsidRDefault="00F80D00" w:rsidP="00F80D00">
      <w:pPr>
        <w:ind w:right="-1"/>
      </w:pPr>
      <w:r w:rsidRPr="00A75729">
        <w:t xml:space="preserve">Por lo anterior, </w:t>
      </w:r>
      <w:r w:rsidRPr="00A75729">
        <w:rPr>
          <w:b/>
        </w:rPr>
        <w:t>la Operación cumple con el inciso a. del párrafo primero del Noveno Transitorio.</w:t>
      </w:r>
      <w:r w:rsidRPr="00A75729">
        <w:t xml:space="preserve"> </w:t>
      </w:r>
    </w:p>
    <w:p w:rsidR="00F80D00" w:rsidRPr="00A75729" w:rsidRDefault="000806F7" w:rsidP="000806F7">
      <w:pPr>
        <w:pStyle w:val="Ttulo4"/>
        <w:keepNext/>
        <w:spacing w:before="360" w:after="0"/>
        <w:ind w:firstLine="708"/>
        <w:jc w:val="left"/>
        <w:rPr>
          <w:lang w:val="es-MX"/>
        </w:rPr>
      </w:pPr>
      <w:bookmarkStart w:id="232" w:name="_Toc519100870"/>
      <w:r>
        <w:rPr>
          <w:lang w:val="es-MX" w:eastAsia="en-US"/>
        </w:rPr>
        <w:t xml:space="preserve">5.4.2 </w:t>
      </w:r>
      <w:r w:rsidR="00F80D00" w:rsidRPr="00A75729">
        <w:rPr>
          <w:lang w:val="es-MX"/>
        </w:rPr>
        <w:t>Inciso b.</w:t>
      </w:r>
      <w:bookmarkEnd w:id="232"/>
    </w:p>
    <w:p w:rsidR="00F80D00" w:rsidRPr="00A75729" w:rsidRDefault="00F80D00" w:rsidP="00F80D00">
      <w:r w:rsidRPr="00A75729">
        <w:t>El inciso b. del párrafo primero del Noveno Transitorio establece lo siguiente:</w:t>
      </w:r>
    </w:p>
    <w:p w:rsidR="00F80D00" w:rsidRPr="00A75729" w:rsidRDefault="00F80D00" w:rsidP="00FB57CD">
      <w:pPr>
        <w:pStyle w:val="Prrafodelista"/>
        <w:numPr>
          <w:ilvl w:val="0"/>
          <w:numId w:val="10"/>
        </w:numPr>
        <w:spacing w:after="120" w:line="276" w:lineRule="auto"/>
        <w:ind w:left="567"/>
        <w:contextualSpacing w:val="0"/>
        <w:rPr>
          <w:i/>
          <w:sz w:val="20"/>
        </w:rPr>
      </w:pPr>
      <w:r w:rsidRPr="00A75729">
        <w:rPr>
          <w:i/>
          <w:sz w:val="20"/>
        </w:rPr>
        <w:t>Tengan como resultado que el agente económico cuente con un porcentaje de participación sectorial menor al veinte por ciento;</w:t>
      </w:r>
    </w:p>
    <w:p w:rsidR="00FC51E4" w:rsidRPr="00A75729" w:rsidRDefault="00F80D00" w:rsidP="009F1A12">
      <w:r w:rsidRPr="00A75729">
        <w:t xml:space="preserve">Para evaluar el cumplimiento de este requisito debe determinarse la participación sectorial que el </w:t>
      </w:r>
      <w:proofErr w:type="spellStart"/>
      <w:r w:rsidRPr="00A75729">
        <w:t>GIE</w:t>
      </w:r>
      <w:proofErr w:type="spellEnd"/>
      <w:r w:rsidRPr="00A75729">
        <w:t xml:space="preserve"> Grupo </w:t>
      </w:r>
      <w:r w:rsidR="00EF6A49" w:rsidRPr="00A75729">
        <w:t xml:space="preserve">Multimedios </w:t>
      </w:r>
      <w:r w:rsidRPr="00A75729">
        <w:t xml:space="preserve">acumuló tras la Operación. Al respecto, con base en las cifras presentadas en el Cuadro </w:t>
      </w:r>
      <w:r w:rsidR="00EF6A49" w:rsidRPr="00A75729">
        <w:t>1</w:t>
      </w:r>
      <w:r w:rsidR="00BB48F6" w:rsidRPr="00A75729">
        <w:t>3</w:t>
      </w:r>
      <w:r w:rsidRPr="00A75729">
        <w:t xml:space="preserve">, se observa que antes de la Operación el </w:t>
      </w:r>
      <w:proofErr w:type="spellStart"/>
      <w:r w:rsidRPr="00A75729">
        <w:t>GIE</w:t>
      </w:r>
      <w:proofErr w:type="spellEnd"/>
      <w:r w:rsidRPr="00A75729">
        <w:t xml:space="preserve"> Grupo </w:t>
      </w:r>
      <w:r w:rsidR="00EF6A49" w:rsidRPr="00A75729">
        <w:t xml:space="preserve">Multimedios </w:t>
      </w:r>
      <w:r w:rsidRPr="00A75729">
        <w:t xml:space="preserve">tenía </w:t>
      </w:r>
      <w:r w:rsidR="00BB48F6" w:rsidRPr="00A75729">
        <w:t xml:space="preserve">entre </w:t>
      </w:r>
      <w:r w:rsidR="00E8226C" w:rsidRPr="00E8226C">
        <w:rPr>
          <w:b/>
          <w:bCs/>
          <w:color w:val="0000CC"/>
          <w:kern w:val="24"/>
          <w:sz w:val="20"/>
          <w:szCs w:val="20"/>
        </w:rPr>
        <w:t>“CONFIDENCIAL POR LEY (</w:t>
      </w:r>
      <w:r w:rsidR="00C05A93">
        <w:rPr>
          <w:b/>
          <w:bCs/>
          <w:color w:val="0000CC"/>
          <w:kern w:val="24"/>
          <w:sz w:val="20"/>
          <w:szCs w:val="20"/>
        </w:rPr>
        <w:t>4</w:t>
      </w:r>
      <w:r w:rsidR="00E8226C" w:rsidRPr="00E8226C">
        <w:rPr>
          <w:b/>
          <w:bCs/>
          <w:color w:val="0000CC"/>
          <w:kern w:val="24"/>
          <w:sz w:val="20"/>
          <w:szCs w:val="20"/>
        </w:rPr>
        <w:t>)”</w:t>
      </w:r>
      <w:r w:rsidR="00BB48F6" w:rsidRPr="00A75729">
        <w:t xml:space="preserve"> por ciento) y 4.40%</w:t>
      </w:r>
      <w:r w:rsidRPr="00A75729">
        <w:t xml:space="preserve"> (</w:t>
      </w:r>
      <w:proofErr w:type="gramStart"/>
      <w:r w:rsidR="00EF6A49" w:rsidRPr="00A75729">
        <w:t>cuatro punto</w:t>
      </w:r>
      <w:proofErr w:type="gramEnd"/>
      <w:r w:rsidR="00EF6A49" w:rsidRPr="00A75729">
        <w:t xml:space="preserve"> cuarenta</w:t>
      </w:r>
      <w:r w:rsidRPr="00A75729">
        <w:t xml:space="preserve"> </w:t>
      </w:r>
      <w:r w:rsidR="00EF6A49" w:rsidRPr="00A75729">
        <w:t>por ciento</w:t>
      </w:r>
      <w:r w:rsidRPr="00A75729">
        <w:t>) de participación sectorial, mientras que</w:t>
      </w:r>
      <w:r w:rsidR="00EF6A49" w:rsidRPr="00A75729">
        <w:t xml:space="preserve"> </w:t>
      </w:r>
      <w:r w:rsidR="00FC51E4" w:rsidRPr="00A75729">
        <w:t>la estación de radio de</w:t>
      </w:r>
      <w:r w:rsidR="00EF6A49" w:rsidRPr="00A75729">
        <w:t xml:space="preserve">l </w:t>
      </w:r>
      <w:proofErr w:type="spellStart"/>
      <w:r w:rsidR="00EF6A49" w:rsidRPr="00A75729">
        <w:t>GIE</w:t>
      </w:r>
      <w:proofErr w:type="spellEnd"/>
      <w:r w:rsidR="00EF6A49" w:rsidRPr="00A75729">
        <w:t xml:space="preserve"> Audio Publicidad</w:t>
      </w:r>
      <w:r w:rsidRPr="00A75729">
        <w:t xml:space="preserve"> </w:t>
      </w:r>
      <w:r w:rsidR="00FC51E4" w:rsidRPr="00A75729">
        <w:t xml:space="preserve">representaba una participación de </w:t>
      </w:r>
      <w:r w:rsidR="00BB48F6" w:rsidRPr="00A75729">
        <w:t xml:space="preserve">entre </w:t>
      </w:r>
      <w:r w:rsidR="00E8226C" w:rsidRPr="00E8226C">
        <w:rPr>
          <w:b/>
          <w:bCs/>
          <w:color w:val="0000CC"/>
          <w:kern w:val="24"/>
          <w:sz w:val="20"/>
          <w:szCs w:val="20"/>
        </w:rPr>
        <w:t>“CONFIDENCIAL POR LEY (</w:t>
      </w:r>
      <w:r w:rsidR="00C05A93">
        <w:rPr>
          <w:b/>
          <w:bCs/>
          <w:color w:val="0000CC"/>
          <w:kern w:val="24"/>
          <w:sz w:val="20"/>
          <w:szCs w:val="20"/>
        </w:rPr>
        <w:t>4</w:t>
      </w:r>
      <w:r w:rsidR="00E8226C" w:rsidRPr="00E8226C">
        <w:rPr>
          <w:b/>
          <w:bCs/>
          <w:color w:val="0000CC"/>
          <w:kern w:val="24"/>
          <w:sz w:val="20"/>
          <w:szCs w:val="20"/>
        </w:rPr>
        <w:t>)”</w:t>
      </w:r>
      <w:r w:rsidRPr="00A75729">
        <w:t>)</w:t>
      </w:r>
      <w:r w:rsidR="00BB48F6" w:rsidRPr="00A75729">
        <w:t xml:space="preserve"> y 0.05% (cinco centésimas de un punto porcentual)</w:t>
      </w:r>
      <w:r w:rsidRPr="00A75729">
        <w:t>.</w:t>
      </w:r>
    </w:p>
    <w:p w:rsidR="00F80D00" w:rsidRPr="00A75729" w:rsidRDefault="00FC51E4" w:rsidP="00F80D00">
      <w:pPr>
        <w:ind w:right="-1"/>
      </w:pPr>
      <w:r w:rsidRPr="00A75729">
        <w:lastRenderedPageBreak/>
        <w:t>C</w:t>
      </w:r>
      <w:r w:rsidR="00F80D00" w:rsidRPr="00A75729">
        <w:t xml:space="preserve">omo consecuencia de la Operación, el </w:t>
      </w:r>
      <w:proofErr w:type="spellStart"/>
      <w:r w:rsidR="00F80D00" w:rsidRPr="00A75729">
        <w:t>GIE</w:t>
      </w:r>
      <w:proofErr w:type="spellEnd"/>
      <w:r w:rsidR="00F80D00" w:rsidRPr="00A75729">
        <w:t xml:space="preserve"> Grupo </w:t>
      </w:r>
      <w:r w:rsidR="00EF6A49" w:rsidRPr="00A75729">
        <w:t xml:space="preserve">Multimedios </w:t>
      </w:r>
      <w:r w:rsidR="00F80D00" w:rsidRPr="00A75729">
        <w:t xml:space="preserve">acumuló una participación en el sector de </w:t>
      </w:r>
      <w:r w:rsidR="00EF6A49" w:rsidRPr="00A75729">
        <w:t xml:space="preserve">radiodifusión </w:t>
      </w:r>
      <w:r w:rsidR="00F80D00" w:rsidRPr="00A75729">
        <w:t xml:space="preserve">a nivel nacional de </w:t>
      </w:r>
      <w:r w:rsidRPr="00A75729">
        <w:t xml:space="preserve">entre </w:t>
      </w:r>
      <w:r w:rsidR="00E8226C" w:rsidRPr="00E8226C">
        <w:rPr>
          <w:b/>
          <w:bCs/>
          <w:color w:val="0000CC"/>
          <w:kern w:val="24"/>
          <w:sz w:val="20"/>
          <w:szCs w:val="20"/>
        </w:rPr>
        <w:t>“CONFIDENCIAL POR LEY (</w:t>
      </w:r>
      <w:r w:rsidR="00C05A93">
        <w:rPr>
          <w:b/>
          <w:bCs/>
          <w:color w:val="0000CC"/>
          <w:kern w:val="24"/>
          <w:sz w:val="20"/>
          <w:szCs w:val="20"/>
        </w:rPr>
        <w:t>4</w:t>
      </w:r>
      <w:r w:rsidR="00E8226C" w:rsidRPr="00E8226C">
        <w:rPr>
          <w:b/>
          <w:bCs/>
          <w:color w:val="0000CC"/>
          <w:kern w:val="24"/>
          <w:sz w:val="20"/>
          <w:szCs w:val="20"/>
        </w:rPr>
        <w:t>)”</w:t>
      </w:r>
      <w:r w:rsidR="00BB48F6" w:rsidRPr="00A75729">
        <w:t xml:space="preserve"> </w:t>
      </w:r>
      <w:r w:rsidRPr="00A75729">
        <w:t>y</w:t>
      </w:r>
      <w:r w:rsidR="00BB48F6" w:rsidRPr="00A75729">
        <w:t xml:space="preserve"> 4.41</w:t>
      </w:r>
      <w:r w:rsidR="00F80D00" w:rsidRPr="00A75729">
        <w:t>% (</w:t>
      </w:r>
      <w:proofErr w:type="gramStart"/>
      <w:r w:rsidR="00EF6A49" w:rsidRPr="00A75729">
        <w:t>cuatro punto</w:t>
      </w:r>
      <w:proofErr w:type="gramEnd"/>
      <w:r w:rsidR="00EF6A49" w:rsidRPr="00A75729">
        <w:t xml:space="preserve"> cuarenta y un</w:t>
      </w:r>
      <w:r w:rsidR="00F80D00" w:rsidRPr="00A75729">
        <w:t xml:space="preserve"> por</w:t>
      </w:r>
      <w:r w:rsidR="00EF6A49" w:rsidRPr="00A75729">
        <w:t xml:space="preserve"> </w:t>
      </w:r>
      <w:r w:rsidR="00F80D00" w:rsidRPr="00A75729">
        <w:t>c</w:t>
      </w:r>
      <w:r w:rsidR="00EF6A49" w:rsidRPr="00A75729">
        <w:t>iento</w:t>
      </w:r>
      <w:r w:rsidR="00F80D00" w:rsidRPr="00A75729">
        <w:t>), la cual es menor a 20% (veinte por ciento).</w:t>
      </w:r>
    </w:p>
    <w:p w:rsidR="00F80D00" w:rsidRPr="00A75729" w:rsidRDefault="00F80D00" w:rsidP="00F80D00">
      <w:pPr>
        <w:ind w:right="-1"/>
        <w:rPr>
          <w:strike/>
        </w:rPr>
      </w:pPr>
      <w:r w:rsidRPr="00A75729">
        <w:t xml:space="preserve">Por lo tanto, </w:t>
      </w:r>
      <w:r w:rsidRPr="00A75729">
        <w:rPr>
          <w:b/>
        </w:rPr>
        <w:t>la Operación cumple con el inciso b. del párrafo primero del Noveno Transitorio.</w:t>
      </w:r>
    </w:p>
    <w:p w:rsidR="00F80D00" w:rsidRPr="00A75729" w:rsidRDefault="000806F7" w:rsidP="000806F7">
      <w:pPr>
        <w:pStyle w:val="Ttulo4"/>
        <w:keepNext/>
        <w:spacing w:before="360" w:after="0"/>
        <w:ind w:firstLine="708"/>
        <w:jc w:val="left"/>
        <w:rPr>
          <w:lang w:val="es-MX"/>
        </w:rPr>
      </w:pPr>
      <w:bookmarkStart w:id="233" w:name="_Toc519100871"/>
      <w:r>
        <w:rPr>
          <w:lang w:val="es-MX" w:eastAsia="en-US"/>
        </w:rPr>
        <w:t xml:space="preserve">5.4.3 </w:t>
      </w:r>
      <w:r w:rsidR="00F80D00" w:rsidRPr="00A75729">
        <w:rPr>
          <w:lang w:val="es-MX"/>
        </w:rPr>
        <w:t>Inciso c.</w:t>
      </w:r>
      <w:bookmarkEnd w:id="233"/>
    </w:p>
    <w:p w:rsidR="00F80D00" w:rsidRPr="00A75729" w:rsidRDefault="00F80D00" w:rsidP="00F80D00">
      <w:r w:rsidRPr="00A75729">
        <w:t>El inciso c. del párrafo primero del Artículo Noveno Transitorio establece lo siguiente:</w:t>
      </w:r>
    </w:p>
    <w:p w:rsidR="00F80D00" w:rsidRPr="00A75729" w:rsidRDefault="00F80D00" w:rsidP="00FB57CD">
      <w:pPr>
        <w:pStyle w:val="Prrafodelista"/>
        <w:numPr>
          <w:ilvl w:val="0"/>
          <w:numId w:val="10"/>
        </w:numPr>
        <w:spacing w:after="120" w:line="276" w:lineRule="auto"/>
        <w:ind w:left="567"/>
        <w:contextualSpacing w:val="0"/>
        <w:rPr>
          <w:i/>
          <w:sz w:val="20"/>
        </w:rPr>
      </w:pPr>
      <w:r w:rsidRPr="00A75729">
        <w:rPr>
          <w:i/>
          <w:sz w:val="20"/>
        </w:rPr>
        <w:t>Que en dicha concentración no participe el agente económico preponderante en el sector en el que se lleve a cabo la concentración, y</w:t>
      </w:r>
    </w:p>
    <w:p w:rsidR="00F80D00" w:rsidRPr="00A75729" w:rsidRDefault="00F80D00" w:rsidP="00F80D00">
      <w:pPr>
        <w:ind w:right="-1"/>
      </w:pPr>
      <w:r w:rsidRPr="00A75729">
        <w:t>Al respecto, la Operación materia del Aviso de Concentración ocurr</w:t>
      </w:r>
      <w:r w:rsidR="00F753DA" w:rsidRPr="00A75729">
        <w:t>ió</w:t>
      </w:r>
      <w:r w:rsidRPr="00A75729">
        <w:t xml:space="preserve"> en el sector de </w:t>
      </w:r>
      <w:r w:rsidR="00EF6A49" w:rsidRPr="00A75729">
        <w:t>radiodifusión</w:t>
      </w:r>
      <w:r w:rsidRPr="00A75729">
        <w:t xml:space="preserve">, por lo que la condición establecida en el inciso analizado exige que no debe estar involucrada en la Operación ninguna persona que forme parte del </w:t>
      </w:r>
      <w:proofErr w:type="spellStart"/>
      <w:r w:rsidRPr="00A75729">
        <w:t>AEP</w:t>
      </w:r>
      <w:r w:rsidR="00EF6A49" w:rsidRPr="00A75729">
        <w:t>R</w:t>
      </w:r>
      <w:proofErr w:type="spellEnd"/>
      <w:r w:rsidRPr="00A75729">
        <w:t>.</w:t>
      </w:r>
    </w:p>
    <w:p w:rsidR="00F80D00" w:rsidRPr="00A75729" w:rsidRDefault="00F80D00" w:rsidP="00F80D00">
      <w:pPr>
        <w:ind w:right="-1"/>
        <w:rPr>
          <w:rFonts w:eastAsia="Times New Roman"/>
          <w:color w:val="000000"/>
          <w:lang w:val="es-MX"/>
        </w:rPr>
      </w:pPr>
      <w:r w:rsidRPr="00A75729">
        <w:t>Al respecto, l</w:t>
      </w:r>
      <w:r w:rsidRPr="00A75729">
        <w:rPr>
          <w:rFonts w:eastAsia="Times New Roman"/>
          <w:color w:val="000000"/>
          <w:lang w:val="es-MX"/>
        </w:rPr>
        <w:t>as Partes declararon lo siguiente:</w:t>
      </w:r>
      <w:r w:rsidRPr="00A75729">
        <w:rPr>
          <w:rFonts w:eastAsia="Times New Roman"/>
          <w:color w:val="000000"/>
          <w:sz w:val="20"/>
          <w:vertAlign w:val="superscript"/>
          <w:lang w:val="es-MX"/>
        </w:rPr>
        <w:footnoteReference w:id="44"/>
      </w:r>
    </w:p>
    <w:p w:rsidR="004E326A" w:rsidRPr="00A75729" w:rsidRDefault="00F80D00">
      <w:pPr>
        <w:ind w:left="567" w:right="-1"/>
        <w:rPr>
          <w:rFonts w:eastAsia="Times New Roman"/>
          <w:i/>
          <w:color w:val="000000"/>
          <w:sz w:val="20"/>
          <w:szCs w:val="20"/>
          <w:lang w:val="es-MX"/>
        </w:rPr>
      </w:pPr>
      <w:r w:rsidRPr="00A75729">
        <w:rPr>
          <w:rFonts w:eastAsia="Times New Roman"/>
          <w:i/>
          <w:color w:val="000000"/>
          <w:sz w:val="20"/>
          <w:szCs w:val="20"/>
          <w:lang w:val="es-MX"/>
        </w:rPr>
        <w:t>“</w:t>
      </w:r>
      <w:r w:rsidR="004E326A" w:rsidRPr="00A75729">
        <w:rPr>
          <w:i/>
          <w:sz w:val="20"/>
          <w:szCs w:val="20"/>
        </w:rPr>
        <w:t xml:space="preserve">(…) </w:t>
      </w:r>
      <w:r w:rsidR="00706A61" w:rsidRPr="00A75729">
        <w:rPr>
          <w:rFonts w:eastAsia="Times New Roman"/>
          <w:i/>
          <w:color w:val="000000"/>
          <w:sz w:val="20"/>
          <w:szCs w:val="20"/>
          <w:lang w:val="es-MX"/>
        </w:rPr>
        <w:t xml:space="preserve">en el Reporte Anual 2016 a la Bolsa Mexicana de Valores de Grupo Televisa, no hay mención al respecto de alguna relación directa o indirecta con Grupo </w:t>
      </w:r>
      <w:proofErr w:type="gramStart"/>
      <w:r w:rsidR="00706A61" w:rsidRPr="00A75729">
        <w:rPr>
          <w:rFonts w:eastAsia="Times New Roman"/>
          <w:i/>
          <w:color w:val="000000"/>
          <w:sz w:val="20"/>
          <w:szCs w:val="20"/>
          <w:lang w:val="es-MX"/>
        </w:rPr>
        <w:t>Multimedios</w:t>
      </w:r>
      <w:proofErr w:type="gramEnd"/>
      <w:r w:rsidR="00706A61" w:rsidRPr="00A75729">
        <w:rPr>
          <w:rFonts w:eastAsia="Times New Roman"/>
          <w:i/>
          <w:color w:val="000000"/>
          <w:sz w:val="20"/>
          <w:szCs w:val="20"/>
          <w:lang w:val="es-MX"/>
        </w:rPr>
        <w:t xml:space="preserve"> por el contrario, dicho reporte establece que este grupo es un competidor</w:t>
      </w:r>
      <w:r w:rsidR="004E326A" w:rsidRPr="00A75729">
        <w:rPr>
          <w:rFonts w:eastAsia="Times New Roman"/>
          <w:i/>
          <w:color w:val="000000"/>
          <w:sz w:val="20"/>
          <w:szCs w:val="20"/>
          <w:lang w:val="es-MX"/>
        </w:rPr>
        <w:t>.</w:t>
      </w:r>
    </w:p>
    <w:p w:rsidR="007C552A" w:rsidRPr="00A75729" w:rsidRDefault="004E326A">
      <w:pPr>
        <w:ind w:left="567" w:right="-1"/>
        <w:rPr>
          <w:i/>
          <w:sz w:val="20"/>
          <w:szCs w:val="20"/>
        </w:rPr>
      </w:pPr>
      <w:r w:rsidRPr="00A75729">
        <w:rPr>
          <w:i/>
          <w:sz w:val="20"/>
          <w:szCs w:val="20"/>
        </w:rPr>
        <w:t xml:space="preserve">(…) De lo anterior es posible inferir que Radio Triunfos, Audio Publicidad y/o alguna otra empresa perteneciente </w:t>
      </w:r>
      <w:proofErr w:type="spellStart"/>
      <w:r w:rsidR="007C552A" w:rsidRPr="00A75729">
        <w:rPr>
          <w:i/>
          <w:sz w:val="20"/>
          <w:szCs w:val="20"/>
        </w:rPr>
        <w:t>a</w:t>
      </w:r>
      <w:proofErr w:type="spellEnd"/>
      <w:r w:rsidRPr="00A75729">
        <w:rPr>
          <w:i/>
          <w:sz w:val="20"/>
          <w:szCs w:val="20"/>
        </w:rPr>
        <w:t xml:space="preserve"> Grupo Multimedios no tiene alguna relación directa o indirecta con el </w:t>
      </w:r>
      <w:r w:rsidR="006C2BEF" w:rsidRPr="00A75729">
        <w:rPr>
          <w:i/>
          <w:sz w:val="20"/>
          <w:szCs w:val="20"/>
        </w:rPr>
        <w:t>[</w:t>
      </w:r>
      <w:proofErr w:type="spellStart"/>
      <w:r w:rsidR="006C2BEF" w:rsidRPr="00A75729">
        <w:rPr>
          <w:i/>
          <w:sz w:val="20"/>
          <w:szCs w:val="20"/>
        </w:rPr>
        <w:t>AEPR</w:t>
      </w:r>
      <w:proofErr w:type="spellEnd"/>
      <w:r w:rsidR="006C2BEF" w:rsidRPr="00A75729">
        <w:rPr>
          <w:i/>
          <w:sz w:val="20"/>
          <w:szCs w:val="20"/>
        </w:rPr>
        <w:t>]</w:t>
      </w:r>
      <w:r w:rsidRPr="00A75729">
        <w:rPr>
          <w:i/>
          <w:sz w:val="20"/>
          <w:szCs w:val="20"/>
        </w:rPr>
        <w:t>.</w:t>
      </w:r>
    </w:p>
    <w:p w:rsidR="007C552A" w:rsidRPr="00A75729" w:rsidRDefault="007C552A">
      <w:pPr>
        <w:ind w:left="567" w:right="-1"/>
        <w:rPr>
          <w:i/>
          <w:sz w:val="20"/>
          <w:szCs w:val="20"/>
        </w:rPr>
      </w:pPr>
      <w:r w:rsidRPr="00A75729">
        <w:rPr>
          <w:i/>
          <w:sz w:val="20"/>
          <w:szCs w:val="20"/>
        </w:rPr>
        <w:t>(…) el [</w:t>
      </w:r>
      <w:proofErr w:type="spellStart"/>
      <w:r w:rsidRPr="00A75729">
        <w:rPr>
          <w:i/>
          <w:sz w:val="20"/>
          <w:szCs w:val="20"/>
        </w:rPr>
        <w:t>AEPR</w:t>
      </w:r>
      <w:proofErr w:type="spellEnd"/>
      <w:r w:rsidRPr="00A75729">
        <w:rPr>
          <w:i/>
          <w:sz w:val="20"/>
          <w:szCs w:val="20"/>
        </w:rPr>
        <w:t>] no participa en el capital social, órganos de decisión y/o administración de Audio Publicidad, Radio Triunfos</w:t>
      </w:r>
      <w:r w:rsidR="006C2BEF" w:rsidRPr="00A75729">
        <w:rPr>
          <w:i/>
          <w:sz w:val="20"/>
          <w:szCs w:val="20"/>
        </w:rPr>
        <w:t>,</w:t>
      </w:r>
      <w:r w:rsidRPr="00A75729">
        <w:rPr>
          <w:i/>
          <w:sz w:val="20"/>
          <w:szCs w:val="20"/>
        </w:rPr>
        <w:t xml:space="preserve"> </w:t>
      </w:r>
      <w:r w:rsidR="006C2BEF" w:rsidRPr="00A75729">
        <w:rPr>
          <w:i/>
          <w:sz w:val="20"/>
          <w:szCs w:val="20"/>
        </w:rPr>
        <w:t>[</w:t>
      </w:r>
      <w:proofErr w:type="spellStart"/>
      <w:r w:rsidRPr="00A75729">
        <w:rPr>
          <w:i/>
          <w:sz w:val="20"/>
          <w:szCs w:val="20"/>
        </w:rPr>
        <w:t>MMR</w:t>
      </w:r>
      <w:proofErr w:type="spellEnd"/>
      <w:r w:rsidR="006C2BEF" w:rsidRPr="00A75729">
        <w:rPr>
          <w:i/>
          <w:sz w:val="20"/>
          <w:szCs w:val="20"/>
        </w:rPr>
        <w:t>]</w:t>
      </w:r>
      <w:r w:rsidRPr="00A75729">
        <w:rPr>
          <w:i/>
          <w:sz w:val="20"/>
          <w:szCs w:val="20"/>
        </w:rPr>
        <w:t xml:space="preserve"> y entidades relacionadas.</w:t>
      </w:r>
    </w:p>
    <w:p w:rsidR="007C552A" w:rsidRPr="00A75729" w:rsidRDefault="007C552A" w:rsidP="007C552A">
      <w:pPr>
        <w:ind w:left="567" w:right="-1"/>
        <w:rPr>
          <w:i/>
          <w:sz w:val="20"/>
          <w:szCs w:val="20"/>
        </w:rPr>
      </w:pPr>
      <w:r w:rsidRPr="00A75729">
        <w:rPr>
          <w:i/>
          <w:sz w:val="20"/>
          <w:szCs w:val="20"/>
        </w:rPr>
        <w:t>(…) ninguno de los Agentes Económicos participantes en la concentración se encuentran relacionados por parentesco y/o participación, órganos de decisión y/o administración con el [</w:t>
      </w:r>
      <w:proofErr w:type="spellStart"/>
      <w:r w:rsidRPr="00A75729">
        <w:rPr>
          <w:i/>
          <w:sz w:val="20"/>
          <w:szCs w:val="20"/>
        </w:rPr>
        <w:t>AEPR</w:t>
      </w:r>
      <w:proofErr w:type="spellEnd"/>
      <w:r w:rsidRPr="00A75729">
        <w:rPr>
          <w:i/>
          <w:sz w:val="20"/>
          <w:szCs w:val="20"/>
        </w:rPr>
        <w:t>].”</w:t>
      </w:r>
    </w:p>
    <w:p w:rsidR="00F80D00" w:rsidRPr="00A75729" w:rsidRDefault="00F80D00" w:rsidP="00F80D00">
      <w:pPr>
        <w:ind w:right="-1"/>
      </w:pPr>
      <w:r w:rsidRPr="00A75729">
        <w:t xml:space="preserve">Con base en lo citado, así como todo lo descrito en el Considerando CUARTO, en el que se describen los </w:t>
      </w:r>
      <w:proofErr w:type="spellStart"/>
      <w:r w:rsidRPr="00A75729">
        <w:t>GIEs</w:t>
      </w:r>
      <w:proofErr w:type="spellEnd"/>
      <w:r w:rsidRPr="00A75729">
        <w:t xml:space="preserve"> a los que pertenecen las Partes involucradas en la Operación, no se identifica que el </w:t>
      </w:r>
      <w:proofErr w:type="spellStart"/>
      <w:r w:rsidRPr="00A75729">
        <w:t>AEP</w:t>
      </w:r>
      <w:r w:rsidR="004E326A" w:rsidRPr="00A75729">
        <w:t>R</w:t>
      </w:r>
      <w:proofErr w:type="spellEnd"/>
      <w:r w:rsidRPr="00A75729">
        <w:t xml:space="preserve"> participe en la Operación.</w:t>
      </w:r>
    </w:p>
    <w:p w:rsidR="00F80D00" w:rsidRPr="00A75729" w:rsidRDefault="00F80D00" w:rsidP="00F80D00">
      <w:pPr>
        <w:ind w:right="-1"/>
      </w:pPr>
      <w:r w:rsidRPr="00A75729">
        <w:t xml:space="preserve">Por lo anterior, </w:t>
      </w:r>
      <w:r w:rsidRPr="00A75729">
        <w:rPr>
          <w:b/>
        </w:rPr>
        <w:t>la Operación cumple con el inciso c. del párrafo primero del Noveno Transitorio.</w:t>
      </w:r>
    </w:p>
    <w:p w:rsidR="00F80D00" w:rsidRPr="00A75729" w:rsidRDefault="000806F7" w:rsidP="000806F7">
      <w:pPr>
        <w:pStyle w:val="Ttulo4"/>
        <w:keepNext/>
        <w:spacing w:before="360" w:after="0"/>
        <w:ind w:firstLine="708"/>
        <w:jc w:val="left"/>
        <w:rPr>
          <w:lang w:val="es-MX"/>
        </w:rPr>
      </w:pPr>
      <w:bookmarkStart w:id="234" w:name="_Toc519100872"/>
      <w:r>
        <w:rPr>
          <w:lang w:val="es-MX" w:eastAsia="en-US"/>
        </w:rPr>
        <w:t xml:space="preserve">5.4.4 </w:t>
      </w:r>
      <w:r w:rsidR="00F80D00" w:rsidRPr="00A75729">
        <w:rPr>
          <w:lang w:val="es-MX"/>
        </w:rPr>
        <w:t>Inciso d.</w:t>
      </w:r>
      <w:bookmarkEnd w:id="234"/>
    </w:p>
    <w:p w:rsidR="00F80D00" w:rsidRPr="00A75729" w:rsidRDefault="00F80D00" w:rsidP="00F80D00">
      <w:r w:rsidRPr="00A75729">
        <w:t>El inciso d. del párrafo primero del Noveno Transitorio establece lo siguiente:</w:t>
      </w:r>
    </w:p>
    <w:p w:rsidR="00F80D00" w:rsidRPr="00A75729" w:rsidRDefault="00F80D00" w:rsidP="00FB57CD">
      <w:pPr>
        <w:pStyle w:val="Prrafodelista"/>
        <w:numPr>
          <w:ilvl w:val="0"/>
          <w:numId w:val="10"/>
        </w:numPr>
        <w:ind w:left="567"/>
        <w:rPr>
          <w:i/>
          <w:sz w:val="20"/>
        </w:rPr>
      </w:pPr>
      <w:r w:rsidRPr="00A75729">
        <w:rPr>
          <w:i/>
          <w:sz w:val="20"/>
        </w:rPr>
        <w:lastRenderedPageBreak/>
        <w:t>No tengan como efecto disminuir, dañar o impedir la libre competencia y concurrencia, en el sector que corresponda.</w:t>
      </w:r>
    </w:p>
    <w:p w:rsidR="002964AF" w:rsidRPr="00A75729" w:rsidRDefault="002964AF" w:rsidP="00A75729">
      <w:r w:rsidRPr="00A75729">
        <w:t>A este respecto se reitera que</w:t>
      </w:r>
      <w:r w:rsidR="00D804FC">
        <w:t>, en términos de lo dispuesto en el cuarto párrafo del Noveno Transitorio,</w:t>
      </w:r>
      <w:r w:rsidRPr="00A75729">
        <w:t xml:space="preserve"> corresponde a los agentes económicos involucrados presentar al Instituto “</w:t>
      </w:r>
      <w:r w:rsidRPr="0039148D">
        <w:rPr>
          <w:i/>
        </w:rPr>
        <w:t>los elementos de convicción que demuestren que la concentración cumple con los incisos</w:t>
      </w:r>
      <w:r w:rsidR="00A75729" w:rsidRPr="0039148D">
        <w:rPr>
          <w:i/>
        </w:rPr>
        <w:t xml:space="preserve"> (…).</w:t>
      </w:r>
      <w:r w:rsidR="00A75729" w:rsidRPr="00A75729">
        <w:t>”</w:t>
      </w:r>
    </w:p>
    <w:p w:rsidR="002B6993" w:rsidRPr="00A75729" w:rsidRDefault="000806F7" w:rsidP="000806F7">
      <w:pPr>
        <w:pStyle w:val="Ttulo5"/>
        <w:numPr>
          <w:ilvl w:val="0"/>
          <w:numId w:val="0"/>
        </w:numPr>
        <w:spacing w:before="360" w:after="0"/>
        <w:rPr>
          <w:lang w:val="es-MX" w:eastAsia="en-US"/>
        </w:rPr>
      </w:pPr>
      <w:bookmarkStart w:id="235" w:name="_Toc519100873"/>
      <w:r>
        <w:rPr>
          <w:lang w:val="es-MX" w:eastAsia="en-US"/>
        </w:rPr>
        <w:t xml:space="preserve">5.4.4.1 </w:t>
      </w:r>
      <w:r w:rsidR="002B6993" w:rsidRPr="00A75729">
        <w:rPr>
          <w:lang w:val="es-MX" w:eastAsia="en-US"/>
        </w:rPr>
        <w:t>Marco conceptual</w:t>
      </w:r>
      <w:bookmarkEnd w:id="235"/>
    </w:p>
    <w:p w:rsidR="00F80D00" w:rsidRDefault="00F80D00" w:rsidP="00F80D00">
      <w:pPr>
        <w:ind w:right="-1"/>
      </w:pPr>
      <w:r w:rsidRPr="00A75729">
        <w:t xml:space="preserve">Para evaluar el cumplimiento de este requisito se debe evaluar si la Operación tiene como efecto disminuir, dañar o impedir la libre competencia y concurrencia </w:t>
      </w:r>
      <w:r w:rsidR="006C2BEF" w:rsidRPr="00A75729">
        <w:t>“</w:t>
      </w:r>
      <w:r w:rsidRPr="00A75729">
        <w:rPr>
          <w:i/>
        </w:rPr>
        <w:t>en el sector</w:t>
      </w:r>
      <w:r w:rsidR="006C2BEF" w:rsidRPr="00A75729">
        <w:t>”</w:t>
      </w:r>
      <w:r w:rsidRPr="00A75729">
        <w:t xml:space="preserve"> de </w:t>
      </w:r>
      <w:r w:rsidR="000663D6" w:rsidRPr="00A75729">
        <w:t>radiodifusión</w:t>
      </w:r>
      <w:r w:rsidRPr="00A75729">
        <w:t>, toda vez que la Operación ocurre en ese sector.</w:t>
      </w:r>
    </w:p>
    <w:p w:rsidR="00554C4F" w:rsidRPr="00A75729" w:rsidRDefault="00554C4F" w:rsidP="00554C4F">
      <w:pPr>
        <w:ind w:right="-1"/>
      </w:pPr>
      <w:r w:rsidRPr="00A75729">
        <w:rPr>
          <w:lang w:val="es-MX"/>
        </w:rPr>
        <w:t xml:space="preserve">Es de mencionar que el párrafo primero del Noveno Transitorio exige que se cumplan </w:t>
      </w:r>
      <w:r w:rsidR="00C844FF" w:rsidRPr="00A75729">
        <w:rPr>
          <w:lang w:val="es-MX"/>
        </w:rPr>
        <w:t xml:space="preserve">la TOTALIDAD de </w:t>
      </w:r>
      <w:r w:rsidRPr="00A75729">
        <w:rPr>
          <w:lang w:val="es-MX"/>
        </w:rPr>
        <w:t>los 4 (cuatro) incisos a. a d.</w:t>
      </w:r>
      <w:r w:rsidR="000D2A64">
        <w:rPr>
          <w:lang w:val="es-MX"/>
        </w:rPr>
        <w:t xml:space="preserve"> </w:t>
      </w:r>
      <w:r w:rsidRPr="00A75729">
        <w:rPr>
          <w:lang w:val="es-MX"/>
        </w:rPr>
        <w:t>Los dos primeros implican determinar y evaluar índices y variaciones de concentración con base en las “</w:t>
      </w:r>
      <w:r w:rsidRPr="00A75729">
        <w:rPr>
          <w:i/>
        </w:rPr>
        <w:t>participaciones de cada agente económico (</w:t>
      </w:r>
      <w:proofErr w:type="spellStart"/>
      <w:r w:rsidRPr="00A75729">
        <w:rPr>
          <w:i/>
        </w:rPr>
        <w:t>IHH</w:t>
      </w:r>
      <w:proofErr w:type="spellEnd"/>
      <w:r w:rsidRPr="00A75729">
        <w:rPr>
          <w:i/>
        </w:rPr>
        <w:t>=</w:t>
      </w:r>
      <w:r w:rsidRPr="00A75729">
        <w:rPr>
          <w:i/>
        </w:rPr>
        <w:sym w:font="Symbol" w:char="F053"/>
      </w:r>
      <w:r w:rsidRPr="00A75729">
        <w:rPr>
          <w:i/>
        </w:rPr>
        <w:t xml:space="preserve">i </w:t>
      </w:r>
      <w:proofErr w:type="spellStart"/>
      <w:r w:rsidRPr="00A75729">
        <w:rPr>
          <w:i/>
        </w:rPr>
        <w:t>qi2</w:t>
      </w:r>
      <w:proofErr w:type="spellEnd"/>
      <w:r w:rsidRPr="00A75729">
        <w:rPr>
          <w:i/>
        </w:rPr>
        <w:t xml:space="preserve">), </w:t>
      </w:r>
      <w:r w:rsidRPr="00A75729">
        <w:rPr>
          <w:b/>
          <w:i/>
        </w:rPr>
        <w:t>en el sector</w:t>
      </w:r>
      <w:r w:rsidRPr="00A75729">
        <w:rPr>
          <w:i/>
        </w:rPr>
        <w:t xml:space="preserve"> que corresponda</w:t>
      </w:r>
      <w:r w:rsidRPr="00A75729">
        <w:t>”, así como el porcentaje de participación sectorial que los involucrados tengan en ese sector. Ese análisis tiene como objetivo comparar el tamaño relativo que tienen los agentes económicos involucrados en la Operación dentro del sector y con respecto al agente económico preponderante.</w:t>
      </w:r>
    </w:p>
    <w:p w:rsidR="00C844FF" w:rsidRPr="00A75729" w:rsidRDefault="00554C4F" w:rsidP="00554C4F">
      <w:pPr>
        <w:ind w:right="-1"/>
      </w:pPr>
      <w:r w:rsidRPr="00A75729">
        <w:t xml:space="preserve">A diferencia de la evaluación que se lleva a cabo en los incisos a. y b., en los que se compara el tamaño relativo </w:t>
      </w:r>
      <w:r w:rsidR="0099310B">
        <w:t xml:space="preserve">en el sector </w:t>
      </w:r>
      <w:r w:rsidRPr="00A75729">
        <w:t xml:space="preserve">que tienen los agentes económicos involucrados en la Operación, el análisis del inciso d. requiere determinar si la Operación no tiene como efecto disminuir, dañar o impedir la libre competencia y concurrencia, en el sector que corresponda. </w:t>
      </w:r>
    </w:p>
    <w:p w:rsidR="00554C4F" w:rsidRDefault="00C844FF" w:rsidP="00554C4F">
      <w:pPr>
        <w:ind w:right="-1"/>
      </w:pPr>
      <w:r w:rsidRPr="00A75729">
        <w:t>La evaluación de l</w:t>
      </w:r>
      <w:r w:rsidR="00554C4F" w:rsidRPr="00A75729">
        <w:t xml:space="preserve">os efectos </w:t>
      </w:r>
      <w:r w:rsidRPr="00A75729">
        <w:t xml:space="preserve">de una concentración </w:t>
      </w:r>
      <w:r w:rsidR="00554C4F" w:rsidRPr="00A75729">
        <w:t xml:space="preserve">sobre la libre competencia y concurrencia </w:t>
      </w:r>
      <w:r w:rsidRPr="00A75729">
        <w:t xml:space="preserve">se realiza tomando como referencia los criterios referidos </w:t>
      </w:r>
      <w:r w:rsidR="00FF29B4" w:rsidRPr="00A75729">
        <w:t xml:space="preserve">en los artículos 58, 59, 63 y 64 de la </w:t>
      </w:r>
      <w:proofErr w:type="spellStart"/>
      <w:r w:rsidR="00FF29B4" w:rsidRPr="00A75729">
        <w:t>LFCE</w:t>
      </w:r>
      <w:proofErr w:type="spellEnd"/>
      <w:r w:rsidR="006C57B9" w:rsidRPr="00A75729">
        <w:t xml:space="preserve"> y los previstos en las Disposiciones Regulatorias correspondientes</w:t>
      </w:r>
      <w:r w:rsidRPr="00A75729">
        <w:t xml:space="preserve">. Lo anterior debido a que el texto del inciso d. del Noveno Transitorio coincide en el tipo de evaluación a realizar. Identificar si una concentración tiene como efecto disminuir, dañar o impedir la libre competencia y concurrencia; y distingue que esta evaluación debe realizarse en el ámbito del </w:t>
      </w:r>
      <w:r w:rsidRPr="00A75729">
        <w:rPr>
          <w:b/>
        </w:rPr>
        <w:t>sector</w:t>
      </w:r>
      <w:r w:rsidRPr="00A75729">
        <w:rPr>
          <w:b/>
          <w:i/>
        </w:rPr>
        <w:t>.</w:t>
      </w:r>
      <w:r w:rsidR="000D2A64">
        <w:rPr>
          <w:b/>
          <w:i/>
        </w:rPr>
        <w:t xml:space="preserve"> </w:t>
      </w:r>
    </w:p>
    <w:p w:rsidR="00C844FF" w:rsidRPr="00A75729" w:rsidRDefault="00C844FF" w:rsidP="00C814F3">
      <w:pPr>
        <w:keepNext/>
      </w:pPr>
      <w:r w:rsidRPr="00A75729">
        <w:t>Los criterios tomados como referencia para evaluar los efectos de una concentración —en una dimensión determinada— son además consistentes con la práctica internacional y consisten en:</w:t>
      </w:r>
    </w:p>
    <w:p w:rsidR="00C844FF" w:rsidRPr="00A75729" w:rsidRDefault="00C844FF" w:rsidP="006A7D5F">
      <w:pPr>
        <w:pStyle w:val="Prrafodelista"/>
        <w:numPr>
          <w:ilvl w:val="0"/>
          <w:numId w:val="43"/>
        </w:numPr>
        <w:spacing w:after="120" w:line="276" w:lineRule="auto"/>
        <w:ind w:left="426" w:hanging="357"/>
        <w:contextualSpacing w:val="0"/>
      </w:pPr>
      <w:r w:rsidRPr="00A75729">
        <w:t>Que los efectos sean inherentes a la concentración;</w:t>
      </w:r>
    </w:p>
    <w:p w:rsidR="00554C4F" w:rsidRPr="00A75729" w:rsidRDefault="00554C4F" w:rsidP="006A7D5F">
      <w:pPr>
        <w:pStyle w:val="Prrafodelista"/>
        <w:numPr>
          <w:ilvl w:val="0"/>
          <w:numId w:val="43"/>
        </w:numPr>
        <w:spacing w:after="120" w:line="276" w:lineRule="auto"/>
        <w:ind w:left="426" w:hanging="357"/>
        <w:contextualSpacing w:val="0"/>
      </w:pPr>
      <w:r w:rsidRPr="00A75729">
        <w:lastRenderedPageBreak/>
        <w:t>L</w:t>
      </w:r>
      <w:r w:rsidRPr="00A75729">
        <w:rPr>
          <w:lang w:val="es-MX"/>
        </w:rPr>
        <w:t xml:space="preserve">a identificación </w:t>
      </w:r>
      <w:r w:rsidR="00D804FC">
        <w:rPr>
          <w:lang w:val="es-MX"/>
        </w:rPr>
        <w:t xml:space="preserve">de </w:t>
      </w:r>
      <w:r w:rsidR="00C844FF" w:rsidRPr="00A75729">
        <w:rPr>
          <w:lang w:val="es-MX"/>
        </w:rPr>
        <w:t>las variaciones en la participación que el agente económico adquiriente tenía antes de la transacción y después de la transacción</w:t>
      </w:r>
      <w:r w:rsidRPr="00A75729">
        <w:rPr>
          <w:lang w:val="es-MX"/>
        </w:rPr>
        <w:t xml:space="preserve">; </w:t>
      </w:r>
    </w:p>
    <w:p w:rsidR="00554C4F" w:rsidRPr="00A75729" w:rsidRDefault="00C844FF" w:rsidP="006A7D5F">
      <w:pPr>
        <w:pStyle w:val="Prrafodelista"/>
        <w:numPr>
          <w:ilvl w:val="0"/>
          <w:numId w:val="43"/>
        </w:numPr>
        <w:spacing w:after="120" w:line="276" w:lineRule="auto"/>
        <w:ind w:left="426" w:hanging="357"/>
        <w:contextualSpacing w:val="0"/>
      </w:pPr>
      <w:r w:rsidRPr="00A75729">
        <w:rPr>
          <w:lang w:val="es-MX"/>
        </w:rPr>
        <w:t>Comparar esas participaciones con las de otros participantes</w:t>
      </w:r>
      <w:r w:rsidR="00554C4F" w:rsidRPr="00A75729">
        <w:rPr>
          <w:lang w:val="es-MX"/>
        </w:rPr>
        <w:t xml:space="preserve">; </w:t>
      </w:r>
    </w:p>
    <w:p w:rsidR="00554C4F" w:rsidRPr="00A75729" w:rsidRDefault="00554C4F" w:rsidP="006A7D5F">
      <w:pPr>
        <w:pStyle w:val="Prrafodelista"/>
        <w:numPr>
          <w:ilvl w:val="0"/>
          <w:numId w:val="43"/>
        </w:numPr>
        <w:spacing w:after="120" w:line="276" w:lineRule="auto"/>
        <w:ind w:left="426" w:hanging="357"/>
        <w:contextualSpacing w:val="0"/>
      </w:pPr>
      <w:r w:rsidRPr="00A75729">
        <w:rPr>
          <w:lang w:val="es-MX"/>
        </w:rPr>
        <w:t xml:space="preserve">Si </w:t>
      </w:r>
      <w:r w:rsidR="006C57B9" w:rsidRPr="00A75729">
        <w:rPr>
          <w:lang w:val="es-MX"/>
        </w:rPr>
        <w:t>tras la concentración, los demás participantes tienen</w:t>
      </w:r>
      <w:r w:rsidRPr="00A75729">
        <w:rPr>
          <w:lang w:val="es-MX"/>
        </w:rPr>
        <w:t xml:space="preserve"> la capacidad de contrarrestar el poder del agente económico que se concentra; </w:t>
      </w:r>
    </w:p>
    <w:p w:rsidR="00554C4F" w:rsidRPr="00A75729" w:rsidRDefault="00554C4F" w:rsidP="006A7D5F">
      <w:pPr>
        <w:pStyle w:val="Prrafodelista"/>
        <w:numPr>
          <w:ilvl w:val="0"/>
          <w:numId w:val="43"/>
        </w:numPr>
        <w:spacing w:after="120" w:line="276" w:lineRule="auto"/>
        <w:ind w:left="426" w:hanging="357"/>
        <w:contextualSpacing w:val="0"/>
      </w:pPr>
      <w:r w:rsidRPr="00A75729">
        <w:rPr>
          <w:lang w:val="es-MX"/>
        </w:rPr>
        <w:t xml:space="preserve">La evaluación de entrantes potenciales, y </w:t>
      </w:r>
    </w:p>
    <w:p w:rsidR="00554C4F" w:rsidRPr="00A75729" w:rsidRDefault="00554C4F" w:rsidP="006A7D5F">
      <w:pPr>
        <w:pStyle w:val="Prrafodelista"/>
        <w:numPr>
          <w:ilvl w:val="0"/>
          <w:numId w:val="43"/>
        </w:numPr>
        <w:spacing w:after="120" w:line="276" w:lineRule="auto"/>
        <w:ind w:left="426" w:hanging="357"/>
        <w:contextualSpacing w:val="0"/>
      </w:pPr>
      <w:r w:rsidRPr="00A75729">
        <w:rPr>
          <w:lang w:val="es-MX"/>
        </w:rPr>
        <w:t xml:space="preserve">La existencia de barreras a la entrada. </w:t>
      </w:r>
    </w:p>
    <w:p w:rsidR="006C57B9" w:rsidRPr="00A75729" w:rsidRDefault="006C57B9" w:rsidP="0039148D">
      <w:pPr>
        <w:ind w:right="-1"/>
      </w:pPr>
      <w:r w:rsidRPr="00A75729">
        <w:t xml:space="preserve">Los efectos —en términos del inciso d. del Noveno Transitorio— deben evaluarse en la libre competencia y concurrencia </w:t>
      </w:r>
      <w:r w:rsidRPr="00A75729">
        <w:rPr>
          <w:b/>
        </w:rPr>
        <w:t xml:space="preserve">en el sector. </w:t>
      </w:r>
      <w:r w:rsidR="005E5279" w:rsidRPr="00A75729">
        <w:t>Para atender esta dimensión de análisis, se desarrolla un estándar que aplique los criterios para identificar efectos de una concentración en una dimensión de sector — en el que se desarrollan varios procesos competitivos en varias dimensiones geográficas.</w:t>
      </w:r>
    </w:p>
    <w:p w:rsidR="00327303" w:rsidRPr="00A75729" w:rsidRDefault="00554C4F" w:rsidP="00327303">
      <w:pPr>
        <w:ind w:right="-1"/>
      </w:pPr>
      <w:r w:rsidRPr="00A75729">
        <w:t>En ese sentido, el análisis de los efectos en materia de competencia económica sobre un sector, como lo es el sector de radiodifusión, sólo puede realizarse valorando esos efectos a nivel de cada uno de los servicios/zonas geográficas que integran ese sector, precisando si éstos son positivos, negativos o nulos. A continuación, podría llevarse a cabo una comparación de esos efectos para determinar los efectos netos o agregados de la Operación en ese sector y determinar si ésta no tiene como efecto disminuir, dañar o impedir la libre competencia y concurrencia, en el sector que corresponda.</w:t>
      </w:r>
      <w:r w:rsidR="00D804FC">
        <w:t xml:space="preserve"> </w:t>
      </w:r>
      <w:r w:rsidR="00327303" w:rsidRPr="00A75729">
        <w:rPr>
          <w:lang w:val="es-MX"/>
        </w:rPr>
        <w:t>Adicionalmente, tal</w:t>
      </w:r>
      <w:r w:rsidR="00327303" w:rsidRPr="00A75729">
        <w:t xml:space="preserve"> y como se señala en el Dictamen de la Cámara de Senadores relativo a la </w:t>
      </w:r>
      <w:proofErr w:type="spellStart"/>
      <w:r w:rsidR="00327303" w:rsidRPr="00A75729">
        <w:t>LFTR</w:t>
      </w:r>
      <w:proofErr w:type="spellEnd"/>
      <w:r w:rsidR="00327303" w:rsidRPr="00A75729">
        <w:t xml:space="preserve"> y la Resolución de Preponderancia en Radiodifusión, el sector de radiodifusión está conformado por un conjunto de servicios</w:t>
      </w:r>
      <w:r w:rsidR="00071176" w:rsidRPr="00A75729">
        <w:t xml:space="preserve"> en el territorio nacional</w:t>
      </w:r>
      <w:r w:rsidR="00327303" w:rsidRPr="00A75729">
        <w:t xml:space="preserve">. </w:t>
      </w:r>
    </w:p>
    <w:p w:rsidR="004A4D1C" w:rsidRPr="00A75729" w:rsidRDefault="00554C4F" w:rsidP="00327303">
      <w:pPr>
        <w:ind w:right="-1"/>
      </w:pPr>
      <w:r w:rsidRPr="00A75729">
        <w:t xml:space="preserve">De manera gráfica y general, </w:t>
      </w:r>
      <w:r w:rsidR="00271BF7" w:rsidRPr="00A75729">
        <w:t>los</w:t>
      </w:r>
      <w:r w:rsidRPr="00A75729">
        <w:t xml:space="preserve"> sector</w:t>
      </w:r>
      <w:r w:rsidR="00271BF7" w:rsidRPr="00A75729">
        <w:t>es</w:t>
      </w:r>
      <w:r w:rsidRPr="00A75729">
        <w:t xml:space="preserve">, por </w:t>
      </w:r>
      <w:r w:rsidR="00A75729" w:rsidRPr="00A75729">
        <w:t>ejemplo,</w:t>
      </w:r>
      <w:r w:rsidRPr="00A75729">
        <w:t xml:space="preserve"> el de radiodifusión, está</w:t>
      </w:r>
      <w:r w:rsidR="00271BF7" w:rsidRPr="00A75729">
        <w:t>n</w:t>
      </w:r>
      <w:r w:rsidRPr="00A75729">
        <w:t xml:space="preserve"> conformado</w:t>
      </w:r>
      <w:r w:rsidR="00271BF7" w:rsidRPr="00A75729">
        <w:t>s</w:t>
      </w:r>
      <w:r w:rsidRPr="00A75729">
        <w:t xml:space="preserve"> por un conjunto de servicios y localidades como se presenta a continuación. Para evaluar los efectos “</w:t>
      </w:r>
      <w:r w:rsidRPr="00A75729">
        <w:rPr>
          <w:i/>
        </w:rPr>
        <w:t>en el sector</w:t>
      </w:r>
      <w:r w:rsidRPr="00A75729">
        <w:t>”, es necesario identificar los efectos sobre la competencia que la Operación tendría sobre cada uno de esos servicios y zonas geográficas y, posteriormente comparar esos efectos</w:t>
      </w:r>
      <w:r w:rsidR="009F1A12" w:rsidRPr="00A75729">
        <w:t>.</w:t>
      </w:r>
    </w:p>
    <w:p w:rsidR="00554C4F" w:rsidRPr="00A75729" w:rsidRDefault="00554C4F" w:rsidP="00554C4F">
      <w:pPr>
        <w:pStyle w:val="Figura"/>
        <w:spacing w:after="120"/>
        <w:ind w:left="1560" w:right="45" w:hanging="992"/>
        <w:jc w:val="both"/>
        <w:rPr>
          <w:b/>
          <w:sz w:val="22"/>
          <w:szCs w:val="20"/>
        </w:rPr>
      </w:pPr>
      <w:r w:rsidRPr="00A75729">
        <w:rPr>
          <w:b/>
          <w:sz w:val="22"/>
          <w:szCs w:val="20"/>
        </w:rPr>
        <w:t xml:space="preserve">Representación gráfica de los efectos de una transacción en el sector </w:t>
      </w:r>
    </w:p>
    <w:tbl>
      <w:tblPr>
        <w:tblW w:w="42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7"/>
        <w:gridCol w:w="1794"/>
        <w:gridCol w:w="1841"/>
        <w:gridCol w:w="1103"/>
        <w:gridCol w:w="1450"/>
      </w:tblGrid>
      <w:tr w:rsidR="00554C4F" w:rsidRPr="00A75729" w:rsidTr="00587D98">
        <w:trPr>
          <w:trHeight w:val="20"/>
          <w:tblHeader/>
          <w:jc w:val="center"/>
        </w:trPr>
        <w:tc>
          <w:tcPr>
            <w:tcW w:w="1168" w:type="pct"/>
            <w:vMerge w:val="restart"/>
            <w:shd w:val="clear" w:color="auto" w:fill="92D050"/>
            <w:noWrap/>
            <w:vAlign w:val="center"/>
            <w:hideMark/>
          </w:tcPr>
          <w:p w:rsidR="00554C4F" w:rsidRPr="00A75729" w:rsidRDefault="00554C4F" w:rsidP="00587D98">
            <w:pPr>
              <w:spacing w:before="0" w:after="0" w:line="240" w:lineRule="auto"/>
              <w:jc w:val="center"/>
              <w:rPr>
                <w:rFonts w:eastAsia="Times New Roman"/>
                <w:b/>
                <w:bCs/>
                <w:sz w:val="20"/>
                <w:szCs w:val="18"/>
              </w:rPr>
            </w:pPr>
            <w:r w:rsidRPr="00A75729">
              <w:rPr>
                <w:rFonts w:eastAsia="Times New Roman"/>
                <w:b/>
                <w:bCs/>
                <w:sz w:val="20"/>
                <w:szCs w:val="18"/>
              </w:rPr>
              <w:t>Localidad</w:t>
            </w:r>
          </w:p>
        </w:tc>
        <w:tc>
          <w:tcPr>
            <w:tcW w:w="3832" w:type="pct"/>
            <w:gridSpan w:val="4"/>
            <w:shd w:val="clear" w:color="auto" w:fill="92D050"/>
            <w:vAlign w:val="center"/>
          </w:tcPr>
          <w:p w:rsidR="00554C4F" w:rsidRPr="00A75729" w:rsidRDefault="00554C4F" w:rsidP="00587D98">
            <w:pPr>
              <w:spacing w:before="0" w:after="0" w:line="240" w:lineRule="auto"/>
              <w:jc w:val="center"/>
              <w:rPr>
                <w:rFonts w:eastAsia="Times New Roman"/>
                <w:b/>
                <w:bCs/>
                <w:sz w:val="20"/>
                <w:szCs w:val="18"/>
              </w:rPr>
            </w:pPr>
            <w:r w:rsidRPr="00A75729">
              <w:rPr>
                <w:rFonts w:eastAsia="Times New Roman"/>
                <w:b/>
                <w:bCs/>
                <w:sz w:val="20"/>
                <w:szCs w:val="18"/>
              </w:rPr>
              <w:t>Servicio</w:t>
            </w:r>
          </w:p>
        </w:tc>
      </w:tr>
      <w:tr w:rsidR="00554C4F" w:rsidRPr="00A75729" w:rsidTr="00587D98">
        <w:trPr>
          <w:trHeight w:val="20"/>
          <w:tblHeader/>
          <w:jc w:val="center"/>
        </w:trPr>
        <w:tc>
          <w:tcPr>
            <w:tcW w:w="1168" w:type="pct"/>
            <w:vMerge/>
            <w:shd w:val="clear" w:color="auto" w:fill="92D050"/>
            <w:noWrap/>
            <w:vAlign w:val="center"/>
          </w:tcPr>
          <w:p w:rsidR="00554C4F" w:rsidRPr="00A75729" w:rsidRDefault="00554C4F" w:rsidP="00587D98">
            <w:pPr>
              <w:spacing w:before="0" w:after="0" w:line="240" w:lineRule="auto"/>
              <w:jc w:val="center"/>
              <w:rPr>
                <w:rFonts w:eastAsia="Times New Roman"/>
                <w:b/>
                <w:bCs/>
                <w:sz w:val="20"/>
                <w:szCs w:val="18"/>
              </w:rPr>
            </w:pPr>
          </w:p>
        </w:tc>
        <w:tc>
          <w:tcPr>
            <w:tcW w:w="1111" w:type="pct"/>
            <w:shd w:val="clear" w:color="auto" w:fill="92D050"/>
            <w:vAlign w:val="center"/>
          </w:tcPr>
          <w:p w:rsidR="00554C4F" w:rsidRPr="00A75729" w:rsidRDefault="00554C4F" w:rsidP="00587D98">
            <w:pPr>
              <w:spacing w:before="0" w:after="0" w:line="240" w:lineRule="auto"/>
              <w:jc w:val="center"/>
              <w:rPr>
                <w:rFonts w:eastAsia="Times New Roman"/>
                <w:b/>
                <w:bCs/>
                <w:sz w:val="20"/>
                <w:szCs w:val="18"/>
              </w:rPr>
            </w:pPr>
            <w:r w:rsidRPr="00A75729">
              <w:rPr>
                <w:rFonts w:eastAsia="Times New Roman"/>
                <w:b/>
                <w:bCs/>
                <w:sz w:val="20"/>
                <w:szCs w:val="18"/>
              </w:rPr>
              <w:t>Servicio 1</w:t>
            </w:r>
          </w:p>
        </w:tc>
        <w:tc>
          <w:tcPr>
            <w:tcW w:w="1140" w:type="pct"/>
            <w:shd w:val="clear" w:color="auto" w:fill="92D050"/>
            <w:vAlign w:val="center"/>
          </w:tcPr>
          <w:p w:rsidR="00554C4F" w:rsidRPr="00A75729" w:rsidRDefault="00554C4F" w:rsidP="00587D98">
            <w:pPr>
              <w:spacing w:before="0" w:after="0" w:line="240" w:lineRule="auto"/>
              <w:jc w:val="center"/>
              <w:rPr>
                <w:rFonts w:eastAsia="Times New Roman"/>
                <w:b/>
                <w:bCs/>
                <w:sz w:val="20"/>
                <w:szCs w:val="18"/>
              </w:rPr>
            </w:pPr>
            <w:r w:rsidRPr="00A75729">
              <w:rPr>
                <w:rFonts w:eastAsia="Times New Roman"/>
                <w:b/>
                <w:bCs/>
                <w:sz w:val="20"/>
                <w:szCs w:val="18"/>
              </w:rPr>
              <w:t>Servicio 2</w:t>
            </w:r>
          </w:p>
        </w:tc>
        <w:tc>
          <w:tcPr>
            <w:tcW w:w="683" w:type="pct"/>
            <w:shd w:val="clear" w:color="auto" w:fill="92D050"/>
            <w:vAlign w:val="center"/>
          </w:tcPr>
          <w:p w:rsidR="00554C4F" w:rsidRPr="00A75729" w:rsidRDefault="00554C4F" w:rsidP="00587D98">
            <w:pPr>
              <w:spacing w:before="0" w:after="0" w:line="240" w:lineRule="auto"/>
              <w:jc w:val="center"/>
              <w:rPr>
                <w:rFonts w:eastAsia="Times New Roman"/>
                <w:b/>
                <w:bCs/>
                <w:sz w:val="20"/>
                <w:szCs w:val="18"/>
              </w:rPr>
            </w:pPr>
            <w:r w:rsidRPr="00A75729">
              <w:rPr>
                <w:rFonts w:eastAsia="Times New Roman"/>
                <w:b/>
                <w:bCs/>
                <w:sz w:val="20"/>
                <w:szCs w:val="18"/>
              </w:rPr>
              <w:t>…</w:t>
            </w:r>
          </w:p>
        </w:tc>
        <w:tc>
          <w:tcPr>
            <w:tcW w:w="898" w:type="pct"/>
            <w:shd w:val="clear" w:color="auto" w:fill="92D050"/>
            <w:vAlign w:val="center"/>
          </w:tcPr>
          <w:p w:rsidR="00554C4F" w:rsidRPr="00A75729" w:rsidRDefault="00554C4F" w:rsidP="00587D98">
            <w:pPr>
              <w:spacing w:before="0" w:after="0" w:line="240" w:lineRule="auto"/>
              <w:jc w:val="center"/>
              <w:rPr>
                <w:rFonts w:eastAsia="Times New Roman"/>
                <w:b/>
                <w:bCs/>
                <w:sz w:val="20"/>
                <w:szCs w:val="18"/>
              </w:rPr>
            </w:pPr>
            <w:r w:rsidRPr="00A75729">
              <w:rPr>
                <w:rFonts w:eastAsia="Times New Roman"/>
                <w:b/>
                <w:bCs/>
                <w:sz w:val="20"/>
                <w:szCs w:val="18"/>
              </w:rPr>
              <w:t>Servicio n</w:t>
            </w:r>
          </w:p>
        </w:tc>
      </w:tr>
      <w:tr w:rsidR="00554C4F" w:rsidRPr="00A75729" w:rsidTr="002964AF">
        <w:trPr>
          <w:trHeight w:val="20"/>
          <w:jc w:val="center"/>
        </w:trPr>
        <w:tc>
          <w:tcPr>
            <w:tcW w:w="1168" w:type="pct"/>
            <w:shd w:val="clear" w:color="000000" w:fill="FFFFFF"/>
            <w:vAlign w:val="center"/>
          </w:tcPr>
          <w:p w:rsidR="00554C4F" w:rsidRPr="00A75729" w:rsidRDefault="00554C4F" w:rsidP="00554C4F">
            <w:pPr>
              <w:spacing w:before="0" w:after="0"/>
              <w:rPr>
                <w:rFonts w:eastAsia="Times New Roman"/>
                <w:color w:val="000000"/>
                <w:sz w:val="20"/>
                <w:szCs w:val="18"/>
                <w:lang w:val="es-MX"/>
              </w:rPr>
            </w:pPr>
            <w:r w:rsidRPr="00A75729">
              <w:rPr>
                <w:rFonts w:eastAsia="Times New Roman"/>
                <w:color w:val="000000"/>
                <w:sz w:val="20"/>
                <w:szCs w:val="18"/>
                <w:lang w:val="es-MX"/>
              </w:rPr>
              <w:t>Localidad 1</w:t>
            </w:r>
          </w:p>
        </w:tc>
        <w:tc>
          <w:tcPr>
            <w:tcW w:w="1111" w:type="pct"/>
            <w:shd w:val="clear" w:color="auto" w:fill="00B0F0"/>
            <w:noWrap/>
            <w:vAlign w:val="center"/>
          </w:tcPr>
          <w:p w:rsidR="00554C4F" w:rsidRPr="00A75729" w:rsidRDefault="00554C4F" w:rsidP="00554C4F">
            <w:pPr>
              <w:spacing w:before="0" w:after="0"/>
              <w:jc w:val="center"/>
              <w:rPr>
                <w:rFonts w:eastAsia="Times New Roman"/>
                <w:color w:val="000000"/>
                <w:sz w:val="20"/>
                <w:szCs w:val="18"/>
              </w:rPr>
            </w:pPr>
            <w:r w:rsidRPr="00A75729">
              <w:rPr>
                <w:rFonts w:eastAsia="Times New Roman"/>
                <w:color w:val="000000"/>
                <w:sz w:val="20"/>
                <w:szCs w:val="18"/>
              </w:rPr>
              <w:t>Efecto positivo</w:t>
            </w:r>
          </w:p>
        </w:tc>
        <w:tc>
          <w:tcPr>
            <w:tcW w:w="1140" w:type="pct"/>
            <w:shd w:val="clear" w:color="auto" w:fill="00B0F0"/>
          </w:tcPr>
          <w:p w:rsidR="00554C4F" w:rsidRPr="00A75729" w:rsidRDefault="00554C4F" w:rsidP="00554C4F">
            <w:pPr>
              <w:spacing w:before="0" w:after="0"/>
              <w:jc w:val="center"/>
              <w:rPr>
                <w:rFonts w:eastAsia="Times New Roman"/>
                <w:color w:val="000000"/>
                <w:sz w:val="20"/>
                <w:szCs w:val="18"/>
              </w:rPr>
            </w:pPr>
            <w:r w:rsidRPr="00A75729">
              <w:rPr>
                <w:rFonts w:eastAsia="Times New Roman"/>
                <w:color w:val="000000"/>
                <w:sz w:val="20"/>
                <w:szCs w:val="18"/>
              </w:rPr>
              <w:t>Efecto positivo</w:t>
            </w:r>
          </w:p>
        </w:tc>
        <w:tc>
          <w:tcPr>
            <w:tcW w:w="683" w:type="pct"/>
          </w:tcPr>
          <w:p w:rsidR="00554C4F" w:rsidRPr="00A75729" w:rsidRDefault="00554C4F" w:rsidP="00554C4F">
            <w:pPr>
              <w:spacing w:before="0" w:after="0"/>
              <w:jc w:val="center"/>
              <w:rPr>
                <w:rFonts w:eastAsia="Times New Roman"/>
                <w:color w:val="000000"/>
                <w:sz w:val="20"/>
                <w:szCs w:val="18"/>
              </w:rPr>
            </w:pPr>
            <w:r w:rsidRPr="00A75729">
              <w:rPr>
                <w:rFonts w:eastAsia="Times New Roman"/>
                <w:color w:val="000000"/>
                <w:sz w:val="20"/>
                <w:szCs w:val="18"/>
              </w:rPr>
              <w:t>Nulo</w:t>
            </w:r>
          </w:p>
        </w:tc>
        <w:tc>
          <w:tcPr>
            <w:tcW w:w="898" w:type="pct"/>
          </w:tcPr>
          <w:p w:rsidR="00554C4F" w:rsidRPr="00A75729" w:rsidRDefault="00554C4F" w:rsidP="00554C4F">
            <w:pPr>
              <w:spacing w:before="0" w:after="0"/>
              <w:jc w:val="center"/>
              <w:rPr>
                <w:rFonts w:eastAsia="Times New Roman"/>
                <w:color w:val="000000"/>
                <w:sz w:val="20"/>
                <w:szCs w:val="18"/>
              </w:rPr>
            </w:pPr>
            <w:r w:rsidRPr="00A75729">
              <w:rPr>
                <w:rFonts w:eastAsia="Times New Roman"/>
                <w:color w:val="000000"/>
                <w:sz w:val="20"/>
                <w:szCs w:val="18"/>
              </w:rPr>
              <w:t>Nulo</w:t>
            </w:r>
          </w:p>
        </w:tc>
      </w:tr>
      <w:tr w:rsidR="00554C4F" w:rsidRPr="00A75729" w:rsidTr="002964AF">
        <w:trPr>
          <w:trHeight w:val="20"/>
          <w:jc w:val="center"/>
        </w:trPr>
        <w:tc>
          <w:tcPr>
            <w:tcW w:w="1168" w:type="pct"/>
            <w:shd w:val="clear" w:color="000000" w:fill="FFFFFF"/>
            <w:vAlign w:val="center"/>
          </w:tcPr>
          <w:p w:rsidR="00554C4F" w:rsidRPr="00A75729" w:rsidRDefault="00554C4F" w:rsidP="00554C4F">
            <w:pPr>
              <w:spacing w:before="0" w:after="0"/>
              <w:rPr>
                <w:rFonts w:eastAsia="Times New Roman"/>
                <w:color w:val="000000"/>
                <w:sz w:val="20"/>
                <w:szCs w:val="18"/>
                <w:lang w:val="en-US"/>
              </w:rPr>
            </w:pPr>
            <w:proofErr w:type="spellStart"/>
            <w:r w:rsidRPr="00A75729">
              <w:rPr>
                <w:rFonts w:eastAsia="Times New Roman"/>
                <w:color w:val="000000"/>
                <w:sz w:val="20"/>
                <w:szCs w:val="18"/>
                <w:lang w:val="en-US"/>
              </w:rPr>
              <w:t>Localidad</w:t>
            </w:r>
            <w:proofErr w:type="spellEnd"/>
            <w:r w:rsidRPr="00A75729">
              <w:rPr>
                <w:rFonts w:eastAsia="Times New Roman"/>
                <w:color w:val="000000"/>
                <w:sz w:val="20"/>
                <w:szCs w:val="18"/>
                <w:lang w:val="en-US"/>
              </w:rPr>
              <w:t xml:space="preserve"> 2</w:t>
            </w:r>
          </w:p>
        </w:tc>
        <w:tc>
          <w:tcPr>
            <w:tcW w:w="1111" w:type="pct"/>
            <w:shd w:val="clear" w:color="auto" w:fill="FF0000"/>
            <w:noWrap/>
            <w:vAlign w:val="center"/>
          </w:tcPr>
          <w:p w:rsidR="00554C4F" w:rsidRPr="00A75729" w:rsidRDefault="00554C4F" w:rsidP="00554C4F">
            <w:pPr>
              <w:spacing w:before="0" w:after="0"/>
              <w:jc w:val="center"/>
              <w:rPr>
                <w:rFonts w:eastAsia="Times New Roman"/>
                <w:color w:val="000000"/>
                <w:sz w:val="20"/>
                <w:szCs w:val="18"/>
              </w:rPr>
            </w:pPr>
            <w:r w:rsidRPr="00A75729">
              <w:rPr>
                <w:rFonts w:eastAsia="Times New Roman"/>
                <w:color w:val="000000"/>
                <w:sz w:val="20"/>
                <w:szCs w:val="18"/>
              </w:rPr>
              <w:t>Efecto negativo</w:t>
            </w:r>
          </w:p>
        </w:tc>
        <w:tc>
          <w:tcPr>
            <w:tcW w:w="1140" w:type="pct"/>
            <w:shd w:val="clear" w:color="auto" w:fill="00B0F0"/>
          </w:tcPr>
          <w:p w:rsidR="00554C4F" w:rsidRPr="00A75729" w:rsidRDefault="00554C4F" w:rsidP="00554C4F">
            <w:pPr>
              <w:spacing w:before="0" w:after="0"/>
              <w:jc w:val="center"/>
              <w:rPr>
                <w:rFonts w:eastAsia="Times New Roman"/>
                <w:color w:val="000000"/>
                <w:sz w:val="20"/>
                <w:szCs w:val="18"/>
              </w:rPr>
            </w:pPr>
            <w:r w:rsidRPr="00A75729">
              <w:rPr>
                <w:rFonts w:eastAsia="Times New Roman"/>
                <w:color w:val="000000"/>
                <w:sz w:val="20"/>
                <w:szCs w:val="18"/>
              </w:rPr>
              <w:t>Efecto positivo</w:t>
            </w:r>
          </w:p>
        </w:tc>
        <w:tc>
          <w:tcPr>
            <w:tcW w:w="683" w:type="pct"/>
          </w:tcPr>
          <w:p w:rsidR="00554C4F" w:rsidRPr="00A75729" w:rsidRDefault="00554C4F" w:rsidP="00554C4F">
            <w:pPr>
              <w:spacing w:before="0" w:after="0"/>
              <w:jc w:val="center"/>
              <w:rPr>
                <w:rFonts w:eastAsia="Times New Roman"/>
                <w:color w:val="000000"/>
                <w:sz w:val="20"/>
                <w:szCs w:val="18"/>
              </w:rPr>
            </w:pPr>
            <w:r w:rsidRPr="00A75729">
              <w:rPr>
                <w:rFonts w:eastAsia="Times New Roman"/>
                <w:color w:val="000000"/>
                <w:sz w:val="20"/>
                <w:szCs w:val="18"/>
              </w:rPr>
              <w:t>Nulo</w:t>
            </w:r>
          </w:p>
        </w:tc>
        <w:tc>
          <w:tcPr>
            <w:tcW w:w="898" w:type="pct"/>
          </w:tcPr>
          <w:p w:rsidR="00554C4F" w:rsidRPr="00A75729" w:rsidRDefault="00554C4F" w:rsidP="00554C4F">
            <w:pPr>
              <w:spacing w:before="0" w:after="0"/>
              <w:jc w:val="center"/>
              <w:rPr>
                <w:rFonts w:eastAsia="Times New Roman"/>
                <w:color w:val="000000"/>
                <w:sz w:val="20"/>
                <w:szCs w:val="18"/>
              </w:rPr>
            </w:pPr>
            <w:r w:rsidRPr="00A75729">
              <w:rPr>
                <w:rFonts w:eastAsia="Times New Roman"/>
                <w:color w:val="000000"/>
                <w:sz w:val="20"/>
                <w:szCs w:val="18"/>
              </w:rPr>
              <w:t>Nulo</w:t>
            </w:r>
          </w:p>
        </w:tc>
      </w:tr>
      <w:tr w:rsidR="00554C4F" w:rsidRPr="00A75729" w:rsidTr="002964AF">
        <w:trPr>
          <w:trHeight w:val="20"/>
          <w:jc w:val="center"/>
        </w:trPr>
        <w:tc>
          <w:tcPr>
            <w:tcW w:w="1168" w:type="pct"/>
            <w:shd w:val="clear" w:color="000000" w:fill="FFFFFF"/>
            <w:vAlign w:val="center"/>
          </w:tcPr>
          <w:p w:rsidR="00554C4F" w:rsidRPr="00A75729" w:rsidRDefault="00554C4F" w:rsidP="00554C4F">
            <w:pPr>
              <w:spacing w:before="0" w:after="0"/>
              <w:rPr>
                <w:rFonts w:eastAsia="Times New Roman"/>
                <w:color w:val="000000"/>
                <w:sz w:val="20"/>
                <w:szCs w:val="18"/>
                <w:lang w:val="en-US"/>
              </w:rPr>
            </w:pPr>
            <w:proofErr w:type="spellStart"/>
            <w:r w:rsidRPr="00A75729">
              <w:rPr>
                <w:rFonts w:eastAsia="Times New Roman"/>
                <w:color w:val="000000"/>
                <w:sz w:val="20"/>
                <w:szCs w:val="18"/>
                <w:lang w:val="en-US"/>
              </w:rPr>
              <w:t>Localidad</w:t>
            </w:r>
            <w:proofErr w:type="spellEnd"/>
            <w:r w:rsidRPr="00A75729">
              <w:rPr>
                <w:rFonts w:eastAsia="Times New Roman"/>
                <w:color w:val="000000"/>
                <w:sz w:val="20"/>
                <w:szCs w:val="18"/>
                <w:lang w:val="en-US"/>
              </w:rPr>
              <w:t xml:space="preserve"> 3</w:t>
            </w:r>
          </w:p>
        </w:tc>
        <w:tc>
          <w:tcPr>
            <w:tcW w:w="1111" w:type="pct"/>
            <w:shd w:val="clear" w:color="auto" w:fill="FFFF00"/>
            <w:noWrap/>
            <w:vAlign w:val="center"/>
          </w:tcPr>
          <w:p w:rsidR="00554C4F" w:rsidRPr="00A75729" w:rsidRDefault="00554C4F" w:rsidP="000D7BB6">
            <w:pPr>
              <w:spacing w:before="0" w:after="0"/>
              <w:jc w:val="center"/>
              <w:rPr>
                <w:rFonts w:eastAsia="Times New Roman"/>
                <w:noProof/>
                <w:color w:val="000000"/>
                <w:sz w:val="20"/>
                <w:szCs w:val="18"/>
                <w:lang w:val="es-MX"/>
              </w:rPr>
            </w:pPr>
            <w:r w:rsidRPr="00A75729">
              <w:rPr>
                <w:rFonts w:eastAsia="Times New Roman"/>
                <w:noProof/>
                <w:color w:val="000000"/>
                <w:sz w:val="20"/>
                <w:szCs w:val="18"/>
                <w:lang w:val="es-MX"/>
              </w:rPr>
              <w:t xml:space="preserve">Efecto </w:t>
            </w:r>
            <w:r w:rsidR="000D7BB6" w:rsidRPr="00A75729">
              <w:rPr>
                <w:rFonts w:eastAsia="Times New Roman"/>
                <w:noProof/>
                <w:color w:val="000000"/>
                <w:sz w:val="20"/>
                <w:szCs w:val="18"/>
                <w:lang w:val="es-MX"/>
              </w:rPr>
              <w:t>nulo</w:t>
            </w:r>
          </w:p>
        </w:tc>
        <w:tc>
          <w:tcPr>
            <w:tcW w:w="1140" w:type="pct"/>
            <w:shd w:val="clear" w:color="auto" w:fill="FF0000"/>
          </w:tcPr>
          <w:p w:rsidR="00554C4F" w:rsidRPr="00A75729" w:rsidRDefault="00554C4F" w:rsidP="00554C4F">
            <w:pPr>
              <w:spacing w:before="0" w:after="0"/>
              <w:jc w:val="center"/>
              <w:rPr>
                <w:rFonts w:eastAsia="Times New Roman"/>
                <w:color w:val="000000"/>
                <w:sz w:val="20"/>
                <w:szCs w:val="18"/>
              </w:rPr>
            </w:pPr>
            <w:r w:rsidRPr="00A75729">
              <w:rPr>
                <w:rFonts w:eastAsia="Times New Roman"/>
                <w:color w:val="000000"/>
                <w:sz w:val="20"/>
                <w:szCs w:val="18"/>
              </w:rPr>
              <w:t>Efecto negativo</w:t>
            </w:r>
          </w:p>
        </w:tc>
        <w:tc>
          <w:tcPr>
            <w:tcW w:w="683" w:type="pct"/>
          </w:tcPr>
          <w:p w:rsidR="00554C4F" w:rsidRPr="00A75729" w:rsidRDefault="00554C4F" w:rsidP="00554C4F">
            <w:pPr>
              <w:spacing w:before="0" w:after="0"/>
              <w:jc w:val="center"/>
              <w:rPr>
                <w:rFonts w:eastAsia="Times New Roman"/>
                <w:color w:val="000000"/>
                <w:sz w:val="20"/>
                <w:szCs w:val="18"/>
              </w:rPr>
            </w:pPr>
            <w:r w:rsidRPr="00A75729">
              <w:rPr>
                <w:rFonts w:eastAsia="Times New Roman"/>
                <w:color w:val="000000"/>
                <w:sz w:val="20"/>
                <w:szCs w:val="18"/>
              </w:rPr>
              <w:t>Nulo</w:t>
            </w:r>
          </w:p>
        </w:tc>
        <w:tc>
          <w:tcPr>
            <w:tcW w:w="898" w:type="pct"/>
          </w:tcPr>
          <w:p w:rsidR="00554C4F" w:rsidRPr="00A75729" w:rsidRDefault="00554C4F" w:rsidP="00554C4F">
            <w:pPr>
              <w:spacing w:before="0" w:after="0"/>
              <w:jc w:val="center"/>
              <w:rPr>
                <w:rFonts w:eastAsia="Times New Roman"/>
                <w:color w:val="000000"/>
                <w:sz w:val="20"/>
                <w:szCs w:val="18"/>
              </w:rPr>
            </w:pPr>
            <w:r w:rsidRPr="00A75729">
              <w:rPr>
                <w:rFonts w:eastAsia="Times New Roman"/>
                <w:color w:val="000000"/>
                <w:sz w:val="20"/>
                <w:szCs w:val="18"/>
              </w:rPr>
              <w:t>Nulo</w:t>
            </w:r>
          </w:p>
        </w:tc>
      </w:tr>
      <w:tr w:rsidR="00554C4F" w:rsidRPr="00A75729" w:rsidTr="002964AF">
        <w:trPr>
          <w:trHeight w:val="20"/>
          <w:jc w:val="center"/>
        </w:trPr>
        <w:tc>
          <w:tcPr>
            <w:tcW w:w="1168" w:type="pct"/>
            <w:shd w:val="clear" w:color="000000" w:fill="FFFFFF"/>
            <w:vAlign w:val="center"/>
          </w:tcPr>
          <w:p w:rsidR="00554C4F" w:rsidRPr="00A75729" w:rsidRDefault="00554C4F" w:rsidP="00554C4F">
            <w:pPr>
              <w:spacing w:before="0" w:after="0"/>
              <w:rPr>
                <w:rFonts w:eastAsia="Times New Roman"/>
                <w:color w:val="000000"/>
                <w:sz w:val="20"/>
                <w:szCs w:val="18"/>
                <w:lang w:val="en-US"/>
              </w:rPr>
            </w:pPr>
            <w:r w:rsidRPr="00A75729">
              <w:rPr>
                <w:rFonts w:eastAsia="Times New Roman"/>
                <w:color w:val="000000"/>
                <w:sz w:val="20"/>
                <w:szCs w:val="18"/>
                <w:lang w:val="en-US"/>
              </w:rPr>
              <w:t>…</w:t>
            </w:r>
          </w:p>
        </w:tc>
        <w:tc>
          <w:tcPr>
            <w:tcW w:w="1111" w:type="pct"/>
            <w:shd w:val="clear" w:color="auto" w:fill="auto"/>
            <w:noWrap/>
          </w:tcPr>
          <w:p w:rsidR="00554C4F" w:rsidRPr="00A75729" w:rsidRDefault="00554C4F" w:rsidP="00554C4F">
            <w:pPr>
              <w:spacing w:before="0" w:after="0"/>
              <w:jc w:val="center"/>
              <w:rPr>
                <w:rFonts w:eastAsia="Times New Roman"/>
                <w:color w:val="000000"/>
                <w:sz w:val="20"/>
                <w:szCs w:val="18"/>
              </w:rPr>
            </w:pPr>
            <w:r w:rsidRPr="00A75729">
              <w:rPr>
                <w:rFonts w:eastAsia="Times New Roman"/>
                <w:color w:val="000000"/>
                <w:sz w:val="20"/>
                <w:szCs w:val="18"/>
              </w:rPr>
              <w:t>Nulo</w:t>
            </w:r>
          </w:p>
        </w:tc>
        <w:tc>
          <w:tcPr>
            <w:tcW w:w="1140" w:type="pct"/>
          </w:tcPr>
          <w:p w:rsidR="00554C4F" w:rsidRPr="00A75729" w:rsidRDefault="00554C4F" w:rsidP="00554C4F">
            <w:pPr>
              <w:spacing w:before="0" w:after="0"/>
              <w:jc w:val="center"/>
              <w:rPr>
                <w:rFonts w:eastAsia="Times New Roman"/>
                <w:color w:val="000000"/>
                <w:sz w:val="20"/>
                <w:szCs w:val="18"/>
              </w:rPr>
            </w:pPr>
            <w:r w:rsidRPr="00A75729">
              <w:rPr>
                <w:rFonts w:eastAsia="Times New Roman"/>
                <w:color w:val="000000"/>
                <w:sz w:val="20"/>
                <w:szCs w:val="18"/>
              </w:rPr>
              <w:t>Nulo</w:t>
            </w:r>
          </w:p>
        </w:tc>
        <w:tc>
          <w:tcPr>
            <w:tcW w:w="683" w:type="pct"/>
          </w:tcPr>
          <w:p w:rsidR="00554C4F" w:rsidRPr="00A75729" w:rsidRDefault="00554C4F" w:rsidP="00554C4F">
            <w:pPr>
              <w:spacing w:before="0" w:after="0"/>
              <w:jc w:val="center"/>
              <w:rPr>
                <w:rFonts w:eastAsia="Times New Roman"/>
                <w:color w:val="000000"/>
                <w:sz w:val="20"/>
                <w:szCs w:val="18"/>
              </w:rPr>
            </w:pPr>
            <w:r w:rsidRPr="00A75729">
              <w:rPr>
                <w:rFonts w:eastAsia="Times New Roman"/>
                <w:color w:val="000000"/>
                <w:sz w:val="20"/>
                <w:szCs w:val="18"/>
              </w:rPr>
              <w:t>Nulo</w:t>
            </w:r>
          </w:p>
        </w:tc>
        <w:tc>
          <w:tcPr>
            <w:tcW w:w="898" w:type="pct"/>
          </w:tcPr>
          <w:p w:rsidR="00554C4F" w:rsidRPr="00A75729" w:rsidRDefault="00554C4F" w:rsidP="00554C4F">
            <w:pPr>
              <w:spacing w:before="0" w:after="0"/>
              <w:jc w:val="center"/>
              <w:rPr>
                <w:rFonts w:eastAsia="Times New Roman"/>
                <w:color w:val="000000"/>
                <w:sz w:val="20"/>
                <w:szCs w:val="18"/>
              </w:rPr>
            </w:pPr>
            <w:r w:rsidRPr="00A75729">
              <w:rPr>
                <w:rFonts w:eastAsia="Times New Roman"/>
                <w:color w:val="000000"/>
                <w:sz w:val="20"/>
                <w:szCs w:val="18"/>
              </w:rPr>
              <w:t>Nulo</w:t>
            </w:r>
          </w:p>
        </w:tc>
      </w:tr>
      <w:tr w:rsidR="00554C4F" w:rsidRPr="00A75729" w:rsidTr="002964AF">
        <w:trPr>
          <w:trHeight w:val="20"/>
          <w:jc w:val="center"/>
        </w:trPr>
        <w:tc>
          <w:tcPr>
            <w:tcW w:w="1168" w:type="pct"/>
            <w:shd w:val="clear" w:color="000000" w:fill="FFFFFF"/>
            <w:vAlign w:val="center"/>
          </w:tcPr>
          <w:p w:rsidR="00554C4F" w:rsidRPr="00A75729" w:rsidRDefault="00554C4F" w:rsidP="00554C4F">
            <w:pPr>
              <w:spacing w:before="0" w:after="0"/>
              <w:rPr>
                <w:rFonts w:eastAsia="Times New Roman"/>
                <w:color w:val="000000"/>
                <w:sz w:val="20"/>
                <w:szCs w:val="18"/>
                <w:lang w:val="en-US"/>
              </w:rPr>
            </w:pPr>
            <w:proofErr w:type="spellStart"/>
            <w:r w:rsidRPr="00A75729">
              <w:rPr>
                <w:rFonts w:eastAsia="Times New Roman"/>
                <w:color w:val="000000"/>
                <w:sz w:val="20"/>
                <w:szCs w:val="18"/>
                <w:lang w:val="en-US"/>
              </w:rPr>
              <w:t>Localidad</w:t>
            </w:r>
            <w:proofErr w:type="spellEnd"/>
            <w:r w:rsidRPr="00A75729">
              <w:rPr>
                <w:rFonts w:eastAsia="Times New Roman"/>
                <w:color w:val="000000"/>
                <w:sz w:val="20"/>
                <w:szCs w:val="18"/>
                <w:lang w:val="en-US"/>
              </w:rPr>
              <w:t xml:space="preserve"> n</w:t>
            </w:r>
          </w:p>
        </w:tc>
        <w:tc>
          <w:tcPr>
            <w:tcW w:w="1111" w:type="pct"/>
            <w:shd w:val="clear" w:color="auto" w:fill="auto"/>
            <w:noWrap/>
          </w:tcPr>
          <w:p w:rsidR="00554C4F" w:rsidRPr="00A75729" w:rsidRDefault="00554C4F" w:rsidP="00554C4F">
            <w:pPr>
              <w:spacing w:before="0" w:after="0"/>
              <w:jc w:val="center"/>
              <w:rPr>
                <w:rFonts w:eastAsia="Times New Roman"/>
                <w:color w:val="000000"/>
                <w:sz w:val="20"/>
                <w:szCs w:val="18"/>
              </w:rPr>
            </w:pPr>
            <w:r w:rsidRPr="00A75729">
              <w:rPr>
                <w:rFonts w:eastAsia="Times New Roman"/>
                <w:color w:val="000000"/>
                <w:sz w:val="20"/>
                <w:szCs w:val="18"/>
              </w:rPr>
              <w:t>Nulo</w:t>
            </w:r>
          </w:p>
        </w:tc>
        <w:tc>
          <w:tcPr>
            <w:tcW w:w="1140" w:type="pct"/>
          </w:tcPr>
          <w:p w:rsidR="00554C4F" w:rsidRPr="00A75729" w:rsidRDefault="00554C4F" w:rsidP="00554C4F">
            <w:pPr>
              <w:spacing w:before="0" w:after="0"/>
              <w:jc w:val="center"/>
              <w:rPr>
                <w:rFonts w:eastAsia="Times New Roman"/>
                <w:color w:val="000000"/>
                <w:sz w:val="20"/>
                <w:szCs w:val="18"/>
              </w:rPr>
            </w:pPr>
            <w:r w:rsidRPr="00A75729">
              <w:rPr>
                <w:rFonts w:eastAsia="Times New Roman"/>
                <w:color w:val="000000"/>
                <w:sz w:val="20"/>
                <w:szCs w:val="18"/>
              </w:rPr>
              <w:t>Nulo</w:t>
            </w:r>
          </w:p>
        </w:tc>
        <w:tc>
          <w:tcPr>
            <w:tcW w:w="683" w:type="pct"/>
          </w:tcPr>
          <w:p w:rsidR="00554C4F" w:rsidRPr="00A75729" w:rsidRDefault="00554C4F" w:rsidP="00554C4F">
            <w:pPr>
              <w:spacing w:before="0" w:after="0"/>
              <w:jc w:val="center"/>
              <w:rPr>
                <w:rFonts w:eastAsia="Times New Roman"/>
                <w:color w:val="000000"/>
                <w:sz w:val="20"/>
                <w:szCs w:val="18"/>
              </w:rPr>
            </w:pPr>
            <w:r w:rsidRPr="00A75729">
              <w:rPr>
                <w:rFonts w:eastAsia="Times New Roman"/>
                <w:color w:val="000000"/>
                <w:sz w:val="20"/>
                <w:szCs w:val="18"/>
              </w:rPr>
              <w:t>Nulo</w:t>
            </w:r>
          </w:p>
        </w:tc>
        <w:tc>
          <w:tcPr>
            <w:tcW w:w="898" w:type="pct"/>
          </w:tcPr>
          <w:p w:rsidR="00554C4F" w:rsidRPr="00A75729" w:rsidRDefault="00554C4F" w:rsidP="00554C4F">
            <w:pPr>
              <w:spacing w:before="0" w:after="0"/>
              <w:jc w:val="center"/>
              <w:rPr>
                <w:rFonts w:eastAsia="Times New Roman"/>
                <w:color w:val="000000"/>
                <w:sz w:val="20"/>
                <w:szCs w:val="18"/>
              </w:rPr>
            </w:pPr>
            <w:r w:rsidRPr="00A75729">
              <w:rPr>
                <w:rFonts w:eastAsia="Times New Roman"/>
                <w:color w:val="000000"/>
                <w:sz w:val="20"/>
                <w:szCs w:val="18"/>
              </w:rPr>
              <w:t>Nulo</w:t>
            </w:r>
          </w:p>
        </w:tc>
      </w:tr>
    </w:tbl>
    <w:p w:rsidR="00554C4F" w:rsidRPr="00A75729" w:rsidRDefault="00554C4F" w:rsidP="00554C4F">
      <w:pPr>
        <w:ind w:left="851" w:right="-1"/>
        <w:rPr>
          <w:sz w:val="16"/>
        </w:rPr>
      </w:pPr>
      <w:r w:rsidRPr="00A75729">
        <w:rPr>
          <w:sz w:val="16"/>
        </w:rPr>
        <w:t>Fuente: Elaboración propia.</w:t>
      </w:r>
    </w:p>
    <w:p w:rsidR="00554C4F" w:rsidRDefault="00554C4F" w:rsidP="00554C4F">
      <w:pPr>
        <w:ind w:right="-1"/>
      </w:pPr>
      <w:r w:rsidRPr="00A75729">
        <w:rPr>
          <w:lang w:val="es-MX"/>
        </w:rPr>
        <w:lastRenderedPageBreak/>
        <w:t xml:space="preserve">En este ejemplo hipotético, los efectos identificados </w:t>
      </w:r>
      <w:r w:rsidRPr="00A75729">
        <w:t>sobre cada uno de esos servicios y zonas geográficas</w:t>
      </w:r>
      <w:r w:rsidRPr="00A75729">
        <w:rPr>
          <w:lang w:val="es-MX"/>
        </w:rPr>
        <w:t xml:space="preserve"> (positivos, negativos y nulos) tendrían que compararse, para luego determinar si los efectos </w:t>
      </w:r>
      <w:r w:rsidR="00271BF7" w:rsidRPr="00A75729">
        <w:rPr>
          <w:lang w:val="es-MX"/>
        </w:rPr>
        <w:t xml:space="preserve">negativos </w:t>
      </w:r>
      <w:r w:rsidRPr="00A75729">
        <w:rPr>
          <w:lang w:val="es-MX"/>
        </w:rPr>
        <w:t xml:space="preserve">superan a los </w:t>
      </w:r>
      <w:r w:rsidR="00271BF7" w:rsidRPr="00A75729">
        <w:rPr>
          <w:lang w:val="es-MX"/>
        </w:rPr>
        <w:t>positivos</w:t>
      </w:r>
      <w:r w:rsidRPr="00A75729">
        <w:rPr>
          <w:lang w:val="es-MX"/>
        </w:rPr>
        <w:t xml:space="preserve"> o viceversa,</w:t>
      </w:r>
      <w:r w:rsidRPr="00A75729">
        <w:t xml:space="preserve"> y si la Operación tiene o no como efecto disminuir, dañar o impedir la libre competencia y concurrencia, en el sector que corresponda</w:t>
      </w:r>
      <w:r w:rsidR="00271BF7" w:rsidRPr="00A75729">
        <w:t>.</w:t>
      </w:r>
    </w:p>
    <w:p w:rsidR="008B32E2" w:rsidRDefault="008B32E2" w:rsidP="008B32E2">
      <w:pPr>
        <w:ind w:right="-1"/>
        <w:rPr>
          <w:lang w:val="es-MX"/>
        </w:rPr>
      </w:pPr>
      <w:r>
        <w:rPr>
          <w:lang w:val="es-MX"/>
        </w:rPr>
        <w:t>Es de señalar que e</w:t>
      </w:r>
      <w:r w:rsidRPr="00A75729">
        <w:rPr>
          <w:lang w:val="es-MX"/>
        </w:rPr>
        <w:t>sta manera de proceder para evaluar los efectos de la Operación “</w:t>
      </w:r>
      <w:r w:rsidRPr="00A75729">
        <w:rPr>
          <w:i/>
          <w:lang w:val="es-MX"/>
        </w:rPr>
        <w:t>en el sector</w:t>
      </w:r>
      <w:r w:rsidRPr="00A75729">
        <w:rPr>
          <w:lang w:val="es-MX"/>
        </w:rPr>
        <w:t xml:space="preserve">” donde se </w:t>
      </w:r>
      <w:r w:rsidRPr="00A75729">
        <w:t xml:space="preserve">identifican la totalidad de los efectos —positivos, negativos y neutrales— en todos los servicios y áreas geográficas donde incide, </w:t>
      </w:r>
      <w:r w:rsidRPr="00A75729">
        <w:rPr>
          <w:lang w:val="es-MX"/>
        </w:rPr>
        <w:t xml:space="preserve">ha sido adoptada y aplicada </w:t>
      </w:r>
      <w:r w:rsidRPr="00A75729">
        <w:t xml:space="preserve">consistentemente en precedentes decisorios de </w:t>
      </w:r>
      <w:r w:rsidRPr="00A75729">
        <w:rPr>
          <w:lang w:val="es-MX"/>
        </w:rPr>
        <w:t>esta autoridad.</w:t>
      </w:r>
      <w:r w:rsidRPr="00A75729">
        <w:rPr>
          <w:rStyle w:val="Refdenotaalpie"/>
          <w:lang w:val="es-MX"/>
        </w:rPr>
        <w:footnoteReference w:id="45"/>
      </w:r>
    </w:p>
    <w:p w:rsidR="00A34DFE" w:rsidRPr="00A34DFE" w:rsidRDefault="008B32E2" w:rsidP="00405E87">
      <w:pPr>
        <w:rPr>
          <w:lang w:val="es-MX"/>
        </w:rPr>
      </w:pPr>
      <w:r>
        <w:t>Este</w:t>
      </w:r>
      <w:r w:rsidR="0099310B">
        <w:t xml:space="preserve"> análisis de los efectos netos en el sector de </w:t>
      </w:r>
      <w:r w:rsidR="00A34DFE">
        <w:t>radiodifusión</w:t>
      </w:r>
      <w:r w:rsidR="0099310B">
        <w:t xml:space="preserve"> </w:t>
      </w:r>
      <w:r>
        <w:t xml:space="preserve">debe </w:t>
      </w:r>
      <w:r w:rsidR="0099310B">
        <w:t>considera</w:t>
      </w:r>
      <w:r>
        <w:t>r</w:t>
      </w:r>
      <w:r w:rsidR="0099310B">
        <w:t xml:space="preserve"> los objetivos señalados </w:t>
      </w:r>
      <w:r w:rsidR="00A34DFE" w:rsidRPr="00D804FC">
        <w:t xml:space="preserve">en el Dictamen de la Cámara de Senadores relativo a la </w:t>
      </w:r>
      <w:proofErr w:type="spellStart"/>
      <w:r w:rsidR="00A34DFE" w:rsidRPr="00D804FC">
        <w:t>LFTR</w:t>
      </w:r>
      <w:proofErr w:type="spellEnd"/>
      <w:r w:rsidR="00423D03">
        <w:t xml:space="preserve"> en relación con </w:t>
      </w:r>
      <w:r w:rsidR="00C93B54">
        <w:t>el Noveno Transitorio</w:t>
      </w:r>
      <w:r w:rsidR="0099310B">
        <w:t>, consistentes en promover</w:t>
      </w:r>
      <w:r w:rsidR="00405E87">
        <w:t xml:space="preserve"> la competencia y el </w:t>
      </w:r>
      <w:r w:rsidR="0099310B">
        <w:t>desarrollo de</w:t>
      </w:r>
      <w:r w:rsidR="0099310B" w:rsidRPr="00090D23">
        <w:t xml:space="preserve"> competidores viables en el largo plazo</w:t>
      </w:r>
      <w:r w:rsidR="00A34DFE">
        <w:t xml:space="preserve"> </w:t>
      </w:r>
      <w:r w:rsidR="00C93B54">
        <w:t>en tanto exista un</w:t>
      </w:r>
      <w:r w:rsidR="00A34DFE">
        <w:t xml:space="preserve"> </w:t>
      </w:r>
      <w:proofErr w:type="spellStart"/>
      <w:r w:rsidR="00A34DFE">
        <w:t>AEPR</w:t>
      </w:r>
      <w:proofErr w:type="spellEnd"/>
      <w:r w:rsidR="00423D03">
        <w:t xml:space="preserve">, </w:t>
      </w:r>
      <w:r w:rsidR="00C93B54">
        <w:t>incluso mediante concentraciones</w:t>
      </w:r>
      <w:r w:rsidR="00405E87">
        <w:t xml:space="preserve">. </w:t>
      </w:r>
    </w:p>
    <w:p w:rsidR="008B32E2" w:rsidRDefault="00C93B54" w:rsidP="008B32E2">
      <w:pPr>
        <w:ind w:right="-1"/>
      </w:pPr>
      <w:r>
        <w:rPr>
          <w:lang w:val="es-MX"/>
        </w:rPr>
        <w:t xml:space="preserve">Tal como se </w:t>
      </w:r>
      <w:r>
        <w:t>desprende</w:t>
      </w:r>
      <w:r w:rsidR="008B32E2" w:rsidRPr="00D804FC">
        <w:t xml:space="preserve"> </w:t>
      </w:r>
      <w:r>
        <w:t>d</w:t>
      </w:r>
      <w:r w:rsidR="008B32E2" w:rsidRPr="00D804FC">
        <w:t xml:space="preserve">el </w:t>
      </w:r>
      <w:r>
        <w:t xml:space="preserve">siguiente extracto del </w:t>
      </w:r>
      <w:r w:rsidR="008B32E2" w:rsidRPr="00D804FC">
        <w:t xml:space="preserve">Dictamen de la Cámara de Senadores relativo a la </w:t>
      </w:r>
      <w:proofErr w:type="spellStart"/>
      <w:r w:rsidR="008B32E2" w:rsidRPr="00D804FC">
        <w:t>LFTR</w:t>
      </w:r>
      <w:proofErr w:type="spellEnd"/>
      <w:r w:rsidR="008B32E2" w:rsidRPr="00D804FC">
        <w:rPr>
          <w:rStyle w:val="Refdenotaalpie"/>
        </w:rPr>
        <w:footnoteReference w:id="46"/>
      </w:r>
      <w:r w:rsidR="008B32E2" w:rsidRPr="00D804FC">
        <w:t xml:space="preserve"> </w:t>
      </w:r>
      <w:r w:rsidR="008B32E2">
        <w:t xml:space="preserve">el Legislativo </w:t>
      </w:r>
      <w:r w:rsidR="008B32E2" w:rsidRPr="00D804FC">
        <w:t>estableció el siguiente propósito para el artículo Noveno Transitorio</w:t>
      </w:r>
      <w:r w:rsidR="008B32E2">
        <w:t>:</w:t>
      </w:r>
    </w:p>
    <w:p w:rsidR="008B32E2" w:rsidRPr="004818A3" w:rsidRDefault="008B32E2" w:rsidP="008B32E2">
      <w:pPr>
        <w:pStyle w:val="Cita"/>
        <w:spacing w:before="120" w:after="120" w:line="276" w:lineRule="auto"/>
        <w:ind w:left="567" w:right="48"/>
      </w:pPr>
      <w:r w:rsidRPr="004818A3">
        <w:t xml:space="preserve">“Teniendo en cuenta que </w:t>
      </w:r>
      <w:r w:rsidRPr="00423D03">
        <w:rPr>
          <w:b/>
        </w:rPr>
        <w:t xml:space="preserve">el objetivo principal de la Decreto de Reforma Constitucional en materia de telecomunicaciones es aumentar la competencia económica en el sector, </w:t>
      </w:r>
      <w:r w:rsidRPr="004818A3">
        <w:t xml:space="preserve">estas Comisiones Dictaminadoras establecen </w:t>
      </w:r>
      <w:r w:rsidRPr="004818A3">
        <w:rPr>
          <w:b/>
          <w:bCs/>
        </w:rPr>
        <w:t xml:space="preserve">en el artículo transitorio Noveno en el que se especifican los casos en que, con el fin de promover la competencia y desarrollar competidores viables en el largo plazo, y siempre que se observen determinados requisitos, </w:t>
      </w:r>
      <w:r w:rsidRPr="004818A3">
        <w:rPr>
          <w:bCs/>
        </w:rPr>
        <w:t>no se requerirá de autorización del Instituto Federal de Telecomunicaciones para llevar a cabo una concentración, hasta en tanto exista un agente económico preponderante en los sectores de telecomunicaciones y radiodifusión.</w:t>
      </w:r>
      <w:r w:rsidRPr="004818A3">
        <w:t xml:space="preserve"> </w:t>
      </w:r>
    </w:p>
    <w:p w:rsidR="008B32E2" w:rsidRPr="00A34DFE" w:rsidRDefault="008B32E2" w:rsidP="008B32E2">
      <w:pPr>
        <w:pStyle w:val="Cita"/>
        <w:spacing w:before="120" w:after="120" w:line="276" w:lineRule="auto"/>
        <w:ind w:left="567" w:right="48"/>
        <w:rPr>
          <w:szCs w:val="20"/>
        </w:rPr>
      </w:pPr>
      <w:r w:rsidRPr="004818A3">
        <w:rPr>
          <w:bCs/>
        </w:rPr>
        <w:t xml:space="preserve">Por lo anterior, es claro que el Proyecto de Decreto debe incluir medidas para impulsarlo, al </w:t>
      </w:r>
      <w:r w:rsidRPr="004818A3">
        <w:rPr>
          <w:b/>
          <w:bCs/>
        </w:rPr>
        <w:t xml:space="preserve">promover la </w:t>
      </w:r>
      <w:r w:rsidRPr="00A34DFE">
        <w:rPr>
          <w:b/>
          <w:bCs/>
          <w:szCs w:val="20"/>
        </w:rPr>
        <w:t>participación de agentes competitivos e incrementar la certidumbre para asegurar la realización de inversiones en pro de la competencia.</w:t>
      </w:r>
      <w:r w:rsidRPr="00A34DFE">
        <w:rPr>
          <w:szCs w:val="20"/>
        </w:rPr>
        <w:t xml:space="preserve"> Se debe </w:t>
      </w:r>
      <w:r w:rsidRPr="00A34DFE">
        <w:rPr>
          <w:b/>
          <w:bCs/>
          <w:szCs w:val="20"/>
        </w:rPr>
        <w:t>fomentar la participación de inversionistas viables</w:t>
      </w:r>
      <w:r w:rsidRPr="00A34DFE">
        <w:rPr>
          <w:szCs w:val="20"/>
        </w:rPr>
        <w:t xml:space="preserve"> </w:t>
      </w:r>
      <w:r w:rsidRPr="00A34DFE">
        <w:rPr>
          <w:b/>
          <w:szCs w:val="20"/>
        </w:rPr>
        <w:t>que puedan competir en el sector con el agente preponderante</w:t>
      </w:r>
      <w:r w:rsidRPr="00A34DFE">
        <w:rPr>
          <w:szCs w:val="20"/>
        </w:rPr>
        <w:t>, incluso por medio de nuevas concentraciones entre agentes que no hayan sido declarados con dicho carácter.</w:t>
      </w:r>
    </w:p>
    <w:p w:rsidR="008B32E2" w:rsidRPr="00A34DFE" w:rsidRDefault="008B32E2" w:rsidP="008B32E2">
      <w:pPr>
        <w:ind w:left="567"/>
        <w:rPr>
          <w:i/>
          <w:sz w:val="20"/>
          <w:szCs w:val="20"/>
          <w:lang w:val="es-MX"/>
        </w:rPr>
      </w:pPr>
      <w:r w:rsidRPr="00A34DFE">
        <w:rPr>
          <w:i/>
          <w:sz w:val="20"/>
          <w:szCs w:val="20"/>
          <w:lang w:val="es-MX"/>
        </w:rPr>
        <w:t>(…)</w:t>
      </w:r>
    </w:p>
    <w:p w:rsidR="008B32E2" w:rsidRPr="00A34DFE" w:rsidRDefault="008B32E2" w:rsidP="008B32E2">
      <w:pPr>
        <w:ind w:left="567"/>
        <w:rPr>
          <w:i/>
          <w:sz w:val="20"/>
          <w:szCs w:val="20"/>
          <w:lang w:val="es-MX"/>
        </w:rPr>
      </w:pPr>
      <w:r w:rsidRPr="00A34DFE">
        <w:rPr>
          <w:i/>
          <w:sz w:val="20"/>
          <w:szCs w:val="20"/>
          <w:lang w:val="es-MX"/>
        </w:rPr>
        <w:t xml:space="preserve">Para fomentar la participación de nuevos jugadores y otorgar certidumbre a inversiones que beneficien la competencia, dado el carácter altamente litigioso del sector de </w:t>
      </w:r>
      <w:r w:rsidRPr="00A34DFE">
        <w:rPr>
          <w:i/>
          <w:sz w:val="20"/>
          <w:szCs w:val="20"/>
          <w:lang w:val="es-MX"/>
        </w:rPr>
        <w:lastRenderedPageBreak/>
        <w:t xml:space="preserve">telecomunicaciones en nuestro país, se propone </w:t>
      </w:r>
      <w:r w:rsidRPr="00A34DFE">
        <w:rPr>
          <w:b/>
          <w:i/>
          <w:sz w:val="20"/>
          <w:szCs w:val="20"/>
          <w:lang w:val="es-MX"/>
        </w:rPr>
        <w:t xml:space="preserve">un régimen de excepción en materia de concentraciones </w:t>
      </w:r>
      <w:r w:rsidRPr="00A34DFE">
        <w:rPr>
          <w:i/>
          <w:sz w:val="20"/>
          <w:szCs w:val="20"/>
          <w:lang w:val="es-MX"/>
        </w:rPr>
        <w:t xml:space="preserve">para los sectores donde exista un agente económico preponderante, en el contexto del tránsito hacia un </w:t>
      </w:r>
      <w:r w:rsidRPr="00A34DFE">
        <w:rPr>
          <w:b/>
          <w:i/>
          <w:sz w:val="20"/>
          <w:szCs w:val="20"/>
          <w:lang w:val="es-MX"/>
        </w:rPr>
        <w:t>sector con servicios convergentes</w:t>
      </w:r>
      <w:r w:rsidRPr="00A34DFE">
        <w:rPr>
          <w:i/>
          <w:sz w:val="20"/>
          <w:szCs w:val="20"/>
          <w:lang w:val="es-MX"/>
        </w:rPr>
        <w:t xml:space="preserve">. </w:t>
      </w:r>
    </w:p>
    <w:p w:rsidR="008B32E2" w:rsidRPr="00A34DFE" w:rsidRDefault="008B32E2" w:rsidP="008B32E2">
      <w:pPr>
        <w:ind w:left="567"/>
        <w:rPr>
          <w:b/>
          <w:i/>
          <w:sz w:val="20"/>
          <w:szCs w:val="20"/>
          <w:lang w:val="es-MX"/>
        </w:rPr>
      </w:pPr>
      <w:r w:rsidRPr="00A34DFE">
        <w:rPr>
          <w:i/>
          <w:sz w:val="20"/>
          <w:szCs w:val="20"/>
          <w:lang w:val="es-MX"/>
        </w:rPr>
        <w:t>Lo anterior encuentra plena justificación con la existencia de agentes económicos preponderantes, cuyo carácter impediría alcanzar los objetivos del Decreto de Reforma Constitucional consistentes en</w:t>
      </w:r>
      <w:r w:rsidRPr="00A34DFE">
        <w:rPr>
          <w:b/>
          <w:i/>
          <w:sz w:val="20"/>
          <w:szCs w:val="20"/>
          <w:lang w:val="es-MX"/>
        </w:rPr>
        <w:t xml:space="preserve"> crear condiciones de competencia efectiva en los sectores de radiodifusión v telecomunicaciones.</w:t>
      </w:r>
    </w:p>
    <w:p w:rsidR="008B32E2" w:rsidRPr="00A34DFE" w:rsidRDefault="008B32E2" w:rsidP="008B32E2">
      <w:pPr>
        <w:pStyle w:val="Cita"/>
        <w:spacing w:before="120" w:after="120" w:line="276" w:lineRule="auto"/>
        <w:ind w:left="567" w:right="48"/>
        <w:rPr>
          <w:szCs w:val="20"/>
        </w:rPr>
      </w:pPr>
      <w:r w:rsidRPr="00A34DFE">
        <w:rPr>
          <w:szCs w:val="20"/>
          <w:lang w:val="es-MX"/>
        </w:rPr>
        <w:t>Como ya se dijo, debe tomarse en cuenta que el régimen de excepción se encontrará vigente exclusivamente en tanto existan agentes económicos preponderantes en el sector respectivo, y que el objetivo del mismo es que permitan tener un sector menos concentrado, más competitivo,</w:t>
      </w:r>
      <w:r w:rsidRPr="00A34DFE">
        <w:rPr>
          <w:b/>
          <w:szCs w:val="20"/>
          <w:lang w:val="es-MX"/>
        </w:rPr>
        <w:t xml:space="preserve"> con participantes que puedan enfrentar al agente económico preponderante, facilitando tal circunstancia con la eliminación de barreras de entrada, en este caso de naturaleza regulatoria</w:t>
      </w:r>
      <w:r>
        <w:rPr>
          <w:b/>
          <w:szCs w:val="20"/>
          <w:lang w:val="es-MX"/>
        </w:rPr>
        <w:t>.</w:t>
      </w:r>
      <w:r w:rsidRPr="00A34DFE">
        <w:rPr>
          <w:szCs w:val="20"/>
        </w:rPr>
        <w:t xml:space="preserve">” </w:t>
      </w:r>
      <w:r w:rsidRPr="00A34DFE">
        <w:rPr>
          <w:i w:val="0"/>
          <w:szCs w:val="20"/>
        </w:rPr>
        <w:t>[Énfasis añadido]</w:t>
      </w:r>
    </w:p>
    <w:p w:rsidR="008B32E2" w:rsidRDefault="008B32E2" w:rsidP="00F80D00">
      <w:pPr>
        <w:ind w:right="-1"/>
        <w:rPr>
          <w:lang w:val="es-MX"/>
        </w:rPr>
      </w:pPr>
      <w:r>
        <w:rPr>
          <w:lang w:val="es-MX"/>
        </w:rPr>
        <w:t xml:space="preserve">Así, la evaluación del inciso d. del párrafo primero del Noveno Transitorio consiste en analizar los efectos de la Operación en </w:t>
      </w:r>
      <w:r w:rsidR="001B61E3" w:rsidRPr="00A75729">
        <w:t xml:space="preserve">cada uno de </w:t>
      </w:r>
      <w:r w:rsidR="001B61E3">
        <w:t>los</w:t>
      </w:r>
      <w:r w:rsidR="001B61E3" w:rsidRPr="00A75729">
        <w:t xml:space="preserve"> servicios y zonas geográficas</w:t>
      </w:r>
      <w:r w:rsidR="001B61E3">
        <w:rPr>
          <w:lang w:val="es-MX"/>
        </w:rPr>
        <w:t xml:space="preserve"> </w:t>
      </w:r>
      <w:r>
        <w:rPr>
          <w:lang w:val="es-MX"/>
        </w:rPr>
        <w:t xml:space="preserve">que conforman el sector de radiodifusión, </w:t>
      </w:r>
      <w:r w:rsidR="001B61E3">
        <w:rPr>
          <w:lang w:val="es-MX"/>
        </w:rPr>
        <w:t>así como su contribución a</w:t>
      </w:r>
      <w:r>
        <w:rPr>
          <w:lang w:val="es-MX"/>
        </w:rPr>
        <w:t>l desarrollo de competidores viables en el largo plazo</w:t>
      </w:r>
      <w:r w:rsidR="001B61E3">
        <w:rPr>
          <w:lang w:val="es-MX"/>
        </w:rPr>
        <w:t>.</w:t>
      </w:r>
    </w:p>
    <w:p w:rsidR="008A505E" w:rsidRPr="00423D03" w:rsidRDefault="006929DE" w:rsidP="00573AC9">
      <w:r>
        <w:t xml:space="preserve">En caso que se verifique que la concentración sí cumple con los requisitos establecidos, entonces este </w:t>
      </w:r>
      <w:r w:rsidR="008A505E">
        <w:rPr>
          <w:rFonts w:eastAsia="Times New Roman"/>
          <w:bCs/>
          <w:color w:val="000000"/>
        </w:rPr>
        <w:t xml:space="preserve">régimen de excepción </w:t>
      </w:r>
      <w:r>
        <w:rPr>
          <w:rFonts w:eastAsia="Times New Roman"/>
          <w:bCs/>
          <w:color w:val="000000"/>
        </w:rPr>
        <w:t xml:space="preserve">también </w:t>
      </w:r>
      <w:r w:rsidR="008A505E">
        <w:rPr>
          <w:rFonts w:eastAsia="Times New Roman"/>
          <w:bCs/>
          <w:color w:val="000000"/>
        </w:rPr>
        <w:t xml:space="preserve">prevé que </w:t>
      </w:r>
      <w:r w:rsidR="00CD4BC9">
        <w:rPr>
          <w:rFonts w:eastAsia="Times New Roman"/>
          <w:bCs/>
          <w:color w:val="000000"/>
        </w:rPr>
        <w:t>este Instituto debe realizar</w:t>
      </w:r>
      <w:r>
        <w:rPr>
          <w:rFonts w:eastAsia="Times New Roman"/>
          <w:bCs/>
          <w:color w:val="000000"/>
        </w:rPr>
        <w:t xml:space="preserve"> una investigación en términos de la </w:t>
      </w:r>
      <w:proofErr w:type="spellStart"/>
      <w:r>
        <w:rPr>
          <w:rFonts w:eastAsia="Times New Roman"/>
          <w:bCs/>
          <w:color w:val="000000"/>
        </w:rPr>
        <w:t>LFCE</w:t>
      </w:r>
      <w:proofErr w:type="spellEnd"/>
      <w:r>
        <w:rPr>
          <w:rFonts w:eastAsia="Times New Roman"/>
          <w:bCs/>
          <w:color w:val="000000"/>
        </w:rPr>
        <w:t xml:space="preserve"> para determinar si la</w:t>
      </w:r>
      <w:r w:rsidR="008A505E">
        <w:rPr>
          <w:rFonts w:eastAsia="Times New Roman"/>
          <w:bCs/>
          <w:color w:val="000000"/>
        </w:rPr>
        <w:t xml:space="preserve"> concentración </w:t>
      </w:r>
      <w:r>
        <w:rPr>
          <w:rFonts w:eastAsia="Times New Roman"/>
          <w:bCs/>
          <w:color w:val="000000"/>
        </w:rPr>
        <w:t>genera</w:t>
      </w:r>
      <w:r w:rsidR="008A505E">
        <w:rPr>
          <w:rFonts w:eastAsia="Times New Roman"/>
          <w:bCs/>
          <w:color w:val="000000"/>
        </w:rPr>
        <w:t xml:space="preserve"> poder sustancial</w:t>
      </w:r>
      <w:r w:rsidR="008A505E" w:rsidRPr="002F373C">
        <w:t xml:space="preserve"> </w:t>
      </w:r>
      <w:r w:rsidR="008A505E" w:rsidRPr="00FC4117">
        <w:t xml:space="preserve">en </w:t>
      </w:r>
      <w:r w:rsidR="008A505E">
        <w:t xml:space="preserve">los mercados </w:t>
      </w:r>
      <w:r w:rsidR="008A505E" w:rsidRPr="00587D98">
        <w:t>correspondientes</w:t>
      </w:r>
      <w:r>
        <w:t xml:space="preserve"> y, de ser el caso, </w:t>
      </w:r>
      <w:r w:rsidR="008A505E" w:rsidRPr="00FC4117">
        <w:t>imponer las medidas necesarias para proteger y fomentar en dicho</w:t>
      </w:r>
      <w:r w:rsidR="008A505E">
        <w:t>(s)</w:t>
      </w:r>
      <w:r w:rsidR="008A505E" w:rsidRPr="00FC4117">
        <w:t xml:space="preserve"> mercado</w:t>
      </w:r>
      <w:r w:rsidR="008A505E">
        <w:t>(s)</w:t>
      </w:r>
      <w:r w:rsidR="008A505E" w:rsidRPr="00FC4117">
        <w:t xml:space="preserve"> la libre competencia y concurrencia</w:t>
      </w:r>
      <w:r w:rsidR="008A505E">
        <w:t>.</w:t>
      </w:r>
      <w:r w:rsidR="00CD4BC9">
        <w:t xml:space="preserve"> Ese procedimiento de investigación — se reitera— es posterior a la evaluación del </w:t>
      </w:r>
      <w:r w:rsidR="008A505E">
        <w:t>aviso que se analiza en la presente resolución.</w:t>
      </w:r>
    </w:p>
    <w:p w:rsidR="00E30100" w:rsidRPr="00A75729" w:rsidRDefault="00E30100" w:rsidP="00DC18D0">
      <w:pPr>
        <w:keepNext/>
        <w:spacing w:before="360"/>
        <w:ind w:firstLine="709"/>
        <w:rPr>
          <w:rFonts w:eastAsia="Times New Roman"/>
          <w:b/>
          <w:lang w:eastAsia="es-ES"/>
        </w:rPr>
      </w:pPr>
      <w:r w:rsidRPr="00A75729">
        <w:rPr>
          <w:rFonts w:eastAsia="Times New Roman"/>
          <w:b/>
          <w:lang w:eastAsia="es-ES"/>
        </w:rPr>
        <w:t>Análisis de los efectos de la Operación en el sector de radiodifusión</w:t>
      </w:r>
    </w:p>
    <w:p w:rsidR="00E30100" w:rsidRPr="00A75729" w:rsidRDefault="007530B8" w:rsidP="00F80D00">
      <w:pPr>
        <w:ind w:right="-1"/>
        <w:rPr>
          <w:b/>
          <w:u w:val="single"/>
        </w:rPr>
      </w:pPr>
      <w:r w:rsidRPr="00A75729">
        <w:rPr>
          <w:rFonts w:cs="Helvetica"/>
          <w:iCs/>
          <w:lang w:val="es-MX"/>
        </w:rPr>
        <w:t>Como se concluye</w:t>
      </w:r>
      <w:r w:rsidR="00E30100" w:rsidRPr="00A75729">
        <w:rPr>
          <w:rFonts w:cs="Helvetica"/>
          <w:iCs/>
          <w:lang w:val="es-MX"/>
        </w:rPr>
        <w:t xml:space="preserve"> en </w:t>
      </w:r>
      <w:r w:rsidR="00A30E0F">
        <w:rPr>
          <w:rFonts w:cs="Helvetica"/>
          <w:iCs/>
          <w:lang w:val="es-MX"/>
        </w:rPr>
        <w:t>la sección</w:t>
      </w:r>
      <w:r w:rsidR="00E30100" w:rsidRPr="00A75729">
        <w:rPr>
          <w:rFonts w:cs="Helvetica"/>
          <w:iCs/>
          <w:lang w:val="es-MX"/>
        </w:rPr>
        <w:t xml:space="preserve"> 4.3.</w:t>
      </w:r>
      <w:r w:rsidR="00E30100" w:rsidRPr="00A75729">
        <w:rPr>
          <w:rFonts w:eastAsia="Times New Roman"/>
          <w:color w:val="000000"/>
          <w:lang w:val="es-MX"/>
        </w:rPr>
        <w:t xml:space="preserve"> de esta resolución</w:t>
      </w:r>
      <w:r w:rsidR="00E30100" w:rsidRPr="00A75729">
        <w:rPr>
          <w:rFonts w:cs="Helvetica"/>
          <w:iCs/>
          <w:lang w:val="es-MX"/>
        </w:rPr>
        <w:t>, las Partes involucradas en la Operación, participan en la provisión de servicios en el sector de r</w:t>
      </w:r>
      <w:r w:rsidRPr="00A75729">
        <w:rPr>
          <w:rFonts w:cs="Helvetica"/>
          <w:iCs/>
          <w:lang w:val="es-MX"/>
        </w:rPr>
        <w:t xml:space="preserve">adiodifusión y </w:t>
      </w:r>
      <w:r w:rsidR="00E30100" w:rsidRPr="00A75729">
        <w:rPr>
          <w:b/>
          <w:u w:val="single"/>
        </w:rPr>
        <w:t xml:space="preserve">coinciden únicamente en la provisión del </w:t>
      </w:r>
      <w:proofErr w:type="spellStart"/>
      <w:r w:rsidR="00E30100" w:rsidRPr="00A75729">
        <w:rPr>
          <w:b/>
          <w:u w:val="single"/>
        </w:rPr>
        <w:t>SRSAC</w:t>
      </w:r>
      <w:proofErr w:type="spellEnd"/>
      <w:r w:rsidR="005933AB" w:rsidRPr="00A75729">
        <w:rPr>
          <w:b/>
          <w:u w:val="single"/>
        </w:rPr>
        <w:t xml:space="preserve"> y no en el del </w:t>
      </w:r>
      <w:proofErr w:type="spellStart"/>
      <w:r w:rsidR="005933AB" w:rsidRPr="00A75729">
        <w:rPr>
          <w:b/>
          <w:u w:val="single"/>
        </w:rPr>
        <w:t>STRDC</w:t>
      </w:r>
      <w:proofErr w:type="spellEnd"/>
      <w:r w:rsidR="00E30100" w:rsidRPr="00A75729">
        <w:rPr>
          <w:b/>
          <w:u w:val="single"/>
        </w:rPr>
        <w:t>.</w:t>
      </w:r>
    </w:p>
    <w:p w:rsidR="002B6993" w:rsidRPr="00A75729" w:rsidRDefault="00FF7B9B" w:rsidP="00FF7B9B">
      <w:pPr>
        <w:pStyle w:val="Ttulo5"/>
        <w:numPr>
          <w:ilvl w:val="0"/>
          <w:numId w:val="0"/>
        </w:numPr>
        <w:spacing w:before="360" w:after="0"/>
        <w:rPr>
          <w:lang w:val="es-MX" w:eastAsia="en-US"/>
        </w:rPr>
      </w:pPr>
      <w:bookmarkStart w:id="236" w:name="_Toc519100874"/>
      <w:r>
        <w:rPr>
          <w:lang w:val="es-MX" w:eastAsia="en-US"/>
        </w:rPr>
        <w:t xml:space="preserve">5.4.4.2 </w:t>
      </w:r>
      <w:proofErr w:type="spellStart"/>
      <w:r w:rsidR="002B6993" w:rsidRPr="00A75729">
        <w:rPr>
          <w:lang w:val="es-MX" w:eastAsia="en-US"/>
        </w:rPr>
        <w:t>SRSAC</w:t>
      </w:r>
      <w:bookmarkEnd w:id="236"/>
      <w:proofErr w:type="spellEnd"/>
    </w:p>
    <w:p w:rsidR="005E5279" w:rsidRPr="00A75729" w:rsidRDefault="005E5279" w:rsidP="00F80D00">
      <w:pPr>
        <w:ind w:right="-1"/>
      </w:pPr>
      <w:r w:rsidRPr="00A75729">
        <w:t xml:space="preserve">El Pleno del Instituto ha determinado que el proceso competitivo en el </w:t>
      </w:r>
      <w:proofErr w:type="spellStart"/>
      <w:r w:rsidRPr="00A75729">
        <w:t>SRSAC</w:t>
      </w:r>
      <w:proofErr w:type="spellEnd"/>
      <w:r w:rsidRPr="00A75729">
        <w:t xml:space="preserve"> ocurre en una dimensión geográfica que corresponde a las localidades de cobertura de la(s) estación(es) involucradas en la concentración que se analiza.</w:t>
      </w:r>
      <w:r w:rsidRPr="00A75729">
        <w:rPr>
          <w:rStyle w:val="Refdenotaalpie"/>
        </w:rPr>
        <w:footnoteReference w:id="47"/>
      </w:r>
    </w:p>
    <w:p w:rsidR="005933AB" w:rsidRPr="00A75729" w:rsidRDefault="005933AB" w:rsidP="00F80D00">
      <w:pPr>
        <w:ind w:right="-1"/>
      </w:pPr>
      <w:r w:rsidRPr="00A75729">
        <w:lastRenderedPageBreak/>
        <w:t>A este respecto, las Partes señalaron lo siguiente:</w:t>
      </w:r>
      <w:r w:rsidR="0044470A" w:rsidRPr="00A75729">
        <w:rPr>
          <w:rStyle w:val="Refdenotaalpie"/>
          <w:lang w:val="es-MX"/>
        </w:rPr>
        <w:footnoteReference w:id="48"/>
      </w:r>
    </w:p>
    <w:p w:rsidR="005933AB" w:rsidRPr="00A75729" w:rsidRDefault="005933AB" w:rsidP="005933AB">
      <w:pPr>
        <w:ind w:left="567" w:right="-1"/>
        <w:rPr>
          <w:i/>
          <w:sz w:val="20"/>
        </w:rPr>
      </w:pPr>
      <w:r w:rsidRPr="00A75729">
        <w:rPr>
          <w:i/>
          <w:sz w:val="20"/>
        </w:rPr>
        <w:t>“</w:t>
      </w:r>
      <w:proofErr w:type="spellStart"/>
      <w:r w:rsidRPr="00A75729">
        <w:rPr>
          <w:i/>
          <w:sz w:val="20"/>
        </w:rPr>
        <w:t>d.2</w:t>
      </w:r>
      <w:proofErr w:type="spellEnd"/>
      <w:r w:rsidRPr="00A75729">
        <w:rPr>
          <w:i/>
          <w:sz w:val="20"/>
        </w:rPr>
        <w:t xml:space="preserve"> </w:t>
      </w:r>
      <w:r w:rsidRPr="00A75729">
        <w:rPr>
          <w:i/>
          <w:sz w:val="20"/>
          <w:u w:val="single"/>
        </w:rPr>
        <w:t>La concentración no tiene efectos en el servicio de TV Abierta</w:t>
      </w:r>
      <w:r w:rsidRPr="00A75729">
        <w:rPr>
          <w:i/>
          <w:sz w:val="20"/>
        </w:rPr>
        <w:t>.</w:t>
      </w:r>
    </w:p>
    <w:p w:rsidR="005933AB" w:rsidRPr="00A75729" w:rsidRDefault="005933AB" w:rsidP="005933AB">
      <w:pPr>
        <w:ind w:left="567" w:right="-1"/>
        <w:rPr>
          <w:sz w:val="20"/>
        </w:rPr>
      </w:pPr>
      <w:r w:rsidRPr="00A75729">
        <w:rPr>
          <w:i/>
          <w:sz w:val="20"/>
        </w:rPr>
        <w:t xml:space="preserve">(…) es importante considerar que Audio Publicidad no presta servicio de televisión por lo que la concentración no aumentará la audiencia de [el </w:t>
      </w:r>
      <w:proofErr w:type="spellStart"/>
      <w:r w:rsidRPr="00A75729">
        <w:rPr>
          <w:i/>
          <w:sz w:val="20"/>
        </w:rPr>
        <w:t>GIE</w:t>
      </w:r>
      <w:proofErr w:type="spellEnd"/>
      <w:r w:rsidRPr="00A75729">
        <w:rPr>
          <w:i/>
          <w:sz w:val="20"/>
        </w:rPr>
        <w:t xml:space="preserve"> Grupo] Multimedios, por lo </w:t>
      </w:r>
      <w:proofErr w:type="gramStart"/>
      <w:r w:rsidRPr="00A75729">
        <w:rPr>
          <w:i/>
          <w:sz w:val="20"/>
        </w:rPr>
        <w:t>tanto</w:t>
      </w:r>
      <w:proofErr w:type="gramEnd"/>
      <w:r w:rsidRPr="00A75729">
        <w:rPr>
          <w:i/>
          <w:sz w:val="20"/>
        </w:rPr>
        <w:t xml:space="preserve"> no es posible que aumente su capacidad para aumentar precios o realizar prácticas monopólicas en este servicio.”</w:t>
      </w:r>
      <w:r w:rsidRPr="00A75729">
        <w:rPr>
          <w:sz w:val="20"/>
        </w:rPr>
        <w:t xml:space="preserve"> [Énfasis añadido]</w:t>
      </w:r>
    </w:p>
    <w:p w:rsidR="0044470A" w:rsidRPr="00A75729" w:rsidRDefault="00767A8A" w:rsidP="00DE1C0E">
      <w:pPr>
        <w:rPr>
          <w:color w:val="000000"/>
          <w:lang w:val="es-ES"/>
        </w:rPr>
      </w:pPr>
      <w:r w:rsidRPr="00767A8A">
        <w:rPr>
          <w:b/>
          <w:color w:val="000000"/>
          <w:lang w:val="es-ES"/>
        </w:rPr>
        <w:t>E</w:t>
      </w:r>
      <w:r w:rsidR="007530B8" w:rsidRPr="00A75729">
        <w:rPr>
          <w:b/>
          <w:color w:val="000000"/>
          <w:lang w:val="es-ES"/>
        </w:rPr>
        <w:t xml:space="preserve">l </w:t>
      </w:r>
      <w:proofErr w:type="spellStart"/>
      <w:r w:rsidR="007530B8" w:rsidRPr="00A75729">
        <w:rPr>
          <w:b/>
          <w:color w:val="000000"/>
          <w:lang w:val="es-ES"/>
        </w:rPr>
        <w:t>SRSAC</w:t>
      </w:r>
      <w:proofErr w:type="spellEnd"/>
      <w:r w:rsidR="007530B8" w:rsidRPr="00A75729">
        <w:rPr>
          <w:b/>
          <w:color w:val="000000"/>
          <w:lang w:val="es-ES"/>
        </w:rPr>
        <w:t xml:space="preserve"> se provee a nivel local</w:t>
      </w:r>
      <w:r w:rsidR="007530B8" w:rsidRPr="00A75729">
        <w:rPr>
          <w:color w:val="000000"/>
          <w:lang w:val="es-ES"/>
        </w:rPr>
        <w:t xml:space="preserve"> t</w:t>
      </w:r>
      <w:r w:rsidR="0044470A" w:rsidRPr="00A75729">
        <w:rPr>
          <w:color w:val="000000"/>
          <w:lang w:val="es-ES"/>
        </w:rPr>
        <w:t xml:space="preserve">al </w:t>
      </w:r>
      <w:r w:rsidR="007530B8" w:rsidRPr="00A75729">
        <w:rPr>
          <w:color w:val="000000"/>
          <w:lang w:val="es-ES"/>
        </w:rPr>
        <w:t>y como lo autoriza el</w:t>
      </w:r>
      <w:r w:rsidR="0044470A" w:rsidRPr="00A75729">
        <w:rPr>
          <w:color w:val="000000"/>
          <w:lang w:val="es-ES"/>
        </w:rPr>
        <w:t xml:space="preserve"> título de concesión </w:t>
      </w:r>
      <w:r w:rsidR="00A75729">
        <w:rPr>
          <w:color w:val="000000"/>
          <w:lang w:val="es-ES"/>
        </w:rPr>
        <w:t>materia de la Operación</w:t>
      </w:r>
      <w:r w:rsidR="0044470A" w:rsidRPr="00A75729">
        <w:rPr>
          <w:color w:val="000000"/>
          <w:lang w:val="es-ES"/>
        </w:rPr>
        <w:t xml:space="preserve">, limitada por parámetros de potencia y una </w:t>
      </w:r>
      <w:r w:rsidR="007530B8" w:rsidRPr="00A75729">
        <w:rPr>
          <w:color w:val="000000"/>
          <w:lang w:val="es-ES"/>
        </w:rPr>
        <w:t xml:space="preserve">población principal a servir —que corresponde a </w:t>
      </w:r>
      <w:r w:rsidR="0044470A" w:rsidRPr="00A75729">
        <w:t>Ojo de Agua, Nuevo León.</w:t>
      </w:r>
      <w:r w:rsidR="0044470A" w:rsidRPr="00A75729">
        <w:rPr>
          <w:color w:val="000000"/>
          <w:lang w:val="es-ES"/>
        </w:rPr>
        <w:t xml:space="preserve"> </w:t>
      </w:r>
    </w:p>
    <w:p w:rsidR="002B6993" w:rsidRPr="00A75729" w:rsidRDefault="002B6993" w:rsidP="002B6993">
      <w:r w:rsidRPr="00A75729">
        <w:t xml:space="preserve">El </w:t>
      </w:r>
      <w:proofErr w:type="spellStart"/>
      <w:r w:rsidRPr="00A75729">
        <w:t>SRSAC</w:t>
      </w:r>
      <w:proofErr w:type="spellEnd"/>
      <w:r w:rsidRPr="00A75729">
        <w:t xml:space="preserve"> ha sido analizado por el Instituto en diversas ocasiones.</w:t>
      </w:r>
      <w:r w:rsidRPr="00A75729">
        <w:rPr>
          <w:rStyle w:val="Refdenotaalpie"/>
        </w:rPr>
        <w:footnoteReference w:id="49"/>
      </w:r>
      <w:r w:rsidRPr="00A75729">
        <w:t xml:space="preserve"> Los principales elementos de análisis son los siguientes: </w:t>
      </w:r>
    </w:p>
    <w:p w:rsidR="002B6993" w:rsidRPr="00A75729" w:rsidRDefault="002B6993" w:rsidP="006A7D5F">
      <w:pPr>
        <w:pStyle w:val="Sinespaciado"/>
        <w:numPr>
          <w:ilvl w:val="0"/>
          <w:numId w:val="44"/>
        </w:numPr>
        <w:spacing w:before="120" w:after="120" w:line="276" w:lineRule="auto"/>
        <w:ind w:left="426" w:hanging="284"/>
        <w:jc w:val="both"/>
        <w:rPr>
          <w:rFonts w:ascii="ITC Avant Garde" w:eastAsia="Times New Roman" w:hAnsi="ITC Avant Garde"/>
          <w:color w:val="000000"/>
          <w:lang w:val="es-ES"/>
        </w:rPr>
      </w:pPr>
      <w:r w:rsidRPr="00A75729">
        <w:rPr>
          <w:rFonts w:ascii="ITC Avant Garde" w:hAnsi="ITC Avant Garde"/>
          <w:b/>
          <w:bCs/>
          <w:u w:val="single"/>
        </w:rPr>
        <w:t xml:space="preserve">El </w:t>
      </w:r>
      <w:proofErr w:type="spellStart"/>
      <w:r w:rsidRPr="00A75729">
        <w:rPr>
          <w:rFonts w:ascii="ITC Avant Garde" w:hAnsi="ITC Avant Garde"/>
          <w:b/>
          <w:bCs/>
          <w:u w:val="single"/>
        </w:rPr>
        <w:t>SRSAC</w:t>
      </w:r>
      <w:proofErr w:type="spellEnd"/>
      <w:r w:rsidRPr="00A75729">
        <w:rPr>
          <w:rFonts w:ascii="ITC Avant Garde" w:hAnsi="ITC Avant Garde"/>
          <w:b/>
          <w:bCs/>
          <w:u w:val="single"/>
        </w:rPr>
        <w:t xml:space="preserve"> incluye:</w:t>
      </w:r>
    </w:p>
    <w:p w:rsidR="002B6993" w:rsidRPr="00A75729" w:rsidRDefault="002B6993" w:rsidP="006A7D5F">
      <w:pPr>
        <w:pStyle w:val="Prrafodelista"/>
        <w:numPr>
          <w:ilvl w:val="0"/>
          <w:numId w:val="45"/>
        </w:numPr>
        <w:spacing w:after="120" w:line="276" w:lineRule="auto"/>
        <w:contextualSpacing w:val="0"/>
        <w:rPr>
          <w:b/>
          <w:bCs/>
          <w:u w:val="single"/>
        </w:rPr>
      </w:pPr>
      <w:r w:rsidRPr="00A75729">
        <w:rPr>
          <w:b/>
          <w:bCs/>
          <w:u w:val="single"/>
        </w:rPr>
        <w:t>La provisión y venta de tiempos para mensajes comerciales o publicidad en señales de radiodifusión sonora, y</w:t>
      </w:r>
    </w:p>
    <w:p w:rsidR="002B6993" w:rsidRPr="00A75729" w:rsidRDefault="002B6993" w:rsidP="006A7D5F">
      <w:pPr>
        <w:pStyle w:val="Prrafodelista"/>
        <w:numPr>
          <w:ilvl w:val="0"/>
          <w:numId w:val="45"/>
        </w:numPr>
        <w:spacing w:after="120" w:line="276" w:lineRule="auto"/>
        <w:contextualSpacing w:val="0"/>
        <w:rPr>
          <w:b/>
          <w:bCs/>
          <w:u w:val="single"/>
        </w:rPr>
      </w:pPr>
      <w:r w:rsidRPr="00A75729">
        <w:rPr>
          <w:b/>
          <w:bCs/>
          <w:u w:val="single"/>
        </w:rPr>
        <w:t>La provisión y transmisión de señales de radiodifusión sonora (señales de audio -programas-), con lo que la población puede recibir de manera directa y gratuita la programación de su emisor utilizando los dispositivos idóneos para ello.</w:t>
      </w:r>
    </w:p>
    <w:p w:rsidR="002B6993" w:rsidRPr="00A75729" w:rsidRDefault="002B6993" w:rsidP="002B6993">
      <w:pPr>
        <w:pStyle w:val="estilo30"/>
        <w:spacing w:before="120" w:beforeAutospacing="0" w:after="120" w:afterAutospacing="0" w:line="276" w:lineRule="auto"/>
        <w:rPr>
          <w:rFonts w:ascii="ITC Avant Garde" w:hAnsi="ITC Avant Garde"/>
          <w:sz w:val="22"/>
          <w:szCs w:val="22"/>
        </w:rPr>
      </w:pPr>
      <w:r w:rsidRPr="00A75729">
        <w:rPr>
          <w:rFonts w:ascii="ITC Avant Garde" w:hAnsi="ITC Avant Garde"/>
          <w:sz w:val="22"/>
          <w:szCs w:val="22"/>
        </w:rPr>
        <w:t xml:space="preserve">Al respecto, las Partes sólo identificaron generar ingresos a través de la prestación del </w:t>
      </w:r>
      <w:proofErr w:type="spellStart"/>
      <w:r w:rsidRPr="00A75729">
        <w:rPr>
          <w:rFonts w:ascii="ITC Avant Garde" w:hAnsi="ITC Avant Garde"/>
          <w:sz w:val="22"/>
          <w:szCs w:val="22"/>
        </w:rPr>
        <w:t>SRSAC</w:t>
      </w:r>
      <w:proofErr w:type="spellEnd"/>
      <w:r w:rsidRPr="00A75729">
        <w:rPr>
          <w:rFonts w:ascii="ITC Avant Garde" w:hAnsi="ITC Avant Garde"/>
          <w:sz w:val="22"/>
          <w:szCs w:val="22"/>
        </w:rPr>
        <w:t xml:space="preserve"> en FM: </w:t>
      </w:r>
    </w:p>
    <w:p w:rsidR="002B6993" w:rsidRPr="00A75729" w:rsidRDefault="002B6993" w:rsidP="006A7D5F">
      <w:pPr>
        <w:pStyle w:val="estilo30"/>
        <w:numPr>
          <w:ilvl w:val="0"/>
          <w:numId w:val="46"/>
        </w:numPr>
        <w:spacing w:before="120" w:beforeAutospacing="0" w:after="120" w:afterAutospacing="0" w:line="276" w:lineRule="auto"/>
        <w:ind w:left="426"/>
        <w:rPr>
          <w:rFonts w:ascii="ITC Avant Garde" w:hAnsi="ITC Avant Garde"/>
          <w:sz w:val="22"/>
          <w:szCs w:val="22"/>
        </w:rPr>
      </w:pPr>
      <w:r w:rsidRPr="00A75729">
        <w:rPr>
          <w:rFonts w:ascii="ITC Avant Garde" w:hAnsi="ITC Avant Garde"/>
          <w:sz w:val="22"/>
          <w:szCs w:val="22"/>
        </w:rPr>
        <w:t>En el Acuerdo de Prevención se solicitó a las Partes “</w:t>
      </w:r>
      <w:r w:rsidRPr="00A75729">
        <w:rPr>
          <w:rFonts w:ascii="ITC Avant Garde" w:hAnsi="ITC Avant Garde"/>
          <w:i/>
          <w:sz w:val="22"/>
          <w:szCs w:val="22"/>
        </w:rPr>
        <w:t xml:space="preserve">Proporcionar precios promedio mensuales por spot de enero del año 2017 a abril del año 2018 en la estación </w:t>
      </w:r>
      <w:proofErr w:type="spellStart"/>
      <w:r w:rsidRPr="00A75729">
        <w:rPr>
          <w:rFonts w:ascii="ITC Avant Garde" w:hAnsi="ITC Avant Garde"/>
          <w:i/>
          <w:sz w:val="22"/>
          <w:szCs w:val="22"/>
        </w:rPr>
        <w:t>XEDD</w:t>
      </w:r>
      <w:proofErr w:type="spellEnd"/>
      <w:r w:rsidRPr="00A75729">
        <w:rPr>
          <w:rFonts w:ascii="ITC Avant Garde" w:hAnsi="ITC Avant Garde"/>
          <w:i/>
          <w:sz w:val="22"/>
          <w:szCs w:val="22"/>
        </w:rPr>
        <w:t xml:space="preserve">-AM y en la estación </w:t>
      </w:r>
      <w:proofErr w:type="spellStart"/>
      <w:r w:rsidRPr="00A75729">
        <w:rPr>
          <w:rFonts w:ascii="ITC Avant Garde" w:hAnsi="ITC Avant Garde"/>
          <w:i/>
          <w:sz w:val="22"/>
          <w:szCs w:val="22"/>
        </w:rPr>
        <w:t>XHDD</w:t>
      </w:r>
      <w:proofErr w:type="spellEnd"/>
      <w:r w:rsidRPr="00A75729">
        <w:rPr>
          <w:rFonts w:ascii="ITC Avant Garde" w:hAnsi="ITC Avant Garde"/>
          <w:i/>
          <w:sz w:val="22"/>
          <w:szCs w:val="22"/>
        </w:rPr>
        <w:t>-FM</w:t>
      </w:r>
      <w:r w:rsidRPr="00A75729">
        <w:rPr>
          <w:rFonts w:ascii="ITC Avant Garde" w:hAnsi="ITC Avant Garde"/>
          <w:sz w:val="22"/>
          <w:szCs w:val="22"/>
        </w:rPr>
        <w:t xml:space="preserve">”; en Escrito de Desahogo de Prevención, </w:t>
      </w:r>
      <w:r w:rsidRPr="00A75729">
        <w:rPr>
          <w:rFonts w:ascii="ITC Avant Garde" w:hAnsi="ITC Avant Garde"/>
          <w:b/>
          <w:sz w:val="22"/>
          <w:szCs w:val="22"/>
        </w:rPr>
        <w:t>la</w:t>
      </w:r>
      <w:r w:rsidR="00E92F7C">
        <w:rPr>
          <w:rFonts w:ascii="ITC Avant Garde" w:hAnsi="ITC Avant Garde"/>
          <w:b/>
          <w:sz w:val="22"/>
          <w:szCs w:val="22"/>
        </w:rPr>
        <w:t>s</w:t>
      </w:r>
      <w:r w:rsidRPr="00A75729">
        <w:rPr>
          <w:rFonts w:ascii="ITC Avant Garde" w:hAnsi="ITC Avant Garde"/>
          <w:b/>
          <w:sz w:val="22"/>
          <w:szCs w:val="22"/>
        </w:rPr>
        <w:t xml:space="preserve"> Partes únicamente proporcionaron la tarifa en la estación </w:t>
      </w:r>
      <w:proofErr w:type="spellStart"/>
      <w:r w:rsidRPr="00A75729">
        <w:rPr>
          <w:rFonts w:ascii="ITC Avant Garde" w:hAnsi="ITC Avant Garde"/>
          <w:b/>
          <w:sz w:val="22"/>
          <w:szCs w:val="22"/>
        </w:rPr>
        <w:t>XHDD</w:t>
      </w:r>
      <w:proofErr w:type="spellEnd"/>
      <w:r w:rsidRPr="00A75729">
        <w:rPr>
          <w:rFonts w:ascii="ITC Avant Garde" w:hAnsi="ITC Avant Garde"/>
          <w:b/>
          <w:sz w:val="22"/>
          <w:szCs w:val="22"/>
        </w:rPr>
        <w:t>-FM.</w:t>
      </w:r>
      <w:r w:rsidRPr="00A75729">
        <w:rPr>
          <w:rStyle w:val="Refdenotaalpie"/>
          <w:rFonts w:ascii="ITC Avant Garde" w:hAnsi="ITC Avant Garde"/>
          <w:sz w:val="22"/>
          <w:szCs w:val="22"/>
        </w:rPr>
        <w:footnoteReference w:id="50"/>
      </w:r>
      <w:r w:rsidRPr="00A75729">
        <w:rPr>
          <w:rFonts w:ascii="ITC Avant Garde" w:hAnsi="ITC Avant Garde"/>
          <w:sz w:val="22"/>
          <w:szCs w:val="22"/>
        </w:rPr>
        <w:t>.</w:t>
      </w:r>
    </w:p>
    <w:p w:rsidR="002B6993" w:rsidRPr="00A75729" w:rsidRDefault="002B6993" w:rsidP="002B6993">
      <w:pPr>
        <w:pStyle w:val="Prrafodelista"/>
        <w:spacing w:before="0"/>
        <w:ind w:left="567"/>
        <w:jc w:val="left"/>
        <w:rPr>
          <w:i/>
          <w:sz w:val="20"/>
          <w:szCs w:val="20"/>
        </w:rPr>
      </w:pPr>
      <w:r w:rsidRPr="00A75729">
        <w:rPr>
          <w:i/>
          <w:sz w:val="20"/>
          <w:szCs w:val="20"/>
        </w:rPr>
        <w:t>“a) Precios promedios mensuales por spot de 20” de enero del año 2017 a abril 2018.</w:t>
      </w:r>
    </w:p>
    <w:p w:rsidR="002B6993" w:rsidRPr="00A75729" w:rsidRDefault="002B6993" w:rsidP="002B6993">
      <w:pPr>
        <w:ind w:left="567"/>
        <w:rPr>
          <w:i/>
          <w:sz w:val="20"/>
          <w:szCs w:val="20"/>
        </w:rPr>
      </w:pPr>
      <w:r w:rsidRPr="00A75729">
        <w:rPr>
          <w:i/>
          <w:sz w:val="20"/>
          <w:szCs w:val="20"/>
        </w:rPr>
        <w:t xml:space="preserve">Estación </w:t>
      </w:r>
      <w:proofErr w:type="spellStart"/>
      <w:r w:rsidRPr="00A75729">
        <w:rPr>
          <w:i/>
          <w:sz w:val="20"/>
          <w:szCs w:val="20"/>
        </w:rPr>
        <w:t>XEDD</w:t>
      </w:r>
      <w:proofErr w:type="spellEnd"/>
      <w:r w:rsidRPr="00A75729">
        <w:rPr>
          <w:i/>
          <w:sz w:val="20"/>
          <w:szCs w:val="20"/>
        </w:rPr>
        <w:t xml:space="preserve">-AM y </w:t>
      </w:r>
      <w:proofErr w:type="spellStart"/>
      <w:r w:rsidRPr="00A75729">
        <w:rPr>
          <w:i/>
          <w:sz w:val="20"/>
          <w:szCs w:val="20"/>
        </w:rPr>
        <w:t>XHDD</w:t>
      </w:r>
      <w:proofErr w:type="spellEnd"/>
      <w:r w:rsidRPr="00A75729">
        <w:rPr>
          <w:i/>
          <w:sz w:val="20"/>
          <w:szCs w:val="20"/>
        </w:rPr>
        <w:t>-FM de Audio Publicidad</w:t>
      </w:r>
    </w:p>
    <w:p w:rsidR="002B6993" w:rsidRPr="00A75729" w:rsidRDefault="002B6993" w:rsidP="002B6993">
      <w:pPr>
        <w:ind w:left="567"/>
        <w:rPr>
          <w:i/>
          <w:sz w:val="20"/>
          <w:szCs w:val="20"/>
        </w:rPr>
      </w:pPr>
      <w:r w:rsidRPr="00A75729">
        <w:rPr>
          <w:i/>
          <w:sz w:val="20"/>
          <w:szCs w:val="20"/>
        </w:rPr>
        <w:t>Con cobertura en Montemorelos, Nuevo León.</w:t>
      </w:r>
    </w:p>
    <w:tbl>
      <w:tblPr>
        <w:tblStyle w:val="Tablaconcuadrcula"/>
        <w:tblW w:w="0" w:type="auto"/>
        <w:jc w:val="center"/>
        <w:tblLook w:val="04A0" w:firstRow="1" w:lastRow="0" w:firstColumn="1" w:lastColumn="0" w:noHBand="0" w:noVBand="1"/>
        <w:tblCaption w:val="Precio promedio mensuales por spot"/>
        <w:tblDescription w:val="Se menciona cuál es el precio promedio mensual por spot."/>
      </w:tblPr>
      <w:tblGrid>
        <w:gridCol w:w="2096"/>
        <w:gridCol w:w="2943"/>
        <w:gridCol w:w="2943"/>
      </w:tblGrid>
      <w:tr w:rsidR="002B6993" w:rsidRPr="00A75729" w:rsidTr="001837AA">
        <w:trPr>
          <w:tblHeader/>
          <w:jc w:val="center"/>
        </w:trPr>
        <w:tc>
          <w:tcPr>
            <w:tcW w:w="2096" w:type="dxa"/>
          </w:tcPr>
          <w:p w:rsidR="002B6993" w:rsidRPr="00A75729" w:rsidRDefault="002B6993" w:rsidP="00A30E0F">
            <w:pPr>
              <w:spacing w:before="0" w:after="0"/>
              <w:rPr>
                <w:i/>
              </w:rPr>
            </w:pPr>
            <w:r w:rsidRPr="00A75729">
              <w:rPr>
                <w:i/>
              </w:rPr>
              <w:t>Siglas</w:t>
            </w:r>
          </w:p>
        </w:tc>
        <w:tc>
          <w:tcPr>
            <w:tcW w:w="2943" w:type="dxa"/>
          </w:tcPr>
          <w:p w:rsidR="002B6993" w:rsidRPr="00A75729" w:rsidRDefault="002B6993" w:rsidP="00A30E0F">
            <w:pPr>
              <w:spacing w:before="0" w:after="0"/>
              <w:rPr>
                <w:i/>
              </w:rPr>
            </w:pPr>
            <w:r w:rsidRPr="00A75729">
              <w:rPr>
                <w:i/>
              </w:rPr>
              <w:t>Frecuencia</w:t>
            </w:r>
          </w:p>
        </w:tc>
        <w:tc>
          <w:tcPr>
            <w:tcW w:w="2943" w:type="dxa"/>
          </w:tcPr>
          <w:p w:rsidR="002B6993" w:rsidRPr="00A75729" w:rsidRDefault="002B6993" w:rsidP="00A30E0F">
            <w:pPr>
              <w:spacing w:before="0" w:after="0"/>
              <w:rPr>
                <w:i/>
              </w:rPr>
            </w:pPr>
            <w:r w:rsidRPr="00A75729">
              <w:rPr>
                <w:i/>
              </w:rPr>
              <w:t>Spot 20”</w:t>
            </w:r>
          </w:p>
        </w:tc>
      </w:tr>
      <w:tr w:rsidR="002B6993" w:rsidRPr="00A75729" w:rsidTr="00A30E0F">
        <w:trPr>
          <w:jc w:val="center"/>
        </w:trPr>
        <w:tc>
          <w:tcPr>
            <w:tcW w:w="2096" w:type="dxa"/>
          </w:tcPr>
          <w:p w:rsidR="002B6993" w:rsidRPr="00A75729" w:rsidRDefault="002B6993" w:rsidP="00A30E0F">
            <w:pPr>
              <w:spacing w:before="0" w:after="0"/>
              <w:rPr>
                <w:b/>
                <w:i/>
              </w:rPr>
            </w:pPr>
            <w:proofErr w:type="spellStart"/>
            <w:r w:rsidRPr="00A75729">
              <w:rPr>
                <w:b/>
                <w:i/>
              </w:rPr>
              <w:t>XHDD</w:t>
            </w:r>
            <w:proofErr w:type="spellEnd"/>
            <w:r w:rsidRPr="00A75729">
              <w:rPr>
                <w:b/>
                <w:i/>
              </w:rPr>
              <w:t>-FM</w:t>
            </w:r>
          </w:p>
        </w:tc>
        <w:tc>
          <w:tcPr>
            <w:tcW w:w="2943" w:type="dxa"/>
          </w:tcPr>
          <w:p w:rsidR="002B6993" w:rsidRPr="00A75729" w:rsidRDefault="002B6993" w:rsidP="00A30E0F">
            <w:pPr>
              <w:spacing w:before="0" w:after="0"/>
              <w:rPr>
                <w:i/>
              </w:rPr>
            </w:pPr>
            <w:r w:rsidRPr="00A75729">
              <w:rPr>
                <w:i/>
              </w:rPr>
              <w:t>89.9</w:t>
            </w:r>
          </w:p>
        </w:tc>
        <w:tc>
          <w:tcPr>
            <w:tcW w:w="2943" w:type="dxa"/>
          </w:tcPr>
          <w:p w:rsidR="002B6993" w:rsidRPr="00E8226C" w:rsidRDefault="00E8226C" w:rsidP="00C05A93">
            <w:pPr>
              <w:spacing w:before="0" w:after="0"/>
              <w:rPr>
                <w:i/>
                <w:sz w:val="18"/>
                <w:szCs w:val="18"/>
              </w:rPr>
            </w:pPr>
            <w:r w:rsidRPr="00E8226C">
              <w:rPr>
                <w:b/>
                <w:bCs/>
                <w:color w:val="0000CC"/>
                <w:kern w:val="24"/>
                <w:sz w:val="18"/>
                <w:szCs w:val="18"/>
              </w:rPr>
              <w:t>“CONFIDENCIAL POR LEY (</w:t>
            </w:r>
            <w:r w:rsidR="00C05A93">
              <w:rPr>
                <w:b/>
                <w:bCs/>
                <w:color w:val="0000CC"/>
                <w:kern w:val="24"/>
                <w:sz w:val="18"/>
                <w:szCs w:val="18"/>
              </w:rPr>
              <w:t>4</w:t>
            </w:r>
            <w:r w:rsidRPr="00E8226C">
              <w:rPr>
                <w:b/>
                <w:bCs/>
                <w:color w:val="0000CC"/>
                <w:kern w:val="24"/>
                <w:sz w:val="18"/>
                <w:szCs w:val="18"/>
              </w:rPr>
              <w:t>)”</w:t>
            </w:r>
          </w:p>
        </w:tc>
      </w:tr>
    </w:tbl>
    <w:p w:rsidR="002B6993" w:rsidRPr="00A75729" w:rsidRDefault="002B6993" w:rsidP="002B6993">
      <w:pPr>
        <w:pStyle w:val="estilo30"/>
        <w:spacing w:before="120" w:beforeAutospacing="0" w:after="120" w:afterAutospacing="0" w:line="276" w:lineRule="auto"/>
        <w:ind w:left="567"/>
        <w:rPr>
          <w:rFonts w:ascii="ITC Avant Garde" w:hAnsi="ITC Avant Garde"/>
          <w:sz w:val="20"/>
          <w:szCs w:val="20"/>
        </w:rPr>
      </w:pPr>
      <w:r w:rsidRPr="00A75729">
        <w:rPr>
          <w:rFonts w:ascii="ITC Avant Garde" w:hAnsi="ITC Avant Garde"/>
          <w:i/>
          <w:sz w:val="20"/>
          <w:szCs w:val="20"/>
        </w:rPr>
        <w:lastRenderedPageBreak/>
        <w:t>(…)”</w:t>
      </w:r>
      <w:r w:rsidRPr="00A75729">
        <w:rPr>
          <w:rFonts w:ascii="ITC Avant Garde" w:hAnsi="ITC Avant Garde"/>
          <w:sz w:val="20"/>
          <w:szCs w:val="20"/>
        </w:rPr>
        <w:t xml:space="preserve"> [Énfasis añadido]</w:t>
      </w:r>
    </w:p>
    <w:p w:rsidR="002B6993" w:rsidRPr="00A75729" w:rsidRDefault="002B6993" w:rsidP="006A7D5F">
      <w:pPr>
        <w:pStyle w:val="estilo30"/>
        <w:numPr>
          <w:ilvl w:val="0"/>
          <w:numId w:val="46"/>
        </w:numPr>
        <w:spacing w:before="120" w:beforeAutospacing="0" w:after="120" w:afterAutospacing="0" w:line="276" w:lineRule="auto"/>
        <w:ind w:left="426" w:hanging="284"/>
        <w:rPr>
          <w:rFonts w:ascii="ITC Avant Garde" w:hAnsi="ITC Avant Garde"/>
          <w:sz w:val="22"/>
          <w:szCs w:val="22"/>
        </w:rPr>
      </w:pPr>
      <w:r w:rsidRPr="00A75729">
        <w:rPr>
          <w:rFonts w:ascii="ITC Avant Garde" w:hAnsi="ITC Avant Garde"/>
          <w:sz w:val="22"/>
          <w:szCs w:val="22"/>
        </w:rPr>
        <w:t>En el Acuerdo de Prevención se solicitó a las Partes “</w:t>
      </w:r>
      <w:r w:rsidRPr="00A75729">
        <w:rPr>
          <w:rFonts w:ascii="ITC Avant Garde" w:hAnsi="ITC Avant Garde"/>
          <w:i/>
          <w:sz w:val="22"/>
          <w:szCs w:val="22"/>
        </w:rPr>
        <w:t xml:space="preserve">Identificar a todos y cada uno de los clientes de espacios publicitarios y contenido en el año 2017 (enero – diciembre), así como 2018 (enero – abril) y los ingresos que generó cada uno de ellos en esos años, de la estación </w:t>
      </w:r>
      <w:proofErr w:type="spellStart"/>
      <w:r w:rsidRPr="00A75729">
        <w:rPr>
          <w:rFonts w:ascii="ITC Avant Garde" w:hAnsi="ITC Avant Garde"/>
          <w:i/>
          <w:sz w:val="22"/>
          <w:szCs w:val="22"/>
        </w:rPr>
        <w:t>XEDD</w:t>
      </w:r>
      <w:proofErr w:type="spellEnd"/>
      <w:r w:rsidRPr="00A75729">
        <w:rPr>
          <w:rFonts w:ascii="ITC Avant Garde" w:hAnsi="ITC Avant Garde"/>
          <w:i/>
          <w:sz w:val="22"/>
          <w:szCs w:val="22"/>
        </w:rPr>
        <w:t xml:space="preserve">-AM, de la estación </w:t>
      </w:r>
      <w:proofErr w:type="spellStart"/>
      <w:r w:rsidRPr="00A75729">
        <w:rPr>
          <w:rFonts w:ascii="ITC Avant Garde" w:hAnsi="ITC Avant Garde"/>
          <w:i/>
          <w:sz w:val="22"/>
          <w:szCs w:val="22"/>
        </w:rPr>
        <w:t>XHDD</w:t>
      </w:r>
      <w:proofErr w:type="spellEnd"/>
      <w:r w:rsidRPr="00A75729">
        <w:rPr>
          <w:rFonts w:ascii="ITC Avant Garde" w:hAnsi="ITC Avant Garde"/>
          <w:i/>
          <w:sz w:val="22"/>
          <w:szCs w:val="22"/>
        </w:rPr>
        <w:t>-FM (…)</w:t>
      </w:r>
      <w:r w:rsidRPr="00A75729">
        <w:rPr>
          <w:rFonts w:ascii="ITC Avant Garde" w:hAnsi="ITC Avant Garde"/>
          <w:sz w:val="22"/>
          <w:szCs w:val="22"/>
        </w:rPr>
        <w:t xml:space="preserve">”. Al respecto, en Escrito de Desahogo de Prevención, </w:t>
      </w:r>
      <w:r w:rsidRPr="00A75729">
        <w:rPr>
          <w:rFonts w:ascii="ITC Avant Garde" w:hAnsi="ITC Avant Garde"/>
          <w:b/>
          <w:sz w:val="22"/>
          <w:szCs w:val="22"/>
        </w:rPr>
        <w:t>la</w:t>
      </w:r>
      <w:r w:rsidR="00E92F7C">
        <w:rPr>
          <w:rFonts w:ascii="ITC Avant Garde" w:hAnsi="ITC Avant Garde"/>
          <w:b/>
          <w:sz w:val="22"/>
          <w:szCs w:val="22"/>
        </w:rPr>
        <w:t>s</w:t>
      </w:r>
      <w:r w:rsidRPr="00A75729">
        <w:rPr>
          <w:rFonts w:ascii="ITC Avant Garde" w:hAnsi="ITC Avant Garde"/>
          <w:b/>
          <w:sz w:val="22"/>
          <w:szCs w:val="22"/>
        </w:rPr>
        <w:t xml:space="preserve"> Partes únicamente proporcionaron clientes e ingresos de la estación </w:t>
      </w:r>
      <w:proofErr w:type="spellStart"/>
      <w:r w:rsidRPr="00A75729">
        <w:rPr>
          <w:rFonts w:ascii="ITC Avant Garde" w:hAnsi="ITC Avant Garde"/>
          <w:b/>
          <w:sz w:val="22"/>
          <w:szCs w:val="22"/>
        </w:rPr>
        <w:t>XHDD</w:t>
      </w:r>
      <w:proofErr w:type="spellEnd"/>
      <w:r w:rsidRPr="00A75729">
        <w:rPr>
          <w:rFonts w:ascii="ITC Avant Garde" w:hAnsi="ITC Avant Garde"/>
          <w:b/>
          <w:sz w:val="22"/>
          <w:szCs w:val="22"/>
        </w:rPr>
        <w:t>-FM</w:t>
      </w:r>
      <w:r w:rsidRPr="00A75729">
        <w:rPr>
          <w:rFonts w:ascii="ITC Avant Garde" w:hAnsi="ITC Avant Garde"/>
          <w:sz w:val="22"/>
          <w:szCs w:val="22"/>
        </w:rPr>
        <w:t>,</w:t>
      </w:r>
      <w:r w:rsidRPr="00A75729">
        <w:rPr>
          <w:rStyle w:val="Refdenotaalpie"/>
          <w:rFonts w:ascii="ITC Avant Garde" w:hAnsi="ITC Avant Garde"/>
          <w:sz w:val="22"/>
          <w:szCs w:val="22"/>
        </w:rPr>
        <w:footnoteReference w:id="51"/>
      </w:r>
      <w:r w:rsidRPr="00A75729">
        <w:rPr>
          <w:rFonts w:ascii="ITC Avant Garde" w:hAnsi="ITC Avant Garde"/>
          <w:sz w:val="22"/>
          <w:szCs w:val="22"/>
        </w:rPr>
        <w:t xml:space="preserve"> y precisaron que la estación </w:t>
      </w:r>
      <w:proofErr w:type="spellStart"/>
      <w:r w:rsidRPr="00A75729">
        <w:rPr>
          <w:rFonts w:ascii="ITC Avant Garde" w:hAnsi="ITC Avant Garde"/>
          <w:sz w:val="22"/>
          <w:szCs w:val="22"/>
        </w:rPr>
        <w:t>XEDD</w:t>
      </w:r>
      <w:proofErr w:type="spellEnd"/>
      <w:r w:rsidRPr="00A75729">
        <w:rPr>
          <w:rFonts w:ascii="ITC Avant Garde" w:hAnsi="ITC Avant Garde"/>
          <w:sz w:val="22"/>
          <w:szCs w:val="22"/>
        </w:rPr>
        <w:t xml:space="preserve">-AM únicamente retransmite la programación y publicidad de la </w:t>
      </w:r>
      <w:proofErr w:type="spellStart"/>
      <w:r w:rsidRPr="00A75729">
        <w:rPr>
          <w:rFonts w:ascii="ITC Avant Garde" w:hAnsi="ITC Avant Garde"/>
          <w:b/>
          <w:sz w:val="22"/>
          <w:szCs w:val="22"/>
        </w:rPr>
        <w:t>XHDD</w:t>
      </w:r>
      <w:proofErr w:type="spellEnd"/>
      <w:r w:rsidRPr="00A75729">
        <w:rPr>
          <w:rFonts w:ascii="ITC Avant Garde" w:hAnsi="ITC Avant Garde"/>
          <w:b/>
          <w:sz w:val="22"/>
          <w:szCs w:val="22"/>
        </w:rPr>
        <w:t>-FM</w:t>
      </w:r>
      <w:r w:rsidRPr="00A75729">
        <w:rPr>
          <w:rFonts w:ascii="ITC Avant Garde" w:hAnsi="ITC Avant Garde"/>
          <w:sz w:val="22"/>
          <w:szCs w:val="22"/>
        </w:rPr>
        <w:t>.</w:t>
      </w:r>
    </w:p>
    <w:p w:rsidR="002B6993" w:rsidRPr="00A75729" w:rsidRDefault="002B6993" w:rsidP="002B6993">
      <w:r w:rsidRPr="00A75729">
        <w:rPr>
          <w:lang w:val="es-ES"/>
        </w:rPr>
        <w:t xml:space="preserve">De conformidad con la información proporcionada por la </w:t>
      </w:r>
      <w:proofErr w:type="spellStart"/>
      <w:r w:rsidRPr="00A75729">
        <w:rPr>
          <w:lang w:val="es-ES"/>
        </w:rPr>
        <w:t>UER</w:t>
      </w:r>
      <w:proofErr w:type="spellEnd"/>
      <w:r w:rsidRPr="00A75729">
        <w:rPr>
          <w:lang w:val="es-ES"/>
        </w:rPr>
        <w:t>, existen 5 (cinco) estaciones concesionadas que operan en la banda AM con cobertura en la localidad de Ojo de Agua, Nuevo León, de las cuales 2 (dos)</w:t>
      </w:r>
      <w:r w:rsidRPr="00A75729">
        <w:t xml:space="preserve"> –una de ellas la </w:t>
      </w:r>
      <w:proofErr w:type="spellStart"/>
      <w:r w:rsidRPr="00A75729">
        <w:t>XEDD</w:t>
      </w:r>
      <w:proofErr w:type="spellEnd"/>
      <w:r w:rsidRPr="00A75729">
        <w:t>-AM materia de la Operación- migraron a FM, pero no fueron autorizadas para apagar la AM, por lo que transmiten la misma programación que la frecuencia FM correspondiente y sus espacios publicitarios se venden de forma agregada.</w:t>
      </w:r>
    </w:p>
    <w:p w:rsidR="002B6993" w:rsidRPr="00A75729" w:rsidRDefault="002B6993" w:rsidP="002B6993">
      <w:r w:rsidRPr="00A75729">
        <w:rPr>
          <w:lang w:val="es-ES"/>
        </w:rPr>
        <w:t>Por otra parte, se identifica que 1 (una) de las estaciones FM con cobertura en la localidad analizada migró a esa FM y dejó de operar la AM.</w:t>
      </w:r>
    </w:p>
    <w:p w:rsidR="002B6993" w:rsidRPr="00A75729" w:rsidRDefault="002B6993" w:rsidP="002B6993">
      <w:pPr>
        <w:pStyle w:val="estilo30"/>
        <w:spacing w:before="120" w:beforeAutospacing="0" w:after="120" w:afterAutospacing="0" w:line="276" w:lineRule="auto"/>
        <w:rPr>
          <w:rFonts w:ascii="ITC Avant Garde" w:hAnsi="ITC Avant Garde"/>
          <w:lang w:val="es-ES" w:eastAsia="en-US"/>
        </w:rPr>
      </w:pPr>
      <w:r w:rsidRPr="00A75729">
        <w:rPr>
          <w:rFonts w:ascii="ITC Avant Garde" w:eastAsia="Calibri" w:hAnsi="ITC Avant Garde"/>
          <w:sz w:val="22"/>
          <w:szCs w:val="22"/>
          <w:lang w:val="es-ES" w:eastAsia="en-US"/>
        </w:rPr>
        <w:t xml:space="preserve">De esta manera, </w:t>
      </w:r>
      <w:r w:rsidRPr="00A75729">
        <w:rPr>
          <w:rFonts w:ascii="ITC Avant Garde" w:hAnsi="ITC Avant Garde" w:cs="ITC Avant Garde"/>
          <w:bCs/>
          <w:sz w:val="22"/>
          <w:szCs w:val="22"/>
        </w:rPr>
        <w:t>para el presente caso,</w:t>
      </w:r>
      <w:r w:rsidRPr="00A75729">
        <w:rPr>
          <w:rFonts w:ascii="ITC Avant Garde" w:eastAsia="Calibri" w:hAnsi="ITC Avant Garde"/>
          <w:sz w:val="22"/>
          <w:szCs w:val="22"/>
          <w:lang w:val="es-ES" w:eastAsia="en-US"/>
        </w:rPr>
        <w:t xml:space="preserve"> </w:t>
      </w:r>
      <w:r w:rsidRPr="00A75729">
        <w:rPr>
          <w:rFonts w:ascii="ITC Avant Garde" w:eastAsia="Calibri" w:hAnsi="ITC Avant Garde"/>
          <w:b/>
          <w:sz w:val="22"/>
          <w:szCs w:val="22"/>
          <w:lang w:val="es-ES" w:eastAsia="en-US"/>
        </w:rPr>
        <w:t>se considera suficiente evaluar explícitamente la oferta de</w:t>
      </w:r>
      <w:r w:rsidRPr="00A75729">
        <w:rPr>
          <w:rFonts w:ascii="ITC Avant Garde" w:hAnsi="ITC Avant Garde" w:cs="ITC Avant Garde"/>
          <w:b/>
          <w:bCs/>
          <w:sz w:val="22"/>
          <w:szCs w:val="22"/>
        </w:rPr>
        <w:t xml:space="preserve">l </w:t>
      </w:r>
      <w:proofErr w:type="spellStart"/>
      <w:r w:rsidRPr="00A75729">
        <w:rPr>
          <w:rFonts w:ascii="ITC Avant Garde" w:hAnsi="ITC Avant Garde" w:cs="ITC Avant Garde"/>
          <w:b/>
          <w:bCs/>
          <w:sz w:val="22"/>
          <w:szCs w:val="22"/>
        </w:rPr>
        <w:t>SRSAC</w:t>
      </w:r>
      <w:proofErr w:type="spellEnd"/>
      <w:r w:rsidRPr="00A75729">
        <w:rPr>
          <w:rFonts w:ascii="ITC Avant Garde" w:hAnsi="ITC Avant Garde" w:cs="ITC Avant Garde"/>
          <w:b/>
          <w:bCs/>
          <w:sz w:val="22"/>
          <w:szCs w:val="22"/>
        </w:rPr>
        <w:t xml:space="preserve"> en FM</w:t>
      </w:r>
      <w:r w:rsidRPr="00A75729">
        <w:rPr>
          <w:rFonts w:ascii="ITC Avant Garde" w:hAnsi="ITC Avant Garde" w:cs="ITC Avant Garde"/>
          <w:bCs/>
          <w:sz w:val="22"/>
          <w:szCs w:val="22"/>
        </w:rPr>
        <w:t>, tal como lo hacen las Partes en la documentación remitida dentro del Aviso de Concentración.</w:t>
      </w:r>
    </w:p>
    <w:p w:rsidR="002B6993" w:rsidRPr="00A30E0F" w:rsidRDefault="002B6993" w:rsidP="002B6993">
      <w:pPr>
        <w:pStyle w:val="Ttulo6"/>
        <w:spacing w:before="360"/>
        <w:rPr>
          <w:rFonts w:ascii="ITC Avant Garde" w:eastAsia="Times New Roman" w:hAnsi="ITC Avant Garde"/>
          <w:b/>
          <w:color w:val="auto"/>
        </w:rPr>
      </w:pPr>
      <w:r w:rsidRPr="00A30E0F">
        <w:rPr>
          <w:rFonts w:ascii="ITC Avant Garde" w:eastAsia="Times New Roman" w:hAnsi="ITC Avant Garde"/>
          <w:b/>
          <w:color w:val="auto"/>
        </w:rPr>
        <w:t xml:space="preserve">Zona geográfica de cobertura de la </w:t>
      </w:r>
      <w:r w:rsidRPr="00E50770">
        <w:rPr>
          <w:rFonts w:ascii="ITC Avant Garde" w:hAnsi="ITC Avant Garde"/>
          <w:b/>
          <w:color w:val="auto"/>
        </w:rPr>
        <w:t xml:space="preserve">estación </w:t>
      </w:r>
      <w:proofErr w:type="spellStart"/>
      <w:r w:rsidRPr="00E50770">
        <w:rPr>
          <w:rFonts w:ascii="ITC Avant Garde" w:hAnsi="ITC Avant Garde"/>
          <w:b/>
          <w:color w:val="auto"/>
        </w:rPr>
        <w:t>XHDD</w:t>
      </w:r>
      <w:proofErr w:type="spellEnd"/>
      <w:r w:rsidRPr="00E50770">
        <w:rPr>
          <w:rFonts w:ascii="ITC Avant Garde" w:hAnsi="ITC Avant Garde"/>
          <w:b/>
          <w:color w:val="auto"/>
        </w:rPr>
        <w:t>-FM</w:t>
      </w:r>
    </w:p>
    <w:p w:rsidR="002B6993" w:rsidRPr="00A75729" w:rsidRDefault="002B6993" w:rsidP="002B6993">
      <w:pPr>
        <w:rPr>
          <w:rFonts w:eastAsia="Times New Roman"/>
          <w:lang w:eastAsia="es-ES"/>
        </w:rPr>
      </w:pPr>
      <w:r w:rsidRPr="00A75729">
        <w:rPr>
          <w:rFonts w:eastAsia="Times New Roman"/>
          <w:lang w:eastAsia="es-ES"/>
        </w:rPr>
        <w:t>Los títulos de concesión autorizan la prestación del servicio de radiodifusión sonora en un área geográfica determinada que incluye la población principal a servir, así como otras localidades que estén comprendidas dentro del contorno de área de servicio de 60 (sesenta) decibeles (</w:t>
      </w:r>
      <w:proofErr w:type="spellStart"/>
      <w:r w:rsidRPr="00A75729">
        <w:rPr>
          <w:rFonts w:eastAsia="Times New Roman"/>
          <w:lang w:eastAsia="es-ES"/>
        </w:rPr>
        <w:t>dBu</w:t>
      </w:r>
      <w:proofErr w:type="spellEnd"/>
      <w:r w:rsidRPr="00A75729">
        <w:rPr>
          <w:rFonts w:eastAsia="Times New Roman"/>
          <w:lang w:eastAsia="es-ES"/>
        </w:rPr>
        <w:t xml:space="preserve">). </w:t>
      </w:r>
    </w:p>
    <w:p w:rsidR="002B6993" w:rsidRPr="00A75729" w:rsidRDefault="002B6993" w:rsidP="002B6993">
      <w:pPr>
        <w:rPr>
          <w:rFonts w:eastAsia="Times New Roman"/>
          <w:lang w:eastAsia="es-ES"/>
        </w:rPr>
      </w:pPr>
      <w:r w:rsidRPr="00A75729">
        <w:rPr>
          <w:rFonts w:eastAsia="Times New Roman"/>
          <w:b/>
          <w:lang w:eastAsia="es-ES"/>
        </w:rPr>
        <w:t xml:space="preserve">En el caso que nos ocupa, </w:t>
      </w:r>
      <w:r w:rsidRPr="00A75729">
        <w:t xml:space="preserve">las Partes mencionaron que la estación </w:t>
      </w:r>
      <w:proofErr w:type="spellStart"/>
      <w:r w:rsidRPr="00A75729">
        <w:t>XHDD</w:t>
      </w:r>
      <w:proofErr w:type="spellEnd"/>
      <w:r w:rsidRPr="00A75729">
        <w:t xml:space="preserve">-FM, además de Ojo de Agua, Nuevo León, también tiene cobertura en otras localidades con una mayor población, como </w:t>
      </w:r>
      <w:r w:rsidRPr="00A75729">
        <w:rPr>
          <w:b/>
        </w:rPr>
        <w:t>Cadereyta (</w:t>
      </w:r>
      <w:r w:rsidR="00891E1A">
        <w:rPr>
          <w:b/>
        </w:rPr>
        <w:t>68,111</w:t>
      </w:r>
      <w:r w:rsidRPr="00A75729">
        <w:rPr>
          <w:b/>
        </w:rPr>
        <w:t xml:space="preserve"> habitantes), Montemorelos (</w:t>
      </w:r>
      <w:r w:rsidR="00891E1A">
        <w:rPr>
          <w:b/>
        </w:rPr>
        <w:t>45,108</w:t>
      </w:r>
      <w:r w:rsidRPr="00A75729">
        <w:rPr>
          <w:b/>
        </w:rPr>
        <w:t xml:space="preserve"> habitantes) –en este municipio se encuentra Ojo de Agua- y Juárez (</w:t>
      </w:r>
      <w:r w:rsidR="00891E1A">
        <w:rPr>
          <w:b/>
        </w:rPr>
        <w:t>151</w:t>
      </w:r>
      <w:r w:rsidRPr="00A75729">
        <w:rPr>
          <w:b/>
        </w:rPr>
        <w:t>,</w:t>
      </w:r>
      <w:r w:rsidR="00891E1A">
        <w:rPr>
          <w:b/>
        </w:rPr>
        <w:t>893</w:t>
      </w:r>
      <w:r w:rsidRPr="00A75729">
        <w:rPr>
          <w:b/>
        </w:rPr>
        <w:t xml:space="preserve"> habitantes), Nuevo León</w:t>
      </w:r>
      <w:r w:rsidRPr="00A75729">
        <w:t>.</w:t>
      </w:r>
      <w:r w:rsidRPr="00A75729">
        <w:rPr>
          <w:rStyle w:val="Refdenotaalpie"/>
        </w:rPr>
        <w:footnoteReference w:id="52"/>
      </w:r>
    </w:p>
    <w:p w:rsidR="002B6993" w:rsidRPr="00A75729" w:rsidRDefault="002B6993" w:rsidP="002B6993">
      <w:pPr>
        <w:rPr>
          <w:rFonts w:eastAsia="Times New Roman"/>
          <w:lang w:eastAsia="es-ES"/>
        </w:rPr>
      </w:pPr>
      <w:r w:rsidRPr="00A75729">
        <w:t xml:space="preserve">Las Partes señalaron que la estación </w:t>
      </w:r>
      <w:proofErr w:type="spellStart"/>
      <w:r w:rsidRPr="00A75729">
        <w:t>XHDD</w:t>
      </w:r>
      <w:proofErr w:type="spellEnd"/>
      <w:r w:rsidRPr="00A75729">
        <w:t xml:space="preserve">-FM también tiene cobertura de servicio en Marín, Doctor González, Pesquería, Los Ramones y Allende, Nuevo León; sin embargo, esas localidades tienen una población reducida y/o la estación </w:t>
      </w:r>
      <w:proofErr w:type="spellStart"/>
      <w:r w:rsidRPr="00A75729">
        <w:t>XHDD</w:t>
      </w:r>
      <w:proofErr w:type="spellEnd"/>
      <w:r w:rsidRPr="00A75729">
        <w:t xml:space="preserve"> cubre un porcentaje poco significativo, por lo que no se </w:t>
      </w:r>
      <w:r w:rsidR="0039148D">
        <w:t xml:space="preserve">presenta el análisis de esas localidades </w:t>
      </w:r>
      <w:r w:rsidRPr="00A75729">
        <w:lastRenderedPageBreak/>
        <w:t>en la presente resolución.</w:t>
      </w:r>
      <w:r w:rsidR="0039148D">
        <w:t xml:space="preserve"> No obstante, es de mencionar que</w:t>
      </w:r>
      <w:r w:rsidR="006E73A4">
        <w:t>,</w:t>
      </w:r>
      <w:r w:rsidR="0039148D">
        <w:t xml:space="preserve"> con base en la información proporcionada por las Partes, los resultados </w:t>
      </w:r>
      <w:r w:rsidR="006E73A4">
        <w:t xml:space="preserve">en esas localidades, </w:t>
      </w:r>
      <w:r w:rsidR="0039148D">
        <w:t xml:space="preserve">en términos de participaciones adquiridas por el </w:t>
      </w:r>
      <w:proofErr w:type="spellStart"/>
      <w:r w:rsidR="0039148D">
        <w:t>GIE</w:t>
      </w:r>
      <w:proofErr w:type="spellEnd"/>
      <w:r w:rsidR="0039148D">
        <w:t xml:space="preserve"> Grupo Multimedios</w:t>
      </w:r>
      <w:r w:rsidR="006E73A4">
        <w:t>,</w:t>
      </w:r>
      <w:r w:rsidR="0039148D">
        <w:t xml:space="preserve"> son si</w:t>
      </w:r>
      <w:r w:rsidR="006E73A4">
        <w:t>milares a lo</w:t>
      </w:r>
      <w:r w:rsidR="0039148D">
        <w:t>s de Cadereyta, Juárez, Montemorelos y Ojo de Agua.</w:t>
      </w:r>
    </w:p>
    <w:p w:rsidR="002B6993" w:rsidRPr="00A75729" w:rsidRDefault="002B6993" w:rsidP="002B6993">
      <w:pPr>
        <w:rPr>
          <w:rFonts w:eastAsia="Times New Roman"/>
          <w:lang w:eastAsia="es-ES"/>
        </w:rPr>
      </w:pPr>
      <w:r w:rsidRPr="00A75729">
        <w:rPr>
          <w:rFonts w:eastAsia="Times New Roman"/>
          <w:b/>
          <w:u w:val="single"/>
          <w:lang w:eastAsia="es-ES"/>
        </w:rPr>
        <w:t xml:space="preserve">En resumen, el servicio en el que se analiza la Operación consiste en la </w:t>
      </w:r>
      <w:r w:rsidRPr="00A75729">
        <w:rPr>
          <w:b/>
          <w:u w:val="single"/>
          <w:lang w:val="es-ES"/>
        </w:rPr>
        <w:t xml:space="preserve">provisión del </w:t>
      </w:r>
      <w:proofErr w:type="spellStart"/>
      <w:r w:rsidRPr="00A75729">
        <w:rPr>
          <w:b/>
          <w:u w:val="single"/>
          <w:lang w:val="es-ES"/>
        </w:rPr>
        <w:t>SRSAC</w:t>
      </w:r>
      <w:proofErr w:type="spellEnd"/>
      <w:r w:rsidRPr="00A75729">
        <w:rPr>
          <w:b/>
          <w:u w:val="single"/>
          <w:lang w:val="es-ES"/>
        </w:rPr>
        <w:t xml:space="preserve"> en FM en </w:t>
      </w:r>
      <w:r w:rsidRPr="00A75729">
        <w:rPr>
          <w:rFonts w:eastAsia="Times New Roman"/>
          <w:b/>
          <w:u w:val="single"/>
          <w:lang w:eastAsia="es-ES"/>
        </w:rPr>
        <w:t xml:space="preserve">el </w:t>
      </w:r>
      <w:r w:rsidRPr="00A75729">
        <w:rPr>
          <w:b/>
          <w:u w:val="single"/>
        </w:rPr>
        <w:t xml:space="preserve">área de servicio de la estación </w:t>
      </w:r>
      <w:proofErr w:type="spellStart"/>
      <w:r w:rsidRPr="00A75729">
        <w:rPr>
          <w:b/>
          <w:u w:val="single"/>
        </w:rPr>
        <w:t>XHDD</w:t>
      </w:r>
      <w:proofErr w:type="spellEnd"/>
      <w:r w:rsidRPr="00A75729">
        <w:rPr>
          <w:b/>
          <w:u w:val="single"/>
        </w:rPr>
        <w:t>-FM, que incluye Ojo de Agua, Juárez, Cadereyta y Montemorelos, Nuevo León</w:t>
      </w:r>
      <w:r w:rsidRPr="00A75729">
        <w:rPr>
          <w:b/>
          <w:u w:val="single"/>
          <w:lang w:val="es-ES"/>
        </w:rPr>
        <w:t xml:space="preserve">, </w:t>
      </w:r>
      <w:r w:rsidRPr="00A75729">
        <w:rPr>
          <w:rFonts w:eastAsia="Times New Roman"/>
          <w:b/>
          <w:u w:val="single"/>
          <w:lang w:eastAsia="es-ES"/>
        </w:rPr>
        <w:t>en el que participan todas aquellas estaciones cuya área de servicio alcanza a cubrir dichas localidades (Servicio Evaluado)</w:t>
      </w:r>
      <w:r w:rsidRPr="00A75729">
        <w:rPr>
          <w:rFonts w:eastAsia="Times New Roman"/>
          <w:lang w:eastAsia="es-ES"/>
        </w:rPr>
        <w:t>.</w:t>
      </w:r>
    </w:p>
    <w:p w:rsidR="002B6993" w:rsidRPr="00A75729" w:rsidRDefault="00FF7B9B" w:rsidP="00FF7B9B">
      <w:pPr>
        <w:pStyle w:val="Ttulo5"/>
        <w:numPr>
          <w:ilvl w:val="0"/>
          <w:numId w:val="0"/>
        </w:numPr>
        <w:spacing w:before="360" w:after="0"/>
        <w:rPr>
          <w:lang w:val="es-MX" w:eastAsia="en-US"/>
        </w:rPr>
      </w:pPr>
      <w:bookmarkStart w:id="237" w:name="_Toc519100875"/>
      <w:r>
        <w:rPr>
          <w:lang w:val="es-MX" w:eastAsia="en-US"/>
        </w:rPr>
        <w:t xml:space="preserve">5.4.4.3 </w:t>
      </w:r>
      <w:r w:rsidR="002B6993" w:rsidRPr="00A75729">
        <w:rPr>
          <w:lang w:val="es-MX" w:eastAsia="en-US"/>
        </w:rPr>
        <w:t xml:space="preserve">Evaluación de los efectos de la Operación en el </w:t>
      </w:r>
      <w:r w:rsidR="00146AD6">
        <w:rPr>
          <w:lang w:val="es-MX" w:eastAsia="en-US"/>
        </w:rPr>
        <w:t>s</w:t>
      </w:r>
      <w:r w:rsidR="002B6993" w:rsidRPr="00A75729">
        <w:rPr>
          <w:lang w:val="es-MX" w:eastAsia="en-US"/>
        </w:rPr>
        <w:t xml:space="preserve">ector de </w:t>
      </w:r>
      <w:r w:rsidR="00146AD6">
        <w:rPr>
          <w:lang w:val="es-MX" w:eastAsia="en-US"/>
        </w:rPr>
        <w:t>r</w:t>
      </w:r>
      <w:r w:rsidR="002B6993" w:rsidRPr="00A75729">
        <w:rPr>
          <w:lang w:val="es-MX" w:eastAsia="en-US"/>
        </w:rPr>
        <w:t>adiodifusión</w:t>
      </w:r>
      <w:bookmarkEnd w:id="237"/>
      <w:r w:rsidR="002B6993" w:rsidRPr="00A75729">
        <w:rPr>
          <w:lang w:val="es-MX" w:eastAsia="en-US"/>
        </w:rPr>
        <w:t xml:space="preserve"> </w:t>
      </w:r>
    </w:p>
    <w:p w:rsidR="007530B8" w:rsidRPr="00A75729" w:rsidRDefault="001B61E3" w:rsidP="00DE1C0E">
      <w:pPr>
        <w:rPr>
          <w:color w:val="000000"/>
          <w:lang w:val="es-ES"/>
        </w:rPr>
      </w:pPr>
      <w:r>
        <w:rPr>
          <w:color w:val="000000"/>
          <w:lang w:val="es-ES"/>
        </w:rPr>
        <w:t>E</w:t>
      </w:r>
      <w:r w:rsidR="007530B8" w:rsidRPr="00A75729">
        <w:rPr>
          <w:color w:val="000000"/>
          <w:lang w:val="es-ES"/>
        </w:rPr>
        <w:t>n términos de lo dispuesto en el artículo</w:t>
      </w:r>
      <w:r w:rsidR="0044470A" w:rsidRPr="00A75729">
        <w:rPr>
          <w:color w:val="000000"/>
          <w:lang w:val="es-ES"/>
        </w:rPr>
        <w:t xml:space="preserve"> Noveno Transitorio</w:t>
      </w:r>
      <w:r w:rsidR="007530B8" w:rsidRPr="00A75729">
        <w:rPr>
          <w:color w:val="000000"/>
          <w:lang w:val="es-ES"/>
        </w:rPr>
        <w:t xml:space="preserve">, </w:t>
      </w:r>
      <w:r w:rsidR="0044470A" w:rsidRPr="00A75729">
        <w:rPr>
          <w:color w:val="000000"/>
          <w:lang w:val="es-ES"/>
        </w:rPr>
        <w:t>los efectos de la Operación</w:t>
      </w:r>
      <w:r w:rsidR="007530B8" w:rsidRPr="00A75729">
        <w:rPr>
          <w:color w:val="000000"/>
          <w:lang w:val="es-ES"/>
        </w:rPr>
        <w:t xml:space="preserve"> se evalúan </w:t>
      </w:r>
      <w:r w:rsidR="0044470A" w:rsidRPr="00A75729">
        <w:rPr>
          <w:color w:val="000000"/>
          <w:lang w:val="es-ES"/>
        </w:rPr>
        <w:t>“</w:t>
      </w:r>
      <w:r w:rsidR="0044470A" w:rsidRPr="00A75729">
        <w:rPr>
          <w:i/>
          <w:color w:val="000000"/>
          <w:lang w:val="es-ES"/>
        </w:rPr>
        <w:t>en el sector</w:t>
      </w:r>
      <w:r w:rsidR="0044470A" w:rsidRPr="00A75729">
        <w:rPr>
          <w:color w:val="000000"/>
          <w:lang w:val="es-ES"/>
        </w:rPr>
        <w:t>”</w:t>
      </w:r>
      <w:r w:rsidR="007530B8" w:rsidRPr="00A75729">
        <w:rPr>
          <w:color w:val="000000"/>
          <w:lang w:val="es-ES"/>
        </w:rPr>
        <w:t>. En esos términos, l</w:t>
      </w:r>
      <w:r w:rsidR="0044470A" w:rsidRPr="00A75729">
        <w:rPr>
          <w:color w:val="000000"/>
          <w:lang w:val="es-ES"/>
        </w:rPr>
        <w:t>a</w:t>
      </w:r>
      <w:r w:rsidR="0044470A" w:rsidRPr="00A75729">
        <w:rPr>
          <w:b/>
          <w:color w:val="000000"/>
          <w:lang w:val="es-ES"/>
        </w:rPr>
        <w:t xml:space="preserve"> Operación</w:t>
      </w:r>
      <w:r w:rsidR="007530B8" w:rsidRPr="00A75729">
        <w:rPr>
          <w:b/>
          <w:color w:val="000000"/>
          <w:lang w:val="es-ES"/>
        </w:rPr>
        <w:t xml:space="preserve"> </w:t>
      </w:r>
      <w:r w:rsidR="0044470A" w:rsidRPr="00A75729">
        <w:rPr>
          <w:b/>
          <w:color w:val="000000"/>
          <w:lang w:val="es-ES"/>
        </w:rPr>
        <w:t xml:space="preserve">tuvo efectos en la provisión del </w:t>
      </w:r>
      <w:proofErr w:type="spellStart"/>
      <w:r w:rsidR="0044470A" w:rsidRPr="00A75729">
        <w:rPr>
          <w:b/>
          <w:color w:val="000000"/>
          <w:lang w:val="es-ES"/>
        </w:rPr>
        <w:t>SRSAC</w:t>
      </w:r>
      <w:proofErr w:type="spellEnd"/>
      <w:r w:rsidR="0044470A" w:rsidRPr="00A75729">
        <w:rPr>
          <w:b/>
          <w:color w:val="000000"/>
          <w:lang w:val="es-ES"/>
        </w:rPr>
        <w:t xml:space="preserve"> en las localidades en las que tiene cobertura de servicio la estación </w:t>
      </w:r>
      <w:proofErr w:type="spellStart"/>
      <w:r w:rsidR="0044470A" w:rsidRPr="00A75729">
        <w:rPr>
          <w:b/>
          <w:color w:val="000000"/>
          <w:lang w:val="es-ES"/>
        </w:rPr>
        <w:t>XHDD</w:t>
      </w:r>
      <w:proofErr w:type="spellEnd"/>
      <w:r w:rsidR="0044470A" w:rsidRPr="00A75729">
        <w:rPr>
          <w:b/>
          <w:color w:val="000000"/>
          <w:lang w:val="es-ES"/>
        </w:rPr>
        <w:t>-FM</w:t>
      </w:r>
      <w:r w:rsidR="0044470A" w:rsidRPr="00A75729">
        <w:rPr>
          <w:color w:val="000000"/>
          <w:lang w:val="es-ES"/>
        </w:rPr>
        <w:t>.</w:t>
      </w:r>
    </w:p>
    <w:p w:rsidR="0044470A" w:rsidRPr="00A75729" w:rsidRDefault="00CD207C" w:rsidP="00DE1C0E">
      <w:pPr>
        <w:rPr>
          <w:color w:val="000000"/>
          <w:lang w:val="es-ES"/>
        </w:rPr>
      </w:pPr>
      <w:r w:rsidRPr="00A75729">
        <w:rPr>
          <w:color w:val="000000"/>
          <w:lang w:val="es-ES"/>
        </w:rPr>
        <w:t>A este respecto, las Partes mencionaron lo siguiente:</w:t>
      </w:r>
      <w:r w:rsidRPr="00A75729">
        <w:rPr>
          <w:rStyle w:val="Refdenotaalpie"/>
          <w:lang w:val="es-MX"/>
        </w:rPr>
        <w:footnoteReference w:id="53"/>
      </w:r>
    </w:p>
    <w:p w:rsidR="00CD207C" w:rsidRPr="00A75729" w:rsidRDefault="00CD207C" w:rsidP="00CD207C">
      <w:pPr>
        <w:ind w:left="567"/>
        <w:rPr>
          <w:i/>
          <w:sz w:val="20"/>
          <w:szCs w:val="20"/>
        </w:rPr>
      </w:pPr>
      <w:r w:rsidRPr="00A75729">
        <w:rPr>
          <w:i/>
          <w:color w:val="000000"/>
          <w:sz w:val="20"/>
          <w:szCs w:val="20"/>
          <w:lang w:val="es-ES"/>
        </w:rPr>
        <w:t xml:space="preserve">“El inciso d. del artículo noveno transitorio señala que debe acreditarse que la concentración ‘[n]o tenga como efecto </w:t>
      </w:r>
      <w:r w:rsidRPr="00A75729">
        <w:rPr>
          <w:i/>
          <w:sz w:val="20"/>
          <w:szCs w:val="20"/>
        </w:rPr>
        <w:t xml:space="preserve">disminuir, dañar o impedir la libre competencia y concurrencia, </w:t>
      </w:r>
      <w:r w:rsidRPr="00A75729">
        <w:rPr>
          <w:b/>
          <w:i/>
          <w:sz w:val="20"/>
          <w:szCs w:val="20"/>
        </w:rPr>
        <w:t>en el sector</w:t>
      </w:r>
      <w:r w:rsidRPr="00A75729">
        <w:rPr>
          <w:i/>
          <w:sz w:val="20"/>
          <w:szCs w:val="20"/>
        </w:rPr>
        <w:t xml:space="preserve"> que corresponda’ de lo que se deriva que el análisis se debe hacer respecto del sector de radiodifusión en el agregado.</w:t>
      </w:r>
    </w:p>
    <w:p w:rsidR="005D7CAD" w:rsidRPr="00A75729" w:rsidRDefault="00CD207C" w:rsidP="00CD207C">
      <w:pPr>
        <w:ind w:left="567"/>
        <w:rPr>
          <w:i/>
          <w:color w:val="000000"/>
          <w:sz w:val="20"/>
          <w:szCs w:val="20"/>
          <w:lang w:val="es-ES"/>
        </w:rPr>
      </w:pPr>
      <w:r w:rsidRPr="00A75729">
        <w:rPr>
          <w:i/>
          <w:color w:val="000000"/>
          <w:sz w:val="20"/>
          <w:szCs w:val="20"/>
          <w:lang w:val="es-ES"/>
        </w:rPr>
        <w:t xml:space="preserve">No </w:t>
      </w:r>
      <w:proofErr w:type="gramStart"/>
      <w:r w:rsidRPr="00A75729">
        <w:rPr>
          <w:i/>
          <w:color w:val="000000"/>
          <w:sz w:val="20"/>
          <w:szCs w:val="20"/>
          <w:lang w:val="es-ES"/>
        </w:rPr>
        <w:t>obstante</w:t>
      </w:r>
      <w:proofErr w:type="gramEnd"/>
      <w:r w:rsidRPr="00A75729">
        <w:rPr>
          <w:i/>
          <w:color w:val="000000"/>
          <w:sz w:val="20"/>
          <w:szCs w:val="20"/>
          <w:lang w:val="es-ES"/>
        </w:rPr>
        <w:t xml:space="preserve"> lo anterior, </w:t>
      </w:r>
      <w:r w:rsidRPr="00A75729">
        <w:rPr>
          <w:i/>
          <w:color w:val="000000"/>
          <w:sz w:val="20"/>
          <w:szCs w:val="20"/>
          <w:u w:val="single"/>
          <w:lang w:val="es-ES"/>
        </w:rPr>
        <w:t>dada la naturaleza del servicio de radio comercial</w:t>
      </w:r>
      <w:r w:rsidRPr="00A75729">
        <w:rPr>
          <w:i/>
          <w:color w:val="000000"/>
          <w:sz w:val="20"/>
          <w:szCs w:val="20"/>
          <w:lang w:val="es-ES"/>
        </w:rPr>
        <w:t xml:space="preserve">, se considera pertinente realizar el análisis de este inciso </w:t>
      </w:r>
      <w:r w:rsidRPr="00A75729">
        <w:rPr>
          <w:i/>
          <w:color w:val="000000"/>
          <w:sz w:val="20"/>
          <w:szCs w:val="20"/>
          <w:u w:val="single"/>
          <w:lang w:val="es-ES"/>
        </w:rPr>
        <w:t>tanto a nivel nacional</w:t>
      </w:r>
      <w:r w:rsidRPr="00A75729">
        <w:rPr>
          <w:i/>
          <w:color w:val="000000"/>
          <w:sz w:val="20"/>
          <w:szCs w:val="20"/>
          <w:lang w:val="es-ES"/>
        </w:rPr>
        <w:t xml:space="preserve"> (i.e. del sector en agregado) </w:t>
      </w:r>
      <w:r w:rsidRPr="00A75729">
        <w:rPr>
          <w:i/>
          <w:color w:val="000000"/>
          <w:sz w:val="20"/>
          <w:szCs w:val="20"/>
          <w:u w:val="single"/>
          <w:lang w:val="es-ES"/>
        </w:rPr>
        <w:t>como a nivel local</w:t>
      </w:r>
      <w:r w:rsidRPr="00A75729">
        <w:rPr>
          <w:i/>
          <w:color w:val="000000"/>
          <w:sz w:val="20"/>
          <w:szCs w:val="20"/>
          <w:lang w:val="es-ES"/>
        </w:rPr>
        <w:t xml:space="preserve"> pues la dinámica competitiva puede ser distinta en diferentes localidades. Este análisis muestra que incluso a nivel local, la concentración no tiene el efecto de dañar la competencia y libre concurrencia en el servicio de radio comercial.</w:t>
      </w:r>
    </w:p>
    <w:p w:rsidR="005D7CAD" w:rsidRPr="00A75729" w:rsidRDefault="005D7CAD" w:rsidP="00CD207C">
      <w:pPr>
        <w:ind w:left="567"/>
        <w:rPr>
          <w:i/>
          <w:color w:val="000000"/>
          <w:sz w:val="20"/>
          <w:szCs w:val="20"/>
          <w:lang w:val="es-ES"/>
        </w:rPr>
      </w:pPr>
      <w:r w:rsidRPr="00A75729">
        <w:rPr>
          <w:i/>
          <w:color w:val="000000"/>
          <w:sz w:val="20"/>
          <w:szCs w:val="20"/>
          <w:lang w:val="es-ES"/>
        </w:rPr>
        <w:t>(…)</w:t>
      </w:r>
    </w:p>
    <w:p w:rsidR="00CD207C" w:rsidRPr="00A75729" w:rsidRDefault="005D7CAD" w:rsidP="00CD207C">
      <w:pPr>
        <w:ind w:left="567"/>
        <w:rPr>
          <w:i/>
          <w:color w:val="000000"/>
          <w:sz w:val="20"/>
          <w:szCs w:val="20"/>
          <w:lang w:val="es-ES"/>
        </w:rPr>
      </w:pPr>
      <w:r w:rsidRPr="00A75729">
        <w:rPr>
          <w:i/>
          <w:color w:val="000000"/>
          <w:sz w:val="20"/>
          <w:szCs w:val="20"/>
          <w:lang w:val="es-ES"/>
        </w:rPr>
        <w:t xml:space="preserve">Audio Publicidad </w:t>
      </w:r>
      <w:r w:rsidRPr="00A75729">
        <w:rPr>
          <w:i/>
          <w:color w:val="000000"/>
          <w:sz w:val="20"/>
          <w:szCs w:val="20"/>
          <w:u w:val="single"/>
          <w:lang w:val="es-ES"/>
        </w:rPr>
        <w:t>no presta el servicio de televisión abierta por lo que no hay afectaciones en ese mercado</w:t>
      </w:r>
      <w:r w:rsidRPr="00A75729">
        <w:rPr>
          <w:i/>
          <w:color w:val="000000"/>
          <w:sz w:val="20"/>
          <w:szCs w:val="20"/>
          <w:lang w:val="es-ES"/>
        </w:rPr>
        <w:t>.</w:t>
      </w:r>
      <w:r w:rsidR="00CD207C" w:rsidRPr="00A75729">
        <w:rPr>
          <w:i/>
          <w:color w:val="000000"/>
          <w:sz w:val="20"/>
          <w:szCs w:val="20"/>
          <w:lang w:val="es-ES"/>
        </w:rPr>
        <w:t>”</w:t>
      </w:r>
      <w:r w:rsidR="00155861" w:rsidRPr="00A75729">
        <w:rPr>
          <w:sz w:val="20"/>
        </w:rPr>
        <w:t xml:space="preserve"> [Énfasis añadido]</w:t>
      </w:r>
    </w:p>
    <w:p w:rsidR="0044470A" w:rsidRPr="00A75729" w:rsidRDefault="0044470A" w:rsidP="00DE1C0E">
      <w:pPr>
        <w:rPr>
          <w:color w:val="000000"/>
          <w:lang w:val="es-ES"/>
        </w:rPr>
      </w:pPr>
      <w:r w:rsidRPr="00A75729">
        <w:rPr>
          <w:color w:val="000000"/>
          <w:lang w:val="es-ES"/>
        </w:rPr>
        <w:t>Considerando lo anterior, a</w:t>
      </w:r>
      <w:r w:rsidR="00DE1C0E" w:rsidRPr="00A75729">
        <w:rPr>
          <w:color w:val="000000"/>
          <w:lang w:val="es-ES"/>
        </w:rPr>
        <w:t xml:space="preserve"> </w:t>
      </w:r>
      <w:r w:rsidR="00E43291" w:rsidRPr="00A75729">
        <w:rPr>
          <w:color w:val="000000"/>
          <w:lang w:val="es-ES"/>
        </w:rPr>
        <w:t>continuación</w:t>
      </w:r>
      <w:r w:rsidR="00DE1C0E" w:rsidRPr="00A75729">
        <w:rPr>
          <w:color w:val="000000"/>
          <w:lang w:val="es-ES"/>
        </w:rPr>
        <w:t xml:space="preserve"> se presenta </w:t>
      </w:r>
      <w:r w:rsidR="00DE1C0E" w:rsidRPr="00A75729">
        <w:rPr>
          <w:b/>
          <w:color w:val="000000"/>
          <w:lang w:val="es-ES"/>
        </w:rPr>
        <w:t xml:space="preserve">el análisis de </w:t>
      </w:r>
      <w:r w:rsidRPr="00A75729">
        <w:rPr>
          <w:b/>
          <w:color w:val="000000"/>
          <w:lang w:val="es-ES"/>
        </w:rPr>
        <w:t xml:space="preserve">efectos de </w:t>
      </w:r>
      <w:r w:rsidR="00DE1C0E" w:rsidRPr="00A75729">
        <w:rPr>
          <w:b/>
          <w:color w:val="000000"/>
          <w:lang w:val="es-ES"/>
        </w:rPr>
        <w:t xml:space="preserve">la Operación </w:t>
      </w:r>
      <w:r w:rsidR="00155861" w:rsidRPr="00A75729">
        <w:rPr>
          <w:b/>
          <w:color w:val="000000"/>
          <w:lang w:val="es-ES"/>
        </w:rPr>
        <w:t>“</w:t>
      </w:r>
      <w:r w:rsidR="00155861" w:rsidRPr="00A75729">
        <w:rPr>
          <w:b/>
          <w:i/>
          <w:color w:val="000000"/>
          <w:lang w:val="es-ES"/>
        </w:rPr>
        <w:t>en el sector</w:t>
      </w:r>
      <w:r w:rsidR="00155861" w:rsidRPr="00A75729">
        <w:rPr>
          <w:b/>
          <w:color w:val="000000"/>
          <w:lang w:val="es-ES"/>
        </w:rPr>
        <w:t>”</w:t>
      </w:r>
      <w:r w:rsidR="00447575" w:rsidRPr="00A75729">
        <w:rPr>
          <w:b/>
          <w:color w:val="000000"/>
          <w:lang w:val="es-ES"/>
        </w:rPr>
        <w:t xml:space="preserve"> de radiodifusión</w:t>
      </w:r>
      <w:r w:rsidR="00155861" w:rsidRPr="00A75729">
        <w:rPr>
          <w:b/>
          <w:color w:val="000000"/>
          <w:lang w:val="es-ES"/>
        </w:rPr>
        <w:t xml:space="preserve">, </w:t>
      </w:r>
      <w:r w:rsidR="00F37ADA" w:rsidRPr="00A75729">
        <w:rPr>
          <w:b/>
          <w:color w:val="000000"/>
          <w:lang w:val="es-ES"/>
        </w:rPr>
        <w:t>que está integrado por los servicios de</w:t>
      </w:r>
      <w:r w:rsidR="007E4FA0" w:rsidRPr="00A75729">
        <w:rPr>
          <w:b/>
          <w:color w:val="000000"/>
          <w:lang w:val="es-ES"/>
        </w:rPr>
        <w:t xml:space="preserve"> radiodifusión sonora comercial en la banda AM y FM, así como en el de televisión radiodifundida comercial; y tomando en cuenta que </w:t>
      </w:r>
      <w:r w:rsidR="000D7BB6" w:rsidRPr="00A75729">
        <w:rPr>
          <w:b/>
          <w:color w:val="000000"/>
          <w:lang w:val="es-ES"/>
        </w:rPr>
        <w:t xml:space="preserve">a través de </w:t>
      </w:r>
      <w:r w:rsidR="00155861" w:rsidRPr="00A75729">
        <w:rPr>
          <w:b/>
          <w:color w:val="000000"/>
          <w:lang w:val="es-ES"/>
        </w:rPr>
        <w:t xml:space="preserve">la estación </w:t>
      </w:r>
      <w:r w:rsidR="000D7BB6" w:rsidRPr="00A75729">
        <w:rPr>
          <w:b/>
          <w:color w:val="000000"/>
          <w:lang w:val="es-ES"/>
        </w:rPr>
        <w:t xml:space="preserve">objeto de la operación se provee el </w:t>
      </w:r>
      <w:proofErr w:type="spellStart"/>
      <w:r w:rsidR="000D7BB6" w:rsidRPr="00A75729">
        <w:rPr>
          <w:b/>
          <w:color w:val="000000"/>
          <w:lang w:val="es-ES"/>
        </w:rPr>
        <w:t>SRSAC</w:t>
      </w:r>
      <w:proofErr w:type="spellEnd"/>
      <w:r w:rsidR="000D7BB6" w:rsidRPr="00A75729">
        <w:rPr>
          <w:b/>
          <w:color w:val="000000"/>
          <w:lang w:val="es-ES"/>
        </w:rPr>
        <w:t xml:space="preserve"> en FM en las localidades en las que tiene cobertura de servicio esa estación</w:t>
      </w:r>
      <w:r w:rsidR="00155861" w:rsidRPr="00A75729">
        <w:rPr>
          <w:b/>
          <w:color w:val="000000"/>
          <w:lang w:val="es-ES"/>
        </w:rPr>
        <w:t xml:space="preserve">, </w:t>
      </w:r>
      <w:r w:rsidR="00780FE8" w:rsidRPr="00A75729">
        <w:rPr>
          <w:b/>
          <w:color w:val="000000"/>
          <w:lang w:val="es-ES"/>
        </w:rPr>
        <w:t xml:space="preserve">incluyendo </w:t>
      </w:r>
      <w:r w:rsidR="00155861" w:rsidRPr="00A75729">
        <w:rPr>
          <w:b/>
          <w:color w:val="000000"/>
          <w:lang w:val="es-ES"/>
        </w:rPr>
        <w:t xml:space="preserve">Ojo de Agua, </w:t>
      </w:r>
      <w:r w:rsidR="00780FE8" w:rsidRPr="00A75729">
        <w:rPr>
          <w:b/>
          <w:color w:val="000000"/>
          <w:lang w:val="es-ES"/>
        </w:rPr>
        <w:t xml:space="preserve">Juárez, Cadereyta y Montemorelos, </w:t>
      </w:r>
      <w:r w:rsidR="00155861" w:rsidRPr="00A75729">
        <w:rPr>
          <w:b/>
          <w:color w:val="000000"/>
          <w:lang w:val="es-ES"/>
        </w:rPr>
        <w:t>Nuevo León</w:t>
      </w:r>
      <w:r w:rsidR="00155861" w:rsidRPr="00A75729">
        <w:rPr>
          <w:color w:val="000000"/>
          <w:lang w:val="es-ES"/>
        </w:rPr>
        <w:t>.</w:t>
      </w:r>
    </w:p>
    <w:p w:rsidR="00780FE8" w:rsidRPr="00A75729" w:rsidRDefault="00780FE8" w:rsidP="00780FE8">
      <w:pPr>
        <w:ind w:right="-1"/>
      </w:pPr>
      <w:r w:rsidRPr="00A75729">
        <w:t>De manera gráfica, se tendría la siguiente representación.</w:t>
      </w:r>
    </w:p>
    <w:p w:rsidR="00780FE8" w:rsidRPr="00A75729" w:rsidRDefault="00780FE8" w:rsidP="00780FE8">
      <w:pPr>
        <w:pStyle w:val="Figura"/>
        <w:spacing w:after="120"/>
        <w:ind w:left="1560" w:right="615" w:hanging="992"/>
        <w:jc w:val="both"/>
        <w:rPr>
          <w:b/>
          <w:sz w:val="22"/>
          <w:szCs w:val="20"/>
        </w:rPr>
      </w:pPr>
      <w:r w:rsidRPr="00A75729">
        <w:rPr>
          <w:b/>
          <w:sz w:val="22"/>
          <w:szCs w:val="20"/>
        </w:rPr>
        <w:lastRenderedPageBreak/>
        <w:t xml:space="preserve">Representación gráfica de </w:t>
      </w:r>
      <w:r w:rsidR="00D102A5" w:rsidRPr="00A75729">
        <w:rPr>
          <w:b/>
          <w:sz w:val="22"/>
          <w:szCs w:val="20"/>
        </w:rPr>
        <w:t xml:space="preserve">la incidencia </w:t>
      </w:r>
      <w:r w:rsidRPr="00A75729">
        <w:rPr>
          <w:b/>
          <w:sz w:val="22"/>
          <w:szCs w:val="20"/>
        </w:rPr>
        <w:t>de la Operación en el sector de radiodifusión</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0"/>
        <w:gridCol w:w="733"/>
        <w:gridCol w:w="1986"/>
        <w:gridCol w:w="5102"/>
      </w:tblGrid>
      <w:tr w:rsidR="00F37ADA" w:rsidRPr="00A75729" w:rsidTr="00C814F3">
        <w:trPr>
          <w:trHeight w:val="20"/>
          <w:tblHeader/>
          <w:jc w:val="center"/>
        </w:trPr>
        <w:tc>
          <w:tcPr>
            <w:tcW w:w="818" w:type="pct"/>
            <w:vMerge w:val="restart"/>
            <w:shd w:val="clear" w:color="auto" w:fill="92D050"/>
            <w:noWrap/>
            <w:vAlign w:val="center"/>
            <w:hideMark/>
          </w:tcPr>
          <w:p w:rsidR="001548C9" w:rsidRPr="00A75729" w:rsidRDefault="001548C9" w:rsidP="00C814F3">
            <w:pPr>
              <w:spacing w:before="0" w:after="0" w:line="240" w:lineRule="auto"/>
              <w:jc w:val="center"/>
              <w:rPr>
                <w:rFonts w:eastAsia="Times New Roman"/>
                <w:b/>
                <w:bCs/>
                <w:sz w:val="16"/>
                <w:szCs w:val="16"/>
              </w:rPr>
            </w:pPr>
            <w:r w:rsidRPr="00A75729">
              <w:rPr>
                <w:rFonts w:eastAsia="Times New Roman"/>
                <w:b/>
                <w:bCs/>
                <w:sz w:val="16"/>
                <w:szCs w:val="16"/>
              </w:rPr>
              <w:t>Localidad</w:t>
            </w:r>
          </w:p>
        </w:tc>
        <w:tc>
          <w:tcPr>
            <w:tcW w:w="4182" w:type="pct"/>
            <w:gridSpan w:val="3"/>
            <w:shd w:val="clear" w:color="auto" w:fill="92D050"/>
            <w:vAlign w:val="center"/>
          </w:tcPr>
          <w:p w:rsidR="001548C9" w:rsidRPr="00A75729" w:rsidRDefault="001548C9" w:rsidP="00C814F3">
            <w:pPr>
              <w:spacing w:before="0" w:after="0" w:line="240" w:lineRule="auto"/>
              <w:jc w:val="center"/>
              <w:rPr>
                <w:rFonts w:eastAsia="Times New Roman"/>
                <w:b/>
                <w:bCs/>
                <w:sz w:val="16"/>
                <w:szCs w:val="16"/>
              </w:rPr>
            </w:pPr>
            <w:r w:rsidRPr="00A75729">
              <w:rPr>
                <w:rFonts w:eastAsia="Times New Roman"/>
                <w:b/>
                <w:bCs/>
                <w:sz w:val="16"/>
                <w:szCs w:val="16"/>
              </w:rPr>
              <w:t>Servicios en el sector de radiodifusión</w:t>
            </w:r>
          </w:p>
        </w:tc>
      </w:tr>
      <w:tr w:rsidR="00F37ADA" w:rsidRPr="00A75729" w:rsidTr="00C814F3">
        <w:trPr>
          <w:trHeight w:val="20"/>
          <w:tblHeader/>
          <w:jc w:val="center"/>
        </w:trPr>
        <w:tc>
          <w:tcPr>
            <w:tcW w:w="818" w:type="pct"/>
            <w:vMerge/>
            <w:shd w:val="clear" w:color="auto" w:fill="92D050"/>
            <w:noWrap/>
            <w:vAlign w:val="center"/>
          </w:tcPr>
          <w:p w:rsidR="00F37ADA" w:rsidRPr="00A75729" w:rsidRDefault="00F37ADA" w:rsidP="00C814F3">
            <w:pPr>
              <w:spacing w:before="0" w:after="0" w:line="240" w:lineRule="auto"/>
              <w:jc w:val="center"/>
              <w:rPr>
                <w:rFonts w:eastAsia="Times New Roman"/>
                <w:b/>
                <w:bCs/>
                <w:sz w:val="16"/>
                <w:szCs w:val="16"/>
              </w:rPr>
            </w:pPr>
          </w:p>
        </w:tc>
        <w:tc>
          <w:tcPr>
            <w:tcW w:w="392" w:type="pct"/>
            <w:shd w:val="clear" w:color="auto" w:fill="92D050"/>
            <w:vAlign w:val="center"/>
          </w:tcPr>
          <w:p w:rsidR="00F37ADA" w:rsidRPr="00A75729" w:rsidRDefault="00F37ADA" w:rsidP="00C814F3">
            <w:pPr>
              <w:spacing w:before="0" w:after="0" w:line="240" w:lineRule="auto"/>
              <w:jc w:val="center"/>
              <w:rPr>
                <w:rFonts w:eastAsia="Times New Roman"/>
                <w:b/>
                <w:bCs/>
                <w:sz w:val="16"/>
                <w:szCs w:val="16"/>
              </w:rPr>
            </w:pPr>
            <w:proofErr w:type="spellStart"/>
            <w:r w:rsidRPr="00A75729">
              <w:rPr>
                <w:rFonts w:eastAsia="Times New Roman"/>
                <w:b/>
                <w:bCs/>
                <w:sz w:val="16"/>
                <w:szCs w:val="16"/>
              </w:rPr>
              <w:t>SRSAC</w:t>
            </w:r>
            <w:proofErr w:type="spellEnd"/>
            <w:r w:rsidRPr="00A75729">
              <w:rPr>
                <w:rFonts w:eastAsia="Times New Roman"/>
                <w:b/>
                <w:bCs/>
                <w:sz w:val="16"/>
                <w:szCs w:val="16"/>
              </w:rPr>
              <w:t xml:space="preserve"> en AM</w:t>
            </w:r>
          </w:p>
        </w:tc>
        <w:tc>
          <w:tcPr>
            <w:tcW w:w="1062" w:type="pct"/>
            <w:shd w:val="clear" w:color="auto" w:fill="92D050"/>
            <w:vAlign w:val="center"/>
          </w:tcPr>
          <w:p w:rsidR="00F37ADA" w:rsidRPr="00A75729" w:rsidRDefault="00F37ADA" w:rsidP="00C814F3">
            <w:pPr>
              <w:spacing w:before="0" w:after="0" w:line="240" w:lineRule="auto"/>
              <w:jc w:val="center"/>
              <w:rPr>
                <w:rFonts w:eastAsia="Times New Roman"/>
                <w:b/>
                <w:bCs/>
                <w:sz w:val="16"/>
                <w:szCs w:val="16"/>
              </w:rPr>
            </w:pPr>
            <w:proofErr w:type="spellStart"/>
            <w:r w:rsidRPr="00A75729">
              <w:rPr>
                <w:rFonts w:eastAsia="Times New Roman"/>
                <w:b/>
                <w:bCs/>
                <w:sz w:val="16"/>
                <w:szCs w:val="16"/>
              </w:rPr>
              <w:t>SRSAC</w:t>
            </w:r>
            <w:proofErr w:type="spellEnd"/>
            <w:r w:rsidRPr="00A75729">
              <w:rPr>
                <w:rFonts w:eastAsia="Times New Roman"/>
                <w:b/>
                <w:bCs/>
                <w:sz w:val="16"/>
                <w:szCs w:val="16"/>
              </w:rPr>
              <w:t xml:space="preserve"> en FM</w:t>
            </w:r>
          </w:p>
        </w:tc>
        <w:tc>
          <w:tcPr>
            <w:tcW w:w="2728" w:type="pct"/>
            <w:shd w:val="clear" w:color="auto" w:fill="92D050"/>
            <w:vAlign w:val="center"/>
          </w:tcPr>
          <w:p w:rsidR="00F37ADA" w:rsidRPr="00A75729" w:rsidRDefault="00F37ADA" w:rsidP="00C814F3">
            <w:pPr>
              <w:spacing w:before="0" w:after="0" w:line="240" w:lineRule="auto"/>
              <w:jc w:val="center"/>
              <w:rPr>
                <w:rFonts w:eastAsia="Times New Roman"/>
                <w:b/>
                <w:bCs/>
                <w:sz w:val="16"/>
                <w:szCs w:val="16"/>
              </w:rPr>
            </w:pPr>
            <w:proofErr w:type="spellStart"/>
            <w:r w:rsidRPr="00A75729">
              <w:rPr>
                <w:rFonts w:eastAsia="Times New Roman"/>
                <w:b/>
                <w:bCs/>
                <w:sz w:val="16"/>
                <w:szCs w:val="16"/>
              </w:rPr>
              <w:t>STRDC</w:t>
            </w:r>
            <w:proofErr w:type="spellEnd"/>
          </w:p>
        </w:tc>
      </w:tr>
      <w:tr w:rsidR="00F37ADA" w:rsidRPr="00A75729" w:rsidTr="002964AF">
        <w:trPr>
          <w:trHeight w:val="20"/>
          <w:jc w:val="center"/>
        </w:trPr>
        <w:tc>
          <w:tcPr>
            <w:tcW w:w="818" w:type="pct"/>
            <w:shd w:val="clear" w:color="000000" w:fill="FFFFFF"/>
            <w:vAlign w:val="center"/>
          </w:tcPr>
          <w:p w:rsidR="00F37ADA" w:rsidRPr="00A75729" w:rsidRDefault="00F37ADA" w:rsidP="00F37ADA">
            <w:pPr>
              <w:spacing w:before="0" w:after="0"/>
              <w:rPr>
                <w:rFonts w:eastAsia="Times New Roman"/>
                <w:color w:val="000000"/>
                <w:sz w:val="16"/>
                <w:szCs w:val="16"/>
                <w:lang w:val="es-MX"/>
              </w:rPr>
            </w:pPr>
            <w:r w:rsidRPr="00A75729">
              <w:rPr>
                <w:rFonts w:eastAsia="Times New Roman"/>
                <w:color w:val="000000"/>
                <w:sz w:val="16"/>
                <w:szCs w:val="16"/>
                <w:lang w:val="es-MX"/>
              </w:rPr>
              <w:t>Localidad 1</w:t>
            </w:r>
          </w:p>
        </w:tc>
        <w:tc>
          <w:tcPr>
            <w:tcW w:w="392" w:type="pct"/>
            <w:shd w:val="clear" w:color="auto" w:fill="auto"/>
            <w:noWrap/>
          </w:tcPr>
          <w:p w:rsidR="00F37ADA" w:rsidRPr="00A75729" w:rsidRDefault="00F37ADA" w:rsidP="00F37ADA">
            <w:pPr>
              <w:spacing w:before="0" w:after="0"/>
              <w:jc w:val="center"/>
              <w:rPr>
                <w:rFonts w:eastAsia="Times New Roman"/>
                <w:color w:val="000000"/>
                <w:sz w:val="16"/>
                <w:szCs w:val="16"/>
              </w:rPr>
            </w:pPr>
            <w:r w:rsidRPr="00A75729">
              <w:rPr>
                <w:rFonts w:eastAsia="Times New Roman"/>
                <w:color w:val="000000"/>
                <w:sz w:val="16"/>
                <w:szCs w:val="16"/>
              </w:rPr>
              <w:t>Nulo</w:t>
            </w:r>
          </w:p>
        </w:tc>
        <w:tc>
          <w:tcPr>
            <w:tcW w:w="1062" w:type="pct"/>
            <w:shd w:val="clear" w:color="auto" w:fill="auto"/>
          </w:tcPr>
          <w:p w:rsidR="00F37ADA" w:rsidRPr="00A75729" w:rsidRDefault="00F37ADA" w:rsidP="00F37ADA">
            <w:pPr>
              <w:spacing w:before="0" w:after="0"/>
              <w:jc w:val="center"/>
              <w:rPr>
                <w:rFonts w:eastAsia="Times New Roman"/>
                <w:color w:val="000000"/>
                <w:sz w:val="16"/>
                <w:szCs w:val="16"/>
              </w:rPr>
            </w:pPr>
            <w:r w:rsidRPr="00A75729">
              <w:rPr>
                <w:rFonts w:eastAsia="Times New Roman"/>
                <w:color w:val="000000"/>
                <w:sz w:val="16"/>
                <w:szCs w:val="16"/>
              </w:rPr>
              <w:t>Nulo</w:t>
            </w:r>
          </w:p>
        </w:tc>
        <w:tc>
          <w:tcPr>
            <w:tcW w:w="2728" w:type="pct"/>
          </w:tcPr>
          <w:p w:rsidR="00F37ADA" w:rsidRPr="00A75729" w:rsidRDefault="00F37ADA" w:rsidP="00F37ADA">
            <w:pPr>
              <w:spacing w:before="0" w:after="0"/>
              <w:jc w:val="center"/>
              <w:rPr>
                <w:rFonts w:eastAsia="Times New Roman"/>
                <w:color w:val="000000"/>
                <w:sz w:val="16"/>
                <w:szCs w:val="16"/>
              </w:rPr>
            </w:pPr>
            <w:r w:rsidRPr="00A75729">
              <w:rPr>
                <w:rFonts w:eastAsia="Times New Roman"/>
                <w:color w:val="000000"/>
                <w:sz w:val="16"/>
                <w:szCs w:val="16"/>
              </w:rPr>
              <w:t>Nulo</w:t>
            </w:r>
          </w:p>
        </w:tc>
      </w:tr>
      <w:tr w:rsidR="00F37ADA" w:rsidRPr="00A75729" w:rsidTr="002964AF">
        <w:trPr>
          <w:trHeight w:val="20"/>
          <w:jc w:val="center"/>
        </w:trPr>
        <w:tc>
          <w:tcPr>
            <w:tcW w:w="818" w:type="pct"/>
            <w:shd w:val="clear" w:color="000000" w:fill="FFFFFF"/>
            <w:vAlign w:val="center"/>
          </w:tcPr>
          <w:p w:rsidR="00F37ADA" w:rsidRPr="00A75729" w:rsidRDefault="00F37ADA" w:rsidP="00F37ADA">
            <w:pPr>
              <w:spacing w:before="0" w:after="0"/>
              <w:rPr>
                <w:rFonts w:eastAsia="Times New Roman"/>
                <w:color w:val="000000"/>
                <w:sz w:val="16"/>
                <w:szCs w:val="16"/>
                <w:lang w:val="en-US"/>
              </w:rPr>
            </w:pPr>
            <w:proofErr w:type="spellStart"/>
            <w:r w:rsidRPr="00A75729">
              <w:rPr>
                <w:rFonts w:eastAsia="Times New Roman"/>
                <w:color w:val="000000"/>
                <w:sz w:val="16"/>
                <w:szCs w:val="16"/>
                <w:lang w:val="en-US"/>
              </w:rPr>
              <w:t>Localidad</w:t>
            </w:r>
            <w:proofErr w:type="spellEnd"/>
            <w:r w:rsidRPr="00A75729">
              <w:rPr>
                <w:rFonts w:eastAsia="Times New Roman"/>
                <w:color w:val="000000"/>
                <w:sz w:val="16"/>
                <w:szCs w:val="16"/>
                <w:lang w:val="en-US"/>
              </w:rPr>
              <w:t xml:space="preserve"> 2</w:t>
            </w:r>
          </w:p>
        </w:tc>
        <w:tc>
          <w:tcPr>
            <w:tcW w:w="392" w:type="pct"/>
            <w:shd w:val="clear" w:color="auto" w:fill="auto"/>
            <w:noWrap/>
          </w:tcPr>
          <w:p w:rsidR="00F37ADA" w:rsidRPr="00A75729" w:rsidRDefault="00F37ADA" w:rsidP="00F37ADA">
            <w:pPr>
              <w:spacing w:before="0" w:after="0"/>
              <w:jc w:val="center"/>
              <w:rPr>
                <w:rFonts w:eastAsia="Times New Roman"/>
                <w:color w:val="000000"/>
                <w:sz w:val="16"/>
                <w:szCs w:val="16"/>
              </w:rPr>
            </w:pPr>
            <w:r w:rsidRPr="00A75729">
              <w:rPr>
                <w:rFonts w:eastAsia="Times New Roman"/>
                <w:color w:val="000000"/>
                <w:sz w:val="16"/>
                <w:szCs w:val="16"/>
              </w:rPr>
              <w:t>Nulo</w:t>
            </w:r>
          </w:p>
        </w:tc>
        <w:tc>
          <w:tcPr>
            <w:tcW w:w="1062" w:type="pct"/>
            <w:shd w:val="clear" w:color="auto" w:fill="auto"/>
          </w:tcPr>
          <w:p w:rsidR="00F37ADA" w:rsidRPr="00A75729" w:rsidRDefault="00F37ADA" w:rsidP="00F37ADA">
            <w:pPr>
              <w:spacing w:before="0" w:after="0"/>
              <w:jc w:val="center"/>
              <w:rPr>
                <w:rFonts w:eastAsia="Times New Roman"/>
                <w:color w:val="000000"/>
                <w:sz w:val="16"/>
                <w:szCs w:val="16"/>
              </w:rPr>
            </w:pPr>
            <w:r w:rsidRPr="00A75729">
              <w:rPr>
                <w:rFonts w:eastAsia="Times New Roman"/>
                <w:color w:val="000000"/>
                <w:sz w:val="16"/>
                <w:szCs w:val="16"/>
              </w:rPr>
              <w:t>Nulo</w:t>
            </w:r>
          </w:p>
        </w:tc>
        <w:tc>
          <w:tcPr>
            <w:tcW w:w="2728" w:type="pct"/>
          </w:tcPr>
          <w:p w:rsidR="00F37ADA" w:rsidRPr="00A75729" w:rsidRDefault="00F37ADA" w:rsidP="00F37ADA">
            <w:pPr>
              <w:spacing w:before="0" w:after="0"/>
              <w:jc w:val="center"/>
              <w:rPr>
                <w:rFonts w:eastAsia="Times New Roman"/>
                <w:color w:val="000000"/>
                <w:sz w:val="16"/>
                <w:szCs w:val="16"/>
              </w:rPr>
            </w:pPr>
            <w:r w:rsidRPr="00A75729">
              <w:rPr>
                <w:rFonts w:eastAsia="Times New Roman"/>
                <w:color w:val="000000"/>
                <w:sz w:val="16"/>
                <w:szCs w:val="16"/>
              </w:rPr>
              <w:t>Nulo</w:t>
            </w:r>
          </w:p>
        </w:tc>
      </w:tr>
      <w:tr w:rsidR="00F37ADA" w:rsidRPr="00A75729" w:rsidTr="002964AF">
        <w:trPr>
          <w:trHeight w:val="20"/>
          <w:jc w:val="center"/>
        </w:trPr>
        <w:tc>
          <w:tcPr>
            <w:tcW w:w="818" w:type="pct"/>
            <w:shd w:val="clear" w:color="000000" w:fill="FFFFFF"/>
            <w:vAlign w:val="center"/>
          </w:tcPr>
          <w:p w:rsidR="00F37ADA" w:rsidRPr="00A75729" w:rsidRDefault="00F37ADA" w:rsidP="00F37ADA">
            <w:pPr>
              <w:spacing w:before="0" w:after="0"/>
              <w:rPr>
                <w:rFonts w:eastAsia="Times New Roman"/>
                <w:color w:val="000000"/>
                <w:sz w:val="16"/>
                <w:szCs w:val="16"/>
                <w:lang w:val="en-US"/>
              </w:rPr>
            </w:pPr>
            <w:r w:rsidRPr="00A75729">
              <w:rPr>
                <w:rFonts w:eastAsia="Times New Roman"/>
                <w:color w:val="000000"/>
                <w:sz w:val="16"/>
                <w:szCs w:val="16"/>
                <w:lang w:val="en-US"/>
              </w:rPr>
              <w:t>…</w:t>
            </w:r>
          </w:p>
        </w:tc>
        <w:tc>
          <w:tcPr>
            <w:tcW w:w="392" w:type="pct"/>
            <w:shd w:val="clear" w:color="auto" w:fill="auto"/>
            <w:noWrap/>
          </w:tcPr>
          <w:p w:rsidR="00F37ADA" w:rsidRPr="00A75729" w:rsidRDefault="00F37ADA" w:rsidP="00F37ADA">
            <w:pPr>
              <w:spacing w:before="0" w:after="0"/>
              <w:jc w:val="center"/>
              <w:rPr>
                <w:rFonts w:eastAsia="Times New Roman"/>
                <w:noProof/>
                <w:color w:val="000000"/>
                <w:sz w:val="16"/>
                <w:szCs w:val="16"/>
                <w:lang w:val="es-MX"/>
              </w:rPr>
            </w:pPr>
            <w:r w:rsidRPr="00A75729">
              <w:rPr>
                <w:rFonts w:eastAsia="Times New Roman"/>
                <w:color w:val="000000"/>
                <w:sz w:val="16"/>
                <w:szCs w:val="16"/>
              </w:rPr>
              <w:t>Nulo</w:t>
            </w:r>
          </w:p>
        </w:tc>
        <w:tc>
          <w:tcPr>
            <w:tcW w:w="1062" w:type="pct"/>
            <w:shd w:val="clear" w:color="auto" w:fill="auto"/>
          </w:tcPr>
          <w:p w:rsidR="00F37ADA" w:rsidRPr="00A75729" w:rsidRDefault="00F37ADA" w:rsidP="00F37ADA">
            <w:pPr>
              <w:spacing w:before="0" w:after="0"/>
              <w:jc w:val="center"/>
              <w:rPr>
                <w:rFonts w:eastAsia="Times New Roman"/>
                <w:color w:val="000000"/>
                <w:sz w:val="16"/>
                <w:szCs w:val="16"/>
              </w:rPr>
            </w:pPr>
            <w:r w:rsidRPr="00A75729">
              <w:rPr>
                <w:rFonts w:eastAsia="Times New Roman"/>
                <w:color w:val="000000"/>
                <w:sz w:val="16"/>
                <w:szCs w:val="16"/>
              </w:rPr>
              <w:t>Nulo</w:t>
            </w:r>
          </w:p>
        </w:tc>
        <w:tc>
          <w:tcPr>
            <w:tcW w:w="2728" w:type="pct"/>
          </w:tcPr>
          <w:p w:rsidR="00F37ADA" w:rsidRPr="00A75729" w:rsidRDefault="00F37ADA" w:rsidP="00F37ADA">
            <w:pPr>
              <w:spacing w:before="0" w:after="0"/>
              <w:jc w:val="center"/>
              <w:rPr>
                <w:rFonts w:eastAsia="Times New Roman"/>
                <w:color w:val="000000"/>
                <w:sz w:val="16"/>
                <w:szCs w:val="16"/>
              </w:rPr>
            </w:pPr>
            <w:r w:rsidRPr="00A75729">
              <w:rPr>
                <w:rFonts w:eastAsia="Times New Roman"/>
                <w:color w:val="000000"/>
                <w:sz w:val="16"/>
                <w:szCs w:val="16"/>
              </w:rPr>
              <w:t>Nulo</w:t>
            </w:r>
          </w:p>
        </w:tc>
      </w:tr>
      <w:tr w:rsidR="00F37ADA" w:rsidRPr="00A75729" w:rsidTr="002964AF">
        <w:trPr>
          <w:trHeight w:val="20"/>
          <w:jc w:val="center"/>
        </w:trPr>
        <w:tc>
          <w:tcPr>
            <w:tcW w:w="818" w:type="pct"/>
            <w:shd w:val="clear" w:color="000000" w:fill="FFFFFF"/>
            <w:vAlign w:val="center"/>
          </w:tcPr>
          <w:p w:rsidR="00F37ADA" w:rsidRPr="00A75729" w:rsidRDefault="00E03E4E" w:rsidP="00B80D60">
            <w:pPr>
              <w:spacing w:before="0" w:after="0"/>
              <w:rPr>
                <w:rFonts w:eastAsia="Times New Roman"/>
                <w:color w:val="000000"/>
                <w:sz w:val="16"/>
                <w:szCs w:val="16"/>
                <w:lang w:val="en-US"/>
              </w:rPr>
            </w:pPr>
            <w:proofErr w:type="spellStart"/>
            <w:r w:rsidRPr="00A75729">
              <w:rPr>
                <w:rFonts w:eastAsia="Times New Roman"/>
                <w:color w:val="000000"/>
                <w:sz w:val="16"/>
                <w:szCs w:val="16"/>
                <w:lang w:val="en-US"/>
              </w:rPr>
              <w:t>Ojo</w:t>
            </w:r>
            <w:proofErr w:type="spellEnd"/>
            <w:r w:rsidRPr="00A75729">
              <w:rPr>
                <w:rFonts w:eastAsia="Times New Roman"/>
                <w:color w:val="000000"/>
                <w:sz w:val="16"/>
                <w:szCs w:val="16"/>
                <w:lang w:val="en-US"/>
              </w:rPr>
              <w:t xml:space="preserve"> de Agua</w:t>
            </w:r>
          </w:p>
        </w:tc>
        <w:tc>
          <w:tcPr>
            <w:tcW w:w="392" w:type="pct"/>
            <w:shd w:val="clear" w:color="auto" w:fill="auto"/>
            <w:noWrap/>
          </w:tcPr>
          <w:p w:rsidR="00F37ADA" w:rsidRPr="00A75729" w:rsidRDefault="00F37ADA" w:rsidP="00F37ADA">
            <w:pPr>
              <w:spacing w:before="0" w:after="0"/>
              <w:jc w:val="center"/>
              <w:rPr>
                <w:rFonts w:eastAsia="Times New Roman"/>
                <w:noProof/>
                <w:color w:val="000000"/>
                <w:sz w:val="16"/>
                <w:szCs w:val="16"/>
                <w:lang w:val="es-MX"/>
              </w:rPr>
            </w:pPr>
            <w:r w:rsidRPr="00A75729">
              <w:rPr>
                <w:rFonts w:eastAsia="Times New Roman"/>
                <w:color w:val="000000"/>
                <w:sz w:val="16"/>
                <w:szCs w:val="16"/>
              </w:rPr>
              <w:t>Nulo</w:t>
            </w:r>
          </w:p>
        </w:tc>
        <w:tc>
          <w:tcPr>
            <w:tcW w:w="1062" w:type="pct"/>
            <w:shd w:val="clear" w:color="auto" w:fill="FFFF00"/>
          </w:tcPr>
          <w:p w:rsidR="00F37ADA" w:rsidRPr="00A75729" w:rsidRDefault="00F37ADA" w:rsidP="00F37ADA">
            <w:pPr>
              <w:spacing w:before="0" w:after="0"/>
              <w:jc w:val="center"/>
              <w:rPr>
                <w:rFonts w:eastAsia="Times New Roman"/>
                <w:color w:val="000000"/>
                <w:sz w:val="16"/>
                <w:szCs w:val="16"/>
              </w:rPr>
            </w:pPr>
            <w:r w:rsidRPr="00A75729">
              <w:rPr>
                <w:rFonts w:eastAsia="Times New Roman"/>
                <w:noProof/>
                <w:color w:val="000000"/>
                <w:sz w:val="16"/>
                <w:szCs w:val="16"/>
                <w:lang w:val="es-MX"/>
              </w:rPr>
              <w:t>Efecto por determinar</w:t>
            </w:r>
          </w:p>
        </w:tc>
        <w:tc>
          <w:tcPr>
            <w:tcW w:w="2728" w:type="pct"/>
          </w:tcPr>
          <w:p w:rsidR="00F37ADA" w:rsidRPr="00A75729" w:rsidRDefault="00F37ADA" w:rsidP="00F37ADA">
            <w:pPr>
              <w:spacing w:before="0" w:after="0"/>
              <w:jc w:val="center"/>
              <w:rPr>
                <w:rFonts w:eastAsia="Times New Roman"/>
                <w:color w:val="000000"/>
                <w:sz w:val="16"/>
                <w:szCs w:val="16"/>
              </w:rPr>
            </w:pPr>
            <w:r w:rsidRPr="00A75729">
              <w:rPr>
                <w:rFonts w:eastAsia="Times New Roman"/>
                <w:color w:val="000000"/>
                <w:sz w:val="16"/>
                <w:szCs w:val="16"/>
              </w:rPr>
              <w:t>Nulo</w:t>
            </w:r>
          </w:p>
        </w:tc>
      </w:tr>
      <w:tr w:rsidR="00E03E4E" w:rsidRPr="00A75729" w:rsidTr="002964AF">
        <w:trPr>
          <w:trHeight w:val="20"/>
          <w:jc w:val="center"/>
        </w:trPr>
        <w:tc>
          <w:tcPr>
            <w:tcW w:w="818" w:type="pct"/>
            <w:shd w:val="clear" w:color="000000" w:fill="FFFFFF"/>
            <w:vAlign w:val="center"/>
          </w:tcPr>
          <w:p w:rsidR="00E03E4E" w:rsidRPr="00A75729" w:rsidRDefault="00E03E4E" w:rsidP="00E03E4E">
            <w:pPr>
              <w:spacing w:before="0" w:after="0"/>
              <w:rPr>
                <w:rFonts w:eastAsia="Times New Roman"/>
                <w:color w:val="000000"/>
                <w:sz w:val="16"/>
                <w:szCs w:val="16"/>
                <w:lang w:val="en-US"/>
              </w:rPr>
            </w:pPr>
            <w:proofErr w:type="spellStart"/>
            <w:r w:rsidRPr="00A75729">
              <w:rPr>
                <w:rFonts w:eastAsia="Times New Roman"/>
                <w:color w:val="000000"/>
                <w:sz w:val="16"/>
                <w:szCs w:val="16"/>
                <w:lang w:val="en-US"/>
              </w:rPr>
              <w:t>Juárez</w:t>
            </w:r>
            <w:proofErr w:type="spellEnd"/>
          </w:p>
        </w:tc>
        <w:tc>
          <w:tcPr>
            <w:tcW w:w="392" w:type="pct"/>
            <w:shd w:val="clear" w:color="auto" w:fill="auto"/>
            <w:noWrap/>
          </w:tcPr>
          <w:p w:rsidR="00E03E4E" w:rsidRPr="00A75729" w:rsidRDefault="00E03E4E" w:rsidP="00E03E4E">
            <w:pPr>
              <w:spacing w:before="0" w:after="0"/>
              <w:jc w:val="center"/>
              <w:rPr>
                <w:rFonts w:eastAsia="Times New Roman"/>
                <w:color w:val="000000"/>
                <w:sz w:val="16"/>
                <w:szCs w:val="16"/>
              </w:rPr>
            </w:pPr>
            <w:r w:rsidRPr="00A75729">
              <w:rPr>
                <w:rFonts w:eastAsia="Times New Roman"/>
                <w:color w:val="000000"/>
                <w:sz w:val="16"/>
                <w:szCs w:val="16"/>
              </w:rPr>
              <w:t>Nulo</w:t>
            </w:r>
          </w:p>
        </w:tc>
        <w:tc>
          <w:tcPr>
            <w:tcW w:w="1062" w:type="pct"/>
            <w:shd w:val="clear" w:color="auto" w:fill="FFFF00"/>
          </w:tcPr>
          <w:p w:rsidR="00E03E4E" w:rsidRPr="00A75729" w:rsidRDefault="00E03E4E" w:rsidP="00E03E4E">
            <w:pPr>
              <w:spacing w:before="0" w:after="0"/>
              <w:jc w:val="center"/>
              <w:rPr>
                <w:rFonts w:eastAsia="Times New Roman"/>
                <w:color w:val="000000"/>
                <w:sz w:val="16"/>
                <w:szCs w:val="16"/>
              </w:rPr>
            </w:pPr>
            <w:r w:rsidRPr="00A75729">
              <w:rPr>
                <w:rFonts w:eastAsia="Times New Roman"/>
                <w:noProof/>
                <w:color w:val="000000"/>
                <w:sz w:val="16"/>
                <w:szCs w:val="16"/>
                <w:lang w:val="es-MX"/>
              </w:rPr>
              <w:t>Efecto por determinar</w:t>
            </w:r>
          </w:p>
        </w:tc>
        <w:tc>
          <w:tcPr>
            <w:tcW w:w="2728" w:type="pct"/>
          </w:tcPr>
          <w:p w:rsidR="00E03E4E" w:rsidRPr="00A75729" w:rsidRDefault="00E03E4E" w:rsidP="00E03E4E">
            <w:pPr>
              <w:spacing w:before="0" w:after="0"/>
              <w:jc w:val="center"/>
              <w:rPr>
                <w:rFonts w:eastAsia="Times New Roman"/>
                <w:color w:val="000000"/>
                <w:sz w:val="16"/>
                <w:szCs w:val="16"/>
              </w:rPr>
            </w:pPr>
            <w:r w:rsidRPr="00A75729">
              <w:rPr>
                <w:rFonts w:eastAsia="Times New Roman"/>
                <w:color w:val="000000"/>
                <w:sz w:val="16"/>
                <w:szCs w:val="16"/>
              </w:rPr>
              <w:t>Nulo</w:t>
            </w:r>
          </w:p>
        </w:tc>
      </w:tr>
      <w:tr w:rsidR="00E03E4E" w:rsidRPr="00A75729" w:rsidTr="002964AF">
        <w:trPr>
          <w:trHeight w:val="20"/>
          <w:jc w:val="center"/>
        </w:trPr>
        <w:tc>
          <w:tcPr>
            <w:tcW w:w="818" w:type="pct"/>
            <w:shd w:val="clear" w:color="000000" w:fill="FFFFFF"/>
            <w:vAlign w:val="center"/>
          </w:tcPr>
          <w:p w:rsidR="00E03E4E" w:rsidRPr="00A75729" w:rsidRDefault="00E03E4E" w:rsidP="00E03E4E">
            <w:pPr>
              <w:spacing w:before="0" w:after="0"/>
              <w:rPr>
                <w:rFonts w:eastAsia="Times New Roman"/>
                <w:color w:val="000000"/>
                <w:sz w:val="16"/>
                <w:szCs w:val="16"/>
                <w:lang w:val="en-US"/>
              </w:rPr>
            </w:pPr>
            <w:proofErr w:type="spellStart"/>
            <w:r w:rsidRPr="00A75729">
              <w:rPr>
                <w:rFonts w:eastAsia="Times New Roman"/>
                <w:color w:val="000000"/>
                <w:sz w:val="16"/>
                <w:szCs w:val="16"/>
                <w:lang w:val="en-US"/>
              </w:rPr>
              <w:t>Cadereyta</w:t>
            </w:r>
            <w:proofErr w:type="spellEnd"/>
          </w:p>
        </w:tc>
        <w:tc>
          <w:tcPr>
            <w:tcW w:w="392" w:type="pct"/>
            <w:shd w:val="clear" w:color="auto" w:fill="auto"/>
            <w:noWrap/>
          </w:tcPr>
          <w:p w:rsidR="00E03E4E" w:rsidRPr="00A75729" w:rsidRDefault="00E03E4E" w:rsidP="00E03E4E">
            <w:pPr>
              <w:spacing w:before="0" w:after="0"/>
              <w:jc w:val="center"/>
              <w:rPr>
                <w:rFonts w:eastAsia="Times New Roman"/>
                <w:color w:val="000000"/>
                <w:sz w:val="16"/>
                <w:szCs w:val="16"/>
              </w:rPr>
            </w:pPr>
            <w:r w:rsidRPr="00A75729">
              <w:rPr>
                <w:rFonts w:eastAsia="Times New Roman"/>
                <w:color w:val="000000"/>
                <w:sz w:val="16"/>
                <w:szCs w:val="16"/>
              </w:rPr>
              <w:t>Nulo</w:t>
            </w:r>
          </w:p>
        </w:tc>
        <w:tc>
          <w:tcPr>
            <w:tcW w:w="1062" w:type="pct"/>
            <w:shd w:val="clear" w:color="auto" w:fill="FFFF00"/>
          </w:tcPr>
          <w:p w:rsidR="00E03E4E" w:rsidRPr="00A75729" w:rsidRDefault="00E03E4E" w:rsidP="00E03E4E">
            <w:pPr>
              <w:spacing w:before="0" w:after="0"/>
              <w:jc w:val="center"/>
              <w:rPr>
                <w:rFonts w:eastAsia="Times New Roman"/>
                <w:color w:val="000000"/>
                <w:sz w:val="16"/>
                <w:szCs w:val="16"/>
              </w:rPr>
            </w:pPr>
            <w:r w:rsidRPr="00A75729">
              <w:rPr>
                <w:rFonts w:eastAsia="Times New Roman"/>
                <w:noProof/>
                <w:color w:val="000000"/>
                <w:sz w:val="16"/>
                <w:szCs w:val="16"/>
                <w:lang w:val="es-MX"/>
              </w:rPr>
              <w:t>Efecto por determinar</w:t>
            </w:r>
          </w:p>
        </w:tc>
        <w:tc>
          <w:tcPr>
            <w:tcW w:w="2728" w:type="pct"/>
          </w:tcPr>
          <w:p w:rsidR="00E03E4E" w:rsidRPr="00A75729" w:rsidRDefault="00E03E4E" w:rsidP="00E03E4E">
            <w:pPr>
              <w:spacing w:before="0" w:after="0"/>
              <w:jc w:val="center"/>
              <w:rPr>
                <w:rFonts w:eastAsia="Times New Roman"/>
                <w:color w:val="000000"/>
                <w:sz w:val="16"/>
                <w:szCs w:val="16"/>
              </w:rPr>
            </w:pPr>
            <w:r w:rsidRPr="00A75729">
              <w:rPr>
                <w:rFonts w:eastAsia="Times New Roman"/>
                <w:color w:val="000000"/>
                <w:sz w:val="16"/>
                <w:szCs w:val="16"/>
              </w:rPr>
              <w:t>Nulo</w:t>
            </w:r>
          </w:p>
        </w:tc>
      </w:tr>
      <w:tr w:rsidR="00E03E4E" w:rsidRPr="00A75729" w:rsidTr="002964AF">
        <w:trPr>
          <w:trHeight w:val="20"/>
          <w:jc w:val="center"/>
        </w:trPr>
        <w:tc>
          <w:tcPr>
            <w:tcW w:w="818" w:type="pct"/>
            <w:shd w:val="clear" w:color="000000" w:fill="FFFFFF"/>
            <w:vAlign w:val="center"/>
          </w:tcPr>
          <w:p w:rsidR="00E03E4E" w:rsidRPr="00A75729" w:rsidRDefault="00E03E4E" w:rsidP="00E03E4E">
            <w:pPr>
              <w:spacing w:before="0" w:after="0"/>
              <w:rPr>
                <w:rFonts w:eastAsia="Times New Roman"/>
                <w:color w:val="000000"/>
                <w:sz w:val="16"/>
                <w:szCs w:val="16"/>
                <w:lang w:val="en-US"/>
              </w:rPr>
            </w:pPr>
            <w:proofErr w:type="spellStart"/>
            <w:r w:rsidRPr="00A75729">
              <w:rPr>
                <w:rFonts w:eastAsia="Times New Roman"/>
                <w:color w:val="000000"/>
                <w:sz w:val="16"/>
                <w:szCs w:val="16"/>
                <w:lang w:val="en-US"/>
              </w:rPr>
              <w:t>Montemorelos</w:t>
            </w:r>
            <w:proofErr w:type="spellEnd"/>
          </w:p>
        </w:tc>
        <w:tc>
          <w:tcPr>
            <w:tcW w:w="392" w:type="pct"/>
            <w:shd w:val="clear" w:color="auto" w:fill="auto"/>
            <w:noWrap/>
          </w:tcPr>
          <w:p w:rsidR="00E03E4E" w:rsidRPr="00A75729" w:rsidRDefault="00E03E4E" w:rsidP="00E03E4E">
            <w:pPr>
              <w:spacing w:before="0" w:after="0"/>
              <w:jc w:val="center"/>
              <w:rPr>
                <w:rFonts w:eastAsia="Times New Roman"/>
                <w:color w:val="000000"/>
                <w:sz w:val="16"/>
                <w:szCs w:val="16"/>
              </w:rPr>
            </w:pPr>
            <w:r w:rsidRPr="00A75729">
              <w:rPr>
                <w:rFonts w:eastAsia="Times New Roman"/>
                <w:color w:val="000000"/>
                <w:sz w:val="16"/>
                <w:szCs w:val="16"/>
              </w:rPr>
              <w:t>Nulo</w:t>
            </w:r>
          </w:p>
        </w:tc>
        <w:tc>
          <w:tcPr>
            <w:tcW w:w="1062" w:type="pct"/>
            <w:shd w:val="clear" w:color="auto" w:fill="FFFF00"/>
          </w:tcPr>
          <w:p w:rsidR="00E03E4E" w:rsidRPr="00A75729" w:rsidRDefault="00E03E4E" w:rsidP="00E03E4E">
            <w:pPr>
              <w:spacing w:before="0" w:after="0"/>
              <w:jc w:val="center"/>
              <w:rPr>
                <w:rFonts w:eastAsia="Times New Roman"/>
                <w:color w:val="000000"/>
                <w:sz w:val="16"/>
                <w:szCs w:val="16"/>
              </w:rPr>
            </w:pPr>
            <w:r w:rsidRPr="00A75729">
              <w:rPr>
                <w:rFonts w:eastAsia="Times New Roman"/>
                <w:noProof/>
                <w:color w:val="000000"/>
                <w:sz w:val="16"/>
                <w:szCs w:val="16"/>
                <w:lang w:val="es-MX"/>
              </w:rPr>
              <w:t>Efecto por determinar</w:t>
            </w:r>
          </w:p>
        </w:tc>
        <w:tc>
          <w:tcPr>
            <w:tcW w:w="2728" w:type="pct"/>
          </w:tcPr>
          <w:p w:rsidR="00E03E4E" w:rsidRPr="00A75729" w:rsidRDefault="00E03E4E" w:rsidP="00E03E4E">
            <w:pPr>
              <w:spacing w:before="0" w:after="0"/>
              <w:jc w:val="center"/>
              <w:rPr>
                <w:rFonts w:eastAsia="Times New Roman"/>
                <w:color w:val="000000"/>
                <w:sz w:val="16"/>
                <w:szCs w:val="16"/>
              </w:rPr>
            </w:pPr>
            <w:r w:rsidRPr="00A75729">
              <w:rPr>
                <w:rFonts w:eastAsia="Times New Roman"/>
                <w:color w:val="000000"/>
                <w:sz w:val="16"/>
                <w:szCs w:val="16"/>
              </w:rPr>
              <w:t>Nulo</w:t>
            </w:r>
          </w:p>
        </w:tc>
      </w:tr>
      <w:tr w:rsidR="00F37ADA" w:rsidRPr="00A75729" w:rsidTr="002964AF">
        <w:trPr>
          <w:trHeight w:val="20"/>
          <w:jc w:val="center"/>
        </w:trPr>
        <w:tc>
          <w:tcPr>
            <w:tcW w:w="818" w:type="pct"/>
            <w:shd w:val="clear" w:color="000000" w:fill="FFFFFF"/>
            <w:vAlign w:val="center"/>
          </w:tcPr>
          <w:p w:rsidR="00F37ADA" w:rsidRPr="00A75729" w:rsidRDefault="00F37ADA" w:rsidP="00F37ADA">
            <w:pPr>
              <w:spacing w:before="0" w:after="0"/>
              <w:rPr>
                <w:rFonts w:eastAsia="Times New Roman"/>
                <w:color w:val="000000"/>
                <w:sz w:val="16"/>
                <w:szCs w:val="16"/>
                <w:lang w:val="en-US"/>
              </w:rPr>
            </w:pPr>
            <w:r w:rsidRPr="00A75729">
              <w:rPr>
                <w:rFonts w:eastAsia="Times New Roman"/>
                <w:color w:val="000000"/>
                <w:sz w:val="16"/>
                <w:szCs w:val="16"/>
                <w:lang w:val="en-US"/>
              </w:rPr>
              <w:t>…</w:t>
            </w:r>
          </w:p>
        </w:tc>
        <w:tc>
          <w:tcPr>
            <w:tcW w:w="392" w:type="pct"/>
            <w:shd w:val="clear" w:color="auto" w:fill="auto"/>
            <w:noWrap/>
          </w:tcPr>
          <w:p w:rsidR="00F37ADA" w:rsidRPr="00A75729" w:rsidRDefault="00F37ADA" w:rsidP="00F37ADA">
            <w:pPr>
              <w:spacing w:before="0" w:after="0"/>
              <w:jc w:val="center"/>
              <w:rPr>
                <w:rFonts w:eastAsia="Times New Roman"/>
                <w:color w:val="000000"/>
                <w:sz w:val="16"/>
                <w:szCs w:val="16"/>
              </w:rPr>
            </w:pPr>
            <w:r w:rsidRPr="00A75729">
              <w:rPr>
                <w:rFonts w:eastAsia="Times New Roman"/>
                <w:color w:val="000000"/>
                <w:sz w:val="16"/>
                <w:szCs w:val="16"/>
              </w:rPr>
              <w:t>Nulo</w:t>
            </w:r>
          </w:p>
        </w:tc>
        <w:tc>
          <w:tcPr>
            <w:tcW w:w="1062" w:type="pct"/>
          </w:tcPr>
          <w:p w:rsidR="00F37ADA" w:rsidRPr="00A75729" w:rsidRDefault="00F37ADA" w:rsidP="00F37ADA">
            <w:pPr>
              <w:spacing w:before="0" w:after="0"/>
              <w:jc w:val="center"/>
              <w:rPr>
                <w:rFonts w:eastAsia="Times New Roman"/>
                <w:color w:val="000000"/>
                <w:sz w:val="16"/>
                <w:szCs w:val="16"/>
              </w:rPr>
            </w:pPr>
            <w:r w:rsidRPr="00A75729">
              <w:rPr>
                <w:rFonts w:eastAsia="Times New Roman"/>
                <w:color w:val="000000"/>
                <w:sz w:val="16"/>
                <w:szCs w:val="16"/>
              </w:rPr>
              <w:t>Nulo</w:t>
            </w:r>
          </w:p>
        </w:tc>
        <w:tc>
          <w:tcPr>
            <w:tcW w:w="2728" w:type="pct"/>
          </w:tcPr>
          <w:p w:rsidR="00F37ADA" w:rsidRPr="00A75729" w:rsidRDefault="00F37ADA" w:rsidP="00F37ADA">
            <w:pPr>
              <w:spacing w:before="0" w:after="0"/>
              <w:jc w:val="center"/>
              <w:rPr>
                <w:rFonts w:eastAsia="Times New Roman"/>
                <w:color w:val="000000"/>
                <w:sz w:val="16"/>
                <w:szCs w:val="16"/>
              </w:rPr>
            </w:pPr>
            <w:r w:rsidRPr="00A75729">
              <w:rPr>
                <w:rFonts w:eastAsia="Times New Roman"/>
                <w:color w:val="000000"/>
                <w:sz w:val="16"/>
                <w:szCs w:val="16"/>
              </w:rPr>
              <w:t>Nulo</w:t>
            </w:r>
          </w:p>
        </w:tc>
      </w:tr>
      <w:tr w:rsidR="00F37ADA" w:rsidRPr="00A75729" w:rsidTr="002964AF">
        <w:trPr>
          <w:trHeight w:val="20"/>
          <w:jc w:val="center"/>
        </w:trPr>
        <w:tc>
          <w:tcPr>
            <w:tcW w:w="818" w:type="pct"/>
            <w:shd w:val="clear" w:color="000000" w:fill="FFFFFF"/>
            <w:vAlign w:val="center"/>
          </w:tcPr>
          <w:p w:rsidR="00F37ADA" w:rsidRPr="00A75729" w:rsidRDefault="00F37ADA" w:rsidP="00F37ADA">
            <w:pPr>
              <w:spacing w:before="0" w:after="0"/>
              <w:rPr>
                <w:rFonts w:eastAsia="Times New Roman"/>
                <w:color w:val="000000"/>
                <w:sz w:val="16"/>
                <w:szCs w:val="16"/>
                <w:lang w:val="en-US"/>
              </w:rPr>
            </w:pPr>
            <w:proofErr w:type="spellStart"/>
            <w:r w:rsidRPr="00A75729">
              <w:rPr>
                <w:rFonts w:eastAsia="Times New Roman"/>
                <w:color w:val="000000"/>
                <w:sz w:val="16"/>
                <w:szCs w:val="16"/>
                <w:lang w:val="en-US"/>
              </w:rPr>
              <w:t>Localidad</w:t>
            </w:r>
            <w:proofErr w:type="spellEnd"/>
            <w:r w:rsidRPr="00A75729">
              <w:rPr>
                <w:rFonts w:eastAsia="Times New Roman"/>
                <w:color w:val="000000"/>
                <w:sz w:val="16"/>
                <w:szCs w:val="16"/>
                <w:lang w:val="en-US"/>
              </w:rPr>
              <w:t xml:space="preserve"> n</w:t>
            </w:r>
          </w:p>
        </w:tc>
        <w:tc>
          <w:tcPr>
            <w:tcW w:w="392" w:type="pct"/>
            <w:shd w:val="clear" w:color="auto" w:fill="auto"/>
            <w:noWrap/>
          </w:tcPr>
          <w:p w:rsidR="00F37ADA" w:rsidRPr="00A75729" w:rsidRDefault="00F37ADA" w:rsidP="00F37ADA">
            <w:pPr>
              <w:spacing w:before="0" w:after="0"/>
              <w:jc w:val="center"/>
              <w:rPr>
                <w:rFonts w:eastAsia="Times New Roman"/>
                <w:color w:val="000000"/>
                <w:sz w:val="16"/>
                <w:szCs w:val="16"/>
              </w:rPr>
            </w:pPr>
            <w:r w:rsidRPr="00A75729">
              <w:rPr>
                <w:rFonts w:eastAsia="Times New Roman"/>
                <w:color w:val="000000"/>
                <w:sz w:val="16"/>
                <w:szCs w:val="16"/>
              </w:rPr>
              <w:t>Nulo</w:t>
            </w:r>
          </w:p>
        </w:tc>
        <w:tc>
          <w:tcPr>
            <w:tcW w:w="1062" w:type="pct"/>
          </w:tcPr>
          <w:p w:rsidR="00F37ADA" w:rsidRPr="00A75729" w:rsidRDefault="00F37ADA" w:rsidP="00F37ADA">
            <w:pPr>
              <w:spacing w:before="0" w:after="0"/>
              <w:jc w:val="center"/>
              <w:rPr>
                <w:rFonts w:eastAsia="Times New Roman"/>
                <w:color w:val="000000"/>
                <w:sz w:val="16"/>
                <w:szCs w:val="16"/>
              </w:rPr>
            </w:pPr>
            <w:r w:rsidRPr="00A75729">
              <w:rPr>
                <w:rFonts w:eastAsia="Times New Roman"/>
                <w:color w:val="000000"/>
                <w:sz w:val="16"/>
                <w:szCs w:val="16"/>
              </w:rPr>
              <w:t>Nulo</w:t>
            </w:r>
          </w:p>
        </w:tc>
        <w:tc>
          <w:tcPr>
            <w:tcW w:w="2728" w:type="pct"/>
          </w:tcPr>
          <w:p w:rsidR="00F37ADA" w:rsidRPr="00A75729" w:rsidRDefault="00F37ADA" w:rsidP="00F37ADA">
            <w:pPr>
              <w:spacing w:before="0" w:after="0"/>
              <w:jc w:val="center"/>
              <w:rPr>
                <w:rFonts w:eastAsia="Times New Roman"/>
                <w:color w:val="000000"/>
                <w:sz w:val="16"/>
                <w:szCs w:val="16"/>
              </w:rPr>
            </w:pPr>
            <w:r w:rsidRPr="00A75729">
              <w:rPr>
                <w:rFonts w:eastAsia="Times New Roman"/>
                <w:color w:val="000000"/>
                <w:sz w:val="16"/>
                <w:szCs w:val="16"/>
              </w:rPr>
              <w:t>Nulo</w:t>
            </w:r>
          </w:p>
        </w:tc>
      </w:tr>
    </w:tbl>
    <w:p w:rsidR="00780FE8" w:rsidRPr="00A75729" w:rsidRDefault="00780FE8" w:rsidP="00F37ADA">
      <w:pPr>
        <w:spacing w:before="0" w:after="0" w:line="240" w:lineRule="auto"/>
        <w:ind w:left="142" w:right="332"/>
        <w:rPr>
          <w:sz w:val="16"/>
        </w:rPr>
      </w:pPr>
      <w:r w:rsidRPr="00A75729">
        <w:rPr>
          <w:sz w:val="16"/>
        </w:rPr>
        <w:t>Fuente: Elaboración propia.</w:t>
      </w:r>
    </w:p>
    <w:p w:rsidR="002B6993" w:rsidRPr="00FF43E3" w:rsidRDefault="003A1B71" w:rsidP="00FF43E3">
      <w:pPr>
        <w:spacing w:line="240" w:lineRule="auto"/>
        <w:ind w:left="142" w:right="335"/>
        <w:rPr>
          <w:sz w:val="16"/>
          <w:szCs w:val="16"/>
        </w:rPr>
      </w:pPr>
      <w:r w:rsidRPr="00A75729">
        <w:rPr>
          <w:sz w:val="16"/>
        </w:rPr>
        <w:t xml:space="preserve">NOTA: El </w:t>
      </w:r>
      <w:proofErr w:type="spellStart"/>
      <w:r w:rsidRPr="00A75729">
        <w:rPr>
          <w:sz w:val="16"/>
        </w:rPr>
        <w:t>STRDC</w:t>
      </w:r>
      <w:proofErr w:type="spellEnd"/>
      <w:r w:rsidRPr="00A75729">
        <w:rPr>
          <w:sz w:val="16"/>
        </w:rPr>
        <w:t xml:space="preserve"> genera aproximadamente de </w:t>
      </w:r>
      <w:r w:rsidRPr="00A75729">
        <w:rPr>
          <w:sz w:val="16"/>
          <w:szCs w:val="16"/>
        </w:rPr>
        <w:t>8</w:t>
      </w:r>
      <w:r w:rsidR="0099310B">
        <w:rPr>
          <w:sz w:val="16"/>
          <w:szCs w:val="16"/>
        </w:rPr>
        <w:t>3.47</w:t>
      </w:r>
      <w:r w:rsidRPr="00A75729">
        <w:rPr>
          <w:sz w:val="16"/>
          <w:szCs w:val="16"/>
        </w:rPr>
        <w:t xml:space="preserve">% de la inversión en publicidad en el sector de radiodifusión; por su parte, el </w:t>
      </w:r>
      <w:proofErr w:type="spellStart"/>
      <w:r w:rsidRPr="00A75729">
        <w:rPr>
          <w:sz w:val="16"/>
          <w:szCs w:val="16"/>
        </w:rPr>
        <w:t>SRSAC</w:t>
      </w:r>
      <w:proofErr w:type="spellEnd"/>
      <w:r w:rsidRPr="00A75729">
        <w:rPr>
          <w:sz w:val="16"/>
          <w:szCs w:val="16"/>
        </w:rPr>
        <w:t xml:space="preserve"> genera el restante </w:t>
      </w:r>
      <w:r w:rsidR="0099310B">
        <w:rPr>
          <w:sz w:val="16"/>
          <w:szCs w:val="16"/>
        </w:rPr>
        <w:t>16.53</w:t>
      </w:r>
      <w:r w:rsidRPr="00A75729">
        <w:rPr>
          <w:sz w:val="16"/>
          <w:szCs w:val="16"/>
        </w:rPr>
        <w:t>%.</w:t>
      </w:r>
      <w:r w:rsidRPr="00A75729">
        <w:rPr>
          <w:rStyle w:val="Refdenotaalpie"/>
          <w:sz w:val="16"/>
          <w:szCs w:val="16"/>
        </w:rPr>
        <w:footnoteReference w:id="54"/>
      </w:r>
      <w:r w:rsidRPr="00A75729">
        <w:rPr>
          <w:sz w:val="16"/>
          <w:szCs w:val="16"/>
        </w:rPr>
        <w:t xml:space="preserve"> Dentro del </w:t>
      </w:r>
      <w:proofErr w:type="spellStart"/>
      <w:r w:rsidRPr="00A75729">
        <w:rPr>
          <w:sz w:val="16"/>
          <w:szCs w:val="16"/>
        </w:rPr>
        <w:t>SRSAC</w:t>
      </w:r>
      <w:proofErr w:type="spellEnd"/>
      <w:r w:rsidRPr="00A75729">
        <w:rPr>
          <w:sz w:val="16"/>
          <w:szCs w:val="16"/>
        </w:rPr>
        <w:t xml:space="preserve">, el número de estaciones en AM y FM representa 22.87% y 77.13% del total de estaciones, respectivamente. Con estas cifras, se estima que el </w:t>
      </w:r>
      <w:proofErr w:type="spellStart"/>
      <w:r w:rsidRPr="00A75729">
        <w:rPr>
          <w:sz w:val="16"/>
          <w:szCs w:val="16"/>
        </w:rPr>
        <w:t>STRDC</w:t>
      </w:r>
      <w:proofErr w:type="spellEnd"/>
      <w:r w:rsidRPr="00A75729">
        <w:rPr>
          <w:sz w:val="16"/>
          <w:szCs w:val="16"/>
        </w:rPr>
        <w:t xml:space="preserve">, el </w:t>
      </w:r>
      <w:proofErr w:type="spellStart"/>
      <w:r w:rsidRPr="00A75729">
        <w:rPr>
          <w:sz w:val="16"/>
          <w:szCs w:val="16"/>
        </w:rPr>
        <w:t>SRSAC</w:t>
      </w:r>
      <w:proofErr w:type="spellEnd"/>
      <w:r w:rsidRPr="00A75729">
        <w:rPr>
          <w:sz w:val="16"/>
          <w:szCs w:val="16"/>
        </w:rPr>
        <w:t xml:space="preserve"> en AM y el </w:t>
      </w:r>
      <w:proofErr w:type="spellStart"/>
      <w:r w:rsidRPr="00A75729">
        <w:rPr>
          <w:sz w:val="16"/>
          <w:szCs w:val="16"/>
        </w:rPr>
        <w:t>SRSAC</w:t>
      </w:r>
      <w:proofErr w:type="spellEnd"/>
      <w:r w:rsidRPr="00A75729">
        <w:rPr>
          <w:sz w:val="16"/>
          <w:szCs w:val="16"/>
        </w:rPr>
        <w:t xml:space="preserve"> en FM tienen un peso dentro del sector de radiodifusión de </w:t>
      </w:r>
      <w:r w:rsidR="0099310B">
        <w:rPr>
          <w:sz w:val="16"/>
          <w:szCs w:val="16"/>
        </w:rPr>
        <w:t>83.47</w:t>
      </w:r>
      <w:r w:rsidRPr="00A75729">
        <w:rPr>
          <w:sz w:val="16"/>
          <w:szCs w:val="16"/>
        </w:rPr>
        <w:t>%, 3.</w:t>
      </w:r>
      <w:r w:rsidR="0099310B">
        <w:rPr>
          <w:sz w:val="16"/>
          <w:szCs w:val="16"/>
        </w:rPr>
        <w:t>78</w:t>
      </w:r>
      <w:r w:rsidRPr="00A75729">
        <w:rPr>
          <w:sz w:val="16"/>
          <w:szCs w:val="16"/>
        </w:rPr>
        <w:t xml:space="preserve">% y </w:t>
      </w:r>
      <w:r w:rsidR="0099310B">
        <w:rPr>
          <w:sz w:val="16"/>
          <w:szCs w:val="16"/>
        </w:rPr>
        <w:t>12.75</w:t>
      </w:r>
      <w:r w:rsidR="00FF43E3">
        <w:rPr>
          <w:sz w:val="16"/>
          <w:szCs w:val="16"/>
        </w:rPr>
        <w:t>%, respectivamente.</w:t>
      </w:r>
    </w:p>
    <w:p w:rsidR="00B80D60" w:rsidRPr="00A75729" w:rsidRDefault="00B80D60" w:rsidP="00FF43E3">
      <w:pPr>
        <w:rPr>
          <w:b/>
          <w:color w:val="000000"/>
          <w:lang w:val="es-ES"/>
        </w:rPr>
      </w:pPr>
      <w:r w:rsidRPr="00A75729">
        <w:rPr>
          <w:color w:val="000000"/>
          <w:lang w:val="es-MX"/>
        </w:rPr>
        <w:t xml:space="preserve">Por lo tanto, </w:t>
      </w:r>
      <w:r w:rsidRPr="00A75729">
        <w:rPr>
          <w:rFonts w:eastAsia="Times New Roman"/>
          <w:bCs/>
          <w:color w:val="000000"/>
        </w:rPr>
        <w:t>p</w:t>
      </w:r>
      <w:r w:rsidR="004A756E" w:rsidRPr="00A75729">
        <w:rPr>
          <w:rFonts w:eastAsia="Times New Roman"/>
          <w:bCs/>
          <w:color w:val="000000"/>
        </w:rPr>
        <w:t xml:space="preserve">ara realizar el análisis de </w:t>
      </w:r>
      <w:r w:rsidR="00B76107" w:rsidRPr="00A75729">
        <w:rPr>
          <w:rFonts w:eastAsia="Times New Roman"/>
          <w:bCs/>
          <w:color w:val="000000"/>
        </w:rPr>
        <w:t xml:space="preserve">efectos de </w:t>
      </w:r>
      <w:r w:rsidR="004A756E" w:rsidRPr="00A75729">
        <w:rPr>
          <w:rFonts w:eastAsia="Times New Roman"/>
          <w:bCs/>
          <w:color w:val="000000"/>
        </w:rPr>
        <w:t>mérito</w:t>
      </w:r>
      <w:r w:rsidR="007530B8" w:rsidRPr="00A75729">
        <w:rPr>
          <w:rFonts w:eastAsia="Times New Roman"/>
          <w:bCs/>
          <w:color w:val="000000"/>
        </w:rPr>
        <w:t xml:space="preserve"> —determinar si una concentración no tiene como efecto disminuir, dañar o impedir la libre competencia y concurrencia</w:t>
      </w:r>
      <w:r w:rsidRPr="00A75729">
        <w:rPr>
          <w:rFonts w:eastAsia="Times New Roman"/>
          <w:bCs/>
          <w:color w:val="000000"/>
        </w:rPr>
        <w:t xml:space="preserve">, en el sector de </w:t>
      </w:r>
      <w:r w:rsidR="0099310B">
        <w:rPr>
          <w:rFonts w:eastAsia="Times New Roman"/>
          <w:bCs/>
          <w:color w:val="000000"/>
        </w:rPr>
        <w:t>r</w:t>
      </w:r>
      <w:r w:rsidRPr="00A75729">
        <w:rPr>
          <w:rFonts w:eastAsia="Times New Roman"/>
          <w:bCs/>
          <w:color w:val="000000"/>
        </w:rPr>
        <w:t>adiodifusión</w:t>
      </w:r>
      <w:r w:rsidR="007530B8" w:rsidRPr="00A75729">
        <w:rPr>
          <w:rFonts w:eastAsia="Times New Roman"/>
          <w:bCs/>
          <w:color w:val="000000"/>
        </w:rPr>
        <w:t>—</w:t>
      </w:r>
      <w:r w:rsidRPr="00A75729">
        <w:rPr>
          <w:rFonts w:eastAsia="Times New Roman"/>
          <w:bCs/>
          <w:color w:val="000000"/>
        </w:rPr>
        <w:t>,</w:t>
      </w:r>
      <w:r w:rsidR="007530B8" w:rsidRPr="00A75729">
        <w:rPr>
          <w:rFonts w:eastAsia="Times New Roman"/>
          <w:bCs/>
          <w:color w:val="000000"/>
        </w:rPr>
        <w:t xml:space="preserve"> </w:t>
      </w:r>
      <w:r w:rsidR="004A756E" w:rsidRPr="00A75729">
        <w:rPr>
          <w:rFonts w:eastAsia="Times New Roman"/>
          <w:bCs/>
          <w:color w:val="000000"/>
        </w:rPr>
        <w:t xml:space="preserve">se </w:t>
      </w:r>
      <w:r w:rsidR="00E03E4E" w:rsidRPr="00A75729">
        <w:rPr>
          <w:rFonts w:eastAsia="Times New Roman"/>
          <w:bCs/>
          <w:color w:val="000000"/>
        </w:rPr>
        <w:t xml:space="preserve">requerirá analizar los efectos de la Operación en la provisión del </w:t>
      </w:r>
      <w:proofErr w:type="spellStart"/>
      <w:r w:rsidR="00E03E4E" w:rsidRPr="00A75729">
        <w:rPr>
          <w:rFonts w:eastAsia="Times New Roman"/>
          <w:bCs/>
          <w:color w:val="000000"/>
        </w:rPr>
        <w:t>SRSAC</w:t>
      </w:r>
      <w:proofErr w:type="spellEnd"/>
      <w:r w:rsidR="00E03E4E" w:rsidRPr="00A75729">
        <w:rPr>
          <w:rFonts w:eastAsia="Times New Roman"/>
          <w:bCs/>
          <w:color w:val="000000"/>
        </w:rPr>
        <w:t xml:space="preserve"> en FM en las Localidades de </w:t>
      </w:r>
      <w:r w:rsidR="00E03E4E" w:rsidRPr="00A75729">
        <w:rPr>
          <w:b/>
          <w:color w:val="000000"/>
          <w:lang w:val="es-ES"/>
        </w:rPr>
        <w:t>Ojo de Agua, Juárez, Cadereyta y Montemorelos, Nuevo León</w:t>
      </w:r>
      <w:r w:rsidRPr="00A75729">
        <w:rPr>
          <w:b/>
          <w:color w:val="000000"/>
          <w:lang w:val="es-ES"/>
        </w:rPr>
        <w:t xml:space="preserve">. </w:t>
      </w:r>
    </w:p>
    <w:p w:rsidR="00261963" w:rsidRPr="00A75729" w:rsidRDefault="00B80D60" w:rsidP="002964AF">
      <w:pPr>
        <w:rPr>
          <w:rFonts w:eastAsia="Times New Roman"/>
          <w:bCs/>
          <w:color w:val="000000"/>
        </w:rPr>
      </w:pPr>
      <w:r w:rsidRPr="00A75729">
        <w:rPr>
          <w:color w:val="000000"/>
          <w:lang w:val="es-ES"/>
        </w:rPr>
        <w:t xml:space="preserve">Lo anterior, </w:t>
      </w:r>
      <w:r w:rsidR="004A756E" w:rsidRPr="00A75729">
        <w:rPr>
          <w:rFonts w:eastAsia="Times New Roman"/>
          <w:bCs/>
          <w:color w:val="000000"/>
        </w:rPr>
        <w:t>toma</w:t>
      </w:r>
      <w:r w:rsidR="007530B8" w:rsidRPr="00A75729">
        <w:rPr>
          <w:rFonts w:eastAsia="Times New Roman"/>
          <w:bCs/>
          <w:color w:val="000000"/>
        </w:rPr>
        <w:t>n</w:t>
      </w:r>
      <w:r w:rsidRPr="00A75729">
        <w:rPr>
          <w:rFonts w:eastAsia="Times New Roman"/>
          <w:bCs/>
          <w:color w:val="000000"/>
        </w:rPr>
        <w:t>do</w:t>
      </w:r>
      <w:r w:rsidR="007530B8" w:rsidRPr="00A75729">
        <w:rPr>
          <w:rFonts w:eastAsia="Times New Roman"/>
          <w:bCs/>
          <w:color w:val="000000"/>
        </w:rPr>
        <w:t xml:space="preserve"> </w:t>
      </w:r>
      <w:r w:rsidR="004A756E" w:rsidRPr="00A75729">
        <w:rPr>
          <w:rFonts w:eastAsia="Times New Roman"/>
          <w:bCs/>
          <w:color w:val="000000"/>
        </w:rPr>
        <w:t>como marco de referencia</w:t>
      </w:r>
      <w:r w:rsidR="007530B8" w:rsidRPr="00A75729">
        <w:rPr>
          <w:rFonts w:eastAsia="Times New Roman"/>
          <w:bCs/>
          <w:color w:val="000000"/>
        </w:rPr>
        <w:t xml:space="preserve"> los criterios </w:t>
      </w:r>
      <w:r w:rsidR="002B6993" w:rsidRPr="00A75729">
        <w:rPr>
          <w:rFonts w:eastAsia="Times New Roman"/>
          <w:bCs/>
          <w:color w:val="000000"/>
        </w:rPr>
        <w:t>referidos en la sección 5.</w:t>
      </w:r>
      <w:r w:rsidR="00767A8A">
        <w:rPr>
          <w:rFonts w:eastAsia="Times New Roman"/>
          <w:bCs/>
          <w:color w:val="000000"/>
        </w:rPr>
        <w:t>4</w:t>
      </w:r>
      <w:r w:rsidR="002B6993" w:rsidRPr="00A75729">
        <w:rPr>
          <w:rFonts w:eastAsia="Times New Roman"/>
          <w:bCs/>
          <w:color w:val="000000"/>
        </w:rPr>
        <w:t xml:space="preserve">.4.1 de esta resolución. </w:t>
      </w:r>
    </w:p>
    <w:p w:rsidR="00FA3534" w:rsidRPr="00767A8A" w:rsidRDefault="0043126D" w:rsidP="0043126D">
      <w:pPr>
        <w:pStyle w:val="Ttulo6"/>
        <w:spacing w:before="360"/>
        <w:rPr>
          <w:rFonts w:ascii="ITC Avant Garde" w:eastAsia="Times New Roman" w:hAnsi="ITC Avant Garde"/>
          <w:b/>
          <w:color w:val="auto"/>
        </w:rPr>
      </w:pPr>
      <w:r>
        <w:rPr>
          <w:rFonts w:ascii="ITC Avant Garde" w:eastAsia="Times New Roman" w:hAnsi="ITC Avant Garde"/>
          <w:b/>
          <w:color w:val="auto"/>
        </w:rPr>
        <w:t xml:space="preserve">5.4.4.3.1 </w:t>
      </w:r>
      <w:r w:rsidR="00FA3534" w:rsidRPr="00767A8A">
        <w:rPr>
          <w:rFonts w:ascii="ITC Avant Garde" w:eastAsia="Times New Roman" w:hAnsi="ITC Avant Garde"/>
          <w:b/>
          <w:color w:val="auto"/>
        </w:rPr>
        <w:t xml:space="preserve">Agentes </w:t>
      </w:r>
      <w:r w:rsidR="00C3639C" w:rsidRPr="00767A8A">
        <w:rPr>
          <w:rFonts w:ascii="ITC Avant Garde" w:eastAsia="Times New Roman" w:hAnsi="ITC Avant Garde"/>
          <w:b/>
          <w:color w:val="auto"/>
        </w:rPr>
        <w:t>E</w:t>
      </w:r>
      <w:r w:rsidR="00FA3534" w:rsidRPr="00767A8A">
        <w:rPr>
          <w:rFonts w:ascii="ITC Avant Garde" w:eastAsia="Times New Roman" w:hAnsi="ITC Avant Garde"/>
          <w:b/>
          <w:color w:val="auto"/>
        </w:rPr>
        <w:t xml:space="preserve">conómicos que participan en el </w:t>
      </w:r>
      <w:r w:rsidR="00C3639C" w:rsidRPr="00767A8A">
        <w:rPr>
          <w:rFonts w:ascii="ITC Avant Garde" w:eastAsia="Times New Roman" w:hAnsi="ITC Avant Garde"/>
          <w:b/>
          <w:color w:val="auto"/>
        </w:rPr>
        <w:t xml:space="preserve">Servicio </w:t>
      </w:r>
      <w:r w:rsidR="00301A00" w:rsidRPr="00767A8A">
        <w:rPr>
          <w:rFonts w:ascii="ITC Avant Garde" w:eastAsia="Times New Roman" w:hAnsi="ITC Avant Garde"/>
          <w:b/>
          <w:color w:val="auto"/>
        </w:rPr>
        <w:t>E</w:t>
      </w:r>
      <w:r w:rsidR="00C3639C" w:rsidRPr="00767A8A">
        <w:rPr>
          <w:rFonts w:ascii="ITC Avant Garde" w:eastAsia="Times New Roman" w:hAnsi="ITC Avant Garde"/>
          <w:b/>
          <w:color w:val="auto"/>
        </w:rPr>
        <w:t>valuado</w:t>
      </w:r>
      <w:r w:rsidR="00FA3534" w:rsidRPr="00767A8A">
        <w:rPr>
          <w:rFonts w:ascii="ITC Avant Garde" w:eastAsia="Times New Roman" w:hAnsi="ITC Avant Garde"/>
          <w:b/>
          <w:color w:val="auto"/>
        </w:rPr>
        <w:t>, grado de concentración y poder de mercado</w:t>
      </w:r>
    </w:p>
    <w:p w:rsidR="00FA3534" w:rsidRPr="00A75729" w:rsidRDefault="00FA3534" w:rsidP="00FA3534">
      <w:r w:rsidRPr="00A75729">
        <w:rPr>
          <w:lang w:val="es-ES"/>
        </w:rPr>
        <w:t xml:space="preserve">Una vez que se ha determinado el Servicio </w:t>
      </w:r>
      <w:r w:rsidR="00B21C9B" w:rsidRPr="00A75729">
        <w:rPr>
          <w:lang w:val="es-ES"/>
        </w:rPr>
        <w:t>E</w:t>
      </w:r>
      <w:r w:rsidRPr="00A75729">
        <w:rPr>
          <w:lang w:val="es-ES"/>
        </w:rPr>
        <w:t>valuado, en su</w:t>
      </w:r>
      <w:r w:rsidR="00B21C9B" w:rsidRPr="00A75729">
        <w:rPr>
          <w:lang w:val="es-ES"/>
        </w:rPr>
        <w:t>s</w:t>
      </w:r>
      <w:r w:rsidRPr="00A75729">
        <w:rPr>
          <w:lang w:val="es-ES"/>
        </w:rPr>
        <w:t xml:space="preserve"> dimensi</w:t>
      </w:r>
      <w:r w:rsidR="00B21C9B" w:rsidRPr="00A75729">
        <w:rPr>
          <w:lang w:val="es-ES"/>
        </w:rPr>
        <w:t>ones</w:t>
      </w:r>
      <w:r w:rsidRPr="00A75729">
        <w:rPr>
          <w:lang w:val="es-ES"/>
        </w:rPr>
        <w:t xml:space="preserve"> de servicio y geográfica, </w:t>
      </w:r>
      <w:r w:rsidR="00301A00" w:rsidRPr="00A75729">
        <w:rPr>
          <w:lang w:val="es-ES"/>
        </w:rPr>
        <w:t xml:space="preserve">es necesario identificar los Agentes Económicos que participan en </w:t>
      </w:r>
      <w:r w:rsidR="00F8780D" w:rsidRPr="00A75729">
        <w:rPr>
          <w:rFonts w:eastAsia="Times New Roman"/>
          <w:bCs/>
          <w:color w:val="000000"/>
        </w:rPr>
        <w:t>la Operación</w:t>
      </w:r>
      <w:r w:rsidRPr="00A75729">
        <w:rPr>
          <w:rFonts w:eastAsia="Times New Roman"/>
          <w:bCs/>
          <w:color w:val="000000"/>
        </w:rPr>
        <w:t xml:space="preserve">, </w:t>
      </w:r>
      <w:r w:rsidR="00F8780D" w:rsidRPr="00A75729">
        <w:rPr>
          <w:rFonts w:eastAsia="Times New Roman"/>
          <w:bCs/>
          <w:color w:val="000000"/>
        </w:rPr>
        <w:t xml:space="preserve">sus competidores </w:t>
      </w:r>
      <w:r w:rsidRPr="00A75729">
        <w:rPr>
          <w:rFonts w:eastAsia="Times New Roman"/>
          <w:bCs/>
          <w:color w:val="000000"/>
        </w:rPr>
        <w:t xml:space="preserve">y </w:t>
      </w:r>
      <w:r w:rsidR="00F8780D" w:rsidRPr="00A75729">
        <w:rPr>
          <w:rFonts w:eastAsia="Times New Roman"/>
          <w:bCs/>
          <w:color w:val="000000"/>
        </w:rPr>
        <w:t>los efectos de la Operación en el proceso de competencia y libre concurrencia que corresponda</w:t>
      </w:r>
      <w:r w:rsidR="00301A00" w:rsidRPr="00A75729">
        <w:rPr>
          <w:rFonts w:eastAsia="Times New Roman"/>
          <w:bCs/>
          <w:color w:val="000000"/>
        </w:rPr>
        <w:t>.</w:t>
      </w:r>
    </w:p>
    <w:p w:rsidR="00FA3534" w:rsidRPr="00A75729" w:rsidRDefault="00301A00" w:rsidP="00FA3534">
      <w:pPr>
        <w:rPr>
          <w:rFonts w:eastAsia="Times New Roman"/>
          <w:lang w:eastAsia="es-ES"/>
        </w:rPr>
      </w:pPr>
      <w:r w:rsidRPr="00A75729">
        <w:t xml:space="preserve">A este respecto, con base en </w:t>
      </w:r>
      <w:r w:rsidR="00FA3534" w:rsidRPr="00A75729">
        <w:t xml:space="preserve">información proporcionada por </w:t>
      </w:r>
      <w:r w:rsidR="008C3EE4" w:rsidRPr="00A75729">
        <w:t>las Partes</w:t>
      </w:r>
      <w:r w:rsidR="00FA3534" w:rsidRPr="00A75729">
        <w:t xml:space="preserve">, </w:t>
      </w:r>
      <w:r w:rsidR="00FA3534" w:rsidRPr="00A75729">
        <w:rPr>
          <w:rFonts w:eastAsia="Times New Roman"/>
          <w:lang w:eastAsia="es-ES"/>
        </w:rPr>
        <w:t xml:space="preserve">en el </w:t>
      </w:r>
      <w:r w:rsidRPr="00A75729">
        <w:rPr>
          <w:rFonts w:eastAsia="Times New Roman"/>
          <w:lang w:eastAsia="es-ES"/>
        </w:rPr>
        <w:t>C</w:t>
      </w:r>
      <w:r w:rsidR="00FA3534" w:rsidRPr="00A75729">
        <w:rPr>
          <w:rFonts w:eastAsia="Times New Roman"/>
          <w:lang w:eastAsia="es-ES"/>
        </w:rPr>
        <w:t>uadro sigu</w:t>
      </w:r>
      <w:r w:rsidRPr="00A75729">
        <w:rPr>
          <w:rFonts w:eastAsia="Times New Roman"/>
          <w:lang w:eastAsia="es-ES"/>
        </w:rPr>
        <w:t>iente</w:t>
      </w:r>
      <w:r w:rsidR="00FA3534" w:rsidRPr="00A75729">
        <w:rPr>
          <w:rFonts w:eastAsia="Times New Roman"/>
          <w:lang w:eastAsia="es-ES"/>
        </w:rPr>
        <w:t xml:space="preserve"> se presentan </w:t>
      </w:r>
      <w:r w:rsidR="00CF0B9E" w:rsidRPr="00A75729">
        <w:rPr>
          <w:rFonts w:eastAsia="Times New Roman"/>
          <w:lang w:eastAsia="es-ES"/>
        </w:rPr>
        <w:t>las estaciones</w:t>
      </w:r>
      <w:r w:rsidRPr="00A75729">
        <w:rPr>
          <w:rFonts w:eastAsia="Times New Roman"/>
          <w:lang w:eastAsia="es-ES"/>
        </w:rPr>
        <w:t xml:space="preserve"> d</w:t>
      </w:r>
      <w:r w:rsidR="00FA3534" w:rsidRPr="00A75729">
        <w:rPr>
          <w:rFonts w:eastAsia="Times New Roman"/>
          <w:lang w:eastAsia="es-ES"/>
        </w:rPr>
        <w:t xml:space="preserve">el </w:t>
      </w:r>
      <w:proofErr w:type="spellStart"/>
      <w:r w:rsidR="00FA3534" w:rsidRPr="00A75729">
        <w:rPr>
          <w:rFonts w:eastAsia="Times New Roman"/>
          <w:lang w:eastAsia="es-ES"/>
        </w:rPr>
        <w:t>SRSAC</w:t>
      </w:r>
      <w:proofErr w:type="spellEnd"/>
      <w:r w:rsidR="00FA3534" w:rsidRPr="00A75729">
        <w:rPr>
          <w:rFonts w:eastAsia="Times New Roman"/>
          <w:lang w:eastAsia="es-ES"/>
        </w:rPr>
        <w:t xml:space="preserve"> en la banda FM </w:t>
      </w:r>
      <w:r w:rsidR="00CF0B9E" w:rsidRPr="00A75729">
        <w:rPr>
          <w:rFonts w:eastAsia="Times New Roman"/>
          <w:lang w:eastAsia="es-ES"/>
        </w:rPr>
        <w:t xml:space="preserve">que tienen cobertura de servicio </w:t>
      </w:r>
      <w:r w:rsidR="00FA3534" w:rsidRPr="00A75729">
        <w:rPr>
          <w:rFonts w:eastAsia="Times New Roman"/>
          <w:lang w:eastAsia="es-ES"/>
        </w:rPr>
        <w:t>en Ojo de Agua</w:t>
      </w:r>
      <w:r w:rsidR="00E92F7C">
        <w:rPr>
          <w:rFonts w:eastAsia="Times New Roman"/>
          <w:lang w:eastAsia="es-ES"/>
        </w:rPr>
        <w:t xml:space="preserve"> y Montemorelos</w:t>
      </w:r>
      <w:r w:rsidR="00FA3534" w:rsidRPr="00A75729">
        <w:rPr>
          <w:rFonts w:eastAsia="Times New Roman"/>
          <w:lang w:eastAsia="es-ES"/>
        </w:rPr>
        <w:t>, Nuevo León.</w:t>
      </w:r>
    </w:p>
    <w:p w:rsidR="00FA3534" w:rsidRPr="00A75729" w:rsidRDefault="00FA3534" w:rsidP="00B21C9B">
      <w:pPr>
        <w:pStyle w:val="Prrafodelista"/>
        <w:keepNext/>
        <w:numPr>
          <w:ilvl w:val="0"/>
          <w:numId w:val="18"/>
        </w:numPr>
        <w:spacing w:after="120" w:line="276" w:lineRule="auto"/>
        <w:ind w:left="426" w:hanging="357"/>
        <w:contextualSpacing w:val="0"/>
        <w:jc w:val="center"/>
        <w:rPr>
          <w:b/>
          <w:szCs w:val="20"/>
        </w:rPr>
      </w:pPr>
      <w:r w:rsidRPr="00A75729">
        <w:rPr>
          <w:b/>
          <w:szCs w:val="20"/>
        </w:rPr>
        <w:lastRenderedPageBreak/>
        <w:t>Estaciones de</w:t>
      </w:r>
      <w:r w:rsidR="00B21C9B" w:rsidRPr="00A75729">
        <w:rPr>
          <w:b/>
          <w:szCs w:val="20"/>
        </w:rPr>
        <w:t xml:space="preserve">l </w:t>
      </w:r>
      <w:proofErr w:type="spellStart"/>
      <w:r w:rsidR="00B21C9B" w:rsidRPr="00A75729">
        <w:rPr>
          <w:b/>
          <w:szCs w:val="20"/>
        </w:rPr>
        <w:t>SRSAC</w:t>
      </w:r>
      <w:proofErr w:type="spellEnd"/>
      <w:r w:rsidRPr="00A75729">
        <w:rPr>
          <w:b/>
          <w:szCs w:val="20"/>
        </w:rPr>
        <w:t xml:space="preserve"> en FM con cobertura en Ojo de Agua</w:t>
      </w:r>
      <w:r w:rsidR="000F6A3E" w:rsidRPr="00A75729">
        <w:rPr>
          <w:b/>
          <w:szCs w:val="20"/>
        </w:rPr>
        <w:t xml:space="preserve"> y Montemorelos</w:t>
      </w:r>
      <w:r w:rsidRPr="00A75729">
        <w:rPr>
          <w:b/>
          <w:szCs w:val="20"/>
        </w:rPr>
        <w:t>, Nuevo León</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134"/>
        <w:gridCol w:w="1560"/>
        <w:gridCol w:w="2268"/>
        <w:gridCol w:w="1842"/>
        <w:gridCol w:w="1560"/>
      </w:tblGrid>
      <w:tr w:rsidR="00CF0B9E" w:rsidRPr="00A75729" w:rsidTr="00CF0B9E">
        <w:trPr>
          <w:cantSplit/>
          <w:tblHeader/>
          <w:jc w:val="center"/>
        </w:trPr>
        <w:tc>
          <w:tcPr>
            <w:tcW w:w="1129" w:type="dxa"/>
            <w:shd w:val="clear" w:color="auto" w:fill="92D050"/>
            <w:vAlign w:val="center"/>
          </w:tcPr>
          <w:p w:rsidR="00CF0B9E" w:rsidRPr="00A75729" w:rsidRDefault="00CF0B9E" w:rsidP="00CF0B9E">
            <w:pPr>
              <w:spacing w:before="0" w:after="0"/>
              <w:jc w:val="center"/>
              <w:rPr>
                <w:rFonts w:eastAsia="Times New Roman"/>
                <w:b/>
                <w:bCs/>
                <w:iCs/>
                <w:sz w:val="18"/>
                <w:szCs w:val="16"/>
              </w:rPr>
            </w:pPr>
            <w:r w:rsidRPr="00A75729">
              <w:rPr>
                <w:rFonts w:eastAsia="Times New Roman"/>
                <w:b/>
                <w:bCs/>
                <w:iCs/>
                <w:sz w:val="18"/>
                <w:szCs w:val="16"/>
              </w:rPr>
              <w:t>Distintivo de la estación</w:t>
            </w:r>
          </w:p>
        </w:tc>
        <w:tc>
          <w:tcPr>
            <w:tcW w:w="1134" w:type="dxa"/>
            <w:shd w:val="clear" w:color="auto" w:fill="92D050"/>
            <w:vAlign w:val="center"/>
          </w:tcPr>
          <w:p w:rsidR="00CF0B9E" w:rsidRPr="00A75729" w:rsidRDefault="00CF0B9E" w:rsidP="00CF0B9E">
            <w:pPr>
              <w:spacing w:before="0" w:after="0"/>
              <w:jc w:val="center"/>
              <w:rPr>
                <w:rFonts w:eastAsia="Times New Roman"/>
                <w:b/>
                <w:bCs/>
                <w:iCs/>
                <w:sz w:val="18"/>
                <w:szCs w:val="16"/>
              </w:rPr>
            </w:pPr>
            <w:r w:rsidRPr="00A75729">
              <w:rPr>
                <w:rFonts w:eastAsia="Times New Roman"/>
                <w:b/>
                <w:bCs/>
                <w:iCs/>
                <w:sz w:val="18"/>
                <w:szCs w:val="16"/>
              </w:rPr>
              <w:t>Frecuencia (MHz)</w:t>
            </w:r>
          </w:p>
        </w:tc>
        <w:tc>
          <w:tcPr>
            <w:tcW w:w="1560" w:type="dxa"/>
            <w:shd w:val="clear" w:color="auto" w:fill="92D050"/>
            <w:vAlign w:val="center"/>
          </w:tcPr>
          <w:p w:rsidR="00CF0B9E" w:rsidRPr="00A75729" w:rsidRDefault="00CF0B9E" w:rsidP="00CF0B9E">
            <w:pPr>
              <w:spacing w:before="0" w:after="0"/>
              <w:jc w:val="center"/>
              <w:rPr>
                <w:rFonts w:eastAsia="Times New Roman"/>
                <w:b/>
                <w:bCs/>
                <w:iCs/>
                <w:sz w:val="18"/>
                <w:szCs w:val="16"/>
              </w:rPr>
            </w:pPr>
            <w:r w:rsidRPr="00A75729">
              <w:rPr>
                <w:rFonts w:eastAsia="Times New Roman"/>
                <w:b/>
                <w:bCs/>
                <w:iCs/>
                <w:sz w:val="18"/>
                <w:szCs w:val="16"/>
              </w:rPr>
              <w:t>Población principal a servir</w:t>
            </w:r>
          </w:p>
        </w:tc>
        <w:tc>
          <w:tcPr>
            <w:tcW w:w="2268" w:type="dxa"/>
            <w:shd w:val="clear" w:color="auto" w:fill="92D050"/>
            <w:vAlign w:val="center"/>
          </w:tcPr>
          <w:p w:rsidR="00CF0B9E" w:rsidRPr="00A75729" w:rsidRDefault="00CF0B9E" w:rsidP="00CF0B9E">
            <w:pPr>
              <w:spacing w:before="0" w:after="0"/>
              <w:jc w:val="center"/>
              <w:rPr>
                <w:rFonts w:eastAsia="Times New Roman"/>
                <w:b/>
                <w:bCs/>
                <w:iCs/>
                <w:sz w:val="18"/>
                <w:szCs w:val="16"/>
              </w:rPr>
            </w:pPr>
            <w:r w:rsidRPr="00A75729">
              <w:rPr>
                <w:rFonts w:eastAsia="Times New Roman"/>
                <w:b/>
                <w:bCs/>
                <w:iCs/>
                <w:sz w:val="18"/>
                <w:szCs w:val="16"/>
              </w:rPr>
              <w:t>Concesionario</w:t>
            </w:r>
          </w:p>
          <w:p w:rsidR="00CF0B9E" w:rsidRPr="00A75729" w:rsidRDefault="00CF0B9E" w:rsidP="00CF0B9E">
            <w:pPr>
              <w:spacing w:before="0" w:after="0"/>
              <w:jc w:val="center"/>
              <w:rPr>
                <w:rFonts w:eastAsia="Times New Roman"/>
                <w:b/>
                <w:bCs/>
                <w:iCs/>
                <w:sz w:val="18"/>
                <w:szCs w:val="16"/>
              </w:rPr>
            </w:pPr>
            <w:r w:rsidRPr="00A75729">
              <w:rPr>
                <w:rFonts w:eastAsia="Times New Roman"/>
                <w:b/>
                <w:bCs/>
                <w:iCs/>
                <w:sz w:val="18"/>
                <w:szCs w:val="16"/>
              </w:rPr>
              <w:t>(Antes de la Operación)</w:t>
            </w:r>
          </w:p>
        </w:tc>
        <w:tc>
          <w:tcPr>
            <w:tcW w:w="1842" w:type="dxa"/>
            <w:shd w:val="clear" w:color="auto" w:fill="92D050"/>
            <w:vAlign w:val="center"/>
          </w:tcPr>
          <w:p w:rsidR="00CF0B9E" w:rsidRPr="00A75729" w:rsidRDefault="00CF0B9E" w:rsidP="00CF0B9E">
            <w:pPr>
              <w:spacing w:before="0" w:after="0"/>
              <w:jc w:val="center"/>
              <w:rPr>
                <w:rFonts w:eastAsia="Times New Roman"/>
                <w:b/>
                <w:bCs/>
                <w:iCs/>
                <w:sz w:val="18"/>
                <w:szCs w:val="16"/>
              </w:rPr>
            </w:pPr>
            <w:r w:rsidRPr="00A75729">
              <w:rPr>
                <w:rFonts w:eastAsia="Times New Roman"/>
                <w:b/>
                <w:bCs/>
                <w:iCs/>
                <w:sz w:val="18"/>
                <w:szCs w:val="16"/>
              </w:rPr>
              <w:t>Directivo</w:t>
            </w:r>
          </w:p>
        </w:tc>
        <w:tc>
          <w:tcPr>
            <w:tcW w:w="1560" w:type="dxa"/>
            <w:shd w:val="clear" w:color="auto" w:fill="92D050"/>
            <w:vAlign w:val="center"/>
          </w:tcPr>
          <w:p w:rsidR="00CF0B9E" w:rsidRPr="00A75729" w:rsidRDefault="00CF0B9E" w:rsidP="00CF0B9E">
            <w:pPr>
              <w:spacing w:before="0" w:after="0"/>
              <w:jc w:val="center"/>
              <w:rPr>
                <w:rFonts w:eastAsia="Times New Roman"/>
                <w:b/>
                <w:bCs/>
                <w:iCs/>
                <w:sz w:val="18"/>
                <w:szCs w:val="16"/>
              </w:rPr>
            </w:pPr>
            <w:r w:rsidRPr="00A75729">
              <w:rPr>
                <w:rFonts w:eastAsia="Times New Roman"/>
                <w:b/>
                <w:bCs/>
                <w:iCs/>
                <w:sz w:val="18"/>
                <w:szCs w:val="16"/>
              </w:rPr>
              <w:t>Representante Comercial</w:t>
            </w:r>
          </w:p>
        </w:tc>
      </w:tr>
      <w:tr w:rsidR="00CF0B9E" w:rsidRPr="00A75729" w:rsidTr="00CF0B9E">
        <w:trPr>
          <w:cantSplit/>
          <w:trHeight w:val="397"/>
          <w:jc w:val="center"/>
        </w:trPr>
        <w:tc>
          <w:tcPr>
            <w:tcW w:w="1129" w:type="dxa"/>
            <w:vAlign w:val="center"/>
          </w:tcPr>
          <w:p w:rsidR="00CF0B9E" w:rsidRPr="00A75729" w:rsidRDefault="00CF0B9E" w:rsidP="00CF0B9E">
            <w:pPr>
              <w:spacing w:before="0" w:after="0"/>
              <w:jc w:val="left"/>
              <w:rPr>
                <w:rFonts w:eastAsia="Times New Roman"/>
                <w:color w:val="000000"/>
                <w:sz w:val="18"/>
                <w:szCs w:val="16"/>
              </w:rPr>
            </w:pPr>
            <w:proofErr w:type="spellStart"/>
            <w:r w:rsidRPr="00A75729">
              <w:rPr>
                <w:rFonts w:eastAsia="Times New Roman"/>
                <w:color w:val="000000"/>
                <w:sz w:val="18"/>
                <w:szCs w:val="16"/>
              </w:rPr>
              <w:t>XHPAG</w:t>
            </w:r>
            <w:proofErr w:type="spellEnd"/>
            <w:r w:rsidRPr="00A75729">
              <w:rPr>
                <w:rFonts w:eastAsia="Times New Roman"/>
                <w:color w:val="000000"/>
                <w:sz w:val="18"/>
                <w:szCs w:val="16"/>
              </w:rPr>
              <w:t>-FM</w:t>
            </w:r>
          </w:p>
        </w:tc>
        <w:tc>
          <w:tcPr>
            <w:tcW w:w="1134" w:type="dxa"/>
            <w:vAlign w:val="center"/>
          </w:tcPr>
          <w:p w:rsidR="00CF0B9E" w:rsidRPr="00A75729" w:rsidRDefault="00CF0B9E" w:rsidP="00CF0B9E">
            <w:pPr>
              <w:spacing w:before="0" w:after="0"/>
              <w:jc w:val="center"/>
              <w:rPr>
                <w:rFonts w:eastAsia="Times New Roman"/>
                <w:color w:val="000000"/>
                <w:sz w:val="18"/>
                <w:szCs w:val="16"/>
              </w:rPr>
            </w:pPr>
            <w:r w:rsidRPr="00A75729">
              <w:rPr>
                <w:rFonts w:eastAsia="Times New Roman"/>
                <w:color w:val="000000"/>
                <w:sz w:val="18"/>
                <w:szCs w:val="16"/>
              </w:rPr>
              <w:t>105.3 MHz</w:t>
            </w:r>
          </w:p>
        </w:tc>
        <w:tc>
          <w:tcPr>
            <w:tcW w:w="1560" w:type="dxa"/>
            <w:shd w:val="clear" w:color="auto" w:fill="auto"/>
            <w:vAlign w:val="center"/>
          </w:tcPr>
          <w:p w:rsidR="00CF0B9E" w:rsidRPr="00A75729" w:rsidRDefault="00CF0B9E" w:rsidP="00CF0B9E">
            <w:pPr>
              <w:spacing w:before="0" w:after="0"/>
              <w:jc w:val="center"/>
              <w:rPr>
                <w:rFonts w:eastAsia="Times New Roman"/>
                <w:color w:val="000000"/>
                <w:sz w:val="18"/>
                <w:szCs w:val="16"/>
              </w:rPr>
            </w:pPr>
            <w:r w:rsidRPr="00A75729">
              <w:rPr>
                <w:rFonts w:eastAsia="Times New Roman"/>
                <w:color w:val="000000"/>
                <w:sz w:val="18"/>
                <w:szCs w:val="16"/>
              </w:rPr>
              <w:t>Monterrey, Nuevo León</w:t>
            </w:r>
          </w:p>
        </w:tc>
        <w:tc>
          <w:tcPr>
            <w:tcW w:w="2268" w:type="dxa"/>
            <w:shd w:val="clear" w:color="auto" w:fill="auto"/>
            <w:vAlign w:val="center"/>
          </w:tcPr>
          <w:p w:rsidR="00CF0B9E" w:rsidRPr="00A75729" w:rsidRDefault="00CF0B9E" w:rsidP="00CF0B9E">
            <w:pPr>
              <w:spacing w:before="0" w:after="0"/>
              <w:rPr>
                <w:rFonts w:eastAsia="Times New Roman"/>
                <w:color w:val="000000"/>
                <w:sz w:val="18"/>
                <w:szCs w:val="16"/>
              </w:rPr>
            </w:pPr>
            <w:r w:rsidRPr="00A75729">
              <w:rPr>
                <w:rFonts w:eastAsia="Times New Roman"/>
                <w:color w:val="000000"/>
                <w:sz w:val="18"/>
                <w:szCs w:val="16"/>
              </w:rPr>
              <w:t>Radio Informativa, S.A. de C.V.</w:t>
            </w:r>
          </w:p>
        </w:tc>
        <w:tc>
          <w:tcPr>
            <w:tcW w:w="1842" w:type="dxa"/>
            <w:shd w:val="clear" w:color="auto" w:fill="auto"/>
            <w:vAlign w:val="center"/>
          </w:tcPr>
          <w:p w:rsidR="00CF0B9E" w:rsidRPr="00A75729" w:rsidRDefault="00CF0B9E" w:rsidP="00CF0B9E">
            <w:pPr>
              <w:spacing w:before="0" w:after="0"/>
              <w:jc w:val="center"/>
              <w:rPr>
                <w:rFonts w:eastAsia="Times New Roman"/>
                <w:color w:val="000000"/>
                <w:sz w:val="18"/>
                <w:szCs w:val="16"/>
              </w:rPr>
            </w:pPr>
            <w:r w:rsidRPr="00A75729">
              <w:rPr>
                <w:rFonts w:eastAsia="Times New Roman"/>
                <w:color w:val="000000"/>
                <w:sz w:val="18"/>
                <w:szCs w:val="16"/>
              </w:rPr>
              <w:t>Francisco González Sánchez</w:t>
            </w:r>
          </w:p>
        </w:tc>
        <w:tc>
          <w:tcPr>
            <w:tcW w:w="1560" w:type="dxa"/>
            <w:shd w:val="clear" w:color="auto" w:fill="auto"/>
            <w:vAlign w:val="center"/>
          </w:tcPr>
          <w:p w:rsidR="00CF0B9E" w:rsidRPr="00A75729" w:rsidRDefault="00CF0B9E" w:rsidP="00CF0B9E">
            <w:pPr>
              <w:spacing w:before="0" w:after="0"/>
              <w:jc w:val="center"/>
              <w:rPr>
                <w:rFonts w:eastAsia="Times New Roman"/>
                <w:color w:val="000000"/>
                <w:sz w:val="18"/>
                <w:szCs w:val="16"/>
              </w:rPr>
            </w:pPr>
            <w:r w:rsidRPr="00A75729">
              <w:rPr>
                <w:rFonts w:eastAsia="Times New Roman"/>
                <w:color w:val="000000"/>
                <w:sz w:val="18"/>
                <w:szCs w:val="16"/>
              </w:rPr>
              <w:t>Multimedios, S.A. de C.V.</w:t>
            </w:r>
          </w:p>
        </w:tc>
      </w:tr>
      <w:tr w:rsidR="00CF0B9E" w:rsidRPr="00A75729" w:rsidTr="00CF0B9E">
        <w:trPr>
          <w:cantSplit/>
          <w:jc w:val="center"/>
        </w:trPr>
        <w:tc>
          <w:tcPr>
            <w:tcW w:w="1129" w:type="dxa"/>
            <w:vAlign w:val="center"/>
          </w:tcPr>
          <w:p w:rsidR="00CF0B9E" w:rsidRPr="00A75729" w:rsidRDefault="00CF0B9E" w:rsidP="00CF0B9E">
            <w:pPr>
              <w:spacing w:before="0" w:after="0"/>
              <w:jc w:val="left"/>
              <w:rPr>
                <w:rFonts w:eastAsia="Times New Roman"/>
                <w:color w:val="000000"/>
                <w:sz w:val="18"/>
                <w:szCs w:val="16"/>
              </w:rPr>
            </w:pPr>
            <w:proofErr w:type="spellStart"/>
            <w:r w:rsidRPr="00A75729">
              <w:rPr>
                <w:rFonts w:eastAsia="Times New Roman"/>
                <w:color w:val="000000"/>
                <w:sz w:val="18"/>
                <w:szCs w:val="16"/>
              </w:rPr>
              <w:t>XHERN</w:t>
            </w:r>
            <w:proofErr w:type="spellEnd"/>
            <w:r w:rsidRPr="00A75729">
              <w:rPr>
                <w:rFonts w:eastAsia="Times New Roman"/>
                <w:color w:val="000000"/>
                <w:sz w:val="18"/>
                <w:szCs w:val="16"/>
              </w:rPr>
              <w:t>-FM</w:t>
            </w:r>
          </w:p>
        </w:tc>
        <w:tc>
          <w:tcPr>
            <w:tcW w:w="1134" w:type="dxa"/>
            <w:vAlign w:val="center"/>
          </w:tcPr>
          <w:p w:rsidR="00CF0B9E" w:rsidRPr="00A75729" w:rsidRDefault="00CF0B9E" w:rsidP="00CF0B9E">
            <w:pPr>
              <w:spacing w:before="0" w:after="0"/>
              <w:jc w:val="center"/>
              <w:rPr>
                <w:rFonts w:eastAsia="Times New Roman"/>
                <w:color w:val="000000"/>
                <w:sz w:val="18"/>
                <w:szCs w:val="16"/>
              </w:rPr>
            </w:pPr>
            <w:r w:rsidRPr="00A75729">
              <w:rPr>
                <w:rFonts w:eastAsia="Times New Roman"/>
                <w:color w:val="000000"/>
                <w:sz w:val="18"/>
                <w:szCs w:val="16"/>
              </w:rPr>
              <w:t>100.9 MHz</w:t>
            </w:r>
          </w:p>
        </w:tc>
        <w:tc>
          <w:tcPr>
            <w:tcW w:w="1560" w:type="dxa"/>
            <w:shd w:val="clear" w:color="auto" w:fill="auto"/>
            <w:vAlign w:val="center"/>
          </w:tcPr>
          <w:p w:rsidR="00CF0B9E" w:rsidRPr="00A75729" w:rsidRDefault="00CF0B9E" w:rsidP="00CF0B9E">
            <w:pPr>
              <w:spacing w:before="0" w:after="0"/>
              <w:jc w:val="center"/>
              <w:rPr>
                <w:rFonts w:eastAsia="Times New Roman"/>
                <w:color w:val="000000"/>
                <w:sz w:val="18"/>
                <w:szCs w:val="16"/>
              </w:rPr>
            </w:pPr>
            <w:r w:rsidRPr="00A75729">
              <w:rPr>
                <w:rFonts w:eastAsia="Times New Roman"/>
                <w:color w:val="000000"/>
                <w:sz w:val="18"/>
                <w:szCs w:val="16"/>
              </w:rPr>
              <w:t>Montemorelos, Nuevo León</w:t>
            </w:r>
          </w:p>
        </w:tc>
        <w:tc>
          <w:tcPr>
            <w:tcW w:w="2268" w:type="dxa"/>
            <w:shd w:val="clear" w:color="auto" w:fill="auto"/>
            <w:vAlign w:val="center"/>
          </w:tcPr>
          <w:p w:rsidR="00CF0B9E" w:rsidRPr="00A75729" w:rsidRDefault="00CF0B9E" w:rsidP="00CF0B9E">
            <w:pPr>
              <w:spacing w:before="0" w:after="0"/>
              <w:rPr>
                <w:rFonts w:eastAsia="Times New Roman"/>
                <w:color w:val="000000"/>
                <w:sz w:val="18"/>
                <w:szCs w:val="16"/>
              </w:rPr>
            </w:pPr>
            <w:r w:rsidRPr="00A75729">
              <w:rPr>
                <w:rFonts w:eastAsia="Times New Roman"/>
                <w:color w:val="000000"/>
                <w:sz w:val="18"/>
                <w:szCs w:val="16"/>
              </w:rPr>
              <w:t>Radio Televisora del Valle, S.A.</w:t>
            </w:r>
          </w:p>
        </w:tc>
        <w:tc>
          <w:tcPr>
            <w:tcW w:w="1842" w:type="dxa"/>
            <w:shd w:val="clear" w:color="auto" w:fill="auto"/>
            <w:vAlign w:val="center"/>
          </w:tcPr>
          <w:p w:rsidR="00CF0B9E" w:rsidRPr="00A75729" w:rsidDel="00FB6ACD" w:rsidRDefault="00CF0B9E" w:rsidP="00196D6B">
            <w:pPr>
              <w:spacing w:before="0" w:after="0"/>
              <w:jc w:val="center"/>
              <w:rPr>
                <w:rFonts w:eastAsia="Times New Roman"/>
                <w:color w:val="000000"/>
                <w:sz w:val="18"/>
                <w:szCs w:val="16"/>
              </w:rPr>
            </w:pPr>
            <w:r w:rsidRPr="00A75729">
              <w:rPr>
                <w:rFonts w:eastAsia="Times New Roman"/>
                <w:color w:val="000000"/>
                <w:sz w:val="18"/>
                <w:szCs w:val="16"/>
              </w:rPr>
              <w:t>Jorge G</w:t>
            </w:r>
            <w:r w:rsidR="00196D6B" w:rsidRPr="00A75729">
              <w:rPr>
                <w:rFonts w:eastAsia="Times New Roman"/>
                <w:color w:val="000000"/>
                <w:sz w:val="18"/>
                <w:szCs w:val="16"/>
              </w:rPr>
              <w:t>á</w:t>
            </w:r>
            <w:r w:rsidRPr="00A75729">
              <w:rPr>
                <w:rFonts w:eastAsia="Times New Roman"/>
                <w:color w:val="000000"/>
                <w:sz w:val="18"/>
                <w:szCs w:val="16"/>
              </w:rPr>
              <w:t>mez Fonseca</w:t>
            </w:r>
          </w:p>
        </w:tc>
        <w:tc>
          <w:tcPr>
            <w:tcW w:w="1560" w:type="dxa"/>
            <w:shd w:val="clear" w:color="auto" w:fill="auto"/>
            <w:vAlign w:val="center"/>
          </w:tcPr>
          <w:p w:rsidR="00CF0B9E" w:rsidRPr="00A75729" w:rsidRDefault="00CF0B9E" w:rsidP="00CF0B9E">
            <w:pPr>
              <w:spacing w:before="0" w:after="0"/>
              <w:jc w:val="center"/>
              <w:rPr>
                <w:rFonts w:eastAsia="Times New Roman"/>
                <w:color w:val="000000"/>
                <w:sz w:val="18"/>
                <w:szCs w:val="16"/>
              </w:rPr>
            </w:pPr>
            <w:r w:rsidRPr="00A75729">
              <w:rPr>
                <w:rFonts w:eastAsia="Times New Roman"/>
                <w:color w:val="000000"/>
                <w:sz w:val="18"/>
                <w:szCs w:val="16"/>
              </w:rPr>
              <w:t>Independiente</w:t>
            </w:r>
          </w:p>
        </w:tc>
      </w:tr>
      <w:tr w:rsidR="00CF0B9E" w:rsidRPr="00A75729" w:rsidTr="00CF0B9E">
        <w:trPr>
          <w:cantSplit/>
          <w:jc w:val="center"/>
        </w:trPr>
        <w:tc>
          <w:tcPr>
            <w:tcW w:w="1129" w:type="dxa"/>
            <w:vAlign w:val="center"/>
          </w:tcPr>
          <w:p w:rsidR="00CF0B9E" w:rsidRPr="00A75729" w:rsidRDefault="00CF0B9E" w:rsidP="00CF0B9E">
            <w:pPr>
              <w:spacing w:before="0" w:after="0"/>
              <w:jc w:val="left"/>
              <w:rPr>
                <w:rFonts w:eastAsia="Times New Roman"/>
                <w:color w:val="000000"/>
                <w:sz w:val="18"/>
                <w:szCs w:val="16"/>
              </w:rPr>
            </w:pPr>
            <w:proofErr w:type="spellStart"/>
            <w:r w:rsidRPr="00A75729">
              <w:rPr>
                <w:rFonts w:eastAsia="Times New Roman"/>
                <w:color w:val="000000"/>
                <w:sz w:val="18"/>
                <w:szCs w:val="16"/>
              </w:rPr>
              <w:t>XHCHL</w:t>
            </w:r>
            <w:proofErr w:type="spellEnd"/>
            <w:r w:rsidRPr="00A75729">
              <w:rPr>
                <w:rFonts w:eastAsia="Times New Roman"/>
                <w:color w:val="000000"/>
                <w:sz w:val="18"/>
                <w:szCs w:val="16"/>
              </w:rPr>
              <w:t>-FM</w:t>
            </w:r>
          </w:p>
        </w:tc>
        <w:tc>
          <w:tcPr>
            <w:tcW w:w="1134" w:type="dxa"/>
            <w:vAlign w:val="center"/>
          </w:tcPr>
          <w:p w:rsidR="00CF0B9E" w:rsidRPr="00A75729" w:rsidRDefault="00CF0B9E" w:rsidP="00CF0B9E">
            <w:pPr>
              <w:spacing w:before="0" w:after="0"/>
              <w:jc w:val="center"/>
              <w:rPr>
                <w:rFonts w:eastAsia="Times New Roman"/>
                <w:color w:val="000000"/>
                <w:sz w:val="18"/>
                <w:szCs w:val="16"/>
              </w:rPr>
            </w:pPr>
            <w:r w:rsidRPr="00A75729">
              <w:rPr>
                <w:rFonts w:eastAsia="Times New Roman"/>
                <w:color w:val="000000"/>
                <w:sz w:val="18"/>
                <w:szCs w:val="16"/>
              </w:rPr>
              <w:t>90.1 MHz</w:t>
            </w:r>
          </w:p>
        </w:tc>
        <w:tc>
          <w:tcPr>
            <w:tcW w:w="1560" w:type="dxa"/>
            <w:shd w:val="clear" w:color="auto" w:fill="auto"/>
            <w:vAlign w:val="center"/>
          </w:tcPr>
          <w:p w:rsidR="00CF0B9E" w:rsidRPr="00A75729" w:rsidRDefault="00CF0B9E" w:rsidP="00CF0B9E">
            <w:pPr>
              <w:spacing w:before="0" w:after="0"/>
              <w:jc w:val="center"/>
              <w:rPr>
                <w:rFonts w:eastAsia="Times New Roman"/>
                <w:color w:val="000000"/>
                <w:sz w:val="18"/>
                <w:szCs w:val="16"/>
              </w:rPr>
            </w:pPr>
            <w:r w:rsidRPr="00A75729">
              <w:rPr>
                <w:rFonts w:eastAsia="Times New Roman"/>
                <w:color w:val="000000"/>
                <w:sz w:val="18"/>
                <w:szCs w:val="16"/>
              </w:rPr>
              <w:t>Los Ramones, Nuevo León</w:t>
            </w:r>
          </w:p>
        </w:tc>
        <w:tc>
          <w:tcPr>
            <w:tcW w:w="2268" w:type="dxa"/>
            <w:shd w:val="clear" w:color="auto" w:fill="auto"/>
            <w:vAlign w:val="center"/>
          </w:tcPr>
          <w:p w:rsidR="00CF0B9E" w:rsidRPr="00A75729" w:rsidRDefault="00CF0B9E" w:rsidP="0043135D">
            <w:pPr>
              <w:spacing w:before="0" w:after="0"/>
              <w:rPr>
                <w:rFonts w:eastAsia="Times New Roman"/>
                <w:color w:val="000000"/>
                <w:sz w:val="18"/>
                <w:szCs w:val="16"/>
              </w:rPr>
            </w:pPr>
            <w:r w:rsidRPr="00A75729">
              <w:rPr>
                <w:rFonts w:eastAsia="Times New Roman"/>
                <w:color w:val="000000"/>
                <w:sz w:val="18"/>
                <w:szCs w:val="16"/>
              </w:rPr>
              <w:t>Frecuencia Modulada Monterrey, S.A. de C.V.</w:t>
            </w:r>
          </w:p>
        </w:tc>
        <w:tc>
          <w:tcPr>
            <w:tcW w:w="1842" w:type="dxa"/>
            <w:shd w:val="clear" w:color="auto" w:fill="auto"/>
            <w:vAlign w:val="center"/>
          </w:tcPr>
          <w:p w:rsidR="00CF0B9E" w:rsidRPr="00A75729" w:rsidDel="00FB6ACD" w:rsidRDefault="00CF0B9E" w:rsidP="00CF0B9E">
            <w:pPr>
              <w:spacing w:before="0" w:after="0"/>
              <w:jc w:val="center"/>
              <w:rPr>
                <w:rFonts w:eastAsia="Times New Roman"/>
                <w:color w:val="000000"/>
                <w:sz w:val="18"/>
                <w:szCs w:val="16"/>
              </w:rPr>
            </w:pPr>
            <w:r w:rsidRPr="00A75729">
              <w:rPr>
                <w:rFonts w:eastAsia="Times New Roman"/>
                <w:color w:val="000000"/>
                <w:sz w:val="18"/>
                <w:szCs w:val="16"/>
              </w:rPr>
              <w:t xml:space="preserve">Bernardo Bichara </w:t>
            </w:r>
            <w:proofErr w:type="spellStart"/>
            <w:r w:rsidRPr="00A75729">
              <w:rPr>
                <w:rFonts w:eastAsia="Times New Roman"/>
                <w:color w:val="000000"/>
                <w:sz w:val="18"/>
                <w:szCs w:val="16"/>
              </w:rPr>
              <w:t>Kawas</w:t>
            </w:r>
            <w:proofErr w:type="spellEnd"/>
          </w:p>
        </w:tc>
        <w:tc>
          <w:tcPr>
            <w:tcW w:w="1560" w:type="dxa"/>
            <w:shd w:val="clear" w:color="auto" w:fill="auto"/>
            <w:vAlign w:val="center"/>
          </w:tcPr>
          <w:p w:rsidR="00CF0B9E" w:rsidRPr="00A75729" w:rsidRDefault="00CF0B9E" w:rsidP="00CF0B9E">
            <w:pPr>
              <w:spacing w:before="0" w:after="0"/>
              <w:jc w:val="center"/>
              <w:rPr>
                <w:rFonts w:eastAsia="Times New Roman"/>
                <w:color w:val="000000"/>
                <w:sz w:val="18"/>
                <w:szCs w:val="16"/>
              </w:rPr>
            </w:pPr>
            <w:r w:rsidRPr="00A75729">
              <w:rPr>
                <w:rFonts w:eastAsia="Times New Roman"/>
                <w:color w:val="000000"/>
                <w:sz w:val="18"/>
                <w:szCs w:val="16"/>
              </w:rPr>
              <w:t>Sociedad Mexicana de Radio, S.A.</w:t>
            </w:r>
          </w:p>
        </w:tc>
      </w:tr>
      <w:tr w:rsidR="00CF0B9E" w:rsidRPr="00A75729" w:rsidTr="00CF0B9E">
        <w:trPr>
          <w:cantSplit/>
          <w:jc w:val="center"/>
        </w:trPr>
        <w:tc>
          <w:tcPr>
            <w:tcW w:w="1129" w:type="dxa"/>
            <w:vAlign w:val="center"/>
          </w:tcPr>
          <w:p w:rsidR="00CF0B9E" w:rsidRPr="00A75729" w:rsidRDefault="00CF0B9E" w:rsidP="00CF0B9E">
            <w:pPr>
              <w:spacing w:before="0" w:after="0"/>
              <w:jc w:val="left"/>
              <w:rPr>
                <w:rFonts w:eastAsia="Times New Roman"/>
                <w:color w:val="000000"/>
                <w:sz w:val="18"/>
                <w:szCs w:val="16"/>
              </w:rPr>
            </w:pPr>
            <w:proofErr w:type="spellStart"/>
            <w:r w:rsidRPr="00A75729">
              <w:rPr>
                <w:rFonts w:eastAsia="Times New Roman"/>
                <w:color w:val="000000"/>
                <w:sz w:val="18"/>
                <w:szCs w:val="16"/>
              </w:rPr>
              <w:t>XHDD</w:t>
            </w:r>
            <w:proofErr w:type="spellEnd"/>
            <w:r w:rsidRPr="00A75729">
              <w:rPr>
                <w:rFonts w:eastAsia="Times New Roman"/>
                <w:color w:val="000000"/>
                <w:sz w:val="18"/>
                <w:szCs w:val="16"/>
              </w:rPr>
              <w:t>-FM</w:t>
            </w:r>
            <w:r w:rsidRPr="00A75729">
              <w:rPr>
                <w:sz w:val="18"/>
                <w:szCs w:val="16"/>
                <w:vertAlign w:val="superscript"/>
                <w:lang w:eastAsia="es-ES"/>
              </w:rPr>
              <w:t xml:space="preserve"> A</w:t>
            </w:r>
          </w:p>
        </w:tc>
        <w:tc>
          <w:tcPr>
            <w:tcW w:w="1134" w:type="dxa"/>
            <w:vAlign w:val="center"/>
          </w:tcPr>
          <w:p w:rsidR="00CF0B9E" w:rsidRPr="00A75729" w:rsidRDefault="00CF0B9E" w:rsidP="00CF0B9E">
            <w:pPr>
              <w:spacing w:before="0" w:after="0"/>
              <w:jc w:val="center"/>
              <w:rPr>
                <w:rFonts w:eastAsia="Times New Roman"/>
                <w:color w:val="000000"/>
                <w:sz w:val="18"/>
                <w:szCs w:val="16"/>
              </w:rPr>
            </w:pPr>
            <w:r w:rsidRPr="00A75729">
              <w:rPr>
                <w:rFonts w:eastAsia="Times New Roman"/>
                <w:color w:val="000000"/>
                <w:sz w:val="18"/>
                <w:szCs w:val="16"/>
              </w:rPr>
              <w:t>92.9 MHz</w:t>
            </w:r>
          </w:p>
        </w:tc>
        <w:tc>
          <w:tcPr>
            <w:tcW w:w="1560" w:type="dxa"/>
            <w:shd w:val="clear" w:color="auto" w:fill="auto"/>
            <w:vAlign w:val="center"/>
          </w:tcPr>
          <w:p w:rsidR="00CF0B9E" w:rsidRPr="00A75729" w:rsidRDefault="00CF0B9E" w:rsidP="00CF0B9E">
            <w:pPr>
              <w:spacing w:before="0" w:after="0"/>
              <w:jc w:val="center"/>
              <w:rPr>
                <w:rFonts w:eastAsia="Times New Roman"/>
                <w:color w:val="000000"/>
                <w:sz w:val="18"/>
                <w:szCs w:val="16"/>
              </w:rPr>
            </w:pPr>
            <w:r w:rsidRPr="00A75729">
              <w:rPr>
                <w:rFonts w:eastAsia="Times New Roman"/>
                <w:color w:val="000000"/>
                <w:sz w:val="18"/>
                <w:szCs w:val="16"/>
              </w:rPr>
              <w:t>Ojo de Agua, Nuevo León</w:t>
            </w:r>
          </w:p>
        </w:tc>
        <w:tc>
          <w:tcPr>
            <w:tcW w:w="2268" w:type="dxa"/>
            <w:shd w:val="clear" w:color="auto" w:fill="auto"/>
            <w:vAlign w:val="center"/>
          </w:tcPr>
          <w:p w:rsidR="00CF0B9E" w:rsidRPr="00A75729" w:rsidRDefault="00CF0B9E" w:rsidP="00CF0B9E">
            <w:pPr>
              <w:spacing w:before="0" w:after="0"/>
              <w:rPr>
                <w:rFonts w:eastAsia="Times New Roman"/>
                <w:color w:val="000000"/>
                <w:sz w:val="18"/>
                <w:szCs w:val="16"/>
              </w:rPr>
            </w:pPr>
            <w:r w:rsidRPr="00A75729">
              <w:rPr>
                <w:rFonts w:eastAsia="Times New Roman"/>
                <w:color w:val="000000"/>
                <w:sz w:val="18"/>
                <w:szCs w:val="16"/>
              </w:rPr>
              <w:t>Audio Publicidad</w:t>
            </w:r>
          </w:p>
        </w:tc>
        <w:tc>
          <w:tcPr>
            <w:tcW w:w="1842" w:type="dxa"/>
            <w:shd w:val="clear" w:color="auto" w:fill="auto"/>
            <w:vAlign w:val="center"/>
          </w:tcPr>
          <w:p w:rsidR="00CF0B9E" w:rsidRPr="00A75729" w:rsidDel="00FB6ACD" w:rsidRDefault="00CF0B9E" w:rsidP="00CF0B9E">
            <w:pPr>
              <w:spacing w:before="0" w:after="0"/>
              <w:jc w:val="center"/>
              <w:rPr>
                <w:rFonts w:eastAsia="Times New Roman"/>
                <w:color w:val="000000"/>
                <w:sz w:val="18"/>
                <w:szCs w:val="16"/>
              </w:rPr>
            </w:pPr>
            <w:r w:rsidRPr="00A75729">
              <w:rPr>
                <w:rFonts w:eastAsia="Times New Roman"/>
                <w:color w:val="000000"/>
                <w:sz w:val="18"/>
                <w:szCs w:val="16"/>
              </w:rPr>
              <w:t xml:space="preserve">Adalberto </w:t>
            </w:r>
            <w:proofErr w:type="spellStart"/>
            <w:r w:rsidRPr="00A75729">
              <w:rPr>
                <w:rFonts w:eastAsia="Times New Roman"/>
                <w:color w:val="000000"/>
                <w:sz w:val="18"/>
                <w:szCs w:val="16"/>
              </w:rPr>
              <w:t>Pezi</w:t>
            </w:r>
            <w:r w:rsidR="000F6A3E" w:rsidRPr="00A75729">
              <w:rPr>
                <w:rFonts w:eastAsia="Times New Roman"/>
                <w:color w:val="000000"/>
                <w:sz w:val="18"/>
                <w:szCs w:val="16"/>
              </w:rPr>
              <w:t>n</w:t>
            </w:r>
            <w:r w:rsidRPr="00A75729">
              <w:rPr>
                <w:rFonts w:eastAsia="Times New Roman"/>
                <w:color w:val="000000"/>
                <w:sz w:val="18"/>
                <w:szCs w:val="16"/>
              </w:rPr>
              <w:t>o</w:t>
            </w:r>
            <w:proofErr w:type="spellEnd"/>
            <w:r w:rsidRPr="00A75729">
              <w:rPr>
                <w:rFonts w:eastAsia="Times New Roman"/>
                <w:color w:val="000000"/>
                <w:sz w:val="18"/>
                <w:szCs w:val="16"/>
              </w:rPr>
              <w:t xml:space="preserve"> Hernández</w:t>
            </w:r>
          </w:p>
        </w:tc>
        <w:tc>
          <w:tcPr>
            <w:tcW w:w="1560" w:type="dxa"/>
            <w:shd w:val="clear" w:color="auto" w:fill="auto"/>
            <w:vAlign w:val="center"/>
          </w:tcPr>
          <w:p w:rsidR="00CF0B9E" w:rsidRPr="00A75729" w:rsidRDefault="00CF0B9E" w:rsidP="00CF0B9E">
            <w:pPr>
              <w:spacing w:before="0" w:after="0"/>
              <w:jc w:val="center"/>
              <w:rPr>
                <w:rFonts w:eastAsia="Times New Roman"/>
                <w:color w:val="000000"/>
                <w:sz w:val="18"/>
                <w:szCs w:val="16"/>
              </w:rPr>
            </w:pPr>
            <w:r w:rsidRPr="00A75729">
              <w:rPr>
                <w:rFonts w:eastAsia="Times New Roman"/>
                <w:color w:val="000000"/>
                <w:sz w:val="18"/>
                <w:szCs w:val="16"/>
              </w:rPr>
              <w:t>Independiente</w:t>
            </w:r>
          </w:p>
        </w:tc>
      </w:tr>
    </w:tbl>
    <w:p w:rsidR="00FA3534" w:rsidRPr="00A75729" w:rsidRDefault="00FA3534" w:rsidP="00CF0B9E">
      <w:pPr>
        <w:keepNext/>
        <w:spacing w:before="0" w:after="0" w:line="240" w:lineRule="auto"/>
        <w:ind w:right="48"/>
        <w:rPr>
          <w:sz w:val="16"/>
          <w:szCs w:val="16"/>
        </w:rPr>
      </w:pPr>
      <w:r w:rsidRPr="00A75729">
        <w:rPr>
          <w:sz w:val="16"/>
          <w:szCs w:val="16"/>
        </w:rPr>
        <w:t xml:space="preserve">Fuente: Elaboración propia con información </w:t>
      </w:r>
      <w:r w:rsidR="008C3EE4" w:rsidRPr="00A75729">
        <w:rPr>
          <w:sz w:val="16"/>
          <w:szCs w:val="16"/>
        </w:rPr>
        <w:t>contenida en Fojas 30 y 378</w:t>
      </w:r>
      <w:r w:rsidR="00FB0DBF" w:rsidRPr="00A75729">
        <w:rPr>
          <w:sz w:val="16"/>
          <w:szCs w:val="16"/>
        </w:rPr>
        <w:t xml:space="preserve"> del Expediente</w:t>
      </w:r>
      <w:r w:rsidRPr="00A75729">
        <w:rPr>
          <w:sz w:val="16"/>
          <w:szCs w:val="16"/>
        </w:rPr>
        <w:t xml:space="preserve">, el </w:t>
      </w:r>
      <w:proofErr w:type="spellStart"/>
      <w:r w:rsidRPr="00A75729">
        <w:rPr>
          <w:sz w:val="16"/>
          <w:szCs w:val="16"/>
        </w:rPr>
        <w:t>RPC</w:t>
      </w:r>
      <w:proofErr w:type="spellEnd"/>
      <w:r w:rsidRPr="00A75729">
        <w:rPr>
          <w:sz w:val="16"/>
          <w:szCs w:val="16"/>
        </w:rPr>
        <w:t xml:space="preserve"> y el Directorio de la </w:t>
      </w:r>
      <w:proofErr w:type="spellStart"/>
      <w:r w:rsidRPr="00A75729">
        <w:rPr>
          <w:sz w:val="16"/>
          <w:szCs w:val="16"/>
        </w:rPr>
        <w:t>CIRT</w:t>
      </w:r>
      <w:proofErr w:type="spellEnd"/>
      <w:r w:rsidRPr="00A75729">
        <w:rPr>
          <w:sz w:val="16"/>
          <w:szCs w:val="16"/>
        </w:rPr>
        <w:t xml:space="preserve"> 2017.</w:t>
      </w:r>
    </w:p>
    <w:p w:rsidR="00FA3534" w:rsidRPr="00A75729" w:rsidRDefault="00FA3534" w:rsidP="00CF0B9E">
      <w:pPr>
        <w:keepNext/>
        <w:tabs>
          <w:tab w:val="left" w:pos="3633"/>
        </w:tabs>
        <w:spacing w:before="0" w:after="0" w:line="240" w:lineRule="auto"/>
        <w:ind w:right="48"/>
        <w:rPr>
          <w:sz w:val="16"/>
          <w:szCs w:val="16"/>
        </w:rPr>
      </w:pPr>
      <w:r w:rsidRPr="00A75729">
        <w:rPr>
          <w:sz w:val="16"/>
          <w:szCs w:val="16"/>
        </w:rPr>
        <w:t>Notas:</w:t>
      </w:r>
      <w:r w:rsidRPr="00A75729">
        <w:rPr>
          <w:sz w:val="16"/>
          <w:szCs w:val="16"/>
        </w:rPr>
        <w:tab/>
      </w:r>
    </w:p>
    <w:p w:rsidR="00FA3534" w:rsidRPr="00A75729" w:rsidRDefault="00FA3534" w:rsidP="00CF0B9E">
      <w:pPr>
        <w:spacing w:before="0" w:after="0" w:line="240" w:lineRule="auto"/>
        <w:ind w:right="48"/>
        <w:rPr>
          <w:sz w:val="16"/>
          <w:szCs w:val="16"/>
          <w:lang w:eastAsia="es-ES"/>
        </w:rPr>
      </w:pPr>
      <w:r w:rsidRPr="00A75729">
        <w:rPr>
          <w:sz w:val="16"/>
          <w:szCs w:val="16"/>
          <w:vertAlign w:val="superscript"/>
          <w:lang w:eastAsia="es-ES"/>
        </w:rPr>
        <w:t>A</w:t>
      </w:r>
      <w:r w:rsidRPr="00A75729">
        <w:rPr>
          <w:sz w:val="16"/>
          <w:szCs w:val="16"/>
          <w:lang w:eastAsia="es-ES"/>
        </w:rPr>
        <w:t xml:space="preserve">: Frecuencia Adicional de la estación </w:t>
      </w:r>
      <w:proofErr w:type="spellStart"/>
      <w:r w:rsidRPr="00A75729">
        <w:rPr>
          <w:sz w:val="16"/>
          <w:szCs w:val="16"/>
          <w:lang w:eastAsia="es-ES"/>
        </w:rPr>
        <w:t>XEDD</w:t>
      </w:r>
      <w:proofErr w:type="spellEnd"/>
      <w:r w:rsidRPr="00A75729">
        <w:rPr>
          <w:sz w:val="16"/>
          <w:szCs w:val="16"/>
          <w:lang w:eastAsia="es-ES"/>
        </w:rPr>
        <w:t>-AM</w:t>
      </w:r>
      <w:r w:rsidR="00CF0B9E" w:rsidRPr="00A75729">
        <w:rPr>
          <w:sz w:val="16"/>
          <w:szCs w:val="16"/>
          <w:lang w:eastAsia="es-ES"/>
        </w:rPr>
        <w:t>.</w:t>
      </w:r>
    </w:p>
    <w:p w:rsidR="00CF0B9E" w:rsidRPr="00A75729" w:rsidRDefault="00CF0B9E" w:rsidP="00CF0B9E">
      <w:pPr>
        <w:spacing w:before="0" w:after="0" w:line="240" w:lineRule="auto"/>
        <w:ind w:right="48"/>
        <w:rPr>
          <w:sz w:val="16"/>
          <w:szCs w:val="16"/>
          <w:lang w:eastAsia="es-ES"/>
        </w:rPr>
      </w:pPr>
      <w:r w:rsidRPr="00A75729">
        <w:rPr>
          <w:sz w:val="16"/>
          <w:szCs w:val="16"/>
          <w:lang w:eastAsia="es-ES"/>
        </w:rPr>
        <w:t>En Ojo de Agua, Nuevo León opera, adicionalmente, 1 (una) estación del Servicio de Radiodifusión Sonora Abierta Pública.</w:t>
      </w:r>
    </w:p>
    <w:p w:rsidR="008C3EE4" w:rsidRPr="00A75729" w:rsidRDefault="008C3EE4" w:rsidP="00CF0B9E">
      <w:pPr>
        <w:spacing w:before="0" w:after="0" w:line="240" w:lineRule="auto"/>
        <w:ind w:right="48"/>
        <w:rPr>
          <w:sz w:val="16"/>
          <w:szCs w:val="16"/>
          <w:lang w:eastAsia="es-ES"/>
        </w:rPr>
      </w:pPr>
      <w:r w:rsidRPr="00A75729">
        <w:rPr>
          <w:sz w:val="16"/>
          <w:szCs w:val="16"/>
          <w:lang w:eastAsia="es-ES"/>
        </w:rPr>
        <w:t xml:space="preserve">Las Partes mencionaron que existen otras </w:t>
      </w:r>
      <w:r w:rsidR="00196D6B" w:rsidRPr="00A75729">
        <w:rPr>
          <w:sz w:val="16"/>
          <w:szCs w:val="16"/>
          <w:lang w:eastAsia="es-ES"/>
        </w:rPr>
        <w:t>4</w:t>
      </w:r>
      <w:r w:rsidRPr="00A75729">
        <w:rPr>
          <w:sz w:val="16"/>
          <w:szCs w:val="16"/>
          <w:lang w:eastAsia="es-ES"/>
        </w:rPr>
        <w:t xml:space="preserve"> (</w:t>
      </w:r>
      <w:r w:rsidR="00196D6B" w:rsidRPr="00A75729">
        <w:rPr>
          <w:sz w:val="16"/>
          <w:szCs w:val="16"/>
          <w:lang w:eastAsia="es-ES"/>
        </w:rPr>
        <w:t>cuatro</w:t>
      </w:r>
      <w:r w:rsidRPr="00A75729">
        <w:rPr>
          <w:sz w:val="16"/>
          <w:szCs w:val="16"/>
          <w:lang w:eastAsia="es-ES"/>
        </w:rPr>
        <w:t>) estaciones con cobertura en Montemorelos, Nuevo León; sin embargo, también mencionaron que esas estaciones cubren menos de 9% (nueve por ciento) de la población de ese municipio, por lo que no se consideran en el análisis</w:t>
      </w:r>
      <w:r w:rsidR="002F5734" w:rsidRPr="00A75729">
        <w:rPr>
          <w:sz w:val="16"/>
          <w:szCs w:val="16"/>
          <w:lang w:eastAsia="es-ES"/>
        </w:rPr>
        <w:t>; adicionalmente, las Partes mencionaron que “</w:t>
      </w:r>
      <w:r w:rsidR="002F5734" w:rsidRPr="00A75729">
        <w:rPr>
          <w:i/>
          <w:sz w:val="16"/>
          <w:szCs w:val="16"/>
          <w:lang w:eastAsia="es-ES"/>
        </w:rPr>
        <w:t>en el municipio de Montemorelos, Nuevo León, existen únicamente tres estaciones que cubren una porción considerable de su población, dos de las cuales son ajenas a Multimedios</w:t>
      </w:r>
      <w:r w:rsidR="002F5734" w:rsidRPr="00A75729">
        <w:rPr>
          <w:sz w:val="16"/>
          <w:szCs w:val="16"/>
          <w:lang w:eastAsia="es-ES"/>
        </w:rPr>
        <w:t>”.</w:t>
      </w:r>
      <w:r w:rsidRPr="00A75729">
        <w:rPr>
          <w:sz w:val="16"/>
          <w:szCs w:val="16"/>
          <w:lang w:eastAsia="es-ES"/>
        </w:rPr>
        <w:t xml:space="preserve"> </w:t>
      </w:r>
      <w:r w:rsidR="00196D6B" w:rsidRPr="00A75729">
        <w:rPr>
          <w:sz w:val="16"/>
          <w:szCs w:val="16"/>
          <w:lang w:eastAsia="es-ES"/>
        </w:rPr>
        <w:t xml:space="preserve">Es de </w:t>
      </w:r>
      <w:r w:rsidR="002F5734" w:rsidRPr="00A75729">
        <w:rPr>
          <w:sz w:val="16"/>
          <w:szCs w:val="16"/>
          <w:lang w:eastAsia="es-ES"/>
        </w:rPr>
        <w:t>señalar que se identificó</w:t>
      </w:r>
      <w:r w:rsidR="00196D6B" w:rsidRPr="00A75729">
        <w:rPr>
          <w:sz w:val="16"/>
          <w:szCs w:val="16"/>
          <w:lang w:eastAsia="es-ES"/>
        </w:rPr>
        <w:t xml:space="preserve"> que 3 (tres) de estas 4 (cuatro) estaciones que no se consideran </w:t>
      </w:r>
      <w:r w:rsidR="002F5734" w:rsidRPr="00A75729">
        <w:rPr>
          <w:sz w:val="16"/>
          <w:szCs w:val="16"/>
          <w:lang w:eastAsia="es-ES"/>
        </w:rPr>
        <w:t xml:space="preserve">en el análisis </w:t>
      </w:r>
      <w:r w:rsidR="00196D6B" w:rsidRPr="00A75729">
        <w:rPr>
          <w:sz w:val="16"/>
          <w:szCs w:val="16"/>
          <w:lang w:eastAsia="es-ES"/>
        </w:rPr>
        <w:t xml:space="preserve">son del </w:t>
      </w:r>
      <w:proofErr w:type="spellStart"/>
      <w:r w:rsidR="00196D6B" w:rsidRPr="00A75729">
        <w:rPr>
          <w:sz w:val="16"/>
          <w:szCs w:val="16"/>
          <w:lang w:eastAsia="es-ES"/>
        </w:rPr>
        <w:t>GIE</w:t>
      </w:r>
      <w:proofErr w:type="spellEnd"/>
      <w:r w:rsidR="00196D6B" w:rsidRPr="00A75729">
        <w:rPr>
          <w:sz w:val="16"/>
          <w:szCs w:val="16"/>
          <w:lang w:eastAsia="es-ES"/>
        </w:rPr>
        <w:t xml:space="preserve"> Grupo Multimedios.</w:t>
      </w:r>
    </w:p>
    <w:p w:rsidR="00FA3534" w:rsidRPr="00A75729" w:rsidRDefault="00FA3534" w:rsidP="0053408B">
      <w:pPr>
        <w:keepNext/>
      </w:pPr>
      <w:r w:rsidRPr="00A75729">
        <w:t xml:space="preserve">Considerando los elementos antes expuestos, </w:t>
      </w:r>
      <w:r w:rsidR="00CF0B9E" w:rsidRPr="00A75729">
        <w:t xml:space="preserve">se observa que </w:t>
      </w:r>
      <w:r w:rsidRPr="00A75729">
        <w:t xml:space="preserve">el </w:t>
      </w:r>
      <w:proofErr w:type="spellStart"/>
      <w:r w:rsidRPr="00A75729">
        <w:t>SRSAC</w:t>
      </w:r>
      <w:proofErr w:type="spellEnd"/>
      <w:r w:rsidRPr="00A75729">
        <w:t xml:space="preserve"> en la banda FM en Ojo de Agua</w:t>
      </w:r>
      <w:r w:rsidR="00E92F7C">
        <w:t xml:space="preserve"> y Montemorelos</w:t>
      </w:r>
      <w:r w:rsidRPr="00A75729">
        <w:t>, Nuevo León, se caracteriza por:</w:t>
      </w:r>
    </w:p>
    <w:p w:rsidR="00FA3534" w:rsidRPr="00A75729" w:rsidRDefault="00FA3534" w:rsidP="00C41AE3">
      <w:pPr>
        <w:pStyle w:val="Prrafodelista"/>
        <w:numPr>
          <w:ilvl w:val="0"/>
          <w:numId w:val="20"/>
        </w:numPr>
        <w:spacing w:after="120" w:line="276" w:lineRule="auto"/>
        <w:ind w:left="426"/>
        <w:contextualSpacing w:val="0"/>
      </w:pPr>
      <w:r w:rsidRPr="00A75729">
        <w:t>4 (cuatro) estaciones de</w:t>
      </w:r>
      <w:r w:rsidR="00CF0B9E" w:rsidRPr="00A75729">
        <w:t xml:space="preserve">l </w:t>
      </w:r>
      <w:proofErr w:type="spellStart"/>
      <w:r w:rsidR="00CF0B9E" w:rsidRPr="00A75729">
        <w:t>SRSAC</w:t>
      </w:r>
      <w:proofErr w:type="spellEnd"/>
      <w:r w:rsidR="00CF0B9E" w:rsidRPr="00A75729">
        <w:t xml:space="preserve"> en FM</w:t>
      </w:r>
      <w:r w:rsidRPr="00A75729">
        <w:t>.</w:t>
      </w:r>
    </w:p>
    <w:p w:rsidR="00CF0B9E" w:rsidRPr="00A75729" w:rsidRDefault="00FA3534" w:rsidP="00C41AE3">
      <w:pPr>
        <w:pStyle w:val="Prrafodelista"/>
        <w:numPr>
          <w:ilvl w:val="0"/>
          <w:numId w:val="20"/>
        </w:numPr>
        <w:spacing w:after="120" w:line="276" w:lineRule="auto"/>
        <w:ind w:left="426"/>
        <w:contextualSpacing w:val="0"/>
      </w:pPr>
      <w:r w:rsidRPr="00A75729">
        <w:t xml:space="preserve">La estación </w:t>
      </w:r>
      <w:proofErr w:type="spellStart"/>
      <w:r w:rsidRPr="00A75729">
        <w:t>XHPAG</w:t>
      </w:r>
      <w:proofErr w:type="spellEnd"/>
      <w:r w:rsidRPr="00A75729">
        <w:t xml:space="preserve">-FM, concesionada a Radio Informativa, S.A. de C.V., pertenece al </w:t>
      </w:r>
      <w:proofErr w:type="spellStart"/>
      <w:r w:rsidRPr="00A75729">
        <w:t>GIE</w:t>
      </w:r>
      <w:proofErr w:type="spellEnd"/>
      <w:r w:rsidRPr="00A75729">
        <w:t xml:space="preserve"> </w:t>
      </w:r>
      <w:r w:rsidR="00211333" w:rsidRPr="00A75729">
        <w:t>Grupo Multimedios</w:t>
      </w:r>
      <w:r w:rsidRPr="00A75729">
        <w:t xml:space="preserve">. </w:t>
      </w:r>
    </w:p>
    <w:p w:rsidR="00FA3534" w:rsidRPr="00A75729" w:rsidRDefault="00FA3534" w:rsidP="00CF0B9E">
      <w:r w:rsidRPr="00A75729">
        <w:t xml:space="preserve">Así, el </w:t>
      </w:r>
      <w:proofErr w:type="spellStart"/>
      <w:r w:rsidRPr="00A75729">
        <w:t>GIE</w:t>
      </w:r>
      <w:proofErr w:type="spellEnd"/>
      <w:r w:rsidRPr="00A75729">
        <w:t xml:space="preserve"> </w:t>
      </w:r>
      <w:r w:rsidR="00211333" w:rsidRPr="00A75729">
        <w:t>Grupo Multimedios</w:t>
      </w:r>
      <w:r w:rsidR="00CF0B9E" w:rsidRPr="00A75729">
        <w:t>, en virtud de la Operación, acumuló 2 (dos)</w:t>
      </w:r>
      <w:r w:rsidRPr="00A75729">
        <w:t xml:space="preserve"> estaci</w:t>
      </w:r>
      <w:r w:rsidR="00CF0B9E" w:rsidRPr="00A75729">
        <w:t>ones</w:t>
      </w:r>
      <w:r w:rsidRPr="00A75729">
        <w:t xml:space="preserve"> </w:t>
      </w:r>
      <w:r w:rsidR="00CF0B9E" w:rsidRPr="00A75729">
        <w:t xml:space="preserve">del </w:t>
      </w:r>
      <w:proofErr w:type="spellStart"/>
      <w:r w:rsidR="00CF0B9E" w:rsidRPr="00A75729">
        <w:t>SRSAC</w:t>
      </w:r>
      <w:proofErr w:type="spellEnd"/>
      <w:r w:rsidR="00CF0B9E" w:rsidRPr="00A75729">
        <w:t xml:space="preserve"> en FM en Ojo de Agua</w:t>
      </w:r>
      <w:r w:rsidR="00E92F7C">
        <w:t xml:space="preserve"> y Montemorelos</w:t>
      </w:r>
      <w:r w:rsidR="00CF0B9E" w:rsidRPr="00A75729">
        <w:t>, Nuevo León</w:t>
      </w:r>
      <w:r w:rsidRPr="00A75729">
        <w:t>.</w:t>
      </w:r>
    </w:p>
    <w:p w:rsidR="00843DF9" w:rsidRPr="00A75729" w:rsidRDefault="00843DF9" w:rsidP="00CF0B9E">
      <w:r w:rsidRPr="00A75729">
        <w:rPr>
          <w:rFonts w:eastAsia="Times New Roman"/>
          <w:lang w:eastAsia="es-ES"/>
        </w:rPr>
        <w:t xml:space="preserve">En el Cuadro siguiente se presentan las estaciones del </w:t>
      </w:r>
      <w:proofErr w:type="spellStart"/>
      <w:r w:rsidRPr="00A75729">
        <w:rPr>
          <w:rFonts w:eastAsia="Times New Roman"/>
          <w:lang w:eastAsia="es-ES"/>
        </w:rPr>
        <w:t>SRSAC</w:t>
      </w:r>
      <w:proofErr w:type="spellEnd"/>
      <w:r w:rsidRPr="00A75729">
        <w:rPr>
          <w:rFonts w:eastAsia="Times New Roman"/>
          <w:lang w:eastAsia="es-ES"/>
        </w:rPr>
        <w:t xml:space="preserve"> en la banda FM que tienen cobertura de servicio en Cadereyta, Nuevo León, en donde </w:t>
      </w:r>
      <w:r w:rsidRPr="00A75729">
        <w:t xml:space="preserve">el </w:t>
      </w:r>
      <w:proofErr w:type="spellStart"/>
      <w:r w:rsidRPr="00A75729">
        <w:t>GIE</w:t>
      </w:r>
      <w:proofErr w:type="spellEnd"/>
      <w:r w:rsidRPr="00A75729">
        <w:t xml:space="preserve"> Grupo Multimedios, en virtud de la Operación, acumuló 2 (dos) estaciones del </w:t>
      </w:r>
      <w:proofErr w:type="spellStart"/>
      <w:r w:rsidRPr="00A75729">
        <w:t>SRSAC</w:t>
      </w:r>
      <w:proofErr w:type="spellEnd"/>
      <w:r w:rsidRPr="00A75729">
        <w:t xml:space="preserve"> en FM,</w:t>
      </w:r>
    </w:p>
    <w:p w:rsidR="000F6A3E" w:rsidRPr="00A75729" w:rsidRDefault="000F6A3E" w:rsidP="00843DF9">
      <w:pPr>
        <w:pStyle w:val="Prrafodelista"/>
        <w:keepNext/>
        <w:numPr>
          <w:ilvl w:val="0"/>
          <w:numId w:val="18"/>
        </w:numPr>
        <w:spacing w:after="120" w:line="276" w:lineRule="auto"/>
        <w:ind w:left="426" w:hanging="357"/>
        <w:contextualSpacing w:val="0"/>
        <w:jc w:val="center"/>
        <w:rPr>
          <w:b/>
          <w:szCs w:val="20"/>
        </w:rPr>
      </w:pPr>
      <w:r w:rsidRPr="00A75729">
        <w:rPr>
          <w:b/>
          <w:szCs w:val="20"/>
        </w:rPr>
        <w:t xml:space="preserve">Estaciones del </w:t>
      </w:r>
      <w:proofErr w:type="spellStart"/>
      <w:r w:rsidRPr="00A75729">
        <w:rPr>
          <w:b/>
          <w:szCs w:val="20"/>
        </w:rPr>
        <w:t>SRSAC</w:t>
      </w:r>
      <w:proofErr w:type="spellEnd"/>
      <w:r w:rsidRPr="00A75729">
        <w:rPr>
          <w:b/>
          <w:szCs w:val="20"/>
        </w:rPr>
        <w:t xml:space="preserve"> en FM con cobertura en Cadereyta, Nuevo León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134"/>
        <w:gridCol w:w="2693"/>
        <w:gridCol w:w="4536"/>
      </w:tblGrid>
      <w:tr w:rsidR="000F6A3E" w:rsidRPr="00A75729" w:rsidTr="000F6A3E">
        <w:trPr>
          <w:cantSplit/>
          <w:tblHeader/>
          <w:jc w:val="center"/>
        </w:trPr>
        <w:tc>
          <w:tcPr>
            <w:tcW w:w="1271" w:type="dxa"/>
            <w:shd w:val="clear" w:color="auto" w:fill="92D050"/>
            <w:vAlign w:val="center"/>
          </w:tcPr>
          <w:p w:rsidR="000F6A3E" w:rsidRPr="00A75729" w:rsidRDefault="000F6A3E" w:rsidP="00EE6C18">
            <w:pPr>
              <w:spacing w:before="0" w:after="0"/>
              <w:jc w:val="center"/>
              <w:rPr>
                <w:rFonts w:eastAsia="Times New Roman"/>
                <w:b/>
                <w:bCs/>
                <w:iCs/>
                <w:sz w:val="18"/>
                <w:szCs w:val="16"/>
              </w:rPr>
            </w:pPr>
            <w:r w:rsidRPr="00A75729">
              <w:rPr>
                <w:rFonts w:eastAsia="Times New Roman"/>
                <w:b/>
                <w:bCs/>
                <w:iCs/>
                <w:sz w:val="18"/>
                <w:szCs w:val="16"/>
              </w:rPr>
              <w:t>Distintivo de la estación</w:t>
            </w:r>
          </w:p>
        </w:tc>
        <w:tc>
          <w:tcPr>
            <w:tcW w:w="1134" w:type="dxa"/>
            <w:shd w:val="clear" w:color="auto" w:fill="92D050"/>
            <w:vAlign w:val="center"/>
          </w:tcPr>
          <w:p w:rsidR="000F6A3E" w:rsidRPr="00A75729" w:rsidRDefault="000F6A3E" w:rsidP="00EE6C18">
            <w:pPr>
              <w:spacing w:before="0" w:after="0"/>
              <w:jc w:val="center"/>
              <w:rPr>
                <w:rFonts w:eastAsia="Times New Roman"/>
                <w:b/>
                <w:bCs/>
                <w:iCs/>
                <w:sz w:val="18"/>
                <w:szCs w:val="16"/>
              </w:rPr>
            </w:pPr>
            <w:r w:rsidRPr="00A75729">
              <w:rPr>
                <w:rFonts w:eastAsia="Times New Roman"/>
                <w:b/>
                <w:bCs/>
                <w:iCs/>
                <w:sz w:val="18"/>
                <w:szCs w:val="16"/>
              </w:rPr>
              <w:t>Frecuencia (MHz)</w:t>
            </w:r>
          </w:p>
        </w:tc>
        <w:tc>
          <w:tcPr>
            <w:tcW w:w="2693" w:type="dxa"/>
            <w:shd w:val="clear" w:color="auto" w:fill="92D050"/>
            <w:vAlign w:val="center"/>
          </w:tcPr>
          <w:p w:rsidR="000F6A3E" w:rsidRPr="00A75729" w:rsidRDefault="000F6A3E" w:rsidP="00EE6C18">
            <w:pPr>
              <w:spacing w:before="0" w:after="0"/>
              <w:jc w:val="center"/>
              <w:rPr>
                <w:rFonts w:eastAsia="Times New Roman"/>
                <w:b/>
                <w:bCs/>
                <w:iCs/>
                <w:sz w:val="18"/>
                <w:szCs w:val="16"/>
              </w:rPr>
            </w:pPr>
            <w:r w:rsidRPr="00A75729">
              <w:rPr>
                <w:rFonts w:eastAsia="Times New Roman"/>
                <w:b/>
                <w:bCs/>
                <w:iCs/>
                <w:sz w:val="18"/>
                <w:szCs w:val="16"/>
              </w:rPr>
              <w:t>Población principal a servir</w:t>
            </w:r>
          </w:p>
        </w:tc>
        <w:tc>
          <w:tcPr>
            <w:tcW w:w="4536" w:type="dxa"/>
            <w:shd w:val="clear" w:color="auto" w:fill="92D050"/>
            <w:vAlign w:val="center"/>
          </w:tcPr>
          <w:p w:rsidR="000F6A3E" w:rsidRPr="00A75729" w:rsidRDefault="000F6A3E" w:rsidP="00EE6C18">
            <w:pPr>
              <w:spacing w:before="0" w:after="0"/>
              <w:jc w:val="center"/>
              <w:rPr>
                <w:rFonts w:eastAsia="Times New Roman"/>
                <w:b/>
                <w:bCs/>
                <w:iCs/>
                <w:sz w:val="18"/>
                <w:szCs w:val="16"/>
              </w:rPr>
            </w:pPr>
            <w:r w:rsidRPr="00A75729">
              <w:rPr>
                <w:rFonts w:eastAsia="Times New Roman"/>
                <w:b/>
                <w:bCs/>
                <w:iCs/>
                <w:sz w:val="18"/>
                <w:szCs w:val="16"/>
              </w:rPr>
              <w:t>Concesionario</w:t>
            </w:r>
          </w:p>
          <w:p w:rsidR="000F6A3E" w:rsidRPr="00A75729" w:rsidRDefault="000F6A3E" w:rsidP="00EE6C18">
            <w:pPr>
              <w:spacing w:before="0" w:after="0"/>
              <w:jc w:val="center"/>
              <w:rPr>
                <w:rFonts w:eastAsia="Times New Roman"/>
                <w:b/>
                <w:bCs/>
                <w:iCs/>
                <w:sz w:val="18"/>
                <w:szCs w:val="16"/>
              </w:rPr>
            </w:pPr>
            <w:r w:rsidRPr="00A75729">
              <w:rPr>
                <w:rFonts w:eastAsia="Times New Roman"/>
                <w:b/>
                <w:bCs/>
                <w:iCs/>
                <w:sz w:val="18"/>
                <w:szCs w:val="16"/>
              </w:rPr>
              <w:t>(Antes de la Operación)</w:t>
            </w:r>
          </w:p>
        </w:tc>
      </w:tr>
      <w:tr w:rsidR="000F6A3E" w:rsidRPr="00A75729" w:rsidTr="000F6A3E">
        <w:trPr>
          <w:cantSplit/>
          <w:trHeight w:val="397"/>
          <w:jc w:val="center"/>
        </w:trPr>
        <w:tc>
          <w:tcPr>
            <w:tcW w:w="1271" w:type="dxa"/>
            <w:vAlign w:val="center"/>
          </w:tcPr>
          <w:p w:rsidR="000F6A3E" w:rsidRPr="00A75729" w:rsidRDefault="000F6A3E" w:rsidP="00EE6C18">
            <w:pPr>
              <w:spacing w:before="0" w:after="0"/>
              <w:jc w:val="left"/>
              <w:rPr>
                <w:rFonts w:eastAsia="Times New Roman"/>
                <w:color w:val="000000"/>
                <w:sz w:val="18"/>
                <w:szCs w:val="16"/>
              </w:rPr>
            </w:pPr>
            <w:proofErr w:type="spellStart"/>
            <w:r w:rsidRPr="00A75729">
              <w:rPr>
                <w:rFonts w:eastAsia="Times New Roman"/>
                <w:color w:val="000000"/>
                <w:sz w:val="18"/>
                <w:szCs w:val="16"/>
              </w:rPr>
              <w:t>XHPAG</w:t>
            </w:r>
            <w:proofErr w:type="spellEnd"/>
            <w:r w:rsidRPr="00A75729">
              <w:rPr>
                <w:rFonts w:eastAsia="Times New Roman"/>
                <w:color w:val="000000"/>
                <w:sz w:val="18"/>
                <w:szCs w:val="16"/>
              </w:rPr>
              <w:t>-FM</w:t>
            </w:r>
          </w:p>
        </w:tc>
        <w:tc>
          <w:tcPr>
            <w:tcW w:w="1134" w:type="dxa"/>
            <w:vAlign w:val="center"/>
          </w:tcPr>
          <w:p w:rsidR="000F6A3E" w:rsidRPr="00A75729" w:rsidRDefault="000F6A3E" w:rsidP="00EE6C18">
            <w:pPr>
              <w:spacing w:before="0" w:after="0"/>
              <w:jc w:val="center"/>
              <w:rPr>
                <w:rFonts w:eastAsia="Times New Roman"/>
                <w:color w:val="000000"/>
                <w:sz w:val="18"/>
                <w:szCs w:val="16"/>
              </w:rPr>
            </w:pPr>
            <w:r w:rsidRPr="00A75729">
              <w:rPr>
                <w:rFonts w:eastAsia="Times New Roman"/>
                <w:color w:val="000000"/>
                <w:sz w:val="18"/>
                <w:szCs w:val="16"/>
              </w:rPr>
              <w:t>105.3 MHz</w:t>
            </w:r>
          </w:p>
        </w:tc>
        <w:tc>
          <w:tcPr>
            <w:tcW w:w="2693" w:type="dxa"/>
            <w:shd w:val="clear" w:color="auto" w:fill="auto"/>
            <w:vAlign w:val="center"/>
          </w:tcPr>
          <w:p w:rsidR="000F6A3E" w:rsidRPr="00A75729" w:rsidRDefault="000F6A3E" w:rsidP="00EE6C18">
            <w:pPr>
              <w:spacing w:before="0" w:after="0"/>
              <w:jc w:val="center"/>
              <w:rPr>
                <w:rFonts w:eastAsia="Times New Roman"/>
                <w:color w:val="000000"/>
                <w:sz w:val="18"/>
                <w:szCs w:val="16"/>
              </w:rPr>
            </w:pPr>
            <w:r w:rsidRPr="00A75729">
              <w:rPr>
                <w:rFonts w:eastAsia="Times New Roman"/>
                <w:color w:val="000000"/>
                <w:sz w:val="18"/>
                <w:szCs w:val="16"/>
              </w:rPr>
              <w:t>Monterrey, Nuevo León</w:t>
            </w:r>
          </w:p>
        </w:tc>
        <w:tc>
          <w:tcPr>
            <w:tcW w:w="4536" w:type="dxa"/>
            <w:shd w:val="clear" w:color="auto" w:fill="auto"/>
            <w:vAlign w:val="center"/>
          </w:tcPr>
          <w:p w:rsidR="000F6A3E" w:rsidRPr="00A75729" w:rsidRDefault="000F6A3E" w:rsidP="00EE6C18">
            <w:pPr>
              <w:spacing w:before="0" w:after="0"/>
              <w:rPr>
                <w:rFonts w:eastAsia="Times New Roman"/>
                <w:color w:val="000000"/>
                <w:sz w:val="18"/>
                <w:szCs w:val="16"/>
              </w:rPr>
            </w:pPr>
            <w:r w:rsidRPr="00A75729">
              <w:rPr>
                <w:rFonts w:eastAsia="Times New Roman"/>
                <w:color w:val="000000"/>
                <w:sz w:val="18"/>
                <w:szCs w:val="16"/>
              </w:rPr>
              <w:t>Radio Informativa, S.A. de C.V.</w:t>
            </w:r>
          </w:p>
        </w:tc>
      </w:tr>
      <w:tr w:rsidR="000F6A3E" w:rsidRPr="00A75729" w:rsidTr="000F6A3E">
        <w:trPr>
          <w:cantSplit/>
          <w:jc w:val="center"/>
        </w:trPr>
        <w:tc>
          <w:tcPr>
            <w:tcW w:w="1271" w:type="dxa"/>
            <w:vAlign w:val="center"/>
          </w:tcPr>
          <w:p w:rsidR="000F6A3E" w:rsidRPr="00A75729" w:rsidRDefault="000F6A3E" w:rsidP="00EE6C18">
            <w:pPr>
              <w:spacing w:before="0" w:after="0"/>
              <w:jc w:val="left"/>
              <w:rPr>
                <w:rFonts w:eastAsia="Times New Roman"/>
                <w:color w:val="000000"/>
                <w:sz w:val="18"/>
                <w:szCs w:val="16"/>
              </w:rPr>
            </w:pPr>
            <w:proofErr w:type="spellStart"/>
            <w:r w:rsidRPr="00A75729">
              <w:rPr>
                <w:rFonts w:eastAsia="Times New Roman"/>
                <w:color w:val="000000"/>
                <w:sz w:val="18"/>
                <w:szCs w:val="16"/>
              </w:rPr>
              <w:t>XHMSN</w:t>
            </w:r>
            <w:proofErr w:type="spellEnd"/>
            <w:r w:rsidRPr="00A75729">
              <w:rPr>
                <w:rFonts w:eastAsia="Times New Roman"/>
                <w:color w:val="000000"/>
                <w:sz w:val="18"/>
                <w:szCs w:val="16"/>
              </w:rPr>
              <w:t>-FM</w:t>
            </w:r>
          </w:p>
        </w:tc>
        <w:tc>
          <w:tcPr>
            <w:tcW w:w="1134" w:type="dxa"/>
            <w:vAlign w:val="center"/>
          </w:tcPr>
          <w:p w:rsidR="000F6A3E" w:rsidRPr="00A75729" w:rsidRDefault="000F6A3E" w:rsidP="000F6A3E">
            <w:pPr>
              <w:spacing w:before="0" w:after="0"/>
              <w:jc w:val="center"/>
              <w:rPr>
                <w:rFonts w:eastAsia="Times New Roman"/>
                <w:color w:val="000000"/>
                <w:sz w:val="18"/>
                <w:szCs w:val="16"/>
              </w:rPr>
            </w:pPr>
            <w:r w:rsidRPr="00A75729">
              <w:rPr>
                <w:rFonts w:eastAsia="Times New Roman"/>
                <w:color w:val="000000"/>
                <w:sz w:val="18"/>
                <w:szCs w:val="16"/>
              </w:rPr>
              <w:t>96.5 MHz</w:t>
            </w:r>
          </w:p>
        </w:tc>
        <w:tc>
          <w:tcPr>
            <w:tcW w:w="2693" w:type="dxa"/>
            <w:shd w:val="clear" w:color="auto" w:fill="auto"/>
            <w:vAlign w:val="center"/>
          </w:tcPr>
          <w:p w:rsidR="000F6A3E" w:rsidRPr="00A75729" w:rsidRDefault="000F6A3E" w:rsidP="00EE6C18">
            <w:pPr>
              <w:spacing w:before="0" w:after="0"/>
              <w:jc w:val="center"/>
              <w:rPr>
                <w:rFonts w:eastAsia="Times New Roman"/>
                <w:color w:val="000000"/>
                <w:sz w:val="18"/>
                <w:szCs w:val="16"/>
              </w:rPr>
            </w:pPr>
            <w:r w:rsidRPr="00A75729">
              <w:rPr>
                <w:rFonts w:eastAsia="Times New Roman"/>
                <w:color w:val="000000"/>
                <w:sz w:val="18"/>
                <w:szCs w:val="16"/>
              </w:rPr>
              <w:t>Cadereyta, Nuevo León</w:t>
            </w:r>
          </w:p>
        </w:tc>
        <w:tc>
          <w:tcPr>
            <w:tcW w:w="4536" w:type="dxa"/>
            <w:shd w:val="clear" w:color="auto" w:fill="auto"/>
            <w:vAlign w:val="center"/>
          </w:tcPr>
          <w:p w:rsidR="000F6A3E" w:rsidRPr="00A75729" w:rsidRDefault="000F6A3E" w:rsidP="00EE6C18">
            <w:pPr>
              <w:spacing w:before="0" w:after="0"/>
              <w:rPr>
                <w:rFonts w:eastAsia="Times New Roman"/>
                <w:color w:val="000000"/>
                <w:sz w:val="18"/>
                <w:szCs w:val="16"/>
              </w:rPr>
            </w:pPr>
            <w:r w:rsidRPr="00A75729">
              <w:rPr>
                <w:rFonts w:eastAsia="Times New Roman"/>
                <w:color w:val="000000"/>
                <w:sz w:val="18"/>
                <w:szCs w:val="16"/>
              </w:rPr>
              <w:t>Jorge Álvaro Gámez González</w:t>
            </w:r>
          </w:p>
        </w:tc>
      </w:tr>
      <w:tr w:rsidR="000F6A3E" w:rsidRPr="00A75729" w:rsidTr="000F6A3E">
        <w:trPr>
          <w:cantSplit/>
          <w:jc w:val="center"/>
        </w:trPr>
        <w:tc>
          <w:tcPr>
            <w:tcW w:w="1271" w:type="dxa"/>
            <w:vAlign w:val="center"/>
          </w:tcPr>
          <w:p w:rsidR="000F6A3E" w:rsidRPr="00A75729" w:rsidRDefault="000F6A3E" w:rsidP="00EE6C18">
            <w:pPr>
              <w:spacing w:before="0" w:after="0"/>
              <w:jc w:val="left"/>
              <w:rPr>
                <w:rFonts w:eastAsia="Times New Roman"/>
                <w:color w:val="000000"/>
                <w:sz w:val="18"/>
                <w:szCs w:val="16"/>
              </w:rPr>
            </w:pPr>
            <w:proofErr w:type="spellStart"/>
            <w:r w:rsidRPr="00A75729">
              <w:rPr>
                <w:rFonts w:eastAsia="Times New Roman"/>
                <w:color w:val="000000"/>
                <w:sz w:val="18"/>
                <w:szCs w:val="16"/>
              </w:rPr>
              <w:t>XHCHL</w:t>
            </w:r>
            <w:proofErr w:type="spellEnd"/>
            <w:r w:rsidRPr="00A75729">
              <w:rPr>
                <w:rFonts w:eastAsia="Times New Roman"/>
                <w:color w:val="000000"/>
                <w:sz w:val="18"/>
                <w:szCs w:val="16"/>
              </w:rPr>
              <w:t>-FM</w:t>
            </w:r>
          </w:p>
        </w:tc>
        <w:tc>
          <w:tcPr>
            <w:tcW w:w="1134" w:type="dxa"/>
            <w:vAlign w:val="center"/>
          </w:tcPr>
          <w:p w:rsidR="000F6A3E" w:rsidRPr="00A75729" w:rsidRDefault="000F6A3E" w:rsidP="00EE6C18">
            <w:pPr>
              <w:spacing w:before="0" w:after="0"/>
              <w:jc w:val="center"/>
              <w:rPr>
                <w:rFonts w:eastAsia="Times New Roman"/>
                <w:color w:val="000000"/>
                <w:sz w:val="18"/>
                <w:szCs w:val="16"/>
              </w:rPr>
            </w:pPr>
            <w:r w:rsidRPr="00A75729">
              <w:rPr>
                <w:rFonts w:eastAsia="Times New Roman"/>
                <w:color w:val="000000"/>
                <w:sz w:val="18"/>
                <w:szCs w:val="16"/>
              </w:rPr>
              <w:t>90.1 MHz</w:t>
            </w:r>
          </w:p>
        </w:tc>
        <w:tc>
          <w:tcPr>
            <w:tcW w:w="2693" w:type="dxa"/>
            <w:shd w:val="clear" w:color="auto" w:fill="auto"/>
            <w:vAlign w:val="center"/>
          </w:tcPr>
          <w:p w:rsidR="000F6A3E" w:rsidRPr="00A75729" w:rsidRDefault="000F6A3E" w:rsidP="00EE6C18">
            <w:pPr>
              <w:spacing w:before="0" w:after="0"/>
              <w:jc w:val="center"/>
              <w:rPr>
                <w:rFonts w:eastAsia="Times New Roman"/>
                <w:color w:val="000000"/>
                <w:sz w:val="18"/>
                <w:szCs w:val="16"/>
              </w:rPr>
            </w:pPr>
            <w:r w:rsidRPr="00A75729">
              <w:rPr>
                <w:rFonts w:eastAsia="Times New Roman"/>
                <w:color w:val="000000"/>
                <w:sz w:val="18"/>
                <w:szCs w:val="16"/>
              </w:rPr>
              <w:t>Los Ramones, Nuevo León</w:t>
            </w:r>
          </w:p>
        </w:tc>
        <w:tc>
          <w:tcPr>
            <w:tcW w:w="4536" w:type="dxa"/>
            <w:shd w:val="clear" w:color="auto" w:fill="auto"/>
            <w:vAlign w:val="center"/>
          </w:tcPr>
          <w:p w:rsidR="000F6A3E" w:rsidRPr="00A75729" w:rsidRDefault="000F6A3E" w:rsidP="00EE6C18">
            <w:pPr>
              <w:spacing w:before="0" w:after="0"/>
              <w:rPr>
                <w:rFonts w:eastAsia="Times New Roman"/>
                <w:color w:val="000000"/>
                <w:sz w:val="18"/>
                <w:szCs w:val="16"/>
              </w:rPr>
            </w:pPr>
            <w:r w:rsidRPr="00A75729">
              <w:rPr>
                <w:rFonts w:eastAsia="Times New Roman"/>
                <w:color w:val="000000"/>
                <w:sz w:val="18"/>
                <w:szCs w:val="16"/>
              </w:rPr>
              <w:t>Frecuencia Modulada Monterrey, S.A. de C.V.</w:t>
            </w:r>
          </w:p>
        </w:tc>
      </w:tr>
      <w:tr w:rsidR="000F6A3E" w:rsidRPr="00A75729" w:rsidTr="000F6A3E">
        <w:trPr>
          <w:cantSplit/>
          <w:jc w:val="center"/>
        </w:trPr>
        <w:tc>
          <w:tcPr>
            <w:tcW w:w="1271" w:type="dxa"/>
            <w:vAlign w:val="center"/>
          </w:tcPr>
          <w:p w:rsidR="000F6A3E" w:rsidRPr="00A75729" w:rsidRDefault="000F6A3E" w:rsidP="00EE6C18">
            <w:pPr>
              <w:spacing w:before="0" w:after="0"/>
              <w:jc w:val="left"/>
              <w:rPr>
                <w:rFonts w:eastAsia="Times New Roman"/>
                <w:color w:val="000000"/>
                <w:sz w:val="18"/>
                <w:szCs w:val="16"/>
              </w:rPr>
            </w:pPr>
            <w:proofErr w:type="spellStart"/>
            <w:r w:rsidRPr="00A75729">
              <w:rPr>
                <w:rFonts w:eastAsia="Times New Roman"/>
                <w:color w:val="000000"/>
                <w:sz w:val="18"/>
                <w:szCs w:val="16"/>
              </w:rPr>
              <w:t>XHDD</w:t>
            </w:r>
            <w:proofErr w:type="spellEnd"/>
            <w:r w:rsidRPr="00A75729">
              <w:rPr>
                <w:rFonts w:eastAsia="Times New Roman"/>
                <w:color w:val="000000"/>
                <w:sz w:val="18"/>
                <w:szCs w:val="16"/>
              </w:rPr>
              <w:t>-FM</w:t>
            </w:r>
            <w:r w:rsidRPr="00A75729">
              <w:rPr>
                <w:sz w:val="18"/>
                <w:szCs w:val="16"/>
                <w:vertAlign w:val="superscript"/>
                <w:lang w:eastAsia="es-ES"/>
              </w:rPr>
              <w:t xml:space="preserve"> A</w:t>
            </w:r>
          </w:p>
        </w:tc>
        <w:tc>
          <w:tcPr>
            <w:tcW w:w="1134" w:type="dxa"/>
            <w:vAlign w:val="center"/>
          </w:tcPr>
          <w:p w:rsidR="000F6A3E" w:rsidRPr="00A75729" w:rsidRDefault="000F6A3E" w:rsidP="00EE6C18">
            <w:pPr>
              <w:spacing w:before="0" w:after="0"/>
              <w:jc w:val="center"/>
              <w:rPr>
                <w:rFonts w:eastAsia="Times New Roman"/>
                <w:color w:val="000000"/>
                <w:sz w:val="18"/>
                <w:szCs w:val="16"/>
              </w:rPr>
            </w:pPr>
            <w:r w:rsidRPr="00A75729">
              <w:rPr>
                <w:rFonts w:eastAsia="Times New Roman"/>
                <w:color w:val="000000"/>
                <w:sz w:val="18"/>
                <w:szCs w:val="16"/>
              </w:rPr>
              <w:t>92.9 MHz</w:t>
            </w:r>
          </w:p>
        </w:tc>
        <w:tc>
          <w:tcPr>
            <w:tcW w:w="2693" w:type="dxa"/>
            <w:shd w:val="clear" w:color="auto" w:fill="auto"/>
            <w:vAlign w:val="center"/>
          </w:tcPr>
          <w:p w:rsidR="000F6A3E" w:rsidRPr="00A75729" w:rsidRDefault="000F6A3E" w:rsidP="00EE6C18">
            <w:pPr>
              <w:spacing w:before="0" w:after="0"/>
              <w:jc w:val="center"/>
              <w:rPr>
                <w:rFonts w:eastAsia="Times New Roman"/>
                <w:color w:val="000000"/>
                <w:sz w:val="18"/>
                <w:szCs w:val="16"/>
              </w:rPr>
            </w:pPr>
            <w:r w:rsidRPr="00A75729">
              <w:rPr>
                <w:rFonts w:eastAsia="Times New Roman"/>
                <w:color w:val="000000"/>
                <w:sz w:val="18"/>
                <w:szCs w:val="16"/>
              </w:rPr>
              <w:t>Ojo de Agua, Nuevo León</w:t>
            </w:r>
          </w:p>
        </w:tc>
        <w:tc>
          <w:tcPr>
            <w:tcW w:w="4536" w:type="dxa"/>
            <w:shd w:val="clear" w:color="auto" w:fill="auto"/>
            <w:vAlign w:val="center"/>
          </w:tcPr>
          <w:p w:rsidR="000F6A3E" w:rsidRPr="00A75729" w:rsidRDefault="000F6A3E" w:rsidP="00EE6C18">
            <w:pPr>
              <w:spacing w:before="0" w:after="0"/>
              <w:rPr>
                <w:rFonts w:eastAsia="Times New Roman"/>
                <w:color w:val="000000"/>
                <w:sz w:val="18"/>
                <w:szCs w:val="16"/>
              </w:rPr>
            </w:pPr>
            <w:r w:rsidRPr="00A75729">
              <w:rPr>
                <w:rFonts w:eastAsia="Times New Roman"/>
                <w:color w:val="000000"/>
                <w:sz w:val="18"/>
                <w:szCs w:val="16"/>
              </w:rPr>
              <w:t>Audio Publicidad</w:t>
            </w:r>
          </w:p>
        </w:tc>
      </w:tr>
    </w:tbl>
    <w:p w:rsidR="000F6A3E" w:rsidRPr="00A75729" w:rsidRDefault="000F6A3E" w:rsidP="000F6A3E">
      <w:pPr>
        <w:keepNext/>
        <w:spacing w:before="0" w:after="0" w:line="240" w:lineRule="auto"/>
        <w:ind w:right="48"/>
        <w:rPr>
          <w:sz w:val="16"/>
          <w:szCs w:val="16"/>
          <w:lang w:eastAsia="es-ES"/>
        </w:rPr>
      </w:pPr>
      <w:r w:rsidRPr="00A75729">
        <w:rPr>
          <w:sz w:val="16"/>
          <w:szCs w:val="16"/>
        </w:rPr>
        <w:lastRenderedPageBreak/>
        <w:t xml:space="preserve">Fuente: Elaboración propia con información contenida en Fojas 30 y </w:t>
      </w:r>
      <w:r w:rsidR="00DD1B33" w:rsidRPr="00A75729">
        <w:rPr>
          <w:sz w:val="16"/>
          <w:szCs w:val="16"/>
        </w:rPr>
        <w:t>365-</w:t>
      </w:r>
      <w:r w:rsidRPr="00A75729">
        <w:rPr>
          <w:sz w:val="16"/>
          <w:szCs w:val="16"/>
        </w:rPr>
        <w:t xml:space="preserve">378 del Expediente y el </w:t>
      </w:r>
      <w:proofErr w:type="spellStart"/>
      <w:r w:rsidRPr="00A75729">
        <w:rPr>
          <w:sz w:val="16"/>
          <w:szCs w:val="16"/>
        </w:rPr>
        <w:t>RPC</w:t>
      </w:r>
      <w:proofErr w:type="spellEnd"/>
      <w:r w:rsidR="00E92F7C">
        <w:rPr>
          <w:sz w:val="16"/>
          <w:szCs w:val="16"/>
        </w:rPr>
        <w:t>.</w:t>
      </w:r>
    </w:p>
    <w:p w:rsidR="00843DF9" w:rsidRPr="00A75729" w:rsidRDefault="00843DF9" w:rsidP="00843DF9">
      <w:r w:rsidRPr="00A75729">
        <w:rPr>
          <w:rFonts w:eastAsia="Times New Roman"/>
          <w:lang w:eastAsia="es-ES"/>
        </w:rPr>
        <w:t xml:space="preserve">En el Cuadro siguiente se presentan las estaciones del </w:t>
      </w:r>
      <w:proofErr w:type="spellStart"/>
      <w:r w:rsidRPr="00A75729">
        <w:rPr>
          <w:rFonts w:eastAsia="Times New Roman"/>
          <w:lang w:eastAsia="es-ES"/>
        </w:rPr>
        <w:t>SRSAC</w:t>
      </w:r>
      <w:proofErr w:type="spellEnd"/>
      <w:r w:rsidRPr="00A75729">
        <w:rPr>
          <w:rFonts w:eastAsia="Times New Roman"/>
          <w:lang w:eastAsia="es-ES"/>
        </w:rPr>
        <w:t xml:space="preserve"> en la banda FM que tienen cobertura de servicio en Juárez, Nuevo León, en donde </w:t>
      </w:r>
      <w:r w:rsidRPr="00A75729">
        <w:t xml:space="preserve">el </w:t>
      </w:r>
      <w:proofErr w:type="spellStart"/>
      <w:r w:rsidRPr="00A75729">
        <w:t>GIE</w:t>
      </w:r>
      <w:proofErr w:type="spellEnd"/>
      <w:r w:rsidRPr="00A75729">
        <w:t xml:space="preserve"> Grupo Multimedios, en virtud de la Operación, acumuló 8 (ocho) estaciones del </w:t>
      </w:r>
      <w:proofErr w:type="spellStart"/>
      <w:r w:rsidRPr="00A75729">
        <w:t>SRSAC</w:t>
      </w:r>
      <w:proofErr w:type="spellEnd"/>
      <w:r w:rsidRPr="00A75729">
        <w:t xml:space="preserve"> en FM,</w:t>
      </w:r>
    </w:p>
    <w:p w:rsidR="00843DF9" w:rsidRPr="00A75729" w:rsidRDefault="00843DF9" w:rsidP="00843DF9">
      <w:pPr>
        <w:pStyle w:val="Prrafodelista"/>
        <w:keepNext/>
        <w:numPr>
          <w:ilvl w:val="0"/>
          <w:numId w:val="18"/>
        </w:numPr>
        <w:spacing w:after="120" w:line="276" w:lineRule="auto"/>
        <w:ind w:left="426" w:hanging="357"/>
        <w:contextualSpacing w:val="0"/>
        <w:jc w:val="center"/>
        <w:rPr>
          <w:b/>
          <w:szCs w:val="20"/>
        </w:rPr>
      </w:pPr>
      <w:r w:rsidRPr="00A75729">
        <w:rPr>
          <w:b/>
          <w:szCs w:val="20"/>
        </w:rPr>
        <w:t xml:space="preserve">Estaciones del </w:t>
      </w:r>
      <w:proofErr w:type="spellStart"/>
      <w:r w:rsidRPr="00A75729">
        <w:rPr>
          <w:b/>
          <w:szCs w:val="20"/>
        </w:rPr>
        <w:t>SRSAC</w:t>
      </w:r>
      <w:proofErr w:type="spellEnd"/>
      <w:r w:rsidRPr="00A75729">
        <w:rPr>
          <w:b/>
          <w:szCs w:val="20"/>
        </w:rPr>
        <w:t xml:space="preserve"> en FM con cobertura en Juárez, Nuevo León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134"/>
        <w:gridCol w:w="2693"/>
        <w:gridCol w:w="4536"/>
      </w:tblGrid>
      <w:tr w:rsidR="00843DF9" w:rsidRPr="00A75729" w:rsidTr="00EE6C18">
        <w:trPr>
          <w:cantSplit/>
          <w:tblHeader/>
          <w:jc w:val="center"/>
        </w:trPr>
        <w:tc>
          <w:tcPr>
            <w:tcW w:w="1271" w:type="dxa"/>
            <w:shd w:val="clear" w:color="auto" w:fill="92D050"/>
            <w:vAlign w:val="center"/>
          </w:tcPr>
          <w:p w:rsidR="00843DF9" w:rsidRPr="00A75729" w:rsidRDefault="00843DF9" w:rsidP="00EE6C18">
            <w:pPr>
              <w:spacing w:before="0" w:after="0"/>
              <w:jc w:val="center"/>
              <w:rPr>
                <w:rFonts w:eastAsia="Times New Roman"/>
                <w:b/>
                <w:bCs/>
                <w:iCs/>
                <w:sz w:val="18"/>
                <w:szCs w:val="18"/>
              </w:rPr>
            </w:pPr>
            <w:r w:rsidRPr="00A75729">
              <w:rPr>
                <w:rFonts w:eastAsia="Times New Roman"/>
                <w:b/>
                <w:bCs/>
                <w:iCs/>
                <w:sz w:val="18"/>
                <w:szCs w:val="18"/>
              </w:rPr>
              <w:t>Distintivo de la estación</w:t>
            </w:r>
          </w:p>
        </w:tc>
        <w:tc>
          <w:tcPr>
            <w:tcW w:w="1134" w:type="dxa"/>
            <w:shd w:val="clear" w:color="auto" w:fill="92D050"/>
            <w:vAlign w:val="center"/>
          </w:tcPr>
          <w:p w:rsidR="00843DF9" w:rsidRPr="00A75729" w:rsidRDefault="00843DF9" w:rsidP="00EE6C18">
            <w:pPr>
              <w:spacing w:before="0" w:after="0"/>
              <w:jc w:val="center"/>
              <w:rPr>
                <w:rFonts w:eastAsia="Times New Roman"/>
                <w:b/>
                <w:bCs/>
                <w:iCs/>
                <w:sz w:val="18"/>
                <w:szCs w:val="18"/>
              </w:rPr>
            </w:pPr>
            <w:r w:rsidRPr="00A75729">
              <w:rPr>
                <w:rFonts w:eastAsia="Times New Roman"/>
                <w:b/>
                <w:bCs/>
                <w:iCs/>
                <w:sz w:val="18"/>
                <w:szCs w:val="18"/>
              </w:rPr>
              <w:t>Frecuencia (MHz)</w:t>
            </w:r>
          </w:p>
        </w:tc>
        <w:tc>
          <w:tcPr>
            <w:tcW w:w="2693" w:type="dxa"/>
            <w:shd w:val="clear" w:color="auto" w:fill="92D050"/>
            <w:vAlign w:val="center"/>
          </w:tcPr>
          <w:p w:rsidR="00843DF9" w:rsidRPr="00A75729" w:rsidRDefault="00843DF9" w:rsidP="00EE6C18">
            <w:pPr>
              <w:spacing w:before="0" w:after="0"/>
              <w:jc w:val="center"/>
              <w:rPr>
                <w:rFonts w:eastAsia="Times New Roman"/>
                <w:b/>
                <w:bCs/>
                <w:iCs/>
                <w:sz w:val="18"/>
                <w:szCs w:val="18"/>
              </w:rPr>
            </w:pPr>
            <w:r w:rsidRPr="00A75729">
              <w:rPr>
                <w:rFonts w:eastAsia="Times New Roman"/>
                <w:b/>
                <w:bCs/>
                <w:iCs/>
                <w:sz w:val="18"/>
                <w:szCs w:val="18"/>
              </w:rPr>
              <w:t>Población principal a servir</w:t>
            </w:r>
          </w:p>
        </w:tc>
        <w:tc>
          <w:tcPr>
            <w:tcW w:w="4536" w:type="dxa"/>
            <w:shd w:val="clear" w:color="auto" w:fill="92D050"/>
            <w:vAlign w:val="center"/>
          </w:tcPr>
          <w:p w:rsidR="00843DF9" w:rsidRPr="00A75729" w:rsidRDefault="00843DF9" w:rsidP="00EE6C18">
            <w:pPr>
              <w:spacing w:before="0" w:after="0"/>
              <w:jc w:val="center"/>
              <w:rPr>
                <w:rFonts w:eastAsia="Times New Roman"/>
                <w:b/>
                <w:bCs/>
                <w:iCs/>
                <w:sz w:val="18"/>
                <w:szCs w:val="18"/>
              </w:rPr>
            </w:pPr>
            <w:r w:rsidRPr="00A75729">
              <w:rPr>
                <w:rFonts w:eastAsia="Times New Roman"/>
                <w:b/>
                <w:bCs/>
                <w:iCs/>
                <w:sz w:val="18"/>
                <w:szCs w:val="18"/>
              </w:rPr>
              <w:t>Concesionario</w:t>
            </w:r>
          </w:p>
          <w:p w:rsidR="00843DF9" w:rsidRPr="00A75729" w:rsidRDefault="00843DF9" w:rsidP="00EE6C18">
            <w:pPr>
              <w:spacing w:before="0" w:after="0"/>
              <w:jc w:val="center"/>
              <w:rPr>
                <w:rFonts w:eastAsia="Times New Roman"/>
                <w:b/>
                <w:bCs/>
                <w:iCs/>
                <w:sz w:val="18"/>
                <w:szCs w:val="18"/>
              </w:rPr>
            </w:pPr>
            <w:r w:rsidRPr="00A75729">
              <w:rPr>
                <w:rFonts w:eastAsia="Times New Roman"/>
                <w:b/>
                <w:bCs/>
                <w:iCs/>
                <w:sz w:val="18"/>
                <w:szCs w:val="18"/>
              </w:rPr>
              <w:t>(Antes de la Operación)</w:t>
            </w:r>
          </w:p>
        </w:tc>
      </w:tr>
      <w:tr w:rsidR="00843DF9" w:rsidRPr="00A75729" w:rsidTr="00EE6C18">
        <w:trPr>
          <w:cantSplit/>
          <w:trHeight w:val="397"/>
          <w:jc w:val="center"/>
        </w:trPr>
        <w:tc>
          <w:tcPr>
            <w:tcW w:w="1271" w:type="dxa"/>
            <w:vAlign w:val="center"/>
          </w:tcPr>
          <w:p w:rsidR="00843DF9" w:rsidRPr="00A75729" w:rsidRDefault="00843DF9" w:rsidP="00EE6C18">
            <w:pPr>
              <w:spacing w:before="0" w:after="0"/>
              <w:jc w:val="left"/>
              <w:rPr>
                <w:rFonts w:eastAsia="Times New Roman"/>
                <w:color w:val="000000"/>
                <w:sz w:val="18"/>
                <w:szCs w:val="18"/>
              </w:rPr>
            </w:pPr>
            <w:proofErr w:type="spellStart"/>
            <w:r w:rsidRPr="00A75729">
              <w:rPr>
                <w:rFonts w:eastAsia="Times New Roman"/>
                <w:color w:val="000000"/>
                <w:sz w:val="18"/>
                <w:szCs w:val="18"/>
              </w:rPr>
              <w:t>XHPAG</w:t>
            </w:r>
            <w:proofErr w:type="spellEnd"/>
            <w:r w:rsidRPr="00A75729">
              <w:rPr>
                <w:rFonts w:eastAsia="Times New Roman"/>
                <w:color w:val="000000"/>
                <w:sz w:val="18"/>
                <w:szCs w:val="18"/>
              </w:rPr>
              <w:t>-FM</w:t>
            </w:r>
          </w:p>
        </w:tc>
        <w:tc>
          <w:tcPr>
            <w:tcW w:w="1134" w:type="dxa"/>
            <w:vAlign w:val="center"/>
          </w:tcPr>
          <w:p w:rsidR="00843DF9" w:rsidRPr="00A75729" w:rsidRDefault="00843DF9" w:rsidP="00EE6C18">
            <w:pPr>
              <w:spacing w:before="0" w:after="0"/>
              <w:jc w:val="center"/>
              <w:rPr>
                <w:rFonts w:eastAsia="Times New Roman"/>
                <w:color w:val="000000"/>
                <w:sz w:val="18"/>
                <w:szCs w:val="18"/>
              </w:rPr>
            </w:pPr>
            <w:r w:rsidRPr="00A75729">
              <w:rPr>
                <w:rFonts w:eastAsia="Times New Roman"/>
                <w:color w:val="000000"/>
                <w:sz w:val="18"/>
                <w:szCs w:val="18"/>
              </w:rPr>
              <w:t>105.3 MHz</w:t>
            </w:r>
          </w:p>
        </w:tc>
        <w:tc>
          <w:tcPr>
            <w:tcW w:w="2693" w:type="dxa"/>
            <w:shd w:val="clear" w:color="auto" w:fill="auto"/>
            <w:vAlign w:val="center"/>
          </w:tcPr>
          <w:p w:rsidR="00843DF9" w:rsidRPr="00A75729" w:rsidRDefault="00843DF9" w:rsidP="00EE6C18">
            <w:pPr>
              <w:spacing w:before="0" w:after="0"/>
              <w:jc w:val="center"/>
              <w:rPr>
                <w:rFonts w:eastAsia="Times New Roman"/>
                <w:color w:val="000000"/>
                <w:sz w:val="18"/>
                <w:szCs w:val="18"/>
              </w:rPr>
            </w:pPr>
            <w:r w:rsidRPr="00A75729">
              <w:rPr>
                <w:rFonts w:eastAsia="Times New Roman"/>
                <w:color w:val="000000"/>
                <w:sz w:val="18"/>
                <w:szCs w:val="18"/>
              </w:rPr>
              <w:t>Monterrey, Nuevo León</w:t>
            </w:r>
          </w:p>
        </w:tc>
        <w:tc>
          <w:tcPr>
            <w:tcW w:w="4536" w:type="dxa"/>
            <w:shd w:val="clear" w:color="auto" w:fill="auto"/>
            <w:vAlign w:val="center"/>
          </w:tcPr>
          <w:p w:rsidR="00843DF9" w:rsidRPr="00A75729" w:rsidRDefault="00843DF9" w:rsidP="00EE6C18">
            <w:pPr>
              <w:spacing w:before="0" w:after="0"/>
              <w:rPr>
                <w:rFonts w:eastAsia="Times New Roman"/>
                <w:color w:val="000000"/>
                <w:sz w:val="18"/>
                <w:szCs w:val="18"/>
              </w:rPr>
            </w:pPr>
            <w:r w:rsidRPr="00A75729">
              <w:rPr>
                <w:rFonts w:eastAsia="Times New Roman"/>
                <w:color w:val="000000"/>
                <w:sz w:val="18"/>
                <w:szCs w:val="18"/>
              </w:rPr>
              <w:t>Radio Informativa, S.A. de C.V.</w:t>
            </w:r>
          </w:p>
        </w:tc>
      </w:tr>
      <w:tr w:rsidR="00843DF9" w:rsidRPr="00A75729" w:rsidTr="00EE6C18">
        <w:trPr>
          <w:cantSplit/>
          <w:jc w:val="center"/>
        </w:trPr>
        <w:tc>
          <w:tcPr>
            <w:tcW w:w="1271" w:type="dxa"/>
            <w:vAlign w:val="center"/>
          </w:tcPr>
          <w:p w:rsidR="00843DF9" w:rsidRPr="00A75729" w:rsidRDefault="00843DF9" w:rsidP="00843DF9">
            <w:pPr>
              <w:spacing w:before="0" w:after="0"/>
              <w:jc w:val="left"/>
              <w:rPr>
                <w:rFonts w:eastAsia="Times New Roman"/>
                <w:color w:val="000000"/>
                <w:sz w:val="18"/>
                <w:szCs w:val="18"/>
              </w:rPr>
            </w:pPr>
            <w:proofErr w:type="spellStart"/>
            <w:r w:rsidRPr="00A75729">
              <w:rPr>
                <w:rFonts w:eastAsia="Times New Roman"/>
                <w:color w:val="000000"/>
                <w:sz w:val="18"/>
                <w:szCs w:val="18"/>
              </w:rPr>
              <w:t>XHMF</w:t>
            </w:r>
            <w:proofErr w:type="spellEnd"/>
            <w:r w:rsidRPr="00A75729">
              <w:rPr>
                <w:rFonts w:eastAsia="Times New Roman"/>
                <w:color w:val="000000"/>
                <w:sz w:val="18"/>
                <w:szCs w:val="18"/>
              </w:rPr>
              <w:t>-FM</w:t>
            </w:r>
          </w:p>
        </w:tc>
        <w:tc>
          <w:tcPr>
            <w:tcW w:w="1134" w:type="dxa"/>
            <w:vAlign w:val="center"/>
          </w:tcPr>
          <w:p w:rsidR="00843DF9" w:rsidRPr="00A75729" w:rsidRDefault="00843DF9" w:rsidP="00843DF9">
            <w:pPr>
              <w:spacing w:before="0" w:after="0"/>
              <w:jc w:val="center"/>
              <w:rPr>
                <w:rFonts w:eastAsia="Times New Roman"/>
                <w:color w:val="000000"/>
                <w:sz w:val="18"/>
                <w:szCs w:val="18"/>
              </w:rPr>
            </w:pPr>
            <w:r w:rsidRPr="00A75729">
              <w:rPr>
                <w:rFonts w:eastAsia="Times New Roman"/>
                <w:color w:val="000000"/>
                <w:sz w:val="18"/>
                <w:szCs w:val="18"/>
              </w:rPr>
              <w:t>104.5 MHz</w:t>
            </w:r>
          </w:p>
        </w:tc>
        <w:tc>
          <w:tcPr>
            <w:tcW w:w="2693" w:type="dxa"/>
            <w:shd w:val="clear" w:color="auto" w:fill="auto"/>
            <w:vAlign w:val="center"/>
          </w:tcPr>
          <w:p w:rsidR="00843DF9" w:rsidRPr="00A75729" w:rsidRDefault="00843DF9" w:rsidP="00843DF9">
            <w:pPr>
              <w:spacing w:before="0" w:after="0"/>
              <w:jc w:val="center"/>
              <w:rPr>
                <w:rFonts w:eastAsia="Times New Roman"/>
                <w:color w:val="000000"/>
                <w:sz w:val="18"/>
                <w:szCs w:val="18"/>
              </w:rPr>
            </w:pPr>
            <w:r w:rsidRPr="00A75729">
              <w:rPr>
                <w:rFonts w:eastAsia="Times New Roman"/>
                <w:color w:val="000000"/>
                <w:sz w:val="18"/>
                <w:szCs w:val="18"/>
              </w:rPr>
              <w:t>Monterrey, Nuevo León</w:t>
            </w:r>
          </w:p>
        </w:tc>
        <w:tc>
          <w:tcPr>
            <w:tcW w:w="4536" w:type="dxa"/>
            <w:shd w:val="clear" w:color="auto" w:fill="auto"/>
            <w:vAlign w:val="center"/>
          </w:tcPr>
          <w:p w:rsidR="00843DF9" w:rsidRPr="00A75729" w:rsidRDefault="00843DF9" w:rsidP="00843DF9">
            <w:pPr>
              <w:spacing w:before="0" w:after="0"/>
              <w:rPr>
                <w:rFonts w:eastAsia="Times New Roman"/>
                <w:color w:val="000000"/>
                <w:sz w:val="18"/>
                <w:szCs w:val="18"/>
              </w:rPr>
            </w:pPr>
            <w:proofErr w:type="spellStart"/>
            <w:r w:rsidRPr="00A75729">
              <w:rPr>
                <w:rFonts w:eastAsia="Times New Roman"/>
                <w:color w:val="000000"/>
                <w:sz w:val="18"/>
                <w:szCs w:val="18"/>
              </w:rPr>
              <w:t>XHMF</w:t>
            </w:r>
            <w:proofErr w:type="spellEnd"/>
            <w:r w:rsidRPr="00A75729">
              <w:rPr>
                <w:rFonts w:eastAsia="Times New Roman"/>
                <w:color w:val="000000"/>
                <w:sz w:val="18"/>
                <w:szCs w:val="18"/>
              </w:rPr>
              <w:t>-FM, S.A. DE C.V.</w:t>
            </w:r>
          </w:p>
        </w:tc>
      </w:tr>
      <w:tr w:rsidR="00843DF9" w:rsidRPr="00A75729" w:rsidTr="00EE6C18">
        <w:trPr>
          <w:cantSplit/>
          <w:jc w:val="center"/>
        </w:trPr>
        <w:tc>
          <w:tcPr>
            <w:tcW w:w="1271" w:type="dxa"/>
            <w:vAlign w:val="center"/>
          </w:tcPr>
          <w:p w:rsidR="00843DF9" w:rsidRPr="00A75729" w:rsidRDefault="00843DF9" w:rsidP="00843DF9">
            <w:pPr>
              <w:spacing w:before="0" w:after="0"/>
              <w:jc w:val="left"/>
              <w:rPr>
                <w:rFonts w:eastAsia="Times New Roman"/>
                <w:color w:val="000000"/>
                <w:sz w:val="18"/>
                <w:szCs w:val="18"/>
              </w:rPr>
            </w:pPr>
            <w:proofErr w:type="spellStart"/>
            <w:r w:rsidRPr="00A75729">
              <w:rPr>
                <w:rFonts w:eastAsia="Times New Roman"/>
                <w:color w:val="000000"/>
                <w:sz w:val="18"/>
                <w:szCs w:val="18"/>
              </w:rPr>
              <w:t>XHCHL</w:t>
            </w:r>
            <w:proofErr w:type="spellEnd"/>
            <w:r w:rsidRPr="00A75729">
              <w:rPr>
                <w:rFonts w:eastAsia="Times New Roman"/>
                <w:color w:val="000000"/>
                <w:sz w:val="18"/>
                <w:szCs w:val="18"/>
              </w:rPr>
              <w:t>-FM</w:t>
            </w:r>
          </w:p>
        </w:tc>
        <w:tc>
          <w:tcPr>
            <w:tcW w:w="1134" w:type="dxa"/>
            <w:vAlign w:val="center"/>
          </w:tcPr>
          <w:p w:rsidR="00843DF9" w:rsidRPr="00A75729" w:rsidRDefault="00843DF9" w:rsidP="00843DF9">
            <w:pPr>
              <w:spacing w:before="0" w:after="0"/>
              <w:jc w:val="center"/>
              <w:rPr>
                <w:rFonts w:eastAsia="Times New Roman"/>
                <w:color w:val="000000"/>
                <w:sz w:val="18"/>
                <w:szCs w:val="18"/>
              </w:rPr>
            </w:pPr>
            <w:r w:rsidRPr="00A75729">
              <w:rPr>
                <w:rFonts w:eastAsia="Times New Roman"/>
                <w:color w:val="000000"/>
                <w:sz w:val="18"/>
                <w:szCs w:val="18"/>
              </w:rPr>
              <w:t>90.1 MHz</w:t>
            </w:r>
          </w:p>
        </w:tc>
        <w:tc>
          <w:tcPr>
            <w:tcW w:w="2693" w:type="dxa"/>
            <w:shd w:val="clear" w:color="auto" w:fill="auto"/>
            <w:vAlign w:val="center"/>
          </w:tcPr>
          <w:p w:rsidR="00843DF9" w:rsidRPr="00A75729" w:rsidRDefault="00843DF9" w:rsidP="00843DF9">
            <w:pPr>
              <w:spacing w:before="0" w:after="0"/>
              <w:jc w:val="center"/>
              <w:rPr>
                <w:rFonts w:eastAsia="Times New Roman"/>
                <w:color w:val="000000"/>
                <w:sz w:val="18"/>
                <w:szCs w:val="18"/>
              </w:rPr>
            </w:pPr>
            <w:r w:rsidRPr="00A75729">
              <w:rPr>
                <w:rFonts w:eastAsia="Times New Roman"/>
                <w:color w:val="000000"/>
                <w:sz w:val="18"/>
                <w:szCs w:val="18"/>
              </w:rPr>
              <w:t>Los Ramones, Nuevo León</w:t>
            </w:r>
          </w:p>
        </w:tc>
        <w:tc>
          <w:tcPr>
            <w:tcW w:w="4536" w:type="dxa"/>
            <w:shd w:val="clear" w:color="auto" w:fill="auto"/>
            <w:vAlign w:val="center"/>
          </w:tcPr>
          <w:p w:rsidR="00843DF9" w:rsidRPr="00A75729" w:rsidRDefault="00843DF9" w:rsidP="00843DF9">
            <w:pPr>
              <w:spacing w:before="0" w:after="0"/>
              <w:rPr>
                <w:rFonts w:eastAsia="Times New Roman"/>
                <w:color w:val="000000"/>
                <w:sz w:val="18"/>
                <w:szCs w:val="18"/>
              </w:rPr>
            </w:pPr>
            <w:r w:rsidRPr="00A75729">
              <w:rPr>
                <w:rFonts w:eastAsia="Times New Roman"/>
                <w:color w:val="000000"/>
                <w:sz w:val="18"/>
                <w:szCs w:val="18"/>
              </w:rPr>
              <w:t>Frecuencia Modulada Monterrey, S.A. de C.V.</w:t>
            </w:r>
          </w:p>
        </w:tc>
      </w:tr>
      <w:tr w:rsidR="00843DF9" w:rsidRPr="00A75729" w:rsidTr="00EE6C18">
        <w:trPr>
          <w:cantSplit/>
          <w:jc w:val="center"/>
        </w:trPr>
        <w:tc>
          <w:tcPr>
            <w:tcW w:w="1271" w:type="dxa"/>
            <w:vAlign w:val="center"/>
          </w:tcPr>
          <w:p w:rsidR="00843DF9" w:rsidRPr="00A75729" w:rsidRDefault="00843DF9" w:rsidP="00843DF9">
            <w:pPr>
              <w:spacing w:before="0" w:after="0"/>
              <w:jc w:val="left"/>
              <w:rPr>
                <w:rFonts w:eastAsia="Times New Roman"/>
                <w:color w:val="000000"/>
                <w:sz w:val="18"/>
                <w:szCs w:val="18"/>
              </w:rPr>
            </w:pPr>
            <w:proofErr w:type="spellStart"/>
            <w:r w:rsidRPr="00A75729">
              <w:rPr>
                <w:rFonts w:eastAsia="Times New Roman"/>
                <w:color w:val="000000"/>
                <w:sz w:val="18"/>
                <w:szCs w:val="18"/>
              </w:rPr>
              <w:t>XHMG</w:t>
            </w:r>
            <w:proofErr w:type="spellEnd"/>
            <w:r w:rsidRPr="00A75729">
              <w:rPr>
                <w:rFonts w:eastAsia="Times New Roman"/>
                <w:color w:val="000000"/>
                <w:sz w:val="18"/>
                <w:szCs w:val="18"/>
              </w:rPr>
              <w:t>-FM</w:t>
            </w:r>
          </w:p>
        </w:tc>
        <w:tc>
          <w:tcPr>
            <w:tcW w:w="1134" w:type="dxa"/>
            <w:vAlign w:val="center"/>
          </w:tcPr>
          <w:p w:rsidR="00843DF9" w:rsidRPr="00A75729" w:rsidRDefault="00843DF9" w:rsidP="00843DF9">
            <w:pPr>
              <w:spacing w:before="0" w:after="0"/>
              <w:jc w:val="center"/>
              <w:rPr>
                <w:rFonts w:eastAsia="Times New Roman"/>
                <w:color w:val="000000"/>
                <w:sz w:val="18"/>
                <w:szCs w:val="18"/>
              </w:rPr>
            </w:pPr>
            <w:r w:rsidRPr="00A75729">
              <w:rPr>
                <w:rFonts w:eastAsia="Times New Roman"/>
                <w:color w:val="000000"/>
                <w:sz w:val="18"/>
                <w:szCs w:val="18"/>
              </w:rPr>
              <w:t>102.9 MHz</w:t>
            </w:r>
          </w:p>
        </w:tc>
        <w:tc>
          <w:tcPr>
            <w:tcW w:w="2693" w:type="dxa"/>
            <w:shd w:val="clear" w:color="auto" w:fill="auto"/>
            <w:vAlign w:val="center"/>
          </w:tcPr>
          <w:p w:rsidR="00843DF9" w:rsidRPr="00A75729" w:rsidRDefault="00843DF9" w:rsidP="00843DF9">
            <w:pPr>
              <w:spacing w:before="0" w:after="0"/>
              <w:jc w:val="center"/>
              <w:rPr>
                <w:rFonts w:eastAsia="Times New Roman"/>
                <w:color w:val="000000"/>
                <w:sz w:val="18"/>
                <w:szCs w:val="18"/>
              </w:rPr>
            </w:pPr>
            <w:r w:rsidRPr="00A75729">
              <w:rPr>
                <w:rFonts w:eastAsia="Times New Roman"/>
                <w:color w:val="000000"/>
                <w:sz w:val="18"/>
                <w:szCs w:val="18"/>
              </w:rPr>
              <w:t>Monterrey, Nuevo León</w:t>
            </w:r>
          </w:p>
        </w:tc>
        <w:tc>
          <w:tcPr>
            <w:tcW w:w="4536" w:type="dxa"/>
            <w:shd w:val="clear" w:color="auto" w:fill="auto"/>
            <w:vAlign w:val="center"/>
          </w:tcPr>
          <w:p w:rsidR="00843DF9" w:rsidRPr="00A75729" w:rsidRDefault="00843DF9" w:rsidP="00843DF9">
            <w:pPr>
              <w:spacing w:before="0" w:after="0"/>
              <w:rPr>
                <w:rFonts w:eastAsia="Times New Roman"/>
                <w:color w:val="000000"/>
                <w:sz w:val="18"/>
                <w:szCs w:val="18"/>
              </w:rPr>
            </w:pPr>
            <w:proofErr w:type="spellStart"/>
            <w:r w:rsidRPr="00A75729">
              <w:rPr>
                <w:rFonts w:eastAsia="Times New Roman"/>
                <w:color w:val="000000"/>
                <w:sz w:val="18"/>
                <w:szCs w:val="18"/>
              </w:rPr>
              <w:t>COMUNICACION</w:t>
            </w:r>
            <w:proofErr w:type="spellEnd"/>
            <w:r w:rsidRPr="00A75729">
              <w:rPr>
                <w:rFonts w:eastAsia="Times New Roman"/>
                <w:color w:val="000000"/>
                <w:sz w:val="18"/>
                <w:szCs w:val="18"/>
              </w:rPr>
              <w:t xml:space="preserve"> PROFESIONAL, S.A. DE C.V.</w:t>
            </w:r>
          </w:p>
        </w:tc>
      </w:tr>
      <w:tr w:rsidR="00843DF9" w:rsidRPr="00A75729" w:rsidTr="00EE6C18">
        <w:trPr>
          <w:cantSplit/>
          <w:jc w:val="center"/>
        </w:trPr>
        <w:tc>
          <w:tcPr>
            <w:tcW w:w="1271" w:type="dxa"/>
            <w:vAlign w:val="center"/>
          </w:tcPr>
          <w:p w:rsidR="00843DF9" w:rsidRPr="00A75729" w:rsidRDefault="00843DF9" w:rsidP="00843DF9">
            <w:pPr>
              <w:spacing w:before="0" w:after="0"/>
              <w:jc w:val="left"/>
              <w:rPr>
                <w:rFonts w:eastAsia="Times New Roman"/>
                <w:color w:val="000000"/>
                <w:sz w:val="18"/>
                <w:szCs w:val="18"/>
              </w:rPr>
            </w:pPr>
            <w:proofErr w:type="spellStart"/>
            <w:r w:rsidRPr="00A75729">
              <w:rPr>
                <w:rFonts w:eastAsia="Times New Roman"/>
                <w:color w:val="000000"/>
                <w:sz w:val="18"/>
                <w:szCs w:val="18"/>
              </w:rPr>
              <w:t>XHMN</w:t>
            </w:r>
            <w:proofErr w:type="spellEnd"/>
            <w:r w:rsidRPr="00A75729">
              <w:rPr>
                <w:rFonts w:eastAsia="Times New Roman"/>
                <w:color w:val="000000"/>
                <w:sz w:val="18"/>
                <w:szCs w:val="18"/>
              </w:rPr>
              <w:t>-FM</w:t>
            </w:r>
          </w:p>
        </w:tc>
        <w:tc>
          <w:tcPr>
            <w:tcW w:w="1134" w:type="dxa"/>
            <w:vAlign w:val="center"/>
          </w:tcPr>
          <w:p w:rsidR="00843DF9" w:rsidRPr="00A75729" w:rsidRDefault="00843DF9" w:rsidP="00843DF9">
            <w:pPr>
              <w:spacing w:before="0" w:after="0"/>
              <w:jc w:val="center"/>
              <w:rPr>
                <w:rFonts w:eastAsia="Times New Roman"/>
                <w:color w:val="000000"/>
                <w:sz w:val="18"/>
                <w:szCs w:val="18"/>
              </w:rPr>
            </w:pPr>
            <w:r w:rsidRPr="00A75729">
              <w:rPr>
                <w:rFonts w:eastAsia="Times New Roman"/>
                <w:color w:val="000000"/>
                <w:sz w:val="18"/>
                <w:szCs w:val="18"/>
              </w:rPr>
              <w:t>107.7 MHz</w:t>
            </w:r>
          </w:p>
        </w:tc>
        <w:tc>
          <w:tcPr>
            <w:tcW w:w="2693" w:type="dxa"/>
            <w:shd w:val="clear" w:color="auto" w:fill="auto"/>
            <w:vAlign w:val="center"/>
          </w:tcPr>
          <w:p w:rsidR="00843DF9" w:rsidRPr="00A75729" w:rsidRDefault="00843DF9" w:rsidP="00843DF9">
            <w:pPr>
              <w:spacing w:before="0" w:after="0"/>
              <w:jc w:val="center"/>
              <w:rPr>
                <w:rFonts w:eastAsia="Times New Roman"/>
                <w:color w:val="000000"/>
                <w:sz w:val="18"/>
                <w:szCs w:val="18"/>
              </w:rPr>
            </w:pPr>
            <w:r w:rsidRPr="00A75729">
              <w:rPr>
                <w:rFonts w:eastAsia="Times New Roman"/>
                <w:color w:val="000000"/>
                <w:sz w:val="18"/>
                <w:szCs w:val="18"/>
              </w:rPr>
              <w:t>Monterrey, Nuevo León</w:t>
            </w:r>
          </w:p>
        </w:tc>
        <w:tc>
          <w:tcPr>
            <w:tcW w:w="4536" w:type="dxa"/>
            <w:shd w:val="clear" w:color="auto" w:fill="auto"/>
            <w:vAlign w:val="center"/>
          </w:tcPr>
          <w:p w:rsidR="00843DF9" w:rsidRPr="00A75729" w:rsidRDefault="00843DF9" w:rsidP="00843DF9">
            <w:pPr>
              <w:spacing w:before="0" w:after="0"/>
              <w:rPr>
                <w:rFonts w:eastAsia="Times New Roman"/>
                <w:color w:val="000000"/>
                <w:sz w:val="18"/>
                <w:szCs w:val="18"/>
              </w:rPr>
            </w:pPr>
            <w:r w:rsidRPr="00A75729">
              <w:rPr>
                <w:rFonts w:eastAsia="Times New Roman"/>
                <w:color w:val="000000"/>
                <w:sz w:val="18"/>
                <w:szCs w:val="18"/>
              </w:rPr>
              <w:t>IMAGEN MONTERREY, S.A. DE C.V.</w:t>
            </w:r>
          </w:p>
        </w:tc>
      </w:tr>
      <w:tr w:rsidR="00843DF9" w:rsidRPr="00A75729" w:rsidTr="00EE6C18">
        <w:trPr>
          <w:cantSplit/>
          <w:jc w:val="center"/>
        </w:trPr>
        <w:tc>
          <w:tcPr>
            <w:tcW w:w="1271" w:type="dxa"/>
            <w:vAlign w:val="center"/>
          </w:tcPr>
          <w:p w:rsidR="00843DF9" w:rsidRPr="00A75729" w:rsidRDefault="00843DF9" w:rsidP="00843DF9">
            <w:pPr>
              <w:spacing w:before="0" w:after="0"/>
              <w:jc w:val="left"/>
              <w:rPr>
                <w:rFonts w:eastAsia="Times New Roman"/>
                <w:color w:val="000000"/>
                <w:sz w:val="18"/>
                <w:szCs w:val="18"/>
              </w:rPr>
            </w:pPr>
            <w:proofErr w:type="spellStart"/>
            <w:r w:rsidRPr="00A75729">
              <w:rPr>
                <w:rFonts w:eastAsia="Times New Roman"/>
                <w:color w:val="000000"/>
                <w:sz w:val="18"/>
                <w:szCs w:val="18"/>
              </w:rPr>
              <w:t>XHMSN</w:t>
            </w:r>
            <w:proofErr w:type="spellEnd"/>
            <w:r w:rsidRPr="00A75729">
              <w:rPr>
                <w:rFonts w:eastAsia="Times New Roman"/>
                <w:color w:val="000000"/>
                <w:sz w:val="18"/>
                <w:szCs w:val="18"/>
              </w:rPr>
              <w:t>-FM</w:t>
            </w:r>
          </w:p>
        </w:tc>
        <w:tc>
          <w:tcPr>
            <w:tcW w:w="1134" w:type="dxa"/>
            <w:vAlign w:val="center"/>
          </w:tcPr>
          <w:p w:rsidR="00843DF9" w:rsidRPr="00A75729" w:rsidRDefault="00843DF9" w:rsidP="00843DF9">
            <w:pPr>
              <w:spacing w:before="0" w:after="0"/>
              <w:jc w:val="center"/>
              <w:rPr>
                <w:rFonts w:eastAsia="Times New Roman"/>
                <w:color w:val="000000"/>
                <w:sz w:val="18"/>
                <w:szCs w:val="18"/>
              </w:rPr>
            </w:pPr>
            <w:r w:rsidRPr="00A75729">
              <w:rPr>
                <w:rFonts w:eastAsia="Times New Roman"/>
                <w:color w:val="000000"/>
                <w:sz w:val="18"/>
                <w:szCs w:val="18"/>
              </w:rPr>
              <w:t>96.5 MHz</w:t>
            </w:r>
          </w:p>
        </w:tc>
        <w:tc>
          <w:tcPr>
            <w:tcW w:w="2693" w:type="dxa"/>
            <w:shd w:val="clear" w:color="auto" w:fill="auto"/>
            <w:vAlign w:val="center"/>
          </w:tcPr>
          <w:p w:rsidR="00843DF9" w:rsidRPr="00A75729" w:rsidRDefault="00843DF9" w:rsidP="00843DF9">
            <w:pPr>
              <w:spacing w:before="0" w:after="0"/>
              <w:jc w:val="center"/>
              <w:rPr>
                <w:rFonts w:eastAsia="Times New Roman"/>
                <w:color w:val="000000"/>
                <w:sz w:val="18"/>
                <w:szCs w:val="18"/>
              </w:rPr>
            </w:pPr>
            <w:r w:rsidRPr="00A75729">
              <w:rPr>
                <w:rFonts w:eastAsia="Times New Roman"/>
                <w:color w:val="000000"/>
                <w:sz w:val="18"/>
                <w:szCs w:val="18"/>
              </w:rPr>
              <w:t>Cadereyta, Nuevo León</w:t>
            </w:r>
          </w:p>
        </w:tc>
        <w:tc>
          <w:tcPr>
            <w:tcW w:w="4536" w:type="dxa"/>
            <w:shd w:val="clear" w:color="auto" w:fill="auto"/>
            <w:vAlign w:val="center"/>
          </w:tcPr>
          <w:p w:rsidR="00843DF9" w:rsidRPr="00A75729" w:rsidRDefault="00843DF9" w:rsidP="00843DF9">
            <w:pPr>
              <w:spacing w:before="0" w:after="0"/>
              <w:rPr>
                <w:rFonts w:eastAsia="Times New Roman"/>
                <w:color w:val="000000"/>
                <w:sz w:val="18"/>
                <w:szCs w:val="18"/>
              </w:rPr>
            </w:pPr>
            <w:r w:rsidRPr="00A75729">
              <w:rPr>
                <w:rFonts w:eastAsia="Times New Roman"/>
                <w:color w:val="000000"/>
                <w:sz w:val="18"/>
                <w:szCs w:val="18"/>
              </w:rPr>
              <w:t>Jorge Álvaro Gámez González</w:t>
            </w:r>
          </w:p>
        </w:tc>
      </w:tr>
      <w:tr w:rsidR="00843DF9" w:rsidRPr="00A75729" w:rsidTr="00EE6C18">
        <w:trPr>
          <w:cantSplit/>
          <w:jc w:val="center"/>
        </w:trPr>
        <w:tc>
          <w:tcPr>
            <w:tcW w:w="1271" w:type="dxa"/>
            <w:vAlign w:val="center"/>
          </w:tcPr>
          <w:p w:rsidR="00843DF9" w:rsidRPr="00A75729" w:rsidRDefault="00843DF9" w:rsidP="00843DF9">
            <w:pPr>
              <w:spacing w:before="0" w:after="0"/>
              <w:jc w:val="left"/>
              <w:rPr>
                <w:rFonts w:eastAsia="Times New Roman"/>
                <w:color w:val="000000"/>
                <w:sz w:val="18"/>
                <w:szCs w:val="18"/>
              </w:rPr>
            </w:pPr>
            <w:proofErr w:type="spellStart"/>
            <w:r w:rsidRPr="00A75729">
              <w:rPr>
                <w:rFonts w:eastAsia="Times New Roman"/>
                <w:color w:val="000000"/>
                <w:sz w:val="18"/>
                <w:szCs w:val="18"/>
              </w:rPr>
              <w:t>XHQQ</w:t>
            </w:r>
            <w:proofErr w:type="spellEnd"/>
            <w:r w:rsidRPr="00A75729">
              <w:rPr>
                <w:rFonts w:eastAsia="Times New Roman"/>
                <w:color w:val="000000"/>
                <w:sz w:val="18"/>
                <w:szCs w:val="18"/>
              </w:rPr>
              <w:t>-FM</w:t>
            </w:r>
          </w:p>
        </w:tc>
        <w:tc>
          <w:tcPr>
            <w:tcW w:w="1134" w:type="dxa"/>
            <w:vAlign w:val="center"/>
          </w:tcPr>
          <w:p w:rsidR="00843DF9" w:rsidRPr="00A75729" w:rsidRDefault="00843DF9" w:rsidP="00843DF9">
            <w:pPr>
              <w:spacing w:before="0" w:after="0"/>
              <w:jc w:val="center"/>
              <w:rPr>
                <w:rFonts w:eastAsia="Times New Roman"/>
                <w:color w:val="000000"/>
                <w:sz w:val="18"/>
                <w:szCs w:val="18"/>
              </w:rPr>
            </w:pPr>
            <w:r w:rsidRPr="00A75729">
              <w:rPr>
                <w:rFonts w:eastAsia="Times New Roman"/>
                <w:color w:val="000000"/>
                <w:sz w:val="18"/>
                <w:szCs w:val="18"/>
              </w:rPr>
              <w:t>93.3 MHz</w:t>
            </w:r>
          </w:p>
        </w:tc>
        <w:tc>
          <w:tcPr>
            <w:tcW w:w="2693" w:type="dxa"/>
            <w:shd w:val="clear" w:color="auto" w:fill="auto"/>
            <w:vAlign w:val="center"/>
          </w:tcPr>
          <w:p w:rsidR="00843DF9" w:rsidRPr="00A75729" w:rsidRDefault="00843DF9" w:rsidP="00843DF9">
            <w:pPr>
              <w:spacing w:before="0" w:after="0"/>
              <w:jc w:val="center"/>
              <w:rPr>
                <w:rFonts w:eastAsia="Times New Roman"/>
                <w:color w:val="000000"/>
                <w:sz w:val="18"/>
                <w:szCs w:val="18"/>
              </w:rPr>
            </w:pPr>
            <w:r w:rsidRPr="00A75729">
              <w:rPr>
                <w:rFonts w:eastAsia="Times New Roman"/>
                <w:color w:val="000000"/>
                <w:sz w:val="18"/>
                <w:szCs w:val="18"/>
              </w:rPr>
              <w:t>Monterrey, Nuevo León</w:t>
            </w:r>
          </w:p>
        </w:tc>
        <w:tc>
          <w:tcPr>
            <w:tcW w:w="4536" w:type="dxa"/>
            <w:shd w:val="clear" w:color="auto" w:fill="auto"/>
            <w:vAlign w:val="center"/>
          </w:tcPr>
          <w:p w:rsidR="00843DF9" w:rsidRPr="00A75729" w:rsidRDefault="00843DF9" w:rsidP="00843DF9">
            <w:pPr>
              <w:spacing w:before="0" w:after="0"/>
              <w:rPr>
                <w:rFonts w:eastAsia="Times New Roman"/>
                <w:color w:val="000000"/>
                <w:sz w:val="18"/>
                <w:szCs w:val="18"/>
              </w:rPr>
            </w:pPr>
            <w:r w:rsidRPr="00A75729">
              <w:rPr>
                <w:rFonts w:eastAsia="Times New Roman"/>
                <w:color w:val="000000"/>
                <w:sz w:val="18"/>
                <w:szCs w:val="18"/>
              </w:rPr>
              <w:t xml:space="preserve">RADIO EMISORA </w:t>
            </w:r>
            <w:proofErr w:type="spellStart"/>
            <w:r w:rsidRPr="00A75729">
              <w:rPr>
                <w:rFonts w:eastAsia="Times New Roman"/>
                <w:color w:val="000000"/>
                <w:sz w:val="18"/>
                <w:szCs w:val="18"/>
              </w:rPr>
              <w:t>XHSP</w:t>
            </w:r>
            <w:proofErr w:type="spellEnd"/>
            <w:r w:rsidRPr="00A75729">
              <w:rPr>
                <w:rFonts w:eastAsia="Times New Roman"/>
                <w:color w:val="000000"/>
                <w:sz w:val="18"/>
                <w:szCs w:val="18"/>
              </w:rPr>
              <w:t>-FM, S.A. DE C.V.</w:t>
            </w:r>
          </w:p>
        </w:tc>
      </w:tr>
      <w:tr w:rsidR="00843DF9" w:rsidRPr="00A75729" w:rsidTr="00EE6C18">
        <w:trPr>
          <w:cantSplit/>
          <w:jc w:val="center"/>
        </w:trPr>
        <w:tc>
          <w:tcPr>
            <w:tcW w:w="1271" w:type="dxa"/>
            <w:vAlign w:val="center"/>
          </w:tcPr>
          <w:p w:rsidR="00843DF9" w:rsidRPr="00A75729" w:rsidRDefault="00843DF9" w:rsidP="00843DF9">
            <w:pPr>
              <w:spacing w:before="0" w:after="0"/>
              <w:jc w:val="left"/>
              <w:rPr>
                <w:rFonts w:eastAsia="Times New Roman"/>
                <w:color w:val="000000"/>
                <w:sz w:val="18"/>
                <w:szCs w:val="18"/>
              </w:rPr>
            </w:pPr>
            <w:proofErr w:type="spellStart"/>
            <w:r w:rsidRPr="00A75729">
              <w:rPr>
                <w:rFonts w:eastAsia="Times New Roman"/>
                <w:color w:val="000000"/>
                <w:sz w:val="18"/>
                <w:szCs w:val="18"/>
              </w:rPr>
              <w:t>XHRK</w:t>
            </w:r>
            <w:proofErr w:type="spellEnd"/>
            <w:r w:rsidRPr="00A75729">
              <w:rPr>
                <w:rFonts w:eastAsia="Times New Roman"/>
                <w:color w:val="000000"/>
                <w:sz w:val="18"/>
                <w:szCs w:val="18"/>
              </w:rPr>
              <w:t>-FM</w:t>
            </w:r>
          </w:p>
        </w:tc>
        <w:tc>
          <w:tcPr>
            <w:tcW w:w="1134" w:type="dxa"/>
            <w:vAlign w:val="center"/>
          </w:tcPr>
          <w:p w:rsidR="00843DF9" w:rsidRPr="00A75729" w:rsidRDefault="00843DF9" w:rsidP="00843DF9">
            <w:pPr>
              <w:spacing w:before="0" w:after="0"/>
              <w:jc w:val="center"/>
              <w:rPr>
                <w:rFonts w:eastAsia="Times New Roman"/>
                <w:color w:val="000000"/>
                <w:sz w:val="18"/>
                <w:szCs w:val="18"/>
              </w:rPr>
            </w:pPr>
            <w:r w:rsidRPr="00A75729">
              <w:rPr>
                <w:rFonts w:eastAsia="Times New Roman"/>
                <w:color w:val="000000"/>
                <w:sz w:val="18"/>
                <w:szCs w:val="18"/>
              </w:rPr>
              <w:t>95.7 MHz</w:t>
            </w:r>
          </w:p>
        </w:tc>
        <w:tc>
          <w:tcPr>
            <w:tcW w:w="2693" w:type="dxa"/>
            <w:shd w:val="clear" w:color="auto" w:fill="auto"/>
            <w:vAlign w:val="center"/>
          </w:tcPr>
          <w:p w:rsidR="00843DF9" w:rsidRPr="00A75729" w:rsidRDefault="00843DF9" w:rsidP="00843DF9">
            <w:pPr>
              <w:spacing w:before="0" w:after="0"/>
              <w:jc w:val="center"/>
              <w:rPr>
                <w:rFonts w:eastAsia="Times New Roman"/>
                <w:color w:val="000000"/>
                <w:sz w:val="18"/>
                <w:szCs w:val="18"/>
              </w:rPr>
            </w:pPr>
            <w:r w:rsidRPr="00A75729">
              <w:rPr>
                <w:rFonts w:eastAsia="Times New Roman"/>
                <w:color w:val="000000"/>
                <w:sz w:val="18"/>
                <w:szCs w:val="18"/>
              </w:rPr>
              <w:t>Monterrey, Nuevo León</w:t>
            </w:r>
          </w:p>
        </w:tc>
        <w:tc>
          <w:tcPr>
            <w:tcW w:w="4536" w:type="dxa"/>
            <w:shd w:val="clear" w:color="auto" w:fill="auto"/>
            <w:vAlign w:val="center"/>
          </w:tcPr>
          <w:p w:rsidR="00843DF9" w:rsidRPr="00A75729" w:rsidRDefault="00843DF9" w:rsidP="00843DF9">
            <w:pPr>
              <w:spacing w:before="0" w:after="0"/>
              <w:rPr>
                <w:rFonts w:eastAsia="Times New Roman"/>
                <w:color w:val="000000"/>
                <w:sz w:val="18"/>
                <w:szCs w:val="18"/>
              </w:rPr>
            </w:pPr>
            <w:r w:rsidRPr="00A75729">
              <w:rPr>
                <w:rFonts w:eastAsia="Times New Roman"/>
                <w:color w:val="000000"/>
                <w:sz w:val="18"/>
                <w:szCs w:val="18"/>
              </w:rPr>
              <w:t>RADIO FIESTA, S.A. DE C.V.</w:t>
            </w:r>
          </w:p>
        </w:tc>
      </w:tr>
      <w:tr w:rsidR="00843DF9" w:rsidRPr="00A75729" w:rsidTr="00EE6C18">
        <w:trPr>
          <w:cantSplit/>
          <w:jc w:val="center"/>
        </w:trPr>
        <w:tc>
          <w:tcPr>
            <w:tcW w:w="1271" w:type="dxa"/>
            <w:vAlign w:val="center"/>
          </w:tcPr>
          <w:p w:rsidR="00843DF9" w:rsidRPr="00A75729" w:rsidRDefault="00843DF9" w:rsidP="00843DF9">
            <w:pPr>
              <w:spacing w:before="0" w:after="0"/>
              <w:jc w:val="left"/>
              <w:rPr>
                <w:rFonts w:eastAsia="Times New Roman"/>
                <w:color w:val="000000"/>
                <w:sz w:val="18"/>
                <w:szCs w:val="18"/>
              </w:rPr>
            </w:pPr>
            <w:proofErr w:type="spellStart"/>
            <w:r w:rsidRPr="00A75729">
              <w:rPr>
                <w:rFonts w:eastAsia="Times New Roman"/>
                <w:color w:val="000000"/>
                <w:sz w:val="18"/>
                <w:szCs w:val="18"/>
              </w:rPr>
              <w:t>XHSP</w:t>
            </w:r>
            <w:proofErr w:type="spellEnd"/>
            <w:r w:rsidRPr="00A75729">
              <w:rPr>
                <w:rFonts w:eastAsia="Times New Roman"/>
                <w:color w:val="000000"/>
                <w:sz w:val="18"/>
                <w:szCs w:val="18"/>
              </w:rPr>
              <w:t>-FM</w:t>
            </w:r>
          </w:p>
        </w:tc>
        <w:tc>
          <w:tcPr>
            <w:tcW w:w="1134" w:type="dxa"/>
            <w:vAlign w:val="center"/>
          </w:tcPr>
          <w:p w:rsidR="00843DF9" w:rsidRPr="00A75729" w:rsidRDefault="00843DF9" w:rsidP="00843DF9">
            <w:pPr>
              <w:spacing w:before="0" w:after="0"/>
              <w:jc w:val="center"/>
              <w:rPr>
                <w:rFonts w:eastAsia="Times New Roman"/>
                <w:color w:val="000000"/>
                <w:sz w:val="18"/>
                <w:szCs w:val="18"/>
              </w:rPr>
            </w:pPr>
            <w:r w:rsidRPr="00A75729">
              <w:rPr>
                <w:rFonts w:eastAsia="Times New Roman"/>
                <w:color w:val="000000"/>
                <w:sz w:val="18"/>
                <w:szCs w:val="18"/>
              </w:rPr>
              <w:t>99.7 MHz</w:t>
            </w:r>
          </w:p>
        </w:tc>
        <w:tc>
          <w:tcPr>
            <w:tcW w:w="2693" w:type="dxa"/>
            <w:shd w:val="clear" w:color="auto" w:fill="auto"/>
            <w:vAlign w:val="center"/>
          </w:tcPr>
          <w:p w:rsidR="00843DF9" w:rsidRPr="00A75729" w:rsidRDefault="00843DF9" w:rsidP="00843DF9">
            <w:pPr>
              <w:spacing w:before="0" w:after="0"/>
              <w:jc w:val="center"/>
              <w:rPr>
                <w:rFonts w:eastAsia="Times New Roman"/>
                <w:color w:val="000000"/>
                <w:sz w:val="18"/>
                <w:szCs w:val="18"/>
              </w:rPr>
            </w:pPr>
            <w:r w:rsidRPr="00A75729">
              <w:rPr>
                <w:rFonts w:eastAsia="Times New Roman"/>
                <w:color w:val="000000"/>
                <w:sz w:val="18"/>
                <w:szCs w:val="18"/>
              </w:rPr>
              <w:t>Monterrey, Nuevo León</w:t>
            </w:r>
          </w:p>
        </w:tc>
        <w:tc>
          <w:tcPr>
            <w:tcW w:w="4536" w:type="dxa"/>
            <w:shd w:val="clear" w:color="auto" w:fill="auto"/>
            <w:vAlign w:val="center"/>
          </w:tcPr>
          <w:p w:rsidR="00843DF9" w:rsidRPr="00A75729" w:rsidRDefault="00843DF9" w:rsidP="00843DF9">
            <w:pPr>
              <w:spacing w:before="0" w:after="0"/>
              <w:rPr>
                <w:rFonts w:eastAsia="Times New Roman"/>
                <w:color w:val="000000"/>
                <w:sz w:val="18"/>
                <w:szCs w:val="18"/>
              </w:rPr>
            </w:pPr>
            <w:r w:rsidRPr="00A75729">
              <w:rPr>
                <w:rFonts w:eastAsia="Times New Roman"/>
                <w:color w:val="000000"/>
                <w:sz w:val="18"/>
                <w:szCs w:val="18"/>
              </w:rPr>
              <w:t xml:space="preserve">RADIO EMISORA </w:t>
            </w:r>
            <w:proofErr w:type="spellStart"/>
            <w:r w:rsidRPr="00A75729">
              <w:rPr>
                <w:rFonts w:eastAsia="Times New Roman"/>
                <w:color w:val="000000"/>
                <w:sz w:val="18"/>
                <w:szCs w:val="18"/>
              </w:rPr>
              <w:t>XHSP</w:t>
            </w:r>
            <w:proofErr w:type="spellEnd"/>
            <w:r w:rsidRPr="00A75729">
              <w:rPr>
                <w:rFonts w:eastAsia="Times New Roman"/>
                <w:color w:val="000000"/>
                <w:sz w:val="18"/>
                <w:szCs w:val="18"/>
              </w:rPr>
              <w:t>-FM, S.A. DE C.V.</w:t>
            </w:r>
          </w:p>
        </w:tc>
      </w:tr>
      <w:tr w:rsidR="00843DF9" w:rsidRPr="00A75729" w:rsidTr="00EE6C18">
        <w:trPr>
          <w:cantSplit/>
          <w:jc w:val="center"/>
        </w:trPr>
        <w:tc>
          <w:tcPr>
            <w:tcW w:w="1271" w:type="dxa"/>
            <w:vAlign w:val="center"/>
          </w:tcPr>
          <w:p w:rsidR="00843DF9" w:rsidRPr="00A75729" w:rsidRDefault="00843DF9" w:rsidP="00843DF9">
            <w:pPr>
              <w:spacing w:before="0" w:after="0"/>
              <w:jc w:val="left"/>
              <w:rPr>
                <w:rFonts w:eastAsia="Times New Roman"/>
                <w:color w:val="000000"/>
                <w:sz w:val="18"/>
                <w:szCs w:val="18"/>
              </w:rPr>
            </w:pPr>
            <w:proofErr w:type="spellStart"/>
            <w:r w:rsidRPr="00A75729">
              <w:rPr>
                <w:rFonts w:eastAsia="Times New Roman"/>
                <w:color w:val="000000"/>
                <w:sz w:val="18"/>
                <w:szCs w:val="18"/>
              </w:rPr>
              <w:t>XHXL</w:t>
            </w:r>
            <w:proofErr w:type="spellEnd"/>
            <w:r w:rsidRPr="00A75729">
              <w:rPr>
                <w:rFonts w:eastAsia="Times New Roman"/>
                <w:color w:val="000000"/>
                <w:sz w:val="18"/>
                <w:szCs w:val="18"/>
              </w:rPr>
              <w:t>-FM</w:t>
            </w:r>
          </w:p>
        </w:tc>
        <w:tc>
          <w:tcPr>
            <w:tcW w:w="1134" w:type="dxa"/>
            <w:vAlign w:val="center"/>
          </w:tcPr>
          <w:p w:rsidR="00843DF9" w:rsidRPr="00A75729" w:rsidRDefault="00DD1B33" w:rsidP="00843DF9">
            <w:pPr>
              <w:spacing w:before="0" w:after="0"/>
              <w:jc w:val="center"/>
              <w:rPr>
                <w:rFonts w:eastAsia="Times New Roman"/>
                <w:color w:val="000000"/>
                <w:sz w:val="18"/>
                <w:szCs w:val="18"/>
              </w:rPr>
            </w:pPr>
            <w:r w:rsidRPr="00A75729">
              <w:rPr>
                <w:rFonts w:eastAsia="Times New Roman"/>
                <w:color w:val="000000"/>
                <w:sz w:val="18"/>
                <w:szCs w:val="18"/>
              </w:rPr>
              <w:t>91.7 MHz</w:t>
            </w:r>
          </w:p>
        </w:tc>
        <w:tc>
          <w:tcPr>
            <w:tcW w:w="2693" w:type="dxa"/>
            <w:shd w:val="clear" w:color="auto" w:fill="auto"/>
            <w:vAlign w:val="center"/>
          </w:tcPr>
          <w:p w:rsidR="00843DF9" w:rsidRPr="00A75729" w:rsidRDefault="00843DF9" w:rsidP="00843DF9">
            <w:pPr>
              <w:spacing w:before="0" w:after="0"/>
              <w:jc w:val="center"/>
              <w:rPr>
                <w:rFonts w:eastAsia="Times New Roman"/>
                <w:color w:val="000000"/>
                <w:sz w:val="18"/>
                <w:szCs w:val="18"/>
              </w:rPr>
            </w:pPr>
            <w:r w:rsidRPr="00A75729">
              <w:rPr>
                <w:rFonts w:eastAsia="Times New Roman"/>
                <w:color w:val="000000"/>
                <w:sz w:val="18"/>
                <w:szCs w:val="18"/>
              </w:rPr>
              <w:t>Monterrey, Nuevo León</w:t>
            </w:r>
          </w:p>
        </w:tc>
        <w:tc>
          <w:tcPr>
            <w:tcW w:w="4536" w:type="dxa"/>
            <w:shd w:val="clear" w:color="auto" w:fill="auto"/>
            <w:vAlign w:val="center"/>
          </w:tcPr>
          <w:p w:rsidR="00843DF9" w:rsidRPr="00A75729" w:rsidRDefault="00843DF9" w:rsidP="00843DF9">
            <w:pPr>
              <w:spacing w:before="0" w:after="0"/>
              <w:rPr>
                <w:rFonts w:eastAsia="Times New Roman"/>
                <w:color w:val="000000"/>
                <w:sz w:val="18"/>
                <w:szCs w:val="18"/>
              </w:rPr>
            </w:pPr>
            <w:r w:rsidRPr="00A75729">
              <w:rPr>
                <w:rFonts w:eastAsia="Times New Roman"/>
                <w:color w:val="000000"/>
                <w:sz w:val="18"/>
                <w:szCs w:val="18"/>
              </w:rPr>
              <w:t>PROFESIONALES DE LA RADIO, S.A. DE C.V.</w:t>
            </w:r>
          </w:p>
        </w:tc>
      </w:tr>
      <w:tr w:rsidR="00DD1B33" w:rsidRPr="00A75729" w:rsidTr="00EE6C18">
        <w:trPr>
          <w:cantSplit/>
          <w:jc w:val="center"/>
        </w:trPr>
        <w:tc>
          <w:tcPr>
            <w:tcW w:w="1271" w:type="dxa"/>
            <w:vAlign w:val="center"/>
          </w:tcPr>
          <w:p w:rsidR="00DD1B33" w:rsidRPr="00A75729" w:rsidRDefault="00DD1B33" w:rsidP="00DD1B33">
            <w:pPr>
              <w:spacing w:before="0" w:after="0"/>
              <w:jc w:val="left"/>
              <w:rPr>
                <w:rFonts w:eastAsia="Times New Roman"/>
                <w:color w:val="000000"/>
                <w:sz w:val="18"/>
                <w:szCs w:val="18"/>
              </w:rPr>
            </w:pPr>
            <w:proofErr w:type="spellStart"/>
            <w:r w:rsidRPr="00A75729">
              <w:rPr>
                <w:rFonts w:eastAsia="Times New Roman"/>
                <w:color w:val="000000"/>
                <w:sz w:val="18"/>
                <w:szCs w:val="18"/>
              </w:rPr>
              <w:t>XET</w:t>
            </w:r>
            <w:proofErr w:type="spellEnd"/>
            <w:r w:rsidRPr="00A75729">
              <w:rPr>
                <w:rFonts w:eastAsia="Times New Roman"/>
                <w:color w:val="000000"/>
                <w:sz w:val="18"/>
                <w:szCs w:val="18"/>
              </w:rPr>
              <w:t>-FM</w:t>
            </w:r>
          </w:p>
        </w:tc>
        <w:tc>
          <w:tcPr>
            <w:tcW w:w="1134" w:type="dxa"/>
            <w:vAlign w:val="center"/>
          </w:tcPr>
          <w:p w:rsidR="00DD1B33" w:rsidRPr="00A75729" w:rsidRDefault="00DD1B33" w:rsidP="00DD1B33">
            <w:pPr>
              <w:spacing w:before="0" w:after="0"/>
              <w:jc w:val="center"/>
              <w:rPr>
                <w:rFonts w:eastAsia="Times New Roman"/>
                <w:color w:val="000000"/>
                <w:sz w:val="18"/>
                <w:szCs w:val="18"/>
              </w:rPr>
            </w:pPr>
            <w:r w:rsidRPr="00A75729">
              <w:rPr>
                <w:color w:val="000000"/>
                <w:sz w:val="18"/>
                <w:szCs w:val="18"/>
              </w:rPr>
              <w:t>94.1 MHz</w:t>
            </w:r>
          </w:p>
        </w:tc>
        <w:tc>
          <w:tcPr>
            <w:tcW w:w="2693" w:type="dxa"/>
            <w:shd w:val="clear" w:color="auto" w:fill="auto"/>
            <w:vAlign w:val="center"/>
          </w:tcPr>
          <w:p w:rsidR="00DD1B33" w:rsidRPr="00A75729" w:rsidRDefault="00DD1B33" w:rsidP="00DD1B33">
            <w:pPr>
              <w:spacing w:before="0" w:after="0"/>
              <w:jc w:val="center"/>
              <w:rPr>
                <w:rFonts w:eastAsia="Times New Roman"/>
                <w:color w:val="000000"/>
                <w:sz w:val="18"/>
                <w:szCs w:val="18"/>
              </w:rPr>
            </w:pPr>
            <w:r w:rsidRPr="00A75729">
              <w:rPr>
                <w:rFonts w:eastAsia="Times New Roman"/>
                <w:sz w:val="18"/>
                <w:szCs w:val="18"/>
              </w:rPr>
              <w:t>Monterrey, Nuevo León</w:t>
            </w:r>
          </w:p>
        </w:tc>
        <w:tc>
          <w:tcPr>
            <w:tcW w:w="4536" w:type="dxa"/>
            <w:shd w:val="clear" w:color="auto" w:fill="auto"/>
            <w:vAlign w:val="center"/>
          </w:tcPr>
          <w:p w:rsidR="00DD1B33" w:rsidRPr="00A75729" w:rsidRDefault="00DD1B33" w:rsidP="00DD1B33">
            <w:pPr>
              <w:spacing w:before="0" w:after="0"/>
              <w:rPr>
                <w:rFonts w:eastAsia="Times New Roman"/>
                <w:color w:val="000000"/>
                <w:sz w:val="18"/>
                <w:szCs w:val="18"/>
              </w:rPr>
            </w:pPr>
            <w:r w:rsidRPr="00A75729">
              <w:rPr>
                <w:rFonts w:eastAsia="Times New Roman"/>
                <w:color w:val="000000"/>
                <w:sz w:val="18"/>
                <w:szCs w:val="18"/>
              </w:rPr>
              <w:t>Radio Triunfos</w:t>
            </w:r>
          </w:p>
        </w:tc>
      </w:tr>
      <w:tr w:rsidR="00DD1B33" w:rsidRPr="00A75729" w:rsidTr="00EE6C18">
        <w:trPr>
          <w:cantSplit/>
          <w:jc w:val="center"/>
        </w:trPr>
        <w:tc>
          <w:tcPr>
            <w:tcW w:w="1271" w:type="dxa"/>
            <w:vAlign w:val="center"/>
          </w:tcPr>
          <w:p w:rsidR="00DD1B33" w:rsidRPr="00A75729" w:rsidRDefault="00DD1B33" w:rsidP="00DD1B33">
            <w:pPr>
              <w:spacing w:before="0" w:after="0"/>
              <w:jc w:val="left"/>
              <w:rPr>
                <w:rFonts w:eastAsia="Times New Roman"/>
                <w:color w:val="000000"/>
                <w:sz w:val="18"/>
                <w:szCs w:val="18"/>
              </w:rPr>
            </w:pPr>
            <w:proofErr w:type="spellStart"/>
            <w:r w:rsidRPr="00A75729">
              <w:rPr>
                <w:rFonts w:eastAsia="Times New Roman"/>
                <w:color w:val="000000"/>
                <w:sz w:val="18"/>
                <w:szCs w:val="18"/>
              </w:rPr>
              <w:t>XHAW</w:t>
            </w:r>
            <w:proofErr w:type="spellEnd"/>
            <w:r w:rsidRPr="00A75729">
              <w:rPr>
                <w:rFonts w:eastAsia="Times New Roman"/>
                <w:color w:val="000000"/>
                <w:sz w:val="18"/>
                <w:szCs w:val="18"/>
              </w:rPr>
              <w:t>-FM</w:t>
            </w:r>
          </w:p>
        </w:tc>
        <w:tc>
          <w:tcPr>
            <w:tcW w:w="1134" w:type="dxa"/>
            <w:vAlign w:val="center"/>
          </w:tcPr>
          <w:p w:rsidR="00DD1B33" w:rsidRPr="00A75729" w:rsidRDefault="00DD1B33" w:rsidP="00DD1B33">
            <w:pPr>
              <w:spacing w:before="0" w:after="0"/>
              <w:jc w:val="center"/>
              <w:rPr>
                <w:rFonts w:eastAsia="Times New Roman"/>
                <w:color w:val="000000"/>
                <w:sz w:val="18"/>
                <w:szCs w:val="18"/>
              </w:rPr>
            </w:pPr>
            <w:r w:rsidRPr="00A75729">
              <w:rPr>
                <w:color w:val="000000"/>
                <w:sz w:val="18"/>
                <w:szCs w:val="18"/>
              </w:rPr>
              <w:t>101.3 MHz</w:t>
            </w:r>
          </w:p>
        </w:tc>
        <w:tc>
          <w:tcPr>
            <w:tcW w:w="2693" w:type="dxa"/>
            <w:shd w:val="clear" w:color="auto" w:fill="auto"/>
            <w:vAlign w:val="center"/>
          </w:tcPr>
          <w:p w:rsidR="00DD1B33" w:rsidRPr="00A75729" w:rsidRDefault="00DD1B33" w:rsidP="00DD1B33">
            <w:pPr>
              <w:spacing w:before="0" w:after="0"/>
              <w:jc w:val="center"/>
              <w:rPr>
                <w:rFonts w:eastAsia="Times New Roman"/>
                <w:color w:val="000000"/>
                <w:sz w:val="18"/>
                <w:szCs w:val="18"/>
              </w:rPr>
            </w:pPr>
            <w:r w:rsidRPr="00A75729">
              <w:rPr>
                <w:rFonts w:eastAsia="Times New Roman"/>
                <w:sz w:val="18"/>
                <w:szCs w:val="18"/>
              </w:rPr>
              <w:t>Monterrey, Nuevo León</w:t>
            </w:r>
          </w:p>
        </w:tc>
        <w:tc>
          <w:tcPr>
            <w:tcW w:w="4536" w:type="dxa"/>
            <w:shd w:val="clear" w:color="auto" w:fill="auto"/>
            <w:vAlign w:val="center"/>
          </w:tcPr>
          <w:p w:rsidR="00DD1B33" w:rsidRPr="00A75729" w:rsidRDefault="00DD1B33" w:rsidP="00DD1B33">
            <w:pPr>
              <w:spacing w:before="0" w:after="0"/>
              <w:rPr>
                <w:rFonts w:eastAsia="Times New Roman"/>
                <w:color w:val="000000"/>
                <w:sz w:val="18"/>
                <w:szCs w:val="18"/>
              </w:rPr>
            </w:pPr>
            <w:r w:rsidRPr="00A75729">
              <w:rPr>
                <w:rFonts w:eastAsia="Times New Roman"/>
                <w:color w:val="000000"/>
                <w:sz w:val="18"/>
                <w:szCs w:val="18"/>
              </w:rPr>
              <w:t>Radio Informativa, S.A. de C.V.</w:t>
            </w:r>
          </w:p>
        </w:tc>
      </w:tr>
      <w:tr w:rsidR="00DD1B33" w:rsidRPr="00A75729" w:rsidTr="00EE6C18">
        <w:trPr>
          <w:cantSplit/>
          <w:jc w:val="center"/>
        </w:trPr>
        <w:tc>
          <w:tcPr>
            <w:tcW w:w="1271" w:type="dxa"/>
            <w:vAlign w:val="center"/>
          </w:tcPr>
          <w:p w:rsidR="00DD1B33" w:rsidRPr="00A75729" w:rsidRDefault="00DD1B33" w:rsidP="00DD1B33">
            <w:pPr>
              <w:spacing w:before="0" w:after="0"/>
              <w:jc w:val="left"/>
              <w:rPr>
                <w:rFonts w:eastAsia="Times New Roman"/>
                <w:color w:val="000000"/>
                <w:sz w:val="18"/>
                <w:szCs w:val="18"/>
              </w:rPr>
            </w:pPr>
            <w:proofErr w:type="spellStart"/>
            <w:r w:rsidRPr="00A75729">
              <w:rPr>
                <w:rFonts w:eastAsia="Times New Roman"/>
                <w:color w:val="000000"/>
                <w:sz w:val="18"/>
                <w:szCs w:val="18"/>
              </w:rPr>
              <w:t>XHFMTU</w:t>
            </w:r>
            <w:proofErr w:type="spellEnd"/>
            <w:r w:rsidRPr="00A75729">
              <w:rPr>
                <w:rFonts w:eastAsia="Times New Roman"/>
                <w:color w:val="000000"/>
                <w:sz w:val="18"/>
                <w:szCs w:val="18"/>
              </w:rPr>
              <w:t>-FM</w:t>
            </w:r>
          </w:p>
        </w:tc>
        <w:tc>
          <w:tcPr>
            <w:tcW w:w="1134" w:type="dxa"/>
            <w:vAlign w:val="center"/>
          </w:tcPr>
          <w:p w:rsidR="00DD1B33" w:rsidRPr="00A75729" w:rsidRDefault="00DD1B33" w:rsidP="00DD1B33">
            <w:pPr>
              <w:spacing w:before="0" w:after="0"/>
              <w:jc w:val="center"/>
              <w:rPr>
                <w:rFonts w:eastAsia="Times New Roman"/>
                <w:color w:val="000000"/>
                <w:sz w:val="18"/>
                <w:szCs w:val="18"/>
              </w:rPr>
            </w:pPr>
            <w:r w:rsidRPr="00A75729">
              <w:rPr>
                <w:color w:val="000000"/>
                <w:sz w:val="18"/>
                <w:szCs w:val="18"/>
              </w:rPr>
              <w:t>103.7 MHz</w:t>
            </w:r>
          </w:p>
        </w:tc>
        <w:tc>
          <w:tcPr>
            <w:tcW w:w="2693" w:type="dxa"/>
            <w:shd w:val="clear" w:color="auto" w:fill="auto"/>
            <w:vAlign w:val="center"/>
          </w:tcPr>
          <w:p w:rsidR="00DD1B33" w:rsidRPr="00A75729" w:rsidRDefault="00DD1B33" w:rsidP="00DD1B33">
            <w:pPr>
              <w:spacing w:before="0" w:after="0"/>
              <w:jc w:val="center"/>
              <w:rPr>
                <w:rFonts w:eastAsia="Times New Roman"/>
                <w:color w:val="000000"/>
                <w:sz w:val="18"/>
                <w:szCs w:val="18"/>
              </w:rPr>
            </w:pPr>
            <w:r w:rsidRPr="00A75729">
              <w:rPr>
                <w:rFonts w:eastAsia="Times New Roman"/>
                <w:sz w:val="18"/>
                <w:szCs w:val="18"/>
              </w:rPr>
              <w:t>Monterrey, Nuevo León</w:t>
            </w:r>
          </w:p>
        </w:tc>
        <w:tc>
          <w:tcPr>
            <w:tcW w:w="4536" w:type="dxa"/>
            <w:shd w:val="clear" w:color="auto" w:fill="auto"/>
            <w:vAlign w:val="center"/>
          </w:tcPr>
          <w:p w:rsidR="00DD1B33" w:rsidRPr="00A75729" w:rsidRDefault="00DD1B33" w:rsidP="00DD1B33">
            <w:pPr>
              <w:spacing w:before="0" w:after="0"/>
              <w:rPr>
                <w:rFonts w:eastAsia="Times New Roman"/>
                <w:color w:val="000000"/>
                <w:sz w:val="18"/>
                <w:szCs w:val="18"/>
              </w:rPr>
            </w:pPr>
            <w:r w:rsidRPr="00A75729">
              <w:rPr>
                <w:rFonts w:eastAsia="Times New Roman"/>
                <w:color w:val="000000"/>
                <w:sz w:val="18"/>
                <w:szCs w:val="18"/>
              </w:rPr>
              <w:t>La Voz de Linares, S.A. de C.V.</w:t>
            </w:r>
          </w:p>
        </w:tc>
      </w:tr>
      <w:tr w:rsidR="00DD1B33" w:rsidRPr="00A75729" w:rsidTr="00EE6C18">
        <w:trPr>
          <w:cantSplit/>
          <w:jc w:val="center"/>
        </w:trPr>
        <w:tc>
          <w:tcPr>
            <w:tcW w:w="1271" w:type="dxa"/>
            <w:vAlign w:val="center"/>
          </w:tcPr>
          <w:p w:rsidR="00DD1B33" w:rsidRPr="00A75729" w:rsidRDefault="00DD1B33" w:rsidP="00DD1B33">
            <w:pPr>
              <w:spacing w:before="0" w:after="0"/>
              <w:jc w:val="left"/>
              <w:rPr>
                <w:rFonts w:eastAsia="Times New Roman"/>
                <w:color w:val="000000"/>
                <w:sz w:val="18"/>
                <w:szCs w:val="18"/>
              </w:rPr>
            </w:pPr>
            <w:proofErr w:type="spellStart"/>
            <w:r w:rsidRPr="00A75729">
              <w:rPr>
                <w:rFonts w:eastAsia="Times New Roman"/>
                <w:color w:val="000000"/>
                <w:sz w:val="18"/>
                <w:szCs w:val="18"/>
              </w:rPr>
              <w:t>XHITS</w:t>
            </w:r>
            <w:proofErr w:type="spellEnd"/>
            <w:r w:rsidRPr="00A75729">
              <w:rPr>
                <w:rFonts w:eastAsia="Times New Roman"/>
                <w:color w:val="000000"/>
                <w:sz w:val="18"/>
                <w:szCs w:val="18"/>
              </w:rPr>
              <w:t>-FM</w:t>
            </w:r>
          </w:p>
        </w:tc>
        <w:tc>
          <w:tcPr>
            <w:tcW w:w="1134" w:type="dxa"/>
            <w:vAlign w:val="center"/>
          </w:tcPr>
          <w:p w:rsidR="00DD1B33" w:rsidRPr="00A75729" w:rsidRDefault="00DD1B33" w:rsidP="00DD1B33">
            <w:pPr>
              <w:spacing w:before="0" w:after="0"/>
              <w:jc w:val="center"/>
              <w:rPr>
                <w:rFonts w:eastAsia="Times New Roman"/>
                <w:color w:val="000000"/>
                <w:sz w:val="18"/>
                <w:szCs w:val="18"/>
              </w:rPr>
            </w:pPr>
            <w:r w:rsidRPr="00A75729">
              <w:rPr>
                <w:color w:val="000000"/>
                <w:sz w:val="18"/>
                <w:szCs w:val="18"/>
              </w:rPr>
              <w:t>106.1 MHz</w:t>
            </w:r>
          </w:p>
        </w:tc>
        <w:tc>
          <w:tcPr>
            <w:tcW w:w="2693" w:type="dxa"/>
            <w:shd w:val="clear" w:color="auto" w:fill="auto"/>
            <w:vAlign w:val="center"/>
          </w:tcPr>
          <w:p w:rsidR="00DD1B33" w:rsidRPr="00A75729" w:rsidRDefault="00DD1B33" w:rsidP="00DD1B33">
            <w:pPr>
              <w:spacing w:before="0" w:after="0"/>
              <w:jc w:val="center"/>
              <w:rPr>
                <w:rFonts w:eastAsia="Times New Roman"/>
                <w:color w:val="000000"/>
                <w:sz w:val="18"/>
                <w:szCs w:val="18"/>
              </w:rPr>
            </w:pPr>
            <w:r w:rsidRPr="00A75729">
              <w:rPr>
                <w:rFonts w:eastAsia="Times New Roman"/>
                <w:sz w:val="18"/>
                <w:szCs w:val="18"/>
              </w:rPr>
              <w:t>Monterrey, Nuevo León</w:t>
            </w:r>
          </w:p>
        </w:tc>
        <w:tc>
          <w:tcPr>
            <w:tcW w:w="4536" w:type="dxa"/>
            <w:shd w:val="clear" w:color="auto" w:fill="auto"/>
            <w:vAlign w:val="center"/>
          </w:tcPr>
          <w:p w:rsidR="00DD1B33" w:rsidRPr="00A75729" w:rsidRDefault="00DD1B33" w:rsidP="00DD1B33">
            <w:pPr>
              <w:spacing w:before="0" w:after="0"/>
              <w:rPr>
                <w:rFonts w:eastAsia="Times New Roman"/>
                <w:color w:val="000000"/>
                <w:sz w:val="18"/>
                <w:szCs w:val="18"/>
              </w:rPr>
            </w:pPr>
            <w:r w:rsidRPr="00A75729">
              <w:rPr>
                <w:rFonts w:eastAsia="Times New Roman"/>
                <w:color w:val="000000"/>
                <w:sz w:val="18"/>
                <w:szCs w:val="18"/>
              </w:rPr>
              <w:t>Radio Informativa, S.A. de C.V.</w:t>
            </w:r>
          </w:p>
        </w:tc>
      </w:tr>
      <w:tr w:rsidR="00DD1B33" w:rsidRPr="00A75729" w:rsidTr="00EE6C18">
        <w:trPr>
          <w:cantSplit/>
          <w:jc w:val="center"/>
        </w:trPr>
        <w:tc>
          <w:tcPr>
            <w:tcW w:w="1271" w:type="dxa"/>
            <w:vAlign w:val="center"/>
          </w:tcPr>
          <w:p w:rsidR="00DD1B33" w:rsidRPr="00A75729" w:rsidRDefault="00DD1B33" w:rsidP="00DD1B33">
            <w:pPr>
              <w:spacing w:before="0" w:after="0"/>
              <w:jc w:val="left"/>
              <w:rPr>
                <w:rFonts w:eastAsia="Times New Roman"/>
                <w:color w:val="000000"/>
                <w:sz w:val="18"/>
                <w:szCs w:val="18"/>
              </w:rPr>
            </w:pPr>
            <w:proofErr w:type="spellStart"/>
            <w:r w:rsidRPr="00A75729">
              <w:rPr>
                <w:rFonts w:eastAsia="Times New Roman"/>
                <w:color w:val="000000"/>
                <w:sz w:val="18"/>
                <w:szCs w:val="18"/>
              </w:rPr>
              <w:t>XHJD</w:t>
            </w:r>
            <w:proofErr w:type="spellEnd"/>
            <w:r w:rsidRPr="00A75729">
              <w:rPr>
                <w:rFonts w:eastAsia="Times New Roman"/>
                <w:color w:val="000000"/>
                <w:sz w:val="18"/>
                <w:szCs w:val="18"/>
              </w:rPr>
              <w:t>-FM</w:t>
            </w:r>
          </w:p>
        </w:tc>
        <w:tc>
          <w:tcPr>
            <w:tcW w:w="1134" w:type="dxa"/>
            <w:vAlign w:val="center"/>
          </w:tcPr>
          <w:p w:rsidR="00DD1B33" w:rsidRPr="00A75729" w:rsidRDefault="00DD1B33" w:rsidP="00DD1B33">
            <w:pPr>
              <w:spacing w:before="0" w:after="0"/>
              <w:jc w:val="center"/>
              <w:rPr>
                <w:rFonts w:eastAsia="Times New Roman"/>
                <w:color w:val="000000"/>
                <w:sz w:val="18"/>
                <w:szCs w:val="18"/>
              </w:rPr>
            </w:pPr>
            <w:r w:rsidRPr="00A75729">
              <w:rPr>
                <w:color w:val="000000"/>
                <w:sz w:val="18"/>
                <w:szCs w:val="18"/>
              </w:rPr>
              <w:t>98.9 MHz</w:t>
            </w:r>
          </w:p>
        </w:tc>
        <w:tc>
          <w:tcPr>
            <w:tcW w:w="2693" w:type="dxa"/>
            <w:shd w:val="clear" w:color="auto" w:fill="auto"/>
            <w:vAlign w:val="center"/>
          </w:tcPr>
          <w:p w:rsidR="00DD1B33" w:rsidRPr="00A75729" w:rsidRDefault="00DD1B33" w:rsidP="00DD1B33">
            <w:pPr>
              <w:spacing w:before="0" w:after="0"/>
              <w:jc w:val="center"/>
              <w:rPr>
                <w:rFonts w:eastAsia="Times New Roman"/>
                <w:color w:val="000000"/>
                <w:sz w:val="18"/>
                <w:szCs w:val="18"/>
              </w:rPr>
            </w:pPr>
            <w:r w:rsidRPr="00A75729">
              <w:rPr>
                <w:rFonts w:eastAsia="Times New Roman"/>
                <w:sz w:val="18"/>
                <w:szCs w:val="18"/>
              </w:rPr>
              <w:t>Monterrey, Nuevo León</w:t>
            </w:r>
          </w:p>
        </w:tc>
        <w:tc>
          <w:tcPr>
            <w:tcW w:w="4536" w:type="dxa"/>
            <w:shd w:val="clear" w:color="auto" w:fill="auto"/>
            <w:vAlign w:val="center"/>
          </w:tcPr>
          <w:p w:rsidR="00DD1B33" w:rsidRPr="00A75729" w:rsidRDefault="00DD1B33" w:rsidP="00DD1B33">
            <w:pPr>
              <w:spacing w:before="0" w:after="0"/>
              <w:rPr>
                <w:rFonts w:eastAsia="Times New Roman"/>
                <w:color w:val="000000"/>
                <w:sz w:val="18"/>
                <w:szCs w:val="18"/>
              </w:rPr>
            </w:pPr>
            <w:r w:rsidRPr="00A75729">
              <w:rPr>
                <w:rFonts w:eastAsia="Times New Roman"/>
                <w:color w:val="000000"/>
                <w:sz w:val="18"/>
                <w:szCs w:val="18"/>
              </w:rPr>
              <w:t>Radio Informativa, S.A. de C.V.</w:t>
            </w:r>
          </w:p>
        </w:tc>
      </w:tr>
      <w:tr w:rsidR="00DD1B33" w:rsidRPr="00A75729" w:rsidTr="00EE6C18">
        <w:trPr>
          <w:cantSplit/>
          <w:jc w:val="center"/>
        </w:trPr>
        <w:tc>
          <w:tcPr>
            <w:tcW w:w="1271" w:type="dxa"/>
            <w:vAlign w:val="center"/>
          </w:tcPr>
          <w:p w:rsidR="00DD1B33" w:rsidRPr="00A75729" w:rsidRDefault="00DD1B33" w:rsidP="00DD1B33">
            <w:pPr>
              <w:spacing w:before="0" w:after="0"/>
              <w:jc w:val="left"/>
              <w:rPr>
                <w:rFonts w:eastAsia="Times New Roman"/>
                <w:color w:val="000000"/>
                <w:sz w:val="18"/>
                <w:szCs w:val="18"/>
              </w:rPr>
            </w:pPr>
            <w:proofErr w:type="spellStart"/>
            <w:r w:rsidRPr="00A75729">
              <w:rPr>
                <w:rFonts w:eastAsia="Times New Roman"/>
                <w:color w:val="000000"/>
                <w:sz w:val="18"/>
                <w:szCs w:val="18"/>
              </w:rPr>
              <w:t>XHPJ</w:t>
            </w:r>
            <w:proofErr w:type="spellEnd"/>
            <w:r w:rsidRPr="00A75729">
              <w:rPr>
                <w:rFonts w:eastAsia="Times New Roman"/>
                <w:color w:val="000000"/>
                <w:sz w:val="18"/>
                <w:szCs w:val="18"/>
              </w:rPr>
              <w:t>-FM</w:t>
            </w:r>
          </w:p>
        </w:tc>
        <w:tc>
          <w:tcPr>
            <w:tcW w:w="1134" w:type="dxa"/>
            <w:vAlign w:val="center"/>
          </w:tcPr>
          <w:p w:rsidR="00DD1B33" w:rsidRPr="00A75729" w:rsidRDefault="00DD1B33" w:rsidP="00DD1B33">
            <w:pPr>
              <w:spacing w:before="0" w:after="0"/>
              <w:jc w:val="center"/>
              <w:rPr>
                <w:rFonts w:eastAsia="Times New Roman"/>
                <w:color w:val="000000"/>
                <w:sz w:val="18"/>
                <w:szCs w:val="18"/>
              </w:rPr>
            </w:pPr>
            <w:r w:rsidRPr="00A75729">
              <w:rPr>
                <w:color w:val="000000"/>
                <w:sz w:val="18"/>
                <w:szCs w:val="18"/>
              </w:rPr>
              <w:t>106.9 MHz</w:t>
            </w:r>
          </w:p>
        </w:tc>
        <w:tc>
          <w:tcPr>
            <w:tcW w:w="2693" w:type="dxa"/>
            <w:shd w:val="clear" w:color="auto" w:fill="auto"/>
            <w:vAlign w:val="center"/>
          </w:tcPr>
          <w:p w:rsidR="00DD1B33" w:rsidRPr="00A75729" w:rsidRDefault="00DD1B33" w:rsidP="00DD1B33">
            <w:pPr>
              <w:spacing w:before="0" w:after="0"/>
              <w:jc w:val="center"/>
              <w:rPr>
                <w:rFonts w:eastAsia="Times New Roman"/>
                <w:color w:val="000000"/>
                <w:sz w:val="18"/>
                <w:szCs w:val="18"/>
              </w:rPr>
            </w:pPr>
            <w:r w:rsidRPr="00A75729">
              <w:rPr>
                <w:rFonts w:eastAsia="Times New Roman"/>
                <w:sz w:val="18"/>
                <w:szCs w:val="18"/>
              </w:rPr>
              <w:t>Monterrey, Nuevo León</w:t>
            </w:r>
          </w:p>
        </w:tc>
        <w:tc>
          <w:tcPr>
            <w:tcW w:w="4536" w:type="dxa"/>
            <w:shd w:val="clear" w:color="auto" w:fill="auto"/>
            <w:vAlign w:val="center"/>
          </w:tcPr>
          <w:p w:rsidR="00DD1B33" w:rsidRPr="00A75729" w:rsidRDefault="00DD1B33" w:rsidP="00DD1B33">
            <w:pPr>
              <w:spacing w:before="0" w:after="0"/>
              <w:rPr>
                <w:rFonts w:eastAsia="Times New Roman"/>
                <w:color w:val="000000"/>
                <w:sz w:val="18"/>
                <w:szCs w:val="18"/>
              </w:rPr>
            </w:pPr>
            <w:r w:rsidRPr="00A75729">
              <w:rPr>
                <w:rFonts w:eastAsia="Times New Roman"/>
                <w:color w:val="000000"/>
                <w:sz w:val="18"/>
                <w:szCs w:val="18"/>
              </w:rPr>
              <w:t>Radio Triunfos</w:t>
            </w:r>
          </w:p>
        </w:tc>
      </w:tr>
      <w:tr w:rsidR="00DD1B33" w:rsidRPr="00A75729" w:rsidTr="00EE6C18">
        <w:trPr>
          <w:cantSplit/>
          <w:jc w:val="center"/>
        </w:trPr>
        <w:tc>
          <w:tcPr>
            <w:tcW w:w="1271" w:type="dxa"/>
            <w:vAlign w:val="center"/>
          </w:tcPr>
          <w:p w:rsidR="00DD1B33" w:rsidRPr="00A75729" w:rsidRDefault="00DD1B33" w:rsidP="00DD1B33">
            <w:pPr>
              <w:spacing w:before="0" w:after="0"/>
              <w:jc w:val="left"/>
              <w:rPr>
                <w:rFonts w:eastAsia="Times New Roman"/>
                <w:color w:val="000000"/>
                <w:sz w:val="18"/>
                <w:szCs w:val="18"/>
              </w:rPr>
            </w:pPr>
            <w:proofErr w:type="spellStart"/>
            <w:r w:rsidRPr="00A75729">
              <w:rPr>
                <w:rFonts w:eastAsia="Times New Roman"/>
                <w:color w:val="000000"/>
                <w:sz w:val="18"/>
                <w:szCs w:val="18"/>
              </w:rPr>
              <w:t>XHSR</w:t>
            </w:r>
            <w:proofErr w:type="spellEnd"/>
            <w:r w:rsidRPr="00A75729">
              <w:rPr>
                <w:rFonts w:eastAsia="Times New Roman"/>
                <w:color w:val="000000"/>
                <w:sz w:val="18"/>
                <w:szCs w:val="18"/>
              </w:rPr>
              <w:t>-FM</w:t>
            </w:r>
          </w:p>
        </w:tc>
        <w:tc>
          <w:tcPr>
            <w:tcW w:w="1134" w:type="dxa"/>
            <w:vAlign w:val="center"/>
          </w:tcPr>
          <w:p w:rsidR="00DD1B33" w:rsidRPr="00A75729" w:rsidRDefault="00DD1B33" w:rsidP="00DD1B33">
            <w:pPr>
              <w:spacing w:before="0" w:after="0"/>
              <w:jc w:val="center"/>
              <w:rPr>
                <w:rFonts w:eastAsia="Times New Roman"/>
                <w:color w:val="000000"/>
                <w:sz w:val="18"/>
                <w:szCs w:val="18"/>
              </w:rPr>
            </w:pPr>
            <w:r w:rsidRPr="00A75729">
              <w:rPr>
                <w:rFonts w:eastAsia="Times New Roman"/>
                <w:color w:val="000000"/>
                <w:sz w:val="18"/>
                <w:szCs w:val="18"/>
              </w:rPr>
              <w:t>97.3 MHz</w:t>
            </w:r>
          </w:p>
        </w:tc>
        <w:tc>
          <w:tcPr>
            <w:tcW w:w="2693" w:type="dxa"/>
            <w:shd w:val="clear" w:color="auto" w:fill="auto"/>
            <w:vAlign w:val="center"/>
          </w:tcPr>
          <w:p w:rsidR="00DD1B33" w:rsidRPr="00A75729" w:rsidRDefault="00DD1B33" w:rsidP="00DD1B33">
            <w:pPr>
              <w:spacing w:before="0" w:after="0"/>
              <w:jc w:val="center"/>
              <w:rPr>
                <w:rFonts w:eastAsia="Times New Roman"/>
                <w:color w:val="000000"/>
                <w:sz w:val="18"/>
                <w:szCs w:val="18"/>
              </w:rPr>
            </w:pPr>
            <w:r w:rsidRPr="00A75729">
              <w:rPr>
                <w:rFonts w:eastAsia="Times New Roman"/>
                <w:sz w:val="18"/>
                <w:szCs w:val="18"/>
              </w:rPr>
              <w:t>Monterrey, Nuevo León</w:t>
            </w:r>
          </w:p>
        </w:tc>
        <w:tc>
          <w:tcPr>
            <w:tcW w:w="4536" w:type="dxa"/>
            <w:shd w:val="clear" w:color="auto" w:fill="auto"/>
            <w:vAlign w:val="center"/>
          </w:tcPr>
          <w:p w:rsidR="00DD1B33" w:rsidRPr="00A75729" w:rsidRDefault="00DD1B33" w:rsidP="00DD1B33">
            <w:pPr>
              <w:spacing w:before="0" w:after="0"/>
              <w:rPr>
                <w:rFonts w:eastAsia="Times New Roman"/>
                <w:color w:val="000000"/>
                <w:sz w:val="18"/>
                <w:szCs w:val="18"/>
              </w:rPr>
            </w:pPr>
            <w:proofErr w:type="spellStart"/>
            <w:r w:rsidRPr="00A75729">
              <w:rPr>
                <w:rFonts w:eastAsia="Times New Roman"/>
                <w:color w:val="000000"/>
                <w:sz w:val="18"/>
                <w:szCs w:val="18"/>
              </w:rPr>
              <w:t>Stereorey</w:t>
            </w:r>
            <w:proofErr w:type="spellEnd"/>
            <w:r w:rsidRPr="00A75729">
              <w:rPr>
                <w:rFonts w:eastAsia="Times New Roman"/>
                <w:color w:val="000000"/>
                <w:sz w:val="18"/>
                <w:szCs w:val="18"/>
              </w:rPr>
              <w:t xml:space="preserve"> México, </w:t>
            </w:r>
            <w:proofErr w:type="spellStart"/>
            <w:r w:rsidRPr="00A75729">
              <w:rPr>
                <w:rFonts w:eastAsia="Times New Roman"/>
                <w:color w:val="000000"/>
                <w:sz w:val="18"/>
                <w:szCs w:val="18"/>
              </w:rPr>
              <w:t>S.A</w:t>
            </w:r>
            <w:proofErr w:type="spellEnd"/>
            <w:r w:rsidRPr="00A75729">
              <w:rPr>
                <w:rFonts w:eastAsia="Times New Roman"/>
                <w:color w:val="000000"/>
                <w:sz w:val="18"/>
                <w:szCs w:val="18"/>
              </w:rPr>
              <w:t>:</w:t>
            </w:r>
          </w:p>
        </w:tc>
      </w:tr>
      <w:tr w:rsidR="00DD1B33" w:rsidRPr="00A75729" w:rsidTr="00EE6C18">
        <w:trPr>
          <w:cantSplit/>
          <w:jc w:val="center"/>
        </w:trPr>
        <w:tc>
          <w:tcPr>
            <w:tcW w:w="1271" w:type="dxa"/>
            <w:vAlign w:val="center"/>
          </w:tcPr>
          <w:p w:rsidR="00DD1B33" w:rsidRPr="00A75729" w:rsidRDefault="00DD1B33" w:rsidP="00E92F7C">
            <w:pPr>
              <w:spacing w:before="0" w:after="0"/>
              <w:jc w:val="left"/>
              <w:rPr>
                <w:rFonts w:eastAsia="Times New Roman"/>
                <w:color w:val="000000"/>
                <w:sz w:val="18"/>
                <w:szCs w:val="18"/>
              </w:rPr>
            </w:pPr>
            <w:proofErr w:type="spellStart"/>
            <w:r w:rsidRPr="00A75729">
              <w:rPr>
                <w:rFonts w:eastAsia="Times New Roman"/>
                <w:color w:val="000000"/>
                <w:sz w:val="18"/>
                <w:szCs w:val="18"/>
              </w:rPr>
              <w:t>XHDD</w:t>
            </w:r>
            <w:proofErr w:type="spellEnd"/>
            <w:r w:rsidRPr="00A75729">
              <w:rPr>
                <w:rFonts w:eastAsia="Times New Roman"/>
                <w:color w:val="000000"/>
                <w:sz w:val="18"/>
                <w:szCs w:val="18"/>
              </w:rPr>
              <w:t>-FM</w:t>
            </w:r>
          </w:p>
        </w:tc>
        <w:tc>
          <w:tcPr>
            <w:tcW w:w="1134" w:type="dxa"/>
            <w:vAlign w:val="center"/>
          </w:tcPr>
          <w:p w:rsidR="00DD1B33" w:rsidRPr="00A75729" w:rsidRDefault="00DD1B33" w:rsidP="00DD1B33">
            <w:pPr>
              <w:spacing w:before="0" w:after="0"/>
              <w:jc w:val="center"/>
              <w:rPr>
                <w:rFonts w:eastAsia="Times New Roman"/>
                <w:color w:val="000000"/>
                <w:sz w:val="18"/>
                <w:szCs w:val="18"/>
              </w:rPr>
            </w:pPr>
            <w:r w:rsidRPr="00A75729">
              <w:rPr>
                <w:rFonts w:eastAsia="Times New Roman"/>
                <w:color w:val="000000"/>
                <w:sz w:val="18"/>
                <w:szCs w:val="18"/>
              </w:rPr>
              <w:t>92.9 MHz</w:t>
            </w:r>
          </w:p>
        </w:tc>
        <w:tc>
          <w:tcPr>
            <w:tcW w:w="2693" w:type="dxa"/>
            <w:shd w:val="clear" w:color="auto" w:fill="auto"/>
            <w:vAlign w:val="center"/>
          </w:tcPr>
          <w:p w:rsidR="00DD1B33" w:rsidRPr="00A75729" w:rsidRDefault="00DD1B33" w:rsidP="00DD1B33">
            <w:pPr>
              <w:spacing w:before="0" w:after="0"/>
              <w:jc w:val="center"/>
              <w:rPr>
                <w:rFonts w:eastAsia="Times New Roman"/>
                <w:color w:val="000000"/>
                <w:sz w:val="18"/>
                <w:szCs w:val="18"/>
              </w:rPr>
            </w:pPr>
            <w:r w:rsidRPr="00A75729">
              <w:rPr>
                <w:rFonts w:eastAsia="Times New Roman"/>
                <w:color w:val="000000"/>
                <w:sz w:val="18"/>
                <w:szCs w:val="18"/>
              </w:rPr>
              <w:t>Ojo de Agua, Nuevo León</w:t>
            </w:r>
          </w:p>
        </w:tc>
        <w:tc>
          <w:tcPr>
            <w:tcW w:w="4536" w:type="dxa"/>
            <w:shd w:val="clear" w:color="auto" w:fill="auto"/>
            <w:vAlign w:val="center"/>
          </w:tcPr>
          <w:p w:rsidR="00DD1B33" w:rsidRPr="00A75729" w:rsidRDefault="00DD1B33" w:rsidP="00DD1B33">
            <w:pPr>
              <w:spacing w:before="0" w:after="0"/>
              <w:rPr>
                <w:rFonts w:eastAsia="Times New Roman"/>
                <w:color w:val="000000"/>
                <w:sz w:val="18"/>
                <w:szCs w:val="18"/>
              </w:rPr>
            </w:pPr>
            <w:r w:rsidRPr="00A75729">
              <w:rPr>
                <w:rFonts w:eastAsia="Times New Roman"/>
                <w:color w:val="000000"/>
                <w:sz w:val="18"/>
                <w:szCs w:val="18"/>
              </w:rPr>
              <w:t>Audio Publicidad</w:t>
            </w:r>
          </w:p>
        </w:tc>
      </w:tr>
    </w:tbl>
    <w:p w:rsidR="00843DF9" w:rsidRPr="00A75729" w:rsidRDefault="00843DF9" w:rsidP="00843DF9">
      <w:pPr>
        <w:keepNext/>
        <w:spacing w:before="0" w:after="0" w:line="240" w:lineRule="auto"/>
        <w:ind w:right="48"/>
        <w:rPr>
          <w:sz w:val="16"/>
          <w:szCs w:val="16"/>
          <w:lang w:eastAsia="es-ES"/>
        </w:rPr>
      </w:pPr>
      <w:r w:rsidRPr="00A75729">
        <w:rPr>
          <w:sz w:val="16"/>
          <w:szCs w:val="16"/>
        </w:rPr>
        <w:t xml:space="preserve">Fuente: Elaboración propia con información contenida en Fojas 30 y </w:t>
      </w:r>
      <w:r w:rsidR="00DD1B33" w:rsidRPr="00A75729">
        <w:rPr>
          <w:sz w:val="16"/>
          <w:szCs w:val="16"/>
        </w:rPr>
        <w:t>365-</w:t>
      </w:r>
      <w:r w:rsidRPr="00A75729">
        <w:rPr>
          <w:sz w:val="16"/>
          <w:szCs w:val="16"/>
        </w:rPr>
        <w:t xml:space="preserve">378 del Expediente y el </w:t>
      </w:r>
      <w:proofErr w:type="spellStart"/>
      <w:r w:rsidRPr="00A75729">
        <w:rPr>
          <w:sz w:val="16"/>
          <w:szCs w:val="16"/>
        </w:rPr>
        <w:t>RPC</w:t>
      </w:r>
      <w:proofErr w:type="spellEnd"/>
      <w:r w:rsidR="00E92F7C">
        <w:rPr>
          <w:sz w:val="16"/>
          <w:szCs w:val="16"/>
        </w:rPr>
        <w:t>.</w:t>
      </w:r>
    </w:p>
    <w:p w:rsidR="00FA3534" w:rsidRPr="00A75729" w:rsidRDefault="0043126D" w:rsidP="0043126D">
      <w:pPr>
        <w:pStyle w:val="Ttulo6"/>
        <w:spacing w:before="360"/>
        <w:rPr>
          <w:rFonts w:ascii="ITC Avant Garde" w:eastAsia="Times New Roman" w:hAnsi="ITC Avant Garde"/>
          <w:b/>
          <w:color w:val="auto"/>
        </w:rPr>
      </w:pPr>
      <w:r>
        <w:rPr>
          <w:rFonts w:ascii="ITC Avant Garde" w:eastAsia="Times New Roman" w:hAnsi="ITC Avant Garde"/>
          <w:b/>
          <w:color w:val="auto"/>
        </w:rPr>
        <w:t xml:space="preserve">5.4.4.3.2 </w:t>
      </w:r>
      <w:r w:rsidR="00F8780D" w:rsidRPr="00A75729">
        <w:rPr>
          <w:rFonts w:ascii="ITC Avant Garde" w:eastAsia="Times New Roman" w:hAnsi="ITC Avant Garde"/>
          <w:b/>
          <w:color w:val="auto"/>
        </w:rPr>
        <w:t>Cambios en la posición del agente económico adquiriente tras la Operación en el Servicio Evaluado</w:t>
      </w:r>
    </w:p>
    <w:p w:rsidR="001F38DA" w:rsidRPr="00A75729" w:rsidRDefault="00F8780D" w:rsidP="001F38DA">
      <w:r w:rsidRPr="00A75729">
        <w:rPr>
          <w:rFonts w:eastAsia="Times New Roman"/>
          <w:lang w:eastAsia="es-ES"/>
        </w:rPr>
        <w:t>Este cambio se identifica cuantificando la participación antes y después de la Operación en el Servicio Evaluado.</w:t>
      </w:r>
    </w:p>
    <w:p w:rsidR="001F38DA" w:rsidRPr="00A75729" w:rsidRDefault="001F38DA" w:rsidP="001F38DA">
      <w:pPr>
        <w:ind w:right="-1"/>
      </w:pPr>
      <w:r w:rsidRPr="00A75729">
        <w:rPr>
          <w:rFonts w:eastAsia="Times New Roman"/>
          <w:lang w:eastAsia="es-ES"/>
        </w:rPr>
        <w:t>A este respecto, e</w:t>
      </w:r>
      <w:r w:rsidR="00FA3534" w:rsidRPr="00A75729">
        <w:rPr>
          <w:rFonts w:eastAsia="Times New Roman"/>
          <w:lang w:eastAsia="es-ES"/>
        </w:rPr>
        <w:t xml:space="preserve">n el </w:t>
      </w:r>
      <w:proofErr w:type="spellStart"/>
      <w:r w:rsidR="00FA3534" w:rsidRPr="00A75729">
        <w:rPr>
          <w:rFonts w:eastAsia="Times New Roman"/>
          <w:lang w:eastAsia="es-ES"/>
        </w:rPr>
        <w:t>SRSAC</w:t>
      </w:r>
      <w:proofErr w:type="spellEnd"/>
      <w:r w:rsidR="00FA3534" w:rsidRPr="00A75729">
        <w:rPr>
          <w:rFonts w:eastAsia="Times New Roman"/>
          <w:lang w:eastAsia="es-ES"/>
        </w:rPr>
        <w:t xml:space="preserve"> las participaciones se determinan o estiman en términos de los porcentajes de audiencia o i</w:t>
      </w:r>
      <w:r w:rsidRPr="00A75729">
        <w:rPr>
          <w:rFonts w:eastAsia="Times New Roman"/>
          <w:lang w:eastAsia="es-ES"/>
        </w:rPr>
        <w:t>ngresos por publicidad de cada A</w:t>
      </w:r>
      <w:r w:rsidR="00FA3534" w:rsidRPr="00A75729">
        <w:rPr>
          <w:rFonts w:eastAsia="Times New Roman"/>
          <w:lang w:eastAsia="es-ES"/>
        </w:rPr>
        <w:t xml:space="preserve">gente </w:t>
      </w:r>
      <w:r w:rsidRPr="00A75729">
        <w:rPr>
          <w:rFonts w:eastAsia="Times New Roman"/>
          <w:lang w:eastAsia="es-ES"/>
        </w:rPr>
        <w:t>E</w:t>
      </w:r>
      <w:r w:rsidR="00FA3534" w:rsidRPr="00A75729">
        <w:rPr>
          <w:rFonts w:eastAsia="Times New Roman"/>
          <w:lang w:eastAsia="es-ES"/>
        </w:rPr>
        <w:t xml:space="preserve">conómico o del número de estaciones con cobertura en la localidad evaluada. Al respecto, </w:t>
      </w:r>
      <w:r w:rsidRPr="00A75729">
        <w:rPr>
          <w:rFonts w:eastAsia="Times New Roman"/>
          <w:lang w:eastAsia="es-ES"/>
        </w:rPr>
        <w:t xml:space="preserve">como se mencionó anteriormente, </w:t>
      </w:r>
      <w:r w:rsidRPr="00A75729">
        <w:t>no se cuenta con información de audiencia en las localidades en las que tiene cobertura de servicio la estación involucrada en la Operación. Al respecto, las Partes mencionaron lo siguiente:</w:t>
      </w:r>
      <w:r w:rsidR="00D439AA" w:rsidRPr="00A75729">
        <w:rPr>
          <w:rStyle w:val="Refdenotaalpie"/>
        </w:rPr>
        <w:footnoteReference w:id="55"/>
      </w:r>
    </w:p>
    <w:p w:rsidR="00D439AA" w:rsidRPr="00A75729" w:rsidRDefault="001F38DA" w:rsidP="001F38DA">
      <w:pPr>
        <w:ind w:left="567" w:right="-1"/>
        <w:rPr>
          <w:i/>
          <w:sz w:val="20"/>
        </w:rPr>
      </w:pPr>
      <w:r w:rsidRPr="00A75729">
        <w:rPr>
          <w:i/>
          <w:sz w:val="20"/>
        </w:rPr>
        <w:lastRenderedPageBreak/>
        <w:t>“</w:t>
      </w:r>
      <w:r w:rsidRPr="00A75729">
        <w:rPr>
          <w:i/>
          <w:sz w:val="20"/>
          <w:u w:val="single"/>
        </w:rPr>
        <w:t>NO HAY ESTUDIOS DE AUDIENCIA</w:t>
      </w:r>
      <w:r w:rsidRPr="00A75729">
        <w:rPr>
          <w:i/>
          <w:sz w:val="20"/>
        </w:rPr>
        <w:t xml:space="preserve"> EN LOS MUNICIPIOS DE OJO DE AGUA, MONTEMORELOS Y CADEREYTA DEL ESTADO DE NUEVO LEÓN.”</w:t>
      </w:r>
    </w:p>
    <w:p w:rsidR="001F38DA" w:rsidRPr="00A75729" w:rsidRDefault="00D439AA" w:rsidP="001F38DA">
      <w:pPr>
        <w:ind w:left="567" w:right="-1"/>
        <w:rPr>
          <w:sz w:val="20"/>
        </w:rPr>
      </w:pPr>
      <w:r w:rsidRPr="00A75729">
        <w:rPr>
          <w:i/>
          <w:sz w:val="20"/>
        </w:rPr>
        <w:t xml:space="preserve">“De acuerdo con datos de la </w:t>
      </w:r>
      <w:proofErr w:type="spellStart"/>
      <w:r w:rsidRPr="00A75729">
        <w:rPr>
          <w:i/>
          <w:sz w:val="20"/>
        </w:rPr>
        <w:t>ENCCA</w:t>
      </w:r>
      <w:proofErr w:type="spellEnd"/>
      <w:r w:rsidRPr="00A75729">
        <w:rPr>
          <w:i/>
          <w:sz w:val="20"/>
        </w:rPr>
        <w:t xml:space="preserve"> 2016, </w:t>
      </w:r>
      <w:r w:rsidRPr="00A75729">
        <w:rPr>
          <w:i/>
          <w:sz w:val="20"/>
          <w:u w:val="single"/>
        </w:rPr>
        <w:t>la participación sectorial</w:t>
      </w:r>
      <w:r w:rsidRPr="00A75729">
        <w:rPr>
          <w:i/>
          <w:sz w:val="20"/>
        </w:rPr>
        <w:t xml:space="preserve"> de la estación de Audio Publicidad, medida en términos de audiencia, </w:t>
      </w:r>
      <w:r w:rsidRPr="00A75729">
        <w:rPr>
          <w:i/>
          <w:sz w:val="20"/>
          <w:u w:val="single"/>
        </w:rPr>
        <w:t xml:space="preserve">es muy pequeña </w:t>
      </w:r>
      <w:r w:rsidRPr="00E8226C">
        <w:rPr>
          <w:i/>
          <w:sz w:val="20"/>
          <w:u w:val="single"/>
        </w:rPr>
        <w:t>(</w:t>
      </w:r>
      <w:r w:rsidR="00E8226C" w:rsidRPr="00E8226C">
        <w:rPr>
          <w:b/>
          <w:bCs/>
          <w:color w:val="0000CC"/>
          <w:kern w:val="24"/>
          <w:sz w:val="18"/>
          <w:szCs w:val="18"/>
        </w:rPr>
        <w:t>“CONFIDENCIAL POR LEY (</w:t>
      </w:r>
      <w:r w:rsidR="001F07AC">
        <w:rPr>
          <w:b/>
          <w:bCs/>
          <w:color w:val="0000CC"/>
          <w:kern w:val="24"/>
          <w:sz w:val="18"/>
          <w:szCs w:val="18"/>
        </w:rPr>
        <w:t>4</w:t>
      </w:r>
      <w:r w:rsidR="00E8226C" w:rsidRPr="00E8226C">
        <w:rPr>
          <w:b/>
          <w:bCs/>
          <w:color w:val="0000CC"/>
          <w:kern w:val="24"/>
          <w:sz w:val="18"/>
          <w:szCs w:val="18"/>
        </w:rPr>
        <w:t>)”</w:t>
      </w:r>
      <w:r w:rsidRPr="00E8226C">
        <w:rPr>
          <w:i/>
          <w:sz w:val="20"/>
          <w:u w:val="single"/>
        </w:rPr>
        <w:t>)</w:t>
      </w:r>
      <w:r w:rsidRPr="00A75729">
        <w:rPr>
          <w:i/>
          <w:sz w:val="20"/>
          <w:u w:val="single"/>
        </w:rPr>
        <w:t xml:space="preserve"> </w:t>
      </w:r>
      <w:r w:rsidRPr="00A75729">
        <w:rPr>
          <w:i/>
          <w:sz w:val="20"/>
        </w:rPr>
        <w:t xml:space="preserve">por lo que se considera que es poco probable que Grupo Multimedios pueda incrementar los precios como consecuencia de la concentración.” </w:t>
      </w:r>
      <w:r w:rsidR="001F38DA" w:rsidRPr="00A75729">
        <w:rPr>
          <w:sz w:val="20"/>
        </w:rPr>
        <w:t>[Énfasis añadido]</w:t>
      </w:r>
    </w:p>
    <w:p w:rsidR="00F8780D" w:rsidRPr="00A75729" w:rsidRDefault="00D439AA" w:rsidP="00FA3534">
      <w:pPr>
        <w:spacing w:after="0"/>
      </w:pPr>
      <w:r w:rsidRPr="00A75729">
        <w:t>Como se observa, las Partes señalan que no se cuenta con información de audiencia en la localidad evaluada y proponen utilizar como referencia la “</w:t>
      </w:r>
      <w:r w:rsidRPr="00A75729">
        <w:rPr>
          <w:i/>
        </w:rPr>
        <w:t>participación sectorial</w:t>
      </w:r>
      <w:r w:rsidRPr="00A75729">
        <w:t xml:space="preserve">”. </w:t>
      </w:r>
    </w:p>
    <w:p w:rsidR="00F8780D" w:rsidRPr="00A75729" w:rsidRDefault="00D439AA" w:rsidP="00FA3534">
      <w:pPr>
        <w:spacing w:after="0"/>
      </w:pPr>
      <w:r w:rsidRPr="00A75729">
        <w:t>Si</w:t>
      </w:r>
      <w:r w:rsidR="008E7969" w:rsidRPr="00A75729">
        <w:t>n</w:t>
      </w:r>
      <w:r w:rsidRPr="00A75729">
        <w:t xml:space="preserve"> embargo, como se determinó en la sección 5.</w:t>
      </w:r>
      <w:r w:rsidR="00767A8A">
        <w:t>4</w:t>
      </w:r>
      <w:r w:rsidRPr="00A75729">
        <w:t xml:space="preserve">.4.1., </w:t>
      </w:r>
      <w:r w:rsidR="00F8780D" w:rsidRPr="00A75729">
        <w:t xml:space="preserve">los procesos de competencia en el </w:t>
      </w:r>
      <w:r w:rsidRPr="00A75729">
        <w:t xml:space="preserve">Servicio Evaluado </w:t>
      </w:r>
      <w:r w:rsidR="00F8780D" w:rsidRPr="00A75729">
        <w:t xml:space="preserve">se desarrollan en </w:t>
      </w:r>
      <w:r w:rsidRPr="00A75729">
        <w:t>una dimensión local</w:t>
      </w:r>
      <w:r w:rsidR="00F8780D" w:rsidRPr="00A75729">
        <w:t xml:space="preserve"> —tal y como lo ha determinado en forma consistente esta autoridad en precedentes decisorios—</w:t>
      </w:r>
      <w:r w:rsidRPr="00A75729">
        <w:t xml:space="preserve"> por lo que la participación </w:t>
      </w:r>
      <w:r w:rsidR="00F8780D" w:rsidRPr="00A75729">
        <w:t>relevante debe ser aquella que permita identificar los efectos de la Operación en esos procesos, esto es, en todas las dimensiones locales involucradas.</w:t>
      </w:r>
    </w:p>
    <w:p w:rsidR="00F8780D" w:rsidRPr="00A225BD" w:rsidRDefault="0043126D" w:rsidP="0043126D">
      <w:pPr>
        <w:pStyle w:val="Ttulo6"/>
        <w:spacing w:before="360"/>
        <w:rPr>
          <w:rFonts w:eastAsia="Times New Roman"/>
        </w:rPr>
      </w:pPr>
      <w:r>
        <w:rPr>
          <w:rFonts w:ascii="ITC Avant Garde" w:eastAsia="Times New Roman" w:hAnsi="ITC Avant Garde"/>
          <w:b/>
          <w:color w:val="auto"/>
        </w:rPr>
        <w:t xml:space="preserve">5.4.4.3.3 </w:t>
      </w:r>
      <w:r w:rsidR="00F8780D" w:rsidRPr="00A225BD">
        <w:rPr>
          <w:rFonts w:ascii="ITC Avant Garde" w:eastAsia="Times New Roman" w:hAnsi="ITC Avant Garde"/>
          <w:b/>
          <w:color w:val="auto"/>
        </w:rPr>
        <w:t>Información disponible</w:t>
      </w:r>
    </w:p>
    <w:p w:rsidR="00D439AA" w:rsidRPr="00A75729" w:rsidRDefault="00ED3E9E" w:rsidP="00FA3534">
      <w:pPr>
        <w:spacing w:after="0"/>
      </w:pPr>
      <w:r>
        <w:t>L</w:t>
      </w:r>
      <w:r w:rsidR="00D439AA" w:rsidRPr="00A75729">
        <w:t>as Partes reconocen que “</w:t>
      </w:r>
      <w:r w:rsidR="00D439AA" w:rsidRPr="00A75729">
        <w:rPr>
          <w:i/>
        </w:rPr>
        <w:t xml:space="preserve">La </w:t>
      </w:r>
      <w:proofErr w:type="spellStart"/>
      <w:r w:rsidR="00D439AA" w:rsidRPr="00A75729">
        <w:rPr>
          <w:i/>
        </w:rPr>
        <w:t>ENCAA</w:t>
      </w:r>
      <w:proofErr w:type="spellEnd"/>
      <w:r w:rsidR="00D439AA" w:rsidRPr="00A75729">
        <w:rPr>
          <w:i/>
        </w:rPr>
        <w:t xml:space="preserve"> 2016 tiene una representatividad nacional, por lo que no sería representativo a nivel local estimar la participación de Audio Publicidad seleccionando estaciones locales. Por lo que se debe revisar otras fuentes de información para estimar dicha participación.</w:t>
      </w:r>
      <w:r w:rsidR="00D439AA" w:rsidRPr="00A75729">
        <w:t>”</w:t>
      </w:r>
      <w:r w:rsidR="00D439AA" w:rsidRPr="00A75729">
        <w:rPr>
          <w:rStyle w:val="Refdenotaalpie"/>
        </w:rPr>
        <w:footnoteReference w:id="56"/>
      </w:r>
    </w:p>
    <w:p w:rsidR="0091262F" w:rsidRPr="00A75729" w:rsidRDefault="0091262F" w:rsidP="00FA3534">
      <w:pPr>
        <w:spacing w:after="0"/>
      </w:pPr>
      <w:r w:rsidRPr="00A75729">
        <w:t xml:space="preserve">Por otra parte, las Partes </w:t>
      </w:r>
      <w:r w:rsidR="00F35A6A" w:rsidRPr="00A75729">
        <w:t>señalan</w:t>
      </w:r>
      <w:r w:rsidRPr="00A75729">
        <w:t xml:space="preserve"> que </w:t>
      </w:r>
      <w:r w:rsidR="00F35A6A" w:rsidRPr="00A75729">
        <w:t>“</w:t>
      </w:r>
      <w:r w:rsidR="00F35A6A" w:rsidRPr="00A75729">
        <w:rPr>
          <w:i/>
        </w:rPr>
        <w:t>No se cuenta con la información respecto de la audiencia de las estaciones de Audio Publicidad en cada uno de los municipios en donde este tiene presencia. Sin embargo, se cuenta con información sobre los Ratings de estaciones de radio en la Zona Metropolitana de Monterrey (…) por lo que consideramos viable hacer el análisis de competencia para dichas localidades con la información disponible de ratings.</w:t>
      </w:r>
      <w:r w:rsidR="00F35A6A" w:rsidRPr="00A75729">
        <w:t>”</w:t>
      </w:r>
      <w:r w:rsidR="00F35A6A" w:rsidRPr="00A75729">
        <w:rPr>
          <w:rStyle w:val="Refdenotaalpie"/>
        </w:rPr>
        <w:footnoteReference w:id="57"/>
      </w:r>
      <w:r w:rsidR="00F35A6A" w:rsidRPr="00A75729">
        <w:t xml:space="preserve"> A este respecto, se considera que es incorrecto utilizar cifras de audiencia de las estaciones del </w:t>
      </w:r>
      <w:proofErr w:type="spellStart"/>
      <w:r w:rsidR="00F35A6A" w:rsidRPr="00A75729">
        <w:t>SRSAC</w:t>
      </w:r>
      <w:proofErr w:type="spellEnd"/>
      <w:r w:rsidR="00F35A6A" w:rsidRPr="00A75729">
        <w:t xml:space="preserve"> en Monterrey debido a que, como las mismas Partes reconocen, la estación evaluada no tiene cobertura de servicio en esa localidad. </w:t>
      </w:r>
    </w:p>
    <w:p w:rsidR="00F35A6A" w:rsidRDefault="00F35A6A" w:rsidP="00866811">
      <w:r w:rsidRPr="00A75729">
        <w:t>Las Partes señalan que “</w:t>
      </w:r>
      <w:r w:rsidRPr="00A75729">
        <w:rPr>
          <w:i/>
        </w:rPr>
        <w:t xml:space="preserve">la estación de Audio Publicidad se ubica en el lugar </w:t>
      </w:r>
      <w:r w:rsidR="00E8226C" w:rsidRPr="00E8226C">
        <w:rPr>
          <w:b/>
          <w:bCs/>
          <w:color w:val="0000CC"/>
          <w:kern w:val="24"/>
          <w:sz w:val="20"/>
          <w:szCs w:val="20"/>
        </w:rPr>
        <w:t>“CONFIDENCIAL POR LEY (</w:t>
      </w:r>
      <w:r w:rsidR="001F07AC">
        <w:rPr>
          <w:b/>
          <w:bCs/>
          <w:color w:val="0000CC"/>
          <w:kern w:val="24"/>
          <w:sz w:val="20"/>
          <w:szCs w:val="20"/>
        </w:rPr>
        <w:t>4</w:t>
      </w:r>
      <w:r w:rsidR="00E8226C" w:rsidRPr="00E8226C">
        <w:rPr>
          <w:b/>
          <w:bCs/>
          <w:color w:val="0000CC"/>
          <w:kern w:val="24"/>
          <w:sz w:val="20"/>
          <w:szCs w:val="20"/>
        </w:rPr>
        <w:t>)”</w:t>
      </w:r>
      <w:r w:rsidRPr="00A75729">
        <w:rPr>
          <w:i/>
        </w:rPr>
        <w:t xml:space="preserve"> con mayor rating (</w:t>
      </w:r>
      <w:r w:rsidR="00E8226C" w:rsidRPr="00E8226C">
        <w:rPr>
          <w:b/>
          <w:bCs/>
          <w:color w:val="0000CC"/>
          <w:kern w:val="24"/>
          <w:sz w:val="20"/>
          <w:szCs w:val="20"/>
        </w:rPr>
        <w:t>“CONFIDENCIAL POR LEY (</w:t>
      </w:r>
      <w:r w:rsidR="001F07AC">
        <w:rPr>
          <w:b/>
          <w:bCs/>
          <w:color w:val="0000CC"/>
          <w:kern w:val="24"/>
          <w:sz w:val="20"/>
          <w:szCs w:val="20"/>
        </w:rPr>
        <w:t>4</w:t>
      </w:r>
      <w:r w:rsidR="00E8226C" w:rsidRPr="00E8226C">
        <w:rPr>
          <w:b/>
          <w:bCs/>
          <w:color w:val="0000CC"/>
          <w:kern w:val="24"/>
          <w:sz w:val="20"/>
          <w:szCs w:val="20"/>
        </w:rPr>
        <w:t>)”</w:t>
      </w:r>
      <w:r w:rsidRPr="00A75729">
        <w:rPr>
          <w:i/>
        </w:rPr>
        <w:t xml:space="preserve"> puntos) (…) En ese sentido, consideramos que es poco probable que Grupo Multimedios pueda realizar acciones que dañen el proceso de competencia y libre concurrencia, incluso evaluando la concentración a nivel local.</w:t>
      </w:r>
      <w:r w:rsidRPr="00A75729">
        <w:t>”</w:t>
      </w:r>
      <w:r w:rsidR="00F331F1" w:rsidRPr="00A75729">
        <w:rPr>
          <w:rStyle w:val="Refdenotaalpie"/>
        </w:rPr>
        <w:footnoteReference w:id="58"/>
      </w:r>
      <w:r w:rsidRPr="00A75729">
        <w:t xml:space="preserve"> Sin embargo, sin conceder que las cifras de audiencia sean correctas, la baja audiencia reportada de la estación evaluada se debe a que la estación no tiene cobertura en la localidad de Monterrey, no a que sea “poco </w:t>
      </w:r>
      <w:r w:rsidRPr="00A75729">
        <w:lastRenderedPageBreak/>
        <w:t xml:space="preserve">escuchada” en su área de influencia, por lo que las conclusiones derivadas de ello son imprecisas. </w:t>
      </w:r>
    </w:p>
    <w:p w:rsidR="00ED3E9E" w:rsidRDefault="00ED3E9E" w:rsidP="00866811">
      <w:pPr>
        <w:tabs>
          <w:tab w:val="left" w:pos="1710"/>
          <w:tab w:val="center" w:pos="4419"/>
        </w:tabs>
        <w:rPr>
          <w:rFonts w:cs="Arial"/>
        </w:rPr>
      </w:pPr>
      <w:r>
        <w:rPr>
          <w:rFonts w:cs="Arial"/>
        </w:rPr>
        <w:t xml:space="preserve">Respecto a la posibilidad de utilizar información de ingresos o ventas </w:t>
      </w:r>
      <w:r w:rsidR="00866811">
        <w:rPr>
          <w:rFonts w:cs="Arial"/>
        </w:rPr>
        <w:t xml:space="preserve">por publicidad </w:t>
      </w:r>
      <w:r>
        <w:rPr>
          <w:rFonts w:cs="Arial"/>
        </w:rPr>
        <w:t xml:space="preserve">para calcular participaciones, </w:t>
      </w:r>
      <w:r w:rsidR="00866811">
        <w:rPr>
          <w:rFonts w:cs="Arial"/>
        </w:rPr>
        <w:t>l</w:t>
      </w:r>
      <w:r>
        <w:rPr>
          <w:rFonts w:cs="Arial"/>
        </w:rPr>
        <w:t xml:space="preserve">a información </w:t>
      </w:r>
      <w:r w:rsidR="00866811">
        <w:rPr>
          <w:rFonts w:cs="Arial"/>
        </w:rPr>
        <w:t xml:space="preserve">contenida en el Expediente </w:t>
      </w:r>
      <w:r>
        <w:rPr>
          <w:rFonts w:cs="Arial"/>
        </w:rPr>
        <w:t xml:space="preserve">no permite </w:t>
      </w:r>
      <w:r w:rsidR="00866811">
        <w:rPr>
          <w:rFonts w:cs="Arial"/>
        </w:rPr>
        <w:t>hacerlo debido a que</w:t>
      </w:r>
      <w:r>
        <w:rPr>
          <w:rFonts w:cs="Arial"/>
        </w:rPr>
        <w:t>:</w:t>
      </w:r>
    </w:p>
    <w:p w:rsidR="00ED3E9E" w:rsidRPr="005808A3" w:rsidRDefault="00ED3E9E" w:rsidP="006A7D5F">
      <w:pPr>
        <w:pStyle w:val="Prrafodelista"/>
        <w:numPr>
          <w:ilvl w:val="0"/>
          <w:numId w:val="54"/>
        </w:numPr>
        <w:tabs>
          <w:tab w:val="left" w:pos="1710"/>
          <w:tab w:val="center" w:pos="4419"/>
        </w:tabs>
        <w:spacing w:after="120" w:line="276" w:lineRule="auto"/>
        <w:ind w:left="426"/>
        <w:contextualSpacing w:val="0"/>
      </w:pPr>
      <w:r>
        <w:rPr>
          <w:rFonts w:cs="Arial"/>
        </w:rPr>
        <w:t>Las Partes no aporta</w:t>
      </w:r>
      <w:r w:rsidR="00866811">
        <w:rPr>
          <w:rFonts w:cs="Arial"/>
        </w:rPr>
        <w:t>ro</w:t>
      </w:r>
      <w:r>
        <w:rPr>
          <w:rFonts w:cs="Arial"/>
        </w:rPr>
        <w:t xml:space="preserve">n información de </w:t>
      </w:r>
      <w:r w:rsidRPr="005808A3">
        <w:rPr>
          <w:rFonts w:cs="Arial"/>
        </w:rPr>
        <w:t>los ingresos de los demás competidores en las localidades evaluadas</w:t>
      </w:r>
      <w:r>
        <w:rPr>
          <w:rFonts w:cs="Arial"/>
        </w:rPr>
        <w:t>,</w:t>
      </w:r>
      <w:r w:rsidRPr="005808A3">
        <w:rPr>
          <w:rFonts w:cs="Arial"/>
        </w:rPr>
        <w:t xml:space="preserve"> y </w:t>
      </w:r>
    </w:p>
    <w:p w:rsidR="00ED3E9E" w:rsidRPr="005808A3" w:rsidRDefault="00ED3E9E" w:rsidP="006A7D5F">
      <w:pPr>
        <w:pStyle w:val="Prrafodelista"/>
        <w:numPr>
          <w:ilvl w:val="0"/>
          <w:numId w:val="54"/>
        </w:numPr>
        <w:tabs>
          <w:tab w:val="left" w:pos="1710"/>
          <w:tab w:val="center" w:pos="4419"/>
        </w:tabs>
        <w:spacing w:after="120" w:line="276" w:lineRule="auto"/>
        <w:ind w:left="426"/>
        <w:contextualSpacing w:val="0"/>
      </w:pPr>
      <w:r>
        <w:rPr>
          <w:rFonts w:cs="Arial"/>
        </w:rPr>
        <w:t xml:space="preserve">No se identifica información pública que permita estimar </w:t>
      </w:r>
      <w:r w:rsidRPr="005808A3">
        <w:rPr>
          <w:rFonts w:cs="Arial"/>
        </w:rPr>
        <w:t>los ingresos totales en la</w:t>
      </w:r>
      <w:r>
        <w:rPr>
          <w:rFonts w:cs="Arial"/>
        </w:rPr>
        <w:t>s</w:t>
      </w:r>
      <w:r w:rsidRPr="005808A3">
        <w:rPr>
          <w:rFonts w:cs="Arial"/>
        </w:rPr>
        <w:t xml:space="preserve"> localidad</w:t>
      </w:r>
      <w:r>
        <w:rPr>
          <w:rFonts w:cs="Arial"/>
        </w:rPr>
        <w:t xml:space="preserve">es analizadas </w:t>
      </w:r>
      <w:r w:rsidRPr="005808A3">
        <w:rPr>
          <w:rFonts w:cs="Arial"/>
        </w:rPr>
        <w:t>por la provisión de ser</w:t>
      </w:r>
      <w:r>
        <w:rPr>
          <w:rFonts w:cs="Arial"/>
        </w:rPr>
        <w:t>vicios de radiodifusión sonora.</w:t>
      </w:r>
      <w:r w:rsidR="009F14D6" w:rsidRPr="009F14D6">
        <w:rPr>
          <w:rFonts w:cs="Arial"/>
        </w:rPr>
        <w:t xml:space="preserve"> </w:t>
      </w:r>
      <w:r w:rsidR="009F14D6">
        <w:rPr>
          <w:rFonts w:cs="Arial"/>
        </w:rPr>
        <w:t xml:space="preserve">El INEGI publica </w:t>
      </w:r>
      <w:r w:rsidR="009F14D6" w:rsidRPr="005808A3">
        <w:rPr>
          <w:rFonts w:cs="Arial"/>
        </w:rPr>
        <w:t xml:space="preserve">los </w:t>
      </w:r>
      <w:r w:rsidR="009F14D6" w:rsidRPr="005808A3">
        <w:t>Censos Económicos</w:t>
      </w:r>
      <w:r w:rsidR="009F14D6" w:rsidRPr="006F506D">
        <w:rPr>
          <w:rStyle w:val="Refdenotaalpie"/>
        </w:rPr>
        <w:footnoteReference w:id="59"/>
      </w:r>
      <w:r w:rsidR="009F14D6" w:rsidRPr="005808A3">
        <w:t xml:space="preserve"> </w:t>
      </w:r>
      <w:r w:rsidR="009F14D6">
        <w:t xml:space="preserve">que </w:t>
      </w:r>
      <w:r w:rsidR="009F14D6" w:rsidRPr="005808A3">
        <w:t>reporta</w:t>
      </w:r>
      <w:r w:rsidR="009F14D6">
        <w:t xml:space="preserve">n </w:t>
      </w:r>
      <w:r w:rsidR="009F14D6" w:rsidRPr="005808A3">
        <w:rPr>
          <w:rFonts w:cs="Arial"/>
        </w:rPr>
        <w:t xml:space="preserve">ingresos </w:t>
      </w:r>
      <w:r w:rsidR="009F14D6">
        <w:rPr>
          <w:rFonts w:cs="Arial"/>
        </w:rPr>
        <w:t>para la</w:t>
      </w:r>
      <w:r w:rsidR="009F14D6" w:rsidRPr="005808A3">
        <w:t xml:space="preserve"> actividad económica “</w:t>
      </w:r>
      <w:r w:rsidR="009F14D6" w:rsidRPr="005808A3">
        <w:rPr>
          <w:i/>
        </w:rPr>
        <w:t>Transmisión de programas de Radio</w:t>
      </w:r>
      <w:r w:rsidR="009F14D6" w:rsidRPr="005808A3">
        <w:t>”</w:t>
      </w:r>
      <w:r w:rsidR="009F14D6">
        <w:t xml:space="preserve">, pero no de forma </w:t>
      </w:r>
      <w:r w:rsidR="009F14D6" w:rsidRPr="005808A3">
        <w:t>desagregada para los municipios evaluados</w:t>
      </w:r>
      <w:r w:rsidR="009F14D6">
        <w:t>. En particular, e</w:t>
      </w:r>
      <w:r w:rsidR="009F14D6" w:rsidRPr="005808A3">
        <w:t>l Censo Económico de 2009 reporta cifras para Monterrey</w:t>
      </w:r>
      <w:r w:rsidR="009F14D6">
        <w:t xml:space="preserve"> que no es relevante para el análisis.</w:t>
      </w:r>
    </w:p>
    <w:p w:rsidR="00ED3E9E" w:rsidRPr="00A75729" w:rsidRDefault="009F14D6" w:rsidP="00866811">
      <w:r>
        <w:t>Así, la mejor información disponible para calcular participaciones consiste en el número de estaciones por operador, dado que es la única información existente en el Expediente y permite estimar participaciones con el nivel de desagregación requerido.</w:t>
      </w:r>
    </w:p>
    <w:p w:rsidR="00FA3534" w:rsidRPr="00A75729" w:rsidRDefault="001F38DA" w:rsidP="00FA3534">
      <w:pPr>
        <w:spacing w:after="0"/>
      </w:pPr>
      <w:r w:rsidRPr="00A75729">
        <w:rPr>
          <w:b/>
        </w:rPr>
        <w:t xml:space="preserve">Considerando lo anterior, para calcular las participaciones en el </w:t>
      </w:r>
      <w:proofErr w:type="spellStart"/>
      <w:r w:rsidRPr="00A75729">
        <w:rPr>
          <w:b/>
        </w:rPr>
        <w:t>SRSAC</w:t>
      </w:r>
      <w:proofErr w:type="spellEnd"/>
      <w:r w:rsidRPr="00A75729">
        <w:rPr>
          <w:b/>
        </w:rPr>
        <w:t xml:space="preserve"> en FM en Ojo de Agua, </w:t>
      </w:r>
      <w:r w:rsidR="00DD1B33" w:rsidRPr="00A75729">
        <w:rPr>
          <w:b/>
        </w:rPr>
        <w:t xml:space="preserve">Juárez, Cadereyta y Montemorelos, </w:t>
      </w:r>
      <w:r w:rsidRPr="00A75729">
        <w:rPr>
          <w:b/>
        </w:rPr>
        <w:t xml:space="preserve">Nuevo León, </w:t>
      </w:r>
      <w:r w:rsidR="00375807">
        <w:rPr>
          <w:b/>
        </w:rPr>
        <w:t xml:space="preserve">se utiliza </w:t>
      </w:r>
      <w:r w:rsidR="00FA3534" w:rsidRPr="00A75729">
        <w:rPr>
          <w:b/>
        </w:rPr>
        <w:t>el número de estaciones</w:t>
      </w:r>
      <w:r w:rsidR="00587D98">
        <w:rPr>
          <w:b/>
        </w:rPr>
        <w:t xml:space="preserve"> por operador</w:t>
      </w:r>
      <w:r w:rsidR="00FA3534" w:rsidRPr="00A75729">
        <w:t>.</w:t>
      </w:r>
    </w:p>
    <w:p w:rsidR="00FA3534" w:rsidRPr="00A75729" w:rsidRDefault="008C3E7A" w:rsidP="00FA3534">
      <w:pPr>
        <w:rPr>
          <w:rFonts w:eastAsia="Times New Roman"/>
          <w:lang w:eastAsia="es-ES"/>
        </w:rPr>
      </w:pPr>
      <w:r w:rsidRPr="00A75729">
        <w:t>Utilizar el número de estaciones encuentra justificación debido a que l</w:t>
      </w:r>
      <w:r w:rsidR="00FA3534" w:rsidRPr="00A75729">
        <w:rPr>
          <w:rFonts w:eastAsia="Times New Roman"/>
          <w:lang w:eastAsia="es-ES"/>
        </w:rPr>
        <w:t>a capacidad p</w:t>
      </w:r>
      <w:r w:rsidRPr="00A75729">
        <w:rPr>
          <w:rFonts w:eastAsia="Times New Roman"/>
          <w:lang w:eastAsia="es-ES"/>
        </w:rPr>
        <w:t>otencial para competir de cada A</w:t>
      </w:r>
      <w:r w:rsidR="00FA3534" w:rsidRPr="00A75729">
        <w:rPr>
          <w:rFonts w:eastAsia="Times New Roman"/>
          <w:lang w:eastAsia="es-ES"/>
        </w:rPr>
        <w:t xml:space="preserve">gente </w:t>
      </w:r>
      <w:r w:rsidRPr="00A75729">
        <w:rPr>
          <w:rFonts w:eastAsia="Times New Roman"/>
          <w:lang w:eastAsia="es-ES"/>
        </w:rPr>
        <w:t>E</w:t>
      </w:r>
      <w:r w:rsidR="00FA3534" w:rsidRPr="00A75729">
        <w:rPr>
          <w:rFonts w:eastAsia="Times New Roman"/>
          <w:lang w:eastAsia="es-ES"/>
        </w:rPr>
        <w:t>conómico está relacionada directamente con la cantidad de estaciones que opera o de la</w:t>
      </w:r>
      <w:r w:rsidRPr="00A75729">
        <w:rPr>
          <w:rFonts w:eastAsia="Times New Roman"/>
          <w:lang w:eastAsia="es-ES"/>
        </w:rPr>
        <w:t>s</w:t>
      </w:r>
      <w:r w:rsidR="00FA3534" w:rsidRPr="00A75729">
        <w:rPr>
          <w:rFonts w:eastAsia="Times New Roman"/>
          <w:lang w:eastAsia="es-ES"/>
        </w:rPr>
        <w:t xml:space="preserve"> que es concesionario. Esto es, el poder de negociación de cada </w:t>
      </w:r>
      <w:r w:rsidRPr="00A75729">
        <w:rPr>
          <w:rFonts w:eastAsia="Times New Roman"/>
          <w:lang w:eastAsia="es-ES"/>
        </w:rPr>
        <w:t>A</w:t>
      </w:r>
      <w:r w:rsidR="00FA3534" w:rsidRPr="00A75729">
        <w:rPr>
          <w:rFonts w:eastAsia="Times New Roman"/>
          <w:lang w:eastAsia="es-ES"/>
        </w:rPr>
        <w:t xml:space="preserve">gente </w:t>
      </w:r>
      <w:r w:rsidRPr="00A75729">
        <w:rPr>
          <w:rFonts w:eastAsia="Times New Roman"/>
          <w:lang w:eastAsia="es-ES"/>
        </w:rPr>
        <w:t>E</w:t>
      </w:r>
      <w:r w:rsidR="00FA3534" w:rsidRPr="00A75729">
        <w:rPr>
          <w:rFonts w:eastAsia="Times New Roman"/>
          <w:lang w:eastAsia="es-ES"/>
        </w:rPr>
        <w:t xml:space="preserve">conómico frente a los contratantes de espacios publicitarios (los anunciantes) depende, en parte, de la cobertura y diversidad de </w:t>
      </w:r>
      <w:r w:rsidRPr="00A75729">
        <w:rPr>
          <w:rFonts w:eastAsia="Times New Roman"/>
          <w:lang w:eastAsia="es-ES"/>
        </w:rPr>
        <w:t>contenidos</w:t>
      </w:r>
      <w:r w:rsidR="00FA3534" w:rsidRPr="00A75729">
        <w:rPr>
          <w:rFonts w:eastAsia="Times New Roman"/>
          <w:lang w:eastAsia="es-ES"/>
        </w:rPr>
        <w:t xml:space="preserve"> que puede ofrecer. De esta forma, el número d</w:t>
      </w:r>
      <w:r w:rsidRPr="00A75729">
        <w:rPr>
          <w:rFonts w:eastAsia="Times New Roman"/>
          <w:lang w:eastAsia="es-ES"/>
        </w:rPr>
        <w:t>e estaciones que controla cada A</w:t>
      </w:r>
      <w:r w:rsidR="00FA3534" w:rsidRPr="00A75729">
        <w:rPr>
          <w:rFonts w:eastAsia="Times New Roman"/>
          <w:lang w:eastAsia="es-ES"/>
        </w:rPr>
        <w:t xml:space="preserve">gente </w:t>
      </w:r>
      <w:r w:rsidRPr="00A75729">
        <w:rPr>
          <w:rFonts w:eastAsia="Times New Roman"/>
          <w:lang w:eastAsia="es-ES"/>
        </w:rPr>
        <w:t>E</w:t>
      </w:r>
      <w:r w:rsidR="00FA3534" w:rsidRPr="00A75729">
        <w:rPr>
          <w:rFonts w:eastAsia="Times New Roman"/>
          <w:lang w:eastAsia="es-ES"/>
        </w:rPr>
        <w:t>conómico es un indicador que permite estimar la capacidad que tiene para prestar servicios de radiodifusión sonora, así como su posición competitiva.</w:t>
      </w:r>
    </w:p>
    <w:p w:rsidR="00F8780D" w:rsidRPr="00A225BD" w:rsidRDefault="0043126D" w:rsidP="0043126D">
      <w:pPr>
        <w:pStyle w:val="Ttulo6"/>
        <w:spacing w:before="360"/>
        <w:rPr>
          <w:rFonts w:eastAsia="Times New Roman"/>
        </w:rPr>
      </w:pPr>
      <w:r>
        <w:rPr>
          <w:rFonts w:ascii="ITC Avant Garde" w:eastAsia="Times New Roman" w:hAnsi="ITC Avant Garde"/>
          <w:b/>
          <w:color w:val="auto"/>
        </w:rPr>
        <w:t xml:space="preserve">5.4.4.3.4 </w:t>
      </w:r>
      <w:r w:rsidR="00F8780D" w:rsidRPr="00A225BD">
        <w:rPr>
          <w:rFonts w:ascii="ITC Avant Garde" w:eastAsia="Times New Roman" w:hAnsi="ITC Avant Garde"/>
          <w:b/>
          <w:color w:val="auto"/>
        </w:rPr>
        <w:t>Estimación de participaciones</w:t>
      </w:r>
    </w:p>
    <w:p w:rsidR="00A67BC5" w:rsidRPr="00FF388E" w:rsidRDefault="00CD4BC9" w:rsidP="00FA3534">
      <w:pPr>
        <w:rPr>
          <w:rFonts w:cs="ITC Avant Garde"/>
          <w:bCs/>
        </w:rPr>
      </w:pPr>
      <w:r>
        <w:rPr>
          <w:rFonts w:eastAsia="Times New Roman"/>
          <w:lang w:eastAsia="es-ES"/>
        </w:rPr>
        <w:t xml:space="preserve">En esta sección se presenta la información aportada por las Partes y la </w:t>
      </w:r>
      <w:r w:rsidR="00F14D89">
        <w:rPr>
          <w:rFonts w:eastAsia="Times New Roman"/>
          <w:lang w:eastAsia="es-ES"/>
        </w:rPr>
        <w:t xml:space="preserve">técnica </w:t>
      </w:r>
      <w:r>
        <w:rPr>
          <w:rFonts w:eastAsia="Times New Roman"/>
          <w:lang w:eastAsia="es-ES"/>
        </w:rPr>
        <w:t xml:space="preserve">disponible en el Instituto — aportada por la </w:t>
      </w:r>
      <w:proofErr w:type="spellStart"/>
      <w:r w:rsidR="00F14D89">
        <w:rPr>
          <w:rFonts w:eastAsia="Times New Roman"/>
          <w:lang w:eastAsia="es-ES"/>
        </w:rPr>
        <w:t>UER</w:t>
      </w:r>
      <w:proofErr w:type="spellEnd"/>
      <w:r w:rsidR="00F14D89">
        <w:rPr>
          <w:rFonts w:eastAsia="Times New Roman"/>
          <w:lang w:eastAsia="es-ES"/>
        </w:rPr>
        <w:t>.</w:t>
      </w:r>
      <w:r w:rsidR="00A67BC5">
        <w:rPr>
          <w:rFonts w:eastAsia="Times New Roman"/>
          <w:lang w:eastAsia="es-ES"/>
        </w:rPr>
        <w:t xml:space="preserve"> Las diferencias en la información atienden a la fuente que los aporta. La primera, la aportan las Partes desde su práctica comercial. La segunda, corresponde a </w:t>
      </w:r>
      <w:r w:rsidR="00A67BC5">
        <w:rPr>
          <w:rFonts w:cs="ITC Avant Garde"/>
          <w:bCs/>
        </w:rPr>
        <w:t xml:space="preserve">información técnica sobre el número de estaciones identificadas con cobertura sobre una localidad — de acuerdo con el </w:t>
      </w:r>
      <w:r w:rsidR="00A67BC5" w:rsidRPr="00A67BC5">
        <w:rPr>
          <w:rFonts w:cs="ITC Avant Garde"/>
          <w:bCs/>
        </w:rPr>
        <w:t xml:space="preserve">Catálogo Único </w:t>
      </w:r>
      <w:r w:rsidR="00A67BC5" w:rsidRPr="00A67BC5">
        <w:rPr>
          <w:rFonts w:cs="ITC Avant Garde"/>
          <w:bCs/>
        </w:rPr>
        <w:lastRenderedPageBreak/>
        <w:t xml:space="preserve">de Claves de Áreas </w:t>
      </w:r>
      <w:proofErr w:type="spellStart"/>
      <w:r w:rsidR="00A67BC5" w:rsidRPr="00A67BC5">
        <w:rPr>
          <w:rFonts w:cs="ITC Avant Garde"/>
          <w:bCs/>
        </w:rPr>
        <w:t>Geoestadísticas</w:t>
      </w:r>
      <w:proofErr w:type="spellEnd"/>
      <w:r w:rsidR="00A67BC5">
        <w:rPr>
          <w:rFonts w:cs="ITC Avant Garde"/>
          <w:bCs/>
        </w:rPr>
        <w:t>.</w:t>
      </w:r>
      <w:r w:rsidR="00A67BC5">
        <w:rPr>
          <w:rStyle w:val="Refdenotaalpie"/>
          <w:rFonts w:cs="ITC Avant Garde"/>
          <w:bCs/>
        </w:rPr>
        <w:footnoteReference w:id="60"/>
      </w:r>
      <w:r w:rsidR="00A67BC5">
        <w:rPr>
          <w:rFonts w:cs="ITC Avant Garde"/>
          <w:bCs/>
        </w:rPr>
        <w:t xml:space="preserve"> En esta evaluación se emplea la primera y la segunda sólo sirve de referencia. </w:t>
      </w:r>
    </w:p>
    <w:p w:rsidR="00F14D89" w:rsidRPr="00FF388E" w:rsidRDefault="00F14D89" w:rsidP="00FF388E">
      <w:pPr>
        <w:pStyle w:val="Ttulo7"/>
        <w:spacing w:before="360"/>
        <w:ind w:left="567"/>
        <w:rPr>
          <w:rFonts w:ascii="ITC Avant Garde" w:hAnsi="ITC Avant Garde"/>
          <w:b/>
          <w:i w:val="0"/>
          <w:color w:val="auto"/>
          <w:lang w:eastAsia="es-ES"/>
        </w:rPr>
      </w:pPr>
      <w:r w:rsidRPr="00FF388E">
        <w:rPr>
          <w:rFonts w:ascii="ITC Avant Garde" w:hAnsi="ITC Avant Garde"/>
          <w:b/>
          <w:i w:val="0"/>
          <w:color w:val="auto"/>
          <w:lang w:eastAsia="es-ES"/>
        </w:rPr>
        <w:t>Información aportada por las Partes</w:t>
      </w:r>
    </w:p>
    <w:p w:rsidR="00F14D89" w:rsidRDefault="00F14D89" w:rsidP="0053408B">
      <w:pPr>
        <w:rPr>
          <w:rFonts w:eastAsia="Times New Roman"/>
          <w:lang w:eastAsia="es-ES"/>
        </w:rPr>
      </w:pPr>
      <w:r>
        <w:rPr>
          <w:rFonts w:eastAsia="Times New Roman"/>
          <w:lang w:eastAsia="es-ES"/>
        </w:rPr>
        <w:t xml:space="preserve">Con esta información </w:t>
      </w:r>
      <w:r w:rsidR="00FA3534" w:rsidRPr="00A75729">
        <w:rPr>
          <w:rFonts w:eastAsia="Times New Roman"/>
          <w:lang w:eastAsia="es-ES"/>
        </w:rPr>
        <w:t>se identifica que</w:t>
      </w:r>
      <w:r>
        <w:rPr>
          <w:rFonts w:eastAsia="Times New Roman"/>
          <w:lang w:eastAsia="es-ES"/>
        </w:rPr>
        <w:t>:</w:t>
      </w:r>
    </w:p>
    <w:p w:rsidR="00FA3534" w:rsidRPr="00FF388E" w:rsidRDefault="00F14D89" w:rsidP="0053408B">
      <w:pPr>
        <w:pStyle w:val="Prrafodelista"/>
        <w:numPr>
          <w:ilvl w:val="0"/>
          <w:numId w:val="20"/>
        </w:numPr>
        <w:spacing w:after="120" w:line="276" w:lineRule="auto"/>
        <w:contextualSpacing w:val="0"/>
        <w:rPr>
          <w:rFonts w:eastAsia="Times New Roman"/>
          <w:lang w:eastAsia="es-ES"/>
        </w:rPr>
      </w:pPr>
      <w:r>
        <w:rPr>
          <w:rFonts w:eastAsia="Times New Roman"/>
          <w:lang w:eastAsia="es-ES"/>
        </w:rPr>
        <w:t>A</w:t>
      </w:r>
      <w:r w:rsidR="008C3E7A" w:rsidRPr="00FF388E">
        <w:rPr>
          <w:rFonts w:eastAsia="Times New Roman"/>
          <w:lang w:eastAsia="es-ES"/>
        </w:rPr>
        <w:t xml:space="preserve">ntes de la Operación existían </w:t>
      </w:r>
      <w:r w:rsidR="00FA3534" w:rsidRPr="00FF388E">
        <w:rPr>
          <w:rFonts w:eastAsia="Times New Roman"/>
          <w:lang w:eastAsia="es-ES"/>
        </w:rPr>
        <w:t xml:space="preserve">4 (cuatro) </w:t>
      </w:r>
      <w:r w:rsidR="008C3E7A" w:rsidRPr="00FF388E">
        <w:rPr>
          <w:rFonts w:eastAsia="Times New Roman"/>
          <w:lang w:eastAsia="es-ES"/>
        </w:rPr>
        <w:t xml:space="preserve">Agentes Económicos </w:t>
      </w:r>
      <w:r w:rsidR="00FA3534" w:rsidRPr="00FF388E">
        <w:rPr>
          <w:rFonts w:eastAsia="Times New Roman"/>
          <w:lang w:eastAsia="es-ES"/>
        </w:rPr>
        <w:t xml:space="preserve">diferentes </w:t>
      </w:r>
      <w:r w:rsidR="008C3E7A" w:rsidRPr="00FF388E">
        <w:rPr>
          <w:rFonts w:eastAsia="Times New Roman"/>
          <w:lang w:eastAsia="es-ES"/>
        </w:rPr>
        <w:t>en la provisión d</w:t>
      </w:r>
      <w:r w:rsidR="00FA3534" w:rsidRPr="00FF388E">
        <w:rPr>
          <w:rFonts w:eastAsia="Times New Roman"/>
          <w:lang w:eastAsia="es-ES"/>
        </w:rPr>
        <w:t xml:space="preserve">el </w:t>
      </w:r>
      <w:proofErr w:type="spellStart"/>
      <w:r w:rsidR="00FA3534" w:rsidRPr="00FF388E">
        <w:rPr>
          <w:rFonts w:eastAsia="Times New Roman"/>
          <w:lang w:eastAsia="es-ES"/>
        </w:rPr>
        <w:t>SRSAC</w:t>
      </w:r>
      <w:proofErr w:type="spellEnd"/>
      <w:r w:rsidR="00FA3534" w:rsidRPr="00FF388E">
        <w:rPr>
          <w:rFonts w:eastAsia="Times New Roman"/>
          <w:lang w:eastAsia="es-ES"/>
        </w:rPr>
        <w:t xml:space="preserve"> en FM en </w:t>
      </w:r>
      <w:r w:rsidR="00FA3534" w:rsidRPr="00A75729">
        <w:t>Ojo de Agua, Nuevo León</w:t>
      </w:r>
      <w:r w:rsidR="00FA3534" w:rsidRPr="00FF388E">
        <w:rPr>
          <w:rFonts w:eastAsia="Times New Roman"/>
          <w:lang w:eastAsia="es-ES"/>
        </w:rPr>
        <w:t>.</w:t>
      </w:r>
      <w:r w:rsidR="00FA3534" w:rsidRPr="00A75729">
        <w:rPr>
          <w:rStyle w:val="Refdenotaalpie"/>
        </w:rPr>
        <w:footnoteReference w:id="61"/>
      </w:r>
      <w:r w:rsidR="00FA3534" w:rsidRPr="00FF388E">
        <w:rPr>
          <w:rFonts w:eastAsia="Times New Roman"/>
          <w:lang w:eastAsia="es-ES"/>
        </w:rPr>
        <w:t xml:space="preserve"> En el </w:t>
      </w:r>
      <w:r w:rsidR="008C3E7A" w:rsidRPr="00FF388E">
        <w:rPr>
          <w:rFonts w:eastAsia="Times New Roman"/>
          <w:lang w:eastAsia="es-ES"/>
        </w:rPr>
        <w:t>C</w:t>
      </w:r>
      <w:r w:rsidR="00FA3534" w:rsidRPr="00FF388E">
        <w:rPr>
          <w:rFonts w:eastAsia="Times New Roman"/>
          <w:lang w:eastAsia="es-ES"/>
        </w:rPr>
        <w:t xml:space="preserve">uadro </w:t>
      </w:r>
      <w:r w:rsidR="008C3E7A" w:rsidRPr="00FF388E">
        <w:rPr>
          <w:rFonts w:eastAsia="Times New Roman"/>
          <w:lang w:eastAsia="es-ES"/>
        </w:rPr>
        <w:t xml:space="preserve">siguiente </w:t>
      </w:r>
      <w:r w:rsidR="00FA3534" w:rsidRPr="00FF388E">
        <w:rPr>
          <w:rFonts w:eastAsia="Times New Roman"/>
          <w:lang w:eastAsia="es-ES"/>
        </w:rPr>
        <w:t>se presentan las participaciones en términos de número de estaciones</w:t>
      </w:r>
      <w:r w:rsidR="008C3E7A" w:rsidRPr="00FF388E">
        <w:rPr>
          <w:rFonts w:eastAsia="Times New Roman"/>
          <w:lang w:eastAsia="es-ES"/>
        </w:rPr>
        <w:t xml:space="preserve"> antes de la Operación</w:t>
      </w:r>
      <w:r>
        <w:rPr>
          <w:rFonts w:eastAsia="Times New Roman"/>
          <w:lang w:eastAsia="es-ES"/>
        </w:rPr>
        <w:t>;</w:t>
      </w:r>
    </w:p>
    <w:p w:rsidR="00FA3534" w:rsidRPr="00A75729" w:rsidRDefault="00FA3534" w:rsidP="00F14D89">
      <w:pPr>
        <w:pStyle w:val="Prrafodelista"/>
        <w:keepNext/>
        <w:numPr>
          <w:ilvl w:val="0"/>
          <w:numId w:val="18"/>
        </w:numPr>
        <w:spacing w:after="120" w:line="276" w:lineRule="auto"/>
        <w:ind w:left="709" w:right="615" w:hanging="357"/>
        <w:contextualSpacing w:val="0"/>
        <w:jc w:val="center"/>
        <w:rPr>
          <w:b/>
          <w:szCs w:val="20"/>
        </w:rPr>
      </w:pPr>
      <w:r w:rsidRPr="00A75729">
        <w:rPr>
          <w:b/>
          <w:szCs w:val="20"/>
        </w:rPr>
        <w:t xml:space="preserve">Participaciones en </w:t>
      </w:r>
      <w:r w:rsidR="008C3E7A" w:rsidRPr="00A75729">
        <w:rPr>
          <w:b/>
          <w:szCs w:val="20"/>
        </w:rPr>
        <w:t xml:space="preserve">el </w:t>
      </w:r>
      <w:proofErr w:type="spellStart"/>
      <w:r w:rsidR="008C3E7A" w:rsidRPr="00A75729">
        <w:rPr>
          <w:b/>
          <w:szCs w:val="20"/>
        </w:rPr>
        <w:t>SRSAC</w:t>
      </w:r>
      <w:proofErr w:type="spellEnd"/>
      <w:r w:rsidR="008C3E7A" w:rsidRPr="00A75729">
        <w:rPr>
          <w:b/>
          <w:szCs w:val="20"/>
        </w:rPr>
        <w:t xml:space="preserve"> en</w:t>
      </w:r>
      <w:r w:rsidRPr="00A75729">
        <w:rPr>
          <w:b/>
          <w:szCs w:val="20"/>
        </w:rPr>
        <w:t xml:space="preserve"> FM en Ojo de Agua, Nuevo León (antes de la Operación)</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1306"/>
        <w:gridCol w:w="1954"/>
      </w:tblGrid>
      <w:tr w:rsidR="00FA3534" w:rsidRPr="00A75729" w:rsidTr="008C3E7A">
        <w:trPr>
          <w:trHeight w:val="50"/>
          <w:tblHeader/>
          <w:jc w:val="center"/>
        </w:trPr>
        <w:tc>
          <w:tcPr>
            <w:tcW w:w="5240" w:type="dxa"/>
            <w:shd w:val="clear" w:color="auto" w:fill="92D050"/>
            <w:vAlign w:val="center"/>
          </w:tcPr>
          <w:p w:rsidR="00FA3534" w:rsidRPr="00A75729" w:rsidRDefault="008C3E7A" w:rsidP="00F14D89">
            <w:pPr>
              <w:keepNext/>
              <w:spacing w:before="0" w:after="0"/>
              <w:jc w:val="center"/>
              <w:rPr>
                <w:rFonts w:eastAsia="Times New Roman"/>
                <w:b/>
                <w:bCs/>
                <w:sz w:val="20"/>
                <w:szCs w:val="20"/>
              </w:rPr>
            </w:pPr>
            <w:r w:rsidRPr="00A75729">
              <w:rPr>
                <w:rFonts w:eastAsia="Times New Roman"/>
                <w:b/>
                <w:bCs/>
                <w:sz w:val="20"/>
                <w:szCs w:val="20"/>
              </w:rPr>
              <w:t>Agente Económico</w:t>
            </w:r>
          </w:p>
        </w:tc>
        <w:tc>
          <w:tcPr>
            <w:tcW w:w="1306" w:type="dxa"/>
            <w:shd w:val="clear" w:color="auto" w:fill="92D050"/>
            <w:noWrap/>
            <w:vAlign w:val="center"/>
          </w:tcPr>
          <w:p w:rsidR="00FA3534" w:rsidRPr="00A75729" w:rsidRDefault="00FA3534" w:rsidP="00F14D89">
            <w:pPr>
              <w:keepNext/>
              <w:spacing w:before="0" w:after="0"/>
              <w:jc w:val="center"/>
              <w:rPr>
                <w:rFonts w:eastAsia="Times New Roman"/>
                <w:b/>
                <w:bCs/>
                <w:sz w:val="20"/>
                <w:szCs w:val="20"/>
              </w:rPr>
            </w:pPr>
            <w:r w:rsidRPr="00A75729">
              <w:rPr>
                <w:rFonts w:eastAsia="Times New Roman"/>
                <w:b/>
                <w:bCs/>
                <w:sz w:val="20"/>
                <w:szCs w:val="20"/>
              </w:rPr>
              <w:t>Estaciones</w:t>
            </w:r>
          </w:p>
        </w:tc>
        <w:tc>
          <w:tcPr>
            <w:tcW w:w="1954" w:type="dxa"/>
            <w:shd w:val="clear" w:color="auto" w:fill="92D050"/>
            <w:vAlign w:val="center"/>
          </w:tcPr>
          <w:p w:rsidR="00FA3534" w:rsidRPr="00A75729" w:rsidRDefault="00FA3534" w:rsidP="00F14D89">
            <w:pPr>
              <w:keepNext/>
              <w:spacing w:before="0" w:after="0"/>
              <w:jc w:val="center"/>
              <w:rPr>
                <w:rFonts w:eastAsia="Times New Roman"/>
                <w:b/>
                <w:bCs/>
                <w:sz w:val="20"/>
                <w:szCs w:val="20"/>
              </w:rPr>
            </w:pPr>
            <w:r w:rsidRPr="00A75729">
              <w:rPr>
                <w:rFonts w:eastAsia="Times New Roman"/>
                <w:b/>
                <w:bCs/>
                <w:sz w:val="20"/>
                <w:szCs w:val="20"/>
              </w:rPr>
              <w:t>Participación (%)</w:t>
            </w:r>
          </w:p>
        </w:tc>
      </w:tr>
      <w:tr w:rsidR="00FA3534" w:rsidRPr="00A75729" w:rsidTr="008C3E7A">
        <w:trPr>
          <w:trHeight w:val="228"/>
          <w:jc w:val="center"/>
        </w:trPr>
        <w:tc>
          <w:tcPr>
            <w:tcW w:w="5240" w:type="dxa"/>
          </w:tcPr>
          <w:p w:rsidR="00FA3534" w:rsidRPr="00A75729" w:rsidRDefault="00FA3534" w:rsidP="00F14D89">
            <w:pPr>
              <w:keepNext/>
              <w:spacing w:before="0" w:after="0"/>
              <w:rPr>
                <w:rFonts w:eastAsia="Times New Roman"/>
                <w:b/>
                <w:color w:val="000000"/>
                <w:sz w:val="20"/>
                <w:szCs w:val="20"/>
              </w:rPr>
            </w:pPr>
            <w:proofErr w:type="spellStart"/>
            <w:r w:rsidRPr="00A75729">
              <w:rPr>
                <w:rFonts w:eastAsia="Times New Roman"/>
                <w:b/>
                <w:color w:val="000000"/>
                <w:sz w:val="20"/>
                <w:szCs w:val="20"/>
              </w:rPr>
              <w:t>GIE</w:t>
            </w:r>
            <w:proofErr w:type="spellEnd"/>
            <w:r w:rsidRPr="00A75729">
              <w:rPr>
                <w:rFonts w:eastAsia="Times New Roman"/>
                <w:b/>
                <w:color w:val="000000"/>
                <w:sz w:val="20"/>
                <w:szCs w:val="20"/>
              </w:rPr>
              <w:t xml:space="preserve"> </w:t>
            </w:r>
            <w:r w:rsidR="00211333" w:rsidRPr="00A75729">
              <w:rPr>
                <w:rFonts w:eastAsia="Times New Roman"/>
                <w:b/>
                <w:color w:val="000000"/>
                <w:sz w:val="20"/>
                <w:szCs w:val="20"/>
              </w:rPr>
              <w:t>Grupo Multimedios</w:t>
            </w:r>
            <w:r w:rsidRPr="00A75729">
              <w:rPr>
                <w:rFonts w:eastAsia="Times New Roman"/>
                <w:b/>
                <w:color w:val="000000"/>
                <w:sz w:val="20"/>
                <w:szCs w:val="20"/>
              </w:rPr>
              <w:t xml:space="preserve"> </w:t>
            </w:r>
          </w:p>
        </w:tc>
        <w:tc>
          <w:tcPr>
            <w:tcW w:w="1306" w:type="dxa"/>
            <w:shd w:val="clear" w:color="auto" w:fill="auto"/>
            <w:noWrap/>
            <w:vAlign w:val="center"/>
          </w:tcPr>
          <w:p w:rsidR="00FA3534" w:rsidRPr="00A75729" w:rsidRDefault="00FA3534" w:rsidP="00F14D89">
            <w:pPr>
              <w:keepNext/>
              <w:spacing w:before="0" w:after="0"/>
              <w:jc w:val="center"/>
              <w:rPr>
                <w:rFonts w:eastAsia="Times New Roman"/>
                <w:b/>
                <w:color w:val="000000"/>
                <w:sz w:val="20"/>
                <w:szCs w:val="20"/>
              </w:rPr>
            </w:pPr>
            <w:r w:rsidRPr="00A75729">
              <w:rPr>
                <w:rFonts w:eastAsia="Times New Roman"/>
                <w:b/>
                <w:color w:val="000000"/>
                <w:sz w:val="20"/>
                <w:szCs w:val="20"/>
              </w:rPr>
              <w:t>1</w:t>
            </w:r>
          </w:p>
        </w:tc>
        <w:tc>
          <w:tcPr>
            <w:tcW w:w="1954" w:type="dxa"/>
            <w:vAlign w:val="center"/>
          </w:tcPr>
          <w:p w:rsidR="00FA3534" w:rsidRPr="00A75729" w:rsidRDefault="00FA3534" w:rsidP="00F14D89">
            <w:pPr>
              <w:keepNext/>
              <w:spacing w:before="0" w:after="0"/>
              <w:jc w:val="right"/>
              <w:rPr>
                <w:rFonts w:eastAsia="Times New Roman"/>
                <w:b/>
                <w:color w:val="000000"/>
                <w:sz w:val="20"/>
                <w:szCs w:val="20"/>
              </w:rPr>
            </w:pPr>
            <w:r w:rsidRPr="00A75729">
              <w:rPr>
                <w:rFonts w:eastAsia="Times New Roman"/>
                <w:b/>
                <w:color w:val="000000"/>
                <w:sz w:val="20"/>
                <w:szCs w:val="20"/>
              </w:rPr>
              <w:t>25.00</w:t>
            </w:r>
          </w:p>
        </w:tc>
      </w:tr>
      <w:tr w:rsidR="00FA3534" w:rsidRPr="00A75729" w:rsidTr="008C3E7A">
        <w:trPr>
          <w:trHeight w:val="228"/>
          <w:jc w:val="center"/>
        </w:trPr>
        <w:tc>
          <w:tcPr>
            <w:tcW w:w="5240" w:type="dxa"/>
            <w:vAlign w:val="center"/>
          </w:tcPr>
          <w:p w:rsidR="00FA3534" w:rsidRPr="00A75729" w:rsidRDefault="00196D6B" w:rsidP="00F14D89">
            <w:pPr>
              <w:spacing w:before="0" w:after="0"/>
              <w:rPr>
                <w:rFonts w:eastAsia="Times New Roman"/>
                <w:color w:val="000000"/>
                <w:sz w:val="20"/>
                <w:szCs w:val="20"/>
              </w:rPr>
            </w:pPr>
            <w:r w:rsidRPr="00A75729">
              <w:rPr>
                <w:rFonts w:eastAsia="Times New Roman"/>
                <w:color w:val="000000"/>
                <w:sz w:val="20"/>
                <w:szCs w:val="20"/>
              </w:rPr>
              <w:t>Gámez Fonseca (</w:t>
            </w:r>
            <w:r w:rsidR="00FA3534" w:rsidRPr="00A75729">
              <w:rPr>
                <w:rFonts w:eastAsia="Times New Roman"/>
                <w:color w:val="000000"/>
                <w:sz w:val="20"/>
                <w:szCs w:val="20"/>
              </w:rPr>
              <w:t>Radio Televisora del Valle, S.A.</w:t>
            </w:r>
            <w:r w:rsidRPr="00A75729">
              <w:rPr>
                <w:rFonts w:eastAsia="Times New Roman"/>
                <w:color w:val="000000"/>
                <w:sz w:val="20"/>
                <w:szCs w:val="20"/>
              </w:rPr>
              <w:t>)</w:t>
            </w:r>
          </w:p>
        </w:tc>
        <w:tc>
          <w:tcPr>
            <w:tcW w:w="1306" w:type="dxa"/>
            <w:shd w:val="clear" w:color="auto" w:fill="auto"/>
            <w:noWrap/>
            <w:vAlign w:val="center"/>
          </w:tcPr>
          <w:p w:rsidR="00FA3534" w:rsidRPr="00A75729" w:rsidRDefault="00FA3534" w:rsidP="00F14D89">
            <w:pPr>
              <w:spacing w:before="0" w:after="0"/>
              <w:jc w:val="center"/>
              <w:rPr>
                <w:rFonts w:eastAsia="Times New Roman"/>
                <w:color w:val="000000"/>
                <w:sz w:val="20"/>
                <w:szCs w:val="20"/>
              </w:rPr>
            </w:pPr>
            <w:r w:rsidRPr="00A75729">
              <w:rPr>
                <w:rFonts w:eastAsia="Times New Roman"/>
                <w:color w:val="000000"/>
                <w:sz w:val="20"/>
                <w:szCs w:val="20"/>
              </w:rPr>
              <w:t>1</w:t>
            </w:r>
          </w:p>
        </w:tc>
        <w:tc>
          <w:tcPr>
            <w:tcW w:w="1954" w:type="dxa"/>
            <w:vAlign w:val="center"/>
          </w:tcPr>
          <w:p w:rsidR="00FA3534" w:rsidRPr="00A75729" w:rsidRDefault="00FA3534" w:rsidP="00F14D89">
            <w:pPr>
              <w:spacing w:before="0" w:after="0"/>
              <w:jc w:val="right"/>
              <w:rPr>
                <w:rFonts w:eastAsia="Times New Roman"/>
                <w:color w:val="000000"/>
                <w:sz w:val="20"/>
                <w:szCs w:val="20"/>
              </w:rPr>
            </w:pPr>
            <w:r w:rsidRPr="00A75729">
              <w:rPr>
                <w:rFonts w:eastAsia="Times New Roman"/>
                <w:color w:val="000000"/>
                <w:sz w:val="20"/>
                <w:szCs w:val="20"/>
              </w:rPr>
              <w:t>25.00</w:t>
            </w:r>
          </w:p>
        </w:tc>
      </w:tr>
      <w:tr w:rsidR="00FA3534" w:rsidRPr="00A75729" w:rsidTr="008C3E7A">
        <w:trPr>
          <w:trHeight w:val="228"/>
          <w:jc w:val="center"/>
        </w:trPr>
        <w:tc>
          <w:tcPr>
            <w:tcW w:w="5240" w:type="dxa"/>
            <w:vAlign w:val="center"/>
          </w:tcPr>
          <w:p w:rsidR="00FA3534" w:rsidRPr="00A75729" w:rsidRDefault="00E5645C" w:rsidP="00F14D89">
            <w:pPr>
              <w:spacing w:before="0" w:after="0"/>
              <w:rPr>
                <w:rFonts w:eastAsia="Times New Roman"/>
                <w:color w:val="000000"/>
                <w:sz w:val="20"/>
                <w:szCs w:val="20"/>
              </w:rPr>
            </w:pPr>
            <w:r w:rsidRPr="00A75729">
              <w:rPr>
                <w:rFonts w:eastAsia="Times New Roman"/>
                <w:color w:val="000000"/>
                <w:sz w:val="20"/>
                <w:szCs w:val="20"/>
              </w:rPr>
              <w:t xml:space="preserve">Bichara </w:t>
            </w:r>
            <w:proofErr w:type="spellStart"/>
            <w:r w:rsidRPr="00A75729">
              <w:rPr>
                <w:rFonts w:eastAsia="Times New Roman"/>
                <w:color w:val="000000"/>
                <w:sz w:val="20"/>
                <w:szCs w:val="20"/>
              </w:rPr>
              <w:t>Kawas</w:t>
            </w:r>
            <w:proofErr w:type="spellEnd"/>
            <w:r w:rsidRPr="00A75729">
              <w:rPr>
                <w:rFonts w:eastAsia="Times New Roman"/>
                <w:color w:val="000000"/>
                <w:sz w:val="20"/>
                <w:szCs w:val="20"/>
              </w:rPr>
              <w:t xml:space="preserve"> (Frecuencia Modulada Monterrey, S.A. de C.V.)</w:t>
            </w:r>
          </w:p>
        </w:tc>
        <w:tc>
          <w:tcPr>
            <w:tcW w:w="1306" w:type="dxa"/>
            <w:shd w:val="clear" w:color="auto" w:fill="auto"/>
            <w:noWrap/>
            <w:vAlign w:val="center"/>
          </w:tcPr>
          <w:p w:rsidR="00FA3534" w:rsidRPr="00A75729" w:rsidRDefault="00FA3534" w:rsidP="00F14D89">
            <w:pPr>
              <w:spacing w:before="0" w:after="0"/>
              <w:jc w:val="center"/>
              <w:rPr>
                <w:rFonts w:eastAsia="Times New Roman"/>
                <w:color w:val="000000"/>
                <w:sz w:val="20"/>
                <w:szCs w:val="20"/>
              </w:rPr>
            </w:pPr>
            <w:r w:rsidRPr="00A75729">
              <w:rPr>
                <w:rFonts w:eastAsia="Times New Roman"/>
                <w:color w:val="000000"/>
                <w:sz w:val="20"/>
                <w:szCs w:val="20"/>
              </w:rPr>
              <w:t>1</w:t>
            </w:r>
          </w:p>
        </w:tc>
        <w:tc>
          <w:tcPr>
            <w:tcW w:w="1954" w:type="dxa"/>
            <w:vAlign w:val="center"/>
          </w:tcPr>
          <w:p w:rsidR="00FA3534" w:rsidRPr="00A75729" w:rsidRDefault="00FA3534" w:rsidP="00F14D89">
            <w:pPr>
              <w:spacing w:before="0" w:after="0"/>
              <w:jc w:val="right"/>
              <w:rPr>
                <w:rFonts w:eastAsia="Times New Roman"/>
                <w:color w:val="000000"/>
                <w:sz w:val="20"/>
                <w:szCs w:val="20"/>
              </w:rPr>
            </w:pPr>
            <w:r w:rsidRPr="00A75729">
              <w:rPr>
                <w:rFonts w:eastAsia="Times New Roman"/>
                <w:color w:val="000000"/>
                <w:sz w:val="20"/>
                <w:szCs w:val="20"/>
              </w:rPr>
              <w:t>25.00</w:t>
            </w:r>
          </w:p>
        </w:tc>
      </w:tr>
      <w:tr w:rsidR="00FA3534" w:rsidRPr="00A75729" w:rsidTr="008C3E7A">
        <w:trPr>
          <w:trHeight w:val="228"/>
          <w:jc w:val="center"/>
        </w:trPr>
        <w:tc>
          <w:tcPr>
            <w:tcW w:w="5240" w:type="dxa"/>
            <w:vAlign w:val="center"/>
          </w:tcPr>
          <w:p w:rsidR="00FA3534" w:rsidRPr="00A75729" w:rsidRDefault="008C3E7A" w:rsidP="00F14D89">
            <w:pPr>
              <w:spacing w:before="0" w:after="0"/>
              <w:rPr>
                <w:rFonts w:eastAsia="Times New Roman"/>
                <w:color w:val="000000"/>
                <w:sz w:val="20"/>
                <w:szCs w:val="20"/>
              </w:rPr>
            </w:pPr>
            <w:proofErr w:type="spellStart"/>
            <w:r w:rsidRPr="00A75729">
              <w:rPr>
                <w:rFonts w:eastAsia="Times New Roman"/>
                <w:b/>
                <w:color w:val="000000"/>
                <w:sz w:val="20"/>
                <w:szCs w:val="20"/>
              </w:rPr>
              <w:t>GIE</w:t>
            </w:r>
            <w:proofErr w:type="spellEnd"/>
            <w:r w:rsidRPr="00A75729">
              <w:rPr>
                <w:rFonts w:eastAsia="Times New Roman"/>
                <w:b/>
                <w:color w:val="000000"/>
                <w:sz w:val="20"/>
                <w:szCs w:val="20"/>
              </w:rPr>
              <w:t xml:space="preserve"> Audio Publicidad</w:t>
            </w:r>
          </w:p>
        </w:tc>
        <w:tc>
          <w:tcPr>
            <w:tcW w:w="1306" w:type="dxa"/>
            <w:shd w:val="clear" w:color="auto" w:fill="auto"/>
            <w:noWrap/>
            <w:vAlign w:val="center"/>
          </w:tcPr>
          <w:p w:rsidR="00FA3534" w:rsidRPr="00A75729" w:rsidRDefault="00FA3534" w:rsidP="00F14D89">
            <w:pPr>
              <w:spacing w:before="0" w:after="0"/>
              <w:jc w:val="center"/>
              <w:rPr>
                <w:rFonts w:eastAsia="Times New Roman"/>
                <w:b/>
                <w:color w:val="000000"/>
                <w:sz w:val="20"/>
                <w:szCs w:val="20"/>
              </w:rPr>
            </w:pPr>
            <w:r w:rsidRPr="00A75729">
              <w:rPr>
                <w:rFonts w:eastAsia="Times New Roman"/>
                <w:b/>
                <w:color w:val="000000"/>
                <w:sz w:val="20"/>
                <w:szCs w:val="20"/>
              </w:rPr>
              <w:t>1</w:t>
            </w:r>
          </w:p>
        </w:tc>
        <w:tc>
          <w:tcPr>
            <w:tcW w:w="1954" w:type="dxa"/>
            <w:vAlign w:val="center"/>
          </w:tcPr>
          <w:p w:rsidR="00FA3534" w:rsidRPr="00A75729" w:rsidRDefault="00FA3534" w:rsidP="00F14D89">
            <w:pPr>
              <w:spacing w:before="0" w:after="0"/>
              <w:jc w:val="right"/>
              <w:rPr>
                <w:rFonts w:eastAsia="Times New Roman"/>
                <w:b/>
                <w:color w:val="000000"/>
                <w:sz w:val="20"/>
                <w:szCs w:val="20"/>
              </w:rPr>
            </w:pPr>
            <w:r w:rsidRPr="00A75729">
              <w:rPr>
                <w:rFonts w:eastAsia="Times New Roman"/>
                <w:b/>
                <w:color w:val="000000"/>
                <w:sz w:val="20"/>
                <w:szCs w:val="20"/>
              </w:rPr>
              <w:t>25.00</w:t>
            </w:r>
          </w:p>
        </w:tc>
      </w:tr>
      <w:tr w:rsidR="00FA3534" w:rsidRPr="00A75729" w:rsidTr="008C3E7A">
        <w:trPr>
          <w:trHeight w:val="228"/>
          <w:jc w:val="center"/>
        </w:trPr>
        <w:tc>
          <w:tcPr>
            <w:tcW w:w="5240" w:type="dxa"/>
          </w:tcPr>
          <w:p w:rsidR="00FA3534" w:rsidRPr="00A75729" w:rsidRDefault="00FA3534" w:rsidP="00F14D89">
            <w:pPr>
              <w:spacing w:before="0" w:after="0"/>
              <w:jc w:val="right"/>
              <w:rPr>
                <w:rFonts w:eastAsia="Times New Roman"/>
                <w:color w:val="000000"/>
                <w:sz w:val="20"/>
                <w:szCs w:val="20"/>
              </w:rPr>
            </w:pPr>
            <w:r w:rsidRPr="00A75729">
              <w:rPr>
                <w:rFonts w:eastAsia="Times New Roman"/>
                <w:color w:val="000000"/>
                <w:sz w:val="20"/>
                <w:szCs w:val="20"/>
              </w:rPr>
              <w:t>Total</w:t>
            </w:r>
          </w:p>
        </w:tc>
        <w:tc>
          <w:tcPr>
            <w:tcW w:w="1306" w:type="dxa"/>
            <w:shd w:val="clear" w:color="auto" w:fill="auto"/>
            <w:noWrap/>
            <w:vAlign w:val="center"/>
          </w:tcPr>
          <w:p w:rsidR="00FA3534" w:rsidRPr="00A75729" w:rsidRDefault="00FA3534" w:rsidP="00F14D89">
            <w:pPr>
              <w:spacing w:before="0" w:after="0"/>
              <w:jc w:val="center"/>
              <w:rPr>
                <w:rFonts w:eastAsia="Times New Roman"/>
                <w:color w:val="000000"/>
                <w:sz w:val="20"/>
                <w:szCs w:val="20"/>
              </w:rPr>
            </w:pPr>
            <w:r w:rsidRPr="00A75729">
              <w:rPr>
                <w:rFonts w:eastAsia="Times New Roman"/>
                <w:color w:val="000000"/>
                <w:sz w:val="20"/>
                <w:szCs w:val="20"/>
              </w:rPr>
              <w:t>4</w:t>
            </w:r>
          </w:p>
        </w:tc>
        <w:tc>
          <w:tcPr>
            <w:tcW w:w="1954" w:type="dxa"/>
            <w:vAlign w:val="center"/>
          </w:tcPr>
          <w:p w:rsidR="00FA3534" w:rsidRPr="00A75729" w:rsidRDefault="00FA3534" w:rsidP="00F14D89">
            <w:pPr>
              <w:spacing w:before="0" w:after="0"/>
              <w:jc w:val="right"/>
              <w:rPr>
                <w:rFonts w:eastAsia="Times New Roman"/>
                <w:color w:val="000000"/>
                <w:sz w:val="20"/>
                <w:szCs w:val="20"/>
              </w:rPr>
            </w:pPr>
            <w:r w:rsidRPr="00A75729">
              <w:rPr>
                <w:rFonts w:eastAsia="Times New Roman"/>
                <w:color w:val="000000"/>
                <w:sz w:val="20"/>
                <w:szCs w:val="20"/>
              </w:rPr>
              <w:t>100.00</w:t>
            </w:r>
          </w:p>
        </w:tc>
      </w:tr>
    </w:tbl>
    <w:p w:rsidR="00FA3534" w:rsidRDefault="00FA3534" w:rsidP="00FF388E">
      <w:pPr>
        <w:spacing w:line="240" w:lineRule="auto"/>
        <w:ind w:left="709" w:right="425"/>
        <w:rPr>
          <w:sz w:val="16"/>
          <w:szCs w:val="16"/>
        </w:rPr>
      </w:pPr>
      <w:r w:rsidRPr="00A75729">
        <w:rPr>
          <w:sz w:val="16"/>
          <w:szCs w:val="16"/>
        </w:rPr>
        <w:t xml:space="preserve">Fuente: Elaboración propia. </w:t>
      </w:r>
    </w:p>
    <w:p w:rsidR="00FA3534" w:rsidRPr="00FF388E" w:rsidRDefault="00F14D89" w:rsidP="0053408B">
      <w:pPr>
        <w:pStyle w:val="Prrafodelista"/>
        <w:numPr>
          <w:ilvl w:val="0"/>
          <w:numId w:val="20"/>
        </w:numPr>
        <w:spacing w:after="120" w:line="276" w:lineRule="auto"/>
        <w:contextualSpacing w:val="0"/>
        <w:rPr>
          <w:rFonts w:eastAsia="Times New Roman"/>
          <w:lang w:eastAsia="es-ES"/>
        </w:rPr>
      </w:pPr>
      <w:r>
        <w:rPr>
          <w:rFonts w:eastAsia="Times New Roman"/>
          <w:lang w:eastAsia="es-ES"/>
        </w:rPr>
        <w:t>L</w:t>
      </w:r>
      <w:r w:rsidR="00FA3534" w:rsidRPr="00FF388E">
        <w:rPr>
          <w:rFonts w:eastAsia="Times New Roman"/>
          <w:lang w:eastAsia="es-ES"/>
        </w:rPr>
        <w:t xml:space="preserve">a participación del </w:t>
      </w:r>
      <w:proofErr w:type="spellStart"/>
      <w:r w:rsidR="00FA3534" w:rsidRPr="00A75729">
        <w:t>GIE</w:t>
      </w:r>
      <w:proofErr w:type="spellEnd"/>
      <w:r w:rsidR="00FA3534" w:rsidRPr="00A75729">
        <w:t xml:space="preserve"> </w:t>
      </w:r>
      <w:r w:rsidR="00211333" w:rsidRPr="00A75729">
        <w:t>Grupo Multimedios</w:t>
      </w:r>
      <w:r w:rsidR="00FA3534" w:rsidRPr="00A75729">
        <w:t xml:space="preserve"> </w:t>
      </w:r>
      <w:r w:rsidR="008A36BB" w:rsidRPr="00A75729">
        <w:t>en el Servicio Evaluado</w:t>
      </w:r>
      <w:r w:rsidR="00DD1B33" w:rsidRPr="00A75729">
        <w:t xml:space="preserve"> en Ojo de Agua</w:t>
      </w:r>
      <w:r w:rsidR="008A36BB" w:rsidRPr="00A75729">
        <w:t xml:space="preserve">, antes de la Operación, era </w:t>
      </w:r>
      <w:r w:rsidR="00FA3534" w:rsidRPr="00FF388E">
        <w:rPr>
          <w:rFonts w:eastAsia="Times New Roman"/>
          <w:lang w:eastAsia="es-ES"/>
        </w:rPr>
        <w:t>de 25.00% (veinticinco por ciento) en términos del número de estaciones</w:t>
      </w:r>
      <w:r w:rsidR="008A36BB" w:rsidRPr="00FF388E">
        <w:rPr>
          <w:rFonts w:eastAsia="Times New Roman"/>
          <w:lang w:eastAsia="es-ES"/>
        </w:rPr>
        <w:t xml:space="preserve">; en virtud de la Operación, el </w:t>
      </w:r>
      <w:proofErr w:type="spellStart"/>
      <w:r w:rsidR="008A36BB" w:rsidRPr="00A75729">
        <w:t>GIE</w:t>
      </w:r>
      <w:proofErr w:type="spellEnd"/>
      <w:r w:rsidR="008A36BB" w:rsidRPr="00A75729">
        <w:t xml:space="preserve"> Grupo Multimedios </w:t>
      </w:r>
      <w:r w:rsidR="008A36BB" w:rsidRPr="00FF388E">
        <w:rPr>
          <w:rFonts w:eastAsia="Times New Roman"/>
          <w:lang w:eastAsia="es-ES"/>
        </w:rPr>
        <w:t>alcanzó una participación de 50</w:t>
      </w:r>
      <w:r w:rsidR="00823B38" w:rsidRPr="00FF388E">
        <w:rPr>
          <w:rFonts w:eastAsia="Times New Roman"/>
          <w:lang w:eastAsia="es-ES"/>
        </w:rPr>
        <w:t>.00</w:t>
      </w:r>
      <w:r w:rsidR="008A36BB" w:rsidRPr="00FF388E">
        <w:rPr>
          <w:rFonts w:eastAsia="Times New Roman"/>
          <w:lang w:eastAsia="es-ES"/>
        </w:rPr>
        <w:t>% (cincuenta por ciento)</w:t>
      </w:r>
      <w:r>
        <w:rPr>
          <w:rFonts w:eastAsia="Times New Roman"/>
          <w:lang w:eastAsia="es-ES"/>
        </w:rPr>
        <w:t>, y</w:t>
      </w:r>
    </w:p>
    <w:p w:rsidR="00FA3534" w:rsidRDefault="00F14D89" w:rsidP="0053408B">
      <w:pPr>
        <w:pStyle w:val="Prrafodelista"/>
        <w:numPr>
          <w:ilvl w:val="0"/>
          <w:numId w:val="20"/>
        </w:numPr>
        <w:spacing w:after="120" w:line="276" w:lineRule="auto"/>
        <w:contextualSpacing w:val="0"/>
        <w:rPr>
          <w:rFonts w:cs="ITC Avant Garde"/>
          <w:bCs/>
        </w:rPr>
      </w:pPr>
      <w:r>
        <w:rPr>
          <w:rFonts w:cs="ITC Avant Garde"/>
          <w:bCs/>
        </w:rPr>
        <w:t>E</w:t>
      </w:r>
      <w:r w:rsidR="008A36BB" w:rsidRPr="00F14D89">
        <w:rPr>
          <w:rFonts w:cs="ITC Avant Garde"/>
          <w:bCs/>
        </w:rPr>
        <w:t xml:space="preserve">l número de </w:t>
      </w:r>
      <w:r w:rsidR="00FA3534" w:rsidRPr="00F14D89">
        <w:rPr>
          <w:rFonts w:cs="ITC Avant Garde"/>
          <w:bCs/>
        </w:rPr>
        <w:t xml:space="preserve">competidores del </w:t>
      </w:r>
      <w:proofErr w:type="spellStart"/>
      <w:r w:rsidR="00FA3534" w:rsidRPr="00A75729">
        <w:t>GIE</w:t>
      </w:r>
      <w:proofErr w:type="spellEnd"/>
      <w:r w:rsidR="00FA3534" w:rsidRPr="00A75729">
        <w:t xml:space="preserve"> </w:t>
      </w:r>
      <w:r w:rsidR="00211333" w:rsidRPr="00A75729">
        <w:t>Grupo Multimedios</w:t>
      </w:r>
      <w:r w:rsidR="00FA3534" w:rsidRPr="00A75729">
        <w:t xml:space="preserve"> </w:t>
      </w:r>
      <w:r w:rsidR="00FA3534" w:rsidRPr="00F14D89">
        <w:rPr>
          <w:rFonts w:cs="ITC Avant Garde"/>
          <w:bCs/>
        </w:rPr>
        <w:t xml:space="preserve">en </w:t>
      </w:r>
      <w:r w:rsidR="008A36BB" w:rsidRPr="00F14D89">
        <w:rPr>
          <w:rFonts w:cs="ITC Avant Garde"/>
          <w:bCs/>
        </w:rPr>
        <w:t xml:space="preserve">el Servicio Evaluado </w:t>
      </w:r>
      <w:r w:rsidR="00DD1B33" w:rsidRPr="00A75729">
        <w:t>en Ojo de Agua</w:t>
      </w:r>
      <w:r w:rsidR="00DD1B33" w:rsidRPr="00F14D89">
        <w:rPr>
          <w:rFonts w:cs="ITC Avant Garde"/>
          <w:bCs/>
        </w:rPr>
        <w:t xml:space="preserve"> </w:t>
      </w:r>
      <w:r w:rsidR="008A36BB" w:rsidRPr="00F14D89">
        <w:rPr>
          <w:rFonts w:cs="ITC Avant Garde"/>
          <w:bCs/>
        </w:rPr>
        <w:t xml:space="preserve">se redujo de 3 </w:t>
      </w:r>
      <w:r w:rsidR="00872744" w:rsidRPr="00F14D89">
        <w:rPr>
          <w:rFonts w:cs="ITC Avant Garde"/>
          <w:bCs/>
        </w:rPr>
        <w:t xml:space="preserve">(tres) </w:t>
      </w:r>
      <w:r w:rsidR="008A36BB" w:rsidRPr="00F14D89">
        <w:rPr>
          <w:rFonts w:cs="ITC Avant Garde"/>
          <w:bCs/>
        </w:rPr>
        <w:t>a 2</w:t>
      </w:r>
      <w:r w:rsidR="00872744" w:rsidRPr="00F14D89">
        <w:rPr>
          <w:rFonts w:cs="ITC Avant Garde"/>
          <w:bCs/>
        </w:rPr>
        <w:t xml:space="preserve"> (dos)</w:t>
      </w:r>
      <w:r w:rsidR="008A36BB" w:rsidRPr="00F14D89">
        <w:rPr>
          <w:rFonts w:cs="ITC Avant Garde"/>
          <w:bCs/>
        </w:rPr>
        <w:t xml:space="preserve"> en virtud de la Operación</w:t>
      </w:r>
      <w:r w:rsidR="00FA3534" w:rsidRPr="00F14D89">
        <w:rPr>
          <w:rFonts w:cs="ITC Avant Garde"/>
          <w:bCs/>
        </w:rPr>
        <w:t>.</w:t>
      </w:r>
    </w:p>
    <w:p w:rsidR="00FA3534" w:rsidRPr="00A75729" w:rsidRDefault="008032ED" w:rsidP="0053408B">
      <w:r w:rsidRPr="00A75729">
        <w:t>C</w:t>
      </w:r>
      <w:r w:rsidR="00FA3534" w:rsidRPr="00A75729">
        <w:t xml:space="preserve">onforme a información </w:t>
      </w:r>
      <w:r w:rsidR="00196D6B" w:rsidRPr="00A75729">
        <w:t>proporcionada por las Partes</w:t>
      </w:r>
      <w:r w:rsidR="00FA3534" w:rsidRPr="00A75729">
        <w:t xml:space="preserve">, </w:t>
      </w:r>
      <w:r w:rsidRPr="00A75729">
        <w:t>en el Cuadro siguiente se presentan las participaciones</w:t>
      </w:r>
      <w:r w:rsidR="00BF0B35" w:rsidRPr="00BF0B35">
        <w:rPr>
          <w:rFonts w:eastAsia="Times New Roman"/>
          <w:lang w:eastAsia="es-ES"/>
        </w:rPr>
        <w:t xml:space="preserve"> </w:t>
      </w:r>
      <w:r w:rsidR="00BF0B35" w:rsidRPr="00A75729">
        <w:rPr>
          <w:rFonts w:eastAsia="Times New Roman"/>
          <w:lang w:eastAsia="es-ES"/>
        </w:rPr>
        <w:t>en términos del número de estaciones</w:t>
      </w:r>
      <w:r w:rsidRPr="00A75729">
        <w:t xml:space="preserve"> por Agente Económico </w:t>
      </w:r>
      <w:r w:rsidR="00FA3534" w:rsidRPr="00A75729">
        <w:t xml:space="preserve">en </w:t>
      </w:r>
      <w:r w:rsidR="00856125" w:rsidRPr="00A75729">
        <w:t xml:space="preserve">el </w:t>
      </w:r>
      <w:proofErr w:type="spellStart"/>
      <w:r w:rsidR="00856125" w:rsidRPr="00A75729">
        <w:t>SRSAC</w:t>
      </w:r>
      <w:proofErr w:type="spellEnd"/>
      <w:r w:rsidR="00856125" w:rsidRPr="00A75729">
        <w:t xml:space="preserve"> en FM en </w:t>
      </w:r>
      <w:r w:rsidRPr="00A75729">
        <w:t>Juárez, Montemorelos y Cadereyta, Nuevo León</w:t>
      </w:r>
      <w:r w:rsidR="00FA3534" w:rsidRPr="00A75729">
        <w:t xml:space="preserve">. </w:t>
      </w:r>
      <w:r w:rsidRPr="00A75729">
        <w:t>Como se observa, e</w:t>
      </w:r>
      <w:r w:rsidR="00FA3534" w:rsidRPr="00A75729">
        <w:t xml:space="preserve">n virtud de la Operación, la participación del </w:t>
      </w:r>
      <w:proofErr w:type="spellStart"/>
      <w:r w:rsidR="00FA3534" w:rsidRPr="00A75729">
        <w:t>GIE</w:t>
      </w:r>
      <w:proofErr w:type="spellEnd"/>
      <w:r w:rsidR="00FA3534" w:rsidRPr="00A75729">
        <w:t xml:space="preserve"> </w:t>
      </w:r>
      <w:r w:rsidR="00B54176" w:rsidRPr="00A75729">
        <w:t>Grupo Multimedios</w:t>
      </w:r>
      <w:r w:rsidR="00FA3534" w:rsidRPr="00A75729">
        <w:t xml:space="preserve"> se increment</w:t>
      </w:r>
      <w:r w:rsidRPr="00A75729">
        <w:t>ó</w:t>
      </w:r>
      <w:r w:rsidR="00FA3534" w:rsidRPr="00A75729">
        <w:t xml:space="preserve"> a </w:t>
      </w:r>
      <w:r w:rsidR="00196D6B" w:rsidRPr="00A75729">
        <w:t>44.44</w:t>
      </w:r>
      <w:r w:rsidR="00856125" w:rsidRPr="00A75729">
        <w:t>% (</w:t>
      </w:r>
      <w:r w:rsidR="00196D6B" w:rsidRPr="00A75729">
        <w:t xml:space="preserve">cuarenta y </w:t>
      </w:r>
      <w:proofErr w:type="gramStart"/>
      <w:r w:rsidR="00196D6B" w:rsidRPr="00A75729">
        <w:t>cuatro</w:t>
      </w:r>
      <w:r w:rsidR="007E463B" w:rsidRPr="00A75729">
        <w:t xml:space="preserve"> </w:t>
      </w:r>
      <w:r w:rsidR="00196D6B" w:rsidRPr="00A75729">
        <w:t>punto</w:t>
      </w:r>
      <w:proofErr w:type="gramEnd"/>
      <w:r w:rsidR="00196D6B" w:rsidRPr="00A75729">
        <w:t xml:space="preserve"> cuarenta y cuatro </w:t>
      </w:r>
      <w:r w:rsidR="00856125" w:rsidRPr="00A75729">
        <w:t>por ciento)</w:t>
      </w:r>
      <w:r w:rsidRPr="00A75729">
        <w:t xml:space="preserve"> en Juárez, </w:t>
      </w:r>
      <w:r w:rsidR="00196D6B" w:rsidRPr="00A75729">
        <w:t xml:space="preserve">a </w:t>
      </w:r>
      <w:r w:rsidR="00FA3534" w:rsidRPr="00A75729">
        <w:t xml:space="preserve">50.00% (cincuenta por ciento) en </w:t>
      </w:r>
      <w:r w:rsidRPr="00A75729">
        <w:t xml:space="preserve">Cadereyta y a </w:t>
      </w:r>
      <w:r w:rsidR="00196D6B" w:rsidRPr="00A75729">
        <w:t>50.00</w:t>
      </w:r>
      <w:r w:rsidRPr="00A75729">
        <w:t>% (cincuenta por ciento) en Montemorelos</w:t>
      </w:r>
      <w:r w:rsidR="00FA3534" w:rsidRPr="00A75729">
        <w:t>.</w:t>
      </w:r>
    </w:p>
    <w:p w:rsidR="008032ED" w:rsidRPr="00A75729" w:rsidRDefault="008032ED" w:rsidP="000014C6">
      <w:pPr>
        <w:pStyle w:val="Prrafodelista"/>
        <w:keepNext/>
        <w:numPr>
          <w:ilvl w:val="0"/>
          <w:numId w:val="18"/>
        </w:numPr>
        <w:spacing w:after="120" w:line="276" w:lineRule="auto"/>
        <w:ind w:left="426" w:hanging="357"/>
        <w:contextualSpacing w:val="0"/>
        <w:jc w:val="center"/>
        <w:rPr>
          <w:b/>
          <w:szCs w:val="20"/>
        </w:rPr>
      </w:pPr>
      <w:r w:rsidRPr="00A75729">
        <w:rPr>
          <w:b/>
          <w:szCs w:val="20"/>
        </w:rPr>
        <w:lastRenderedPageBreak/>
        <w:t xml:space="preserve">Participaciones en el </w:t>
      </w:r>
      <w:proofErr w:type="spellStart"/>
      <w:r w:rsidRPr="00A75729">
        <w:rPr>
          <w:b/>
          <w:szCs w:val="20"/>
        </w:rPr>
        <w:t>SRSAC</w:t>
      </w:r>
      <w:proofErr w:type="spellEnd"/>
      <w:r w:rsidRPr="00A75729">
        <w:rPr>
          <w:b/>
          <w:szCs w:val="20"/>
        </w:rPr>
        <w:t xml:space="preserve"> en FM en otras localidades en las que tiene cobertura la estación </w:t>
      </w:r>
      <w:proofErr w:type="spellStart"/>
      <w:r w:rsidRPr="00A75729">
        <w:rPr>
          <w:b/>
          <w:szCs w:val="20"/>
        </w:rPr>
        <w:t>XHDD</w:t>
      </w:r>
      <w:proofErr w:type="spellEnd"/>
      <w:r w:rsidRPr="00A75729">
        <w:rPr>
          <w:b/>
          <w:szCs w:val="20"/>
        </w:rPr>
        <w:t>-FM (antes de la Operación)</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1"/>
        <w:gridCol w:w="1059"/>
        <w:gridCol w:w="1308"/>
        <w:gridCol w:w="1059"/>
        <w:gridCol w:w="1301"/>
        <w:gridCol w:w="1059"/>
        <w:gridCol w:w="1301"/>
      </w:tblGrid>
      <w:tr w:rsidR="008032ED" w:rsidRPr="00A75729" w:rsidTr="00243C34">
        <w:trPr>
          <w:trHeight w:val="50"/>
          <w:tblHeader/>
          <w:jc w:val="center"/>
        </w:trPr>
        <w:tc>
          <w:tcPr>
            <w:tcW w:w="2841" w:type="dxa"/>
            <w:vMerge w:val="restart"/>
            <w:shd w:val="clear" w:color="auto" w:fill="92D050"/>
            <w:vAlign w:val="center"/>
          </w:tcPr>
          <w:p w:rsidR="008032ED" w:rsidRPr="00A75729" w:rsidRDefault="008032ED" w:rsidP="008032ED">
            <w:pPr>
              <w:spacing w:before="0" w:after="0"/>
              <w:jc w:val="center"/>
              <w:rPr>
                <w:rFonts w:eastAsia="Times New Roman"/>
                <w:b/>
                <w:bCs/>
                <w:sz w:val="18"/>
                <w:szCs w:val="18"/>
              </w:rPr>
            </w:pPr>
            <w:r w:rsidRPr="00A75729">
              <w:rPr>
                <w:rFonts w:eastAsia="Times New Roman"/>
                <w:b/>
                <w:bCs/>
                <w:sz w:val="18"/>
                <w:szCs w:val="18"/>
              </w:rPr>
              <w:t>Agente Económico</w:t>
            </w:r>
          </w:p>
        </w:tc>
        <w:tc>
          <w:tcPr>
            <w:tcW w:w="2367" w:type="dxa"/>
            <w:gridSpan w:val="2"/>
            <w:shd w:val="clear" w:color="auto" w:fill="92D050"/>
            <w:noWrap/>
            <w:vAlign w:val="center"/>
          </w:tcPr>
          <w:p w:rsidR="008032ED" w:rsidRPr="00A75729" w:rsidRDefault="008032ED" w:rsidP="00856125">
            <w:pPr>
              <w:spacing w:before="0" w:after="0"/>
              <w:jc w:val="center"/>
              <w:rPr>
                <w:rFonts w:eastAsia="Times New Roman"/>
                <w:b/>
                <w:bCs/>
                <w:sz w:val="18"/>
                <w:szCs w:val="18"/>
              </w:rPr>
            </w:pPr>
            <w:r w:rsidRPr="00A75729">
              <w:rPr>
                <w:rFonts w:eastAsia="Times New Roman"/>
                <w:b/>
                <w:bCs/>
                <w:sz w:val="18"/>
                <w:szCs w:val="18"/>
              </w:rPr>
              <w:t>Juárez</w:t>
            </w:r>
          </w:p>
        </w:tc>
        <w:tc>
          <w:tcPr>
            <w:tcW w:w="2360" w:type="dxa"/>
            <w:gridSpan w:val="2"/>
            <w:shd w:val="clear" w:color="auto" w:fill="92D050"/>
          </w:tcPr>
          <w:p w:rsidR="008032ED" w:rsidRPr="00A75729" w:rsidRDefault="008032ED" w:rsidP="00856125">
            <w:pPr>
              <w:spacing w:before="0" w:after="0"/>
              <w:jc w:val="center"/>
              <w:rPr>
                <w:rFonts w:eastAsia="Times New Roman"/>
                <w:b/>
                <w:bCs/>
                <w:sz w:val="18"/>
                <w:szCs w:val="18"/>
              </w:rPr>
            </w:pPr>
            <w:r w:rsidRPr="00A75729">
              <w:rPr>
                <w:rFonts w:eastAsia="Times New Roman"/>
                <w:b/>
                <w:bCs/>
                <w:sz w:val="18"/>
                <w:szCs w:val="18"/>
              </w:rPr>
              <w:t>Cadereyta</w:t>
            </w:r>
          </w:p>
        </w:tc>
        <w:tc>
          <w:tcPr>
            <w:tcW w:w="2360" w:type="dxa"/>
            <w:gridSpan w:val="2"/>
            <w:shd w:val="clear" w:color="auto" w:fill="92D050"/>
          </w:tcPr>
          <w:p w:rsidR="008032ED" w:rsidRPr="00A75729" w:rsidRDefault="008032ED" w:rsidP="00856125">
            <w:pPr>
              <w:spacing w:before="0" w:after="0"/>
              <w:jc w:val="center"/>
              <w:rPr>
                <w:rFonts w:eastAsia="Times New Roman"/>
                <w:b/>
                <w:bCs/>
                <w:sz w:val="18"/>
                <w:szCs w:val="18"/>
              </w:rPr>
            </w:pPr>
            <w:r w:rsidRPr="00A75729">
              <w:rPr>
                <w:rFonts w:eastAsia="Times New Roman"/>
                <w:b/>
                <w:bCs/>
                <w:sz w:val="18"/>
                <w:szCs w:val="18"/>
              </w:rPr>
              <w:t>Montemorelos</w:t>
            </w:r>
          </w:p>
        </w:tc>
      </w:tr>
      <w:tr w:rsidR="008032ED" w:rsidRPr="00A75729" w:rsidTr="00243C34">
        <w:trPr>
          <w:trHeight w:val="50"/>
          <w:tblHeader/>
          <w:jc w:val="center"/>
        </w:trPr>
        <w:tc>
          <w:tcPr>
            <w:tcW w:w="2841" w:type="dxa"/>
            <w:vMerge/>
            <w:shd w:val="clear" w:color="auto" w:fill="92D050"/>
            <w:vAlign w:val="center"/>
          </w:tcPr>
          <w:p w:rsidR="008032ED" w:rsidRPr="00A75729" w:rsidRDefault="008032ED" w:rsidP="008032ED">
            <w:pPr>
              <w:spacing w:before="0" w:after="0"/>
              <w:jc w:val="center"/>
              <w:rPr>
                <w:rFonts w:eastAsia="Times New Roman"/>
                <w:b/>
                <w:bCs/>
                <w:sz w:val="18"/>
                <w:szCs w:val="18"/>
              </w:rPr>
            </w:pPr>
          </w:p>
        </w:tc>
        <w:tc>
          <w:tcPr>
            <w:tcW w:w="1059" w:type="dxa"/>
            <w:shd w:val="clear" w:color="auto" w:fill="92D050"/>
            <w:noWrap/>
            <w:vAlign w:val="center"/>
          </w:tcPr>
          <w:p w:rsidR="008032ED" w:rsidRPr="00A75729" w:rsidRDefault="008032ED" w:rsidP="008032ED">
            <w:pPr>
              <w:spacing w:before="0" w:after="0"/>
              <w:jc w:val="center"/>
              <w:rPr>
                <w:rFonts w:eastAsia="Times New Roman"/>
                <w:b/>
                <w:bCs/>
                <w:sz w:val="18"/>
                <w:szCs w:val="18"/>
              </w:rPr>
            </w:pPr>
            <w:r w:rsidRPr="00A75729">
              <w:rPr>
                <w:rFonts w:eastAsia="Times New Roman"/>
                <w:b/>
                <w:bCs/>
                <w:sz w:val="18"/>
                <w:szCs w:val="18"/>
              </w:rPr>
              <w:t>Estaciones</w:t>
            </w:r>
          </w:p>
        </w:tc>
        <w:tc>
          <w:tcPr>
            <w:tcW w:w="1308" w:type="dxa"/>
            <w:shd w:val="clear" w:color="auto" w:fill="92D050"/>
            <w:vAlign w:val="center"/>
          </w:tcPr>
          <w:p w:rsidR="008032ED" w:rsidRPr="00A75729" w:rsidRDefault="008032ED" w:rsidP="008032ED">
            <w:pPr>
              <w:spacing w:before="0" w:after="0"/>
              <w:jc w:val="center"/>
              <w:rPr>
                <w:rFonts w:eastAsia="Times New Roman"/>
                <w:b/>
                <w:bCs/>
                <w:sz w:val="18"/>
                <w:szCs w:val="18"/>
              </w:rPr>
            </w:pPr>
            <w:r w:rsidRPr="00A75729">
              <w:rPr>
                <w:rFonts w:eastAsia="Times New Roman"/>
                <w:b/>
                <w:bCs/>
                <w:sz w:val="18"/>
                <w:szCs w:val="18"/>
              </w:rPr>
              <w:t>Participación (%)</w:t>
            </w:r>
          </w:p>
        </w:tc>
        <w:tc>
          <w:tcPr>
            <w:tcW w:w="1059" w:type="dxa"/>
            <w:shd w:val="clear" w:color="auto" w:fill="92D050"/>
            <w:vAlign w:val="center"/>
          </w:tcPr>
          <w:p w:rsidR="008032ED" w:rsidRPr="00A75729" w:rsidRDefault="008032ED" w:rsidP="008032ED">
            <w:pPr>
              <w:spacing w:before="0" w:after="0"/>
              <w:jc w:val="center"/>
              <w:rPr>
                <w:rFonts w:eastAsia="Times New Roman"/>
                <w:b/>
                <w:bCs/>
                <w:sz w:val="18"/>
                <w:szCs w:val="18"/>
              </w:rPr>
            </w:pPr>
            <w:r w:rsidRPr="00A75729">
              <w:rPr>
                <w:rFonts w:eastAsia="Times New Roman"/>
                <w:b/>
                <w:bCs/>
                <w:sz w:val="18"/>
                <w:szCs w:val="18"/>
              </w:rPr>
              <w:t>Estaciones</w:t>
            </w:r>
          </w:p>
        </w:tc>
        <w:tc>
          <w:tcPr>
            <w:tcW w:w="1301" w:type="dxa"/>
            <w:shd w:val="clear" w:color="auto" w:fill="92D050"/>
            <w:vAlign w:val="center"/>
          </w:tcPr>
          <w:p w:rsidR="008032ED" w:rsidRPr="00A75729" w:rsidRDefault="008032ED" w:rsidP="008032ED">
            <w:pPr>
              <w:spacing w:before="0" w:after="0"/>
              <w:jc w:val="center"/>
              <w:rPr>
                <w:rFonts w:eastAsia="Times New Roman"/>
                <w:b/>
                <w:bCs/>
                <w:sz w:val="18"/>
                <w:szCs w:val="18"/>
              </w:rPr>
            </w:pPr>
            <w:r w:rsidRPr="00A75729">
              <w:rPr>
                <w:rFonts w:eastAsia="Times New Roman"/>
                <w:b/>
                <w:bCs/>
                <w:sz w:val="18"/>
                <w:szCs w:val="18"/>
              </w:rPr>
              <w:t>Participación (%)</w:t>
            </w:r>
          </w:p>
        </w:tc>
        <w:tc>
          <w:tcPr>
            <w:tcW w:w="1059" w:type="dxa"/>
            <w:shd w:val="clear" w:color="auto" w:fill="92D050"/>
            <w:vAlign w:val="center"/>
          </w:tcPr>
          <w:p w:rsidR="008032ED" w:rsidRPr="00A75729" w:rsidRDefault="008032ED" w:rsidP="008032ED">
            <w:pPr>
              <w:spacing w:before="0" w:after="0"/>
              <w:jc w:val="center"/>
              <w:rPr>
                <w:rFonts w:eastAsia="Times New Roman"/>
                <w:b/>
                <w:bCs/>
                <w:sz w:val="18"/>
                <w:szCs w:val="18"/>
              </w:rPr>
            </w:pPr>
            <w:r w:rsidRPr="00A75729">
              <w:rPr>
                <w:rFonts w:eastAsia="Times New Roman"/>
                <w:b/>
                <w:bCs/>
                <w:sz w:val="18"/>
                <w:szCs w:val="18"/>
              </w:rPr>
              <w:t>Estaciones</w:t>
            </w:r>
          </w:p>
        </w:tc>
        <w:tc>
          <w:tcPr>
            <w:tcW w:w="1301" w:type="dxa"/>
            <w:shd w:val="clear" w:color="auto" w:fill="92D050"/>
            <w:vAlign w:val="center"/>
          </w:tcPr>
          <w:p w:rsidR="008032ED" w:rsidRPr="00A75729" w:rsidRDefault="008032ED" w:rsidP="008032ED">
            <w:pPr>
              <w:spacing w:before="0" w:after="0"/>
              <w:jc w:val="center"/>
              <w:rPr>
                <w:rFonts w:eastAsia="Times New Roman"/>
                <w:b/>
                <w:bCs/>
                <w:sz w:val="18"/>
                <w:szCs w:val="18"/>
              </w:rPr>
            </w:pPr>
            <w:r w:rsidRPr="00A75729">
              <w:rPr>
                <w:rFonts w:eastAsia="Times New Roman"/>
                <w:b/>
                <w:bCs/>
                <w:sz w:val="18"/>
                <w:szCs w:val="18"/>
              </w:rPr>
              <w:t>Participación (%)</w:t>
            </w:r>
          </w:p>
        </w:tc>
      </w:tr>
      <w:tr w:rsidR="00244ECA" w:rsidRPr="00A75729" w:rsidTr="00243C34">
        <w:trPr>
          <w:trHeight w:val="228"/>
          <w:jc w:val="center"/>
        </w:trPr>
        <w:tc>
          <w:tcPr>
            <w:tcW w:w="2841" w:type="dxa"/>
          </w:tcPr>
          <w:p w:rsidR="00244ECA" w:rsidRPr="00A75729" w:rsidRDefault="00244ECA" w:rsidP="00244ECA">
            <w:pPr>
              <w:spacing w:before="0" w:after="0"/>
              <w:rPr>
                <w:rFonts w:eastAsia="Times New Roman"/>
                <w:b/>
                <w:color w:val="000000"/>
                <w:sz w:val="18"/>
                <w:szCs w:val="18"/>
              </w:rPr>
            </w:pPr>
            <w:proofErr w:type="spellStart"/>
            <w:r w:rsidRPr="00A75729">
              <w:rPr>
                <w:rFonts w:eastAsia="Times New Roman"/>
                <w:b/>
                <w:color w:val="000000"/>
                <w:sz w:val="18"/>
                <w:szCs w:val="18"/>
              </w:rPr>
              <w:t>GIE</w:t>
            </w:r>
            <w:proofErr w:type="spellEnd"/>
            <w:r w:rsidRPr="00A75729">
              <w:rPr>
                <w:rFonts w:eastAsia="Times New Roman"/>
                <w:b/>
                <w:color w:val="000000"/>
                <w:sz w:val="18"/>
                <w:szCs w:val="18"/>
              </w:rPr>
              <w:t xml:space="preserve"> Grupo Multimedios </w:t>
            </w:r>
          </w:p>
        </w:tc>
        <w:tc>
          <w:tcPr>
            <w:tcW w:w="1059" w:type="dxa"/>
            <w:shd w:val="clear" w:color="auto" w:fill="auto"/>
            <w:noWrap/>
            <w:vAlign w:val="center"/>
          </w:tcPr>
          <w:p w:rsidR="00244ECA" w:rsidRPr="00A75729" w:rsidRDefault="00196D6B" w:rsidP="00196D6B">
            <w:pPr>
              <w:spacing w:before="0" w:after="0"/>
              <w:jc w:val="right"/>
              <w:rPr>
                <w:rFonts w:eastAsia="Times New Roman"/>
                <w:b/>
                <w:color w:val="000000"/>
                <w:sz w:val="18"/>
                <w:szCs w:val="18"/>
              </w:rPr>
            </w:pPr>
            <w:r w:rsidRPr="00A75729">
              <w:rPr>
                <w:rFonts w:eastAsia="Times New Roman"/>
                <w:b/>
                <w:color w:val="000000"/>
                <w:sz w:val="18"/>
                <w:szCs w:val="18"/>
              </w:rPr>
              <w:t>7</w:t>
            </w:r>
          </w:p>
        </w:tc>
        <w:tc>
          <w:tcPr>
            <w:tcW w:w="1308" w:type="dxa"/>
            <w:vAlign w:val="center"/>
          </w:tcPr>
          <w:p w:rsidR="00244ECA" w:rsidRPr="00A75729" w:rsidRDefault="00196D6B" w:rsidP="00196D6B">
            <w:pPr>
              <w:spacing w:before="0" w:after="0"/>
              <w:jc w:val="right"/>
              <w:rPr>
                <w:rFonts w:eastAsia="Times New Roman"/>
                <w:b/>
                <w:color w:val="000000"/>
                <w:sz w:val="18"/>
                <w:szCs w:val="18"/>
              </w:rPr>
            </w:pPr>
            <w:r w:rsidRPr="00A75729">
              <w:rPr>
                <w:rFonts w:eastAsia="Times New Roman"/>
                <w:b/>
                <w:color w:val="000000"/>
                <w:sz w:val="18"/>
                <w:szCs w:val="18"/>
              </w:rPr>
              <w:t>38.89</w:t>
            </w:r>
          </w:p>
        </w:tc>
        <w:tc>
          <w:tcPr>
            <w:tcW w:w="1059" w:type="dxa"/>
            <w:vAlign w:val="center"/>
          </w:tcPr>
          <w:p w:rsidR="00244ECA" w:rsidRPr="00A75729" w:rsidRDefault="00196D6B" w:rsidP="00196D6B">
            <w:pPr>
              <w:spacing w:before="0" w:after="0"/>
              <w:jc w:val="right"/>
              <w:rPr>
                <w:rFonts w:eastAsia="Times New Roman"/>
                <w:b/>
                <w:color w:val="000000"/>
                <w:sz w:val="18"/>
                <w:szCs w:val="18"/>
              </w:rPr>
            </w:pPr>
            <w:r w:rsidRPr="00A75729">
              <w:rPr>
                <w:rFonts w:eastAsia="Times New Roman"/>
                <w:b/>
                <w:color w:val="000000"/>
                <w:sz w:val="18"/>
                <w:szCs w:val="18"/>
              </w:rPr>
              <w:t>1</w:t>
            </w:r>
          </w:p>
        </w:tc>
        <w:tc>
          <w:tcPr>
            <w:tcW w:w="1301" w:type="dxa"/>
            <w:vAlign w:val="center"/>
          </w:tcPr>
          <w:p w:rsidR="00244ECA" w:rsidRPr="00A75729" w:rsidRDefault="00196D6B" w:rsidP="00196D6B">
            <w:pPr>
              <w:spacing w:before="0" w:after="0"/>
              <w:jc w:val="right"/>
              <w:rPr>
                <w:rFonts w:eastAsia="Times New Roman"/>
                <w:b/>
                <w:color w:val="000000"/>
                <w:sz w:val="18"/>
                <w:szCs w:val="18"/>
              </w:rPr>
            </w:pPr>
            <w:r w:rsidRPr="00A75729">
              <w:rPr>
                <w:rFonts w:eastAsia="Times New Roman"/>
                <w:b/>
                <w:color w:val="000000"/>
                <w:sz w:val="18"/>
                <w:szCs w:val="18"/>
              </w:rPr>
              <w:t>25.00</w:t>
            </w:r>
          </w:p>
        </w:tc>
        <w:tc>
          <w:tcPr>
            <w:tcW w:w="1059" w:type="dxa"/>
            <w:vAlign w:val="center"/>
          </w:tcPr>
          <w:p w:rsidR="00244ECA" w:rsidRPr="00A75729" w:rsidRDefault="00196D6B" w:rsidP="00196D6B">
            <w:pPr>
              <w:spacing w:before="0" w:after="0"/>
              <w:jc w:val="right"/>
              <w:rPr>
                <w:rFonts w:eastAsia="Times New Roman"/>
                <w:b/>
                <w:color w:val="000000"/>
                <w:sz w:val="18"/>
                <w:szCs w:val="18"/>
              </w:rPr>
            </w:pPr>
            <w:r w:rsidRPr="00A75729">
              <w:rPr>
                <w:rFonts w:eastAsia="Times New Roman"/>
                <w:b/>
                <w:color w:val="000000"/>
                <w:sz w:val="18"/>
                <w:szCs w:val="18"/>
              </w:rPr>
              <w:t>1</w:t>
            </w:r>
          </w:p>
        </w:tc>
        <w:tc>
          <w:tcPr>
            <w:tcW w:w="1301" w:type="dxa"/>
            <w:vAlign w:val="center"/>
          </w:tcPr>
          <w:p w:rsidR="00244ECA" w:rsidRPr="00A75729" w:rsidRDefault="00196D6B" w:rsidP="00196D6B">
            <w:pPr>
              <w:spacing w:before="0" w:after="0"/>
              <w:jc w:val="right"/>
              <w:rPr>
                <w:rFonts w:eastAsia="Times New Roman"/>
                <w:b/>
                <w:color w:val="000000"/>
                <w:sz w:val="18"/>
                <w:szCs w:val="18"/>
              </w:rPr>
            </w:pPr>
            <w:r w:rsidRPr="00A75729">
              <w:rPr>
                <w:rFonts w:eastAsia="Times New Roman"/>
                <w:b/>
                <w:color w:val="000000"/>
                <w:sz w:val="18"/>
                <w:szCs w:val="18"/>
              </w:rPr>
              <w:t>25.00</w:t>
            </w:r>
          </w:p>
        </w:tc>
      </w:tr>
      <w:tr w:rsidR="00401C48" w:rsidRPr="00A75729" w:rsidTr="00243C34">
        <w:trPr>
          <w:trHeight w:val="228"/>
          <w:jc w:val="center"/>
        </w:trPr>
        <w:tc>
          <w:tcPr>
            <w:tcW w:w="2841" w:type="dxa"/>
            <w:vAlign w:val="center"/>
          </w:tcPr>
          <w:p w:rsidR="00401C48" w:rsidRPr="00A75729" w:rsidRDefault="00401C48" w:rsidP="00FB0DBF">
            <w:pPr>
              <w:spacing w:before="0" w:after="0"/>
              <w:rPr>
                <w:rFonts w:eastAsia="Times New Roman"/>
                <w:color w:val="000000"/>
                <w:sz w:val="18"/>
                <w:szCs w:val="18"/>
              </w:rPr>
            </w:pPr>
            <w:r w:rsidRPr="00A75729">
              <w:rPr>
                <w:rFonts w:eastAsia="Times New Roman"/>
                <w:color w:val="000000"/>
                <w:sz w:val="18"/>
                <w:szCs w:val="18"/>
              </w:rPr>
              <w:t xml:space="preserve">Gámez </w:t>
            </w:r>
            <w:r w:rsidR="00FB0DBF" w:rsidRPr="00A75729">
              <w:rPr>
                <w:rFonts w:eastAsia="Times New Roman"/>
                <w:color w:val="000000"/>
                <w:sz w:val="18"/>
                <w:szCs w:val="18"/>
              </w:rPr>
              <w:t xml:space="preserve">Fonseca </w:t>
            </w:r>
            <w:r w:rsidRPr="00A75729">
              <w:rPr>
                <w:rFonts w:eastAsia="Times New Roman"/>
                <w:color w:val="000000"/>
                <w:sz w:val="18"/>
                <w:szCs w:val="18"/>
              </w:rPr>
              <w:t>(Radio Televisora del Valle, S.A. y Jorge Álvaro Gámez González)</w:t>
            </w:r>
          </w:p>
        </w:tc>
        <w:tc>
          <w:tcPr>
            <w:tcW w:w="1059" w:type="dxa"/>
            <w:shd w:val="clear" w:color="auto" w:fill="auto"/>
            <w:noWrap/>
            <w:vAlign w:val="center"/>
          </w:tcPr>
          <w:p w:rsidR="00401C48" w:rsidRPr="00A75729" w:rsidRDefault="00401C48" w:rsidP="00401C48">
            <w:pPr>
              <w:spacing w:before="0" w:after="0"/>
              <w:jc w:val="right"/>
              <w:rPr>
                <w:rFonts w:eastAsia="Times New Roman"/>
                <w:color w:val="000000"/>
                <w:sz w:val="18"/>
                <w:szCs w:val="18"/>
              </w:rPr>
            </w:pPr>
            <w:r w:rsidRPr="00A75729">
              <w:rPr>
                <w:rFonts w:eastAsia="Times New Roman"/>
                <w:color w:val="000000"/>
                <w:sz w:val="18"/>
                <w:szCs w:val="18"/>
              </w:rPr>
              <w:t>1</w:t>
            </w:r>
          </w:p>
        </w:tc>
        <w:tc>
          <w:tcPr>
            <w:tcW w:w="1308" w:type="dxa"/>
            <w:vAlign w:val="center"/>
          </w:tcPr>
          <w:p w:rsidR="00401C48" w:rsidRPr="00A75729" w:rsidRDefault="00FB0DBF" w:rsidP="00401C48">
            <w:pPr>
              <w:spacing w:before="0" w:after="0"/>
              <w:jc w:val="right"/>
              <w:rPr>
                <w:rFonts w:eastAsia="Times New Roman"/>
                <w:color w:val="000000"/>
                <w:sz w:val="18"/>
                <w:szCs w:val="18"/>
              </w:rPr>
            </w:pPr>
            <w:r w:rsidRPr="00A75729">
              <w:rPr>
                <w:rFonts w:eastAsia="Times New Roman"/>
                <w:color w:val="000000"/>
                <w:sz w:val="18"/>
                <w:szCs w:val="18"/>
              </w:rPr>
              <w:t>5.56</w:t>
            </w:r>
          </w:p>
        </w:tc>
        <w:tc>
          <w:tcPr>
            <w:tcW w:w="1059" w:type="dxa"/>
            <w:vAlign w:val="center"/>
          </w:tcPr>
          <w:p w:rsidR="00401C48" w:rsidRPr="00A75729" w:rsidRDefault="00196D6B" w:rsidP="00196D6B">
            <w:pPr>
              <w:spacing w:before="0" w:after="0"/>
              <w:jc w:val="right"/>
              <w:rPr>
                <w:rFonts w:eastAsia="Times New Roman"/>
                <w:color w:val="000000"/>
                <w:sz w:val="18"/>
                <w:szCs w:val="18"/>
              </w:rPr>
            </w:pPr>
            <w:r w:rsidRPr="00A75729">
              <w:rPr>
                <w:rFonts w:eastAsia="Times New Roman"/>
                <w:color w:val="000000"/>
                <w:sz w:val="18"/>
                <w:szCs w:val="18"/>
              </w:rPr>
              <w:t>1</w:t>
            </w:r>
          </w:p>
        </w:tc>
        <w:tc>
          <w:tcPr>
            <w:tcW w:w="1301" w:type="dxa"/>
            <w:vAlign w:val="center"/>
          </w:tcPr>
          <w:p w:rsidR="00401C48" w:rsidRPr="00A75729" w:rsidRDefault="00196D6B" w:rsidP="00196D6B">
            <w:pPr>
              <w:spacing w:before="0" w:after="0"/>
              <w:jc w:val="right"/>
              <w:rPr>
                <w:rFonts w:eastAsia="Times New Roman"/>
                <w:color w:val="000000"/>
                <w:sz w:val="18"/>
                <w:szCs w:val="18"/>
              </w:rPr>
            </w:pPr>
            <w:r w:rsidRPr="00A75729">
              <w:rPr>
                <w:rFonts w:eastAsia="Times New Roman"/>
                <w:color w:val="000000"/>
                <w:sz w:val="18"/>
                <w:szCs w:val="18"/>
              </w:rPr>
              <w:t>25.00</w:t>
            </w:r>
          </w:p>
        </w:tc>
        <w:tc>
          <w:tcPr>
            <w:tcW w:w="1059" w:type="dxa"/>
            <w:vAlign w:val="center"/>
          </w:tcPr>
          <w:p w:rsidR="00401C48" w:rsidRPr="00A75729" w:rsidRDefault="00196D6B" w:rsidP="00196D6B">
            <w:pPr>
              <w:spacing w:before="0" w:after="0"/>
              <w:jc w:val="right"/>
              <w:rPr>
                <w:rFonts w:eastAsia="Times New Roman"/>
                <w:color w:val="000000"/>
                <w:sz w:val="18"/>
                <w:szCs w:val="18"/>
              </w:rPr>
            </w:pPr>
            <w:r w:rsidRPr="00A75729">
              <w:rPr>
                <w:rFonts w:eastAsia="Times New Roman"/>
                <w:color w:val="000000"/>
                <w:sz w:val="18"/>
                <w:szCs w:val="18"/>
              </w:rPr>
              <w:t>1</w:t>
            </w:r>
          </w:p>
        </w:tc>
        <w:tc>
          <w:tcPr>
            <w:tcW w:w="1301" w:type="dxa"/>
            <w:vAlign w:val="center"/>
          </w:tcPr>
          <w:p w:rsidR="00401C48" w:rsidRPr="00A75729" w:rsidRDefault="00196D6B" w:rsidP="00401C48">
            <w:pPr>
              <w:spacing w:before="0" w:after="0"/>
              <w:jc w:val="right"/>
              <w:rPr>
                <w:rFonts w:eastAsia="Times New Roman"/>
                <w:color w:val="000000"/>
                <w:sz w:val="18"/>
                <w:szCs w:val="18"/>
              </w:rPr>
            </w:pPr>
            <w:r w:rsidRPr="00A75729">
              <w:rPr>
                <w:rFonts w:eastAsia="Times New Roman"/>
                <w:color w:val="000000"/>
                <w:sz w:val="18"/>
                <w:szCs w:val="18"/>
              </w:rPr>
              <w:t>25.00</w:t>
            </w:r>
          </w:p>
        </w:tc>
      </w:tr>
      <w:tr w:rsidR="000F6700" w:rsidRPr="00A75729" w:rsidTr="00243C34">
        <w:trPr>
          <w:trHeight w:val="228"/>
          <w:jc w:val="center"/>
        </w:trPr>
        <w:tc>
          <w:tcPr>
            <w:tcW w:w="2841" w:type="dxa"/>
            <w:vAlign w:val="center"/>
          </w:tcPr>
          <w:p w:rsidR="000F6700" w:rsidRPr="00A75729" w:rsidRDefault="000F6700" w:rsidP="000F6700">
            <w:pPr>
              <w:spacing w:before="0" w:after="0"/>
              <w:rPr>
                <w:rFonts w:eastAsia="Times New Roman"/>
                <w:color w:val="000000"/>
                <w:sz w:val="18"/>
                <w:szCs w:val="18"/>
              </w:rPr>
            </w:pPr>
            <w:r w:rsidRPr="00A75729">
              <w:rPr>
                <w:rFonts w:eastAsia="Times New Roman"/>
                <w:color w:val="000000"/>
                <w:sz w:val="18"/>
                <w:szCs w:val="18"/>
              </w:rPr>
              <w:t xml:space="preserve">Bichara </w:t>
            </w:r>
            <w:proofErr w:type="spellStart"/>
            <w:r w:rsidRPr="00A75729">
              <w:rPr>
                <w:rFonts w:eastAsia="Times New Roman"/>
                <w:color w:val="000000"/>
                <w:sz w:val="18"/>
                <w:szCs w:val="18"/>
              </w:rPr>
              <w:t>Kawas</w:t>
            </w:r>
            <w:proofErr w:type="spellEnd"/>
            <w:r w:rsidRPr="00A75729">
              <w:rPr>
                <w:rFonts w:eastAsia="Times New Roman"/>
                <w:color w:val="000000"/>
                <w:sz w:val="18"/>
                <w:szCs w:val="18"/>
              </w:rPr>
              <w:t xml:space="preserve"> </w:t>
            </w:r>
            <w:r w:rsidRPr="00A75729">
              <w:rPr>
                <w:rFonts w:eastAsia="Times New Roman"/>
                <w:color w:val="000000"/>
                <w:sz w:val="16"/>
                <w:szCs w:val="18"/>
              </w:rPr>
              <w:t xml:space="preserve">(Frecuencia Modulada Monterrey, S.A. de C.V.) </w:t>
            </w:r>
          </w:p>
        </w:tc>
        <w:tc>
          <w:tcPr>
            <w:tcW w:w="1059" w:type="dxa"/>
            <w:shd w:val="clear" w:color="auto" w:fill="auto"/>
            <w:noWrap/>
            <w:vAlign w:val="center"/>
          </w:tcPr>
          <w:p w:rsidR="000F6700" w:rsidRPr="00A75729" w:rsidRDefault="00FB0DBF" w:rsidP="00FB0DBF">
            <w:pPr>
              <w:spacing w:before="0" w:after="0"/>
              <w:jc w:val="right"/>
              <w:rPr>
                <w:rFonts w:eastAsia="Times New Roman"/>
                <w:color w:val="000000"/>
                <w:sz w:val="18"/>
                <w:szCs w:val="18"/>
              </w:rPr>
            </w:pPr>
            <w:r w:rsidRPr="00A75729">
              <w:rPr>
                <w:rFonts w:eastAsia="Times New Roman"/>
                <w:color w:val="000000"/>
                <w:sz w:val="18"/>
                <w:szCs w:val="18"/>
              </w:rPr>
              <w:t>1</w:t>
            </w:r>
          </w:p>
        </w:tc>
        <w:tc>
          <w:tcPr>
            <w:tcW w:w="1308" w:type="dxa"/>
            <w:vAlign w:val="center"/>
          </w:tcPr>
          <w:p w:rsidR="000F6700" w:rsidRPr="00A75729" w:rsidRDefault="00FB0DBF" w:rsidP="00FB0DBF">
            <w:pPr>
              <w:spacing w:before="0" w:after="0"/>
              <w:jc w:val="right"/>
              <w:rPr>
                <w:rFonts w:eastAsia="Times New Roman"/>
                <w:color w:val="000000"/>
                <w:sz w:val="18"/>
                <w:szCs w:val="18"/>
              </w:rPr>
            </w:pPr>
            <w:r w:rsidRPr="00A75729">
              <w:rPr>
                <w:rFonts w:eastAsia="Times New Roman"/>
                <w:color w:val="000000"/>
                <w:sz w:val="18"/>
                <w:szCs w:val="18"/>
              </w:rPr>
              <w:t>5.56</w:t>
            </w:r>
          </w:p>
        </w:tc>
        <w:tc>
          <w:tcPr>
            <w:tcW w:w="1059"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1</w:t>
            </w:r>
          </w:p>
        </w:tc>
        <w:tc>
          <w:tcPr>
            <w:tcW w:w="1301" w:type="dxa"/>
            <w:vAlign w:val="center"/>
          </w:tcPr>
          <w:p w:rsidR="000F6700" w:rsidRPr="00A75729" w:rsidRDefault="00196D6B" w:rsidP="000F6700">
            <w:pPr>
              <w:spacing w:before="0" w:after="0"/>
              <w:jc w:val="right"/>
              <w:rPr>
                <w:rFonts w:eastAsia="Times New Roman"/>
                <w:color w:val="000000"/>
                <w:sz w:val="18"/>
                <w:szCs w:val="18"/>
              </w:rPr>
            </w:pPr>
            <w:r w:rsidRPr="00A75729">
              <w:rPr>
                <w:rFonts w:eastAsia="Times New Roman"/>
                <w:color w:val="000000"/>
                <w:sz w:val="18"/>
                <w:szCs w:val="18"/>
              </w:rPr>
              <w:t>25.00</w:t>
            </w:r>
          </w:p>
        </w:tc>
        <w:tc>
          <w:tcPr>
            <w:tcW w:w="1059"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1</w:t>
            </w:r>
          </w:p>
        </w:tc>
        <w:tc>
          <w:tcPr>
            <w:tcW w:w="1301" w:type="dxa"/>
            <w:vAlign w:val="center"/>
          </w:tcPr>
          <w:p w:rsidR="000F6700" w:rsidRPr="00A75729" w:rsidRDefault="00196D6B" w:rsidP="000F6700">
            <w:pPr>
              <w:spacing w:before="0" w:after="0"/>
              <w:jc w:val="right"/>
              <w:rPr>
                <w:rFonts w:eastAsia="Times New Roman"/>
                <w:color w:val="000000"/>
                <w:sz w:val="18"/>
                <w:szCs w:val="18"/>
              </w:rPr>
            </w:pPr>
            <w:r w:rsidRPr="00A75729">
              <w:rPr>
                <w:rFonts w:eastAsia="Times New Roman"/>
                <w:color w:val="000000"/>
                <w:sz w:val="18"/>
                <w:szCs w:val="18"/>
              </w:rPr>
              <w:t>25.00</w:t>
            </w:r>
          </w:p>
        </w:tc>
      </w:tr>
      <w:tr w:rsidR="000F6700" w:rsidRPr="00A75729" w:rsidTr="00243C34">
        <w:trPr>
          <w:trHeight w:val="228"/>
          <w:jc w:val="center"/>
        </w:trPr>
        <w:tc>
          <w:tcPr>
            <w:tcW w:w="2841" w:type="dxa"/>
            <w:vAlign w:val="center"/>
          </w:tcPr>
          <w:p w:rsidR="000F6700" w:rsidRPr="00A75729" w:rsidRDefault="000F6700" w:rsidP="000F6700">
            <w:pPr>
              <w:spacing w:before="0" w:after="0"/>
              <w:rPr>
                <w:rFonts w:eastAsia="Times New Roman"/>
                <w:color w:val="000000"/>
                <w:sz w:val="18"/>
                <w:szCs w:val="18"/>
              </w:rPr>
            </w:pPr>
            <w:proofErr w:type="spellStart"/>
            <w:r w:rsidRPr="00A75729">
              <w:rPr>
                <w:rFonts w:eastAsia="Times New Roman"/>
                <w:color w:val="000000"/>
                <w:sz w:val="18"/>
                <w:szCs w:val="18"/>
              </w:rPr>
              <w:t>MVS</w:t>
            </w:r>
            <w:proofErr w:type="spellEnd"/>
            <w:r w:rsidRPr="00A75729">
              <w:rPr>
                <w:rFonts w:eastAsia="Times New Roman"/>
                <w:color w:val="000000"/>
                <w:sz w:val="18"/>
                <w:szCs w:val="18"/>
              </w:rPr>
              <w:t xml:space="preserve"> </w:t>
            </w:r>
            <w:r w:rsidRPr="00A75729">
              <w:rPr>
                <w:rFonts w:eastAsia="Times New Roman"/>
                <w:color w:val="000000"/>
                <w:sz w:val="16"/>
                <w:szCs w:val="18"/>
              </w:rPr>
              <w:t>(</w:t>
            </w:r>
            <w:proofErr w:type="spellStart"/>
            <w:r w:rsidRPr="00A75729">
              <w:rPr>
                <w:rFonts w:eastAsia="Times New Roman"/>
                <w:color w:val="000000"/>
                <w:sz w:val="16"/>
                <w:szCs w:val="18"/>
              </w:rPr>
              <w:t>Stereorey</w:t>
            </w:r>
            <w:proofErr w:type="spellEnd"/>
            <w:r w:rsidRPr="00A75729">
              <w:rPr>
                <w:rFonts w:eastAsia="Times New Roman"/>
                <w:color w:val="000000"/>
                <w:sz w:val="16"/>
                <w:szCs w:val="18"/>
              </w:rPr>
              <w:t xml:space="preserve"> México, S.A.)</w:t>
            </w:r>
          </w:p>
        </w:tc>
        <w:tc>
          <w:tcPr>
            <w:tcW w:w="1059" w:type="dxa"/>
            <w:shd w:val="clear" w:color="auto" w:fill="auto"/>
            <w:noWrap/>
            <w:vAlign w:val="center"/>
          </w:tcPr>
          <w:p w:rsidR="000F6700" w:rsidRPr="00A75729" w:rsidRDefault="00FB0DBF" w:rsidP="00FB0DBF">
            <w:pPr>
              <w:spacing w:before="0" w:after="0"/>
              <w:jc w:val="right"/>
              <w:rPr>
                <w:rFonts w:eastAsia="Times New Roman"/>
                <w:color w:val="000000"/>
                <w:sz w:val="18"/>
                <w:szCs w:val="18"/>
              </w:rPr>
            </w:pPr>
            <w:r w:rsidRPr="00A75729">
              <w:rPr>
                <w:rFonts w:eastAsia="Times New Roman"/>
                <w:color w:val="000000"/>
                <w:sz w:val="18"/>
                <w:szCs w:val="18"/>
              </w:rPr>
              <w:t>1</w:t>
            </w:r>
          </w:p>
        </w:tc>
        <w:tc>
          <w:tcPr>
            <w:tcW w:w="1308" w:type="dxa"/>
            <w:vAlign w:val="center"/>
          </w:tcPr>
          <w:p w:rsidR="000F6700" w:rsidRPr="00A75729" w:rsidRDefault="00FB0DBF" w:rsidP="00FB0DBF">
            <w:pPr>
              <w:spacing w:before="0" w:after="0"/>
              <w:jc w:val="right"/>
              <w:rPr>
                <w:rFonts w:eastAsia="Times New Roman"/>
                <w:color w:val="000000"/>
                <w:sz w:val="18"/>
                <w:szCs w:val="18"/>
              </w:rPr>
            </w:pPr>
            <w:r w:rsidRPr="00A75729">
              <w:rPr>
                <w:rFonts w:eastAsia="Times New Roman"/>
                <w:color w:val="000000"/>
                <w:sz w:val="18"/>
                <w:szCs w:val="18"/>
              </w:rPr>
              <w:t>5.56</w:t>
            </w:r>
          </w:p>
        </w:tc>
        <w:tc>
          <w:tcPr>
            <w:tcW w:w="1059" w:type="dxa"/>
            <w:vAlign w:val="center"/>
          </w:tcPr>
          <w:p w:rsidR="000F6700" w:rsidRPr="00A75729" w:rsidRDefault="00196D6B" w:rsidP="00196D6B">
            <w:pPr>
              <w:spacing w:before="0" w:after="0"/>
              <w:jc w:val="right"/>
              <w:rPr>
                <w:rFonts w:eastAsia="Times New Roman"/>
                <w:color w:val="000000"/>
                <w:sz w:val="18"/>
                <w:szCs w:val="18"/>
              </w:rPr>
            </w:pPr>
            <w:r w:rsidRPr="00A75729">
              <w:rPr>
                <w:rFonts w:eastAsia="Times New Roman"/>
                <w:color w:val="000000"/>
                <w:sz w:val="18"/>
                <w:szCs w:val="18"/>
              </w:rPr>
              <w:t>-</w:t>
            </w:r>
          </w:p>
        </w:tc>
        <w:tc>
          <w:tcPr>
            <w:tcW w:w="1301" w:type="dxa"/>
            <w:vAlign w:val="center"/>
          </w:tcPr>
          <w:p w:rsidR="000F6700" w:rsidRPr="00A75729" w:rsidRDefault="00196D6B" w:rsidP="00196D6B">
            <w:pPr>
              <w:spacing w:before="0" w:after="0"/>
              <w:jc w:val="right"/>
              <w:rPr>
                <w:rFonts w:eastAsia="Times New Roman"/>
                <w:color w:val="000000"/>
                <w:sz w:val="18"/>
                <w:szCs w:val="18"/>
              </w:rPr>
            </w:pPr>
            <w:r w:rsidRPr="00A75729">
              <w:rPr>
                <w:rFonts w:eastAsia="Times New Roman"/>
                <w:color w:val="000000"/>
                <w:sz w:val="18"/>
                <w:szCs w:val="18"/>
              </w:rPr>
              <w:t>-</w:t>
            </w:r>
          </w:p>
        </w:tc>
        <w:tc>
          <w:tcPr>
            <w:tcW w:w="1059"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w:t>
            </w:r>
          </w:p>
        </w:tc>
        <w:tc>
          <w:tcPr>
            <w:tcW w:w="1301"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w:t>
            </w:r>
          </w:p>
        </w:tc>
      </w:tr>
      <w:tr w:rsidR="000F6700" w:rsidRPr="00A75729" w:rsidTr="00243C34">
        <w:trPr>
          <w:trHeight w:val="228"/>
          <w:jc w:val="center"/>
        </w:trPr>
        <w:tc>
          <w:tcPr>
            <w:tcW w:w="2841" w:type="dxa"/>
            <w:vAlign w:val="center"/>
          </w:tcPr>
          <w:p w:rsidR="000F6700" w:rsidRPr="00A75729" w:rsidRDefault="000F6700" w:rsidP="000F6700">
            <w:pPr>
              <w:spacing w:before="0" w:after="0"/>
              <w:rPr>
                <w:rFonts w:eastAsia="Times New Roman"/>
                <w:color w:val="000000"/>
                <w:sz w:val="18"/>
                <w:szCs w:val="18"/>
              </w:rPr>
            </w:pPr>
            <w:proofErr w:type="spellStart"/>
            <w:r w:rsidRPr="00A75729">
              <w:rPr>
                <w:rFonts w:eastAsia="Times New Roman"/>
                <w:color w:val="000000"/>
                <w:sz w:val="18"/>
                <w:szCs w:val="18"/>
              </w:rPr>
              <w:t>Radiorama</w:t>
            </w:r>
            <w:proofErr w:type="spellEnd"/>
            <w:r w:rsidRPr="00A75729">
              <w:rPr>
                <w:rFonts w:eastAsia="Times New Roman"/>
                <w:color w:val="000000"/>
                <w:sz w:val="18"/>
                <w:szCs w:val="18"/>
              </w:rPr>
              <w:t xml:space="preserve"> </w:t>
            </w:r>
            <w:r w:rsidRPr="00A75729">
              <w:rPr>
                <w:rFonts w:eastAsia="Times New Roman"/>
                <w:color w:val="000000"/>
                <w:sz w:val="16"/>
                <w:szCs w:val="18"/>
              </w:rPr>
              <w:t>(</w:t>
            </w:r>
            <w:proofErr w:type="spellStart"/>
            <w:r w:rsidRPr="00A75729">
              <w:rPr>
                <w:rFonts w:eastAsia="Times New Roman"/>
                <w:color w:val="000000"/>
                <w:sz w:val="16"/>
                <w:szCs w:val="18"/>
              </w:rPr>
              <w:t>XHMF</w:t>
            </w:r>
            <w:proofErr w:type="spellEnd"/>
            <w:r w:rsidRPr="00A75729">
              <w:rPr>
                <w:rFonts w:eastAsia="Times New Roman"/>
                <w:color w:val="000000"/>
                <w:sz w:val="16"/>
                <w:szCs w:val="18"/>
              </w:rPr>
              <w:t>-FM, S.A. de C.V.)</w:t>
            </w:r>
          </w:p>
        </w:tc>
        <w:tc>
          <w:tcPr>
            <w:tcW w:w="1059" w:type="dxa"/>
            <w:shd w:val="clear" w:color="auto" w:fill="auto"/>
            <w:noWrap/>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1</w:t>
            </w:r>
          </w:p>
        </w:tc>
        <w:tc>
          <w:tcPr>
            <w:tcW w:w="1308" w:type="dxa"/>
            <w:vAlign w:val="center"/>
          </w:tcPr>
          <w:p w:rsidR="000F6700" w:rsidRPr="00A75729" w:rsidRDefault="00FB0DBF" w:rsidP="000F6700">
            <w:pPr>
              <w:spacing w:before="0" w:after="0"/>
              <w:jc w:val="right"/>
              <w:rPr>
                <w:rFonts w:eastAsia="Times New Roman"/>
                <w:color w:val="000000"/>
                <w:sz w:val="18"/>
                <w:szCs w:val="18"/>
              </w:rPr>
            </w:pPr>
            <w:r w:rsidRPr="00A75729">
              <w:rPr>
                <w:rFonts w:eastAsia="Times New Roman"/>
                <w:color w:val="000000"/>
                <w:sz w:val="18"/>
                <w:szCs w:val="18"/>
              </w:rPr>
              <w:t>5.56</w:t>
            </w:r>
          </w:p>
        </w:tc>
        <w:tc>
          <w:tcPr>
            <w:tcW w:w="1059"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w:t>
            </w:r>
          </w:p>
        </w:tc>
        <w:tc>
          <w:tcPr>
            <w:tcW w:w="1301"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w:t>
            </w:r>
          </w:p>
        </w:tc>
        <w:tc>
          <w:tcPr>
            <w:tcW w:w="1059"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w:t>
            </w:r>
          </w:p>
        </w:tc>
        <w:tc>
          <w:tcPr>
            <w:tcW w:w="1301"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w:t>
            </w:r>
          </w:p>
        </w:tc>
      </w:tr>
      <w:tr w:rsidR="000F6700" w:rsidRPr="00A75729" w:rsidTr="00243C34">
        <w:trPr>
          <w:trHeight w:val="228"/>
          <w:jc w:val="center"/>
        </w:trPr>
        <w:tc>
          <w:tcPr>
            <w:tcW w:w="2841" w:type="dxa"/>
            <w:vAlign w:val="center"/>
          </w:tcPr>
          <w:p w:rsidR="000F6700" w:rsidRPr="00A75729" w:rsidRDefault="000F6700" w:rsidP="000F6700">
            <w:pPr>
              <w:spacing w:before="0" w:after="0"/>
              <w:rPr>
                <w:rFonts w:eastAsia="Times New Roman"/>
                <w:color w:val="000000"/>
                <w:sz w:val="18"/>
                <w:szCs w:val="18"/>
              </w:rPr>
            </w:pPr>
            <w:r w:rsidRPr="00A75729">
              <w:rPr>
                <w:rFonts w:eastAsia="Times New Roman"/>
                <w:color w:val="000000"/>
                <w:sz w:val="18"/>
                <w:szCs w:val="18"/>
              </w:rPr>
              <w:t xml:space="preserve">Radio Centro </w:t>
            </w:r>
            <w:r w:rsidRPr="00A75729">
              <w:rPr>
                <w:rFonts w:eastAsia="Times New Roman"/>
                <w:color w:val="000000"/>
                <w:sz w:val="16"/>
                <w:szCs w:val="18"/>
              </w:rPr>
              <w:t xml:space="preserve">(RADIO EMISORA </w:t>
            </w:r>
            <w:proofErr w:type="spellStart"/>
            <w:r w:rsidRPr="00A75729">
              <w:rPr>
                <w:rFonts w:eastAsia="Times New Roman"/>
                <w:color w:val="000000"/>
                <w:sz w:val="16"/>
                <w:szCs w:val="18"/>
              </w:rPr>
              <w:t>XHSP</w:t>
            </w:r>
            <w:proofErr w:type="spellEnd"/>
            <w:r w:rsidRPr="00A75729">
              <w:rPr>
                <w:rFonts w:eastAsia="Times New Roman"/>
                <w:color w:val="000000"/>
                <w:sz w:val="16"/>
                <w:szCs w:val="18"/>
              </w:rPr>
              <w:t xml:space="preserve">-FM, S.A. DE C.V. y RADIO EMISORA </w:t>
            </w:r>
            <w:proofErr w:type="spellStart"/>
            <w:r w:rsidRPr="00A75729">
              <w:rPr>
                <w:rFonts w:eastAsia="Times New Roman"/>
                <w:color w:val="000000"/>
                <w:sz w:val="16"/>
                <w:szCs w:val="18"/>
              </w:rPr>
              <w:t>XHSP</w:t>
            </w:r>
            <w:proofErr w:type="spellEnd"/>
            <w:r w:rsidRPr="00A75729">
              <w:rPr>
                <w:rFonts w:eastAsia="Times New Roman"/>
                <w:color w:val="000000"/>
                <w:sz w:val="16"/>
                <w:szCs w:val="18"/>
              </w:rPr>
              <w:t>-FM, S.A. DE C.V.)</w:t>
            </w:r>
          </w:p>
        </w:tc>
        <w:tc>
          <w:tcPr>
            <w:tcW w:w="1059" w:type="dxa"/>
            <w:shd w:val="clear" w:color="auto" w:fill="auto"/>
            <w:noWrap/>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2</w:t>
            </w:r>
          </w:p>
        </w:tc>
        <w:tc>
          <w:tcPr>
            <w:tcW w:w="1308" w:type="dxa"/>
            <w:vAlign w:val="center"/>
          </w:tcPr>
          <w:p w:rsidR="000F6700" w:rsidRPr="00A75729" w:rsidRDefault="00FB0DBF" w:rsidP="000F6700">
            <w:pPr>
              <w:spacing w:before="0" w:after="0"/>
              <w:jc w:val="right"/>
              <w:rPr>
                <w:rFonts w:eastAsia="Times New Roman"/>
                <w:color w:val="000000"/>
                <w:sz w:val="18"/>
                <w:szCs w:val="18"/>
              </w:rPr>
            </w:pPr>
            <w:r w:rsidRPr="00A75729">
              <w:rPr>
                <w:rFonts w:eastAsia="Times New Roman"/>
                <w:color w:val="000000"/>
                <w:sz w:val="18"/>
                <w:szCs w:val="18"/>
              </w:rPr>
              <w:t>11.11</w:t>
            </w:r>
          </w:p>
        </w:tc>
        <w:tc>
          <w:tcPr>
            <w:tcW w:w="1059"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w:t>
            </w:r>
          </w:p>
        </w:tc>
        <w:tc>
          <w:tcPr>
            <w:tcW w:w="1301"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w:t>
            </w:r>
          </w:p>
        </w:tc>
        <w:tc>
          <w:tcPr>
            <w:tcW w:w="1059"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w:t>
            </w:r>
          </w:p>
        </w:tc>
        <w:tc>
          <w:tcPr>
            <w:tcW w:w="1301"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w:t>
            </w:r>
          </w:p>
        </w:tc>
      </w:tr>
      <w:tr w:rsidR="000F6700" w:rsidRPr="00A75729" w:rsidTr="00243C34">
        <w:trPr>
          <w:trHeight w:val="228"/>
          <w:jc w:val="center"/>
        </w:trPr>
        <w:tc>
          <w:tcPr>
            <w:tcW w:w="2841" w:type="dxa"/>
            <w:vAlign w:val="center"/>
          </w:tcPr>
          <w:p w:rsidR="000F6700" w:rsidRPr="00A75729" w:rsidRDefault="000F6700" w:rsidP="000F6700">
            <w:pPr>
              <w:spacing w:before="0" w:after="0"/>
              <w:rPr>
                <w:rFonts w:eastAsia="Times New Roman"/>
                <w:color w:val="000000"/>
                <w:sz w:val="18"/>
                <w:szCs w:val="18"/>
              </w:rPr>
            </w:pPr>
            <w:r w:rsidRPr="00A75729">
              <w:rPr>
                <w:rFonts w:eastAsia="Times New Roman"/>
                <w:color w:val="000000"/>
                <w:sz w:val="18"/>
                <w:szCs w:val="18"/>
              </w:rPr>
              <w:t>Estrada Torre</w:t>
            </w:r>
            <w:r w:rsidR="00FB0DBF" w:rsidRPr="00A75729">
              <w:rPr>
                <w:rFonts w:eastAsia="Times New Roman"/>
                <w:color w:val="000000"/>
                <w:sz w:val="18"/>
                <w:szCs w:val="18"/>
              </w:rPr>
              <w:t>s</w:t>
            </w:r>
            <w:r w:rsidRPr="00A75729">
              <w:rPr>
                <w:rFonts w:eastAsia="Times New Roman"/>
                <w:color w:val="000000"/>
                <w:sz w:val="18"/>
                <w:szCs w:val="18"/>
              </w:rPr>
              <w:t xml:space="preserve"> </w:t>
            </w:r>
            <w:r w:rsidRPr="00A75729">
              <w:rPr>
                <w:rFonts w:eastAsia="Times New Roman"/>
                <w:color w:val="000000"/>
                <w:sz w:val="16"/>
                <w:szCs w:val="18"/>
              </w:rPr>
              <w:t>(</w:t>
            </w:r>
            <w:proofErr w:type="spellStart"/>
            <w:r w:rsidRPr="00A75729">
              <w:rPr>
                <w:rFonts w:eastAsia="Times New Roman"/>
                <w:color w:val="000000"/>
                <w:sz w:val="16"/>
                <w:szCs w:val="18"/>
              </w:rPr>
              <w:t>COMUNICACION</w:t>
            </w:r>
            <w:proofErr w:type="spellEnd"/>
            <w:r w:rsidRPr="00A75729">
              <w:rPr>
                <w:rFonts w:eastAsia="Times New Roman"/>
                <w:color w:val="000000"/>
                <w:sz w:val="16"/>
                <w:szCs w:val="18"/>
              </w:rPr>
              <w:t xml:space="preserve"> PROFESIONAL, S.A. DE C.V., RADIO FIESTA, S.A. DE C.V. y PROFESIONALES DE LA RADIO, S.A. DE C.V.)</w:t>
            </w:r>
          </w:p>
        </w:tc>
        <w:tc>
          <w:tcPr>
            <w:tcW w:w="1059" w:type="dxa"/>
            <w:shd w:val="clear" w:color="auto" w:fill="auto"/>
            <w:noWrap/>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3</w:t>
            </w:r>
          </w:p>
        </w:tc>
        <w:tc>
          <w:tcPr>
            <w:tcW w:w="1308" w:type="dxa"/>
            <w:vAlign w:val="center"/>
          </w:tcPr>
          <w:p w:rsidR="000F6700" w:rsidRPr="00A75729" w:rsidRDefault="00FB0DBF" w:rsidP="003E7115">
            <w:pPr>
              <w:spacing w:before="0" w:after="0"/>
              <w:jc w:val="right"/>
              <w:rPr>
                <w:rFonts w:eastAsia="Times New Roman"/>
                <w:color w:val="000000"/>
                <w:sz w:val="18"/>
                <w:szCs w:val="18"/>
              </w:rPr>
            </w:pPr>
            <w:r w:rsidRPr="00A75729">
              <w:rPr>
                <w:rFonts w:eastAsia="Times New Roman"/>
                <w:color w:val="000000"/>
                <w:sz w:val="18"/>
                <w:szCs w:val="18"/>
              </w:rPr>
              <w:t>16.67</w:t>
            </w:r>
          </w:p>
        </w:tc>
        <w:tc>
          <w:tcPr>
            <w:tcW w:w="1059"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w:t>
            </w:r>
          </w:p>
        </w:tc>
        <w:tc>
          <w:tcPr>
            <w:tcW w:w="1301"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w:t>
            </w:r>
          </w:p>
        </w:tc>
        <w:tc>
          <w:tcPr>
            <w:tcW w:w="1059"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w:t>
            </w:r>
          </w:p>
        </w:tc>
        <w:tc>
          <w:tcPr>
            <w:tcW w:w="1301"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w:t>
            </w:r>
          </w:p>
        </w:tc>
      </w:tr>
      <w:tr w:rsidR="000F6700" w:rsidRPr="00A75729" w:rsidTr="00243C34">
        <w:trPr>
          <w:trHeight w:val="228"/>
          <w:jc w:val="center"/>
        </w:trPr>
        <w:tc>
          <w:tcPr>
            <w:tcW w:w="2841" w:type="dxa"/>
            <w:vAlign w:val="center"/>
          </w:tcPr>
          <w:p w:rsidR="000F6700" w:rsidRPr="00A75729" w:rsidRDefault="000F6700" w:rsidP="000F6700">
            <w:pPr>
              <w:spacing w:before="0" w:after="0"/>
              <w:rPr>
                <w:rFonts w:eastAsia="Times New Roman"/>
                <w:color w:val="000000"/>
                <w:sz w:val="18"/>
                <w:szCs w:val="18"/>
              </w:rPr>
            </w:pPr>
            <w:r w:rsidRPr="00A75729">
              <w:rPr>
                <w:rFonts w:eastAsia="Times New Roman"/>
                <w:color w:val="000000"/>
                <w:sz w:val="18"/>
                <w:szCs w:val="18"/>
              </w:rPr>
              <w:t xml:space="preserve">Imagen </w:t>
            </w:r>
            <w:r w:rsidRPr="00A75729">
              <w:rPr>
                <w:rFonts w:eastAsia="Times New Roman"/>
                <w:color w:val="000000"/>
                <w:sz w:val="16"/>
                <w:szCs w:val="18"/>
              </w:rPr>
              <w:t>(IMAGEN MONTERREY, S.A. DE C.V.)</w:t>
            </w:r>
          </w:p>
        </w:tc>
        <w:tc>
          <w:tcPr>
            <w:tcW w:w="1059" w:type="dxa"/>
            <w:shd w:val="clear" w:color="auto" w:fill="auto"/>
            <w:noWrap/>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1</w:t>
            </w:r>
          </w:p>
        </w:tc>
        <w:tc>
          <w:tcPr>
            <w:tcW w:w="1308" w:type="dxa"/>
            <w:vAlign w:val="center"/>
          </w:tcPr>
          <w:p w:rsidR="003E7115" w:rsidRPr="00A75729" w:rsidRDefault="00FB0DBF" w:rsidP="003E7115">
            <w:pPr>
              <w:spacing w:before="0" w:after="0"/>
              <w:jc w:val="right"/>
              <w:rPr>
                <w:rFonts w:eastAsia="Times New Roman"/>
                <w:color w:val="000000"/>
                <w:sz w:val="18"/>
                <w:szCs w:val="18"/>
              </w:rPr>
            </w:pPr>
            <w:r w:rsidRPr="00A75729">
              <w:rPr>
                <w:rFonts w:eastAsia="Times New Roman"/>
                <w:color w:val="000000"/>
                <w:sz w:val="18"/>
                <w:szCs w:val="18"/>
              </w:rPr>
              <w:t>5.56</w:t>
            </w:r>
          </w:p>
        </w:tc>
        <w:tc>
          <w:tcPr>
            <w:tcW w:w="1059"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w:t>
            </w:r>
          </w:p>
        </w:tc>
        <w:tc>
          <w:tcPr>
            <w:tcW w:w="1301"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w:t>
            </w:r>
          </w:p>
        </w:tc>
        <w:tc>
          <w:tcPr>
            <w:tcW w:w="1059"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w:t>
            </w:r>
          </w:p>
        </w:tc>
        <w:tc>
          <w:tcPr>
            <w:tcW w:w="1301"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w:t>
            </w:r>
          </w:p>
        </w:tc>
      </w:tr>
      <w:tr w:rsidR="000F6700" w:rsidRPr="00A75729" w:rsidTr="00243C34">
        <w:trPr>
          <w:trHeight w:val="228"/>
          <w:jc w:val="center"/>
        </w:trPr>
        <w:tc>
          <w:tcPr>
            <w:tcW w:w="2841" w:type="dxa"/>
            <w:vAlign w:val="center"/>
          </w:tcPr>
          <w:p w:rsidR="000F6700" w:rsidRPr="00A75729" w:rsidRDefault="000F6700" w:rsidP="000F6700">
            <w:pPr>
              <w:spacing w:before="0" w:after="0"/>
              <w:rPr>
                <w:rFonts w:eastAsia="Times New Roman"/>
                <w:color w:val="000000"/>
                <w:sz w:val="18"/>
                <w:szCs w:val="18"/>
              </w:rPr>
            </w:pPr>
            <w:proofErr w:type="spellStart"/>
            <w:r w:rsidRPr="00A75729">
              <w:rPr>
                <w:rFonts w:eastAsia="Times New Roman"/>
                <w:b/>
                <w:color w:val="000000"/>
                <w:sz w:val="18"/>
                <w:szCs w:val="18"/>
              </w:rPr>
              <w:t>GIE</w:t>
            </w:r>
            <w:proofErr w:type="spellEnd"/>
            <w:r w:rsidRPr="00A75729">
              <w:rPr>
                <w:rFonts w:eastAsia="Times New Roman"/>
                <w:b/>
                <w:color w:val="000000"/>
                <w:sz w:val="18"/>
                <w:szCs w:val="18"/>
              </w:rPr>
              <w:t xml:space="preserve"> Audio Publicidad</w:t>
            </w:r>
          </w:p>
        </w:tc>
        <w:tc>
          <w:tcPr>
            <w:tcW w:w="1059" w:type="dxa"/>
            <w:shd w:val="clear" w:color="auto" w:fill="auto"/>
            <w:noWrap/>
            <w:vAlign w:val="center"/>
          </w:tcPr>
          <w:p w:rsidR="000F6700" w:rsidRPr="00A75729" w:rsidRDefault="000F6700" w:rsidP="000F6700">
            <w:pPr>
              <w:spacing w:before="0" w:after="0"/>
              <w:jc w:val="right"/>
              <w:rPr>
                <w:rFonts w:eastAsia="Times New Roman"/>
                <w:b/>
                <w:color w:val="000000"/>
                <w:sz w:val="18"/>
                <w:szCs w:val="18"/>
              </w:rPr>
            </w:pPr>
            <w:r w:rsidRPr="00A75729">
              <w:rPr>
                <w:rFonts w:eastAsia="Times New Roman"/>
                <w:b/>
                <w:color w:val="000000"/>
                <w:sz w:val="18"/>
                <w:szCs w:val="18"/>
              </w:rPr>
              <w:t>1</w:t>
            </w:r>
          </w:p>
        </w:tc>
        <w:tc>
          <w:tcPr>
            <w:tcW w:w="1308" w:type="dxa"/>
            <w:vAlign w:val="center"/>
          </w:tcPr>
          <w:p w:rsidR="000F6700" w:rsidRPr="00A75729" w:rsidRDefault="00196D6B" w:rsidP="000F6700">
            <w:pPr>
              <w:spacing w:before="0" w:after="0"/>
              <w:jc w:val="right"/>
              <w:rPr>
                <w:rFonts w:eastAsia="Times New Roman"/>
                <w:b/>
                <w:color w:val="000000"/>
                <w:sz w:val="18"/>
                <w:szCs w:val="18"/>
              </w:rPr>
            </w:pPr>
            <w:r w:rsidRPr="00A75729">
              <w:rPr>
                <w:rFonts w:eastAsia="Times New Roman"/>
                <w:b/>
                <w:color w:val="000000"/>
                <w:sz w:val="18"/>
                <w:szCs w:val="18"/>
              </w:rPr>
              <w:t>5.56</w:t>
            </w:r>
          </w:p>
        </w:tc>
        <w:tc>
          <w:tcPr>
            <w:tcW w:w="1059" w:type="dxa"/>
            <w:vAlign w:val="center"/>
          </w:tcPr>
          <w:p w:rsidR="000F6700" w:rsidRPr="00A75729" w:rsidRDefault="000F6700" w:rsidP="000F6700">
            <w:pPr>
              <w:spacing w:before="0" w:after="0"/>
              <w:jc w:val="right"/>
              <w:rPr>
                <w:rFonts w:eastAsia="Times New Roman"/>
                <w:b/>
                <w:color w:val="000000"/>
                <w:sz w:val="18"/>
                <w:szCs w:val="18"/>
              </w:rPr>
            </w:pPr>
            <w:r w:rsidRPr="00A75729">
              <w:rPr>
                <w:rFonts w:eastAsia="Times New Roman"/>
                <w:b/>
                <w:color w:val="000000"/>
                <w:sz w:val="18"/>
                <w:szCs w:val="18"/>
              </w:rPr>
              <w:t>1</w:t>
            </w:r>
          </w:p>
        </w:tc>
        <w:tc>
          <w:tcPr>
            <w:tcW w:w="1301" w:type="dxa"/>
            <w:vAlign w:val="center"/>
          </w:tcPr>
          <w:p w:rsidR="000F6700" w:rsidRPr="00A75729" w:rsidRDefault="00196D6B" w:rsidP="000F6700">
            <w:pPr>
              <w:spacing w:before="0" w:after="0"/>
              <w:jc w:val="right"/>
              <w:rPr>
                <w:rFonts w:eastAsia="Times New Roman"/>
                <w:b/>
                <w:color w:val="000000"/>
                <w:sz w:val="18"/>
                <w:szCs w:val="18"/>
              </w:rPr>
            </w:pPr>
            <w:r w:rsidRPr="00A75729">
              <w:rPr>
                <w:rFonts w:eastAsia="Times New Roman"/>
                <w:b/>
                <w:color w:val="000000"/>
                <w:sz w:val="18"/>
                <w:szCs w:val="18"/>
              </w:rPr>
              <w:t>25.00</w:t>
            </w:r>
          </w:p>
        </w:tc>
        <w:tc>
          <w:tcPr>
            <w:tcW w:w="1059" w:type="dxa"/>
            <w:vAlign w:val="center"/>
          </w:tcPr>
          <w:p w:rsidR="000F6700" w:rsidRPr="00A75729" w:rsidRDefault="000F6700" w:rsidP="000F6700">
            <w:pPr>
              <w:spacing w:before="0" w:after="0"/>
              <w:jc w:val="right"/>
              <w:rPr>
                <w:rFonts w:eastAsia="Times New Roman"/>
                <w:b/>
                <w:color w:val="000000"/>
                <w:sz w:val="18"/>
                <w:szCs w:val="18"/>
              </w:rPr>
            </w:pPr>
            <w:r w:rsidRPr="00A75729">
              <w:rPr>
                <w:rFonts w:eastAsia="Times New Roman"/>
                <w:b/>
                <w:color w:val="000000"/>
                <w:sz w:val="18"/>
                <w:szCs w:val="18"/>
              </w:rPr>
              <w:t>1</w:t>
            </w:r>
          </w:p>
        </w:tc>
        <w:tc>
          <w:tcPr>
            <w:tcW w:w="1301" w:type="dxa"/>
            <w:vAlign w:val="center"/>
          </w:tcPr>
          <w:p w:rsidR="000F6700" w:rsidRPr="00A75729" w:rsidRDefault="009414BA" w:rsidP="009414BA">
            <w:pPr>
              <w:spacing w:before="0" w:after="0"/>
              <w:jc w:val="right"/>
              <w:rPr>
                <w:rFonts w:eastAsia="Times New Roman"/>
                <w:b/>
                <w:color w:val="000000"/>
                <w:sz w:val="18"/>
                <w:szCs w:val="18"/>
              </w:rPr>
            </w:pPr>
            <w:r>
              <w:rPr>
                <w:rFonts w:eastAsia="Times New Roman"/>
                <w:b/>
                <w:color w:val="000000"/>
                <w:sz w:val="18"/>
                <w:szCs w:val="18"/>
              </w:rPr>
              <w:t>25</w:t>
            </w:r>
            <w:r w:rsidR="000F6700" w:rsidRPr="00A75729">
              <w:rPr>
                <w:rFonts w:eastAsia="Times New Roman"/>
                <w:b/>
                <w:color w:val="000000"/>
                <w:sz w:val="18"/>
                <w:szCs w:val="18"/>
              </w:rPr>
              <w:t>.</w:t>
            </w:r>
            <w:r>
              <w:rPr>
                <w:rFonts w:eastAsia="Times New Roman"/>
                <w:b/>
                <w:color w:val="000000"/>
                <w:sz w:val="18"/>
                <w:szCs w:val="18"/>
              </w:rPr>
              <w:t>00</w:t>
            </w:r>
          </w:p>
        </w:tc>
      </w:tr>
      <w:tr w:rsidR="000F6700" w:rsidRPr="00A75729" w:rsidTr="00243C34">
        <w:trPr>
          <w:trHeight w:val="228"/>
          <w:jc w:val="center"/>
        </w:trPr>
        <w:tc>
          <w:tcPr>
            <w:tcW w:w="2841" w:type="dxa"/>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Total</w:t>
            </w:r>
          </w:p>
        </w:tc>
        <w:tc>
          <w:tcPr>
            <w:tcW w:w="1059" w:type="dxa"/>
            <w:shd w:val="clear" w:color="auto" w:fill="auto"/>
            <w:noWrap/>
            <w:vAlign w:val="center"/>
          </w:tcPr>
          <w:p w:rsidR="000F6700" w:rsidRPr="00A75729" w:rsidRDefault="000F6700" w:rsidP="00196D6B">
            <w:pPr>
              <w:spacing w:before="0" w:after="0"/>
              <w:jc w:val="right"/>
              <w:rPr>
                <w:rFonts w:eastAsia="Times New Roman"/>
                <w:color w:val="000000"/>
                <w:sz w:val="18"/>
                <w:szCs w:val="18"/>
              </w:rPr>
            </w:pPr>
            <w:r w:rsidRPr="00A75729">
              <w:rPr>
                <w:rFonts w:eastAsia="Times New Roman"/>
                <w:color w:val="000000"/>
                <w:sz w:val="18"/>
                <w:szCs w:val="18"/>
              </w:rPr>
              <w:t>1</w:t>
            </w:r>
            <w:r w:rsidR="00196D6B" w:rsidRPr="00A75729">
              <w:rPr>
                <w:rFonts w:eastAsia="Times New Roman"/>
                <w:color w:val="000000"/>
                <w:sz w:val="18"/>
                <w:szCs w:val="18"/>
              </w:rPr>
              <w:t>8</w:t>
            </w:r>
          </w:p>
        </w:tc>
        <w:tc>
          <w:tcPr>
            <w:tcW w:w="1308"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100.00</w:t>
            </w:r>
          </w:p>
        </w:tc>
        <w:tc>
          <w:tcPr>
            <w:tcW w:w="1059" w:type="dxa"/>
            <w:vAlign w:val="center"/>
          </w:tcPr>
          <w:p w:rsidR="000F6700" w:rsidRPr="00A75729" w:rsidRDefault="00196D6B" w:rsidP="00196D6B">
            <w:pPr>
              <w:spacing w:before="0" w:after="0"/>
              <w:jc w:val="right"/>
              <w:rPr>
                <w:rFonts w:eastAsia="Times New Roman"/>
                <w:color w:val="000000"/>
                <w:sz w:val="18"/>
                <w:szCs w:val="18"/>
              </w:rPr>
            </w:pPr>
            <w:r w:rsidRPr="00A75729">
              <w:rPr>
                <w:rFonts w:eastAsia="Times New Roman"/>
                <w:color w:val="000000"/>
                <w:sz w:val="18"/>
                <w:szCs w:val="18"/>
              </w:rPr>
              <w:t>4</w:t>
            </w:r>
          </w:p>
        </w:tc>
        <w:tc>
          <w:tcPr>
            <w:tcW w:w="1301"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100.00</w:t>
            </w:r>
          </w:p>
        </w:tc>
        <w:tc>
          <w:tcPr>
            <w:tcW w:w="1059" w:type="dxa"/>
            <w:vAlign w:val="center"/>
          </w:tcPr>
          <w:p w:rsidR="000F6700" w:rsidRPr="00A75729" w:rsidRDefault="00196D6B" w:rsidP="00196D6B">
            <w:pPr>
              <w:spacing w:before="0" w:after="0"/>
              <w:jc w:val="right"/>
              <w:rPr>
                <w:rFonts w:eastAsia="Times New Roman"/>
                <w:color w:val="000000"/>
                <w:sz w:val="18"/>
                <w:szCs w:val="18"/>
              </w:rPr>
            </w:pPr>
            <w:r w:rsidRPr="00A75729">
              <w:rPr>
                <w:rFonts w:eastAsia="Times New Roman"/>
                <w:color w:val="000000"/>
                <w:sz w:val="18"/>
                <w:szCs w:val="18"/>
              </w:rPr>
              <w:t>4</w:t>
            </w:r>
          </w:p>
        </w:tc>
        <w:tc>
          <w:tcPr>
            <w:tcW w:w="1301" w:type="dxa"/>
            <w:vAlign w:val="center"/>
          </w:tcPr>
          <w:p w:rsidR="000F6700" w:rsidRPr="00A75729" w:rsidRDefault="000F6700" w:rsidP="000F6700">
            <w:pPr>
              <w:spacing w:before="0" w:after="0"/>
              <w:jc w:val="right"/>
              <w:rPr>
                <w:rFonts w:eastAsia="Times New Roman"/>
                <w:color w:val="000000"/>
                <w:sz w:val="18"/>
                <w:szCs w:val="18"/>
              </w:rPr>
            </w:pPr>
            <w:r w:rsidRPr="00A75729">
              <w:rPr>
                <w:rFonts w:eastAsia="Times New Roman"/>
                <w:color w:val="000000"/>
                <w:sz w:val="18"/>
                <w:szCs w:val="18"/>
              </w:rPr>
              <w:t>100.00</w:t>
            </w:r>
          </w:p>
        </w:tc>
      </w:tr>
    </w:tbl>
    <w:p w:rsidR="000F6700" w:rsidRPr="00A75729" w:rsidRDefault="008032ED" w:rsidP="000F6700">
      <w:pPr>
        <w:spacing w:before="0" w:after="0" w:line="240" w:lineRule="auto"/>
        <w:ind w:left="142" w:right="425"/>
        <w:rPr>
          <w:sz w:val="16"/>
          <w:szCs w:val="16"/>
        </w:rPr>
      </w:pPr>
      <w:r w:rsidRPr="00A75729">
        <w:rPr>
          <w:sz w:val="16"/>
          <w:szCs w:val="16"/>
        </w:rPr>
        <w:t>Fuente: Elaboración propia</w:t>
      </w:r>
      <w:r w:rsidR="000F6700" w:rsidRPr="00A75729">
        <w:rPr>
          <w:sz w:val="16"/>
          <w:szCs w:val="16"/>
        </w:rPr>
        <w:t xml:space="preserve"> con información </w:t>
      </w:r>
      <w:r w:rsidR="00FB0DBF" w:rsidRPr="00A75729">
        <w:rPr>
          <w:sz w:val="16"/>
          <w:szCs w:val="16"/>
        </w:rPr>
        <w:t xml:space="preserve">proporcionada por las Partes en Fojas 365-378 del Expediente y </w:t>
      </w:r>
      <w:r w:rsidR="000F6700" w:rsidRPr="00A75729">
        <w:rPr>
          <w:sz w:val="16"/>
          <w:szCs w:val="16"/>
        </w:rPr>
        <w:t>disponible en el Instituto</w:t>
      </w:r>
      <w:r w:rsidRPr="00A75729">
        <w:rPr>
          <w:sz w:val="16"/>
          <w:szCs w:val="16"/>
        </w:rPr>
        <w:t>.</w:t>
      </w:r>
    </w:p>
    <w:p w:rsidR="000F6700" w:rsidRPr="00A75729" w:rsidRDefault="000F6700" w:rsidP="000F6700">
      <w:pPr>
        <w:spacing w:before="0" w:after="0" w:line="240" w:lineRule="auto"/>
        <w:ind w:left="142" w:right="425"/>
        <w:rPr>
          <w:sz w:val="16"/>
          <w:szCs w:val="16"/>
        </w:rPr>
      </w:pPr>
      <w:r w:rsidRPr="00A75729">
        <w:rPr>
          <w:sz w:val="16"/>
          <w:szCs w:val="16"/>
        </w:rPr>
        <w:t>NOTAS:</w:t>
      </w:r>
    </w:p>
    <w:p w:rsidR="00573AC9" w:rsidRPr="00412054" w:rsidRDefault="00FA3534" w:rsidP="00FA3534">
      <w:pPr>
        <w:rPr>
          <w:rFonts w:eastAsia="Times New Roman"/>
          <w:lang w:eastAsia="es-ES"/>
        </w:rPr>
      </w:pPr>
      <w:r w:rsidRPr="00A75729">
        <w:rPr>
          <w:rFonts w:eastAsia="Times New Roman"/>
          <w:lang w:eastAsia="es-ES"/>
        </w:rPr>
        <w:t xml:space="preserve">Esto es, en </w:t>
      </w:r>
      <w:r w:rsidR="00856125" w:rsidRPr="00A75729">
        <w:rPr>
          <w:rFonts w:eastAsia="Times New Roman"/>
          <w:lang w:eastAsia="es-ES"/>
        </w:rPr>
        <w:t xml:space="preserve">las </w:t>
      </w:r>
      <w:r w:rsidRPr="00A75729">
        <w:rPr>
          <w:rFonts w:eastAsia="Times New Roman"/>
          <w:lang w:eastAsia="es-ES"/>
        </w:rPr>
        <w:t xml:space="preserve">localidades </w:t>
      </w:r>
      <w:r w:rsidR="00856125" w:rsidRPr="00A75729">
        <w:rPr>
          <w:rFonts w:eastAsia="Times New Roman"/>
          <w:lang w:eastAsia="es-ES"/>
        </w:rPr>
        <w:t xml:space="preserve">de </w:t>
      </w:r>
      <w:r w:rsidR="00FB0DBF" w:rsidRPr="00A75729">
        <w:rPr>
          <w:rFonts w:eastAsia="Times New Roman"/>
          <w:lang w:eastAsia="es-ES"/>
        </w:rPr>
        <w:t xml:space="preserve">Juárez, Cadereyta y </w:t>
      </w:r>
      <w:r w:rsidR="00856125" w:rsidRPr="00A75729">
        <w:rPr>
          <w:rFonts w:eastAsia="Times New Roman"/>
          <w:lang w:eastAsia="es-ES"/>
        </w:rPr>
        <w:t xml:space="preserve">Montemorelos, Nuevo León, que están </w:t>
      </w:r>
      <w:r w:rsidRPr="00A75729">
        <w:rPr>
          <w:rFonts w:eastAsia="Times New Roman"/>
          <w:lang w:eastAsia="es-ES"/>
        </w:rPr>
        <w:t xml:space="preserve">dentro del contorno de cobertura de la estación </w:t>
      </w:r>
      <w:proofErr w:type="spellStart"/>
      <w:r w:rsidRPr="00A75729">
        <w:rPr>
          <w:rFonts w:eastAsia="Times New Roman"/>
          <w:lang w:eastAsia="es-ES"/>
        </w:rPr>
        <w:t>XHDD</w:t>
      </w:r>
      <w:proofErr w:type="spellEnd"/>
      <w:r w:rsidRPr="00A75729">
        <w:rPr>
          <w:rFonts w:eastAsia="Times New Roman"/>
          <w:lang w:eastAsia="es-ES"/>
        </w:rPr>
        <w:t xml:space="preserve">-FM y </w:t>
      </w:r>
      <w:r w:rsidR="00856125" w:rsidRPr="00A75729">
        <w:rPr>
          <w:rFonts w:eastAsia="Times New Roman"/>
          <w:lang w:eastAsia="es-ES"/>
        </w:rPr>
        <w:t>tienen</w:t>
      </w:r>
      <w:r w:rsidRPr="00A75729">
        <w:rPr>
          <w:rFonts w:eastAsia="Times New Roman"/>
          <w:lang w:eastAsia="es-ES"/>
        </w:rPr>
        <w:t xml:space="preserve"> mayor población que Ojo de Agua, Nuevo León, los efectos de la Operación serían </w:t>
      </w:r>
      <w:r w:rsidR="009F6A21" w:rsidRPr="00A75729">
        <w:rPr>
          <w:rFonts w:eastAsia="Times New Roman"/>
          <w:lang w:eastAsia="es-ES"/>
        </w:rPr>
        <w:t>similares</w:t>
      </w:r>
      <w:r w:rsidRPr="00A75729">
        <w:rPr>
          <w:rFonts w:eastAsia="Times New Roman"/>
          <w:lang w:eastAsia="es-ES"/>
        </w:rPr>
        <w:t xml:space="preserve"> que en Ojo de Agua, Nuevo León, pues</w:t>
      </w:r>
      <w:r w:rsidR="00823B38">
        <w:rPr>
          <w:rFonts w:eastAsia="Times New Roman"/>
          <w:lang w:eastAsia="es-ES"/>
        </w:rPr>
        <w:t>, considerando la información proporcionada por las Partes,</w:t>
      </w:r>
      <w:r w:rsidRPr="00A75729">
        <w:rPr>
          <w:rFonts w:eastAsia="Times New Roman"/>
          <w:lang w:eastAsia="es-ES"/>
        </w:rPr>
        <w:t xml:space="preserve"> </w:t>
      </w:r>
      <w:r w:rsidR="00856125" w:rsidRPr="00A75729">
        <w:rPr>
          <w:rFonts w:eastAsia="Times New Roman"/>
          <w:lang w:eastAsia="es-ES"/>
        </w:rPr>
        <w:t xml:space="preserve">el </w:t>
      </w:r>
      <w:proofErr w:type="spellStart"/>
      <w:r w:rsidR="00856125" w:rsidRPr="00A75729">
        <w:rPr>
          <w:rFonts w:eastAsia="Times New Roman"/>
          <w:lang w:eastAsia="es-ES"/>
        </w:rPr>
        <w:t>GIE</w:t>
      </w:r>
      <w:proofErr w:type="spellEnd"/>
      <w:r w:rsidR="00856125" w:rsidRPr="00A75729">
        <w:rPr>
          <w:rFonts w:eastAsia="Times New Roman"/>
          <w:lang w:eastAsia="es-ES"/>
        </w:rPr>
        <w:t xml:space="preserve"> Grupo Multimedios alcanzó </w:t>
      </w:r>
      <w:r w:rsidRPr="00A75729">
        <w:rPr>
          <w:rFonts w:eastAsia="Times New Roman"/>
          <w:lang w:eastAsia="es-ES"/>
        </w:rPr>
        <w:t>niveles de participación</w:t>
      </w:r>
      <w:r w:rsidR="00BF0B35" w:rsidRPr="00BF0B35">
        <w:rPr>
          <w:rFonts w:eastAsia="Times New Roman"/>
          <w:lang w:eastAsia="es-ES"/>
        </w:rPr>
        <w:t xml:space="preserve"> </w:t>
      </w:r>
      <w:r w:rsidR="00BF0B35" w:rsidRPr="00A75729">
        <w:rPr>
          <w:rFonts w:eastAsia="Times New Roman"/>
          <w:lang w:eastAsia="es-ES"/>
        </w:rPr>
        <w:t>en términos del número de estaciones</w:t>
      </w:r>
      <w:r w:rsidRPr="00A75729">
        <w:rPr>
          <w:rFonts w:eastAsia="Times New Roman"/>
          <w:lang w:eastAsia="es-ES"/>
        </w:rPr>
        <w:t xml:space="preserve"> </w:t>
      </w:r>
      <w:r w:rsidR="00FB0DBF" w:rsidRPr="00A75729">
        <w:rPr>
          <w:rFonts w:eastAsia="Times New Roman"/>
          <w:lang w:eastAsia="es-ES"/>
        </w:rPr>
        <w:t xml:space="preserve">de 44.44% (cuarenta y cuatro punto </w:t>
      </w:r>
      <w:r w:rsidR="00FB0DBF" w:rsidRPr="00412054">
        <w:rPr>
          <w:rFonts w:eastAsia="Times New Roman"/>
          <w:lang w:eastAsia="es-ES"/>
        </w:rPr>
        <w:t>cuarenta y cuatro por ciento) o más</w:t>
      </w:r>
      <w:r w:rsidR="00856125" w:rsidRPr="00412054">
        <w:rPr>
          <w:rFonts w:eastAsia="Times New Roman"/>
          <w:lang w:eastAsia="es-ES"/>
        </w:rPr>
        <w:t>.</w:t>
      </w:r>
    </w:p>
    <w:p w:rsidR="00A67BC5" w:rsidRPr="00FF388E" w:rsidRDefault="00A67BC5" w:rsidP="00FF388E">
      <w:pPr>
        <w:pStyle w:val="Ttulo7"/>
        <w:spacing w:before="360"/>
        <w:ind w:left="567"/>
        <w:rPr>
          <w:rFonts w:ascii="ITC Avant Garde" w:hAnsi="ITC Avant Garde"/>
          <w:b/>
          <w:i w:val="0"/>
          <w:color w:val="auto"/>
          <w:lang w:eastAsia="es-ES"/>
        </w:rPr>
      </w:pPr>
      <w:r w:rsidRPr="00FF388E">
        <w:rPr>
          <w:rFonts w:ascii="ITC Avant Garde" w:hAnsi="ITC Avant Garde"/>
          <w:b/>
          <w:i w:val="0"/>
          <w:color w:val="auto"/>
          <w:lang w:eastAsia="es-ES"/>
        </w:rPr>
        <w:t>Información del Instituto</w:t>
      </w:r>
    </w:p>
    <w:p w:rsidR="00FF388E" w:rsidRDefault="00A67BC5" w:rsidP="0053408B">
      <w:pPr>
        <w:rPr>
          <w:rFonts w:eastAsia="Times New Roman"/>
          <w:lang w:eastAsia="es-ES"/>
        </w:rPr>
      </w:pPr>
      <w:r>
        <w:rPr>
          <w:rFonts w:cs="ITC Avant Garde"/>
          <w:bCs/>
        </w:rPr>
        <w:t xml:space="preserve">Considerando información proporcionada por la </w:t>
      </w:r>
      <w:proofErr w:type="spellStart"/>
      <w:r w:rsidRPr="00412054">
        <w:rPr>
          <w:rFonts w:cs="ITC Avant Garde"/>
          <w:bCs/>
        </w:rPr>
        <w:t>UER</w:t>
      </w:r>
      <w:proofErr w:type="spellEnd"/>
      <w:r w:rsidRPr="00412054">
        <w:rPr>
          <w:rFonts w:cs="ITC Avant Garde"/>
          <w:bCs/>
        </w:rPr>
        <w:t>,</w:t>
      </w:r>
      <w:r w:rsidRPr="00412054">
        <w:rPr>
          <w:rStyle w:val="Refdenotaalpie"/>
          <w:rFonts w:cs="ITC Avant Garde"/>
          <w:bCs/>
        </w:rPr>
        <w:footnoteReference w:id="62"/>
      </w:r>
      <w:r w:rsidRPr="00412054">
        <w:rPr>
          <w:rFonts w:eastAsia="Times New Roman"/>
          <w:lang w:eastAsia="es-ES"/>
        </w:rPr>
        <w:t xml:space="preserve"> </w:t>
      </w:r>
      <w:r w:rsidR="00FF388E">
        <w:rPr>
          <w:rFonts w:eastAsia="Times New Roman"/>
          <w:lang w:eastAsia="es-ES"/>
        </w:rPr>
        <w:t>se identifica que</w:t>
      </w:r>
      <w:r w:rsidR="00686933" w:rsidRPr="00686933">
        <w:rPr>
          <w:rFonts w:eastAsia="Times New Roman"/>
          <w:lang w:eastAsia="es-ES"/>
        </w:rPr>
        <w:t xml:space="preserve"> </w:t>
      </w:r>
      <w:r w:rsidR="00686933">
        <w:rPr>
          <w:rFonts w:eastAsia="Times New Roman"/>
          <w:lang w:eastAsia="es-ES"/>
        </w:rPr>
        <w:t>l</w:t>
      </w:r>
      <w:r w:rsidR="00686933" w:rsidRPr="00412054">
        <w:rPr>
          <w:rFonts w:eastAsia="Times New Roman"/>
          <w:lang w:eastAsia="es-ES"/>
        </w:rPr>
        <w:t xml:space="preserve">a participación en términos del número de estaciones del </w:t>
      </w:r>
      <w:proofErr w:type="spellStart"/>
      <w:r w:rsidR="00686933" w:rsidRPr="00FF388E">
        <w:rPr>
          <w:rFonts w:eastAsia="Times New Roman"/>
          <w:lang w:eastAsia="es-ES"/>
        </w:rPr>
        <w:t>GIE</w:t>
      </w:r>
      <w:proofErr w:type="spellEnd"/>
      <w:r w:rsidR="00686933" w:rsidRPr="00FF388E">
        <w:rPr>
          <w:rFonts w:eastAsia="Times New Roman"/>
          <w:lang w:eastAsia="es-ES"/>
        </w:rPr>
        <w:t xml:space="preserve"> Grupo Multimedios en el Servicio Evaluado, con motivo de la Operación</w:t>
      </w:r>
      <w:r w:rsidR="00FF388E">
        <w:rPr>
          <w:rFonts w:eastAsia="Times New Roman"/>
          <w:lang w:eastAsia="es-ES"/>
        </w:rPr>
        <w:t>:</w:t>
      </w:r>
    </w:p>
    <w:p w:rsidR="00FF388E" w:rsidRDefault="00686933" w:rsidP="0053408B">
      <w:pPr>
        <w:pStyle w:val="Prrafodelista"/>
        <w:numPr>
          <w:ilvl w:val="0"/>
          <w:numId w:val="20"/>
        </w:numPr>
        <w:spacing w:after="120" w:line="276" w:lineRule="auto"/>
        <w:contextualSpacing w:val="0"/>
        <w:rPr>
          <w:rFonts w:eastAsia="Times New Roman"/>
          <w:lang w:eastAsia="es-ES"/>
        </w:rPr>
      </w:pPr>
      <w:r>
        <w:rPr>
          <w:rFonts w:eastAsia="Times New Roman"/>
          <w:lang w:eastAsia="es-ES"/>
        </w:rPr>
        <w:lastRenderedPageBreak/>
        <w:t>E</w:t>
      </w:r>
      <w:r w:rsidR="00A67BC5" w:rsidRPr="00FF388E">
        <w:rPr>
          <w:rFonts w:eastAsia="Times New Roman"/>
          <w:lang w:eastAsia="es-ES"/>
        </w:rPr>
        <w:t xml:space="preserve">n Ojo de Agua, pasó de </w:t>
      </w:r>
      <w:r w:rsidR="00A67BC5" w:rsidRPr="00412054">
        <w:rPr>
          <w:rFonts w:eastAsia="Times New Roman"/>
          <w:lang w:eastAsia="es-ES"/>
        </w:rPr>
        <w:t>25.00% (veinticinco por ciento) a 50.00% (cincuenta por ciento).</w:t>
      </w:r>
    </w:p>
    <w:p w:rsidR="00FF388E" w:rsidRPr="00FF388E" w:rsidRDefault="00686933" w:rsidP="0053408B">
      <w:pPr>
        <w:pStyle w:val="Prrafodelista"/>
        <w:numPr>
          <w:ilvl w:val="0"/>
          <w:numId w:val="20"/>
        </w:numPr>
        <w:spacing w:after="120" w:line="276" w:lineRule="auto"/>
        <w:contextualSpacing w:val="0"/>
        <w:rPr>
          <w:rFonts w:eastAsia="Times New Roman"/>
          <w:lang w:eastAsia="es-ES"/>
        </w:rPr>
      </w:pPr>
      <w:r>
        <w:t>E</w:t>
      </w:r>
      <w:r w:rsidR="00FF388E" w:rsidRPr="00412054">
        <w:t xml:space="preserve">n </w:t>
      </w:r>
      <w:r w:rsidR="00FF388E" w:rsidRPr="00FF388E">
        <w:rPr>
          <w:rFonts w:eastAsia="Times New Roman"/>
          <w:lang w:eastAsia="es-ES"/>
        </w:rPr>
        <w:t>Juárez, Cadereyta y Montemorelos</w:t>
      </w:r>
      <w:r w:rsidR="00FF388E" w:rsidRPr="00412054">
        <w:t xml:space="preserve">, llegó hasta </w:t>
      </w:r>
      <w:r w:rsidR="00FF388E" w:rsidRPr="00FF388E">
        <w:rPr>
          <w:rFonts w:eastAsia="Times New Roman"/>
          <w:lang w:eastAsia="es-ES"/>
        </w:rPr>
        <w:t>16.67% (</w:t>
      </w:r>
      <w:proofErr w:type="gramStart"/>
      <w:r w:rsidR="00FF388E" w:rsidRPr="00FF388E">
        <w:rPr>
          <w:rFonts w:eastAsia="Times New Roman"/>
          <w:lang w:eastAsia="es-ES"/>
        </w:rPr>
        <w:t>dieciséis punto</w:t>
      </w:r>
      <w:proofErr w:type="gramEnd"/>
      <w:r w:rsidR="00FF388E" w:rsidRPr="00FF388E">
        <w:rPr>
          <w:rFonts w:eastAsia="Times New Roman"/>
          <w:lang w:eastAsia="es-ES"/>
        </w:rPr>
        <w:t xml:space="preserve"> sesenta y siete por ciento),</w:t>
      </w:r>
      <w:r w:rsidR="000D2A64">
        <w:rPr>
          <w:rFonts w:eastAsia="Times New Roman"/>
          <w:lang w:eastAsia="es-ES"/>
        </w:rPr>
        <w:t xml:space="preserve"> </w:t>
      </w:r>
      <w:r w:rsidR="00FF388E" w:rsidRPr="00FF388E">
        <w:rPr>
          <w:rFonts w:eastAsia="Times New Roman"/>
          <w:lang w:eastAsia="es-ES"/>
        </w:rPr>
        <w:t>61.54% (sesenta y uno punto cincuenta y cuatro por ciento) y 57.14% (cincuenta y siete punto catorce por ciento), respectivamente.</w:t>
      </w:r>
      <w:r w:rsidR="00FF388E" w:rsidRPr="00FF388E">
        <w:rPr>
          <w:rFonts w:cs="ITC Avant Garde"/>
          <w:bCs/>
        </w:rPr>
        <w:t xml:space="preserve"> </w:t>
      </w:r>
    </w:p>
    <w:p w:rsidR="006B7103" w:rsidRPr="00A75729" w:rsidRDefault="006B7103" w:rsidP="0043135D">
      <w:pPr>
        <w:keepNext/>
        <w:spacing w:before="360"/>
        <w:ind w:firstLine="709"/>
        <w:rPr>
          <w:rFonts w:eastAsia="Times New Roman"/>
          <w:b/>
          <w:lang w:eastAsia="es-ES"/>
        </w:rPr>
      </w:pPr>
      <w:r w:rsidRPr="00A75729">
        <w:rPr>
          <w:rFonts w:eastAsia="Times New Roman"/>
          <w:b/>
          <w:lang w:eastAsia="es-ES"/>
        </w:rPr>
        <w:t>Disponibilidad de espectro radio</w:t>
      </w:r>
      <w:r w:rsidR="00D067C7" w:rsidRPr="00A75729">
        <w:rPr>
          <w:rFonts w:eastAsia="Times New Roman"/>
          <w:b/>
          <w:lang w:eastAsia="es-ES"/>
        </w:rPr>
        <w:t>eléctrico para el Servicio Evaluado</w:t>
      </w:r>
    </w:p>
    <w:p w:rsidR="006B7103" w:rsidRPr="00412054" w:rsidRDefault="006B7103" w:rsidP="006B7103">
      <w:r w:rsidRPr="00A75729">
        <w:t>Conforme a información proporci</w:t>
      </w:r>
      <w:r w:rsidRPr="00412054">
        <w:t xml:space="preserve">onada por la </w:t>
      </w:r>
      <w:proofErr w:type="spellStart"/>
      <w:r w:rsidRPr="00412054">
        <w:t>UER</w:t>
      </w:r>
      <w:proofErr w:type="spellEnd"/>
      <w:r w:rsidRPr="00412054">
        <w:t>,</w:t>
      </w:r>
      <w:r w:rsidR="00503DB1" w:rsidRPr="00412054">
        <w:rPr>
          <w:rStyle w:val="Refdenotaalpie"/>
          <w:rFonts w:cs="ITC Avant Garde"/>
          <w:bCs/>
        </w:rPr>
        <w:footnoteReference w:id="63"/>
      </w:r>
      <w:r w:rsidRPr="00412054">
        <w:t xml:space="preserve"> existen 3 (tres) frecuencias disponibles para </w:t>
      </w:r>
      <w:r w:rsidR="00D067C7" w:rsidRPr="00412054">
        <w:t xml:space="preserve">el </w:t>
      </w:r>
      <w:proofErr w:type="spellStart"/>
      <w:r w:rsidR="00D067C7" w:rsidRPr="00412054">
        <w:t>SRSAC</w:t>
      </w:r>
      <w:proofErr w:type="spellEnd"/>
      <w:r w:rsidRPr="00412054">
        <w:t xml:space="preserve"> en FM en </w:t>
      </w:r>
      <w:r w:rsidRPr="00412054">
        <w:rPr>
          <w:rFonts w:cs="ITC Avant Garde"/>
          <w:bCs/>
        </w:rPr>
        <w:t>Ojo de Agua</w:t>
      </w:r>
      <w:r w:rsidR="00B07A7D" w:rsidRPr="00412054">
        <w:rPr>
          <w:rFonts w:cs="ITC Avant Garde"/>
          <w:bCs/>
        </w:rPr>
        <w:t xml:space="preserve"> y Montemorelos</w:t>
      </w:r>
      <w:r w:rsidRPr="00412054">
        <w:rPr>
          <w:rFonts w:cs="ITC Avant Garde"/>
          <w:bCs/>
        </w:rPr>
        <w:t>, Nuevo León.</w:t>
      </w:r>
      <w:r w:rsidRPr="00412054">
        <w:rPr>
          <w:rFonts w:cs="Calibri"/>
          <w:vertAlign w:val="superscript"/>
        </w:rPr>
        <w:footnoteReference w:id="64"/>
      </w:r>
      <w:r w:rsidRPr="00412054">
        <w:rPr>
          <w:rFonts w:cs="ITC Avant Garde"/>
          <w:bCs/>
        </w:rPr>
        <w:t xml:space="preserve"> No obstante, </w:t>
      </w:r>
      <w:r w:rsidRPr="00412054">
        <w:t>en los Programas Anuales de Uso y Aprovechamiento de Bandas de Frecuencias 2016 (</w:t>
      </w:r>
      <w:proofErr w:type="spellStart"/>
      <w:r w:rsidRPr="00412054">
        <w:t>PABF</w:t>
      </w:r>
      <w:proofErr w:type="spellEnd"/>
      <w:r w:rsidRPr="00412054">
        <w:t xml:space="preserve"> 2016)</w:t>
      </w:r>
      <w:r w:rsidR="00D067C7" w:rsidRPr="00412054">
        <w:t>,</w:t>
      </w:r>
      <w:r w:rsidRPr="00412054">
        <w:t xml:space="preserve"> 2017 (</w:t>
      </w:r>
      <w:proofErr w:type="spellStart"/>
      <w:r w:rsidRPr="00412054">
        <w:t>PABF</w:t>
      </w:r>
      <w:proofErr w:type="spellEnd"/>
      <w:r w:rsidRPr="00412054">
        <w:t xml:space="preserve"> 2017)</w:t>
      </w:r>
      <w:r w:rsidR="00D067C7" w:rsidRPr="00412054">
        <w:t xml:space="preserve"> y 2018 (</w:t>
      </w:r>
      <w:proofErr w:type="spellStart"/>
      <w:r w:rsidR="00D067C7" w:rsidRPr="00412054">
        <w:t>PABF</w:t>
      </w:r>
      <w:proofErr w:type="spellEnd"/>
      <w:r w:rsidR="00D067C7" w:rsidRPr="00412054">
        <w:t xml:space="preserve"> 2018)</w:t>
      </w:r>
      <w:r w:rsidRPr="00412054">
        <w:rPr>
          <w:rStyle w:val="Refdenotaalpie"/>
        </w:rPr>
        <w:footnoteReference w:id="65"/>
      </w:r>
      <w:r w:rsidRPr="00412054">
        <w:t xml:space="preserve"> no está prevista la licitación de frecuencias de espectro radioeléctrico </w:t>
      </w:r>
      <w:r w:rsidR="00D067C7" w:rsidRPr="00412054">
        <w:t xml:space="preserve">para el </w:t>
      </w:r>
      <w:proofErr w:type="spellStart"/>
      <w:r w:rsidR="00D067C7" w:rsidRPr="00412054">
        <w:t>SRSAC</w:t>
      </w:r>
      <w:proofErr w:type="spellEnd"/>
      <w:r w:rsidR="00D067C7" w:rsidRPr="00412054">
        <w:t xml:space="preserve"> </w:t>
      </w:r>
      <w:r w:rsidRPr="00412054">
        <w:t>en esa localidad. Por ello, es previsible que en el corto o mediano plaz</w:t>
      </w:r>
      <w:r w:rsidR="00D067C7" w:rsidRPr="00412054">
        <w:t xml:space="preserve">os la estructura del Servicio Evaluado </w:t>
      </w:r>
      <w:r w:rsidRPr="00412054">
        <w:t>se mantendrá en los mismos niveles de concentración.</w:t>
      </w:r>
      <w:r w:rsidRPr="00412054">
        <w:rPr>
          <w:rStyle w:val="Refdenotaalpie"/>
        </w:rPr>
        <w:footnoteReference w:id="66"/>
      </w:r>
    </w:p>
    <w:p w:rsidR="00CA1AB2" w:rsidRPr="00A75729" w:rsidRDefault="00B07A7D" w:rsidP="006B7103">
      <w:r w:rsidRPr="00412054">
        <w:t>L</w:t>
      </w:r>
      <w:r w:rsidR="00CA1AB2" w:rsidRPr="00412054">
        <w:t xml:space="preserve">a </w:t>
      </w:r>
      <w:proofErr w:type="spellStart"/>
      <w:r w:rsidR="00CA1AB2" w:rsidRPr="00412054">
        <w:t>UER</w:t>
      </w:r>
      <w:proofErr w:type="spellEnd"/>
      <w:r w:rsidR="00CA1AB2" w:rsidRPr="00412054">
        <w:t xml:space="preserve"> señaló</w:t>
      </w:r>
      <w:r w:rsidR="00503DB1" w:rsidRPr="00412054">
        <w:rPr>
          <w:rStyle w:val="Refdenotaalpie"/>
          <w:rFonts w:cs="ITC Avant Garde"/>
          <w:bCs/>
        </w:rPr>
        <w:footnoteReference w:id="67"/>
      </w:r>
      <w:r w:rsidR="00CA1AB2" w:rsidRPr="00412054">
        <w:t xml:space="preserve"> que no existe disponibilidad de frecuencias para el </w:t>
      </w:r>
      <w:proofErr w:type="spellStart"/>
      <w:r w:rsidR="00CA1AB2" w:rsidRPr="00412054">
        <w:t>SRSAC</w:t>
      </w:r>
      <w:proofErr w:type="spellEnd"/>
      <w:r w:rsidR="00CA1AB2" w:rsidRPr="00412054">
        <w:t xml:space="preserve"> en FM</w:t>
      </w:r>
      <w:r w:rsidRPr="00412054">
        <w:t xml:space="preserve"> en Cadereyta y Juárez</w:t>
      </w:r>
      <w:r w:rsidR="004818A3" w:rsidRPr="00412054">
        <w:t>, Nuevo León</w:t>
      </w:r>
      <w:r w:rsidR="00CA1AB2" w:rsidRPr="00412054">
        <w:t>.</w:t>
      </w:r>
      <w:r w:rsidR="00CA1AB2" w:rsidRPr="00A75729">
        <w:t xml:space="preserve"> </w:t>
      </w:r>
    </w:p>
    <w:p w:rsidR="006B7103" w:rsidRPr="00A75729" w:rsidRDefault="0043126D" w:rsidP="0043126D">
      <w:pPr>
        <w:pStyle w:val="Ttulo6"/>
        <w:spacing w:before="360"/>
        <w:rPr>
          <w:rFonts w:ascii="ITC Avant Garde" w:eastAsia="Times New Roman" w:hAnsi="ITC Avant Garde"/>
          <w:b/>
          <w:color w:val="auto"/>
        </w:rPr>
      </w:pPr>
      <w:r>
        <w:rPr>
          <w:rFonts w:ascii="ITC Avant Garde" w:eastAsia="Times New Roman" w:hAnsi="ITC Avant Garde"/>
          <w:b/>
          <w:color w:val="auto"/>
        </w:rPr>
        <w:t xml:space="preserve">5.4.4.3.5 </w:t>
      </w:r>
      <w:r w:rsidR="006B7103" w:rsidRPr="00A75729">
        <w:rPr>
          <w:rFonts w:ascii="ITC Avant Garde" w:eastAsia="Times New Roman" w:hAnsi="ITC Avant Garde"/>
          <w:b/>
          <w:color w:val="auto"/>
        </w:rPr>
        <w:t>Barreras a la entrada</w:t>
      </w:r>
    </w:p>
    <w:p w:rsidR="0043135D" w:rsidRPr="00A75729" w:rsidRDefault="0043135D" w:rsidP="006B7103">
      <w:pPr>
        <w:rPr>
          <w:rFonts w:eastAsia="Times New Roman"/>
          <w:lang w:eastAsia="es-ES"/>
        </w:rPr>
      </w:pPr>
      <w:r w:rsidRPr="00A75729">
        <w:rPr>
          <w:rFonts w:eastAsia="Times New Roman"/>
          <w:lang w:eastAsia="es-ES"/>
        </w:rPr>
        <w:t>Otro elemento a considerar en el análisis del grado de concentración y poder de mercado en el Servicio Evaluado</w:t>
      </w:r>
      <w:r w:rsidR="00A67BC5">
        <w:rPr>
          <w:rFonts w:eastAsia="Times New Roman"/>
          <w:lang w:eastAsia="es-ES"/>
        </w:rPr>
        <w:t xml:space="preserve">. A manera de referencia, se emplean los criterios </w:t>
      </w:r>
      <w:r w:rsidRPr="00A75729">
        <w:rPr>
          <w:rFonts w:eastAsia="Times New Roman"/>
          <w:lang w:eastAsia="es-ES"/>
        </w:rPr>
        <w:t>contenido</w:t>
      </w:r>
      <w:r w:rsidR="00A67BC5">
        <w:rPr>
          <w:rFonts w:eastAsia="Times New Roman"/>
          <w:lang w:eastAsia="es-ES"/>
        </w:rPr>
        <w:t>s</w:t>
      </w:r>
      <w:r w:rsidRPr="00A75729">
        <w:rPr>
          <w:rFonts w:eastAsia="Times New Roman"/>
          <w:lang w:eastAsia="es-ES"/>
        </w:rPr>
        <w:t xml:space="preserve"> en el artículo 59, fracción II, de la </w:t>
      </w:r>
      <w:proofErr w:type="spellStart"/>
      <w:r w:rsidRPr="00A75729">
        <w:rPr>
          <w:rFonts w:eastAsia="Times New Roman"/>
          <w:lang w:eastAsia="es-ES"/>
        </w:rPr>
        <w:t>LFCE</w:t>
      </w:r>
      <w:proofErr w:type="spellEnd"/>
      <w:r w:rsidRPr="00A75729">
        <w:rPr>
          <w:rFonts w:eastAsia="Times New Roman"/>
          <w:lang w:eastAsia="es-ES"/>
        </w:rPr>
        <w:t>,</w:t>
      </w:r>
      <w:r w:rsidR="003B7DA8" w:rsidRPr="00A75729">
        <w:rPr>
          <w:rFonts w:eastAsia="Times New Roman"/>
          <w:lang w:eastAsia="es-ES"/>
        </w:rPr>
        <w:t xml:space="preserve"> y el artículo 7 de las Disposiciones Regulatorias,</w:t>
      </w:r>
      <w:r w:rsidRPr="00A75729">
        <w:rPr>
          <w:rFonts w:eastAsia="Times New Roman"/>
          <w:lang w:eastAsia="es-ES"/>
        </w:rPr>
        <w:t xml:space="preserve"> </w:t>
      </w:r>
      <w:r w:rsidR="004818A3">
        <w:rPr>
          <w:rFonts w:eastAsia="Times New Roman"/>
          <w:lang w:eastAsia="es-ES"/>
        </w:rPr>
        <w:t xml:space="preserve">en correlación con los artículos 63 y 64 de la </w:t>
      </w:r>
      <w:proofErr w:type="spellStart"/>
      <w:r w:rsidR="004818A3">
        <w:rPr>
          <w:rFonts w:eastAsia="Times New Roman"/>
          <w:lang w:eastAsia="es-ES"/>
        </w:rPr>
        <w:t>LFCE</w:t>
      </w:r>
      <w:proofErr w:type="spellEnd"/>
      <w:r w:rsidR="004818A3">
        <w:rPr>
          <w:rFonts w:eastAsia="Times New Roman"/>
          <w:lang w:eastAsia="es-ES"/>
        </w:rPr>
        <w:t>, los cuales</w:t>
      </w:r>
      <w:r w:rsidRPr="00A75729">
        <w:rPr>
          <w:rFonts w:eastAsia="Times New Roman"/>
          <w:lang w:eastAsia="es-ES"/>
        </w:rPr>
        <w:t xml:space="preserve"> señala</w:t>
      </w:r>
      <w:r w:rsidR="004818A3">
        <w:rPr>
          <w:rFonts w:eastAsia="Times New Roman"/>
          <w:lang w:eastAsia="es-ES"/>
        </w:rPr>
        <w:t>n</w:t>
      </w:r>
      <w:r w:rsidRPr="00A75729">
        <w:rPr>
          <w:rFonts w:eastAsia="Times New Roman"/>
          <w:lang w:eastAsia="es-ES"/>
        </w:rPr>
        <w:t xml:space="preserve"> la identificación de barreras a la entrada.</w:t>
      </w:r>
    </w:p>
    <w:p w:rsidR="00A75519" w:rsidRPr="00A75729" w:rsidRDefault="005F776F" w:rsidP="006B7103">
      <w:pPr>
        <w:ind w:right="48"/>
        <w:rPr>
          <w:rFonts w:eastAsia="Times New Roman"/>
          <w:lang w:eastAsia="es-ES"/>
        </w:rPr>
      </w:pPr>
      <w:r w:rsidRPr="00A75729">
        <w:rPr>
          <w:rFonts w:eastAsia="Times New Roman"/>
          <w:lang w:eastAsia="es-ES"/>
        </w:rPr>
        <w:t>A este respecto, se identifica que l</w:t>
      </w:r>
      <w:r w:rsidR="006B7103" w:rsidRPr="00A75729">
        <w:rPr>
          <w:rFonts w:eastAsia="Times New Roman"/>
          <w:lang w:eastAsia="es-ES"/>
        </w:rPr>
        <w:t xml:space="preserve">os principales costos que enfrentan los </w:t>
      </w:r>
      <w:r w:rsidR="00E60ECF" w:rsidRPr="00A75729">
        <w:rPr>
          <w:rFonts w:eastAsia="Times New Roman"/>
          <w:lang w:eastAsia="es-ES"/>
        </w:rPr>
        <w:t xml:space="preserve">proveedores del </w:t>
      </w:r>
      <w:proofErr w:type="spellStart"/>
      <w:r w:rsidR="00E60ECF" w:rsidRPr="00A75729">
        <w:rPr>
          <w:rFonts w:eastAsia="Times New Roman"/>
          <w:lang w:eastAsia="es-ES"/>
        </w:rPr>
        <w:t>SRSAC</w:t>
      </w:r>
      <w:proofErr w:type="spellEnd"/>
      <w:r w:rsidR="006B7103" w:rsidRPr="00A75729">
        <w:rPr>
          <w:rFonts w:eastAsia="Times New Roman"/>
          <w:lang w:eastAsia="es-ES"/>
        </w:rPr>
        <w:t xml:space="preserve"> están relacionados con la inversión inicial requerida y la generación o adquisición de contenidos, lo que les permite atraer audiencia y, en última instancia, ingresos por la venta de publicidad a los anunciantes.</w:t>
      </w:r>
    </w:p>
    <w:p w:rsidR="005D7CAD" w:rsidRPr="00A75729" w:rsidRDefault="006B7103" w:rsidP="006B7103">
      <w:pPr>
        <w:ind w:right="48"/>
        <w:rPr>
          <w:rFonts w:eastAsia="Times New Roman"/>
          <w:lang w:eastAsia="es-ES"/>
        </w:rPr>
      </w:pPr>
      <w:r w:rsidRPr="00A75729">
        <w:rPr>
          <w:rFonts w:eastAsia="Times New Roman"/>
          <w:lang w:eastAsia="es-ES"/>
        </w:rPr>
        <w:t xml:space="preserve">En estos términos, un </w:t>
      </w:r>
      <w:r w:rsidR="005D7CAD" w:rsidRPr="00A75729">
        <w:rPr>
          <w:rFonts w:eastAsia="Times New Roman"/>
          <w:lang w:eastAsia="es-ES"/>
        </w:rPr>
        <w:t xml:space="preserve">proveedor del </w:t>
      </w:r>
      <w:proofErr w:type="spellStart"/>
      <w:r w:rsidR="005D7CAD" w:rsidRPr="00A75729">
        <w:rPr>
          <w:rFonts w:eastAsia="Times New Roman"/>
          <w:lang w:eastAsia="es-ES"/>
        </w:rPr>
        <w:t>SRSAC</w:t>
      </w:r>
      <w:proofErr w:type="spellEnd"/>
      <w:r w:rsidRPr="00A75729">
        <w:rPr>
          <w:rFonts w:eastAsia="Times New Roman"/>
          <w:lang w:eastAsia="es-ES"/>
        </w:rPr>
        <w:t xml:space="preserve"> requiere de invertir en la generación o </w:t>
      </w:r>
      <w:r w:rsidRPr="00A75729">
        <w:rPr>
          <w:rFonts w:eastAsia="Times New Roman"/>
          <w:b/>
          <w:lang w:eastAsia="es-ES"/>
        </w:rPr>
        <w:t>adquisición de contenidos</w:t>
      </w:r>
      <w:r w:rsidRPr="00A75729">
        <w:rPr>
          <w:rFonts w:eastAsia="Times New Roman"/>
          <w:lang w:eastAsia="es-ES"/>
        </w:rPr>
        <w:t xml:space="preserve"> atractivos para los radioescuchas a fin de incrementar su </w:t>
      </w:r>
      <w:r w:rsidRPr="00A75729">
        <w:rPr>
          <w:rFonts w:eastAsia="Times New Roman"/>
          <w:lang w:eastAsia="es-ES"/>
        </w:rPr>
        <w:lastRenderedPageBreak/>
        <w:t>nivel de audiencia y sus posibilidades de captar ingresos a través de la venta de publicidad a los anunciantes.</w:t>
      </w:r>
    </w:p>
    <w:p w:rsidR="006B7103" w:rsidRPr="00A75729" w:rsidRDefault="006B7103" w:rsidP="006B7103">
      <w:pPr>
        <w:ind w:right="48"/>
        <w:rPr>
          <w:rFonts w:eastAsia="Times New Roman"/>
          <w:lang w:eastAsia="es-ES"/>
        </w:rPr>
      </w:pPr>
      <w:r w:rsidRPr="00A75729">
        <w:rPr>
          <w:rFonts w:eastAsia="Times New Roman"/>
          <w:lang w:eastAsia="es-ES"/>
        </w:rPr>
        <w:t xml:space="preserve">Por el lado de los radioescuchas, los </w:t>
      </w:r>
      <w:r w:rsidR="00A64EBE" w:rsidRPr="00A75729">
        <w:rPr>
          <w:rFonts w:eastAsia="Times New Roman"/>
          <w:lang w:eastAsia="es-ES"/>
        </w:rPr>
        <w:t xml:space="preserve">proveedores del </w:t>
      </w:r>
      <w:proofErr w:type="spellStart"/>
      <w:r w:rsidR="00A64EBE" w:rsidRPr="00A75729">
        <w:rPr>
          <w:rFonts w:eastAsia="Times New Roman"/>
          <w:lang w:eastAsia="es-ES"/>
        </w:rPr>
        <w:t>SRSAC</w:t>
      </w:r>
      <w:proofErr w:type="spellEnd"/>
      <w:r w:rsidRPr="00A75729">
        <w:rPr>
          <w:rFonts w:eastAsia="Times New Roman"/>
          <w:lang w:eastAsia="es-ES"/>
        </w:rPr>
        <w:t xml:space="preserve"> utilizan solamente el espectro radioeléctrico como canal de transmisión para entregar el servicio; sin embargo, es de señalar que el espectro radioeléctrico empleado por las estaciones de radio</w:t>
      </w:r>
      <w:r w:rsidR="00A64EBE" w:rsidRPr="00A75729">
        <w:rPr>
          <w:rFonts w:eastAsia="Times New Roman"/>
          <w:lang w:eastAsia="es-ES"/>
        </w:rPr>
        <w:t>difusión</w:t>
      </w:r>
      <w:r w:rsidRPr="00A75729">
        <w:rPr>
          <w:rFonts w:eastAsia="Times New Roman"/>
          <w:lang w:eastAsia="es-ES"/>
        </w:rPr>
        <w:t xml:space="preserve"> es un recurso limitado.</w:t>
      </w:r>
    </w:p>
    <w:p w:rsidR="006B7103" w:rsidRPr="00A75729" w:rsidRDefault="006B7103" w:rsidP="006B7103">
      <w:pPr>
        <w:ind w:right="48"/>
        <w:rPr>
          <w:rFonts w:eastAsia="Times New Roman"/>
          <w:lang w:eastAsia="es-ES"/>
        </w:rPr>
      </w:pPr>
      <w:r w:rsidRPr="00A75729">
        <w:rPr>
          <w:rFonts w:eastAsia="Times New Roman"/>
          <w:lang w:eastAsia="es-ES"/>
        </w:rPr>
        <w:t>De esta manera</w:t>
      </w:r>
      <w:r w:rsidR="00A64EBE" w:rsidRPr="00A75729">
        <w:rPr>
          <w:rFonts w:eastAsia="Times New Roman"/>
          <w:lang w:eastAsia="es-ES"/>
        </w:rPr>
        <w:t>,</w:t>
      </w:r>
      <w:r w:rsidRPr="00A75729">
        <w:rPr>
          <w:rFonts w:eastAsia="Times New Roman"/>
          <w:lang w:eastAsia="es-ES"/>
        </w:rPr>
        <w:t xml:space="preserve"> la necesidad de contar con espectro radioeléctrico es una barrera a la entrada a la provisión del </w:t>
      </w:r>
      <w:proofErr w:type="spellStart"/>
      <w:r w:rsidR="00A64EBE" w:rsidRPr="00A75729">
        <w:rPr>
          <w:rFonts w:eastAsia="Times New Roman"/>
          <w:lang w:eastAsia="es-ES"/>
        </w:rPr>
        <w:t>SRSAC</w:t>
      </w:r>
      <w:proofErr w:type="spellEnd"/>
      <w:r w:rsidR="00A64EBE" w:rsidRPr="00A75729">
        <w:rPr>
          <w:rFonts w:eastAsia="Times New Roman"/>
          <w:lang w:eastAsia="es-ES"/>
        </w:rPr>
        <w:t xml:space="preserve"> </w:t>
      </w:r>
      <w:r w:rsidRPr="00A75729">
        <w:rPr>
          <w:rFonts w:eastAsia="Times New Roman"/>
          <w:lang w:eastAsia="es-ES"/>
        </w:rPr>
        <w:t xml:space="preserve">debido a que dicho espectro puede ser usado indistintamente por estaciones </w:t>
      </w:r>
      <w:r w:rsidR="00A64EBE" w:rsidRPr="00A75729">
        <w:rPr>
          <w:rFonts w:eastAsia="Times New Roman"/>
          <w:lang w:eastAsia="es-ES"/>
        </w:rPr>
        <w:t xml:space="preserve">del servicio </w:t>
      </w:r>
      <w:r w:rsidRPr="00A75729">
        <w:rPr>
          <w:rFonts w:eastAsia="Times New Roman"/>
          <w:lang w:eastAsia="es-ES"/>
        </w:rPr>
        <w:t>comercial o estaciones de</w:t>
      </w:r>
      <w:r w:rsidR="00A64EBE" w:rsidRPr="00A75729">
        <w:rPr>
          <w:rFonts w:eastAsia="Times New Roman"/>
          <w:lang w:eastAsia="es-ES"/>
        </w:rPr>
        <w:t xml:space="preserve">l servicio </w:t>
      </w:r>
      <w:r w:rsidRPr="00A75729">
        <w:rPr>
          <w:rFonts w:eastAsia="Times New Roman"/>
          <w:lang w:eastAsia="es-ES"/>
        </w:rPr>
        <w:t>públic</w:t>
      </w:r>
      <w:r w:rsidR="00A64EBE" w:rsidRPr="00A75729">
        <w:rPr>
          <w:rFonts w:eastAsia="Times New Roman"/>
          <w:lang w:eastAsia="es-ES"/>
        </w:rPr>
        <w:t>o</w:t>
      </w:r>
      <w:r w:rsidRPr="00A75729">
        <w:rPr>
          <w:rFonts w:eastAsia="Times New Roman"/>
          <w:lang w:eastAsia="es-ES"/>
        </w:rPr>
        <w:t xml:space="preserve"> o social, por lo que </w:t>
      </w:r>
      <w:r w:rsidR="00A64EBE" w:rsidRPr="00A75729">
        <w:rPr>
          <w:rFonts w:eastAsia="Times New Roman"/>
          <w:lang w:eastAsia="es-ES"/>
        </w:rPr>
        <w:t xml:space="preserve">la </w:t>
      </w:r>
      <w:r w:rsidR="00A64EBE" w:rsidRPr="00A75729">
        <w:rPr>
          <w:rFonts w:eastAsia="Times New Roman"/>
          <w:b/>
          <w:lang w:eastAsia="es-ES"/>
        </w:rPr>
        <w:t>disponibilidad de frecuencias del espectro radioeléctrico</w:t>
      </w:r>
      <w:r w:rsidRPr="00A75729">
        <w:rPr>
          <w:rFonts w:eastAsia="Times New Roman"/>
          <w:lang w:eastAsia="es-ES"/>
        </w:rPr>
        <w:t xml:space="preserve">, en este sentido, afecta la provisión del </w:t>
      </w:r>
      <w:proofErr w:type="spellStart"/>
      <w:r w:rsidR="00A64EBE" w:rsidRPr="00A75729">
        <w:rPr>
          <w:rFonts w:eastAsia="Times New Roman"/>
          <w:lang w:eastAsia="es-ES"/>
        </w:rPr>
        <w:t>SRSAC</w:t>
      </w:r>
      <w:proofErr w:type="spellEnd"/>
      <w:r w:rsidRPr="00A75729">
        <w:rPr>
          <w:rFonts w:eastAsia="Times New Roman"/>
          <w:lang w:eastAsia="es-ES"/>
        </w:rPr>
        <w:t>.</w:t>
      </w:r>
    </w:p>
    <w:p w:rsidR="006B7103" w:rsidRPr="00A75729" w:rsidRDefault="006B7103" w:rsidP="006B7103">
      <w:r w:rsidRPr="00A75729">
        <w:t xml:space="preserve">La </w:t>
      </w:r>
      <w:r w:rsidRPr="00A75729">
        <w:rPr>
          <w:b/>
        </w:rPr>
        <w:t>inversión inicial</w:t>
      </w:r>
      <w:r w:rsidRPr="00A75729">
        <w:t xml:space="preserve"> requerida para instalar una estación de radio</w:t>
      </w:r>
      <w:r w:rsidR="00A64EBE" w:rsidRPr="00A75729">
        <w:t>difusión sonora</w:t>
      </w:r>
      <w:r w:rsidRPr="00A75729">
        <w:t xml:space="preserve"> es el principal costo en que incurre un </w:t>
      </w:r>
      <w:r w:rsidR="00A64EBE" w:rsidRPr="00A75729">
        <w:t xml:space="preserve">proveedor del </w:t>
      </w:r>
      <w:proofErr w:type="spellStart"/>
      <w:r w:rsidR="00A64EBE" w:rsidRPr="00A75729">
        <w:t>SRSAC</w:t>
      </w:r>
      <w:proofErr w:type="spellEnd"/>
      <w:r w:rsidRPr="00A75729">
        <w:t>.</w:t>
      </w:r>
      <w:r w:rsidR="00A64EBE" w:rsidRPr="00A75729">
        <w:t xml:space="preserve"> </w:t>
      </w:r>
      <w:r w:rsidRPr="00A75729">
        <w:t xml:space="preserve">Al respecto, el artículo 72 de la </w:t>
      </w:r>
      <w:proofErr w:type="spellStart"/>
      <w:r w:rsidRPr="00A75729">
        <w:t>LFTR</w:t>
      </w:r>
      <w:proofErr w:type="spellEnd"/>
      <w:r w:rsidRPr="00A75729">
        <w:t xml:space="preserve"> establece que las concesiones para proveer servicios de radiodifusión se otorgarán por un plazo de hasta 30 (treinta) años y podrán ser prorrogadas por plazos iguales.</w:t>
      </w:r>
      <w:r w:rsidRPr="00A75729">
        <w:rPr>
          <w:vertAlign w:val="superscript"/>
        </w:rPr>
        <w:footnoteReference w:id="68"/>
      </w:r>
      <w:r w:rsidRPr="00A75729">
        <w:t xml:space="preserve"> De esta forma, el tiempo estimado por un concesionario para recuperar la inversión inicial debe ser menor que el período de tiempo autorizado por la concesión, sin perjuicio de que el concesionario obtenga una prórroga.</w:t>
      </w:r>
    </w:p>
    <w:p w:rsidR="006B7103" w:rsidRPr="00A75729" w:rsidRDefault="006B7103" w:rsidP="006B7103">
      <w:r w:rsidRPr="00A75729">
        <w:t>Por otro lado, parte de la infraestructura y equipo utilizados en la operación de estaciones de radio</w:t>
      </w:r>
      <w:r w:rsidR="00A64EBE" w:rsidRPr="00A75729">
        <w:t>difusión sonora</w:t>
      </w:r>
      <w:r w:rsidRPr="00A75729">
        <w:t xml:space="preserve"> es altamente especializado, lo cual limita su uso únicamente a la operación de </w:t>
      </w:r>
      <w:r w:rsidR="00A64EBE" w:rsidRPr="00A75729">
        <w:t xml:space="preserve">ese tipo de </w:t>
      </w:r>
      <w:r w:rsidRPr="00A75729">
        <w:t xml:space="preserve">estaciones. Así, sería ausente o escasa la rentabilidad de la infraestructura y equipo utilizada para instalar y operar estaciones de </w:t>
      </w:r>
      <w:r w:rsidR="00A64EBE" w:rsidRPr="00A75729">
        <w:t>radiodifusión sonora</w:t>
      </w:r>
      <w:r w:rsidRPr="00A75729">
        <w:t xml:space="preserve"> en caso de emplearlos en procesos alternativos.</w:t>
      </w:r>
    </w:p>
    <w:p w:rsidR="00A64EBE" w:rsidRPr="00A75729" w:rsidRDefault="00A64EBE" w:rsidP="00A64EBE">
      <w:pPr>
        <w:tabs>
          <w:tab w:val="left" w:pos="426"/>
        </w:tabs>
        <w:rPr>
          <w:rFonts w:cs="Arial"/>
        </w:rPr>
      </w:pPr>
      <w:r w:rsidRPr="00A75729">
        <w:rPr>
          <w:rFonts w:cs="Arial"/>
        </w:rPr>
        <w:t xml:space="preserve">En cuanto a requerimientos normativos, el artículo 54 de la </w:t>
      </w:r>
      <w:proofErr w:type="spellStart"/>
      <w:r w:rsidRPr="00A75729">
        <w:rPr>
          <w:rFonts w:cs="Arial"/>
        </w:rPr>
        <w:t>LFTR</w:t>
      </w:r>
      <w:proofErr w:type="spellEnd"/>
      <w:r w:rsidRPr="00A75729">
        <w:rPr>
          <w:rFonts w:cs="Arial"/>
        </w:rPr>
        <w:t xml:space="preserve"> establece que el espectro radioeléctrico es un bien del dominio público de la Nación, cuya titularidad y administración corresponden al Estado. Por su parte, </w:t>
      </w:r>
      <w:r w:rsidR="006B7103" w:rsidRPr="00A75729">
        <w:rPr>
          <w:rFonts w:cs="Arial"/>
        </w:rPr>
        <w:t xml:space="preserve">el artículo 66 de la </w:t>
      </w:r>
      <w:proofErr w:type="spellStart"/>
      <w:r w:rsidR="006B7103" w:rsidRPr="00A75729">
        <w:rPr>
          <w:rFonts w:cs="Arial"/>
        </w:rPr>
        <w:t>LFTR</w:t>
      </w:r>
      <w:proofErr w:type="spellEnd"/>
      <w:r w:rsidR="006B7103" w:rsidRPr="00A75729">
        <w:rPr>
          <w:rFonts w:cs="Arial"/>
        </w:rPr>
        <w:t xml:space="preserve"> señala que se requiere concesión para prestar cualquier servicio de radiodifusión.</w:t>
      </w:r>
    </w:p>
    <w:p w:rsidR="006B7103" w:rsidRPr="00A75729" w:rsidRDefault="00A64EBE" w:rsidP="00A64EBE">
      <w:pPr>
        <w:tabs>
          <w:tab w:val="left" w:pos="426"/>
        </w:tabs>
        <w:rPr>
          <w:rFonts w:cs="Arial"/>
        </w:rPr>
      </w:pPr>
      <w:r w:rsidRPr="00A75729">
        <w:rPr>
          <w:rFonts w:cs="Arial"/>
        </w:rPr>
        <w:t>Es decir,</w:t>
      </w:r>
      <w:r w:rsidR="006B7103" w:rsidRPr="00A75729">
        <w:rPr>
          <w:rFonts w:cs="Arial"/>
        </w:rPr>
        <w:t xml:space="preserve"> el </w:t>
      </w:r>
      <w:proofErr w:type="spellStart"/>
      <w:r w:rsidR="006B7103" w:rsidRPr="00A75729">
        <w:rPr>
          <w:rFonts w:cs="Arial"/>
        </w:rPr>
        <w:t>SRSAC</w:t>
      </w:r>
      <w:proofErr w:type="spellEnd"/>
      <w:r w:rsidR="006B7103" w:rsidRPr="00A75729">
        <w:rPr>
          <w:rFonts w:cs="Arial"/>
        </w:rPr>
        <w:t xml:space="preserve"> solamente se puede prestar al amparo de concesiones </w:t>
      </w:r>
      <w:r w:rsidRPr="00A75729">
        <w:rPr>
          <w:rFonts w:cs="Arial"/>
        </w:rPr>
        <w:t>d</w:t>
      </w:r>
      <w:r w:rsidR="006B7103" w:rsidRPr="00A75729">
        <w:rPr>
          <w:rFonts w:cs="Arial"/>
        </w:rPr>
        <w:t xml:space="preserve">e espectro radioeléctrico. En este sentido, la necesidad de contar con una concesión para proveer dicho servicio representa una fuerte </w:t>
      </w:r>
      <w:r w:rsidR="006B7103" w:rsidRPr="00A75729">
        <w:rPr>
          <w:rFonts w:cs="Arial"/>
          <w:b/>
        </w:rPr>
        <w:t xml:space="preserve">barrera a la entrada </w:t>
      </w:r>
      <w:r w:rsidRPr="00A75729">
        <w:rPr>
          <w:rFonts w:cs="Arial"/>
          <w:b/>
        </w:rPr>
        <w:t xml:space="preserve">de carácter </w:t>
      </w:r>
      <w:r w:rsidR="006B7103" w:rsidRPr="00A75729">
        <w:rPr>
          <w:rFonts w:cs="Arial"/>
          <w:b/>
        </w:rPr>
        <w:t>normativa</w:t>
      </w:r>
      <w:r w:rsidR="006B7103" w:rsidRPr="00A75729">
        <w:rPr>
          <w:rFonts w:cs="Arial"/>
        </w:rPr>
        <w:t xml:space="preserve">. Cabe señalar que el espectro asignado por el Estado para la prestación del </w:t>
      </w:r>
      <w:proofErr w:type="spellStart"/>
      <w:r w:rsidR="006B7103" w:rsidRPr="00A75729">
        <w:rPr>
          <w:rFonts w:cs="Arial"/>
        </w:rPr>
        <w:t>SRSAC</w:t>
      </w:r>
      <w:proofErr w:type="spellEnd"/>
      <w:r w:rsidR="006B7103" w:rsidRPr="00A75729">
        <w:rPr>
          <w:rFonts w:cs="Arial"/>
        </w:rPr>
        <w:t xml:space="preserve"> es limitado y, por lo tanto, el acceso a </w:t>
      </w:r>
      <w:r w:rsidRPr="00A75729">
        <w:rPr>
          <w:rFonts w:cs="Arial"/>
        </w:rPr>
        <w:t>la provisión de ese servicio</w:t>
      </w:r>
      <w:r w:rsidR="006B7103" w:rsidRPr="00A75729">
        <w:rPr>
          <w:rFonts w:cs="Arial"/>
        </w:rPr>
        <w:t xml:space="preserve"> por parte de nuevos competidores está sujeto a la disponibilidad del insumo referido en cada localidad.</w:t>
      </w:r>
    </w:p>
    <w:p w:rsidR="006B7103" w:rsidRPr="00A75729" w:rsidRDefault="006B7103" w:rsidP="006B7103">
      <w:pPr>
        <w:rPr>
          <w:rFonts w:cs="Arial"/>
          <w:color w:val="000000" w:themeColor="text1"/>
        </w:rPr>
      </w:pPr>
      <w:r w:rsidRPr="00A75729">
        <w:rPr>
          <w:rFonts w:cs="Arial"/>
        </w:rPr>
        <w:lastRenderedPageBreak/>
        <w:t xml:space="preserve">Por otra parte, el artículo 28 de la </w:t>
      </w:r>
      <w:proofErr w:type="spellStart"/>
      <w:r w:rsidRPr="00A75729">
        <w:rPr>
          <w:rFonts w:cs="Arial"/>
        </w:rPr>
        <w:t>CPEUM</w:t>
      </w:r>
      <w:proofErr w:type="spellEnd"/>
      <w:r w:rsidRPr="00A75729">
        <w:rPr>
          <w:rFonts w:cs="Arial"/>
        </w:rPr>
        <w:t xml:space="preserve"> establece que las concesiones sobre el espectro radioeléctrico para uso comercial solamente podrán otorgarse mediante licitación pública</w:t>
      </w:r>
      <w:r w:rsidR="0035662A" w:rsidRPr="00A75729">
        <w:rPr>
          <w:rFonts w:cs="Arial"/>
        </w:rPr>
        <w:t>, por lo que l</w:t>
      </w:r>
      <w:r w:rsidRPr="00A75729">
        <w:rPr>
          <w:rFonts w:cs="Arial"/>
        </w:rPr>
        <w:t xml:space="preserve">os operadores que deseen participar por primera vez en el </w:t>
      </w:r>
      <w:r w:rsidR="0035662A" w:rsidRPr="00A75729">
        <w:rPr>
          <w:rFonts w:cs="Arial"/>
        </w:rPr>
        <w:t>S</w:t>
      </w:r>
      <w:r w:rsidRPr="00A75729">
        <w:rPr>
          <w:rFonts w:eastAsia="Times New Roman"/>
          <w:lang w:eastAsia="es-ES"/>
        </w:rPr>
        <w:t xml:space="preserve">ervicio </w:t>
      </w:r>
      <w:r w:rsidR="0035662A" w:rsidRPr="00A75729">
        <w:rPr>
          <w:rFonts w:eastAsia="Times New Roman"/>
          <w:lang w:eastAsia="es-ES"/>
        </w:rPr>
        <w:t>Evaluado</w:t>
      </w:r>
      <w:r w:rsidRPr="00A75729">
        <w:rPr>
          <w:rFonts w:cs="Arial"/>
        </w:rPr>
        <w:t xml:space="preserve">, después de resultar ganadores de procesos de licitación, deberán realizar los trámites necesarios e instalar la infraestructura para que la estación de radio concesionada comience a operar. </w:t>
      </w:r>
      <w:r w:rsidRPr="00A75729">
        <w:rPr>
          <w:rFonts w:cs="Arial"/>
          <w:color w:val="000000" w:themeColor="text1"/>
        </w:rPr>
        <w:t xml:space="preserve">Lo anterior implica una </w:t>
      </w:r>
      <w:r w:rsidRPr="00A75729">
        <w:rPr>
          <w:rFonts w:cs="Arial"/>
          <w:b/>
          <w:color w:val="000000" w:themeColor="text1"/>
        </w:rPr>
        <w:t>inversión de tiempo</w:t>
      </w:r>
      <w:r w:rsidRPr="00A75729">
        <w:rPr>
          <w:rFonts w:cs="Arial"/>
          <w:color w:val="000000" w:themeColor="text1"/>
        </w:rPr>
        <w:t xml:space="preserve"> que los nuevos concesionarios deberán realizar antes de participar en la provisión del </w:t>
      </w:r>
      <w:proofErr w:type="spellStart"/>
      <w:r w:rsidRPr="00A75729">
        <w:rPr>
          <w:rFonts w:cs="Arial"/>
        </w:rPr>
        <w:t>SRSAC</w:t>
      </w:r>
      <w:proofErr w:type="spellEnd"/>
      <w:r w:rsidRPr="00A75729">
        <w:rPr>
          <w:rFonts w:cs="Arial"/>
          <w:color w:val="000000" w:themeColor="text1"/>
        </w:rPr>
        <w:t>.</w:t>
      </w:r>
    </w:p>
    <w:p w:rsidR="006B7103" w:rsidRPr="00A75729" w:rsidRDefault="006B7103" w:rsidP="006B7103">
      <w:pPr>
        <w:rPr>
          <w:rFonts w:cs="Arial"/>
        </w:rPr>
      </w:pPr>
      <w:r w:rsidRPr="00A75729">
        <w:rPr>
          <w:rFonts w:cs="Arial"/>
        </w:rPr>
        <w:t>Adicionalmente, se debe contar con espectro radioeléctrico disponible en la localidad donde se quiera participar. Una vez identificado el espectro disponible, se debe esperar a que la autoridad lo licite para tener posibilidades de entrar al servicio.</w:t>
      </w:r>
    </w:p>
    <w:p w:rsidR="006B7103" w:rsidRPr="00A75729" w:rsidRDefault="006B7103" w:rsidP="006B7103">
      <w:pPr>
        <w:spacing w:after="0"/>
        <w:rPr>
          <w:rFonts w:cs="Arial"/>
        </w:rPr>
      </w:pPr>
      <w:r w:rsidRPr="00A75729">
        <w:rPr>
          <w:rFonts w:cs="Arial"/>
        </w:rPr>
        <w:t xml:space="preserve">A este respecto, </w:t>
      </w:r>
      <w:r w:rsidR="0035662A" w:rsidRPr="00A75729">
        <w:rPr>
          <w:rFonts w:cs="Arial"/>
        </w:rPr>
        <w:t xml:space="preserve">como se mencionó anteriormente, actualmente </w:t>
      </w:r>
      <w:r w:rsidR="0035662A" w:rsidRPr="00A75729">
        <w:t xml:space="preserve">existen 3 (tres) frecuencias disponibles para estaciones de radiodifusión sonora en FM en </w:t>
      </w:r>
      <w:r w:rsidR="0035662A" w:rsidRPr="00A75729">
        <w:rPr>
          <w:rFonts w:cs="ITC Avant Garde"/>
          <w:bCs/>
        </w:rPr>
        <w:t>Ojo de Agua</w:t>
      </w:r>
      <w:r w:rsidR="004818A3">
        <w:rPr>
          <w:rFonts w:cs="ITC Avant Garde"/>
          <w:bCs/>
        </w:rPr>
        <w:t xml:space="preserve"> y Montemorelos</w:t>
      </w:r>
      <w:r w:rsidR="0035662A" w:rsidRPr="00A75729">
        <w:rPr>
          <w:rFonts w:cs="ITC Avant Garde"/>
          <w:bCs/>
        </w:rPr>
        <w:t>, Nuevo León</w:t>
      </w:r>
      <w:r w:rsidR="004818A3">
        <w:rPr>
          <w:rFonts w:cs="ITC Avant Garde"/>
          <w:bCs/>
        </w:rPr>
        <w:t>, y no existe disponibilidad en Juárez y Cadereyta</w:t>
      </w:r>
      <w:r w:rsidR="0035662A" w:rsidRPr="00A75729">
        <w:rPr>
          <w:rFonts w:cs="ITC Avant Garde"/>
          <w:bCs/>
        </w:rPr>
        <w:t xml:space="preserve">. </w:t>
      </w:r>
      <w:r w:rsidR="004818A3">
        <w:t>E</w:t>
      </w:r>
      <w:r w:rsidR="0035662A" w:rsidRPr="00A75729">
        <w:t xml:space="preserve">n los </w:t>
      </w:r>
      <w:proofErr w:type="spellStart"/>
      <w:r w:rsidR="0035662A" w:rsidRPr="00A75729">
        <w:t>PABFs</w:t>
      </w:r>
      <w:proofErr w:type="spellEnd"/>
      <w:r w:rsidR="0035662A" w:rsidRPr="00A75729">
        <w:t xml:space="preserve"> 2016 a 2018, no está prevista la licitación de frecuencias de espectro radioeléctrico para la provisión del </w:t>
      </w:r>
      <w:proofErr w:type="spellStart"/>
      <w:r w:rsidR="0035662A" w:rsidRPr="00A75729">
        <w:t>SRSAC</w:t>
      </w:r>
      <w:proofErr w:type="spellEnd"/>
      <w:r w:rsidR="0035662A" w:rsidRPr="00A75729">
        <w:t xml:space="preserve"> en FM en esa</w:t>
      </w:r>
      <w:r w:rsidR="004818A3">
        <w:t>s</w:t>
      </w:r>
      <w:r w:rsidR="0035662A" w:rsidRPr="00A75729">
        <w:t xml:space="preserve"> localidad</w:t>
      </w:r>
      <w:r w:rsidR="004818A3">
        <w:t>es</w:t>
      </w:r>
      <w:r w:rsidRPr="00A75729">
        <w:t xml:space="preserve">. </w:t>
      </w:r>
    </w:p>
    <w:p w:rsidR="006B7103" w:rsidRPr="00A75729" w:rsidRDefault="0035662A" w:rsidP="006B7103">
      <w:pPr>
        <w:rPr>
          <w:rFonts w:eastAsia="Times New Roman"/>
          <w:i/>
          <w:lang w:eastAsia="es-ES"/>
        </w:rPr>
      </w:pPr>
      <w:r w:rsidRPr="00A75729">
        <w:rPr>
          <w:rFonts w:eastAsia="Times New Roman"/>
          <w:lang w:eastAsia="es-ES"/>
        </w:rPr>
        <w:t>Respecto a las inversiones requeridas en publicidad, s</w:t>
      </w:r>
      <w:r w:rsidR="006B7103" w:rsidRPr="00A75729">
        <w:rPr>
          <w:rFonts w:eastAsia="Times New Roman"/>
          <w:lang w:eastAsia="es-ES"/>
        </w:rPr>
        <w:t xml:space="preserve">i bien los operadores </w:t>
      </w:r>
      <w:r w:rsidRPr="00A75729">
        <w:rPr>
          <w:rFonts w:eastAsia="Times New Roman"/>
          <w:lang w:eastAsia="es-ES"/>
        </w:rPr>
        <w:t xml:space="preserve">del </w:t>
      </w:r>
      <w:proofErr w:type="spellStart"/>
      <w:r w:rsidRPr="00A75729">
        <w:rPr>
          <w:rFonts w:eastAsia="Times New Roman"/>
          <w:lang w:eastAsia="es-ES"/>
        </w:rPr>
        <w:t>SRSAC</w:t>
      </w:r>
      <w:proofErr w:type="spellEnd"/>
      <w:r w:rsidRPr="00A75729">
        <w:rPr>
          <w:rFonts w:eastAsia="Times New Roman"/>
          <w:lang w:eastAsia="es-ES"/>
        </w:rPr>
        <w:t xml:space="preserve"> cuentan</w:t>
      </w:r>
      <w:r w:rsidR="006B7103" w:rsidRPr="00A75729">
        <w:rPr>
          <w:rFonts w:eastAsia="Times New Roman"/>
          <w:lang w:eastAsia="es-ES"/>
        </w:rPr>
        <w:t xml:space="preserve"> con diversos medios publicitarios para posicionarse en el servicio de publicidad radiodifundida</w:t>
      </w:r>
      <w:r w:rsidRPr="00A75729">
        <w:rPr>
          <w:rFonts w:eastAsia="Times New Roman"/>
          <w:lang w:eastAsia="es-ES"/>
        </w:rPr>
        <w:t xml:space="preserve"> sonora</w:t>
      </w:r>
      <w:r w:rsidR="006B7103" w:rsidRPr="00A75729">
        <w:rPr>
          <w:rFonts w:eastAsia="Times New Roman"/>
          <w:lang w:eastAsia="es-ES"/>
        </w:rPr>
        <w:t>, el principal elemento que les permite atraer anunciantes es el nivel de audiencia con que cuenta cada estación de radio</w:t>
      </w:r>
      <w:r w:rsidRPr="00A75729">
        <w:rPr>
          <w:rFonts w:eastAsia="Times New Roman"/>
          <w:lang w:eastAsia="es-ES"/>
        </w:rPr>
        <w:t>difusión</w:t>
      </w:r>
      <w:r w:rsidR="006B7103" w:rsidRPr="00A75729">
        <w:rPr>
          <w:rFonts w:eastAsia="Times New Roman"/>
          <w:lang w:eastAsia="es-ES"/>
        </w:rPr>
        <w:t xml:space="preserve">. Tal como se precisó previamente, dicha característica es propia de los mercados de dos lados </w:t>
      </w:r>
      <w:r w:rsidRPr="00A75729">
        <w:rPr>
          <w:rFonts w:eastAsia="Times New Roman"/>
          <w:lang w:eastAsia="es-ES"/>
        </w:rPr>
        <w:t xml:space="preserve">como es el caso del </w:t>
      </w:r>
      <w:proofErr w:type="spellStart"/>
      <w:r w:rsidRPr="00A75729">
        <w:rPr>
          <w:rFonts w:eastAsia="Times New Roman"/>
          <w:lang w:eastAsia="es-ES"/>
        </w:rPr>
        <w:t>SRSAC</w:t>
      </w:r>
      <w:proofErr w:type="spellEnd"/>
      <w:r w:rsidR="006B7103" w:rsidRPr="00A75729">
        <w:rPr>
          <w:rFonts w:eastAsia="Times New Roman"/>
          <w:lang w:eastAsia="es-ES"/>
        </w:rPr>
        <w:t>. En estos términos, un operador de una estación de radio</w:t>
      </w:r>
      <w:r w:rsidRPr="00A75729">
        <w:rPr>
          <w:rFonts w:eastAsia="Times New Roman"/>
          <w:lang w:eastAsia="es-ES"/>
        </w:rPr>
        <w:t>difusión</w:t>
      </w:r>
      <w:r w:rsidR="006B7103" w:rsidRPr="00A75729">
        <w:rPr>
          <w:rFonts w:eastAsia="Times New Roman"/>
          <w:lang w:eastAsia="es-ES"/>
        </w:rPr>
        <w:t xml:space="preserve"> requiere de </w:t>
      </w:r>
      <w:r w:rsidR="006B7103" w:rsidRPr="00A75729">
        <w:rPr>
          <w:rFonts w:eastAsia="Times New Roman"/>
          <w:b/>
          <w:lang w:eastAsia="es-ES"/>
        </w:rPr>
        <w:t>invertir en la generación o adquisición de contenidos atractivos</w:t>
      </w:r>
      <w:r w:rsidR="006B7103" w:rsidRPr="00A75729">
        <w:rPr>
          <w:rFonts w:eastAsia="Times New Roman"/>
          <w:lang w:eastAsia="es-ES"/>
        </w:rPr>
        <w:t xml:space="preserve"> para los radioescuchas a fin de incrementar su nivel de audiencia. </w:t>
      </w:r>
    </w:p>
    <w:p w:rsidR="0035662A" w:rsidRPr="00A75729" w:rsidRDefault="0035662A" w:rsidP="0035662A">
      <w:pPr>
        <w:rPr>
          <w:rFonts w:eastAsia="Times New Roman"/>
          <w:lang w:eastAsia="es-ES"/>
        </w:rPr>
      </w:pPr>
      <w:r w:rsidRPr="00A75729">
        <w:rPr>
          <w:rFonts w:eastAsia="Times New Roman"/>
          <w:lang w:eastAsia="es-ES"/>
        </w:rPr>
        <w:t xml:space="preserve">En cuanto a prácticas realizadas por Agentes Económicos que se constituyan en restricciones a la libre concurrencia en la provisión del </w:t>
      </w:r>
      <w:proofErr w:type="spellStart"/>
      <w:r w:rsidRPr="00A75729">
        <w:rPr>
          <w:rFonts w:eastAsia="Times New Roman"/>
          <w:lang w:eastAsia="es-ES"/>
        </w:rPr>
        <w:t>SRSAC</w:t>
      </w:r>
      <w:proofErr w:type="spellEnd"/>
      <w:r w:rsidRPr="00A75729">
        <w:rPr>
          <w:rFonts w:eastAsia="Times New Roman"/>
          <w:lang w:eastAsia="es-ES"/>
        </w:rPr>
        <w:t xml:space="preserve"> en </w:t>
      </w:r>
      <w:r w:rsidRPr="00A75729">
        <w:rPr>
          <w:rFonts w:cs="ITC Avant Garde"/>
          <w:bCs/>
        </w:rPr>
        <w:t>Ojo de Agua, Nuevo León, no se identifica la existencia de éstas</w:t>
      </w:r>
      <w:r w:rsidRPr="00A75729">
        <w:rPr>
          <w:rFonts w:cs="Arial"/>
        </w:rPr>
        <w:t>.</w:t>
      </w:r>
    </w:p>
    <w:p w:rsidR="006B7103" w:rsidRPr="00A75729" w:rsidRDefault="0035662A" w:rsidP="006B7103">
      <w:r w:rsidRPr="00A75729">
        <w:rPr>
          <w:rFonts w:eastAsia="Times New Roman"/>
          <w:lang w:eastAsia="es-ES"/>
        </w:rPr>
        <w:t>Finalmente, e</w:t>
      </w:r>
      <w:r w:rsidR="006B7103" w:rsidRPr="00A75729">
        <w:t xml:space="preserve">l artículo 28 de la </w:t>
      </w:r>
      <w:proofErr w:type="spellStart"/>
      <w:r w:rsidR="006B7103" w:rsidRPr="00A75729">
        <w:t>CPEUM</w:t>
      </w:r>
      <w:proofErr w:type="spellEnd"/>
      <w:r w:rsidR="006B7103" w:rsidRPr="00A75729">
        <w:t xml:space="preserve"> establece, en su párrafo décimo séptimo, que corresponde al Instituto el otorgamiento y la revocación de concesiones en materia de radiodifusión y telecomunicaciones. Por otra parte, el párrafo décimo sexto del mismo artículo establece que, como autoridad en materia de competencia económica en los sectores de radiodifusión y telecomunicaciones, el Instituto ejercerá sus facultades con el objeto de eliminar eficazmente las barreras a la competencia y libre concurrencia.</w:t>
      </w:r>
    </w:p>
    <w:p w:rsidR="006B7103" w:rsidRPr="00A75729" w:rsidRDefault="006B7103" w:rsidP="006B7103">
      <w:r w:rsidRPr="00A75729">
        <w:t>En estos términos, es mandato constitucional que el otorgamiento de concesiones para operar estaciones de radio</w:t>
      </w:r>
      <w:r w:rsidR="0035662A" w:rsidRPr="00A75729">
        <w:t>difusión sonora</w:t>
      </w:r>
      <w:r w:rsidRPr="00A75729">
        <w:t xml:space="preserve"> se realice sin incurrir en actos discriminatorios en favor de ciertos concesionarios.</w:t>
      </w:r>
    </w:p>
    <w:p w:rsidR="006B7103" w:rsidRPr="00A75729" w:rsidRDefault="0043126D" w:rsidP="0043126D">
      <w:pPr>
        <w:pStyle w:val="Ttulo6"/>
        <w:spacing w:before="360"/>
        <w:rPr>
          <w:rFonts w:ascii="ITC Avant Garde" w:eastAsia="Times New Roman" w:hAnsi="ITC Avant Garde"/>
          <w:b/>
          <w:color w:val="auto"/>
        </w:rPr>
      </w:pPr>
      <w:r>
        <w:rPr>
          <w:rFonts w:ascii="ITC Avant Garde" w:eastAsia="Times New Roman" w:hAnsi="ITC Avant Garde"/>
          <w:b/>
          <w:color w:val="auto"/>
        </w:rPr>
        <w:lastRenderedPageBreak/>
        <w:t xml:space="preserve">5.4.4.3.6 </w:t>
      </w:r>
      <w:r w:rsidR="006B7103" w:rsidRPr="00A75729">
        <w:rPr>
          <w:rFonts w:ascii="ITC Avant Garde" w:eastAsia="Times New Roman" w:hAnsi="ITC Avant Garde"/>
          <w:b/>
          <w:color w:val="auto"/>
        </w:rPr>
        <w:t>Competidores</w:t>
      </w:r>
    </w:p>
    <w:p w:rsidR="0035662A" w:rsidRPr="00A75729" w:rsidRDefault="004C0778" w:rsidP="0035662A">
      <w:pPr>
        <w:rPr>
          <w:rFonts w:eastAsia="Times New Roman"/>
          <w:lang w:eastAsia="es-ES"/>
        </w:rPr>
      </w:pPr>
      <w:r w:rsidRPr="00A75729">
        <w:rPr>
          <w:rFonts w:eastAsia="Times New Roman"/>
          <w:lang w:eastAsia="es-ES"/>
        </w:rPr>
        <w:t>Conforme a los criterios establecidos en la sección 5.</w:t>
      </w:r>
      <w:r w:rsidR="00767A8A">
        <w:rPr>
          <w:rFonts w:eastAsia="Times New Roman"/>
          <w:lang w:eastAsia="es-ES"/>
        </w:rPr>
        <w:t>4</w:t>
      </w:r>
      <w:r w:rsidRPr="00A75729">
        <w:rPr>
          <w:rFonts w:eastAsia="Times New Roman"/>
          <w:lang w:eastAsia="es-ES"/>
        </w:rPr>
        <w:t>.4.1 de esta resolución</w:t>
      </w:r>
      <w:r w:rsidR="0035662A" w:rsidRPr="00A75729">
        <w:rPr>
          <w:rFonts w:eastAsia="Times New Roman"/>
          <w:lang w:eastAsia="es-ES"/>
        </w:rPr>
        <w:t xml:space="preserve">, </w:t>
      </w:r>
      <w:r w:rsidRPr="00A75729">
        <w:rPr>
          <w:rFonts w:eastAsia="Times New Roman"/>
          <w:lang w:eastAsia="es-ES"/>
        </w:rPr>
        <w:t>la identificación de los efectos de la Operación requiere que se</w:t>
      </w:r>
      <w:r w:rsidR="0035662A" w:rsidRPr="00A75729">
        <w:rPr>
          <w:rFonts w:eastAsia="Times New Roman"/>
          <w:lang w:eastAsia="es-ES"/>
        </w:rPr>
        <w:t xml:space="preserve"> consider</w:t>
      </w:r>
      <w:r w:rsidRPr="00A75729">
        <w:rPr>
          <w:rFonts w:eastAsia="Times New Roman"/>
          <w:lang w:eastAsia="es-ES"/>
        </w:rPr>
        <w:t>e</w:t>
      </w:r>
      <w:r w:rsidR="0035662A" w:rsidRPr="00A75729">
        <w:rPr>
          <w:rFonts w:eastAsia="Times New Roman"/>
          <w:lang w:eastAsia="es-ES"/>
        </w:rPr>
        <w:t xml:space="preserve"> la existencia de </w:t>
      </w:r>
      <w:r w:rsidRPr="00A75729">
        <w:rPr>
          <w:rFonts w:eastAsia="Times New Roman"/>
          <w:lang w:eastAsia="es-ES"/>
        </w:rPr>
        <w:t xml:space="preserve">otros participantes </w:t>
      </w:r>
      <w:r w:rsidR="0035662A" w:rsidRPr="00A75729">
        <w:rPr>
          <w:rFonts w:eastAsia="Times New Roman"/>
          <w:lang w:eastAsia="es-ES"/>
        </w:rPr>
        <w:t xml:space="preserve">y su </w:t>
      </w:r>
      <w:r w:rsidRPr="00A75729">
        <w:rPr>
          <w:rFonts w:eastAsia="Times New Roman"/>
          <w:lang w:eastAsia="es-ES"/>
        </w:rPr>
        <w:t>capacidad de competir</w:t>
      </w:r>
      <w:r w:rsidR="0035662A" w:rsidRPr="00A75729">
        <w:rPr>
          <w:rFonts w:eastAsia="Times New Roman"/>
          <w:lang w:eastAsia="es-ES"/>
        </w:rPr>
        <w:t xml:space="preserve"> en el Servicio Evaluado</w:t>
      </w:r>
      <w:r w:rsidRPr="00A75729">
        <w:rPr>
          <w:rFonts w:eastAsia="Times New Roman"/>
          <w:lang w:eastAsia="es-ES"/>
        </w:rPr>
        <w:t xml:space="preserve"> frente al agente económico que resulta de la Operación</w:t>
      </w:r>
      <w:r w:rsidR="0035662A" w:rsidRPr="00A75729">
        <w:rPr>
          <w:rFonts w:eastAsia="Times New Roman"/>
          <w:lang w:eastAsia="es-ES"/>
        </w:rPr>
        <w:t xml:space="preserve">. </w:t>
      </w:r>
    </w:p>
    <w:p w:rsidR="00872744" w:rsidRPr="00A75729" w:rsidRDefault="004E2367" w:rsidP="004E2367">
      <w:pPr>
        <w:rPr>
          <w:rFonts w:cs="ITC Avant Garde"/>
          <w:bCs/>
        </w:rPr>
      </w:pPr>
      <w:r w:rsidRPr="00A75729">
        <w:rPr>
          <w:rFonts w:eastAsia="Times New Roman"/>
          <w:lang w:eastAsia="es-ES"/>
        </w:rPr>
        <w:t xml:space="preserve">Como se mencionó anteriormente, </w:t>
      </w:r>
      <w:r w:rsidR="00872744" w:rsidRPr="00A75729">
        <w:rPr>
          <w:rFonts w:eastAsia="Times New Roman"/>
          <w:lang w:eastAsia="es-ES"/>
        </w:rPr>
        <w:t>antes de la Operación existían 4 (cuatro) Agentes Económicos diferentes en la provisión del Servicio Evaluado</w:t>
      </w:r>
      <w:r w:rsidR="00B07A7D" w:rsidRPr="00A75729">
        <w:rPr>
          <w:rFonts w:eastAsia="Times New Roman"/>
          <w:lang w:eastAsia="es-ES"/>
        </w:rPr>
        <w:t xml:space="preserve"> en Ojo de Agua</w:t>
      </w:r>
      <w:r w:rsidR="00872744" w:rsidRPr="00A75729">
        <w:rPr>
          <w:rFonts w:eastAsia="Times New Roman"/>
          <w:lang w:eastAsia="es-ES"/>
        </w:rPr>
        <w:t xml:space="preserve">. En virtud de la Operación, </w:t>
      </w:r>
      <w:r w:rsidR="00872744" w:rsidRPr="00A75729">
        <w:rPr>
          <w:rFonts w:cs="ITC Avant Garde"/>
          <w:bCs/>
        </w:rPr>
        <w:t xml:space="preserve">el número de competidores en el Servicio Evaluado se redujo de </w:t>
      </w:r>
      <w:r w:rsidR="00B25CA7" w:rsidRPr="00A75729">
        <w:rPr>
          <w:rFonts w:cs="ITC Avant Garde"/>
          <w:bCs/>
        </w:rPr>
        <w:t>4</w:t>
      </w:r>
      <w:r w:rsidR="00872744" w:rsidRPr="00A75729">
        <w:rPr>
          <w:rFonts w:cs="ITC Avant Garde"/>
          <w:bCs/>
        </w:rPr>
        <w:t xml:space="preserve"> (</w:t>
      </w:r>
      <w:r w:rsidR="00B25CA7" w:rsidRPr="00A75729">
        <w:rPr>
          <w:rFonts w:cs="ITC Avant Garde"/>
          <w:bCs/>
        </w:rPr>
        <w:t>cuatro</w:t>
      </w:r>
      <w:r w:rsidR="00872744" w:rsidRPr="00A75729">
        <w:rPr>
          <w:rFonts w:cs="ITC Avant Garde"/>
          <w:bCs/>
        </w:rPr>
        <w:t xml:space="preserve">) a </w:t>
      </w:r>
      <w:r w:rsidR="00B25CA7" w:rsidRPr="00A75729">
        <w:rPr>
          <w:rFonts w:cs="ITC Avant Garde"/>
          <w:bCs/>
        </w:rPr>
        <w:t>3</w:t>
      </w:r>
      <w:r w:rsidR="00872744" w:rsidRPr="00A75729">
        <w:rPr>
          <w:rFonts w:cs="ITC Avant Garde"/>
          <w:bCs/>
        </w:rPr>
        <w:t xml:space="preserve"> (</w:t>
      </w:r>
      <w:r w:rsidR="00B25CA7" w:rsidRPr="00A75729">
        <w:rPr>
          <w:rFonts w:cs="ITC Avant Garde"/>
          <w:bCs/>
        </w:rPr>
        <w:t>tres</w:t>
      </w:r>
      <w:r w:rsidR="00872744" w:rsidRPr="00A75729">
        <w:rPr>
          <w:rFonts w:cs="ITC Avant Garde"/>
          <w:bCs/>
        </w:rPr>
        <w:t>)</w:t>
      </w:r>
      <w:r w:rsidR="00B25CA7" w:rsidRPr="00A75729">
        <w:rPr>
          <w:rFonts w:cs="ITC Avant Garde"/>
          <w:bCs/>
        </w:rPr>
        <w:t>;</w:t>
      </w:r>
      <w:r w:rsidR="00872744" w:rsidRPr="00A75729">
        <w:rPr>
          <w:rFonts w:cs="ITC Avant Garde"/>
          <w:bCs/>
        </w:rPr>
        <w:t xml:space="preserve"> la participación </w:t>
      </w:r>
      <w:r w:rsidR="00BF0B35" w:rsidRPr="00A75729">
        <w:rPr>
          <w:rFonts w:eastAsia="Times New Roman"/>
          <w:lang w:eastAsia="es-ES"/>
        </w:rPr>
        <w:t>en términos del número de estaciones</w:t>
      </w:r>
      <w:r w:rsidR="00BF0B35" w:rsidRPr="00A75729">
        <w:rPr>
          <w:rFonts w:cs="ITC Avant Garde"/>
          <w:bCs/>
        </w:rPr>
        <w:t xml:space="preserve"> </w:t>
      </w:r>
      <w:r w:rsidR="00872744" w:rsidRPr="00A75729">
        <w:rPr>
          <w:rFonts w:cs="ITC Avant Garde"/>
          <w:bCs/>
        </w:rPr>
        <w:t xml:space="preserve">que alcanzó el </w:t>
      </w:r>
      <w:proofErr w:type="spellStart"/>
      <w:r w:rsidR="00872744" w:rsidRPr="00A75729">
        <w:rPr>
          <w:rFonts w:cs="ITC Avant Garde"/>
          <w:bCs/>
        </w:rPr>
        <w:t>GIE</w:t>
      </w:r>
      <w:proofErr w:type="spellEnd"/>
      <w:r w:rsidR="00872744" w:rsidRPr="00A75729">
        <w:rPr>
          <w:rFonts w:cs="ITC Avant Garde"/>
          <w:bCs/>
        </w:rPr>
        <w:t xml:space="preserve"> Grupo Multimedios </w:t>
      </w:r>
      <w:r w:rsidR="00B25CA7" w:rsidRPr="00A75729">
        <w:rPr>
          <w:rFonts w:cs="ITC Avant Garde"/>
          <w:bCs/>
        </w:rPr>
        <w:t>es de 50% (cincuenta por ciento)</w:t>
      </w:r>
      <w:r w:rsidR="00D74EAA">
        <w:rPr>
          <w:rFonts w:cs="ITC Avant Garde"/>
          <w:bCs/>
        </w:rPr>
        <w:t xml:space="preserve"> considerando la información proporcionada por las Partes y por la </w:t>
      </w:r>
      <w:proofErr w:type="spellStart"/>
      <w:r w:rsidR="00D74EAA">
        <w:rPr>
          <w:rFonts w:cs="ITC Avant Garde"/>
          <w:bCs/>
        </w:rPr>
        <w:t>UER</w:t>
      </w:r>
      <w:proofErr w:type="spellEnd"/>
      <w:r w:rsidR="00872744" w:rsidRPr="00A75729">
        <w:rPr>
          <w:rFonts w:cs="ITC Avant Garde"/>
          <w:bCs/>
        </w:rPr>
        <w:t>.</w:t>
      </w:r>
    </w:p>
    <w:p w:rsidR="00D74EAA" w:rsidRDefault="00B25CA7" w:rsidP="00D74EAA">
      <w:pPr>
        <w:rPr>
          <w:rFonts w:eastAsia="Times New Roman"/>
          <w:lang w:eastAsia="es-ES"/>
        </w:rPr>
      </w:pPr>
      <w:r w:rsidRPr="00A75729">
        <w:rPr>
          <w:rFonts w:cs="ITC Avant Garde"/>
          <w:bCs/>
        </w:rPr>
        <w:t>En las localidades adicionales evaluadas: Juárez, Cadereyta y Montemorelos, e</w:t>
      </w:r>
      <w:r w:rsidRPr="00A75729">
        <w:rPr>
          <w:rFonts w:eastAsia="Times New Roman"/>
          <w:lang w:eastAsia="es-ES"/>
        </w:rPr>
        <w:t>n virtud de la Operación,</w:t>
      </w:r>
    </w:p>
    <w:p w:rsidR="00B25CA7" w:rsidRPr="00412054" w:rsidRDefault="00D74EAA" w:rsidP="00D74EAA">
      <w:pPr>
        <w:pStyle w:val="Prrafodelista"/>
        <w:numPr>
          <w:ilvl w:val="0"/>
          <w:numId w:val="56"/>
        </w:numPr>
        <w:spacing w:after="120" w:line="276" w:lineRule="auto"/>
        <w:ind w:left="426"/>
        <w:contextualSpacing w:val="0"/>
      </w:pPr>
      <w:r w:rsidRPr="00D74EAA">
        <w:rPr>
          <w:rFonts w:cs="ITC Avant Garde"/>
          <w:bCs/>
        </w:rPr>
        <w:t>Considerando la información proporcionada por las Partes,</w:t>
      </w:r>
      <w:r w:rsidR="00B25CA7" w:rsidRPr="00D74EAA">
        <w:rPr>
          <w:rFonts w:eastAsia="Times New Roman"/>
          <w:lang w:eastAsia="es-ES"/>
        </w:rPr>
        <w:t xml:space="preserve"> </w:t>
      </w:r>
      <w:r w:rsidR="00B25CA7" w:rsidRPr="00D74EAA">
        <w:rPr>
          <w:rFonts w:cs="ITC Avant Garde"/>
          <w:bCs/>
        </w:rPr>
        <w:t>el número de competidores</w:t>
      </w:r>
      <w:r w:rsidR="00B25CA7" w:rsidRPr="00A75729">
        <w:t xml:space="preserve"> se redujo de 8</w:t>
      </w:r>
      <w:r w:rsidR="00FE471F" w:rsidRPr="00A75729">
        <w:t xml:space="preserve"> (ocho)</w:t>
      </w:r>
      <w:r w:rsidR="00401C48" w:rsidRPr="00A75729">
        <w:t xml:space="preserve"> a 7 (siete)</w:t>
      </w:r>
      <w:r w:rsidR="00B25CA7" w:rsidRPr="00A75729">
        <w:t xml:space="preserve">, de </w:t>
      </w:r>
      <w:r w:rsidR="002F5734" w:rsidRPr="00D74EAA">
        <w:rPr>
          <w:rFonts w:cs="ITC Avant Garde"/>
          <w:bCs/>
        </w:rPr>
        <w:t>4 (cuatro) a 3 (tres)</w:t>
      </w:r>
      <w:r w:rsidR="00FE471F" w:rsidRPr="00A75729">
        <w:t xml:space="preserve"> </w:t>
      </w:r>
      <w:r w:rsidR="00B25CA7" w:rsidRPr="00A75729">
        <w:t>y de 4</w:t>
      </w:r>
      <w:r w:rsidR="00FE471F" w:rsidRPr="00A75729">
        <w:t xml:space="preserve"> (cuatro)</w:t>
      </w:r>
      <w:r w:rsidR="00B25CA7" w:rsidRPr="00A75729">
        <w:t xml:space="preserve"> a 3</w:t>
      </w:r>
      <w:r w:rsidR="00FE471F" w:rsidRPr="00A75729">
        <w:t xml:space="preserve"> (tres)</w:t>
      </w:r>
      <w:r w:rsidR="00B25CA7" w:rsidRPr="00A75729">
        <w:t xml:space="preserve">, respectivamente; </w:t>
      </w:r>
      <w:r>
        <w:t xml:space="preserve">y </w:t>
      </w:r>
      <w:r w:rsidR="00B25CA7" w:rsidRPr="00A75729">
        <w:t xml:space="preserve">la participación </w:t>
      </w:r>
      <w:r w:rsidR="00BF0B35" w:rsidRPr="00D74EAA">
        <w:rPr>
          <w:rFonts w:eastAsia="Times New Roman"/>
          <w:lang w:eastAsia="es-ES"/>
        </w:rPr>
        <w:t>en términos del número de estaciones</w:t>
      </w:r>
      <w:r w:rsidR="00BF0B35" w:rsidRPr="00A75729">
        <w:t xml:space="preserve"> </w:t>
      </w:r>
      <w:r w:rsidR="00B25CA7" w:rsidRPr="00A75729">
        <w:t xml:space="preserve">del </w:t>
      </w:r>
      <w:proofErr w:type="spellStart"/>
      <w:r w:rsidR="00B25CA7" w:rsidRPr="00A75729">
        <w:t>GIE</w:t>
      </w:r>
      <w:proofErr w:type="spellEnd"/>
      <w:r w:rsidR="00B25CA7" w:rsidRPr="00A75729">
        <w:t xml:space="preserve"> Grupo Multimedios se incrementó a</w:t>
      </w:r>
      <w:r w:rsidR="00401C48" w:rsidRPr="00A75729">
        <w:t xml:space="preserve"> </w:t>
      </w:r>
      <w:r w:rsidR="002F5734" w:rsidRPr="00A75729">
        <w:t>44.44</w:t>
      </w:r>
      <w:r w:rsidR="00401C48" w:rsidRPr="00A75729">
        <w:t>% (</w:t>
      </w:r>
      <w:r w:rsidR="002F5734" w:rsidRPr="00A75729">
        <w:t xml:space="preserve">cuarenta y </w:t>
      </w:r>
      <w:proofErr w:type="gramStart"/>
      <w:r w:rsidR="002F5734" w:rsidRPr="00A75729">
        <w:t>cuatro punto</w:t>
      </w:r>
      <w:proofErr w:type="gramEnd"/>
      <w:r w:rsidR="002F5734" w:rsidRPr="00A75729">
        <w:t xml:space="preserve"> cuarenta y cuatro</w:t>
      </w:r>
      <w:r w:rsidR="00401C48" w:rsidRPr="00A75729">
        <w:t xml:space="preserve"> por ciento)</w:t>
      </w:r>
      <w:r w:rsidR="00B25CA7" w:rsidRPr="00A75729">
        <w:t>, a 50.00% (cincuenta por ciento) y a 5</w:t>
      </w:r>
      <w:r w:rsidR="002F5734" w:rsidRPr="00A75729">
        <w:t>0.00</w:t>
      </w:r>
      <w:r w:rsidR="00B25CA7" w:rsidRPr="00A75729">
        <w:t xml:space="preserve">% (cincuenta por ciento), </w:t>
      </w:r>
      <w:r w:rsidR="00B25CA7" w:rsidRPr="00412054">
        <w:t>respectivamente.</w:t>
      </w:r>
    </w:p>
    <w:p w:rsidR="00D74EAA" w:rsidRPr="00412054" w:rsidRDefault="00D74EAA" w:rsidP="00D74EAA">
      <w:pPr>
        <w:pStyle w:val="Prrafodelista"/>
        <w:numPr>
          <w:ilvl w:val="0"/>
          <w:numId w:val="56"/>
        </w:numPr>
        <w:spacing w:after="120" w:line="276" w:lineRule="auto"/>
        <w:ind w:left="426"/>
        <w:contextualSpacing w:val="0"/>
      </w:pPr>
      <w:r w:rsidRPr="00412054">
        <w:rPr>
          <w:rFonts w:cs="ITC Avant Garde"/>
          <w:bCs/>
        </w:rPr>
        <w:t xml:space="preserve">Considerando la información proporcionada por la </w:t>
      </w:r>
      <w:proofErr w:type="spellStart"/>
      <w:r w:rsidRPr="00412054">
        <w:rPr>
          <w:rFonts w:cs="ITC Avant Garde"/>
          <w:bCs/>
        </w:rPr>
        <w:t>UER</w:t>
      </w:r>
      <w:proofErr w:type="spellEnd"/>
      <w:r w:rsidRPr="00412054">
        <w:rPr>
          <w:rFonts w:cs="ITC Avant Garde"/>
          <w:bCs/>
        </w:rPr>
        <w:t>,</w:t>
      </w:r>
      <w:r w:rsidRPr="00412054">
        <w:rPr>
          <w:rFonts w:eastAsia="Times New Roman"/>
          <w:lang w:eastAsia="es-ES"/>
        </w:rPr>
        <w:t xml:space="preserve"> </w:t>
      </w:r>
      <w:r w:rsidRPr="00412054">
        <w:t xml:space="preserve">la participación </w:t>
      </w:r>
      <w:r w:rsidRPr="00412054">
        <w:rPr>
          <w:rFonts w:eastAsia="Times New Roman"/>
          <w:lang w:eastAsia="es-ES"/>
        </w:rPr>
        <w:t>en términos del número de estaciones</w:t>
      </w:r>
      <w:r w:rsidRPr="00412054">
        <w:t xml:space="preserve"> del </w:t>
      </w:r>
      <w:proofErr w:type="spellStart"/>
      <w:r w:rsidRPr="00412054">
        <w:t>GIE</w:t>
      </w:r>
      <w:proofErr w:type="spellEnd"/>
      <w:r w:rsidRPr="00412054">
        <w:t xml:space="preserve"> Grupo Multimedios se incrementó </w:t>
      </w:r>
      <w:r w:rsidR="00503DB1" w:rsidRPr="00412054">
        <w:t xml:space="preserve">hasta </w:t>
      </w:r>
      <w:r w:rsidR="00503DB1" w:rsidRPr="00412054">
        <w:rPr>
          <w:rFonts w:eastAsia="Times New Roman"/>
          <w:lang w:eastAsia="es-ES"/>
        </w:rPr>
        <w:t>16.67% (</w:t>
      </w:r>
      <w:proofErr w:type="gramStart"/>
      <w:r w:rsidR="00503DB1" w:rsidRPr="00412054">
        <w:rPr>
          <w:rFonts w:eastAsia="Times New Roman"/>
          <w:lang w:eastAsia="es-ES"/>
        </w:rPr>
        <w:t>dieciséis punto</w:t>
      </w:r>
      <w:proofErr w:type="gramEnd"/>
      <w:r w:rsidR="00503DB1" w:rsidRPr="00412054">
        <w:rPr>
          <w:rFonts w:eastAsia="Times New Roman"/>
          <w:lang w:eastAsia="es-ES"/>
        </w:rPr>
        <w:t xml:space="preserve"> sesenta y siete por ciento), 61.54% (sesenta y uno punto cincuenta y cuatro por ciento) y 57.14% (cincuenta y siete punto catorce por ciento), </w:t>
      </w:r>
      <w:r w:rsidRPr="00412054">
        <w:rPr>
          <w:rFonts w:eastAsia="Times New Roman"/>
          <w:lang w:eastAsia="es-ES"/>
        </w:rPr>
        <w:t>respectivamente</w:t>
      </w:r>
      <w:r w:rsidRPr="00412054">
        <w:t>.</w:t>
      </w:r>
      <w:r w:rsidR="0039475C" w:rsidRPr="00412054">
        <w:rPr>
          <w:rFonts w:eastAsia="Times New Roman"/>
          <w:lang w:eastAsia="es-ES"/>
        </w:rPr>
        <w:t xml:space="preserve"> </w:t>
      </w:r>
    </w:p>
    <w:p w:rsidR="006B7103" w:rsidRPr="00A75729" w:rsidRDefault="0043126D" w:rsidP="0043126D">
      <w:pPr>
        <w:pStyle w:val="Ttulo6"/>
        <w:spacing w:before="360"/>
        <w:rPr>
          <w:rFonts w:ascii="ITC Avant Garde" w:eastAsia="Times New Roman" w:hAnsi="ITC Avant Garde"/>
          <w:b/>
          <w:color w:val="auto"/>
        </w:rPr>
      </w:pPr>
      <w:r>
        <w:rPr>
          <w:rFonts w:ascii="ITC Avant Garde" w:eastAsia="Times New Roman" w:hAnsi="ITC Avant Garde"/>
          <w:b/>
          <w:color w:val="auto"/>
        </w:rPr>
        <w:t xml:space="preserve">5.4.4.3.7 </w:t>
      </w:r>
      <w:r w:rsidR="006B7103" w:rsidRPr="00A75729">
        <w:rPr>
          <w:rFonts w:ascii="ITC Avant Garde" w:eastAsia="Times New Roman" w:hAnsi="ITC Avant Garde"/>
          <w:b/>
          <w:color w:val="auto"/>
        </w:rPr>
        <w:t>Acceso a insumos</w:t>
      </w:r>
      <w:r w:rsidR="004C0778" w:rsidRPr="00A75729">
        <w:rPr>
          <w:rFonts w:ascii="ITC Avant Garde" w:eastAsia="Times New Roman" w:hAnsi="ITC Avant Garde"/>
          <w:b/>
          <w:color w:val="auto"/>
        </w:rPr>
        <w:t xml:space="preserve"> — espectro radioeléctrico</w:t>
      </w:r>
    </w:p>
    <w:p w:rsidR="006B7103" w:rsidRPr="00A75729" w:rsidRDefault="00FE471F" w:rsidP="006B7103">
      <w:pPr>
        <w:rPr>
          <w:rFonts w:eastAsia="Times New Roman"/>
          <w:lang w:eastAsia="es-ES"/>
        </w:rPr>
      </w:pPr>
      <w:r w:rsidRPr="00A75729">
        <w:rPr>
          <w:rFonts w:eastAsia="Times New Roman"/>
          <w:lang w:eastAsia="es-ES"/>
        </w:rPr>
        <w:t>Respecto a las posibilidades de acceso a fuentes de insumos, c</w:t>
      </w:r>
      <w:r w:rsidR="006B7103" w:rsidRPr="00A75729">
        <w:rPr>
          <w:rFonts w:eastAsia="Times New Roman"/>
          <w:lang w:eastAsia="es-ES"/>
        </w:rPr>
        <w:t xml:space="preserve">omo se mencionó anteriormente, el principal insumo para la </w:t>
      </w:r>
      <w:r w:rsidRPr="00A75729">
        <w:rPr>
          <w:rFonts w:eastAsia="Times New Roman"/>
          <w:lang w:eastAsia="es-ES"/>
        </w:rPr>
        <w:t xml:space="preserve">provisión del </w:t>
      </w:r>
      <w:proofErr w:type="spellStart"/>
      <w:r w:rsidRPr="00A75729">
        <w:rPr>
          <w:rFonts w:eastAsia="Times New Roman"/>
          <w:lang w:eastAsia="es-ES"/>
        </w:rPr>
        <w:t>SRSAC</w:t>
      </w:r>
      <w:proofErr w:type="spellEnd"/>
      <w:r w:rsidRPr="00A75729">
        <w:rPr>
          <w:rFonts w:eastAsia="Times New Roman"/>
          <w:lang w:eastAsia="es-ES"/>
        </w:rPr>
        <w:t xml:space="preserve"> </w:t>
      </w:r>
      <w:r w:rsidR="006B7103" w:rsidRPr="00A75729">
        <w:rPr>
          <w:rFonts w:eastAsia="Times New Roman"/>
          <w:lang w:eastAsia="es-ES"/>
        </w:rPr>
        <w:t>es el espectro radioeléctrico. Una de las principales características del espectro radioeléctrico es su escasez, por lo que existe un número limitado de frecuencias del espectro radioeléctrico que pueden ser utilizadas para este fin</w:t>
      </w:r>
      <w:r w:rsidRPr="00A75729">
        <w:rPr>
          <w:rFonts w:eastAsia="Times New Roman"/>
          <w:lang w:eastAsia="es-ES"/>
        </w:rPr>
        <w:t xml:space="preserve"> en una localidad determinada</w:t>
      </w:r>
      <w:r w:rsidR="006B7103" w:rsidRPr="00A75729">
        <w:rPr>
          <w:rFonts w:eastAsia="Times New Roman"/>
          <w:lang w:eastAsia="es-ES"/>
        </w:rPr>
        <w:t>.</w:t>
      </w:r>
    </w:p>
    <w:p w:rsidR="006B7103" w:rsidRPr="00A75729" w:rsidRDefault="006B7103" w:rsidP="006B7103">
      <w:pPr>
        <w:rPr>
          <w:rFonts w:eastAsia="Times New Roman"/>
          <w:lang w:eastAsia="es-ES"/>
        </w:rPr>
      </w:pPr>
      <w:r w:rsidRPr="00A75729">
        <w:rPr>
          <w:rFonts w:eastAsia="Times New Roman"/>
          <w:lang w:eastAsia="es-ES"/>
        </w:rPr>
        <w:t xml:space="preserve">En la actualidad </w:t>
      </w:r>
      <w:r w:rsidR="00FE471F" w:rsidRPr="00A75729">
        <w:rPr>
          <w:rFonts w:eastAsia="Times New Roman"/>
          <w:lang w:eastAsia="es-ES"/>
        </w:rPr>
        <w:t>l</w:t>
      </w:r>
      <w:r w:rsidRPr="00A75729">
        <w:rPr>
          <w:rFonts w:eastAsia="Times New Roman"/>
          <w:lang w:eastAsia="es-ES"/>
        </w:rPr>
        <w:t xml:space="preserve">os operadores pueden acceder a obtener una cantidad de este recurso a través de </w:t>
      </w:r>
      <w:r w:rsidR="00FE471F" w:rsidRPr="00A75729">
        <w:rPr>
          <w:rFonts w:eastAsia="Times New Roman"/>
          <w:lang w:eastAsia="es-ES"/>
        </w:rPr>
        <w:t>2 (</w:t>
      </w:r>
      <w:r w:rsidRPr="00A75729">
        <w:rPr>
          <w:rFonts w:eastAsia="Times New Roman"/>
          <w:lang w:eastAsia="es-ES"/>
        </w:rPr>
        <w:t>dos</w:t>
      </w:r>
      <w:r w:rsidR="00FE471F" w:rsidRPr="00A75729">
        <w:rPr>
          <w:rFonts w:eastAsia="Times New Roman"/>
          <w:lang w:eastAsia="es-ES"/>
        </w:rPr>
        <w:t>)</w:t>
      </w:r>
      <w:r w:rsidRPr="00A75729">
        <w:rPr>
          <w:rFonts w:eastAsia="Times New Roman"/>
          <w:lang w:eastAsia="es-ES"/>
        </w:rPr>
        <w:t xml:space="preserve"> medios:</w:t>
      </w:r>
    </w:p>
    <w:p w:rsidR="006B7103" w:rsidRPr="00A75729" w:rsidRDefault="006B7103" w:rsidP="006A7D5F">
      <w:pPr>
        <w:numPr>
          <w:ilvl w:val="0"/>
          <w:numId w:val="35"/>
        </w:numPr>
        <w:ind w:left="426" w:hanging="425"/>
        <w:rPr>
          <w:rFonts w:eastAsia="Times New Roman"/>
          <w:lang w:eastAsia="es-ES"/>
        </w:rPr>
      </w:pPr>
      <w:r w:rsidRPr="00A75729">
        <w:rPr>
          <w:rFonts w:eastAsia="Times New Roman"/>
          <w:lang w:eastAsia="es-ES"/>
        </w:rPr>
        <w:t xml:space="preserve">Licitaciones públicas, y </w:t>
      </w:r>
    </w:p>
    <w:p w:rsidR="006B7103" w:rsidRPr="00A75729" w:rsidRDefault="006B7103" w:rsidP="006A7D5F">
      <w:pPr>
        <w:numPr>
          <w:ilvl w:val="0"/>
          <w:numId w:val="35"/>
        </w:numPr>
        <w:ind w:left="426" w:hanging="425"/>
        <w:rPr>
          <w:rFonts w:eastAsia="Times New Roman"/>
          <w:lang w:eastAsia="es-ES"/>
        </w:rPr>
      </w:pPr>
      <w:r w:rsidRPr="00A75729">
        <w:rPr>
          <w:rFonts w:eastAsia="Times New Roman"/>
          <w:lang w:eastAsia="es-ES"/>
        </w:rPr>
        <w:t xml:space="preserve">Cesiones de concesiones o enajenaciones de acciones de operadores </w:t>
      </w:r>
      <w:r w:rsidRPr="00A75729">
        <w:rPr>
          <w:rFonts w:eastAsia="Times New Roman"/>
          <w:color w:val="000000" w:themeColor="text1"/>
          <w:lang w:eastAsia="es-ES"/>
        </w:rPr>
        <w:t xml:space="preserve">que </w:t>
      </w:r>
      <w:r w:rsidR="00FE471F" w:rsidRPr="00A75729">
        <w:rPr>
          <w:rFonts w:eastAsia="Times New Roman"/>
          <w:color w:val="000000" w:themeColor="text1"/>
          <w:lang w:eastAsia="es-ES"/>
        </w:rPr>
        <w:t xml:space="preserve">proveen el </w:t>
      </w:r>
      <w:proofErr w:type="spellStart"/>
      <w:r w:rsidR="00FE471F" w:rsidRPr="00A75729">
        <w:rPr>
          <w:rFonts w:eastAsia="Times New Roman"/>
          <w:color w:val="000000" w:themeColor="text1"/>
          <w:lang w:eastAsia="es-ES"/>
        </w:rPr>
        <w:t>SRSAC</w:t>
      </w:r>
      <w:proofErr w:type="spellEnd"/>
      <w:r w:rsidRPr="00A75729">
        <w:rPr>
          <w:rFonts w:eastAsia="Times New Roman"/>
          <w:color w:val="000000" w:themeColor="text1"/>
          <w:lang w:eastAsia="es-ES"/>
        </w:rPr>
        <w:t xml:space="preserve"> (i.e. operaciones en el mercado secundario).</w:t>
      </w:r>
    </w:p>
    <w:p w:rsidR="004E2367" w:rsidRPr="00A75729" w:rsidRDefault="004E2367" w:rsidP="004E2367">
      <w:pPr>
        <w:rPr>
          <w:rFonts w:eastAsia="Times New Roman"/>
          <w:lang w:eastAsia="es-ES"/>
        </w:rPr>
      </w:pPr>
      <w:r w:rsidRPr="00A75729">
        <w:rPr>
          <w:rFonts w:cs="Arial"/>
        </w:rPr>
        <w:lastRenderedPageBreak/>
        <w:t xml:space="preserve">A este respecto, actualmente </w:t>
      </w:r>
      <w:r w:rsidRPr="00A75729">
        <w:t xml:space="preserve">existen 3 (tres) frecuencias disponibles para estaciones de radiodifusión sonora en FM en </w:t>
      </w:r>
      <w:r w:rsidRPr="00A75729">
        <w:rPr>
          <w:rFonts w:cs="ITC Avant Garde"/>
          <w:bCs/>
        </w:rPr>
        <w:t>Ojo de Agua</w:t>
      </w:r>
      <w:r w:rsidR="002F5734" w:rsidRPr="00A75729">
        <w:rPr>
          <w:rFonts w:cs="ITC Avant Garde"/>
          <w:bCs/>
        </w:rPr>
        <w:t xml:space="preserve"> y Montemorelos</w:t>
      </w:r>
      <w:r w:rsidRPr="00A75729">
        <w:rPr>
          <w:rFonts w:cs="ITC Avant Garde"/>
          <w:bCs/>
        </w:rPr>
        <w:t xml:space="preserve">, Nuevo León. Sin embargo, </w:t>
      </w:r>
      <w:r w:rsidRPr="00A75729">
        <w:t xml:space="preserve">en los </w:t>
      </w:r>
      <w:proofErr w:type="spellStart"/>
      <w:r w:rsidR="00FE471F" w:rsidRPr="00A75729">
        <w:t>PABFs</w:t>
      </w:r>
      <w:proofErr w:type="spellEnd"/>
      <w:r w:rsidR="00FE471F" w:rsidRPr="00A75729">
        <w:t xml:space="preserve"> 2016 a 2018</w:t>
      </w:r>
      <w:r w:rsidRPr="00A75729">
        <w:t xml:space="preserve"> no está prevista la licitación de frecuencias de espectro radioeléctrico </w:t>
      </w:r>
      <w:r w:rsidR="00FE471F" w:rsidRPr="00A75729">
        <w:t xml:space="preserve">para el </w:t>
      </w:r>
      <w:proofErr w:type="spellStart"/>
      <w:r w:rsidR="00FE471F" w:rsidRPr="00A75729">
        <w:t>SRSAC</w:t>
      </w:r>
      <w:proofErr w:type="spellEnd"/>
      <w:r w:rsidR="00FE471F" w:rsidRPr="00A75729">
        <w:t xml:space="preserve"> en</w:t>
      </w:r>
      <w:r w:rsidRPr="00A75729">
        <w:t xml:space="preserve"> FM en esa</w:t>
      </w:r>
      <w:r w:rsidR="004818A3">
        <w:t>s</w:t>
      </w:r>
      <w:r w:rsidRPr="00A75729">
        <w:t xml:space="preserve"> localidad</w:t>
      </w:r>
      <w:r w:rsidR="004818A3">
        <w:t>es</w:t>
      </w:r>
      <w:r w:rsidRPr="00A75729">
        <w:t>,</w:t>
      </w:r>
      <w:r w:rsidRPr="00A75729">
        <w:rPr>
          <w:rFonts w:eastAsia="Times New Roman"/>
          <w:lang w:eastAsia="es-ES"/>
        </w:rPr>
        <w:t xml:space="preserve"> por lo cual no se prevé que en el corto o mediano plazos se incremente la oferta en </w:t>
      </w:r>
      <w:r w:rsidR="00FE471F" w:rsidRPr="00A75729">
        <w:rPr>
          <w:rFonts w:eastAsia="Times New Roman"/>
          <w:lang w:eastAsia="es-ES"/>
        </w:rPr>
        <w:t>la provisión del Servicio Evaluado</w:t>
      </w:r>
      <w:r w:rsidRPr="00A75729">
        <w:rPr>
          <w:rFonts w:eastAsia="Times New Roman"/>
          <w:lang w:eastAsia="es-ES"/>
        </w:rPr>
        <w:t>.</w:t>
      </w:r>
    </w:p>
    <w:p w:rsidR="002F5734" w:rsidRPr="00A75729" w:rsidRDefault="002F5734" w:rsidP="004E2367">
      <w:r w:rsidRPr="00A75729">
        <w:rPr>
          <w:rFonts w:eastAsia="Times New Roman"/>
          <w:lang w:eastAsia="es-ES"/>
        </w:rPr>
        <w:t xml:space="preserve">En el caso de </w:t>
      </w:r>
      <w:r w:rsidRPr="00A75729">
        <w:t xml:space="preserve">Cadereyta y Juárez, la </w:t>
      </w:r>
      <w:proofErr w:type="spellStart"/>
      <w:r w:rsidRPr="00A75729">
        <w:t>UER</w:t>
      </w:r>
      <w:proofErr w:type="spellEnd"/>
      <w:r w:rsidRPr="00A75729">
        <w:t xml:space="preserve"> señaló que no existe disponibilidad de frecuencias para el </w:t>
      </w:r>
      <w:proofErr w:type="spellStart"/>
      <w:r w:rsidRPr="00A75729">
        <w:t>SRSAC</w:t>
      </w:r>
      <w:proofErr w:type="spellEnd"/>
      <w:r w:rsidRPr="00A75729">
        <w:t xml:space="preserve"> en FM.</w:t>
      </w:r>
    </w:p>
    <w:p w:rsidR="006B7103" w:rsidRPr="00A75729" w:rsidRDefault="004E2367" w:rsidP="004E2367">
      <w:pPr>
        <w:rPr>
          <w:rFonts w:eastAsia="Times New Roman"/>
          <w:color w:val="000000" w:themeColor="text1"/>
          <w:lang w:eastAsia="es-ES"/>
        </w:rPr>
      </w:pPr>
      <w:r w:rsidRPr="00A75729">
        <w:rPr>
          <w:rFonts w:eastAsia="Times New Roman"/>
          <w:color w:val="000000" w:themeColor="text1"/>
          <w:lang w:eastAsia="es-ES"/>
        </w:rPr>
        <w:t xml:space="preserve">No se identifican restricciones significativas al acceso a otros insumos relacionados con la </w:t>
      </w:r>
      <w:r w:rsidR="00FE471F" w:rsidRPr="00A75729">
        <w:rPr>
          <w:rFonts w:eastAsia="Times New Roman"/>
          <w:color w:val="000000" w:themeColor="text1"/>
          <w:lang w:eastAsia="es-ES"/>
        </w:rPr>
        <w:t xml:space="preserve">provisión del </w:t>
      </w:r>
      <w:proofErr w:type="spellStart"/>
      <w:r w:rsidR="00FE471F" w:rsidRPr="00A75729">
        <w:rPr>
          <w:rFonts w:eastAsia="Times New Roman"/>
          <w:color w:val="000000" w:themeColor="text1"/>
          <w:lang w:eastAsia="es-ES"/>
        </w:rPr>
        <w:t>SRSAC</w:t>
      </w:r>
      <w:proofErr w:type="spellEnd"/>
      <w:r w:rsidRPr="00A75729">
        <w:rPr>
          <w:rFonts w:eastAsia="Times New Roman"/>
          <w:color w:val="000000" w:themeColor="text1"/>
          <w:lang w:eastAsia="es-ES"/>
        </w:rPr>
        <w:t xml:space="preserve"> como equipo, personal e instalaciones, los cuales son accesibles para todos los operadores</w:t>
      </w:r>
      <w:r w:rsidR="006B7103" w:rsidRPr="00A75729">
        <w:rPr>
          <w:rFonts w:eastAsia="Times New Roman"/>
          <w:color w:val="000000" w:themeColor="text1"/>
          <w:lang w:eastAsia="es-ES"/>
        </w:rPr>
        <w:t>.</w:t>
      </w:r>
    </w:p>
    <w:p w:rsidR="004C0778" w:rsidRPr="00BF0B35" w:rsidRDefault="0043126D" w:rsidP="0043126D">
      <w:pPr>
        <w:pStyle w:val="Ttulo6"/>
        <w:spacing w:before="360"/>
        <w:rPr>
          <w:rFonts w:eastAsia="Times New Roman"/>
        </w:rPr>
      </w:pPr>
      <w:r>
        <w:rPr>
          <w:rFonts w:ascii="ITC Avant Garde" w:eastAsia="Times New Roman" w:hAnsi="ITC Avant Garde"/>
          <w:b/>
          <w:color w:val="auto"/>
        </w:rPr>
        <w:t>5.4.4.3.</w:t>
      </w:r>
      <w:r>
        <w:rPr>
          <w:rFonts w:ascii="ITC Avant Garde" w:eastAsia="Times New Roman" w:hAnsi="ITC Avant Garde"/>
          <w:b/>
          <w:color w:val="auto"/>
        </w:rPr>
        <w:t xml:space="preserve">8 </w:t>
      </w:r>
      <w:r w:rsidR="004C0778" w:rsidRPr="00BF0B35">
        <w:rPr>
          <w:rFonts w:ascii="ITC Avant Garde" w:eastAsia="Times New Roman" w:hAnsi="ITC Avant Garde"/>
          <w:b/>
          <w:color w:val="auto"/>
        </w:rPr>
        <w:t>Criterios aplicables a Operaciones que involucran espectro radioeléctrico</w:t>
      </w:r>
    </w:p>
    <w:p w:rsidR="002964AF" w:rsidRPr="00A75729" w:rsidRDefault="002964AF" w:rsidP="002964AF">
      <w:pPr>
        <w:autoSpaceDE w:val="0"/>
        <w:autoSpaceDN w:val="0"/>
        <w:adjustRightInd w:val="0"/>
        <w:rPr>
          <w:rFonts w:eastAsiaTheme="minorHAnsi" w:cstheme="minorBidi"/>
          <w:lang w:val="es-MX" w:eastAsia="en-US"/>
        </w:rPr>
      </w:pPr>
      <w:r w:rsidRPr="00A75729">
        <w:rPr>
          <w:rFonts w:eastAsiaTheme="minorHAnsi" w:cstheme="minorBidi"/>
          <w:lang w:val="es-MX" w:eastAsia="en-US"/>
        </w:rPr>
        <w:t xml:space="preserve">Tratándose de Operaciones que involucren espectro radioeléctrico en el sector de radiodifusión, la </w:t>
      </w:r>
      <w:proofErr w:type="spellStart"/>
      <w:r w:rsidRPr="00A75729">
        <w:rPr>
          <w:rFonts w:eastAsiaTheme="minorHAnsi" w:cstheme="minorBidi"/>
          <w:lang w:val="es-MX" w:eastAsia="en-US"/>
        </w:rPr>
        <w:t>CPEUM</w:t>
      </w:r>
      <w:proofErr w:type="spellEnd"/>
      <w:r w:rsidRPr="00A75729">
        <w:rPr>
          <w:rFonts w:eastAsiaTheme="minorHAnsi" w:cstheme="minorBidi"/>
          <w:lang w:val="es-MX" w:eastAsia="en-US"/>
        </w:rPr>
        <w:t xml:space="preserve"> y la </w:t>
      </w:r>
      <w:proofErr w:type="spellStart"/>
      <w:r w:rsidRPr="00A75729">
        <w:rPr>
          <w:rFonts w:eastAsiaTheme="minorHAnsi" w:cstheme="minorBidi"/>
          <w:lang w:val="es-MX" w:eastAsia="en-US"/>
        </w:rPr>
        <w:t>LFTR</w:t>
      </w:r>
      <w:proofErr w:type="spellEnd"/>
      <w:r w:rsidRPr="00A75729">
        <w:rPr>
          <w:rFonts w:eastAsiaTheme="minorHAnsi" w:cstheme="minorBidi"/>
          <w:lang w:val="es-MX" w:eastAsia="en-US"/>
        </w:rPr>
        <w:t xml:space="preserve"> establecen criterios que el Instituto debe observar de manera general. </w:t>
      </w:r>
    </w:p>
    <w:p w:rsidR="002964AF" w:rsidRPr="002964AF" w:rsidRDefault="002964AF" w:rsidP="00BF0B35">
      <w:pPr>
        <w:autoSpaceDE w:val="0"/>
        <w:autoSpaceDN w:val="0"/>
        <w:adjustRightInd w:val="0"/>
        <w:rPr>
          <w:rFonts w:eastAsiaTheme="minorHAnsi" w:cstheme="minorBidi"/>
          <w:lang w:val="es-MX" w:eastAsia="en-US"/>
        </w:rPr>
      </w:pPr>
      <w:r w:rsidRPr="002964AF">
        <w:rPr>
          <w:rFonts w:eastAsiaTheme="minorHAnsi" w:cstheme="minorBidi"/>
          <w:lang w:val="es-MX" w:eastAsia="en-US"/>
        </w:rPr>
        <w:t xml:space="preserve">El artículo 28 de la </w:t>
      </w:r>
      <w:proofErr w:type="spellStart"/>
      <w:r w:rsidRPr="002964AF">
        <w:rPr>
          <w:rFonts w:eastAsiaTheme="minorHAnsi" w:cstheme="minorBidi"/>
          <w:lang w:val="es-MX" w:eastAsia="en-US"/>
        </w:rPr>
        <w:t>CPEUM</w:t>
      </w:r>
      <w:proofErr w:type="spellEnd"/>
      <w:r w:rsidRPr="002964AF">
        <w:rPr>
          <w:rFonts w:eastAsiaTheme="minorHAnsi" w:cstheme="minorBidi"/>
          <w:lang w:val="es-MX" w:eastAsia="en-US"/>
        </w:rPr>
        <w:t xml:space="preserve"> establece: </w:t>
      </w:r>
    </w:p>
    <w:p w:rsidR="002964AF" w:rsidRPr="002964AF" w:rsidRDefault="002964AF" w:rsidP="006A7D5F">
      <w:pPr>
        <w:numPr>
          <w:ilvl w:val="0"/>
          <w:numId w:val="47"/>
        </w:numPr>
        <w:autoSpaceDE w:val="0"/>
        <w:autoSpaceDN w:val="0"/>
        <w:adjustRightInd w:val="0"/>
        <w:rPr>
          <w:rFonts w:eastAsiaTheme="minorHAnsi" w:cstheme="minorBidi"/>
          <w:lang w:val="es-MX" w:eastAsia="en-US"/>
        </w:rPr>
      </w:pPr>
      <w:r w:rsidRPr="002964AF">
        <w:rPr>
          <w:rFonts w:eastAsiaTheme="minorHAnsi" w:cstheme="minorBidi"/>
          <w:lang w:val="es-MX" w:eastAsia="en-US"/>
        </w:rPr>
        <w:t xml:space="preserve">En </w:t>
      </w:r>
      <w:r w:rsidR="00BF0B35">
        <w:rPr>
          <w:rFonts w:eastAsiaTheme="minorHAnsi" w:cstheme="minorBidi"/>
          <w:lang w:val="es-MX" w:eastAsia="en-US"/>
        </w:rPr>
        <w:t>el</w:t>
      </w:r>
      <w:r w:rsidR="00BF0B35" w:rsidRPr="002964AF">
        <w:rPr>
          <w:rFonts w:eastAsiaTheme="minorHAnsi" w:cstheme="minorBidi"/>
          <w:lang w:val="es-MX" w:eastAsia="en-US"/>
        </w:rPr>
        <w:t xml:space="preserve"> </w:t>
      </w:r>
      <w:r w:rsidRPr="002964AF">
        <w:rPr>
          <w:rFonts w:eastAsiaTheme="minorHAnsi" w:cstheme="minorBidi"/>
          <w:lang w:val="es-MX" w:eastAsia="en-US"/>
        </w:rPr>
        <w:t xml:space="preserve">párrafo décimo quinto, que el Instituto tiene a su cargo la regulación, promoción y supervisión del uso, aprovechamiento y explotación del espectro radioeléctrico. Tal disposición es consistente con el artículo 7, segundo párrafo, de la </w:t>
      </w:r>
      <w:proofErr w:type="spellStart"/>
      <w:r w:rsidRPr="002964AF">
        <w:rPr>
          <w:rFonts w:eastAsiaTheme="minorHAnsi" w:cstheme="minorBidi"/>
          <w:lang w:val="es-MX" w:eastAsia="en-US"/>
        </w:rPr>
        <w:t>LFTR</w:t>
      </w:r>
      <w:proofErr w:type="spellEnd"/>
      <w:r w:rsidRPr="002964AF">
        <w:rPr>
          <w:rFonts w:eastAsiaTheme="minorHAnsi" w:cstheme="minorBidi"/>
          <w:lang w:val="es-MX" w:eastAsia="en-US"/>
        </w:rPr>
        <w:t xml:space="preserve">. </w:t>
      </w:r>
    </w:p>
    <w:p w:rsidR="002964AF" w:rsidRPr="002964AF" w:rsidRDefault="00BF0B35" w:rsidP="006A7D5F">
      <w:pPr>
        <w:numPr>
          <w:ilvl w:val="0"/>
          <w:numId w:val="47"/>
        </w:numPr>
        <w:autoSpaceDE w:val="0"/>
        <w:autoSpaceDN w:val="0"/>
        <w:adjustRightInd w:val="0"/>
        <w:rPr>
          <w:rFonts w:eastAsiaTheme="minorHAnsi" w:cstheme="minorBidi"/>
          <w:lang w:val="es-MX" w:eastAsia="en-US"/>
        </w:rPr>
      </w:pPr>
      <w:r>
        <w:rPr>
          <w:rFonts w:eastAsiaTheme="minorHAnsi" w:cstheme="minorBidi"/>
          <w:lang w:val="es-MX" w:eastAsia="en-US"/>
        </w:rPr>
        <w:t>En e</w:t>
      </w:r>
      <w:r w:rsidR="002964AF" w:rsidRPr="002964AF">
        <w:rPr>
          <w:rFonts w:eastAsiaTheme="minorHAnsi" w:cstheme="minorBidi"/>
          <w:lang w:val="es-MX" w:eastAsia="en-US"/>
        </w:rPr>
        <w:t xml:space="preserve">l </w:t>
      </w:r>
      <w:r w:rsidR="002964AF" w:rsidRPr="002964AF">
        <w:rPr>
          <w:rFonts w:eastAsiaTheme="minorHAnsi" w:cs="ArialMT"/>
          <w:lang w:val="es-MX" w:eastAsia="en-US"/>
        </w:rPr>
        <w:t xml:space="preserve">párrafo décimo séptimo, que las concesiones podrán ser para uso comercial, público, privado y social que incluyen las comunitarias y las indígenas, las que se sujetarán, de acuerdo con sus fines, a los principios establecidos en los artículos </w:t>
      </w:r>
      <w:proofErr w:type="spellStart"/>
      <w:r w:rsidR="002964AF" w:rsidRPr="002964AF">
        <w:rPr>
          <w:rFonts w:eastAsiaTheme="minorHAnsi" w:cs="ArialMT"/>
          <w:lang w:val="es-MX" w:eastAsia="en-US"/>
        </w:rPr>
        <w:t>2o</w:t>
      </w:r>
      <w:proofErr w:type="spellEnd"/>
      <w:r w:rsidR="002964AF" w:rsidRPr="002964AF">
        <w:rPr>
          <w:rFonts w:eastAsiaTheme="minorHAnsi" w:cs="ArialMT"/>
          <w:lang w:val="es-MX" w:eastAsia="en-US"/>
        </w:rPr>
        <w:t xml:space="preserve">., </w:t>
      </w:r>
      <w:proofErr w:type="spellStart"/>
      <w:r w:rsidR="002964AF" w:rsidRPr="002964AF">
        <w:rPr>
          <w:rFonts w:eastAsiaTheme="minorHAnsi" w:cs="ArialMT"/>
          <w:lang w:val="es-MX" w:eastAsia="en-US"/>
        </w:rPr>
        <w:t>3o</w:t>
      </w:r>
      <w:proofErr w:type="spellEnd"/>
      <w:r w:rsidR="002964AF" w:rsidRPr="002964AF">
        <w:rPr>
          <w:rFonts w:eastAsiaTheme="minorHAnsi" w:cs="ArialMT"/>
          <w:lang w:val="es-MX" w:eastAsia="en-US"/>
        </w:rPr>
        <w:t xml:space="preserve">., </w:t>
      </w:r>
      <w:proofErr w:type="spellStart"/>
      <w:r w:rsidR="002964AF" w:rsidRPr="002964AF">
        <w:rPr>
          <w:rFonts w:eastAsiaTheme="minorHAnsi" w:cs="ArialMT"/>
          <w:lang w:val="es-MX" w:eastAsia="en-US"/>
        </w:rPr>
        <w:t>6o</w:t>
      </w:r>
      <w:proofErr w:type="spellEnd"/>
      <w:r w:rsidR="002964AF" w:rsidRPr="002964AF">
        <w:rPr>
          <w:rFonts w:eastAsiaTheme="minorHAnsi" w:cs="ArialMT"/>
          <w:lang w:val="es-MX" w:eastAsia="en-US"/>
        </w:rPr>
        <w:t xml:space="preserve">. y </w:t>
      </w:r>
      <w:proofErr w:type="spellStart"/>
      <w:r w:rsidR="002964AF" w:rsidRPr="002964AF">
        <w:rPr>
          <w:rFonts w:eastAsiaTheme="minorHAnsi" w:cs="ArialMT"/>
          <w:lang w:val="es-MX" w:eastAsia="en-US"/>
        </w:rPr>
        <w:t>7o</w:t>
      </w:r>
      <w:proofErr w:type="spellEnd"/>
      <w:r w:rsidR="002964AF" w:rsidRPr="002964AF">
        <w:rPr>
          <w:rFonts w:eastAsiaTheme="minorHAnsi" w:cs="ArialMT"/>
          <w:lang w:val="es-MX" w:eastAsia="en-US"/>
        </w:rPr>
        <w:t xml:space="preserve">. constitucionales. </w:t>
      </w:r>
    </w:p>
    <w:p w:rsidR="002964AF" w:rsidRPr="002964AF" w:rsidRDefault="002964AF" w:rsidP="00BF0B35">
      <w:pPr>
        <w:autoSpaceDE w:val="0"/>
        <w:autoSpaceDN w:val="0"/>
        <w:adjustRightInd w:val="0"/>
        <w:ind w:left="360"/>
        <w:rPr>
          <w:rFonts w:eastAsiaTheme="minorHAnsi" w:cs="ArialMT"/>
          <w:lang w:val="es-MX" w:eastAsia="en-US"/>
        </w:rPr>
      </w:pPr>
      <w:r w:rsidRPr="002964AF">
        <w:rPr>
          <w:rFonts w:eastAsiaTheme="minorHAnsi" w:cs="ArialMT"/>
          <w:lang w:val="es-MX" w:eastAsia="en-US"/>
        </w:rPr>
        <w:t xml:space="preserve">Acorde con lo anterior, el artículo 76 de la </w:t>
      </w:r>
      <w:proofErr w:type="spellStart"/>
      <w:r w:rsidRPr="002964AF">
        <w:rPr>
          <w:rFonts w:eastAsiaTheme="minorHAnsi" w:cs="ArialMT"/>
          <w:lang w:val="es-MX" w:eastAsia="en-US"/>
        </w:rPr>
        <w:t>LFTR</w:t>
      </w:r>
      <w:proofErr w:type="spellEnd"/>
      <w:r w:rsidRPr="002964AF">
        <w:rPr>
          <w:rFonts w:eastAsiaTheme="minorHAnsi" w:cs="ArialMT"/>
          <w:lang w:val="es-MX" w:eastAsia="en-US"/>
        </w:rPr>
        <w:t xml:space="preserve">, establece la clasificación de las concesiones sobre el espectro radioeléctrico. Por lo que, su otorgamiento, como parte de la administración del espectro deberá realizarse por el Instituto, según lo dispuesto por la </w:t>
      </w:r>
      <w:proofErr w:type="spellStart"/>
      <w:r w:rsidRPr="002964AF">
        <w:rPr>
          <w:rFonts w:eastAsiaTheme="minorHAnsi" w:cs="ArialMT"/>
          <w:lang w:val="es-MX" w:eastAsia="en-US"/>
        </w:rPr>
        <w:t>CPEUM</w:t>
      </w:r>
      <w:proofErr w:type="spellEnd"/>
      <w:r w:rsidRPr="002964AF">
        <w:rPr>
          <w:rFonts w:eastAsiaTheme="minorHAnsi" w:cs="ArialMT"/>
          <w:lang w:val="es-MX" w:eastAsia="en-US"/>
        </w:rPr>
        <w:t xml:space="preserve">, la </w:t>
      </w:r>
      <w:proofErr w:type="spellStart"/>
      <w:r w:rsidRPr="002964AF">
        <w:rPr>
          <w:rFonts w:eastAsiaTheme="minorHAnsi" w:cs="ArialMT"/>
          <w:lang w:val="es-MX" w:eastAsia="en-US"/>
        </w:rPr>
        <w:t>LFTR</w:t>
      </w:r>
      <w:proofErr w:type="spellEnd"/>
      <w:r w:rsidRPr="002964AF">
        <w:rPr>
          <w:rFonts w:eastAsiaTheme="minorHAnsi" w:cs="ArialMT"/>
          <w:lang w:val="es-MX" w:eastAsia="en-US"/>
        </w:rPr>
        <w:t xml:space="preserve">, los tratados y acuerdos internacionales firmados por México y, en lo aplicable siguiendo las recomendaciones de la Unión Internacional de Telecomunicaciones y otros organismos Internacionales, en términos del artículo 54 de la </w:t>
      </w:r>
      <w:proofErr w:type="spellStart"/>
      <w:r w:rsidRPr="002964AF">
        <w:rPr>
          <w:rFonts w:eastAsiaTheme="minorHAnsi" w:cs="ArialMT"/>
          <w:lang w:val="es-MX" w:eastAsia="en-US"/>
        </w:rPr>
        <w:t>LFTR</w:t>
      </w:r>
      <w:proofErr w:type="spellEnd"/>
      <w:r w:rsidRPr="002964AF">
        <w:rPr>
          <w:rFonts w:eastAsiaTheme="minorHAnsi" w:cs="ArialMT"/>
          <w:lang w:val="es-MX" w:eastAsia="en-US"/>
        </w:rPr>
        <w:t>.</w:t>
      </w:r>
    </w:p>
    <w:p w:rsidR="002964AF" w:rsidRPr="002964AF" w:rsidRDefault="002964AF" w:rsidP="006A7D5F">
      <w:pPr>
        <w:numPr>
          <w:ilvl w:val="0"/>
          <w:numId w:val="47"/>
        </w:numPr>
        <w:autoSpaceDE w:val="0"/>
        <w:autoSpaceDN w:val="0"/>
        <w:adjustRightInd w:val="0"/>
        <w:rPr>
          <w:rFonts w:eastAsiaTheme="minorHAnsi" w:cs="ArialMT"/>
          <w:lang w:val="es-MX" w:eastAsia="en-US"/>
        </w:rPr>
      </w:pPr>
      <w:r w:rsidRPr="002964AF">
        <w:rPr>
          <w:rFonts w:eastAsiaTheme="minorHAnsi" w:cs="ArialMT"/>
          <w:lang w:val="es-MX" w:eastAsia="en-US"/>
        </w:rPr>
        <w:t xml:space="preserve">En </w:t>
      </w:r>
      <w:r w:rsidR="00BF0B35">
        <w:rPr>
          <w:rFonts w:eastAsiaTheme="minorHAnsi" w:cs="ArialMT"/>
          <w:lang w:val="es-MX" w:eastAsia="en-US"/>
        </w:rPr>
        <w:t>el</w:t>
      </w:r>
      <w:r w:rsidR="00BF0B35" w:rsidRPr="002964AF">
        <w:rPr>
          <w:rFonts w:eastAsiaTheme="minorHAnsi" w:cs="ArialMT"/>
          <w:lang w:val="es-MX" w:eastAsia="en-US"/>
        </w:rPr>
        <w:t xml:space="preserve"> </w:t>
      </w:r>
      <w:r w:rsidRPr="002964AF">
        <w:rPr>
          <w:rFonts w:eastAsiaTheme="minorHAnsi" w:cs="ArialMT"/>
          <w:lang w:val="es-MX" w:eastAsia="en-US"/>
        </w:rPr>
        <w:t xml:space="preserve">párrafo dieciocho, que las concesiones del espectro radioeléctrico serán otorgadas mediante licitación pública, a fin de asegurar la máxima concurrencia, </w:t>
      </w:r>
      <w:r w:rsidRPr="002964AF">
        <w:rPr>
          <w:rFonts w:eastAsiaTheme="minorHAnsi" w:cs="ArialMT"/>
          <w:b/>
          <w:lang w:val="es-MX" w:eastAsia="en-US"/>
        </w:rPr>
        <w:t>previniendo fenómenos de concentración que contraríen el interés público</w:t>
      </w:r>
      <w:r w:rsidRPr="002964AF">
        <w:rPr>
          <w:rFonts w:eastAsiaTheme="minorHAnsi" w:cs="ArialMT"/>
          <w:lang w:val="es-MX" w:eastAsia="en-US"/>
        </w:rPr>
        <w:t xml:space="preserve">; y las concesiones para </w:t>
      </w:r>
      <w:r w:rsidRPr="002964AF">
        <w:rPr>
          <w:rFonts w:eastAsiaTheme="minorHAnsi" w:cs="ArialMT"/>
          <w:b/>
          <w:lang w:val="es-MX" w:eastAsia="en-US"/>
        </w:rPr>
        <w:t>uso público y social</w:t>
      </w:r>
      <w:r w:rsidRPr="002964AF">
        <w:rPr>
          <w:rFonts w:eastAsiaTheme="minorHAnsi" w:cs="ArialMT"/>
          <w:lang w:val="es-MX" w:eastAsia="en-US"/>
        </w:rPr>
        <w:t xml:space="preserve"> serán sin fines de lucro y se otorgarán bajo el mecanismo de asignación directa conforme a lo previsto por la ley y </w:t>
      </w:r>
      <w:r w:rsidRPr="002964AF">
        <w:rPr>
          <w:rFonts w:eastAsiaTheme="minorHAnsi" w:cs="ArialMT"/>
          <w:b/>
          <w:lang w:val="es-MX" w:eastAsia="en-US"/>
        </w:rPr>
        <w:t>en condiciones que garanticen la transparencia</w:t>
      </w:r>
      <w:r w:rsidRPr="002964AF">
        <w:rPr>
          <w:rFonts w:eastAsiaTheme="minorHAnsi" w:cs="ArialMT"/>
          <w:lang w:val="es-MX" w:eastAsia="en-US"/>
        </w:rPr>
        <w:t xml:space="preserve"> del procedimiento.</w:t>
      </w:r>
    </w:p>
    <w:p w:rsidR="002964AF" w:rsidRPr="002964AF" w:rsidRDefault="002964AF" w:rsidP="00587881">
      <w:pPr>
        <w:autoSpaceDE w:val="0"/>
        <w:autoSpaceDN w:val="0"/>
        <w:adjustRightInd w:val="0"/>
        <w:rPr>
          <w:rFonts w:eastAsiaTheme="minorHAnsi" w:cstheme="minorBidi"/>
          <w:lang w:val="es-MX" w:eastAsia="en-US"/>
        </w:rPr>
      </w:pPr>
      <w:r w:rsidRPr="002964AF">
        <w:rPr>
          <w:rFonts w:eastAsiaTheme="minorHAnsi" w:cs="ArialMT"/>
          <w:lang w:val="es-MX" w:eastAsia="en-US"/>
        </w:rPr>
        <w:lastRenderedPageBreak/>
        <w:t xml:space="preserve">Adicionalmente, los </w:t>
      </w:r>
      <w:r w:rsidRPr="002964AF">
        <w:rPr>
          <w:rFonts w:eastAsiaTheme="minorHAnsi" w:cstheme="minorBidi"/>
          <w:lang w:val="es-MX" w:eastAsia="en-US"/>
        </w:rPr>
        <w:t xml:space="preserve">artículos 6, apartado B, fracción III de la </w:t>
      </w:r>
      <w:proofErr w:type="spellStart"/>
      <w:r w:rsidRPr="002964AF">
        <w:rPr>
          <w:rFonts w:eastAsiaTheme="minorHAnsi" w:cs="ArialMT"/>
          <w:lang w:val="es-MX" w:eastAsia="en-US"/>
        </w:rPr>
        <w:t>CPEUM</w:t>
      </w:r>
      <w:proofErr w:type="spellEnd"/>
      <w:r w:rsidRPr="002964AF">
        <w:rPr>
          <w:rFonts w:eastAsiaTheme="minorHAnsi" w:cs="ArialMT"/>
          <w:lang w:val="es-MX" w:eastAsia="en-US"/>
        </w:rPr>
        <w:t xml:space="preserve">; 3, fracción LXV y 256, primer párrafo de la </w:t>
      </w:r>
      <w:proofErr w:type="spellStart"/>
      <w:r w:rsidRPr="002964AF">
        <w:rPr>
          <w:rFonts w:eastAsiaTheme="minorHAnsi" w:cs="ArialMT"/>
          <w:lang w:val="es-MX" w:eastAsia="en-US"/>
        </w:rPr>
        <w:t>LFTR</w:t>
      </w:r>
      <w:proofErr w:type="spellEnd"/>
      <w:r w:rsidR="004818A3">
        <w:rPr>
          <w:rFonts w:eastAsiaTheme="minorHAnsi" w:cs="ArialMT"/>
          <w:lang w:val="es-MX" w:eastAsia="en-US"/>
        </w:rPr>
        <w:t>,</w:t>
      </w:r>
      <w:r w:rsidRPr="002964AF">
        <w:rPr>
          <w:rFonts w:eastAsiaTheme="minorHAnsi" w:cs="ArialMT"/>
          <w:lang w:val="es-MX" w:eastAsia="en-US"/>
        </w:rPr>
        <w:t xml:space="preserve"> establecen que la </w:t>
      </w:r>
      <w:r w:rsidRPr="002964AF">
        <w:rPr>
          <w:rFonts w:eastAsiaTheme="minorHAnsi" w:cstheme="minorBidi"/>
          <w:lang w:val="es-MX" w:eastAsia="en-US"/>
        </w:rPr>
        <w:t xml:space="preserve">radiodifusión es un servicio público de interés general, por lo que el Estado garantizará que: </w:t>
      </w:r>
    </w:p>
    <w:p w:rsidR="002964AF" w:rsidRPr="002964AF" w:rsidRDefault="002964AF" w:rsidP="006A7D5F">
      <w:pPr>
        <w:numPr>
          <w:ilvl w:val="0"/>
          <w:numId w:val="48"/>
        </w:numPr>
        <w:autoSpaceDE w:val="0"/>
        <w:autoSpaceDN w:val="0"/>
        <w:adjustRightInd w:val="0"/>
        <w:spacing w:before="0" w:line="259" w:lineRule="auto"/>
        <w:ind w:left="426"/>
        <w:jc w:val="left"/>
        <w:rPr>
          <w:rFonts w:eastAsiaTheme="minorHAnsi" w:cs="ArialMT"/>
          <w:i/>
          <w:lang w:val="es-MX" w:eastAsia="en-US"/>
        </w:rPr>
      </w:pPr>
      <w:r w:rsidRPr="002964AF">
        <w:rPr>
          <w:rFonts w:eastAsiaTheme="minorHAnsi" w:cstheme="minorBidi"/>
          <w:lang w:val="es-MX" w:eastAsia="en-US"/>
        </w:rPr>
        <w:t xml:space="preserve">Sea prestado </w:t>
      </w:r>
      <w:r w:rsidRPr="002964AF">
        <w:rPr>
          <w:rFonts w:eastAsiaTheme="minorHAnsi" w:cstheme="minorBidi"/>
          <w:b/>
          <w:lang w:val="es-MX" w:eastAsia="en-US"/>
        </w:rPr>
        <w:t>en condiciones de competencia</w:t>
      </w:r>
      <w:r w:rsidRPr="002964AF">
        <w:rPr>
          <w:rFonts w:eastAsiaTheme="minorHAnsi" w:cstheme="minorBidi"/>
          <w:lang w:val="es-MX" w:eastAsia="en-US"/>
        </w:rPr>
        <w:t xml:space="preserve"> y calidad, </w:t>
      </w:r>
    </w:p>
    <w:p w:rsidR="002964AF" w:rsidRPr="002964AF" w:rsidRDefault="002964AF" w:rsidP="006A7D5F">
      <w:pPr>
        <w:numPr>
          <w:ilvl w:val="0"/>
          <w:numId w:val="48"/>
        </w:numPr>
        <w:autoSpaceDE w:val="0"/>
        <w:autoSpaceDN w:val="0"/>
        <w:adjustRightInd w:val="0"/>
        <w:spacing w:before="0" w:line="259" w:lineRule="auto"/>
        <w:ind w:left="426"/>
        <w:jc w:val="left"/>
        <w:rPr>
          <w:rFonts w:eastAsiaTheme="minorHAnsi" w:cs="ArialMT"/>
          <w:i/>
          <w:lang w:val="es-MX" w:eastAsia="en-US"/>
        </w:rPr>
      </w:pPr>
      <w:r w:rsidRPr="002964AF">
        <w:rPr>
          <w:rFonts w:eastAsiaTheme="minorHAnsi" w:cstheme="minorBidi"/>
          <w:lang w:val="es-MX" w:eastAsia="en-US"/>
        </w:rPr>
        <w:t xml:space="preserve">Brinde los beneficios de la cultura a toda la población, </w:t>
      </w:r>
    </w:p>
    <w:p w:rsidR="002964AF" w:rsidRPr="002964AF" w:rsidRDefault="002964AF" w:rsidP="006A7D5F">
      <w:pPr>
        <w:numPr>
          <w:ilvl w:val="0"/>
          <w:numId w:val="48"/>
        </w:numPr>
        <w:autoSpaceDE w:val="0"/>
        <w:autoSpaceDN w:val="0"/>
        <w:adjustRightInd w:val="0"/>
        <w:spacing w:before="0" w:line="259" w:lineRule="auto"/>
        <w:ind w:left="426"/>
        <w:jc w:val="left"/>
        <w:rPr>
          <w:rFonts w:eastAsiaTheme="minorHAnsi" w:cs="ArialMT"/>
          <w:i/>
          <w:lang w:val="es-MX" w:eastAsia="en-US"/>
        </w:rPr>
      </w:pPr>
      <w:r w:rsidRPr="002964AF">
        <w:rPr>
          <w:rFonts w:eastAsiaTheme="minorHAnsi" w:cstheme="minorBidi"/>
          <w:lang w:val="es-MX" w:eastAsia="en-US"/>
        </w:rPr>
        <w:t xml:space="preserve">Preserve la pluralidad y la veracidad de la información, así como el fomento de los valores de la identidad nacional, y </w:t>
      </w:r>
    </w:p>
    <w:p w:rsidR="004C0778" w:rsidRPr="00A75729" w:rsidRDefault="002964AF" w:rsidP="006A7D5F">
      <w:pPr>
        <w:numPr>
          <w:ilvl w:val="0"/>
          <w:numId w:val="48"/>
        </w:numPr>
        <w:autoSpaceDE w:val="0"/>
        <w:autoSpaceDN w:val="0"/>
        <w:adjustRightInd w:val="0"/>
        <w:spacing w:before="0" w:line="259" w:lineRule="auto"/>
        <w:ind w:left="426"/>
        <w:jc w:val="left"/>
        <w:rPr>
          <w:lang w:val="es-MX" w:eastAsia="es-ES"/>
        </w:rPr>
      </w:pPr>
      <w:r w:rsidRPr="002964AF">
        <w:rPr>
          <w:rFonts w:eastAsiaTheme="minorHAnsi" w:cstheme="minorBidi"/>
          <w:lang w:val="es-MX" w:eastAsia="en-US"/>
        </w:rPr>
        <w:t xml:space="preserve">Contribuya a los fines establecidos en el artículo </w:t>
      </w:r>
      <w:proofErr w:type="spellStart"/>
      <w:r w:rsidRPr="002964AF">
        <w:rPr>
          <w:rFonts w:eastAsiaTheme="minorHAnsi" w:cstheme="minorBidi"/>
          <w:lang w:val="es-MX" w:eastAsia="en-US"/>
        </w:rPr>
        <w:t>3o</w:t>
      </w:r>
      <w:proofErr w:type="spellEnd"/>
      <w:r w:rsidRPr="002964AF">
        <w:rPr>
          <w:rFonts w:eastAsiaTheme="minorHAnsi" w:cstheme="minorBidi"/>
          <w:lang w:val="es-MX" w:eastAsia="en-US"/>
        </w:rPr>
        <w:t xml:space="preserve">. de la </w:t>
      </w:r>
      <w:proofErr w:type="spellStart"/>
      <w:r w:rsidRPr="002964AF">
        <w:rPr>
          <w:rFonts w:eastAsiaTheme="minorHAnsi" w:cstheme="minorBidi"/>
          <w:lang w:val="es-MX" w:eastAsia="en-US"/>
        </w:rPr>
        <w:t>CPEUM</w:t>
      </w:r>
      <w:proofErr w:type="spellEnd"/>
      <w:r w:rsidRPr="002964AF">
        <w:rPr>
          <w:rFonts w:eastAsiaTheme="minorHAnsi" w:cstheme="minorBidi"/>
          <w:lang w:val="es-MX" w:eastAsia="en-US"/>
        </w:rPr>
        <w:t>.</w:t>
      </w:r>
    </w:p>
    <w:p w:rsidR="006B7103" w:rsidRPr="00A75729" w:rsidRDefault="0043126D" w:rsidP="0043126D">
      <w:pPr>
        <w:pStyle w:val="Ttulo6"/>
        <w:spacing w:before="360"/>
        <w:rPr>
          <w:rFonts w:ascii="ITC Avant Garde" w:eastAsia="Times New Roman" w:hAnsi="ITC Avant Garde"/>
          <w:b/>
          <w:color w:val="auto"/>
        </w:rPr>
      </w:pPr>
      <w:r>
        <w:rPr>
          <w:rFonts w:ascii="ITC Avant Garde" w:eastAsia="Times New Roman" w:hAnsi="ITC Avant Garde"/>
          <w:b/>
          <w:color w:val="auto"/>
        </w:rPr>
        <w:t xml:space="preserve">5.4.4.3.9 </w:t>
      </w:r>
      <w:r w:rsidR="006B7103" w:rsidRPr="00A75729">
        <w:rPr>
          <w:rFonts w:ascii="ITC Avant Garde" w:eastAsia="Times New Roman" w:hAnsi="ITC Avant Garde"/>
          <w:b/>
          <w:color w:val="auto"/>
        </w:rPr>
        <w:t>Comportamiento de participantes</w:t>
      </w:r>
    </w:p>
    <w:p w:rsidR="006B7103" w:rsidRPr="00A75729" w:rsidRDefault="004D582F" w:rsidP="006B7103">
      <w:pPr>
        <w:pStyle w:val="Sinespaciado"/>
        <w:spacing w:before="120" w:after="120" w:line="276" w:lineRule="auto"/>
        <w:jc w:val="both"/>
        <w:rPr>
          <w:rFonts w:ascii="ITC Avant Garde" w:eastAsia="Times New Roman" w:hAnsi="ITC Avant Garde"/>
          <w:bCs/>
          <w:color w:val="000000" w:themeColor="text1"/>
          <w:lang w:eastAsia="es-MX"/>
        </w:rPr>
      </w:pPr>
      <w:r w:rsidRPr="00A75729">
        <w:rPr>
          <w:rFonts w:ascii="ITC Avant Garde" w:eastAsia="Times New Roman" w:hAnsi="ITC Avant Garde"/>
          <w:bCs/>
          <w:color w:val="000000" w:themeColor="text1"/>
          <w:lang w:eastAsia="es-MX"/>
        </w:rPr>
        <w:t>Respecto a este elemento, n</w:t>
      </w:r>
      <w:r w:rsidR="004E2367" w:rsidRPr="00A75729">
        <w:rPr>
          <w:rFonts w:ascii="ITC Avant Garde" w:eastAsia="Times New Roman" w:hAnsi="ITC Avant Garde"/>
          <w:bCs/>
          <w:color w:val="000000" w:themeColor="text1"/>
          <w:lang w:eastAsia="es-MX"/>
        </w:rPr>
        <w:t xml:space="preserve">o se identifica que el </w:t>
      </w:r>
      <w:proofErr w:type="spellStart"/>
      <w:r w:rsidR="004E2367" w:rsidRPr="00A75729">
        <w:rPr>
          <w:rFonts w:ascii="ITC Avant Garde" w:eastAsia="Times New Roman" w:hAnsi="ITC Avant Garde"/>
          <w:bCs/>
          <w:color w:val="000000" w:themeColor="text1"/>
          <w:lang w:eastAsia="es-MX"/>
        </w:rPr>
        <w:t>GIE</w:t>
      </w:r>
      <w:proofErr w:type="spellEnd"/>
      <w:r w:rsidR="004E2367" w:rsidRPr="00A75729">
        <w:rPr>
          <w:rFonts w:ascii="ITC Avant Garde" w:eastAsia="Times New Roman" w:hAnsi="ITC Avant Garde"/>
          <w:bCs/>
          <w:color w:val="000000" w:themeColor="text1"/>
          <w:lang w:eastAsia="es-MX"/>
        </w:rPr>
        <w:t xml:space="preserve"> </w:t>
      </w:r>
      <w:r w:rsidRPr="00A75729">
        <w:rPr>
          <w:rFonts w:ascii="ITC Avant Garde" w:eastAsia="Times New Roman" w:hAnsi="ITC Avant Garde"/>
          <w:bCs/>
          <w:color w:val="000000" w:themeColor="text1"/>
          <w:lang w:eastAsia="es-MX"/>
        </w:rPr>
        <w:t xml:space="preserve">Grupo Multimedios </w:t>
      </w:r>
      <w:r w:rsidR="004E2367" w:rsidRPr="00A75729">
        <w:rPr>
          <w:rFonts w:ascii="ITC Avant Garde" w:eastAsia="Times New Roman" w:hAnsi="ITC Avant Garde"/>
          <w:bCs/>
          <w:color w:val="000000" w:themeColor="text1"/>
          <w:lang w:eastAsia="es-MX"/>
        </w:rPr>
        <w:t>o los otros competidores identificados en la provisión de</w:t>
      </w:r>
      <w:r w:rsidRPr="00A75729">
        <w:rPr>
          <w:rFonts w:ascii="ITC Avant Garde" w:eastAsia="Times New Roman" w:hAnsi="ITC Avant Garde"/>
          <w:bCs/>
          <w:color w:val="000000" w:themeColor="text1"/>
          <w:lang w:eastAsia="es-MX"/>
        </w:rPr>
        <w:t xml:space="preserve">l </w:t>
      </w:r>
      <w:proofErr w:type="spellStart"/>
      <w:r w:rsidRPr="00A75729">
        <w:rPr>
          <w:rFonts w:ascii="ITC Avant Garde" w:eastAsia="Times New Roman" w:hAnsi="ITC Avant Garde"/>
          <w:bCs/>
          <w:color w:val="000000" w:themeColor="text1"/>
          <w:lang w:eastAsia="es-MX"/>
        </w:rPr>
        <w:t>SRSAC</w:t>
      </w:r>
      <w:proofErr w:type="spellEnd"/>
      <w:r w:rsidRPr="00A75729">
        <w:rPr>
          <w:rFonts w:ascii="ITC Avant Garde" w:eastAsia="Times New Roman" w:hAnsi="ITC Avant Garde"/>
          <w:bCs/>
          <w:color w:val="000000" w:themeColor="text1"/>
          <w:lang w:eastAsia="es-MX"/>
        </w:rPr>
        <w:t xml:space="preserve"> </w:t>
      </w:r>
      <w:r w:rsidR="004E2367" w:rsidRPr="00A75729">
        <w:rPr>
          <w:rFonts w:ascii="ITC Avant Garde" w:eastAsia="Times New Roman" w:hAnsi="ITC Avant Garde"/>
          <w:bCs/>
          <w:color w:val="000000" w:themeColor="text1"/>
          <w:lang w:eastAsia="es-MX"/>
        </w:rPr>
        <w:t xml:space="preserve">en </w:t>
      </w:r>
      <w:r w:rsidR="004E2367" w:rsidRPr="00A75729">
        <w:rPr>
          <w:rFonts w:ascii="ITC Avant Garde" w:hAnsi="ITC Avant Garde" w:cs="ITC Avant Garde"/>
          <w:bCs/>
          <w:lang w:val="es-ES_tradnl"/>
        </w:rPr>
        <w:t xml:space="preserve">Ojo de Agua, </w:t>
      </w:r>
      <w:r w:rsidR="00B07A7D" w:rsidRPr="00A75729">
        <w:rPr>
          <w:rFonts w:ascii="ITC Avant Garde" w:hAnsi="ITC Avant Garde" w:cs="ITC Avant Garde"/>
          <w:bCs/>
          <w:lang w:val="es-ES_tradnl"/>
        </w:rPr>
        <w:t xml:space="preserve">Juárez, Cadereyta y Montemorelos, </w:t>
      </w:r>
      <w:r w:rsidR="004E2367" w:rsidRPr="00A75729">
        <w:rPr>
          <w:rFonts w:ascii="ITC Avant Garde" w:hAnsi="ITC Avant Garde" w:cs="ITC Avant Garde"/>
          <w:bCs/>
          <w:lang w:val="es-ES_tradnl"/>
        </w:rPr>
        <w:t>Nuevo León</w:t>
      </w:r>
      <w:r w:rsidR="004E2367" w:rsidRPr="00A75729">
        <w:rPr>
          <w:rFonts w:ascii="ITC Avant Garde" w:eastAsia="Times New Roman" w:hAnsi="ITC Avant Garde"/>
          <w:bCs/>
          <w:color w:val="000000" w:themeColor="text1"/>
          <w:lang w:eastAsia="es-MX"/>
        </w:rPr>
        <w:t>, estén involucrados en algún procedimiento para investigar un posible daño al proceso de competencia y libre concurrencia</w:t>
      </w:r>
      <w:r w:rsidR="00BF2320" w:rsidRPr="00A75729">
        <w:rPr>
          <w:rFonts w:ascii="ITC Avant Garde" w:eastAsia="Times New Roman" w:hAnsi="ITC Avant Garde"/>
          <w:bCs/>
          <w:color w:val="000000" w:themeColor="text1"/>
          <w:lang w:eastAsia="es-MX"/>
        </w:rPr>
        <w:t xml:space="preserve"> en ese servicio</w:t>
      </w:r>
      <w:r w:rsidR="006B7103" w:rsidRPr="00A75729">
        <w:rPr>
          <w:rFonts w:ascii="ITC Avant Garde" w:eastAsia="Times New Roman" w:hAnsi="ITC Avant Garde"/>
          <w:bCs/>
          <w:color w:val="000000" w:themeColor="text1"/>
          <w:lang w:eastAsia="es-MX"/>
        </w:rPr>
        <w:t>.</w:t>
      </w:r>
    </w:p>
    <w:p w:rsidR="006B7103" w:rsidRPr="00A75729" w:rsidRDefault="005C64A9" w:rsidP="005C64A9">
      <w:pPr>
        <w:pStyle w:val="Ttulo5"/>
        <w:numPr>
          <w:ilvl w:val="0"/>
          <w:numId w:val="0"/>
        </w:numPr>
        <w:spacing w:before="360" w:after="0"/>
        <w:rPr>
          <w:lang w:val="es-MX" w:eastAsia="en-US"/>
        </w:rPr>
      </w:pPr>
      <w:bookmarkStart w:id="238" w:name="_Toc519100876"/>
      <w:r>
        <w:rPr>
          <w:rFonts w:eastAsia="Times New Roman"/>
        </w:rPr>
        <w:t xml:space="preserve">5.4.4.4 </w:t>
      </w:r>
      <w:r w:rsidR="006B7103" w:rsidRPr="00A75729">
        <w:rPr>
          <w:lang w:val="es-MX" w:eastAsia="en-US"/>
        </w:rPr>
        <w:t xml:space="preserve">Efectos </w:t>
      </w:r>
      <w:r w:rsidR="00E321C2" w:rsidRPr="00A75729">
        <w:rPr>
          <w:lang w:val="es-MX" w:eastAsia="en-US"/>
        </w:rPr>
        <w:t>de</w:t>
      </w:r>
      <w:r w:rsidR="006B7103" w:rsidRPr="00A75729">
        <w:rPr>
          <w:lang w:val="es-MX" w:eastAsia="en-US"/>
        </w:rPr>
        <w:t xml:space="preserve"> la Operación</w:t>
      </w:r>
      <w:r w:rsidR="00E321C2" w:rsidRPr="00A75729">
        <w:rPr>
          <w:lang w:val="es-MX" w:eastAsia="en-US"/>
        </w:rPr>
        <w:t xml:space="preserve"> en el Servicio Evaluado</w:t>
      </w:r>
      <w:bookmarkEnd w:id="238"/>
    </w:p>
    <w:p w:rsidR="00ED0A42" w:rsidRPr="00A75729" w:rsidRDefault="00E321C2" w:rsidP="00DD1E89">
      <w:pPr>
        <w:rPr>
          <w:rFonts w:eastAsia="Times New Roman"/>
          <w:lang w:eastAsia="es-ES"/>
        </w:rPr>
      </w:pPr>
      <w:r w:rsidRPr="00A75729">
        <w:rPr>
          <w:rFonts w:eastAsia="Times New Roman"/>
          <w:lang w:eastAsia="es-ES"/>
        </w:rPr>
        <w:t xml:space="preserve">Con base </w:t>
      </w:r>
      <w:r w:rsidR="008168FD" w:rsidRPr="00A75729">
        <w:rPr>
          <w:rFonts w:eastAsia="Times New Roman"/>
          <w:lang w:eastAsia="es-ES"/>
        </w:rPr>
        <w:t>en</w:t>
      </w:r>
      <w:r w:rsidRPr="00A75729">
        <w:rPr>
          <w:rFonts w:eastAsia="Times New Roman"/>
          <w:lang w:eastAsia="es-ES"/>
        </w:rPr>
        <w:t xml:space="preserve"> la información presentada en la sección anterior, </w:t>
      </w:r>
      <w:r w:rsidR="00ED0A42" w:rsidRPr="00A75729">
        <w:rPr>
          <w:rFonts w:eastAsia="Times New Roman"/>
          <w:lang w:eastAsia="es-ES"/>
        </w:rPr>
        <w:t>se identifican los siguientes elementos en la provisión del Servicio Evaluado:</w:t>
      </w:r>
    </w:p>
    <w:p w:rsidR="006B7103" w:rsidRDefault="009735D5" w:rsidP="00C41AE3">
      <w:pPr>
        <w:numPr>
          <w:ilvl w:val="0"/>
          <w:numId w:val="20"/>
        </w:numPr>
        <w:tabs>
          <w:tab w:val="left" w:pos="709"/>
        </w:tabs>
        <w:ind w:left="426"/>
        <w:rPr>
          <w:rFonts w:eastAsia="Times New Roman"/>
          <w:lang w:eastAsia="es-ES"/>
        </w:rPr>
      </w:pPr>
      <w:r>
        <w:rPr>
          <w:rFonts w:eastAsia="Times New Roman"/>
          <w:lang w:eastAsia="es-ES"/>
        </w:rPr>
        <w:t>En términos de la información proporcionada por las Partes, e</w:t>
      </w:r>
      <w:r w:rsidR="00E321C2" w:rsidRPr="00A75729">
        <w:rPr>
          <w:rFonts w:eastAsia="Times New Roman"/>
          <w:lang w:eastAsia="es-ES"/>
        </w:rPr>
        <w:t xml:space="preserve">l </w:t>
      </w:r>
      <w:proofErr w:type="spellStart"/>
      <w:r w:rsidR="006B7103" w:rsidRPr="00A75729">
        <w:rPr>
          <w:rFonts w:eastAsia="Times New Roman"/>
          <w:lang w:eastAsia="es-ES"/>
        </w:rPr>
        <w:t>GIE</w:t>
      </w:r>
      <w:proofErr w:type="spellEnd"/>
      <w:r w:rsidR="006B7103" w:rsidRPr="00A75729">
        <w:rPr>
          <w:rFonts w:eastAsia="Times New Roman"/>
          <w:lang w:eastAsia="es-ES"/>
        </w:rPr>
        <w:t xml:space="preserve"> </w:t>
      </w:r>
      <w:r w:rsidR="00E321C2" w:rsidRPr="00A75729">
        <w:rPr>
          <w:rFonts w:eastAsia="Times New Roman"/>
          <w:lang w:eastAsia="es-ES"/>
        </w:rPr>
        <w:t>Grupo Multimedios antes de la Operación contaba con</w:t>
      </w:r>
      <w:r w:rsidR="006B7103" w:rsidRPr="00A75729">
        <w:rPr>
          <w:rFonts w:eastAsia="Times New Roman"/>
          <w:lang w:eastAsia="es-ES"/>
        </w:rPr>
        <w:t xml:space="preserve"> 1 (una) estación </w:t>
      </w:r>
      <w:r w:rsidR="00E321C2" w:rsidRPr="00A75729">
        <w:rPr>
          <w:rFonts w:eastAsia="Times New Roman"/>
          <w:lang w:eastAsia="es-ES"/>
        </w:rPr>
        <w:t xml:space="preserve">para proveer el </w:t>
      </w:r>
      <w:proofErr w:type="spellStart"/>
      <w:r w:rsidR="00E321C2" w:rsidRPr="00A75729">
        <w:rPr>
          <w:rFonts w:eastAsia="Times New Roman"/>
          <w:lang w:eastAsia="es-ES"/>
        </w:rPr>
        <w:t>SRSAC</w:t>
      </w:r>
      <w:proofErr w:type="spellEnd"/>
      <w:r w:rsidR="00E321C2" w:rsidRPr="00A75729">
        <w:rPr>
          <w:rFonts w:eastAsia="Times New Roman"/>
          <w:lang w:eastAsia="es-ES"/>
        </w:rPr>
        <w:t xml:space="preserve"> en FM en </w:t>
      </w:r>
      <w:r w:rsidR="006B7103" w:rsidRPr="00A75729">
        <w:rPr>
          <w:rFonts w:eastAsia="Times New Roman"/>
          <w:lang w:eastAsia="es-ES"/>
        </w:rPr>
        <w:t xml:space="preserve">Ojo de Agua, </w:t>
      </w:r>
      <w:r w:rsidR="00B07A7D" w:rsidRPr="00A75729">
        <w:rPr>
          <w:rFonts w:eastAsia="Times New Roman"/>
          <w:lang w:eastAsia="es-ES"/>
        </w:rPr>
        <w:t xml:space="preserve">Montemorelos y Cadereyta, </w:t>
      </w:r>
      <w:r w:rsidR="006B7103" w:rsidRPr="00A75729">
        <w:rPr>
          <w:rFonts w:eastAsia="Times New Roman"/>
          <w:lang w:eastAsia="es-ES"/>
        </w:rPr>
        <w:t>Nuevo León</w:t>
      </w:r>
      <w:r w:rsidR="00B07A7D" w:rsidRPr="00A75729">
        <w:rPr>
          <w:rFonts w:eastAsia="Times New Roman"/>
          <w:lang w:eastAsia="es-ES"/>
        </w:rPr>
        <w:t>, mientras que en Juárez contaba con 7 (siete) estaciones</w:t>
      </w:r>
      <w:r w:rsidR="00E321C2" w:rsidRPr="00A75729">
        <w:rPr>
          <w:rFonts w:eastAsia="Times New Roman"/>
          <w:lang w:eastAsia="es-ES"/>
        </w:rPr>
        <w:t>;</w:t>
      </w:r>
      <w:r w:rsidR="006B7103" w:rsidRPr="00A75729">
        <w:rPr>
          <w:rFonts w:eastAsia="Times New Roman"/>
          <w:lang w:eastAsia="es-ES"/>
        </w:rPr>
        <w:t xml:space="preserve"> </w:t>
      </w:r>
      <w:r w:rsidR="008168FD" w:rsidRPr="00A75729">
        <w:rPr>
          <w:rFonts w:eastAsia="Times New Roman"/>
          <w:lang w:eastAsia="es-ES"/>
        </w:rPr>
        <w:t xml:space="preserve">y, </w:t>
      </w:r>
      <w:r w:rsidR="00E321C2" w:rsidRPr="00A75729">
        <w:rPr>
          <w:rFonts w:eastAsia="Times New Roman"/>
          <w:lang w:eastAsia="es-ES"/>
        </w:rPr>
        <w:t>en virtud de la Operación, acumuló 1 (una) concesión adicional</w:t>
      </w:r>
      <w:r w:rsidR="00B07A7D" w:rsidRPr="00A75729">
        <w:rPr>
          <w:rFonts w:eastAsia="Times New Roman"/>
          <w:lang w:eastAsia="es-ES"/>
        </w:rPr>
        <w:t xml:space="preserve"> en Ojo de Agua, Montemorelos y Cadereyta</w:t>
      </w:r>
      <w:r w:rsidR="00E321C2" w:rsidRPr="00A75729">
        <w:rPr>
          <w:rFonts w:eastAsia="Times New Roman"/>
          <w:lang w:eastAsia="es-ES"/>
        </w:rPr>
        <w:t xml:space="preserve">, para contar con </w:t>
      </w:r>
      <w:r w:rsidR="006B7103" w:rsidRPr="00A75729">
        <w:rPr>
          <w:rFonts w:eastAsia="Times New Roman"/>
          <w:lang w:eastAsia="es-ES"/>
        </w:rPr>
        <w:t xml:space="preserve">2 (dos) de las 4 (cuatro) estaciones </w:t>
      </w:r>
      <w:r w:rsidR="00E321C2" w:rsidRPr="00A75729">
        <w:rPr>
          <w:rFonts w:eastAsia="Times New Roman"/>
          <w:lang w:eastAsia="es-ES"/>
        </w:rPr>
        <w:t>que proveen el Servicio Evaluado</w:t>
      </w:r>
      <w:r w:rsidR="00B07A7D" w:rsidRPr="00A75729">
        <w:rPr>
          <w:rFonts w:eastAsia="Times New Roman"/>
          <w:lang w:eastAsia="es-ES"/>
        </w:rPr>
        <w:t>, mientras que en Juárez llegó a 8 (ocho) estaciones</w:t>
      </w:r>
      <w:r w:rsidR="006B7103" w:rsidRPr="00A75729">
        <w:rPr>
          <w:rFonts w:eastAsia="Times New Roman"/>
          <w:lang w:eastAsia="es-ES"/>
        </w:rPr>
        <w:t>.</w:t>
      </w:r>
    </w:p>
    <w:p w:rsidR="00925916" w:rsidRPr="00AD64A1" w:rsidRDefault="00925916" w:rsidP="00925916">
      <w:pPr>
        <w:numPr>
          <w:ilvl w:val="0"/>
          <w:numId w:val="20"/>
        </w:numPr>
        <w:tabs>
          <w:tab w:val="left" w:pos="709"/>
        </w:tabs>
        <w:ind w:left="426"/>
        <w:rPr>
          <w:rFonts w:eastAsia="Times New Roman"/>
          <w:lang w:eastAsia="es-ES"/>
        </w:rPr>
      </w:pPr>
      <w:r>
        <w:rPr>
          <w:rFonts w:eastAsia="Times New Roman"/>
          <w:lang w:eastAsia="es-ES"/>
        </w:rPr>
        <w:t>Considerando la información proporcionada por las Partes,</w:t>
      </w:r>
      <w:r w:rsidRPr="00A75729">
        <w:rPr>
          <w:rFonts w:eastAsia="Times New Roman"/>
          <w:lang w:eastAsia="es-ES"/>
        </w:rPr>
        <w:t xml:space="preserve"> </w:t>
      </w:r>
      <w:r>
        <w:rPr>
          <w:rFonts w:eastAsia="Times New Roman"/>
          <w:lang w:eastAsia="es-ES"/>
        </w:rPr>
        <w:t>e</w:t>
      </w:r>
      <w:r w:rsidR="006B7103" w:rsidRPr="00A75729">
        <w:rPr>
          <w:rFonts w:eastAsia="Times New Roman"/>
          <w:lang w:eastAsia="es-ES"/>
        </w:rPr>
        <w:t xml:space="preserve">l </w:t>
      </w:r>
      <w:proofErr w:type="spellStart"/>
      <w:r w:rsidR="006B7103" w:rsidRPr="00A75729">
        <w:rPr>
          <w:rFonts w:eastAsia="Times New Roman"/>
          <w:lang w:eastAsia="es-ES"/>
        </w:rPr>
        <w:t>GIE</w:t>
      </w:r>
      <w:proofErr w:type="spellEnd"/>
      <w:r w:rsidR="006B7103" w:rsidRPr="00A75729">
        <w:rPr>
          <w:rFonts w:eastAsia="Times New Roman"/>
          <w:lang w:eastAsia="es-ES"/>
        </w:rPr>
        <w:t xml:space="preserve"> </w:t>
      </w:r>
      <w:r w:rsidR="00E321C2" w:rsidRPr="00A75729">
        <w:rPr>
          <w:rFonts w:eastAsia="Times New Roman"/>
          <w:lang w:eastAsia="es-ES"/>
        </w:rPr>
        <w:t xml:space="preserve">Grupo Multimedios es </w:t>
      </w:r>
      <w:r w:rsidR="006B7103" w:rsidRPr="00A75729">
        <w:rPr>
          <w:rFonts w:eastAsia="Times New Roman"/>
          <w:lang w:eastAsia="es-ES"/>
        </w:rPr>
        <w:t xml:space="preserve">el competidor con mayor participación en el </w:t>
      </w:r>
      <w:r w:rsidR="00E321C2" w:rsidRPr="00A75729">
        <w:rPr>
          <w:rFonts w:eastAsia="Times New Roman"/>
          <w:lang w:eastAsia="es-ES"/>
        </w:rPr>
        <w:t>S</w:t>
      </w:r>
      <w:r w:rsidR="006B7103" w:rsidRPr="00A75729">
        <w:rPr>
          <w:rFonts w:eastAsia="Times New Roman"/>
          <w:lang w:eastAsia="es-ES"/>
        </w:rPr>
        <w:t xml:space="preserve">ervicio </w:t>
      </w:r>
      <w:r w:rsidR="00E321C2" w:rsidRPr="00A75729">
        <w:rPr>
          <w:rFonts w:eastAsia="Times New Roman"/>
          <w:lang w:eastAsia="es-ES"/>
        </w:rPr>
        <w:t>E</w:t>
      </w:r>
      <w:r w:rsidR="006B7103" w:rsidRPr="00A75729">
        <w:rPr>
          <w:rFonts w:eastAsia="Times New Roman"/>
          <w:lang w:eastAsia="es-ES"/>
        </w:rPr>
        <w:t>valuado</w:t>
      </w:r>
      <w:r w:rsidR="006B7103" w:rsidRPr="00A75729" w:rsidDel="00980677">
        <w:rPr>
          <w:rFonts w:eastAsia="Times New Roman"/>
          <w:lang w:eastAsia="es-ES"/>
        </w:rPr>
        <w:t xml:space="preserve"> </w:t>
      </w:r>
      <w:r w:rsidR="006B7103" w:rsidRPr="00A75729">
        <w:rPr>
          <w:rFonts w:eastAsia="Times New Roman"/>
          <w:lang w:eastAsia="es-ES"/>
        </w:rPr>
        <w:t xml:space="preserve">con </w:t>
      </w:r>
      <w:r w:rsidR="006B7103" w:rsidRPr="00A75729">
        <w:rPr>
          <w:rFonts w:eastAsia="Times New Roman"/>
          <w:b/>
          <w:lang w:eastAsia="es-ES"/>
        </w:rPr>
        <w:t>50% (cincuenta por ciento)</w:t>
      </w:r>
      <w:r w:rsidR="00E321C2" w:rsidRPr="00A75729">
        <w:rPr>
          <w:rFonts w:eastAsia="Times New Roman"/>
          <w:lang w:eastAsia="es-ES"/>
        </w:rPr>
        <w:t xml:space="preserve"> en términos del número de estaciones</w:t>
      </w:r>
      <w:r w:rsidR="00B07A7D" w:rsidRPr="00A75729">
        <w:rPr>
          <w:rFonts w:eastAsia="Times New Roman"/>
          <w:lang w:eastAsia="es-ES"/>
        </w:rPr>
        <w:t xml:space="preserve"> en Ojo de Agua</w:t>
      </w:r>
      <w:r>
        <w:rPr>
          <w:rFonts w:eastAsia="Times New Roman"/>
          <w:lang w:eastAsia="es-ES"/>
        </w:rPr>
        <w:t xml:space="preserve">. </w:t>
      </w:r>
      <w:r w:rsidR="00B44B9F" w:rsidRPr="00925916">
        <w:rPr>
          <w:rFonts w:eastAsia="Times New Roman"/>
          <w:lang w:eastAsia="es-ES"/>
        </w:rPr>
        <w:t xml:space="preserve">En las localidades adicionales evaluadas: Juárez, Cadereyta y Montemorelos, el </w:t>
      </w:r>
      <w:proofErr w:type="spellStart"/>
      <w:r w:rsidR="00B44B9F" w:rsidRPr="00925916">
        <w:rPr>
          <w:rFonts w:eastAsia="Times New Roman"/>
          <w:lang w:eastAsia="es-ES"/>
        </w:rPr>
        <w:t>GIE</w:t>
      </w:r>
      <w:proofErr w:type="spellEnd"/>
      <w:r w:rsidR="00B44B9F" w:rsidRPr="00925916">
        <w:rPr>
          <w:rFonts w:eastAsia="Times New Roman"/>
          <w:lang w:eastAsia="es-ES"/>
        </w:rPr>
        <w:t xml:space="preserve"> Grupo Multimedios también es el competidor con mayor participación </w:t>
      </w:r>
      <w:r w:rsidR="00BF0B35" w:rsidRPr="00AD64A1">
        <w:rPr>
          <w:rFonts w:eastAsia="Times New Roman"/>
          <w:lang w:eastAsia="es-ES"/>
        </w:rPr>
        <w:t xml:space="preserve">en términos del número de estaciones </w:t>
      </w:r>
      <w:r w:rsidR="00B44B9F" w:rsidRPr="0025348B">
        <w:rPr>
          <w:rFonts w:eastAsia="Times New Roman"/>
          <w:lang w:eastAsia="es-ES"/>
        </w:rPr>
        <w:t xml:space="preserve">con </w:t>
      </w:r>
      <w:r w:rsidR="002F5734" w:rsidRPr="0025348B">
        <w:rPr>
          <w:rFonts w:eastAsia="Times New Roman"/>
          <w:lang w:eastAsia="es-ES"/>
        </w:rPr>
        <w:t xml:space="preserve">44.44% </w:t>
      </w:r>
      <w:r w:rsidR="00401C48" w:rsidRPr="0025348B">
        <w:rPr>
          <w:rFonts w:eastAsia="Times New Roman"/>
          <w:lang w:eastAsia="es-ES"/>
        </w:rPr>
        <w:t>(</w:t>
      </w:r>
      <w:r w:rsidR="002F5734" w:rsidRPr="0025348B">
        <w:rPr>
          <w:rFonts w:eastAsia="Times New Roman"/>
          <w:lang w:eastAsia="es-ES"/>
        </w:rPr>
        <w:t xml:space="preserve">cuarenta y </w:t>
      </w:r>
      <w:proofErr w:type="gramStart"/>
      <w:r w:rsidR="002F5734" w:rsidRPr="0025348B">
        <w:rPr>
          <w:rFonts w:eastAsia="Times New Roman"/>
          <w:lang w:eastAsia="es-ES"/>
        </w:rPr>
        <w:t>cuatro punto</w:t>
      </w:r>
      <w:proofErr w:type="gramEnd"/>
      <w:r w:rsidR="002F5734" w:rsidRPr="0025348B">
        <w:rPr>
          <w:rFonts w:eastAsia="Times New Roman"/>
          <w:lang w:eastAsia="es-ES"/>
        </w:rPr>
        <w:t xml:space="preserve"> cuarenta y cuatro </w:t>
      </w:r>
      <w:r w:rsidR="00401C48" w:rsidRPr="00237109">
        <w:rPr>
          <w:rFonts w:eastAsia="Times New Roman"/>
          <w:lang w:eastAsia="es-ES"/>
        </w:rPr>
        <w:t>por ciento)</w:t>
      </w:r>
      <w:r w:rsidR="00B44B9F" w:rsidRPr="00237109">
        <w:rPr>
          <w:rFonts w:eastAsia="Times New Roman"/>
          <w:lang w:eastAsia="es-ES"/>
        </w:rPr>
        <w:t>, 50.00% (cincuenta por ciento) y</w:t>
      </w:r>
      <w:r w:rsidR="002F5734" w:rsidRPr="00237109">
        <w:rPr>
          <w:rFonts w:eastAsia="Times New Roman"/>
          <w:lang w:eastAsia="es-ES"/>
        </w:rPr>
        <w:t xml:space="preserve"> 50.00% (cincuenta por ciento)</w:t>
      </w:r>
      <w:r w:rsidR="00B44B9F" w:rsidRPr="00237109">
        <w:rPr>
          <w:rFonts w:eastAsia="Times New Roman"/>
          <w:lang w:eastAsia="es-ES"/>
        </w:rPr>
        <w:t>, respectivamente</w:t>
      </w:r>
      <w:r w:rsidR="00B44B9F" w:rsidRPr="00AD64A1">
        <w:rPr>
          <w:rFonts w:eastAsia="Times New Roman"/>
          <w:lang w:eastAsia="es-ES"/>
        </w:rPr>
        <w:t>.</w:t>
      </w:r>
    </w:p>
    <w:p w:rsidR="00B44B9F" w:rsidRPr="00A75729" w:rsidRDefault="00925916" w:rsidP="00925916">
      <w:pPr>
        <w:tabs>
          <w:tab w:val="left" w:pos="709"/>
        </w:tabs>
        <w:ind w:left="426"/>
        <w:rPr>
          <w:rFonts w:eastAsia="Times New Roman"/>
          <w:lang w:eastAsia="es-ES"/>
        </w:rPr>
      </w:pPr>
      <w:r>
        <w:rPr>
          <w:rFonts w:eastAsia="Times New Roman"/>
          <w:lang w:eastAsia="es-ES"/>
        </w:rPr>
        <w:t>E</w:t>
      </w:r>
      <w:r w:rsidR="00DB3BA2" w:rsidRPr="00A75729">
        <w:rPr>
          <w:rFonts w:eastAsia="Times New Roman"/>
          <w:lang w:eastAsia="es-ES"/>
        </w:rPr>
        <w:t xml:space="preserve">n términos </w:t>
      </w:r>
      <w:r w:rsidR="00DB3BA2" w:rsidRPr="00412054">
        <w:rPr>
          <w:rFonts w:eastAsia="Times New Roman"/>
          <w:lang w:eastAsia="es-ES"/>
        </w:rPr>
        <w:t xml:space="preserve">del número de estaciones proporcionado por la </w:t>
      </w:r>
      <w:proofErr w:type="spellStart"/>
      <w:r w:rsidR="00DB3BA2" w:rsidRPr="00412054">
        <w:rPr>
          <w:rFonts w:eastAsia="Times New Roman"/>
          <w:lang w:eastAsia="es-ES"/>
        </w:rPr>
        <w:t>UER</w:t>
      </w:r>
      <w:proofErr w:type="spellEnd"/>
      <w:r w:rsidRPr="00412054">
        <w:rPr>
          <w:rFonts w:eastAsia="Times New Roman"/>
          <w:lang w:eastAsia="es-ES"/>
        </w:rPr>
        <w:t>,</w:t>
      </w:r>
      <w:r w:rsidR="00DB3BA2" w:rsidRPr="00412054">
        <w:rPr>
          <w:rFonts w:eastAsia="Times New Roman"/>
          <w:lang w:eastAsia="es-ES"/>
        </w:rPr>
        <w:t xml:space="preserve"> </w:t>
      </w:r>
      <w:r w:rsidRPr="00412054">
        <w:rPr>
          <w:rFonts w:eastAsia="Times New Roman"/>
          <w:lang w:eastAsia="es-ES"/>
        </w:rPr>
        <w:t xml:space="preserve">la participación del </w:t>
      </w:r>
      <w:proofErr w:type="spellStart"/>
      <w:r w:rsidRPr="00412054">
        <w:rPr>
          <w:rFonts w:eastAsia="Times New Roman"/>
          <w:lang w:eastAsia="es-ES"/>
        </w:rPr>
        <w:t>GIE</w:t>
      </w:r>
      <w:proofErr w:type="spellEnd"/>
      <w:r w:rsidRPr="00412054">
        <w:rPr>
          <w:rFonts w:eastAsia="Times New Roman"/>
          <w:lang w:eastAsia="es-ES"/>
        </w:rPr>
        <w:t xml:space="preserve"> Grupo Multimedios </w:t>
      </w:r>
      <w:r w:rsidR="00DB3BA2" w:rsidRPr="00412054">
        <w:rPr>
          <w:rFonts w:eastAsia="Times New Roman"/>
          <w:lang w:eastAsia="es-ES"/>
        </w:rPr>
        <w:t xml:space="preserve">en </w:t>
      </w:r>
      <w:r w:rsidRPr="00412054">
        <w:rPr>
          <w:rFonts w:eastAsia="Times New Roman"/>
          <w:lang w:eastAsia="es-ES"/>
        </w:rPr>
        <w:t xml:space="preserve">Ojo de Agua, </w:t>
      </w:r>
      <w:r w:rsidR="00DB3BA2" w:rsidRPr="00412054">
        <w:rPr>
          <w:rFonts w:eastAsia="Times New Roman"/>
          <w:lang w:eastAsia="es-ES"/>
        </w:rPr>
        <w:t xml:space="preserve">Juárez, Cadereyta y Montemorelos es de </w:t>
      </w:r>
      <w:r w:rsidR="00503DB1" w:rsidRPr="00412054">
        <w:rPr>
          <w:rFonts w:eastAsia="Times New Roman"/>
          <w:lang w:eastAsia="es-ES"/>
        </w:rPr>
        <w:t>hasta 16.67% (</w:t>
      </w:r>
      <w:proofErr w:type="gramStart"/>
      <w:r w:rsidR="00503DB1" w:rsidRPr="00412054">
        <w:rPr>
          <w:rFonts w:eastAsia="Times New Roman"/>
          <w:lang w:eastAsia="es-ES"/>
        </w:rPr>
        <w:t>dieciséis punto</w:t>
      </w:r>
      <w:proofErr w:type="gramEnd"/>
      <w:r w:rsidR="00503DB1" w:rsidRPr="00412054">
        <w:rPr>
          <w:rFonts w:eastAsia="Times New Roman"/>
          <w:lang w:eastAsia="es-ES"/>
        </w:rPr>
        <w:t xml:space="preserve"> sesenta y siete por ciento), 61.54% (sesenta y uno punto </w:t>
      </w:r>
      <w:r w:rsidR="00503DB1" w:rsidRPr="00412054">
        <w:rPr>
          <w:rFonts w:eastAsia="Times New Roman"/>
          <w:lang w:eastAsia="es-ES"/>
        </w:rPr>
        <w:lastRenderedPageBreak/>
        <w:t>cincuenta y cuatro por ciento) y 57.14% (cincuenta y siete punto catorce por ciento)</w:t>
      </w:r>
      <w:r w:rsidRPr="00412054">
        <w:rPr>
          <w:rFonts w:eastAsia="Times New Roman"/>
          <w:lang w:eastAsia="es-ES"/>
        </w:rPr>
        <w:t>, respectivamente.</w:t>
      </w:r>
      <w:r>
        <w:rPr>
          <w:rFonts w:eastAsia="Times New Roman"/>
          <w:lang w:eastAsia="es-ES"/>
        </w:rPr>
        <w:t xml:space="preserve"> </w:t>
      </w:r>
    </w:p>
    <w:p w:rsidR="009735D5" w:rsidRPr="007E76EC" w:rsidRDefault="007E76EC" w:rsidP="00C41AE3">
      <w:pPr>
        <w:numPr>
          <w:ilvl w:val="0"/>
          <w:numId w:val="20"/>
        </w:numPr>
        <w:tabs>
          <w:tab w:val="left" w:pos="709"/>
        </w:tabs>
        <w:ind w:left="426"/>
        <w:rPr>
          <w:rFonts w:eastAsia="Times New Roman"/>
          <w:lang w:eastAsia="es-ES"/>
        </w:rPr>
      </w:pPr>
      <w:r>
        <w:rPr>
          <w:rFonts w:eastAsia="Times New Roman"/>
          <w:lang w:eastAsia="es-ES"/>
        </w:rPr>
        <w:t>En términos de la información proporcionada por las Partes,</w:t>
      </w:r>
      <w:r w:rsidRPr="00A75729">
        <w:rPr>
          <w:rFonts w:eastAsia="Times New Roman"/>
          <w:lang w:eastAsia="es-ES"/>
        </w:rPr>
        <w:t xml:space="preserve"> </w:t>
      </w:r>
      <w:r>
        <w:rPr>
          <w:rFonts w:eastAsia="Times New Roman"/>
          <w:lang w:eastAsia="es-ES"/>
        </w:rPr>
        <w:t>e</w:t>
      </w:r>
      <w:r w:rsidR="008168FD" w:rsidRPr="00A75729">
        <w:rPr>
          <w:rFonts w:eastAsia="Times New Roman"/>
          <w:lang w:eastAsia="es-ES"/>
        </w:rPr>
        <w:t xml:space="preserve">l competidor en el </w:t>
      </w:r>
      <w:proofErr w:type="spellStart"/>
      <w:r w:rsidR="008168FD" w:rsidRPr="00A75729">
        <w:rPr>
          <w:rFonts w:eastAsia="Times New Roman"/>
          <w:lang w:eastAsia="es-ES"/>
        </w:rPr>
        <w:t>SRSAC</w:t>
      </w:r>
      <w:proofErr w:type="spellEnd"/>
      <w:r w:rsidR="008168FD" w:rsidRPr="00A75729">
        <w:rPr>
          <w:rFonts w:eastAsia="Times New Roman"/>
          <w:lang w:eastAsia="es-ES"/>
        </w:rPr>
        <w:t xml:space="preserve"> en FM en Ojo de Agua, Nuevo León, con mayor participación después del </w:t>
      </w:r>
      <w:proofErr w:type="spellStart"/>
      <w:r w:rsidR="008168FD" w:rsidRPr="00A75729">
        <w:rPr>
          <w:rFonts w:eastAsia="Times New Roman"/>
          <w:lang w:eastAsia="es-ES"/>
        </w:rPr>
        <w:t>GIE</w:t>
      </w:r>
      <w:proofErr w:type="spellEnd"/>
      <w:r w:rsidR="008168FD" w:rsidRPr="00A75729">
        <w:rPr>
          <w:rFonts w:eastAsia="Times New Roman"/>
          <w:lang w:eastAsia="es-ES"/>
        </w:rPr>
        <w:t xml:space="preserve"> Grupo Multimedios, tiene 2</w:t>
      </w:r>
      <w:r w:rsidR="003E7115" w:rsidRPr="00A75729">
        <w:rPr>
          <w:rFonts w:eastAsia="Times New Roman"/>
          <w:lang w:eastAsia="es-ES"/>
        </w:rPr>
        <w:t>5.00% (veinticinco por ciento); e</w:t>
      </w:r>
      <w:r w:rsidR="003E7115" w:rsidRPr="00A75729">
        <w:rPr>
          <w:rFonts w:cs="ITC Avant Garde"/>
          <w:bCs/>
        </w:rPr>
        <w:t xml:space="preserve">n las localidades adicionales evaluadas: Juárez, Cadereyta y Montemorelos, la participación del competidor más grande del </w:t>
      </w:r>
      <w:proofErr w:type="spellStart"/>
      <w:r w:rsidR="003E7115" w:rsidRPr="00A75729">
        <w:rPr>
          <w:rFonts w:cs="ITC Avant Garde"/>
          <w:bCs/>
        </w:rPr>
        <w:t>GIE</w:t>
      </w:r>
      <w:proofErr w:type="spellEnd"/>
      <w:r w:rsidR="003E7115" w:rsidRPr="00A75729">
        <w:rPr>
          <w:rFonts w:cs="ITC Avant Garde"/>
          <w:bCs/>
        </w:rPr>
        <w:t xml:space="preserve"> Grupo Multimedios es de </w:t>
      </w:r>
      <w:r w:rsidR="00B272D7" w:rsidRPr="00A75729">
        <w:rPr>
          <w:rFonts w:cs="ITC Avant Garde"/>
          <w:bCs/>
        </w:rPr>
        <w:t>16.67%</w:t>
      </w:r>
      <w:r w:rsidR="004241F1" w:rsidRPr="00A75729">
        <w:rPr>
          <w:rFonts w:cs="ITC Avant Garde"/>
          <w:bCs/>
        </w:rPr>
        <w:t xml:space="preserve"> (dieciséis punto sesenta y siete por ciento)</w:t>
      </w:r>
      <w:r w:rsidR="003E7115" w:rsidRPr="00A75729">
        <w:rPr>
          <w:rFonts w:cs="ITC Avant Garde"/>
          <w:bCs/>
        </w:rPr>
        <w:t xml:space="preserve">, </w:t>
      </w:r>
      <w:r w:rsidR="004241F1" w:rsidRPr="00A75729">
        <w:rPr>
          <w:rFonts w:eastAsia="Times New Roman"/>
          <w:lang w:eastAsia="es-ES"/>
        </w:rPr>
        <w:t>25.00% (veinticinco por ciento) y 25.00% (veinticinco por ciento)</w:t>
      </w:r>
      <w:r w:rsidR="00B272D7" w:rsidRPr="00A75729">
        <w:rPr>
          <w:rFonts w:cs="ITC Avant Garde"/>
          <w:bCs/>
        </w:rPr>
        <w:t xml:space="preserve">, </w:t>
      </w:r>
      <w:r w:rsidR="003E7115" w:rsidRPr="00A75729">
        <w:rPr>
          <w:rFonts w:cs="ITC Avant Garde"/>
          <w:bCs/>
        </w:rPr>
        <w:t>respectivamente.</w:t>
      </w:r>
    </w:p>
    <w:p w:rsidR="006B7103" w:rsidRPr="00A75729" w:rsidRDefault="006B7103" w:rsidP="00C41AE3">
      <w:pPr>
        <w:numPr>
          <w:ilvl w:val="0"/>
          <w:numId w:val="20"/>
        </w:numPr>
        <w:tabs>
          <w:tab w:val="left" w:pos="709"/>
        </w:tabs>
        <w:ind w:left="426"/>
        <w:rPr>
          <w:rFonts w:eastAsia="Times New Roman"/>
          <w:lang w:eastAsia="es-ES"/>
        </w:rPr>
      </w:pPr>
      <w:r w:rsidRPr="00A75729">
        <w:rPr>
          <w:rFonts w:eastAsia="Times New Roman"/>
          <w:b/>
          <w:color w:val="000000" w:themeColor="text1"/>
          <w:lang w:eastAsia="es-ES"/>
        </w:rPr>
        <w:t>Existen barreras a la entrada</w:t>
      </w:r>
      <w:r w:rsidRPr="00A75729">
        <w:rPr>
          <w:rFonts w:eastAsia="Times New Roman"/>
          <w:color w:val="000000" w:themeColor="text1"/>
          <w:lang w:eastAsia="es-ES"/>
        </w:rPr>
        <w:t xml:space="preserve"> </w:t>
      </w:r>
      <w:r w:rsidR="001E5F02" w:rsidRPr="00A75729">
        <w:rPr>
          <w:rFonts w:eastAsia="Times New Roman"/>
          <w:color w:val="000000" w:themeColor="text1"/>
          <w:lang w:eastAsia="es-ES"/>
        </w:rPr>
        <w:t>p</w:t>
      </w:r>
      <w:r w:rsidRPr="00A75729">
        <w:rPr>
          <w:color w:val="000000" w:themeColor="text1"/>
        </w:rPr>
        <w:t xml:space="preserve">ara proveer el </w:t>
      </w:r>
      <w:proofErr w:type="spellStart"/>
      <w:r w:rsidRPr="00A75729">
        <w:rPr>
          <w:rFonts w:eastAsia="Times New Roman"/>
          <w:color w:val="000000" w:themeColor="text1"/>
          <w:lang w:eastAsia="es-ES"/>
        </w:rPr>
        <w:t>SRSAC</w:t>
      </w:r>
      <w:proofErr w:type="spellEnd"/>
      <w:r w:rsidR="00C6106A" w:rsidRPr="00A75729">
        <w:rPr>
          <w:color w:val="000000" w:themeColor="text1"/>
        </w:rPr>
        <w:t xml:space="preserve">, pues </w:t>
      </w:r>
      <w:r w:rsidRPr="00A75729">
        <w:rPr>
          <w:color w:val="000000" w:themeColor="text1"/>
        </w:rPr>
        <w:t>es necesario contar con una concesión para instalar una estación de radio</w:t>
      </w:r>
      <w:r w:rsidR="00E321C2" w:rsidRPr="00A75729">
        <w:rPr>
          <w:color w:val="000000" w:themeColor="text1"/>
        </w:rPr>
        <w:t>difusión sonora</w:t>
      </w:r>
      <w:r w:rsidRPr="00A75729">
        <w:rPr>
          <w:color w:val="000000" w:themeColor="text1"/>
        </w:rPr>
        <w:t xml:space="preserve">; el espectro radioeléctrico es un recurso limitado; </w:t>
      </w:r>
      <w:r w:rsidRPr="00A75729">
        <w:rPr>
          <w:rFonts w:eastAsia="Times New Roman"/>
          <w:lang w:eastAsia="es-ES"/>
        </w:rPr>
        <w:t xml:space="preserve">parte de </w:t>
      </w:r>
      <w:r w:rsidRPr="00A75729">
        <w:t xml:space="preserve">la infraestructura y equipo utilizados en la operación de estaciones de </w:t>
      </w:r>
      <w:r w:rsidR="00E321C2" w:rsidRPr="00A75729">
        <w:rPr>
          <w:color w:val="000000" w:themeColor="text1"/>
        </w:rPr>
        <w:t>radiodifusión sonora</w:t>
      </w:r>
      <w:r w:rsidR="00E321C2" w:rsidRPr="00A75729">
        <w:t xml:space="preserve"> </w:t>
      </w:r>
      <w:r w:rsidRPr="00A75729">
        <w:t>es altamente especializado, lo cual limita su uso únicamente a la o</w:t>
      </w:r>
      <w:r w:rsidR="00C6106A" w:rsidRPr="00A75729">
        <w:t xml:space="preserve">peración de estaciones de </w:t>
      </w:r>
      <w:r w:rsidR="00C6106A" w:rsidRPr="00A75729">
        <w:rPr>
          <w:color w:val="000000" w:themeColor="text1"/>
        </w:rPr>
        <w:t>radiodifusión sonora</w:t>
      </w:r>
      <w:r w:rsidR="00C6106A" w:rsidRPr="00A75729">
        <w:t xml:space="preserve">; y se requiere contar con una </w:t>
      </w:r>
      <w:r w:rsidR="00C6106A" w:rsidRPr="00A75729">
        <w:rPr>
          <w:rFonts w:eastAsia="Times New Roman"/>
          <w:lang w:eastAsia="es-ES"/>
        </w:rPr>
        <w:t>inversión inicial y tiempo necesario para instalar una estación de radiodifusión sonora</w:t>
      </w:r>
      <w:r w:rsidR="00C6106A" w:rsidRPr="00A75729">
        <w:t>.</w:t>
      </w:r>
    </w:p>
    <w:p w:rsidR="004241F1" w:rsidRPr="00A75729" w:rsidRDefault="006B7103" w:rsidP="004241F1">
      <w:pPr>
        <w:numPr>
          <w:ilvl w:val="0"/>
          <w:numId w:val="20"/>
        </w:numPr>
        <w:tabs>
          <w:tab w:val="left" w:pos="709"/>
        </w:tabs>
        <w:ind w:left="426"/>
        <w:rPr>
          <w:rFonts w:eastAsia="Times New Roman"/>
          <w:lang w:eastAsia="es-ES"/>
        </w:rPr>
      </w:pPr>
      <w:r w:rsidRPr="00A75729">
        <w:rPr>
          <w:rFonts w:eastAsia="Times New Roman"/>
          <w:color w:val="000000" w:themeColor="text1"/>
          <w:lang w:eastAsia="es-ES"/>
        </w:rPr>
        <w:t xml:space="preserve">Si bien existe disponibilidad de frecuencias para instalar estaciones de </w:t>
      </w:r>
      <w:r w:rsidR="00E321C2" w:rsidRPr="00A75729">
        <w:rPr>
          <w:color w:val="000000" w:themeColor="text1"/>
        </w:rPr>
        <w:t>radiodifusión sonora</w:t>
      </w:r>
      <w:r w:rsidR="00E321C2" w:rsidRPr="00A75729">
        <w:rPr>
          <w:rFonts w:eastAsia="Times New Roman"/>
          <w:lang w:eastAsia="es-ES"/>
        </w:rPr>
        <w:t xml:space="preserve"> </w:t>
      </w:r>
      <w:r w:rsidRPr="00A75729">
        <w:rPr>
          <w:rFonts w:eastAsia="Times New Roman"/>
          <w:lang w:eastAsia="es-ES"/>
        </w:rPr>
        <w:t>en Ojo de Agua</w:t>
      </w:r>
      <w:r w:rsidR="00B07A7D" w:rsidRPr="00A75729">
        <w:rPr>
          <w:rFonts w:eastAsia="Times New Roman"/>
          <w:lang w:eastAsia="es-ES"/>
        </w:rPr>
        <w:t xml:space="preserve"> y Montemorelos</w:t>
      </w:r>
      <w:r w:rsidRPr="00A75729">
        <w:rPr>
          <w:rFonts w:eastAsia="Times New Roman"/>
          <w:lang w:eastAsia="es-ES"/>
        </w:rPr>
        <w:t>, Nuevo León</w:t>
      </w:r>
      <w:r w:rsidRPr="00A75729">
        <w:rPr>
          <w:rFonts w:eastAsia="Times New Roman"/>
          <w:color w:val="000000" w:themeColor="text1"/>
          <w:lang w:eastAsia="es-ES"/>
        </w:rPr>
        <w:t>, conforme a</w:t>
      </w:r>
      <w:r w:rsidR="00E321C2" w:rsidRPr="00A75729">
        <w:rPr>
          <w:rFonts w:eastAsia="Times New Roman"/>
          <w:color w:val="000000" w:themeColor="text1"/>
          <w:lang w:eastAsia="es-ES"/>
        </w:rPr>
        <w:t xml:space="preserve"> </w:t>
      </w:r>
      <w:r w:rsidRPr="00A75729">
        <w:rPr>
          <w:rFonts w:eastAsia="Times New Roman"/>
          <w:color w:val="000000" w:themeColor="text1"/>
          <w:lang w:eastAsia="es-ES"/>
        </w:rPr>
        <w:t>l</w:t>
      </w:r>
      <w:r w:rsidR="00E321C2" w:rsidRPr="00A75729">
        <w:rPr>
          <w:rFonts w:eastAsia="Times New Roman"/>
          <w:color w:val="000000" w:themeColor="text1"/>
          <w:lang w:eastAsia="es-ES"/>
        </w:rPr>
        <w:t>os</w:t>
      </w:r>
      <w:r w:rsidRPr="00A75729">
        <w:rPr>
          <w:rFonts w:eastAsia="Times New Roman"/>
          <w:color w:val="000000" w:themeColor="text1"/>
          <w:lang w:eastAsia="es-ES"/>
        </w:rPr>
        <w:t xml:space="preserve"> </w:t>
      </w:r>
      <w:proofErr w:type="spellStart"/>
      <w:r w:rsidRPr="00A75729">
        <w:rPr>
          <w:rFonts w:eastAsia="Times New Roman"/>
          <w:color w:val="000000" w:themeColor="text1"/>
          <w:lang w:eastAsia="es-ES"/>
        </w:rPr>
        <w:t>PABF</w:t>
      </w:r>
      <w:proofErr w:type="spellEnd"/>
      <w:r w:rsidRPr="00A75729">
        <w:rPr>
          <w:rFonts w:eastAsia="Times New Roman"/>
          <w:color w:val="000000" w:themeColor="text1"/>
          <w:lang w:eastAsia="es-ES"/>
        </w:rPr>
        <w:t xml:space="preserve"> 2016 </w:t>
      </w:r>
      <w:r w:rsidR="00E321C2" w:rsidRPr="00A75729">
        <w:rPr>
          <w:rFonts w:eastAsia="Times New Roman"/>
          <w:color w:val="000000" w:themeColor="text1"/>
          <w:lang w:eastAsia="es-ES"/>
        </w:rPr>
        <w:t>a</w:t>
      </w:r>
      <w:r w:rsidRPr="00A75729">
        <w:rPr>
          <w:rFonts w:eastAsia="Times New Roman"/>
          <w:color w:val="000000" w:themeColor="text1"/>
          <w:lang w:eastAsia="es-ES"/>
        </w:rPr>
        <w:t xml:space="preserve"> 201</w:t>
      </w:r>
      <w:r w:rsidR="00E321C2" w:rsidRPr="00A75729">
        <w:rPr>
          <w:rFonts w:eastAsia="Times New Roman"/>
          <w:color w:val="000000" w:themeColor="text1"/>
          <w:lang w:eastAsia="es-ES"/>
        </w:rPr>
        <w:t>8</w:t>
      </w:r>
      <w:r w:rsidRPr="00A75729">
        <w:rPr>
          <w:rFonts w:eastAsia="Times New Roman"/>
          <w:color w:val="000000" w:themeColor="text1"/>
          <w:lang w:eastAsia="es-ES"/>
        </w:rPr>
        <w:t xml:space="preserve">, </w:t>
      </w:r>
      <w:r w:rsidRPr="00A75729">
        <w:rPr>
          <w:b/>
        </w:rPr>
        <w:t xml:space="preserve">no se prevé la licitación de frecuencias </w:t>
      </w:r>
      <w:r w:rsidRPr="00A75729">
        <w:t xml:space="preserve">de espectro radioeléctrico para </w:t>
      </w:r>
      <w:r w:rsidR="00E321C2" w:rsidRPr="00A75729">
        <w:t xml:space="preserve">proveer el </w:t>
      </w:r>
      <w:proofErr w:type="spellStart"/>
      <w:r w:rsidR="00E321C2" w:rsidRPr="00A75729">
        <w:t>SRSAC</w:t>
      </w:r>
      <w:proofErr w:type="spellEnd"/>
      <w:r w:rsidR="00E321C2" w:rsidRPr="00A75729">
        <w:t xml:space="preserve"> en esa</w:t>
      </w:r>
      <w:r w:rsidR="00B07A7D" w:rsidRPr="00A75729">
        <w:t>s</w:t>
      </w:r>
      <w:r w:rsidR="00E321C2" w:rsidRPr="00A75729">
        <w:t xml:space="preserve"> localidad</w:t>
      </w:r>
      <w:r w:rsidR="00B07A7D" w:rsidRPr="00A75729">
        <w:t>es</w:t>
      </w:r>
      <w:r w:rsidR="00E321C2" w:rsidRPr="00A75729">
        <w:t xml:space="preserve"> </w:t>
      </w:r>
      <w:r w:rsidRPr="00A75729">
        <w:t xml:space="preserve">en el corto plazo. Así, el grado de concentración en </w:t>
      </w:r>
      <w:r w:rsidR="00E321C2" w:rsidRPr="00A75729">
        <w:t>el Servicio Evaluado</w:t>
      </w:r>
      <w:r w:rsidRPr="00A75729">
        <w:t xml:space="preserve"> no se verá modificado en el corto o mediano </w:t>
      </w:r>
      <w:r w:rsidR="00C6106A" w:rsidRPr="00A75729">
        <w:t>plazos.</w:t>
      </w:r>
    </w:p>
    <w:p w:rsidR="004241F1" w:rsidRPr="00A75729" w:rsidRDefault="004241F1" w:rsidP="004241F1">
      <w:pPr>
        <w:tabs>
          <w:tab w:val="left" w:pos="709"/>
        </w:tabs>
        <w:ind w:left="426"/>
        <w:rPr>
          <w:rFonts w:eastAsia="Times New Roman"/>
          <w:lang w:eastAsia="es-ES"/>
        </w:rPr>
      </w:pPr>
      <w:r w:rsidRPr="00A75729">
        <w:rPr>
          <w:rFonts w:cs="ITC Avant Garde"/>
          <w:bCs/>
        </w:rPr>
        <w:t>En el caso de Juárez y Cadereyta, Nuevo León, no existe disponibilidad de frecuencias.</w:t>
      </w:r>
    </w:p>
    <w:p w:rsidR="009735D5" w:rsidRPr="0088156B" w:rsidRDefault="009735D5" w:rsidP="009735D5">
      <w:pPr>
        <w:ind w:right="-1"/>
      </w:pPr>
      <w:r w:rsidRPr="0088156B">
        <w:t xml:space="preserve">No obstante, las Partes precisaron que </w:t>
      </w:r>
      <w:r w:rsidRPr="0088156B">
        <w:rPr>
          <w:u w:val="single"/>
        </w:rPr>
        <w:t>no hay estudios de audiencia</w:t>
      </w:r>
      <w:r w:rsidRPr="0088156B">
        <w:t xml:space="preserve"> en </w:t>
      </w:r>
      <w:r w:rsidR="00237109">
        <w:t>las localidades</w:t>
      </w:r>
      <w:r w:rsidRPr="0088156B">
        <w:t xml:space="preserve"> de Ojo de Agua, Juárez, Montemorelos y Cadereyta en el Estado de Nuevo León.</w:t>
      </w:r>
      <w:r w:rsidRPr="0088156B">
        <w:rPr>
          <w:rStyle w:val="Refdenotaalpie"/>
        </w:rPr>
        <w:footnoteReference w:id="69"/>
      </w:r>
      <w:r w:rsidRPr="0088156B">
        <w:t xml:space="preserve"> </w:t>
      </w:r>
      <w:r w:rsidR="00475159" w:rsidRPr="0088156B">
        <w:t xml:space="preserve">En el Instituto tampoco se cuenta con información de audiencia del </w:t>
      </w:r>
      <w:proofErr w:type="spellStart"/>
      <w:r w:rsidR="00475159" w:rsidRPr="0088156B">
        <w:t>SRSAC</w:t>
      </w:r>
      <w:proofErr w:type="spellEnd"/>
      <w:r w:rsidR="00475159" w:rsidRPr="0088156B">
        <w:t xml:space="preserve"> para esas localidades.</w:t>
      </w:r>
    </w:p>
    <w:p w:rsidR="00B24BC9" w:rsidRPr="00A75729" w:rsidRDefault="00475159" w:rsidP="00B24BC9">
      <w:pPr>
        <w:pStyle w:val="Sinespaciado"/>
        <w:spacing w:before="120" w:after="120" w:line="276" w:lineRule="auto"/>
        <w:jc w:val="both"/>
        <w:rPr>
          <w:rFonts w:ascii="ITC Avant Garde" w:eastAsia="Times New Roman" w:hAnsi="ITC Avant Garde"/>
          <w:b/>
          <w:lang w:eastAsia="es-ES"/>
        </w:rPr>
      </w:pPr>
      <w:r w:rsidRPr="0088156B">
        <w:rPr>
          <w:rFonts w:ascii="ITC Avant Garde" w:hAnsi="ITC Avant Garde"/>
        </w:rPr>
        <w:t>Por lo anterior y considerando los elementos presentados por las Partes que se identifican en la sección 5.4.4.5</w:t>
      </w:r>
      <w:r w:rsidR="00B24BC9" w:rsidRPr="0088156B">
        <w:rPr>
          <w:rFonts w:ascii="ITC Avant Garde" w:eastAsia="Times New Roman" w:hAnsi="ITC Avant Garde"/>
          <w:b/>
          <w:bCs/>
          <w:color w:val="000000"/>
          <w:lang w:eastAsia="es-MX"/>
        </w:rPr>
        <w:t>,</w:t>
      </w:r>
      <w:r w:rsidR="00B24BC9" w:rsidRPr="004A4763">
        <w:rPr>
          <w:rFonts w:ascii="ITC Avant Garde" w:eastAsia="Times New Roman" w:hAnsi="ITC Avant Garde"/>
          <w:b/>
          <w:bCs/>
          <w:color w:val="000000"/>
          <w:lang w:eastAsia="es-MX"/>
        </w:rPr>
        <w:t xml:space="preserve"> </w:t>
      </w:r>
      <w:r w:rsidR="004A4763" w:rsidRPr="004A4763">
        <w:rPr>
          <w:rFonts w:ascii="ITC Avant Garde" w:hAnsi="ITC Avant Garde"/>
          <w:b/>
        </w:rPr>
        <w:t xml:space="preserve">no se puede concluir </w:t>
      </w:r>
      <w:r w:rsidR="00B24BC9" w:rsidRPr="00DD1E89">
        <w:rPr>
          <w:rFonts w:ascii="ITC Avant Garde" w:eastAsia="Times New Roman" w:hAnsi="ITC Avant Garde"/>
          <w:b/>
          <w:bCs/>
          <w:color w:val="000000"/>
          <w:lang w:eastAsia="es-MX"/>
        </w:rPr>
        <w:t xml:space="preserve">que </w:t>
      </w:r>
      <w:r w:rsidR="00B24BC9" w:rsidRPr="00DD1E89">
        <w:rPr>
          <w:rFonts w:ascii="ITC Avant Garde" w:eastAsia="Times New Roman" w:hAnsi="ITC Avant Garde"/>
          <w:b/>
          <w:lang w:eastAsia="es-ES"/>
        </w:rPr>
        <w:t>la Operación</w:t>
      </w:r>
      <w:r w:rsidR="00B24BC9" w:rsidRPr="00DD1E89">
        <w:rPr>
          <w:rFonts w:ascii="ITC Avant Garde" w:hAnsi="ITC Avant Garde"/>
          <w:b/>
        </w:rPr>
        <w:t xml:space="preserve"> </w:t>
      </w:r>
      <w:r w:rsidR="004A4763" w:rsidRPr="00D52378">
        <w:rPr>
          <w:rFonts w:ascii="ITC Avant Garde" w:eastAsia="Times New Roman" w:hAnsi="ITC Avant Garde"/>
          <w:b/>
          <w:lang w:eastAsia="es-ES"/>
        </w:rPr>
        <w:t>tenga</w:t>
      </w:r>
      <w:r w:rsidR="004A4763" w:rsidRPr="005F1ED1">
        <w:rPr>
          <w:rFonts w:ascii="ITC Avant Garde" w:eastAsia="Times New Roman" w:hAnsi="ITC Avant Garde"/>
          <w:b/>
          <w:lang w:eastAsia="es-ES"/>
        </w:rPr>
        <w:t xml:space="preserve"> </w:t>
      </w:r>
      <w:r w:rsidR="004C0778" w:rsidRPr="005F1ED1">
        <w:rPr>
          <w:rFonts w:ascii="ITC Avant Garde" w:eastAsia="Times New Roman" w:hAnsi="ITC Avant Garde"/>
          <w:b/>
          <w:lang w:eastAsia="es-ES"/>
        </w:rPr>
        <w:t xml:space="preserve">como </w:t>
      </w:r>
      <w:r w:rsidR="00B24BC9" w:rsidRPr="005F1ED1">
        <w:rPr>
          <w:rFonts w:ascii="ITC Avant Garde" w:eastAsia="Times New Roman" w:hAnsi="ITC Avant Garde"/>
          <w:b/>
          <w:lang w:eastAsia="es-ES"/>
        </w:rPr>
        <w:t>efecto</w:t>
      </w:r>
      <w:r w:rsidR="00B24BC9" w:rsidRPr="004A4763">
        <w:rPr>
          <w:rFonts w:ascii="ITC Avant Garde" w:eastAsia="Times New Roman" w:hAnsi="ITC Avant Garde"/>
          <w:b/>
          <w:lang w:eastAsia="es-ES"/>
        </w:rPr>
        <w:t xml:space="preserve"> disminuir, dañar o impedir la libre concurrencia y la competencia económica en el </w:t>
      </w:r>
      <w:proofErr w:type="spellStart"/>
      <w:r w:rsidR="00B24BC9" w:rsidRPr="004A4763">
        <w:rPr>
          <w:rFonts w:ascii="ITC Avant Garde" w:eastAsia="Times New Roman" w:hAnsi="ITC Avant Garde"/>
          <w:b/>
          <w:lang w:eastAsia="es-ES"/>
        </w:rPr>
        <w:t>SRSAC</w:t>
      </w:r>
      <w:proofErr w:type="spellEnd"/>
      <w:r w:rsidR="00B24BC9" w:rsidRPr="004A4763">
        <w:rPr>
          <w:rFonts w:ascii="ITC Avant Garde" w:eastAsia="Times New Roman" w:hAnsi="ITC Avant Garde"/>
          <w:b/>
          <w:lang w:eastAsia="es-ES"/>
        </w:rPr>
        <w:t xml:space="preserve"> en</w:t>
      </w:r>
      <w:r w:rsidR="00B24BC9" w:rsidRPr="00A75729">
        <w:rPr>
          <w:rFonts w:ascii="ITC Avant Garde" w:eastAsia="Times New Roman" w:hAnsi="ITC Avant Garde"/>
          <w:b/>
          <w:lang w:eastAsia="es-ES"/>
        </w:rPr>
        <w:t xml:space="preserve"> FM en </w:t>
      </w:r>
      <w:r w:rsidR="00B07A7D" w:rsidRPr="00A75729">
        <w:rPr>
          <w:rFonts w:ascii="ITC Avant Garde" w:eastAsia="Times New Roman" w:hAnsi="ITC Avant Garde"/>
          <w:b/>
          <w:lang w:eastAsia="es-ES"/>
        </w:rPr>
        <w:t xml:space="preserve">el área de cobertura de la estación </w:t>
      </w:r>
      <w:proofErr w:type="spellStart"/>
      <w:r w:rsidR="00B07A7D" w:rsidRPr="00A75729">
        <w:rPr>
          <w:rFonts w:ascii="ITC Avant Garde" w:eastAsia="Times New Roman" w:hAnsi="ITC Avant Garde"/>
          <w:b/>
          <w:lang w:eastAsia="es-ES"/>
        </w:rPr>
        <w:t>XHDD</w:t>
      </w:r>
      <w:proofErr w:type="spellEnd"/>
      <w:r w:rsidR="00B07A7D" w:rsidRPr="00A75729">
        <w:rPr>
          <w:rFonts w:ascii="ITC Avant Garde" w:eastAsia="Times New Roman" w:hAnsi="ITC Avant Garde"/>
          <w:b/>
          <w:lang w:eastAsia="es-ES"/>
        </w:rPr>
        <w:t xml:space="preserve">-FM </w:t>
      </w:r>
      <w:r w:rsidR="00A75729">
        <w:rPr>
          <w:rFonts w:ascii="ITC Avant Garde" w:eastAsia="Times New Roman" w:hAnsi="ITC Avant Garde"/>
          <w:b/>
          <w:lang w:eastAsia="es-ES"/>
        </w:rPr>
        <w:t>materia de la Operación</w:t>
      </w:r>
      <w:r w:rsidR="00B07A7D" w:rsidRPr="00A75729">
        <w:rPr>
          <w:rFonts w:ascii="ITC Avant Garde" w:eastAsia="Times New Roman" w:hAnsi="ITC Avant Garde"/>
          <w:b/>
          <w:lang w:eastAsia="es-ES"/>
        </w:rPr>
        <w:t>, que incluye a Ojo de Agua, Juárez, Cadereyta y Montemorelos, Nuevo León</w:t>
      </w:r>
      <w:r w:rsidR="00B24BC9" w:rsidRPr="00A75729">
        <w:rPr>
          <w:rFonts w:ascii="ITC Avant Garde" w:eastAsia="Times New Roman" w:hAnsi="ITC Avant Garde"/>
          <w:b/>
          <w:lang w:eastAsia="es-ES"/>
        </w:rPr>
        <w:t>.</w:t>
      </w:r>
    </w:p>
    <w:p w:rsidR="00CB739B" w:rsidRPr="00A75729" w:rsidRDefault="005C64A9" w:rsidP="005C64A9">
      <w:pPr>
        <w:pStyle w:val="Ttulo5"/>
        <w:numPr>
          <w:ilvl w:val="0"/>
          <w:numId w:val="0"/>
        </w:numPr>
        <w:spacing w:before="360" w:after="0"/>
        <w:rPr>
          <w:lang w:val="es-MX" w:eastAsia="en-US"/>
        </w:rPr>
      </w:pPr>
      <w:bookmarkStart w:id="239" w:name="_Toc519100877"/>
      <w:r w:rsidRPr="005C64A9">
        <w:rPr>
          <w:rFonts w:eastAsia="Times New Roman"/>
        </w:rPr>
        <w:lastRenderedPageBreak/>
        <w:t>5.4.4</w:t>
      </w:r>
      <w:r>
        <w:rPr>
          <w:rFonts w:eastAsia="Times New Roman"/>
        </w:rPr>
        <w:t xml:space="preserve">.5 </w:t>
      </w:r>
      <w:r w:rsidRPr="00A75729">
        <w:rPr>
          <w:lang w:val="es-MX" w:eastAsia="en-US"/>
        </w:rPr>
        <w:t>Efectos</w:t>
      </w:r>
      <w:r w:rsidR="00CB739B" w:rsidRPr="00A75729">
        <w:rPr>
          <w:lang w:val="es-MX" w:eastAsia="en-US"/>
        </w:rPr>
        <w:t xml:space="preserve"> positivos</w:t>
      </w:r>
      <w:r w:rsidR="001E1860" w:rsidRPr="00A75729">
        <w:rPr>
          <w:lang w:val="es-MX" w:eastAsia="en-US"/>
        </w:rPr>
        <w:t xml:space="preserve"> derivados de la Operación</w:t>
      </w:r>
      <w:bookmarkEnd w:id="239"/>
    </w:p>
    <w:p w:rsidR="00EF1E0C" w:rsidRPr="004A4763" w:rsidRDefault="005C64A9" w:rsidP="005C64A9">
      <w:pPr>
        <w:pStyle w:val="Ttulo6"/>
        <w:spacing w:before="360"/>
        <w:ind w:firstLine="708"/>
        <w:rPr>
          <w:rFonts w:eastAsia="Times New Roman"/>
        </w:rPr>
      </w:pPr>
      <w:r w:rsidRPr="005C64A9">
        <w:rPr>
          <w:rFonts w:ascii="ITC Avant Garde" w:eastAsia="Times New Roman" w:hAnsi="ITC Avant Garde"/>
          <w:b/>
          <w:color w:val="auto"/>
        </w:rPr>
        <w:t>5.4.4</w:t>
      </w:r>
      <w:r>
        <w:rPr>
          <w:rFonts w:ascii="ITC Avant Garde" w:eastAsia="Times New Roman" w:hAnsi="ITC Avant Garde"/>
          <w:b/>
          <w:color w:val="auto"/>
        </w:rPr>
        <w:t xml:space="preserve">.5.1 </w:t>
      </w:r>
      <w:r w:rsidR="00EF1E0C" w:rsidRPr="004A4763">
        <w:rPr>
          <w:rFonts w:ascii="ITC Avant Garde" w:eastAsia="Times New Roman" w:hAnsi="ITC Avant Garde"/>
          <w:b/>
          <w:color w:val="auto"/>
        </w:rPr>
        <w:t>Marco conceptual</w:t>
      </w:r>
    </w:p>
    <w:p w:rsidR="00CB739B" w:rsidRPr="00A75729" w:rsidRDefault="00CB739B" w:rsidP="00CB739B">
      <w:pPr>
        <w:pStyle w:val="Textoindependiente2"/>
        <w:tabs>
          <w:tab w:val="left" w:pos="426"/>
        </w:tabs>
        <w:spacing w:after="120" w:line="276" w:lineRule="auto"/>
        <w:rPr>
          <w:rFonts w:ascii="ITC Avant Garde" w:hAnsi="ITC Avant Garde"/>
          <w:sz w:val="22"/>
          <w:szCs w:val="22"/>
        </w:rPr>
      </w:pPr>
      <w:r w:rsidRPr="00A75729">
        <w:rPr>
          <w:rFonts w:ascii="ITC Avant Garde" w:hAnsi="ITC Avant Garde"/>
          <w:sz w:val="22"/>
          <w:szCs w:val="22"/>
        </w:rPr>
        <w:t>En el análisis de efectos de una concentración</w:t>
      </w:r>
      <w:r w:rsidR="004C0778" w:rsidRPr="00A75729">
        <w:rPr>
          <w:rFonts w:ascii="ITC Avant Garde" w:hAnsi="ITC Avant Garde"/>
          <w:sz w:val="22"/>
          <w:szCs w:val="22"/>
        </w:rPr>
        <w:t xml:space="preserve"> —como se refiere en la sección 5.</w:t>
      </w:r>
      <w:r w:rsidR="00767A8A">
        <w:rPr>
          <w:rFonts w:ascii="ITC Avant Garde" w:hAnsi="ITC Avant Garde"/>
          <w:sz w:val="22"/>
          <w:szCs w:val="22"/>
        </w:rPr>
        <w:t>4</w:t>
      </w:r>
      <w:r w:rsidR="004C0778" w:rsidRPr="00A75729">
        <w:rPr>
          <w:rFonts w:ascii="ITC Avant Garde" w:hAnsi="ITC Avant Garde"/>
          <w:sz w:val="22"/>
          <w:szCs w:val="22"/>
        </w:rPr>
        <w:t xml:space="preserve">.4.1 de esta resolución— </w:t>
      </w:r>
      <w:r w:rsidR="004818A3">
        <w:rPr>
          <w:rFonts w:ascii="ITC Avant Garde" w:hAnsi="ITC Avant Garde"/>
          <w:sz w:val="22"/>
          <w:szCs w:val="22"/>
        </w:rPr>
        <w:t xml:space="preserve">se </w:t>
      </w:r>
      <w:r w:rsidR="004C0778" w:rsidRPr="00A75729">
        <w:rPr>
          <w:rFonts w:ascii="ITC Avant Garde" w:hAnsi="ITC Avant Garde"/>
          <w:sz w:val="22"/>
          <w:szCs w:val="22"/>
        </w:rPr>
        <w:t>debe</w:t>
      </w:r>
      <w:r w:rsidR="004818A3">
        <w:rPr>
          <w:rFonts w:ascii="ITC Avant Garde" w:hAnsi="ITC Avant Garde"/>
          <w:sz w:val="22"/>
          <w:szCs w:val="22"/>
        </w:rPr>
        <w:t>n</w:t>
      </w:r>
      <w:r w:rsidR="004C0778" w:rsidRPr="00A75729">
        <w:rPr>
          <w:rFonts w:ascii="ITC Avant Garde" w:hAnsi="ITC Avant Garde"/>
          <w:sz w:val="22"/>
          <w:szCs w:val="22"/>
        </w:rPr>
        <w:t xml:space="preserve"> considerar los efectos positivos (i.e. </w:t>
      </w:r>
      <w:r w:rsidRPr="00A75729">
        <w:rPr>
          <w:rFonts w:ascii="ITC Avant Garde" w:hAnsi="ITC Avant Garde"/>
          <w:sz w:val="22"/>
          <w:szCs w:val="22"/>
        </w:rPr>
        <w:t>eficiencias</w:t>
      </w:r>
      <w:r w:rsidR="004C0778" w:rsidRPr="00A75729">
        <w:rPr>
          <w:rFonts w:ascii="ITC Avant Garde" w:hAnsi="ITC Avant Garde"/>
          <w:sz w:val="22"/>
          <w:szCs w:val="22"/>
        </w:rPr>
        <w:t xml:space="preserve">) </w:t>
      </w:r>
      <w:r w:rsidR="004818A3">
        <w:rPr>
          <w:rFonts w:ascii="ITC Avant Garde" w:hAnsi="ITC Avant Garde"/>
          <w:sz w:val="22"/>
          <w:szCs w:val="22"/>
        </w:rPr>
        <w:t xml:space="preserve">que acrediten las Partes, que sean </w:t>
      </w:r>
      <w:r w:rsidR="004C0778" w:rsidRPr="00A75729">
        <w:rPr>
          <w:rFonts w:ascii="ITC Avant Garde" w:hAnsi="ITC Avant Garde"/>
          <w:sz w:val="22"/>
          <w:szCs w:val="22"/>
        </w:rPr>
        <w:t xml:space="preserve">inherentes a </w:t>
      </w:r>
      <w:r w:rsidRPr="00A75729">
        <w:rPr>
          <w:rFonts w:ascii="ITC Avant Garde" w:hAnsi="ITC Avant Garde"/>
          <w:sz w:val="22"/>
          <w:szCs w:val="22"/>
        </w:rPr>
        <w:t xml:space="preserve">la concentración evaluada y que incidan favorablemente en el proceso de competencia y libre concurrencia. </w:t>
      </w:r>
    </w:p>
    <w:p w:rsidR="00CB739B" w:rsidRPr="00A75729" w:rsidRDefault="00CB739B" w:rsidP="00CB739B">
      <w:pPr>
        <w:tabs>
          <w:tab w:val="left" w:pos="426"/>
        </w:tabs>
        <w:ind w:right="-1"/>
        <w:rPr>
          <w:rFonts w:eastAsia="Times New Roman"/>
          <w:lang w:eastAsia="es-ES"/>
        </w:rPr>
      </w:pPr>
      <w:r w:rsidRPr="00A75729">
        <w:rPr>
          <w:rFonts w:eastAsia="Times New Roman"/>
          <w:lang w:eastAsia="es-ES"/>
        </w:rPr>
        <w:t>En términos generales, en la evaluación de</w:t>
      </w:r>
      <w:r w:rsidR="004C0778" w:rsidRPr="00A75729">
        <w:rPr>
          <w:rFonts w:eastAsia="Times New Roman"/>
          <w:lang w:eastAsia="es-ES"/>
        </w:rPr>
        <w:t xml:space="preserve"> efectos de las </w:t>
      </w:r>
      <w:r w:rsidRPr="00A75729">
        <w:rPr>
          <w:rFonts w:eastAsia="Times New Roman"/>
          <w:lang w:eastAsia="es-ES"/>
        </w:rPr>
        <w:t>concentraciones, cuando se identifica que genera efectos anticompetitivos</w:t>
      </w:r>
      <w:r w:rsidR="004C0778" w:rsidRPr="00A75729">
        <w:rPr>
          <w:rFonts w:eastAsia="Times New Roman"/>
          <w:lang w:eastAsia="es-ES"/>
        </w:rPr>
        <w:t xml:space="preserve"> </w:t>
      </w:r>
      <w:r w:rsidRPr="00A75729">
        <w:rPr>
          <w:rFonts w:eastAsia="Times New Roman"/>
          <w:lang w:eastAsia="es-ES"/>
        </w:rPr>
        <w:t>se analiza también si generará</w:t>
      </w:r>
      <w:r w:rsidR="004C0778" w:rsidRPr="00A75729">
        <w:rPr>
          <w:rFonts w:eastAsia="Times New Roman"/>
          <w:lang w:eastAsia="es-ES"/>
        </w:rPr>
        <w:t xml:space="preserve"> efectos positivos —</w:t>
      </w:r>
      <w:r w:rsidRPr="00A75729">
        <w:rPr>
          <w:rFonts w:eastAsia="Times New Roman"/>
          <w:lang w:eastAsia="es-ES"/>
        </w:rPr>
        <w:t>ganancias en eficiencia</w:t>
      </w:r>
      <w:r w:rsidR="004C0778" w:rsidRPr="00A75729">
        <w:rPr>
          <w:rFonts w:eastAsia="Times New Roman"/>
          <w:lang w:eastAsia="es-ES"/>
        </w:rPr>
        <w:t>—</w:t>
      </w:r>
      <w:r w:rsidRPr="00A75729">
        <w:rPr>
          <w:rFonts w:eastAsia="Times New Roman"/>
          <w:lang w:eastAsia="es-ES"/>
        </w:rPr>
        <w:t xml:space="preserve"> que </w:t>
      </w:r>
      <w:r w:rsidR="004C0778" w:rsidRPr="00A75729">
        <w:rPr>
          <w:rFonts w:eastAsia="Times New Roman"/>
          <w:lang w:eastAsia="es-ES"/>
        </w:rPr>
        <w:t xml:space="preserve">los </w:t>
      </w:r>
      <w:r w:rsidRPr="00A75729">
        <w:rPr>
          <w:rFonts w:eastAsia="Times New Roman"/>
          <w:lang w:eastAsia="es-ES"/>
        </w:rPr>
        <w:t>contrarrest</w:t>
      </w:r>
      <w:r w:rsidR="004C0778" w:rsidRPr="00A75729">
        <w:rPr>
          <w:rFonts w:eastAsia="Times New Roman"/>
          <w:lang w:eastAsia="es-ES"/>
        </w:rPr>
        <w:t>en.</w:t>
      </w:r>
    </w:p>
    <w:p w:rsidR="00CB739B" w:rsidRPr="00A75729" w:rsidRDefault="00CB739B" w:rsidP="00CB739B">
      <w:pPr>
        <w:tabs>
          <w:tab w:val="left" w:pos="426"/>
        </w:tabs>
        <w:ind w:right="-1"/>
        <w:rPr>
          <w:bCs/>
          <w:color w:val="000000"/>
        </w:rPr>
      </w:pPr>
      <w:r w:rsidRPr="00A75729">
        <w:rPr>
          <w:rFonts w:eastAsia="Times New Roman"/>
          <w:lang w:eastAsia="es-ES"/>
        </w:rPr>
        <w:t xml:space="preserve">A este respecto, </w:t>
      </w:r>
      <w:r w:rsidR="00EF1E0C" w:rsidRPr="00A75729">
        <w:rPr>
          <w:rFonts w:eastAsia="Times New Roman"/>
          <w:lang w:eastAsia="es-ES"/>
        </w:rPr>
        <w:t xml:space="preserve">se toman como referencia los criterios previstos en </w:t>
      </w:r>
      <w:r w:rsidRPr="00A75729">
        <w:rPr>
          <w:rFonts w:eastAsia="Times New Roman"/>
          <w:lang w:eastAsia="es-ES"/>
        </w:rPr>
        <w:t>el artículo 14 de las Disposiciones Regulatorias</w:t>
      </w:r>
      <w:r w:rsidR="00EF1E0C" w:rsidRPr="00A75729">
        <w:rPr>
          <w:rFonts w:eastAsia="Times New Roman"/>
          <w:lang w:eastAsia="es-ES"/>
        </w:rPr>
        <w:t xml:space="preserve"> —que </w:t>
      </w:r>
      <w:r w:rsidRPr="00A75729">
        <w:rPr>
          <w:rFonts w:eastAsia="Times New Roman"/>
          <w:b/>
          <w:lang w:eastAsia="es-ES"/>
        </w:rPr>
        <w:t>orienta</w:t>
      </w:r>
      <w:r w:rsidR="00EF1E0C" w:rsidRPr="00A75729">
        <w:rPr>
          <w:rFonts w:eastAsia="Times New Roman"/>
          <w:b/>
          <w:lang w:eastAsia="es-ES"/>
        </w:rPr>
        <w:t>n</w:t>
      </w:r>
      <w:r w:rsidRPr="00A75729">
        <w:rPr>
          <w:rFonts w:eastAsia="Times New Roman"/>
          <w:lang w:eastAsia="es-ES"/>
        </w:rPr>
        <w:t xml:space="preserve"> la evaluación de ganancias en eficiencia</w:t>
      </w:r>
      <w:r w:rsidR="00EF1E0C" w:rsidRPr="00A75729">
        <w:rPr>
          <w:rFonts w:eastAsia="Times New Roman"/>
          <w:lang w:eastAsia="es-ES"/>
        </w:rPr>
        <w:t>—</w:t>
      </w:r>
      <w:r w:rsidRPr="00A75729">
        <w:rPr>
          <w:rFonts w:eastAsia="Times New Roman"/>
          <w:lang w:eastAsia="es-ES"/>
        </w:rPr>
        <w:t xml:space="preserve"> </w:t>
      </w:r>
      <w:r w:rsidR="00EF1E0C" w:rsidRPr="00A75729">
        <w:rPr>
          <w:rFonts w:eastAsia="Times New Roman"/>
          <w:lang w:eastAsia="es-ES"/>
        </w:rPr>
        <w:t xml:space="preserve">los cuales </w:t>
      </w:r>
      <w:r w:rsidRPr="00A75729">
        <w:rPr>
          <w:rFonts w:eastAsia="Times New Roman"/>
          <w:lang w:eastAsia="es-ES"/>
        </w:rPr>
        <w:t>señala</w:t>
      </w:r>
      <w:r w:rsidR="00EF1E0C" w:rsidRPr="00A75729">
        <w:rPr>
          <w:rFonts w:eastAsia="Times New Roman"/>
          <w:lang w:eastAsia="es-ES"/>
        </w:rPr>
        <w:t xml:space="preserve">n </w:t>
      </w:r>
      <w:r w:rsidRPr="00A75729">
        <w:rPr>
          <w:rFonts w:eastAsia="Times New Roman"/>
          <w:lang w:eastAsia="es-ES"/>
        </w:rPr>
        <w:t xml:space="preserve">que </w:t>
      </w:r>
      <w:r w:rsidR="00EF1E0C" w:rsidRPr="00A75729">
        <w:rPr>
          <w:rFonts w:eastAsia="Times New Roman"/>
          <w:lang w:eastAsia="es-ES"/>
        </w:rPr>
        <w:t xml:space="preserve">tales efectos deben: </w:t>
      </w:r>
      <w:r w:rsidRPr="00A75729">
        <w:rPr>
          <w:rFonts w:eastAsia="Times New Roman"/>
          <w:lang w:eastAsia="es-ES"/>
        </w:rPr>
        <w:t xml:space="preserve">1) derivarse específicamente </w:t>
      </w:r>
      <w:r w:rsidRPr="00A75729">
        <w:rPr>
          <w:bCs/>
          <w:color w:val="000000"/>
        </w:rPr>
        <w:t>de la concentración evaluada, 2) superar de forma continua los posibles efectos anticompetitivos y 3) resultar en una mejora al bienestar del consumidor.</w:t>
      </w:r>
    </w:p>
    <w:p w:rsidR="00CB739B" w:rsidRPr="00A75729" w:rsidRDefault="00CB739B" w:rsidP="00CB739B">
      <w:pPr>
        <w:pStyle w:val="Textoindependiente2"/>
        <w:tabs>
          <w:tab w:val="left" w:pos="426"/>
        </w:tabs>
        <w:spacing w:after="120" w:line="276" w:lineRule="auto"/>
        <w:rPr>
          <w:rFonts w:ascii="ITC Avant Garde" w:hAnsi="ITC Avant Garde"/>
          <w:sz w:val="22"/>
          <w:szCs w:val="22"/>
        </w:rPr>
      </w:pPr>
      <w:r w:rsidRPr="00A75729">
        <w:rPr>
          <w:rFonts w:ascii="ITC Avant Garde" w:hAnsi="ITC Avant Garde"/>
          <w:sz w:val="22"/>
          <w:szCs w:val="22"/>
        </w:rPr>
        <w:t xml:space="preserve">En el caso que nos ocupa, toda vez que se trata de una Operación evaluada en términos del Noveno Transitorio, el análisis de ganancias en eficiencia es equivalente al análisis de </w:t>
      </w:r>
      <w:r w:rsidRPr="00A75729">
        <w:rPr>
          <w:rFonts w:ascii="ITC Avant Garde" w:hAnsi="ITC Avant Garde"/>
          <w:b/>
          <w:sz w:val="22"/>
          <w:szCs w:val="22"/>
        </w:rPr>
        <w:t>posibles efectos positivos en el sector derivados de la Operación</w:t>
      </w:r>
      <w:r w:rsidRPr="00A75729">
        <w:rPr>
          <w:rFonts w:ascii="ITC Avant Garde" w:hAnsi="ITC Avant Garde"/>
          <w:sz w:val="22"/>
          <w:szCs w:val="22"/>
        </w:rPr>
        <w:t>.</w:t>
      </w:r>
      <w:r w:rsidR="00ED3E9E">
        <w:rPr>
          <w:rFonts w:ascii="ITC Avant Garde" w:hAnsi="ITC Avant Garde"/>
          <w:sz w:val="22"/>
          <w:szCs w:val="22"/>
        </w:rPr>
        <w:t xml:space="preserve"> Asimismo, se debe </w:t>
      </w:r>
      <w:r w:rsidR="00ED3E9E" w:rsidRPr="00ED3E9E">
        <w:rPr>
          <w:rFonts w:ascii="ITC Avant Garde" w:hAnsi="ITC Avant Garde"/>
          <w:sz w:val="22"/>
          <w:szCs w:val="22"/>
        </w:rPr>
        <w:t xml:space="preserve">considerar que </w:t>
      </w:r>
      <w:r w:rsidR="00ED3E9E">
        <w:rPr>
          <w:rFonts w:ascii="ITC Avant Garde" w:hAnsi="ITC Avant Garde"/>
          <w:sz w:val="22"/>
          <w:szCs w:val="22"/>
        </w:rPr>
        <w:t xml:space="preserve">el Noveno Transitorio </w:t>
      </w:r>
      <w:r w:rsidR="00ED3E9E" w:rsidRPr="00ED3E9E">
        <w:rPr>
          <w:rFonts w:ascii="ITC Avant Garde" w:hAnsi="ITC Avant Garde"/>
          <w:sz w:val="22"/>
          <w:szCs w:val="22"/>
        </w:rPr>
        <w:t>se trata de un régimen de excepción al control de concentraciones, cesiones de concesiones y modificaciones accionarias, que tiene por objetivo e</w:t>
      </w:r>
      <w:r w:rsidR="00ED3E9E" w:rsidRPr="00ED3E9E">
        <w:rPr>
          <w:rFonts w:ascii="ITC Avant Garde" w:hAnsi="ITC Avant Garde"/>
          <w:sz w:val="22"/>
          <w:szCs w:val="22"/>
          <w:lang w:val="es-MX"/>
        </w:rPr>
        <w:t xml:space="preserve">l desarrollo de </w:t>
      </w:r>
      <w:r w:rsidR="00ED3E9E" w:rsidRPr="0088156B">
        <w:rPr>
          <w:rFonts w:ascii="ITC Avant Garde" w:hAnsi="ITC Avant Garde"/>
          <w:sz w:val="22"/>
          <w:szCs w:val="22"/>
          <w:lang w:val="es-MX"/>
        </w:rPr>
        <w:t>competidores viables en el largo plazo</w:t>
      </w:r>
      <w:r w:rsidR="00573AC9" w:rsidRPr="0088156B">
        <w:rPr>
          <w:rFonts w:ascii="ITC Avant Garde" w:hAnsi="ITC Avant Garde"/>
          <w:sz w:val="22"/>
          <w:szCs w:val="22"/>
          <w:lang w:val="es-MX"/>
        </w:rPr>
        <w:t xml:space="preserve">, siempre que esos competidores cumplan con los requisitos </w:t>
      </w:r>
      <w:r w:rsidR="001D5099">
        <w:rPr>
          <w:rFonts w:ascii="ITC Avant Garde" w:hAnsi="ITC Avant Garde"/>
          <w:sz w:val="22"/>
          <w:szCs w:val="22"/>
          <w:lang w:val="es-MX"/>
        </w:rPr>
        <w:t xml:space="preserve">establecidos en el primer párrafo de </w:t>
      </w:r>
      <w:r w:rsidR="00573AC9" w:rsidRPr="0088156B">
        <w:rPr>
          <w:rFonts w:ascii="ITC Avant Garde" w:hAnsi="ITC Avant Garde"/>
          <w:sz w:val="22"/>
          <w:szCs w:val="22"/>
          <w:lang w:val="es-MX"/>
        </w:rPr>
        <w:t>ese artículo</w:t>
      </w:r>
      <w:r w:rsidR="00ED3E9E" w:rsidRPr="0088156B">
        <w:rPr>
          <w:rFonts w:ascii="ITC Avant Garde" w:hAnsi="ITC Avant Garde"/>
          <w:sz w:val="22"/>
          <w:szCs w:val="22"/>
          <w:lang w:val="es-MX"/>
        </w:rPr>
        <w:t>.</w:t>
      </w:r>
      <w:r w:rsidR="00ED3E9E">
        <w:rPr>
          <w:rFonts w:ascii="ITC Avant Garde" w:hAnsi="ITC Avant Garde"/>
          <w:sz w:val="22"/>
          <w:szCs w:val="22"/>
        </w:rPr>
        <w:t xml:space="preserve"> </w:t>
      </w:r>
    </w:p>
    <w:p w:rsidR="00CB739B" w:rsidRPr="00A75729" w:rsidRDefault="004A4763" w:rsidP="00CB739B">
      <w:pPr>
        <w:tabs>
          <w:tab w:val="left" w:pos="426"/>
        </w:tabs>
        <w:ind w:right="-1"/>
        <w:rPr>
          <w:lang w:eastAsia="es-ES"/>
        </w:rPr>
      </w:pPr>
      <w:r>
        <w:rPr>
          <w:rFonts w:eastAsia="Times New Roman"/>
          <w:lang w:eastAsia="es-ES"/>
        </w:rPr>
        <w:t>Con base en este marco de referencia</w:t>
      </w:r>
      <w:r w:rsidR="00CB739B" w:rsidRPr="00A75729">
        <w:t xml:space="preserve">, enseguida se </w:t>
      </w:r>
      <w:r>
        <w:t xml:space="preserve">evalúan los elementos aportados por las Partes para acreditar efectos </w:t>
      </w:r>
      <w:r w:rsidR="00CC5572">
        <w:t xml:space="preserve">positivos </w:t>
      </w:r>
      <w:r>
        <w:t xml:space="preserve">que </w:t>
      </w:r>
      <w:r w:rsidR="00CC5572">
        <w:t xml:space="preserve">se lograrían con motivo de </w:t>
      </w:r>
      <w:r>
        <w:t>la Operación</w:t>
      </w:r>
      <w:r w:rsidR="00CB739B" w:rsidRPr="00A75729">
        <w:rPr>
          <w:lang w:eastAsia="es-ES"/>
        </w:rPr>
        <w:t>.</w:t>
      </w:r>
    </w:p>
    <w:p w:rsidR="00EF1E0C" w:rsidRPr="00CC5572" w:rsidRDefault="005C64A9" w:rsidP="005C64A9">
      <w:pPr>
        <w:pStyle w:val="Ttulo6"/>
        <w:spacing w:before="360"/>
        <w:ind w:firstLine="708"/>
        <w:rPr>
          <w:rFonts w:eastAsia="Times New Roman"/>
        </w:rPr>
      </w:pPr>
      <w:r>
        <w:rPr>
          <w:rFonts w:ascii="ITC Avant Garde" w:eastAsia="Times New Roman" w:hAnsi="ITC Avant Garde"/>
          <w:b/>
          <w:color w:val="auto"/>
        </w:rPr>
        <w:t xml:space="preserve">5.4.4.5.2 </w:t>
      </w:r>
      <w:r w:rsidR="00EF1E0C" w:rsidRPr="00CC5572">
        <w:rPr>
          <w:rFonts w:ascii="ITC Avant Garde" w:eastAsia="Times New Roman" w:hAnsi="ITC Avant Garde"/>
          <w:b/>
          <w:color w:val="auto"/>
        </w:rPr>
        <w:t>Elementos presentados por las Partes</w:t>
      </w:r>
    </w:p>
    <w:p w:rsidR="00CB739B" w:rsidRPr="00A75729" w:rsidRDefault="00D1072B" w:rsidP="00CB739B">
      <w:pPr>
        <w:tabs>
          <w:tab w:val="left" w:pos="426"/>
        </w:tabs>
        <w:ind w:right="-1"/>
        <w:rPr>
          <w:bCs/>
          <w:color w:val="000000"/>
        </w:rPr>
      </w:pPr>
      <w:r w:rsidRPr="00A75729">
        <w:rPr>
          <w:bCs/>
          <w:color w:val="000000"/>
        </w:rPr>
        <w:t>A continuación, se citan los elementos presentados por las Partes sobre posibles ganancias en eficiencia o efectos positivos derivados de la Operación.</w:t>
      </w:r>
      <w:r w:rsidR="008F10E9" w:rsidRPr="00A75729">
        <w:rPr>
          <w:rStyle w:val="Refdenotaalpie"/>
          <w:bCs/>
          <w:color w:val="000000"/>
        </w:rPr>
        <w:footnoteReference w:id="70"/>
      </w:r>
    </w:p>
    <w:p w:rsidR="008F10E9" w:rsidRPr="00A75729" w:rsidRDefault="008F10E9" w:rsidP="002C3DC8">
      <w:pPr>
        <w:tabs>
          <w:tab w:val="left" w:pos="426"/>
        </w:tabs>
        <w:ind w:left="567" w:right="-1"/>
        <w:rPr>
          <w:rFonts w:eastAsia="Times New Roman"/>
          <w:i/>
          <w:sz w:val="20"/>
          <w:lang w:eastAsia="es-ES"/>
        </w:rPr>
      </w:pPr>
      <w:r w:rsidRPr="00A75729">
        <w:rPr>
          <w:rFonts w:eastAsia="Times New Roman"/>
          <w:i/>
          <w:sz w:val="20"/>
          <w:lang w:eastAsia="es-ES"/>
        </w:rPr>
        <w:t xml:space="preserve">“Para concluir con el análisis de este inciso del artículo noveno transitorio de la </w:t>
      </w:r>
      <w:proofErr w:type="spellStart"/>
      <w:r w:rsidRPr="00A75729">
        <w:rPr>
          <w:rFonts w:eastAsia="Times New Roman"/>
          <w:i/>
          <w:sz w:val="20"/>
          <w:lang w:eastAsia="es-ES"/>
        </w:rPr>
        <w:t>LFTR</w:t>
      </w:r>
      <w:proofErr w:type="spellEnd"/>
      <w:r w:rsidRPr="00A75729">
        <w:rPr>
          <w:rFonts w:eastAsia="Times New Roman"/>
          <w:i/>
          <w:sz w:val="20"/>
          <w:lang w:eastAsia="es-ES"/>
        </w:rPr>
        <w:t>, se señala que la operación tendrá beneficios sobre las audiencias pues permitirá que la transmisión de una estación de radio comercial AM, siga operando. En términos generales, la operación permitirá el desarrollo viable de largo plazo de Audio Publicidad, lo cual es uno de los objetivos del régimen de excepción señalado en el artículo noveno transitorio.</w:t>
      </w:r>
    </w:p>
    <w:p w:rsidR="008F10E9" w:rsidRPr="00A75729" w:rsidRDefault="008F10E9" w:rsidP="002C3DC8">
      <w:pPr>
        <w:tabs>
          <w:tab w:val="left" w:pos="426"/>
        </w:tabs>
        <w:ind w:left="567" w:right="-1"/>
        <w:rPr>
          <w:rFonts w:eastAsia="Times New Roman"/>
          <w:i/>
          <w:sz w:val="20"/>
          <w:lang w:eastAsia="es-ES"/>
        </w:rPr>
      </w:pPr>
      <w:r w:rsidRPr="00A75729">
        <w:rPr>
          <w:rFonts w:eastAsia="Times New Roman"/>
          <w:i/>
          <w:sz w:val="20"/>
          <w:lang w:eastAsia="es-ES"/>
        </w:rPr>
        <w:lastRenderedPageBreak/>
        <w:t>(…)</w:t>
      </w:r>
    </w:p>
    <w:p w:rsidR="008F10E9" w:rsidRPr="00A75729" w:rsidRDefault="00181D4C" w:rsidP="002C3DC8">
      <w:pPr>
        <w:tabs>
          <w:tab w:val="left" w:pos="426"/>
        </w:tabs>
        <w:ind w:left="567" w:right="-1"/>
        <w:rPr>
          <w:rFonts w:eastAsia="Times New Roman"/>
          <w:i/>
          <w:sz w:val="20"/>
          <w:lang w:eastAsia="es-ES"/>
        </w:rPr>
      </w:pPr>
      <w:r w:rsidRPr="00A75729">
        <w:rPr>
          <w:rFonts w:eastAsia="Times New Roman"/>
          <w:i/>
          <w:sz w:val="20"/>
          <w:lang w:eastAsia="es-ES"/>
        </w:rPr>
        <w:t xml:space="preserve">La obligación de mantener las transmisiones de AM podría dañar la viabilidad financiera de </w:t>
      </w:r>
      <w:r w:rsidR="008F10E9" w:rsidRPr="00A75729">
        <w:rPr>
          <w:rFonts w:eastAsia="Times New Roman"/>
          <w:i/>
          <w:sz w:val="20"/>
          <w:lang w:eastAsia="es-ES"/>
        </w:rPr>
        <w:t xml:space="preserve">Audio Publicidad dada la baja audiencia que presenta. En este sentido, la adquisición de esta por parte de un agente económico como Multimedios permitiría que sus operaciones continúen. Esto sin considerar la transferencia de tecnología que podría aportar Multimedios. Dicho agente económico ha iniciado con la transición a la radio digital y multiprogramación en sus estaciones; desde 2012 solicitó la autorización para transmitir de manera digital en una de sus estaciones y en la Licitación </w:t>
      </w:r>
      <w:proofErr w:type="spellStart"/>
      <w:r w:rsidR="008F10E9" w:rsidRPr="00A75729">
        <w:rPr>
          <w:rFonts w:eastAsia="Times New Roman"/>
          <w:i/>
          <w:sz w:val="20"/>
          <w:lang w:eastAsia="es-ES"/>
        </w:rPr>
        <w:t>IFT</w:t>
      </w:r>
      <w:proofErr w:type="spellEnd"/>
      <w:r w:rsidR="008F10E9" w:rsidRPr="00A75729">
        <w:rPr>
          <w:rFonts w:eastAsia="Times New Roman"/>
          <w:i/>
          <w:sz w:val="20"/>
          <w:lang w:eastAsia="es-ES"/>
        </w:rPr>
        <w:t xml:space="preserve">-4 se comprometió a iniciar con transmisiones </w:t>
      </w:r>
      <w:proofErr w:type="spellStart"/>
      <w:r w:rsidR="008F10E9" w:rsidRPr="00A75729">
        <w:rPr>
          <w:rFonts w:eastAsia="Times New Roman"/>
          <w:i/>
          <w:sz w:val="20"/>
          <w:lang w:eastAsia="es-ES"/>
        </w:rPr>
        <w:t>IBOC</w:t>
      </w:r>
      <w:proofErr w:type="spellEnd"/>
      <w:r w:rsidR="008F10E9" w:rsidRPr="00A75729">
        <w:rPr>
          <w:rFonts w:eastAsia="Times New Roman"/>
          <w:i/>
          <w:sz w:val="20"/>
          <w:lang w:eastAsia="es-ES"/>
        </w:rPr>
        <w:t>-Híbrido.</w:t>
      </w:r>
    </w:p>
    <w:p w:rsidR="008F10E9" w:rsidRPr="00A75729" w:rsidRDefault="008F10E9" w:rsidP="002C3DC8">
      <w:pPr>
        <w:tabs>
          <w:tab w:val="left" w:pos="426"/>
        </w:tabs>
        <w:ind w:left="567" w:right="-1"/>
        <w:rPr>
          <w:rFonts w:eastAsia="Times New Roman"/>
          <w:i/>
          <w:sz w:val="20"/>
          <w:lang w:eastAsia="es-ES"/>
        </w:rPr>
      </w:pPr>
      <w:r w:rsidRPr="00A75729">
        <w:rPr>
          <w:rFonts w:eastAsia="Times New Roman"/>
          <w:i/>
          <w:sz w:val="20"/>
          <w:lang w:eastAsia="es-ES"/>
        </w:rPr>
        <w:t>En este sentido, la concentración permitirá el desarrollo de un competidor en el mercado, lo cual debe ser considerado en la evaluación de los efectos en el proceso de competencia y libre concurrencia que se haga en el sector de radiodifusión. Al ser un mercado de dos lados, se debe evaluar los efectos en ambos lados del mercado.</w:t>
      </w:r>
    </w:p>
    <w:p w:rsidR="008F10E9" w:rsidRPr="00A75729" w:rsidRDefault="008F10E9" w:rsidP="002C3DC8">
      <w:pPr>
        <w:tabs>
          <w:tab w:val="left" w:pos="426"/>
        </w:tabs>
        <w:ind w:left="567" w:right="-1"/>
        <w:rPr>
          <w:rFonts w:eastAsia="Times New Roman"/>
          <w:i/>
          <w:sz w:val="20"/>
          <w:lang w:eastAsia="es-ES"/>
        </w:rPr>
      </w:pPr>
      <w:r w:rsidRPr="00A75729">
        <w:rPr>
          <w:rFonts w:eastAsia="Times New Roman"/>
          <w:i/>
          <w:sz w:val="20"/>
          <w:lang w:eastAsia="es-ES"/>
        </w:rPr>
        <w:t>De esa manera se tiene que del lado de los anunciantes la concentración no generará algún problema de competencia pues no permitirá a Grupo Multimedios fijar los precios sin que algún otro agente pueda contrarrestarlo, ni creará barreras a la entrada. Por el lado de las audiencias, la operación permitirá la subsistencia de la operación y la transferencia de tecnología lo que repercutirá en la calidad que reciban los radio escuchas. En este sentido, la operación tendrá un efecto positivo general.</w:t>
      </w:r>
    </w:p>
    <w:p w:rsidR="008F10E9" w:rsidRPr="00A75729" w:rsidRDefault="008F10E9" w:rsidP="001F1A2C">
      <w:pPr>
        <w:ind w:left="567"/>
        <w:rPr>
          <w:i/>
          <w:sz w:val="20"/>
          <w:szCs w:val="20"/>
        </w:rPr>
      </w:pPr>
      <w:r w:rsidRPr="00A75729">
        <w:rPr>
          <w:rFonts w:eastAsia="Times New Roman" w:cs="Calibri"/>
          <w:i/>
          <w:color w:val="000000"/>
          <w:sz w:val="20"/>
          <w:szCs w:val="20"/>
          <w:lang w:eastAsia="es-ES_tradnl"/>
        </w:rPr>
        <w:t xml:space="preserve">Aunado a lo anterior, </w:t>
      </w:r>
      <w:r w:rsidRPr="00A75729">
        <w:rPr>
          <w:rFonts w:eastAsia="Times New Roman" w:cs="Calibri"/>
          <w:i/>
          <w:color w:val="000000"/>
          <w:sz w:val="20"/>
          <w:szCs w:val="20"/>
          <w:u w:val="single"/>
          <w:lang w:eastAsia="es-ES_tradnl"/>
        </w:rPr>
        <w:t>Audio Publicidad está obligado a transmitir en la frecuencia AM lo que podría dañar su viabilidad financiera. La concentración con Grupo Multimedios permitirá la continuidad de las transmisiones y en el largo plazo pueden introducirse mejoras tecnológicas en la transmisión</w:t>
      </w:r>
      <w:r w:rsidRPr="00A75729">
        <w:rPr>
          <w:rFonts w:eastAsia="Times New Roman" w:cs="Calibri"/>
          <w:i/>
          <w:color w:val="000000"/>
          <w:sz w:val="20"/>
          <w:szCs w:val="20"/>
          <w:lang w:eastAsia="es-ES_tradnl"/>
        </w:rPr>
        <w:t>.</w:t>
      </w:r>
    </w:p>
    <w:p w:rsidR="00D441C6" w:rsidRPr="00A75729" w:rsidRDefault="00D441C6" w:rsidP="001F1A2C">
      <w:pPr>
        <w:ind w:left="567"/>
        <w:rPr>
          <w:i/>
          <w:sz w:val="20"/>
          <w:szCs w:val="20"/>
        </w:rPr>
      </w:pPr>
      <w:r w:rsidRPr="00A75729">
        <w:rPr>
          <w:i/>
          <w:sz w:val="20"/>
          <w:szCs w:val="20"/>
        </w:rPr>
        <w:t>(…)</w:t>
      </w:r>
    </w:p>
    <w:p w:rsidR="00D1072B" w:rsidRPr="00A75729" w:rsidRDefault="00D1072B" w:rsidP="001F1A2C">
      <w:pPr>
        <w:ind w:left="567"/>
        <w:rPr>
          <w:i/>
          <w:sz w:val="20"/>
          <w:szCs w:val="20"/>
        </w:rPr>
      </w:pPr>
      <w:r w:rsidRPr="00A75729">
        <w:rPr>
          <w:i/>
          <w:sz w:val="20"/>
          <w:szCs w:val="20"/>
        </w:rPr>
        <w:t>ANÁLISIS DE GANANCIAS EN EFICIENCIAS</w:t>
      </w:r>
    </w:p>
    <w:p w:rsidR="00D441C6" w:rsidRPr="00A75729" w:rsidRDefault="00D441C6" w:rsidP="002C3DC8">
      <w:pPr>
        <w:tabs>
          <w:tab w:val="left" w:pos="426"/>
        </w:tabs>
        <w:ind w:left="567" w:right="-1"/>
        <w:rPr>
          <w:rFonts w:eastAsia="Times New Roman"/>
          <w:i/>
          <w:sz w:val="20"/>
          <w:lang w:eastAsia="es-ES"/>
        </w:rPr>
      </w:pPr>
      <w:r w:rsidRPr="00A75729">
        <w:rPr>
          <w:rFonts w:eastAsia="Times New Roman"/>
          <w:i/>
          <w:sz w:val="20"/>
          <w:lang w:eastAsia="es-ES"/>
        </w:rPr>
        <w:t>1 Eficiencias</w:t>
      </w:r>
    </w:p>
    <w:p w:rsidR="00D1072B" w:rsidRPr="00A75729" w:rsidRDefault="00D1072B" w:rsidP="002C3DC8">
      <w:pPr>
        <w:tabs>
          <w:tab w:val="left" w:pos="426"/>
        </w:tabs>
        <w:ind w:left="567"/>
        <w:rPr>
          <w:rFonts w:eastAsia="Times New Roman"/>
          <w:i/>
          <w:sz w:val="20"/>
          <w:lang w:eastAsia="es-ES"/>
        </w:rPr>
      </w:pPr>
      <w:r w:rsidRPr="00A75729">
        <w:rPr>
          <w:rFonts w:eastAsia="Times New Roman"/>
          <w:i/>
          <w:sz w:val="20"/>
          <w:lang w:eastAsia="es-ES"/>
        </w:rPr>
        <w:t>En la teoría económica el concepto de eficiencia se refiere a la forma en la que se utilizan los recursos (lo cuales son escasos) para generar cierto nivel de producción al menor costo posible; es decir, el aprovechamiento de los recursos para conseguir un nivel máximo de producción. Sin embargo, distintas estructuras de mercado tienen distintos impactos sobre las eficiencias. Asimismo, este concepto puede ser diferenciado por razones de temporalidad: estáticas o dinámicas.</w:t>
      </w:r>
    </w:p>
    <w:p w:rsidR="00D1072B" w:rsidRPr="00A75729" w:rsidRDefault="00D1072B" w:rsidP="006A7D5F">
      <w:pPr>
        <w:pStyle w:val="Prrafodelista"/>
        <w:numPr>
          <w:ilvl w:val="0"/>
          <w:numId w:val="38"/>
        </w:numPr>
        <w:tabs>
          <w:tab w:val="left" w:pos="426"/>
        </w:tabs>
        <w:spacing w:after="120" w:line="276" w:lineRule="auto"/>
        <w:ind w:left="1134"/>
        <w:contextualSpacing w:val="0"/>
        <w:rPr>
          <w:rFonts w:eastAsia="Times New Roman"/>
          <w:i/>
          <w:sz w:val="20"/>
          <w:lang w:eastAsia="es-ES"/>
        </w:rPr>
      </w:pPr>
      <w:r w:rsidRPr="00A75729">
        <w:rPr>
          <w:rFonts w:eastAsia="Times New Roman"/>
          <w:i/>
          <w:sz w:val="20"/>
          <w:lang w:eastAsia="es-ES"/>
        </w:rPr>
        <w:t xml:space="preserve">Estáticas: se refieren al uso de recursos dada una tecnología o un conjunto de bienes o servicios, este tipo de eficiencia se divide en </w:t>
      </w:r>
      <w:proofErr w:type="spellStart"/>
      <w:r w:rsidRPr="00A75729">
        <w:rPr>
          <w:rFonts w:eastAsia="Times New Roman"/>
          <w:i/>
          <w:sz w:val="20"/>
          <w:lang w:eastAsia="es-ES"/>
        </w:rPr>
        <w:t>asignativa</w:t>
      </w:r>
      <w:proofErr w:type="spellEnd"/>
      <w:r w:rsidRPr="00A75729">
        <w:rPr>
          <w:rFonts w:eastAsia="Times New Roman"/>
          <w:i/>
          <w:sz w:val="20"/>
          <w:lang w:eastAsia="es-ES"/>
        </w:rPr>
        <w:t xml:space="preserve"> y productiva.</w:t>
      </w:r>
    </w:p>
    <w:p w:rsidR="00D1072B" w:rsidRPr="00A75729" w:rsidRDefault="00D1072B" w:rsidP="006A7D5F">
      <w:pPr>
        <w:pStyle w:val="Prrafodelista"/>
        <w:numPr>
          <w:ilvl w:val="0"/>
          <w:numId w:val="38"/>
        </w:numPr>
        <w:tabs>
          <w:tab w:val="left" w:pos="426"/>
        </w:tabs>
        <w:spacing w:after="120" w:line="276" w:lineRule="auto"/>
        <w:ind w:left="1134"/>
        <w:contextualSpacing w:val="0"/>
        <w:rPr>
          <w:rFonts w:eastAsia="Times New Roman"/>
          <w:i/>
          <w:sz w:val="20"/>
          <w:lang w:eastAsia="es-ES"/>
        </w:rPr>
      </w:pPr>
      <w:r w:rsidRPr="00A75729">
        <w:rPr>
          <w:rFonts w:eastAsia="Times New Roman"/>
          <w:i/>
          <w:sz w:val="20"/>
          <w:lang w:eastAsia="es-ES"/>
        </w:rPr>
        <w:t>Dinámica: se refiere a la forma en la que las empresas introducen productos y/o procesos productivos nuevos (es decir, innovación).</w:t>
      </w:r>
    </w:p>
    <w:p w:rsidR="00D1072B" w:rsidRPr="00A75729" w:rsidRDefault="00D1072B" w:rsidP="002C3DC8">
      <w:pPr>
        <w:tabs>
          <w:tab w:val="left" w:pos="426"/>
        </w:tabs>
        <w:ind w:left="567"/>
        <w:rPr>
          <w:rFonts w:eastAsia="Times New Roman"/>
          <w:i/>
          <w:sz w:val="20"/>
          <w:lang w:eastAsia="es-ES"/>
        </w:rPr>
      </w:pPr>
      <w:r w:rsidRPr="00A75729">
        <w:rPr>
          <w:rFonts w:eastAsia="Times New Roman"/>
          <w:i/>
          <w:sz w:val="20"/>
          <w:lang w:eastAsia="es-ES"/>
        </w:rPr>
        <w:t xml:space="preserve">Una concentración modifica la estructura del mercado, lo cual puede generar diversos efectos algunos de los cuales pueden considerarse anticompetitivos. El análisis tradicional de una concentración se enfoca en dos aspectos: si la concentración tiene el potencial de </w:t>
      </w:r>
      <w:r w:rsidRPr="00A75729">
        <w:rPr>
          <w:rFonts w:eastAsia="Times New Roman"/>
          <w:i/>
          <w:sz w:val="20"/>
          <w:lang w:eastAsia="es-ES"/>
        </w:rPr>
        <w:lastRenderedPageBreak/>
        <w:t>generar poder sustancial de mercado (efectos unilaterales), y si la concentración favorece un comportamiento colusorio en el mercado (efectos coordinados).</w:t>
      </w:r>
    </w:p>
    <w:p w:rsidR="00D1072B" w:rsidRPr="00A75729" w:rsidRDefault="00D1072B" w:rsidP="002C3DC8">
      <w:pPr>
        <w:tabs>
          <w:tab w:val="left" w:pos="426"/>
        </w:tabs>
        <w:ind w:left="567" w:right="-1"/>
        <w:rPr>
          <w:rFonts w:eastAsia="Times New Roman"/>
          <w:i/>
          <w:sz w:val="20"/>
          <w:szCs w:val="20"/>
          <w:lang w:eastAsia="es-ES"/>
        </w:rPr>
      </w:pPr>
      <w:r w:rsidRPr="00A75729">
        <w:rPr>
          <w:rFonts w:eastAsia="Times New Roman"/>
          <w:i/>
          <w:sz w:val="20"/>
          <w:szCs w:val="20"/>
          <w:lang w:eastAsia="es-ES"/>
        </w:rPr>
        <w:t>Motta (2004) argumenta que una fusión puede causar, en la empresa fusionada y en los competidores, una mayor eficiencia y ahorro en costos derivados de economías de escala o alcance, de una mejor división del trabajo, de un cambio en la administración, de actividades de marketing, etc. Por ello, para la autorización de una concentración no sólo se deben considerar los efectos unilaterales o coordinados, sino las posibles ganancias en eficiencia o sinergia de costos que se deriven de la concentración.</w:t>
      </w:r>
    </w:p>
    <w:p w:rsidR="00D1072B" w:rsidRPr="00A75729" w:rsidRDefault="00D1072B" w:rsidP="002C3DC8">
      <w:pPr>
        <w:tabs>
          <w:tab w:val="left" w:pos="426"/>
        </w:tabs>
        <w:ind w:left="567"/>
        <w:rPr>
          <w:rFonts w:eastAsia="Times New Roman"/>
          <w:i/>
          <w:sz w:val="20"/>
          <w:lang w:eastAsia="es-ES"/>
        </w:rPr>
      </w:pPr>
      <w:r w:rsidRPr="00A75729">
        <w:rPr>
          <w:rFonts w:eastAsia="Times New Roman"/>
          <w:i/>
          <w:sz w:val="20"/>
          <w:lang w:eastAsia="es-ES"/>
        </w:rPr>
        <w:t>Las eficiencias derivadas de una concentración pueden surgir a través de diversos mecanismos. Por ejemplo, por eficiencias en la operación de la nueva entidad concentrada y que no pueden derivarse de otra vía que no sea la concentración entre agentes. Estas posibles eficiencias pueden transferirse a los consumidores vía precios, calidad de los productos o variedad de productos, entre otras. Otro tipo de eficiencias incluyen la posibilidad de explotar economías de escala, reasignar recursos, mejoras y especialización en las líneas de productos, reducción en los costos de distribución (economías de densidad), entre otras.</w:t>
      </w:r>
    </w:p>
    <w:p w:rsidR="00D1072B" w:rsidRPr="00A75729" w:rsidRDefault="00D1072B" w:rsidP="002C3DC8">
      <w:pPr>
        <w:tabs>
          <w:tab w:val="left" w:pos="426"/>
        </w:tabs>
        <w:ind w:left="567"/>
        <w:rPr>
          <w:rFonts w:eastAsia="Times New Roman"/>
          <w:i/>
          <w:sz w:val="20"/>
          <w:lang w:eastAsia="es-ES"/>
        </w:rPr>
      </w:pPr>
      <w:r w:rsidRPr="00A75729">
        <w:rPr>
          <w:rFonts w:eastAsia="Times New Roman"/>
          <w:i/>
          <w:sz w:val="20"/>
          <w:lang w:eastAsia="es-ES"/>
        </w:rPr>
        <w:t>1.1 Eficiencias aplicadas al sector de radiodifusión.</w:t>
      </w:r>
    </w:p>
    <w:p w:rsidR="00D1072B" w:rsidRPr="00A75729" w:rsidRDefault="00D1072B" w:rsidP="002C3DC8">
      <w:pPr>
        <w:tabs>
          <w:tab w:val="left" w:pos="426"/>
        </w:tabs>
        <w:ind w:left="567"/>
        <w:rPr>
          <w:rFonts w:eastAsia="Times New Roman"/>
          <w:i/>
          <w:sz w:val="20"/>
          <w:lang w:eastAsia="es-ES"/>
        </w:rPr>
      </w:pPr>
      <w:r w:rsidRPr="00A75729">
        <w:rPr>
          <w:rFonts w:eastAsia="Times New Roman"/>
          <w:i/>
          <w:sz w:val="20"/>
          <w:lang w:eastAsia="es-ES"/>
        </w:rPr>
        <w:t>Como se señaló en el análisis de los incisos a) a</w:t>
      </w:r>
      <w:r w:rsidR="001F1A2C" w:rsidRPr="00A75729">
        <w:rPr>
          <w:rFonts w:eastAsia="Times New Roman"/>
          <w:i/>
          <w:sz w:val="20"/>
          <w:lang w:eastAsia="es-ES"/>
        </w:rPr>
        <w:t xml:space="preserve"> </w:t>
      </w:r>
      <w:r w:rsidRPr="00A75729">
        <w:rPr>
          <w:rFonts w:eastAsia="Times New Roman"/>
          <w:i/>
          <w:sz w:val="20"/>
          <w:lang w:eastAsia="es-ES"/>
        </w:rPr>
        <w:t xml:space="preserve">d) del artículo Noveno transitorio de la </w:t>
      </w:r>
      <w:proofErr w:type="spellStart"/>
      <w:r w:rsidRPr="00A75729">
        <w:rPr>
          <w:rFonts w:eastAsia="Times New Roman"/>
          <w:i/>
          <w:sz w:val="20"/>
          <w:lang w:eastAsia="es-ES"/>
        </w:rPr>
        <w:t>LFTR</w:t>
      </w:r>
      <w:proofErr w:type="spellEnd"/>
      <w:r w:rsidRPr="00A75729">
        <w:rPr>
          <w:rFonts w:eastAsia="Times New Roman"/>
          <w:i/>
          <w:sz w:val="20"/>
          <w:lang w:eastAsia="es-ES"/>
        </w:rPr>
        <w:t>, los servicios de radiodifusión presentan características que lo constituyen como un mercado de dos lados.</w:t>
      </w:r>
    </w:p>
    <w:p w:rsidR="00D1072B" w:rsidRPr="00A75729" w:rsidRDefault="00D1072B" w:rsidP="002C3DC8">
      <w:pPr>
        <w:tabs>
          <w:tab w:val="left" w:pos="426"/>
        </w:tabs>
        <w:ind w:left="567"/>
        <w:rPr>
          <w:rFonts w:eastAsia="Times New Roman"/>
          <w:i/>
          <w:sz w:val="20"/>
          <w:lang w:eastAsia="es-ES"/>
        </w:rPr>
      </w:pPr>
      <w:r w:rsidRPr="00A75729">
        <w:rPr>
          <w:rFonts w:eastAsia="Times New Roman"/>
          <w:i/>
          <w:sz w:val="20"/>
          <w:lang w:eastAsia="es-ES"/>
        </w:rPr>
        <w:t>Los concesionarios que prestan servicios de radiodifusión atienden a dos tipos de consumidores los cuales tienen distintas características. Por un lado, está la población en general que puede recibir las señales, referidos comúnmente como audiencias; y por el otro, los anunciantes quienes buscan espacios dentro de las transmisiones de los concesionarios para transmitir sus pautas.</w:t>
      </w:r>
    </w:p>
    <w:p w:rsidR="00D1072B" w:rsidRPr="00A75729" w:rsidRDefault="00D1072B" w:rsidP="001F1A2C">
      <w:pPr>
        <w:ind w:left="567"/>
        <w:rPr>
          <w:i/>
          <w:sz w:val="20"/>
          <w:szCs w:val="20"/>
        </w:rPr>
      </w:pPr>
      <w:r w:rsidRPr="00A75729">
        <w:rPr>
          <w:i/>
          <w:sz w:val="20"/>
          <w:szCs w:val="20"/>
        </w:rPr>
        <w:t>Al tratarse de un mercado de dos lados es necesario evaluar las interacciones y los efectos que tienen las acciones de los radiodifusores en ambos lados del mercado. Por ejemplo, disminuciones en la calidad de las transmisiones o de los contenidos pueden hacer disminuir la audiencia y por lo tanto presionar hacia abajo los precios de los espacios de publicidad. En este caso, un efecto aparentemente negativo de un lado del mercado tiene aparejado un efecto beneficio en el otro.</w:t>
      </w:r>
    </w:p>
    <w:p w:rsidR="00D1072B" w:rsidRPr="00A75729" w:rsidRDefault="00D1072B" w:rsidP="001F1A2C">
      <w:pPr>
        <w:ind w:left="567"/>
        <w:rPr>
          <w:i/>
          <w:sz w:val="20"/>
          <w:szCs w:val="20"/>
        </w:rPr>
      </w:pPr>
      <w:r w:rsidRPr="00A75729">
        <w:rPr>
          <w:i/>
          <w:sz w:val="20"/>
          <w:szCs w:val="20"/>
        </w:rPr>
        <w:t>Un ejemplo adicional es que las empresas decidan aumentar los precios de la publicidad, esto puede tener como efecto que se retiren algunos anunciantes, lo cual, bajo la lógica de análisis de mercados de un lado, generará una pérdida en el bienestar. Sin embargo, en este mercado se debe considerar que, por lo general, los anuncios publicitarios pueden ser una externalidad negativa para los radioescuchas por lo que una disminución en el número de anuncios puede aumentar su bienestar.</w:t>
      </w:r>
    </w:p>
    <w:p w:rsidR="00D1072B" w:rsidRPr="00A75729" w:rsidRDefault="00D1072B" w:rsidP="001F1A2C">
      <w:pPr>
        <w:ind w:left="567"/>
        <w:rPr>
          <w:i/>
          <w:sz w:val="20"/>
          <w:szCs w:val="20"/>
        </w:rPr>
      </w:pPr>
      <w:r w:rsidRPr="00A75729">
        <w:rPr>
          <w:i/>
          <w:sz w:val="20"/>
          <w:szCs w:val="20"/>
        </w:rPr>
        <w:t xml:space="preserve">Para evaluar los efectos de una concentración en este tipo de mercados, así como las eficiencias que estas pueden generar, es necesario considerar las externalidades que existen entre los agentes económicos que son atendidos por la plataforma, de esta manera </w:t>
      </w:r>
      <w:r w:rsidRPr="00A75729">
        <w:rPr>
          <w:i/>
          <w:sz w:val="20"/>
          <w:szCs w:val="20"/>
        </w:rPr>
        <w:lastRenderedPageBreak/>
        <w:t>es necesario evaluar las interacciones y los efectos que tienen las acciones de los radiodifusor es en ambos lados del mercado cuando ocurren cambios en la estructura del mercado guiadas por una concentración entre competidores.</w:t>
      </w:r>
    </w:p>
    <w:p w:rsidR="00D1072B" w:rsidRPr="00A75729" w:rsidRDefault="00D1072B" w:rsidP="001F1A2C">
      <w:pPr>
        <w:ind w:left="567"/>
        <w:rPr>
          <w:i/>
          <w:sz w:val="20"/>
          <w:szCs w:val="20"/>
        </w:rPr>
      </w:pPr>
      <w:r w:rsidRPr="00A75729">
        <w:rPr>
          <w:i/>
          <w:sz w:val="20"/>
          <w:szCs w:val="20"/>
        </w:rPr>
        <w:t>De una revisión de la literatura y actuaciones de otras autoridades de competencia se ha identificado que las concentraciones de estaciones de radio pueden generar las siguientes eficiencias:</w:t>
      </w:r>
    </w:p>
    <w:p w:rsidR="00D1072B" w:rsidRPr="00A75729" w:rsidRDefault="00D1072B" w:rsidP="006A7D5F">
      <w:pPr>
        <w:pStyle w:val="Prrafodelista"/>
        <w:numPr>
          <w:ilvl w:val="0"/>
          <w:numId w:val="36"/>
        </w:numPr>
        <w:spacing w:after="120" w:line="276" w:lineRule="auto"/>
        <w:ind w:left="1134"/>
        <w:contextualSpacing w:val="0"/>
        <w:rPr>
          <w:i/>
          <w:sz w:val="20"/>
          <w:szCs w:val="20"/>
        </w:rPr>
      </w:pPr>
      <w:r w:rsidRPr="00A75729">
        <w:rPr>
          <w:i/>
          <w:sz w:val="20"/>
          <w:szCs w:val="20"/>
        </w:rPr>
        <w:t xml:space="preserve">Efecto </w:t>
      </w:r>
      <w:proofErr w:type="spellStart"/>
      <w:r w:rsidRPr="00A75729">
        <w:rPr>
          <w:i/>
          <w:sz w:val="20"/>
          <w:szCs w:val="20"/>
        </w:rPr>
        <w:t>Cournot</w:t>
      </w:r>
      <w:proofErr w:type="spellEnd"/>
      <w:r w:rsidRPr="00A75729">
        <w:rPr>
          <w:i/>
          <w:sz w:val="20"/>
          <w:szCs w:val="20"/>
        </w:rPr>
        <w:t>.</w:t>
      </w:r>
    </w:p>
    <w:p w:rsidR="00D1072B" w:rsidRPr="00A75729" w:rsidRDefault="00D1072B" w:rsidP="001F1A2C">
      <w:pPr>
        <w:ind w:left="567"/>
        <w:rPr>
          <w:i/>
          <w:sz w:val="20"/>
          <w:szCs w:val="20"/>
        </w:rPr>
      </w:pPr>
      <w:r w:rsidRPr="00A75729">
        <w:rPr>
          <w:i/>
          <w:sz w:val="20"/>
          <w:szCs w:val="20"/>
        </w:rPr>
        <w:t>Las concentraciones de radio pueden tener un efecto portafolio, si las distintas estaciones de radio son complementarias entre sí (distinto perfil o distintas zonas de cobertura) la empresa que se concentra puede ofrecer paquetes más atractivos a los anunciantes permitiéndoles llegar a una mayor cantidad de personas o a un grupo demográfico más específico.</w:t>
      </w:r>
      <w:r w:rsidR="000D2A64">
        <w:rPr>
          <w:i/>
          <w:sz w:val="20"/>
          <w:szCs w:val="20"/>
        </w:rPr>
        <w:t xml:space="preserve"> </w:t>
      </w:r>
      <w:r w:rsidRPr="00A75729">
        <w:rPr>
          <w:i/>
          <w:sz w:val="20"/>
          <w:szCs w:val="20"/>
        </w:rPr>
        <w:t>Dada la complementariedad de las estaciones de radio, los incentivos de los radiodifusores es disminuir el precio de los paquetes ya que un incremento bajaría la demanda en todas sus estaciones.</w:t>
      </w:r>
    </w:p>
    <w:p w:rsidR="00D1072B" w:rsidRPr="00A75729" w:rsidRDefault="00D1072B" w:rsidP="001F1A2C">
      <w:pPr>
        <w:ind w:left="567"/>
        <w:rPr>
          <w:i/>
          <w:sz w:val="20"/>
          <w:szCs w:val="20"/>
        </w:rPr>
      </w:pPr>
      <w:r w:rsidRPr="00A75729">
        <w:rPr>
          <w:i/>
          <w:sz w:val="20"/>
          <w:szCs w:val="20"/>
        </w:rPr>
        <w:t>Este efecto es similar a la eliminación de la doble marginalización, en lugar de que dos empresas maximicen sus beneficios, una lo realizará de manera más eficiente. A este efecto se le puede sumar la disminución de los costos de transacción, ya que los anunciantes sólo tendrán que negociar con un agente económico y alcanzaran mayores audiencias (</w:t>
      </w:r>
      <w:proofErr w:type="spellStart"/>
      <w:r w:rsidRPr="00A75729">
        <w:rPr>
          <w:i/>
          <w:sz w:val="20"/>
          <w:szCs w:val="20"/>
        </w:rPr>
        <w:t>one</w:t>
      </w:r>
      <w:proofErr w:type="spellEnd"/>
      <w:r w:rsidRPr="00A75729">
        <w:rPr>
          <w:i/>
          <w:sz w:val="20"/>
          <w:szCs w:val="20"/>
        </w:rPr>
        <w:t>-stop shopping).</w:t>
      </w:r>
    </w:p>
    <w:p w:rsidR="00D1072B" w:rsidRPr="00A75729" w:rsidRDefault="00D1072B" w:rsidP="006A7D5F">
      <w:pPr>
        <w:pStyle w:val="Prrafodelista"/>
        <w:numPr>
          <w:ilvl w:val="0"/>
          <w:numId w:val="36"/>
        </w:numPr>
        <w:spacing w:after="120" w:line="276" w:lineRule="auto"/>
        <w:ind w:left="1134"/>
        <w:contextualSpacing w:val="0"/>
        <w:rPr>
          <w:i/>
          <w:sz w:val="20"/>
          <w:szCs w:val="20"/>
        </w:rPr>
      </w:pPr>
      <w:r w:rsidRPr="00A75729">
        <w:rPr>
          <w:i/>
          <w:sz w:val="20"/>
          <w:szCs w:val="20"/>
        </w:rPr>
        <w:t>Reposicionamiento de marca.</w:t>
      </w:r>
    </w:p>
    <w:p w:rsidR="00D1072B" w:rsidRPr="00A75729" w:rsidRDefault="00D1072B" w:rsidP="001F1A2C">
      <w:pPr>
        <w:ind w:left="567"/>
        <w:rPr>
          <w:i/>
          <w:sz w:val="20"/>
          <w:szCs w:val="20"/>
        </w:rPr>
      </w:pPr>
      <w:r w:rsidRPr="00A75729">
        <w:rPr>
          <w:i/>
          <w:sz w:val="20"/>
          <w:szCs w:val="20"/>
        </w:rPr>
        <w:t>Existe evidencia de que las concentraciones pueden aumentar la variedad de las estaciones de radio. La compartición de know-how en la forma de producir contenidos puede mejorar la calidad de estos haciéndolos más atractivos para los radioescuchas y aumentando la variedad de programación. Dada la naturaleza de dos lados del mercado, esto también tendrá un efecto positivo sobre los anunciantes pues podrán llegar a una mayor audiencia o a audiencias con características más acordes con su producto.</w:t>
      </w:r>
    </w:p>
    <w:p w:rsidR="00D1072B" w:rsidRPr="00A75729" w:rsidRDefault="00D1072B" w:rsidP="006A7D5F">
      <w:pPr>
        <w:pStyle w:val="Prrafodelista"/>
        <w:keepNext/>
        <w:numPr>
          <w:ilvl w:val="0"/>
          <w:numId w:val="36"/>
        </w:numPr>
        <w:spacing w:after="120" w:line="276" w:lineRule="auto"/>
        <w:ind w:left="1134" w:hanging="357"/>
        <w:contextualSpacing w:val="0"/>
        <w:rPr>
          <w:i/>
          <w:sz w:val="20"/>
          <w:szCs w:val="20"/>
        </w:rPr>
      </w:pPr>
      <w:r w:rsidRPr="00A75729">
        <w:rPr>
          <w:i/>
          <w:sz w:val="20"/>
          <w:szCs w:val="20"/>
        </w:rPr>
        <w:t>Modificación de la estructura de mercado.</w:t>
      </w:r>
    </w:p>
    <w:p w:rsidR="00D1072B" w:rsidRPr="00A75729" w:rsidRDefault="00D1072B" w:rsidP="001F1A2C">
      <w:pPr>
        <w:ind w:left="567"/>
        <w:rPr>
          <w:i/>
          <w:sz w:val="20"/>
          <w:szCs w:val="20"/>
        </w:rPr>
      </w:pPr>
      <w:r w:rsidRPr="00A75729">
        <w:rPr>
          <w:i/>
          <w:sz w:val="20"/>
          <w:szCs w:val="20"/>
        </w:rPr>
        <w:t>El know-how compartido puede impactar cuestiones técnicas de la transmisión, lo cual puede reducir costos. La evidencia sugiere que las mejores técnicas impactan principalmente en los costos fijos de las empresas por lo que es difícil argumentar que estas se trasladaran a los consumidores, no obstante, no se descarta la posibilidad de que ocurra.</w:t>
      </w:r>
    </w:p>
    <w:p w:rsidR="00D1072B" w:rsidRPr="00A75729" w:rsidRDefault="00D1072B" w:rsidP="006A7D5F">
      <w:pPr>
        <w:pStyle w:val="Prrafodelista"/>
        <w:numPr>
          <w:ilvl w:val="0"/>
          <w:numId w:val="36"/>
        </w:numPr>
        <w:tabs>
          <w:tab w:val="left" w:pos="1251"/>
        </w:tabs>
        <w:spacing w:after="120" w:line="276" w:lineRule="auto"/>
        <w:ind w:left="1134"/>
        <w:contextualSpacing w:val="0"/>
        <w:rPr>
          <w:i/>
          <w:sz w:val="20"/>
          <w:szCs w:val="20"/>
        </w:rPr>
      </w:pPr>
      <w:r w:rsidRPr="00A75729">
        <w:rPr>
          <w:i/>
          <w:sz w:val="20"/>
          <w:szCs w:val="20"/>
        </w:rPr>
        <w:t>Eficiencias dinámicas.</w:t>
      </w:r>
    </w:p>
    <w:p w:rsidR="00D1072B" w:rsidRPr="00A75729" w:rsidRDefault="00D1072B" w:rsidP="001F1A2C">
      <w:pPr>
        <w:tabs>
          <w:tab w:val="left" w:pos="891"/>
        </w:tabs>
        <w:ind w:left="567"/>
        <w:rPr>
          <w:i/>
          <w:sz w:val="20"/>
          <w:szCs w:val="20"/>
        </w:rPr>
      </w:pPr>
      <w:r w:rsidRPr="00A75729">
        <w:rPr>
          <w:i/>
          <w:sz w:val="20"/>
          <w:szCs w:val="20"/>
        </w:rPr>
        <w:t>De manera paralela a la disminución de costos en el corto plazo derivados de una mejora en la eficiencia en la transmisión, las concentraciones en estos mercados pueden tener beneficios en un horizonte de tiempo más amplio que permita transmitir con mejor calidad a los radioescuchas, lo cual podría tener efectos positivos en los anunciantes. Entre este tipo de efectos se encuentra la inclusión de planes de modernización de las redes.</w:t>
      </w:r>
    </w:p>
    <w:p w:rsidR="00D1072B" w:rsidRPr="00A75729" w:rsidRDefault="001F1A2C" w:rsidP="001F1A2C">
      <w:pPr>
        <w:pStyle w:val="Prrafodelista"/>
        <w:tabs>
          <w:tab w:val="left" w:pos="891"/>
        </w:tabs>
        <w:spacing w:after="120" w:line="276" w:lineRule="auto"/>
        <w:ind w:left="567"/>
        <w:contextualSpacing w:val="0"/>
        <w:rPr>
          <w:i/>
          <w:sz w:val="20"/>
          <w:szCs w:val="20"/>
        </w:rPr>
      </w:pPr>
      <w:r w:rsidRPr="00A75729">
        <w:rPr>
          <w:i/>
          <w:sz w:val="20"/>
          <w:szCs w:val="20"/>
          <w:u w:val="single"/>
        </w:rPr>
        <w:t xml:space="preserve">1.1.1. </w:t>
      </w:r>
      <w:r w:rsidR="00D1072B" w:rsidRPr="00A75729">
        <w:rPr>
          <w:i/>
          <w:sz w:val="20"/>
          <w:szCs w:val="20"/>
          <w:u w:val="single"/>
        </w:rPr>
        <w:t>Eficiencias particulares de la concentración entre Audio Publicidad y Radio Triunfos</w:t>
      </w:r>
      <w:r w:rsidR="00D1072B" w:rsidRPr="00A75729">
        <w:rPr>
          <w:i/>
          <w:sz w:val="20"/>
          <w:szCs w:val="20"/>
        </w:rPr>
        <w:t xml:space="preserve">. Para el caso particular, consideramos que la concentración entre Radio Triunfos y Audio </w:t>
      </w:r>
      <w:r w:rsidR="00D1072B" w:rsidRPr="00A75729">
        <w:rPr>
          <w:i/>
          <w:sz w:val="20"/>
          <w:szCs w:val="20"/>
        </w:rPr>
        <w:lastRenderedPageBreak/>
        <w:t xml:space="preserve">Publicidad puede generar eficiencias a través del Efecto </w:t>
      </w:r>
      <w:proofErr w:type="spellStart"/>
      <w:r w:rsidR="00D1072B" w:rsidRPr="00A75729">
        <w:rPr>
          <w:i/>
          <w:sz w:val="20"/>
          <w:szCs w:val="20"/>
        </w:rPr>
        <w:t>Cournot</w:t>
      </w:r>
      <w:proofErr w:type="spellEnd"/>
      <w:r w:rsidR="00D1072B" w:rsidRPr="00A75729">
        <w:rPr>
          <w:i/>
          <w:sz w:val="20"/>
          <w:szCs w:val="20"/>
        </w:rPr>
        <w:t>, reposicionamiento de marca y a través de transferencia de tecnología que permitirá aumentar la calidad de las transmisiones Es necesario señalar que todas estas eficiencias son específicas de la concentración.</w:t>
      </w:r>
    </w:p>
    <w:p w:rsidR="00D1072B" w:rsidRPr="00A75729" w:rsidRDefault="00D1072B" w:rsidP="001F1A2C">
      <w:pPr>
        <w:tabs>
          <w:tab w:val="left" w:pos="891"/>
        </w:tabs>
        <w:ind w:left="567"/>
        <w:rPr>
          <w:i/>
          <w:sz w:val="20"/>
          <w:szCs w:val="20"/>
        </w:rPr>
      </w:pPr>
      <w:r w:rsidRPr="00A75729">
        <w:rPr>
          <w:i/>
          <w:sz w:val="20"/>
          <w:szCs w:val="20"/>
        </w:rPr>
        <w:t>A continuación, se presenta la evaluación de cada una de estas eficiencias en el marco de la concentración señalada.</w:t>
      </w:r>
    </w:p>
    <w:p w:rsidR="00D1072B" w:rsidRPr="00A75729" w:rsidRDefault="00D1072B" w:rsidP="006A7D5F">
      <w:pPr>
        <w:pStyle w:val="Prrafodelista"/>
        <w:keepNext/>
        <w:numPr>
          <w:ilvl w:val="0"/>
          <w:numId w:val="37"/>
        </w:numPr>
        <w:spacing w:after="120" w:line="276" w:lineRule="auto"/>
        <w:ind w:left="1134" w:hanging="357"/>
        <w:contextualSpacing w:val="0"/>
        <w:rPr>
          <w:i/>
          <w:sz w:val="20"/>
          <w:szCs w:val="20"/>
        </w:rPr>
      </w:pPr>
      <w:r w:rsidRPr="00A75729">
        <w:rPr>
          <w:i/>
          <w:sz w:val="20"/>
          <w:szCs w:val="20"/>
        </w:rPr>
        <w:t xml:space="preserve">Efecto </w:t>
      </w:r>
      <w:proofErr w:type="spellStart"/>
      <w:r w:rsidRPr="00A75729">
        <w:rPr>
          <w:i/>
          <w:sz w:val="20"/>
          <w:szCs w:val="20"/>
        </w:rPr>
        <w:t>Cournot</w:t>
      </w:r>
      <w:proofErr w:type="spellEnd"/>
      <w:r w:rsidRPr="00A75729">
        <w:rPr>
          <w:i/>
          <w:sz w:val="20"/>
          <w:szCs w:val="20"/>
        </w:rPr>
        <w:t>.</w:t>
      </w:r>
    </w:p>
    <w:p w:rsidR="00D1072B" w:rsidRPr="00A75729" w:rsidRDefault="00D1072B" w:rsidP="001F1A2C">
      <w:pPr>
        <w:ind w:left="567"/>
        <w:rPr>
          <w:i/>
          <w:sz w:val="20"/>
          <w:szCs w:val="20"/>
        </w:rPr>
      </w:pPr>
      <w:r w:rsidRPr="00A75729">
        <w:rPr>
          <w:i/>
          <w:sz w:val="20"/>
          <w:szCs w:val="20"/>
        </w:rPr>
        <w:t>En el caso específico de la industria de la radiodifusión, para acreditar que una concentración eliminará el problema de la doble marginalización es necesario establecer que se cumplen dos condiciones:</w:t>
      </w:r>
    </w:p>
    <w:p w:rsidR="001F1A2C" w:rsidRPr="00A75729" w:rsidRDefault="00D1072B" w:rsidP="006A7D5F">
      <w:pPr>
        <w:pStyle w:val="Prrafodelista"/>
        <w:numPr>
          <w:ilvl w:val="2"/>
          <w:numId w:val="25"/>
        </w:numPr>
        <w:spacing w:after="120" w:line="276" w:lineRule="auto"/>
        <w:ind w:left="1134"/>
        <w:contextualSpacing w:val="0"/>
        <w:rPr>
          <w:i/>
          <w:sz w:val="20"/>
          <w:szCs w:val="20"/>
        </w:rPr>
      </w:pPr>
      <w:r w:rsidRPr="00A75729">
        <w:rPr>
          <w:i/>
          <w:sz w:val="20"/>
          <w:szCs w:val="20"/>
        </w:rPr>
        <w:t>Que las estaciones de radio de las empresas que se concentran son complementarias; e</w:t>
      </w:r>
    </w:p>
    <w:p w:rsidR="00D1072B" w:rsidRPr="00A75729" w:rsidRDefault="00D1072B" w:rsidP="006A7D5F">
      <w:pPr>
        <w:pStyle w:val="Prrafodelista"/>
        <w:numPr>
          <w:ilvl w:val="2"/>
          <w:numId w:val="25"/>
        </w:numPr>
        <w:spacing w:after="120" w:line="276" w:lineRule="auto"/>
        <w:ind w:left="1134"/>
        <w:contextualSpacing w:val="0"/>
        <w:rPr>
          <w:i/>
          <w:sz w:val="20"/>
          <w:szCs w:val="20"/>
        </w:rPr>
      </w:pPr>
      <w:r w:rsidRPr="00A75729">
        <w:rPr>
          <w:i/>
          <w:sz w:val="20"/>
          <w:szCs w:val="20"/>
        </w:rPr>
        <w:t>Identificar que la compra de espacios de publicidad en más de una estación de radio genera ahorros para los anunciantes.</w:t>
      </w:r>
    </w:p>
    <w:p w:rsidR="00D1072B" w:rsidRPr="00A75729" w:rsidRDefault="00D1072B" w:rsidP="001F1A2C">
      <w:pPr>
        <w:ind w:left="567"/>
        <w:rPr>
          <w:i/>
          <w:sz w:val="20"/>
          <w:szCs w:val="20"/>
        </w:rPr>
      </w:pPr>
      <w:r w:rsidRPr="00A75729">
        <w:rPr>
          <w:i/>
          <w:sz w:val="20"/>
          <w:szCs w:val="20"/>
        </w:rPr>
        <w:t>Respecto al primer punto, una forma de evaluar si las estaciones de radio son complementarias entre sí, es identificando si antes de que ocurriera la concentración algunos de los anunciantes se anunciaban en estaciones de las dos cadenas.</w:t>
      </w:r>
    </w:p>
    <w:p w:rsidR="00D1072B" w:rsidRPr="00A75729" w:rsidRDefault="00D1072B" w:rsidP="001F1A2C">
      <w:pPr>
        <w:ind w:left="567"/>
        <w:rPr>
          <w:i/>
          <w:sz w:val="20"/>
          <w:szCs w:val="20"/>
        </w:rPr>
      </w:pPr>
      <w:r w:rsidRPr="00A75729">
        <w:rPr>
          <w:i/>
          <w:sz w:val="20"/>
          <w:szCs w:val="20"/>
        </w:rPr>
        <w:t xml:space="preserve">Respecto de las tablas de ingresos por cliente mostradas anteriormente, es posible identificar que seis </w:t>
      </w:r>
      <w:r w:rsidR="001F1A2C" w:rsidRPr="00A75729">
        <w:rPr>
          <w:i/>
          <w:sz w:val="20"/>
          <w:szCs w:val="20"/>
        </w:rPr>
        <w:t>a</w:t>
      </w:r>
      <w:r w:rsidRPr="00A75729">
        <w:rPr>
          <w:i/>
          <w:sz w:val="20"/>
          <w:szCs w:val="20"/>
        </w:rPr>
        <w:t>nunciantes pagaban publicidad en estaciones pertenecientes a Grupo Multimedios, así como a alguna de las estaciones de Audio Publicidad. Por lo que al menos para dichos agentes las estaciones de radio de ambos grupos pueden ser complementarias.</w:t>
      </w:r>
    </w:p>
    <w:p w:rsidR="00D1072B" w:rsidRPr="00A75729" w:rsidRDefault="00D1072B" w:rsidP="001F1A2C">
      <w:pPr>
        <w:ind w:left="567"/>
        <w:rPr>
          <w:i/>
          <w:sz w:val="20"/>
          <w:szCs w:val="20"/>
        </w:rPr>
      </w:pPr>
      <w:r w:rsidRPr="00A75729">
        <w:rPr>
          <w:i/>
          <w:sz w:val="20"/>
          <w:szCs w:val="20"/>
        </w:rPr>
        <w:t>Una vez establecido la existencia de complementariedad entre las estaciones de radio, es</w:t>
      </w:r>
      <w:r w:rsidR="002C3DC8" w:rsidRPr="00A75729">
        <w:rPr>
          <w:i/>
          <w:sz w:val="20"/>
          <w:szCs w:val="20"/>
        </w:rPr>
        <w:t xml:space="preserve"> </w:t>
      </w:r>
      <w:r w:rsidRPr="00A75729">
        <w:rPr>
          <w:i/>
          <w:sz w:val="20"/>
          <w:szCs w:val="20"/>
        </w:rPr>
        <w:t xml:space="preserve">posible señalar </w:t>
      </w:r>
      <w:r w:rsidR="002C3DC8" w:rsidRPr="00A75729">
        <w:rPr>
          <w:i/>
          <w:sz w:val="20"/>
          <w:szCs w:val="20"/>
        </w:rPr>
        <w:t xml:space="preserve">[que] </w:t>
      </w:r>
      <w:r w:rsidRPr="00A75729">
        <w:rPr>
          <w:i/>
          <w:sz w:val="20"/>
          <w:szCs w:val="20"/>
        </w:rPr>
        <w:t xml:space="preserve">tras la concentración, dichos </w:t>
      </w:r>
      <w:r w:rsidRPr="00A75729">
        <w:rPr>
          <w:i/>
          <w:sz w:val="20"/>
          <w:szCs w:val="20"/>
          <w:u w:val="single"/>
        </w:rPr>
        <w:t>agentes económicos pueden ahorrarse al menos los costos de transacción que representa la negociación con diferentes proveedores de servicios.</w:t>
      </w:r>
      <w:r w:rsidRPr="00A75729">
        <w:rPr>
          <w:i/>
          <w:sz w:val="20"/>
          <w:szCs w:val="20"/>
        </w:rPr>
        <w:t xml:space="preserve"> Este ahorro en los costos de transacción puede verse reflejado en el tiempo que toma lanzar sus anuncios publicitarios en distintas estaciones.</w:t>
      </w:r>
    </w:p>
    <w:p w:rsidR="00D1072B" w:rsidRPr="00A75729" w:rsidRDefault="00D1072B" w:rsidP="001F1A2C">
      <w:pPr>
        <w:ind w:left="567"/>
        <w:rPr>
          <w:i/>
          <w:sz w:val="20"/>
          <w:szCs w:val="20"/>
        </w:rPr>
      </w:pPr>
      <w:r w:rsidRPr="00A75729">
        <w:rPr>
          <w:i/>
          <w:sz w:val="20"/>
          <w:szCs w:val="20"/>
        </w:rPr>
        <w:t>Aunado a lo anterior, es posible que los anunciantes tengan mayor poder de negociación frente a las estaciones concentradas pues ahora compraran un mayor número de minutos a un solo agente económico.</w:t>
      </w:r>
    </w:p>
    <w:p w:rsidR="00D1072B" w:rsidRPr="00A75729" w:rsidRDefault="00D1072B" w:rsidP="001F1A2C">
      <w:pPr>
        <w:ind w:left="567"/>
        <w:rPr>
          <w:i/>
          <w:sz w:val="20"/>
          <w:szCs w:val="20"/>
        </w:rPr>
      </w:pPr>
      <w:r w:rsidRPr="00A75729">
        <w:rPr>
          <w:i/>
          <w:sz w:val="20"/>
          <w:szCs w:val="20"/>
        </w:rPr>
        <w:t>Respecto del resto de los anunciantes, es poco probable que la concentración pueda tener algún efecto de daño. En el análisis de la fracción d) del artículo noveno transitorio, se estableció que las variaciones en los índices de concentración cumplían los criterios para establecer que la concentración no dañaría el proceso de competencia y libre concurrencia a cualquier nivel que se realice el análisis (nacional o local). Esto se deriva del hecho de que el aumento en la audiencia no es de una magnitud sustantiva que permita aumentar el valor de las transmisiones de Grupo Multimedios, por lo que es poco probable que la adquisición de dicha estación le permita incrementar los precios a los anunciantes.</w:t>
      </w:r>
    </w:p>
    <w:p w:rsidR="00D1072B" w:rsidRPr="00A75729" w:rsidRDefault="00D1072B" w:rsidP="001F1A2C">
      <w:pPr>
        <w:ind w:left="567"/>
        <w:rPr>
          <w:i/>
          <w:sz w:val="20"/>
          <w:szCs w:val="20"/>
        </w:rPr>
      </w:pPr>
      <w:r w:rsidRPr="00A75729">
        <w:rPr>
          <w:i/>
          <w:sz w:val="20"/>
          <w:szCs w:val="20"/>
        </w:rPr>
        <w:lastRenderedPageBreak/>
        <w:t xml:space="preserve">Dado lo anterior, se observa que la concentración tiene un efecto neto positivo sobre el bienestar ya que </w:t>
      </w:r>
      <w:r w:rsidRPr="00A75729">
        <w:rPr>
          <w:i/>
          <w:sz w:val="20"/>
          <w:szCs w:val="20"/>
          <w:u w:val="single"/>
        </w:rPr>
        <w:t>genera ahorros en los costos de transacción y es poco probable que permita un incremento en precios</w:t>
      </w:r>
      <w:r w:rsidRPr="00A75729">
        <w:rPr>
          <w:i/>
          <w:sz w:val="20"/>
          <w:szCs w:val="20"/>
        </w:rPr>
        <w:t>.</w:t>
      </w:r>
    </w:p>
    <w:p w:rsidR="00D1072B" w:rsidRPr="00A75729" w:rsidRDefault="00D1072B" w:rsidP="006A7D5F">
      <w:pPr>
        <w:pStyle w:val="Prrafodelista"/>
        <w:keepNext/>
        <w:numPr>
          <w:ilvl w:val="0"/>
          <w:numId w:val="37"/>
        </w:numPr>
        <w:spacing w:after="120" w:line="276" w:lineRule="auto"/>
        <w:ind w:left="1134" w:hanging="357"/>
        <w:contextualSpacing w:val="0"/>
        <w:rPr>
          <w:i/>
          <w:sz w:val="20"/>
          <w:szCs w:val="20"/>
        </w:rPr>
      </w:pPr>
      <w:r w:rsidRPr="00A75729">
        <w:rPr>
          <w:i/>
          <w:sz w:val="20"/>
          <w:szCs w:val="20"/>
        </w:rPr>
        <w:t>Reposicionamiento de marca.</w:t>
      </w:r>
    </w:p>
    <w:p w:rsidR="00D1072B" w:rsidRPr="00A75729" w:rsidRDefault="00D1072B" w:rsidP="001F1A2C">
      <w:pPr>
        <w:ind w:left="567"/>
        <w:rPr>
          <w:i/>
          <w:sz w:val="20"/>
          <w:szCs w:val="20"/>
        </w:rPr>
      </w:pPr>
      <w:r w:rsidRPr="00A75729">
        <w:rPr>
          <w:i/>
          <w:sz w:val="20"/>
          <w:szCs w:val="20"/>
        </w:rPr>
        <w:t xml:space="preserve">La literatura económica identifica, además del Efecto </w:t>
      </w:r>
      <w:proofErr w:type="spellStart"/>
      <w:r w:rsidRPr="00A75729">
        <w:rPr>
          <w:i/>
          <w:sz w:val="20"/>
          <w:szCs w:val="20"/>
        </w:rPr>
        <w:t>Cournot</w:t>
      </w:r>
      <w:proofErr w:type="spellEnd"/>
      <w:r w:rsidRPr="00A75729">
        <w:rPr>
          <w:i/>
          <w:sz w:val="20"/>
          <w:szCs w:val="20"/>
        </w:rPr>
        <w:t>, otra razón por la cual una concentración podría disminuir los incentivos para incrementar los precios, y en cierta medida, que las empresas prefieran disminuirlos.</w:t>
      </w:r>
    </w:p>
    <w:p w:rsidR="00D1072B" w:rsidRPr="00A75729" w:rsidRDefault="00D1072B" w:rsidP="001F1A2C">
      <w:pPr>
        <w:ind w:left="567"/>
        <w:rPr>
          <w:i/>
          <w:sz w:val="20"/>
          <w:szCs w:val="20"/>
        </w:rPr>
      </w:pPr>
      <w:r w:rsidRPr="00A75729">
        <w:rPr>
          <w:i/>
          <w:sz w:val="20"/>
          <w:szCs w:val="20"/>
        </w:rPr>
        <w:t xml:space="preserve">La evidencia empírica brinda evidencia a favor del reposicionamiento de marca en la industria radiofónica. Berry y </w:t>
      </w:r>
      <w:proofErr w:type="spellStart"/>
      <w:r w:rsidRPr="00A75729">
        <w:rPr>
          <w:i/>
          <w:sz w:val="20"/>
          <w:szCs w:val="20"/>
        </w:rPr>
        <w:t>Waldfogel</w:t>
      </w:r>
      <w:proofErr w:type="spellEnd"/>
      <w:r w:rsidRPr="00A75729">
        <w:rPr>
          <w:i/>
          <w:sz w:val="20"/>
          <w:szCs w:val="20"/>
        </w:rPr>
        <w:t xml:space="preserve"> (2001) analizan los efectos de la concentración radiofónica en Estados Unidos después de que se relajaron las restricciones sobre la posesión de estaciones de radio marcadas en la sección 202 de la </w:t>
      </w:r>
      <w:proofErr w:type="spellStart"/>
      <w:r w:rsidRPr="00A75729">
        <w:rPr>
          <w:i/>
          <w:sz w:val="20"/>
          <w:szCs w:val="20"/>
        </w:rPr>
        <w:t>Telecommunications</w:t>
      </w:r>
      <w:proofErr w:type="spellEnd"/>
      <w:r w:rsidRPr="00A75729">
        <w:rPr>
          <w:i/>
          <w:sz w:val="20"/>
          <w:szCs w:val="20"/>
        </w:rPr>
        <w:t xml:space="preserve"> </w:t>
      </w:r>
      <w:proofErr w:type="spellStart"/>
      <w:r w:rsidRPr="00A75729">
        <w:rPr>
          <w:i/>
          <w:sz w:val="20"/>
          <w:szCs w:val="20"/>
        </w:rPr>
        <w:t>Act</w:t>
      </w:r>
      <w:proofErr w:type="spellEnd"/>
      <w:r w:rsidRPr="00A75729">
        <w:rPr>
          <w:i/>
          <w:sz w:val="20"/>
          <w:szCs w:val="20"/>
        </w:rPr>
        <w:t xml:space="preserve"> de 1996. Los resultados muestran que incrementos en los índices de concentración de 158 mercados regionales estuvieron asociados con incrementos en la variedad en términos absolutos. Asimismo, encontraron que era menos probable que dos estaciones propiedad de un mismo agente tuvieran el mismo contenido programático.</w:t>
      </w:r>
    </w:p>
    <w:p w:rsidR="00D1072B" w:rsidRPr="00A75729" w:rsidRDefault="00D1072B" w:rsidP="001F1A2C">
      <w:pPr>
        <w:ind w:left="567"/>
        <w:rPr>
          <w:i/>
          <w:sz w:val="20"/>
          <w:szCs w:val="20"/>
        </w:rPr>
      </w:pPr>
      <w:r w:rsidRPr="00A75729">
        <w:rPr>
          <w:i/>
          <w:sz w:val="20"/>
          <w:szCs w:val="20"/>
        </w:rPr>
        <w:t>En la concentración entre Global R</w:t>
      </w:r>
      <w:r w:rsidR="002C3DC8" w:rsidRPr="00A75729">
        <w:rPr>
          <w:i/>
          <w:sz w:val="20"/>
          <w:szCs w:val="20"/>
        </w:rPr>
        <w:t xml:space="preserve">adio </w:t>
      </w:r>
      <w:proofErr w:type="spellStart"/>
      <w:r w:rsidR="002C3DC8" w:rsidRPr="00A75729">
        <w:rPr>
          <w:i/>
          <w:sz w:val="20"/>
          <w:szCs w:val="20"/>
        </w:rPr>
        <w:t>UK</w:t>
      </w:r>
      <w:proofErr w:type="spellEnd"/>
      <w:r w:rsidR="002C3DC8" w:rsidRPr="00A75729">
        <w:rPr>
          <w:i/>
          <w:sz w:val="20"/>
          <w:szCs w:val="20"/>
        </w:rPr>
        <w:t xml:space="preserve"> </w:t>
      </w:r>
      <w:proofErr w:type="spellStart"/>
      <w:r w:rsidR="002C3DC8" w:rsidRPr="00A75729">
        <w:rPr>
          <w:i/>
          <w:sz w:val="20"/>
          <w:szCs w:val="20"/>
        </w:rPr>
        <w:t>Limited</w:t>
      </w:r>
      <w:proofErr w:type="spellEnd"/>
      <w:r w:rsidR="002C3DC8" w:rsidRPr="00A75729">
        <w:rPr>
          <w:i/>
          <w:sz w:val="20"/>
          <w:szCs w:val="20"/>
        </w:rPr>
        <w:t xml:space="preserve"> y </w:t>
      </w:r>
      <w:proofErr w:type="spellStart"/>
      <w:r w:rsidR="002C3DC8" w:rsidRPr="00A75729">
        <w:rPr>
          <w:i/>
          <w:sz w:val="20"/>
          <w:szCs w:val="20"/>
        </w:rPr>
        <w:t>GCap</w:t>
      </w:r>
      <w:proofErr w:type="spellEnd"/>
      <w:r w:rsidR="002C3DC8" w:rsidRPr="00A75729">
        <w:rPr>
          <w:i/>
          <w:sz w:val="20"/>
          <w:szCs w:val="20"/>
        </w:rPr>
        <w:t xml:space="preserve"> Media </w:t>
      </w:r>
      <w:proofErr w:type="spellStart"/>
      <w:r w:rsidR="002C3DC8" w:rsidRPr="00A75729">
        <w:rPr>
          <w:i/>
          <w:sz w:val="20"/>
          <w:szCs w:val="20"/>
        </w:rPr>
        <w:t>plc</w:t>
      </w:r>
      <w:proofErr w:type="spellEnd"/>
      <w:r w:rsidR="002C3DC8" w:rsidRPr="00A75729">
        <w:rPr>
          <w:i/>
          <w:sz w:val="20"/>
          <w:szCs w:val="20"/>
        </w:rPr>
        <w:t xml:space="preserve"> </w:t>
      </w:r>
      <w:r w:rsidRPr="00A75729">
        <w:rPr>
          <w:i/>
          <w:sz w:val="20"/>
          <w:szCs w:val="20"/>
        </w:rPr>
        <w:t xml:space="preserve">analizada por la </w:t>
      </w:r>
      <w:proofErr w:type="spellStart"/>
      <w:r w:rsidRPr="00A75729">
        <w:rPr>
          <w:i/>
          <w:sz w:val="20"/>
          <w:szCs w:val="20"/>
        </w:rPr>
        <w:t>OFT</w:t>
      </w:r>
      <w:proofErr w:type="spellEnd"/>
      <w:r w:rsidR="002C3DC8" w:rsidRPr="00A75729">
        <w:rPr>
          <w:i/>
          <w:sz w:val="20"/>
          <w:szCs w:val="20"/>
        </w:rPr>
        <w:t xml:space="preserve"> </w:t>
      </w:r>
      <w:r w:rsidRPr="00A75729">
        <w:rPr>
          <w:i/>
          <w:sz w:val="20"/>
          <w:szCs w:val="20"/>
        </w:rPr>
        <w:t>también se encontraron eficiencias como consecuencia del reposicionamiento de la</w:t>
      </w:r>
      <w:r w:rsidR="002C3DC8" w:rsidRPr="00A75729">
        <w:rPr>
          <w:i/>
          <w:sz w:val="20"/>
          <w:szCs w:val="20"/>
        </w:rPr>
        <w:t xml:space="preserve"> </w:t>
      </w:r>
      <w:r w:rsidRPr="00A75729">
        <w:rPr>
          <w:i/>
          <w:sz w:val="20"/>
          <w:szCs w:val="20"/>
        </w:rPr>
        <w:t>marca (</w:t>
      </w:r>
      <w:proofErr w:type="spellStart"/>
      <w:r w:rsidRPr="00A75729">
        <w:rPr>
          <w:i/>
          <w:sz w:val="20"/>
          <w:szCs w:val="20"/>
        </w:rPr>
        <w:t>OFT</w:t>
      </w:r>
      <w:proofErr w:type="spellEnd"/>
      <w:r w:rsidRPr="00A75729">
        <w:rPr>
          <w:i/>
          <w:sz w:val="20"/>
          <w:szCs w:val="20"/>
        </w:rPr>
        <w:t>, 2008). Señalaron que es posible que después de la concentración las</w:t>
      </w:r>
      <w:r w:rsidR="002C3DC8" w:rsidRPr="00A75729">
        <w:rPr>
          <w:i/>
          <w:sz w:val="20"/>
          <w:szCs w:val="20"/>
        </w:rPr>
        <w:t xml:space="preserve"> </w:t>
      </w:r>
      <w:r w:rsidRPr="00A75729">
        <w:rPr>
          <w:i/>
          <w:sz w:val="20"/>
          <w:szCs w:val="20"/>
        </w:rPr>
        <w:t>estaciones de radio modifiquen su perfil para aumentar la</w:t>
      </w:r>
      <w:r w:rsidR="008E7969" w:rsidRPr="00A75729">
        <w:rPr>
          <w:i/>
          <w:sz w:val="20"/>
          <w:szCs w:val="20"/>
        </w:rPr>
        <w:t>s</w:t>
      </w:r>
      <w:r w:rsidRPr="00A75729">
        <w:rPr>
          <w:i/>
          <w:sz w:val="20"/>
          <w:szCs w:val="20"/>
        </w:rPr>
        <w:t xml:space="preserve"> audiencias alcanzada o desarrollar audiencias más específicas. En ausencia de concentración, las estaciones de radio tratan de captar al consumidor mediano para tratar de atraer a la mayor cantidad de radioescuchas y con esto maximizar la venta de espacios de publicidad. Como puede verse, la concentración puede incrementar el valor de los espacios de publicidad disponibles en las transmisiones sin que perjudique a las audiencias.</w:t>
      </w:r>
    </w:p>
    <w:p w:rsidR="00D1072B" w:rsidRPr="00A75729" w:rsidRDefault="00D1072B" w:rsidP="001F1A2C">
      <w:pPr>
        <w:ind w:left="567"/>
        <w:rPr>
          <w:i/>
          <w:sz w:val="20"/>
          <w:szCs w:val="20"/>
        </w:rPr>
      </w:pPr>
      <w:r w:rsidRPr="00A75729">
        <w:rPr>
          <w:i/>
          <w:sz w:val="20"/>
          <w:szCs w:val="20"/>
        </w:rPr>
        <w:t xml:space="preserve">Para el caso particular, se ha señalado anteriormente que debido al clima de inseguridad que se vive en el país, así como a cuestiones tecnológicas y económicas, </w:t>
      </w:r>
      <w:r w:rsidRPr="00A75729">
        <w:rPr>
          <w:i/>
          <w:sz w:val="20"/>
          <w:szCs w:val="20"/>
          <w:u w:val="single"/>
        </w:rPr>
        <w:t>la empresa Audio Publicidad empezó a presentar una disminución en sus ingresos por venta de publicidad</w:t>
      </w:r>
      <w:r w:rsidRPr="00A75729">
        <w:rPr>
          <w:i/>
          <w:sz w:val="20"/>
          <w:szCs w:val="20"/>
        </w:rPr>
        <w:t>. Esto afect</w:t>
      </w:r>
      <w:r w:rsidR="002C3DC8" w:rsidRPr="00A75729">
        <w:rPr>
          <w:i/>
          <w:sz w:val="20"/>
          <w:szCs w:val="20"/>
        </w:rPr>
        <w:t>ó</w:t>
      </w:r>
      <w:r w:rsidRPr="00A75729">
        <w:rPr>
          <w:i/>
          <w:sz w:val="20"/>
          <w:szCs w:val="20"/>
        </w:rPr>
        <w:t xml:space="preserve"> el desarrollo operativo y crecimiento de la estación, a tal grado que hubo ocasiones que no tenía para solventar los gastos operativos de la estación. Esto pudo tener una repercusión en la calidad de transmisión y en caso de continuar con dicha tendencia, es probable que saliera del mercado afectando a los radioescuchas.</w:t>
      </w:r>
    </w:p>
    <w:p w:rsidR="00D1072B" w:rsidRPr="00A75729" w:rsidRDefault="00D1072B" w:rsidP="001F1A2C">
      <w:pPr>
        <w:ind w:left="567"/>
        <w:rPr>
          <w:i/>
          <w:sz w:val="20"/>
          <w:szCs w:val="20"/>
        </w:rPr>
      </w:pPr>
      <w:r w:rsidRPr="00A75729">
        <w:rPr>
          <w:i/>
          <w:sz w:val="20"/>
          <w:szCs w:val="20"/>
          <w:u w:val="single"/>
        </w:rPr>
        <w:t>Con la adquisi</w:t>
      </w:r>
      <w:r w:rsidR="002C3DC8" w:rsidRPr="00A75729">
        <w:rPr>
          <w:i/>
          <w:sz w:val="20"/>
          <w:szCs w:val="20"/>
          <w:u w:val="single"/>
        </w:rPr>
        <w:t>ción</w:t>
      </w:r>
      <w:r w:rsidR="002C3DC8" w:rsidRPr="00A75729">
        <w:rPr>
          <w:i/>
          <w:sz w:val="20"/>
          <w:szCs w:val="20"/>
        </w:rPr>
        <w:t xml:space="preserve"> por parte de Radio Triunfo</w:t>
      </w:r>
      <w:r w:rsidRPr="00A75729">
        <w:rPr>
          <w:i/>
          <w:sz w:val="20"/>
          <w:szCs w:val="20"/>
        </w:rPr>
        <w:t xml:space="preserve">s, y dado el know-how con el que cuenta Grupo Multimedios en las transmisiones de radio, </w:t>
      </w:r>
      <w:r w:rsidRPr="00A75729">
        <w:rPr>
          <w:i/>
          <w:sz w:val="20"/>
          <w:szCs w:val="20"/>
          <w:u w:val="single"/>
        </w:rPr>
        <w:t>permitirá que las operaciones de la estación de Audio Publicidad mantengan su calidad,</w:t>
      </w:r>
      <w:r w:rsidRPr="00A75729">
        <w:rPr>
          <w:i/>
          <w:sz w:val="20"/>
          <w:szCs w:val="20"/>
        </w:rPr>
        <w:t xml:space="preserve"> y genere incentivos a aumentarla. Las audiencias de Audio Publicidad son bajas y en este mercado, la forma que permite incrementarlas, es ofreciendo contenido de calidad, por lo que la concentración generará incentivos a mejorar las transmisiones lo cual se verá reflejado en un aumento del bienestar neto para las audiencias.</w:t>
      </w:r>
    </w:p>
    <w:p w:rsidR="00D1072B" w:rsidRPr="00A75729" w:rsidRDefault="00D1072B" w:rsidP="0053408B">
      <w:pPr>
        <w:pStyle w:val="Prrafodelista"/>
        <w:keepNext/>
        <w:numPr>
          <w:ilvl w:val="0"/>
          <w:numId w:val="37"/>
        </w:numPr>
        <w:spacing w:after="120" w:line="276" w:lineRule="auto"/>
        <w:ind w:left="1134" w:hanging="357"/>
        <w:contextualSpacing w:val="0"/>
        <w:rPr>
          <w:i/>
          <w:sz w:val="20"/>
          <w:szCs w:val="20"/>
        </w:rPr>
      </w:pPr>
      <w:r w:rsidRPr="00A75729">
        <w:rPr>
          <w:i/>
          <w:sz w:val="20"/>
          <w:szCs w:val="20"/>
        </w:rPr>
        <w:lastRenderedPageBreak/>
        <w:t>Eficiencias dinámicas.</w:t>
      </w:r>
    </w:p>
    <w:p w:rsidR="00D1072B" w:rsidRPr="00A75729" w:rsidRDefault="00D1072B" w:rsidP="001F1A2C">
      <w:pPr>
        <w:ind w:left="567"/>
        <w:rPr>
          <w:i/>
          <w:sz w:val="20"/>
          <w:szCs w:val="20"/>
        </w:rPr>
      </w:pPr>
      <w:r w:rsidRPr="00A75729">
        <w:rPr>
          <w:i/>
          <w:sz w:val="20"/>
          <w:szCs w:val="20"/>
        </w:rPr>
        <w:t xml:space="preserve">Además de aumentar la calidad de las transmisiones al existir los incentivos para reposicionar la marca, </w:t>
      </w:r>
      <w:r w:rsidRPr="00A75729">
        <w:rPr>
          <w:i/>
          <w:sz w:val="20"/>
          <w:szCs w:val="20"/>
          <w:u w:val="single"/>
        </w:rPr>
        <w:t>la operación</w:t>
      </w:r>
      <w:r w:rsidRPr="00A75729">
        <w:rPr>
          <w:i/>
          <w:sz w:val="20"/>
          <w:szCs w:val="20"/>
        </w:rPr>
        <w:t xml:space="preserve"> tendrá beneficios sobre las audiencias en el largo plazo pues </w:t>
      </w:r>
      <w:r w:rsidRPr="00A75729">
        <w:rPr>
          <w:i/>
          <w:sz w:val="20"/>
          <w:szCs w:val="20"/>
          <w:u w:val="single"/>
        </w:rPr>
        <w:t>permitirá qu</w:t>
      </w:r>
      <w:r w:rsidR="002C3DC8" w:rsidRPr="00A75729">
        <w:rPr>
          <w:i/>
          <w:sz w:val="20"/>
          <w:szCs w:val="20"/>
          <w:u w:val="single"/>
        </w:rPr>
        <w:t>e</w:t>
      </w:r>
      <w:r w:rsidRPr="00A75729">
        <w:rPr>
          <w:i/>
          <w:sz w:val="20"/>
          <w:szCs w:val="20"/>
          <w:u w:val="single"/>
        </w:rPr>
        <w:t xml:space="preserve"> la transmisión de una estación de radio comercial AM siga operando y se incremente la calidad técnica de las transmisiones</w:t>
      </w:r>
      <w:r w:rsidRPr="00A75729">
        <w:rPr>
          <w:i/>
          <w:sz w:val="20"/>
          <w:szCs w:val="20"/>
        </w:rPr>
        <w:t>.</w:t>
      </w:r>
      <w:r w:rsidR="000D2A64">
        <w:rPr>
          <w:i/>
          <w:sz w:val="20"/>
          <w:szCs w:val="20"/>
        </w:rPr>
        <w:t xml:space="preserve"> </w:t>
      </w:r>
      <w:r w:rsidRPr="00A75729">
        <w:rPr>
          <w:i/>
          <w:sz w:val="20"/>
          <w:szCs w:val="20"/>
        </w:rPr>
        <w:t>En términos generales, la operación permitirá el desarrollo viable de largo plazo de Audio Publicidad.</w:t>
      </w:r>
    </w:p>
    <w:p w:rsidR="00D1072B" w:rsidRPr="00A75729" w:rsidRDefault="002C3DC8" w:rsidP="001F1A2C">
      <w:pPr>
        <w:ind w:left="567"/>
        <w:rPr>
          <w:i/>
          <w:sz w:val="20"/>
          <w:szCs w:val="20"/>
        </w:rPr>
      </w:pPr>
      <w:r w:rsidRPr="00A75729">
        <w:rPr>
          <w:i/>
          <w:sz w:val="20"/>
          <w:szCs w:val="20"/>
        </w:rPr>
        <w:t xml:space="preserve">En </w:t>
      </w:r>
      <w:proofErr w:type="spellStart"/>
      <w:r w:rsidRPr="00A75729">
        <w:rPr>
          <w:i/>
          <w:sz w:val="20"/>
          <w:szCs w:val="20"/>
        </w:rPr>
        <w:t>el</w:t>
      </w:r>
      <w:proofErr w:type="spellEnd"/>
      <w:r w:rsidRPr="00A75729">
        <w:rPr>
          <w:i/>
          <w:sz w:val="20"/>
          <w:szCs w:val="20"/>
        </w:rPr>
        <w:t xml:space="preserve"> [Acuerdo de Transición 2008] </w:t>
      </w:r>
      <w:r w:rsidR="00D1072B" w:rsidRPr="00A75729">
        <w:rPr>
          <w:i/>
          <w:sz w:val="20"/>
          <w:szCs w:val="20"/>
        </w:rPr>
        <w:t>se determinó que los conces</w:t>
      </w:r>
      <w:r w:rsidRPr="00A75729">
        <w:rPr>
          <w:i/>
          <w:sz w:val="20"/>
          <w:szCs w:val="20"/>
        </w:rPr>
        <w:t xml:space="preserve">ionarios </w:t>
      </w:r>
      <w:r w:rsidR="00D1072B" w:rsidRPr="00A75729">
        <w:rPr>
          <w:i/>
          <w:sz w:val="20"/>
          <w:szCs w:val="20"/>
        </w:rPr>
        <w:t>y permisionarios de radio que operan en la banda de AM, podrían solicitar el cambio de frecuencia para operar en la banda de FM. Al respecto, se estableció que los concesionarios que solicitaran el cambio de frecuencia deberían transmitir durante un año a partir del cambio, el mismo contenido de programación en forma simultánea en las frecuencias de AM y FM. No obstante, en caso de que en la zona en donde se solicitó dicho cambio únicamente se reciban señales de AM, la transmisión simultánea debe seguir operando por el plazo que determine la autoridad.</w:t>
      </w:r>
    </w:p>
    <w:p w:rsidR="00D1072B" w:rsidRPr="00A75729" w:rsidRDefault="00D1072B" w:rsidP="001F1A2C">
      <w:pPr>
        <w:ind w:left="567"/>
        <w:rPr>
          <w:i/>
          <w:sz w:val="20"/>
          <w:szCs w:val="20"/>
        </w:rPr>
      </w:pPr>
      <w:r w:rsidRPr="00A75729">
        <w:rPr>
          <w:i/>
          <w:sz w:val="20"/>
          <w:szCs w:val="20"/>
        </w:rPr>
        <w:t xml:space="preserve">Como consecuencia de lo anterior, el 9 de julio de 2014 el Pleno del </w:t>
      </w:r>
      <w:proofErr w:type="spellStart"/>
      <w:r w:rsidRPr="00A75729">
        <w:rPr>
          <w:i/>
          <w:sz w:val="20"/>
          <w:szCs w:val="20"/>
        </w:rPr>
        <w:t>IFT</w:t>
      </w:r>
      <w:proofErr w:type="spellEnd"/>
      <w:r w:rsidRPr="00A75729">
        <w:rPr>
          <w:i/>
          <w:sz w:val="20"/>
          <w:szCs w:val="20"/>
        </w:rPr>
        <w:t xml:space="preserve"> aprobó el "Acuerdo por el que el Pleno del Instituto Federal de Telecomunicaciones determina estaciones de radiodifusión que deberán seguir operando en la banda de amplitud modulada en términos del punto sexto del </w:t>
      </w:r>
      <w:r w:rsidR="00CC1BF5" w:rsidRPr="00A75729">
        <w:rPr>
          <w:i/>
          <w:sz w:val="20"/>
          <w:szCs w:val="20"/>
        </w:rPr>
        <w:t>‘Acuerdo de Transición 2008’</w:t>
      </w:r>
      <w:r w:rsidRPr="00A75729">
        <w:rPr>
          <w:i/>
          <w:sz w:val="20"/>
          <w:szCs w:val="20"/>
        </w:rPr>
        <w:t xml:space="preserve"> mediante el cual se determinó que con el objeto de garantizar la continuidad del servicio de radiodifusión sonora en el país, veintisiete estaciones de AM que solicitaron el cambio de frecuencia a FM, deberán continuar operando simultáneamente en ambas bandas hasta el término de la vigencia de su respectiva concesión o bien, hasta que el </w:t>
      </w:r>
      <w:proofErr w:type="spellStart"/>
      <w:r w:rsidRPr="00A75729">
        <w:rPr>
          <w:i/>
          <w:sz w:val="20"/>
          <w:szCs w:val="20"/>
        </w:rPr>
        <w:t>IFT</w:t>
      </w:r>
      <w:proofErr w:type="spellEnd"/>
      <w:r w:rsidRPr="00A75729">
        <w:rPr>
          <w:i/>
          <w:sz w:val="20"/>
          <w:szCs w:val="20"/>
        </w:rPr>
        <w:t xml:space="preserve"> lo determine.</w:t>
      </w:r>
    </w:p>
    <w:p w:rsidR="00D1072B" w:rsidRPr="00A75729" w:rsidRDefault="00D1072B" w:rsidP="001F1A2C">
      <w:pPr>
        <w:ind w:left="567"/>
        <w:rPr>
          <w:i/>
          <w:sz w:val="20"/>
          <w:szCs w:val="20"/>
        </w:rPr>
      </w:pPr>
      <w:r w:rsidRPr="00A75729">
        <w:rPr>
          <w:i/>
          <w:sz w:val="20"/>
          <w:szCs w:val="20"/>
        </w:rPr>
        <w:t>Una de las veintisiete estaciones que deberán continuar ofreciendo su programación en AM hasta el término de su concesión es la</w:t>
      </w:r>
      <w:r w:rsidR="000D2A64">
        <w:rPr>
          <w:i/>
          <w:sz w:val="20"/>
          <w:szCs w:val="20"/>
        </w:rPr>
        <w:t xml:space="preserve"> </w:t>
      </w:r>
      <w:r w:rsidRPr="00A75729">
        <w:rPr>
          <w:i/>
          <w:sz w:val="20"/>
          <w:szCs w:val="20"/>
        </w:rPr>
        <w:t>correspondiente a</w:t>
      </w:r>
      <w:r w:rsidR="000D2A64">
        <w:rPr>
          <w:i/>
          <w:sz w:val="20"/>
          <w:szCs w:val="20"/>
        </w:rPr>
        <w:t xml:space="preserve"> </w:t>
      </w:r>
      <w:r w:rsidRPr="00A75729">
        <w:rPr>
          <w:i/>
          <w:sz w:val="20"/>
          <w:szCs w:val="20"/>
        </w:rPr>
        <w:t>la</w:t>
      </w:r>
      <w:r w:rsidR="000D2A64">
        <w:rPr>
          <w:i/>
          <w:sz w:val="20"/>
          <w:szCs w:val="20"/>
        </w:rPr>
        <w:t xml:space="preserve"> </w:t>
      </w:r>
      <w:r w:rsidRPr="00A75729">
        <w:rPr>
          <w:i/>
          <w:sz w:val="20"/>
          <w:szCs w:val="20"/>
        </w:rPr>
        <w:t xml:space="preserve">frecuencia </w:t>
      </w:r>
      <w:proofErr w:type="spellStart"/>
      <w:r w:rsidRPr="00A75729">
        <w:rPr>
          <w:i/>
          <w:sz w:val="20"/>
          <w:szCs w:val="20"/>
        </w:rPr>
        <w:t>XEDD</w:t>
      </w:r>
      <w:proofErr w:type="spellEnd"/>
      <w:r w:rsidRPr="00A75729">
        <w:rPr>
          <w:i/>
          <w:sz w:val="20"/>
          <w:szCs w:val="20"/>
        </w:rPr>
        <w:t>-AM</w:t>
      </w:r>
      <w:r w:rsidR="000D2A64">
        <w:rPr>
          <w:i/>
          <w:sz w:val="20"/>
          <w:szCs w:val="20"/>
        </w:rPr>
        <w:t xml:space="preserve"> </w:t>
      </w:r>
      <w:r w:rsidRPr="00A75729">
        <w:rPr>
          <w:i/>
          <w:sz w:val="20"/>
          <w:szCs w:val="20"/>
        </w:rPr>
        <w:t xml:space="preserve">operada por Audio Publicidad, para la cual se determinó que "Después de realizado el análisis de continuidad del servicio de radiodifusión sonora en los municipios comprendidos dentro del área de servicio de la estación </w:t>
      </w:r>
      <w:proofErr w:type="spellStart"/>
      <w:r w:rsidRPr="00A75729">
        <w:rPr>
          <w:i/>
          <w:sz w:val="20"/>
          <w:szCs w:val="20"/>
        </w:rPr>
        <w:t>XEDD</w:t>
      </w:r>
      <w:proofErr w:type="spellEnd"/>
      <w:r w:rsidRPr="00A75729">
        <w:rPr>
          <w:i/>
          <w:sz w:val="20"/>
          <w:szCs w:val="20"/>
        </w:rPr>
        <w:t>-AM sujeta al Acuerdo de Transición, se determinó que dicha continuidad no está garantizada por otras estaciones de radiodifusión en las localidades de los municipios de Galeana y Rayones, Nuevo León". Por lo anterior, la estación de Audio Publicidad está obligada a seguir transmitiendo su señal de AM.</w:t>
      </w:r>
    </w:p>
    <w:p w:rsidR="00D1072B" w:rsidRPr="00A75729" w:rsidRDefault="00D1072B" w:rsidP="001F1A2C">
      <w:pPr>
        <w:ind w:left="567"/>
        <w:rPr>
          <w:i/>
          <w:sz w:val="20"/>
          <w:szCs w:val="20"/>
        </w:rPr>
      </w:pPr>
      <w:r w:rsidRPr="00A75729">
        <w:rPr>
          <w:i/>
          <w:sz w:val="20"/>
          <w:szCs w:val="20"/>
          <w:u w:val="single"/>
        </w:rPr>
        <w:t>La obligación de mantener las transmisiones de AM podría dañar la viabilidad financiera de Audio Publicidad dada la baja audiencia que presenta. En este sentido, la adquisición de esta por parte de un agente económico como Multimedios permitiría que sus operaciones continúen</w:t>
      </w:r>
      <w:r w:rsidRPr="00A75729">
        <w:rPr>
          <w:i/>
          <w:sz w:val="20"/>
          <w:szCs w:val="20"/>
        </w:rPr>
        <w:t>.</w:t>
      </w:r>
    </w:p>
    <w:p w:rsidR="00D1072B" w:rsidRPr="00A75729" w:rsidRDefault="00D1072B" w:rsidP="001F1A2C">
      <w:pPr>
        <w:ind w:left="567"/>
        <w:rPr>
          <w:i/>
          <w:sz w:val="20"/>
          <w:szCs w:val="20"/>
        </w:rPr>
      </w:pPr>
      <w:r w:rsidRPr="00A75729">
        <w:rPr>
          <w:i/>
          <w:sz w:val="20"/>
          <w:szCs w:val="20"/>
        </w:rPr>
        <w:t xml:space="preserve">Adicionalmente, es necesario considerar que tras la concentración exista una </w:t>
      </w:r>
      <w:r w:rsidRPr="00A75729">
        <w:rPr>
          <w:i/>
          <w:sz w:val="20"/>
          <w:szCs w:val="20"/>
          <w:u w:val="single"/>
        </w:rPr>
        <w:t>transferencia de tecnología</w:t>
      </w:r>
      <w:r w:rsidRPr="00A75729">
        <w:rPr>
          <w:i/>
          <w:sz w:val="20"/>
          <w:szCs w:val="20"/>
        </w:rPr>
        <w:t xml:space="preserve">. Grupo Multimedios ha iniciado con la transición a la radio digital y multiprogramación en sus estaciones; desde 2012 solicitó la autorización para transmitir de manera digital en una de sus estaciones y en la Licitación </w:t>
      </w:r>
      <w:proofErr w:type="spellStart"/>
      <w:r w:rsidRPr="00A75729">
        <w:rPr>
          <w:i/>
          <w:sz w:val="20"/>
          <w:szCs w:val="20"/>
        </w:rPr>
        <w:t>IFT</w:t>
      </w:r>
      <w:proofErr w:type="spellEnd"/>
      <w:r w:rsidRPr="00A75729">
        <w:rPr>
          <w:i/>
          <w:sz w:val="20"/>
          <w:szCs w:val="20"/>
        </w:rPr>
        <w:t xml:space="preserve">-4 se comprometió a iniciar con transmisiones </w:t>
      </w:r>
      <w:proofErr w:type="spellStart"/>
      <w:r w:rsidRPr="00A75729">
        <w:rPr>
          <w:i/>
          <w:sz w:val="20"/>
          <w:szCs w:val="20"/>
        </w:rPr>
        <w:t>IBOC</w:t>
      </w:r>
      <w:proofErr w:type="spellEnd"/>
      <w:r w:rsidRPr="00A75729">
        <w:rPr>
          <w:i/>
          <w:sz w:val="20"/>
          <w:szCs w:val="20"/>
        </w:rPr>
        <w:t>-Híbrido. Dicho de otra manera, la digitalización forma parte de la estrategia de Grupo Multimedios y en algún momento se aplicará a la estación de Audio Publicidad.</w:t>
      </w:r>
    </w:p>
    <w:p w:rsidR="00D1072B" w:rsidRPr="00A75729" w:rsidRDefault="00D1072B" w:rsidP="001F1A2C">
      <w:pPr>
        <w:ind w:left="567"/>
        <w:rPr>
          <w:i/>
          <w:sz w:val="20"/>
          <w:szCs w:val="20"/>
        </w:rPr>
      </w:pPr>
      <w:r w:rsidRPr="00A75729">
        <w:rPr>
          <w:i/>
          <w:sz w:val="20"/>
          <w:szCs w:val="20"/>
        </w:rPr>
        <w:lastRenderedPageBreak/>
        <w:t>Lo anterior, también tendrá un efecto neto positivo en el bienestar de las audiencias y los anunciantes pues permitirá el desarrollo de un competidor en el largo plazo.</w:t>
      </w:r>
    </w:p>
    <w:p w:rsidR="00D1072B" w:rsidRPr="00A75729" w:rsidRDefault="00D1072B" w:rsidP="006A7D5F">
      <w:pPr>
        <w:pStyle w:val="Prrafodelista"/>
        <w:keepNext/>
        <w:numPr>
          <w:ilvl w:val="0"/>
          <w:numId w:val="37"/>
        </w:numPr>
        <w:spacing w:after="120" w:line="276" w:lineRule="auto"/>
        <w:ind w:left="1134" w:hanging="357"/>
        <w:contextualSpacing w:val="0"/>
        <w:rPr>
          <w:i/>
          <w:sz w:val="20"/>
          <w:szCs w:val="20"/>
        </w:rPr>
      </w:pPr>
      <w:r w:rsidRPr="00A75729">
        <w:rPr>
          <w:i/>
          <w:sz w:val="20"/>
          <w:szCs w:val="20"/>
        </w:rPr>
        <w:t>Conclusiones</w:t>
      </w:r>
    </w:p>
    <w:p w:rsidR="00D1072B" w:rsidRPr="00A75729" w:rsidRDefault="00D1072B" w:rsidP="001F1A2C">
      <w:pPr>
        <w:ind w:left="567"/>
        <w:rPr>
          <w:i/>
          <w:sz w:val="20"/>
          <w:szCs w:val="20"/>
        </w:rPr>
      </w:pPr>
      <w:r w:rsidRPr="00A75729">
        <w:rPr>
          <w:i/>
          <w:sz w:val="20"/>
          <w:szCs w:val="20"/>
        </w:rPr>
        <w:t>Las eficiencias señaladas anteriormente sólo surgen como consecuencia de la concentración. La disminución en los costos de transacción surge por la eliminación de la doble marginalización, situación que no podría alcanzarse de manera individual. De la misma forma, la experiencia que aportará Grupo Multimedios para el desarrollo de las estaciones de Audio Publicidad no puede darse de manera ajena a la operación, ni la viabilidad financiera de las estaciones de dicha compañía.</w:t>
      </w:r>
    </w:p>
    <w:p w:rsidR="00D1072B" w:rsidRPr="00A75729" w:rsidRDefault="00D1072B" w:rsidP="001F1A2C">
      <w:pPr>
        <w:ind w:left="567"/>
        <w:rPr>
          <w:i/>
          <w:sz w:val="20"/>
          <w:szCs w:val="20"/>
        </w:rPr>
      </w:pPr>
      <w:r w:rsidRPr="00A75729">
        <w:rPr>
          <w:i/>
          <w:sz w:val="20"/>
          <w:szCs w:val="20"/>
        </w:rPr>
        <w:t>Como se acreditó en el análisis del inciso d) del artículo noveno transitorio, la operación no generará problemas al proceso de competencia y libre concurrencia, por lo que los beneficios descritos anteriormente implican un aumento neto positivo del bienestar de los clientes y audiencias de Audio Publicidad.</w:t>
      </w:r>
    </w:p>
    <w:p w:rsidR="001E1860" w:rsidRPr="00587881" w:rsidRDefault="005C64A9" w:rsidP="005C64A9">
      <w:pPr>
        <w:pStyle w:val="Ttulo6"/>
        <w:spacing w:before="360"/>
        <w:ind w:firstLine="567"/>
        <w:rPr>
          <w:rFonts w:eastAsia="Times New Roman"/>
        </w:rPr>
      </w:pPr>
      <w:r w:rsidRPr="005C64A9">
        <w:rPr>
          <w:rFonts w:ascii="ITC Avant Garde" w:eastAsia="Times New Roman" w:hAnsi="ITC Avant Garde"/>
          <w:b/>
          <w:color w:val="auto"/>
        </w:rPr>
        <w:t>5.4.4</w:t>
      </w:r>
      <w:r w:rsidR="00170121">
        <w:rPr>
          <w:rFonts w:ascii="ITC Avant Garde" w:eastAsia="Times New Roman" w:hAnsi="ITC Avant Garde"/>
          <w:b/>
          <w:color w:val="auto"/>
        </w:rPr>
        <w:t>.</w:t>
      </w:r>
      <w:r>
        <w:rPr>
          <w:rFonts w:ascii="ITC Avant Garde" w:eastAsia="Times New Roman" w:hAnsi="ITC Avant Garde"/>
          <w:b/>
          <w:color w:val="auto"/>
        </w:rPr>
        <w:t xml:space="preserve">5.3 </w:t>
      </w:r>
      <w:r w:rsidR="001E1860" w:rsidRPr="00587881">
        <w:rPr>
          <w:rFonts w:ascii="ITC Avant Garde" w:eastAsia="Times New Roman" w:hAnsi="ITC Avant Garde"/>
          <w:b/>
          <w:color w:val="auto"/>
        </w:rPr>
        <w:t>Análisis de los elementos presentados por las Partes</w:t>
      </w:r>
    </w:p>
    <w:p w:rsidR="001E1860" w:rsidRPr="00A75729" w:rsidRDefault="001E1860" w:rsidP="00D8515B">
      <w:pPr>
        <w:tabs>
          <w:tab w:val="left" w:pos="426"/>
        </w:tabs>
        <w:rPr>
          <w:rFonts w:eastAsia="Times New Roman"/>
          <w:lang w:eastAsia="es-ES"/>
        </w:rPr>
      </w:pPr>
      <w:r w:rsidRPr="00A75729">
        <w:rPr>
          <w:rFonts w:eastAsia="Times New Roman"/>
          <w:lang w:eastAsia="es-ES"/>
        </w:rPr>
        <w:t xml:space="preserve">En resumen, </w:t>
      </w:r>
      <w:r w:rsidR="00D8515B" w:rsidRPr="00A75729">
        <w:rPr>
          <w:rFonts w:eastAsia="Times New Roman"/>
          <w:lang w:eastAsia="es-ES"/>
        </w:rPr>
        <w:t xml:space="preserve">las Partes ofrecieron los siguientes elementos respecto a </w:t>
      </w:r>
      <w:r w:rsidRPr="00A75729">
        <w:rPr>
          <w:rFonts w:eastAsia="Times New Roman"/>
          <w:lang w:eastAsia="es-ES"/>
        </w:rPr>
        <w:t>l</w:t>
      </w:r>
      <w:r w:rsidR="00CC5572">
        <w:rPr>
          <w:rFonts w:eastAsia="Times New Roman"/>
          <w:lang w:eastAsia="es-ES"/>
        </w:rPr>
        <w:t>o</w:t>
      </w:r>
      <w:r w:rsidRPr="00A75729">
        <w:rPr>
          <w:rFonts w:eastAsia="Times New Roman"/>
          <w:lang w:eastAsia="es-ES"/>
        </w:rPr>
        <w:t xml:space="preserve">s </w:t>
      </w:r>
      <w:r w:rsidR="00D8515B" w:rsidRPr="00A75729">
        <w:rPr>
          <w:rFonts w:eastAsia="Times New Roman"/>
          <w:lang w:eastAsia="es-ES"/>
        </w:rPr>
        <w:t>posibles</w:t>
      </w:r>
      <w:r w:rsidRPr="00A75729">
        <w:rPr>
          <w:rFonts w:eastAsia="Times New Roman"/>
          <w:lang w:eastAsia="es-ES"/>
        </w:rPr>
        <w:t xml:space="preserve"> </w:t>
      </w:r>
      <w:r w:rsidR="00CC5572">
        <w:rPr>
          <w:rFonts w:eastAsia="Times New Roman"/>
          <w:lang w:eastAsia="es-ES"/>
        </w:rPr>
        <w:t xml:space="preserve">efectos positivos </w:t>
      </w:r>
      <w:r w:rsidRPr="00A75729">
        <w:rPr>
          <w:rFonts w:eastAsia="Times New Roman"/>
          <w:lang w:eastAsia="es-ES"/>
        </w:rPr>
        <w:t>derivad</w:t>
      </w:r>
      <w:r w:rsidR="00CC5572">
        <w:rPr>
          <w:rFonts w:eastAsia="Times New Roman"/>
          <w:lang w:eastAsia="es-ES"/>
        </w:rPr>
        <w:t>o</w:t>
      </w:r>
      <w:r w:rsidRPr="00A75729">
        <w:rPr>
          <w:rFonts w:eastAsia="Times New Roman"/>
          <w:lang w:eastAsia="es-ES"/>
        </w:rPr>
        <w:t>s de la Operación:</w:t>
      </w:r>
    </w:p>
    <w:p w:rsidR="001E1860" w:rsidRPr="00A75729" w:rsidRDefault="001E1860" w:rsidP="006A7D5F">
      <w:pPr>
        <w:pStyle w:val="Prrafodelista"/>
        <w:numPr>
          <w:ilvl w:val="0"/>
          <w:numId w:val="39"/>
        </w:numPr>
        <w:spacing w:after="120" w:line="276" w:lineRule="auto"/>
        <w:ind w:left="426"/>
        <w:contextualSpacing w:val="0"/>
        <w:rPr>
          <w:rFonts w:eastAsia="Times New Roman" w:cs="Calibri"/>
          <w:i/>
          <w:color w:val="000000"/>
          <w:u w:val="single"/>
          <w:lang w:eastAsia="es-ES_tradnl"/>
        </w:rPr>
      </w:pPr>
      <w:r w:rsidRPr="00A75729">
        <w:rPr>
          <w:i/>
          <w:u w:val="single"/>
        </w:rPr>
        <w:t>[</w:t>
      </w:r>
      <w:r w:rsidR="00D8515B" w:rsidRPr="00A75729">
        <w:rPr>
          <w:i/>
          <w:u w:val="single"/>
        </w:rPr>
        <w:t>L</w:t>
      </w:r>
      <w:r w:rsidRPr="00A75729">
        <w:rPr>
          <w:i/>
          <w:u w:val="single"/>
        </w:rPr>
        <w:t xml:space="preserve">os anunciantes] pueden ahorrarse al menos los costos de transacción que representa la negociación con diferentes proveedores de servicios (…) y es poco probable que </w:t>
      </w:r>
      <w:r w:rsidR="00D8515B" w:rsidRPr="00A75729">
        <w:rPr>
          <w:i/>
          <w:u w:val="single"/>
        </w:rPr>
        <w:t xml:space="preserve">[la Operación] </w:t>
      </w:r>
      <w:r w:rsidRPr="00A75729">
        <w:rPr>
          <w:i/>
          <w:u w:val="single"/>
        </w:rPr>
        <w:t>permita un incremento en precios;</w:t>
      </w:r>
    </w:p>
    <w:p w:rsidR="001E1860" w:rsidRPr="00A75729" w:rsidRDefault="001E1860" w:rsidP="006A7D5F">
      <w:pPr>
        <w:pStyle w:val="Prrafodelista"/>
        <w:numPr>
          <w:ilvl w:val="0"/>
          <w:numId w:val="39"/>
        </w:numPr>
        <w:spacing w:after="120" w:line="276" w:lineRule="auto"/>
        <w:ind w:left="426"/>
        <w:contextualSpacing w:val="0"/>
        <w:rPr>
          <w:rFonts w:eastAsia="Times New Roman" w:cs="Calibri"/>
          <w:i/>
          <w:color w:val="000000"/>
          <w:u w:val="single"/>
          <w:lang w:eastAsia="es-ES_tradnl"/>
        </w:rPr>
      </w:pPr>
      <w:r w:rsidRPr="00A75729">
        <w:rPr>
          <w:i/>
          <w:u w:val="single"/>
        </w:rPr>
        <w:t xml:space="preserve">Audio Publicidad empezó a presentar una disminución en sus ingresos por venta de publicidad </w:t>
      </w:r>
      <w:r w:rsidR="00D8515B" w:rsidRPr="00A75729">
        <w:rPr>
          <w:i/>
          <w:u w:val="single"/>
        </w:rPr>
        <w:t xml:space="preserve">(…) </w:t>
      </w:r>
      <w:r w:rsidRPr="00A75729">
        <w:rPr>
          <w:i/>
          <w:u w:val="single"/>
        </w:rPr>
        <w:t>Esto pudo tener una repercusión en la calidad de transmisión y en caso de continuar con dicha tendencia, es probable que saliera del mercado afectando a los radioescuchas.</w:t>
      </w:r>
      <w:r w:rsidR="00D8515B" w:rsidRPr="00A75729">
        <w:rPr>
          <w:i/>
          <w:u w:val="single"/>
        </w:rPr>
        <w:t xml:space="preserve"> </w:t>
      </w:r>
      <w:r w:rsidRPr="00A75729">
        <w:rPr>
          <w:i/>
          <w:u w:val="single"/>
        </w:rPr>
        <w:t>Con la adquisición por parte de Radio Triunfos, y dado el know-how con el que cuenta Grupo Multimedios en las transmisiones de radio, permitirá que las operaciones de la estación de Audio Publicidad mantengan su calidad</w:t>
      </w:r>
      <w:r w:rsidR="00D8515B" w:rsidRPr="00A75729">
        <w:rPr>
          <w:i/>
          <w:u w:val="single"/>
        </w:rPr>
        <w:t>;</w:t>
      </w:r>
    </w:p>
    <w:p w:rsidR="00D8515B" w:rsidRPr="00A75729" w:rsidRDefault="00D8515B" w:rsidP="006A7D5F">
      <w:pPr>
        <w:pStyle w:val="Prrafodelista"/>
        <w:numPr>
          <w:ilvl w:val="0"/>
          <w:numId w:val="39"/>
        </w:numPr>
        <w:spacing w:after="120" w:line="276" w:lineRule="auto"/>
        <w:ind w:left="426"/>
        <w:contextualSpacing w:val="0"/>
        <w:rPr>
          <w:rFonts w:eastAsia="Times New Roman" w:cs="Calibri"/>
          <w:i/>
          <w:color w:val="000000"/>
          <w:u w:val="single"/>
          <w:lang w:eastAsia="es-ES_tradnl"/>
        </w:rPr>
      </w:pPr>
      <w:r w:rsidRPr="00A75729">
        <w:rPr>
          <w:i/>
          <w:u w:val="single"/>
        </w:rPr>
        <w:t>Tendrá beneficios sobre las audiencias en el largo plazo pues permitirá que la transmisión de una estación de radio comercial AM siga operando y se incremente la calidad técnica de las transmisiones;</w:t>
      </w:r>
    </w:p>
    <w:p w:rsidR="00D8515B" w:rsidRPr="00A75729" w:rsidRDefault="00D8515B" w:rsidP="006A7D5F">
      <w:pPr>
        <w:pStyle w:val="Prrafodelista"/>
        <w:numPr>
          <w:ilvl w:val="0"/>
          <w:numId w:val="39"/>
        </w:numPr>
        <w:spacing w:after="120" w:line="276" w:lineRule="auto"/>
        <w:ind w:left="426"/>
        <w:contextualSpacing w:val="0"/>
        <w:rPr>
          <w:rFonts w:eastAsia="Times New Roman" w:cs="Calibri"/>
          <w:i/>
          <w:color w:val="000000"/>
          <w:u w:val="single"/>
          <w:lang w:eastAsia="es-ES_tradnl"/>
        </w:rPr>
      </w:pPr>
      <w:r w:rsidRPr="00A75729">
        <w:rPr>
          <w:i/>
          <w:u w:val="single"/>
        </w:rPr>
        <w:t>La obligación de mantener las transmisiones de AM podría dañar la viabilidad financiera de Audio Publicidad dada la baja audiencia que presenta. En este sentido, la adquisición de ésta por parte de un agente económico como Multimedios permitiría que sus operaciones continúen,</w:t>
      </w:r>
      <w:r w:rsidRPr="00A75729">
        <w:t xml:space="preserve"> y</w:t>
      </w:r>
    </w:p>
    <w:p w:rsidR="00D8515B" w:rsidRPr="00A75729" w:rsidRDefault="00D8515B" w:rsidP="006A7D5F">
      <w:pPr>
        <w:pStyle w:val="Prrafodelista"/>
        <w:numPr>
          <w:ilvl w:val="0"/>
          <w:numId w:val="39"/>
        </w:numPr>
        <w:spacing w:after="120" w:line="276" w:lineRule="auto"/>
        <w:ind w:left="426"/>
        <w:contextualSpacing w:val="0"/>
        <w:rPr>
          <w:rFonts w:eastAsia="Times New Roman" w:cs="Calibri"/>
          <w:i/>
          <w:color w:val="000000"/>
          <w:u w:val="single"/>
          <w:lang w:eastAsia="es-ES_tradnl"/>
        </w:rPr>
      </w:pPr>
      <w:r w:rsidRPr="00A75729">
        <w:rPr>
          <w:rFonts w:eastAsia="Times New Roman" w:cs="Calibri"/>
          <w:i/>
          <w:color w:val="000000"/>
          <w:u w:val="single"/>
          <w:lang w:eastAsia="es-ES_tradnl"/>
        </w:rPr>
        <w:t xml:space="preserve">En el largo plazo pueden introducirse mejoras tecnológicas en la transmisión (…) </w:t>
      </w:r>
      <w:r w:rsidRPr="00A75729">
        <w:rPr>
          <w:i/>
          <w:u w:val="single"/>
        </w:rPr>
        <w:t xml:space="preserve">Grupo Multimedios ha iniciado con la transición a la radio digital y multiprogramación en sus estaciones; (…) la digitalización forma parte de la </w:t>
      </w:r>
      <w:r w:rsidRPr="00A75729">
        <w:rPr>
          <w:i/>
          <w:u w:val="single"/>
        </w:rPr>
        <w:lastRenderedPageBreak/>
        <w:t>estrategia de Grupo Multimedios y en algún momento se aplicará a la estación de Audio Publicidad.</w:t>
      </w:r>
    </w:p>
    <w:p w:rsidR="00AE2951" w:rsidRDefault="00AE2951" w:rsidP="00D8515B">
      <w:pPr>
        <w:tabs>
          <w:tab w:val="left" w:pos="426"/>
        </w:tabs>
        <w:rPr>
          <w:rFonts w:eastAsia="Times New Roman"/>
          <w:lang w:eastAsia="es-ES"/>
        </w:rPr>
      </w:pPr>
      <w:r w:rsidRPr="00A75729">
        <w:rPr>
          <w:rFonts w:eastAsia="Times New Roman"/>
          <w:lang w:eastAsia="es-ES"/>
        </w:rPr>
        <w:t xml:space="preserve">Respecto al punto 1, las Partes mencionan que los anunciantes pueden ahorrar costos de transacción al negociar sólo con el </w:t>
      </w:r>
      <w:proofErr w:type="spellStart"/>
      <w:r w:rsidRPr="00A75729">
        <w:rPr>
          <w:rFonts w:eastAsia="Times New Roman"/>
          <w:lang w:eastAsia="es-ES"/>
        </w:rPr>
        <w:t>GIE</w:t>
      </w:r>
      <w:proofErr w:type="spellEnd"/>
      <w:r w:rsidRPr="00A75729">
        <w:rPr>
          <w:rFonts w:eastAsia="Times New Roman"/>
          <w:lang w:eastAsia="es-ES"/>
        </w:rPr>
        <w:t xml:space="preserve"> Grupo Multimedios, en lugar de negociar con el </w:t>
      </w:r>
      <w:proofErr w:type="spellStart"/>
      <w:r w:rsidRPr="00A75729">
        <w:rPr>
          <w:rFonts w:eastAsia="Times New Roman"/>
          <w:lang w:eastAsia="es-ES"/>
        </w:rPr>
        <w:t>GIE</w:t>
      </w:r>
      <w:proofErr w:type="spellEnd"/>
      <w:r w:rsidRPr="00A75729">
        <w:rPr>
          <w:rFonts w:eastAsia="Times New Roman"/>
          <w:lang w:eastAsia="es-ES"/>
        </w:rPr>
        <w:t xml:space="preserve"> Grupo Multimedios y el </w:t>
      </w:r>
      <w:proofErr w:type="spellStart"/>
      <w:r w:rsidRPr="00A75729">
        <w:rPr>
          <w:rFonts w:eastAsia="Times New Roman"/>
          <w:lang w:eastAsia="es-ES"/>
        </w:rPr>
        <w:t>GIE</w:t>
      </w:r>
      <w:proofErr w:type="spellEnd"/>
      <w:r w:rsidRPr="00A75729">
        <w:rPr>
          <w:rFonts w:eastAsia="Times New Roman"/>
          <w:lang w:eastAsia="es-ES"/>
        </w:rPr>
        <w:t xml:space="preserve"> Audio Publicidad; sin embargo, no proporciona</w:t>
      </w:r>
      <w:r w:rsidR="002F2A9E" w:rsidRPr="00A75729">
        <w:rPr>
          <w:rFonts w:eastAsia="Times New Roman"/>
          <w:lang w:eastAsia="es-ES"/>
        </w:rPr>
        <w:t>ro</w:t>
      </w:r>
      <w:r w:rsidRPr="00A75729">
        <w:rPr>
          <w:rFonts w:eastAsia="Times New Roman"/>
          <w:lang w:eastAsia="es-ES"/>
        </w:rPr>
        <w:t>n estimaciones de esos costos ni los ahorros que podría generar la Operación.</w:t>
      </w:r>
    </w:p>
    <w:p w:rsidR="001E1860" w:rsidRPr="00A75729" w:rsidRDefault="002F2A9E" w:rsidP="00D8515B">
      <w:pPr>
        <w:tabs>
          <w:tab w:val="left" w:pos="426"/>
        </w:tabs>
        <w:rPr>
          <w:rFonts w:eastAsia="Times New Roman"/>
          <w:lang w:eastAsia="es-ES"/>
        </w:rPr>
      </w:pPr>
      <w:r w:rsidRPr="00A75729">
        <w:rPr>
          <w:rFonts w:eastAsia="Times New Roman"/>
          <w:lang w:eastAsia="es-ES"/>
        </w:rPr>
        <w:t xml:space="preserve">Ahora bien, </w:t>
      </w:r>
      <w:r w:rsidRPr="00A75729">
        <w:t>las Partes</w:t>
      </w:r>
      <w:r w:rsidRPr="00A75729">
        <w:rPr>
          <w:rFonts w:eastAsia="Times New Roman"/>
          <w:lang w:eastAsia="es-ES"/>
        </w:rPr>
        <w:t xml:space="preserve"> </w:t>
      </w:r>
      <w:r w:rsidR="00AE2951" w:rsidRPr="00A75729">
        <w:rPr>
          <w:rFonts w:eastAsia="Times New Roman"/>
          <w:lang w:eastAsia="es-ES"/>
        </w:rPr>
        <w:t>mencionan que</w:t>
      </w:r>
      <w:r w:rsidRPr="00A75729">
        <w:rPr>
          <w:rFonts w:eastAsia="Times New Roman"/>
          <w:lang w:eastAsia="es-ES"/>
        </w:rPr>
        <w:t xml:space="preserve"> sólo</w:t>
      </w:r>
      <w:r w:rsidR="001A694F">
        <w:rPr>
          <w:rFonts w:eastAsia="Times New Roman"/>
          <w:lang w:eastAsia="es-ES"/>
        </w:rPr>
        <w:t xml:space="preserve"> </w:t>
      </w:r>
      <w:r w:rsidR="0047195F">
        <w:rPr>
          <w:b/>
          <w:bCs/>
          <w:color w:val="0000CC"/>
          <w:kern w:val="24"/>
          <w:sz w:val="20"/>
          <w:szCs w:val="20"/>
        </w:rPr>
        <w:t>“CONFIDENCIAL POR LEY (4</w:t>
      </w:r>
      <w:r w:rsidR="00E8226C" w:rsidRPr="00E8226C">
        <w:rPr>
          <w:b/>
          <w:bCs/>
          <w:color w:val="0000CC"/>
          <w:kern w:val="24"/>
          <w:sz w:val="20"/>
          <w:szCs w:val="20"/>
        </w:rPr>
        <w:t>)”</w:t>
      </w:r>
      <w:r w:rsidR="00AE2951" w:rsidRPr="00A75729">
        <w:rPr>
          <w:i/>
        </w:rPr>
        <w:t xml:space="preserve"> anunciantes pagaban publicidad en estaciones pertenecientes a Grupo Multimedios, así como a alguna de las estaciones de Audio Publicidad.” </w:t>
      </w:r>
      <w:r w:rsidRPr="00A75729">
        <w:t>De acuerdo con ello</w:t>
      </w:r>
      <w:r w:rsidR="00AE2951" w:rsidRPr="00A75729">
        <w:t xml:space="preserve">, sólo </w:t>
      </w:r>
      <w:r w:rsidR="00E8226C" w:rsidRPr="00E8226C">
        <w:rPr>
          <w:b/>
          <w:bCs/>
          <w:color w:val="0000CC"/>
          <w:kern w:val="24"/>
          <w:sz w:val="20"/>
          <w:szCs w:val="20"/>
        </w:rPr>
        <w:t>“CONFIDENCIAL POR LEY (</w:t>
      </w:r>
      <w:r w:rsidR="0047195F">
        <w:rPr>
          <w:b/>
          <w:bCs/>
          <w:color w:val="0000CC"/>
          <w:kern w:val="24"/>
          <w:sz w:val="20"/>
          <w:szCs w:val="20"/>
        </w:rPr>
        <w:t>4</w:t>
      </w:r>
      <w:r w:rsidR="00E8226C" w:rsidRPr="00E8226C">
        <w:rPr>
          <w:b/>
          <w:bCs/>
          <w:color w:val="0000CC"/>
          <w:kern w:val="24"/>
          <w:sz w:val="20"/>
          <w:szCs w:val="20"/>
        </w:rPr>
        <w:t>)”</w:t>
      </w:r>
      <w:r w:rsidR="00AE2951" w:rsidRPr="00A75729">
        <w:t xml:space="preserve"> de </w:t>
      </w:r>
      <w:r w:rsidR="00E8226C" w:rsidRPr="00E8226C">
        <w:rPr>
          <w:b/>
          <w:bCs/>
          <w:color w:val="0000CC"/>
          <w:kern w:val="24"/>
          <w:sz w:val="20"/>
          <w:szCs w:val="20"/>
        </w:rPr>
        <w:t>“CONFIDENCIAL POR LEY (</w:t>
      </w:r>
      <w:r w:rsidR="0047195F">
        <w:rPr>
          <w:b/>
          <w:bCs/>
          <w:color w:val="0000CC"/>
          <w:kern w:val="24"/>
          <w:sz w:val="20"/>
          <w:szCs w:val="20"/>
        </w:rPr>
        <w:t>4</w:t>
      </w:r>
      <w:r w:rsidR="00E8226C" w:rsidRPr="00E8226C">
        <w:rPr>
          <w:b/>
          <w:bCs/>
          <w:color w:val="0000CC"/>
          <w:kern w:val="24"/>
          <w:sz w:val="20"/>
          <w:szCs w:val="20"/>
        </w:rPr>
        <w:t>)”</w:t>
      </w:r>
      <w:r w:rsidR="00AE2951" w:rsidRPr="00A75729">
        <w:t xml:space="preserve"> clientes </w:t>
      </w:r>
      <w:r w:rsidR="0061200B" w:rsidRPr="00A75729">
        <w:t xml:space="preserve">de la estación </w:t>
      </w:r>
      <w:proofErr w:type="spellStart"/>
      <w:r w:rsidR="0061200B" w:rsidRPr="00A75729">
        <w:t>XHDD</w:t>
      </w:r>
      <w:proofErr w:type="spellEnd"/>
      <w:r w:rsidR="0061200B" w:rsidRPr="00A75729">
        <w:t>-FM</w:t>
      </w:r>
      <w:r w:rsidR="0061200B" w:rsidRPr="00A75729">
        <w:rPr>
          <w:rStyle w:val="Refdenotaalpie"/>
        </w:rPr>
        <w:footnoteReference w:id="71"/>
      </w:r>
      <w:r w:rsidR="0061200B" w:rsidRPr="00A75729">
        <w:t xml:space="preserve"> </w:t>
      </w:r>
      <w:r w:rsidR="00AE2951" w:rsidRPr="00A75729">
        <w:t xml:space="preserve">podrían tener </w:t>
      </w:r>
      <w:r w:rsidR="00F161EB">
        <w:t xml:space="preserve">los supuestos </w:t>
      </w:r>
      <w:r w:rsidR="00AE2951" w:rsidRPr="00A75729">
        <w:t xml:space="preserve">ahorros </w:t>
      </w:r>
      <w:r w:rsidR="0061200B" w:rsidRPr="00A75729">
        <w:t xml:space="preserve">en los costos de </w:t>
      </w:r>
      <w:r w:rsidRPr="00A75729">
        <w:t>negociación con proveedores, lo cual</w:t>
      </w:r>
      <w:r w:rsidR="000D2A64">
        <w:t xml:space="preserve"> </w:t>
      </w:r>
      <w:r w:rsidRPr="00A75729">
        <w:t>es poco significativo</w:t>
      </w:r>
      <w:r w:rsidR="0061200B" w:rsidRPr="00A75729">
        <w:t>.</w:t>
      </w:r>
      <w:r w:rsidR="00AE2951" w:rsidRPr="00A75729">
        <w:rPr>
          <w:rFonts w:eastAsia="Times New Roman"/>
          <w:lang w:eastAsia="es-ES"/>
        </w:rPr>
        <w:t xml:space="preserve"> </w:t>
      </w:r>
    </w:p>
    <w:p w:rsidR="00CB739B" w:rsidRPr="00A75729" w:rsidRDefault="002F2A9E" w:rsidP="00855B04">
      <w:pPr>
        <w:tabs>
          <w:tab w:val="left" w:pos="426"/>
        </w:tabs>
        <w:ind w:right="-1"/>
        <w:rPr>
          <w:rFonts w:eastAsia="Times New Roman"/>
          <w:lang w:eastAsia="es-ES"/>
        </w:rPr>
      </w:pPr>
      <w:r w:rsidRPr="00A75729">
        <w:rPr>
          <w:rFonts w:eastAsia="Times New Roman"/>
          <w:lang w:eastAsia="es-ES"/>
        </w:rPr>
        <w:t>En cuanto a los puntos 2, 3 y 4, las Partes argumentan un problema de “</w:t>
      </w:r>
      <w:r w:rsidRPr="00A75729">
        <w:rPr>
          <w:rFonts w:eastAsia="Times New Roman"/>
          <w:i/>
          <w:lang w:eastAsia="es-ES"/>
        </w:rPr>
        <w:t>viabilidad financiera</w:t>
      </w:r>
      <w:r w:rsidRPr="00A75729">
        <w:rPr>
          <w:rFonts w:eastAsia="Times New Roman"/>
          <w:lang w:eastAsia="es-ES"/>
        </w:rPr>
        <w:t>”</w:t>
      </w:r>
      <w:r w:rsidR="00855B04" w:rsidRPr="00A75729">
        <w:rPr>
          <w:rFonts w:eastAsia="Times New Roman"/>
          <w:lang w:eastAsia="es-ES"/>
        </w:rPr>
        <w:t xml:space="preserve"> de la estaci</w:t>
      </w:r>
      <w:r w:rsidR="005E225A" w:rsidRPr="00A75729">
        <w:rPr>
          <w:rFonts w:eastAsia="Times New Roman"/>
          <w:lang w:eastAsia="es-ES"/>
        </w:rPr>
        <w:t>ón</w:t>
      </w:r>
      <w:r w:rsidR="00855B04" w:rsidRPr="00A75729">
        <w:rPr>
          <w:rFonts w:eastAsia="Times New Roman"/>
          <w:lang w:eastAsia="es-ES"/>
        </w:rPr>
        <w:t xml:space="preserve"> </w:t>
      </w:r>
      <w:proofErr w:type="spellStart"/>
      <w:r w:rsidR="00855B04" w:rsidRPr="00A75729">
        <w:rPr>
          <w:rFonts w:eastAsia="Times New Roman"/>
          <w:lang w:eastAsia="es-ES"/>
        </w:rPr>
        <w:t>XHDD</w:t>
      </w:r>
      <w:proofErr w:type="spellEnd"/>
      <w:r w:rsidR="00855B04" w:rsidRPr="00A75729">
        <w:rPr>
          <w:rFonts w:eastAsia="Times New Roman"/>
          <w:lang w:eastAsia="es-ES"/>
        </w:rPr>
        <w:t>-FM que probablemente la hubiera llevado a “</w:t>
      </w:r>
      <w:r w:rsidR="00855B04" w:rsidRPr="00A75729">
        <w:rPr>
          <w:i/>
        </w:rPr>
        <w:t>salir del mercado afectando a los radioescuchas</w:t>
      </w:r>
      <w:r w:rsidR="00855B04" w:rsidRPr="00A75729">
        <w:t xml:space="preserve">”, y que la adquisición </w:t>
      </w:r>
      <w:r w:rsidR="004C704F" w:rsidRPr="00A75729">
        <w:t xml:space="preserve">de ésta </w:t>
      </w:r>
      <w:r w:rsidR="00855B04" w:rsidRPr="00A75729">
        <w:t xml:space="preserve">por parte del </w:t>
      </w:r>
      <w:proofErr w:type="spellStart"/>
      <w:r w:rsidR="00855B04" w:rsidRPr="00A75729">
        <w:t>GIE</w:t>
      </w:r>
      <w:proofErr w:type="spellEnd"/>
      <w:r w:rsidR="00855B04" w:rsidRPr="00A75729">
        <w:t xml:space="preserve"> Grupo Multimedios permitirá continuar con </w:t>
      </w:r>
      <w:r w:rsidR="004C704F" w:rsidRPr="00A75729">
        <w:t>su</w:t>
      </w:r>
      <w:r w:rsidR="00855B04" w:rsidRPr="00A75729">
        <w:t xml:space="preserve"> operaci</w:t>
      </w:r>
      <w:r w:rsidR="005E225A" w:rsidRPr="00A75729">
        <w:t>ón</w:t>
      </w:r>
      <w:r w:rsidR="00855B04" w:rsidRPr="00A75729">
        <w:t xml:space="preserve"> y </w:t>
      </w:r>
      <w:r w:rsidR="005E225A" w:rsidRPr="00A75729">
        <w:t xml:space="preserve">que </w:t>
      </w:r>
      <w:r w:rsidR="004C704F" w:rsidRPr="00A75729">
        <w:t>la</w:t>
      </w:r>
      <w:r w:rsidR="00855B04" w:rsidRPr="00A75729">
        <w:t xml:space="preserve"> estación </w:t>
      </w:r>
      <w:proofErr w:type="spellStart"/>
      <w:r w:rsidR="004C704F" w:rsidRPr="00A75729">
        <w:t>XEDD</w:t>
      </w:r>
      <w:proofErr w:type="spellEnd"/>
      <w:r w:rsidR="004C704F" w:rsidRPr="00A75729">
        <w:t xml:space="preserve"> en </w:t>
      </w:r>
      <w:r w:rsidR="00855B04" w:rsidRPr="00A75729">
        <w:t>AM</w:t>
      </w:r>
      <w:r w:rsidR="005E225A" w:rsidRPr="00A75729">
        <w:t xml:space="preserve"> siga operando</w:t>
      </w:r>
      <w:r w:rsidR="00855B04" w:rsidRPr="00A75729">
        <w:t>.</w:t>
      </w:r>
      <w:r w:rsidR="00855B04" w:rsidRPr="00A75729">
        <w:rPr>
          <w:i/>
          <w:u w:val="single"/>
        </w:rPr>
        <w:t xml:space="preserve"> </w:t>
      </w:r>
    </w:p>
    <w:p w:rsidR="009749FC" w:rsidRPr="00A75729" w:rsidRDefault="001B7151" w:rsidP="001F1A2C">
      <w:pPr>
        <w:tabs>
          <w:tab w:val="left" w:pos="426"/>
        </w:tabs>
        <w:ind w:right="-1"/>
        <w:rPr>
          <w:rFonts w:eastAsia="Times New Roman"/>
          <w:lang w:eastAsia="es-ES"/>
        </w:rPr>
      </w:pPr>
      <w:r w:rsidRPr="00A75729">
        <w:rPr>
          <w:rFonts w:eastAsia="Times New Roman"/>
          <w:lang w:eastAsia="es-ES"/>
        </w:rPr>
        <w:t xml:space="preserve">A este respecto, </w:t>
      </w:r>
      <w:r w:rsidR="009749FC" w:rsidRPr="00A75729">
        <w:rPr>
          <w:rFonts w:eastAsia="Times New Roman"/>
          <w:lang w:eastAsia="es-ES"/>
        </w:rPr>
        <w:t xml:space="preserve">las </w:t>
      </w:r>
      <w:r w:rsidR="009749FC" w:rsidRPr="00551C3F">
        <w:rPr>
          <w:rFonts w:eastAsia="Times New Roman"/>
          <w:lang w:eastAsia="es-ES"/>
        </w:rPr>
        <w:t xml:space="preserve">Partes </w:t>
      </w:r>
      <w:r w:rsidR="00551C3F" w:rsidRPr="00551C3F">
        <w:rPr>
          <w:rFonts w:eastAsia="Times New Roman"/>
          <w:lang w:eastAsia="es-ES"/>
        </w:rPr>
        <w:t xml:space="preserve">señalaron que la estación </w:t>
      </w:r>
      <w:proofErr w:type="spellStart"/>
      <w:r w:rsidR="00551C3F" w:rsidRPr="00551C3F">
        <w:rPr>
          <w:rFonts w:eastAsia="Times New Roman"/>
          <w:lang w:eastAsia="es-ES"/>
        </w:rPr>
        <w:t>XHDD</w:t>
      </w:r>
      <w:proofErr w:type="spellEnd"/>
      <w:r w:rsidR="00551C3F" w:rsidRPr="00551C3F">
        <w:rPr>
          <w:rFonts w:eastAsia="Times New Roman"/>
          <w:lang w:eastAsia="es-ES"/>
        </w:rPr>
        <w:t xml:space="preserve">-FM tiene </w:t>
      </w:r>
      <w:r w:rsidR="00551C3F">
        <w:rPr>
          <w:rFonts w:eastAsia="Times New Roman"/>
          <w:lang w:eastAsia="es-ES"/>
        </w:rPr>
        <w:t>“</w:t>
      </w:r>
      <w:r w:rsidR="00551C3F" w:rsidRPr="00551C3F">
        <w:rPr>
          <w:rFonts w:eastAsia="Times New Roman"/>
          <w:i/>
          <w:color w:val="000000"/>
          <w:u w:val="single"/>
          <w:lang w:val="es-MX"/>
        </w:rPr>
        <w:t>la carga de continuar operando su frecuencia de AM, lo cual implicó mayores gastos</w:t>
      </w:r>
      <w:r w:rsidR="00551C3F" w:rsidRPr="00551C3F">
        <w:rPr>
          <w:rFonts w:eastAsia="Times New Roman"/>
          <w:i/>
          <w:color w:val="000000"/>
          <w:lang w:val="es-MX"/>
        </w:rPr>
        <w:t>, lo que abundó en su decisión de llevar a cabo la concentración que nos ocupa.</w:t>
      </w:r>
      <w:r w:rsidR="00551C3F">
        <w:rPr>
          <w:rFonts w:eastAsia="Times New Roman"/>
          <w:i/>
          <w:color w:val="000000"/>
          <w:lang w:val="es-MX"/>
        </w:rPr>
        <w:t>”</w:t>
      </w:r>
      <w:r w:rsidR="00551C3F" w:rsidRPr="00551C3F">
        <w:rPr>
          <w:rFonts w:eastAsia="Times New Roman"/>
          <w:lang w:eastAsia="es-ES"/>
        </w:rPr>
        <w:t xml:space="preserve"> Asimismo, las Partes </w:t>
      </w:r>
      <w:r w:rsidR="009749FC" w:rsidRPr="00551C3F">
        <w:rPr>
          <w:rFonts w:eastAsia="Times New Roman"/>
          <w:lang w:eastAsia="es-ES"/>
        </w:rPr>
        <w:t>remitieron</w:t>
      </w:r>
      <w:r w:rsidR="009749FC" w:rsidRPr="00A75729">
        <w:rPr>
          <w:rFonts w:eastAsia="Times New Roman"/>
          <w:lang w:eastAsia="es-ES"/>
        </w:rPr>
        <w:t xml:space="preserve"> la siguiente información financiera:</w:t>
      </w:r>
    </w:p>
    <w:p w:rsidR="009749FC" w:rsidRPr="00A75729" w:rsidRDefault="009749FC" w:rsidP="000014C6">
      <w:pPr>
        <w:pStyle w:val="Prrafodelista"/>
        <w:keepNext/>
        <w:numPr>
          <w:ilvl w:val="0"/>
          <w:numId w:val="18"/>
        </w:numPr>
        <w:spacing w:after="120" w:line="276" w:lineRule="auto"/>
        <w:ind w:left="426" w:hanging="357"/>
        <w:contextualSpacing w:val="0"/>
        <w:jc w:val="center"/>
        <w:rPr>
          <w:b/>
          <w:szCs w:val="20"/>
        </w:rPr>
      </w:pPr>
      <w:r w:rsidRPr="00A75729">
        <w:rPr>
          <w:b/>
          <w:szCs w:val="20"/>
        </w:rPr>
        <w:t>Balance general de Audio Publicidad</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5"/>
        <w:gridCol w:w="3342"/>
      </w:tblGrid>
      <w:tr w:rsidR="009749FC" w:rsidRPr="00A75729" w:rsidTr="00457999">
        <w:trPr>
          <w:trHeight w:val="20"/>
          <w:tblHeader/>
          <w:jc w:val="center"/>
        </w:trPr>
        <w:tc>
          <w:tcPr>
            <w:tcW w:w="5165" w:type="dxa"/>
            <w:shd w:val="clear" w:color="auto" w:fill="92D050"/>
            <w:vAlign w:val="center"/>
            <w:hideMark/>
          </w:tcPr>
          <w:p w:rsidR="009749FC" w:rsidRPr="00A75729" w:rsidRDefault="009749FC" w:rsidP="00331CDE">
            <w:pPr>
              <w:keepNext/>
              <w:spacing w:before="0" w:after="0" w:line="240" w:lineRule="auto"/>
              <w:jc w:val="center"/>
              <w:rPr>
                <w:rFonts w:eastAsia="Times New Roman"/>
                <w:b/>
                <w:bCs/>
                <w:sz w:val="20"/>
                <w:szCs w:val="18"/>
              </w:rPr>
            </w:pPr>
            <w:r w:rsidRPr="00A75729">
              <w:rPr>
                <w:rFonts w:eastAsia="Times New Roman"/>
                <w:b/>
                <w:bCs/>
                <w:sz w:val="20"/>
                <w:szCs w:val="18"/>
              </w:rPr>
              <w:t>Concepto (pesos nominales)</w:t>
            </w:r>
          </w:p>
        </w:tc>
        <w:tc>
          <w:tcPr>
            <w:tcW w:w="3342" w:type="dxa"/>
            <w:shd w:val="clear" w:color="auto" w:fill="92D050"/>
            <w:vAlign w:val="center"/>
            <w:hideMark/>
          </w:tcPr>
          <w:p w:rsidR="009749FC" w:rsidRPr="00A75729" w:rsidRDefault="009749FC" w:rsidP="00331CDE">
            <w:pPr>
              <w:keepNext/>
              <w:spacing w:before="0" w:after="0" w:line="240" w:lineRule="auto"/>
              <w:jc w:val="center"/>
              <w:rPr>
                <w:rFonts w:eastAsia="Times New Roman"/>
                <w:b/>
                <w:bCs/>
                <w:sz w:val="20"/>
                <w:szCs w:val="18"/>
              </w:rPr>
            </w:pPr>
            <w:r w:rsidRPr="00A75729">
              <w:rPr>
                <w:b/>
                <w:sz w:val="20"/>
                <w:szCs w:val="18"/>
              </w:rPr>
              <w:t xml:space="preserve">diciembre de </w:t>
            </w:r>
            <w:r w:rsidRPr="00A75729">
              <w:rPr>
                <w:rFonts w:eastAsia="Times New Roman"/>
                <w:b/>
                <w:bCs/>
                <w:sz w:val="20"/>
                <w:szCs w:val="18"/>
              </w:rPr>
              <w:t>2017</w:t>
            </w:r>
          </w:p>
        </w:tc>
      </w:tr>
      <w:tr w:rsidR="0047195F" w:rsidRPr="00A75729" w:rsidTr="00067A53">
        <w:trPr>
          <w:trHeight w:val="20"/>
          <w:jc w:val="center"/>
        </w:trPr>
        <w:tc>
          <w:tcPr>
            <w:tcW w:w="5165" w:type="dxa"/>
            <w:shd w:val="clear" w:color="auto" w:fill="auto"/>
            <w:vAlign w:val="center"/>
            <w:hideMark/>
          </w:tcPr>
          <w:p w:rsidR="0047195F" w:rsidRPr="00A75729" w:rsidRDefault="0047195F" w:rsidP="0047195F">
            <w:pPr>
              <w:keepNext/>
              <w:spacing w:before="0" w:after="0" w:line="240" w:lineRule="auto"/>
              <w:rPr>
                <w:rFonts w:eastAsia="Times New Roman"/>
                <w:color w:val="000000"/>
                <w:sz w:val="20"/>
                <w:szCs w:val="18"/>
              </w:rPr>
            </w:pPr>
            <w:r w:rsidRPr="00A75729">
              <w:rPr>
                <w:rFonts w:eastAsia="Times New Roman"/>
                <w:color w:val="000000"/>
                <w:sz w:val="20"/>
                <w:szCs w:val="18"/>
              </w:rPr>
              <w:t>Ingresos</w:t>
            </w:r>
          </w:p>
        </w:tc>
        <w:tc>
          <w:tcPr>
            <w:tcW w:w="3342" w:type="dxa"/>
            <w:shd w:val="clear" w:color="auto" w:fill="auto"/>
          </w:tcPr>
          <w:p w:rsidR="0047195F" w:rsidRDefault="0047195F" w:rsidP="0047195F">
            <w:pPr>
              <w:spacing w:before="0" w:after="0" w:line="240" w:lineRule="auto"/>
            </w:pPr>
            <w:r w:rsidRPr="008572D9">
              <w:rPr>
                <w:b/>
                <w:bCs/>
                <w:color w:val="0000CC"/>
                <w:kern w:val="24"/>
                <w:sz w:val="18"/>
                <w:szCs w:val="18"/>
              </w:rPr>
              <w:t>“CONFIDENCIAL POR LEY (7)”</w:t>
            </w:r>
          </w:p>
        </w:tc>
      </w:tr>
      <w:tr w:rsidR="0047195F" w:rsidRPr="00A75729" w:rsidTr="00067A53">
        <w:trPr>
          <w:trHeight w:val="20"/>
          <w:jc w:val="center"/>
        </w:trPr>
        <w:tc>
          <w:tcPr>
            <w:tcW w:w="5165" w:type="dxa"/>
            <w:shd w:val="clear" w:color="auto" w:fill="auto"/>
            <w:vAlign w:val="center"/>
          </w:tcPr>
          <w:p w:rsidR="0047195F" w:rsidRPr="00A75729" w:rsidRDefault="0047195F" w:rsidP="0047195F">
            <w:pPr>
              <w:keepNext/>
              <w:spacing w:before="0" w:after="0" w:line="240" w:lineRule="auto"/>
              <w:rPr>
                <w:rFonts w:eastAsia="Times New Roman"/>
                <w:color w:val="000000"/>
                <w:sz w:val="20"/>
                <w:szCs w:val="18"/>
              </w:rPr>
            </w:pPr>
            <w:r w:rsidRPr="00A75729">
              <w:rPr>
                <w:rFonts w:eastAsia="Times New Roman"/>
                <w:color w:val="000000"/>
                <w:sz w:val="20"/>
                <w:szCs w:val="18"/>
              </w:rPr>
              <w:t>Egresos</w:t>
            </w:r>
          </w:p>
        </w:tc>
        <w:tc>
          <w:tcPr>
            <w:tcW w:w="3342" w:type="dxa"/>
            <w:shd w:val="clear" w:color="auto" w:fill="auto"/>
          </w:tcPr>
          <w:p w:rsidR="0047195F" w:rsidRDefault="0047195F" w:rsidP="0047195F">
            <w:pPr>
              <w:spacing w:before="0" w:after="0" w:line="240" w:lineRule="auto"/>
            </w:pPr>
            <w:r w:rsidRPr="008572D9">
              <w:rPr>
                <w:b/>
                <w:bCs/>
                <w:color w:val="0000CC"/>
                <w:kern w:val="24"/>
                <w:sz w:val="18"/>
                <w:szCs w:val="18"/>
              </w:rPr>
              <w:t>“CONFIDENCIAL POR LEY (7)”</w:t>
            </w:r>
          </w:p>
        </w:tc>
      </w:tr>
      <w:tr w:rsidR="0047195F" w:rsidRPr="00A75729" w:rsidTr="00067A53">
        <w:trPr>
          <w:trHeight w:val="20"/>
          <w:jc w:val="center"/>
        </w:trPr>
        <w:tc>
          <w:tcPr>
            <w:tcW w:w="5165" w:type="dxa"/>
            <w:shd w:val="clear" w:color="auto" w:fill="auto"/>
            <w:vAlign w:val="center"/>
          </w:tcPr>
          <w:p w:rsidR="0047195F" w:rsidRPr="00A75729" w:rsidRDefault="0047195F" w:rsidP="0047195F">
            <w:pPr>
              <w:keepNext/>
              <w:spacing w:before="0" w:after="0" w:line="240" w:lineRule="auto"/>
              <w:rPr>
                <w:rFonts w:eastAsia="Times New Roman"/>
                <w:b/>
                <w:color w:val="000000"/>
                <w:sz w:val="20"/>
                <w:szCs w:val="18"/>
              </w:rPr>
            </w:pPr>
            <w:r w:rsidRPr="00A75729">
              <w:rPr>
                <w:rFonts w:eastAsia="Times New Roman"/>
                <w:b/>
                <w:color w:val="000000"/>
                <w:sz w:val="20"/>
                <w:szCs w:val="18"/>
              </w:rPr>
              <w:t>Utilidad neta del ejercicio anterior</w:t>
            </w:r>
          </w:p>
        </w:tc>
        <w:tc>
          <w:tcPr>
            <w:tcW w:w="3342" w:type="dxa"/>
            <w:shd w:val="clear" w:color="auto" w:fill="auto"/>
          </w:tcPr>
          <w:p w:rsidR="0047195F" w:rsidRDefault="0047195F" w:rsidP="0047195F">
            <w:pPr>
              <w:spacing w:before="0" w:after="0" w:line="240" w:lineRule="auto"/>
            </w:pPr>
            <w:r w:rsidRPr="008572D9">
              <w:rPr>
                <w:b/>
                <w:bCs/>
                <w:color w:val="0000CC"/>
                <w:kern w:val="24"/>
                <w:sz w:val="18"/>
                <w:szCs w:val="18"/>
              </w:rPr>
              <w:t>“CONFIDENCIAL POR LEY (7)”</w:t>
            </w:r>
          </w:p>
        </w:tc>
      </w:tr>
      <w:tr w:rsidR="0047195F" w:rsidRPr="00A75729" w:rsidTr="00067A53">
        <w:trPr>
          <w:trHeight w:val="20"/>
          <w:jc w:val="center"/>
        </w:trPr>
        <w:tc>
          <w:tcPr>
            <w:tcW w:w="5165" w:type="dxa"/>
            <w:shd w:val="clear" w:color="auto" w:fill="auto"/>
            <w:vAlign w:val="center"/>
          </w:tcPr>
          <w:p w:rsidR="0047195F" w:rsidRPr="00A75729" w:rsidRDefault="0047195F" w:rsidP="0047195F">
            <w:pPr>
              <w:keepNext/>
              <w:spacing w:before="0" w:after="0" w:line="240" w:lineRule="auto"/>
              <w:rPr>
                <w:rFonts w:eastAsia="Times New Roman"/>
                <w:b/>
                <w:color w:val="000000"/>
                <w:sz w:val="20"/>
                <w:szCs w:val="18"/>
              </w:rPr>
            </w:pPr>
            <w:r w:rsidRPr="00A75729">
              <w:rPr>
                <w:rFonts w:eastAsia="Times New Roman"/>
                <w:b/>
                <w:color w:val="000000"/>
                <w:sz w:val="20"/>
                <w:szCs w:val="18"/>
              </w:rPr>
              <w:t xml:space="preserve">Utilidad neta </w:t>
            </w:r>
          </w:p>
        </w:tc>
        <w:tc>
          <w:tcPr>
            <w:tcW w:w="3342" w:type="dxa"/>
            <w:shd w:val="clear" w:color="auto" w:fill="auto"/>
          </w:tcPr>
          <w:p w:rsidR="0047195F" w:rsidRDefault="0047195F" w:rsidP="0047195F">
            <w:pPr>
              <w:spacing w:before="0" w:after="0" w:line="240" w:lineRule="auto"/>
            </w:pPr>
            <w:r w:rsidRPr="008572D9">
              <w:rPr>
                <w:b/>
                <w:bCs/>
                <w:color w:val="0000CC"/>
                <w:kern w:val="24"/>
                <w:sz w:val="18"/>
                <w:szCs w:val="18"/>
              </w:rPr>
              <w:t>“CONFIDENCIAL POR LEY (7)”</w:t>
            </w:r>
          </w:p>
        </w:tc>
      </w:tr>
      <w:tr w:rsidR="0047195F" w:rsidRPr="00A75729" w:rsidTr="00067A53">
        <w:trPr>
          <w:trHeight w:val="20"/>
          <w:jc w:val="center"/>
        </w:trPr>
        <w:tc>
          <w:tcPr>
            <w:tcW w:w="5165" w:type="dxa"/>
            <w:shd w:val="clear" w:color="auto" w:fill="auto"/>
            <w:vAlign w:val="center"/>
            <w:hideMark/>
          </w:tcPr>
          <w:p w:rsidR="0047195F" w:rsidRPr="00A75729" w:rsidRDefault="0047195F" w:rsidP="0047195F">
            <w:pPr>
              <w:keepNext/>
              <w:spacing w:before="0" w:after="0" w:line="240" w:lineRule="auto"/>
              <w:rPr>
                <w:rFonts w:eastAsia="Times New Roman"/>
                <w:color w:val="000000"/>
                <w:sz w:val="20"/>
                <w:szCs w:val="18"/>
              </w:rPr>
            </w:pPr>
            <w:r w:rsidRPr="00A75729">
              <w:rPr>
                <w:rFonts w:eastAsia="Times New Roman"/>
                <w:color w:val="000000"/>
                <w:sz w:val="20"/>
                <w:szCs w:val="18"/>
              </w:rPr>
              <w:t>Activos</w:t>
            </w:r>
          </w:p>
        </w:tc>
        <w:tc>
          <w:tcPr>
            <w:tcW w:w="3342" w:type="dxa"/>
            <w:shd w:val="clear" w:color="auto" w:fill="auto"/>
          </w:tcPr>
          <w:p w:rsidR="0047195F" w:rsidRDefault="0047195F" w:rsidP="0047195F">
            <w:pPr>
              <w:spacing w:before="0" w:after="0" w:line="240" w:lineRule="auto"/>
            </w:pPr>
            <w:r w:rsidRPr="008572D9">
              <w:rPr>
                <w:b/>
                <w:bCs/>
                <w:color w:val="0000CC"/>
                <w:kern w:val="24"/>
                <w:sz w:val="18"/>
                <w:szCs w:val="18"/>
              </w:rPr>
              <w:t>“CONFIDENCIAL POR LEY (7)”</w:t>
            </w:r>
          </w:p>
        </w:tc>
      </w:tr>
    </w:tbl>
    <w:p w:rsidR="009749FC" w:rsidRPr="00A75729" w:rsidRDefault="009749FC" w:rsidP="009749FC">
      <w:pPr>
        <w:pStyle w:val="Notaalpie"/>
        <w:ind w:left="1134" w:right="708"/>
        <w:rPr>
          <w:sz w:val="16"/>
        </w:rPr>
      </w:pPr>
      <w:r w:rsidRPr="00A75729">
        <w:rPr>
          <w:rFonts w:eastAsia="Calibri" w:cs="Times New Roman"/>
          <w:sz w:val="16"/>
        </w:rPr>
        <w:t xml:space="preserve">Fuente: Elaboración propia con información contenida </w:t>
      </w:r>
      <w:r w:rsidRPr="00A75729">
        <w:rPr>
          <w:sz w:val="16"/>
        </w:rPr>
        <w:t>en Fojas 265-273 del Expediente.</w:t>
      </w:r>
    </w:p>
    <w:p w:rsidR="009749FC" w:rsidRPr="00A75729" w:rsidRDefault="009749FC" w:rsidP="009749FC">
      <w:pPr>
        <w:pStyle w:val="Notaalpie"/>
        <w:ind w:left="1134" w:right="708"/>
        <w:rPr>
          <w:sz w:val="16"/>
        </w:rPr>
      </w:pPr>
    </w:p>
    <w:p w:rsidR="004C704F" w:rsidRPr="00A75729" w:rsidRDefault="004C704F" w:rsidP="000014C6">
      <w:pPr>
        <w:pStyle w:val="Prrafodelista"/>
        <w:keepNext/>
        <w:numPr>
          <w:ilvl w:val="0"/>
          <w:numId w:val="18"/>
        </w:numPr>
        <w:spacing w:after="120" w:line="276" w:lineRule="auto"/>
        <w:ind w:left="426" w:hanging="357"/>
        <w:contextualSpacing w:val="0"/>
        <w:jc w:val="center"/>
        <w:rPr>
          <w:b/>
          <w:szCs w:val="20"/>
        </w:rPr>
      </w:pPr>
      <w:r w:rsidRPr="00A75729">
        <w:rPr>
          <w:b/>
          <w:szCs w:val="20"/>
        </w:rPr>
        <w:t xml:space="preserve">Información de la estación </w:t>
      </w:r>
      <w:proofErr w:type="spellStart"/>
      <w:r w:rsidRPr="00A75729">
        <w:rPr>
          <w:b/>
          <w:szCs w:val="20"/>
        </w:rPr>
        <w:t>XHDD</w:t>
      </w:r>
      <w:proofErr w:type="spellEnd"/>
      <w:r w:rsidRPr="00A75729">
        <w:rPr>
          <w:b/>
          <w:szCs w:val="20"/>
        </w:rPr>
        <w:t>-FM</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5"/>
        <w:gridCol w:w="3342"/>
      </w:tblGrid>
      <w:tr w:rsidR="004C704F" w:rsidRPr="00A75729" w:rsidTr="00457999">
        <w:trPr>
          <w:trHeight w:val="20"/>
          <w:tblHeader/>
          <w:jc w:val="center"/>
        </w:trPr>
        <w:tc>
          <w:tcPr>
            <w:tcW w:w="5165" w:type="dxa"/>
            <w:shd w:val="clear" w:color="auto" w:fill="92D050"/>
            <w:vAlign w:val="center"/>
            <w:hideMark/>
          </w:tcPr>
          <w:p w:rsidR="004C704F" w:rsidRPr="00A75729" w:rsidRDefault="004C704F" w:rsidP="00331CDE">
            <w:pPr>
              <w:keepNext/>
              <w:spacing w:before="0" w:after="0" w:line="240" w:lineRule="auto"/>
              <w:jc w:val="center"/>
              <w:rPr>
                <w:rFonts w:eastAsia="Times New Roman"/>
                <w:b/>
                <w:bCs/>
                <w:sz w:val="20"/>
                <w:szCs w:val="18"/>
              </w:rPr>
            </w:pPr>
            <w:r w:rsidRPr="00A75729">
              <w:rPr>
                <w:rFonts w:eastAsia="Times New Roman"/>
                <w:b/>
                <w:bCs/>
                <w:sz w:val="20"/>
                <w:szCs w:val="18"/>
              </w:rPr>
              <w:t>Concepto (pesos nominales)</w:t>
            </w:r>
          </w:p>
        </w:tc>
        <w:tc>
          <w:tcPr>
            <w:tcW w:w="3342" w:type="dxa"/>
            <w:shd w:val="clear" w:color="auto" w:fill="92D050"/>
            <w:vAlign w:val="center"/>
            <w:hideMark/>
          </w:tcPr>
          <w:p w:rsidR="004C704F" w:rsidRPr="00A75729" w:rsidRDefault="004C704F" w:rsidP="00331CDE">
            <w:pPr>
              <w:keepNext/>
              <w:spacing w:before="0" w:after="0" w:line="240" w:lineRule="auto"/>
              <w:jc w:val="center"/>
              <w:rPr>
                <w:rFonts w:eastAsia="Times New Roman"/>
                <w:b/>
                <w:bCs/>
                <w:sz w:val="20"/>
                <w:szCs w:val="18"/>
              </w:rPr>
            </w:pPr>
            <w:r w:rsidRPr="00A75729">
              <w:rPr>
                <w:b/>
                <w:sz w:val="20"/>
                <w:szCs w:val="18"/>
              </w:rPr>
              <w:t xml:space="preserve">diciembre de </w:t>
            </w:r>
            <w:r w:rsidRPr="00A75729">
              <w:rPr>
                <w:rFonts w:eastAsia="Times New Roman"/>
                <w:b/>
                <w:bCs/>
                <w:sz w:val="20"/>
                <w:szCs w:val="18"/>
              </w:rPr>
              <w:t>2017</w:t>
            </w:r>
          </w:p>
        </w:tc>
      </w:tr>
      <w:tr w:rsidR="0047195F" w:rsidRPr="00A75729" w:rsidTr="00FD25A5">
        <w:trPr>
          <w:trHeight w:val="20"/>
          <w:jc w:val="center"/>
        </w:trPr>
        <w:tc>
          <w:tcPr>
            <w:tcW w:w="5165" w:type="dxa"/>
            <w:shd w:val="clear" w:color="auto" w:fill="auto"/>
            <w:vAlign w:val="center"/>
            <w:hideMark/>
          </w:tcPr>
          <w:p w:rsidR="0047195F" w:rsidRPr="00A75729" w:rsidRDefault="0047195F" w:rsidP="0047195F">
            <w:pPr>
              <w:keepNext/>
              <w:spacing w:before="0" w:after="0" w:line="240" w:lineRule="auto"/>
              <w:rPr>
                <w:rFonts w:eastAsia="Times New Roman"/>
                <w:color w:val="000000"/>
                <w:sz w:val="20"/>
                <w:szCs w:val="18"/>
              </w:rPr>
            </w:pPr>
            <w:r w:rsidRPr="00A75729">
              <w:rPr>
                <w:rFonts w:eastAsia="Times New Roman"/>
                <w:color w:val="000000"/>
                <w:sz w:val="20"/>
                <w:szCs w:val="18"/>
              </w:rPr>
              <w:t>Ingresos</w:t>
            </w:r>
          </w:p>
        </w:tc>
        <w:tc>
          <w:tcPr>
            <w:tcW w:w="3342" w:type="dxa"/>
            <w:shd w:val="clear" w:color="auto" w:fill="auto"/>
          </w:tcPr>
          <w:p w:rsidR="0047195F" w:rsidRDefault="0047195F" w:rsidP="0047195F">
            <w:pPr>
              <w:spacing w:before="0" w:after="0" w:line="240" w:lineRule="auto"/>
            </w:pPr>
            <w:r w:rsidRPr="001302CA">
              <w:rPr>
                <w:b/>
                <w:bCs/>
                <w:color w:val="0000CC"/>
                <w:kern w:val="24"/>
                <w:sz w:val="18"/>
                <w:szCs w:val="18"/>
              </w:rPr>
              <w:t>“CONFIDENCIAL POR LEY (7)”</w:t>
            </w:r>
          </w:p>
        </w:tc>
      </w:tr>
      <w:tr w:rsidR="0047195F" w:rsidRPr="00A75729" w:rsidTr="00FD25A5">
        <w:trPr>
          <w:trHeight w:val="20"/>
          <w:jc w:val="center"/>
        </w:trPr>
        <w:tc>
          <w:tcPr>
            <w:tcW w:w="5165" w:type="dxa"/>
            <w:shd w:val="clear" w:color="auto" w:fill="auto"/>
            <w:vAlign w:val="center"/>
            <w:hideMark/>
          </w:tcPr>
          <w:p w:rsidR="0047195F" w:rsidRPr="00A75729" w:rsidRDefault="0047195F" w:rsidP="0047195F">
            <w:pPr>
              <w:keepNext/>
              <w:spacing w:before="0" w:after="0" w:line="240" w:lineRule="auto"/>
              <w:rPr>
                <w:rFonts w:eastAsia="Times New Roman"/>
                <w:b/>
                <w:color w:val="000000"/>
                <w:sz w:val="20"/>
                <w:szCs w:val="18"/>
              </w:rPr>
            </w:pPr>
            <w:r w:rsidRPr="00A75729">
              <w:rPr>
                <w:rFonts w:eastAsia="Times New Roman"/>
                <w:b/>
                <w:color w:val="000000"/>
                <w:sz w:val="20"/>
                <w:szCs w:val="18"/>
              </w:rPr>
              <w:t>Utilidad operativa</w:t>
            </w:r>
          </w:p>
        </w:tc>
        <w:tc>
          <w:tcPr>
            <w:tcW w:w="3342" w:type="dxa"/>
            <w:shd w:val="clear" w:color="auto" w:fill="auto"/>
          </w:tcPr>
          <w:p w:rsidR="0047195F" w:rsidRDefault="0047195F" w:rsidP="0047195F">
            <w:pPr>
              <w:spacing w:before="0" w:after="0" w:line="240" w:lineRule="auto"/>
            </w:pPr>
            <w:r w:rsidRPr="001302CA">
              <w:rPr>
                <w:b/>
                <w:bCs/>
                <w:color w:val="0000CC"/>
                <w:kern w:val="24"/>
                <w:sz w:val="18"/>
                <w:szCs w:val="18"/>
              </w:rPr>
              <w:t>“CONFIDENCIAL POR LEY (7)”</w:t>
            </w:r>
          </w:p>
        </w:tc>
      </w:tr>
      <w:tr w:rsidR="0047195F" w:rsidRPr="00A75729" w:rsidTr="00FD25A5">
        <w:trPr>
          <w:trHeight w:val="20"/>
          <w:jc w:val="center"/>
        </w:trPr>
        <w:tc>
          <w:tcPr>
            <w:tcW w:w="5165" w:type="dxa"/>
            <w:shd w:val="clear" w:color="auto" w:fill="auto"/>
            <w:vAlign w:val="center"/>
          </w:tcPr>
          <w:p w:rsidR="0047195F" w:rsidRPr="00A75729" w:rsidRDefault="0047195F" w:rsidP="0047195F">
            <w:pPr>
              <w:keepNext/>
              <w:spacing w:before="0" w:after="0" w:line="240" w:lineRule="auto"/>
              <w:rPr>
                <w:rFonts w:eastAsia="Times New Roman"/>
                <w:b/>
                <w:color w:val="000000"/>
                <w:sz w:val="20"/>
                <w:szCs w:val="18"/>
              </w:rPr>
            </w:pPr>
            <w:r w:rsidRPr="00A75729">
              <w:rPr>
                <w:rFonts w:eastAsia="Times New Roman"/>
                <w:b/>
                <w:color w:val="000000"/>
                <w:sz w:val="20"/>
                <w:szCs w:val="18"/>
              </w:rPr>
              <w:t>Utilidad operativa en enero-abril de 2018</w:t>
            </w:r>
          </w:p>
        </w:tc>
        <w:tc>
          <w:tcPr>
            <w:tcW w:w="3342" w:type="dxa"/>
            <w:shd w:val="clear" w:color="auto" w:fill="auto"/>
          </w:tcPr>
          <w:p w:rsidR="0047195F" w:rsidRDefault="0047195F" w:rsidP="0047195F">
            <w:pPr>
              <w:spacing w:before="0" w:after="0" w:line="240" w:lineRule="auto"/>
            </w:pPr>
            <w:r w:rsidRPr="001302CA">
              <w:rPr>
                <w:b/>
                <w:bCs/>
                <w:color w:val="0000CC"/>
                <w:kern w:val="24"/>
                <w:sz w:val="18"/>
                <w:szCs w:val="18"/>
              </w:rPr>
              <w:t>“CONFIDENCIAL POR LEY (7)”</w:t>
            </w:r>
          </w:p>
        </w:tc>
      </w:tr>
    </w:tbl>
    <w:p w:rsidR="0053408B" w:rsidRPr="00FF43E3" w:rsidRDefault="004C704F" w:rsidP="00FF43E3">
      <w:pPr>
        <w:pStyle w:val="Notaalpie"/>
        <w:ind w:left="1134" w:right="708"/>
        <w:rPr>
          <w:sz w:val="16"/>
        </w:rPr>
      </w:pPr>
      <w:r w:rsidRPr="00A75729">
        <w:rPr>
          <w:rFonts w:eastAsia="Calibri" w:cs="Times New Roman"/>
          <w:sz w:val="16"/>
        </w:rPr>
        <w:t xml:space="preserve">Fuente: Elaboración propia con información contenida </w:t>
      </w:r>
      <w:r w:rsidRPr="00A75729">
        <w:rPr>
          <w:sz w:val="16"/>
        </w:rPr>
        <w:t>e</w:t>
      </w:r>
      <w:r w:rsidR="00FF43E3">
        <w:rPr>
          <w:sz w:val="16"/>
        </w:rPr>
        <w:t>n Fojas 414-415 del Expediente.</w:t>
      </w:r>
    </w:p>
    <w:p w:rsidR="004C704F" w:rsidRPr="00A75729" w:rsidRDefault="005955D0" w:rsidP="001F1A2C">
      <w:pPr>
        <w:tabs>
          <w:tab w:val="left" w:pos="426"/>
        </w:tabs>
        <w:ind w:right="-1"/>
        <w:rPr>
          <w:rFonts w:eastAsia="Times New Roman"/>
          <w:lang w:val="es-MX" w:eastAsia="es-ES"/>
        </w:rPr>
      </w:pPr>
      <w:r w:rsidRPr="00A75729">
        <w:rPr>
          <w:rFonts w:eastAsia="Times New Roman"/>
          <w:lang w:val="es-MX" w:eastAsia="es-ES"/>
        </w:rPr>
        <w:lastRenderedPageBreak/>
        <w:t xml:space="preserve">De </w:t>
      </w:r>
      <w:r w:rsidR="00336ED3" w:rsidRPr="00A75729">
        <w:rPr>
          <w:rFonts w:eastAsia="Times New Roman"/>
          <w:lang w:val="es-MX" w:eastAsia="es-ES"/>
        </w:rPr>
        <w:t xml:space="preserve">los cuadros anteriores </w:t>
      </w:r>
      <w:r w:rsidRPr="00A75729">
        <w:rPr>
          <w:rFonts w:eastAsia="Times New Roman"/>
          <w:lang w:val="es-MX" w:eastAsia="es-ES"/>
        </w:rPr>
        <w:t>se observa que en el ejercicio fiscal 2016 Audio Publicidad tuvo un resultado desfavorable (pérdida neta)</w:t>
      </w:r>
      <w:r w:rsidR="004825B0">
        <w:rPr>
          <w:rFonts w:eastAsia="Times New Roman"/>
          <w:lang w:val="es-MX" w:eastAsia="es-ES"/>
        </w:rPr>
        <w:t>;</w:t>
      </w:r>
      <w:r w:rsidRPr="00A75729">
        <w:rPr>
          <w:rFonts w:eastAsia="Times New Roman"/>
          <w:lang w:val="es-MX" w:eastAsia="es-ES"/>
        </w:rPr>
        <w:t xml:space="preserve"> </w:t>
      </w:r>
      <w:r w:rsidR="004825B0">
        <w:rPr>
          <w:rFonts w:eastAsia="Times New Roman"/>
          <w:lang w:val="es-MX" w:eastAsia="es-ES"/>
        </w:rPr>
        <w:t xml:space="preserve">y </w:t>
      </w:r>
      <w:r w:rsidRPr="00A75729">
        <w:rPr>
          <w:rFonts w:eastAsia="Times New Roman"/>
          <w:lang w:val="es-MX" w:eastAsia="es-ES"/>
        </w:rPr>
        <w:t>en el año 2017 tuvo una recuperación y obtuvo un resultado positivo (beneficio neto)</w:t>
      </w:r>
      <w:r w:rsidR="004825B0">
        <w:rPr>
          <w:rFonts w:eastAsia="Times New Roman"/>
          <w:lang w:val="es-MX" w:eastAsia="es-ES"/>
        </w:rPr>
        <w:t>.</w:t>
      </w:r>
      <w:r w:rsidRPr="00A75729">
        <w:rPr>
          <w:rFonts w:eastAsia="Times New Roman"/>
          <w:lang w:val="es-MX" w:eastAsia="es-ES"/>
        </w:rPr>
        <w:t xml:space="preserve"> </w:t>
      </w:r>
      <w:r w:rsidR="004825B0">
        <w:rPr>
          <w:rFonts w:eastAsia="Times New Roman"/>
          <w:lang w:val="es-MX" w:eastAsia="es-ES"/>
        </w:rPr>
        <w:t>E</w:t>
      </w:r>
      <w:r w:rsidRPr="00A75729">
        <w:rPr>
          <w:rFonts w:eastAsia="Times New Roman"/>
          <w:lang w:val="es-MX" w:eastAsia="es-ES"/>
        </w:rPr>
        <w:t xml:space="preserve">n el caso de la estación </w:t>
      </w:r>
      <w:proofErr w:type="spellStart"/>
      <w:r w:rsidRPr="00A75729">
        <w:rPr>
          <w:rFonts w:eastAsia="Times New Roman"/>
          <w:lang w:val="es-MX" w:eastAsia="es-ES"/>
        </w:rPr>
        <w:t>XHDD</w:t>
      </w:r>
      <w:proofErr w:type="spellEnd"/>
      <w:r w:rsidRPr="00A75729">
        <w:rPr>
          <w:rFonts w:eastAsia="Times New Roman"/>
          <w:lang w:val="es-MX" w:eastAsia="es-ES"/>
        </w:rPr>
        <w:t xml:space="preserve">-FM, se observa que tuvo un resultado favorable </w:t>
      </w:r>
      <w:r w:rsidRPr="0088156B">
        <w:rPr>
          <w:rFonts w:eastAsia="Times New Roman"/>
          <w:lang w:val="es-MX" w:eastAsia="es-ES"/>
        </w:rPr>
        <w:t>en el año 2017</w:t>
      </w:r>
      <w:r w:rsidR="00F161EB" w:rsidRPr="0088156B">
        <w:rPr>
          <w:rFonts w:eastAsia="Times New Roman"/>
          <w:lang w:val="es-MX" w:eastAsia="es-ES"/>
        </w:rPr>
        <w:t>, pero</w:t>
      </w:r>
      <w:r w:rsidR="00336ED3" w:rsidRPr="0088156B">
        <w:rPr>
          <w:rFonts w:eastAsia="Times New Roman"/>
          <w:lang w:val="es-MX" w:eastAsia="es-ES"/>
        </w:rPr>
        <w:t xml:space="preserve"> </w:t>
      </w:r>
      <w:r w:rsidR="004825B0" w:rsidRPr="0088156B">
        <w:rPr>
          <w:rFonts w:eastAsia="Times New Roman"/>
          <w:lang w:val="es-MX" w:eastAsia="es-ES"/>
        </w:rPr>
        <w:t xml:space="preserve">reportó pérdidas </w:t>
      </w:r>
      <w:r w:rsidR="00336ED3" w:rsidRPr="0088156B">
        <w:rPr>
          <w:rFonts w:eastAsia="Times New Roman"/>
          <w:lang w:val="es-MX" w:eastAsia="es-ES"/>
        </w:rPr>
        <w:t>en los primeros meses de 2018</w:t>
      </w:r>
      <w:r w:rsidR="006F067E" w:rsidRPr="0088156B">
        <w:rPr>
          <w:rFonts w:eastAsia="Times New Roman"/>
          <w:lang w:val="es-MX" w:eastAsia="es-ES"/>
        </w:rPr>
        <w:t>, lo</w:t>
      </w:r>
      <w:r w:rsidR="006F067E">
        <w:rPr>
          <w:rFonts w:eastAsia="Times New Roman"/>
          <w:lang w:val="es-MX" w:eastAsia="es-ES"/>
        </w:rPr>
        <w:t xml:space="preserve"> cual </w:t>
      </w:r>
      <w:r w:rsidR="006F067E" w:rsidRPr="00F161EB">
        <w:rPr>
          <w:rFonts w:eastAsia="Times New Roman"/>
          <w:lang w:val="es-MX" w:eastAsia="es-ES"/>
        </w:rPr>
        <w:t>es un indicio de</w:t>
      </w:r>
      <w:r w:rsidR="006F067E">
        <w:rPr>
          <w:rFonts w:eastAsia="Times New Roman"/>
          <w:lang w:val="es-MX" w:eastAsia="es-ES"/>
        </w:rPr>
        <w:t xml:space="preserve"> que la estación </w:t>
      </w:r>
      <w:r w:rsidR="00CC5572">
        <w:rPr>
          <w:rFonts w:eastAsia="Times New Roman"/>
          <w:lang w:val="es-MX" w:eastAsia="es-ES"/>
        </w:rPr>
        <w:t>podría estar</w:t>
      </w:r>
      <w:r w:rsidR="006F067E">
        <w:rPr>
          <w:rFonts w:eastAsia="Times New Roman"/>
          <w:lang w:val="es-MX" w:eastAsia="es-ES"/>
        </w:rPr>
        <w:t xml:space="preserve"> entrando en un proceso de inviabilidad financiera</w:t>
      </w:r>
      <w:r w:rsidR="00336ED3" w:rsidRPr="00A75729">
        <w:rPr>
          <w:rFonts w:eastAsia="Times New Roman"/>
          <w:lang w:val="es-MX" w:eastAsia="es-ES"/>
        </w:rPr>
        <w:t>.</w:t>
      </w:r>
    </w:p>
    <w:p w:rsidR="00F161EB" w:rsidRDefault="00336ED3" w:rsidP="001F1A2C">
      <w:pPr>
        <w:tabs>
          <w:tab w:val="left" w:pos="426"/>
        </w:tabs>
        <w:ind w:right="-1"/>
        <w:rPr>
          <w:rFonts w:eastAsia="Times New Roman"/>
          <w:lang w:val="es-MX" w:eastAsia="es-ES"/>
        </w:rPr>
      </w:pPr>
      <w:r w:rsidRPr="00A75729">
        <w:rPr>
          <w:rFonts w:eastAsia="Times New Roman"/>
          <w:lang w:val="es-MX" w:eastAsia="es-ES"/>
        </w:rPr>
        <w:t>Así, las Partes acreditan que</w:t>
      </w:r>
      <w:r w:rsidR="00CC5572">
        <w:rPr>
          <w:rFonts w:eastAsia="Times New Roman"/>
          <w:lang w:val="es-MX" w:eastAsia="es-ES"/>
        </w:rPr>
        <w:t>,</w:t>
      </w:r>
      <w:r w:rsidRPr="00A75729">
        <w:rPr>
          <w:rFonts w:eastAsia="Times New Roman"/>
          <w:lang w:val="es-MX" w:eastAsia="es-ES"/>
        </w:rPr>
        <w:t xml:space="preserve"> </w:t>
      </w:r>
      <w:r w:rsidR="004825B0">
        <w:rPr>
          <w:rFonts w:eastAsia="Times New Roman"/>
          <w:lang w:val="es-MX" w:eastAsia="es-ES"/>
        </w:rPr>
        <w:t xml:space="preserve">en ausencia de la Operación, </w:t>
      </w:r>
      <w:r w:rsidR="00DD1E89">
        <w:rPr>
          <w:rFonts w:eastAsia="Times New Roman"/>
          <w:lang w:val="es-MX" w:eastAsia="es-ES"/>
        </w:rPr>
        <w:t xml:space="preserve">podría ponerse </w:t>
      </w:r>
      <w:r w:rsidR="004825B0">
        <w:rPr>
          <w:rFonts w:eastAsia="Times New Roman"/>
          <w:lang w:val="es-MX" w:eastAsia="es-ES"/>
        </w:rPr>
        <w:t>en riesgo la viabilidad de largo plazo de la</w:t>
      </w:r>
      <w:r w:rsidR="000D2A64">
        <w:rPr>
          <w:rFonts w:eastAsia="Times New Roman"/>
          <w:lang w:val="es-MX" w:eastAsia="es-ES"/>
        </w:rPr>
        <w:t xml:space="preserve"> </w:t>
      </w:r>
      <w:r w:rsidRPr="00A75729">
        <w:rPr>
          <w:rFonts w:eastAsia="Times New Roman"/>
          <w:lang w:val="es-MX" w:eastAsia="es-ES"/>
        </w:rPr>
        <w:t xml:space="preserve">estación </w:t>
      </w:r>
      <w:proofErr w:type="spellStart"/>
      <w:r w:rsidRPr="00A75729">
        <w:rPr>
          <w:rFonts w:eastAsia="Times New Roman"/>
          <w:lang w:val="es-MX" w:eastAsia="es-ES"/>
        </w:rPr>
        <w:t>XHDD</w:t>
      </w:r>
      <w:proofErr w:type="spellEnd"/>
      <w:r w:rsidRPr="00A75729">
        <w:rPr>
          <w:rFonts w:eastAsia="Times New Roman"/>
          <w:lang w:val="es-MX" w:eastAsia="es-ES"/>
        </w:rPr>
        <w:t>-FM</w:t>
      </w:r>
      <w:r w:rsidR="00551C3F">
        <w:rPr>
          <w:rFonts w:eastAsia="Times New Roman"/>
          <w:lang w:val="es-MX" w:eastAsia="es-ES"/>
        </w:rPr>
        <w:t xml:space="preserve"> y la continuación de la operación de la estación </w:t>
      </w:r>
      <w:proofErr w:type="spellStart"/>
      <w:r w:rsidR="00551C3F">
        <w:rPr>
          <w:rFonts w:eastAsia="Times New Roman"/>
          <w:lang w:val="es-MX" w:eastAsia="es-ES"/>
        </w:rPr>
        <w:t>XEDD</w:t>
      </w:r>
      <w:proofErr w:type="spellEnd"/>
      <w:r w:rsidR="00551C3F">
        <w:rPr>
          <w:rFonts w:eastAsia="Times New Roman"/>
          <w:lang w:val="es-MX" w:eastAsia="es-ES"/>
        </w:rPr>
        <w:t>-AM</w:t>
      </w:r>
      <w:r w:rsidRPr="00A75729">
        <w:rPr>
          <w:rFonts w:eastAsia="Times New Roman"/>
          <w:lang w:val="es-MX" w:eastAsia="es-ES"/>
        </w:rPr>
        <w:t>.</w:t>
      </w:r>
      <w:r w:rsidR="004825B0">
        <w:rPr>
          <w:rFonts w:eastAsia="Times New Roman"/>
          <w:lang w:val="es-MX" w:eastAsia="es-ES"/>
        </w:rPr>
        <w:t xml:space="preserve"> </w:t>
      </w:r>
    </w:p>
    <w:p w:rsidR="00FF11C7" w:rsidRPr="00952D3E" w:rsidRDefault="004825B0" w:rsidP="00F161EB">
      <w:pPr>
        <w:tabs>
          <w:tab w:val="left" w:pos="426"/>
        </w:tabs>
        <w:ind w:right="-1"/>
      </w:pPr>
      <w:r>
        <w:rPr>
          <w:rFonts w:eastAsia="Times New Roman"/>
          <w:lang w:val="es-MX" w:eastAsia="es-ES"/>
        </w:rPr>
        <w:t xml:space="preserve">Tal y como se señala en la sección 5.4.4.1, el Noveno Transitorio tiene como propósito específico </w:t>
      </w:r>
      <w:r w:rsidRPr="00A610FC">
        <w:rPr>
          <w:rFonts w:eastAsia="Times New Roman"/>
          <w:i/>
          <w:lang w:val="es-MX" w:eastAsia="es-ES"/>
        </w:rPr>
        <w:t>“</w:t>
      </w:r>
      <w:r w:rsidRPr="00A610FC">
        <w:rPr>
          <w:b/>
          <w:bCs/>
          <w:i/>
        </w:rPr>
        <w:t>fomentar la participación de inversionistas viables</w:t>
      </w:r>
      <w:r w:rsidRPr="00A610FC">
        <w:rPr>
          <w:i/>
        </w:rPr>
        <w:t xml:space="preserve"> que puedan competir en el sector con el agente preponderante, incluso por medio de nuevas concentraciones entre agentes que no hayan sido declarados con dicho carácter.”</w:t>
      </w:r>
      <w:r w:rsidR="00F161EB" w:rsidRPr="0088156B">
        <w:t>.</w:t>
      </w:r>
      <w:r w:rsidR="00F161EB">
        <w:rPr>
          <w:rFonts w:eastAsia="Times New Roman"/>
          <w:lang w:val="es-MX" w:eastAsia="es-ES"/>
        </w:rPr>
        <w:t xml:space="preserve"> </w:t>
      </w:r>
      <w:r w:rsidR="00F161EB" w:rsidRPr="0088156B">
        <w:rPr>
          <w:rFonts w:eastAsia="Times New Roman"/>
          <w:lang w:val="es-MX" w:eastAsia="es-ES"/>
        </w:rPr>
        <w:t>Al respecto</w:t>
      </w:r>
      <w:r w:rsidR="00FF11C7" w:rsidRPr="0088156B">
        <w:rPr>
          <w:rFonts w:eastAsia="Times New Roman"/>
          <w:lang w:val="es-MX" w:eastAsia="es-ES"/>
        </w:rPr>
        <w:t xml:space="preserve">, </w:t>
      </w:r>
      <w:r w:rsidRPr="0088156B">
        <w:rPr>
          <w:rFonts w:eastAsia="Times New Roman"/>
          <w:lang w:val="es-MX" w:eastAsia="es-ES"/>
        </w:rPr>
        <w:t xml:space="preserve">se determina que </w:t>
      </w:r>
      <w:r w:rsidR="00FF11C7" w:rsidRPr="0088156B">
        <w:rPr>
          <w:rFonts w:eastAsia="Times New Roman"/>
          <w:lang w:val="es-MX" w:eastAsia="es-ES"/>
        </w:rPr>
        <w:t xml:space="preserve">las Partes </w:t>
      </w:r>
      <w:r w:rsidRPr="004A5ABF">
        <w:rPr>
          <w:rFonts w:eastAsia="Times New Roman"/>
          <w:lang w:val="es-MX" w:eastAsia="es-ES"/>
        </w:rPr>
        <w:t xml:space="preserve">aportaron la </w:t>
      </w:r>
      <w:r w:rsidR="00FF11C7" w:rsidRPr="004A5ABF">
        <w:rPr>
          <w:rFonts w:eastAsia="Times New Roman"/>
          <w:lang w:val="es-MX" w:eastAsia="es-ES"/>
        </w:rPr>
        <w:t>información</w:t>
      </w:r>
      <w:r w:rsidRPr="004A5ABF">
        <w:rPr>
          <w:rFonts w:eastAsia="Times New Roman"/>
          <w:lang w:val="es-MX" w:eastAsia="es-ES"/>
        </w:rPr>
        <w:t xml:space="preserve"> financiera</w:t>
      </w:r>
      <w:r w:rsidR="00FF11C7" w:rsidRPr="00A75729">
        <w:t xml:space="preserve"> de la estación </w:t>
      </w:r>
      <w:proofErr w:type="spellStart"/>
      <w:r w:rsidR="00FF11C7" w:rsidRPr="00A75729">
        <w:t>XHDD</w:t>
      </w:r>
      <w:proofErr w:type="spellEnd"/>
      <w:r w:rsidR="00FF11C7" w:rsidRPr="00A75729">
        <w:t xml:space="preserve">-FM </w:t>
      </w:r>
      <w:r>
        <w:t>que permite prever que la adquisición</w:t>
      </w:r>
      <w:r w:rsidRPr="00A75729">
        <w:t xml:space="preserve"> </w:t>
      </w:r>
      <w:r w:rsidR="00FF11C7" w:rsidRPr="00A75729">
        <w:t xml:space="preserve">por parte del </w:t>
      </w:r>
      <w:proofErr w:type="spellStart"/>
      <w:r w:rsidR="00FF11C7" w:rsidRPr="00A75729">
        <w:t>GIE</w:t>
      </w:r>
      <w:proofErr w:type="spellEnd"/>
      <w:r w:rsidR="00FF11C7" w:rsidRPr="00A75729">
        <w:t xml:space="preserve"> Grupo Multimedios </w:t>
      </w:r>
      <w:r>
        <w:t xml:space="preserve">le </w:t>
      </w:r>
      <w:r w:rsidR="00FF11C7" w:rsidRPr="00A75729">
        <w:t>permitirá continuar con su</w:t>
      </w:r>
      <w:r>
        <w:t>s</w:t>
      </w:r>
      <w:r w:rsidR="00FF11C7" w:rsidRPr="00A75729">
        <w:t xml:space="preserve"> operaci</w:t>
      </w:r>
      <w:r>
        <w:t xml:space="preserve">ones, así como continuar con las operaciones de la estación </w:t>
      </w:r>
      <w:proofErr w:type="spellStart"/>
      <w:r>
        <w:t>XEDD</w:t>
      </w:r>
      <w:proofErr w:type="spellEnd"/>
      <w:r>
        <w:t>-AM</w:t>
      </w:r>
      <w:r w:rsidR="00551C3F">
        <w:t>, lo cual significa mantener la oferta del servicio en beneficio de las audiencias</w:t>
      </w:r>
      <w:r>
        <w:t>.</w:t>
      </w:r>
      <w:r w:rsidR="00F161EB">
        <w:t xml:space="preserve"> </w:t>
      </w:r>
      <w:r w:rsidR="00F161EB" w:rsidRPr="0088156B">
        <w:t xml:space="preserve">Así, por medio de la concentración que es objeto de la Operación, se permitirá </w:t>
      </w:r>
      <w:r w:rsidR="00F161EB" w:rsidRPr="0088156B">
        <w:rPr>
          <w:b/>
          <w:bCs/>
          <w:i/>
        </w:rPr>
        <w:t xml:space="preserve">fomentar la participación de </w:t>
      </w:r>
      <w:r w:rsidR="00F161EB" w:rsidRPr="0088156B">
        <w:rPr>
          <w:b/>
          <w:bCs/>
        </w:rPr>
        <w:t xml:space="preserve">la estación </w:t>
      </w:r>
      <w:proofErr w:type="spellStart"/>
      <w:r w:rsidR="00F161EB" w:rsidRPr="0088156B">
        <w:rPr>
          <w:b/>
          <w:bCs/>
        </w:rPr>
        <w:t>XHDD</w:t>
      </w:r>
      <w:proofErr w:type="spellEnd"/>
      <w:r w:rsidR="00F161EB" w:rsidRPr="0088156B">
        <w:rPr>
          <w:b/>
          <w:bCs/>
        </w:rPr>
        <w:t xml:space="preserve"> como un agente económico </w:t>
      </w:r>
      <w:r w:rsidR="00F161EB" w:rsidRPr="0088156B">
        <w:rPr>
          <w:b/>
          <w:bCs/>
          <w:i/>
        </w:rPr>
        <w:t>viable</w:t>
      </w:r>
      <w:r w:rsidR="00F161EB" w:rsidRPr="0088156B">
        <w:rPr>
          <w:i/>
        </w:rPr>
        <w:t xml:space="preserve"> que pueda competir en el sector </w:t>
      </w:r>
      <w:r w:rsidR="00F161EB" w:rsidRPr="0088156B">
        <w:t>de radiodifusión</w:t>
      </w:r>
      <w:r w:rsidR="00F161EB" w:rsidRPr="00952D3E">
        <w:t>.</w:t>
      </w:r>
    </w:p>
    <w:p w:rsidR="00FF11C7" w:rsidRPr="00A75729" w:rsidRDefault="004825B0" w:rsidP="00E50770">
      <w:pPr>
        <w:tabs>
          <w:tab w:val="left" w:pos="426"/>
        </w:tabs>
        <w:rPr>
          <w:i/>
          <w:u w:val="single"/>
        </w:rPr>
      </w:pPr>
      <w:r>
        <w:t xml:space="preserve">Adicionalmente, como lo señalan las Partes respecto al </w:t>
      </w:r>
      <w:r w:rsidR="00FF11C7" w:rsidRPr="00A75729">
        <w:t xml:space="preserve">punto 5, </w:t>
      </w:r>
      <w:r>
        <w:t xml:space="preserve">con motivo de la Operación, </w:t>
      </w:r>
      <w:r w:rsidR="00E70DC2" w:rsidRPr="00A75729">
        <w:rPr>
          <w:rFonts w:eastAsia="Times New Roman" w:cs="Calibri"/>
          <w:i/>
          <w:color w:val="000000"/>
          <w:u w:val="single"/>
          <w:lang w:eastAsia="es-ES_tradnl"/>
        </w:rPr>
        <w:t xml:space="preserve">en el largo plazo </w:t>
      </w:r>
      <w:r w:rsidR="00E70DC2" w:rsidRPr="00A75729">
        <w:rPr>
          <w:rFonts w:eastAsia="Times New Roman" w:cs="Calibri"/>
          <w:b/>
          <w:i/>
          <w:color w:val="000000"/>
          <w:u w:val="single"/>
          <w:lang w:eastAsia="es-ES_tradnl"/>
        </w:rPr>
        <w:t>pueden</w:t>
      </w:r>
      <w:r w:rsidR="00E70DC2" w:rsidRPr="00A75729">
        <w:rPr>
          <w:rFonts w:eastAsia="Times New Roman" w:cs="Calibri"/>
          <w:i/>
          <w:color w:val="000000"/>
          <w:u w:val="single"/>
          <w:lang w:eastAsia="es-ES_tradnl"/>
        </w:rPr>
        <w:t xml:space="preserve"> introducirse mejoras tecnológicas en la transmisión</w:t>
      </w:r>
      <w:r>
        <w:rPr>
          <w:rFonts w:eastAsia="Times New Roman" w:cs="Calibri"/>
          <w:i/>
          <w:color w:val="000000"/>
          <w:u w:val="single"/>
          <w:lang w:eastAsia="es-ES_tradnl"/>
        </w:rPr>
        <w:t>,</w:t>
      </w:r>
      <w:r w:rsidR="00FF11C7" w:rsidRPr="00A75729">
        <w:t xml:space="preserve"> </w:t>
      </w:r>
      <w:r>
        <w:t xml:space="preserve">tales como </w:t>
      </w:r>
      <w:r w:rsidR="00FF11C7" w:rsidRPr="00A75729">
        <w:t>la digitalización y multiprogramación de la estaci</w:t>
      </w:r>
      <w:r w:rsidR="00A177A5" w:rsidRPr="00A75729">
        <w:t xml:space="preserve">ón </w:t>
      </w:r>
      <w:proofErr w:type="spellStart"/>
      <w:r w:rsidR="00A177A5" w:rsidRPr="00A75729">
        <w:t>XHDD</w:t>
      </w:r>
      <w:proofErr w:type="spellEnd"/>
      <w:r w:rsidR="00A177A5" w:rsidRPr="00A75729">
        <w:t>-FM</w:t>
      </w:r>
      <w:r>
        <w:t>.</w:t>
      </w:r>
    </w:p>
    <w:p w:rsidR="00FD624A" w:rsidRPr="00A75729" w:rsidRDefault="00170121" w:rsidP="00B21BB2">
      <w:pPr>
        <w:pStyle w:val="Ttulo5"/>
        <w:numPr>
          <w:ilvl w:val="0"/>
          <w:numId w:val="0"/>
        </w:numPr>
        <w:spacing w:before="360" w:after="0"/>
        <w:rPr>
          <w:lang w:val="es-MX" w:eastAsia="en-US"/>
        </w:rPr>
      </w:pPr>
      <w:bookmarkStart w:id="240" w:name="_Toc519100878"/>
      <w:r>
        <w:rPr>
          <w:lang w:val="es-MX" w:eastAsia="en-US"/>
        </w:rPr>
        <w:t>5.4.4</w:t>
      </w:r>
      <w:r w:rsidR="00B21BB2">
        <w:rPr>
          <w:lang w:val="es-MX" w:eastAsia="en-US"/>
        </w:rPr>
        <w:t xml:space="preserve">.6 </w:t>
      </w:r>
      <w:r w:rsidR="00FD624A" w:rsidRPr="00A75729">
        <w:rPr>
          <w:lang w:val="es-MX" w:eastAsia="en-US"/>
        </w:rPr>
        <w:t>Conclusiones inciso d.</w:t>
      </w:r>
      <w:bookmarkEnd w:id="240"/>
    </w:p>
    <w:p w:rsidR="004825B0" w:rsidRDefault="001C51AE" w:rsidP="00F31085">
      <w:pPr>
        <w:keepNext/>
        <w:rPr>
          <w:rFonts w:eastAsia="Times New Roman"/>
          <w:bCs/>
          <w:color w:val="000000"/>
        </w:rPr>
      </w:pPr>
      <w:r>
        <w:rPr>
          <w:rFonts w:eastAsia="Times New Roman"/>
          <w:bCs/>
          <w:color w:val="000000"/>
        </w:rPr>
        <w:t>Con base en el</w:t>
      </w:r>
      <w:r w:rsidR="00FD624A" w:rsidRPr="00A75729">
        <w:rPr>
          <w:rFonts w:eastAsia="Times New Roman"/>
          <w:bCs/>
          <w:color w:val="000000"/>
        </w:rPr>
        <w:t xml:space="preserve"> análisis realizado </w:t>
      </w:r>
      <w:r>
        <w:rPr>
          <w:rFonts w:eastAsia="Times New Roman"/>
          <w:bCs/>
          <w:color w:val="000000"/>
        </w:rPr>
        <w:t>se tiene lo siguiente</w:t>
      </w:r>
      <w:r w:rsidR="004825B0">
        <w:rPr>
          <w:rFonts w:eastAsia="Times New Roman"/>
          <w:bCs/>
          <w:color w:val="000000"/>
        </w:rPr>
        <w:t>:</w:t>
      </w:r>
    </w:p>
    <w:p w:rsidR="004825B0" w:rsidRPr="004825B0" w:rsidRDefault="00F31085" w:rsidP="006A7D5F">
      <w:pPr>
        <w:pStyle w:val="Prrafodelista"/>
        <w:numPr>
          <w:ilvl w:val="0"/>
          <w:numId w:val="52"/>
        </w:numPr>
        <w:spacing w:after="120" w:line="276" w:lineRule="auto"/>
        <w:ind w:left="426"/>
        <w:contextualSpacing w:val="0"/>
        <w:rPr>
          <w:rFonts w:eastAsia="Times New Roman"/>
          <w:lang w:eastAsia="es-ES"/>
        </w:rPr>
      </w:pPr>
      <w:r>
        <w:rPr>
          <w:rFonts w:eastAsia="Times New Roman"/>
          <w:lang w:eastAsia="es-ES"/>
        </w:rPr>
        <w:t>Con l</w:t>
      </w:r>
      <w:r w:rsidR="004825B0">
        <w:rPr>
          <w:rFonts w:eastAsia="Times New Roman"/>
          <w:lang w:eastAsia="es-ES"/>
        </w:rPr>
        <w:t xml:space="preserve">a información disponible en el Expediente no </w:t>
      </w:r>
      <w:r>
        <w:rPr>
          <w:rFonts w:eastAsia="Times New Roman"/>
          <w:lang w:eastAsia="es-ES"/>
        </w:rPr>
        <w:t xml:space="preserve">se puede </w:t>
      </w:r>
      <w:r w:rsidR="00146F8E">
        <w:rPr>
          <w:rFonts w:eastAsia="Times New Roman"/>
          <w:lang w:eastAsia="es-ES"/>
        </w:rPr>
        <w:t>concluir</w:t>
      </w:r>
      <w:r w:rsidR="004825B0">
        <w:rPr>
          <w:rFonts w:eastAsia="Times New Roman"/>
          <w:lang w:eastAsia="es-ES"/>
        </w:rPr>
        <w:t xml:space="preserve"> </w:t>
      </w:r>
      <w:r>
        <w:rPr>
          <w:rFonts w:eastAsia="Times New Roman"/>
          <w:lang w:eastAsia="es-ES"/>
        </w:rPr>
        <w:t xml:space="preserve">que </w:t>
      </w:r>
      <w:r w:rsidR="004825B0">
        <w:rPr>
          <w:rFonts w:eastAsia="Times New Roman"/>
          <w:lang w:eastAsia="es-ES"/>
        </w:rPr>
        <w:t xml:space="preserve">la Operación </w:t>
      </w:r>
      <w:r w:rsidR="004825B0">
        <w:t>tenga como efecto disminuir, dañar o impedir la libre competencia y concurrencia, en el sector de radiodifusión que le corresponde, y</w:t>
      </w:r>
    </w:p>
    <w:p w:rsidR="00FD624A" w:rsidRPr="004825B0" w:rsidRDefault="00F31085" w:rsidP="006A7D5F">
      <w:pPr>
        <w:pStyle w:val="Prrafodelista"/>
        <w:numPr>
          <w:ilvl w:val="0"/>
          <w:numId w:val="52"/>
        </w:numPr>
        <w:spacing w:after="120" w:line="276" w:lineRule="auto"/>
        <w:ind w:left="426"/>
        <w:contextualSpacing w:val="0"/>
        <w:rPr>
          <w:rFonts w:eastAsia="Times New Roman"/>
          <w:lang w:eastAsia="es-ES"/>
        </w:rPr>
      </w:pPr>
      <w:r>
        <w:rPr>
          <w:rFonts w:eastAsia="Times New Roman"/>
          <w:lang w:eastAsia="es-ES"/>
        </w:rPr>
        <w:t xml:space="preserve">Las Partes acreditan que </w:t>
      </w:r>
      <w:r w:rsidR="00FD624A" w:rsidRPr="004825B0">
        <w:rPr>
          <w:rFonts w:eastAsia="Times New Roman"/>
          <w:lang w:eastAsia="es-ES"/>
        </w:rPr>
        <w:t>la Operación</w:t>
      </w:r>
      <w:r w:rsidR="00FD624A" w:rsidRPr="00A75729">
        <w:t xml:space="preserve"> </w:t>
      </w:r>
      <w:r>
        <w:rPr>
          <w:rFonts w:eastAsia="Times New Roman"/>
          <w:lang w:eastAsia="es-ES"/>
        </w:rPr>
        <w:t xml:space="preserve">permitirá </w:t>
      </w:r>
      <w:r w:rsidR="001D5099">
        <w:rPr>
          <w:rFonts w:eastAsia="Times New Roman"/>
          <w:lang w:eastAsia="es-ES"/>
        </w:rPr>
        <w:t>a</w:t>
      </w:r>
      <w:r w:rsidR="00FD624A" w:rsidRPr="004825B0">
        <w:rPr>
          <w:rFonts w:eastAsia="Times New Roman"/>
          <w:lang w:eastAsia="es-ES"/>
        </w:rPr>
        <w:t xml:space="preserve">l </w:t>
      </w:r>
      <w:proofErr w:type="spellStart"/>
      <w:r w:rsidR="00FD624A" w:rsidRPr="004825B0">
        <w:rPr>
          <w:rFonts w:eastAsia="Times New Roman"/>
          <w:lang w:eastAsia="es-ES"/>
        </w:rPr>
        <w:t>GIE</w:t>
      </w:r>
      <w:proofErr w:type="spellEnd"/>
      <w:r w:rsidR="00FD624A" w:rsidRPr="004825B0">
        <w:rPr>
          <w:rFonts w:eastAsia="Times New Roman"/>
          <w:lang w:eastAsia="es-ES"/>
        </w:rPr>
        <w:t xml:space="preserve"> Grupo Multimedios </w:t>
      </w:r>
      <w:r>
        <w:rPr>
          <w:rFonts w:eastAsia="Times New Roman"/>
          <w:bCs/>
          <w:color w:val="000000"/>
        </w:rPr>
        <w:t>dot</w:t>
      </w:r>
      <w:r w:rsidR="001D5099">
        <w:rPr>
          <w:rFonts w:eastAsia="Times New Roman"/>
          <w:bCs/>
          <w:color w:val="000000"/>
        </w:rPr>
        <w:t>ar</w:t>
      </w:r>
      <w:r>
        <w:rPr>
          <w:rFonts w:eastAsia="Times New Roman"/>
          <w:bCs/>
          <w:color w:val="000000"/>
        </w:rPr>
        <w:t xml:space="preserve"> de viabilidad en el largo plazo a la estación </w:t>
      </w:r>
      <w:proofErr w:type="spellStart"/>
      <w:r>
        <w:rPr>
          <w:rFonts w:eastAsia="Times New Roman"/>
          <w:bCs/>
          <w:color w:val="000000"/>
        </w:rPr>
        <w:t>XHDD</w:t>
      </w:r>
      <w:proofErr w:type="spellEnd"/>
      <w:r>
        <w:rPr>
          <w:rFonts w:eastAsia="Times New Roman"/>
          <w:bCs/>
          <w:color w:val="000000"/>
        </w:rPr>
        <w:t>-FM</w:t>
      </w:r>
      <w:r w:rsidR="000D2A64">
        <w:rPr>
          <w:rFonts w:eastAsia="Times New Roman"/>
          <w:bCs/>
          <w:color w:val="000000"/>
        </w:rPr>
        <w:t xml:space="preserve"> </w:t>
      </w:r>
      <w:r>
        <w:rPr>
          <w:rFonts w:eastAsia="Times New Roman"/>
          <w:bCs/>
          <w:color w:val="000000"/>
        </w:rPr>
        <w:t xml:space="preserve">- y que continúe operando la estación </w:t>
      </w:r>
      <w:proofErr w:type="spellStart"/>
      <w:r>
        <w:rPr>
          <w:rFonts w:eastAsia="Times New Roman"/>
          <w:bCs/>
          <w:color w:val="000000"/>
        </w:rPr>
        <w:t>XEDD</w:t>
      </w:r>
      <w:proofErr w:type="spellEnd"/>
      <w:r>
        <w:rPr>
          <w:rFonts w:eastAsia="Times New Roman"/>
          <w:bCs/>
          <w:color w:val="000000"/>
        </w:rPr>
        <w:t xml:space="preserve">-AM- así como su transición a la </w:t>
      </w:r>
      <w:r w:rsidRPr="00A75729">
        <w:t>dig</w:t>
      </w:r>
      <w:r>
        <w:t xml:space="preserve">italización y multiprogramación. Esto es, preserva la oferta de estaciones de radiodifusión en funcionamiento en las localidades en las que tienen cobertura las estaciones </w:t>
      </w:r>
      <w:proofErr w:type="spellStart"/>
      <w:r>
        <w:t>XHDD</w:t>
      </w:r>
      <w:proofErr w:type="spellEnd"/>
      <w:r>
        <w:t xml:space="preserve">-FM y </w:t>
      </w:r>
      <w:proofErr w:type="spellStart"/>
      <w:r>
        <w:t>XEDD</w:t>
      </w:r>
      <w:proofErr w:type="spellEnd"/>
      <w:r>
        <w:t>-AM.</w:t>
      </w:r>
    </w:p>
    <w:p w:rsidR="00FD624A" w:rsidRPr="00A75729" w:rsidRDefault="00F31085" w:rsidP="00F31085">
      <w:pPr>
        <w:keepNext/>
        <w:rPr>
          <w:rFonts w:eastAsia="Times New Roman"/>
          <w:lang w:eastAsia="es-ES"/>
        </w:rPr>
      </w:pPr>
      <w:r>
        <w:rPr>
          <w:rFonts w:eastAsia="Times New Roman"/>
          <w:lang w:eastAsia="es-ES"/>
        </w:rPr>
        <w:t xml:space="preserve">En suma, las Partes aportaron elementos de convicción suficientes para que esta autoridad identifique que la Operación garantizará la viabilidad de los Agentes </w:t>
      </w:r>
      <w:r>
        <w:rPr>
          <w:rFonts w:eastAsia="Times New Roman"/>
          <w:lang w:eastAsia="es-ES"/>
        </w:rPr>
        <w:lastRenderedPageBreak/>
        <w:t>Económicos que no han sido declarados preponderantes en el sector de radiodifusión. Esta conclusión se ilustra en el siguiente cuadro.</w:t>
      </w:r>
    </w:p>
    <w:p w:rsidR="00FD624A" w:rsidRPr="00A75729" w:rsidRDefault="00FD624A" w:rsidP="00FD624A">
      <w:pPr>
        <w:pStyle w:val="Figura"/>
        <w:spacing w:after="120"/>
        <w:ind w:left="1276" w:right="45" w:hanging="992"/>
        <w:rPr>
          <w:sz w:val="22"/>
        </w:rPr>
      </w:pPr>
      <w:r w:rsidRPr="00A75729">
        <w:rPr>
          <w:b/>
          <w:sz w:val="22"/>
        </w:rPr>
        <w:t>Representación gráfica de los efectos de la Operación en el sector de radiodifusión</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0"/>
        <w:gridCol w:w="733"/>
        <w:gridCol w:w="1986"/>
        <w:gridCol w:w="5102"/>
      </w:tblGrid>
      <w:tr w:rsidR="00FD624A" w:rsidRPr="00A75729" w:rsidTr="004F5EE2">
        <w:trPr>
          <w:trHeight w:val="20"/>
          <w:tblHeader/>
          <w:jc w:val="center"/>
        </w:trPr>
        <w:tc>
          <w:tcPr>
            <w:tcW w:w="818" w:type="pct"/>
            <w:vMerge w:val="restart"/>
            <w:shd w:val="clear" w:color="auto" w:fill="92D050"/>
            <w:noWrap/>
            <w:vAlign w:val="center"/>
            <w:hideMark/>
          </w:tcPr>
          <w:p w:rsidR="00FD624A" w:rsidRPr="00A75729" w:rsidRDefault="00FD624A" w:rsidP="004F5EE2">
            <w:pPr>
              <w:spacing w:before="0" w:after="0" w:line="240" w:lineRule="auto"/>
              <w:jc w:val="center"/>
              <w:rPr>
                <w:rFonts w:eastAsia="Times New Roman"/>
                <w:b/>
                <w:bCs/>
                <w:sz w:val="16"/>
                <w:szCs w:val="16"/>
              </w:rPr>
            </w:pPr>
            <w:r w:rsidRPr="00A75729">
              <w:rPr>
                <w:rFonts w:eastAsia="Times New Roman"/>
                <w:b/>
                <w:bCs/>
                <w:sz w:val="16"/>
                <w:szCs w:val="16"/>
              </w:rPr>
              <w:t>Localidad</w:t>
            </w:r>
          </w:p>
        </w:tc>
        <w:tc>
          <w:tcPr>
            <w:tcW w:w="4182" w:type="pct"/>
            <w:gridSpan w:val="3"/>
            <w:shd w:val="clear" w:color="auto" w:fill="92D050"/>
            <w:vAlign w:val="center"/>
          </w:tcPr>
          <w:p w:rsidR="00FD624A" w:rsidRPr="00A75729" w:rsidRDefault="00FD624A" w:rsidP="004F5EE2">
            <w:pPr>
              <w:spacing w:before="0" w:after="0" w:line="240" w:lineRule="auto"/>
              <w:jc w:val="center"/>
              <w:rPr>
                <w:rFonts w:eastAsia="Times New Roman"/>
                <w:b/>
                <w:bCs/>
                <w:sz w:val="16"/>
                <w:szCs w:val="16"/>
              </w:rPr>
            </w:pPr>
            <w:r w:rsidRPr="00A75729">
              <w:rPr>
                <w:rFonts w:eastAsia="Times New Roman"/>
                <w:b/>
                <w:bCs/>
                <w:sz w:val="16"/>
                <w:szCs w:val="16"/>
              </w:rPr>
              <w:t>Servicios en el sector de radiodifusión</w:t>
            </w:r>
          </w:p>
        </w:tc>
      </w:tr>
      <w:tr w:rsidR="00FD624A" w:rsidRPr="00A75729" w:rsidTr="004F5EE2">
        <w:trPr>
          <w:trHeight w:val="20"/>
          <w:tblHeader/>
          <w:jc w:val="center"/>
        </w:trPr>
        <w:tc>
          <w:tcPr>
            <w:tcW w:w="818" w:type="pct"/>
            <w:vMerge/>
            <w:shd w:val="clear" w:color="auto" w:fill="92D050"/>
            <w:noWrap/>
            <w:vAlign w:val="center"/>
          </w:tcPr>
          <w:p w:rsidR="00FD624A" w:rsidRPr="00A75729" w:rsidRDefault="00FD624A" w:rsidP="004F5EE2">
            <w:pPr>
              <w:spacing w:before="0" w:after="0" w:line="240" w:lineRule="auto"/>
              <w:jc w:val="center"/>
              <w:rPr>
                <w:rFonts w:eastAsia="Times New Roman"/>
                <w:b/>
                <w:bCs/>
                <w:sz w:val="16"/>
                <w:szCs w:val="16"/>
              </w:rPr>
            </w:pPr>
          </w:p>
        </w:tc>
        <w:tc>
          <w:tcPr>
            <w:tcW w:w="392" w:type="pct"/>
            <w:shd w:val="clear" w:color="auto" w:fill="92D050"/>
            <w:vAlign w:val="center"/>
          </w:tcPr>
          <w:p w:rsidR="00FD624A" w:rsidRPr="00A75729" w:rsidRDefault="00FD624A" w:rsidP="004F5EE2">
            <w:pPr>
              <w:spacing w:before="0" w:after="0" w:line="240" w:lineRule="auto"/>
              <w:jc w:val="center"/>
              <w:rPr>
                <w:rFonts w:eastAsia="Times New Roman"/>
                <w:b/>
                <w:bCs/>
                <w:sz w:val="16"/>
                <w:szCs w:val="16"/>
              </w:rPr>
            </w:pPr>
            <w:proofErr w:type="spellStart"/>
            <w:r w:rsidRPr="00A75729">
              <w:rPr>
                <w:rFonts w:eastAsia="Times New Roman"/>
                <w:b/>
                <w:bCs/>
                <w:sz w:val="16"/>
                <w:szCs w:val="16"/>
              </w:rPr>
              <w:t>SRSAC</w:t>
            </w:r>
            <w:proofErr w:type="spellEnd"/>
            <w:r w:rsidRPr="00A75729">
              <w:rPr>
                <w:rFonts w:eastAsia="Times New Roman"/>
                <w:b/>
                <w:bCs/>
                <w:sz w:val="16"/>
                <w:szCs w:val="16"/>
              </w:rPr>
              <w:t xml:space="preserve"> en AM</w:t>
            </w:r>
          </w:p>
        </w:tc>
        <w:tc>
          <w:tcPr>
            <w:tcW w:w="1062" w:type="pct"/>
            <w:shd w:val="clear" w:color="auto" w:fill="92D050"/>
            <w:vAlign w:val="center"/>
          </w:tcPr>
          <w:p w:rsidR="00FD624A" w:rsidRPr="00A75729" w:rsidRDefault="00FD624A" w:rsidP="004F5EE2">
            <w:pPr>
              <w:spacing w:before="0" w:after="0" w:line="240" w:lineRule="auto"/>
              <w:jc w:val="center"/>
              <w:rPr>
                <w:rFonts w:eastAsia="Times New Roman"/>
                <w:b/>
                <w:bCs/>
                <w:sz w:val="16"/>
                <w:szCs w:val="16"/>
              </w:rPr>
            </w:pPr>
            <w:proofErr w:type="spellStart"/>
            <w:r w:rsidRPr="00A75729">
              <w:rPr>
                <w:rFonts w:eastAsia="Times New Roman"/>
                <w:b/>
                <w:bCs/>
                <w:sz w:val="16"/>
                <w:szCs w:val="16"/>
              </w:rPr>
              <w:t>SRSAC</w:t>
            </w:r>
            <w:proofErr w:type="spellEnd"/>
            <w:r w:rsidRPr="00A75729">
              <w:rPr>
                <w:rFonts w:eastAsia="Times New Roman"/>
                <w:b/>
                <w:bCs/>
                <w:sz w:val="16"/>
                <w:szCs w:val="16"/>
              </w:rPr>
              <w:t xml:space="preserve"> en FM</w:t>
            </w:r>
          </w:p>
        </w:tc>
        <w:tc>
          <w:tcPr>
            <w:tcW w:w="2728" w:type="pct"/>
            <w:shd w:val="clear" w:color="auto" w:fill="92D050"/>
            <w:vAlign w:val="center"/>
          </w:tcPr>
          <w:p w:rsidR="00FD624A" w:rsidRPr="00A75729" w:rsidRDefault="00FD624A" w:rsidP="004F5EE2">
            <w:pPr>
              <w:spacing w:before="0" w:after="0" w:line="240" w:lineRule="auto"/>
              <w:jc w:val="center"/>
              <w:rPr>
                <w:rFonts w:eastAsia="Times New Roman"/>
                <w:b/>
                <w:bCs/>
                <w:sz w:val="16"/>
                <w:szCs w:val="16"/>
              </w:rPr>
            </w:pPr>
            <w:proofErr w:type="spellStart"/>
            <w:r w:rsidRPr="00A75729">
              <w:rPr>
                <w:rFonts w:eastAsia="Times New Roman"/>
                <w:b/>
                <w:bCs/>
                <w:sz w:val="16"/>
                <w:szCs w:val="16"/>
              </w:rPr>
              <w:t>STRDC</w:t>
            </w:r>
            <w:proofErr w:type="spellEnd"/>
          </w:p>
        </w:tc>
      </w:tr>
      <w:tr w:rsidR="00FD624A" w:rsidRPr="00A75729" w:rsidTr="008A7A62">
        <w:trPr>
          <w:trHeight w:val="20"/>
          <w:jc w:val="center"/>
        </w:trPr>
        <w:tc>
          <w:tcPr>
            <w:tcW w:w="818" w:type="pct"/>
            <w:shd w:val="clear" w:color="000000" w:fill="FFFFFF"/>
            <w:vAlign w:val="center"/>
          </w:tcPr>
          <w:p w:rsidR="00FD624A" w:rsidRPr="00A75729" w:rsidRDefault="00FD624A" w:rsidP="008A7A62">
            <w:pPr>
              <w:spacing w:before="0" w:after="0"/>
              <w:rPr>
                <w:rFonts w:eastAsia="Times New Roman"/>
                <w:color w:val="000000"/>
                <w:sz w:val="16"/>
                <w:szCs w:val="16"/>
                <w:lang w:val="es-MX"/>
              </w:rPr>
            </w:pPr>
            <w:r w:rsidRPr="00A75729">
              <w:rPr>
                <w:rFonts w:eastAsia="Times New Roman"/>
                <w:color w:val="000000"/>
                <w:sz w:val="16"/>
                <w:szCs w:val="16"/>
                <w:lang w:val="es-MX"/>
              </w:rPr>
              <w:t>Localidad 1</w:t>
            </w:r>
          </w:p>
        </w:tc>
        <w:tc>
          <w:tcPr>
            <w:tcW w:w="392" w:type="pct"/>
            <w:shd w:val="clear" w:color="auto" w:fill="auto"/>
            <w:noWrap/>
          </w:tcPr>
          <w:p w:rsidR="00FD624A" w:rsidRPr="00A75729" w:rsidRDefault="00FD624A" w:rsidP="008A7A62">
            <w:pPr>
              <w:spacing w:before="0" w:after="0"/>
              <w:jc w:val="center"/>
              <w:rPr>
                <w:rFonts w:eastAsia="Times New Roman"/>
                <w:color w:val="000000"/>
                <w:sz w:val="16"/>
                <w:szCs w:val="16"/>
              </w:rPr>
            </w:pPr>
            <w:r w:rsidRPr="00A75729">
              <w:rPr>
                <w:rFonts w:eastAsia="Times New Roman"/>
                <w:color w:val="000000"/>
                <w:sz w:val="16"/>
                <w:szCs w:val="16"/>
              </w:rPr>
              <w:t>Nulo</w:t>
            </w:r>
          </w:p>
        </w:tc>
        <w:tc>
          <w:tcPr>
            <w:tcW w:w="1062" w:type="pct"/>
            <w:shd w:val="clear" w:color="auto" w:fill="auto"/>
          </w:tcPr>
          <w:p w:rsidR="00FD624A" w:rsidRPr="00A75729" w:rsidRDefault="00FD624A" w:rsidP="008A7A62">
            <w:pPr>
              <w:spacing w:before="0" w:after="0"/>
              <w:jc w:val="center"/>
              <w:rPr>
                <w:rFonts w:eastAsia="Times New Roman"/>
                <w:color w:val="000000"/>
                <w:sz w:val="16"/>
                <w:szCs w:val="16"/>
              </w:rPr>
            </w:pPr>
            <w:r w:rsidRPr="00A75729">
              <w:rPr>
                <w:rFonts w:eastAsia="Times New Roman"/>
                <w:color w:val="000000"/>
                <w:sz w:val="16"/>
                <w:szCs w:val="16"/>
              </w:rPr>
              <w:t>Nulo</w:t>
            </w:r>
          </w:p>
        </w:tc>
        <w:tc>
          <w:tcPr>
            <w:tcW w:w="2728" w:type="pct"/>
          </w:tcPr>
          <w:p w:rsidR="00FD624A" w:rsidRPr="00A75729" w:rsidRDefault="00FD624A" w:rsidP="008A7A62">
            <w:pPr>
              <w:spacing w:before="0" w:after="0"/>
              <w:jc w:val="center"/>
              <w:rPr>
                <w:rFonts w:eastAsia="Times New Roman"/>
                <w:color w:val="000000"/>
                <w:sz w:val="16"/>
                <w:szCs w:val="16"/>
              </w:rPr>
            </w:pPr>
            <w:r w:rsidRPr="00A75729">
              <w:rPr>
                <w:rFonts w:eastAsia="Times New Roman"/>
                <w:color w:val="000000"/>
                <w:sz w:val="16"/>
                <w:szCs w:val="16"/>
              </w:rPr>
              <w:t>Nulo</w:t>
            </w:r>
          </w:p>
        </w:tc>
      </w:tr>
      <w:tr w:rsidR="00FD624A" w:rsidRPr="00A75729" w:rsidTr="008A7A62">
        <w:trPr>
          <w:trHeight w:val="20"/>
          <w:jc w:val="center"/>
        </w:trPr>
        <w:tc>
          <w:tcPr>
            <w:tcW w:w="818" w:type="pct"/>
            <w:shd w:val="clear" w:color="000000" w:fill="FFFFFF"/>
            <w:vAlign w:val="center"/>
          </w:tcPr>
          <w:p w:rsidR="00FD624A" w:rsidRPr="00A75729" w:rsidRDefault="00FD624A" w:rsidP="008A7A62">
            <w:pPr>
              <w:spacing w:before="0" w:after="0"/>
              <w:rPr>
                <w:rFonts w:eastAsia="Times New Roman"/>
                <w:color w:val="000000"/>
                <w:sz w:val="16"/>
                <w:szCs w:val="16"/>
                <w:lang w:val="en-US"/>
              </w:rPr>
            </w:pPr>
            <w:proofErr w:type="spellStart"/>
            <w:r w:rsidRPr="00A75729">
              <w:rPr>
                <w:rFonts w:eastAsia="Times New Roman"/>
                <w:color w:val="000000"/>
                <w:sz w:val="16"/>
                <w:szCs w:val="16"/>
                <w:lang w:val="en-US"/>
              </w:rPr>
              <w:t>Localidad</w:t>
            </w:r>
            <w:proofErr w:type="spellEnd"/>
            <w:r w:rsidRPr="00A75729">
              <w:rPr>
                <w:rFonts w:eastAsia="Times New Roman"/>
                <w:color w:val="000000"/>
                <w:sz w:val="16"/>
                <w:szCs w:val="16"/>
                <w:lang w:val="en-US"/>
              </w:rPr>
              <w:t xml:space="preserve"> 2</w:t>
            </w:r>
          </w:p>
        </w:tc>
        <w:tc>
          <w:tcPr>
            <w:tcW w:w="392" w:type="pct"/>
            <w:shd w:val="clear" w:color="auto" w:fill="auto"/>
            <w:noWrap/>
          </w:tcPr>
          <w:p w:rsidR="00FD624A" w:rsidRPr="00A75729" w:rsidRDefault="00FD624A" w:rsidP="008A7A62">
            <w:pPr>
              <w:spacing w:before="0" w:after="0"/>
              <w:jc w:val="center"/>
              <w:rPr>
                <w:rFonts w:eastAsia="Times New Roman"/>
                <w:color w:val="000000"/>
                <w:sz w:val="16"/>
                <w:szCs w:val="16"/>
              </w:rPr>
            </w:pPr>
            <w:r w:rsidRPr="00A75729">
              <w:rPr>
                <w:rFonts w:eastAsia="Times New Roman"/>
                <w:color w:val="000000"/>
                <w:sz w:val="16"/>
                <w:szCs w:val="16"/>
              </w:rPr>
              <w:t>Nulo</w:t>
            </w:r>
          </w:p>
        </w:tc>
        <w:tc>
          <w:tcPr>
            <w:tcW w:w="1062" w:type="pct"/>
            <w:shd w:val="clear" w:color="auto" w:fill="auto"/>
          </w:tcPr>
          <w:p w:rsidR="00FD624A" w:rsidRPr="00A75729" w:rsidRDefault="00FD624A" w:rsidP="008A7A62">
            <w:pPr>
              <w:spacing w:before="0" w:after="0"/>
              <w:jc w:val="center"/>
              <w:rPr>
                <w:rFonts w:eastAsia="Times New Roman"/>
                <w:color w:val="000000"/>
                <w:sz w:val="16"/>
                <w:szCs w:val="16"/>
              </w:rPr>
            </w:pPr>
            <w:r w:rsidRPr="00A75729">
              <w:rPr>
                <w:rFonts w:eastAsia="Times New Roman"/>
                <w:color w:val="000000"/>
                <w:sz w:val="16"/>
                <w:szCs w:val="16"/>
              </w:rPr>
              <w:t>Nulo</w:t>
            </w:r>
          </w:p>
        </w:tc>
        <w:tc>
          <w:tcPr>
            <w:tcW w:w="2728" w:type="pct"/>
          </w:tcPr>
          <w:p w:rsidR="00FD624A" w:rsidRPr="00A75729" w:rsidRDefault="00FD624A" w:rsidP="008A7A62">
            <w:pPr>
              <w:spacing w:before="0" w:after="0"/>
              <w:jc w:val="center"/>
              <w:rPr>
                <w:rFonts w:eastAsia="Times New Roman"/>
                <w:color w:val="000000"/>
                <w:sz w:val="16"/>
                <w:szCs w:val="16"/>
              </w:rPr>
            </w:pPr>
            <w:r w:rsidRPr="00A75729">
              <w:rPr>
                <w:rFonts w:eastAsia="Times New Roman"/>
                <w:color w:val="000000"/>
                <w:sz w:val="16"/>
                <w:szCs w:val="16"/>
              </w:rPr>
              <w:t>Nulo</w:t>
            </w:r>
          </w:p>
        </w:tc>
      </w:tr>
      <w:tr w:rsidR="00FD624A" w:rsidRPr="00A75729" w:rsidTr="008A7A62">
        <w:trPr>
          <w:trHeight w:val="20"/>
          <w:jc w:val="center"/>
        </w:trPr>
        <w:tc>
          <w:tcPr>
            <w:tcW w:w="818" w:type="pct"/>
            <w:shd w:val="clear" w:color="000000" w:fill="FFFFFF"/>
            <w:vAlign w:val="center"/>
          </w:tcPr>
          <w:p w:rsidR="00FD624A" w:rsidRPr="00A75729" w:rsidRDefault="00FD624A" w:rsidP="008A7A62">
            <w:pPr>
              <w:spacing w:before="0" w:after="0"/>
              <w:rPr>
                <w:rFonts w:eastAsia="Times New Roman"/>
                <w:color w:val="000000"/>
                <w:sz w:val="16"/>
                <w:szCs w:val="16"/>
                <w:lang w:val="en-US"/>
              </w:rPr>
            </w:pPr>
            <w:r w:rsidRPr="00A75729">
              <w:rPr>
                <w:rFonts w:eastAsia="Times New Roman"/>
                <w:color w:val="000000"/>
                <w:sz w:val="16"/>
                <w:szCs w:val="16"/>
                <w:lang w:val="en-US"/>
              </w:rPr>
              <w:t>…</w:t>
            </w:r>
          </w:p>
        </w:tc>
        <w:tc>
          <w:tcPr>
            <w:tcW w:w="392" w:type="pct"/>
            <w:shd w:val="clear" w:color="auto" w:fill="auto"/>
            <w:noWrap/>
          </w:tcPr>
          <w:p w:rsidR="00FD624A" w:rsidRPr="00A75729" w:rsidRDefault="00FD624A" w:rsidP="008A7A62">
            <w:pPr>
              <w:spacing w:before="0" w:after="0"/>
              <w:jc w:val="center"/>
              <w:rPr>
                <w:rFonts w:eastAsia="Times New Roman"/>
                <w:noProof/>
                <w:color w:val="000000"/>
                <w:sz w:val="16"/>
                <w:szCs w:val="16"/>
                <w:lang w:val="es-MX"/>
              </w:rPr>
            </w:pPr>
            <w:r w:rsidRPr="00A75729">
              <w:rPr>
                <w:rFonts w:eastAsia="Times New Roman"/>
                <w:color w:val="000000"/>
                <w:sz w:val="16"/>
                <w:szCs w:val="16"/>
              </w:rPr>
              <w:t>Nulo</w:t>
            </w:r>
          </w:p>
        </w:tc>
        <w:tc>
          <w:tcPr>
            <w:tcW w:w="1062" w:type="pct"/>
            <w:shd w:val="clear" w:color="auto" w:fill="auto"/>
          </w:tcPr>
          <w:p w:rsidR="00FD624A" w:rsidRPr="00A75729" w:rsidRDefault="00FD624A" w:rsidP="008A7A62">
            <w:pPr>
              <w:spacing w:before="0" w:after="0"/>
              <w:jc w:val="center"/>
              <w:rPr>
                <w:rFonts w:eastAsia="Times New Roman"/>
                <w:color w:val="000000"/>
                <w:sz w:val="16"/>
                <w:szCs w:val="16"/>
              </w:rPr>
            </w:pPr>
            <w:r w:rsidRPr="00A75729">
              <w:rPr>
                <w:rFonts w:eastAsia="Times New Roman"/>
                <w:color w:val="000000"/>
                <w:sz w:val="16"/>
                <w:szCs w:val="16"/>
              </w:rPr>
              <w:t>Nulo</w:t>
            </w:r>
          </w:p>
        </w:tc>
        <w:tc>
          <w:tcPr>
            <w:tcW w:w="2728" w:type="pct"/>
          </w:tcPr>
          <w:p w:rsidR="00FD624A" w:rsidRPr="00A75729" w:rsidRDefault="00FD624A" w:rsidP="008A7A62">
            <w:pPr>
              <w:spacing w:before="0" w:after="0"/>
              <w:jc w:val="center"/>
              <w:rPr>
                <w:rFonts w:eastAsia="Times New Roman"/>
                <w:color w:val="000000"/>
                <w:sz w:val="16"/>
                <w:szCs w:val="16"/>
              </w:rPr>
            </w:pPr>
            <w:r w:rsidRPr="00A75729">
              <w:rPr>
                <w:rFonts w:eastAsia="Times New Roman"/>
                <w:color w:val="000000"/>
                <w:sz w:val="16"/>
                <w:szCs w:val="16"/>
              </w:rPr>
              <w:t>Nulo</w:t>
            </w:r>
          </w:p>
        </w:tc>
      </w:tr>
      <w:tr w:rsidR="00792EC9" w:rsidRPr="00A75729" w:rsidTr="00E50770">
        <w:trPr>
          <w:trHeight w:val="20"/>
          <w:jc w:val="center"/>
        </w:trPr>
        <w:tc>
          <w:tcPr>
            <w:tcW w:w="818" w:type="pct"/>
            <w:shd w:val="clear" w:color="000000" w:fill="FFFFFF"/>
            <w:vAlign w:val="center"/>
          </w:tcPr>
          <w:p w:rsidR="00FD624A" w:rsidRPr="00A75729" w:rsidRDefault="00FD624A" w:rsidP="008A7A62">
            <w:pPr>
              <w:spacing w:before="0" w:after="0"/>
              <w:rPr>
                <w:rFonts w:eastAsia="Times New Roman"/>
                <w:color w:val="000000"/>
                <w:sz w:val="16"/>
                <w:szCs w:val="16"/>
                <w:lang w:val="en-US"/>
              </w:rPr>
            </w:pPr>
            <w:proofErr w:type="spellStart"/>
            <w:r w:rsidRPr="00A75729">
              <w:rPr>
                <w:rFonts w:eastAsia="Times New Roman"/>
                <w:color w:val="000000"/>
                <w:sz w:val="16"/>
                <w:szCs w:val="16"/>
                <w:lang w:val="en-US"/>
              </w:rPr>
              <w:t>Ojo</w:t>
            </w:r>
            <w:proofErr w:type="spellEnd"/>
            <w:r w:rsidRPr="00A75729">
              <w:rPr>
                <w:rFonts w:eastAsia="Times New Roman"/>
                <w:color w:val="000000"/>
                <w:sz w:val="16"/>
                <w:szCs w:val="16"/>
                <w:lang w:val="en-US"/>
              </w:rPr>
              <w:t xml:space="preserve"> de Agua</w:t>
            </w:r>
          </w:p>
        </w:tc>
        <w:tc>
          <w:tcPr>
            <w:tcW w:w="392" w:type="pct"/>
            <w:shd w:val="clear" w:color="auto" w:fill="auto"/>
            <w:noWrap/>
          </w:tcPr>
          <w:p w:rsidR="00FD624A" w:rsidRPr="00A75729" w:rsidRDefault="00FD624A" w:rsidP="008A7A62">
            <w:pPr>
              <w:spacing w:before="0" w:after="0"/>
              <w:jc w:val="center"/>
              <w:rPr>
                <w:rFonts w:eastAsia="Times New Roman"/>
                <w:noProof/>
                <w:color w:val="000000"/>
                <w:sz w:val="16"/>
                <w:szCs w:val="16"/>
                <w:lang w:val="es-MX"/>
              </w:rPr>
            </w:pPr>
            <w:r w:rsidRPr="00A75729">
              <w:rPr>
                <w:rFonts w:eastAsia="Times New Roman"/>
                <w:color w:val="000000"/>
                <w:sz w:val="16"/>
                <w:szCs w:val="16"/>
              </w:rPr>
              <w:t>Nulo</w:t>
            </w:r>
          </w:p>
        </w:tc>
        <w:tc>
          <w:tcPr>
            <w:tcW w:w="1062" w:type="pct"/>
            <w:shd w:val="clear" w:color="auto" w:fill="92D050"/>
          </w:tcPr>
          <w:p w:rsidR="00FD624A" w:rsidRPr="00A75729" w:rsidRDefault="00F31085" w:rsidP="00FD624A">
            <w:pPr>
              <w:spacing w:before="0" w:after="0"/>
              <w:jc w:val="center"/>
              <w:rPr>
                <w:rFonts w:eastAsia="Times New Roman"/>
                <w:color w:val="000000"/>
                <w:sz w:val="16"/>
                <w:szCs w:val="16"/>
              </w:rPr>
            </w:pPr>
            <w:r>
              <w:rPr>
                <w:rFonts w:eastAsia="Times New Roman"/>
                <w:noProof/>
                <w:color w:val="000000"/>
                <w:sz w:val="16"/>
                <w:szCs w:val="16"/>
                <w:lang w:val="es-MX"/>
              </w:rPr>
              <w:t>Positivo</w:t>
            </w:r>
          </w:p>
        </w:tc>
        <w:tc>
          <w:tcPr>
            <w:tcW w:w="2728" w:type="pct"/>
          </w:tcPr>
          <w:p w:rsidR="00FD624A" w:rsidRPr="00A75729" w:rsidRDefault="00FD624A" w:rsidP="008A7A62">
            <w:pPr>
              <w:spacing w:before="0" w:after="0"/>
              <w:jc w:val="center"/>
              <w:rPr>
                <w:rFonts w:eastAsia="Times New Roman"/>
                <w:color w:val="000000"/>
                <w:sz w:val="16"/>
                <w:szCs w:val="16"/>
              </w:rPr>
            </w:pPr>
            <w:r w:rsidRPr="00A75729">
              <w:rPr>
                <w:rFonts w:eastAsia="Times New Roman"/>
                <w:color w:val="000000"/>
                <w:sz w:val="16"/>
                <w:szCs w:val="16"/>
              </w:rPr>
              <w:t>Nulo</w:t>
            </w:r>
          </w:p>
        </w:tc>
      </w:tr>
      <w:tr w:rsidR="00FD624A" w:rsidRPr="00A75729" w:rsidTr="00E50770">
        <w:trPr>
          <w:trHeight w:val="20"/>
          <w:jc w:val="center"/>
        </w:trPr>
        <w:tc>
          <w:tcPr>
            <w:tcW w:w="818" w:type="pct"/>
            <w:shd w:val="clear" w:color="000000" w:fill="FFFFFF"/>
            <w:vAlign w:val="center"/>
          </w:tcPr>
          <w:p w:rsidR="00FD624A" w:rsidRPr="00A75729" w:rsidRDefault="00FD624A" w:rsidP="00FD624A">
            <w:pPr>
              <w:spacing w:before="0" w:after="0"/>
              <w:rPr>
                <w:rFonts w:eastAsia="Times New Roman"/>
                <w:color w:val="000000"/>
                <w:sz w:val="16"/>
                <w:szCs w:val="16"/>
                <w:lang w:val="en-US"/>
              </w:rPr>
            </w:pPr>
            <w:proofErr w:type="spellStart"/>
            <w:r w:rsidRPr="00A75729">
              <w:rPr>
                <w:rFonts w:eastAsia="Times New Roman"/>
                <w:color w:val="000000"/>
                <w:sz w:val="16"/>
                <w:szCs w:val="16"/>
                <w:lang w:val="en-US"/>
              </w:rPr>
              <w:t>Juárez</w:t>
            </w:r>
            <w:proofErr w:type="spellEnd"/>
          </w:p>
        </w:tc>
        <w:tc>
          <w:tcPr>
            <w:tcW w:w="392" w:type="pct"/>
            <w:shd w:val="clear" w:color="auto" w:fill="auto"/>
            <w:noWrap/>
          </w:tcPr>
          <w:p w:rsidR="00FD624A" w:rsidRPr="00A75729" w:rsidRDefault="00FD624A" w:rsidP="00FD624A">
            <w:pPr>
              <w:spacing w:before="0" w:after="0"/>
              <w:jc w:val="center"/>
              <w:rPr>
                <w:rFonts w:eastAsia="Times New Roman"/>
                <w:color w:val="000000"/>
                <w:sz w:val="16"/>
                <w:szCs w:val="16"/>
              </w:rPr>
            </w:pPr>
            <w:r w:rsidRPr="00A75729">
              <w:rPr>
                <w:rFonts w:eastAsia="Times New Roman"/>
                <w:color w:val="000000"/>
                <w:sz w:val="16"/>
                <w:szCs w:val="16"/>
              </w:rPr>
              <w:t>Nulo</w:t>
            </w:r>
          </w:p>
        </w:tc>
        <w:tc>
          <w:tcPr>
            <w:tcW w:w="1062" w:type="pct"/>
            <w:shd w:val="clear" w:color="auto" w:fill="92D050"/>
          </w:tcPr>
          <w:p w:rsidR="00FD624A" w:rsidRPr="00A75729" w:rsidRDefault="00F31085" w:rsidP="00FD624A">
            <w:pPr>
              <w:spacing w:before="0" w:after="0"/>
              <w:jc w:val="center"/>
              <w:rPr>
                <w:rFonts w:eastAsia="Times New Roman"/>
                <w:color w:val="000000"/>
                <w:sz w:val="16"/>
                <w:szCs w:val="16"/>
              </w:rPr>
            </w:pPr>
            <w:r>
              <w:rPr>
                <w:rFonts w:eastAsia="Times New Roman"/>
                <w:noProof/>
                <w:color w:val="000000"/>
                <w:sz w:val="16"/>
                <w:szCs w:val="16"/>
                <w:lang w:val="es-MX"/>
              </w:rPr>
              <w:t>Positivo</w:t>
            </w:r>
          </w:p>
        </w:tc>
        <w:tc>
          <w:tcPr>
            <w:tcW w:w="2728" w:type="pct"/>
          </w:tcPr>
          <w:p w:rsidR="00FD624A" w:rsidRPr="00A75729" w:rsidRDefault="00FD624A" w:rsidP="00FD624A">
            <w:pPr>
              <w:spacing w:before="0" w:after="0"/>
              <w:jc w:val="center"/>
              <w:rPr>
                <w:rFonts w:eastAsia="Times New Roman"/>
                <w:color w:val="000000"/>
                <w:sz w:val="16"/>
                <w:szCs w:val="16"/>
              </w:rPr>
            </w:pPr>
            <w:r w:rsidRPr="00A75729">
              <w:rPr>
                <w:rFonts w:eastAsia="Times New Roman"/>
                <w:color w:val="000000"/>
                <w:sz w:val="16"/>
                <w:szCs w:val="16"/>
              </w:rPr>
              <w:t>Nulo</w:t>
            </w:r>
          </w:p>
        </w:tc>
      </w:tr>
      <w:tr w:rsidR="00FD624A" w:rsidRPr="00A75729" w:rsidTr="00E50770">
        <w:trPr>
          <w:trHeight w:val="20"/>
          <w:jc w:val="center"/>
        </w:trPr>
        <w:tc>
          <w:tcPr>
            <w:tcW w:w="818" w:type="pct"/>
            <w:shd w:val="clear" w:color="000000" w:fill="FFFFFF"/>
            <w:vAlign w:val="center"/>
          </w:tcPr>
          <w:p w:rsidR="00FD624A" w:rsidRPr="00A75729" w:rsidRDefault="00FD624A" w:rsidP="00FD624A">
            <w:pPr>
              <w:spacing w:before="0" w:after="0"/>
              <w:rPr>
                <w:rFonts w:eastAsia="Times New Roman"/>
                <w:color w:val="000000"/>
                <w:sz w:val="16"/>
                <w:szCs w:val="16"/>
                <w:lang w:val="en-US"/>
              </w:rPr>
            </w:pPr>
            <w:proofErr w:type="spellStart"/>
            <w:r w:rsidRPr="00A75729">
              <w:rPr>
                <w:rFonts w:eastAsia="Times New Roman"/>
                <w:color w:val="000000"/>
                <w:sz w:val="16"/>
                <w:szCs w:val="16"/>
                <w:lang w:val="en-US"/>
              </w:rPr>
              <w:t>Cadereyta</w:t>
            </w:r>
            <w:proofErr w:type="spellEnd"/>
          </w:p>
        </w:tc>
        <w:tc>
          <w:tcPr>
            <w:tcW w:w="392" w:type="pct"/>
            <w:shd w:val="clear" w:color="auto" w:fill="auto"/>
            <w:noWrap/>
          </w:tcPr>
          <w:p w:rsidR="00FD624A" w:rsidRPr="00A75729" w:rsidRDefault="00FD624A" w:rsidP="00FD624A">
            <w:pPr>
              <w:spacing w:before="0" w:after="0"/>
              <w:jc w:val="center"/>
              <w:rPr>
                <w:rFonts w:eastAsia="Times New Roman"/>
                <w:color w:val="000000"/>
                <w:sz w:val="16"/>
                <w:szCs w:val="16"/>
              </w:rPr>
            </w:pPr>
            <w:r w:rsidRPr="00A75729">
              <w:rPr>
                <w:rFonts w:eastAsia="Times New Roman"/>
                <w:color w:val="000000"/>
                <w:sz w:val="16"/>
                <w:szCs w:val="16"/>
              </w:rPr>
              <w:t>Nulo</w:t>
            </w:r>
          </w:p>
        </w:tc>
        <w:tc>
          <w:tcPr>
            <w:tcW w:w="1062" w:type="pct"/>
            <w:shd w:val="clear" w:color="auto" w:fill="92D050"/>
          </w:tcPr>
          <w:p w:rsidR="00FD624A" w:rsidRPr="00A75729" w:rsidRDefault="00F31085" w:rsidP="00FD624A">
            <w:pPr>
              <w:spacing w:before="0" w:after="0"/>
              <w:jc w:val="center"/>
              <w:rPr>
                <w:rFonts w:eastAsia="Times New Roman"/>
                <w:color w:val="000000"/>
                <w:sz w:val="16"/>
                <w:szCs w:val="16"/>
              </w:rPr>
            </w:pPr>
            <w:r>
              <w:rPr>
                <w:rFonts w:eastAsia="Times New Roman"/>
                <w:noProof/>
                <w:color w:val="000000"/>
                <w:sz w:val="16"/>
                <w:szCs w:val="16"/>
                <w:lang w:val="es-MX"/>
              </w:rPr>
              <w:t>Positivo</w:t>
            </w:r>
          </w:p>
        </w:tc>
        <w:tc>
          <w:tcPr>
            <w:tcW w:w="2728" w:type="pct"/>
          </w:tcPr>
          <w:p w:rsidR="00FD624A" w:rsidRPr="00A75729" w:rsidRDefault="00FD624A" w:rsidP="00FD624A">
            <w:pPr>
              <w:spacing w:before="0" w:after="0"/>
              <w:jc w:val="center"/>
              <w:rPr>
                <w:rFonts w:eastAsia="Times New Roman"/>
                <w:color w:val="000000"/>
                <w:sz w:val="16"/>
                <w:szCs w:val="16"/>
              </w:rPr>
            </w:pPr>
            <w:r w:rsidRPr="00A75729">
              <w:rPr>
                <w:rFonts w:eastAsia="Times New Roman"/>
                <w:color w:val="000000"/>
                <w:sz w:val="16"/>
                <w:szCs w:val="16"/>
              </w:rPr>
              <w:t>Nulo</w:t>
            </w:r>
          </w:p>
        </w:tc>
      </w:tr>
      <w:tr w:rsidR="00FD624A" w:rsidRPr="00A75729" w:rsidTr="00E50770">
        <w:trPr>
          <w:trHeight w:val="20"/>
          <w:jc w:val="center"/>
        </w:trPr>
        <w:tc>
          <w:tcPr>
            <w:tcW w:w="818" w:type="pct"/>
            <w:shd w:val="clear" w:color="000000" w:fill="FFFFFF"/>
            <w:vAlign w:val="center"/>
          </w:tcPr>
          <w:p w:rsidR="00FD624A" w:rsidRPr="00A75729" w:rsidRDefault="00FD624A" w:rsidP="00FD624A">
            <w:pPr>
              <w:spacing w:before="0" w:after="0"/>
              <w:rPr>
                <w:rFonts w:eastAsia="Times New Roman"/>
                <w:color w:val="000000"/>
                <w:sz w:val="16"/>
                <w:szCs w:val="16"/>
                <w:lang w:val="en-US"/>
              </w:rPr>
            </w:pPr>
            <w:proofErr w:type="spellStart"/>
            <w:r w:rsidRPr="00A75729">
              <w:rPr>
                <w:rFonts w:eastAsia="Times New Roman"/>
                <w:color w:val="000000"/>
                <w:sz w:val="16"/>
                <w:szCs w:val="16"/>
                <w:lang w:val="en-US"/>
              </w:rPr>
              <w:t>Montemorelos</w:t>
            </w:r>
            <w:proofErr w:type="spellEnd"/>
          </w:p>
        </w:tc>
        <w:tc>
          <w:tcPr>
            <w:tcW w:w="392" w:type="pct"/>
            <w:shd w:val="clear" w:color="auto" w:fill="auto"/>
            <w:noWrap/>
          </w:tcPr>
          <w:p w:rsidR="00FD624A" w:rsidRPr="00A75729" w:rsidRDefault="00FD624A" w:rsidP="00FD624A">
            <w:pPr>
              <w:spacing w:before="0" w:after="0"/>
              <w:jc w:val="center"/>
              <w:rPr>
                <w:rFonts w:eastAsia="Times New Roman"/>
                <w:color w:val="000000"/>
                <w:sz w:val="16"/>
                <w:szCs w:val="16"/>
              </w:rPr>
            </w:pPr>
            <w:r w:rsidRPr="00A75729">
              <w:rPr>
                <w:rFonts w:eastAsia="Times New Roman"/>
                <w:color w:val="000000"/>
                <w:sz w:val="16"/>
                <w:szCs w:val="16"/>
              </w:rPr>
              <w:t>Nulo</w:t>
            </w:r>
          </w:p>
        </w:tc>
        <w:tc>
          <w:tcPr>
            <w:tcW w:w="1062" w:type="pct"/>
            <w:shd w:val="clear" w:color="auto" w:fill="92D050"/>
          </w:tcPr>
          <w:p w:rsidR="00FD624A" w:rsidRPr="00A75729" w:rsidRDefault="00F31085" w:rsidP="00FD624A">
            <w:pPr>
              <w:spacing w:before="0" w:after="0"/>
              <w:jc w:val="center"/>
              <w:rPr>
                <w:rFonts w:eastAsia="Times New Roman"/>
                <w:color w:val="000000"/>
                <w:sz w:val="16"/>
                <w:szCs w:val="16"/>
              </w:rPr>
            </w:pPr>
            <w:r>
              <w:rPr>
                <w:rFonts w:eastAsia="Times New Roman"/>
                <w:noProof/>
                <w:color w:val="000000"/>
                <w:sz w:val="16"/>
                <w:szCs w:val="16"/>
                <w:lang w:val="es-MX"/>
              </w:rPr>
              <w:t>Positivo</w:t>
            </w:r>
          </w:p>
        </w:tc>
        <w:tc>
          <w:tcPr>
            <w:tcW w:w="2728" w:type="pct"/>
          </w:tcPr>
          <w:p w:rsidR="00FD624A" w:rsidRPr="00A75729" w:rsidRDefault="00FD624A" w:rsidP="00FD624A">
            <w:pPr>
              <w:spacing w:before="0" w:after="0"/>
              <w:jc w:val="center"/>
              <w:rPr>
                <w:rFonts w:eastAsia="Times New Roman"/>
                <w:color w:val="000000"/>
                <w:sz w:val="16"/>
                <w:szCs w:val="16"/>
              </w:rPr>
            </w:pPr>
            <w:r w:rsidRPr="00A75729">
              <w:rPr>
                <w:rFonts w:eastAsia="Times New Roman"/>
                <w:color w:val="000000"/>
                <w:sz w:val="16"/>
                <w:szCs w:val="16"/>
              </w:rPr>
              <w:t>Nulo</w:t>
            </w:r>
          </w:p>
        </w:tc>
      </w:tr>
      <w:tr w:rsidR="00FD624A" w:rsidRPr="00A75729" w:rsidTr="008A7A62">
        <w:trPr>
          <w:trHeight w:val="20"/>
          <w:jc w:val="center"/>
        </w:trPr>
        <w:tc>
          <w:tcPr>
            <w:tcW w:w="818" w:type="pct"/>
            <w:shd w:val="clear" w:color="000000" w:fill="FFFFFF"/>
            <w:vAlign w:val="center"/>
          </w:tcPr>
          <w:p w:rsidR="00FD624A" w:rsidRPr="00A75729" w:rsidRDefault="00FD624A" w:rsidP="008A7A62">
            <w:pPr>
              <w:spacing w:before="0" w:after="0"/>
              <w:rPr>
                <w:rFonts w:eastAsia="Times New Roman"/>
                <w:color w:val="000000"/>
                <w:sz w:val="16"/>
                <w:szCs w:val="16"/>
                <w:lang w:val="en-US"/>
              </w:rPr>
            </w:pPr>
            <w:r w:rsidRPr="00A75729">
              <w:rPr>
                <w:rFonts w:eastAsia="Times New Roman"/>
                <w:color w:val="000000"/>
                <w:sz w:val="16"/>
                <w:szCs w:val="16"/>
                <w:lang w:val="en-US"/>
              </w:rPr>
              <w:t>…</w:t>
            </w:r>
          </w:p>
        </w:tc>
        <w:tc>
          <w:tcPr>
            <w:tcW w:w="392" w:type="pct"/>
            <w:shd w:val="clear" w:color="auto" w:fill="auto"/>
            <w:noWrap/>
          </w:tcPr>
          <w:p w:rsidR="00FD624A" w:rsidRPr="00A75729" w:rsidRDefault="00FD624A" w:rsidP="008A7A62">
            <w:pPr>
              <w:spacing w:before="0" w:after="0"/>
              <w:jc w:val="center"/>
              <w:rPr>
                <w:rFonts w:eastAsia="Times New Roman"/>
                <w:color w:val="000000"/>
                <w:sz w:val="16"/>
                <w:szCs w:val="16"/>
              </w:rPr>
            </w:pPr>
            <w:r w:rsidRPr="00A75729">
              <w:rPr>
                <w:rFonts w:eastAsia="Times New Roman"/>
                <w:color w:val="000000"/>
                <w:sz w:val="16"/>
                <w:szCs w:val="16"/>
              </w:rPr>
              <w:t>Nulo</w:t>
            </w:r>
          </w:p>
        </w:tc>
        <w:tc>
          <w:tcPr>
            <w:tcW w:w="1062" w:type="pct"/>
          </w:tcPr>
          <w:p w:rsidR="00FD624A" w:rsidRPr="00A75729" w:rsidRDefault="00FD624A" w:rsidP="008A7A62">
            <w:pPr>
              <w:spacing w:before="0" w:after="0"/>
              <w:jc w:val="center"/>
              <w:rPr>
                <w:rFonts w:eastAsia="Times New Roman"/>
                <w:color w:val="000000"/>
                <w:sz w:val="16"/>
                <w:szCs w:val="16"/>
              </w:rPr>
            </w:pPr>
            <w:r w:rsidRPr="00A75729">
              <w:rPr>
                <w:rFonts w:eastAsia="Times New Roman"/>
                <w:color w:val="000000"/>
                <w:sz w:val="16"/>
                <w:szCs w:val="16"/>
              </w:rPr>
              <w:t>Nulo</w:t>
            </w:r>
          </w:p>
        </w:tc>
        <w:tc>
          <w:tcPr>
            <w:tcW w:w="2728" w:type="pct"/>
          </w:tcPr>
          <w:p w:rsidR="00FD624A" w:rsidRPr="00A75729" w:rsidRDefault="00FD624A" w:rsidP="008A7A62">
            <w:pPr>
              <w:spacing w:before="0" w:after="0"/>
              <w:jc w:val="center"/>
              <w:rPr>
                <w:rFonts w:eastAsia="Times New Roman"/>
                <w:color w:val="000000"/>
                <w:sz w:val="16"/>
                <w:szCs w:val="16"/>
              </w:rPr>
            </w:pPr>
            <w:r w:rsidRPr="00A75729">
              <w:rPr>
                <w:rFonts w:eastAsia="Times New Roman"/>
                <w:color w:val="000000"/>
                <w:sz w:val="16"/>
                <w:szCs w:val="16"/>
              </w:rPr>
              <w:t>Nulo</w:t>
            </w:r>
          </w:p>
        </w:tc>
      </w:tr>
      <w:tr w:rsidR="00FD624A" w:rsidRPr="00A75729" w:rsidTr="008A7A62">
        <w:trPr>
          <w:trHeight w:val="20"/>
          <w:jc w:val="center"/>
        </w:trPr>
        <w:tc>
          <w:tcPr>
            <w:tcW w:w="818" w:type="pct"/>
            <w:shd w:val="clear" w:color="000000" w:fill="FFFFFF"/>
            <w:vAlign w:val="center"/>
          </w:tcPr>
          <w:p w:rsidR="00FD624A" w:rsidRPr="00A75729" w:rsidRDefault="00FD624A" w:rsidP="008A7A62">
            <w:pPr>
              <w:spacing w:before="0" w:after="0"/>
              <w:rPr>
                <w:rFonts w:eastAsia="Times New Roman"/>
                <w:color w:val="000000"/>
                <w:sz w:val="16"/>
                <w:szCs w:val="16"/>
                <w:lang w:val="en-US"/>
              </w:rPr>
            </w:pPr>
            <w:proofErr w:type="spellStart"/>
            <w:r w:rsidRPr="00A75729">
              <w:rPr>
                <w:rFonts w:eastAsia="Times New Roman"/>
                <w:color w:val="000000"/>
                <w:sz w:val="16"/>
                <w:szCs w:val="16"/>
                <w:lang w:val="en-US"/>
              </w:rPr>
              <w:t>Localidad</w:t>
            </w:r>
            <w:proofErr w:type="spellEnd"/>
            <w:r w:rsidRPr="00A75729">
              <w:rPr>
                <w:rFonts w:eastAsia="Times New Roman"/>
                <w:color w:val="000000"/>
                <w:sz w:val="16"/>
                <w:szCs w:val="16"/>
                <w:lang w:val="en-US"/>
              </w:rPr>
              <w:t xml:space="preserve"> n</w:t>
            </w:r>
          </w:p>
        </w:tc>
        <w:tc>
          <w:tcPr>
            <w:tcW w:w="392" w:type="pct"/>
            <w:shd w:val="clear" w:color="auto" w:fill="auto"/>
            <w:noWrap/>
          </w:tcPr>
          <w:p w:rsidR="00FD624A" w:rsidRPr="00A75729" w:rsidRDefault="00FD624A" w:rsidP="008A7A62">
            <w:pPr>
              <w:spacing w:before="0" w:after="0"/>
              <w:jc w:val="center"/>
              <w:rPr>
                <w:rFonts w:eastAsia="Times New Roman"/>
                <w:color w:val="000000"/>
                <w:sz w:val="16"/>
                <w:szCs w:val="16"/>
              </w:rPr>
            </w:pPr>
            <w:r w:rsidRPr="00A75729">
              <w:rPr>
                <w:rFonts w:eastAsia="Times New Roman"/>
                <w:color w:val="000000"/>
                <w:sz w:val="16"/>
                <w:szCs w:val="16"/>
              </w:rPr>
              <w:t>Nulo</w:t>
            </w:r>
          </w:p>
        </w:tc>
        <w:tc>
          <w:tcPr>
            <w:tcW w:w="1062" w:type="pct"/>
          </w:tcPr>
          <w:p w:rsidR="00FD624A" w:rsidRPr="00A75729" w:rsidRDefault="00FD624A" w:rsidP="008A7A62">
            <w:pPr>
              <w:spacing w:before="0" w:after="0"/>
              <w:jc w:val="center"/>
              <w:rPr>
                <w:rFonts w:eastAsia="Times New Roman"/>
                <w:color w:val="000000"/>
                <w:sz w:val="16"/>
                <w:szCs w:val="16"/>
              </w:rPr>
            </w:pPr>
            <w:r w:rsidRPr="00A75729">
              <w:rPr>
                <w:rFonts w:eastAsia="Times New Roman"/>
                <w:color w:val="000000"/>
                <w:sz w:val="16"/>
                <w:szCs w:val="16"/>
              </w:rPr>
              <w:t>Nulo</w:t>
            </w:r>
          </w:p>
        </w:tc>
        <w:tc>
          <w:tcPr>
            <w:tcW w:w="2728" w:type="pct"/>
          </w:tcPr>
          <w:p w:rsidR="00FD624A" w:rsidRPr="00A75729" w:rsidRDefault="00FD624A" w:rsidP="008A7A62">
            <w:pPr>
              <w:spacing w:before="0" w:after="0"/>
              <w:jc w:val="center"/>
              <w:rPr>
                <w:rFonts w:eastAsia="Times New Roman"/>
                <w:color w:val="000000"/>
                <w:sz w:val="16"/>
                <w:szCs w:val="16"/>
              </w:rPr>
            </w:pPr>
            <w:r w:rsidRPr="00A75729">
              <w:rPr>
                <w:rFonts w:eastAsia="Times New Roman"/>
                <w:color w:val="000000"/>
                <w:sz w:val="16"/>
                <w:szCs w:val="16"/>
              </w:rPr>
              <w:t>Nulo</w:t>
            </w:r>
          </w:p>
        </w:tc>
      </w:tr>
    </w:tbl>
    <w:p w:rsidR="00FD624A" w:rsidRPr="00A75729" w:rsidRDefault="00FD624A" w:rsidP="00FD624A">
      <w:pPr>
        <w:spacing w:before="0" w:after="0" w:line="240" w:lineRule="auto"/>
        <w:ind w:left="142" w:right="332"/>
        <w:rPr>
          <w:sz w:val="16"/>
        </w:rPr>
      </w:pPr>
      <w:r w:rsidRPr="00A75729">
        <w:rPr>
          <w:sz w:val="16"/>
        </w:rPr>
        <w:t>Fuente: Elaboración propia.</w:t>
      </w:r>
    </w:p>
    <w:p w:rsidR="00FD624A" w:rsidRPr="00A75729" w:rsidRDefault="00FD624A" w:rsidP="00A75729">
      <w:r w:rsidRPr="00A75729">
        <w:rPr>
          <w:b/>
        </w:rPr>
        <w:t>Por lo anterior, la Operación CUMPLE con el inciso d. del párrafo primero del Noveno Transitorio</w:t>
      </w:r>
      <w:r w:rsidRPr="00A75729">
        <w:t>.</w:t>
      </w:r>
    </w:p>
    <w:p w:rsidR="001937F6" w:rsidRPr="00A75729" w:rsidRDefault="00B21BB2" w:rsidP="00B21BB2">
      <w:pPr>
        <w:pStyle w:val="Ttulo5"/>
        <w:numPr>
          <w:ilvl w:val="0"/>
          <w:numId w:val="0"/>
        </w:numPr>
        <w:spacing w:before="360" w:after="0"/>
        <w:rPr>
          <w:lang w:val="es-MX" w:eastAsia="en-US"/>
        </w:rPr>
      </w:pPr>
      <w:bookmarkStart w:id="241" w:name="_Toc519100879"/>
      <w:r>
        <w:rPr>
          <w:lang w:val="es-MX" w:eastAsia="en-US"/>
        </w:rPr>
        <w:t xml:space="preserve">5.4.4.7 </w:t>
      </w:r>
      <w:r w:rsidR="001937F6" w:rsidRPr="00A75729">
        <w:rPr>
          <w:lang w:val="es-MX" w:eastAsia="en-US"/>
        </w:rPr>
        <w:t>Cláusula de no Competir</w:t>
      </w:r>
      <w:bookmarkEnd w:id="241"/>
    </w:p>
    <w:p w:rsidR="001937F6" w:rsidRPr="00A75729" w:rsidRDefault="001937F6" w:rsidP="001937F6">
      <w:pPr>
        <w:spacing w:after="0"/>
      </w:pPr>
      <w:r w:rsidRPr="00A75729">
        <w:t>El Convenio de Cesión firmado por las Partes incluye una cláusula de no competir en los términos siguientes:</w:t>
      </w:r>
      <w:r w:rsidRPr="00A75729">
        <w:rPr>
          <w:rStyle w:val="Refdenotaalpie"/>
        </w:rPr>
        <w:footnoteReference w:id="72"/>
      </w:r>
    </w:p>
    <w:p w:rsidR="001937F6" w:rsidRPr="00507EEE" w:rsidRDefault="00457999" w:rsidP="001937F6">
      <w:pPr>
        <w:ind w:left="567" w:right="-1"/>
        <w:rPr>
          <w:i/>
          <w:sz w:val="20"/>
          <w:highlight w:val="green"/>
        </w:rPr>
      </w:pPr>
      <w:r w:rsidRPr="00E8226C">
        <w:rPr>
          <w:b/>
          <w:bCs/>
          <w:color w:val="0000CC"/>
          <w:kern w:val="24"/>
          <w:sz w:val="20"/>
          <w:szCs w:val="20"/>
        </w:rPr>
        <w:t>“CONFIDENCIAL POR LEY (</w:t>
      </w:r>
      <w:r w:rsidR="00D34F83">
        <w:rPr>
          <w:b/>
          <w:bCs/>
          <w:color w:val="0000CC"/>
          <w:kern w:val="24"/>
          <w:sz w:val="20"/>
          <w:szCs w:val="20"/>
        </w:rPr>
        <w:t>6</w:t>
      </w:r>
      <w:r w:rsidRPr="00E8226C">
        <w:rPr>
          <w:b/>
          <w:bCs/>
          <w:color w:val="0000CC"/>
          <w:kern w:val="24"/>
          <w:sz w:val="20"/>
          <w:szCs w:val="20"/>
        </w:rPr>
        <w:t>)”</w:t>
      </w:r>
    </w:p>
    <w:p w:rsidR="001937F6" w:rsidRPr="00A75729" w:rsidRDefault="001937F6" w:rsidP="001937F6">
      <w:pPr>
        <w:ind w:right="-1"/>
      </w:pPr>
      <w:r w:rsidRPr="00A75729">
        <w:t>Las Partes señalaron lo siguiente respecto a las razones por las que estipularon la cláusula de no competir:</w:t>
      </w:r>
      <w:r w:rsidRPr="00A75729">
        <w:rPr>
          <w:rStyle w:val="Refdenotaalpie"/>
        </w:rPr>
        <w:footnoteReference w:id="73"/>
      </w:r>
      <w:r w:rsidRPr="00A75729">
        <w:t xml:space="preserve"> </w:t>
      </w:r>
    </w:p>
    <w:p w:rsidR="001937F6" w:rsidRPr="00A75729" w:rsidRDefault="001937F6" w:rsidP="001937F6">
      <w:pPr>
        <w:ind w:left="567" w:right="-1"/>
        <w:rPr>
          <w:i/>
          <w:sz w:val="20"/>
        </w:rPr>
      </w:pPr>
      <w:r w:rsidRPr="00A75729">
        <w:rPr>
          <w:i/>
          <w:sz w:val="20"/>
        </w:rPr>
        <w:t>“Se considera que la obligación de no competencia es justificada y razonable, y no tiene el objetivo de dañar el proceso de competencia y libre concurrencia. Lo anterior en virtud de que dicha cláusula se encuentra acotada en cuanto a la posibilidad de que la parte cedente y/o sus accionistas puedan participar en el sector de la radiodifusión.</w:t>
      </w:r>
    </w:p>
    <w:p w:rsidR="001937F6" w:rsidRPr="00A75729" w:rsidRDefault="001937F6" w:rsidP="001937F6">
      <w:pPr>
        <w:ind w:left="567" w:right="-1"/>
        <w:rPr>
          <w:i/>
          <w:sz w:val="20"/>
        </w:rPr>
      </w:pPr>
      <w:r w:rsidRPr="00A75729">
        <w:rPr>
          <w:i/>
          <w:sz w:val="20"/>
        </w:rPr>
        <w:t>(…)</w:t>
      </w:r>
    </w:p>
    <w:p w:rsidR="001937F6" w:rsidRPr="00A75729" w:rsidRDefault="001937F6" w:rsidP="001937F6">
      <w:pPr>
        <w:ind w:left="567" w:right="-1"/>
        <w:rPr>
          <w:i/>
          <w:sz w:val="20"/>
        </w:rPr>
      </w:pPr>
      <w:r w:rsidRPr="00A75729">
        <w:rPr>
          <w:i/>
          <w:sz w:val="20"/>
        </w:rPr>
        <w:t>La cláusula de no competencia protege de que se explote de manera oportunista el activo intangible señalado a través de un radiodifusor establecido, ya que dicha cláusula impide la adquisición de una empresa en marcha. El conocimiento en la operación del negocio, así como el reconocimiento de una marca establecida, que pueda ser adquirida por Audio Publicidad, puede impedir la realización del objetivo de la concentración y hacer poco redituable la adquisición de las frecuencias de radiodifusión.</w:t>
      </w:r>
    </w:p>
    <w:p w:rsidR="001937F6" w:rsidRPr="00A75729" w:rsidRDefault="001937F6" w:rsidP="001937F6">
      <w:pPr>
        <w:ind w:left="567" w:right="-1"/>
        <w:rPr>
          <w:i/>
          <w:sz w:val="20"/>
        </w:rPr>
      </w:pPr>
      <w:r w:rsidRPr="00A75729">
        <w:rPr>
          <w:i/>
          <w:sz w:val="20"/>
        </w:rPr>
        <w:lastRenderedPageBreak/>
        <w:t xml:space="preserve">Se considera que dicho comportamiento oportunista no surgiría en una situación en donde se inicia con una nueva señal de radiodifusión que no goza de algún reconocimiento de marca, por lo cual la cláusula de no competencia no impide la adquisición de nuevas concesiones a través de procesos de licitación, ni restringe la operación de estaciones de radiodifusiones adquiridas a través de dicha vía. Al respecto, cabe recordar que el Programa Anual de Uso y Aprovechamiento de Bandas de Frecuencia 2018, señala que en el </w:t>
      </w:r>
      <w:proofErr w:type="spellStart"/>
      <w:r w:rsidRPr="00A75729">
        <w:rPr>
          <w:i/>
          <w:sz w:val="20"/>
        </w:rPr>
        <w:t>IFT</w:t>
      </w:r>
      <w:proofErr w:type="spellEnd"/>
      <w:r w:rsidRPr="00A75729">
        <w:rPr>
          <w:i/>
          <w:sz w:val="20"/>
        </w:rPr>
        <w:t xml:space="preserve"> iniciará la licitación de frecuencias de espectro radioeléctrico para uso comercial para el servicio de radiodifusión de las bandas de Amplitud Modulada, Frecuencia Modulada y Televisión Digital Terrestre, durante el segundo semestre del año 2018, por lo que se espera que Audio Publicidad, así como otros agentes económicos, puedan participar en dichos procedimientos.</w:t>
      </w:r>
    </w:p>
    <w:p w:rsidR="001937F6" w:rsidRPr="00A75729" w:rsidRDefault="001937F6" w:rsidP="001937F6">
      <w:pPr>
        <w:ind w:left="567" w:right="-1"/>
        <w:rPr>
          <w:i/>
          <w:sz w:val="20"/>
        </w:rPr>
      </w:pPr>
      <w:r w:rsidRPr="00A75729">
        <w:rPr>
          <w:i/>
          <w:sz w:val="20"/>
        </w:rPr>
        <w:t>(…)</w:t>
      </w:r>
    </w:p>
    <w:p w:rsidR="001937F6" w:rsidRPr="00A75729" w:rsidRDefault="001937F6" w:rsidP="001937F6">
      <w:pPr>
        <w:ind w:left="567" w:right="-1"/>
        <w:rPr>
          <w:i/>
          <w:sz w:val="20"/>
        </w:rPr>
      </w:pPr>
      <w:r w:rsidRPr="00A75729">
        <w:rPr>
          <w:i/>
          <w:sz w:val="20"/>
        </w:rPr>
        <w:t>Por lo que concierne a la cláusula de no competir, las condiciones de la misma fueron acordadas por las partes, considerando que la actividad a la cual se comprometió el vendedor fue a no competir en actividades de radiodifusión en general. Para efectos de esta cláusula, el vendedor está autorizado para la comercialización de la estación.”</w:t>
      </w:r>
    </w:p>
    <w:p w:rsidR="001937F6" w:rsidRPr="00A75729" w:rsidRDefault="00B21BB2" w:rsidP="00B21BB2">
      <w:pPr>
        <w:pStyle w:val="Ttulo6"/>
        <w:spacing w:before="360"/>
        <w:ind w:left="714"/>
        <w:rPr>
          <w:rFonts w:ascii="ITC Avant Garde" w:eastAsia="Times New Roman" w:hAnsi="ITC Avant Garde"/>
          <w:b/>
          <w:color w:val="auto"/>
        </w:rPr>
      </w:pPr>
      <w:r>
        <w:rPr>
          <w:rFonts w:ascii="ITC Avant Garde" w:eastAsia="Times New Roman" w:hAnsi="ITC Avant Garde"/>
          <w:b/>
          <w:color w:val="auto"/>
        </w:rPr>
        <w:t xml:space="preserve">5.4.4.7.1 </w:t>
      </w:r>
      <w:r w:rsidR="001937F6" w:rsidRPr="00A75729">
        <w:rPr>
          <w:rFonts w:ascii="ITC Avant Garde" w:eastAsia="Times New Roman" w:hAnsi="ITC Avant Garde"/>
          <w:b/>
          <w:color w:val="auto"/>
        </w:rPr>
        <w:t>Análisis de la Cláusula de no Competir</w:t>
      </w:r>
    </w:p>
    <w:p w:rsidR="001937F6" w:rsidRPr="00A75729" w:rsidRDefault="001937F6" w:rsidP="001937F6">
      <w:pPr>
        <w:ind w:right="-1"/>
      </w:pPr>
      <w:r w:rsidRPr="00A75729">
        <w:t xml:space="preserve">Las cláusulas de no competir no son sancionables ni prohibidas </w:t>
      </w:r>
      <w:r w:rsidRPr="00A75729">
        <w:rPr>
          <w:i/>
        </w:rPr>
        <w:t>per se</w:t>
      </w:r>
      <w:r w:rsidRPr="00A75729">
        <w:t>, sino que se sujetan a una evaluación de razonabilidad caso por caso para identificar si éstas o parte de éstas constituyen una restricción a la libre concurrencia y competencia económica o son justificables en tanto tienen el propósito de proteger la realización eficiente de las concentraciones.</w:t>
      </w:r>
    </w:p>
    <w:p w:rsidR="001937F6" w:rsidRPr="00A75729" w:rsidRDefault="001937F6" w:rsidP="001937F6">
      <w:pPr>
        <w:ind w:right="-1"/>
      </w:pPr>
      <w:r w:rsidRPr="00A75729">
        <w:t>En toda concentración, los vendedores transfieren por completo a los adquirentes o compradores la propiedad y el uso de los activos tangibles y algunos activos intangibles, como las marcas, que están involucrados, al momento de que se perfecciona la operación. Sin embargo, algunos activos intangibles que forman parte de la concentración no pueden ser transferidos por completo de manera inmediata, sino hasta que transcurre cierto periodo de tiempo, por lo que pueden seguir siendo utilizados por los vendedores. Este tipo de activos intangibles se pueden tratar del conocimiento del mercado, relaciones con los clientes u otros elementos similares que sólo pueden separarse del vendedor por la pérdida paulatina de ese conocimiento y de la existencia de vínculos comerciales previos.</w:t>
      </w:r>
    </w:p>
    <w:p w:rsidR="001937F6" w:rsidRPr="00A75729" w:rsidRDefault="001937F6" w:rsidP="001937F6">
      <w:pPr>
        <w:ind w:right="-1"/>
      </w:pPr>
      <w:r w:rsidRPr="00A75729">
        <w:t>Las cláusulas de no competir en este sentido, son justificables cuando se establecen por los Agentes Económicos involucrados para conservar el valor del negocio transferido y, por lo tanto, proteger la realización eficiente de una concentración. Su finalidad es evitar que quien vende un negocio pueda utilizar, de forma oportunista, activos intangibles para competir en contra del negocio objeto de la concentración.</w:t>
      </w:r>
    </w:p>
    <w:p w:rsidR="001937F6" w:rsidRPr="00A75729" w:rsidRDefault="001937F6" w:rsidP="001937F6">
      <w:pPr>
        <w:ind w:right="-1"/>
      </w:pPr>
      <w:r w:rsidRPr="00A75729">
        <w:lastRenderedPageBreak/>
        <w:t>Al respecto, el Instituto ha considerado</w:t>
      </w:r>
      <w:r w:rsidRPr="00A75729">
        <w:rPr>
          <w:rStyle w:val="Refdenotaalpie"/>
        </w:rPr>
        <w:footnoteReference w:id="74"/>
      </w:r>
      <w:r w:rsidRPr="00A75729">
        <w:t xml:space="preserve"> que </w:t>
      </w:r>
      <w:r w:rsidR="00F31085">
        <w:t>las</w:t>
      </w:r>
      <w:r w:rsidR="00F31085" w:rsidRPr="00A75729">
        <w:t xml:space="preserve"> </w:t>
      </w:r>
      <w:r w:rsidRPr="00A75729">
        <w:t>cláusula</w:t>
      </w:r>
      <w:r w:rsidR="00F31085">
        <w:t>s</w:t>
      </w:r>
      <w:r w:rsidRPr="00A75729">
        <w:t xml:space="preserve"> de no competir</w:t>
      </w:r>
      <w:r w:rsidR="00F31085">
        <w:t>, bajo ciertos requisitos,</w:t>
      </w:r>
      <w:r w:rsidRPr="00A75729">
        <w:t xml:space="preserve"> tiene</w:t>
      </w:r>
      <w:r w:rsidR="00F31085">
        <w:t>n</w:t>
      </w:r>
      <w:r w:rsidRPr="00A75729">
        <w:t xml:space="preserve"> como objetivo proteger la realización eficiente de una concentración y no atenta contra la libre concurrencia y competencia económica</w:t>
      </w:r>
      <w:r w:rsidR="00F31085">
        <w:t>.</w:t>
      </w:r>
      <w:r w:rsidRPr="00A75729">
        <w:t xml:space="preserve"> </w:t>
      </w:r>
    </w:p>
    <w:p w:rsidR="001937F6" w:rsidRDefault="001937F6" w:rsidP="001937F6">
      <w:r w:rsidRPr="00A75729">
        <w:t xml:space="preserve">Considerando lo anteriormente expuesto, </w:t>
      </w:r>
      <w:r w:rsidRPr="00A75729">
        <w:rPr>
          <w:b/>
        </w:rPr>
        <w:t xml:space="preserve">se considera que la cláusula de no competir convenida por las Partes </w:t>
      </w:r>
      <w:r w:rsidR="00D52378">
        <w:rPr>
          <w:b/>
        </w:rPr>
        <w:t xml:space="preserve">previsiblemente </w:t>
      </w:r>
      <w:r w:rsidRPr="00A75729">
        <w:rPr>
          <w:b/>
        </w:rPr>
        <w:t xml:space="preserve">no </w:t>
      </w:r>
      <w:r w:rsidR="0082216D">
        <w:rPr>
          <w:b/>
        </w:rPr>
        <w:t>constituye</w:t>
      </w:r>
      <w:r w:rsidR="0082216D" w:rsidRPr="0082216D">
        <w:rPr>
          <w:b/>
        </w:rPr>
        <w:t xml:space="preserve"> </w:t>
      </w:r>
      <w:r w:rsidR="0082216D">
        <w:rPr>
          <w:b/>
        </w:rPr>
        <w:t>efectos de disminuir, dañar o impedir la libre concurrencia, en el sector de radiodifusión</w:t>
      </w:r>
      <w:r w:rsidRPr="00A75729">
        <w:t>.</w:t>
      </w:r>
    </w:p>
    <w:p w:rsidR="00F80D00" w:rsidRPr="00A75729" w:rsidRDefault="00F80D00" w:rsidP="0082216D">
      <w:pPr>
        <w:pStyle w:val="Ttulo2"/>
        <w:spacing w:after="0"/>
      </w:pPr>
      <w:bookmarkStart w:id="242" w:name="_Toc519100880"/>
      <w:r w:rsidRPr="00A75729">
        <w:t>SEXTO. Conclusión</w:t>
      </w:r>
      <w:bookmarkEnd w:id="242"/>
    </w:p>
    <w:p w:rsidR="00331CDE" w:rsidRPr="00A75729" w:rsidRDefault="00F80D00" w:rsidP="0053408B">
      <w:pPr>
        <w:keepNext/>
      </w:pPr>
      <w:r w:rsidRPr="00A75729">
        <w:t xml:space="preserve">Con base en </w:t>
      </w:r>
      <w:r w:rsidR="00A177A5" w:rsidRPr="00A75729">
        <w:t>e</w:t>
      </w:r>
      <w:r w:rsidRPr="00A75729">
        <w:t xml:space="preserve">l </w:t>
      </w:r>
      <w:r w:rsidR="00A177A5" w:rsidRPr="00A75729">
        <w:t xml:space="preserve">análisis presentado en el </w:t>
      </w:r>
      <w:r w:rsidRPr="00A75729">
        <w:t xml:space="preserve">Considerando </w:t>
      </w:r>
      <w:r w:rsidR="00A177A5" w:rsidRPr="00A75729">
        <w:t>Quinto</w:t>
      </w:r>
      <w:r w:rsidRPr="00A75729">
        <w:t xml:space="preserve">, </w:t>
      </w:r>
      <w:r w:rsidR="00331CDE" w:rsidRPr="00A75729">
        <w:t xml:space="preserve">que parte </w:t>
      </w:r>
      <w:r w:rsidR="00331CDE" w:rsidRPr="00A75729">
        <w:rPr>
          <w:lang w:eastAsia="es-ES"/>
        </w:rPr>
        <w:t xml:space="preserve">de la información y elementos con los que cuenta el Instituto y los aportados por las Partes, </w:t>
      </w:r>
      <w:r w:rsidRPr="00A75729">
        <w:t xml:space="preserve">se concluye </w:t>
      </w:r>
      <w:r w:rsidR="00331CDE" w:rsidRPr="00A75729">
        <w:t>lo siguiente:</w:t>
      </w:r>
    </w:p>
    <w:p w:rsidR="00EB5475" w:rsidRPr="00A75729" w:rsidRDefault="00EB5475" w:rsidP="006A7D5F">
      <w:pPr>
        <w:pStyle w:val="Prrafodelista"/>
        <w:numPr>
          <w:ilvl w:val="0"/>
          <w:numId w:val="36"/>
        </w:numPr>
        <w:spacing w:after="120" w:line="276" w:lineRule="auto"/>
        <w:ind w:left="426"/>
        <w:contextualSpacing w:val="0"/>
      </w:pPr>
      <w:r w:rsidRPr="00A75729">
        <w:t>La Operación se realizó entre Agentes Económicos titulares de concesiones y la presentación del Aviso de Concentración fue oportuna en términos de lo previsto en el párrafo cuarto del Noveno Transitorio;</w:t>
      </w:r>
    </w:p>
    <w:p w:rsidR="00331CDE" w:rsidRPr="00A75729" w:rsidRDefault="00331CDE" w:rsidP="006A7D5F">
      <w:pPr>
        <w:pStyle w:val="Prrafodelista"/>
        <w:numPr>
          <w:ilvl w:val="0"/>
          <w:numId w:val="36"/>
        </w:numPr>
        <w:spacing w:after="120" w:line="276" w:lineRule="auto"/>
        <w:ind w:left="426"/>
        <w:contextualSpacing w:val="0"/>
      </w:pPr>
      <w:r w:rsidRPr="00A75729">
        <w:t>La Operación incide en el sector de radiodifusión;</w:t>
      </w:r>
    </w:p>
    <w:p w:rsidR="00331CDE" w:rsidRPr="00A75729" w:rsidRDefault="00331CDE" w:rsidP="006A7D5F">
      <w:pPr>
        <w:pStyle w:val="Prrafodelista"/>
        <w:numPr>
          <w:ilvl w:val="0"/>
          <w:numId w:val="36"/>
        </w:numPr>
        <w:spacing w:after="120" w:line="276" w:lineRule="auto"/>
        <w:ind w:left="426"/>
        <w:contextualSpacing w:val="0"/>
      </w:pPr>
      <w:r w:rsidRPr="00A75729">
        <w:t xml:space="preserve">Para efectos de la presente resolución, se considera que el sector de radiodifusión está conformado por el </w:t>
      </w:r>
      <w:proofErr w:type="spellStart"/>
      <w:r w:rsidRPr="00A75729">
        <w:t>STRDC</w:t>
      </w:r>
      <w:proofErr w:type="spellEnd"/>
      <w:r w:rsidRPr="00A75729">
        <w:t xml:space="preserve"> y el </w:t>
      </w:r>
      <w:proofErr w:type="spellStart"/>
      <w:r w:rsidRPr="00A75729">
        <w:t>SRSAC</w:t>
      </w:r>
      <w:proofErr w:type="spellEnd"/>
      <w:r w:rsidRPr="00A75729">
        <w:t>, que es justamente el servicio involucrado en la Operación;</w:t>
      </w:r>
    </w:p>
    <w:p w:rsidR="00EB5475" w:rsidRPr="00A75729" w:rsidRDefault="00EB5475" w:rsidP="006A7D5F">
      <w:pPr>
        <w:pStyle w:val="Prrafodelista"/>
        <w:numPr>
          <w:ilvl w:val="0"/>
          <w:numId w:val="36"/>
        </w:numPr>
        <w:spacing w:after="120" w:line="276" w:lineRule="auto"/>
        <w:ind w:left="426"/>
        <w:contextualSpacing w:val="0"/>
      </w:pPr>
      <w:r w:rsidRPr="00A75729">
        <w:t xml:space="preserve">Debido a la ausencia de información de audiencia del </w:t>
      </w:r>
      <w:proofErr w:type="spellStart"/>
      <w:r w:rsidRPr="00A75729">
        <w:t>SRSAC</w:t>
      </w:r>
      <w:proofErr w:type="spellEnd"/>
      <w:r w:rsidRPr="00A75729">
        <w:t xml:space="preserve"> y el </w:t>
      </w:r>
      <w:proofErr w:type="spellStart"/>
      <w:r w:rsidRPr="00A75729">
        <w:t>STRDC</w:t>
      </w:r>
      <w:proofErr w:type="spellEnd"/>
      <w:r w:rsidRPr="00A75729">
        <w:t xml:space="preserve"> de manera conjunta y a nivel nacional, para calcular las participaciones en el sector de radiodifusión “</w:t>
      </w:r>
      <w:r w:rsidRPr="00A75729">
        <w:rPr>
          <w:i/>
        </w:rPr>
        <w:t>con base en audiencia</w:t>
      </w:r>
      <w:r w:rsidRPr="00A75729">
        <w:t xml:space="preserve">”, se consideraron 3 (tres) fuentes de información o variables: 1) la </w:t>
      </w:r>
      <w:proofErr w:type="spellStart"/>
      <w:r w:rsidRPr="00A75729">
        <w:t>ENCCA</w:t>
      </w:r>
      <w:proofErr w:type="spellEnd"/>
      <w:r w:rsidRPr="00A75729">
        <w:t xml:space="preserve"> (2016); 2) el número de estaciones de radiodifusión; y 3) cifras de </w:t>
      </w:r>
      <w:r w:rsidRPr="00A75729">
        <w:rPr>
          <w:i/>
        </w:rPr>
        <w:t>share</w:t>
      </w:r>
      <w:r w:rsidRPr="00A75729">
        <w:t xml:space="preserve"> del </w:t>
      </w:r>
      <w:proofErr w:type="spellStart"/>
      <w:r w:rsidRPr="00A75729">
        <w:t>STRDC</w:t>
      </w:r>
      <w:proofErr w:type="spellEnd"/>
      <w:r w:rsidRPr="00A75729">
        <w:t xml:space="preserve"> a nivel nacional combinadas con aproximaciones del </w:t>
      </w:r>
      <w:r w:rsidRPr="00A75729">
        <w:rPr>
          <w:i/>
        </w:rPr>
        <w:t>share</w:t>
      </w:r>
      <w:r w:rsidRPr="00A75729">
        <w:t xml:space="preserve"> del </w:t>
      </w:r>
      <w:proofErr w:type="spellStart"/>
      <w:r w:rsidRPr="00A75729">
        <w:t>SRSAC</w:t>
      </w:r>
      <w:proofErr w:type="spellEnd"/>
      <w:r w:rsidRPr="00A75729">
        <w:t xml:space="preserve"> a nivel nacional;</w:t>
      </w:r>
    </w:p>
    <w:p w:rsidR="00B461C8" w:rsidRPr="00A75729" w:rsidRDefault="00EB5475" w:rsidP="006A7D5F">
      <w:pPr>
        <w:pStyle w:val="Prrafodelista"/>
        <w:numPr>
          <w:ilvl w:val="0"/>
          <w:numId w:val="36"/>
        </w:numPr>
        <w:spacing w:after="120" w:line="276" w:lineRule="auto"/>
        <w:ind w:left="426"/>
        <w:contextualSpacing w:val="0"/>
      </w:pPr>
      <w:r w:rsidRPr="00A75729">
        <w:rPr>
          <w:b/>
        </w:rPr>
        <w:t xml:space="preserve">La Operación </w:t>
      </w:r>
      <w:r w:rsidR="00523A9F" w:rsidRPr="00A75729">
        <w:rPr>
          <w:b/>
        </w:rPr>
        <w:t xml:space="preserve">CUMPLE </w:t>
      </w:r>
      <w:r w:rsidRPr="00A75729">
        <w:rPr>
          <w:b/>
        </w:rPr>
        <w:t xml:space="preserve">con el inciso a. del párrafo primero del Noveno Transitorio, </w:t>
      </w:r>
      <w:r w:rsidRPr="00A75729">
        <w:t>pues implica una disminución del ID a nivel nacional que va de 0.</w:t>
      </w:r>
      <w:r w:rsidR="00B461C8">
        <w:t>20</w:t>
      </w:r>
      <w:r w:rsidRPr="00A75729">
        <w:t xml:space="preserve"> (</w:t>
      </w:r>
      <w:proofErr w:type="gramStart"/>
      <w:r w:rsidRPr="00A75729">
        <w:t>cero punto</w:t>
      </w:r>
      <w:proofErr w:type="gramEnd"/>
      <w:r w:rsidRPr="00A75729">
        <w:t xml:space="preserve"> </w:t>
      </w:r>
      <w:r w:rsidR="00B461C8">
        <w:t>veinte</w:t>
      </w:r>
      <w:r w:rsidRPr="00A75729">
        <w:t>) a 2.</w:t>
      </w:r>
      <w:r w:rsidR="00B461C8">
        <w:t>01</w:t>
      </w:r>
      <w:r w:rsidRPr="00A75729">
        <w:t xml:space="preserve"> (dos punto </w:t>
      </w:r>
      <w:r w:rsidR="00B461C8">
        <w:t>cero uno</w:t>
      </w:r>
      <w:r w:rsidRPr="00A75729">
        <w:t xml:space="preserve">) puntos y un incremento en el </w:t>
      </w:r>
      <w:proofErr w:type="spellStart"/>
      <w:r w:rsidRPr="00A75729">
        <w:t>IHH</w:t>
      </w:r>
      <w:proofErr w:type="spellEnd"/>
      <w:r w:rsidRPr="00A75729">
        <w:t xml:space="preserve"> </w:t>
      </w:r>
      <w:r w:rsidR="007348D7" w:rsidRPr="00A75729">
        <w:t xml:space="preserve">sectorial </w:t>
      </w:r>
      <w:r w:rsidRPr="00A75729">
        <w:t>que va de 0.0</w:t>
      </w:r>
      <w:r w:rsidR="00B461C8">
        <w:t>5</w:t>
      </w:r>
      <w:r w:rsidRPr="00A75729">
        <w:t xml:space="preserve"> (cero punto cero </w:t>
      </w:r>
      <w:r w:rsidR="00B461C8">
        <w:t>cinco</w:t>
      </w:r>
      <w:r w:rsidRPr="00A75729">
        <w:t>) a 0.3</w:t>
      </w:r>
      <w:r w:rsidR="00B461C8">
        <w:t>4</w:t>
      </w:r>
      <w:r w:rsidRPr="00A75729">
        <w:t xml:space="preserve"> (cero punto treinta y </w:t>
      </w:r>
      <w:r w:rsidR="00B461C8">
        <w:t>cuatro</w:t>
      </w:r>
      <w:r w:rsidRPr="00A75729">
        <w:t xml:space="preserve">) puntos. Esto es, la Operación genera una reducción del ID en el sector evaluado y el </w:t>
      </w:r>
      <w:proofErr w:type="spellStart"/>
      <w:r w:rsidRPr="00A75729">
        <w:t>IHH</w:t>
      </w:r>
      <w:proofErr w:type="spellEnd"/>
      <w:r w:rsidRPr="00A75729">
        <w:t xml:space="preserve"> no se incrementa en</w:t>
      </w:r>
      <w:r w:rsidR="00523A9F" w:rsidRPr="00A75729">
        <w:t xml:space="preserve"> más de 200 (doscientos) puntos;</w:t>
      </w:r>
    </w:p>
    <w:p w:rsidR="00EB5475" w:rsidRPr="00A75729" w:rsidRDefault="00523A9F" w:rsidP="006A7D5F">
      <w:pPr>
        <w:pStyle w:val="Prrafodelista"/>
        <w:numPr>
          <w:ilvl w:val="0"/>
          <w:numId w:val="36"/>
        </w:numPr>
        <w:spacing w:after="120" w:line="276" w:lineRule="auto"/>
        <w:ind w:left="426"/>
        <w:contextualSpacing w:val="0"/>
      </w:pPr>
      <w:r w:rsidRPr="00A75729">
        <w:rPr>
          <w:b/>
        </w:rPr>
        <w:t xml:space="preserve">La Operación CUMPLE con el inciso b. del párrafo primero del Noveno Transitorio, </w:t>
      </w:r>
      <w:r w:rsidRPr="00A75729">
        <w:t xml:space="preserve">pues el </w:t>
      </w:r>
      <w:proofErr w:type="spellStart"/>
      <w:r w:rsidRPr="00A75729">
        <w:t>GIE</w:t>
      </w:r>
      <w:proofErr w:type="spellEnd"/>
      <w:r w:rsidRPr="00A75729">
        <w:t xml:space="preserve"> Grupo Multimedios acumuló una participación en el sector de </w:t>
      </w:r>
      <w:r w:rsidRPr="00A75729">
        <w:lastRenderedPageBreak/>
        <w:t xml:space="preserve">radiodifusión a nivel nacional de entre </w:t>
      </w:r>
      <w:r w:rsidR="00457999" w:rsidRPr="00E8226C">
        <w:rPr>
          <w:b/>
          <w:bCs/>
          <w:color w:val="0000CC"/>
          <w:kern w:val="24"/>
          <w:sz w:val="20"/>
          <w:szCs w:val="20"/>
        </w:rPr>
        <w:t>“CONFIDENCIAL POR LEY (</w:t>
      </w:r>
      <w:r w:rsidR="00D34F83">
        <w:rPr>
          <w:b/>
          <w:bCs/>
          <w:color w:val="0000CC"/>
          <w:kern w:val="24"/>
          <w:sz w:val="20"/>
          <w:szCs w:val="20"/>
        </w:rPr>
        <w:t>4</w:t>
      </w:r>
      <w:r w:rsidR="00457999" w:rsidRPr="00E8226C">
        <w:rPr>
          <w:b/>
          <w:bCs/>
          <w:color w:val="0000CC"/>
          <w:kern w:val="24"/>
          <w:sz w:val="20"/>
          <w:szCs w:val="20"/>
        </w:rPr>
        <w:t>)”</w:t>
      </w:r>
      <w:r w:rsidRPr="00A75729">
        <w:t xml:space="preserve"> y 4.41% (</w:t>
      </w:r>
      <w:proofErr w:type="gramStart"/>
      <w:r w:rsidRPr="00A75729">
        <w:t>cuatro punto</w:t>
      </w:r>
      <w:proofErr w:type="gramEnd"/>
      <w:r w:rsidRPr="00A75729">
        <w:t xml:space="preserve"> cuarenta y un por ciento), la cual es menor a 20% (veinte por ciento);</w:t>
      </w:r>
    </w:p>
    <w:p w:rsidR="00523A9F" w:rsidRPr="00A75729" w:rsidRDefault="00523A9F" w:rsidP="006A7D5F">
      <w:pPr>
        <w:pStyle w:val="Prrafodelista"/>
        <w:numPr>
          <w:ilvl w:val="0"/>
          <w:numId w:val="36"/>
        </w:numPr>
        <w:spacing w:after="120" w:line="276" w:lineRule="auto"/>
        <w:ind w:left="426"/>
        <w:contextualSpacing w:val="0"/>
      </w:pPr>
      <w:r w:rsidRPr="00A75729">
        <w:rPr>
          <w:b/>
        </w:rPr>
        <w:t xml:space="preserve">La Operación CUMPLE con el inciso c. del párrafo primero del Noveno Transitorio, </w:t>
      </w:r>
      <w:r w:rsidRPr="00A75729">
        <w:t xml:space="preserve">pues no se identifica que el </w:t>
      </w:r>
      <w:proofErr w:type="spellStart"/>
      <w:r w:rsidRPr="00A75729">
        <w:t>AEPR</w:t>
      </w:r>
      <w:proofErr w:type="spellEnd"/>
      <w:r w:rsidRPr="00A75729">
        <w:t xml:space="preserve"> participe en la Operación;</w:t>
      </w:r>
    </w:p>
    <w:p w:rsidR="00523A9F" w:rsidRPr="00A75729" w:rsidRDefault="00523A9F" w:rsidP="006A7D5F">
      <w:pPr>
        <w:pStyle w:val="Prrafodelista"/>
        <w:numPr>
          <w:ilvl w:val="0"/>
          <w:numId w:val="36"/>
        </w:numPr>
        <w:spacing w:after="120" w:line="276" w:lineRule="auto"/>
        <w:ind w:left="426"/>
        <w:contextualSpacing w:val="0"/>
      </w:pPr>
      <w:r w:rsidRPr="00E50770">
        <w:rPr>
          <w:b/>
        </w:rPr>
        <w:t>Respecto al inciso d. del párrafo primero del Noveno Transitorio</w:t>
      </w:r>
      <w:r w:rsidRPr="00A75729">
        <w:t xml:space="preserve">, se considera que </w:t>
      </w:r>
      <w:r w:rsidRPr="00A75729">
        <w:rPr>
          <w:lang w:val="es-MX"/>
        </w:rPr>
        <w:t>para evaluar los efectos de la Operación “</w:t>
      </w:r>
      <w:r w:rsidRPr="00A75729">
        <w:rPr>
          <w:i/>
          <w:lang w:val="es-MX"/>
        </w:rPr>
        <w:t>en el sector</w:t>
      </w:r>
      <w:r w:rsidRPr="00A75729">
        <w:rPr>
          <w:lang w:val="es-MX"/>
        </w:rPr>
        <w:t xml:space="preserve">” se deben </w:t>
      </w:r>
      <w:r w:rsidR="00FD624A" w:rsidRPr="00A75729">
        <w:t xml:space="preserve">comparar </w:t>
      </w:r>
      <w:r w:rsidRPr="00A75729">
        <w:t xml:space="preserve">los efectos negativos contra los efectos positivos en cada uno de los servicios </w:t>
      </w:r>
      <w:r w:rsidR="000014C6" w:rsidRPr="00A75729">
        <w:t xml:space="preserve">y las áreas geográficas </w:t>
      </w:r>
      <w:r w:rsidRPr="00A75729">
        <w:t>que conforman el sector.</w:t>
      </w:r>
    </w:p>
    <w:p w:rsidR="00523A9F" w:rsidRPr="00A75729" w:rsidRDefault="00523A9F" w:rsidP="00523A9F">
      <w:pPr>
        <w:pStyle w:val="Prrafodelista"/>
        <w:spacing w:after="120" w:line="276" w:lineRule="auto"/>
        <w:ind w:left="426"/>
        <w:contextualSpacing w:val="0"/>
      </w:pPr>
      <w:r w:rsidRPr="00A75729">
        <w:rPr>
          <w:color w:val="000000"/>
        </w:rPr>
        <w:t>L</w:t>
      </w:r>
      <w:r w:rsidRPr="00A75729">
        <w:rPr>
          <w:color w:val="000000"/>
          <w:lang w:val="es-ES"/>
        </w:rPr>
        <w:t xml:space="preserve">a Operación tuvo efectos únicamente en la provisión del </w:t>
      </w:r>
      <w:proofErr w:type="spellStart"/>
      <w:r w:rsidRPr="00A75729">
        <w:rPr>
          <w:color w:val="000000"/>
          <w:lang w:val="es-ES"/>
        </w:rPr>
        <w:t>SRSAC</w:t>
      </w:r>
      <w:proofErr w:type="spellEnd"/>
      <w:r w:rsidRPr="00A75729">
        <w:rPr>
          <w:color w:val="000000"/>
          <w:lang w:val="es-ES"/>
        </w:rPr>
        <w:t xml:space="preserve"> en las localidades en las que tiene cobertura de servicio la estación </w:t>
      </w:r>
      <w:proofErr w:type="spellStart"/>
      <w:r w:rsidRPr="00A75729">
        <w:rPr>
          <w:color w:val="000000"/>
          <w:lang w:val="es-ES"/>
        </w:rPr>
        <w:t>XHDD</w:t>
      </w:r>
      <w:proofErr w:type="spellEnd"/>
      <w:r w:rsidRPr="00A75729">
        <w:rPr>
          <w:color w:val="000000"/>
          <w:lang w:val="es-ES"/>
        </w:rPr>
        <w:t>-FM; y en el resto de servicios y localidades la Operación no tuvo efectos o éstos fueron nulos</w:t>
      </w:r>
      <w:r w:rsidR="00FD624A" w:rsidRPr="00A75729">
        <w:t>.</w:t>
      </w:r>
    </w:p>
    <w:p w:rsidR="00523A9F" w:rsidRPr="0088156B" w:rsidRDefault="0082216D" w:rsidP="00523A9F">
      <w:pPr>
        <w:pStyle w:val="Prrafodelista"/>
        <w:spacing w:after="120" w:line="276" w:lineRule="auto"/>
        <w:ind w:left="426"/>
        <w:contextualSpacing w:val="0"/>
        <w:rPr>
          <w:rFonts w:eastAsia="Times New Roman"/>
          <w:lang w:eastAsia="es-ES"/>
        </w:rPr>
      </w:pPr>
      <w:r>
        <w:rPr>
          <w:rFonts w:eastAsia="Times New Roman"/>
          <w:bCs/>
          <w:color w:val="000000"/>
        </w:rPr>
        <w:t xml:space="preserve">La información radicada en el Expediente no </w:t>
      </w:r>
      <w:r w:rsidR="00523A9F" w:rsidRPr="00A75729">
        <w:rPr>
          <w:rFonts w:eastAsia="Times New Roman"/>
          <w:bCs/>
          <w:color w:val="000000"/>
        </w:rPr>
        <w:t xml:space="preserve">permite concluir que </w:t>
      </w:r>
      <w:r w:rsidR="00523A9F" w:rsidRPr="00A75729">
        <w:rPr>
          <w:rFonts w:eastAsia="Times New Roman"/>
          <w:lang w:eastAsia="es-ES"/>
        </w:rPr>
        <w:t>la Operación</w:t>
      </w:r>
      <w:r w:rsidR="00523A9F" w:rsidRPr="00A75729">
        <w:t xml:space="preserve"> </w:t>
      </w:r>
      <w:r w:rsidR="00D52378">
        <w:rPr>
          <w:rFonts w:eastAsia="Times New Roman"/>
          <w:lang w:eastAsia="es-ES"/>
        </w:rPr>
        <w:t>tenga</w:t>
      </w:r>
      <w:r w:rsidR="00523A9F" w:rsidRPr="00A75729">
        <w:rPr>
          <w:rFonts w:eastAsia="Times New Roman"/>
          <w:lang w:eastAsia="es-ES"/>
        </w:rPr>
        <w:t xml:space="preserve"> por efecto disminuir, dañar o impedir la libre concurrencia y la competencia económica en el </w:t>
      </w:r>
      <w:proofErr w:type="spellStart"/>
      <w:r w:rsidR="00523A9F" w:rsidRPr="00A75729">
        <w:rPr>
          <w:rFonts w:eastAsia="Times New Roman"/>
          <w:lang w:eastAsia="es-ES"/>
        </w:rPr>
        <w:t>SRSAC</w:t>
      </w:r>
      <w:proofErr w:type="spellEnd"/>
      <w:r w:rsidR="00523A9F" w:rsidRPr="00A75729">
        <w:rPr>
          <w:rFonts w:eastAsia="Times New Roman"/>
          <w:lang w:eastAsia="es-ES"/>
        </w:rPr>
        <w:t xml:space="preserve"> en FM en Ojo de Agua, Juárez, Cadereyta y Montemorelos, Nuevo Le</w:t>
      </w:r>
      <w:r w:rsidR="00906752" w:rsidRPr="00A75729">
        <w:rPr>
          <w:rFonts w:eastAsia="Times New Roman"/>
          <w:lang w:eastAsia="es-ES"/>
        </w:rPr>
        <w:t>ón</w:t>
      </w:r>
      <w:r w:rsidR="0088156B">
        <w:rPr>
          <w:rFonts w:eastAsia="Times New Roman"/>
          <w:lang w:eastAsia="es-ES"/>
        </w:rPr>
        <w:t>.</w:t>
      </w:r>
      <w:r w:rsidRPr="0088156B">
        <w:rPr>
          <w:rFonts w:eastAsia="Times New Roman"/>
          <w:lang w:eastAsia="es-ES"/>
        </w:rPr>
        <w:t xml:space="preserve"> </w:t>
      </w:r>
    </w:p>
    <w:p w:rsidR="00906752" w:rsidRPr="00A75729" w:rsidRDefault="0082216D" w:rsidP="008A505E">
      <w:pPr>
        <w:pStyle w:val="Prrafodelista"/>
        <w:spacing w:after="120" w:line="276" w:lineRule="auto"/>
        <w:ind w:left="426"/>
        <w:contextualSpacing w:val="0"/>
        <w:rPr>
          <w:rFonts w:eastAsia="Times New Roman"/>
          <w:lang w:eastAsia="es-ES"/>
        </w:rPr>
      </w:pPr>
      <w:r w:rsidRPr="0088156B">
        <w:rPr>
          <w:rFonts w:eastAsia="Times New Roman"/>
          <w:lang w:eastAsia="es-ES"/>
        </w:rPr>
        <w:t>Además, l</w:t>
      </w:r>
      <w:r w:rsidR="00906752" w:rsidRPr="0088156B">
        <w:rPr>
          <w:rFonts w:eastAsia="Times New Roman"/>
          <w:lang w:eastAsia="es-ES"/>
        </w:rPr>
        <w:t xml:space="preserve">as Partes </w:t>
      </w:r>
      <w:r w:rsidR="00906752" w:rsidRPr="004A5ABF">
        <w:rPr>
          <w:rFonts w:eastAsia="Times New Roman"/>
          <w:lang w:eastAsia="es-ES"/>
        </w:rPr>
        <w:t xml:space="preserve">acreditaron que la Operación </w:t>
      </w:r>
      <w:r w:rsidRPr="004A5ABF">
        <w:rPr>
          <w:rFonts w:eastAsia="Times New Roman"/>
          <w:lang w:eastAsia="es-ES"/>
        </w:rPr>
        <w:t>permitirá la viabilidad en el largo plazo de la estación</w:t>
      </w:r>
      <w:r>
        <w:rPr>
          <w:rFonts w:eastAsia="Times New Roman"/>
          <w:lang w:eastAsia="es-ES"/>
        </w:rPr>
        <w:t xml:space="preserve"> </w:t>
      </w:r>
      <w:proofErr w:type="spellStart"/>
      <w:r>
        <w:rPr>
          <w:rFonts w:eastAsia="Times New Roman"/>
          <w:lang w:eastAsia="es-ES"/>
        </w:rPr>
        <w:t>XHDD</w:t>
      </w:r>
      <w:proofErr w:type="spellEnd"/>
      <w:r>
        <w:rPr>
          <w:rFonts w:eastAsia="Times New Roman"/>
          <w:lang w:eastAsia="es-ES"/>
        </w:rPr>
        <w:t>-FM</w:t>
      </w:r>
      <w:r w:rsidR="00D52378">
        <w:rPr>
          <w:rFonts w:eastAsia="Times New Roman"/>
          <w:lang w:eastAsia="es-ES"/>
        </w:rPr>
        <w:t xml:space="preserve">, la continuidad en la operación de la estación </w:t>
      </w:r>
      <w:proofErr w:type="spellStart"/>
      <w:r w:rsidR="00D52378">
        <w:rPr>
          <w:rFonts w:eastAsia="Times New Roman"/>
          <w:lang w:eastAsia="es-ES"/>
        </w:rPr>
        <w:t>XEDD</w:t>
      </w:r>
      <w:proofErr w:type="spellEnd"/>
      <w:r w:rsidR="00D52378">
        <w:rPr>
          <w:rFonts w:eastAsia="Times New Roman"/>
          <w:lang w:eastAsia="es-ES"/>
        </w:rPr>
        <w:t xml:space="preserve">-AM, así como la introducción de mejoras tecnológicas en la transmisión, </w:t>
      </w:r>
      <w:r w:rsidR="00D52378">
        <w:t>tales como</w:t>
      </w:r>
      <w:r w:rsidR="00D52378" w:rsidRPr="00A75729">
        <w:t xml:space="preserve"> </w:t>
      </w:r>
      <w:r>
        <w:rPr>
          <w:rFonts w:eastAsia="Times New Roman"/>
          <w:lang w:eastAsia="es-ES"/>
        </w:rPr>
        <w:t>la digitalización y multiprogramación</w:t>
      </w:r>
      <w:r w:rsidR="00D52378">
        <w:t>, lo cual incide de manera favorable en los servicios que reciben las audiencias</w:t>
      </w:r>
      <w:r w:rsidR="00906752" w:rsidRPr="00A75729">
        <w:rPr>
          <w:rFonts w:eastAsia="Times New Roman"/>
          <w:lang w:eastAsia="es-ES"/>
        </w:rPr>
        <w:t>.</w:t>
      </w:r>
    </w:p>
    <w:p w:rsidR="00E70DC2" w:rsidRPr="00A75729" w:rsidRDefault="00006E5C" w:rsidP="00523A9F">
      <w:pPr>
        <w:pStyle w:val="Prrafodelista"/>
        <w:spacing w:after="120" w:line="276" w:lineRule="auto"/>
        <w:ind w:left="426"/>
        <w:contextualSpacing w:val="0"/>
        <w:rPr>
          <w:rFonts w:eastAsia="Times New Roman"/>
          <w:lang w:eastAsia="es-ES"/>
        </w:rPr>
      </w:pPr>
      <w:r w:rsidRPr="00A75729">
        <w:rPr>
          <w:rFonts w:eastAsia="Times New Roman"/>
          <w:lang w:eastAsia="es-ES"/>
        </w:rPr>
        <w:t xml:space="preserve">De acuerdo con lo anterior, </w:t>
      </w:r>
      <w:r w:rsidR="0082216D">
        <w:rPr>
          <w:b/>
        </w:rPr>
        <w:t>no se acredita que</w:t>
      </w:r>
      <w:r w:rsidRPr="00A75729">
        <w:rPr>
          <w:b/>
        </w:rPr>
        <w:t xml:space="preserve"> la Operación</w:t>
      </w:r>
      <w:r w:rsidR="0082216D">
        <w:rPr>
          <w:b/>
        </w:rPr>
        <w:t xml:space="preserve"> tenga como efecto disminuir, dañar o impedir la libre competencia y concurrencia, </w:t>
      </w:r>
      <w:r w:rsidRPr="00A75729">
        <w:rPr>
          <w:b/>
          <w:i/>
        </w:rPr>
        <w:t xml:space="preserve">en el sector </w:t>
      </w:r>
      <w:r w:rsidRPr="00A75729">
        <w:rPr>
          <w:b/>
        </w:rPr>
        <w:t>de radiodifusión</w:t>
      </w:r>
      <w:r w:rsidRPr="00A75729">
        <w:t>.</w:t>
      </w:r>
    </w:p>
    <w:p w:rsidR="00523A9F" w:rsidRPr="00A75729" w:rsidRDefault="00523A9F" w:rsidP="006A7D5F">
      <w:pPr>
        <w:pStyle w:val="Prrafodelista"/>
        <w:numPr>
          <w:ilvl w:val="0"/>
          <w:numId w:val="36"/>
        </w:numPr>
        <w:spacing w:after="120" w:line="276" w:lineRule="auto"/>
        <w:ind w:left="426"/>
        <w:contextualSpacing w:val="0"/>
      </w:pPr>
      <w:r w:rsidRPr="00A75729">
        <w:rPr>
          <w:b/>
        </w:rPr>
        <w:t>Por lo anterior, la Operación CUMPLE con el inciso d. del párrafo primero del Noveno Transitorio</w:t>
      </w:r>
      <w:r w:rsidRPr="00A75729">
        <w:t>.</w:t>
      </w:r>
    </w:p>
    <w:p w:rsidR="00906752" w:rsidRPr="00A75729" w:rsidRDefault="00906752" w:rsidP="006A7D5F">
      <w:pPr>
        <w:pStyle w:val="Prrafodelista"/>
        <w:numPr>
          <w:ilvl w:val="0"/>
          <w:numId w:val="36"/>
        </w:numPr>
        <w:spacing w:after="120" w:line="276" w:lineRule="auto"/>
        <w:ind w:left="426"/>
        <w:contextualSpacing w:val="0"/>
      </w:pPr>
      <w:r w:rsidRPr="00A75729">
        <w:rPr>
          <w:b/>
        </w:rPr>
        <w:t xml:space="preserve">La cláusula de no competir </w:t>
      </w:r>
      <w:r w:rsidR="0082216D" w:rsidRPr="00F6374B">
        <w:t xml:space="preserve">previsiblemente no tiene como efecto disminuir, dañar o impedir la libre competencia y concurrencia, en el sector </w:t>
      </w:r>
      <w:r w:rsidR="0082216D">
        <w:t>de radiodifusión</w:t>
      </w:r>
      <w:r w:rsidRPr="00A75729">
        <w:t>.</w:t>
      </w:r>
    </w:p>
    <w:p w:rsidR="005F1ED1" w:rsidRPr="00551C3F" w:rsidRDefault="005F1ED1" w:rsidP="005F1ED1">
      <w:r>
        <w:t>Se reitera que</w:t>
      </w:r>
      <w:r w:rsidRPr="005F1ED1">
        <w:t xml:space="preserve"> </w:t>
      </w:r>
      <w:r>
        <w:t>l</w:t>
      </w:r>
      <w:r w:rsidRPr="00D52378">
        <w:t>a evaluación realizada</w:t>
      </w:r>
      <w:r>
        <w:t xml:space="preserve"> de la Operación </w:t>
      </w:r>
      <w:r w:rsidRPr="00D52378">
        <w:t>se hace en cumplimiento de</w:t>
      </w:r>
      <w:r w:rsidR="001D5099">
        <w:t xml:space="preserve"> </w:t>
      </w:r>
      <w:r>
        <w:t>l</w:t>
      </w:r>
      <w:r w:rsidR="001D5099">
        <w:t>os objetivos establecidos para</w:t>
      </w:r>
      <w:r w:rsidRPr="00551C3F">
        <w:t xml:space="preserve"> Noveno Transitorio</w:t>
      </w:r>
      <w:r>
        <w:t xml:space="preserve">, el cual </w:t>
      </w:r>
      <w:r w:rsidR="001D5099">
        <w:t>constituye</w:t>
      </w:r>
      <w:r w:rsidRPr="00551C3F">
        <w:t xml:space="preserve"> un “</w:t>
      </w:r>
      <w:r w:rsidRPr="00551C3F">
        <w:rPr>
          <w:i/>
        </w:rPr>
        <w:t xml:space="preserve">régimen de excepción </w:t>
      </w:r>
      <w:r w:rsidRPr="00551C3F">
        <w:rPr>
          <w:i/>
          <w:lang w:val="es-MX"/>
        </w:rPr>
        <w:t>en materia de concentraciones para los sectores donde exista un agente económico preponderante</w:t>
      </w:r>
      <w:r w:rsidRPr="00551C3F">
        <w:rPr>
          <w:lang w:val="es-MX"/>
        </w:rPr>
        <w:t>” que tiene por objetivo “</w:t>
      </w:r>
      <w:r w:rsidRPr="005F1ED1">
        <w:rPr>
          <w:b/>
          <w:bCs/>
          <w:i/>
        </w:rPr>
        <w:t>desarrollar competidores viables en el largo plazo</w:t>
      </w:r>
      <w:r>
        <w:rPr>
          <w:bCs/>
          <w:i/>
        </w:rPr>
        <w:t xml:space="preserve"> (…) </w:t>
      </w:r>
      <w:r w:rsidRPr="00551C3F">
        <w:rPr>
          <w:i/>
          <w:lang w:val="es-MX"/>
        </w:rPr>
        <w:t xml:space="preserve">que </w:t>
      </w:r>
      <w:r w:rsidRPr="00C3032D">
        <w:rPr>
          <w:i/>
          <w:lang w:val="es-MX"/>
        </w:rPr>
        <w:t xml:space="preserve">puedan competir en el sector con el agente preponderante, </w:t>
      </w:r>
      <w:r w:rsidRPr="005F1ED1">
        <w:rPr>
          <w:b/>
          <w:i/>
          <w:lang w:val="es-MX"/>
        </w:rPr>
        <w:t>incluso por medio de nuevas concentraciones entre agentes que no hayan sido declarados con dicho carácter.</w:t>
      </w:r>
      <w:r w:rsidRPr="00551C3F">
        <w:t>”</w:t>
      </w:r>
      <w:r>
        <w:t xml:space="preserve"> Es decir, </w:t>
      </w:r>
      <w:r w:rsidR="001D5099">
        <w:t xml:space="preserve">este procedimiento de Aviso de Concentraciones permite a </w:t>
      </w:r>
      <w:r>
        <w:t xml:space="preserve">los Agentes Económicos distintos del </w:t>
      </w:r>
      <w:proofErr w:type="spellStart"/>
      <w:r w:rsidRPr="0088156B">
        <w:t>AEPR</w:t>
      </w:r>
      <w:proofErr w:type="spellEnd"/>
      <w:r w:rsidRPr="0088156B">
        <w:t xml:space="preserve"> </w:t>
      </w:r>
      <w:r w:rsidR="001D5099">
        <w:t>a realizar concentraciones</w:t>
      </w:r>
      <w:r w:rsidRPr="0088156B">
        <w:t xml:space="preserve"> </w:t>
      </w:r>
      <w:r w:rsidR="00BC4BBC">
        <w:t xml:space="preserve">para constituirse como competidores viables de largo </w:t>
      </w:r>
      <w:r w:rsidR="008A505E" w:rsidRPr="0088156B">
        <w:t xml:space="preserve">en el sector </w:t>
      </w:r>
      <w:r w:rsidR="00BC4BBC">
        <w:t xml:space="preserve">que </w:t>
      </w:r>
      <w:r w:rsidR="00BC4BBC">
        <w:lastRenderedPageBreak/>
        <w:t>corresponda — en tanto la concentración cumpla con los requisitos previstos en el primer párrafo del Noveno Transitorio</w:t>
      </w:r>
      <w:r w:rsidRPr="0088156B">
        <w:t>.</w:t>
      </w:r>
    </w:p>
    <w:p w:rsidR="00052846" w:rsidRDefault="00906752" w:rsidP="00331CDE">
      <w:r w:rsidRPr="00A75729">
        <w:t xml:space="preserve">En términos de lo anterior, se concluye que la </w:t>
      </w:r>
      <w:r w:rsidR="00F80D00" w:rsidRPr="00A75729">
        <w:t xml:space="preserve">Operación cumple con </w:t>
      </w:r>
      <w:r w:rsidRPr="00A75729">
        <w:t xml:space="preserve">todos los requisitos establecidos en </w:t>
      </w:r>
      <w:r w:rsidR="00F80D00" w:rsidRPr="00A75729">
        <w:t>el párrafo primero del Noveno Transitorio</w:t>
      </w:r>
      <w:r w:rsidRPr="00A75729">
        <w:t xml:space="preserve">, por lo que el </w:t>
      </w:r>
      <w:r w:rsidR="00116CDB">
        <w:t>A</w:t>
      </w:r>
      <w:r w:rsidRPr="00A75729">
        <w:t xml:space="preserve">viso de </w:t>
      </w:r>
      <w:r w:rsidR="00116CDB">
        <w:t>C</w:t>
      </w:r>
      <w:r w:rsidRPr="00A75729">
        <w:t>oncentración previsto en ese régimen de excepción de notificación de concentraciones, cesiones o cambios de control accionario, es procedente.</w:t>
      </w:r>
      <w:r w:rsidR="00F80D00" w:rsidRPr="00A75729">
        <w:t xml:space="preserve"> </w:t>
      </w:r>
    </w:p>
    <w:p w:rsidR="00F80D00" w:rsidRDefault="00BC4BBC" w:rsidP="00F80D00">
      <w:pPr>
        <w:ind w:right="-1"/>
      </w:pPr>
      <w:r>
        <w:t>Como consecuencia de lo anterior, también corresponde a este Pleno dar vista de esta resolución a la Autoridad Investigadora para los fines previstos en el párrafo quinto del Noveno Transitorio; así como a la Unidad de Concesiones y Servicios para los fines legales a los que haya lugar.</w:t>
      </w:r>
    </w:p>
    <w:p w:rsidR="00F80D00" w:rsidRPr="00A75729" w:rsidRDefault="00F80D00" w:rsidP="00F80D00">
      <w:pPr>
        <w:ind w:right="-1"/>
        <w:jc w:val="center"/>
      </w:pPr>
      <w:r w:rsidRPr="00A75729">
        <w:t>***</w:t>
      </w:r>
    </w:p>
    <w:p w:rsidR="00D75A3E" w:rsidRDefault="00F80D00" w:rsidP="00F80D00">
      <w:pPr>
        <w:ind w:right="-1"/>
        <w:rPr>
          <w:rFonts w:eastAsia="Times New Roman"/>
          <w:bCs/>
          <w:color w:val="000000"/>
        </w:rPr>
      </w:pPr>
      <w:r w:rsidRPr="00A75729">
        <w:t xml:space="preserve">Con base en lo anterior y con fundamento en lo dispuesto por </w:t>
      </w:r>
      <w:r w:rsidRPr="00A75729">
        <w:rPr>
          <w:rFonts w:eastAsia="Times New Roman"/>
          <w:bCs/>
          <w:color w:val="000000"/>
        </w:rPr>
        <w:t xml:space="preserve">los artículos 28, párrafos décimo quinto y décimo sexto de la </w:t>
      </w:r>
      <w:proofErr w:type="spellStart"/>
      <w:r w:rsidRPr="00A75729">
        <w:rPr>
          <w:rFonts w:eastAsia="Times New Roman"/>
          <w:bCs/>
          <w:color w:val="000000"/>
        </w:rPr>
        <w:t>CPEUM</w:t>
      </w:r>
      <w:proofErr w:type="spellEnd"/>
      <w:r w:rsidRPr="00A75729">
        <w:rPr>
          <w:rFonts w:eastAsia="Times New Roman"/>
          <w:bCs/>
          <w:color w:val="000000"/>
        </w:rPr>
        <w:t xml:space="preserve">; 1, 6, párrafo último, 7, 15, fracciones XVIII y LXIII, de la Ley Federal de Telecomunicaciones y Radiodifusión; Noveno Transitorio, párrafos primero a cuarto, del </w:t>
      </w:r>
      <w:r w:rsidRPr="00A75729">
        <w:rPr>
          <w:i/>
        </w:rPr>
        <w:t>DECRETO por el que se expide la Ley Federal de Telecomunicaciones y Radiodifusión, y la Ley del Sistema Público de Radiodifusión del Estado Mexicano; y se reforman, adicionan y derogan diversas disposiciones en materia de telecomunicaciones y radiodifusión</w:t>
      </w:r>
      <w:r w:rsidRPr="00A75729">
        <w:rPr>
          <w:rFonts w:eastAsia="Times New Roman"/>
          <w:bCs/>
          <w:color w:val="000000"/>
        </w:rPr>
        <w:t>; 3, 8, 13 y 17, de la Ley Federal de Procedimiento Administrativo; y 1, 2, fracción X, 4, fracción I, 6, fracciones IX y XXXVII, 7 y 8, del Estatuto Orgánico del Instituto Federal de Telecomunicaciones, el Pleno del Instituto Federal de Telecomunicaciones resuelve lo siguiente:</w:t>
      </w:r>
    </w:p>
    <w:p w:rsidR="00D75A3E" w:rsidRPr="00CA723B" w:rsidRDefault="00F80D00" w:rsidP="00D75A3E">
      <w:pPr>
        <w:pStyle w:val="Ttulo1"/>
        <w:keepLines/>
        <w:spacing w:after="240"/>
        <w:ind w:left="0" w:firstLine="0"/>
        <w:rPr>
          <w:rFonts w:eastAsiaTheme="majorEastAsia" w:cstheme="majorBidi"/>
          <w:bCs w:val="0"/>
          <w:szCs w:val="32"/>
          <w:lang w:val="es-MX" w:eastAsia="en-US"/>
        </w:rPr>
      </w:pPr>
      <w:bookmarkStart w:id="243" w:name="_Toc435697339"/>
      <w:bookmarkStart w:id="244" w:name="_Toc435697415"/>
      <w:bookmarkStart w:id="245" w:name="_Toc519100881"/>
      <w:r w:rsidRPr="00A75729">
        <w:rPr>
          <w:rFonts w:eastAsiaTheme="majorEastAsia" w:cstheme="majorBidi"/>
          <w:bCs w:val="0"/>
          <w:szCs w:val="32"/>
          <w:lang w:val="es-MX" w:eastAsia="en-US"/>
        </w:rPr>
        <w:t>RESOLUTIVOS</w:t>
      </w:r>
      <w:bookmarkEnd w:id="243"/>
      <w:bookmarkEnd w:id="244"/>
      <w:bookmarkEnd w:id="245"/>
    </w:p>
    <w:p w:rsidR="00F80D00" w:rsidRPr="00A75729" w:rsidRDefault="00F80D00" w:rsidP="00F80D00">
      <w:pPr>
        <w:ind w:right="-1"/>
      </w:pPr>
      <w:r w:rsidRPr="00A75729">
        <w:rPr>
          <w:b/>
        </w:rPr>
        <w:t xml:space="preserve">PRIMERO. </w:t>
      </w:r>
      <w:r w:rsidRPr="00A75729">
        <w:t xml:space="preserve">La Operación cumple con los requisitos establecidos en los incisos a. a </w:t>
      </w:r>
      <w:r w:rsidR="0082216D">
        <w:t>d</w:t>
      </w:r>
      <w:r w:rsidRPr="00A75729">
        <w:t xml:space="preserve">. del párrafo primero del artículo Noveno Transitorio del </w:t>
      </w:r>
      <w:r w:rsidRPr="00A75729">
        <w:rPr>
          <w:i/>
        </w:rPr>
        <w:t>DECRETO por el que se expide la Ley Federal de Telecomunicaciones y Radiodifusión, y la Ley del Sistema Público de Radiodifusión del Estado Mexicano; y se reforman, adicionan y derogan diversas disposiciones en materia de telecomunicaciones y radiodifusión</w:t>
      </w:r>
      <w:r w:rsidRPr="00A75729">
        <w:t>.</w:t>
      </w:r>
    </w:p>
    <w:p w:rsidR="00D75A3E" w:rsidRPr="00A75729" w:rsidRDefault="00F80D00" w:rsidP="00F80D00">
      <w:pPr>
        <w:ind w:right="-1"/>
      </w:pPr>
      <w:r w:rsidRPr="00A75729">
        <w:t>En consecuencia,</w:t>
      </w:r>
      <w:r w:rsidRPr="00A75729">
        <w:rPr>
          <w:b/>
        </w:rPr>
        <w:t xml:space="preserve"> </w:t>
      </w:r>
      <w:r w:rsidRPr="00A75729">
        <w:t>la Operación se encuentra en el supuesto de excepción de requerir la autorización del Pleno de este Instituto Federal de Telecomunicaciones para poder realizarla</w:t>
      </w:r>
      <w:r w:rsidR="0082216D">
        <w:t>, por lo que</w:t>
      </w:r>
      <w:r w:rsidR="00671CAD" w:rsidRPr="00A75729">
        <w:t xml:space="preserve"> el Aviso de Concentración es procedente</w:t>
      </w:r>
      <w:r w:rsidRPr="00A75729">
        <w:t>.</w:t>
      </w:r>
    </w:p>
    <w:p w:rsidR="00D75A3E" w:rsidRPr="00A75729" w:rsidRDefault="00F80D00" w:rsidP="00F80D00">
      <w:pPr>
        <w:ind w:right="-1"/>
      </w:pPr>
      <w:r w:rsidRPr="00A75729">
        <w:rPr>
          <w:b/>
        </w:rPr>
        <w:t>SEGUNDO.</w:t>
      </w:r>
      <w:r w:rsidRPr="00A75729">
        <w:t xml:space="preserve"> En términos del artículo 3, fracción XIV, de la Ley Federal de Procedimiento Administrativo, las Partes podrán consultar el expediente en que se actúa en las oficinas de la Unidad de Competencia Económica del Instituto Federal de Telecomunicaciones, ubicadas en Avenida Insurgentes Sur 1143, Piso 3, Col. Noche Buena, Código Postal 03720, Delegación Benito Juárez, Ciudad de México, en días y horas hábiles.</w:t>
      </w:r>
    </w:p>
    <w:p w:rsidR="00D75A3E" w:rsidRPr="00A75729" w:rsidRDefault="00F80D00" w:rsidP="00F80D00">
      <w:pPr>
        <w:ind w:right="-1"/>
      </w:pPr>
      <w:r w:rsidRPr="00A75729">
        <w:rPr>
          <w:b/>
        </w:rPr>
        <w:lastRenderedPageBreak/>
        <w:t>TERCERO.</w:t>
      </w:r>
      <w:r w:rsidRPr="00A75729">
        <w:t xml:space="preserve"> En términos de los artículos 3, fracción XV, y 39, de la Ley Federal de Procedimiento Administrativo, se hace del conocimiento de las Partes que la presente resolución es un acto administrativo definitivo respecto de la evaluación del cumplimiento de los requisitos previstos en los párrafos primero a cuarto del artículo Noveno Transitorio del </w:t>
      </w:r>
      <w:r w:rsidRPr="00A75729">
        <w:rPr>
          <w:i/>
        </w:rPr>
        <w:t>DECRETO por el que se expide la Ley Federal de Telecomunicaciones y Radiodifusión, y la Ley del Sistema Público de Radiodifusión del Estado Mexicano; y se reforman, adicionan y derogan diversas disposiciones en materia de telecomunicaciones y radiodifusión,</w:t>
      </w:r>
      <w:r w:rsidRPr="00A75729">
        <w:t xml:space="preserve"> y por lo tanto, de conformidad con lo dispuesto en el artículo 28 de la Constitución Política de los Estados Unidos Mexicanos, en caso de así disponerlo las Partes, procede interponer ante los juzgados de distrito especializados en materia de competencia económica, radiodifusión y telecomunicaciones, con residencia en la Ciudad de México y jurisdicción territorial en toda la República Mexicana, el juicio de amparo indirecto dentro del plazo de 15 (quince) días hábiles contados a partir del día siguiente a aquél en que surta efectos la notificación de la presente resolución, en términos del artículo 17 de la Ley de Amparo, Reglamentaria de los artículo 103 y 107 de la Constitución Política de los Estados Unidos Mexicanos.</w:t>
      </w:r>
    </w:p>
    <w:p w:rsidR="00F80D00" w:rsidRPr="00A75729" w:rsidRDefault="00F80D00" w:rsidP="00F80D00">
      <w:pPr>
        <w:ind w:right="-1"/>
      </w:pPr>
      <w:r w:rsidRPr="00A75729">
        <w:rPr>
          <w:b/>
        </w:rPr>
        <w:t>CUARTO</w:t>
      </w:r>
      <w:r w:rsidRPr="00A75729">
        <w:t xml:space="preserve">.- La presente resolución se emite en el ámbito de competencia del Instituto en términos del artículo Noveno Transitorio del </w:t>
      </w:r>
      <w:r w:rsidRPr="00A75729">
        <w:rPr>
          <w:i/>
        </w:rPr>
        <w:t>DECRETO por el que se expide la Ley Federal de Telecomunicaciones y Radiodifusión, y la Ley del Sistema Público de Radiodifusión del Estado Mexicano; y se reforman, adicionan y derogan diversas disposiciones en materia de telecomunicaciones y radiodifusión,</w:t>
      </w:r>
      <w:r w:rsidRPr="00A75729">
        <w:t xml:space="preserve"> sin prejuzgar sobre otras autorizaciones que en su caso </w:t>
      </w:r>
      <w:r w:rsidR="008C44C8" w:rsidRPr="00A75729">
        <w:t>Radio Triunfos, S.A. de C.V.</w:t>
      </w:r>
      <w:r w:rsidR="00671CAD" w:rsidRPr="00A75729">
        <w:t xml:space="preserve"> y/o</w:t>
      </w:r>
      <w:r w:rsidR="008C44C8" w:rsidRPr="00A75729">
        <w:t xml:space="preserve"> Audio Publicidad, S.A. de C.V.</w:t>
      </w:r>
      <w:r w:rsidRPr="00A75729">
        <w:t xml:space="preserve"> deban obtener de este Instituto u otra autoridad competente, ni sobre otros procedimientos en curso ante esta u otras autoridades.</w:t>
      </w:r>
    </w:p>
    <w:p w:rsidR="00D75A3E" w:rsidRPr="00A75729" w:rsidRDefault="00F80D00" w:rsidP="00F80D00">
      <w:pPr>
        <w:ind w:right="-1"/>
      </w:pPr>
      <w:r w:rsidRPr="00A75729">
        <w:t>Asimismo, la presente resolución tampoco prejuzga sobre violaciones a la Ley Federal de Competencia Económica, la Ley Federal de Telecomunicaciones y Radiodifusión, u otras disposiciones, en que pudiera haber incurrido, o pudiera incurrir, alguno de los agentes involucrados a través de alguna otra transacción.</w:t>
      </w:r>
    </w:p>
    <w:p w:rsidR="00D75A3E" w:rsidRPr="00A75729" w:rsidRDefault="00F80D00" w:rsidP="00F80D00">
      <w:pPr>
        <w:ind w:right="-1"/>
      </w:pPr>
      <w:r w:rsidRPr="00A75729">
        <w:rPr>
          <w:b/>
        </w:rPr>
        <w:t xml:space="preserve">QUINTO. </w:t>
      </w:r>
      <w:r w:rsidRPr="00A75729">
        <w:t>Dar vista a la Autoridad Investigadora</w:t>
      </w:r>
      <w:r w:rsidR="00671CAD" w:rsidRPr="00A75729">
        <w:t xml:space="preserve"> </w:t>
      </w:r>
      <w:r w:rsidR="0082216D">
        <w:t>y a la Unidad de Concesiones y Servicios de este Instituto</w:t>
      </w:r>
      <w:r w:rsidR="00671CAD" w:rsidRPr="00A75729">
        <w:t>,</w:t>
      </w:r>
      <w:r w:rsidRPr="00A75729">
        <w:t xml:space="preserve"> para los efectos legales que correspondan.</w:t>
      </w:r>
    </w:p>
    <w:p w:rsidR="00F80D00" w:rsidRPr="00A75729" w:rsidRDefault="00F80D00" w:rsidP="00F80D00">
      <w:pPr>
        <w:ind w:right="-1"/>
      </w:pPr>
      <w:r w:rsidRPr="00A75729">
        <w:rPr>
          <w:b/>
        </w:rPr>
        <w:t xml:space="preserve">SEXTO. </w:t>
      </w:r>
      <w:r w:rsidRPr="00A75729">
        <w:t xml:space="preserve">Notifíquese personalmente la presente resolución. </w:t>
      </w:r>
    </w:p>
    <w:p w:rsidR="00DE797C" w:rsidRPr="006750D1" w:rsidRDefault="00DE797C" w:rsidP="00DE797C">
      <w:pPr>
        <w:spacing w:after="0" w:line="240" w:lineRule="auto"/>
        <w:rPr>
          <w:bCs/>
          <w:sz w:val="13"/>
          <w:szCs w:val="13"/>
          <w:lang w:val="es-ES" w:eastAsia="es-ES"/>
        </w:rPr>
      </w:pPr>
      <w:r w:rsidRPr="006750D1">
        <w:rPr>
          <w:sz w:val="13"/>
          <w:szCs w:val="13"/>
          <w:lang w:val="es-ES" w:eastAsia="es-ES"/>
        </w:rPr>
        <w:t>La presente Resolución fue aprobada por el Pleno del Instituto Federal de Telecomunicaciones en su I Sesión Extraordinaria celebrada el 6 de julio de 2018,</w:t>
      </w:r>
      <w:r w:rsidRPr="006750D1">
        <w:rPr>
          <w:bCs/>
          <w:sz w:val="13"/>
          <w:szCs w:val="13"/>
          <w:lang w:val="es-ES" w:eastAsia="es-ES"/>
        </w:rPr>
        <w:t xml:space="preserve"> en lo general por mayoría</w:t>
      </w:r>
      <w:r w:rsidRPr="006750D1">
        <w:rPr>
          <w:sz w:val="13"/>
          <w:szCs w:val="13"/>
          <w:lang w:val="es-ES" w:eastAsia="es-ES"/>
        </w:rPr>
        <w:t xml:space="preserve"> de votos de los Comisionados </w:t>
      </w:r>
      <w:r w:rsidRPr="006750D1">
        <w:rPr>
          <w:sz w:val="13"/>
          <w:szCs w:val="13"/>
        </w:rPr>
        <w:t xml:space="preserve">Mario Germán </w:t>
      </w:r>
      <w:proofErr w:type="spellStart"/>
      <w:r w:rsidRPr="006750D1">
        <w:rPr>
          <w:sz w:val="13"/>
          <w:szCs w:val="13"/>
        </w:rPr>
        <w:t>Fromow</w:t>
      </w:r>
      <w:proofErr w:type="spellEnd"/>
      <w:r w:rsidRPr="006750D1">
        <w:rPr>
          <w:sz w:val="13"/>
          <w:szCs w:val="13"/>
        </w:rPr>
        <w:t xml:space="preserve"> Rangel, Adolfo Cuevas Teja, Javier Juárez Mojica, Arturo Robles </w:t>
      </w:r>
      <w:proofErr w:type="spellStart"/>
      <w:r w:rsidRPr="006750D1">
        <w:rPr>
          <w:sz w:val="13"/>
          <w:szCs w:val="13"/>
        </w:rPr>
        <w:t>Rovalo</w:t>
      </w:r>
      <w:proofErr w:type="spellEnd"/>
      <w:r w:rsidRPr="006750D1">
        <w:rPr>
          <w:sz w:val="13"/>
          <w:szCs w:val="13"/>
        </w:rPr>
        <w:t xml:space="preserve"> y </w:t>
      </w:r>
      <w:proofErr w:type="spellStart"/>
      <w:r w:rsidRPr="006750D1">
        <w:rPr>
          <w:sz w:val="13"/>
          <w:szCs w:val="13"/>
        </w:rPr>
        <w:t>Sóstenes</w:t>
      </w:r>
      <w:proofErr w:type="spellEnd"/>
      <w:r w:rsidRPr="006750D1">
        <w:rPr>
          <w:sz w:val="13"/>
          <w:szCs w:val="13"/>
        </w:rPr>
        <w:t xml:space="preserve"> Díaz González; </w:t>
      </w:r>
      <w:r w:rsidRPr="006750D1">
        <w:rPr>
          <w:bCs/>
          <w:sz w:val="13"/>
          <w:szCs w:val="13"/>
        </w:rPr>
        <w:t xml:space="preserve">y con el voto en contra del Comisionado Presidente </w:t>
      </w:r>
      <w:r w:rsidRPr="006750D1">
        <w:rPr>
          <w:bCs/>
          <w:sz w:val="13"/>
          <w:szCs w:val="13"/>
          <w:lang w:val="es-ES" w:eastAsia="es-ES"/>
        </w:rPr>
        <w:t xml:space="preserve">Gabriel Oswaldo Contreras Saldívar y de la Comisionada María Elena </w:t>
      </w:r>
      <w:proofErr w:type="spellStart"/>
      <w:r w:rsidRPr="006750D1">
        <w:rPr>
          <w:bCs/>
          <w:sz w:val="13"/>
          <w:szCs w:val="13"/>
          <w:lang w:val="es-ES" w:eastAsia="es-ES"/>
        </w:rPr>
        <w:t>Estavillo</w:t>
      </w:r>
      <w:proofErr w:type="spellEnd"/>
      <w:r w:rsidRPr="006750D1">
        <w:rPr>
          <w:bCs/>
          <w:sz w:val="13"/>
          <w:szCs w:val="13"/>
          <w:lang w:val="es-ES" w:eastAsia="es-ES"/>
        </w:rPr>
        <w:t xml:space="preserve"> Flores. </w:t>
      </w:r>
    </w:p>
    <w:p w:rsidR="00DE797C" w:rsidRPr="006750D1" w:rsidRDefault="00DE797C" w:rsidP="00DE797C">
      <w:pPr>
        <w:spacing w:after="0" w:line="240" w:lineRule="auto"/>
        <w:rPr>
          <w:sz w:val="13"/>
          <w:szCs w:val="13"/>
          <w:lang w:val="es-ES" w:eastAsia="es-ES"/>
        </w:rPr>
      </w:pPr>
      <w:r w:rsidRPr="006750D1">
        <w:rPr>
          <w:sz w:val="13"/>
          <w:szCs w:val="13"/>
          <w:lang w:val="es-ES" w:eastAsia="es-ES"/>
        </w:rPr>
        <w:t xml:space="preserve">En lo particular, el Comisionado Adolfo Cuevas Teja manifiesta voto a favor en lo general del Resolutivo Primero, </w:t>
      </w:r>
      <w:r w:rsidRPr="006750D1">
        <w:rPr>
          <w:sz w:val="13"/>
          <w:szCs w:val="13"/>
        </w:rPr>
        <w:t xml:space="preserve">excepto por lo que hace a </w:t>
      </w:r>
      <w:r w:rsidRPr="006750D1">
        <w:rPr>
          <w:sz w:val="13"/>
          <w:szCs w:val="13"/>
          <w:lang w:val="es-ES" w:eastAsia="es-ES"/>
        </w:rPr>
        <w:t>la afirmación de cumplimiento del inciso d.</w:t>
      </w:r>
    </w:p>
    <w:p w:rsidR="00AD07E6" w:rsidRDefault="00DE797C" w:rsidP="0082430D">
      <w:pPr>
        <w:spacing w:after="0" w:line="240" w:lineRule="auto"/>
        <w:rPr>
          <w:sz w:val="13"/>
          <w:szCs w:val="13"/>
        </w:rPr>
      </w:pPr>
      <w:r w:rsidRPr="006750D1">
        <w:rPr>
          <w:sz w:val="13"/>
          <w:szCs w:val="13"/>
          <w:lang w:val="es-ES" w:eastAsia="es-ES"/>
        </w:rPr>
        <w:t xml:space="preserve">Lo anterior, </w:t>
      </w:r>
      <w:r w:rsidRPr="006750D1">
        <w:rPr>
          <w:sz w:val="13"/>
          <w:szCs w:val="13"/>
        </w:rPr>
        <w:t>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w:t>
      </w:r>
      <w:proofErr w:type="spellStart"/>
      <w:r w:rsidRPr="006750D1">
        <w:rPr>
          <w:sz w:val="13"/>
          <w:szCs w:val="13"/>
        </w:rPr>
        <w:t>IFT</w:t>
      </w:r>
      <w:proofErr w:type="spellEnd"/>
      <w:r w:rsidRPr="006750D1">
        <w:rPr>
          <w:sz w:val="13"/>
          <w:szCs w:val="13"/>
        </w:rPr>
        <w:t>/EXT/060718/2.</w:t>
      </w:r>
    </w:p>
    <w:p w:rsidR="00AD07E6" w:rsidRDefault="00AD07E6" w:rsidP="00AD07E6">
      <w:r>
        <w:br w:type="page"/>
      </w:r>
    </w:p>
    <w:p w:rsidR="00AD07E6" w:rsidRPr="00AD07E6" w:rsidRDefault="00AD07E6" w:rsidP="00AD07E6">
      <w:pPr>
        <w:spacing w:before="0" w:after="0" w:line="240" w:lineRule="auto"/>
        <w:jc w:val="center"/>
        <w:rPr>
          <w:b/>
          <w:sz w:val="20"/>
          <w:szCs w:val="20"/>
        </w:rPr>
      </w:pPr>
      <w:r w:rsidRPr="00AD07E6">
        <w:rPr>
          <w:b/>
          <w:sz w:val="20"/>
          <w:szCs w:val="20"/>
        </w:rPr>
        <w:lastRenderedPageBreak/>
        <w:t>______________________________________________________________________________________</w:t>
      </w:r>
    </w:p>
    <w:p w:rsidR="00AD07E6" w:rsidRPr="00AD07E6" w:rsidRDefault="00AD07E6" w:rsidP="00AD07E6">
      <w:pPr>
        <w:spacing w:before="240" w:after="240" w:line="240" w:lineRule="auto"/>
        <w:jc w:val="center"/>
        <w:rPr>
          <w:b/>
          <w:sz w:val="20"/>
          <w:szCs w:val="20"/>
        </w:rPr>
      </w:pPr>
      <w:r w:rsidRPr="00AD07E6">
        <w:rPr>
          <w:b/>
          <w:sz w:val="20"/>
          <w:szCs w:val="20"/>
        </w:rPr>
        <w:t>REFERENCIAS TESTADAS EN ESTA VERSIÓN PÚBLICA</w:t>
      </w:r>
    </w:p>
    <w:p w:rsidR="00AD07E6" w:rsidRPr="00AD07E6" w:rsidRDefault="00AD07E6" w:rsidP="00AD07E6">
      <w:pPr>
        <w:spacing w:line="240" w:lineRule="auto"/>
        <w:rPr>
          <w:sz w:val="20"/>
          <w:szCs w:val="20"/>
        </w:rPr>
      </w:pPr>
      <w:r w:rsidRPr="00AD07E6">
        <w:rPr>
          <w:sz w:val="20"/>
          <w:szCs w:val="20"/>
        </w:rPr>
        <w:t xml:space="preserve">Los textos que aparecen testados con negro corresponden a información considerada como confidencial, de conformidad con los artículos 113 de la Ley Federal de Transparencia y Acceso a la Información Pública; el artículo 116 de la Ley General de Transparencia y Acceso a la Información Pública; así como los lineamientos Trigésimo Octavo y Cuadragésimo de los Lineamientos generales en materia de clasificación y desclasificación de la información, así como para la elaboración de versiones públicas.  </w:t>
      </w:r>
    </w:p>
    <w:p w:rsidR="00AD07E6" w:rsidRPr="00AD07E6" w:rsidRDefault="00AD07E6" w:rsidP="00AD07E6">
      <w:pPr>
        <w:spacing w:line="240" w:lineRule="auto"/>
        <w:rPr>
          <w:sz w:val="20"/>
          <w:szCs w:val="20"/>
        </w:rPr>
      </w:pPr>
      <w:r w:rsidRPr="00AD07E6">
        <w:rPr>
          <w:sz w:val="20"/>
          <w:szCs w:val="20"/>
        </w:rPr>
        <w:t>La información testada incluye referencias a, entre otras cuestiones: datos personales concernientes a persona(s) identificada(s) o identificable(s), patrimonio de personas físicas y/o morales, así como hechos y actos de carácter económico, contable, jurídico o administrativo relativos a una o diversas person</w:t>
      </w:r>
      <w:bookmarkStart w:id="246" w:name="_GoBack"/>
      <w:bookmarkEnd w:id="246"/>
      <w:r w:rsidRPr="00AD07E6">
        <w:rPr>
          <w:sz w:val="20"/>
          <w:szCs w:val="20"/>
        </w:rPr>
        <w:t>as, que pudieran ser útiles para un competidor, de acuerdo con lo siguiente:</w:t>
      </w:r>
    </w:p>
    <w:p w:rsidR="00AD07E6" w:rsidRPr="00AD07E6" w:rsidRDefault="00AD07E6" w:rsidP="00AD07E6">
      <w:pPr>
        <w:spacing w:before="0" w:after="0" w:line="240" w:lineRule="auto"/>
        <w:rPr>
          <w:sz w:val="20"/>
          <w:szCs w:val="20"/>
        </w:rPr>
      </w:pPr>
      <w:r w:rsidRPr="00AD07E6">
        <w:rPr>
          <w:sz w:val="20"/>
          <w:szCs w:val="20"/>
        </w:rPr>
        <w:t>Referencia (1). Se testa nombre de persona física.</w:t>
      </w:r>
    </w:p>
    <w:p w:rsidR="00AD07E6" w:rsidRPr="00AD07E6" w:rsidRDefault="00AD07E6" w:rsidP="00AD07E6">
      <w:pPr>
        <w:spacing w:before="0" w:after="0" w:line="240" w:lineRule="auto"/>
        <w:rPr>
          <w:sz w:val="20"/>
          <w:szCs w:val="20"/>
        </w:rPr>
      </w:pPr>
      <w:r w:rsidRPr="00AD07E6">
        <w:rPr>
          <w:sz w:val="20"/>
          <w:szCs w:val="20"/>
        </w:rPr>
        <w:t>Referencia (2). Se testa nombre de persona moral.</w:t>
      </w:r>
    </w:p>
    <w:p w:rsidR="00AD07E6" w:rsidRPr="00AD07E6" w:rsidRDefault="00AD07E6" w:rsidP="00AD07E6">
      <w:pPr>
        <w:spacing w:before="0" w:after="0" w:line="240" w:lineRule="auto"/>
        <w:rPr>
          <w:sz w:val="20"/>
          <w:szCs w:val="20"/>
        </w:rPr>
      </w:pPr>
      <w:r w:rsidRPr="00AD07E6">
        <w:rPr>
          <w:sz w:val="20"/>
          <w:szCs w:val="20"/>
        </w:rPr>
        <w:t>Referencia (3). Se testa porcentaje de tenencia accionaria.</w:t>
      </w:r>
    </w:p>
    <w:p w:rsidR="00AD07E6" w:rsidRPr="00AD07E6" w:rsidRDefault="00AD07E6" w:rsidP="00AD07E6">
      <w:pPr>
        <w:spacing w:before="0" w:after="0" w:line="240" w:lineRule="auto"/>
        <w:rPr>
          <w:sz w:val="20"/>
          <w:szCs w:val="20"/>
        </w:rPr>
      </w:pPr>
      <w:r w:rsidRPr="00AD07E6">
        <w:rPr>
          <w:sz w:val="20"/>
          <w:szCs w:val="20"/>
        </w:rPr>
        <w:t>Referencia (4). Se testa información de carácter económica.</w:t>
      </w:r>
    </w:p>
    <w:p w:rsidR="00AD07E6" w:rsidRPr="00AD07E6" w:rsidRDefault="00AD07E6" w:rsidP="00AD07E6">
      <w:pPr>
        <w:spacing w:before="0" w:after="0" w:line="240" w:lineRule="auto"/>
        <w:rPr>
          <w:sz w:val="20"/>
          <w:szCs w:val="20"/>
        </w:rPr>
      </w:pPr>
      <w:r w:rsidRPr="00AD07E6">
        <w:rPr>
          <w:sz w:val="20"/>
          <w:szCs w:val="20"/>
        </w:rPr>
        <w:t>Referencia (5). Se testa información de carácter administrativo.</w:t>
      </w:r>
    </w:p>
    <w:p w:rsidR="00AD07E6" w:rsidRPr="00AD07E6" w:rsidRDefault="00AD07E6" w:rsidP="00AD07E6">
      <w:pPr>
        <w:spacing w:before="0" w:after="0" w:line="240" w:lineRule="auto"/>
        <w:rPr>
          <w:sz w:val="20"/>
          <w:szCs w:val="20"/>
        </w:rPr>
      </w:pPr>
      <w:r w:rsidRPr="00AD07E6">
        <w:rPr>
          <w:sz w:val="20"/>
          <w:szCs w:val="20"/>
        </w:rPr>
        <w:t>Referencia (6). Se testa información de carácter jurídico.</w:t>
      </w:r>
    </w:p>
    <w:p w:rsidR="00AD07E6" w:rsidRPr="00AD07E6" w:rsidRDefault="00AD07E6" w:rsidP="00AD07E6">
      <w:pPr>
        <w:spacing w:before="0" w:after="0" w:line="240" w:lineRule="auto"/>
        <w:rPr>
          <w:sz w:val="20"/>
          <w:szCs w:val="20"/>
        </w:rPr>
      </w:pPr>
      <w:r w:rsidRPr="00AD07E6">
        <w:rPr>
          <w:sz w:val="20"/>
          <w:szCs w:val="20"/>
        </w:rPr>
        <w:t>Referencia (7). Se testa información de carácter patrimonial.</w:t>
      </w:r>
    </w:p>
    <w:p w:rsidR="00AD07E6" w:rsidRPr="00AD07E6" w:rsidRDefault="00AD07E6" w:rsidP="00AD07E6">
      <w:pPr>
        <w:spacing w:before="0" w:after="0" w:line="240" w:lineRule="auto"/>
        <w:rPr>
          <w:sz w:val="20"/>
          <w:szCs w:val="20"/>
        </w:rPr>
      </w:pPr>
      <w:r w:rsidRPr="00AD07E6">
        <w:rPr>
          <w:sz w:val="20"/>
          <w:szCs w:val="20"/>
        </w:rPr>
        <w:t>Referencia (8). Se testa relación de parentesco.</w:t>
      </w:r>
    </w:p>
    <w:p w:rsidR="00170121" w:rsidRPr="00AD07E6" w:rsidRDefault="00170121" w:rsidP="00AD07E6">
      <w:pPr>
        <w:spacing w:before="0" w:after="0" w:line="240" w:lineRule="auto"/>
        <w:rPr>
          <w:sz w:val="20"/>
          <w:szCs w:val="20"/>
        </w:rPr>
      </w:pPr>
    </w:p>
    <w:sectPr w:rsidR="00170121" w:rsidRPr="00AD07E6" w:rsidSect="00D75A3E">
      <w:pgSz w:w="12240" w:h="15840"/>
      <w:pgMar w:top="1985" w:right="1418" w:bottom="1418" w:left="1418" w:header="57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EAA" w:rsidRDefault="00974EAA" w:rsidP="006161FB">
      <w:pPr>
        <w:spacing w:before="0" w:after="0" w:line="240" w:lineRule="auto"/>
      </w:pPr>
      <w:r>
        <w:separator/>
      </w:r>
    </w:p>
  </w:endnote>
  <w:endnote w:type="continuationSeparator" w:id="0">
    <w:p w:rsidR="00974EAA" w:rsidRDefault="00974EAA" w:rsidP="006161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ITC Avant Garde Demi">
    <w:panose1 w:val="020B0702020203020204"/>
    <w:charset w:val="00"/>
    <w:family w:val="swiss"/>
    <w:pitch w:val="variable"/>
    <w:sig w:usb0="00000007" w:usb1="00000000" w:usb2="00000000" w:usb3="00000000" w:csb0="00000093" w:csb1="00000000"/>
  </w:font>
  <w:font w:name="Helvetica">
    <w:panose1 w:val="020B0604020202020204"/>
    <w:charset w:val="00"/>
    <w:family w:val="auto"/>
    <w:pitch w:val="variable"/>
    <w:sig w:usb0="00000203" w:usb1="00000000" w:usb2="00000000" w:usb3="00000000" w:csb0="00000005"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C70" w:rsidRPr="00F76944" w:rsidRDefault="00324C70" w:rsidP="0093306E">
    <w:pPr>
      <w:pStyle w:val="Piedepgina"/>
      <w:spacing w:before="0"/>
      <w:jc w:val="center"/>
      <w:rPr>
        <w:color w:val="222A35" w:themeColor="text2" w:themeShade="80"/>
        <w:sz w:val="20"/>
        <w:szCs w:val="24"/>
      </w:rPr>
    </w:pPr>
    <w:r w:rsidRPr="00F76944">
      <w:rPr>
        <w:bCs/>
        <w:sz w:val="20"/>
      </w:rPr>
      <w:fldChar w:fldCharType="begin"/>
    </w:r>
    <w:r w:rsidRPr="00F76944">
      <w:rPr>
        <w:bCs/>
        <w:sz w:val="20"/>
      </w:rPr>
      <w:instrText>PAGE  \* Arabic  \* MERGEFORMAT</w:instrText>
    </w:r>
    <w:r w:rsidRPr="00F76944">
      <w:rPr>
        <w:bCs/>
        <w:sz w:val="20"/>
      </w:rPr>
      <w:fldChar w:fldCharType="separate"/>
    </w:r>
    <w:r w:rsidR="00AD07E6">
      <w:rPr>
        <w:bCs/>
        <w:noProof/>
        <w:sz w:val="20"/>
      </w:rPr>
      <w:t>75</w:t>
    </w:r>
    <w:r w:rsidRPr="00F76944">
      <w:rPr>
        <w:bCs/>
        <w:sz w:val="20"/>
      </w:rPr>
      <w:fldChar w:fldCharType="end"/>
    </w:r>
    <w:r w:rsidRPr="00F76944">
      <w:rPr>
        <w:sz w:val="20"/>
        <w:lang w:val="es-ES"/>
      </w:rPr>
      <w:t xml:space="preserve"> / </w:t>
    </w:r>
    <w:r w:rsidRPr="00F76944">
      <w:rPr>
        <w:bCs/>
        <w:sz w:val="20"/>
      </w:rPr>
      <w:fldChar w:fldCharType="begin"/>
    </w:r>
    <w:r w:rsidRPr="00F76944">
      <w:rPr>
        <w:bCs/>
        <w:sz w:val="20"/>
      </w:rPr>
      <w:instrText>NUMPAGES  \* Arabic  \* MERGEFORMAT</w:instrText>
    </w:r>
    <w:r w:rsidRPr="00F76944">
      <w:rPr>
        <w:bCs/>
        <w:sz w:val="20"/>
      </w:rPr>
      <w:fldChar w:fldCharType="separate"/>
    </w:r>
    <w:r w:rsidR="00AD07E6" w:rsidRPr="00AD07E6">
      <w:rPr>
        <w:bCs/>
        <w:noProof/>
        <w:sz w:val="20"/>
        <w:lang w:val="es-ES"/>
      </w:rPr>
      <w:t>75</w:t>
    </w:r>
    <w:r w:rsidRPr="00F76944">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EAA" w:rsidRDefault="00974EAA" w:rsidP="006161FB">
      <w:pPr>
        <w:spacing w:before="0" w:after="0" w:line="240" w:lineRule="auto"/>
      </w:pPr>
      <w:r>
        <w:separator/>
      </w:r>
    </w:p>
  </w:footnote>
  <w:footnote w:type="continuationSeparator" w:id="0">
    <w:p w:rsidR="00974EAA" w:rsidRDefault="00974EAA" w:rsidP="006161FB">
      <w:pPr>
        <w:spacing w:before="0" w:after="0" w:line="240" w:lineRule="auto"/>
      </w:pPr>
      <w:r>
        <w:continuationSeparator/>
      </w:r>
    </w:p>
  </w:footnote>
  <w:footnote w:id="1">
    <w:p w:rsidR="00324C70" w:rsidRPr="0053408B" w:rsidRDefault="00324C70" w:rsidP="00503DB1">
      <w:pPr>
        <w:pStyle w:val="Textonotapie"/>
        <w:spacing w:before="0"/>
        <w:rPr>
          <w:rFonts w:ascii="ITC Avant Garde" w:hAnsi="ITC Avant Garde"/>
          <w:sz w:val="16"/>
          <w:szCs w:val="16"/>
          <w:lang w:val="es-MX"/>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w:t>
      </w:r>
      <w:r w:rsidRPr="0053408B">
        <w:rPr>
          <w:rFonts w:ascii="ITC Avant Garde" w:hAnsi="ITC Avant Garde"/>
          <w:sz w:val="16"/>
          <w:szCs w:val="16"/>
          <w:lang w:val="es-MX"/>
        </w:rPr>
        <w:t xml:space="preserve">Publicado en el Diario Oficial de la Federación el once de junio de dos mil trece, disponible en: </w:t>
      </w:r>
      <w:r w:rsidRPr="00F51DF4">
        <w:rPr>
          <w:rFonts w:ascii="ITC Avant Garde" w:hAnsi="ITC Avant Garde"/>
          <w:sz w:val="16"/>
          <w:szCs w:val="16"/>
          <w:lang w:val="es-MX"/>
        </w:rPr>
        <w:t>http://www.dof.gob.mx/nota_detalle.php?codigo=5301941&amp;fecha=11/06/2013</w:t>
      </w:r>
      <w:r w:rsidRPr="0053408B">
        <w:rPr>
          <w:rFonts w:ascii="ITC Avant Garde" w:hAnsi="ITC Avant Garde"/>
          <w:sz w:val="16"/>
          <w:szCs w:val="16"/>
          <w:lang w:val="es-MX"/>
        </w:rPr>
        <w:t>.</w:t>
      </w:r>
    </w:p>
  </w:footnote>
  <w:footnote w:id="2">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Disponible en </w:t>
      </w:r>
      <w:r w:rsidRPr="00F51DF4">
        <w:rPr>
          <w:rFonts w:ascii="ITC Avant Garde" w:hAnsi="ITC Avant Garde"/>
          <w:sz w:val="16"/>
          <w:szCs w:val="16"/>
        </w:rPr>
        <w:t>http://www.dof.gob.mx/nota_detalle.php?codigo=5060050&amp;fecha=15/09/2008</w:t>
      </w:r>
      <w:r w:rsidRPr="0053408B">
        <w:rPr>
          <w:rFonts w:ascii="ITC Avant Garde" w:hAnsi="ITC Avant Garde"/>
          <w:sz w:val="16"/>
          <w:szCs w:val="16"/>
        </w:rPr>
        <w:t>.</w:t>
      </w:r>
    </w:p>
  </w:footnote>
  <w:footnote w:id="3">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Versión pública disponible en:</w:t>
      </w:r>
    </w:p>
    <w:p w:rsidR="00324C70" w:rsidRPr="0053408B" w:rsidRDefault="00324C70" w:rsidP="00503DB1">
      <w:pPr>
        <w:pStyle w:val="Textonotapie"/>
        <w:spacing w:before="0"/>
        <w:rPr>
          <w:rFonts w:ascii="ITC Avant Garde" w:hAnsi="ITC Avant Garde"/>
          <w:sz w:val="16"/>
          <w:szCs w:val="16"/>
        </w:rPr>
      </w:pPr>
      <w:r w:rsidRPr="00F51DF4">
        <w:rPr>
          <w:rFonts w:ascii="ITC Avant Garde" w:hAnsi="ITC Avant Garde"/>
          <w:sz w:val="16"/>
          <w:szCs w:val="16"/>
          <w:lang w:val="es-MX"/>
        </w:rPr>
        <w:t>http://www.ift.org.mx/sites/default/files/p_ift_ext_060314_77.pdf</w:t>
      </w:r>
      <w:r w:rsidRPr="0053408B">
        <w:rPr>
          <w:rFonts w:ascii="ITC Avant Garde" w:hAnsi="ITC Avant Garde"/>
          <w:sz w:val="16"/>
          <w:szCs w:val="16"/>
          <w:lang w:val="es-MX"/>
        </w:rPr>
        <w:t xml:space="preserve"> </w:t>
      </w:r>
    </w:p>
  </w:footnote>
  <w:footnote w:id="4">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Disponible en:</w:t>
      </w:r>
    </w:p>
    <w:p w:rsidR="00324C70" w:rsidRPr="0053408B" w:rsidRDefault="00324C70" w:rsidP="00503DB1">
      <w:pPr>
        <w:pStyle w:val="Textonotapie"/>
        <w:spacing w:before="0"/>
        <w:rPr>
          <w:rFonts w:ascii="ITC Avant Garde" w:hAnsi="ITC Avant Garde"/>
          <w:sz w:val="16"/>
          <w:szCs w:val="16"/>
          <w:lang w:val="es-MX"/>
        </w:rPr>
      </w:pPr>
      <w:r w:rsidRPr="00F51DF4">
        <w:rPr>
          <w:rFonts w:ascii="ITC Avant Garde" w:hAnsi="ITC Avant Garde"/>
          <w:sz w:val="16"/>
          <w:szCs w:val="16"/>
        </w:rPr>
        <w:t>http://www.senado.gob.mx/comisiones/comunicaciones_transportes/docs/Telecom/dictamen_030714.pdf</w:t>
      </w:r>
    </w:p>
  </w:footnote>
  <w:footnote w:id="5">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Ver, por ejemplo, Jurisprudencia por reiteración </w:t>
      </w:r>
      <w:proofErr w:type="spellStart"/>
      <w:r w:rsidRPr="0053408B">
        <w:rPr>
          <w:rFonts w:ascii="ITC Avant Garde" w:hAnsi="ITC Avant Garde"/>
          <w:sz w:val="16"/>
          <w:szCs w:val="16"/>
        </w:rPr>
        <w:t>I.</w:t>
      </w:r>
      <w:proofErr w:type="gramStart"/>
      <w:r w:rsidRPr="0053408B">
        <w:rPr>
          <w:rFonts w:ascii="ITC Avant Garde" w:hAnsi="ITC Avant Garde"/>
          <w:sz w:val="16"/>
          <w:szCs w:val="16"/>
        </w:rPr>
        <w:t>4º.A</w:t>
      </w:r>
      <w:proofErr w:type="spellEnd"/>
      <w:r w:rsidRPr="0053408B">
        <w:rPr>
          <w:rFonts w:ascii="ITC Avant Garde" w:hAnsi="ITC Avant Garde"/>
          <w:sz w:val="16"/>
          <w:szCs w:val="16"/>
        </w:rPr>
        <w:t>.</w:t>
      </w:r>
      <w:proofErr w:type="gramEnd"/>
      <w:r w:rsidRPr="0053408B">
        <w:rPr>
          <w:rFonts w:ascii="ITC Avant Garde" w:hAnsi="ITC Avant Garde"/>
          <w:sz w:val="16"/>
          <w:szCs w:val="16"/>
        </w:rPr>
        <w:t xml:space="preserve"> J/66, con número de registro 168,470, emitida en la Novena Época y publicada en el Semanario Judicial de la Federación y su Gaceta (t. XXVIII), en noviembre de 2008, visible a página 1,244.</w:t>
      </w:r>
    </w:p>
  </w:footnote>
  <w:footnote w:id="6">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000D2A64">
        <w:rPr>
          <w:rFonts w:ascii="ITC Avant Garde" w:hAnsi="ITC Avant Garde"/>
          <w:sz w:val="16"/>
          <w:szCs w:val="16"/>
        </w:rPr>
        <w:t xml:space="preserve"> </w:t>
      </w:r>
      <w:r w:rsidRPr="0053408B">
        <w:rPr>
          <w:rFonts w:ascii="ITC Avant Garde" w:hAnsi="ITC Avant Garde"/>
          <w:sz w:val="16"/>
          <w:szCs w:val="16"/>
        </w:rPr>
        <w:t xml:space="preserve">Para mayor referencia véase la versión pública de la Resolución de Preponderancia en Radiodifusión, disponible en: </w:t>
      </w:r>
      <w:r w:rsidRPr="00F51DF4">
        <w:rPr>
          <w:rFonts w:ascii="ITC Avant Garde" w:hAnsi="ITC Avant Garde"/>
          <w:sz w:val="16"/>
          <w:szCs w:val="16"/>
        </w:rPr>
        <w:t>http://apps.ift.org.mx/publicdata/P_IFT_EXT_060314_77.pdf</w:t>
      </w:r>
      <w:r w:rsidRPr="0053408B">
        <w:rPr>
          <w:rFonts w:ascii="ITC Avant Garde" w:hAnsi="ITC Avant Garde"/>
          <w:sz w:val="16"/>
          <w:szCs w:val="16"/>
        </w:rPr>
        <w:t xml:space="preserve">. </w:t>
      </w:r>
    </w:p>
  </w:footnote>
  <w:footnote w:id="7">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Fuente: Fojas 5 y 56-76 del Expediente.</w:t>
      </w:r>
    </w:p>
  </w:footnote>
  <w:footnote w:id="8">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Fuente: Fojas 423-426 del Expediente.</w:t>
      </w:r>
    </w:p>
  </w:footnote>
  <w:footnote w:id="9">
    <w:p w:rsidR="00324C70" w:rsidRPr="0053408B" w:rsidRDefault="00324C70" w:rsidP="00503DB1">
      <w:pPr>
        <w:pStyle w:val="Textonotapie"/>
        <w:spacing w:before="0"/>
        <w:rPr>
          <w:rFonts w:ascii="ITC Avant Garde" w:hAnsi="ITC Avant Garde"/>
          <w:sz w:val="16"/>
          <w:szCs w:val="16"/>
          <w:highlight w:val="yellow"/>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Fuente: Foja 389 del Expediente.</w:t>
      </w:r>
    </w:p>
  </w:footnote>
  <w:footnote w:id="10">
    <w:p w:rsidR="00324C70" w:rsidRPr="0053408B" w:rsidRDefault="00324C70" w:rsidP="00503DB1">
      <w:pPr>
        <w:pStyle w:val="Textonotapie"/>
        <w:spacing w:before="0"/>
        <w:rPr>
          <w:rFonts w:ascii="ITC Avant Garde" w:hAnsi="ITC Avant Garde"/>
          <w:sz w:val="16"/>
          <w:szCs w:val="16"/>
          <w:highlight w:val="yellow"/>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Fuente: Foja 425 del Expediente.</w:t>
      </w:r>
    </w:p>
  </w:footnote>
  <w:footnote w:id="11">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Fuente: Fojas 87-93 del Expediente.</w:t>
      </w:r>
    </w:p>
  </w:footnote>
  <w:footnote w:id="12">
    <w:p w:rsidR="00324C70" w:rsidRPr="0053408B" w:rsidRDefault="00324C70" w:rsidP="00503DB1">
      <w:pPr>
        <w:pStyle w:val="Textonotapie"/>
        <w:spacing w:before="0"/>
        <w:rPr>
          <w:rFonts w:ascii="ITC Avant Garde" w:hAnsi="ITC Avant Garde"/>
          <w:sz w:val="16"/>
          <w:szCs w:val="16"/>
          <w:lang w:val="es-MX"/>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w:t>
      </w:r>
      <w:r w:rsidRPr="0053408B">
        <w:rPr>
          <w:rFonts w:ascii="ITC Avant Garde" w:hAnsi="ITC Avant Garde"/>
          <w:sz w:val="16"/>
          <w:szCs w:val="16"/>
          <w:lang w:val="es-MX"/>
        </w:rPr>
        <w:t xml:space="preserve">Acuerdo disponible en </w:t>
      </w:r>
      <w:r w:rsidRPr="00F51DF4">
        <w:rPr>
          <w:rFonts w:ascii="ITC Avant Garde" w:hAnsi="ITC Avant Garde"/>
          <w:sz w:val="16"/>
          <w:szCs w:val="16"/>
          <w:lang w:val="es-MX"/>
        </w:rPr>
        <w:t>http://apps.ift.org.mx/publicdata/P_IFT_090714_209.pdf</w:t>
      </w:r>
    </w:p>
  </w:footnote>
  <w:footnote w:id="13">
    <w:p w:rsidR="00324C70" w:rsidRPr="0053408B" w:rsidRDefault="00324C70" w:rsidP="00503DB1">
      <w:pPr>
        <w:pStyle w:val="Textonotapie"/>
        <w:spacing w:before="0"/>
        <w:rPr>
          <w:rFonts w:ascii="ITC Avant Garde" w:hAnsi="ITC Avant Garde"/>
          <w:sz w:val="16"/>
          <w:szCs w:val="16"/>
          <w:lang w:val="es-MX"/>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w:t>
      </w:r>
      <w:r w:rsidRPr="0053408B">
        <w:rPr>
          <w:rFonts w:ascii="ITC Avant Garde" w:hAnsi="ITC Avant Garde"/>
          <w:sz w:val="16"/>
          <w:szCs w:val="16"/>
          <w:lang w:val="es-MX"/>
        </w:rPr>
        <w:t>Resolución disponible en</w:t>
      </w:r>
    </w:p>
    <w:p w:rsidR="00324C70" w:rsidRPr="0053408B" w:rsidRDefault="00324C70" w:rsidP="00503DB1">
      <w:pPr>
        <w:pStyle w:val="Textonotapie"/>
        <w:spacing w:before="0"/>
        <w:rPr>
          <w:rFonts w:ascii="ITC Avant Garde" w:hAnsi="ITC Avant Garde"/>
          <w:sz w:val="16"/>
          <w:szCs w:val="16"/>
          <w:lang w:val="es-MX"/>
        </w:rPr>
      </w:pPr>
      <w:r w:rsidRPr="00F51DF4">
        <w:rPr>
          <w:rFonts w:ascii="ITC Avant Garde" w:hAnsi="ITC Avant Garde"/>
          <w:sz w:val="16"/>
          <w:szCs w:val="16"/>
          <w:lang w:val="es-MX"/>
        </w:rPr>
        <w:t>http://www.ift.org.mx/sites/default/files/conocenos/pleno/sesiones/acuerdoliga/pift120717432.pdf</w:t>
      </w:r>
    </w:p>
  </w:footnote>
  <w:footnote w:id="14">
    <w:p w:rsidR="00324C70" w:rsidRPr="0053408B" w:rsidRDefault="00324C70" w:rsidP="00503DB1">
      <w:pPr>
        <w:pStyle w:val="Textonotapie"/>
        <w:spacing w:before="0"/>
        <w:rPr>
          <w:rFonts w:ascii="ITC Avant Garde" w:hAnsi="ITC Avant Garde"/>
          <w:sz w:val="16"/>
          <w:szCs w:val="16"/>
          <w:highlight w:val="yellow"/>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Fuente: Foja 11 del Expediente.</w:t>
      </w:r>
    </w:p>
  </w:footnote>
  <w:footnote w:id="15">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Las Partes indicaron que actualmente se</w:t>
      </w:r>
      <w:r w:rsidRPr="0053408B">
        <w:rPr>
          <w:rFonts w:ascii="ITC Avant Garde" w:hAnsi="ITC Avant Garde"/>
          <w:i/>
          <w:sz w:val="16"/>
          <w:szCs w:val="16"/>
        </w:rPr>
        <w:t xml:space="preserve"> “transmite simultáneamente en las frecuencias AM y FM.</w:t>
      </w:r>
      <w:r w:rsidRPr="0053408B">
        <w:rPr>
          <w:rFonts w:ascii="ITC Avant Garde" w:hAnsi="ITC Avant Garde"/>
          <w:sz w:val="16"/>
          <w:szCs w:val="16"/>
        </w:rPr>
        <w:t>” Fuente: Foja 14.</w:t>
      </w:r>
    </w:p>
  </w:footnote>
  <w:footnote w:id="16">
    <w:p w:rsidR="00324C70" w:rsidRPr="0053408B" w:rsidRDefault="00324C70" w:rsidP="00503DB1">
      <w:pPr>
        <w:pStyle w:val="Textonotapie"/>
        <w:spacing w:before="0"/>
        <w:rPr>
          <w:rFonts w:ascii="ITC Avant Garde" w:hAnsi="ITC Avant Garde"/>
          <w:sz w:val="16"/>
          <w:szCs w:val="16"/>
          <w:highlight w:val="yellow"/>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Fuente: Fojas 5 y 94-98 del Expediente.</w:t>
      </w:r>
    </w:p>
  </w:footnote>
  <w:footnote w:id="17">
    <w:p w:rsidR="00324C70" w:rsidRPr="0053408B" w:rsidRDefault="00324C70" w:rsidP="00503DB1">
      <w:pPr>
        <w:pStyle w:val="Textonotapie"/>
        <w:spacing w:before="0"/>
        <w:rPr>
          <w:rFonts w:ascii="ITC Avant Garde" w:hAnsi="ITC Avant Garde"/>
          <w:sz w:val="16"/>
          <w:szCs w:val="16"/>
          <w:lang w:val="es-MX"/>
        </w:rPr>
      </w:pPr>
      <w:r w:rsidRPr="0053408B">
        <w:rPr>
          <w:rStyle w:val="Refdenotaalpie"/>
          <w:rFonts w:ascii="ITC Avant Garde" w:hAnsi="ITC Avant Garde"/>
          <w:sz w:val="16"/>
          <w:szCs w:val="16"/>
        </w:rPr>
        <w:footnoteRef/>
      </w:r>
      <w:r w:rsidRPr="0053408B">
        <w:rPr>
          <w:rFonts w:ascii="ITC Avant Garde" w:hAnsi="ITC Avant Garde"/>
          <w:sz w:val="16"/>
          <w:szCs w:val="16"/>
          <w:lang w:val="es-MX"/>
        </w:rPr>
        <w:t xml:space="preserve"> Fuente: Fojas 428-432 del Expediente.</w:t>
      </w:r>
      <w:r w:rsidR="000D2A64">
        <w:rPr>
          <w:rFonts w:ascii="ITC Avant Garde" w:hAnsi="ITC Avant Garde"/>
          <w:sz w:val="16"/>
          <w:szCs w:val="16"/>
          <w:lang w:val="es-MX"/>
        </w:rPr>
        <w:t xml:space="preserve"> </w:t>
      </w:r>
    </w:p>
  </w:footnote>
  <w:footnote w:id="18">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Fuente: Fojas 7 y 389 del Expediente.</w:t>
      </w:r>
    </w:p>
  </w:footnote>
  <w:footnote w:id="19">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Escritura pública número 2,307 (dos mil trescientos siete), otorgada ante la fe del licenciado Jose Abelardo Rivera Leal, titular de la Notaría Pública número 53 (cincuenta y tres) del Municipio de Garza García, Nuevo León. Fuente: Fojas 116-132 del Expediente.</w:t>
      </w:r>
    </w:p>
  </w:footnote>
  <w:footnote w:id="20">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Fuente: Foja 8 del Expediente. El texto entre corchetes es añadido para pronta referencia. </w:t>
      </w:r>
    </w:p>
  </w:footnote>
  <w:footnote w:id="21">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En el entendido que la determinación del </w:t>
      </w:r>
      <w:proofErr w:type="spellStart"/>
      <w:r w:rsidRPr="0053408B">
        <w:rPr>
          <w:rFonts w:ascii="ITC Avant Garde" w:hAnsi="ITC Avant Garde"/>
          <w:sz w:val="16"/>
          <w:szCs w:val="16"/>
        </w:rPr>
        <w:t>GIE</w:t>
      </w:r>
      <w:proofErr w:type="spellEnd"/>
      <w:r w:rsidRPr="0053408B">
        <w:rPr>
          <w:rFonts w:ascii="ITC Avant Garde" w:hAnsi="ITC Avant Garde"/>
          <w:sz w:val="16"/>
          <w:szCs w:val="16"/>
        </w:rPr>
        <w:t xml:space="preserve"> Audio Publicidad en esta Resolución no prejuzga sobre la dimensión e integrantes de tal Agente Económico en otras decisiones o resoluciones emitidas por el Instituto.</w:t>
      </w:r>
      <w:r w:rsidR="000D2A64">
        <w:rPr>
          <w:rFonts w:ascii="ITC Avant Garde" w:hAnsi="ITC Avant Garde"/>
          <w:sz w:val="16"/>
          <w:szCs w:val="16"/>
        </w:rPr>
        <w:t xml:space="preserve"> </w:t>
      </w:r>
    </w:p>
  </w:footnote>
  <w:footnote w:id="22">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Fuente: Foja 9 del Expediente.</w:t>
      </w:r>
    </w:p>
  </w:footnote>
  <w:footnote w:id="23">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Escritura pública número 2,881 (dos mil ochocientos ochenta y uno), otorgada ante la fe del licenciado José D. Garcia Yzaguirre Jr., titular de la Notaría Pública número 17 (diecisiete) de la Ciudad de Monterrey, Nuevo León. Fuente: Fojas 186-193 del Expediente.</w:t>
      </w:r>
    </w:p>
  </w:footnote>
  <w:footnote w:id="24">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Escritura pública número 8,991 (ocho mil novecientos noventa y uno), otorgada ante la fe del licenciado Jesús Salazar, titular de la Notaría Pública número 63 (sesenta y tres) de Monterrey, Nuevo León. Fuente: Fojas 228-256 del Expediente.</w:t>
      </w:r>
    </w:p>
  </w:footnote>
  <w:footnote w:id="25">
    <w:p w:rsidR="00324C70" w:rsidRPr="0053408B" w:rsidRDefault="00324C70" w:rsidP="00503DB1">
      <w:pPr>
        <w:pStyle w:val="Textonotapie"/>
        <w:spacing w:before="0"/>
        <w:rPr>
          <w:rFonts w:ascii="ITC Avant Garde" w:hAnsi="ITC Avant Garde"/>
          <w:sz w:val="16"/>
          <w:szCs w:val="16"/>
          <w:lang w:val="es-MX"/>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Fuente: Fojas 8 y 9 del Expediente.</w:t>
      </w:r>
    </w:p>
  </w:footnote>
  <w:footnote w:id="26">
    <w:p w:rsidR="00324C70" w:rsidRPr="0053408B" w:rsidRDefault="00324C70" w:rsidP="00503DB1">
      <w:pPr>
        <w:pStyle w:val="Textonotapie"/>
        <w:spacing w:before="0"/>
        <w:rPr>
          <w:rFonts w:ascii="ITC Avant Garde" w:hAnsi="ITC Avant Garde"/>
          <w:sz w:val="16"/>
          <w:szCs w:val="16"/>
          <w:lang w:val="es-MX"/>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Fuente: Fojas 391-392 del Expediente.</w:t>
      </w:r>
    </w:p>
  </w:footnote>
  <w:footnote w:id="27">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Este porcentaje es semejante al utilizado por referencias internacionales. Al respecto, el Código de Regulación Federal de los Estados Unidos de América en el Apartado de Telecomunicaciones (</w:t>
      </w:r>
      <w:proofErr w:type="spellStart"/>
      <w:r w:rsidRPr="0053408B">
        <w:rPr>
          <w:rFonts w:ascii="ITC Avant Garde" w:hAnsi="ITC Avant Garde"/>
          <w:sz w:val="16"/>
          <w:szCs w:val="16"/>
        </w:rPr>
        <w:t>C.R.R</w:t>
      </w:r>
      <w:proofErr w:type="spellEnd"/>
      <w:r w:rsidRPr="0053408B">
        <w:rPr>
          <w:rFonts w:ascii="ITC Avant Garde" w:hAnsi="ITC Avant Garde"/>
          <w:sz w:val="16"/>
          <w:szCs w:val="16"/>
        </w:rPr>
        <w:t>. § 73.3555), precisa que cuando se lleve a cabo un contrato de retransmisión de contenido (programación o publicidad) en radio o televisión, en el que la estación que afilia adquiere más del 15% (quince por ciento) del tiempo de transmisión semanal de la estación afiliada y ambas estaciones pertenecen al mismo mercado, las partes que tengan un interés competente en la estación que afilia estarán sujetas a las limitaciones de propiedad establecidas en el Código, y además, la empresa afiliada deberá certificar por escrito que mantendrá el control financiero, de personal y de programación de la estación.</w:t>
      </w:r>
    </w:p>
  </w:footnote>
  <w:footnote w:id="28">
    <w:p w:rsidR="00324C70" w:rsidRPr="0053408B" w:rsidRDefault="00324C70" w:rsidP="00503DB1">
      <w:pPr>
        <w:spacing w:before="0" w:after="0" w:line="240" w:lineRule="auto"/>
        <w:rPr>
          <w:sz w:val="16"/>
          <w:szCs w:val="16"/>
        </w:rPr>
      </w:pPr>
      <w:r w:rsidRPr="0053408B">
        <w:rPr>
          <w:rStyle w:val="Refdenotaalpie"/>
          <w:sz w:val="16"/>
          <w:szCs w:val="16"/>
        </w:rPr>
        <w:footnoteRef/>
      </w:r>
      <w:r w:rsidRPr="0053408B">
        <w:rPr>
          <w:sz w:val="16"/>
          <w:szCs w:val="16"/>
        </w:rPr>
        <w:t xml:space="preserve"> </w:t>
      </w:r>
      <w:r w:rsidRPr="0053408B">
        <w:rPr>
          <w:rFonts w:cs="Helvetica"/>
          <w:sz w:val="16"/>
          <w:szCs w:val="16"/>
        </w:rPr>
        <w:t xml:space="preserve">La </w:t>
      </w:r>
      <w:r w:rsidRPr="0053408B">
        <w:rPr>
          <w:sz w:val="16"/>
          <w:szCs w:val="16"/>
        </w:rPr>
        <w:t>afiliación puede consistir en las siguientes relaciones:</w:t>
      </w:r>
    </w:p>
    <w:p w:rsidR="00324C70" w:rsidRPr="0053408B" w:rsidRDefault="00324C70" w:rsidP="00503DB1">
      <w:pPr>
        <w:pStyle w:val="Prrafodelista"/>
        <w:widowControl w:val="0"/>
        <w:numPr>
          <w:ilvl w:val="0"/>
          <w:numId w:val="1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0" w:after="0" w:line="240" w:lineRule="auto"/>
        <w:ind w:left="426" w:hanging="357"/>
        <w:contextualSpacing w:val="0"/>
        <w:rPr>
          <w:sz w:val="16"/>
          <w:szCs w:val="16"/>
        </w:rPr>
      </w:pPr>
      <w:r w:rsidRPr="0053408B">
        <w:rPr>
          <w:sz w:val="16"/>
          <w:szCs w:val="16"/>
        </w:rPr>
        <w:t xml:space="preserve">La afiliada paga a la empresa que afilia un monto monetario por el licenciamiento de la retransmisión de contenidos. En estos casos, generalmente, el afiliado es quien inserta y cobra por la publicidad dentro de la programación. </w:t>
      </w:r>
    </w:p>
    <w:p w:rsidR="00324C70" w:rsidRPr="0053408B" w:rsidRDefault="00324C70" w:rsidP="00503DB1">
      <w:pPr>
        <w:pStyle w:val="Prrafodelista"/>
        <w:widowControl w:val="0"/>
        <w:numPr>
          <w:ilvl w:val="0"/>
          <w:numId w:val="1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0" w:after="0" w:line="240" w:lineRule="auto"/>
        <w:ind w:left="426" w:hanging="357"/>
        <w:contextualSpacing w:val="0"/>
        <w:rPr>
          <w:sz w:val="16"/>
          <w:szCs w:val="16"/>
        </w:rPr>
      </w:pPr>
      <w:r w:rsidRPr="0053408B">
        <w:rPr>
          <w:sz w:val="16"/>
          <w:szCs w:val="16"/>
        </w:rPr>
        <w:t>La empresa que afilia paga al afiliado un monto monetario por la retransmisión de contenidos. En estos casos, generalmente, el afiliado retransmite íntegramente la señal y es la empresa que afilia quien inserta y cobra por la publicidad.</w:t>
      </w:r>
    </w:p>
    <w:p w:rsidR="00324C70" w:rsidRPr="0053408B" w:rsidRDefault="00324C70" w:rsidP="00503DB1">
      <w:pPr>
        <w:pStyle w:val="Prrafodelista"/>
        <w:numPr>
          <w:ilvl w:val="0"/>
          <w:numId w:val="1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0" w:after="0" w:line="240" w:lineRule="auto"/>
        <w:ind w:left="425" w:hanging="357"/>
        <w:contextualSpacing w:val="0"/>
        <w:rPr>
          <w:sz w:val="16"/>
          <w:szCs w:val="16"/>
        </w:rPr>
      </w:pPr>
      <w:r w:rsidRPr="0053408B">
        <w:rPr>
          <w:sz w:val="16"/>
          <w:szCs w:val="16"/>
        </w:rPr>
        <w:t>El afiliado retransmite el contenido de la empresa que afilia y cada uno inserta y cobra por publicidad un porcentaje del tiempo total disponible para esos fines.</w:t>
      </w:r>
    </w:p>
  </w:footnote>
  <w:footnote w:id="29">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En la Resolución de Preponderancia en el sector de Radiodifusión se consideró que los concesionarios con contratos de afiliación que representen el 40% (cuarenta por ciento) o más del total de la programación de sus estaciones forman parte del </w:t>
      </w:r>
      <w:proofErr w:type="spellStart"/>
      <w:r w:rsidRPr="0053408B">
        <w:rPr>
          <w:rFonts w:ascii="ITC Avant Garde" w:hAnsi="ITC Avant Garde"/>
          <w:sz w:val="16"/>
          <w:szCs w:val="16"/>
        </w:rPr>
        <w:t>GIE</w:t>
      </w:r>
      <w:proofErr w:type="spellEnd"/>
      <w:r w:rsidRPr="0053408B">
        <w:rPr>
          <w:rFonts w:ascii="ITC Avant Garde" w:hAnsi="ITC Avant Garde"/>
          <w:sz w:val="16"/>
          <w:szCs w:val="16"/>
        </w:rPr>
        <w:t xml:space="preserve"> del agente económico que afilia. Fuente: </w:t>
      </w:r>
      <w:r w:rsidRPr="00F51DF4">
        <w:rPr>
          <w:rFonts w:ascii="ITC Avant Garde" w:hAnsi="ITC Avant Garde"/>
          <w:sz w:val="16"/>
          <w:szCs w:val="16"/>
        </w:rPr>
        <w:t>http://www.ift.org.mx/sites/default/files/p_ift_ext_060314_77.pdf</w:t>
      </w:r>
      <w:r w:rsidRPr="0053408B">
        <w:rPr>
          <w:rFonts w:ascii="ITC Avant Garde" w:hAnsi="ITC Avant Garde"/>
          <w:sz w:val="16"/>
          <w:szCs w:val="16"/>
        </w:rPr>
        <w:t xml:space="preserve">. </w:t>
      </w:r>
    </w:p>
  </w:footnote>
  <w:footnote w:id="30">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En el entendido que la determinación del </w:t>
      </w:r>
      <w:proofErr w:type="spellStart"/>
      <w:r w:rsidRPr="0053408B">
        <w:rPr>
          <w:rFonts w:ascii="ITC Avant Garde" w:hAnsi="ITC Avant Garde"/>
          <w:sz w:val="16"/>
          <w:szCs w:val="16"/>
        </w:rPr>
        <w:t>GIE</w:t>
      </w:r>
      <w:proofErr w:type="spellEnd"/>
      <w:r w:rsidRPr="0053408B">
        <w:rPr>
          <w:rFonts w:ascii="ITC Avant Garde" w:hAnsi="ITC Avant Garde"/>
          <w:sz w:val="16"/>
          <w:szCs w:val="16"/>
        </w:rPr>
        <w:t xml:space="preserve"> Grupo Multimedios en esta resolución no prejuzga sobre la dimensión e integrantes de tal Agente Económico en otras decisiones o resoluciones emitidas por el Instituto.</w:t>
      </w:r>
      <w:r w:rsidR="000D2A64">
        <w:rPr>
          <w:rFonts w:ascii="ITC Avant Garde" w:hAnsi="ITC Avant Garde"/>
          <w:sz w:val="16"/>
          <w:szCs w:val="16"/>
        </w:rPr>
        <w:t xml:space="preserve"> </w:t>
      </w:r>
    </w:p>
  </w:footnote>
  <w:footnote w:id="31">
    <w:p w:rsidR="00324C70" w:rsidRPr="0053408B" w:rsidRDefault="00324C70" w:rsidP="00503DB1">
      <w:pPr>
        <w:pStyle w:val="Textonotapie"/>
        <w:spacing w:before="0"/>
        <w:rPr>
          <w:rFonts w:ascii="ITC Avant Garde" w:hAnsi="ITC Avant Garde"/>
          <w:b/>
          <w:sz w:val="16"/>
          <w:szCs w:val="16"/>
          <w:u w:val="single"/>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Las Partes no identificaron tener vínculos adicionales con otras personas que participen directa o indirectamente en </w:t>
      </w:r>
      <w:r w:rsidRPr="0053408B">
        <w:rPr>
          <w:rFonts w:ascii="ITC Avant Garde" w:eastAsia="Times New Roman" w:hAnsi="ITC Avant Garde"/>
          <w:sz w:val="16"/>
          <w:szCs w:val="16"/>
        </w:rPr>
        <w:t>los sectores de radiodifusión y telecomunicaciones.</w:t>
      </w:r>
    </w:p>
  </w:footnote>
  <w:footnote w:id="32">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Esta información se encuentra disponible en expedientes de la Unidad de Concesiones y Servicios, que es la unidad del Instituto encargada de tramitar solicitudes de concesiones de uso social.</w:t>
      </w:r>
    </w:p>
  </w:footnote>
  <w:footnote w:id="33">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Respecto a las cesiones concesiones para uso comercial o privado el artículo 110, tercer párrafo “La </w:t>
      </w:r>
      <w:r w:rsidRPr="0053408B">
        <w:rPr>
          <w:rFonts w:ascii="ITC Avant Garde" w:hAnsi="ITC Avant Garde"/>
          <w:b/>
          <w:sz w:val="16"/>
          <w:szCs w:val="16"/>
        </w:rPr>
        <w:t>autorización previa de la cesión</w:t>
      </w:r>
      <w:r w:rsidRPr="0053408B">
        <w:rPr>
          <w:rFonts w:ascii="ITC Avant Garde" w:hAnsi="ITC Avant Garde"/>
          <w:sz w:val="16"/>
          <w:szCs w:val="16"/>
        </w:rPr>
        <w:t xml:space="preserve"> a que se refiere este artículo; y respecto de la suscripción o enajenación de acciones o partes sociales que represente el diez por ciento o más del monto de su capital social de concesionarios constituidos como personas morales, el artículo 112 segundo párrafo obliga a dar un aviso de la intención y otorga un plazo al Instituto para resolver.</w:t>
      </w:r>
    </w:p>
  </w:footnote>
  <w:footnote w:id="34">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El artículo 86 establece “Las siguientes concentraciones deberán ser autorizadas (…) antes de que se lleven a cabo (…).”</w:t>
      </w:r>
    </w:p>
  </w:footnote>
  <w:footnote w:id="35">
    <w:p w:rsidR="00324C70" w:rsidRPr="0053408B" w:rsidRDefault="00324C70" w:rsidP="00503DB1">
      <w:pPr>
        <w:pStyle w:val="Textonotapie"/>
        <w:spacing w:before="0"/>
        <w:rPr>
          <w:rFonts w:ascii="ITC Avant Garde" w:hAnsi="ITC Avant Garde"/>
          <w:sz w:val="16"/>
          <w:szCs w:val="16"/>
          <w:lang w:val="es-MX"/>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Véase Tesis Aislada l. 1 </w:t>
      </w:r>
      <w:proofErr w:type="spellStart"/>
      <w:r w:rsidRPr="0053408B">
        <w:rPr>
          <w:rFonts w:ascii="ITC Avant Garde" w:hAnsi="ITC Avant Garde"/>
          <w:sz w:val="16"/>
          <w:szCs w:val="16"/>
        </w:rPr>
        <w:t>o.A.E.57</w:t>
      </w:r>
      <w:proofErr w:type="spellEnd"/>
      <w:r w:rsidRPr="0053408B">
        <w:rPr>
          <w:rFonts w:ascii="ITC Avant Garde" w:hAnsi="ITC Avant Garde"/>
          <w:sz w:val="16"/>
          <w:szCs w:val="16"/>
        </w:rPr>
        <w:t xml:space="preserve"> A (</w:t>
      </w:r>
      <w:proofErr w:type="spellStart"/>
      <w:r w:rsidRPr="0053408B">
        <w:rPr>
          <w:rFonts w:ascii="ITC Avant Garde" w:hAnsi="ITC Avant Garde"/>
          <w:sz w:val="16"/>
          <w:szCs w:val="16"/>
        </w:rPr>
        <w:t>10a</w:t>
      </w:r>
      <w:proofErr w:type="spellEnd"/>
      <w:r w:rsidRPr="0053408B">
        <w:rPr>
          <w:rFonts w:ascii="ITC Avant Garde" w:hAnsi="ITC Avant Garde"/>
          <w:sz w:val="16"/>
          <w:szCs w:val="16"/>
        </w:rPr>
        <w:t xml:space="preserve">.), Registro No. 2009320, INSTITUTO FEDERAL DE TELECOMUNICACIONES, PUEDE DECLARAR PREPONDERANTE TANTO A UN AGENTE ECONÓMICO, COMO A UN GRUPO DE INTERÉS ECONÓMICO. Disponible en: </w:t>
      </w:r>
      <w:r w:rsidRPr="00F51DF4">
        <w:rPr>
          <w:rFonts w:ascii="ITC Avant Garde" w:hAnsi="ITC Avant Garde"/>
          <w:sz w:val="16"/>
          <w:szCs w:val="16"/>
        </w:rPr>
        <w:t>http://sjf.scjn.gob.mx/SJFSem/Paginas/DetalleGeneralV2.aspx?ID=2009320&amp;Clase=DetalleSemanarioBL</w:t>
      </w:r>
      <w:r w:rsidRPr="0053408B">
        <w:rPr>
          <w:rFonts w:ascii="ITC Avant Garde" w:hAnsi="ITC Avant Garde"/>
          <w:sz w:val="16"/>
          <w:szCs w:val="16"/>
        </w:rPr>
        <w:t>.</w:t>
      </w:r>
    </w:p>
  </w:footnote>
  <w:footnote w:id="36">
    <w:p w:rsidR="00324C70" w:rsidRPr="0053408B" w:rsidRDefault="00324C70" w:rsidP="00503DB1">
      <w:pPr>
        <w:pStyle w:val="Textonotapie"/>
        <w:spacing w:before="0"/>
        <w:rPr>
          <w:rFonts w:ascii="ITC Avant Garde" w:hAnsi="ITC Avant Garde"/>
          <w:sz w:val="16"/>
          <w:szCs w:val="16"/>
          <w:lang w:val="es-MX"/>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w:t>
      </w:r>
      <w:r w:rsidRPr="0053408B">
        <w:rPr>
          <w:rFonts w:ascii="ITC Avant Garde" w:hAnsi="ITC Avant Garde"/>
          <w:sz w:val="16"/>
          <w:szCs w:val="16"/>
          <w:lang w:val="es-MX"/>
        </w:rPr>
        <w:t>Véase, por ejemplo, la Resolución de Preponderancia en Radiodifusión.</w:t>
      </w:r>
    </w:p>
  </w:footnote>
  <w:footnote w:id="37">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Artículo 3, fracción LIV de la </w:t>
      </w:r>
      <w:proofErr w:type="spellStart"/>
      <w:r w:rsidRPr="0053408B">
        <w:rPr>
          <w:rFonts w:ascii="ITC Avant Garde" w:hAnsi="ITC Avant Garde"/>
          <w:sz w:val="16"/>
          <w:szCs w:val="16"/>
        </w:rPr>
        <w:t>LFTR</w:t>
      </w:r>
      <w:proofErr w:type="spellEnd"/>
      <w:r w:rsidRPr="0053408B">
        <w:rPr>
          <w:rFonts w:ascii="ITC Avant Garde" w:hAnsi="ITC Avant Garde"/>
          <w:sz w:val="16"/>
          <w:szCs w:val="16"/>
        </w:rPr>
        <w:t>.</w:t>
      </w:r>
    </w:p>
  </w:footnote>
  <w:footnote w:id="38">
    <w:p w:rsidR="00324C70" w:rsidRPr="0053408B" w:rsidRDefault="00324C70" w:rsidP="00503DB1">
      <w:pPr>
        <w:pStyle w:val="Textonotapie"/>
        <w:spacing w:before="0"/>
        <w:rPr>
          <w:rFonts w:ascii="ITC Avant Garde" w:hAnsi="ITC Avant Garde"/>
          <w:sz w:val="16"/>
          <w:szCs w:val="16"/>
          <w:lang w:val="es-MX"/>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w:t>
      </w:r>
      <w:r w:rsidRPr="0053408B">
        <w:rPr>
          <w:rFonts w:ascii="ITC Avant Garde" w:hAnsi="ITC Avant Garde"/>
          <w:sz w:val="16"/>
          <w:szCs w:val="16"/>
          <w:lang w:eastAsia="es-ES"/>
        </w:rPr>
        <w:t xml:space="preserve">Resolución de Preponderancia en Radiodifusión, </w:t>
      </w:r>
      <w:r w:rsidRPr="0053408B">
        <w:rPr>
          <w:rFonts w:ascii="ITC Avant Garde" w:hAnsi="ITC Avant Garde"/>
          <w:sz w:val="16"/>
          <w:szCs w:val="16"/>
          <w:lang w:val="es-MX"/>
        </w:rPr>
        <w:t xml:space="preserve">páginas 117-118, 121, 304-305, 308 y 310-311. </w:t>
      </w:r>
    </w:p>
  </w:footnote>
  <w:footnote w:id="39">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w:t>
      </w:r>
      <w:r w:rsidRPr="0053408B">
        <w:rPr>
          <w:rFonts w:ascii="ITC Avant Garde" w:eastAsia="Times New Roman" w:hAnsi="ITC Avant Garde"/>
          <w:bCs/>
          <w:sz w:val="16"/>
          <w:szCs w:val="16"/>
        </w:rPr>
        <w:t>Fuente: Foja 392 del Expediente.</w:t>
      </w:r>
    </w:p>
  </w:footnote>
  <w:footnote w:id="40">
    <w:p w:rsidR="00324C70" w:rsidRPr="0053408B" w:rsidRDefault="00324C70" w:rsidP="00503DB1">
      <w:pPr>
        <w:pStyle w:val="Textonotapie"/>
        <w:spacing w:before="0"/>
        <w:rPr>
          <w:rFonts w:ascii="ITC Avant Garde" w:hAnsi="ITC Avant Garde"/>
          <w:sz w:val="16"/>
          <w:szCs w:val="16"/>
        </w:rPr>
      </w:pPr>
      <w:r w:rsidRPr="0053408B">
        <w:rPr>
          <w:rFonts w:ascii="ITC Avant Garde" w:hAnsi="ITC Avant Garde"/>
          <w:sz w:val="16"/>
          <w:szCs w:val="16"/>
          <w:vertAlign w:val="superscript"/>
        </w:rPr>
        <w:footnoteRef/>
      </w:r>
      <w:r w:rsidRPr="0053408B">
        <w:rPr>
          <w:rFonts w:ascii="ITC Avant Garde" w:hAnsi="ITC Avant Garde"/>
          <w:sz w:val="16"/>
          <w:szCs w:val="16"/>
        </w:rPr>
        <w:t xml:space="preserve"> Disponible en: </w:t>
      </w:r>
    </w:p>
    <w:p w:rsidR="00324C70" w:rsidRPr="0053408B" w:rsidRDefault="00324C70" w:rsidP="00503DB1">
      <w:pPr>
        <w:pStyle w:val="Textonotapie"/>
        <w:spacing w:before="0"/>
        <w:rPr>
          <w:rFonts w:ascii="ITC Avant Garde" w:hAnsi="ITC Avant Garde"/>
          <w:sz w:val="16"/>
          <w:szCs w:val="16"/>
        </w:rPr>
      </w:pPr>
      <w:r w:rsidRPr="00F51DF4">
        <w:rPr>
          <w:rFonts w:ascii="ITC Avant Garde" w:hAnsi="ITC Avant Garde"/>
          <w:sz w:val="16"/>
          <w:szCs w:val="16"/>
        </w:rPr>
        <w:t>http://www.ift.org.mx/sites/default/files/contenidogeneral/comunicacion-y-medios/encca2016vf-compressedacc.pdf</w:t>
      </w:r>
      <w:r w:rsidRPr="0053408B">
        <w:rPr>
          <w:rFonts w:ascii="ITC Avant Garde" w:hAnsi="ITC Avant Garde"/>
          <w:sz w:val="16"/>
          <w:szCs w:val="16"/>
        </w:rPr>
        <w:t>.</w:t>
      </w:r>
    </w:p>
    <w:p w:rsidR="00324C70" w:rsidRPr="0053408B" w:rsidRDefault="00324C70" w:rsidP="00503DB1">
      <w:pPr>
        <w:pStyle w:val="Textonotapie"/>
        <w:spacing w:before="0"/>
        <w:rPr>
          <w:rFonts w:ascii="ITC Avant Garde" w:hAnsi="ITC Avant Garde"/>
          <w:sz w:val="16"/>
          <w:szCs w:val="16"/>
        </w:rPr>
      </w:pPr>
      <w:r w:rsidRPr="0053408B">
        <w:rPr>
          <w:rFonts w:ascii="ITC Avant Garde" w:hAnsi="ITC Avant Garde"/>
          <w:sz w:val="16"/>
          <w:szCs w:val="16"/>
        </w:rPr>
        <w:t xml:space="preserve">Los datos de la </w:t>
      </w:r>
      <w:proofErr w:type="spellStart"/>
      <w:r w:rsidRPr="0053408B">
        <w:rPr>
          <w:rFonts w:ascii="ITC Avant Garde" w:hAnsi="ITC Avant Garde"/>
          <w:sz w:val="16"/>
          <w:szCs w:val="16"/>
        </w:rPr>
        <w:t>ENCCA</w:t>
      </w:r>
      <w:proofErr w:type="spellEnd"/>
      <w:r w:rsidRPr="0053408B">
        <w:rPr>
          <w:rFonts w:ascii="ITC Avant Garde" w:hAnsi="ITC Avant Garde"/>
          <w:sz w:val="16"/>
          <w:szCs w:val="16"/>
        </w:rPr>
        <w:t xml:space="preserve"> 2016 se pueden descargar en:</w:t>
      </w:r>
    </w:p>
    <w:p w:rsidR="00324C70" w:rsidRPr="0053408B" w:rsidRDefault="00324C70" w:rsidP="00503DB1">
      <w:pPr>
        <w:pStyle w:val="Textonotapie"/>
        <w:spacing w:before="0"/>
        <w:rPr>
          <w:rFonts w:ascii="ITC Avant Garde" w:hAnsi="ITC Avant Garde"/>
          <w:sz w:val="16"/>
          <w:szCs w:val="16"/>
        </w:rPr>
      </w:pPr>
      <w:r w:rsidRPr="00F51DF4">
        <w:rPr>
          <w:rFonts w:ascii="ITC Avant Garde" w:hAnsi="ITC Avant Garde"/>
          <w:sz w:val="16"/>
          <w:szCs w:val="16"/>
        </w:rPr>
        <w:t>http://www.ift.org.mx/sites/default/files/contenidogeneral/comunicacion-y-medios/04.basededatosencca2016vvalues1.xlsx</w:t>
      </w:r>
      <w:r w:rsidRPr="0053408B">
        <w:rPr>
          <w:rFonts w:ascii="ITC Avant Garde" w:hAnsi="ITC Avant Garde"/>
          <w:sz w:val="16"/>
          <w:szCs w:val="16"/>
        </w:rPr>
        <w:t>.</w:t>
      </w:r>
    </w:p>
  </w:footnote>
  <w:footnote w:id="41">
    <w:p w:rsidR="00324C70" w:rsidRPr="0053408B" w:rsidRDefault="00324C70" w:rsidP="00503DB1">
      <w:pPr>
        <w:pStyle w:val="Textonotapie"/>
        <w:spacing w:before="0"/>
        <w:rPr>
          <w:rFonts w:ascii="ITC Avant Garde" w:hAnsi="ITC Avant Garde"/>
          <w:sz w:val="16"/>
          <w:szCs w:val="16"/>
        </w:rPr>
      </w:pPr>
      <w:r w:rsidRPr="0053408B">
        <w:rPr>
          <w:rFonts w:ascii="ITC Avant Garde" w:hAnsi="ITC Avant Garde"/>
          <w:sz w:val="16"/>
          <w:szCs w:val="16"/>
          <w:vertAlign w:val="superscript"/>
        </w:rPr>
        <w:footnoteRef/>
      </w:r>
      <w:r w:rsidRPr="0053408B">
        <w:rPr>
          <w:rFonts w:ascii="ITC Avant Garde" w:hAnsi="ITC Avant Garde"/>
          <w:sz w:val="16"/>
          <w:szCs w:val="16"/>
        </w:rPr>
        <w:t xml:space="preserve"> Disponible en: </w:t>
      </w:r>
      <w:r w:rsidRPr="00F51DF4">
        <w:rPr>
          <w:rFonts w:ascii="ITC Avant Garde" w:hAnsi="ITC Avant Garde"/>
          <w:sz w:val="16"/>
          <w:szCs w:val="16"/>
        </w:rPr>
        <w:t>http://www.ift.org.mx/industria/infraestructura</w:t>
      </w:r>
      <w:r w:rsidRPr="0053408B">
        <w:rPr>
          <w:rFonts w:ascii="ITC Avant Garde" w:hAnsi="ITC Avant Garde"/>
          <w:sz w:val="16"/>
          <w:szCs w:val="16"/>
        </w:rPr>
        <w:t>.</w:t>
      </w:r>
    </w:p>
  </w:footnote>
  <w:footnote w:id="42">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Cifras disponibles en </w:t>
      </w:r>
      <w:r w:rsidRPr="00F51DF4">
        <w:rPr>
          <w:rFonts w:ascii="ITC Avant Garde" w:hAnsi="ITC Avant Garde"/>
          <w:sz w:val="16"/>
          <w:szCs w:val="16"/>
        </w:rPr>
        <w:t>http://www.beta.inegi.org.mx/app/saic/</w:t>
      </w:r>
      <w:r w:rsidRPr="0053408B">
        <w:rPr>
          <w:rFonts w:ascii="ITC Avant Garde" w:hAnsi="ITC Avant Garde"/>
          <w:sz w:val="16"/>
          <w:szCs w:val="16"/>
        </w:rPr>
        <w:t>.</w:t>
      </w:r>
    </w:p>
  </w:footnote>
  <w:footnote w:id="43">
    <w:p w:rsidR="00324C70" w:rsidRPr="0053408B" w:rsidRDefault="00324C70" w:rsidP="00503DB1">
      <w:pPr>
        <w:pStyle w:val="Textonotapie"/>
        <w:spacing w:before="0"/>
        <w:rPr>
          <w:rFonts w:ascii="ITC Avant Garde" w:hAnsi="ITC Avant Garde"/>
          <w:i/>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w:t>
      </w:r>
      <w:r w:rsidRPr="0053408B">
        <w:rPr>
          <w:rFonts w:ascii="ITC Avant Garde" w:hAnsi="ITC Avant Garde"/>
          <w:i/>
          <w:sz w:val="16"/>
          <w:szCs w:val="16"/>
        </w:rPr>
        <w:t xml:space="preserve">“Por Índice </w:t>
      </w:r>
      <w:proofErr w:type="spellStart"/>
      <w:r w:rsidRPr="0053408B">
        <w:rPr>
          <w:rFonts w:ascii="ITC Avant Garde" w:hAnsi="ITC Avant Garde"/>
          <w:i/>
          <w:sz w:val="16"/>
          <w:szCs w:val="16"/>
        </w:rPr>
        <w:t>Hirschman-Herfindahl</w:t>
      </w:r>
      <w:proofErr w:type="spellEnd"/>
      <w:r w:rsidRPr="0053408B">
        <w:rPr>
          <w:rFonts w:ascii="ITC Avant Garde" w:hAnsi="ITC Avant Garde"/>
          <w:i/>
          <w:sz w:val="16"/>
          <w:szCs w:val="16"/>
        </w:rPr>
        <w:t xml:space="preserve"> “</w:t>
      </w:r>
      <w:proofErr w:type="spellStart"/>
      <w:r w:rsidRPr="0053408B">
        <w:rPr>
          <w:rFonts w:ascii="ITC Avant Garde" w:hAnsi="ITC Avant Garde"/>
          <w:i/>
          <w:sz w:val="16"/>
          <w:szCs w:val="16"/>
        </w:rPr>
        <w:t>IHH</w:t>
      </w:r>
      <w:proofErr w:type="spellEnd"/>
      <w:r w:rsidRPr="0053408B">
        <w:rPr>
          <w:rFonts w:ascii="ITC Avant Garde" w:hAnsi="ITC Avant Garde"/>
          <w:i/>
          <w:sz w:val="16"/>
          <w:szCs w:val="16"/>
        </w:rPr>
        <w:t>” se entiende la suma de los cuadrados de las participaciones de cada agente económico (</w:t>
      </w:r>
      <w:proofErr w:type="spellStart"/>
      <w:r w:rsidRPr="0053408B">
        <w:rPr>
          <w:rFonts w:ascii="ITC Avant Garde" w:hAnsi="ITC Avant Garde"/>
          <w:i/>
          <w:sz w:val="16"/>
          <w:szCs w:val="16"/>
        </w:rPr>
        <w:t>IHH</w:t>
      </w:r>
      <w:proofErr w:type="spellEnd"/>
      <w:r w:rsidRPr="0053408B">
        <w:rPr>
          <w:rFonts w:ascii="ITC Avant Garde" w:hAnsi="ITC Avant Garde"/>
          <w:i/>
          <w:sz w:val="16"/>
          <w:szCs w:val="16"/>
        </w:rPr>
        <w:t>=</w:t>
      </w:r>
      <w:r w:rsidRPr="0053408B">
        <w:rPr>
          <w:rFonts w:ascii="ITC Avant Garde" w:hAnsi="ITC Avant Garde" w:cs="Arial"/>
          <w:i/>
          <w:sz w:val="16"/>
          <w:szCs w:val="16"/>
        </w:rPr>
        <w:t>∑</w:t>
      </w:r>
      <w:r w:rsidRPr="0053408B">
        <w:rPr>
          <w:rFonts w:ascii="ITC Avant Garde" w:hAnsi="ITC Avant Garde"/>
          <w:i/>
          <w:sz w:val="16"/>
          <w:szCs w:val="16"/>
        </w:rPr>
        <w:t xml:space="preserve">i </w:t>
      </w:r>
      <w:proofErr w:type="spellStart"/>
      <w:r w:rsidRPr="0053408B">
        <w:rPr>
          <w:rFonts w:ascii="ITC Avant Garde" w:hAnsi="ITC Avant Garde"/>
          <w:i/>
          <w:sz w:val="16"/>
          <w:szCs w:val="16"/>
        </w:rPr>
        <w:t>qi2</w:t>
      </w:r>
      <w:proofErr w:type="spellEnd"/>
      <w:r w:rsidRPr="0053408B">
        <w:rPr>
          <w:rFonts w:ascii="ITC Avant Garde" w:hAnsi="ITC Avant Garde"/>
          <w:i/>
          <w:sz w:val="16"/>
          <w:szCs w:val="16"/>
        </w:rPr>
        <w:t>), en el sector que corresponda, medida para el caso del sector de las telecomunicaciones con base en el indicador de número de suscriptores y usuarios de servicios de telecomunicaciones, y para el sector de la radiodifusión con base en audiencia. Este índice puede tomar valores entre cero y diez mil.</w:t>
      </w:r>
    </w:p>
    <w:p w:rsidR="00324C70" w:rsidRPr="0053408B" w:rsidRDefault="00324C70" w:rsidP="00503DB1">
      <w:pPr>
        <w:pStyle w:val="Textonotapie"/>
        <w:spacing w:before="0"/>
        <w:rPr>
          <w:rFonts w:ascii="ITC Avant Garde" w:hAnsi="ITC Avant Garde"/>
          <w:sz w:val="16"/>
          <w:szCs w:val="16"/>
        </w:rPr>
      </w:pPr>
      <w:r w:rsidRPr="0053408B">
        <w:rPr>
          <w:rFonts w:ascii="ITC Avant Garde" w:hAnsi="ITC Avant Garde"/>
          <w:i/>
          <w:sz w:val="16"/>
          <w:szCs w:val="16"/>
        </w:rPr>
        <w:t xml:space="preserve">Para calcular el Índice de Dominancia “ID”, se determinará primero la contribución porcentual hi de cada agente económico al índice </w:t>
      </w:r>
      <w:proofErr w:type="spellStart"/>
      <w:r w:rsidRPr="0053408B">
        <w:rPr>
          <w:rFonts w:ascii="ITC Avant Garde" w:hAnsi="ITC Avant Garde"/>
          <w:i/>
          <w:sz w:val="16"/>
          <w:szCs w:val="16"/>
        </w:rPr>
        <w:t>IHH</w:t>
      </w:r>
      <w:proofErr w:type="spellEnd"/>
      <w:r w:rsidRPr="0053408B">
        <w:rPr>
          <w:rFonts w:ascii="ITC Avant Garde" w:hAnsi="ITC Avant Garde"/>
          <w:i/>
          <w:sz w:val="16"/>
          <w:szCs w:val="16"/>
        </w:rPr>
        <w:t xml:space="preserve"> definido en el párrafo anterior (hi = </w:t>
      </w:r>
      <w:proofErr w:type="spellStart"/>
      <w:r w:rsidRPr="0053408B">
        <w:rPr>
          <w:rFonts w:ascii="ITC Avant Garde" w:hAnsi="ITC Avant Garde"/>
          <w:i/>
          <w:sz w:val="16"/>
          <w:szCs w:val="16"/>
        </w:rPr>
        <w:t>100xqi2</w:t>
      </w:r>
      <w:proofErr w:type="spellEnd"/>
      <w:r w:rsidRPr="0053408B">
        <w:rPr>
          <w:rFonts w:ascii="ITC Avant Garde" w:hAnsi="ITC Avant Garde"/>
          <w:i/>
          <w:sz w:val="16"/>
          <w:szCs w:val="16"/>
        </w:rPr>
        <w:t>/</w:t>
      </w:r>
      <w:proofErr w:type="spellStart"/>
      <w:r w:rsidRPr="0053408B">
        <w:rPr>
          <w:rFonts w:ascii="ITC Avant Garde" w:hAnsi="ITC Avant Garde"/>
          <w:i/>
          <w:sz w:val="16"/>
          <w:szCs w:val="16"/>
        </w:rPr>
        <w:t>IHH</w:t>
      </w:r>
      <w:proofErr w:type="spellEnd"/>
      <w:r w:rsidRPr="0053408B">
        <w:rPr>
          <w:rFonts w:ascii="ITC Avant Garde" w:hAnsi="ITC Avant Garde"/>
          <w:i/>
          <w:sz w:val="16"/>
          <w:szCs w:val="16"/>
        </w:rPr>
        <w:t xml:space="preserve">). Después se calculará el valor de ID aplicando la fórmula del </w:t>
      </w:r>
      <w:proofErr w:type="spellStart"/>
      <w:r w:rsidRPr="0053408B">
        <w:rPr>
          <w:rFonts w:ascii="ITC Avant Garde" w:hAnsi="ITC Avant Garde"/>
          <w:i/>
          <w:sz w:val="16"/>
          <w:szCs w:val="16"/>
        </w:rPr>
        <w:t>Hirschman-Herfindahl</w:t>
      </w:r>
      <w:proofErr w:type="spellEnd"/>
      <w:r w:rsidRPr="0053408B">
        <w:rPr>
          <w:rFonts w:ascii="ITC Avant Garde" w:hAnsi="ITC Avant Garde"/>
          <w:i/>
          <w:sz w:val="16"/>
          <w:szCs w:val="16"/>
        </w:rPr>
        <w:t xml:space="preserve">, pero utilizando ahora las contribuciones hi en vez de las participaciones </w:t>
      </w:r>
      <w:proofErr w:type="spellStart"/>
      <w:r w:rsidRPr="0053408B">
        <w:rPr>
          <w:rFonts w:ascii="ITC Avant Garde" w:hAnsi="ITC Avant Garde"/>
          <w:i/>
          <w:sz w:val="16"/>
          <w:szCs w:val="16"/>
        </w:rPr>
        <w:t>qi</w:t>
      </w:r>
      <w:proofErr w:type="spellEnd"/>
      <w:r w:rsidRPr="0053408B">
        <w:rPr>
          <w:rFonts w:ascii="ITC Avant Garde" w:hAnsi="ITC Avant Garde"/>
          <w:i/>
          <w:sz w:val="16"/>
          <w:szCs w:val="16"/>
        </w:rPr>
        <w:t xml:space="preserve"> (es decir, ID=</w:t>
      </w:r>
      <w:r w:rsidRPr="0053408B">
        <w:rPr>
          <w:rFonts w:ascii="ITC Avant Garde" w:hAnsi="ITC Avant Garde" w:cs="Arial"/>
          <w:i/>
          <w:sz w:val="16"/>
          <w:szCs w:val="16"/>
        </w:rPr>
        <w:t>∑</w:t>
      </w:r>
      <w:r w:rsidRPr="0053408B">
        <w:rPr>
          <w:rFonts w:ascii="ITC Avant Garde" w:hAnsi="ITC Avant Garde"/>
          <w:i/>
          <w:sz w:val="16"/>
          <w:szCs w:val="16"/>
        </w:rPr>
        <w:t xml:space="preserve">i </w:t>
      </w:r>
      <w:proofErr w:type="spellStart"/>
      <w:r w:rsidRPr="0053408B">
        <w:rPr>
          <w:rFonts w:ascii="ITC Avant Garde" w:hAnsi="ITC Avant Garde"/>
          <w:i/>
          <w:sz w:val="16"/>
          <w:szCs w:val="16"/>
        </w:rPr>
        <w:t>hi2</w:t>
      </w:r>
      <w:proofErr w:type="spellEnd"/>
      <w:r w:rsidRPr="0053408B">
        <w:rPr>
          <w:rFonts w:ascii="ITC Avant Garde" w:hAnsi="ITC Avant Garde"/>
          <w:i/>
          <w:sz w:val="16"/>
          <w:szCs w:val="16"/>
        </w:rPr>
        <w:t>). Este índice también varía entre cero y diez mil.”</w:t>
      </w:r>
    </w:p>
  </w:footnote>
  <w:footnote w:id="44">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Fuente: Fojas 20 y 392 del Expediente.</w:t>
      </w:r>
    </w:p>
  </w:footnote>
  <w:footnote w:id="45">
    <w:p w:rsidR="00324C70" w:rsidRPr="0053408B" w:rsidRDefault="00324C70" w:rsidP="00503DB1">
      <w:pPr>
        <w:pStyle w:val="Textonotapie"/>
        <w:spacing w:before="0"/>
        <w:rPr>
          <w:rFonts w:ascii="ITC Avant Garde" w:hAnsi="ITC Avant Garde"/>
          <w:bCs/>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Véanse, por ejemplo, las resoluciones dentro de los e</w:t>
      </w:r>
      <w:r w:rsidRPr="0053408B">
        <w:rPr>
          <w:rFonts w:ascii="ITC Avant Garde" w:hAnsi="ITC Avant Garde"/>
          <w:bCs/>
          <w:sz w:val="16"/>
          <w:szCs w:val="16"/>
        </w:rPr>
        <w:t xml:space="preserve">xpedientes </w:t>
      </w:r>
      <w:proofErr w:type="spellStart"/>
      <w:r w:rsidRPr="0053408B">
        <w:rPr>
          <w:rFonts w:ascii="ITC Avant Garde" w:hAnsi="ITC Avant Garde"/>
          <w:b/>
          <w:bCs/>
          <w:sz w:val="16"/>
          <w:szCs w:val="16"/>
        </w:rPr>
        <w:t>UCE</w:t>
      </w:r>
      <w:proofErr w:type="spellEnd"/>
      <w:r w:rsidRPr="0053408B">
        <w:rPr>
          <w:rFonts w:ascii="ITC Avant Garde" w:hAnsi="ITC Avant Garde"/>
          <w:b/>
          <w:bCs/>
          <w:sz w:val="16"/>
          <w:szCs w:val="16"/>
        </w:rPr>
        <w:t>/</w:t>
      </w:r>
      <w:proofErr w:type="spellStart"/>
      <w:r w:rsidRPr="0053408B">
        <w:rPr>
          <w:rFonts w:ascii="ITC Avant Garde" w:hAnsi="ITC Avant Garde"/>
          <w:b/>
          <w:bCs/>
          <w:sz w:val="16"/>
          <w:szCs w:val="16"/>
        </w:rPr>
        <w:t>AVC</w:t>
      </w:r>
      <w:proofErr w:type="spellEnd"/>
      <w:r w:rsidRPr="0053408B">
        <w:rPr>
          <w:rFonts w:ascii="ITC Avant Garde" w:hAnsi="ITC Avant Garde"/>
          <w:b/>
          <w:bCs/>
          <w:sz w:val="16"/>
          <w:szCs w:val="16"/>
        </w:rPr>
        <w:t>-001-2014</w:t>
      </w:r>
      <w:r w:rsidRPr="0053408B">
        <w:rPr>
          <w:rFonts w:ascii="ITC Avant Garde" w:hAnsi="ITC Avant Garde"/>
          <w:bCs/>
          <w:sz w:val="16"/>
          <w:szCs w:val="16"/>
        </w:rPr>
        <w:t xml:space="preserve"> (Grupo Televisa-</w:t>
      </w:r>
      <w:proofErr w:type="spellStart"/>
      <w:r w:rsidRPr="0053408B">
        <w:rPr>
          <w:rFonts w:ascii="ITC Avant Garde" w:hAnsi="ITC Avant Garde"/>
          <w:bCs/>
          <w:sz w:val="16"/>
          <w:szCs w:val="16"/>
        </w:rPr>
        <w:t>Cablecom</w:t>
      </w:r>
      <w:proofErr w:type="spellEnd"/>
      <w:r w:rsidRPr="0053408B">
        <w:rPr>
          <w:rFonts w:ascii="ITC Avant Garde" w:hAnsi="ITC Avant Garde"/>
          <w:bCs/>
          <w:sz w:val="16"/>
          <w:szCs w:val="16"/>
        </w:rPr>
        <w:t xml:space="preserve">, </w:t>
      </w:r>
      <w:r w:rsidRPr="0053408B">
        <w:rPr>
          <w:rFonts w:ascii="ITC Avant Garde" w:hAnsi="ITC Avant Garde"/>
          <w:sz w:val="16"/>
          <w:szCs w:val="16"/>
        </w:rPr>
        <w:t xml:space="preserve">Páginas 15, 17, 20, 48 y 67, </w:t>
      </w:r>
      <w:r w:rsidRPr="0053408B">
        <w:rPr>
          <w:rFonts w:ascii="ITC Avant Garde" w:hAnsi="ITC Avant Garde"/>
          <w:bCs/>
          <w:sz w:val="16"/>
          <w:szCs w:val="16"/>
        </w:rPr>
        <w:t xml:space="preserve">disponible en </w:t>
      </w:r>
      <w:r w:rsidRPr="00F51DF4">
        <w:rPr>
          <w:rFonts w:ascii="ITC Avant Garde" w:hAnsi="ITC Avant Garde"/>
          <w:bCs/>
          <w:sz w:val="16"/>
          <w:szCs w:val="16"/>
        </w:rPr>
        <w:t>http://apps.ift.org.mx/publicdata/P_IFT_EXT_101214_273_Version_Publica.pdf</w:t>
      </w:r>
      <w:r w:rsidRPr="0053408B">
        <w:rPr>
          <w:rFonts w:ascii="ITC Avant Garde" w:hAnsi="ITC Avant Garde"/>
          <w:bCs/>
          <w:sz w:val="16"/>
          <w:szCs w:val="16"/>
        </w:rPr>
        <w:t xml:space="preserve">) y </w:t>
      </w:r>
    </w:p>
    <w:p w:rsidR="00324C70" w:rsidRPr="0053408B" w:rsidRDefault="00324C70" w:rsidP="00503DB1">
      <w:pPr>
        <w:pStyle w:val="Textonotapie"/>
        <w:spacing w:before="0"/>
        <w:rPr>
          <w:rFonts w:ascii="ITC Avant Garde" w:hAnsi="ITC Avant Garde"/>
          <w:bCs/>
          <w:sz w:val="16"/>
          <w:szCs w:val="16"/>
        </w:rPr>
      </w:pPr>
      <w:proofErr w:type="spellStart"/>
      <w:r w:rsidRPr="0053408B">
        <w:rPr>
          <w:rFonts w:ascii="ITC Avant Garde" w:hAnsi="ITC Avant Garde"/>
          <w:b/>
          <w:sz w:val="16"/>
          <w:szCs w:val="16"/>
        </w:rPr>
        <w:t>UCE</w:t>
      </w:r>
      <w:proofErr w:type="spellEnd"/>
      <w:r w:rsidRPr="0053408B">
        <w:rPr>
          <w:rFonts w:ascii="ITC Avant Garde" w:hAnsi="ITC Avant Garde"/>
          <w:b/>
          <w:sz w:val="16"/>
          <w:szCs w:val="16"/>
        </w:rPr>
        <w:t>/</w:t>
      </w:r>
      <w:proofErr w:type="spellStart"/>
      <w:r w:rsidRPr="0053408B">
        <w:rPr>
          <w:rFonts w:ascii="ITC Avant Garde" w:hAnsi="ITC Avant Garde"/>
          <w:b/>
          <w:sz w:val="16"/>
          <w:szCs w:val="16"/>
        </w:rPr>
        <w:t>AVC</w:t>
      </w:r>
      <w:proofErr w:type="spellEnd"/>
      <w:r w:rsidRPr="0053408B">
        <w:rPr>
          <w:rFonts w:ascii="ITC Avant Garde" w:hAnsi="ITC Avant Garde"/>
          <w:b/>
          <w:sz w:val="16"/>
          <w:szCs w:val="16"/>
        </w:rPr>
        <w:t>-001-2015</w:t>
      </w:r>
      <w:r w:rsidRPr="0053408B">
        <w:rPr>
          <w:rFonts w:ascii="ITC Avant Garde" w:hAnsi="ITC Avant Garde"/>
          <w:sz w:val="16"/>
          <w:szCs w:val="16"/>
        </w:rPr>
        <w:t xml:space="preserve"> (Grupo Televisa-</w:t>
      </w:r>
      <w:proofErr w:type="spellStart"/>
      <w:r w:rsidRPr="0053408B">
        <w:rPr>
          <w:rFonts w:ascii="ITC Avant Garde" w:hAnsi="ITC Avant Garde"/>
          <w:sz w:val="16"/>
          <w:szCs w:val="16"/>
        </w:rPr>
        <w:t>Telecable</w:t>
      </w:r>
      <w:proofErr w:type="spellEnd"/>
      <w:r w:rsidRPr="0053408B">
        <w:rPr>
          <w:rFonts w:ascii="ITC Avant Garde" w:hAnsi="ITC Avant Garde"/>
          <w:sz w:val="16"/>
          <w:szCs w:val="16"/>
        </w:rPr>
        <w:t xml:space="preserve">, </w:t>
      </w:r>
      <w:r w:rsidRPr="0053408B">
        <w:rPr>
          <w:rFonts w:ascii="ITC Avant Garde" w:hAnsi="ITC Avant Garde"/>
          <w:bCs/>
          <w:sz w:val="16"/>
          <w:szCs w:val="16"/>
        </w:rPr>
        <w:t xml:space="preserve">disponible en </w:t>
      </w:r>
    </w:p>
    <w:p w:rsidR="00324C70" w:rsidRPr="0053408B" w:rsidRDefault="00324C70" w:rsidP="00503DB1">
      <w:pPr>
        <w:pStyle w:val="Textonotapie"/>
        <w:spacing w:before="0"/>
        <w:rPr>
          <w:rFonts w:ascii="ITC Avant Garde" w:hAnsi="ITC Avant Garde"/>
          <w:sz w:val="16"/>
          <w:szCs w:val="16"/>
        </w:rPr>
      </w:pPr>
      <w:r w:rsidRPr="00F51DF4">
        <w:rPr>
          <w:rFonts w:ascii="ITC Avant Garde" w:hAnsi="ITC Avant Garde"/>
          <w:bCs/>
          <w:sz w:val="16"/>
          <w:szCs w:val="16"/>
        </w:rPr>
        <w:t>http://apps.ift.org.mx/publicdata/Version_Publica_P_IFT_EXT_200415_85.pdf</w:t>
      </w:r>
      <w:r w:rsidRPr="0053408B">
        <w:rPr>
          <w:rFonts w:ascii="ITC Avant Garde" w:hAnsi="ITC Avant Garde"/>
          <w:sz w:val="16"/>
          <w:szCs w:val="16"/>
        </w:rPr>
        <w:t>).</w:t>
      </w:r>
    </w:p>
  </w:footnote>
  <w:footnote w:id="46">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Dictamen de la Cámara de Senadores relativo a la </w:t>
      </w:r>
      <w:proofErr w:type="spellStart"/>
      <w:r w:rsidRPr="0053408B">
        <w:rPr>
          <w:rFonts w:ascii="ITC Avant Garde" w:hAnsi="ITC Avant Garde"/>
          <w:sz w:val="16"/>
          <w:szCs w:val="16"/>
        </w:rPr>
        <w:t>LFTR</w:t>
      </w:r>
      <w:proofErr w:type="spellEnd"/>
      <w:r w:rsidRPr="0053408B">
        <w:rPr>
          <w:rFonts w:ascii="ITC Avant Garde" w:hAnsi="ITC Avant Garde"/>
          <w:sz w:val="16"/>
          <w:szCs w:val="16"/>
        </w:rPr>
        <w:t>, páginas 339, 341 y 342.</w:t>
      </w:r>
    </w:p>
  </w:footnote>
  <w:footnote w:id="47">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w:t>
      </w:r>
      <w:r w:rsidRPr="0053408B">
        <w:rPr>
          <w:rFonts w:ascii="ITC Avant Garde" w:hAnsi="ITC Avant Garde"/>
          <w:sz w:val="16"/>
          <w:szCs w:val="16"/>
          <w:lang w:val="es-MX"/>
        </w:rPr>
        <w:t xml:space="preserve">Véanse, por ejemplo, las consideraciones en la evaluación de participantes en los procesos de licitación </w:t>
      </w:r>
      <w:proofErr w:type="spellStart"/>
      <w:r w:rsidRPr="0053408B">
        <w:rPr>
          <w:rFonts w:ascii="ITC Avant Garde" w:hAnsi="ITC Avant Garde"/>
          <w:sz w:val="16"/>
          <w:szCs w:val="16"/>
          <w:lang w:val="es-MX"/>
        </w:rPr>
        <w:t>IFT</w:t>
      </w:r>
      <w:proofErr w:type="spellEnd"/>
      <w:r w:rsidRPr="0053408B">
        <w:rPr>
          <w:rFonts w:ascii="ITC Avant Garde" w:hAnsi="ITC Avant Garde"/>
          <w:sz w:val="16"/>
          <w:szCs w:val="16"/>
          <w:lang w:val="es-MX"/>
        </w:rPr>
        <w:t xml:space="preserve">-1 (de </w:t>
      </w:r>
      <w:proofErr w:type="spellStart"/>
      <w:r w:rsidRPr="0053408B">
        <w:rPr>
          <w:rFonts w:ascii="ITC Avant Garde" w:hAnsi="ITC Avant Garde"/>
          <w:b/>
          <w:sz w:val="16"/>
          <w:szCs w:val="16"/>
          <w:u w:val="single"/>
        </w:rPr>
        <w:t>STRDC</w:t>
      </w:r>
      <w:proofErr w:type="spellEnd"/>
      <w:r w:rsidRPr="0053408B">
        <w:rPr>
          <w:rFonts w:ascii="ITC Avant Garde" w:hAnsi="ITC Avant Garde"/>
          <w:sz w:val="16"/>
          <w:szCs w:val="16"/>
        </w:rPr>
        <w:t xml:space="preserve"> que lo distingue de </w:t>
      </w:r>
      <w:proofErr w:type="spellStart"/>
      <w:r w:rsidRPr="0053408B">
        <w:rPr>
          <w:rFonts w:ascii="ITC Avant Garde" w:hAnsi="ITC Avant Garde"/>
          <w:b/>
          <w:sz w:val="16"/>
          <w:szCs w:val="16"/>
          <w:u w:val="single"/>
        </w:rPr>
        <w:t>SRSAC</w:t>
      </w:r>
      <w:proofErr w:type="spellEnd"/>
      <w:r w:rsidRPr="0053408B">
        <w:rPr>
          <w:rFonts w:ascii="ITC Avant Garde" w:hAnsi="ITC Avant Garde"/>
          <w:b/>
          <w:sz w:val="16"/>
          <w:szCs w:val="16"/>
          <w:u w:val="single"/>
        </w:rPr>
        <w:t xml:space="preserve">) </w:t>
      </w:r>
      <w:r w:rsidRPr="0053408B">
        <w:rPr>
          <w:rFonts w:ascii="ITC Avant Garde" w:hAnsi="ITC Avant Garde"/>
          <w:sz w:val="16"/>
          <w:szCs w:val="16"/>
          <w:u w:val="single"/>
        </w:rPr>
        <w:t xml:space="preserve">e </w:t>
      </w:r>
      <w:proofErr w:type="spellStart"/>
      <w:r w:rsidRPr="0053408B">
        <w:rPr>
          <w:rFonts w:ascii="ITC Avant Garde" w:hAnsi="ITC Avant Garde"/>
          <w:sz w:val="16"/>
          <w:szCs w:val="16"/>
          <w:u w:val="single"/>
        </w:rPr>
        <w:t>IFT</w:t>
      </w:r>
      <w:proofErr w:type="spellEnd"/>
      <w:r w:rsidRPr="0053408B">
        <w:rPr>
          <w:rFonts w:ascii="ITC Avant Garde" w:hAnsi="ITC Avant Garde"/>
          <w:sz w:val="16"/>
          <w:szCs w:val="16"/>
          <w:u w:val="single"/>
        </w:rPr>
        <w:t xml:space="preserve">-4 (de manera consistente distingue al </w:t>
      </w:r>
      <w:proofErr w:type="spellStart"/>
      <w:r w:rsidRPr="0053408B">
        <w:rPr>
          <w:rFonts w:ascii="ITC Avant Garde" w:hAnsi="ITC Avant Garde"/>
          <w:b/>
          <w:sz w:val="16"/>
          <w:szCs w:val="16"/>
          <w:u w:val="single"/>
        </w:rPr>
        <w:t>SRSAC</w:t>
      </w:r>
      <w:proofErr w:type="spellEnd"/>
      <w:r w:rsidRPr="0053408B">
        <w:rPr>
          <w:rFonts w:ascii="ITC Avant Garde" w:hAnsi="ITC Avant Garde"/>
          <w:sz w:val="16"/>
          <w:szCs w:val="16"/>
          <w:u w:val="single"/>
        </w:rPr>
        <w:t xml:space="preserve"> del </w:t>
      </w:r>
      <w:proofErr w:type="spellStart"/>
      <w:r w:rsidRPr="0053408B">
        <w:rPr>
          <w:rFonts w:ascii="ITC Avant Garde" w:hAnsi="ITC Avant Garde"/>
          <w:b/>
          <w:sz w:val="16"/>
          <w:szCs w:val="16"/>
          <w:u w:val="single"/>
        </w:rPr>
        <w:t>STRDC</w:t>
      </w:r>
      <w:proofErr w:type="spellEnd"/>
      <w:r w:rsidRPr="0053408B">
        <w:rPr>
          <w:rFonts w:ascii="ITC Avant Garde" w:hAnsi="ITC Avant Garde"/>
          <w:b/>
          <w:sz w:val="16"/>
          <w:szCs w:val="16"/>
          <w:u w:val="single"/>
        </w:rPr>
        <w:t xml:space="preserve">; </w:t>
      </w:r>
      <w:r w:rsidRPr="0053408B">
        <w:rPr>
          <w:rFonts w:ascii="ITC Avant Garde" w:hAnsi="ITC Avant Garde"/>
          <w:sz w:val="16"/>
          <w:szCs w:val="16"/>
          <w:u w:val="single"/>
        </w:rPr>
        <w:t xml:space="preserve">y dentro del </w:t>
      </w:r>
      <w:proofErr w:type="spellStart"/>
      <w:r w:rsidRPr="0053408B">
        <w:rPr>
          <w:rFonts w:ascii="ITC Avant Garde" w:hAnsi="ITC Avant Garde"/>
          <w:b/>
          <w:sz w:val="16"/>
          <w:szCs w:val="16"/>
          <w:u w:val="single"/>
        </w:rPr>
        <w:t>SRSAC</w:t>
      </w:r>
      <w:proofErr w:type="spellEnd"/>
      <w:r w:rsidRPr="0053408B">
        <w:rPr>
          <w:rFonts w:ascii="ITC Avant Garde" w:hAnsi="ITC Avant Garde"/>
          <w:b/>
          <w:sz w:val="16"/>
          <w:szCs w:val="16"/>
          <w:u w:val="single"/>
        </w:rPr>
        <w:t xml:space="preserve"> </w:t>
      </w:r>
      <w:r w:rsidRPr="0053408B">
        <w:rPr>
          <w:rFonts w:ascii="ITC Avant Garde" w:hAnsi="ITC Avant Garde"/>
          <w:sz w:val="16"/>
          <w:szCs w:val="16"/>
          <w:u w:val="single"/>
        </w:rPr>
        <w:t>distingue en un proceso competitivo a los que operan la banda AM de los que emplean la banda FM</w:t>
      </w:r>
      <w:r w:rsidRPr="0053408B">
        <w:rPr>
          <w:rFonts w:ascii="ITC Avant Garde" w:hAnsi="ITC Avant Garde"/>
          <w:sz w:val="16"/>
          <w:szCs w:val="16"/>
        </w:rPr>
        <w:t xml:space="preserve">). </w:t>
      </w:r>
    </w:p>
  </w:footnote>
  <w:footnote w:id="48">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Fuente: Foja 23 del Expediente.</w:t>
      </w:r>
    </w:p>
  </w:footnote>
  <w:footnote w:id="49">
    <w:p w:rsidR="00324C70" w:rsidRPr="0053408B" w:rsidRDefault="00324C70" w:rsidP="00503DB1">
      <w:pPr>
        <w:pStyle w:val="Textonotapie"/>
        <w:spacing w:before="0"/>
        <w:rPr>
          <w:rFonts w:ascii="ITC Avant Garde" w:hAnsi="ITC Avant Garde"/>
          <w:b/>
          <w:bCs/>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w:t>
      </w:r>
      <w:r w:rsidRPr="0053408B">
        <w:rPr>
          <w:rFonts w:ascii="ITC Avant Garde" w:hAnsi="ITC Avant Garde"/>
          <w:b/>
          <w:bCs/>
          <w:sz w:val="16"/>
          <w:szCs w:val="16"/>
        </w:rPr>
        <w:t xml:space="preserve">Lo anterior, acorde con lo resuelto por el Pleno del Instituto en los acuerdos de resolución correspondientes a los expedientes: </w:t>
      </w:r>
      <w:r w:rsidRPr="0053408B">
        <w:rPr>
          <w:rFonts w:ascii="ITC Avant Garde" w:hAnsi="ITC Avant Garde"/>
          <w:b/>
          <w:bCs/>
          <w:sz w:val="16"/>
          <w:szCs w:val="16"/>
          <w:lang w:val="es-ES"/>
        </w:rPr>
        <w:t>E-</w:t>
      </w:r>
      <w:proofErr w:type="spellStart"/>
      <w:r w:rsidRPr="0053408B">
        <w:rPr>
          <w:rFonts w:ascii="ITC Avant Garde" w:hAnsi="ITC Avant Garde"/>
          <w:b/>
          <w:bCs/>
          <w:sz w:val="16"/>
          <w:szCs w:val="16"/>
          <w:lang w:val="es-ES"/>
        </w:rPr>
        <w:t>IFT</w:t>
      </w:r>
      <w:proofErr w:type="spellEnd"/>
      <w:r w:rsidRPr="0053408B">
        <w:rPr>
          <w:rFonts w:ascii="ITC Avant Garde" w:hAnsi="ITC Avant Garde"/>
          <w:b/>
          <w:bCs/>
          <w:sz w:val="16"/>
          <w:szCs w:val="16"/>
          <w:lang w:val="es-ES"/>
        </w:rPr>
        <w:t>/</w:t>
      </w:r>
      <w:proofErr w:type="spellStart"/>
      <w:r w:rsidRPr="0053408B">
        <w:rPr>
          <w:rFonts w:ascii="ITC Avant Garde" w:hAnsi="ITC Avant Garde"/>
          <w:b/>
          <w:bCs/>
          <w:sz w:val="16"/>
          <w:szCs w:val="16"/>
          <w:lang w:val="es-ES"/>
        </w:rPr>
        <w:t>UC</w:t>
      </w:r>
      <w:proofErr w:type="spellEnd"/>
      <w:r w:rsidRPr="0053408B">
        <w:rPr>
          <w:rFonts w:ascii="ITC Avant Garde" w:hAnsi="ITC Avant Garde"/>
          <w:b/>
          <w:bCs/>
          <w:sz w:val="16"/>
          <w:szCs w:val="16"/>
          <w:lang w:val="es-ES"/>
        </w:rPr>
        <w:t>/</w:t>
      </w:r>
      <w:proofErr w:type="spellStart"/>
      <w:r w:rsidRPr="0053408B">
        <w:rPr>
          <w:rFonts w:ascii="ITC Avant Garde" w:hAnsi="ITC Avant Garde"/>
          <w:b/>
          <w:bCs/>
          <w:sz w:val="16"/>
          <w:szCs w:val="16"/>
          <w:lang w:val="es-ES"/>
        </w:rPr>
        <w:t>OCC</w:t>
      </w:r>
      <w:proofErr w:type="spellEnd"/>
      <w:r w:rsidRPr="0053408B">
        <w:rPr>
          <w:rFonts w:ascii="ITC Avant Garde" w:hAnsi="ITC Avant Garde"/>
          <w:b/>
          <w:bCs/>
          <w:sz w:val="16"/>
          <w:szCs w:val="16"/>
          <w:lang w:val="es-ES"/>
        </w:rPr>
        <w:t>/0002/2013</w:t>
      </w:r>
      <w:r w:rsidRPr="0053408B">
        <w:rPr>
          <w:rFonts w:ascii="ITC Avant Garde" w:hAnsi="ITC Avant Garde"/>
          <w:b/>
          <w:bCs/>
          <w:sz w:val="16"/>
          <w:szCs w:val="16"/>
        </w:rPr>
        <w:t xml:space="preserve">, </w:t>
      </w:r>
      <w:r w:rsidRPr="0053408B">
        <w:rPr>
          <w:rFonts w:ascii="ITC Avant Garde" w:hAnsi="ITC Avant Garde"/>
          <w:b/>
          <w:bCs/>
          <w:sz w:val="16"/>
          <w:szCs w:val="16"/>
          <w:lang w:val="es-ES"/>
        </w:rPr>
        <w:t>E-</w:t>
      </w:r>
      <w:proofErr w:type="spellStart"/>
      <w:r w:rsidRPr="0053408B">
        <w:rPr>
          <w:rFonts w:ascii="ITC Avant Garde" w:hAnsi="ITC Avant Garde"/>
          <w:b/>
          <w:bCs/>
          <w:sz w:val="16"/>
          <w:szCs w:val="16"/>
          <w:lang w:val="es-ES"/>
        </w:rPr>
        <w:t>IFT</w:t>
      </w:r>
      <w:proofErr w:type="spellEnd"/>
      <w:r w:rsidRPr="0053408B">
        <w:rPr>
          <w:rFonts w:ascii="ITC Avant Garde" w:hAnsi="ITC Avant Garde"/>
          <w:b/>
          <w:bCs/>
          <w:sz w:val="16"/>
          <w:szCs w:val="16"/>
          <w:lang w:val="es-ES"/>
        </w:rPr>
        <w:t>/</w:t>
      </w:r>
      <w:proofErr w:type="spellStart"/>
      <w:r w:rsidRPr="0053408B">
        <w:rPr>
          <w:rFonts w:ascii="ITC Avant Garde" w:hAnsi="ITC Avant Garde"/>
          <w:b/>
          <w:bCs/>
          <w:sz w:val="16"/>
          <w:szCs w:val="16"/>
          <w:lang w:val="es-ES"/>
        </w:rPr>
        <w:t>UC</w:t>
      </w:r>
      <w:proofErr w:type="spellEnd"/>
      <w:r w:rsidRPr="0053408B">
        <w:rPr>
          <w:rFonts w:ascii="ITC Avant Garde" w:hAnsi="ITC Avant Garde"/>
          <w:b/>
          <w:bCs/>
          <w:sz w:val="16"/>
          <w:szCs w:val="16"/>
          <w:lang w:val="es-ES"/>
        </w:rPr>
        <w:t>/</w:t>
      </w:r>
      <w:proofErr w:type="spellStart"/>
      <w:r w:rsidRPr="0053408B">
        <w:rPr>
          <w:rFonts w:ascii="ITC Avant Garde" w:hAnsi="ITC Avant Garde"/>
          <w:b/>
          <w:bCs/>
          <w:sz w:val="16"/>
          <w:szCs w:val="16"/>
          <w:lang w:val="es-ES"/>
        </w:rPr>
        <w:t>OCC</w:t>
      </w:r>
      <w:proofErr w:type="spellEnd"/>
      <w:r w:rsidRPr="0053408B">
        <w:rPr>
          <w:rFonts w:ascii="ITC Avant Garde" w:hAnsi="ITC Avant Garde"/>
          <w:b/>
          <w:bCs/>
          <w:sz w:val="16"/>
          <w:szCs w:val="16"/>
          <w:lang w:val="es-ES"/>
        </w:rPr>
        <w:t>/0007/2013</w:t>
      </w:r>
      <w:r w:rsidRPr="0053408B">
        <w:rPr>
          <w:rFonts w:ascii="ITC Avant Garde" w:hAnsi="ITC Avant Garde"/>
          <w:b/>
          <w:bCs/>
          <w:sz w:val="16"/>
          <w:szCs w:val="16"/>
        </w:rPr>
        <w:t xml:space="preserve"> y </w:t>
      </w:r>
      <w:r w:rsidRPr="0053408B">
        <w:rPr>
          <w:rFonts w:ascii="ITC Avant Garde" w:hAnsi="ITC Avant Garde"/>
          <w:b/>
          <w:bCs/>
          <w:sz w:val="16"/>
          <w:szCs w:val="16"/>
          <w:lang w:val="es-ES"/>
        </w:rPr>
        <w:t>E-</w:t>
      </w:r>
      <w:proofErr w:type="spellStart"/>
      <w:r w:rsidRPr="0053408B">
        <w:rPr>
          <w:rFonts w:ascii="ITC Avant Garde" w:hAnsi="ITC Avant Garde"/>
          <w:b/>
          <w:bCs/>
          <w:sz w:val="16"/>
          <w:szCs w:val="16"/>
          <w:lang w:val="es-ES"/>
        </w:rPr>
        <w:t>IFT</w:t>
      </w:r>
      <w:proofErr w:type="spellEnd"/>
      <w:r w:rsidRPr="0053408B">
        <w:rPr>
          <w:rFonts w:ascii="ITC Avant Garde" w:hAnsi="ITC Avant Garde"/>
          <w:b/>
          <w:bCs/>
          <w:sz w:val="16"/>
          <w:szCs w:val="16"/>
          <w:lang w:val="es-ES"/>
        </w:rPr>
        <w:t>/</w:t>
      </w:r>
      <w:proofErr w:type="spellStart"/>
      <w:r w:rsidRPr="0053408B">
        <w:rPr>
          <w:rFonts w:ascii="ITC Avant Garde" w:hAnsi="ITC Avant Garde"/>
          <w:b/>
          <w:bCs/>
          <w:sz w:val="16"/>
          <w:szCs w:val="16"/>
          <w:lang w:val="es-ES"/>
        </w:rPr>
        <w:t>UC</w:t>
      </w:r>
      <w:proofErr w:type="spellEnd"/>
      <w:r w:rsidRPr="0053408B">
        <w:rPr>
          <w:rFonts w:ascii="ITC Avant Garde" w:hAnsi="ITC Avant Garde"/>
          <w:b/>
          <w:bCs/>
          <w:sz w:val="16"/>
          <w:szCs w:val="16"/>
          <w:lang w:val="es-ES"/>
        </w:rPr>
        <w:t>/</w:t>
      </w:r>
      <w:proofErr w:type="spellStart"/>
      <w:r w:rsidRPr="0053408B">
        <w:rPr>
          <w:rFonts w:ascii="ITC Avant Garde" w:hAnsi="ITC Avant Garde"/>
          <w:b/>
          <w:bCs/>
          <w:sz w:val="16"/>
          <w:szCs w:val="16"/>
          <w:lang w:val="es-ES"/>
        </w:rPr>
        <w:t>ONP</w:t>
      </w:r>
      <w:proofErr w:type="spellEnd"/>
      <w:r w:rsidRPr="0053408B">
        <w:rPr>
          <w:rFonts w:ascii="ITC Avant Garde" w:hAnsi="ITC Avant Garde"/>
          <w:b/>
          <w:bCs/>
          <w:sz w:val="16"/>
          <w:szCs w:val="16"/>
          <w:lang w:val="es-ES"/>
        </w:rPr>
        <w:t>/0012/2013</w:t>
      </w:r>
      <w:r w:rsidRPr="0053408B">
        <w:rPr>
          <w:rFonts w:ascii="ITC Avant Garde" w:hAnsi="ITC Avant Garde"/>
          <w:b/>
          <w:bCs/>
          <w:sz w:val="16"/>
          <w:szCs w:val="16"/>
        </w:rPr>
        <w:t xml:space="preserve"> y </w:t>
      </w:r>
      <w:r w:rsidRPr="0053408B">
        <w:rPr>
          <w:rFonts w:ascii="ITC Avant Garde" w:hAnsi="ITC Avant Garde"/>
          <w:b/>
          <w:bCs/>
          <w:sz w:val="16"/>
          <w:szCs w:val="16"/>
          <w:lang w:val="es-ES"/>
        </w:rPr>
        <w:t>E-</w:t>
      </w:r>
      <w:proofErr w:type="spellStart"/>
      <w:r w:rsidRPr="0053408B">
        <w:rPr>
          <w:rFonts w:ascii="ITC Avant Garde" w:hAnsi="ITC Avant Garde"/>
          <w:b/>
          <w:bCs/>
          <w:sz w:val="16"/>
          <w:szCs w:val="16"/>
          <w:lang w:val="es-ES"/>
        </w:rPr>
        <w:t>IFT</w:t>
      </w:r>
      <w:proofErr w:type="spellEnd"/>
      <w:r w:rsidRPr="0053408B">
        <w:rPr>
          <w:rFonts w:ascii="ITC Avant Garde" w:hAnsi="ITC Avant Garde"/>
          <w:b/>
          <w:bCs/>
          <w:sz w:val="16"/>
          <w:szCs w:val="16"/>
          <w:lang w:val="es-ES"/>
        </w:rPr>
        <w:t>/</w:t>
      </w:r>
      <w:proofErr w:type="spellStart"/>
      <w:r w:rsidRPr="0053408B">
        <w:rPr>
          <w:rFonts w:ascii="ITC Avant Garde" w:hAnsi="ITC Avant Garde"/>
          <w:b/>
          <w:bCs/>
          <w:sz w:val="16"/>
          <w:szCs w:val="16"/>
          <w:lang w:val="es-ES"/>
        </w:rPr>
        <w:t>UC</w:t>
      </w:r>
      <w:proofErr w:type="spellEnd"/>
      <w:r w:rsidRPr="0053408B">
        <w:rPr>
          <w:rFonts w:ascii="ITC Avant Garde" w:hAnsi="ITC Avant Garde"/>
          <w:b/>
          <w:bCs/>
          <w:sz w:val="16"/>
          <w:szCs w:val="16"/>
          <w:lang w:val="es-ES"/>
        </w:rPr>
        <w:t>/</w:t>
      </w:r>
      <w:proofErr w:type="spellStart"/>
      <w:r w:rsidRPr="0053408B">
        <w:rPr>
          <w:rFonts w:ascii="ITC Avant Garde" w:hAnsi="ITC Avant Garde"/>
          <w:b/>
          <w:bCs/>
          <w:sz w:val="16"/>
          <w:szCs w:val="16"/>
          <w:lang w:val="es-ES"/>
        </w:rPr>
        <w:t>ONP</w:t>
      </w:r>
      <w:proofErr w:type="spellEnd"/>
      <w:r w:rsidRPr="0053408B">
        <w:rPr>
          <w:rFonts w:ascii="ITC Avant Garde" w:hAnsi="ITC Avant Garde"/>
          <w:b/>
          <w:bCs/>
          <w:sz w:val="16"/>
          <w:szCs w:val="16"/>
          <w:lang w:val="es-ES"/>
        </w:rPr>
        <w:t>/0028/2013</w:t>
      </w:r>
      <w:r w:rsidRPr="0053408B">
        <w:rPr>
          <w:rFonts w:ascii="ITC Avant Garde" w:hAnsi="ITC Avant Garde"/>
          <w:b/>
          <w:bCs/>
          <w:sz w:val="16"/>
          <w:szCs w:val="16"/>
        </w:rPr>
        <w:t>.</w:t>
      </w:r>
    </w:p>
    <w:p w:rsidR="00324C70" w:rsidRPr="0053408B" w:rsidRDefault="00324C70" w:rsidP="00503DB1">
      <w:pPr>
        <w:pStyle w:val="Textonotapie"/>
        <w:spacing w:before="0"/>
        <w:rPr>
          <w:rFonts w:ascii="ITC Avant Garde" w:eastAsia="Times New Roman" w:hAnsi="ITC Avant Garde"/>
          <w:b/>
          <w:bCs/>
          <w:sz w:val="16"/>
          <w:szCs w:val="16"/>
        </w:rPr>
      </w:pPr>
      <w:r w:rsidRPr="0053408B">
        <w:rPr>
          <w:rFonts w:ascii="ITC Avant Garde" w:hAnsi="ITC Avant Garde"/>
          <w:b/>
          <w:bCs/>
          <w:sz w:val="16"/>
          <w:szCs w:val="16"/>
        </w:rPr>
        <w:t>Véase:</w:t>
      </w:r>
    </w:p>
    <w:p w:rsidR="00324C70" w:rsidRPr="0053408B" w:rsidRDefault="00324C70" w:rsidP="00503DB1">
      <w:pPr>
        <w:pStyle w:val="Textonotapie"/>
        <w:spacing w:before="0"/>
        <w:rPr>
          <w:rFonts w:ascii="ITC Avant Garde" w:hAnsi="ITC Avant Garde"/>
          <w:b/>
          <w:bCs/>
          <w:sz w:val="16"/>
          <w:szCs w:val="16"/>
        </w:rPr>
      </w:pPr>
      <w:r w:rsidRPr="00FF7B9B">
        <w:rPr>
          <w:rFonts w:ascii="ITC Avant Garde" w:hAnsi="ITC Avant Garde"/>
          <w:b/>
          <w:bCs/>
          <w:sz w:val="16"/>
          <w:szCs w:val="16"/>
        </w:rPr>
        <w:t>http://apps.ift.org.mx/publicdata/versionpublicapift18031590_1.pdf</w:t>
      </w:r>
      <w:r w:rsidRPr="0053408B">
        <w:rPr>
          <w:rFonts w:ascii="ITC Avant Garde" w:hAnsi="ITC Avant Garde"/>
          <w:b/>
          <w:bCs/>
          <w:sz w:val="16"/>
          <w:szCs w:val="16"/>
        </w:rPr>
        <w:t xml:space="preserve">, </w:t>
      </w:r>
    </w:p>
    <w:p w:rsidR="00324C70" w:rsidRPr="0053408B" w:rsidRDefault="00324C70" w:rsidP="00503DB1">
      <w:pPr>
        <w:pStyle w:val="Textonotapie"/>
        <w:spacing w:before="0"/>
        <w:rPr>
          <w:rFonts w:ascii="ITC Avant Garde" w:hAnsi="ITC Avant Garde"/>
          <w:b/>
          <w:bCs/>
          <w:sz w:val="16"/>
          <w:szCs w:val="16"/>
        </w:rPr>
      </w:pPr>
      <w:r w:rsidRPr="00FF7B9B">
        <w:rPr>
          <w:rFonts w:ascii="ITC Avant Garde" w:hAnsi="ITC Avant Garde"/>
          <w:b/>
          <w:bCs/>
          <w:sz w:val="16"/>
          <w:szCs w:val="16"/>
        </w:rPr>
        <w:t>http://apps.ift.org.mx/publicdata/versionpublicapift18031591_2.pdf</w:t>
      </w:r>
      <w:r w:rsidRPr="0053408B">
        <w:rPr>
          <w:rFonts w:ascii="ITC Avant Garde" w:hAnsi="ITC Avant Garde"/>
          <w:b/>
          <w:bCs/>
          <w:sz w:val="16"/>
          <w:szCs w:val="16"/>
        </w:rPr>
        <w:t xml:space="preserve">, </w:t>
      </w:r>
    </w:p>
    <w:p w:rsidR="00324C70" w:rsidRPr="0053408B" w:rsidRDefault="00324C70" w:rsidP="00503DB1">
      <w:pPr>
        <w:pStyle w:val="Textonotapie"/>
        <w:spacing w:before="0"/>
        <w:rPr>
          <w:rFonts w:ascii="ITC Avant Garde" w:hAnsi="ITC Avant Garde"/>
          <w:b/>
          <w:bCs/>
          <w:sz w:val="16"/>
          <w:szCs w:val="16"/>
        </w:rPr>
      </w:pPr>
      <w:r w:rsidRPr="00FF7B9B">
        <w:rPr>
          <w:rFonts w:ascii="ITC Avant Garde" w:hAnsi="ITC Avant Garde"/>
          <w:b/>
          <w:bCs/>
          <w:sz w:val="16"/>
          <w:szCs w:val="16"/>
        </w:rPr>
        <w:t>http://apps.ift.org.mx/publicdata/versionpublicapift18031592.pdf</w:t>
      </w:r>
      <w:r w:rsidRPr="0053408B">
        <w:rPr>
          <w:rFonts w:ascii="ITC Avant Garde" w:hAnsi="ITC Avant Garde"/>
          <w:b/>
          <w:bCs/>
          <w:sz w:val="16"/>
          <w:szCs w:val="16"/>
        </w:rPr>
        <w:t xml:space="preserve">, y </w:t>
      </w:r>
    </w:p>
    <w:p w:rsidR="00324C70" w:rsidRPr="0053408B" w:rsidRDefault="00324C70" w:rsidP="00503DB1">
      <w:pPr>
        <w:pStyle w:val="Textonotapie"/>
        <w:spacing w:before="0"/>
        <w:rPr>
          <w:rFonts w:ascii="ITC Avant Garde" w:hAnsi="ITC Avant Garde"/>
          <w:sz w:val="16"/>
          <w:szCs w:val="16"/>
        </w:rPr>
      </w:pPr>
      <w:r w:rsidRPr="00FF7B9B">
        <w:rPr>
          <w:rFonts w:ascii="ITC Avant Garde" w:hAnsi="ITC Avant Garde"/>
          <w:b/>
          <w:bCs/>
          <w:sz w:val="16"/>
          <w:szCs w:val="16"/>
        </w:rPr>
        <w:t>http://apps.ift.org.mx/publicdata/P_IFT_011014_352_Version_Publica.pdf</w:t>
      </w:r>
      <w:r w:rsidRPr="0053408B">
        <w:rPr>
          <w:rFonts w:ascii="ITC Avant Garde" w:hAnsi="ITC Avant Garde"/>
          <w:b/>
          <w:bCs/>
          <w:sz w:val="16"/>
          <w:szCs w:val="16"/>
        </w:rPr>
        <w:t>.</w:t>
      </w:r>
    </w:p>
  </w:footnote>
  <w:footnote w:id="50">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Fuente: Foja 392 del Expediente.</w:t>
      </w:r>
    </w:p>
  </w:footnote>
  <w:footnote w:id="51">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Fuente: Fojas 414-415 del Expediente.</w:t>
      </w:r>
    </w:p>
  </w:footnote>
  <w:footnote w:id="52">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La población indicada corresponde a las localidades – no el municipio- y se obtuvo del Censo de Población y Vivienda (2010) publicado por INEGI. Disponible en </w:t>
      </w:r>
      <w:r w:rsidRPr="001837AA">
        <w:rPr>
          <w:rFonts w:ascii="ITC Avant Garde" w:hAnsi="ITC Avant Garde"/>
          <w:sz w:val="16"/>
          <w:szCs w:val="16"/>
        </w:rPr>
        <w:t>http://www.beta.inegi.org.mx/proyectos/ccpv/2010/</w:t>
      </w:r>
      <w:r w:rsidRPr="0053408B">
        <w:rPr>
          <w:rFonts w:ascii="ITC Avant Garde" w:hAnsi="ITC Avant Garde"/>
          <w:sz w:val="16"/>
          <w:szCs w:val="16"/>
        </w:rPr>
        <w:t xml:space="preserve">. </w:t>
      </w:r>
    </w:p>
  </w:footnote>
  <w:footnote w:id="53">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Fuente: Fojas 23-24 y 33 del Expediente.</w:t>
      </w:r>
    </w:p>
  </w:footnote>
  <w:footnote w:id="54">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Fuente: Cálculos propios con base en el Censo Económico 2014 –el último disponible- realizado por el INEGI; disponible en </w:t>
      </w:r>
      <w:r w:rsidRPr="00F51DF4">
        <w:rPr>
          <w:rFonts w:ascii="ITC Avant Garde" w:hAnsi="ITC Avant Garde"/>
          <w:sz w:val="16"/>
          <w:szCs w:val="16"/>
        </w:rPr>
        <w:t>http://www.beta.inegi.org.mx/app/saic/</w:t>
      </w:r>
      <w:r w:rsidRPr="0053408B">
        <w:rPr>
          <w:rFonts w:ascii="ITC Avant Garde" w:hAnsi="ITC Avant Garde"/>
          <w:sz w:val="16"/>
          <w:szCs w:val="16"/>
        </w:rPr>
        <w:t>.</w:t>
      </w:r>
    </w:p>
  </w:footnote>
  <w:footnote w:id="55">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w:t>
      </w:r>
      <w:r w:rsidRPr="0053408B">
        <w:rPr>
          <w:rFonts w:ascii="ITC Avant Garde" w:eastAsia="Times New Roman" w:hAnsi="ITC Avant Garde"/>
          <w:bCs/>
          <w:sz w:val="16"/>
          <w:szCs w:val="16"/>
        </w:rPr>
        <w:t>Fuente: Fojas 25 y 392 del Expediente.</w:t>
      </w:r>
    </w:p>
  </w:footnote>
  <w:footnote w:id="56">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w:t>
      </w:r>
      <w:r w:rsidRPr="0053408B">
        <w:rPr>
          <w:rFonts w:ascii="ITC Avant Garde" w:eastAsia="Times New Roman" w:hAnsi="ITC Avant Garde"/>
          <w:bCs/>
          <w:sz w:val="16"/>
          <w:szCs w:val="16"/>
        </w:rPr>
        <w:t>Fuente: Foja 25 del Expediente.</w:t>
      </w:r>
    </w:p>
  </w:footnote>
  <w:footnote w:id="57">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w:t>
      </w:r>
      <w:r w:rsidRPr="0053408B">
        <w:rPr>
          <w:rFonts w:ascii="ITC Avant Garde" w:eastAsia="Times New Roman" w:hAnsi="ITC Avant Garde"/>
          <w:bCs/>
          <w:sz w:val="16"/>
          <w:szCs w:val="16"/>
        </w:rPr>
        <w:t>Fuente: Foja 26 del Expediente.</w:t>
      </w:r>
    </w:p>
  </w:footnote>
  <w:footnote w:id="58">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w:t>
      </w:r>
      <w:r w:rsidRPr="0053408B">
        <w:rPr>
          <w:rFonts w:ascii="ITC Avant Garde" w:eastAsia="Times New Roman" w:hAnsi="ITC Avant Garde"/>
          <w:bCs/>
          <w:sz w:val="16"/>
          <w:szCs w:val="16"/>
        </w:rPr>
        <w:t>Fuente: Foja 26 del Expediente.</w:t>
      </w:r>
    </w:p>
  </w:footnote>
  <w:footnote w:id="59">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Cifras disponibles en </w:t>
      </w:r>
      <w:r w:rsidRPr="001837AA">
        <w:rPr>
          <w:rFonts w:ascii="ITC Avant Garde" w:hAnsi="ITC Avant Garde"/>
          <w:sz w:val="16"/>
          <w:szCs w:val="16"/>
        </w:rPr>
        <w:t>http://www.beta.inegi.org.mx/app/saic/</w:t>
      </w:r>
      <w:r w:rsidRPr="0053408B">
        <w:rPr>
          <w:rFonts w:ascii="ITC Avant Garde" w:hAnsi="ITC Avant Garde"/>
          <w:sz w:val="16"/>
          <w:szCs w:val="16"/>
        </w:rPr>
        <w:t>.</w:t>
      </w:r>
    </w:p>
  </w:footnote>
  <w:footnote w:id="60">
    <w:p w:rsidR="00324C70" w:rsidRPr="0053408B" w:rsidRDefault="00324C70" w:rsidP="00A67BC5">
      <w:pPr>
        <w:pStyle w:val="Textonotapie"/>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Disponible en: </w:t>
      </w:r>
      <w:r w:rsidRPr="001837AA">
        <w:rPr>
          <w:rFonts w:ascii="ITC Avant Garde" w:hAnsi="ITC Avant Garde"/>
          <w:sz w:val="16"/>
          <w:szCs w:val="16"/>
        </w:rPr>
        <w:t>http://www.inegi.org.mx/geo/contenidos/geoestadistica/catalogoclaves.aspx</w:t>
      </w:r>
      <w:r w:rsidRPr="0053408B">
        <w:rPr>
          <w:rFonts w:ascii="ITC Avant Garde" w:hAnsi="ITC Avant Garde"/>
          <w:sz w:val="16"/>
          <w:szCs w:val="16"/>
        </w:rPr>
        <w:t xml:space="preserve">. </w:t>
      </w:r>
    </w:p>
  </w:footnote>
  <w:footnote w:id="61">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Los grupos económicos se construyeron con base en información de accionistas disponible para el Instituto, así como al Directivo de las estaciones reportado en el Directorio de la </w:t>
      </w:r>
      <w:proofErr w:type="spellStart"/>
      <w:r w:rsidRPr="0053408B">
        <w:rPr>
          <w:rFonts w:ascii="ITC Avant Garde" w:hAnsi="ITC Avant Garde"/>
          <w:sz w:val="16"/>
          <w:szCs w:val="16"/>
        </w:rPr>
        <w:t>CIRT</w:t>
      </w:r>
      <w:proofErr w:type="spellEnd"/>
      <w:r w:rsidRPr="0053408B">
        <w:rPr>
          <w:rFonts w:ascii="ITC Avant Garde" w:hAnsi="ITC Avant Garde"/>
          <w:sz w:val="16"/>
          <w:szCs w:val="16"/>
        </w:rPr>
        <w:t xml:space="preserve"> 2017.</w:t>
      </w:r>
    </w:p>
  </w:footnote>
  <w:footnote w:id="62">
    <w:p w:rsidR="00324C70" w:rsidRPr="0053408B" w:rsidRDefault="00324C70" w:rsidP="00A67BC5">
      <w:pPr>
        <w:pStyle w:val="Textonotapie"/>
        <w:spacing w:before="0"/>
        <w:rPr>
          <w:rFonts w:ascii="ITC Avant Garde" w:hAnsi="ITC Avant Garde"/>
          <w:sz w:val="16"/>
          <w:szCs w:val="16"/>
          <w:lang w:val="es-MX"/>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w:t>
      </w:r>
      <w:r w:rsidRPr="0053408B">
        <w:rPr>
          <w:rFonts w:ascii="ITC Avant Garde" w:hAnsi="ITC Avant Garde"/>
          <w:sz w:val="16"/>
          <w:szCs w:val="16"/>
          <w:lang w:val="es-MX"/>
        </w:rPr>
        <w:t xml:space="preserve">Fuente: Oficios de la </w:t>
      </w:r>
      <w:proofErr w:type="spellStart"/>
      <w:r w:rsidRPr="0053408B">
        <w:rPr>
          <w:rFonts w:ascii="ITC Avant Garde" w:hAnsi="ITC Avant Garde"/>
          <w:sz w:val="16"/>
          <w:szCs w:val="16"/>
          <w:lang w:val="es-MX"/>
        </w:rPr>
        <w:t>UER</w:t>
      </w:r>
      <w:proofErr w:type="spellEnd"/>
      <w:r w:rsidRPr="0053408B">
        <w:rPr>
          <w:rFonts w:ascii="ITC Avant Garde" w:hAnsi="ITC Avant Garde"/>
          <w:sz w:val="16"/>
          <w:szCs w:val="16"/>
          <w:lang w:val="es-MX"/>
        </w:rPr>
        <w:t xml:space="preserve"> </w:t>
      </w:r>
      <w:proofErr w:type="spellStart"/>
      <w:r w:rsidRPr="0053408B">
        <w:rPr>
          <w:rFonts w:ascii="ITC Avant Garde" w:hAnsi="ITC Avant Garde"/>
          <w:sz w:val="16"/>
          <w:szCs w:val="16"/>
          <w:lang w:val="es-MX"/>
        </w:rPr>
        <w:t>IFT</w:t>
      </w:r>
      <w:proofErr w:type="spellEnd"/>
      <w:r w:rsidRPr="0053408B">
        <w:rPr>
          <w:rFonts w:ascii="ITC Avant Garde" w:hAnsi="ITC Avant Garde"/>
          <w:sz w:val="16"/>
          <w:szCs w:val="16"/>
          <w:lang w:val="es-MX"/>
        </w:rPr>
        <w:t>/222//</w:t>
      </w:r>
      <w:proofErr w:type="spellStart"/>
      <w:r w:rsidRPr="0053408B">
        <w:rPr>
          <w:rFonts w:ascii="ITC Avant Garde" w:hAnsi="ITC Avant Garde"/>
          <w:sz w:val="16"/>
          <w:szCs w:val="16"/>
          <w:lang w:val="es-MX"/>
        </w:rPr>
        <w:t>UER</w:t>
      </w:r>
      <w:proofErr w:type="spellEnd"/>
      <w:r w:rsidRPr="0053408B">
        <w:rPr>
          <w:rFonts w:ascii="ITC Avant Garde" w:hAnsi="ITC Avant Garde"/>
          <w:sz w:val="16"/>
          <w:szCs w:val="16"/>
          <w:lang w:val="es-MX"/>
        </w:rPr>
        <w:t>/DG-</w:t>
      </w:r>
      <w:proofErr w:type="spellStart"/>
      <w:r w:rsidRPr="0053408B">
        <w:rPr>
          <w:rFonts w:ascii="ITC Avant Garde" w:hAnsi="ITC Avant Garde"/>
          <w:sz w:val="16"/>
          <w:szCs w:val="16"/>
          <w:lang w:val="es-MX"/>
        </w:rPr>
        <w:t>IEET</w:t>
      </w:r>
      <w:proofErr w:type="spellEnd"/>
      <w:r w:rsidRPr="0053408B">
        <w:rPr>
          <w:rFonts w:ascii="ITC Avant Garde" w:hAnsi="ITC Avant Garde"/>
          <w:sz w:val="16"/>
          <w:szCs w:val="16"/>
          <w:lang w:val="es-MX"/>
        </w:rPr>
        <w:t xml:space="preserve">/1193/2017 de fecha 27 de septiembre de 2017, </w:t>
      </w:r>
      <w:proofErr w:type="spellStart"/>
      <w:r w:rsidRPr="0053408B">
        <w:rPr>
          <w:rFonts w:ascii="ITC Avant Garde" w:hAnsi="ITC Avant Garde"/>
          <w:sz w:val="16"/>
          <w:szCs w:val="16"/>
          <w:lang w:val="es-MX"/>
        </w:rPr>
        <w:t>IFT</w:t>
      </w:r>
      <w:proofErr w:type="spellEnd"/>
      <w:r w:rsidRPr="0053408B">
        <w:rPr>
          <w:rFonts w:ascii="ITC Avant Garde" w:hAnsi="ITC Avant Garde"/>
          <w:sz w:val="16"/>
          <w:szCs w:val="16"/>
          <w:lang w:val="es-MX"/>
        </w:rPr>
        <w:t>/222//</w:t>
      </w:r>
      <w:proofErr w:type="spellStart"/>
      <w:r w:rsidRPr="0053408B">
        <w:rPr>
          <w:rFonts w:ascii="ITC Avant Garde" w:hAnsi="ITC Avant Garde"/>
          <w:sz w:val="16"/>
          <w:szCs w:val="16"/>
          <w:lang w:val="es-MX"/>
        </w:rPr>
        <w:t>UER</w:t>
      </w:r>
      <w:proofErr w:type="spellEnd"/>
      <w:r w:rsidRPr="0053408B">
        <w:rPr>
          <w:rFonts w:ascii="ITC Avant Garde" w:hAnsi="ITC Avant Garde"/>
          <w:sz w:val="16"/>
          <w:szCs w:val="16"/>
          <w:lang w:val="es-MX"/>
        </w:rPr>
        <w:t>/DG-</w:t>
      </w:r>
      <w:proofErr w:type="spellStart"/>
      <w:r w:rsidRPr="0053408B">
        <w:rPr>
          <w:rFonts w:ascii="ITC Avant Garde" w:hAnsi="ITC Avant Garde"/>
          <w:sz w:val="16"/>
          <w:szCs w:val="16"/>
          <w:lang w:val="es-MX"/>
        </w:rPr>
        <w:t>IEET</w:t>
      </w:r>
      <w:proofErr w:type="spellEnd"/>
      <w:r w:rsidRPr="0053408B">
        <w:rPr>
          <w:rFonts w:ascii="ITC Avant Garde" w:hAnsi="ITC Avant Garde"/>
          <w:sz w:val="16"/>
          <w:szCs w:val="16"/>
          <w:lang w:val="es-MX"/>
        </w:rPr>
        <w:t xml:space="preserve">/107/2016, de fecha 29 de febrero de 2016 y </w:t>
      </w:r>
      <w:proofErr w:type="spellStart"/>
      <w:r w:rsidRPr="0053408B">
        <w:rPr>
          <w:rFonts w:ascii="ITC Avant Garde" w:hAnsi="ITC Avant Garde"/>
          <w:sz w:val="16"/>
          <w:szCs w:val="16"/>
          <w:lang w:val="es-MX"/>
        </w:rPr>
        <w:t>IFT</w:t>
      </w:r>
      <w:proofErr w:type="spellEnd"/>
      <w:r w:rsidRPr="0053408B">
        <w:rPr>
          <w:rFonts w:ascii="ITC Avant Garde" w:hAnsi="ITC Avant Garde"/>
          <w:sz w:val="16"/>
          <w:szCs w:val="16"/>
          <w:lang w:val="es-MX"/>
        </w:rPr>
        <w:t>/222//</w:t>
      </w:r>
      <w:proofErr w:type="spellStart"/>
      <w:r w:rsidRPr="0053408B">
        <w:rPr>
          <w:rFonts w:ascii="ITC Avant Garde" w:hAnsi="ITC Avant Garde"/>
          <w:sz w:val="16"/>
          <w:szCs w:val="16"/>
          <w:lang w:val="es-MX"/>
        </w:rPr>
        <w:t>UER</w:t>
      </w:r>
      <w:proofErr w:type="spellEnd"/>
      <w:r w:rsidRPr="0053408B">
        <w:rPr>
          <w:rFonts w:ascii="ITC Avant Garde" w:hAnsi="ITC Avant Garde"/>
          <w:sz w:val="16"/>
          <w:szCs w:val="16"/>
          <w:lang w:val="es-MX"/>
        </w:rPr>
        <w:t>/DG-</w:t>
      </w:r>
      <w:proofErr w:type="spellStart"/>
      <w:r w:rsidRPr="0053408B">
        <w:rPr>
          <w:rFonts w:ascii="ITC Avant Garde" w:hAnsi="ITC Avant Garde"/>
          <w:sz w:val="16"/>
          <w:szCs w:val="16"/>
          <w:lang w:val="es-MX"/>
        </w:rPr>
        <w:t>IEET</w:t>
      </w:r>
      <w:proofErr w:type="spellEnd"/>
      <w:r w:rsidRPr="0053408B">
        <w:rPr>
          <w:rFonts w:ascii="ITC Avant Garde" w:hAnsi="ITC Avant Garde"/>
          <w:sz w:val="16"/>
          <w:szCs w:val="16"/>
          <w:lang w:val="es-MX"/>
        </w:rPr>
        <w:t>/761/2018, de fecha 28 de junio de 2018.</w:t>
      </w:r>
    </w:p>
  </w:footnote>
  <w:footnote w:id="63">
    <w:p w:rsidR="00324C70" w:rsidRPr="0053408B" w:rsidRDefault="00324C70" w:rsidP="00503DB1">
      <w:pPr>
        <w:pStyle w:val="Textonotapie"/>
        <w:spacing w:before="0"/>
        <w:rPr>
          <w:rFonts w:ascii="ITC Avant Garde" w:hAnsi="ITC Avant Garde"/>
          <w:sz w:val="16"/>
          <w:szCs w:val="16"/>
          <w:lang w:val="es-MX"/>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w:t>
      </w:r>
      <w:r w:rsidRPr="0053408B">
        <w:rPr>
          <w:rFonts w:ascii="ITC Avant Garde" w:hAnsi="ITC Avant Garde"/>
          <w:sz w:val="16"/>
          <w:szCs w:val="16"/>
          <w:lang w:val="es-MX"/>
        </w:rPr>
        <w:t xml:space="preserve">Fuente: Oficio </w:t>
      </w:r>
      <w:proofErr w:type="spellStart"/>
      <w:r w:rsidRPr="0053408B">
        <w:rPr>
          <w:rFonts w:ascii="ITC Avant Garde" w:hAnsi="ITC Avant Garde"/>
          <w:sz w:val="16"/>
          <w:szCs w:val="16"/>
          <w:lang w:val="es-MX"/>
        </w:rPr>
        <w:t>IFT</w:t>
      </w:r>
      <w:proofErr w:type="spellEnd"/>
      <w:r w:rsidRPr="0053408B">
        <w:rPr>
          <w:rFonts w:ascii="ITC Avant Garde" w:hAnsi="ITC Avant Garde"/>
          <w:sz w:val="16"/>
          <w:szCs w:val="16"/>
          <w:lang w:val="es-MX"/>
        </w:rPr>
        <w:t>/222//</w:t>
      </w:r>
      <w:proofErr w:type="spellStart"/>
      <w:r w:rsidRPr="0053408B">
        <w:rPr>
          <w:rFonts w:ascii="ITC Avant Garde" w:hAnsi="ITC Avant Garde"/>
          <w:sz w:val="16"/>
          <w:szCs w:val="16"/>
          <w:lang w:val="es-MX"/>
        </w:rPr>
        <w:t>UER</w:t>
      </w:r>
      <w:proofErr w:type="spellEnd"/>
      <w:r w:rsidRPr="0053408B">
        <w:rPr>
          <w:rFonts w:ascii="ITC Avant Garde" w:hAnsi="ITC Avant Garde"/>
          <w:sz w:val="16"/>
          <w:szCs w:val="16"/>
          <w:lang w:val="es-MX"/>
        </w:rPr>
        <w:t>/DG-</w:t>
      </w:r>
      <w:proofErr w:type="spellStart"/>
      <w:r w:rsidRPr="0053408B">
        <w:rPr>
          <w:rFonts w:ascii="ITC Avant Garde" w:hAnsi="ITC Avant Garde"/>
          <w:sz w:val="16"/>
          <w:szCs w:val="16"/>
          <w:lang w:val="es-MX"/>
        </w:rPr>
        <w:t>IEET</w:t>
      </w:r>
      <w:proofErr w:type="spellEnd"/>
      <w:r w:rsidRPr="0053408B">
        <w:rPr>
          <w:rFonts w:ascii="ITC Avant Garde" w:hAnsi="ITC Avant Garde"/>
          <w:sz w:val="16"/>
          <w:szCs w:val="16"/>
          <w:lang w:val="es-MX"/>
        </w:rPr>
        <w:t>/761/2018, de fecha 28 de junio de 2018.</w:t>
      </w:r>
    </w:p>
  </w:footnote>
  <w:footnote w:id="64">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Se refiere a la disponibilidad de frecuencias en FM en el segmento 88-106 MHz (con separación de frecuencias a 400 MHz). La </w:t>
      </w:r>
      <w:proofErr w:type="spellStart"/>
      <w:r w:rsidRPr="0053408B">
        <w:rPr>
          <w:rFonts w:ascii="ITC Avant Garde" w:hAnsi="ITC Avant Garde"/>
          <w:sz w:val="16"/>
          <w:szCs w:val="16"/>
        </w:rPr>
        <w:t>UER</w:t>
      </w:r>
      <w:proofErr w:type="spellEnd"/>
      <w:r w:rsidRPr="0053408B">
        <w:rPr>
          <w:rFonts w:ascii="ITC Avant Garde" w:hAnsi="ITC Avant Garde"/>
          <w:sz w:val="16"/>
          <w:szCs w:val="16"/>
        </w:rPr>
        <w:t xml:space="preserve"> señala que la información que se reporta, se hace con base en las condiciones actuales de uso del espectro. Para efecto de disponibilidad espectral, se considera el segmento de espectro de FM de 88 a 106 MHz. Asimismo, la </w:t>
      </w:r>
      <w:proofErr w:type="spellStart"/>
      <w:r w:rsidRPr="0053408B">
        <w:rPr>
          <w:rFonts w:ascii="ITC Avant Garde" w:hAnsi="ITC Avant Garde"/>
          <w:sz w:val="16"/>
          <w:szCs w:val="16"/>
        </w:rPr>
        <w:t>UER</w:t>
      </w:r>
      <w:proofErr w:type="spellEnd"/>
      <w:r w:rsidRPr="0053408B">
        <w:rPr>
          <w:rFonts w:ascii="ITC Avant Garde" w:hAnsi="ITC Avant Garde"/>
          <w:sz w:val="16"/>
          <w:szCs w:val="16"/>
        </w:rPr>
        <w:t xml:space="preserve"> señala que existe 1 (una) frecuencia disponible en el segmento 106-108 MHz.</w:t>
      </w:r>
    </w:p>
  </w:footnote>
  <w:footnote w:id="65">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Disponibles en </w:t>
      </w:r>
      <w:r w:rsidRPr="001837AA">
        <w:rPr>
          <w:rFonts w:ascii="ITC Avant Garde" w:hAnsi="ITC Avant Garde"/>
          <w:sz w:val="16"/>
          <w:szCs w:val="16"/>
        </w:rPr>
        <w:t>http://www.ift.org.mx/espectro-radioelectrico/politicas-y-programas</w:t>
      </w:r>
      <w:r w:rsidRPr="0053408B">
        <w:rPr>
          <w:rFonts w:ascii="ITC Avant Garde" w:hAnsi="ITC Avant Garde"/>
          <w:sz w:val="16"/>
          <w:szCs w:val="16"/>
        </w:rPr>
        <w:t xml:space="preserve"> </w:t>
      </w:r>
    </w:p>
  </w:footnote>
  <w:footnote w:id="66">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En el </w:t>
      </w:r>
      <w:proofErr w:type="spellStart"/>
      <w:r w:rsidRPr="0053408B">
        <w:rPr>
          <w:rFonts w:ascii="ITC Avant Garde" w:hAnsi="ITC Avant Garde"/>
          <w:sz w:val="16"/>
          <w:szCs w:val="16"/>
        </w:rPr>
        <w:t>PABF</w:t>
      </w:r>
      <w:proofErr w:type="spellEnd"/>
      <w:r w:rsidRPr="0053408B">
        <w:rPr>
          <w:rFonts w:ascii="ITC Avant Garde" w:hAnsi="ITC Avant Garde"/>
          <w:sz w:val="16"/>
          <w:szCs w:val="16"/>
        </w:rPr>
        <w:t xml:space="preserve"> 2015 está previsto asignar 1 concesión para el Servicio de Radiodifusión Abierta Pública en Ojo de Agua, Nuevo León.</w:t>
      </w:r>
    </w:p>
  </w:footnote>
  <w:footnote w:id="67">
    <w:p w:rsidR="00324C70" w:rsidRPr="0053408B" w:rsidRDefault="00324C70" w:rsidP="00503DB1">
      <w:pPr>
        <w:pStyle w:val="Textonotapie"/>
        <w:spacing w:before="0"/>
        <w:rPr>
          <w:rFonts w:ascii="ITC Avant Garde" w:hAnsi="ITC Avant Garde"/>
          <w:sz w:val="16"/>
          <w:szCs w:val="16"/>
          <w:lang w:val="es-MX"/>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w:t>
      </w:r>
      <w:r w:rsidRPr="0053408B">
        <w:rPr>
          <w:rFonts w:ascii="ITC Avant Garde" w:hAnsi="ITC Avant Garde"/>
          <w:sz w:val="16"/>
          <w:szCs w:val="16"/>
          <w:lang w:val="es-MX"/>
        </w:rPr>
        <w:t xml:space="preserve">Fuente: Oficio </w:t>
      </w:r>
      <w:proofErr w:type="spellStart"/>
      <w:r w:rsidRPr="0053408B">
        <w:rPr>
          <w:rFonts w:ascii="ITC Avant Garde" w:hAnsi="ITC Avant Garde"/>
          <w:sz w:val="16"/>
          <w:szCs w:val="16"/>
          <w:lang w:val="es-MX"/>
        </w:rPr>
        <w:t>IFT</w:t>
      </w:r>
      <w:proofErr w:type="spellEnd"/>
      <w:r w:rsidRPr="0053408B">
        <w:rPr>
          <w:rFonts w:ascii="ITC Avant Garde" w:hAnsi="ITC Avant Garde"/>
          <w:sz w:val="16"/>
          <w:szCs w:val="16"/>
          <w:lang w:val="es-MX"/>
        </w:rPr>
        <w:t>/222//</w:t>
      </w:r>
      <w:proofErr w:type="spellStart"/>
      <w:r w:rsidRPr="0053408B">
        <w:rPr>
          <w:rFonts w:ascii="ITC Avant Garde" w:hAnsi="ITC Avant Garde"/>
          <w:sz w:val="16"/>
          <w:szCs w:val="16"/>
          <w:lang w:val="es-MX"/>
        </w:rPr>
        <w:t>UER</w:t>
      </w:r>
      <w:proofErr w:type="spellEnd"/>
      <w:r w:rsidRPr="0053408B">
        <w:rPr>
          <w:rFonts w:ascii="ITC Avant Garde" w:hAnsi="ITC Avant Garde"/>
          <w:sz w:val="16"/>
          <w:szCs w:val="16"/>
          <w:lang w:val="es-MX"/>
        </w:rPr>
        <w:t>/DG-</w:t>
      </w:r>
      <w:proofErr w:type="spellStart"/>
      <w:r w:rsidRPr="0053408B">
        <w:rPr>
          <w:rFonts w:ascii="ITC Avant Garde" w:hAnsi="ITC Avant Garde"/>
          <w:sz w:val="16"/>
          <w:szCs w:val="16"/>
          <w:lang w:val="es-MX"/>
        </w:rPr>
        <w:t>IEET</w:t>
      </w:r>
      <w:proofErr w:type="spellEnd"/>
      <w:r w:rsidRPr="0053408B">
        <w:rPr>
          <w:rFonts w:ascii="ITC Avant Garde" w:hAnsi="ITC Avant Garde"/>
          <w:sz w:val="16"/>
          <w:szCs w:val="16"/>
          <w:lang w:val="es-MX"/>
        </w:rPr>
        <w:t>/761/2018, de fecha 28 de junio de 2018.</w:t>
      </w:r>
    </w:p>
  </w:footnote>
  <w:footnote w:id="68">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El artículo 66 de la </w:t>
      </w:r>
      <w:proofErr w:type="spellStart"/>
      <w:r w:rsidRPr="0053408B">
        <w:rPr>
          <w:rFonts w:ascii="ITC Avant Garde" w:hAnsi="ITC Avant Garde"/>
          <w:sz w:val="16"/>
          <w:szCs w:val="16"/>
        </w:rPr>
        <w:t>LFTR</w:t>
      </w:r>
      <w:proofErr w:type="spellEnd"/>
      <w:r w:rsidRPr="0053408B">
        <w:rPr>
          <w:rFonts w:ascii="ITC Avant Garde" w:hAnsi="ITC Avant Garde"/>
          <w:sz w:val="16"/>
          <w:szCs w:val="16"/>
        </w:rPr>
        <w:t xml:space="preserve"> establece que se requerirá concesión única para prestar todo tipo de servicios públicos de telecomunicaciones y radiodifusión, las cuales, conforme al artículo 72 de la </w:t>
      </w:r>
      <w:proofErr w:type="spellStart"/>
      <w:r w:rsidRPr="0053408B">
        <w:rPr>
          <w:rFonts w:ascii="ITC Avant Garde" w:hAnsi="ITC Avant Garde"/>
          <w:sz w:val="16"/>
          <w:szCs w:val="16"/>
        </w:rPr>
        <w:t>LFTR</w:t>
      </w:r>
      <w:proofErr w:type="spellEnd"/>
      <w:r w:rsidRPr="0053408B">
        <w:rPr>
          <w:rFonts w:ascii="ITC Avant Garde" w:hAnsi="ITC Avant Garde"/>
          <w:sz w:val="16"/>
          <w:szCs w:val="16"/>
        </w:rPr>
        <w:t xml:space="preserve">, se otorgarán por un plazo de hasta 30 años. El 75 de la </w:t>
      </w:r>
      <w:proofErr w:type="spellStart"/>
      <w:r w:rsidRPr="0053408B">
        <w:rPr>
          <w:rFonts w:ascii="ITC Avant Garde" w:hAnsi="ITC Avant Garde"/>
          <w:sz w:val="16"/>
          <w:szCs w:val="16"/>
        </w:rPr>
        <w:t>LFTR</w:t>
      </w:r>
      <w:proofErr w:type="spellEnd"/>
      <w:r w:rsidRPr="0053408B">
        <w:rPr>
          <w:rFonts w:ascii="ITC Avant Garde" w:hAnsi="ITC Avant Garde"/>
          <w:sz w:val="16"/>
          <w:szCs w:val="16"/>
        </w:rPr>
        <w:t xml:space="preserve"> establece que las concesiones de espectro para uso determinado se otorgarán por hasta 20 años, mientras que el artículo 83 de la </w:t>
      </w:r>
      <w:proofErr w:type="spellStart"/>
      <w:r w:rsidRPr="0053408B">
        <w:rPr>
          <w:rFonts w:ascii="ITC Avant Garde" w:hAnsi="ITC Avant Garde"/>
          <w:sz w:val="16"/>
          <w:szCs w:val="16"/>
        </w:rPr>
        <w:t>LFTR</w:t>
      </w:r>
      <w:proofErr w:type="spellEnd"/>
      <w:r w:rsidRPr="0053408B">
        <w:rPr>
          <w:rFonts w:ascii="ITC Avant Garde" w:hAnsi="ITC Avant Garde"/>
          <w:sz w:val="16"/>
          <w:szCs w:val="16"/>
        </w:rPr>
        <w:t xml:space="preserve"> establece que las concesiones de espectro para uso público o social se asignarán por un plazo de hasta 15 años.</w:t>
      </w:r>
    </w:p>
  </w:footnote>
  <w:footnote w:id="69">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w:t>
      </w:r>
      <w:r w:rsidRPr="0053408B">
        <w:rPr>
          <w:rFonts w:ascii="ITC Avant Garde" w:eastAsia="Times New Roman" w:hAnsi="ITC Avant Garde"/>
          <w:bCs/>
          <w:sz w:val="16"/>
          <w:szCs w:val="16"/>
        </w:rPr>
        <w:t>Fuente: Foja 392 del Expediente.</w:t>
      </w:r>
    </w:p>
  </w:footnote>
  <w:footnote w:id="70">
    <w:p w:rsidR="00324C70" w:rsidRPr="0053408B" w:rsidRDefault="00324C70" w:rsidP="00503DB1">
      <w:pPr>
        <w:pStyle w:val="Textonotapie"/>
        <w:spacing w:before="0"/>
        <w:rPr>
          <w:rFonts w:ascii="ITC Avant Garde" w:hAnsi="ITC Avant Garde"/>
          <w:sz w:val="16"/>
          <w:szCs w:val="16"/>
          <w:lang w:val="es-MX"/>
        </w:rPr>
      </w:pPr>
      <w:r w:rsidRPr="0053408B">
        <w:rPr>
          <w:rStyle w:val="Refdenotaalpie"/>
          <w:rFonts w:ascii="ITC Avant Garde" w:hAnsi="ITC Avant Garde"/>
          <w:sz w:val="16"/>
          <w:szCs w:val="16"/>
        </w:rPr>
        <w:footnoteRef/>
      </w:r>
      <w:r w:rsidRPr="0053408B">
        <w:rPr>
          <w:rFonts w:ascii="ITC Avant Garde" w:hAnsi="ITC Avant Garde"/>
          <w:sz w:val="16"/>
          <w:szCs w:val="16"/>
          <w:lang w:val="es-MX"/>
        </w:rPr>
        <w:t xml:space="preserve"> Fuente: Fojas 31-34 y 443-448 del Expediente.</w:t>
      </w:r>
    </w:p>
  </w:footnote>
  <w:footnote w:id="71">
    <w:p w:rsidR="00324C70" w:rsidRPr="0053408B" w:rsidRDefault="00324C70" w:rsidP="00503DB1">
      <w:pPr>
        <w:pStyle w:val="Textonotapie"/>
        <w:spacing w:before="0"/>
        <w:rPr>
          <w:rFonts w:ascii="ITC Avant Garde" w:hAnsi="ITC Avant Garde"/>
          <w:sz w:val="16"/>
          <w:szCs w:val="16"/>
          <w:lang w:val="es-MX"/>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w:t>
      </w:r>
      <w:r w:rsidRPr="0053408B">
        <w:rPr>
          <w:rFonts w:ascii="ITC Avant Garde" w:hAnsi="ITC Avant Garde"/>
          <w:sz w:val="16"/>
          <w:szCs w:val="16"/>
          <w:lang w:val="es-MX"/>
        </w:rPr>
        <w:t xml:space="preserve">Las Partes señalaron que de enero a abril de 2018 la estación </w:t>
      </w:r>
      <w:proofErr w:type="spellStart"/>
      <w:r w:rsidRPr="0053408B">
        <w:rPr>
          <w:rFonts w:ascii="ITC Avant Garde" w:hAnsi="ITC Avant Garde"/>
          <w:sz w:val="16"/>
          <w:szCs w:val="16"/>
          <w:lang w:val="es-MX"/>
        </w:rPr>
        <w:t>XHDD</w:t>
      </w:r>
      <w:proofErr w:type="spellEnd"/>
      <w:r w:rsidRPr="0053408B">
        <w:rPr>
          <w:rFonts w:ascii="ITC Avant Garde" w:hAnsi="ITC Avant Garde"/>
          <w:sz w:val="16"/>
          <w:szCs w:val="16"/>
          <w:lang w:val="es-MX"/>
        </w:rPr>
        <w:t xml:space="preserve">-FM registró 44 (cuarenta y cuatro) clientes. Fuente: Fojas 414-415 del Expediente. </w:t>
      </w:r>
    </w:p>
  </w:footnote>
  <w:footnote w:id="72">
    <w:p w:rsidR="00324C70" w:rsidRPr="0053408B" w:rsidRDefault="00324C70" w:rsidP="00503DB1">
      <w:pPr>
        <w:pStyle w:val="Textonotapie"/>
        <w:spacing w:before="0"/>
        <w:rPr>
          <w:rFonts w:ascii="ITC Avant Garde" w:hAnsi="ITC Avant Garde"/>
          <w:sz w:val="16"/>
          <w:szCs w:val="16"/>
          <w:lang w:val="es-MX"/>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w:t>
      </w:r>
      <w:r w:rsidRPr="0053408B">
        <w:rPr>
          <w:rFonts w:ascii="ITC Avant Garde" w:hAnsi="ITC Avant Garde"/>
          <w:sz w:val="16"/>
          <w:szCs w:val="16"/>
          <w:lang w:val="es-MX"/>
        </w:rPr>
        <w:t>Fuente: Fojas 5-6 y 67-67 del Expediente.</w:t>
      </w:r>
    </w:p>
  </w:footnote>
  <w:footnote w:id="73">
    <w:p w:rsidR="00324C70" w:rsidRPr="0053408B" w:rsidRDefault="00324C70" w:rsidP="00503DB1">
      <w:pPr>
        <w:pStyle w:val="Textonotapie"/>
        <w:spacing w:before="0"/>
        <w:rPr>
          <w:rFonts w:ascii="ITC Avant Garde" w:hAnsi="ITC Avant Garde"/>
          <w:sz w:val="16"/>
          <w:szCs w:val="16"/>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Fuente: Fojas 5-6 y 389 del Expediente.</w:t>
      </w:r>
    </w:p>
  </w:footnote>
  <w:footnote w:id="74">
    <w:p w:rsidR="00324C70" w:rsidRPr="0053408B" w:rsidRDefault="00324C70" w:rsidP="00503DB1">
      <w:pPr>
        <w:pStyle w:val="Textonotapie"/>
        <w:spacing w:before="0"/>
        <w:rPr>
          <w:rFonts w:ascii="ITC Avant Garde" w:hAnsi="ITC Avant Garde"/>
          <w:sz w:val="16"/>
          <w:szCs w:val="16"/>
          <w:lang w:val="es-MX"/>
        </w:rPr>
      </w:pPr>
      <w:r w:rsidRPr="0053408B">
        <w:rPr>
          <w:rStyle w:val="Refdenotaalpie"/>
          <w:rFonts w:ascii="ITC Avant Garde" w:hAnsi="ITC Avant Garde"/>
          <w:sz w:val="16"/>
          <w:szCs w:val="16"/>
        </w:rPr>
        <w:footnoteRef/>
      </w:r>
      <w:r w:rsidRPr="0053408B">
        <w:rPr>
          <w:rFonts w:ascii="ITC Avant Garde" w:hAnsi="ITC Avant Garde"/>
          <w:sz w:val="16"/>
          <w:szCs w:val="16"/>
        </w:rPr>
        <w:t xml:space="preserve"> </w:t>
      </w:r>
      <w:r w:rsidRPr="0053408B">
        <w:rPr>
          <w:rFonts w:ascii="ITC Avant Garde" w:hAnsi="ITC Avant Garde"/>
          <w:sz w:val="16"/>
          <w:szCs w:val="16"/>
          <w:lang w:val="es-MX"/>
        </w:rPr>
        <w:t xml:space="preserve">Ver, por ejemplo, resoluciones dentro de los expedientes </w:t>
      </w:r>
      <w:proofErr w:type="spellStart"/>
      <w:r w:rsidRPr="0053408B">
        <w:rPr>
          <w:rFonts w:ascii="ITC Avant Garde" w:hAnsi="ITC Avant Garde"/>
          <w:sz w:val="16"/>
          <w:szCs w:val="16"/>
          <w:lang w:val="es-MX"/>
        </w:rPr>
        <w:t>UCE</w:t>
      </w:r>
      <w:proofErr w:type="spellEnd"/>
      <w:r w:rsidRPr="0053408B">
        <w:rPr>
          <w:rFonts w:ascii="ITC Avant Garde" w:hAnsi="ITC Avant Garde"/>
          <w:sz w:val="16"/>
          <w:szCs w:val="16"/>
          <w:lang w:val="es-MX"/>
        </w:rPr>
        <w:t>/</w:t>
      </w:r>
      <w:proofErr w:type="spellStart"/>
      <w:r w:rsidRPr="0053408B">
        <w:rPr>
          <w:rFonts w:ascii="ITC Avant Garde" w:hAnsi="ITC Avant Garde"/>
          <w:sz w:val="16"/>
          <w:szCs w:val="16"/>
          <w:lang w:val="es-MX"/>
        </w:rPr>
        <w:t>CNC</w:t>
      </w:r>
      <w:proofErr w:type="spellEnd"/>
      <w:r w:rsidRPr="0053408B">
        <w:rPr>
          <w:rFonts w:ascii="ITC Avant Garde" w:hAnsi="ITC Avant Garde"/>
          <w:sz w:val="16"/>
          <w:szCs w:val="16"/>
          <w:lang w:val="es-MX"/>
        </w:rPr>
        <w:t xml:space="preserve">-004-2014, disponible en </w:t>
      </w:r>
      <w:r w:rsidRPr="001837AA">
        <w:rPr>
          <w:rFonts w:ascii="ITC Avant Garde" w:hAnsi="ITC Avant Garde"/>
          <w:sz w:val="16"/>
          <w:szCs w:val="16"/>
          <w:lang w:val="es-MX"/>
        </w:rPr>
        <w:t>http://apps.ift.org.mx/publicdata/P_IFT_011014_332_Version_Publica_UCE.pdf</w:t>
      </w:r>
      <w:r w:rsidRPr="0053408B">
        <w:rPr>
          <w:rFonts w:ascii="ITC Avant Garde" w:hAnsi="ITC Avant Garde"/>
          <w:sz w:val="16"/>
          <w:szCs w:val="16"/>
          <w:lang w:val="es-MX"/>
        </w:rPr>
        <w:t xml:space="preserve">; y </w:t>
      </w:r>
      <w:proofErr w:type="spellStart"/>
      <w:r w:rsidRPr="0053408B">
        <w:rPr>
          <w:rFonts w:ascii="ITC Avant Garde" w:hAnsi="ITC Avant Garde"/>
          <w:sz w:val="16"/>
          <w:szCs w:val="16"/>
          <w:lang w:val="es-MX"/>
        </w:rPr>
        <w:t>UCE</w:t>
      </w:r>
      <w:proofErr w:type="spellEnd"/>
      <w:r w:rsidRPr="0053408B">
        <w:rPr>
          <w:rFonts w:ascii="ITC Avant Garde" w:hAnsi="ITC Avant Garde"/>
          <w:sz w:val="16"/>
          <w:szCs w:val="16"/>
          <w:lang w:val="es-MX"/>
        </w:rPr>
        <w:t>/</w:t>
      </w:r>
      <w:proofErr w:type="spellStart"/>
      <w:r w:rsidRPr="0053408B">
        <w:rPr>
          <w:rFonts w:ascii="ITC Avant Garde" w:hAnsi="ITC Avant Garde"/>
          <w:sz w:val="16"/>
          <w:szCs w:val="16"/>
          <w:lang w:val="es-MX"/>
        </w:rPr>
        <w:t>CNC</w:t>
      </w:r>
      <w:proofErr w:type="spellEnd"/>
      <w:r w:rsidRPr="0053408B">
        <w:rPr>
          <w:rFonts w:ascii="ITC Avant Garde" w:hAnsi="ITC Avant Garde"/>
          <w:sz w:val="16"/>
          <w:szCs w:val="16"/>
          <w:lang w:val="es-MX"/>
        </w:rPr>
        <w:t xml:space="preserve">-003-2015, disponible en </w:t>
      </w:r>
      <w:r w:rsidRPr="001837AA">
        <w:rPr>
          <w:rFonts w:ascii="ITC Avant Garde" w:hAnsi="ITC Avant Garde"/>
          <w:sz w:val="16"/>
          <w:szCs w:val="16"/>
          <w:lang w:val="es-MX"/>
        </w:rPr>
        <w:t>http://www.ift.org.mx/sites/default/files/conocenos/pleno/sesiones/acuerdoliga/versionpublicapiftext1902167_1.pdf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C70" w:rsidRDefault="00324C70" w:rsidP="007A0A40">
    <w:pPr>
      <w:pStyle w:val="estilo30"/>
      <w:spacing w:before="0" w:beforeAutospacing="0" w:after="0" w:afterAutospacing="0"/>
      <w:ind w:right="-1"/>
      <w:jc w:val="right"/>
      <w:rPr>
        <w:rFonts w:ascii="ITC Avant Garde" w:hAnsi="ITC Avant Gar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B3" w:rsidRPr="00DE77B3" w:rsidRDefault="00DE77B3" w:rsidP="00DE77B3">
    <w:pPr>
      <w:spacing w:before="0" w:after="0" w:line="240" w:lineRule="auto"/>
      <w:rPr>
        <w:rFonts w:ascii="ITC Avant Garde Demi" w:hAnsi="ITC Avant Garde Demi"/>
        <w:b/>
        <w:color w:val="0000FF"/>
        <w:sz w:val="20"/>
        <w:szCs w:val="20"/>
        <w:lang w:val="es-MX" w:eastAsia="en-US"/>
      </w:rPr>
    </w:pPr>
    <w:r w:rsidRPr="006E7A37">
      <w:rPr>
        <w:rFonts w:ascii="ITC Avant Garde Demi" w:hAnsi="ITC Avant Garde Demi"/>
        <w:b/>
        <w:color w:val="0000FF"/>
        <w:sz w:val="20"/>
        <w:szCs w:val="20"/>
        <w:lang w:val="es-MX" w:eastAsia="en-US"/>
      </w:rPr>
      <w:t>Los textos que aparecen testados con negro corresponden a información considerada como confidencial, de conformidad con los artículos 113 de la Ley Federal de Transparencia y Acceso a la Información Pública; el artículo 116 de la Ley General de Transparencia y Acceso a la Información Pública; así como los lineamientos Trigésimo Octavo y Cuadragésimo de los Lineamientos generales en materia de clasificación y desclasificación de la información, así como para la ela</w:t>
    </w:r>
    <w:r>
      <w:rPr>
        <w:rFonts w:ascii="ITC Avant Garde Demi" w:hAnsi="ITC Avant Garde Demi"/>
        <w:b/>
        <w:color w:val="0000FF"/>
        <w:sz w:val="20"/>
        <w:szCs w:val="20"/>
        <w:lang w:val="es-MX" w:eastAsia="en-US"/>
      </w:rPr>
      <w:t>boración de versiones públicas.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5E9AE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88097E"/>
    <w:multiLevelType w:val="hybridMultilevel"/>
    <w:tmpl w:val="D6EA8F1C"/>
    <w:lvl w:ilvl="0" w:tplc="89922788">
      <w:start w:val="1"/>
      <w:numFmt w:val="decimal"/>
      <w:lvlText w:val="5.4.4.7.%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0B0D40"/>
    <w:multiLevelType w:val="hybridMultilevel"/>
    <w:tmpl w:val="B7D6333A"/>
    <w:lvl w:ilvl="0" w:tplc="AE00CACA">
      <w:start w:val="1"/>
      <w:numFmt w:val="lowerRoman"/>
      <w:pStyle w:val="Prraforproyecto"/>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EA6393"/>
    <w:multiLevelType w:val="hybridMultilevel"/>
    <w:tmpl w:val="9A1EE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C46A11"/>
    <w:multiLevelType w:val="hybridMultilevel"/>
    <w:tmpl w:val="BC602AB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0A615B0D"/>
    <w:multiLevelType w:val="multilevel"/>
    <w:tmpl w:val="B93E380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171C68"/>
    <w:multiLevelType w:val="hybridMultilevel"/>
    <w:tmpl w:val="3754F0D8"/>
    <w:lvl w:ilvl="0" w:tplc="7708FE60">
      <w:start w:val="2"/>
      <w:numFmt w:val="bullet"/>
      <w:lvlText w:val="-"/>
      <w:lvlJc w:val="left"/>
      <w:pPr>
        <w:ind w:left="72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D109BB"/>
    <w:multiLevelType w:val="hybridMultilevel"/>
    <w:tmpl w:val="2758E92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DE403C"/>
    <w:multiLevelType w:val="hybridMultilevel"/>
    <w:tmpl w:val="E13C63E8"/>
    <w:lvl w:ilvl="0" w:tplc="29E00024">
      <w:start w:val="1"/>
      <w:numFmt w:val="decimal"/>
      <w:lvlText w:val="5.4.4.5.%1."/>
      <w:lvlJc w:val="left"/>
      <w:pPr>
        <w:ind w:left="720" w:hanging="360"/>
      </w:pPr>
      <w:rPr>
        <w:rFonts w:ascii="ITC Avant Garde" w:hAnsi="ITC Avant Garde"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4159B6"/>
    <w:multiLevelType w:val="hybridMultilevel"/>
    <w:tmpl w:val="8112067C"/>
    <w:lvl w:ilvl="0" w:tplc="D5D60664">
      <w:start w:val="1"/>
      <w:numFmt w:val="low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0FF60403"/>
    <w:multiLevelType w:val="hybridMultilevel"/>
    <w:tmpl w:val="1B82CBA2"/>
    <w:lvl w:ilvl="0" w:tplc="AA82DDE4">
      <w:start w:val="5"/>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0DD2851"/>
    <w:multiLevelType w:val="hybridMultilevel"/>
    <w:tmpl w:val="FCB6775E"/>
    <w:lvl w:ilvl="0" w:tplc="7F94E1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891A92"/>
    <w:multiLevelType w:val="hybridMultilevel"/>
    <w:tmpl w:val="531E0F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29718B"/>
    <w:multiLevelType w:val="hybridMultilevel"/>
    <w:tmpl w:val="2E5036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26346A"/>
    <w:multiLevelType w:val="hybridMultilevel"/>
    <w:tmpl w:val="54281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642CE9"/>
    <w:multiLevelType w:val="hybridMultilevel"/>
    <w:tmpl w:val="67E42E7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741BA4"/>
    <w:multiLevelType w:val="hybridMultilevel"/>
    <w:tmpl w:val="BF1645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576BC2"/>
    <w:multiLevelType w:val="hybridMultilevel"/>
    <w:tmpl w:val="2C5C2298"/>
    <w:lvl w:ilvl="0" w:tplc="2FC88AE6">
      <w:start w:val="26"/>
      <w:numFmt w:val="bullet"/>
      <w:lvlText w:val=""/>
      <w:lvlJc w:val="left"/>
      <w:pPr>
        <w:ind w:left="360" w:hanging="360"/>
      </w:pPr>
      <w:rPr>
        <w:rFonts w:ascii="Symbol" w:eastAsiaTheme="minorHAnsi" w:hAnsi="Symbol"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27B46C33"/>
    <w:multiLevelType w:val="hybridMultilevel"/>
    <w:tmpl w:val="7F06A21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8C429FA"/>
    <w:multiLevelType w:val="hybridMultilevel"/>
    <w:tmpl w:val="AAE0C052"/>
    <w:lvl w:ilvl="0" w:tplc="5C3E4C3A">
      <w:start w:val="1"/>
      <w:numFmt w:val="lowerLetter"/>
      <w:lvlText w:val="%1."/>
      <w:lvlJc w:val="left"/>
      <w:pPr>
        <w:ind w:left="927" w:hanging="360"/>
      </w:pPr>
      <w:rPr>
        <w:rFonts w:hint="default"/>
        <w:i/>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292656D8"/>
    <w:multiLevelType w:val="hybridMultilevel"/>
    <w:tmpl w:val="8112067C"/>
    <w:lvl w:ilvl="0" w:tplc="D5D60664">
      <w:start w:val="1"/>
      <w:numFmt w:val="lowerRoman"/>
      <w:lvlText w:val="%1."/>
      <w:lvlJc w:val="left"/>
      <w:pPr>
        <w:ind w:left="2780" w:hanging="720"/>
      </w:pPr>
      <w:rPr>
        <w:rFonts w:hint="default"/>
      </w:rPr>
    </w:lvl>
    <w:lvl w:ilvl="1" w:tplc="080A0019" w:tentative="1">
      <w:start w:val="1"/>
      <w:numFmt w:val="lowerLetter"/>
      <w:lvlText w:val="%2."/>
      <w:lvlJc w:val="left"/>
      <w:pPr>
        <w:ind w:left="3140" w:hanging="360"/>
      </w:pPr>
    </w:lvl>
    <w:lvl w:ilvl="2" w:tplc="080A001B" w:tentative="1">
      <w:start w:val="1"/>
      <w:numFmt w:val="lowerRoman"/>
      <w:lvlText w:val="%3."/>
      <w:lvlJc w:val="right"/>
      <w:pPr>
        <w:ind w:left="3860" w:hanging="180"/>
      </w:pPr>
    </w:lvl>
    <w:lvl w:ilvl="3" w:tplc="080A000F" w:tentative="1">
      <w:start w:val="1"/>
      <w:numFmt w:val="decimal"/>
      <w:lvlText w:val="%4."/>
      <w:lvlJc w:val="left"/>
      <w:pPr>
        <w:ind w:left="4580" w:hanging="360"/>
      </w:pPr>
    </w:lvl>
    <w:lvl w:ilvl="4" w:tplc="080A0019" w:tentative="1">
      <w:start w:val="1"/>
      <w:numFmt w:val="lowerLetter"/>
      <w:lvlText w:val="%5."/>
      <w:lvlJc w:val="left"/>
      <w:pPr>
        <w:ind w:left="5300" w:hanging="360"/>
      </w:pPr>
    </w:lvl>
    <w:lvl w:ilvl="5" w:tplc="080A001B" w:tentative="1">
      <w:start w:val="1"/>
      <w:numFmt w:val="lowerRoman"/>
      <w:lvlText w:val="%6."/>
      <w:lvlJc w:val="right"/>
      <w:pPr>
        <w:ind w:left="6020" w:hanging="180"/>
      </w:pPr>
    </w:lvl>
    <w:lvl w:ilvl="6" w:tplc="080A000F" w:tentative="1">
      <w:start w:val="1"/>
      <w:numFmt w:val="decimal"/>
      <w:lvlText w:val="%7."/>
      <w:lvlJc w:val="left"/>
      <w:pPr>
        <w:ind w:left="6740" w:hanging="360"/>
      </w:pPr>
    </w:lvl>
    <w:lvl w:ilvl="7" w:tplc="080A0019" w:tentative="1">
      <w:start w:val="1"/>
      <w:numFmt w:val="lowerLetter"/>
      <w:lvlText w:val="%8."/>
      <w:lvlJc w:val="left"/>
      <w:pPr>
        <w:ind w:left="7460" w:hanging="360"/>
      </w:pPr>
    </w:lvl>
    <w:lvl w:ilvl="8" w:tplc="080A001B" w:tentative="1">
      <w:start w:val="1"/>
      <w:numFmt w:val="lowerRoman"/>
      <w:lvlText w:val="%9."/>
      <w:lvlJc w:val="right"/>
      <w:pPr>
        <w:ind w:left="8180" w:hanging="180"/>
      </w:pPr>
    </w:lvl>
  </w:abstractNum>
  <w:abstractNum w:abstractNumId="21" w15:restartNumberingAfterBreak="0">
    <w:nsid w:val="2A012C12"/>
    <w:multiLevelType w:val="hybridMultilevel"/>
    <w:tmpl w:val="C226BCE4"/>
    <w:lvl w:ilvl="0" w:tplc="000E5B7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DE72DA8"/>
    <w:multiLevelType w:val="multilevel"/>
    <w:tmpl w:val="01EC0E9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4AF63CE"/>
    <w:multiLevelType w:val="hybridMultilevel"/>
    <w:tmpl w:val="7570D840"/>
    <w:lvl w:ilvl="0" w:tplc="416AD7B2">
      <w:start w:val="1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6602DF8"/>
    <w:multiLevelType w:val="hybridMultilevel"/>
    <w:tmpl w:val="9B6635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8317DE3"/>
    <w:multiLevelType w:val="hybridMultilevel"/>
    <w:tmpl w:val="80DE3CD4"/>
    <w:lvl w:ilvl="0" w:tplc="1E865336">
      <w:start w:val="1"/>
      <w:numFmt w:val="decimal"/>
      <w:pStyle w:val="Figura"/>
      <w:suff w:val="space"/>
      <w:lvlText w:val="Figura %1. "/>
      <w:lvlJc w:val="left"/>
      <w:pPr>
        <w:ind w:left="7808" w:hanging="1854"/>
      </w:pPr>
      <w:rPr>
        <w:rFonts w:ascii="ITC Avant Garde" w:hAnsi="ITC Avant Garde"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A0019" w:tentative="1">
      <w:start w:val="1"/>
      <w:numFmt w:val="lowerLetter"/>
      <w:lvlText w:val="%2."/>
      <w:lvlJc w:val="left"/>
      <w:pPr>
        <w:ind w:left="8528" w:hanging="360"/>
      </w:pPr>
    </w:lvl>
    <w:lvl w:ilvl="2" w:tplc="080A001B" w:tentative="1">
      <w:start w:val="1"/>
      <w:numFmt w:val="lowerRoman"/>
      <w:lvlText w:val="%3."/>
      <w:lvlJc w:val="right"/>
      <w:pPr>
        <w:ind w:left="9248" w:hanging="180"/>
      </w:pPr>
    </w:lvl>
    <w:lvl w:ilvl="3" w:tplc="080A000F" w:tentative="1">
      <w:start w:val="1"/>
      <w:numFmt w:val="decimal"/>
      <w:lvlText w:val="%4."/>
      <w:lvlJc w:val="left"/>
      <w:pPr>
        <w:ind w:left="9968" w:hanging="360"/>
      </w:pPr>
    </w:lvl>
    <w:lvl w:ilvl="4" w:tplc="080A0019" w:tentative="1">
      <w:start w:val="1"/>
      <w:numFmt w:val="lowerLetter"/>
      <w:lvlText w:val="%5."/>
      <w:lvlJc w:val="left"/>
      <w:pPr>
        <w:ind w:left="10688" w:hanging="360"/>
      </w:pPr>
    </w:lvl>
    <w:lvl w:ilvl="5" w:tplc="080A001B" w:tentative="1">
      <w:start w:val="1"/>
      <w:numFmt w:val="lowerRoman"/>
      <w:lvlText w:val="%6."/>
      <w:lvlJc w:val="right"/>
      <w:pPr>
        <w:ind w:left="11408" w:hanging="180"/>
      </w:pPr>
    </w:lvl>
    <w:lvl w:ilvl="6" w:tplc="080A000F" w:tentative="1">
      <w:start w:val="1"/>
      <w:numFmt w:val="decimal"/>
      <w:lvlText w:val="%7."/>
      <w:lvlJc w:val="left"/>
      <w:pPr>
        <w:ind w:left="12128" w:hanging="360"/>
      </w:pPr>
    </w:lvl>
    <w:lvl w:ilvl="7" w:tplc="080A0019" w:tentative="1">
      <w:start w:val="1"/>
      <w:numFmt w:val="lowerLetter"/>
      <w:lvlText w:val="%8."/>
      <w:lvlJc w:val="left"/>
      <w:pPr>
        <w:ind w:left="12848" w:hanging="360"/>
      </w:pPr>
    </w:lvl>
    <w:lvl w:ilvl="8" w:tplc="080A001B" w:tentative="1">
      <w:start w:val="1"/>
      <w:numFmt w:val="lowerRoman"/>
      <w:lvlText w:val="%9."/>
      <w:lvlJc w:val="right"/>
      <w:pPr>
        <w:ind w:left="13568" w:hanging="180"/>
      </w:pPr>
    </w:lvl>
  </w:abstractNum>
  <w:abstractNum w:abstractNumId="26" w15:restartNumberingAfterBreak="0">
    <w:nsid w:val="3D23366B"/>
    <w:multiLevelType w:val="hybridMultilevel"/>
    <w:tmpl w:val="8112067C"/>
    <w:lvl w:ilvl="0" w:tplc="D5D60664">
      <w:start w:val="1"/>
      <w:numFmt w:val="lowerRoman"/>
      <w:lvlText w:val="%1."/>
      <w:lvlJc w:val="left"/>
      <w:pPr>
        <w:ind w:left="2780" w:hanging="720"/>
      </w:pPr>
      <w:rPr>
        <w:rFonts w:hint="default"/>
      </w:rPr>
    </w:lvl>
    <w:lvl w:ilvl="1" w:tplc="080A0019" w:tentative="1">
      <w:start w:val="1"/>
      <w:numFmt w:val="lowerLetter"/>
      <w:lvlText w:val="%2."/>
      <w:lvlJc w:val="left"/>
      <w:pPr>
        <w:ind w:left="3140" w:hanging="360"/>
      </w:pPr>
    </w:lvl>
    <w:lvl w:ilvl="2" w:tplc="080A001B" w:tentative="1">
      <w:start w:val="1"/>
      <w:numFmt w:val="lowerRoman"/>
      <w:lvlText w:val="%3."/>
      <w:lvlJc w:val="right"/>
      <w:pPr>
        <w:ind w:left="3860" w:hanging="180"/>
      </w:pPr>
    </w:lvl>
    <w:lvl w:ilvl="3" w:tplc="080A000F" w:tentative="1">
      <w:start w:val="1"/>
      <w:numFmt w:val="decimal"/>
      <w:lvlText w:val="%4."/>
      <w:lvlJc w:val="left"/>
      <w:pPr>
        <w:ind w:left="4580" w:hanging="360"/>
      </w:pPr>
    </w:lvl>
    <w:lvl w:ilvl="4" w:tplc="080A0019" w:tentative="1">
      <w:start w:val="1"/>
      <w:numFmt w:val="lowerLetter"/>
      <w:lvlText w:val="%5."/>
      <w:lvlJc w:val="left"/>
      <w:pPr>
        <w:ind w:left="5300" w:hanging="360"/>
      </w:pPr>
    </w:lvl>
    <w:lvl w:ilvl="5" w:tplc="080A001B" w:tentative="1">
      <w:start w:val="1"/>
      <w:numFmt w:val="lowerRoman"/>
      <w:lvlText w:val="%6."/>
      <w:lvlJc w:val="right"/>
      <w:pPr>
        <w:ind w:left="6020" w:hanging="180"/>
      </w:pPr>
    </w:lvl>
    <w:lvl w:ilvl="6" w:tplc="080A000F" w:tentative="1">
      <w:start w:val="1"/>
      <w:numFmt w:val="decimal"/>
      <w:lvlText w:val="%7."/>
      <w:lvlJc w:val="left"/>
      <w:pPr>
        <w:ind w:left="6740" w:hanging="360"/>
      </w:pPr>
    </w:lvl>
    <w:lvl w:ilvl="7" w:tplc="080A0019" w:tentative="1">
      <w:start w:val="1"/>
      <w:numFmt w:val="lowerLetter"/>
      <w:lvlText w:val="%8."/>
      <w:lvlJc w:val="left"/>
      <w:pPr>
        <w:ind w:left="7460" w:hanging="360"/>
      </w:pPr>
    </w:lvl>
    <w:lvl w:ilvl="8" w:tplc="080A001B" w:tentative="1">
      <w:start w:val="1"/>
      <w:numFmt w:val="lowerRoman"/>
      <w:lvlText w:val="%9."/>
      <w:lvlJc w:val="right"/>
      <w:pPr>
        <w:ind w:left="8180" w:hanging="180"/>
      </w:pPr>
    </w:lvl>
  </w:abstractNum>
  <w:abstractNum w:abstractNumId="27" w15:restartNumberingAfterBreak="0">
    <w:nsid w:val="46125B45"/>
    <w:multiLevelType w:val="hybridMultilevel"/>
    <w:tmpl w:val="EF22B41A"/>
    <w:lvl w:ilvl="0" w:tplc="D7FC9D38">
      <w:start w:val="1"/>
      <w:numFmt w:val="ordinalText"/>
      <w:suff w:val="space"/>
      <w:lvlText w:val="%1.-"/>
      <w:lvlJc w:val="left"/>
      <w:pPr>
        <w:ind w:left="1560" w:firstLine="0"/>
      </w:pPr>
      <w:rPr>
        <w:rFonts w:ascii="ITC Avant Garde" w:hAnsi="ITC Avant Garde" w:hint="default"/>
        <w:b/>
        <w:i w:val="0"/>
        <w:sz w:val="22"/>
      </w:rPr>
    </w:lvl>
    <w:lvl w:ilvl="1" w:tplc="080A0019" w:tentative="1">
      <w:start w:val="1"/>
      <w:numFmt w:val="lowerLetter"/>
      <w:lvlText w:val="%2."/>
      <w:lvlJc w:val="left"/>
      <w:pPr>
        <w:ind w:left="600" w:hanging="360"/>
      </w:pPr>
    </w:lvl>
    <w:lvl w:ilvl="2" w:tplc="080A001B" w:tentative="1">
      <w:start w:val="1"/>
      <w:numFmt w:val="lowerRoman"/>
      <w:lvlText w:val="%3."/>
      <w:lvlJc w:val="right"/>
      <w:pPr>
        <w:ind w:left="1320" w:hanging="180"/>
      </w:pPr>
    </w:lvl>
    <w:lvl w:ilvl="3" w:tplc="080A000F" w:tentative="1">
      <w:start w:val="1"/>
      <w:numFmt w:val="decimal"/>
      <w:lvlText w:val="%4."/>
      <w:lvlJc w:val="left"/>
      <w:pPr>
        <w:ind w:left="2040" w:hanging="360"/>
      </w:pPr>
    </w:lvl>
    <w:lvl w:ilvl="4" w:tplc="080A0019" w:tentative="1">
      <w:start w:val="1"/>
      <w:numFmt w:val="lowerLetter"/>
      <w:lvlText w:val="%5."/>
      <w:lvlJc w:val="left"/>
      <w:pPr>
        <w:ind w:left="2760" w:hanging="360"/>
      </w:pPr>
    </w:lvl>
    <w:lvl w:ilvl="5" w:tplc="080A001B" w:tentative="1">
      <w:start w:val="1"/>
      <w:numFmt w:val="lowerRoman"/>
      <w:lvlText w:val="%6."/>
      <w:lvlJc w:val="right"/>
      <w:pPr>
        <w:ind w:left="3480" w:hanging="180"/>
      </w:pPr>
    </w:lvl>
    <w:lvl w:ilvl="6" w:tplc="080A000F" w:tentative="1">
      <w:start w:val="1"/>
      <w:numFmt w:val="decimal"/>
      <w:lvlText w:val="%7."/>
      <w:lvlJc w:val="left"/>
      <w:pPr>
        <w:ind w:left="4200" w:hanging="360"/>
      </w:pPr>
    </w:lvl>
    <w:lvl w:ilvl="7" w:tplc="080A0019" w:tentative="1">
      <w:start w:val="1"/>
      <w:numFmt w:val="lowerLetter"/>
      <w:lvlText w:val="%8."/>
      <w:lvlJc w:val="left"/>
      <w:pPr>
        <w:ind w:left="4920" w:hanging="360"/>
      </w:pPr>
    </w:lvl>
    <w:lvl w:ilvl="8" w:tplc="080A001B" w:tentative="1">
      <w:start w:val="1"/>
      <w:numFmt w:val="lowerRoman"/>
      <w:lvlText w:val="%9."/>
      <w:lvlJc w:val="right"/>
      <w:pPr>
        <w:ind w:left="5640" w:hanging="180"/>
      </w:pPr>
    </w:lvl>
  </w:abstractNum>
  <w:abstractNum w:abstractNumId="28" w15:restartNumberingAfterBreak="0">
    <w:nsid w:val="475C6201"/>
    <w:multiLevelType w:val="multilevel"/>
    <w:tmpl w:val="F678EDB4"/>
    <w:lvl w:ilvl="0">
      <w:start w:val="1"/>
      <w:numFmt w:val="upperRoman"/>
      <w:pStyle w:val="Ttulo1"/>
      <w:suff w:val="space"/>
      <w:lvlText w:val="%1."/>
      <w:lvlJc w:val="right"/>
      <w:pPr>
        <w:ind w:left="357" w:hanging="357"/>
      </w:pPr>
      <w:rPr>
        <w:rFonts w:hint="default"/>
      </w:rPr>
    </w:lvl>
    <w:lvl w:ilvl="1">
      <w:start w:val="4"/>
      <w:numFmt w:val="decimal"/>
      <w:isLgl/>
      <w:lvlText w:val="%1.%2"/>
      <w:lvlJc w:val="left"/>
      <w:pPr>
        <w:ind w:left="703" w:hanging="357"/>
      </w:pPr>
      <w:rPr>
        <w:rFonts w:hint="default"/>
        <w:b/>
        <w:i/>
      </w:rPr>
    </w:lvl>
    <w:lvl w:ilvl="2">
      <w:start w:val="1"/>
      <w:numFmt w:val="decimal"/>
      <w:isLgl/>
      <w:lvlText w:val="%1.%2.%3"/>
      <w:lvlJc w:val="left"/>
      <w:pPr>
        <w:ind w:left="1049" w:hanging="357"/>
      </w:pPr>
      <w:rPr>
        <w:rFonts w:hint="default"/>
      </w:rPr>
    </w:lvl>
    <w:lvl w:ilvl="3">
      <w:start w:val="1"/>
      <w:numFmt w:val="decimal"/>
      <w:isLgl/>
      <w:lvlText w:val="%1.%2.%3.%4"/>
      <w:lvlJc w:val="left"/>
      <w:pPr>
        <w:ind w:left="1395" w:hanging="357"/>
      </w:pPr>
      <w:rPr>
        <w:rFonts w:hint="default"/>
      </w:rPr>
    </w:lvl>
    <w:lvl w:ilvl="4">
      <w:start w:val="1"/>
      <w:numFmt w:val="decimal"/>
      <w:isLgl/>
      <w:lvlText w:val="%1.%2.%3.%4.%5"/>
      <w:lvlJc w:val="left"/>
      <w:pPr>
        <w:ind w:left="1741" w:hanging="357"/>
      </w:pPr>
      <w:rPr>
        <w:rFonts w:hint="default"/>
      </w:rPr>
    </w:lvl>
    <w:lvl w:ilvl="5">
      <w:start w:val="1"/>
      <w:numFmt w:val="decimal"/>
      <w:isLgl/>
      <w:lvlText w:val="%1.%2.%3.%4.%5.%6"/>
      <w:lvlJc w:val="left"/>
      <w:pPr>
        <w:ind w:left="2087" w:hanging="357"/>
      </w:pPr>
      <w:rPr>
        <w:rFonts w:hint="default"/>
      </w:rPr>
    </w:lvl>
    <w:lvl w:ilvl="6">
      <w:start w:val="1"/>
      <w:numFmt w:val="decimal"/>
      <w:isLgl/>
      <w:lvlText w:val="%1.%2.%3.%4.%5.%6.%7"/>
      <w:lvlJc w:val="left"/>
      <w:pPr>
        <w:ind w:left="2433" w:hanging="357"/>
      </w:pPr>
      <w:rPr>
        <w:rFonts w:hint="default"/>
      </w:rPr>
    </w:lvl>
    <w:lvl w:ilvl="7">
      <w:start w:val="1"/>
      <w:numFmt w:val="decimal"/>
      <w:isLgl/>
      <w:lvlText w:val="%1.%2.%3.%4.%5.%6.%7.%8"/>
      <w:lvlJc w:val="left"/>
      <w:pPr>
        <w:ind w:left="2779" w:hanging="357"/>
      </w:pPr>
      <w:rPr>
        <w:rFonts w:hint="default"/>
      </w:rPr>
    </w:lvl>
    <w:lvl w:ilvl="8">
      <w:start w:val="1"/>
      <w:numFmt w:val="decimal"/>
      <w:isLgl/>
      <w:lvlText w:val="%1.%2.%3.%4.%5.%6.%7.%8.%9"/>
      <w:lvlJc w:val="left"/>
      <w:pPr>
        <w:ind w:left="3125" w:hanging="357"/>
      </w:pPr>
      <w:rPr>
        <w:rFonts w:hint="default"/>
      </w:rPr>
    </w:lvl>
  </w:abstractNum>
  <w:abstractNum w:abstractNumId="29" w15:restartNumberingAfterBreak="0">
    <w:nsid w:val="498A6734"/>
    <w:multiLevelType w:val="multilevel"/>
    <w:tmpl w:val="A68E180A"/>
    <w:lvl w:ilvl="0">
      <w:start w:val="5"/>
      <w:numFmt w:val="decimal"/>
      <w:lvlText w:val="%1."/>
      <w:lvlJc w:val="left"/>
      <w:pPr>
        <w:ind w:left="780" w:hanging="780"/>
      </w:pPr>
      <w:rPr>
        <w:rFonts w:hint="default"/>
      </w:rPr>
    </w:lvl>
    <w:lvl w:ilvl="1">
      <w:start w:val="3"/>
      <w:numFmt w:val="decimal"/>
      <w:lvlText w:val="%1.%2."/>
      <w:lvlJc w:val="left"/>
      <w:pPr>
        <w:ind w:left="1498" w:hanging="780"/>
      </w:pPr>
      <w:rPr>
        <w:rFonts w:hint="default"/>
      </w:rPr>
    </w:lvl>
    <w:lvl w:ilvl="2">
      <w:start w:val="4"/>
      <w:numFmt w:val="decimal"/>
      <w:lvlText w:val="%1.%2.%3."/>
      <w:lvlJc w:val="left"/>
      <w:pPr>
        <w:ind w:left="2216" w:hanging="780"/>
      </w:pPr>
      <w:rPr>
        <w:rFonts w:hint="default"/>
      </w:rPr>
    </w:lvl>
    <w:lvl w:ilvl="3">
      <w:start w:val="1"/>
      <w:numFmt w:val="decimal"/>
      <w:lvlText w:val="5.4.4.%4."/>
      <w:lvlJc w:val="left"/>
      <w:pPr>
        <w:ind w:left="1080" w:hanging="1080"/>
      </w:pPr>
      <w:rPr>
        <w:rFonts w:hint="default"/>
      </w:rPr>
    </w:lvl>
    <w:lvl w:ilvl="4">
      <w:start w:val="1"/>
      <w:numFmt w:val="decimal"/>
      <w:pStyle w:val="Ttulo5"/>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544" w:hanging="1800"/>
      </w:pPr>
      <w:rPr>
        <w:rFonts w:hint="default"/>
      </w:rPr>
    </w:lvl>
  </w:abstractNum>
  <w:abstractNum w:abstractNumId="30" w15:restartNumberingAfterBreak="0">
    <w:nsid w:val="4A597641"/>
    <w:multiLevelType w:val="multilevel"/>
    <w:tmpl w:val="0704808E"/>
    <w:lvl w:ilvl="0">
      <w:start w:val="1"/>
      <w:numFmt w:val="decimal"/>
      <w:lvlText w:val="%1."/>
      <w:lvlJc w:val="left"/>
      <w:pPr>
        <w:ind w:left="720" w:hanging="360"/>
      </w:pPr>
      <w:rPr>
        <w:rFonts w:ascii="ITC Avant Garde" w:hAnsi="ITC Avant Garde" w:hint="default"/>
        <w:b w:val="0"/>
        <w:sz w:val="22"/>
        <w:szCs w:val="22"/>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4AF03003"/>
    <w:multiLevelType w:val="hybridMultilevel"/>
    <w:tmpl w:val="FA2292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4E7947CC"/>
    <w:multiLevelType w:val="hybridMultilevel"/>
    <w:tmpl w:val="1FD6C640"/>
    <w:lvl w:ilvl="0" w:tplc="2D6023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EC07E8"/>
    <w:multiLevelType w:val="hybridMultilevel"/>
    <w:tmpl w:val="3E9440F4"/>
    <w:lvl w:ilvl="0" w:tplc="9A8C7D24">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F31BF9"/>
    <w:multiLevelType w:val="hybridMultilevel"/>
    <w:tmpl w:val="E294D646"/>
    <w:lvl w:ilvl="0" w:tplc="CB10A68E">
      <w:start w:val="1"/>
      <w:numFmt w:val="decimal"/>
      <w:lvlText w:val="5.4.4.3.%1."/>
      <w:lvlJc w:val="left"/>
      <w:pPr>
        <w:ind w:left="720" w:hanging="360"/>
      </w:pPr>
      <w:rPr>
        <w:rFonts w:ascii="ITC Avant Garde" w:hAnsi="ITC Avant Garde"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5E44A08"/>
    <w:multiLevelType w:val="hybridMultilevel"/>
    <w:tmpl w:val="9AA2C9D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782E5D"/>
    <w:multiLevelType w:val="hybridMultilevel"/>
    <w:tmpl w:val="BEA450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8824A4F"/>
    <w:multiLevelType w:val="hybridMultilevel"/>
    <w:tmpl w:val="D278BC6C"/>
    <w:lvl w:ilvl="0" w:tplc="B4F4A942">
      <w:start w:val="1"/>
      <w:numFmt w:val="lowerLetter"/>
      <w:lvlText w:val="(%1)"/>
      <w:lvlJc w:val="left"/>
      <w:pPr>
        <w:ind w:left="780" w:hanging="4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9BF3F3D"/>
    <w:multiLevelType w:val="hybridMultilevel"/>
    <w:tmpl w:val="44D619C8"/>
    <w:lvl w:ilvl="0" w:tplc="080A0017">
      <w:start w:val="1"/>
      <w:numFmt w:val="low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B0F24AD"/>
    <w:multiLevelType w:val="hybridMultilevel"/>
    <w:tmpl w:val="7E4CCC6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FDE0969"/>
    <w:multiLevelType w:val="hybridMultilevel"/>
    <w:tmpl w:val="613CD6F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60BE2085"/>
    <w:multiLevelType w:val="hybridMultilevel"/>
    <w:tmpl w:val="D278BC6C"/>
    <w:lvl w:ilvl="0" w:tplc="B4F4A942">
      <w:start w:val="1"/>
      <w:numFmt w:val="lowerLetter"/>
      <w:lvlText w:val="(%1)"/>
      <w:lvlJc w:val="left"/>
      <w:pPr>
        <w:ind w:left="780" w:hanging="4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12F2227"/>
    <w:multiLevelType w:val="hybridMultilevel"/>
    <w:tmpl w:val="BF026A9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3D8271C"/>
    <w:multiLevelType w:val="multilevel"/>
    <w:tmpl w:val="286E79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9F6F8A"/>
    <w:multiLevelType w:val="hybridMultilevel"/>
    <w:tmpl w:val="27B47908"/>
    <w:lvl w:ilvl="0" w:tplc="CAFCAB82">
      <w:start w:val="1"/>
      <w:numFmt w:val="decimal"/>
      <w:suff w:val="space"/>
      <w:lvlText w:val="Cuadro %1."/>
      <w:lvlJc w:val="left"/>
      <w:pPr>
        <w:ind w:left="720" w:hanging="360"/>
      </w:pPr>
      <w:rPr>
        <w:rFonts w:ascii="ITC Avant Garde" w:hAnsi="ITC Avant Garde"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55C3EDB"/>
    <w:multiLevelType w:val="hybridMultilevel"/>
    <w:tmpl w:val="478052B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6E6494A"/>
    <w:multiLevelType w:val="hybridMultilevel"/>
    <w:tmpl w:val="C7825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C541C01"/>
    <w:multiLevelType w:val="hybridMultilevel"/>
    <w:tmpl w:val="E2B2499C"/>
    <w:lvl w:ilvl="0" w:tplc="B9C41D7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75028D"/>
    <w:multiLevelType w:val="hybridMultilevel"/>
    <w:tmpl w:val="58682A60"/>
    <w:lvl w:ilvl="0" w:tplc="FB0449E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15:restartNumberingAfterBreak="0">
    <w:nsid w:val="72312214"/>
    <w:multiLevelType w:val="hybridMultilevel"/>
    <w:tmpl w:val="4A005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4C912C3"/>
    <w:multiLevelType w:val="hybridMultilevel"/>
    <w:tmpl w:val="EB863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5840A3A"/>
    <w:multiLevelType w:val="hybridMultilevel"/>
    <w:tmpl w:val="B7E418E6"/>
    <w:lvl w:ilvl="0" w:tplc="080A0017">
      <w:start w:val="1"/>
      <w:numFmt w:val="lowerLetter"/>
      <w:lvlText w:val="%1)"/>
      <w:lvlJc w:val="left"/>
      <w:pPr>
        <w:ind w:left="786" w:hanging="360"/>
      </w:p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52" w15:restartNumberingAfterBreak="0">
    <w:nsid w:val="77E54EF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A850321"/>
    <w:multiLevelType w:val="hybridMultilevel"/>
    <w:tmpl w:val="DC0443AA"/>
    <w:lvl w:ilvl="0" w:tplc="040A0001">
      <w:start w:val="1"/>
      <w:numFmt w:val="bullet"/>
      <w:lvlText w:val=""/>
      <w:lvlJc w:val="left"/>
      <w:pPr>
        <w:ind w:left="502"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4" w15:restartNumberingAfterBreak="0">
    <w:nsid w:val="7B165E24"/>
    <w:multiLevelType w:val="hybridMultilevel"/>
    <w:tmpl w:val="935A6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F610C53"/>
    <w:multiLevelType w:val="hybridMultilevel"/>
    <w:tmpl w:val="47EA3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7FCF78AD"/>
    <w:multiLevelType w:val="hybridMultilevel"/>
    <w:tmpl w:val="798213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28"/>
  </w:num>
  <w:num w:numId="3">
    <w:abstractNumId w:val="45"/>
  </w:num>
  <w:num w:numId="4">
    <w:abstractNumId w:val="0"/>
  </w:num>
  <w:num w:numId="5">
    <w:abstractNumId w:val="40"/>
  </w:num>
  <w:num w:numId="6">
    <w:abstractNumId w:val="53"/>
  </w:num>
  <w:num w:numId="7">
    <w:abstractNumId w:val="21"/>
  </w:num>
  <w:num w:numId="8">
    <w:abstractNumId w:val="27"/>
  </w:num>
  <w:num w:numId="9">
    <w:abstractNumId w:val="25"/>
  </w:num>
  <w:num w:numId="10">
    <w:abstractNumId w:val="19"/>
  </w:num>
  <w:num w:numId="11">
    <w:abstractNumId w:val="22"/>
  </w:num>
  <w:num w:numId="12">
    <w:abstractNumId w:val="2"/>
  </w:num>
  <w:num w:numId="13">
    <w:abstractNumId w:val="54"/>
  </w:num>
  <w:num w:numId="14">
    <w:abstractNumId w:val="31"/>
  </w:num>
  <w:num w:numId="15">
    <w:abstractNumId w:val="10"/>
  </w:num>
  <w:num w:numId="16">
    <w:abstractNumId w:val="15"/>
  </w:num>
  <w:num w:numId="17">
    <w:abstractNumId w:val="29"/>
  </w:num>
  <w:num w:numId="18">
    <w:abstractNumId w:val="44"/>
  </w:num>
  <w:num w:numId="19">
    <w:abstractNumId w:val="7"/>
  </w:num>
  <w:num w:numId="20">
    <w:abstractNumId w:val="24"/>
  </w:num>
  <w:num w:numId="21">
    <w:abstractNumId w:val="16"/>
  </w:num>
  <w:num w:numId="22">
    <w:abstractNumId w:val="49"/>
  </w:num>
  <w:num w:numId="23">
    <w:abstractNumId w:val="3"/>
  </w:num>
  <w:num w:numId="24">
    <w:abstractNumId w:val="50"/>
  </w:num>
  <w:num w:numId="25">
    <w:abstractNumId w:val="5"/>
  </w:num>
  <w:num w:numId="26">
    <w:abstractNumId w:val="37"/>
  </w:num>
  <w:num w:numId="27">
    <w:abstractNumId w:val="11"/>
  </w:num>
  <w:num w:numId="28">
    <w:abstractNumId w:val="30"/>
  </w:num>
  <w:num w:numId="29">
    <w:abstractNumId w:val="52"/>
  </w:num>
  <w:num w:numId="30">
    <w:abstractNumId w:val="41"/>
  </w:num>
  <w:num w:numId="31">
    <w:abstractNumId w:val="20"/>
  </w:num>
  <w:num w:numId="32">
    <w:abstractNumId w:val="26"/>
  </w:num>
  <w:num w:numId="33">
    <w:abstractNumId w:val="46"/>
  </w:num>
  <w:num w:numId="34">
    <w:abstractNumId w:val="23"/>
  </w:num>
  <w:num w:numId="35">
    <w:abstractNumId w:val="47"/>
  </w:num>
  <w:num w:numId="36">
    <w:abstractNumId w:val="55"/>
  </w:num>
  <w:num w:numId="37">
    <w:abstractNumId w:val="18"/>
  </w:num>
  <w:num w:numId="38">
    <w:abstractNumId w:val="4"/>
  </w:num>
  <w:num w:numId="39">
    <w:abstractNumId w:val="42"/>
  </w:num>
  <w:num w:numId="40">
    <w:abstractNumId w:val="32"/>
  </w:num>
  <w:num w:numId="41">
    <w:abstractNumId w:val="12"/>
  </w:num>
  <w:num w:numId="42">
    <w:abstractNumId w:val="9"/>
  </w:num>
  <w:num w:numId="43">
    <w:abstractNumId w:val="36"/>
  </w:num>
  <w:num w:numId="44">
    <w:abstractNumId w:val="13"/>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48"/>
  </w:num>
  <w:num w:numId="48">
    <w:abstractNumId w:val="17"/>
  </w:num>
  <w:num w:numId="49">
    <w:abstractNumId w:val="34"/>
  </w:num>
  <w:num w:numId="50">
    <w:abstractNumId w:val="8"/>
  </w:num>
  <w:num w:numId="51">
    <w:abstractNumId w:val="1"/>
  </w:num>
  <w:num w:numId="52">
    <w:abstractNumId w:val="33"/>
  </w:num>
  <w:num w:numId="53">
    <w:abstractNumId w:val="14"/>
  </w:num>
  <w:num w:numId="54">
    <w:abstractNumId w:val="6"/>
  </w:num>
  <w:num w:numId="55">
    <w:abstractNumId w:val="56"/>
  </w:num>
  <w:num w:numId="56">
    <w:abstractNumId w:val="38"/>
  </w:num>
  <w:num w:numId="57">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FB"/>
    <w:rsid w:val="000000EE"/>
    <w:rsid w:val="000014C6"/>
    <w:rsid w:val="00002877"/>
    <w:rsid w:val="00002CC5"/>
    <w:rsid w:val="00003D31"/>
    <w:rsid w:val="00006D4B"/>
    <w:rsid w:val="00006E5C"/>
    <w:rsid w:val="0000763F"/>
    <w:rsid w:val="00007F34"/>
    <w:rsid w:val="00011327"/>
    <w:rsid w:val="0001449E"/>
    <w:rsid w:val="00014D8D"/>
    <w:rsid w:val="00014EAD"/>
    <w:rsid w:val="00015861"/>
    <w:rsid w:val="00020747"/>
    <w:rsid w:val="00020D44"/>
    <w:rsid w:val="00023CD9"/>
    <w:rsid w:val="000279C5"/>
    <w:rsid w:val="00027E85"/>
    <w:rsid w:val="0003004F"/>
    <w:rsid w:val="000301E1"/>
    <w:rsid w:val="00031BD6"/>
    <w:rsid w:val="00031C62"/>
    <w:rsid w:val="00033161"/>
    <w:rsid w:val="0003329D"/>
    <w:rsid w:val="0003619D"/>
    <w:rsid w:val="000371D2"/>
    <w:rsid w:val="00040A58"/>
    <w:rsid w:val="000420C6"/>
    <w:rsid w:val="000423B1"/>
    <w:rsid w:val="000424C9"/>
    <w:rsid w:val="000432AD"/>
    <w:rsid w:val="00044613"/>
    <w:rsid w:val="00046FF3"/>
    <w:rsid w:val="00047240"/>
    <w:rsid w:val="000510F2"/>
    <w:rsid w:val="00052846"/>
    <w:rsid w:val="00053180"/>
    <w:rsid w:val="00053E4A"/>
    <w:rsid w:val="000540F3"/>
    <w:rsid w:val="0005601C"/>
    <w:rsid w:val="00062596"/>
    <w:rsid w:val="000629DF"/>
    <w:rsid w:val="000638DD"/>
    <w:rsid w:val="000653CB"/>
    <w:rsid w:val="00065C8F"/>
    <w:rsid w:val="000663D6"/>
    <w:rsid w:val="000672AC"/>
    <w:rsid w:val="0007087B"/>
    <w:rsid w:val="00070B2D"/>
    <w:rsid w:val="00071176"/>
    <w:rsid w:val="0007192F"/>
    <w:rsid w:val="00071BBB"/>
    <w:rsid w:val="000741C8"/>
    <w:rsid w:val="000743F0"/>
    <w:rsid w:val="000763D4"/>
    <w:rsid w:val="00076C50"/>
    <w:rsid w:val="000806F7"/>
    <w:rsid w:val="000818B2"/>
    <w:rsid w:val="00081BAF"/>
    <w:rsid w:val="00084048"/>
    <w:rsid w:val="0008544C"/>
    <w:rsid w:val="00087773"/>
    <w:rsid w:val="000918F9"/>
    <w:rsid w:val="00091A8E"/>
    <w:rsid w:val="0009615C"/>
    <w:rsid w:val="000A0428"/>
    <w:rsid w:val="000A5366"/>
    <w:rsid w:val="000A5AE2"/>
    <w:rsid w:val="000A649F"/>
    <w:rsid w:val="000B05F7"/>
    <w:rsid w:val="000B0FF4"/>
    <w:rsid w:val="000B23E2"/>
    <w:rsid w:val="000B2536"/>
    <w:rsid w:val="000B32AA"/>
    <w:rsid w:val="000B39F6"/>
    <w:rsid w:val="000B3BE1"/>
    <w:rsid w:val="000C24FB"/>
    <w:rsid w:val="000C3AE4"/>
    <w:rsid w:val="000C4969"/>
    <w:rsid w:val="000C4B77"/>
    <w:rsid w:val="000C6B7D"/>
    <w:rsid w:val="000C7032"/>
    <w:rsid w:val="000D0383"/>
    <w:rsid w:val="000D0962"/>
    <w:rsid w:val="000D109B"/>
    <w:rsid w:val="000D14ED"/>
    <w:rsid w:val="000D19D1"/>
    <w:rsid w:val="000D1E81"/>
    <w:rsid w:val="000D2A64"/>
    <w:rsid w:val="000D2E44"/>
    <w:rsid w:val="000D3162"/>
    <w:rsid w:val="000D4B60"/>
    <w:rsid w:val="000D4CA0"/>
    <w:rsid w:val="000D5436"/>
    <w:rsid w:val="000D76B6"/>
    <w:rsid w:val="000D7836"/>
    <w:rsid w:val="000D7BB6"/>
    <w:rsid w:val="000E13EC"/>
    <w:rsid w:val="000E21AE"/>
    <w:rsid w:val="000E3DC8"/>
    <w:rsid w:val="000E4061"/>
    <w:rsid w:val="000E53BC"/>
    <w:rsid w:val="000E6261"/>
    <w:rsid w:val="000F04B5"/>
    <w:rsid w:val="000F16B4"/>
    <w:rsid w:val="000F1CC5"/>
    <w:rsid w:val="000F20F6"/>
    <w:rsid w:val="000F60F8"/>
    <w:rsid w:val="000F6700"/>
    <w:rsid w:val="000F6A33"/>
    <w:rsid w:val="000F6A3E"/>
    <w:rsid w:val="000F6BEB"/>
    <w:rsid w:val="0010051F"/>
    <w:rsid w:val="00100DD8"/>
    <w:rsid w:val="0010136E"/>
    <w:rsid w:val="00102280"/>
    <w:rsid w:val="0010273F"/>
    <w:rsid w:val="001035C9"/>
    <w:rsid w:val="0010520C"/>
    <w:rsid w:val="0010603B"/>
    <w:rsid w:val="00106F7D"/>
    <w:rsid w:val="001106DD"/>
    <w:rsid w:val="00110E16"/>
    <w:rsid w:val="00110E4A"/>
    <w:rsid w:val="00110F6F"/>
    <w:rsid w:val="001117D9"/>
    <w:rsid w:val="001127A1"/>
    <w:rsid w:val="00113085"/>
    <w:rsid w:val="001133B7"/>
    <w:rsid w:val="00113C22"/>
    <w:rsid w:val="00114B76"/>
    <w:rsid w:val="0011522E"/>
    <w:rsid w:val="00116022"/>
    <w:rsid w:val="00116105"/>
    <w:rsid w:val="00116CDB"/>
    <w:rsid w:val="0012118E"/>
    <w:rsid w:val="0012234C"/>
    <w:rsid w:val="001233BC"/>
    <w:rsid w:val="00123EC0"/>
    <w:rsid w:val="00125707"/>
    <w:rsid w:val="00125966"/>
    <w:rsid w:val="00126FEE"/>
    <w:rsid w:val="00132A1A"/>
    <w:rsid w:val="0013452F"/>
    <w:rsid w:val="0013504D"/>
    <w:rsid w:val="001355F8"/>
    <w:rsid w:val="00140276"/>
    <w:rsid w:val="0014072C"/>
    <w:rsid w:val="0014141B"/>
    <w:rsid w:val="001424A6"/>
    <w:rsid w:val="0014400A"/>
    <w:rsid w:val="0014520F"/>
    <w:rsid w:val="00146AD6"/>
    <w:rsid w:val="00146EB8"/>
    <w:rsid w:val="00146F8E"/>
    <w:rsid w:val="0015042D"/>
    <w:rsid w:val="00151572"/>
    <w:rsid w:val="00151EA7"/>
    <w:rsid w:val="00152C7B"/>
    <w:rsid w:val="001548C9"/>
    <w:rsid w:val="00154BE1"/>
    <w:rsid w:val="00155793"/>
    <w:rsid w:val="00155861"/>
    <w:rsid w:val="00160888"/>
    <w:rsid w:val="00160893"/>
    <w:rsid w:val="001611B5"/>
    <w:rsid w:val="00161216"/>
    <w:rsid w:val="00165198"/>
    <w:rsid w:val="001700E5"/>
    <w:rsid w:val="00170121"/>
    <w:rsid w:val="0017023C"/>
    <w:rsid w:val="001713C6"/>
    <w:rsid w:val="001769E3"/>
    <w:rsid w:val="00181D4C"/>
    <w:rsid w:val="001837AA"/>
    <w:rsid w:val="001847CF"/>
    <w:rsid w:val="00184C23"/>
    <w:rsid w:val="00184CD5"/>
    <w:rsid w:val="00187194"/>
    <w:rsid w:val="001904F1"/>
    <w:rsid w:val="0019098E"/>
    <w:rsid w:val="00191B15"/>
    <w:rsid w:val="0019279D"/>
    <w:rsid w:val="00192BE5"/>
    <w:rsid w:val="001937F6"/>
    <w:rsid w:val="00193C21"/>
    <w:rsid w:val="00195032"/>
    <w:rsid w:val="00195317"/>
    <w:rsid w:val="001958BA"/>
    <w:rsid w:val="00196109"/>
    <w:rsid w:val="00196153"/>
    <w:rsid w:val="0019650A"/>
    <w:rsid w:val="00196AB4"/>
    <w:rsid w:val="00196D6B"/>
    <w:rsid w:val="001A049C"/>
    <w:rsid w:val="001A04AF"/>
    <w:rsid w:val="001A2928"/>
    <w:rsid w:val="001A2D2E"/>
    <w:rsid w:val="001A2FFB"/>
    <w:rsid w:val="001A3121"/>
    <w:rsid w:val="001A343E"/>
    <w:rsid w:val="001A3D72"/>
    <w:rsid w:val="001A475C"/>
    <w:rsid w:val="001A6776"/>
    <w:rsid w:val="001A694F"/>
    <w:rsid w:val="001B095C"/>
    <w:rsid w:val="001B0FAA"/>
    <w:rsid w:val="001B1897"/>
    <w:rsid w:val="001B3326"/>
    <w:rsid w:val="001B3903"/>
    <w:rsid w:val="001B45B8"/>
    <w:rsid w:val="001B5406"/>
    <w:rsid w:val="001B61E3"/>
    <w:rsid w:val="001B6F22"/>
    <w:rsid w:val="001B7151"/>
    <w:rsid w:val="001C2121"/>
    <w:rsid w:val="001C2200"/>
    <w:rsid w:val="001C47CA"/>
    <w:rsid w:val="001C51AE"/>
    <w:rsid w:val="001C56A9"/>
    <w:rsid w:val="001C6B1E"/>
    <w:rsid w:val="001C7FA1"/>
    <w:rsid w:val="001D171F"/>
    <w:rsid w:val="001D22A6"/>
    <w:rsid w:val="001D4AB0"/>
    <w:rsid w:val="001D5099"/>
    <w:rsid w:val="001D512B"/>
    <w:rsid w:val="001D5A58"/>
    <w:rsid w:val="001E1860"/>
    <w:rsid w:val="001E261D"/>
    <w:rsid w:val="001E37EE"/>
    <w:rsid w:val="001E537A"/>
    <w:rsid w:val="001E5466"/>
    <w:rsid w:val="001E592A"/>
    <w:rsid w:val="001E5F02"/>
    <w:rsid w:val="001E6865"/>
    <w:rsid w:val="001F04DA"/>
    <w:rsid w:val="001F07AC"/>
    <w:rsid w:val="001F1A2C"/>
    <w:rsid w:val="001F1A87"/>
    <w:rsid w:val="001F1C62"/>
    <w:rsid w:val="001F2877"/>
    <w:rsid w:val="001F28B1"/>
    <w:rsid w:val="001F2EA3"/>
    <w:rsid w:val="001F38DA"/>
    <w:rsid w:val="001F3CF8"/>
    <w:rsid w:val="001F5317"/>
    <w:rsid w:val="001F66C7"/>
    <w:rsid w:val="00201967"/>
    <w:rsid w:val="002025D9"/>
    <w:rsid w:val="00202F90"/>
    <w:rsid w:val="00204E27"/>
    <w:rsid w:val="002108A2"/>
    <w:rsid w:val="0021120B"/>
    <w:rsid w:val="00211333"/>
    <w:rsid w:val="00211F76"/>
    <w:rsid w:val="00213E12"/>
    <w:rsid w:val="00215E84"/>
    <w:rsid w:val="00215FA8"/>
    <w:rsid w:val="00217B47"/>
    <w:rsid w:val="00220E5D"/>
    <w:rsid w:val="002216D7"/>
    <w:rsid w:val="00222A04"/>
    <w:rsid w:val="00222F1D"/>
    <w:rsid w:val="002234B3"/>
    <w:rsid w:val="0022370D"/>
    <w:rsid w:val="002249CA"/>
    <w:rsid w:val="002252D1"/>
    <w:rsid w:val="002315A4"/>
    <w:rsid w:val="0023218E"/>
    <w:rsid w:val="0023224A"/>
    <w:rsid w:val="00232A7B"/>
    <w:rsid w:val="002331D5"/>
    <w:rsid w:val="00234AD8"/>
    <w:rsid w:val="002360A8"/>
    <w:rsid w:val="002370BE"/>
    <w:rsid w:val="00237109"/>
    <w:rsid w:val="002413B1"/>
    <w:rsid w:val="00241D9A"/>
    <w:rsid w:val="00242777"/>
    <w:rsid w:val="00243C34"/>
    <w:rsid w:val="00243E0A"/>
    <w:rsid w:val="00244ECA"/>
    <w:rsid w:val="00245F07"/>
    <w:rsid w:val="00247877"/>
    <w:rsid w:val="00247D44"/>
    <w:rsid w:val="002501DE"/>
    <w:rsid w:val="002507A4"/>
    <w:rsid w:val="00250A4E"/>
    <w:rsid w:val="00252208"/>
    <w:rsid w:val="0025348B"/>
    <w:rsid w:val="00253D1A"/>
    <w:rsid w:val="002541FB"/>
    <w:rsid w:val="0025540C"/>
    <w:rsid w:val="00257798"/>
    <w:rsid w:val="00257A72"/>
    <w:rsid w:val="00257DC3"/>
    <w:rsid w:val="00260383"/>
    <w:rsid w:val="00261963"/>
    <w:rsid w:val="00266227"/>
    <w:rsid w:val="002665FD"/>
    <w:rsid w:val="002702E8"/>
    <w:rsid w:val="0027047F"/>
    <w:rsid w:val="00271BF7"/>
    <w:rsid w:val="0027363F"/>
    <w:rsid w:val="00274763"/>
    <w:rsid w:val="0027513F"/>
    <w:rsid w:val="0027654A"/>
    <w:rsid w:val="00277FD8"/>
    <w:rsid w:val="002806C6"/>
    <w:rsid w:val="00281521"/>
    <w:rsid w:val="002817A5"/>
    <w:rsid w:val="00282826"/>
    <w:rsid w:val="0028474D"/>
    <w:rsid w:val="00287531"/>
    <w:rsid w:val="002902E4"/>
    <w:rsid w:val="00290645"/>
    <w:rsid w:val="00290E6E"/>
    <w:rsid w:val="002925DF"/>
    <w:rsid w:val="00294DCC"/>
    <w:rsid w:val="0029563A"/>
    <w:rsid w:val="00295F40"/>
    <w:rsid w:val="002964AF"/>
    <w:rsid w:val="002A0096"/>
    <w:rsid w:val="002A046D"/>
    <w:rsid w:val="002A1AA6"/>
    <w:rsid w:val="002A21F2"/>
    <w:rsid w:val="002A2A2B"/>
    <w:rsid w:val="002A2F3C"/>
    <w:rsid w:val="002A3261"/>
    <w:rsid w:val="002A4623"/>
    <w:rsid w:val="002A538A"/>
    <w:rsid w:val="002A5BC5"/>
    <w:rsid w:val="002A6996"/>
    <w:rsid w:val="002A6E04"/>
    <w:rsid w:val="002B0BEE"/>
    <w:rsid w:val="002B1F75"/>
    <w:rsid w:val="002B22FD"/>
    <w:rsid w:val="002B2E70"/>
    <w:rsid w:val="002B378B"/>
    <w:rsid w:val="002B378D"/>
    <w:rsid w:val="002B3F26"/>
    <w:rsid w:val="002B58F4"/>
    <w:rsid w:val="002B6993"/>
    <w:rsid w:val="002B78BB"/>
    <w:rsid w:val="002B7ED0"/>
    <w:rsid w:val="002C0279"/>
    <w:rsid w:val="002C045E"/>
    <w:rsid w:val="002C17D4"/>
    <w:rsid w:val="002C309A"/>
    <w:rsid w:val="002C3A6E"/>
    <w:rsid w:val="002C3DC8"/>
    <w:rsid w:val="002C7E44"/>
    <w:rsid w:val="002D5A63"/>
    <w:rsid w:val="002D702E"/>
    <w:rsid w:val="002E1727"/>
    <w:rsid w:val="002E20CE"/>
    <w:rsid w:val="002E749A"/>
    <w:rsid w:val="002F1D68"/>
    <w:rsid w:val="002F1F9C"/>
    <w:rsid w:val="002F2A9E"/>
    <w:rsid w:val="002F373C"/>
    <w:rsid w:val="002F401E"/>
    <w:rsid w:val="002F4699"/>
    <w:rsid w:val="002F5734"/>
    <w:rsid w:val="002F71C5"/>
    <w:rsid w:val="00301A00"/>
    <w:rsid w:val="00302FCA"/>
    <w:rsid w:val="00303CB8"/>
    <w:rsid w:val="00303D82"/>
    <w:rsid w:val="00304C3B"/>
    <w:rsid w:val="0030526C"/>
    <w:rsid w:val="00306501"/>
    <w:rsid w:val="003073B4"/>
    <w:rsid w:val="0031069D"/>
    <w:rsid w:val="0031074B"/>
    <w:rsid w:val="0031182D"/>
    <w:rsid w:val="003125F6"/>
    <w:rsid w:val="00313B2E"/>
    <w:rsid w:val="003146C1"/>
    <w:rsid w:val="00315BC0"/>
    <w:rsid w:val="00315C1D"/>
    <w:rsid w:val="0031772C"/>
    <w:rsid w:val="00320899"/>
    <w:rsid w:val="00323549"/>
    <w:rsid w:val="003245D1"/>
    <w:rsid w:val="00324C70"/>
    <w:rsid w:val="00326298"/>
    <w:rsid w:val="00327303"/>
    <w:rsid w:val="00327869"/>
    <w:rsid w:val="00327CBE"/>
    <w:rsid w:val="00331CDE"/>
    <w:rsid w:val="00332D32"/>
    <w:rsid w:val="00333A64"/>
    <w:rsid w:val="00335846"/>
    <w:rsid w:val="00336211"/>
    <w:rsid w:val="003365D5"/>
    <w:rsid w:val="00336ED3"/>
    <w:rsid w:val="00340342"/>
    <w:rsid w:val="003403A6"/>
    <w:rsid w:val="00342899"/>
    <w:rsid w:val="00342D36"/>
    <w:rsid w:val="00342F64"/>
    <w:rsid w:val="00344765"/>
    <w:rsid w:val="00345449"/>
    <w:rsid w:val="0034544B"/>
    <w:rsid w:val="00345DF8"/>
    <w:rsid w:val="00346309"/>
    <w:rsid w:val="00351A2A"/>
    <w:rsid w:val="003520D1"/>
    <w:rsid w:val="00354172"/>
    <w:rsid w:val="0035475C"/>
    <w:rsid w:val="00354ECA"/>
    <w:rsid w:val="0035662A"/>
    <w:rsid w:val="00357382"/>
    <w:rsid w:val="003600B0"/>
    <w:rsid w:val="00362591"/>
    <w:rsid w:val="003626E6"/>
    <w:rsid w:val="00363476"/>
    <w:rsid w:val="003643E8"/>
    <w:rsid w:val="0036536C"/>
    <w:rsid w:val="00365E69"/>
    <w:rsid w:val="003673EB"/>
    <w:rsid w:val="00367467"/>
    <w:rsid w:val="00373FD7"/>
    <w:rsid w:val="00375807"/>
    <w:rsid w:val="00376450"/>
    <w:rsid w:val="00376813"/>
    <w:rsid w:val="00376EED"/>
    <w:rsid w:val="00377AFB"/>
    <w:rsid w:val="003817F9"/>
    <w:rsid w:val="00383106"/>
    <w:rsid w:val="00383201"/>
    <w:rsid w:val="00383A0C"/>
    <w:rsid w:val="0038450B"/>
    <w:rsid w:val="003848A6"/>
    <w:rsid w:val="00384D9A"/>
    <w:rsid w:val="00385AB1"/>
    <w:rsid w:val="00385C58"/>
    <w:rsid w:val="00387737"/>
    <w:rsid w:val="00390B26"/>
    <w:rsid w:val="00390B4C"/>
    <w:rsid w:val="00390F9F"/>
    <w:rsid w:val="0039148D"/>
    <w:rsid w:val="00391D09"/>
    <w:rsid w:val="00393A29"/>
    <w:rsid w:val="00393FB9"/>
    <w:rsid w:val="003943D0"/>
    <w:rsid w:val="0039475C"/>
    <w:rsid w:val="00394C13"/>
    <w:rsid w:val="00396AC9"/>
    <w:rsid w:val="003A0DA1"/>
    <w:rsid w:val="003A1B71"/>
    <w:rsid w:val="003A20A1"/>
    <w:rsid w:val="003A22C8"/>
    <w:rsid w:val="003A3301"/>
    <w:rsid w:val="003A4342"/>
    <w:rsid w:val="003A479F"/>
    <w:rsid w:val="003A59F7"/>
    <w:rsid w:val="003A75E1"/>
    <w:rsid w:val="003A76DA"/>
    <w:rsid w:val="003B07B4"/>
    <w:rsid w:val="003B0B17"/>
    <w:rsid w:val="003B1926"/>
    <w:rsid w:val="003B229B"/>
    <w:rsid w:val="003B2317"/>
    <w:rsid w:val="003B4DD0"/>
    <w:rsid w:val="003B71DE"/>
    <w:rsid w:val="003B7DA8"/>
    <w:rsid w:val="003C0135"/>
    <w:rsid w:val="003C0BD9"/>
    <w:rsid w:val="003C195E"/>
    <w:rsid w:val="003C1F21"/>
    <w:rsid w:val="003C27FC"/>
    <w:rsid w:val="003C3075"/>
    <w:rsid w:val="003C52CA"/>
    <w:rsid w:val="003C595A"/>
    <w:rsid w:val="003C631F"/>
    <w:rsid w:val="003C684D"/>
    <w:rsid w:val="003C6FC3"/>
    <w:rsid w:val="003C739E"/>
    <w:rsid w:val="003D067E"/>
    <w:rsid w:val="003D219F"/>
    <w:rsid w:val="003D33E7"/>
    <w:rsid w:val="003D400E"/>
    <w:rsid w:val="003D51FB"/>
    <w:rsid w:val="003D5EB4"/>
    <w:rsid w:val="003D5EDF"/>
    <w:rsid w:val="003D6506"/>
    <w:rsid w:val="003D72B3"/>
    <w:rsid w:val="003E1F18"/>
    <w:rsid w:val="003E2F07"/>
    <w:rsid w:val="003E45DC"/>
    <w:rsid w:val="003E4B61"/>
    <w:rsid w:val="003E5F2D"/>
    <w:rsid w:val="003E7115"/>
    <w:rsid w:val="003E7F74"/>
    <w:rsid w:val="003F1983"/>
    <w:rsid w:val="003F1C25"/>
    <w:rsid w:val="003F277C"/>
    <w:rsid w:val="003F2BCB"/>
    <w:rsid w:val="003F2CAB"/>
    <w:rsid w:val="003F4383"/>
    <w:rsid w:val="003F5848"/>
    <w:rsid w:val="00400EBD"/>
    <w:rsid w:val="0040133C"/>
    <w:rsid w:val="00401C48"/>
    <w:rsid w:val="00401EEE"/>
    <w:rsid w:val="0040305B"/>
    <w:rsid w:val="004044F5"/>
    <w:rsid w:val="00405461"/>
    <w:rsid w:val="00405E87"/>
    <w:rsid w:val="00407096"/>
    <w:rsid w:val="004073AF"/>
    <w:rsid w:val="00407556"/>
    <w:rsid w:val="0041020C"/>
    <w:rsid w:val="00410BAF"/>
    <w:rsid w:val="004114DC"/>
    <w:rsid w:val="00412054"/>
    <w:rsid w:val="00414683"/>
    <w:rsid w:val="004167B5"/>
    <w:rsid w:val="004178FC"/>
    <w:rsid w:val="00422A2B"/>
    <w:rsid w:val="00423D03"/>
    <w:rsid w:val="004241F1"/>
    <w:rsid w:val="00424CCF"/>
    <w:rsid w:val="00424F7B"/>
    <w:rsid w:val="00424FC0"/>
    <w:rsid w:val="00425765"/>
    <w:rsid w:val="004264BB"/>
    <w:rsid w:val="0042687D"/>
    <w:rsid w:val="00426B0D"/>
    <w:rsid w:val="00430C8D"/>
    <w:rsid w:val="0043126D"/>
    <w:rsid w:val="0043135D"/>
    <w:rsid w:val="00432122"/>
    <w:rsid w:val="00432170"/>
    <w:rsid w:val="00432B2D"/>
    <w:rsid w:val="00432F64"/>
    <w:rsid w:val="00433348"/>
    <w:rsid w:val="00433A23"/>
    <w:rsid w:val="0043619C"/>
    <w:rsid w:val="0043778B"/>
    <w:rsid w:val="00443CBD"/>
    <w:rsid w:val="004443E3"/>
    <w:rsid w:val="0044470A"/>
    <w:rsid w:val="00444F18"/>
    <w:rsid w:val="004463F5"/>
    <w:rsid w:val="00446ACF"/>
    <w:rsid w:val="00447575"/>
    <w:rsid w:val="00450F41"/>
    <w:rsid w:val="00457430"/>
    <w:rsid w:val="004574A7"/>
    <w:rsid w:val="00457999"/>
    <w:rsid w:val="00461DC4"/>
    <w:rsid w:val="004627C5"/>
    <w:rsid w:val="00462FE4"/>
    <w:rsid w:val="00464FE7"/>
    <w:rsid w:val="00467A97"/>
    <w:rsid w:val="0047195F"/>
    <w:rsid w:val="004739A9"/>
    <w:rsid w:val="00474F98"/>
    <w:rsid w:val="00475159"/>
    <w:rsid w:val="00476462"/>
    <w:rsid w:val="0047665E"/>
    <w:rsid w:val="00476BFF"/>
    <w:rsid w:val="004770F6"/>
    <w:rsid w:val="0048098D"/>
    <w:rsid w:val="0048133D"/>
    <w:rsid w:val="004818A3"/>
    <w:rsid w:val="004825B0"/>
    <w:rsid w:val="00482F70"/>
    <w:rsid w:val="00482FA5"/>
    <w:rsid w:val="0048483D"/>
    <w:rsid w:val="00484BF8"/>
    <w:rsid w:val="00484E0F"/>
    <w:rsid w:val="0048537C"/>
    <w:rsid w:val="004859B9"/>
    <w:rsid w:val="00487EBD"/>
    <w:rsid w:val="00490ABA"/>
    <w:rsid w:val="00491873"/>
    <w:rsid w:val="004918F9"/>
    <w:rsid w:val="00493989"/>
    <w:rsid w:val="00493B7E"/>
    <w:rsid w:val="0049403F"/>
    <w:rsid w:val="00494B6F"/>
    <w:rsid w:val="0049518E"/>
    <w:rsid w:val="00495708"/>
    <w:rsid w:val="00495CA2"/>
    <w:rsid w:val="0049763B"/>
    <w:rsid w:val="00497AF8"/>
    <w:rsid w:val="00497B22"/>
    <w:rsid w:val="004A14D8"/>
    <w:rsid w:val="004A1823"/>
    <w:rsid w:val="004A2067"/>
    <w:rsid w:val="004A456E"/>
    <w:rsid w:val="004A4763"/>
    <w:rsid w:val="004A4D1C"/>
    <w:rsid w:val="004A5ABF"/>
    <w:rsid w:val="004A6104"/>
    <w:rsid w:val="004A6AA1"/>
    <w:rsid w:val="004A756E"/>
    <w:rsid w:val="004B1A3C"/>
    <w:rsid w:val="004B1D1A"/>
    <w:rsid w:val="004B52E2"/>
    <w:rsid w:val="004B7873"/>
    <w:rsid w:val="004C004E"/>
    <w:rsid w:val="004C0778"/>
    <w:rsid w:val="004C189C"/>
    <w:rsid w:val="004C1EEA"/>
    <w:rsid w:val="004C26F0"/>
    <w:rsid w:val="004C3544"/>
    <w:rsid w:val="004C373F"/>
    <w:rsid w:val="004C5037"/>
    <w:rsid w:val="004C5AD0"/>
    <w:rsid w:val="004C704F"/>
    <w:rsid w:val="004D0E87"/>
    <w:rsid w:val="004D113C"/>
    <w:rsid w:val="004D114E"/>
    <w:rsid w:val="004D2BF6"/>
    <w:rsid w:val="004D2FFF"/>
    <w:rsid w:val="004D34A3"/>
    <w:rsid w:val="004D419E"/>
    <w:rsid w:val="004D5321"/>
    <w:rsid w:val="004D582F"/>
    <w:rsid w:val="004D632B"/>
    <w:rsid w:val="004D7A95"/>
    <w:rsid w:val="004D7ACE"/>
    <w:rsid w:val="004E06E4"/>
    <w:rsid w:val="004E2367"/>
    <w:rsid w:val="004E2460"/>
    <w:rsid w:val="004E257E"/>
    <w:rsid w:val="004E2998"/>
    <w:rsid w:val="004E3239"/>
    <w:rsid w:val="004E326A"/>
    <w:rsid w:val="004E3ADD"/>
    <w:rsid w:val="004E4214"/>
    <w:rsid w:val="004E6DDD"/>
    <w:rsid w:val="004E70E6"/>
    <w:rsid w:val="004E7C80"/>
    <w:rsid w:val="004F0111"/>
    <w:rsid w:val="004F0B50"/>
    <w:rsid w:val="004F3C60"/>
    <w:rsid w:val="004F5014"/>
    <w:rsid w:val="004F5EE2"/>
    <w:rsid w:val="004F635A"/>
    <w:rsid w:val="004F78EC"/>
    <w:rsid w:val="004F7FA3"/>
    <w:rsid w:val="00501245"/>
    <w:rsid w:val="00501A7E"/>
    <w:rsid w:val="00503DB1"/>
    <w:rsid w:val="005051FA"/>
    <w:rsid w:val="00505241"/>
    <w:rsid w:val="0050772D"/>
    <w:rsid w:val="00507EEE"/>
    <w:rsid w:val="005108C5"/>
    <w:rsid w:val="00511FD9"/>
    <w:rsid w:val="0051511C"/>
    <w:rsid w:val="00515F52"/>
    <w:rsid w:val="005164A9"/>
    <w:rsid w:val="005172DF"/>
    <w:rsid w:val="005203AB"/>
    <w:rsid w:val="00520CEC"/>
    <w:rsid w:val="0052179C"/>
    <w:rsid w:val="00523A9F"/>
    <w:rsid w:val="00523B4E"/>
    <w:rsid w:val="00524B59"/>
    <w:rsid w:val="00526914"/>
    <w:rsid w:val="00526D4F"/>
    <w:rsid w:val="005314EA"/>
    <w:rsid w:val="00531BC5"/>
    <w:rsid w:val="0053408B"/>
    <w:rsid w:val="00534530"/>
    <w:rsid w:val="0053494A"/>
    <w:rsid w:val="00534EA3"/>
    <w:rsid w:val="0053621E"/>
    <w:rsid w:val="00536557"/>
    <w:rsid w:val="00537D7B"/>
    <w:rsid w:val="005406C5"/>
    <w:rsid w:val="00540E79"/>
    <w:rsid w:val="00542C4F"/>
    <w:rsid w:val="00543C88"/>
    <w:rsid w:val="0054587A"/>
    <w:rsid w:val="005502D4"/>
    <w:rsid w:val="00551C3F"/>
    <w:rsid w:val="00551DF7"/>
    <w:rsid w:val="00551F79"/>
    <w:rsid w:val="0055321F"/>
    <w:rsid w:val="0055412C"/>
    <w:rsid w:val="00554C4F"/>
    <w:rsid w:val="00555017"/>
    <w:rsid w:val="00556E40"/>
    <w:rsid w:val="0056008D"/>
    <w:rsid w:val="00560794"/>
    <w:rsid w:val="00561837"/>
    <w:rsid w:val="00563EDB"/>
    <w:rsid w:val="005662F1"/>
    <w:rsid w:val="00566B0D"/>
    <w:rsid w:val="00570DD8"/>
    <w:rsid w:val="00570F45"/>
    <w:rsid w:val="0057141F"/>
    <w:rsid w:val="0057151D"/>
    <w:rsid w:val="005737CB"/>
    <w:rsid w:val="00573AC9"/>
    <w:rsid w:val="005749C9"/>
    <w:rsid w:val="005754BE"/>
    <w:rsid w:val="0057559D"/>
    <w:rsid w:val="005820CA"/>
    <w:rsid w:val="0058242B"/>
    <w:rsid w:val="00582686"/>
    <w:rsid w:val="005830E4"/>
    <w:rsid w:val="0058453D"/>
    <w:rsid w:val="005847F5"/>
    <w:rsid w:val="00585D13"/>
    <w:rsid w:val="005862AB"/>
    <w:rsid w:val="005871FB"/>
    <w:rsid w:val="005874AB"/>
    <w:rsid w:val="00587881"/>
    <w:rsid w:val="00587D98"/>
    <w:rsid w:val="0059046D"/>
    <w:rsid w:val="00591113"/>
    <w:rsid w:val="005927B8"/>
    <w:rsid w:val="005933AB"/>
    <w:rsid w:val="00593888"/>
    <w:rsid w:val="00595574"/>
    <w:rsid w:val="005955D0"/>
    <w:rsid w:val="00596064"/>
    <w:rsid w:val="00596FBE"/>
    <w:rsid w:val="005A1B61"/>
    <w:rsid w:val="005A391B"/>
    <w:rsid w:val="005A615C"/>
    <w:rsid w:val="005B10F8"/>
    <w:rsid w:val="005B2852"/>
    <w:rsid w:val="005B30DE"/>
    <w:rsid w:val="005B397C"/>
    <w:rsid w:val="005B3B02"/>
    <w:rsid w:val="005B40F4"/>
    <w:rsid w:val="005B580C"/>
    <w:rsid w:val="005B743F"/>
    <w:rsid w:val="005C07D3"/>
    <w:rsid w:val="005C1330"/>
    <w:rsid w:val="005C1C21"/>
    <w:rsid w:val="005C39E3"/>
    <w:rsid w:val="005C3CA6"/>
    <w:rsid w:val="005C4036"/>
    <w:rsid w:val="005C40B1"/>
    <w:rsid w:val="005C4EA5"/>
    <w:rsid w:val="005C64A9"/>
    <w:rsid w:val="005D1D16"/>
    <w:rsid w:val="005D1DA9"/>
    <w:rsid w:val="005D30ED"/>
    <w:rsid w:val="005D7565"/>
    <w:rsid w:val="005D7CAD"/>
    <w:rsid w:val="005E073D"/>
    <w:rsid w:val="005E0F77"/>
    <w:rsid w:val="005E225A"/>
    <w:rsid w:val="005E4056"/>
    <w:rsid w:val="005E40A6"/>
    <w:rsid w:val="005E40C0"/>
    <w:rsid w:val="005E5279"/>
    <w:rsid w:val="005E5826"/>
    <w:rsid w:val="005E5CAC"/>
    <w:rsid w:val="005E6BDD"/>
    <w:rsid w:val="005F1ED1"/>
    <w:rsid w:val="005F287B"/>
    <w:rsid w:val="005F2BE5"/>
    <w:rsid w:val="005F2FB5"/>
    <w:rsid w:val="005F482A"/>
    <w:rsid w:val="005F4EC6"/>
    <w:rsid w:val="005F6001"/>
    <w:rsid w:val="005F6CA2"/>
    <w:rsid w:val="005F776F"/>
    <w:rsid w:val="005F7F9E"/>
    <w:rsid w:val="006008CC"/>
    <w:rsid w:val="00600D55"/>
    <w:rsid w:val="006018EA"/>
    <w:rsid w:val="00607297"/>
    <w:rsid w:val="00607795"/>
    <w:rsid w:val="0061093C"/>
    <w:rsid w:val="00611183"/>
    <w:rsid w:val="0061200B"/>
    <w:rsid w:val="006123DE"/>
    <w:rsid w:val="00613A0B"/>
    <w:rsid w:val="00614489"/>
    <w:rsid w:val="0061604D"/>
    <w:rsid w:val="006161FB"/>
    <w:rsid w:val="00616556"/>
    <w:rsid w:val="00616CBE"/>
    <w:rsid w:val="00622DDF"/>
    <w:rsid w:val="00624496"/>
    <w:rsid w:val="00625898"/>
    <w:rsid w:val="00627208"/>
    <w:rsid w:val="00627893"/>
    <w:rsid w:val="00630244"/>
    <w:rsid w:val="006309C0"/>
    <w:rsid w:val="00634BC2"/>
    <w:rsid w:val="006364DA"/>
    <w:rsid w:val="00636B11"/>
    <w:rsid w:val="00636F34"/>
    <w:rsid w:val="00637BA7"/>
    <w:rsid w:val="00641F0F"/>
    <w:rsid w:val="00643774"/>
    <w:rsid w:val="00645AD1"/>
    <w:rsid w:val="006462D1"/>
    <w:rsid w:val="006466E7"/>
    <w:rsid w:val="00655A96"/>
    <w:rsid w:val="00655FC0"/>
    <w:rsid w:val="0065679E"/>
    <w:rsid w:val="00656B53"/>
    <w:rsid w:val="00656F48"/>
    <w:rsid w:val="006572F0"/>
    <w:rsid w:val="00657D34"/>
    <w:rsid w:val="00661A42"/>
    <w:rsid w:val="00663984"/>
    <w:rsid w:val="00665817"/>
    <w:rsid w:val="006667D6"/>
    <w:rsid w:val="00666BCB"/>
    <w:rsid w:val="0067107A"/>
    <w:rsid w:val="00671CAD"/>
    <w:rsid w:val="00672093"/>
    <w:rsid w:val="00672502"/>
    <w:rsid w:val="00673F68"/>
    <w:rsid w:val="00674864"/>
    <w:rsid w:val="00674AFE"/>
    <w:rsid w:val="006750D1"/>
    <w:rsid w:val="00676BF7"/>
    <w:rsid w:val="00677379"/>
    <w:rsid w:val="00677651"/>
    <w:rsid w:val="006801D8"/>
    <w:rsid w:val="006802F8"/>
    <w:rsid w:val="00680369"/>
    <w:rsid w:val="0068147C"/>
    <w:rsid w:val="00681516"/>
    <w:rsid w:val="00681A2E"/>
    <w:rsid w:val="00681D37"/>
    <w:rsid w:val="00682173"/>
    <w:rsid w:val="00684E34"/>
    <w:rsid w:val="00685198"/>
    <w:rsid w:val="006854D0"/>
    <w:rsid w:val="00686933"/>
    <w:rsid w:val="006925AA"/>
    <w:rsid w:val="006925BD"/>
    <w:rsid w:val="006929DE"/>
    <w:rsid w:val="006934E0"/>
    <w:rsid w:val="00695384"/>
    <w:rsid w:val="0069607B"/>
    <w:rsid w:val="006960EB"/>
    <w:rsid w:val="00696823"/>
    <w:rsid w:val="00696953"/>
    <w:rsid w:val="00696CCB"/>
    <w:rsid w:val="006A0222"/>
    <w:rsid w:val="006A0F06"/>
    <w:rsid w:val="006A22D2"/>
    <w:rsid w:val="006A2701"/>
    <w:rsid w:val="006A2926"/>
    <w:rsid w:val="006A2A5E"/>
    <w:rsid w:val="006A2F94"/>
    <w:rsid w:val="006A47CE"/>
    <w:rsid w:val="006A504E"/>
    <w:rsid w:val="006A522E"/>
    <w:rsid w:val="006A6C6D"/>
    <w:rsid w:val="006A7D5F"/>
    <w:rsid w:val="006B150E"/>
    <w:rsid w:val="006B1708"/>
    <w:rsid w:val="006B1912"/>
    <w:rsid w:val="006B1D90"/>
    <w:rsid w:val="006B3208"/>
    <w:rsid w:val="006B35D8"/>
    <w:rsid w:val="006B3D4F"/>
    <w:rsid w:val="006B3F54"/>
    <w:rsid w:val="006B7103"/>
    <w:rsid w:val="006B763A"/>
    <w:rsid w:val="006B789A"/>
    <w:rsid w:val="006C1E9C"/>
    <w:rsid w:val="006C2277"/>
    <w:rsid w:val="006C2BE2"/>
    <w:rsid w:val="006C2BEF"/>
    <w:rsid w:val="006C507A"/>
    <w:rsid w:val="006C57B9"/>
    <w:rsid w:val="006C5E1A"/>
    <w:rsid w:val="006C6A35"/>
    <w:rsid w:val="006C6FF2"/>
    <w:rsid w:val="006D0212"/>
    <w:rsid w:val="006D2407"/>
    <w:rsid w:val="006D2CA7"/>
    <w:rsid w:val="006D35D4"/>
    <w:rsid w:val="006D3BCF"/>
    <w:rsid w:val="006D411F"/>
    <w:rsid w:val="006D5127"/>
    <w:rsid w:val="006D70A7"/>
    <w:rsid w:val="006D7B6D"/>
    <w:rsid w:val="006D7C6F"/>
    <w:rsid w:val="006E079C"/>
    <w:rsid w:val="006E084A"/>
    <w:rsid w:val="006E169B"/>
    <w:rsid w:val="006E1739"/>
    <w:rsid w:val="006E2045"/>
    <w:rsid w:val="006E5AED"/>
    <w:rsid w:val="006E73A4"/>
    <w:rsid w:val="006E78DA"/>
    <w:rsid w:val="006F0373"/>
    <w:rsid w:val="006F067E"/>
    <w:rsid w:val="006F1B53"/>
    <w:rsid w:val="006F5EDC"/>
    <w:rsid w:val="006F7E67"/>
    <w:rsid w:val="007008B8"/>
    <w:rsid w:val="00701069"/>
    <w:rsid w:val="00701D98"/>
    <w:rsid w:val="00702DB3"/>
    <w:rsid w:val="00704FB5"/>
    <w:rsid w:val="0070565E"/>
    <w:rsid w:val="00706A61"/>
    <w:rsid w:val="00706EEB"/>
    <w:rsid w:val="0070740D"/>
    <w:rsid w:val="00712E04"/>
    <w:rsid w:val="00713C69"/>
    <w:rsid w:val="00715D2A"/>
    <w:rsid w:val="00715EB5"/>
    <w:rsid w:val="0072095D"/>
    <w:rsid w:val="00723203"/>
    <w:rsid w:val="0073016D"/>
    <w:rsid w:val="00730787"/>
    <w:rsid w:val="00731D26"/>
    <w:rsid w:val="00733B69"/>
    <w:rsid w:val="007348D7"/>
    <w:rsid w:val="00735D92"/>
    <w:rsid w:val="00736884"/>
    <w:rsid w:val="00737FD1"/>
    <w:rsid w:val="00740E2C"/>
    <w:rsid w:val="0074115D"/>
    <w:rsid w:val="00741CCE"/>
    <w:rsid w:val="00741FF1"/>
    <w:rsid w:val="00742C00"/>
    <w:rsid w:val="007447C7"/>
    <w:rsid w:val="00747410"/>
    <w:rsid w:val="00747A8A"/>
    <w:rsid w:val="00750C70"/>
    <w:rsid w:val="00751C32"/>
    <w:rsid w:val="007530B8"/>
    <w:rsid w:val="00753570"/>
    <w:rsid w:val="00753705"/>
    <w:rsid w:val="00753838"/>
    <w:rsid w:val="00753BFF"/>
    <w:rsid w:val="00755B23"/>
    <w:rsid w:val="00757714"/>
    <w:rsid w:val="00760870"/>
    <w:rsid w:val="00760DFA"/>
    <w:rsid w:val="00763B69"/>
    <w:rsid w:val="007642C4"/>
    <w:rsid w:val="00765748"/>
    <w:rsid w:val="00765E95"/>
    <w:rsid w:val="0076690D"/>
    <w:rsid w:val="00767465"/>
    <w:rsid w:val="00767A8A"/>
    <w:rsid w:val="00767E5E"/>
    <w:rsid w:val="0077004F"/>
    <w:rsid w:val="00771097"/>
    <w:rsid w:val="00771432"/>
    <w:rsid w:val="00771764"/>
    <w:rsid w:val="00771D72"/>
    <w:rsid w:val="007724D8"/>
    <w:rsid w:val="007725FD"/>
    <w:rsid w:val="00773F67"/>
    <w:rsid w:val="0077590A"/>
    <w:rsid w:val="00777A43"/>
    <w:rsid w:val="00780DB8"/>
    <w:rsid w:val="00780FE8"/>
    <w:rsid w:val="0078230C"/>
    <w:rsid w:val="00782B21"/>
    <w:rsid w:val="00783AA2"/>
    <w:rsid w:val="00783F4F"/>
    <w:rsid w:val="00784806"/>
    <w:rsid w:val="0078640E"/>
    <w:rsid w:val="007875F4"/>
    <w:rsid w:val="00791DED"/>
    <w:rsid w:val="00791EE7"/>
    <w:rsid w:val="00792026"/>
    <w:rsid w:val="007922BB"/>
    <w:rsid w:val="007923F9"/>
    <w:rsid w:val="00792EC9"/>
    <w:rsid w:val="007933D4"/>
    <w:rsid w:val="007950C2"/>
    <w:rsid w:val="007963F2"/>
    <w:rsid w:val="007971E8"/>
    <w:rsid w:val="00797538"/>
    <w:rsid w:val="007A0268"/>
    <w:rsid w:val="007A0A40"/>
    <w:rsid w:val="007A2B64"/>
    <w:rsid w:val="007A4995"/>
    <w:rsid w:val="007A6BC0"/>
    <w:rsid w:val="007A731B"/>
    <w:rsid w:val="007A7489"/>
    <w:rsid w:val="007A76DB"/>
    <w:rsid w:val="007A7CED"/>
    <w:rsid w:val="007A7EF0"/>
    <w:rsid w:val="007B1AAB"/>
    <w:rsid w:val="007B3D1E"/>
    <w:rsid w:val="007B58DD"/>
    <w:rsid w:val="007B64AF"/>
    <w:rsid w:val="007B6804"/>
    <w:rsid w:val="007B6F76"/>
    <w:rsid w:val="007C13C4"/>
    <w:rsid w:val="007C13F8"/>
    <w:rsid w:val="007C25CB"/>
    <w:rsid w:val="007C33E4"/>
    <w:rsid w:val="007C3539"/>
    <w:rsid w:val="007C467F"/>
    <w:rsid w:val="007C552A"/>
    <w:rsid w:val="007C5F74"/>
    <w:rsid w:val="007C7BA9"/>
    <w:rsid w:val="007D0577"/>
    <w:rsid w:val="007D061C"/>
    <w:rsid w:val="007D12CD"/>
    <w:rsid w:val="007D26EB"/>
    <w:rsid w:val="007D2744"/>
    <w:rsid w:val="007D3386"/>
    <w:rsid w:val="007D3745"/>
    <w:rsid w:val="007D3F1E"/>
    <w:rsid w:val="007D7655"/>
    <w:rsid w:val="007E0379"/>
    <w:rsid w:val="007E0D49"/>
    <w:rsid w:val="007E0E33"/>
    <w:rsid w:val="007E0F8D"/>
    <w:rsid w:val="007E1B30"/>
    <w:rsid w:val="007E278F"/>
    <w:rsid w:val="007E299E"/>
    <w:rsid w:val="007E2E94"/>
    <w:rsid w:val="007E3666"/>
    <w:rsid w:val="007E463B"/>
    <w:rsid w:val="007E4B37"/>
    <w:rsid w:val="007E4FA0"/>
    <w:rsid w:val="007E547D"/>
    <w:rsid w:val="007E5635"/>
    <w:rsid w:val="007E7583"/>
    <w:rsid w:val="007E76EC"/>
    <w:rsid w:val="007E7EB0"/>
    <w:rsid w:val="007F0EF9"/>
    <w:rsid w:val="007F0F10"/>
    <w:rsid w:val="007F1526"/>
    <w:rsid w:val="007F19F9"/>
    <w:rsid w:val="007F33B0"/>
    <w:rsid w:val="007F3F9D"/>
    <w:rsid w:val="007F4A59"/>
    <w:rsid w:val="007F4DAE"/>
    <w:rsid w:val="007F4ED8"/>
    <w:rsid w:val="007F5936"/>
    <w:rsid w:val="007F68C2"/>
    <w:rsid w:val="007F6C5A"/>
    <w:rsid w:val="008013FE"/>
    <w:rsid w:val="0080209D"/>
    <w:rsid w:val="00802A1F"/>
    <w:rsid w:val="00803159"/>
    <w:rsid w:val="008032ED"/>
    <w:rsid w:val="00807707"/>
    <w:rsid w:val="00807E5D"/>
    <w:rsid w:val="0081097B"/>
    <w:rsid w:val="00810B90"/>
    <w:rsid w:val="0081102D"/>
    <w:rsid w:val="00811204"/>
    <w:rsid w:val="0081352B"/>
    <w:rsid w:val="008142B9"/>
    <w:rsid w:val="00816019"/>
    <w:rsid w:val="0081659F"/>
    <w:rsid w:val="008168FD"/>
    <w:rsid w:val="00817576"/>
    <w:rsid w:val="00817707"/>
    <w:rsid w:val="008205AE"/>
    <w:rsid w:val="0082216D"/>
    <w:rsid w:val="008227ED"/>
    <w:rsid w:val="00823B38"/>
    <w:rsid w:val="0082430D"/>
    <w:rsid w:val="008253E8"/>
    <w:rsid w:val="00827A13"/>
    <w:rsid w:val="00831174"/>
    <w:rsid w:val="00833BBE"/>
    <w:rsid w:val="0084201A"/>
    <w:rsid w:val="00842AA1"/>
    <w:rsid w:val="0084365C"/>
    <w:rsid w:val="00843DF9"/>
    <w:rsid w:val="00845534"/>
    <w:rsid w:val="00846975"/>
    <w:rsid w:val="00847AB2"/>
    <w:rsid w:val="00851AEB"/>
    <w:rsid w:val="00851F1A"/>
    <w:rsid w:val="00852308"/>
    <w:rsid w:val="008523DB"/>
    <w:rsid w:val="00852404"/>
    <w:rsid w:val="00853B03"/>
    <w:rsid w:val="00853F19"/>
    <w:rsid w:val="00854CD2"/>
    <w:rsid w:val="00855B04"/>
    <w:rsid w:val="00856125"/>
    <w:rsid w:val="00856C10"/>
    <w:rsid w:val="00856CAF"/>
    <w:rsid w:val="00860889"/>
    <w:rsid w:val="00861C3F"/>
    <w:rsid w:val="00863A40"/>
    <w:rsid w:val="008659E7"/>
    <w:rsid w:val="00866811"/>
    <w:rsid w:val="00866E72"/>
    <w:rsid w:val="00870C14"/>
    <w:rsid w:val="008711F9"/>
    <w:rsid w:val="00871249"/>
    <w:rsid w:val="00872136"/>
    <w:rsid w:val="00872502"/>
    <w:rsid w:val="008725D0"/>
    <w:rsid w:val="00872744"/>
    <w:rsid w:val="00874E52"/>
    <w:rsid w:val="00874FA4"/>
    <w:rsid w:val="0087524E"/>
    <w:rsid w:val="00876DAA"/>
    <w:rsid w:val="00877097"/>
    <w:rsid w:val="0088156B"/>
    <w:rsid w:val="0088356E"/>
    <w:rsid w:val="00883D6B"/>
    <w:rsid w:val="00884007"/>
    <w:rsid w:val="00885E40"/>
    <w:rsid w:val="0088660A"/>
    <w:rsid w:val="00890FA4"/>
    <w:rsid w:val="00891E1A"/>
    <w:rsid w:val="00891F81"/>
    <w:rsid w:val="00897BFE"/>
    <w:rsid w:val="008A2DFE"/>
    <w:rsid w:val="008A36BB"/>
    <w:rsid w:val="008A4A10"/>
    <w:rsid w:val="008A505E"/>
    <w:rsid w:val="008A5415"/>
    <w:rsid w:val="008A5450"/>
    <w:rsid w:val="008A55C0"/>
    <w:rsid w:val="008A6B0E"/>
    <w:rsid w:val="008A7A62"/>
    <w:rsid w:val="008B0412"/>
    <w:rsid w:val="008B0A83"/>
    <w:rsid w:val="008B0B64"/>
    <w:rsid w:val="008B32E2"/>
    <w:rsid w:val="008B3BC1"/>
    <w:rsid w:val="008C0AB4"/>
    <w:rsid w:val="008C105C"/>
    <w:rsid w:val="008C1B24"/>
    <w:rsid w:val="008C3305"/>
    <w:rsid w:val="008C34EA"/>
    <w:rsid w:val="008C3E7A"/>
    <w:rsid w:val="008C3EE4"/>
    <w:rsid w:val="008C4174"/>
    <w:rsid w:val="008C44C8"/>
    <w:rsid w:val="008C49E8"/>
    <w:rsid w:val="008D42B6"/>
    <w:rsid w:val="008D449C"/>
    <w:rsid w:val="008D7500"/>
    <w:rsid w:val="008E0E96"/>
    <w:rsid w:val="008E0FCF"/>
    <w:rsid w:val="008E2FDB"/>
    <w:rsid w:val="008E368F"/>
    <w:rsid w:val="008E454B"/>
    <w:rsid w:val="008E683D"/>
    <w:rsid w:val="008E7969"/>
    <w:rsid w:val="008F050A"/>
    <w:rsid w:val="008F0774"/>
    <w:rsid w:val="008F10E9"/>
    <w:rsid w:val="008F1341"/>
    <w:rsid w:val="008F2638"/>
    <w:rsid w:val="008F3035"/>
    <w:rsid w:val="008F3CC0"/>
    <w:rsid w:val="008F40F3"/>
    <w:rsid w:val="008F4335"/>
    <w:rsid w:val="008F5021"/>
    <w:rsid w:val="008F545F"/>
    <w:rsid w:val="008F69FE"/>
    <w:rsid w:val="008F6BF9"/>
    <w:rsid w:val="00901465"/>
    <w:rsid w:val="009014F2"/>
    <w:rsid w:val="009017CA"/>
    <w:rsid w:val="009031EA"/>
    <w:rsid w:val="009038B1"/>
    <w:rsid w:val="00904721"/>
    <w:rsid w:val="00905011"/>
    <w:rsid w:val="00906752"/>
    <w:rsid w:val="0090679E"/>
    <w:rsid w:val="00906D51"/>
    <w:rsid w:val="009111D7"/>
    <w:rsid w:val="0091262F"/>
    <w:rsid w:val="009127A8"/>
    <w:rsid w:val="009134B8"/>
    <w:rsid w:val="009138C8"/>
    <w:rsid w:val="00913F69"/>
    <w:rsid w:val="00914663"/>
    <w:rsid w:val="0092071B"/>
    <w:rsid w:val="00920B4E"/>
    <w:rsid w:val="00920D51"/>
    <w:rsid w:val="009211F6"/>
    <w:rsid w:val="00921B19"/>
    <w:rsid w:val="009220D5"/>
    <w:rsid w:val="0092261F"/>
    <w:rsid w:val="00922C28"/>
    <w:rsid w:val="00922E0B"/>
    <w:rsid w:val="00925510"/>
    <w:rsid w:val="00925916"/>
    <w:rsid w:val="00927109"/>
    <w:rsid w:val="009273D5"/>
    <w:rsid w:val="009277DC"/>
    <w:rsid w:val="0093190F"/>
    <w:rsid w:val="00931AA9"/>
    <w:rsid w:val="00932032"/>
    <w:rsid w:val="0093306E"/>
    <w:rsid w:val="00934B4F"/>
    <w:rsid w:val="009357B0"/>
    <w:rsid w:val="00936F2B"/>
    <w:rsid w:val="0093732D"/>
    <w:rsid w:val="00937574"/>
    <w:rsid w:val="00937DC5"/>
    <w:rsid w:val="00940734"/>
    <w:rsid w:val="009412D3"/>
    <w:rsid w:val="009414BA"/>
    <w:rsid w:val="00941E2E"/>
    <w:rsid w:val="0094602E"/>
    <w:rsid w:val="00946422"/>
    <w:rsid w:val="009508DC"/>
    <w:rsid w:val="00952B55"/>
    <w:rsid w:val="00952D3E"/>
    <w:rsid w:val="0095348A"/>
    <w:rsid w:val="0095411F"/>
    <w:rsid w:val="009559DC"/>
    <w:rsid w:val="00956089"/>
    <w:rsid w:val="009565D1"/>
    <w:rsid w:val="00957906"/>
    <w:rsid w:val="00960D7E"/>
    <w:rsid w:val="00962465"/>
    <w:rsid w:val="0096264F"/>
    <w:rsid w:val="00963140"/>
    <w:rsid w:val="009643DA"/>
    <w:rsid w:val="00965131"/>
    <w:rsid w:val="00966F91"/>
    <w:rsid w:val="00967AA1"/>
    <w:rsid w:val="00967F70"/>
    <w:rsid w:val="009735D5"/>
    <w:rsid w:val="00973EC3"/>
    <w:rsid w:val="009749FC"/>
    <w:rsid w:val="00974B8E"/>
    <w:rsid w:val="00974E7B"/>
    <w:rsid w:val="00974EAA"/>
    <w:rsid w:val="009776DC"/>
    <w:rsid w:val="0097778E"/>
    <w:rsid w:val="009806ED"/>
    <w:rsid w:val="00984DDA"/>
    <w:rsid w:val="009859CF"/>
    <w:rsid w:val="00991F35"/>
    <w:rsid w:val="00992E05"/>
    <w:rsid w:val="0099310B"/>
    <w:rsid w:val="00993C19"/>
    <w:rsid w:val="0099437F"/>
    <w:rsid w:val="00994BA1"/>
    <w:rsid w:val="0099530F"/>
    <w:rsid w:val="009962C2"/>
    <w:rsid w:val="00996863"/>
    <w:rsid w:val="00996EE2"/>
    <w:rsid w:val="009A222D"/>
    <w:rsid w:val="009A2431"/>
    <w:rsid w:val="009A31D6"/>
    <w:rsid w:val="009A4378"/>
    <w:rsid w:val="009A4D45"/>
    <w:rsid w:val="009A5797"/>
    <w:rsid w:val="009A752E"/>
    <w:rsid w:val="009A7AEF"/>
    <w:rsid w:val="009B02AB"/>
    <w:rsid w:val="009B0705"/>
    <w:rsid w:val="009B2719"/>
    <w:rsid w:val="009B3F63"/>
    <w:rsid w:val="009B613A"/>
    <w:rsid w:val="009C14B2"/>
    <w:rsid w:val="009C1B0A"/>
    <w:rsid w:val="009C2B25"/>
    <w:rsid w:val="009C3A35"/>
    <w:rsid w:val="009C4529"/>
    <w:rsid w:val="009C4EFC"/>
    <w:rsid w:val="009C528B"/>
    <w:rsid w:val="009C5874"/>
    <w:rsid w:val="009C6AAA"/>
    <w:rsid w:val="009D0F45"/>
    <w:rsid w:val="009D174D"/>
    <w:rsid w:val="009D26EE"/>
    <w:rsid w:val="009D27F9"/>
    <w:rsid w:val="009D3CF5"/>
    <w:rsid w:val="009D4228"/>
    <w:rsid w:val="009D704B"/>
    <w:rsid w:val="009E1301"/>
    <w:rsid w:val="009E181B"/>
    <w:rsid w:val="009E2A89"/>
    <w:rsid w:val="009E3841"/>
    <w:rsid w:val="009E3B21"/>
    <w:rsid w:val="009E4624"/>
    <w:rsid w:val="009E4B29"/>
    <w:rsid w:val="009F14D6"/>
    <w:rsid w:val="009F1A12"/>
    <w:rsid w:val="009F21B7"/>
    <w:rsid w:val="009F3746"/>
    <w:rsid w:val="009F4AB5"/>
    <w:rsid w:val="009F51A9"/>
    <w:rsid w:val="009F5456"/>
    <w:rsid w:val="009F54A4"/>
    <w:rsid w:val="009F570B"/>
    <w:rsid w:val="009F6A21"/>
    <w:rsid w:val="00A010A6"/>
    <w:rsid w:val="00A017D7"/>
    <w:rsid w:val="00A01EDF"/>
    <w:rsid w:val="00A02181"/>
    <w:rsid w:val="00A0359F"/>
    <w:rsid w:val="00A041A9"/>
    <w:rsid w:val="00A049DB"/>
    <w:rsid w:val="00A04F1C"/>
    <w:rsid w:val="00A04F8F"/>
    <w:rsid w:val="00A0784F"/>
    <w:rsid w:val="00A07C6A"/>
    <w:rsid w:val="00A07FF2"/>
    <w:rsid w:val="00A102C4"/>
    <w:rsid w:val="00A11478"/>
    <w:rsid w:val="00A11C48"/>
    <w:rsid w:val="00A133D0"/>
    <w:rsid w:val="00A13A2A"/>
    <w:rsid w:val="00A15B90"/>
    <w:rsid w:val="00A161A8"/>
    <w:rsid w:val="00A171C2"/>
    <w:rsid w:val="00A177A5"/>
    <w:rsid w:val="00A20187"/>
    <w:rsid w:val="00A206E7"/>
    <w:rsid w:val="00A225BD"/>
    <w:rsid w:val="00A23CE3"/>
    <w:rsid w:val="00A240A8"/>
    <w:rsid w:val="00A246E9"/>
    <w:rsid w:val="00A30E0F"/>
    <w:rsid w:val="00A3202E"/>
    <w:rsid w:val="00A3214D"/>
    <w:rsid w:val="00A322E0"/>
    <w:rsid w:val="00A332AF"/>
    <w:rsid w:val="00A333CB"/>
    <w:rsid w:val="00A34DFE"/>
    <w:rsid w:val="00A3591C"/>
    <w:rsid w:val="00A35AEE"/>
    <w:rsid w:val="00A37429"/>
    <w:rsid w:val="00A4066E"/>
    <w:rsid w:val="00A40733"/>
    <w:rsid w:val="00A40785"/>
    <w:rsid w:val="00A41166"/>
    <w:rsid w:val="00A426E8"/>
    <w:rsid w:val="00A430A5"/>
    <w:rsid w:val="00A432ED"/>
    <w:rsid w:val="00A44B72"/>
    <w:rsid w:val="00A44FFA"/>
    <w:rsid w:val="00A4574F"/>
    <w:rsid w:val="00A45A40"/>
    <w:rsid w:val="00A46048"/>
    <w:rsid w:val="00A47DAD"/>
    <w:rsid w:val="00A508B7"/>
    <w:rsid w:val="00A50FA6"/>
    <w:rsid w:val="00A5299B"/>
    <w:rsid w:val="00A542D4"/>
    <w:rsid w:val="00A545B5"/>
    <w:rsid w:val="00A55B42"/>
    <w:rsid w:val="00A55BB0"/>
    <w:rsid w:val="00A564FF"/>
    <w:rsid w:val="00A57A1E"/>
    <w:rsid w:val="00A613B6"/>
    <w:rsid w:val="00A61FF1"/>
    <w:rsid w:val="00A6330C"/>
    <w:rsid w:val="00A64EBE"/>
    <w:rsid w:val="00A65F0A"/>
    <w:rsid w:val="00A6623C"/>
    <w:rsid w:val="00A663FB"/>
    <w:rsid w:val="00A6645A"/>
    <w:rsid w:val="00A66543"/>
    <w:rsid w:val="00A66B05"/>
    <w:rsid w:val="00A66F6C"/>
    <w:rsid w:val="00A6762B"/>
    <w:rsid w:val="00A67BC5"/>
    <w:rsid w:val="00A710DE"/>
    <w:rsid w:val="00A7294C"/>
    <w:rsid w:val="00A73D19"/>
    <w:rsid w:val="00A740FB"/>
    <w:rsid w:val="00A7445C"/>
    <w:rsid w:val="00A74C34"/>
    <w:rsid w:val="00A75519"/>
    <w:rsid w:val="00A75729"/>
    <w:rsid w:val="00A80C29"/>
    <w:rsid w:val="00A81133"/>
    <w:rsid w:val="00A8162F"/>
    <w:rsid w:val="00A826CC"/>
    <w:rsid w:val="00A835F5"/>
    <w:rsid w:val="00A849AE"/>
    <w:rsid w:val="00A84A46"/>
    <w:rsid w:val="00A87635"/>
    <w:rsid w:val="00A91685"/>
    <w:rsid w:val="00A91950"/>
    <w:rsid w:val="00A9212C"/>
    <w:rsid w:val="00A926BD"/>
    <w:rsid w:val="00A940B9"/>
    <w:rsid w:val="00A94145"/>
    <w:rsid w:val="00A945DE"/>
    <w:rsid w:val="00A96815"/>
    <w:rsid w:val="00A96F9A"/>
    <w:rsid w:val="00A977B5"/>
    <w:rsid w:val="00AA06CA"/>
    <w:rsid w:val="00AA0F4A"/>
    <w:rsid w:val="00AA2E31"/>
    <w:rsid w:val="00AA529D"/>
    <w:rsid w:val="00AA7B5D"/>
    <w:rsid w:val="00AB0BC3"/>
    <w:rsid w:val="00AB2285"/>
    <w:rsid w:val="00AB39D7"/>
    <w:rsid w:val="00AB48D5"/>
    <w:rsid w:val="00AB5345"/>
    <w:rsid w:val="00AB551F"/>
    <w:rsid w:val="00AB6F83"/>
    <w:rsid w:val="00AB7752"/>
    <w:rsid w:val="00AC13C6"/>
    <w:rsid w:val="00AC16E9"/>
    <w:rsid w:val="00AC2675"/>
    <w:rsid w:val="00AC2A82"/>
    <w:rsid w:val="00AC416D"/>
    <w:rsid w:val="00AC549B"/>
    <w:rsid w:val="00AC5D7C"/>
    <w:rsid w:val="00AC5E02"/>
    <w:rsid w:val="00AC6E22"/>
    <w:rsid w:val="00AD0262"/>
    <w:rsid w:val="00AD053C"/>
    <w:rsid w:val="00AD07E6"/>
    <w:rsid w:val="00AD2031"/>
    <w:rsid w:val="00AD2313"/>
    <w:rsid w:val="00AD3451"/>
    <w:rsid w:val="00AD43D7"/>
    <w:rsid w:val="00AD4AFE"/>
    <w:rsid w:val="00AD4B43"/>
    <w:rsid w:val="00AD4F8E"/>
    <w:rsid w:val="00AD560B"/>
    <w:rsid w:val="00AD64A1"/>
    <w:rsid w:val="00AE2689"/>
    <w:rsid w:val="00AE2806"/>
    <w:rsid w:val="00AE2951"/>
    <w:rsid w:val="00AE2BC6"/>
    <w:rsid w:val="00AE34A7"/>
    <w:rsid w:val="00AE3750"/>
    <w:rsid w:val="00AE39DE"/>
    <w:rsid w:val="00AE5BE4"/>
    <w:rsid w:val="00AE6045"/>
    <w:rsid w:val="00AE792C"/>
    <w:rsid w:val="00AF14C3"/>
    <w:rsid w:val="00AF2EC0"/>
    <w:rsid w:val="00AF52F3"/>
    <w:rsid w:val="00AF5C99"/>
    <w:rsid w:val="00AF6B44"/>
    <w:rsid w:val="00AF77C5"/>
    <w:rsid w:val="00AF7AEF"/>
    <w:rsid w:val="00B00373"/>
    <w:rsid w:val="00B00542"/>
    <w:rsid w:val="00B032BE"/>
    <w:rsid w:val="00B04B6D"/>
    <w:rsid w:val="00B069DA"/>
    <w:rsid w:val="00B071D9"/>
    <w:rsid w:val="00B07A7D"/>
    <w:rsid w:val="00B07F93"/>
    <w:rsid w:val="00B10971"/>
    <w:rsid w:val="00B15176"/>
    <w:rsid w:val="00B17419"/>
    <w:rsid w:val="00B17E8B"/>
    <w:rsid w:val="00B20FD0"/>
    <w:rsid w:val="00B212AD"/>
    <w:rsid w:val="00B21A4A"/>
    <w:rsid w:val="00B21BB2"/>
    <w:rsid w:val="00B21C9B"/>
    <w:rsid w:val="00B2263F"/>
    <w:rsid w:val="00B23D41"/>
    <w:rsid w:val="00B249E4"/>
    <w:rsid w:val="00B24BC9"/>
    <w:rsid w:val="00B25610"/>
    <w:rsid w:val="00B25CA7"/>
    <w:rsid w:val="00B26A1F"/>
    <w:rsid w:val="00B272D7"/>
    <w:rsid w:val="00B31B4C"/>
    <w:rsid w:val="00B32A72"/>
    <w:rsid w:val="00B33BA0"/>
    <w:rsid w:val="00B34736"/>
    <w:rsid w:val="00B35CB9"/>
    <w:rsid w:val="00B40059"/>
    <w:rsid w:val="00B41CED"/>
    <w:rsid w:val="00B42E63"/>
    <w:rsid w:val="00B43401"/>
    <w:rsid w:val="00B43FD3"/>
    <w:rsid w:val="00B44B9F"/>
    <w:rsid w:val="00B44C81"/>
    <w:rsid w:val="00B461C8"/>
    <w:rsid w:val="00B502B5"/>
    <w:rsid w:val="00B5159A"/>
    <w:rsid w:val="00B54176"/>
    <w:rsid w:val="00B5771E"/>
    <w:rsid w:val="00B60726"/>
    <w:rsid w:val="00B60F92"/>
    <w:rsid w:val="00B61B6E"/>
    <w:rsid w:val="00B63280"/>
    <w:rsid w:val="00B63E4B"/>
    <w:rsid w:val="00B648E5"/>
    <w:rsid w:val="00B648EE"/>
    <w:rsid w:val="00B649D3"/>
    <w:rsid w:val="00B65536"/>
    <w:rsid w:val="00B65609"/>
    <w:rsid w:val="00B65C6C"/>
    <w:rsid w:val="00B676E8"/>
    <w:rsid w:val="00B7100D"/>
    <w:rsid w:val="00B71249"/>
    <w:rsid w:val="00B717DE"/>
    <w:rsid w:val="00B7485F"/>
    <w:rsid w:val="00B76107"/>
    <w:rsid w:val="00B765EA"/>
    <w:rsid w:val="00B774B1"/>
    <w:rsid w:val="00B77F1C"/>
    <w:rsid w:val="00B8086A"/>
    <w:rsid w:val="00B80D60"/>
    <w:rsid w:val="00B813D5"/>
    <w:rsid w:val="00B836B5"/>
    <w:rsid w:val="00B84B0F"/>
    <w:rsid w:val="00B856D2"/>
    <w:rsid w:val="00B85848"/>
    <w:rsid w:val="00B858FC"/>
    <w:rsid w:val="00B87BA9"/>
    <w:rsid w:val="00B87C5B"/>
    <w:rsid w:val="00B918E2"/>
    <w:rsid w:val="00B92CA8"/>
    <w:rsid w:val="00B9524A"/>
    <w:rsid w:val="00B97036"/>
    <w:rsid w:val="00B97255"/>
    <w:rsid w:val="00B97523"/>
    <w:rsid w:val="00B977BD"/>
    <w:rsid w:val="00BA0CB5"/>
    <w:rsid w:val="00BA239A"/>
    <w:rsid w:val="00BA257A"/>
    <w:rsid w:val="00BA4BEC"/>
    <w:rsid w:val="00BA5AE9"/>
    <w:rsid w:val="00BA73D7"/>
    <w:rsid w:val="00BB061A"/>
    <w:rsid w:val="00BB0F97"/>
    <w:rsid w:val="00BB48F6"/>
    <w:rsid w:val="00BB652D"/>
    <w:rsid w:val="00BB6DC4"/>
    <w:rsid w:val="00BB7CDC"/>
    <w:rsid w:val="00BC24F7"/>
    <w:rsid w:val="00BC39ED"/>
    <w:rsid w:val="00BC4167"/>
    <w:rsid w:val="00BC4BBC"/>
    <w:rsid w:val="00BC5E5A"/>
    <w:rsid w:val="00BC7883"/>
    <w:rsid w:val="00BD3005"/>
    <w:rsid w:val="00BD646A"/>
    <w:rsid w:val="00BD6E36"/>
    <w:rsid w:val="00BE0007"/>
    <w:rsid w:val="00BE037C"/>
    <w:rsid w:val="00BE2741"/>
    <w:rsid w:val="00BE3306"/>
    <w:rsid w:val="00BE6232"/>
    <w:rsid w:val="00BE7DCE"/>
    <w:rsid w:val="00BF0B35"/>
    <w:rsid w:val="00BF1837"/>
    <w:rsid w:val="00BF2320"/>
    <w:rsid w:val="00BF28CD"/>
    <w:rsid w:val="00BF3345"/>
    <w:rsid w:val="00BF5CCF"/>
    <w:rsid w:val="00BF6160"/>
    <w:rsid w:val="00BF6F5F"/>
    <w:rsid w:val="00C03044"/>
    <w:rsid w:val="00C047E5"/>
    <w:rsid w:val="00C05229"/>
    <w:rsid w:val="00C05A93"/>
    <w:rsid w:val="00C069CA"/>
    <w:rsid w:val="00C06EE8"/>
    <w:rsid w:val="00C1349E"/>
    <w:rsid w:val="00C15601"/>
    <w:rsid w:val="00C16E22"/>
    <w:rsid w:val="00C17B89"/>
    <w:rsid w:val="00C21EBF"/>
    <w:rsid w:val="00C25366"/>
    <w:rsid w:val="00C257A9"/>
    <w:rsid w:val="00C25822"/>
    <w:rsid w:val="00C25F67"/>
    <w:rsid w:val="00C25FA8"/>
    <w:rsid w:val="00C263B1"/>
    <w:rsid w:val="00C26AE9"/>
    <w:rsid w:val="00C3032D"/>
    <w:rsid w:val="00C30CB6"/>
    <w:rsid w:val="00C31A81"/>
    <w:rsid w:val="00C32B9D"/>
    <w:rsid w:val="00C32F1C"/>
    <w:rsid w:val="00C333AC"/>
    <w:rsid w:val="00C334AE"/>
    <w:rsid w:val="00C34C6F"/>
    <w:rsid w:val="00C3639C"/>
    <w:rsid w:val="00C36FBF"/>
    <w:rsid w:val="00C37010"/>
    <w:rsid w:val="00C37F35"/>
    <w:rsid w:val="00C41857"/>
    <w:rsid w:val="00C41AE3"/>
    <w:rsid w:val="00C422D8"/>
    <w:rsid w:val="00C4247F"/>
    <w:rsid w:val="00C42903"/>
    <w:rsid w:val="00C45F7E"/>
    <w:rsid w:val="00C46BD4"/>
    <w:rsid w:val="00C476FD"/>
    <w:rsid w:val="00C47BBA"/>
    <w:rsid w:val="00C51490"/>
    <w:rsid w:val="00C52884"/>
    <w:rsid w:val="00C52DC0"/>
    <w:rsid w:val="00C53BED"/>
    <w:rsid w:val="00C5417C"/>
    <w:rsid w:val="00C54F84"/>
    <w:rsid w:val="00C55990"/>
    <w:rsid w:val="00C566B7"/>
    <w:rsid w:val="00C57135"/>
    <w:rsid w:val="00C5794D"/>
    <w:rsid w:val="00C6084D"/>
    <w:rsid w:val="00C6106A"/>
    <w:rsid w:val="00C61583"/>
    <w:rsid w:val="00C62E1F"/>
    <w:rsid w:val="00C63729"/>
    <w:rsid w:val="00C6390E"/>
    <w:rsid w:val="00C64429"/>
    <w:rsid w:val="00C6633B"/>
    <w:rsid w:val="00C70BAA"/>
    <w:rsid w:val="00C7110A"/>
    <w:rsid w:val="00C71EF7"/>
    <w:rsid w:val="00C71FB5"/>
    <w:rsid w:val="00C721EF"/>
    <w:rsid w:val="00C72A93"/>
    <w:rsid w:val="00C73C77"/>
    <w:rsid w:val="00C73D67"/>
    <w:rsid w:val="00C7642E"/>
    <w:rsid w:val="00C77A6C"/>
    <w:rsid w:val="00C77F40"/>
    <w:rsid w:val="00C814F3"/>
    <w:rsid w:val="00C81A51"/>
    <w:rsid w:val="00C83193"/>
    <w:rsid w:val="00C835CB"/>
    <w:rsid w:val="00C844FF"/>
    <w:rsid w:val="00C85EBC"/>
    <w:rsid w:val="00C87D08"/>
    <w:rsid w:val="00C9236E"/>
    <w:rsid w:val="00C92E2B"/>
    <w:rsid w:val="00C939EA"/>
    <w:rsid w:val="00C93B54"/>
    <w:rsid w:val="00C93CF0"/>
    <w:rsid w:val="00C941A7"/>
    <w:rsid w:val="00C958CC"/>
    <w:rsid w:val="00C96B73"/>
    <w:rsid w:val="00C96C27"/>
    <w:rsid w:val="00C977C8"/>
    <w:rsid w:val="00CA1811"/>
    <w:rsid w:val="00CA182B"/>
    <w:rsid w:val="00CA1AB2"/>
    <w:rsid w:val="00CA1DBA"/>
    <w:rsid w:val="00CA2680"/>
    <w:rsid w:val="00CA3580"/>
    <w:rsid w:val="00CA3798"/>
    <w:rsid w:val="00CA3F76"/>
    <w:rsid w:val="00CA4E87"/>
    <w:rsid w:val="00CA4E8C"/>
    <w:rsid w:val="00CA58B7"/>
    <w:rsid w:val="00CA6FC5"/>
    <w:rsid w:val="00CA723B"/>
    <w:rsid w:val="00CA7BC9"/>
    <w:rsid w:val="00CB087C"/>
    <w:rsid w:val="00CB1CF6"/>
    <w:rsid w:val="00CB2223"/>
    <w:rsid w:val="00CB3E2B"/>
    <w:rsid w:val="00CB3E52"/>
    <w:rsid w:val="00CB4190"/>
    <w:rsid w:val="00CB4992"/>
    <w:rsid w:val="00CB4E41"/>
    <w:rsid w:val="00CB5F26"/>
    <w:rsid w:val="00CB7013"/>
    <w:rsid w:val="00CB739B"/>
    <w:rsid w:val="00CB7D1C"/>
    <w:rsid w:val="00CC06A8"/>
    <w:rsid w:val="00CC1933"/>
    <w:rsid w:val="00CC1BF5"/>
    <w:rsid w:val="00CC22DE"/>
    <w:rsid w:val="00CC2755"/>
    <w:rsid w:val="00CC4161"/>
    <w:rsid w:val="00CC5572"/>
    <w:rsid w:val="00CC6D3E"/>
    <w:rsid w:val="00CC6FE4"/>
    <w:rsid w:val="00CD207C"/>
    <w:rsid w:val="00CD40EF"/>
    <w:rsid w:val="00CD4BC9"/>
    <w:rsid w:val="00CD5A60"/>
    <w:rsid w:val="00CD73B3"/>
    <w:rsid w:val="00CD7BBE"/>
    <w:rsid w:val="00CD7BCF"/>
    <w:rsid w:val="00CE03E8"/>
    <w:rsid w:val="00CE0839"/>
    <w:rsid w:val="00CE11A2"/>
    <w:rsid w:val="00CE1E0A"/>
    <w:rsid w:val="00CE2B2E"/>
    <w:rsid w:val="00CE56D0"/>
    <w:rsid w:val="00CE58E3"/>
    <w:rsid w:val="00CE5D23"/>
    <w:rsid w:val="00CE6FAC"/>
    <w:rsid w:val="00CE70F2"/>
    <w:rsid w:val="00CE7180"/>
    <w:rsid w:val="00CE72DB"/>
    <w:rsid w:val="00CF0B9E"/>
    <w:rsid w:val="00CF1A47"/>
    <w:rsid w:val="00CF35D1"/>
    <w:rsid w:val="00CF3853"/>
    <w:rsid w:val="00CF4AED"/>
    <w:rsid w:val="00CF6749"/>
    <w:rsid w:val="00CF6D5E"/>
    <w:rsid w:val="00CF6FDA"/>
    <w:rsid w:val="00CF7754"/>
    <w:rsid w:val="00D02EA4"/>
    <w:rsid w:val="00D02EE3"/>
    <w:rsid w:val="00D061B3"/>
    <w:rsid w:val="00D06515"/>
    <w:rsid w:val="00D067C7"/>
    <w:rsid w:val="00D0685B"/>
    <w:rsid w:val="00D10091"/>
    <w:rsid w:val="00D10193"/>
    <w:rsid w:val="00D102A5"/>
    <w:rsid w:val="00D1072B"/>
    <w:rsid w:val="00D10FE3"/>
    <w:rsid w:val="00D115B5"/>
    <w:rsid w:val="00D12845"/>
    <w:rsid w:val="00D12CCE"/>
    <w:rsid w:val="00D13999"/>
    <w:rsid w:val="00D17BB7"/>
    <w:rsid w:val="00D25AEE"/>
    <w:rsid w:val="00D264A8"/>
    <w:rsid w:val="00D2687E"/>
    <w:rsid w:val="00D26F32"/>
    <w:rsid w:val="00D27199"/>
    <w:rsid w:val="00D30BB2"/>
    <w:rsid w:val="00D34F83"/>
    <w:rsid w:val="00D351DE"/>
    <w:rsid w:val="00D36A18"/>
    <w:rsid w:val="00D36A51"/>
    <w:rsid w:val="00D415B5"/>
    <w:rsid w:val="00D42735"/>
    <w:rsid w:val="00D4381E"/>
    <w:rsid w:val="00D439AA"/>
    <w:rsid w:val="00D441C6"/>
    <w:rsid w:val="00D45581"/>
    <w:rsid w:val="00D479A0"/>
    <w:rsid w:val="00D50366"/>
    <w:rsid w:val="00D50A88"/>
    <w:rsid w:val="00D50C2E"/>
    <w:rsid w:val="00D51A33"/>
    <w:rsid w:val="00D51BDA"/>
    <w:rsid w:val="00D52378"/>
    <w:rsid w:val="00D525CC"/>
    <w:rsid w:val="00D5283B"/>
    <w:rsid w:val="00D52D4F"/>
    <w:rsid w:val="00D53EFA"/>
    <w:rsid w:val="00D540AC"/>
    <w:rsid w:val="00D55F64"/>
    <w:rsid w:val="00D56B1B"/>
    <w:rsid w:val="00D5712D"/>
    <w:rsid w:val="00D60A76"/>
    <w:rsid w:val="00D614C5"/>
    <w:rsid w:val="00D63333"/>
    <w:rsid w:val="00D6405C"/>
    <w:rsid w:val="00D6464E"/>
    <w:rsid w:val="00D66901"/>
    <w:rsid w:val="00D70622"/>
    <w:rsid w:val="00D70C43"/>
    <w:rsid w:val="00D7109F"/>
    <w:rsid w:val="00D72FBB"/>
    <w:rsid w:val="00D7412C"/>
    <w:rsid w:val="00D7429E"/>
    <w:rsid w:val="00D74EAA"/>
    <w:rsid w:val="00D75A3E"/>
    <w:rsid w:val="00D7623D"/>
    <w:rsid w:val="00D776E1"/>
    <w:rsid w:val="00D804FC"/>
    <w:rsid w:val="00D81836"/>
    <w:rsid w:val="00D82BB6"/>
    <w:rsid w:val="00D83435"/>
    <w:rsid w:val="00D84B8F"/>
    <w:rsid w:val="00D8515B"/>
    <w:rsid w:val="00D85CAD"/>
    <w:rsid w:val="00D85CE5"/>
    <w:rsid w:val="00D871F8"/>
    <w:rsid w:val="00D8754C"/>
    <w:rsid w:val="00D87E01"/>
    <w:rsid w:val="00D9045C"/>
    <w:rsid w:val="00D917EC"/>
    <w:rsid w:val="00D91E6A"/>
    <w:rsid w:val="00D924DE"/>
    <w:rsid w:val="00D93347"/>
    <w:rsid w:val="00D944E8"/>
    <w:rsid w:val="00D94CE2"/>
    <w:rsid w:val="00D950BE"/>
    <w:rsid w:val="00D959EC"/>
    <w:rsid w:val="00D9675F"/>
    <w:rsid w:val="00D97E20"/>
    <w:rsid w:val="00DA0592"/>
    <w:rsid w:val="00DA11A9"/>
    <w:rsid w:val="00DA3712"/>
    <w:rsid w:val="00DA3825"/>
    <w:rsid w:val="00DA4A9A"/>
    <w:rsid w:val="00DA6100"/>
    <w:rsid w:val="00DA612F"/>
    <w:rsid w:val="00DB0D5B"/>
    <w:rsid w:val="00DB2173"/>
    <w:rsid w:val="00DB2953"/>
    <w:rsid w:val="00DB3BA2"/>
    <w:rsid w:val="00DB4CFA"/>
    <w:rsid w:val="00DB5166"/>
    <w:rsid w:val="00DB5335"/>
    <w:rsid w:val="00DB6658"/>
    <w:rsid w:val="00DB6FD5"/>
    <w:rsid w:val="00DB7BD4"/>
    <w:rsid w:val="00DC11D8"/>
    <w:rsid w:val="00DC18D0"/>
    <w:rsid w:val="00DC227D"/>
    <w:rsid w:val="00DC3293"/>
    <w:rsid w:val="00DC4610"/>
    <w:rsid w:val="00DC599D"/>
    <w:rsid w:val="00DC7F8C"/>
    <w:rsid w:val="00DD15FE"/>
    <w:rsid w:val="00DD1B33"/>
    <w:rsid w:val="00DD1E89"/>
    <w:rsid w:val="00DD28F8"/>
    <w:rsid w:val="00DD348C"/>
    <w:rsid w:val="00DD4426"/>
    <w:rsid w:val="00DD46AD"/>
    <w:rsid w:val="00DE021B"/>
    <w:rsid w:val="00DE06A8"/>
    <w:rsid w:val="00DE1BB8"/>
    <w:rsid w:val="00DE1C0E"/>
    <w:rsid w:val="00DE3C9D"/>
    <w:rsid w:val="00DE3EB7"/>
    <w:rsid w:val="00DE41DB"/>
    <w:rsid w:val="00DE46A9"/>
    <w:rsid w:val="00DE52CF"/>
    <w:rsid w:val="00DE54C5"/>
    <w:rsid w:val="00DE68A0"/>
    <w:rsid w:val="00DE6D0E"/>
    <w:rsid w:val="00DE77B3"/>
    <w:rsid w:val="00DE797C"/>
    <w:rsid w:val="00DF0460"/>
    <w:rsid w:val="00DF0EC3"/>
    <w:rsid w:val="00DF28D5"/>
    <w:rsid w:val="00DF2911"/>
    <w:rsid w:val="00DF5D45"/>
    <w:rsid w:val="00DF5FFB"/>
    <w:rsid w:val="00DF6C20"/>
    <w:rsid w:val="00E0027D"/>
    <w:rsid w:val="00E00843"/>
    <w:rsid w:val="00E019AD"/>
    <w:rsid w:val="00E032E5"/>
    <w:rsid w:val="00E03413"/>
    <w:rsid w:val="00E03E4E"/>
    <w:rsid w:val="00E04A5D"/>
    <w:rsid w:val="00E069C1"/>
    <w:rsid w:val="00E0714A"/>
    <w:rsid w:val="00E11678"/>
    <w:rsid w:val="00E11A54"/>
    <w:rsid w:val="00E11C3B"/>
    <w:rsid w:val="00E128CA"/>
    <w:rsid w:val="00E13C9F"/>
    <w:rsid w:val="00E14FD4"/>
    <w:rsid w:val="00E1564A"/>
    <w:rsid w:val="00E15D75"/>
    <w:rsid w:val="00E169BB"/>
    <w:rsid w:val="00E20B02"/>
    <w:rsid w:val="00E221C8"/>
    <w:rsid w:val="00E224A3"/>
    <w:rsid w:val="00E22558"/>
    <w:rsid w:val="00E226EA"/>
    <w:rsid w:val="00E233B4"/>
    <w:rsid w:val="00E2352E"/>
    <w:rsid w:val="00E25AED"/>
    <w:rsid w:val="00E25CC5"/>
    <w:rsid w:val="00E26470"/>
    <w:rsid w:val="00E2705A"/>
    <w:rsid w:val="00E30100"/>
    <w:rsid w:val="00E321C2"/>
    <w:rsid w:val="00E322E2"/>
    <w:rsid w:val="00E335A5"/>
    <w:rsid w:val="00E33BEA"/>
    <w:rsid w:val="00E3433C"/>
    <w:rsid w:val="00E36142"/>
    <w:rsid w:val="00E379E3"/>
    <w:rsid w:val="00E41B1B"/>
    <w:rsid w:val="00E43291"/>
    <w:rsid w:val="00E43F36"/>
    <w:rsid w:val="00E4427F"/>
    <w:rsid w:val="00E46D58"/>
    <w:rsid w:val="00E47812"/>
    <w:rsid w:val="00E50761"/>
    <w:rsid w:val="00E50770"/>
    <w:rsid w:val="00E51B64"/>
    <w:rsid w:val="00E5316B"/>
    <w:rsid w:val="00E533E6"/>
    <w:rsid w:val="00E5645C"/>
    <w:rsid w:val="00E57BD8"/>
    <w:rsid w:val="00E60446"/>
    <w:rsid w:val="00E60457"/>
    <w:rsid w:val="00E609BF"/>
    <w:rsid w:val="00E60ECF"/>
    <w:rsid w:val="00E6125F"/>
    <w:rsid w:val="00E622B7"/>
    <w:rsid w:val="00E638AD"/>
    <w:rsid w:val="00E643A6"/>
    <w:rsid w:val="00E64FA6"/>
    <w:rsid w:val="00E66B4E"/>
    <w:rsid w:val="00E67372"/>
    <w:rsid w:val="00E6751D"/>
    <w:rsid w:val="00E705B9"/>
    <w:rsid w:val="00E70DC2"/>
    <w:rsid w:val="00E71651"/>
    <w:rsid w:val="00E720E7"/>
    <w:rsid w:val="00E72658"/>
    <w:rsid w:val="00E74DD8"/>
    <w:rsid w:val="00E74FBA"/>
    <w:rsid w:val="00E76FC1"/>
    <w:rsid w:val="00E80024"/>
    <w:rsid w:val="00E8226C"/>
    <w:rsid w:val="00E82805"/>
    <w:rsid w:val="00E82862"/>
    <w:rsid w:val="00E8488B"/>
    <w:rsid w:val="00E84977"/>
    <w:rsid w:val="00E84B6D"/>
    <w:rsid w:val="00E85453"/>
    <w:rsid w:val="00E859A7"/>
    <w:rsid w:val="00E861E0"/>
    <w:rsid w:val="00E86751"/>
    <w:rsid w:val="00E87023"/>
    <w:rsid w:val="00E8720F"/>
    <w:rsid w:val="00E878FB"/>
    <w:rsid w:val="00E92085"/>
    <w:rsid w:val="00E92285"/>
    <w:rsid w:val="00E9299D"/>
    <w:rsid w:val="00E92F7C"/>
    <w:rsid w:val="00E94898"/>
    <w:rsid w:val="00E94A59"/>
    <w:rsid w:val="00E9770A"/>
    <w:rsid w:val="00E97B52"/>
    <w:rsid w:val="00EA0CD1"/>
    <w:rsid w:val="00EA10ED"/>
    <w:rsid w:val="00EA2E71"/>
    <w:rsid w:val="00EA33AE"/>
    <w:rsid w:val="00EA6661"/>
    <w:rsid w:val="00EB1393"/>
    <w:rsid w:val="00EB162F"/>
    <w:rsid w:val="00EB2A12"/>
    <w:rsid w:val="00EB2FE9"/>
    <w:rsid w:val="00EB3171"/>
    <w:rsid w:val="00EB370E"/>
    <w:rsid w:val="00EB3A4F"/>
    <w:rsid w:val="00EB3BFE"/>
    <w:rsid w:val="00EB42A3"/>
    <w:rsid w:val="00EB5475"/>
    <w:rsid w:val="00EB588D"/>
    <w:rsid w:val="00EB5ABD"/>
    <w:rsid w:val="00EB6C0A"/>
    <w:rsid w:val="00EC3A98"/>
    <w:rsid w:val="00EC49B7"/>
    <w:rsid w:val="00EC5E6A"/>
    <w:rsid w:val="00ED0A42"/>
    <w:rsid w:val="00ED11D5"/>
    <w:rsid w:val="00ED1206"/>
    <w:rsid w:val="00ED1E76"/>
    <w:rsid w:val="00ED206D"/>
    <w:rsid w:val="00ED3241"/>
    <w:rsid w:val="00ED3E9E"/>
    <w:rsid w:val="00ED4CE5"/>
    <w:rsid w:val="00ED4E8C"/>
    <w:rsid w:val="00EE1CBA"/>
    <w:rsid w:val="00EE2DD2"/>
    <w:rsid w:val="00EE34BA"/>
    <w:rsid w:val="00EE374E"/>
    <w:rsid w:val="00EE3F00"/>
    <w:rsid w:val="00EE4D5E"/>
    <w:rsid w:val="00EE529A"/>
    <w:rsid w:val="00EE63EB"/>
    <w:rsid w:val="00EE6C18"/>
    <w:rsid w:val="00EE6CB6"/>
    <w:rsid w:val="00EF1525"/>
    <w:rsid w:val="00EF16D9"/>
    <w:rsid w:val="00EF1E0C"/>
    <w:rsid w:val="00EF1F11"/>
    <w:rsid w:val="00EF1F71"/>
    <w:rsid w:val="00EF2225"/>
    <w:rsid w:val="00EF35E7"/>
    <w:rsid w:val="00EF37B0"/>
    <w:rsid w:val="00EF3C6C"/>
    <w:rsid w:val="00EF43B9"/>
    <w:rsid w:val="00EF4D6C"/>
    <w:rsid w:val="00EF532A"/>
    <w:rsid w:val="00EF5FDB"/>
    <w:rsid w:val="00EF6A49"/>
    <w:rsid w:val="00EF75E7"/>
    <w:rsid w:val="00F02E49"/>
    <w:rsid w:val="00F03FA1"/>
    <w:rsid w:val="00F04ED2"/>
    <w:rsid w:val="00F054F3"/>
    <w:rsid w:val="00F07695"/>
    <w:rsid w:val="00F07E04"/>
    <w:rsid w:val="00F10748"/>
    <w:rsid w:val="00F12351"/>
    <w:rsid w:val="00F12964"/>
    <w:rsid w:val="00F12C6F"/>
    <w:rsid w:val="00F14D89"/>
    <w:rsid w:val="00F161EB"/>
    <w:rsid w:val="00F208B5"/>
    <w:rsid w:val="00F20CF6"/>
    <w:rsid w:val="00F22415"/>
    <w:rsid w:val="00F24504"/>
    <w:rsid w:val="00F31085"/>
    <w:rsid w:val="00F314F1"/>
    <w:rsid w:val="00F319BA"/>
    <w:rsid w:val="00F31EC9"/>
    <w:rsid w:val="00F32175"/>
    <w:rsid w:val="00F3225E"/>
    <w:rsid w:val="00F32527"/>
    <w:rsid w:val="00F331F1"/>
    <w:rsid w:val="00F35A6A"/>
    <w:rsid w:val="00F363BE"/>
    <w:rsid w:val="00F36E02"/>
    <w:rsid w:val="00F37ADA"/>
    <w:rsid w:val="00F37E90"/>
    <w:rsid w:val="00F37F0F"/>
    <w:rsid w:val="00F40EAC"/>
    <w:rsid w:val="00F42BF1"/>
    <w:rsid w:val="00F43349"/>
    <w:rsid w:val="00F441D0"/>
    <w:rsid w:val="00F4758D"/>
    <w:rsid w:val="00F511CC"/>
    <w:rsid w:val="00F51DF4"/>
    <w:rsid w:val="00F53950"/>
    <w:rsid w:val="00F541BA"/>
    <w:rsid w:val="00F5535D"/>
    <w:rsid w:val="00F55E2D"/>
    <w:rsid w:val="00F56277"/>
    <w:rsid w:val="00F57533"/>
    <w:rsid w:val="00F57A73"/>
    <w:rsid w:val="00F6336F"/>
    <w:rsid w:val="00F63A10"/>
    <w:rsid w:val="00F6406F"/>
    <w:rsid w:val="00F64202"/>
    <w:rsid w:val="00F65A45"/>
    <w:rsid w:val="00F66D8A"/>
    <w:rsid w:val="00F67946"/>
    <w:rsid w:val="00F70FA7"/>
    <w:rsid w:val="00F713FF"/>
    <w:rsid w:val="00F71714"/>
    <w:rsid w:val="00F737D0"/>
    <w:rsid w:val="00F73C71"/>
    <w:rsid w:val="00F7403E"/>
    <w:rsid w:val="00F74083"/>
    <w:rsid w:val="00F74EF2"/>
    <w:rsid w:val="00F753DA"/>
    <w:rsid w:val="00F755A6"/>
    <w:rsid w:val="00F76944"/>
    <w:rsid w:val="00F77FC4"/>
    <w:rsid w:val="00F80D00"/>
    <w:rsid w:val="00F82EB1"/>
    <w:rsid w:val="00F86361"/>
    <w:rsid w:val="00F87729"/>
    <w:rsid w:val="00F8780D"/>
    <w:rsid w:val="00F9190C"/>
    <w:rsid w:val="00F9372E"/>
    <w:rsid w:val="00F93B62"/>
    <w:rsid w:val="00F94D37"/>
    <w:rsid w:val="00F9559F"/>
    <w:rsid w:val="00F957E6"/>
    <w:rsid w:val="00FA0639"/>
    <w:rsid w:val="00FA16AE"/>
    <w:rsid w:val="00FA3534"/>
    <w:rsid w:val="00FA3660"/>
    <w:rsid w:val="00FA442A"/>
    <w:rsid w:val="00FA4E62"/>
    <w:rsid w:val="00FA6B0B"/>
    <w:rsid w:val="00FA7249"/>
    <w:rsid w:val="00FA72A6"/>
    <w:rsid w:val="00FB0CED"/>
    <w:rsid w:val="00FB0DBF"/>
    <w:rsid w:val="00FB0EBF"/>
    <w:rsid w:val="00FB3285"/>
    <w:rsid w:val="00FB3D65"/>
    <w:rsid w:val="00FB57CD"/>
    <w:rsid w:val="00FB6422"/>
    <w:rsid w:val="00FB6F69"/>
    <w:rsid w:val="00FC01F0"/>
    <w:rsid w:val="00FC0931"/>
    <w:rsid w:val="00FC0CA5"/>
    <w:rsid w:val="00FC138A"/>
    <w:rsid w:val="00FC33D1"/>
    <w:rsid w:val="00FC3993"/>
    <w:rsid w:val="00FC51E4"/>
    <w:rsid w:val="00FC77F7"/>
    <w:rsid w:val="00FC7C53"/>
    <w:rsid w:val="00FD082F"/>
    <w:rsid w:val="00FD3DA2"/>
    <w:rsid w:val="00FD5FE8"/>
    <w:rsid w:val="00FD624A"/>
    <w:rsid w:val="00FD63C1"/>
    <w:rsid w:val="00FD71B0"/>
    <w:rsid w:val="00FD72C8"/>
    <w:rsid w:val="00FD7514"/>
    <w:rsid w:val="00FD7664"/>
    <w:rsid w:val="00FD7A15"/>
    <w:rsid w:val="00FE2B0E"/>
    <w:rsid w:val="00FE377B"/>
    <w:rsid w:val="00FE38DD"/>
    <w:rsid w:val="00FE3DC7"/>
    <w:rsid w:val="00FE4070"/>
    <w:rsid w:val="00FE46FC"/>
    <w:rsid w:val="00FE471F"/>
    <w:rsid w:val="00FE7970"/>
    <w:rsid w:val="00FF0018"/>
    <w:rsid w:val="00FF11C7"/>
    <w:rsid w:val="00FF298E"/>
    <w:rsid w:val="00FF29B4"/>
    <w:rsid w:val="00FF372F"/>
    <w:rsid w:val="00FF388E"/>
    <w:rsid w:val="00FF4214"/>
    <w:rsid w:val="00FF43E3"/>
    <w:rsid w:val="00FF4CAF"/>
    <w:rsid w:val="00FF51A8"/>
    <w:rsid w:val="00FF53C6"/>
    <w:rsid w:val="00FF7B9B"/>
    <w:rsid w:val="00FF7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1E0"/>
    <w:pPr>
      <w:spacing w:before="120" w:after="120" w:line="276" w:lineRule="auto"/>
      <w:jc w:val="both"/>
    </w:pPr>
    <w:rPr>
      <w:rFonts w:ascii="ITC Avant Garde" w:eastAsia="Calibri" w:hAnsi="ITC Avant Garde" w:cs="Times New Roman"/>
      <w:lang w:val="es-ES_tradnl" w:eastAsia="es-MX"/>
    </w:rPr>
  </w:style>
  <w:style w:type="paragraph" w:styleId="Ttulo1">
    <w:name w:val="heading 1"/>
    <w:basedOn w:val="Normal"/>
    <w:next w:val="Normal"/>
    <w:link w:val="Ttulo1Car"/>
    <w:qFormat/>
    <w:rsid w:val="006161FB"/>
    <w:pPr>
      <w:keepNext/>
      <w:numPr>
        <w:numId w:val="2"/>
      </w:numPr>
      <w:spacing w:before="360"/>
      <w:jc w:val="center"/>
      <w:outlineLvl w:val="0"/>
    </w:pPr>
    <w:rPr>
      <w:rFonts w:eastAsia="Times New Roman"/>
      <w:b/>
      <w:bCs/>
      <w:lang w:eastAsia="es-ES"/>
    </w:rPr>
  </w:style>
  <w:style w:type="paragraph" w:styleId="Ttulo2">
    <w:name w:val="heading 2"/>
    <w:basedOn w:val="Normal"/>
    <w:next w:val="Normal"/>
    <w:link w:val="Ttulo2Car"/>
    <w:uiPriority w:val="9"/>
    <w:unhideWhenUsed/>
    <w:qFormat/>
    <w:rsid w:val="006161FB"/>
    <w:pPr>
      <w:keepNext/>
      <w:spacing w:before="360"/>
      <w:outlineLvl w:val="1"/>
    </w:pPr>
    <w:rPr>
      <w:b/>
    </w:rPr>
  </w:style>
  <w:style w:type="paragraph" w:styleId="Ttulo3">
    <w:name w:val="heading 3"/>
    <w:basedOn w:val="Normal"/>
    <w:next w:val="Normal"/>
    <w:link w:val="Ttulo3Car"/>
    <w:uiPriority w:val="9"/>
    <w:unhideWhenUsed/>
    <w:qFormat/>
    <w:rsid w:val="006161FB"/>
    <w:pPr>
      <w:keepNext/>
      <w:keepLines/>
      <w:spacing w:before="360"/>
      <w:ind w:left="284" w:hanging="284"/>
      <w:outlineLvl w:val="2"/>
    </w:pPr>
    <w:rPr>
      <w:b/>
    </w:rPr>
  </w:style>
  <w:style w:type="paragraph" w:styleId="Ttulo4">
    <w:name w:val="heading 4"/>
    <w:basedOn w:val="Normal"/>
    <w:next w:val="Normal"/>
    <w:link w:val="Ttulo4Car"/>
    <w:uiPriority w:val="9"/>
    <w:unhideWhenUsed/>
    <w:qFormat/>
    <w:rsid w:val="006161FB"/>
    <w:pPr>
      <w:jc w:val="center"/>
      <w:outlineLvl w:val="3"/>
    </w:pPr>
    <w:rPr>
      <w:b/>
    </w:rPr>
  </w:style>
  <w:style w:type="paragraph" w:styleId="Ttulo5">
    <w:name w:val="heading 5"/>
    <w:basedOn w:val="Normal"/>
    <w:next w:val="Normal"/>
    <w:link w:val="Ttulo5Car"/>
    <w:uiPriority w:val="9"/>
    <w:unhideWhenUsed/>
    <w:qFormat/>
    <w:rsid w:val="00EF1E0C"/>
    <w:pPr>
      <w:keepNext/>
      <w:keepLines/>
      <w:numPr>
        <w:ilvl w:val="4"/>
        <w:numId w:val="17"/>
      </w:numPr>
      <w:spacing w:before="240"/>
      <w:outlineLvl w:val="4"/>
    </w:pPr>
    <w:rPr>
      <w:rFonts w:eastAsiaTheme="majorEastAsia" w:cstheme="majorBidi"/>
      <w:b/>
    </w:rPr>
  </w:style>
  <w:style w:type="paragraph" w:styleId="Ttulo6">
    <w:name w:val="heading 6"/>
    <w:basedOn w:val="Normal"/>
    <w:next w:val="Normal"/>
    <w:link w:val="Ttulo6Car"/>
    <w:uiPriority w:val="9"/>
    <w:unhideWhenUsed/>
    <w:qFormat/>
    <w:rsid w:val="00390B26"/>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FF388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FT">
    <w:name w:val="IFT"/>
    <w:basedOn w:val="Normal"/>
    <w:autoRedefine/>
    <w:qFormat/>
    <w:rsid w:val="00467A97"/>
    <w:pPr>
      <w:jc w:val="center"/>
    </w:pPr>
    <w:rPr>
      <w:rFonts w:eastAsia="Times New Roman"/>
      <w:b/>
      <w:bCs/>
      <w:color w:val="000000"/>
    </w:rPr>
  </w:style>
  <w:style w:type="character" w:customStyle="1" w:styleId="Ttulo1Car">
    <w:name w:val="Título 1 Car"/>
    <w:basedOn w:val="Fuentedeprrafopredeter"/>
    <w:link w:val="Ttulo1"/>
    <w:rsid w:val="006161FB"/>
    <w:rPr>
      <w:rFonts w:ascii="ITC Avant Garde" w:eastAsia="Times New Roman" w:hAnsi="ITC Avant Garde" w:cs="Times New Roman"/>
      <w:b/>
      <w:bCs/>
      <w:lang w:val="es-ES_tradnl" w:eastAsia="es-ES"/>
    </w:rPr>
  </w:style>
  <w:style w:type="character" w:customStyle="1" w:styleId="Ttulo2Car">
    <w:name w:val="Título 2 Car"/>
    <w:basedOn w:val="Fuentedeprrafopredeter"/>
    <w:link w:val="Ttulo2"/>
    <w:uiPriority w:val="9"/>
    <w:rsid w:val="006161FB"/>
    <w:rPr>
      <w:rFonts w:ascii="ITC Avant Garde" w:eastAsia="Calibri" w:hAnsi="ITC Avant Garde" w:cs="Times New Roman"/>
      <w:b/>
      <w:lang w:val="es-ES_tradnl" w:eastAsia="es-MX"/>
    </w:rPr>
  </w:style>
  <w:style w:type="character" w:customStyle="1" w:styleId="Ttulo3Car">
    <w:name w:val="Título 3 Car"/>
    <w:basedOn w:val="Fuentedeprrafopredeter"/>
    <w:link w:val="Ttulo3"/>
    <w:uiPriority w:val="9"/>
    <w:rsid w:val="006161FB"/>
    <w:rPr>
      <w:rFonts w:ascii="ITC Avant Garde" w:eastAsia="Calibri" w:hAnsi="ITC Avant Garde" w:cs="Times New Roman"/>
      <w:b/>
      <w:lang w:val="es-ES_tradnl" w:eastAsia="es-MX"/>
    </w:rPr>
  </w:style>
  <w:style w:type="character" w:customStyle="1" w:styleId="Ttulo4Car">
    <w:name w:val="Título 4 Car"/>
    <w:basedOn w:val="Fuentedeprrafopredeter"/>
    <w:link w:val="Ttulo4"/>
    <w:uiPriority w:val="9"/>
    <w:rsid w:val="006161FB"/>
    <w:rPr>
      <w:rFonts w:ascii="ITC Avant Garde" w:eastAsia="Calibri" w:hAnsi="ITC Avant Garde" w:cs="Times New Roman"/>
      <w:b/>
      <w:lang w:val="es-ES_tradnl" w:eastAsia="es-MX"/>
    </w:rPr>
  </w:style>
  <w:style w:type="paragraph" w:styleId="Encabezado">
    <w:name w:val="header"/>
    <w:aliases w:val="Encabezado1,.üG·"/>
    <w:basedOn w:val="Normal"/>
    <w:link w:val="EncabezadoCar"/>
    <w:uiPriority w:val="99"/>
    <w:unhideWhenUsed/>
    <w:rsid w:val="006161FB"/>
    <w:pPr>
      <w:tabs>
        <w:tab w:val="center" w:pos="4419"/>
        <w:tab w:val="right" w:pos="8838"/>
      </w:tabs>
      <w:spacing w:after="0" w:line="240" w:lineRule="auto"/>
    </w:pPr>
  </w:style>
  <w:style w:type="character" w:customStyle="1" w:styleId="EncabezadoCar">
    <w:name w:val="Encabezado Car"/>
    <w:aliases w:val="Encabezado1 Car,.üG· Car"/>
    <w:basedOn w:val="Fuentedeprrafopredeter"/>
    <w:link w:val="Encabezado"/>
    <w:uiPriority w:val="99"/>
    <w:rsid w:val="006161FB"/>
    <w:rPr>
      <w:rFonts w:ascii="ITC Avant Garde" w:eastAsia="Calibri" w:hAnsi="ITC Avant Garde" w:cs="Times New Roman"/>
      <w:lang w:val="es-ES_tradnl" w:eastAsia="es-MX"/>
    </w:rPr>
  </w:style>
  <w:style w:type="paragraph" w:styleId="Piedepgina">
    <w:name w:val="footer"/>
    <w:basedOn w:val="Normal"/>
    <w:link w:val="PiedepginaCar"/>
    <w:uiPriority w:val="99"/>
    <w:unhideWhenUsed/>
    <w:rsid w:val="006161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1FB"/>
    <w:rPr>
      <w:rFonts w:ascii="ITC Avant Garde" w:eastAsia="Calibri" w:hAnsi="ITC Avant Garde" w:cs="Times New Roman"/>
      <w:lang w:val="es-ES_tradnl" w:eastAsia="es-MX"/>
    </w:rPr>
  </w:style>
  <w:style w:type="paragraph" w:customStyle="1" w:styleId="estilo30">
    <w:name w:val="estilo30"/>
    <w:basedOn w:val="Normal"/>
    <w:rsid w:val="006161FB"/>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6161FB"/>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6161FB"/>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Hipervnculo">
    <w:name w:val="Hyperlink"/>
    <w:uiPriority w:val="99"/>
    <w:unhideWhenUsed/>
    <w:rsid w:val="006161FB"/>
    <w:rPr>
      <w:color w:val="0563C1"/>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6161FB"/>
    <w:pPr>
      <w:spacing w:after="0" w:line="240" w:lineRule="auto"/>
    </w:pPr>
    <w:rPr>
      <w:rFonts w:ascii="Times New Roman" w:hAnsi="Times New Roman"/>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161FB"/>
    <w:rPr>
      <w:rFonts w:ascii="Times New Roman" w:eastAsia="Calibri" w:hAnsi="Times New Roman" w:cs="Times New Roman"/>
      <w:sz w:val="20"/>
      <w:szCs w:val="20"/>
      <w:lang w:val="es-ES_tradnl" w:eastAsia="es-MX"/>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f"/>
    <w:uiPriority w:val="99"/>
    <w:unhideWhenUsed/>
    <w:qFormat/>
    <w:rsid w:val="006161FB"/>
    <w:rPr>
      <w:vertAlign w:val="superscript"/>
    </w:rPr>
  </w:style>
  <w:style w:type="character" w:customStyle="1" w:styleId="Cuerpodeltexto">
    <w:name w:val="Cuerpo del texto_"/>
    <w:link w:val="Cuerpodeltexto0"/>
    <w:rsid w:val="006161FB"/>
    <w:rPr>
      <w:rFonts w:ascii="Times New Roman" w:eastAsia="Times New Roman" w:hAnsi="Times New Roman"/>
      <w:sz w:val="23"/>
      <w:szCs w:val="23"/>
      <w:shd w:val="clear" w:color="auto" w:fill="FFFFFF"/>
    </w:rPr>
  </w:style>
  <w:style w:type="paragraph" w:customStyle="1" w:styleId="Cuerpodeltexto0">
    <w:name w:val="Cuerpo del texto"/>
    <w:basedOn w:val="Normal"/>
    <w:link w:val="Cuerpodeltexto"/>
    <w:rsid w:val="006161FB"/>
    <w:pPr>
      <w:shd w:val="clear" w:color="auto" w:fill="FFFFFF"/>
      <w:spacing w:before="240" w:after="600" w:line="0" w:lineRule="atLeast"/>
      <w:ind w:hanging="260"/>
      <w:jc w:val="right"/>
    </w:pPr>
    <w:rPr>
      <w:rFonts w:ascii="Times New Roman" w:eastAsia="Times New Roman" w:hAnsi="Times New Roman" w:cstheme="minorBidi"/>
      <w:sz w:val="23"/>
      <w:szCs w:val="23"/>
      <w:lang w:val="es-MX" w:eastAsia="en-US"/>
    </w:rPr>
  </w:style>
  <w:style w:type="paragraph" w:styleId="Textodeglobo">
    <w:name w:val="Balloon Text"/>
    <w:basedOn w:val="Normal"/>
    <w:link w:val="TextodegloboCar"/>
    <w:uiPriority w:val="99"/>
    <w:semiHidden/>
    <w:unhideWhenUsed/>
    <w:rsid w:val="006161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61FB"/>
    <w:rPr>
      <w:rFonts w:ascii="Segoe UI" w:eastAsia="Calibri" w:hAnsi="Segoe UI" w:cs="Segoe UI"/>
      <w:sz w:val="18"/>
      <w:szCs w:val="18"/>
      <w:lang w:val="es-ES_tradnl" w:eastAsia="es-MX"/>
    </w:rPr>
  </w:style>
  <w:style w:type="paragraph" w:styleId="Prrafodelista">
    <w:name w:val="List Paragraph"/>
    <w:aliases w:val="4 Viñ 1nivel,Numeración 1,Cuadrícula media 1 - Énfasis 21,Bullet List,FooterText,numbered,List Paragraph1,Paragraphe de liste1,Bulletr List Paragraph,列出段落,列出段落1"/>
    <w:basedOn w:val="Normal"/>
    <w:link w:val="PrrafodelistaCar"/>
    <w:uiPriority w:val="34"/>
    <w:qFormat/>
    <w:rsid w:val="006161FB"/>
    <w:pPr>
      <w:spacing w:after="160" w:line="259" w:lineRule="auto"/>
      <w:ind w:left="720"/>
      <w:contextualSpacing/>
    </w:p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
    <w:link w:val="Prrafodelista"/>
    <w:uiPriority w:val="34"/>
    <w:rsid w:val="006161FB"/>
    <w:rPr>
      <w:rFonts w:ascii="ITC Avant Garde" w:eastAsia="Calibri" w:hAnsi="ITC Avant Garde" w:cs="Times New Roman"/>
      <w:lang w:val="es-ES_tradnl" w:eastAsia="es-MX"/>
    </w:rPr>
  </w:style>
  <w:style w:type="character" w:styleId="Refdecomentario">
    <w:name w:val="annotation reference"/>
    <w:basedOn w:val="Fuentedeprrafopredeter"/>
    <w:uiPriority w:val="99"/>
    <w:semiHidden/>
    <w:unhideWhenUsed/>
    <w:rsid w:val="006161FB"/>
    <w:rPr>
      <w:sz w:val="16"/>
      <w:szCs w:val="16"/>
    </w:rPr>
  </w:style>
  <w:style w:type="paragraph" w:styleId="Textocomentario">
    <w:name w:val="annotation text"/>
    <w:basedOn w:val="Normal"/>
    <w:link w:val="TextocomentarioCar"/>
    <w:uiPriority w:val="99"/>
    <w:unhideWhenUsed/>
    <w:rsid w:val="006161FB"/>
    <w:pPr>
      <w:spacing w:line="240" w:lineRule="auto"/>
    </w:pPr>
    <w:rPr>
      <w:sz w:val="20"/>
      <w:szCs w:val="20"/>
    </w:rPr>
  </w:style>
  <w:style w:type="character" w:customStyle="1" w:styleId="TextocomentarioCar">
    <w:name w:val="Texto comentario Car"/>
    <w:basedOn w:val="Fuentedeprrafopredeter"/>
    <w:link w:val="Textocomentario"/>
    <w:uiPriority w:val="99"/>
    <w:rsid w:val="006161FB"/>
    <w:rPr>
      <w:rFonts w:ascii="ITC Avant Garde" w:eastAsia="Calibri" w:hAnsi="ITC Avant Garde" w:cs="Times New Roman"/>
      <w:sz w:val="20"/>
      <w:szCs w:val="20"/>
      <w:lang w:val="es-ES_tradnl" w:eastAsia="es-MX"/>
    </w:rPr>
  </w:style>
  <w:style w:type="paragraph" w:styleId="Asuntodelcomentario">
    <w:name w:val="annotation subject"/>
    <w:basedOn w:val="Textocomentario"/>
    <w:next w:val="Textocomentario"/>
    <w:link w:val="AsuntodelcomentarioCar"/>
    <w:uiPriority w:val="99"/>
    <w:semiHidden/>
    <w:unhideWhenUsed/>
    <w:rsid w:val="006161FB"/>
    <w:rPr>
      <w:b/>
      <w:bCs/>
    </w:rPr>
  </w:style>
  <w:style w:type="character" w:customStyle="1" w:styleId="AsuntodelcomentarioCar">
    <w:name w:val="Asunto del comentario Car"/>
    <w:basedOn w:val="TextocomentarioCar"/>
    <w:link w:val="Asuntodelcomentario"/>
    <w:uiPriority w:val="99"/>
    <w:semiHidden/>
    <w:rsid w:val="006161FB"/>
    <w:rPr>
      <w:rFonts w:ascii="ITC Avant Garde" w:eastAsia="Calibri" w:hAnsi="ITC Avant Garde" w:cs="Times New Roman"/>
      <w:b/>
      <w:bCs/>
      <w:sz w:val="20"/>
      <w:szCs w:val="20"/>
      <w:lang w:val="es-ES_tradnl" w:eastAsia="es-MX"/>
    </w:rPr>
  </w:style>
  <w:style w:type="paragraph" w:styleId="Textoindependiente2">
    <w:name w:val="Body Text 2"/>
    <w:basedOn w:val="Normal"/>
    <w:link w:val="Textoindependiente2Car"/>
    <w:rsid w:val="006161FB"/>
    <w:pPr>
      <w:tabs>
        <w:tab w:val="left" w:pos="0"/>
        <w:tab w:val="left" w:pos="142"/>
      </w:tabs>
      <w:spacing w:after="0" w:line="240" w:lineRule="auto"/>
    </w:pPr>
    <w:rPr>
      <w:rFonts w:ascii="Times New Roman" w:eastAsia="Times New Roman" w:hAnsi="Times New Roman"/>
      <w:sz w:val="24"/>
      <w:szCs w:val="20"/>
      <w:lang w:eastAsia="es-ES"/>
    </w:rPr>
  </w:style>
  <w:style w:type="character" w:customStyle="1" w:styleId="Textoindependiente2Car">
    <w:name w:val="Texto independiente 2 Car"/>
    <w:basedOn w:val="Fuentedeprrafopredeter"/>
    <w:link w:val="Textoindependiente2"/>
    <w:rsid w:val="006161FB"/>
    <w:rPr>
      <w:rFonts w:ascii="Times New Roman" w:eastAsia="Times New Roman" w:hAnsi="Times New Roman" w:cs="Times New Roman"/>
      <w:sz w:val="24"/>
      <w:szCs w:val="20"/>
      <w:lang w:val="es-ES_tradnl" w:eastAsia="es-ES"/>
    </w:rPr>
  </w:style>
  <w:style w:type="paragraph" w:styleId="Sinespaciado">
    <w:name w:val="No Spacing"/>
    <w:aliases w:val="Lista numerada"/>
    <w:link w:val="SinespaciadoCar"/>
    <w:uiPriority w:val="1"/>
    <w:qFormat/>
    <w:rsid w:val="006161FB"/>
    <w:pPr>
      <w:spacing w:after="0" w:line="240" w:lineRule="auto"/>
    </w:pPr>
    <w:rPr>
      <w:rFonts w:ascii="Calibri" w:eastAsia="Calibri" w:hAnsi="Calibri" w:cs="Times New Roman"/>
    </w:rPr>
  </w:style>
  <w:style w:type="paragraph" w:customStyle="1" w:styleId="Texto">
    <w:name w:val="Texto"/>
    <w:basedOn w:val="Normal"/>
    <w:link w:val="TextoCar"/>
    <w:rsid w:val="006161FB"/>
    <w:pPr>
      <w:spacing w:after="101" w:line="216" w:lineRule="exact"/>
      <w:ind w:firstLine="288"/>
    </w:pPr>
    <w:rPr>
      <w:rFonts w:ascii="Arial" w:eastAsia="Times New Roman" w:hAnsi="Arial"/>
      <w:sz w:val="18"/>
      <w:szCs w:val="20"/>
      <w:lang w:val="es-ES" w:eastAsia="es-ES"/>
    </w:rPr>
  </w:style>
  <w:style w:type="character" w:customStyle="1" w:styleId="TextoCar">
    <w:name w:val="Texto Car"/>
    <w:link w:val="Texto"/>
    <w:locked/>
    <w:rsid w:val="006161FB"/>
    <w:rPr>
      <w:rFonts w:ascii="Arial" w:eastAsia="Times New Roman" w:hAnsi="Arial" w:cs="Times New Roman"/>
      <w:sz w:val="18"/>
      <w:szCs w:val="20"/>
      <w:lang w:val="es-ES" w:eastAsia="es-ES"/>
    </w:rPr>
  </w:style>
  <w:style w:type="paragraph" w:styleId="Textoindependiente">
    <w:name w:val="Body Text"/>
    <w:basedOn w:val="Normal"/>
    <w:link w:val="TextoindependienteCar"/>
    <w:uiPriority w:val="99"/>
    <w:semiHidden/>
    <w:rsid w:val="006161FB"/>
    <w:pPr>
      <w:widowControl w:val="0"/>
      <w:overflowPunct w:val="0"/>
      <w:autoSpaceDE w:val="0"/>
      <w:autoSpaceDN w:val="0"/>
      <w:adjustRightInd w:val="0"/>
      <w:spacing w:after="0" w:line="240" w:lineRule="auto"/>
      <w:ind w:right="-658"/>
      <w:textAlignment w:val="baseline"/>
    </w:pPr>
    <w:rPr>
      <w:rFonts w:ascii="Times New Roman" w:eastAsia="Times New Roman" w:hAnsi="Times New Roman"/>
      <w:sz w:val="24"/>
      <w:szCs w:val="20"/>
      <w:lang w:eastAsia="es-ES"/>
    </w:rPr>
  </w:style>
  <w:style w:type="character" w:customStyle="1" w:styleId="TextoindependienteCar">
    <w:name w:val="Texto independiente Car"/>
    <w:basedOn w:val="Fuentedeprrafopredeter"/>
    <w:link w:val="Textoindependiente"/>
    <w:uiPriority w:val="99"/>
    <w:semiHidden/>
    <w:rsid w:val="006161FB"/>
    <w:rPr>
      <w:rFonts w:ascii="Times New Roman" w:eastAsia="Times New Roman" w:hAnsi="Times New Roman" w:cs="Times New Roman"/>
      <w:sz w:val="24"/>
      <w:szCs w:val="20"/>
      <w:lang w:val="es-ES_tradnl" w:eastAsia="es-ES"/>
    </w:rPr>
  </w:style>
  <w:style w:type="paragraph" w:customStyle="1" w:styleId="p31">
    <w:name w:val="p31"/>
    <w:basedOn w:val="Normal"/>
    <w:rsid w:val="006161FB"/>
    <w:pPr>
      <w:widowControl w:val="0"/>
      <w:tabs>
        <w:tab w:val="left" w:pos="720"/>
      </w:tabs>
      <w:overflowPunct w:val="0"/>
      <w:autoSpaceDE w:val="0"/>
      <w:autoSpaceDN w:val="0"/>
      <w:adjustRightInd w:val="0"/>
      <w:spacing w:after="0" w:line="240" w:lineRule="auto"/>
      <w:textAlignment w:val="baseline"/>
    </w:pPr>
    <w:rPr>
      <w:rFonts w:ascii="Times" w:eastAsia="Times New Roman" w:hAnsi="Times"/>
      <w:sz w:val="24"/>
      <w:szCs w:val="20"/>
      <w:lang w:eastAsia="es-ES"/>
    </w:rPr>
  </w:style>
  <w:style w:type="table" w:styleId="Tablaconcuadrcula">
    <w:name w:val="Table Grid"/>
    <w:basedOn w:val="Tablanormal"/>
    <w:uiPriority w:val="39"/>
    <w:rsid w:val="006161FB"/>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6161FB"/>
    <w:rPr>
      <w:b/>
      <w:bCs/>
    </w:rPr>
  </w:style>
  <w:style w:type="character" w:styleId="nfasis">
    <w:name w:val="Emphasis"/>
    <w:basedOn w:val="Fuentedeprrafopredeter"/>
    <w:uiPriority w:val="20"/>
    <w:qFormat/>
    <w:rsid w:val="006161FB"/>
    <w:rPr>
      <w:i/>
      <w:iCs/>
    </w:rPr>
  </w:style>
  <w:style w:type="character" w:customStyle="1" w:styleId="TextocomentarioCar1">
    <w:name w:val="Texto comentario Car1"/>
    <w:uiPriority w:val="99"/>
    <w:locked/>
    <w:rsid w:val="006161FB"/>
    <w:rPr>
      <w:lang w:eastAsia="ar-SA"/>
    </w:rPr>
  </w:style>
  <w:style w:type="paragraph" w:customStyle="1" w:styleId="Textobajocuadro">
    <w:name w:val="Texto bajo cuadro"/>
    <w:basedOn w:val="Normal"/>
    <w:link w:val="TextobajocuadroCar"/>
    <w:autoRedefine/>
    <w:uiPriority w:val="1"/>
    <w:qFormat/>
    <w:rsid w:val="005164A9"/>
    <w:pPr>
      <w:spacing w:before="0" w:after="0" w:line="240" w:lineRule="auto"/>
      <w:ind w:right="29"/>
    </w:pPr>
    <w:rPr>
      <w:rFonts w:eastAsiaTheme="minorHAnsi" w:cstheme="minorBidi"/>
      <w:sz w:val="16"/>
    </w:rPr>
  </w:style>
  <w:style w:type="character" w:customStyle="1" w:styleId="TextobajocuadroCar">
    <w:name w:val="Texto bajo cuadro Car"/>
    <w:basedOn w:val="Fuentedeprrafopredeter"/>
    <w:link w:val="Textobajocuadro"/>
    <w:uiPriority w:val="1"/>
    <w:rsid w:val="005164A9"/>
    <w:rPr>
      <w:rFonts w:ascii="ITC Avant Garde" w:hAnsi="ITC Avant Garde"/>
      <w:sz w:val="16"/>
      <w:lang w:val="es-ES_tradnl" w:eastAsia="es-MX"/>
    </w:rPr>
  </w:style>
  <w:style w:type="paragraph" w:styleId="TtuloTDC">
    <w:name w:val="TOC Heading"/>
    <w:basedOn w:val="Ttulo1"/>
    <w:next w:val="Normal"/>
    <w:uiPriority w:val="39"/>
    <w:unhideWhenUsed/>
    <w:qFormat/>
    <w:rsid w:val="006161FB"/>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s-MX"/>
    </w:rPr>
  </w:style>
  <w:style w:type="paragraph" w:styleId="TDC1">
    <w:name w:val="toc 1"/>
    <w:basedOn w:val="Normal"/>
    <w:next w:val="Normal"/>
    <w:autoRedefine/>
    <w:uiPriority w:val="39"/>
    <w:unhideWhenUsed/>
    <w:rsid w:val="00D7412C"/>
    <w:pPr>
      <w:spacing w:before="0" w:after="80" w:line="240" w:lineRule="auto"/>
    </w:pPr>
    <w:rPr>
      <w:rFonts w:eastAsia="Times New Roman"/>
      <w:sz w:val="18"/>
      <w:szCs w:val="24"/>
      <w:lang w:eastAsia="es-ES"/>
    </w:rPr>
  </w:style>
  <w:style w:type="paragraph" w:styleId="Revisin">
    <w:name w:val="Revision"/>
    <w:hidden/>
    <w:uiPriority w:val="99"/>
    <w:semiHidden/>
    <w:rsid w:val="006161FB"/>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6161FB"/>
  </w:style>
  <w:style w:type="paragraph" w:customStyle="1" w:styleId="NormalIFT">
    <w:name w:val="Normal IFT"/>
    <w:basedOn w:val="Prrafodelista"/>
    <w:link w:val="NormalIFTCar"/>
    <w:autoRedefine/>
    <w:qFormat/>
    <w:rsid w:val="006161FB"/>
    <w:pPr>
      <w:autoSpaceDE w:val="0"/>
      <w:autoSpaceDN w:val="0"/>
      <w:adjustRightInd w:val="0"/>
      <w:spacing w:after="120" w:line="276" w:lineRule="auto"/>
      <w:ind w:left="708"/>
      <w:contextualSpacing w:val="0"/>
    </w:pPr>
    <w:rPr>
      <w:rFonts w:eastAsia="Times New Roman"/>
      <w:bCs/>
      <w:color w:val="000000"/>
      <w:szCs w:val="24"/>
      <w:lang w:val="es-MX"/>
    </w:rPr>
  </w:style>
  <w:style w:type="character" w:customStyle="1" w:styleId="NormalIFTCar">
    <w:name w:val="Normal IFT Car"/>
    <w:link w:val="NormalIFT"/>
    <w:rsid w:val="006161FB"/>
    <w:rPr>
      <w:rFonts w:ascii="ITC Avant Garde" w:eastAsia="Times New Roman" w:hAnsi="ITC Avant Garde" w:cs="Times New Roman"/>
      <w:bCs/>
      <w:color w:val="000000"/>
      <w:szCs w:val="24"/>
      <w:lang w:eastAsia="es-MX"/>
    </w:rPr>
  </w:style>
  <w:style w:type="character" w:styleId="Hipervnculovisitado">
    <w:name w:val="FollowedHyperlink"/>
    <w:basedOn w:val="Fuentedeprrafopredeter"/>
    <w:uiPriority w:val="99"/>
    <w:semiHidden/>
    <w:unhideWhenUsed/>
    <w:rsid w:val="006161FB"/>
    <w:rPr>
      <w:color w:val="954F72" w:themeColor="followedHyperlink"/>
      <w:u w:val="single"/>
    </w:rPr>
  </w:style>
  <w:style w:type="table" w:customStyle="1" w:styleId="Tablaconcuadrcula1">
    <w:name w:val="Tabla con cuadrícula1"/>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6161FB"/>
    <w:pPr>
      <w:numPr>
        <w:numId w:val="4"/>
      </w:numPr>
      <w:contextualSpacing/>
    </w:pPr>
  </w:style>
  <w:style w:type="character" w:styleId="Textodelmarcadordeposicin">
    <w:name w:val="Placeholder Text"/>
    <w:basedOn w:val="Fuentedeprrafopredeter"/>
    <w:uiPriority w:val="99"/>
    <w:semiHidden/>
    <w:rsid w:val="008F545F"/>
    <w:rPr>
      <w:color w:val="808080"/>
    </w:rPr>
  </w:style>
  <w:style w:type="character" w:customStyle="1" w:styleId="Ttulo5Car">
    <w:name w:val="Título 5 Car"/>
    <w:basedOn w:val="Fuentedeprrafopredeter"/>
    <w:link w:val="Ttulo5"/>
    <w:uiPriority w:val="9"/>
    <w:rsid w:val="00EF1E0C"/>
    <w:rPr>
      <w:rFonts w:ascii="ITC Avant Garde" w:eastAsiaTheme="majorEastAsia" w:hAnsi="ITC Avant Garde" w:cstheme="majorBidi"/>
      <w:b/>
      <w:lang w:val="es-ES_tradnl" w:eastAsia="es-MX"/>
    </w:rPr>
  </w:style>
  <w:style w:type="table" w:customStyle="1" w:styleId="Tabladecuadrcula4-nfasis51">
    <w:name w:val="Tabla de cuadrícula 4 - Énfasis 51"/>
    <w:basedOn w:val="Tablanormal"/>
    <w:uiPriority w:val="49"/>
    <w:rsid w:val="0037681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rraforproyecto">
    <w:name w:val="Párrafor proyecto"/>
    <w:basedOn w:val="Normal"/>
    <w:link w:val="PrraforproyectoCar"/>
    <w:autoRedefine/>
    <w:qFormat/>
    <w:rsid w:val="000D7836"/>
    <w:pPr>
      <w:numPr>
        <w:numId w:val="12"/>
      </w:numPr>
      <w:tabs>
        <w:tab w:val="left" w:pos="2410"/>
      </w:tabs>
      <w:spacing w:before="0" w:after="0" w:line="240" w:lineRule="auto"/>
    </w:pPr>
    <w:rPr>
      <w:rFonts w:eastAsia="Times New Roman"/>
      <w:bCs/>
      <w:color w:val="000000"/>
    </w:rPr>
  </w:style>
  <w:style w:type="character" w:customStyle="1" w:styleId="PrraforproyectoCar">
    <w:name w:val="Párrafor proyecto Car"/>
    <w:basedOn w:val="Fuentedeprrafopredeter"/>
    <w:link w:val="Prraforproyecto"/>
    <w:rsid w:val="000D7836"/>
    <w:rPr>
      <w:rFonts w:ascii="ITC Avant Garde" w:eastAsia="Times New Roman" w:hAnsi="ITC Avant Garde" w:cs="Times New Roman"/>
      <w:bCs/>
      <w:color w:val="000000"/>
      <w:lang w:val="es-ES_tradnl" w:eastAsia="es-MX"/>
    </w:rPr>
  </w:style>
  <w:style w:type="paragraph" w:customStyle="1" w:styleId="Figura">
    <w:name w:val="Figura"/>
    <w:basedOn w:val="Normal"/>
    <w:link w:val="FiguraCar"/>
    <w:qFormat/>
    <w:rsid w:val="00F43349"/>
    <w:pPr>
      <w:keepNext/>
      <w:numPr>
        <w:numId w:val="9"/>
      </w:numPr>
      <w:spacing w:after="0"/>
      <w:jc w:val="center"/>
    </w:pPr>
    <w:rPr>
      <w:rFonts w:eastAsiaTheme="minorHAnsi" w:cstheme="minorBidi"/>
      <w:sz w:val="20"/>
      <w:lang w:val="es-MX" w:eastAsia="en-US"/>
    </w:rPr>
  </w:style>
  <w:style w:type="character" w:customStyle="1" w:styleId="FiguraCar">
    <w:name w:val="Figura Car"/>
    <w:basedOn w:val="Fuentedeprrafopredeter"/>
    <w:link w:val="Figura"/>
    <w:rsid w:val="00F43349"/>
    <w:rPr>
      <w:rFonts w:ascii="ITC Avant Garde" w:hAnsi="ITC Avant Garde"/>
      <w:sz w:val="20"/>
    </w:rPr>
  </w:style>
  <w:style w:type="paragraph" w:customStyle="1" w:styleId="Notaalpie">
    <w:name w:val="Nota al pie"/>
    <w:basedOn w:val="Normal"/>
    <w:link w:val="NotaalpieCar"/>
    <w:qFormat/>
    <w:rsid w:val="0030526C"/>
    <w:pPr>
      <w:spacing w:before="0" w:after="0" w:line="240" w:lineRule="auto"/>
    </w:pPr>
    <w:rPr>
      <w:rFonts w:eastAsiaTheme="minorHAnsi" w:cstheme="minorBidi"/>
      <w:sz w:val="18"/>
      <w:lang w:val="es-MX" w:eastAsia="en-US"/>
    </w:rPr>
  </w:style>
  <w:style w:type="character" w:customStyle="1" w:styleId="NotaalpieCar">
    <w:name w:val="Nota al pie Car"/>
    <w:basedOn w:val="Fuentedeprrafopredeter"/>
    <w:link w:val="Notaalpie"/>
    <w:rsid w:val="0030526C"/>
    <w:rPr>
      <w:rFonts w:ascii="ITC Avant Garde" w:hAnsi="ITC Avant Garde"/>
      <w:sz w:val="18"/>
    </w:rPr>
  </w:style>
  <w:style w:type="table" w:styleId="Tablanormal4">
    <w:name w:val="Plain Table 4"/>
    <w:basedOn w:val="Tablanormal"/>
    <w:uiPriority w:val="99"/>
    <w:rsid w:val="00CE0839"/>
    <w:pPr>
      <w:spacing w:after="0" w:line="240" w:lineRule="auto"/>
    </w:pPr>
    <w:rPr>
      <w:lang w:val="en-US" w:bidi="he-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2">
    <w:name w:val="toc 2"/>
    <w:basedOn w:val="TDC1"/>
    <w:next w:val="Normal"/>
    <w:autoRedefine/>
    <w:uiPriority w:val="39"/>
    <w:unhideWhenUsed/>
    <w:rsid w:val="00D7412C"/>
    <w:pPr>
      <w:spacing w:after="100"/>
      <w:ind w:left="220"/>
    </w:pPr>
  </w:style>
  <w:style w:type="paragraph" w:styleId="TDC3">
    <w:name w:val="toc 3"/>
    <w:basedOn w:val="TDC1"/>
    <w:next w:val="Normal"/>
    <w:autoRedefine/>
    <w:uiPriority w:val="39"/>
    <w:unhideWhenUsed/>
    <w:rsid w:val="00D7412C"/>
    <w:pPr>
      <w:spacing w:after="100"/>
      <w:ind w:left="440"/>
    </w:pPr>
  </w:style>
  <w:style w:type="paragraph" w:styleId="TDC4">
    <w:name w:val="toc 4"/>
    <w:basedOn w:val="TDC1"/>
    <w:next w:val="Normal"/>
    <w:autoRedefine/>
    <w:uiPriority w:val="39"/>
    <w:unhideWhenUsed/>
    <w:rsid w:val="00D7412C"/>
    <w:pPr>
      <w:spacing w:after="100"/>
      <w:ind w:left="660"/>
    </w:pPr>
  </w:style>
  <w:style w:type="paragraph" w:styleId="TDC5">
    <w:name w:val="toc 5"/>
    <w:basedOn w:val="TDC1"/>
    <w:next w:val="Normal"/>
    <w:autoRedefine/>
    <w:uiPriority w:val="39"/>
    <w:unhideWhenUsed/>
    <w:rsid w:val="00D7412C"/>
    <w:pPr>
      <w:spacing w:after="100"/>
      <w:ind w:left="880"/>
    </w:pPr>
  </w:style>
  <w:style w:type="paragraph" w:styleId="Cita">
    <w:name w:val="Quote"/>
    <w:basedOn w:val="Normal"/>
    <w:next w:val="Normal"/>
    <w:link w:val="CitaCar"/>
    <w:uiPriority w:val="29"/>
    <w:qFormat/>
    <w:rsid w:val="009017CA"/>
    <w:pPr>
      <w:spacing w:before="0" w:after="0" w:line="240" w:lineRule="auto"/>
      <w:ind w:left="862" w:right="862"/>
    </w:pPr>
    <w:rPr>
      <w:i/>
      <w:iCs/>
      <w:color w:val="000000" w:themeColor="text1"/>
      <w:sz w:val="20"/>
    </w:rPr>
  </w:style>
  <w:style w:type="character" w:customStyle="1" w:styleId="CitaCar">
    <w:name w:val="Cita Car"/>
    <w:basedOn w:val="Fuentedeprrafopredeter"/>
    <w:link w:val="Cita"/>
    <w:uiPriority w:val="29"/>
    <w:rsid w:val="009017CA"/>
    <w:rPr>
      <w:rFonts w:ascii="ITC Avant Garde" w:eastAsia="Calibri" w:hAnsi="ITC Avant Garde" w:cs="Times New Roman"/>
      <w:i/>
      <w:iCs/>
      <w:color w:val="000000" w:themeColor="text1"/>
      <w:sz w:val="20"/>
      <w:lang w:val="es-ES_tradnl" w:eastAsia="es-MX"/>
    </w:rPr>
  </w:style>
  <w:style w:type="character" w:customStyle="1" w:styleId="Ttulo6Car">
    <w:name w:val="Título 6 Car"/>
    <w:basedOn w:val="Fuentedeprrafopredeter"/>
    <w:link w:val="Ttulo6"/>
    <w:uiPriority w:val="9"/>
    <w:rsid w:val="00390B26"/>
    <w:rPr>
      <w:rFonts w:asciiTheme="majorHAnsi" w:eastAsiaTheme="majorEastAsia" w:hAnsiTheme="majorHAnsi" w:cstheme="majorBidi"/>
      <w:color w:val="1F4D78" w:themeColor="accent1" w:themeShade="7F"/>
      <w:lang w:val="es-ES_tradnl" w:eastAsia="es-MX"/>
    </w:rPr>
  </w:style>
  <w:style w:type="character" w:customStyle="1" w:styleId="SinespaciadoCar">
    <w:name w:val="Sin espaciado Car"/>
    <w:aliases w:val="Lista numerada Car"/>
    <w:link w:val="Sinespaciado"/>
    <w:uiPriority w:val="1"/>
    <w:rsid w:val="008659E7"/>
    <w:rPr>
      <w:rFonts w:ascii="Calibri" w:eastAsia="Calibri" w:hAnsi="Calibri" w:cs="Times New Roman"/>
    </w:rPr>
  </w:style>
  <w:style w:type="paragraph" w:styleId="Subttulo">
    <w:name w:val="Subtitle"/>
    <w:basedOn w:val="Normal"/>
    <w:next w:val="Normal"/>
    <w:link w:val="SubttuloCar"/>
    <w:uiPriority w:val="11"/>
    <w:qFormat/>
    <w:rsid w:val="00F8780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F8780D"/>
    <w:rPr>
      <w:rFonts w:eastAsiaTheme="minorEastAsia"/>
      <w:color w:val="5A5A5A" w:themeColor="text1" w:themeTint="A5"/>
      <w:spacing w:val="15"/>
      <w:lang w:val="es-ES_tradnl" w:eastAsia="es-MX"/>
    </w:rPr>
  </w:style>
  <w:style w:type="character" w:customStyle="1" w:styleId="Ttulo7Car">
    <w:name w:val="Título 7 Car"/>
    <w:basedOn w:val="Fuentedeprrafopredeter"/>
    <w:link w:val="Ttulo7"/>
    <w:uiPriority w:val="9"/>
    <w:rsid w:val="00FF388E"/>
    <w:rPr>
      <w:rFonts w:asciiTheme="majorHAnsi" w:eastAsiaTheme="majorEastAsia" w:hAnsiTheme="majorHAnsi" w:cstheme="majorBidi"/>
      <w:i/>
      <w:iCs/>
      <w:color w:val="1F4D78" w:themeColor="accent1" w:themeShade="7F"/>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3759">
      <w:bodyDiv w:val="1"/>
      <w:marLeft w:val="0"/>
      <w:marRight w:val="0"/>
      <w:marTop w:val="0"/>
      <w:marBottom w:val="0"/>
      <w:divBdr>
        <w:top w:val="none" w:sz="0" w:space="0" w:color="auto"/>
        <w:left w:val="none" w:sz="0" w:space="0" w:color="auto"/>
        <w:bottom w:val="none" w:sz="0" w:space="0" w:color="auto"/>
        <w:right w:val="none" w:sz="0" w:space="0" w:color="auto"/>
      </w:divBdr>
    </w:div>
    <w:div w:id="142427245">
      <w:bodyDiv w:val="1"/>
      <w:marLeft w:val="0"/>
      <w:marRight w:val="0"/>
      <w:marTop w:val="0"/>
      <w:marBottom w:val="0"/>
      <w:divBdr>
        <w:top w:val="none" w:sz="0" w:space="0" w:color="auto"/>
        <w:left w:val="none" w:sz="0" w:space="0" w:color="auto"/>
        <w:bottom w:val="none" w:sz="0" w:space="0" w:color="auto"/>
        <w:right w:val="none" w:sz="0" w:space="0" w:color="auto"/>
      </w:divBdr>
    </w:div>
    <w:div w:id="143477995">
      <w:bodyDiv w:val="1"/>
      <w:marLeft w:val="0"/>
      <w:marRight w:val="0"/>
      <w:marTop w:val="0"/>
      <w:marBottom w:val="0"/>
      <w:divBdr>
        <w:top w:val="none" w:sz="0" w:space="0" w:color="auto"/>
        <w:left w:val="none" w:sz="0" w:space="0" w:color="auto"/>
        <w:bottom w:val="none" w:sz="0" w:space="0" w:color="auto"/>
        <w:right w:val="none" w:sz="0" w:space="0" w:color="auto"/>
      </w:divBdr>
    </w:div>
    <w:div w:id="156531488">
      <w:bodyDiv w:val="1"/>
      <w:marLeft w:val="0"/>
      <w:marRight w:val="0"/>
      <w:marTop w:val="0"/>
      <w:marBottom w:val="0"/>
      <w:divBdr>
        <w:top w:val="none" w:sz="0" w:space="0" w:color="auto"/>
        <w:left w:val="none" w:sz="0" w:space="0" w:color="auto"/>
        <w:bottom w:val="none" w:sz="0" w:space="0" w:color="auto"/>
        <w:right w:val="none" w:sz="0" w:space="0" w:color="auto"/>
      </w:divBdr>
    </w:div>
    <w:div w:id="203637911">
      <w:bodyDiv w:val="1"/>
      <w:marLeft w:val="0"/>
      <w:marRight w:val="0"/>
      <w:marTop w:val="0"/>
      <w:marBottom w:val="0"/>
      <w:divBdr>
        <w:top w:val="none" w:sz="0" w:space="0" w:color="auto"/>
        <w:left w:val="none" w:sz="0" w:space="0" w:color="auto"/>
        <w:bottom w:val="none" w:sz="0" w:space="0" w:color="auto"/>
        <w:right w:val="none" w:sz="0" w:space="0" w:color="auto"/>
      </w:divBdr>
    </w:div>
    <w:div w:id="212273669">
      <w:bodyDiv w:val="1"/>
      <w:marLeft w:val="0"/>
      <w:marRight w:val="0"/>
      <w:marTop w:val="0"/>
      <w:marBottom w:val="0"/>
      <w:divBdr>
        <w:top w:val="none" w:sz="0" w:space="0" w:color="auto"/>
        <w:left w:val="none" w:sz="0" w:space="0" w:color="auto"/>
        <w:bottom w:val="none" w:sz="0" w:space="0" w:color="auto"/>
        <w:right w:val="none" w:sz="0" w:space="0" w:color="auto"/>
      </w:divBdr>
    </w:div>
    <w:div w:id="218325503">
      <w:bodyDiv w:val="1"/>
      <w:marLeft w:val="0"/>
      <w:marRight w:val="0"/>
      <w:marTop w:val="0"/>
      <w:marBottom w:val="0"/>
      <w:divBdr>
        <w:top w:val="none" w:sz="0" w:space="0" w:color="auto"/>
        <w:left w:val="none" w:sz="0" w:space="0" w:color="auto"/>
        <w:bottom w:val="none" w:sz="0" w:space="0" w:color="auto"/>
        <w:right w:val="none" w:sz="0" w:space="0" w:color="auto"/>
      </w:divBdr>
    </w:div>
    <w:div w:id="294484431">
      <w:bodyDiv w:val="1"/>
      <w:marLeft w:val="0"/>
      <w:marRight w:val="0"/>
      <w:marTop w:val="0"/>
      <w:marBottom w:val="0"/>
      <w:divBdr>
        <w:top w:val="none" w:sz="0" w:space="0" w:color="auto"/>
        <w:left w:val="none" w:sz="0" w:space="0" w:color="auto"/>
        <w:bottom w:val="none" w:sz="0" w:space="0" w:color="auto"/>
        <w:right w:val="none" w:sz="0" w:space="0" w:color="auto"/>
      </w:divBdr>
    </w:div>
    <w:div w:id="338385447">
      <w:bodyDiv w:val="1"/>
      <w:marLeft w:val="0"/>
      <w:marRight w:val="0"/>
      <w:marTop w:val="0"/>
      <w:marBottom w:val="0"/>
      <w:divBdr>
        <w:top w:val="none" w:sz="0" w:space="0" w:color="auto"/>
        <w:left w:val="none" w:sz="0" w:space="0" w:color="auto"/>
        <w:bottom w:val="none" w:sz="0" w:space="0" w:color="auto"/>
        <w:right w:val="none" w:sz="0" w:space="0" w:color="auto"/>
      </w:divBdr>
    </w:div>
    <w:div w:id="375660562">
      <w:bodyDiv w:val="1"/>
      <w:marLeft w:val="0"/>
      <w:marRight w:val="0"/>
      <w:marTop w:val="0"/>
      <w:marBottom w:val="0"/>
      <w:divBdr>
        <w:top w:val="none" w:sz="0" w:space="0" w:color="auto"/>
        <w:left w:val="none" w:sz="0" w:space="0" w:color="auto"/>
        <w:bottom w:val="none" w:sz="0" w:space="0" w:color="auto"/>
        <w:right w:val="none" w:sz="0" w:space="0" w:color="auto"/>
      </w:divBdr>
    </w:div>
    <w:div w:id="414285045">
      <w:bodyDiv w:val="1"/>
      <w:marLeft w:val="0"/>
      <w:marRight w:val="0"/>
      <w:marTop w:val="0"/>
      <w:marBottom w:val="0"/>
      <w:divBdr>
        <w:top w:val="none" w:sz="0" w:space="0" w:color="auto"/>
        <w:left w:val="none" w:sz="0" w:space="0" w:color="auto"/>
        <w:bottom w:val="none" w:sz="0" w:space="0" w:color="auto"/>
        <w:right w:val="none" w:sz="0" w:space="0" w:color="auto"/>
      </w:divBdr>
      <w:divsChild>
        <w:div w:id="98457027">
          <w:marLeft w:val="720"/>
          <w:marRight w:val="0"/>
          <w:marTop w:val="0"/>
          <w:marBottom w:val="60"/>
          <w:divBdr>
            <w:top w:val="none" w:sz="0" w:space="0" w:color="auto"/>
            <w:left w:val="none" w:sz="0" w:space="0" w:color="auto"/>
            <w:bottom w:val="none" w:sz="0" w:space="0" w:color="auto"/>
            <w:right w:val="none" w:sz="0" w:space="0" w:color="auto"/>
          </w:divBdr>
        </w:div>
        <w:div w:id="108821445">
          <w:marLeft w:val="0"/>
          <w:marRight w:val="0"/>
          <w:marTop w:val="0"/>
          <w:marBottom w:val="80"/>
          <w:divBdr>
            <w:top w:val="none" w:sz="0" w:space="0" w:color="auto"/>
            <w:left w:val="none" w:sz="0" w:space="0" w:color="auto"/>
            <w:bottom w:val="none" w:sz="0" w:space="0" w:color="auto"/>
            <w:right w:val="none" w:sz="0" w:space="0" w:color="auto"/>
          </w:divBdr>
        </w:div>
        <w:div w:id="176118528">
          <w:marLeft w:val="0"/>
          <w:marRight w:val="0"/>
          <w:marTop w:val="0"/>
          <w:marBottom w:val="80"/>
          <w:divBdr>
            <w:top w:val="none" w:sz="0" w:space="0" w:color="auto"/>
            <w:left w:val="none" w:sz="0" w:space="0" w:color="auto"/>
            <w:bottom w:val="none" w:sz="0" w:space="0" w:color="auto"/>
            <w:right w:val="none" w:sz="0" w:space="0" w:color="auto"/>
          </w:divBdr>
        </w:div>
        <w:div w:id="283852684">
          <w:marLeft w:val="0"/>
          <w:marRight w:val="0"/>
          <w:marTop w:val="0"/>
          <w:marBottom w:val="101"/>
          <w:divBdr>
            <w:top w:val="none" w:sz="0" w:space="0" w:color="auto"/>
            <w:left w:val="none" w:sz="0" w:space="0" w:color="auto"/>
            <w:bottom w:val="none" w:sz="0" w:space="0" w:color="auto"/>
            <w:right w:val="none" w:sz="0" w:space="0" w:color="auto"/>
          </w:divBdr>
        </w:div>
        <w:div w:id="354312914">
          <w:marLeft w:val="720"/>
          <w:marRight w:val="0"/>
          <w:marTop w:val="0"/>
          <w:marBottom w:val="60"/>
          <w:divBdr>
            <w:top w:val="none" w:sz="0" w:space="0" w:color="auto"/>
            <w:left w:val="none" w:sz="0" w:space="0" w:color="auto"/>
            <w:bottom w:val="none" w:sz="0" w:space="0" w:color="auto"/>
            <w:right w:val="none" w:sz="0" w:space="0" w:color="auto"/>
          </w:divBdr>
        </w:div>
        <w:div w:id="417409139">
          <w:marLeft w:val="0"/>
          <w:marRight w:val="0"/>
          <w:marTop w:val="0"/>
          <w:marBottom w:val="101"/>
          <w:divBdr>
            <w:top w:val="none" w:sz="0" w:space="0" w:color="auto"/>
            <w:left w:val="none" w:sz="0" w:space="0" w:color="auto"/>
            <w:bottom w:val="none" w:sz="0" w:space="0" w:color="auto"/>
            <w:right w:val="none" w:sz="0" w:space="0" w:color="auto"/>
          </w:divBdr>
        </w:div>
        <w:div w:id="527523984">
          <w:marLeft w:val="0"/>
          <w:marRight w:val="0"/>
          <w:marTop w:val="0"/>
          <w:marBottom w:val="80"/>
          <w:divBdr>
            <w:top w:val="none" w:sz="0" w:space="0" w:color="auto"/>
            <w:left w:val="none" w:sz="0" w:space="0" w:color="auto"/>
            <w:bottom w:val="none" w:sz="0" w:space="0" w:color="auto"/>
            <w:right w:val="none" w:sz="0" w:space="0" w:color="auto"/>
          </w:divBdr>
        </w:div>
        <w:div w:id="560017842">
          <w:marLeft w:val="720"/>
          <w:marRight w:val="0"/>
          <w:marTop w:val="0"/>
          <w:marBottom w:val="60"/>
          <w:divBdr>
            <w:top w:val="none" w:sz="0" w:space="0" w:color="auto"/>
            <w:left w:val="none" w:sz="0" w:space="0" w:color="auto"/>
            <w:bottom w:val="none" w:sz="0" w:space="0" w:color="auto"/>
            <w:right w:val="none" w:sz="0" w:space="0" w:color="auto"/>
          </w:divBdr>
        </w:div>
        <w:div w:id="626475103">
          <w:marLeft w:val="720"/>
          <w:marRight w:val="0"/>
          <w:marTop w:val="0"/>
          <w:marBottom w:val="60"/>
          <w:divBdr>
            <w:top w:val="none" w:sz="0" w:space="0" w:color="auto"/>
            <w:left w:val="none" w:sz="0" w:space="0" w:color="auto"/>
            <w:bottom w:val="none" w:sz="0" w:space="0" w:color="auto"/>
            <w:right w:val="none" w:sz="0" w:space="0" w:color="auto"/>
          </w:divBdr>
        </w:div>
        <w:div w:id="659314738">
          <w:marLeft w:val="0"/>
          <w:marRight w:val="0"/>
          <w:marTop w:val="0"/>
          <w:marBottom w:val="60"/>
          <w:divBdr>
            <w:top w:val="none" w:sz="0" w:space="0" w:color="auto"/>
            <w:left w:val="none" w:sz="0" w:space="0" w:color="auto"/>
            <w:bottom w:val="none" w:sz="0" w:space="0" w:color="auto"/>
            <w:right w:val="none" w:sz="0" w:space="0" w:color="auto"/>
          </w:divBdr>
        </w:div>
        <w:div w:id="701831953">
          <w:marLeft w:val="720"/>
          <w:marRight w:val="0"/>
          <w:marTop w:val="0"/>
          <w:marBottom w:val="60"/>
          <w:divBdr>
            <w:top w:val="none" w:sz="0" w:space="0" w:color="auto"/>
            <w:left w:val="none" w:sz="0" w:space="0" w:color="auto"/>
            <w:bottom w:val="none" w:sz="0" w:space="0" w:color="auto"/>
            <w:right w:val="none" w:sz="0" w:space="0" w:color="auto"/>
          </w:divBdr>
        </w:div>
        <w:div w:id="843394515">
          <w:marLeft w:val="720"/>
          <w:marRight w:val="0"/>
          <w:marTop w:val="0"/>
          <w:marBottom w:val="101"/>
          <w:divBdr>
            <w:top w:val="none" w:sz="0" w:space="0" w:color="auto"/>
            <w:left w:val="none" w:sz="0" w:space="0" w:color="auto"/>
            <w:bottom w:val="none" w:sz="0" w:space="0" w:color="auto"/>
            <w:right w:val="none" w:sz="0" w:space="0" w:color="auto"/>
          </w:divBdr>
        </w:div>
        <w:div w:id="1109936468">
          <w:marLeft w:val="720"/>
          <w:marRight w:val="0"/>
          <w:marTop w:val="0"/>
          <w:marBottom w:val="101"/>
          <w:divBdr>
            <w:top w:val="none" w:sz="0" w:space="0" w:color="auto"/>
            <w:left w:val="none" w:sz="0" w:space="0" w:color="auto"/>
            <w:bottom w:val="none" w:sz="0" w:space="0" w:color="auto"/>
            <w:right w:val="none" w:sz="0" w:space="0" w:color="auto"/>
          </w:divBdr>
        </w:div>
        <w:div w:id="1315522597">
          <w:marLeft w:val="720"/>
          <w:marRight w:val="0"/>
          <w:marTop w:val="0"/>
          <w:marBottom w:val="101"/>
          <w:divBdr>
            <w:top w:val="none" w:sz="0" w:space="0" w:color="auto"/>
            <w:left w:val="none" w:sz="0" w:space="0" w:color="auto"/>
            <w:bottom w:val="none" w:sz="0" w:space="0" w:color="auto"/>
            <w:right w:val="none" w:sz="0" w:space="0" w:color="auto"/>
          </w:divBdr>
        </w:div>
        <w:div w:id="1359811775">
          <w:marLeft w:val="0"/>
          <w:marRight w:val="0"/>
          <w:marTop w:val="0"/>
          <w:marBottom w:val="101"/>
          <w:divBdr>
            <w:top w:val="none" w:sz="0" w:space="0" w:color="auto"/>
            <w:left w:val="none" w:sz="0" w:space="0" w:color="auto"/>
            <w:bottom w:val="none" w:sz="0" w:space="0" w:color="auto"/>
            <w:right w:val="none" w:sz="0" w:space="0" w:color="auto"/>
          </w:divBdr>
        </w:div>
        <w:div w:id="1508791289">
          <w:marLeft w:val="720"/>
          <w:marRight w:val="0"/>
          <w:marTop w:val="0"/>
          <w:marBottom w:val="60"/>
          <w:divBdr>
            <w:top w:val="none" w:sz="0" w:space="0" w:color="auto"/>
            <w:left w:val="none" w:sz="0" w:space="0" w:color="auto"/>
            <w:bottom w:val="none" w:sz="0" w:space="0" w:color="auto"/>
            <w:right w:val="none" w:sz="0" w:space="0" w:color="auto"/>
          </w:divBdr>
        </w:div>
        <w:div w:id="1577936197">
          <w:marLeft w:val="0"/>
          <w:marRight w:val="0"/>
          <w:marTop w:val="0"/>
          <w:marBottom w:val="101"/>
          <w:divBdr>
            <w:top w:val="none" w:sz="0" w:space="0" w:color="auto"/>
            <w:left w:val="none" w:sz="0" w:space="0" w:color="auto"/>
            <w:bottom w:val="none" w:sz="0" w:space="0" w:color="auto"/>
            <w:right w:val="none" w:sz="0" w:space="0" w:color="auto"/>
          </w:divBdr>
        </w:div>
        <w:div w:id="1682658168">
          <w:marLeft w:val="720"/>
          <w:marRight w:val="0"/>
          <w:marTop w:val="0"/>
          <w:marBottom w:val="101"/>
          <w:divBdr>
            <w:top w:val="none" w:sz="0" w:space="0" w:color="auto"/>
            <w:left w:val="none" w:sz="0" w:space="0" w:color="auto"/>
            <w:bottom w:val="none" w:sz="0" w:space="0" w:color="auto"/>
            <w:right w:val="none" w:sz="0" w:space="0" w:color="auto"/>
          </w:divBdr>
        </w:div>
        <w:div w:id="1775202615">
          <w:marLeft w:val="0"/>
          <w:marRight w:val="0"/>
          <w:marTop w:val="0"/>
          <w:marBottom w:val="101"/>
          <w:divBdr>
            <w:top w:val="none" w:sz="0" w:space="0" w:color="auto"/>
            <w:left w:val="none" w:sz="0" w:space="0" w:color="auto"/>
            <w:bottom w:val="none" w:sz="0" w:space="0" w:color="auto"/>
            <w:right w:val="none" w:sz="0" w:space="0" w:color="auto"/>
          </w:divBdr>
        </w:div>
        <w:div w:id="1925842763">
          <w:marLeft w:val="0"/>
          <w:marRight w:val="0"/>
          <w:marTop w:val="0"/>
          <w:marBottom w:val="101"/>
          <w:divBdr>
            <w:top w:val="none" w:sz="0" w:space="0" w:color="auto"/>
            <w:left w:val="none" w:sz="0" w:space="0" w:color="auto"/>
            <w:bottom w:val="none" w:sz="0" w:space="0" w:color="auto"/>
            <w:right w:val="none" w:sz="0" w:space="0" w:color="auto"/>
          </w:divBdr>
        </w:div>
        <w:div w:id="1944065976">
          <w:marLeft w:val="0"/>
          <w:marRight w:val="0"/>
          <w:marTop w:val="0"/>
          <w:marBottom w:val="80"/>
          <w:divBdr>
            <w:top w:val="none" w:sz="0" w:space="0" w:color="auto"/>
            <w:left w:val="none" w:sz="0" w:space="0" w:color="auto"/>
            <w:bottom w:val="none" w:sz="0" w:space="0" w:color="auto"/>
            <w:right w:val="none" w:sz="0" w:space="0" w:color="auto"/>
          </w:divBdr>
        </w:div>
        <w:div w:id="1977635269">
          <w:marLeft w:val="0"/>
          <w:marRight w:val="0"/>
          <w:marTop w:val="0"/>
          <w:marBottom w:val="80"/>
          <w:divBdr>
            <w:top w:val="none" w:sz="0" w:space="0" w:color="auto"/>
            <w:left w:val="none" w:sz="0" w:space="0" w:color="auto"/>
            <w:bottom w:val="none" w:sz="0" w:space="0" w:color="auto"/>
            <w:right w:val="none" w:sz="0" w:space="0" w:color="auto"/>
          </w:divBdr>
        </w:div>
      </w:divsChild>
    </w:div>
    <w:div w:id="446125251">
      <w:bodyDiv w:val="1"/>
      <w:marLeft w:val="0"/>
      <w:marRight w:val="0"/>
      <w:marTop w:val="0"/>
      <w:marBottom w:val="0"/>
      <w:divBdr>
        <w:top w:val="none" w:sz="0" w:space="0" w:color="auto"/>
        <w:left w:val="none" w:sz="0" w:space="0" w:color="auto"/>
        <w:bottom w:val="none" w:sz="0" w:space="0" w:color="auto"/>
        <w:right w:val="none" w:sz="0" w:space="0" w:color="auto"/>
      </w:divBdr>
    </w:div>
    <w:div w:id="448547539">
      <w:bodyDiv w:val="1"/>
      <w:marLeft w:val="0"/>
      <w:marRight w:val="0"/>
      <w:marTop w:val="0"/>
      <w:marBottom w:val="0"/>
      <w:divBdr>
        <w:top w:val="none" w:sz="0" w:space="0" w:color="auto"/>
        <w:left w:val="none" w:sz="0" w:space="0" w:color="auto"/>
        <w:bottom w:val="none" w:sz="0" w:space="0" w:color="auto"/>
        <w:right w:val="none" w:sz="0" w:space="0" w:color="auto"/>
      </w:divBdr>
    </w:div>
    <w:div w:id="506018409">
      <w:bodyDiv w:val="1"/>
      <w:marLeft w:val="0"/>
      <w:marRight w:val="0"/>
      <w:marTop w:val="0"/>
      <w:marBottom w:val="0"/>
      <w:divBdr>
        <w:top w:val="none" w:sz="0" w:space="0" w:color="auto"/>
        <w:left w:val="none" w:sz="0" w:space="0" w:color="auto"/>
        <w:bottom w:val="none" w:sz="0" w:space="0" w:color="auto"/>
        <w:right w:val="none" w:sz="0" w:space="0" w:color="auto"/>
      </w:divBdr>
    </w:div>
    <w:div w:id="621035053">
      <w:bodyDiv w:val="1"/>
      <w:marLeft w:val="0"/>
      <w:marRight w:val="0"/>
      <w:marTop w:val="0"/>
      <w:marBottom w:val="0"/>
      <w:divBdr>
        <w:top w:val="none" w:sz="0" w:space="0" w:color="auto"/>
        <w:left w:val="none" w:sz="0" w:space="0" w:color="auto"/>
        <w:bottom w:val="none" w:sz="0" w:space="0" w:color="auto"/>
        <w:right w:val="none" w:sz="0" w:space="0" w:color="auto"/>
      </w:divBdr>
    </w:div>
    <w:div w:id="624627388">
      <w:bodyDiv w:val="1"/>
      <w:marLeft w:val="0"/>
      <w:marRight w:val="0"/>
      <w:marTop w:val="0"/>
      <w:marBottom w:val="0"/>
      <w:divBdr>
        <w:top w:val="none" w:sz="0" w:space="0" w:color="auto"/>
        <w:left w:val="none" w:sz="0" w:space="0" w:color="auto"/>
        <w:bottom w:val="none" w:sz="0" w:space="0" w:color="auto"/>
        <w:right w:val="none" w:sz="0" w:space="0" w:color="auto"/>
      </w:divBdr>
    </w:div>
    <w:div w:id="686367070">
      <w:bodyDiv w:val="1"/>
      <w:marLeft w:val="0"/>
      <w:marRight w:val="0"/>
      <w:marTop w:val="0"/>
      <w:marBottom w:val="0"/>
      <w:divBdr>
        <w:top w:val="none" w:sz="0" w:space="0" w:color="auto"/>
        <w:left w:val="none" w:sz="0" w:space="0" w:color="auto"/>
        <w:bottom w:val="none" w:sz="0" w:space="0" w:color="auto"/>
        <w:right w:val="none" w:sz="0" w:space="0" w:color="auto"/>
      </w:divBdr>
    </w:div>
    <w:div w:id="695083989">
      <w:bodyDiv w:val="1"/>
      <w:marLeft w:val="0"/>
      <w:marRight w:val="0"/>
      <w:marTop w:val="0"/>
      <w:marBottom w:val="0"/>
      <w:divBdr>
        <w:top w:val="none" w:sz="0" w:space="0" w:color="auto"/>
        <w:left w:val="none" w:sz="0" w:space="0" w:color="auto"/>
        <w:bottom w:val="none" w:sz="0" w:space="0" w:color="auto"/>
        <w:right w:val="none" w:sz="0" w:space="0" w:color="auto"/>
      </w:divBdr>
    </w:div>
    <w:div w:id="716392398">
      <w:bodyDiv w:val="1"/>
      <w:marLeft w:val="0"/>
      <w:marRight w:val="0"/>
      <w:marTop w:val="0"/>
      <w:marBottom w:val="0"/>
      <w:divBdr>
        <w:top w:val="none" w:sz="0" w:space="0" w:color="auto"/>
        <w:left w:val="none" w:sz="0" w:space="0" w:color="auto"/>
        <w:bottom w:val="none" w:sz="0" w:space="0" w:color="auto"/>
        <w:right w:val="none" w:sz="0" w:space="0" w:color="auto"/>
      </w:divBdr>
    </w:div>
    <w:div w:id="730351713">
      <w:bodyDiv w:val="1"/>
      <w:marLeft w:val="0"/>
      <w:marRight w:val="0"/>
      <w:marTop w:val="0"/>
      <w:marBottom w:val="0"/>
      <w:divBdr>
        <w:top w:val="none" w:sz="0" w:space="0" w:color="auto"/>
        <w:left w:val="none" w:sz="0" w:space="0" w:color="auto"/>
        <w:bottom w:val="none" w:sz="0" w:space="0" w:color="auto"/>
        <w:right w:val="none" w:sz="0" w:space="0" w:color="auto"/>
      </w:divBdr>
    </w:div>
    <w:div w:id="738937827">
      <w:bodyDiv w:val="1"/>
      <w:marLeft w:val="0"/>
      <w:marRight w:val="0"/>
      <w:marTop w:val="0"/>
      <w:marBottom w:val="0"/>
      <w:divBdr>
        <w:top w:val="none" w:sz="0" w:space="0" w:color="auto"/>
        <w:left w:val="none" w:sz="0" w:space="0" w:color="auto"/>
        <w:bottom w:val="none" w:sz="0" w:space="0" w:color="auto"/>
        <w:right w:val="none" w:sz="0" w:space="0" w:color="auto"/>
      </w:divBdr>
    </w:div>
    <w:div w:id="879708544">
      <w:bodyDiv w:val="1"/>
      <w:marLeft w:val="0"/>
      <w:marRight w:val="0"/>
      <w:marTop w:val="0"/>
      <w:marBottom w:val="0"/>
      <w:divBdr>
        <w:top w:val="none" w:sz="0" w:space="0" w:color="auto"/>
        <w:left w:val="none" w:sz="0" w:space="0" w:color="auto"/>
        <w:bottom w:val="none" w:sz="0" w:space="0" w:color="auto"/>
        <w:right w:val="none" w:sz="0" w:space="0" w:color="auto"/>
      </w:divBdr>
    </w:div>
    <w:div w:id="880940407">
      <w:bodyDiv w:val="1"/>
      <w:marLeft w:val="0"/>
      <w:marRight w:val="0"/>
      <w:marTop w:val="0"/>
      <w:marBottom w:val="0"/>
      <w:divBdr>
        <w:top w:val="none" w:sz="0" w:space="0" w:color="auto"/>
        <w:left w:val="none" w:sz="0" w:space="0" w:color="auto"/>
        <w:bottom w:val="none" w:sz="0" w:space="0" w:color="auto"/>
        <w:right w:val="none" w:sz="0" w:space="0" w:color="auto"/>
      </w:divBdr>
    </w:div>
    <w:div w:id="905408831">
      <w:bodyDiv w:val="1"/>
      <w:marLeft w:val="0"/>
      <w:marRight w:val="0"/>
      <w:marTop w:val="0"/>
      <w:marBottom w:val="0"/>
      <w:divBdr>
        <w:top w:val="none" w:sz="0" w:space="0" w:color="auto"/>
        <w:left w:val="none" w:sz="0" w:space="0" w:color="auto"/>
        <w:bottom w:val="none" w:sz="0" w:space="0" w:color="auto"/>
        <w:right w:val="none" w:sz="0" w:space="0" w:color="auto"/>
      </w:divBdr>
    </w:div>
    <w:div w:id="916865396">
      <w:bodyDiv w:val="1"/>
      <w:marLeft w:val="0"/>
      <w:marRight w:val="0"/>
      <w:marTop w:val="0"/>
      <w:marBottom w:val="0"/>
      <w:divBdr>
        <w:top w:val="none" w:sz="0" w:space="0" w:color="auto"/>
        <w:left w:val="none" w:sz="0" w:space="0" w:color="auto"/>
        <w:bottom w:val="none" w:sz="0" w:space="0" w:color="auto"/>
        <w:right w:val="none" w:sz="0" w:space="0" w:color="auto"/>
      </w:divBdr>
    </w:div>
    <w:div w:id="930626675">
      <w:bodyDiv w:val="1"/>
      <w:marLeft w:val="0"/>
      <w:marRight w:val="0"/>
      <w:marTop w:val="0"/>
      <w:marBottom w:val="0"/>
      <w:divBdr>
        <w:top w:val="none" w:sz="0" w:space="0" w:color="auto"/>
        <w:left w:val="none" w:sz="0" w:space="0" w:color="auto"/>
        <w:bottom w:val="none" w:sz="0" w:space="0" w:color="auto"/>
        <w:right w:val="none" w:sz="0" w:space="0" w:color="auto"/>
      </w:divBdr>
    </w:div>
    <w:div w:id="971986898">
      <w:bodyDiv w:val="1"/>
      <w:marLeft w:val="0"/>
      <w:marRight w:val="0"/>
      <w:marTop w:val="0"/>
      <w:marBottom w:val="0"/>
      <w:divBdr>
        <w:top w:val="none" w:sz="0" w:space="0" w:color="auto"/>
        <w:left w:val="none" w:sz="0" w:space="0" w:color="auto"/>
        <w:bottom w:val="none" w:sz="0" w:space="0" w:color="auto"/>
        <w:right w:val="none" w:sz="0" w:space="0" w:color="auto"/>
      </w:divBdr>
    </w:div>
    <w:div w:id="1012993999">
      <w:bodyDiv w:val="1"/>
      <w:marLeft w:val="0"/>
      <w:marRight w:val="0"/>
      <w:marTop w:val="0"/>
      <w:marBottom w:val="0"/>
      <w:divBdr>
        <w:top w:val="none" w:sz="0" w:space="0" w:color="auto"/>
        <w:left w:val="none" w:sz="0" w:space="0" w:color="auto"/>
        <w:bottom w:val="none" w:sz="0" w:space="0" w:color="auto"/>
        <w:right w:val="none" w:sz="0" w:space="0" w:color="auto"/>
      </w:divBdr>
    </w:div>
    <w:div w:id="1038238873">
      <w:bodyDiv w:val="1"/>
      <w:marLeft w:val="0"/>
      <w:marRight w:val="0"/>
      <w:marTop w:val="0"/>
      <w:marBottom w:val="0"/>
      <w:divBdr>
        <w:top w:val="none" w:sz="0" w:space="0" w:color="auto"/>
        <w:left w:val="none" w:sz="0" w:space="0" w:color="auto"/>
        <w:bottom w:val="none" w:sz="0" w:space="0" w:color="auto"/>
        <w:right w:val="none" w:sz="0" w:space="0" w:color="auto"/>
      </w:divBdr>
    </w:div>
    <w:div w:id="1061438822">
      <w:bodyDiv w:val="1"/>
      <w:marLeft w:val="0"/>
      <w:marRight w:val="0"/>
      <w:marTop w:val="0"/>
      <w:marBottom w:val="0"/>
      <w:divBdr>
        <w:top w:val="none" w:sz="0" w:space="0" w:color="auto"/>
        <w:left w:val="none" w:sz="0" w:space="0" w:color="auto"/>
        <w:bottom w:val="none" w:sz="0" w:space="0" w:color="auto"/>
        <w:right w:val="none" w:sz="0" w:space="0" w:color="auto"/>
      </w:divBdr>
    </w:div>
    <w:div w:id="1072044892">
      <w:bodyDiv w:val="1"/>
      <w:marLeft w:val="0"/>
      <w:marRight w:val="0"/>
      <w:marTop w:val="0"/>
      <w:marBottom w:val="0"/>
      <w:divBdr>
        <w:top w:val="none" w:sz="0" w:space="0" w:color="auto"/>
        <w:left w:val="none" w:sz="0" w:space="0" w:color="auto"/>
        <w:bottom w:val="none" w:sz="0" w:space="0" w:color="auto"/>
        <w:right w:val="none" w:sz="0" w:space="0" w:color="auto"/>
      </w:divBdr>
    </w:div>
    <w:div w:id="1099838193">
      <w:bodyDiv w:val="1"/>
      <w:marLeft w:val="0"/>
      <w:marRight w:val="0"/>
      <w:marTop w:val="0"/>
      <w:marBottom w:val="0"/>
      <w:divBdr>
        <w:top w:val="none" w:sz="0" w:space="0" w:color="auto"/>
        <w:left w:val="none" w:sz="0" w:space="0" w:color="auto"/>
        <w:bottom w:val="none" w:sz="0" w:space="0" w:color="auto"/>
        <w:right w:val="none" w:sz="0" w:space="0" w:color="auto"/>
      </w:divBdr>
    </w:div>
    <w:div w:id="1281455687">
      <w:bodyDiv w:val="1"/>
      <w:marLeft w:val="0"/>
      <w:marRight w:val="0"/>
      <w:marTop w:val="0"/>
      <w:marBottom w:val="0"/>
      <w:divBdr>
        <w:top w:val="none" w:sz="0" w:space="0" w:color="auto"/>
        <w:left w:val="none" w:sz="0" w:space="0" w:color="auto"/>
        <w:bottom w:val="none" w:sz="0" w:space="0" w:color="auto"/>
        <w:right w:val="none" w:sz="0" w:space="0" w:color="auto"/>
      </w:divBdr>
    </w:div>
    <w:div w:id="1295601986">
      <w:bodyDiv w:val="1"/>
      <w:marLeft w:val="0"/>
      <w:marRight w:val="0"/>
      <w:marTop w:val="0"/>
      <w:marBottom w:val="0"/>
      <w:divBdr>
        <w:top w:val="none" w:sz="0" w:space="0" w:color="auto"/>
        <w:left w:val="none" w:sz="0" w:space="0" w:color="auto"/>
        <w:bottom w:val="none" w:sz="0" w:space="0" w:color="auto"/>
        <w:right w:val="none" w:sz="0" w:space="0" w:color="auto"/>
      </w:divBdr>
    </w:div>
    <w:div w:id="1314719909">
      <w:bodyDiv w:val="1"/>
      <w:marLeft w:val="0"/>
      <w:marRight w:val="0"/>
      <w:marTop w:val="0"/>
      <w:marBottom w:val="0"/>
      <w:divBdr>
        <w:top w:val="none" w:sz="0" w:space="0" w:color="auto"/>
        <w:left w:val="none" w:sz="0" w:space="0" w:color="auto"/>
        <w:bottom w:val="none" w:sz="0" w:space="0" w:color="auto"/>
        <w:right w:val="none" w:sz="0" w:space="0" w:color="auto"/>
      </w:divBdr>
    </w:div>
    <w:div w:id="1412777946">
      <w:bodyDiv w:val="1"/>
      <w:marLeft w:val="0"/>
      <w:marRight w:val="0"/>
      <w:marTop w:val="0"/>
      <w:marBottom w:val="0"/>
      <w:divBdr>
        <w:top w:val="none" w:sz="0" w:space="0" w:color="auto"/>
        <w:left w:val="none" w:sz="0" w:space="0" w:color="auto"/>
        <w:bottom w:val="none" w:sz="0" w:space="0" w:color="auto"/>
        <w:right w:val="none" w:sz="0" w:space="0" w:color="auto"/>
      </w:divBdr>
    </w:div>
    <w:div w:id="1425998515">
      <w:bodyDiv w:val="1"/>
      <w:marLeft w:val="0"/>
      <w:marRight w:val="0"/>
      <w:marTop w:val="0"/>
      <w:marBottom w:val="0"/>
      <w:divBdr>
        <w:top w:val="none" w:sz="0" w:space="0" w:color="auto"/>
        <w:left w:val="none" w:sz="0" w:space="0" w:color="auto"/>
        <w:bottom w:val="none" w:sz="0" w:space="0" w:color="auto"/>
        <w:right w:val="none" w:sz="0" w:space="0" w:color="auto"/>
      </w:divBdr>
    </w:div>
    <w:div w:id="1429305385">
      <w:bodyDiv w:val="1"/>
      <w:marLeft w:val="0"/>
      <w:marRight w:val="0"/>
      <w:marTop w:val="0"/>
      <w:marBottom w:val="0"/>
      <w:divBdr>
        <w:top w:val="none" w:sz="0" w:space="0" w:color="auto"/>
        <w:left w:val="none" w:sz="0" w:space="0" w:color="auto"/>
        <w:bottom w:val="none" w:sz="0" w:space="0" w:color="auto"/>
        <w:right w:val="none" w:sz="0" w:space="0" w:color="auto"/>
      </w:divBdr>
    </w:div>
    <w:div w:id="1447777683">
      <w:bodyDiv w:val="1"/>
      <w:marLeft w:val="0"/>
      <w:marRight w:val="0"/>
      <w:marTop w:val="0"/>
      <w:marBottom w:val="0"/>
      <w:divBdr>
        <w:top w:val="none" w:sz="0" w:space="0" w:color="auto"/>
        <w:left w:val="none" w:sz="0" w:space="0" w:color="auto"/>
        <w:bottom w:val="none" w:sz="0" w:space="0" w:color="auto"/>
        <w:right w:val="none" w:sz="0" w:space="0" w:color="auto"/>
      </w:divBdr>
    </w:div>
    <w:div w:id="1484471207">
      <w:bodyDiv w:val="1"/>
      <w:marLeft w:val="0"/>
      <w:marRight w:val="0"/>
      <w:marTop w:val="0"/>
      <w:marBottom w:val="0"/>
      <w:divBdr>
        <w:top w:val="none" w:sz="0" w:space="0" w:color="auto"/>
        <w:left w:val="none" w:sz="0" w:space="0" w:color="auto"/>
        <w:bottom w:val="none" w:sz="0" w:space="0" w:color="auto"/>
        <w:right w:val="none" w:sz="0" w:space="0" w:color="auto"/>
      </w:divBdr>
    </w:div>
    <w:div w:id="1521964502">
      <w:bodyDiv w:val="1"/>
      <w:marLeft w:val="0"/>
      <w:marRight w:val="0"/>
      <w:marTop w:val="0"/>
      <w:marBottom w:val="0"/>
      <w:divBdr>
        <w:top w:val="none" w:sz="0" w:space="0" w:color="auto"/>
        <w:left w:val="none" w:sz="0" w:space="0" w:color="auto"/>
        <w:bottom w:val="none" w:sz="0" w:space="0" w:color="auto"/>
        <w:right w:val="none" w:sz="0" w:space="0" w:color="auto"/>
      </w:divBdr>
    </w:div>
    <w:div w:id="1526480733">
      <w:bodyDiv w:val="1"/>
      <w:marLeft w:val="0"/>
      <w:marRight w:val="0"/>
      <w:marTop w:val="0"/>
      <w:marBottom w:val="0"/>
      <w:divBdr>
        <w:top w:val="none" w:sz="0" w:space="0" w:color="auto"/>
        <w:left w:val="none" w:sz="0" w:space="0" w:color="auto"/>
        <w:bottom w:val="none" w:sz="0" w:space="0" w:color="auto"/>
        <w:right w:val="none" w:sz="0" w:space="0" w:color="auto"/>
      </w:divBdr>
    </w:div>
    <w:div w:id="1550647873">
      <w:bodyDiv w:val="1"/>
      <w:marLeft w:val="0"/>
      <w:marRight w:val="0"/>
      <w:marTop w:val="0"/>
      <w:marBottom w:val="0"/>
      <w:divBdr>
        <w:top w:val="none" w:sz="0" w:space="0" w:color="auto"/>
        <w:left w:val="none" w:sz="0" w:space="0" w:color="auto"/>
        <w:bottom w:val="none" w:sz="0" w:space="0" w:color="auto"/>
        <w:right w:val="none" w:sz="0" w:space="0" w:color="auto"/>
      </w:divBdr>
    </w:div>
    <w:div w:id="1577978732">
      <w:bodyDiv w:val="1"/>
      <w:marLeft w:val="0"/>
      <w:marRight w:val="0"/>
      <w:marTop w:val="0"/>
      <w:marBottom w:val="0"/>
      <w:divBdr>
        <w:top w:val="none" w:sz="0" w:space="0" w:color="auto"/>
        <w:left w:val="none" w:sz="0" w:space="0" w:color="auto"/>
        <w:bottom w:val="none" w:sz="0" w:space="0" w:color="auto"/>
        <w:right w:val="none" w:sz="0" w:space="0" w:color="auto"/>
      </w:divBdr>
    </w:div>
    <w:div w:id="1584220692">
      <w:bodyDiv w:val="1"/>
      <w:marLeft w:val="0"/>
      <w:marRight w:val="0"/>
      <w:marTop w:val="0"/>
      <w:marBottom w:val="0"/>
      <w:divBdr>
        <w:top w:val="none" w:sz="0" w:space="0" w:color="auto"/>
        <w:left w:val="none" w:sz="0" w:space="0" w:color="auto"/>
        <w:bottom w:val="none" w:sz="0" w:space="0" w:color="auto"/>
        <w:right w:val="none" w:sz="0" w:space="0" w:color="auto"/>
      </w:divBdr>
    </w:div>
    <w:div w:id="1610820672">
      <w:bodyDiv w:val="1"/>
      <w:marLeft w:val="0"/>
      <w:marRight w:val="0"/>
      <w:marTop w:val="0"/>
      <w:marBottom w:val="0"/>
      <w:divBdr>
        <w:top w:val="none" w:sz="0" w:space="0" w:color="auto"/>
        <w:left w:val="none" w:sz="0" w:space="0" w:color="auto"/>
        <w:bottom w:val="none" w:sz="0" w:space="0" w:color="auto"/>
        <w:right w:val="none" w:sz="0" w:space="0" w:color="auto"/>
      </w:divBdr>
    </w:div>
    <w:div w:id="1618222392">
      <w:bodyDiv w:val="1"/>
      <w:marLeft w:val="0"/>
      <w:marRight w:val="0"/>
      <w:marTop w:val="0"/>
      <w:marBottom w:val="0"/>
      <w:divBdr>
        <w:top w:val="none" w:sz="0" w:space="0" w:color="auto"/>
        <w:left w:val="none" w:sz="0" w:space="0" w:color="auto"/>
        <w:bottom w:val="none" w:sz="0" w:space="0" w:color="auto"/>
        <w:right w:val="none" w:sz="0" w:space="0" w:color="auto"/>
      </w:divBdr>
    </w:div>
    <w:div w:id="1627151511">
      <w:bodyDiv w:val="1"/>
      <w:marLeft w:val="0"/>
      <w:marRight w:val="0"/>
      <w:marTop w:val="0"/>
      <w:marBottom w:val="0"/>
      <w:divBdr>
        <w:top w:val="none" w:sz="0" w:space="0" w:color="auto"/>
        <w:left w:val="none" w:sz="0" w:space="0" w:color="auto"/>
        <w:bottom w:val="none" w:sz="0" w:space="0" w:color="auto"/>
        <w:right w:val="none" w:sz="0" w:space="0" w:color="auto"/>
      </w:divBdr>
    </w:div>
    <w:div w:id="1672483206">
      <w:bodyDiv w:val="1"/>
      <w:marLeft w:val="0"/>
      <w:marRight w:val="0"/>
      <w:marTop w:val="0"/>
      <w:marBottom w:val="0"/>
      <w:divBdr>
        <w:top w:val="none" w:sz="0" w:space="0" w:color="auto"/>
        <w:left w:val="none" w:sz="0" w:space="0" w:color="auto"/>
        <w:bottom w:val="none" w:sz="0" w:space="0" w:color="auto"/>
        <w:right w:val="none" w:sz="0" w:space="0" w:color="auto"/>
      </w:divBdr>
    </w:div>
    <w:div w:id="1688482346">
      <w:bodyDiv w:val="1"/>
      <w:marLeft w:val="0"/>
      <w:marRight w:val="0"/>
      <w:marTop w:val="0"/>
      <w:marBottom w:val="0"/>
      <w:divBdr>
        <w:top w:val="none" w:sz="0" w:space="0" w:color="auto"/>
        <w:left w:val="none" w:sz="0" w:space="0" w:color="auto"/>
        <w:bottom w:val="none" w:sz="0" w:space="0" w:color="auto"/>
        <w:right w:val="none" w:sz="0" w:space="0" w:color="auto"/>
      </w:divBdr>
    </w:div>
    <w:div w:id="1706830916">
      <w:bodyDiv w:val="1"/>
      <w:marLeft w:val="0"/>
      <w:marRight w:val="0"/>
      <w:marTop w:val="0"/>
      <w:marBottom w:val="0"/>
      <w:divBdr>
        <w:top w:val="none" w:sz="0" w:space="0" w:color="auto"/>
        <w:left w:val="none" w:sz="0" w:space="0" w:color="auto"/>
        <w:bottom w:val="none" w:sz="0" w:space="0" w:color="auto"/>
        <w:right w:val="none" w:sz="0" w:space="0" w:color="auto"/>
      </w:divBdr>
    </w:div>
    <w:div w:id="1719816010">
      <w:bodyDiv w:val="1"/>
      <w:marLeft w:val="0"/>
      <w:marRight w:val="0"/>
      <w:marTop w:val="0"/>
      <w:marBottom w:val="0"/>
      <w:divBdr>
        <w:top w:val="none" w:sz="0" w:space="0" w:color="auto"/>
        <w:left w:val="none" w:sz="0" w:space="0" w:color="auto"/>
        <w:bottom w:val="none" w:sz="0" w:space="0" w:color="auto"/>
        <w:right w:val="none" w:sz="0" w:space="0" w:color="auto"/>
      </w:divBdr>
    </w:div>
    <w:div w:id="1767113146">
      <w:bodyDiv w:val="1"/>
      <w:marLeft w:val="0"/>
      <w:marRight w:val="0"/>
      <w:marTop w:val="0"/>
      <w:marBottom w:val="0"/>
      <w:divBdr>
        <w:top w:val="none" w:sz="0" w:space="0" w:color="auto"/>
        <w:left w:val="none" w:sz="0" w:space="0" w:color="auto"/>
        <w:bottom w:val="none" w:sz="0" w:space="0" w:color="auto"/>
        <w:right w:val="none" w:sz="0" w:space="0" w:color="auto"/>
      </w:divBdr>
    </w:div>
    <w:div w:id="1773551919">
      <w:bodyDiv w:val="1"/>
      <w:marLeft w:val="0"/>
      <w:marRight w:val="0"/>
      <w:marTop w:val="0"/>
      <w:marBottom w:val="0"/>
      <w:divBdr>
        <w:top w:val="none" w:sz="0" w:space="0" w:color="auto"/>
        <w:left w:val="none" w:sz="0" w:space="0" w:color="auto"/>
        <w:bottom w:val="none" w:sz="0" w:space="0" w:color="auto"/>
        <w:right w:val="none" w:sz="0" w:space="0" w:color="auto"/>
      </w:divBdr>
    </w:div>
    <w:div w:id="1793085645">
      <w:bodyDiv w:val="1"/>
      <w:marLeft w:val="0"/>
      <w:marRight w:val="0"/>
      <w:marTop w:val="0"/>
      <w:marBottom w:val="0"/>
      <w:divBdr>
        <w:top w:val="none" w:sz="0" w:space="0" w:color="auto"/>
        <w:left w:val="none" w:sz="0" w:space="0" w:color="auto"/>
        <w:bottom w:val="none" w:sz="0" w:space="0" w:color="auto"/>
        <w:right w:val="none" w:sz="0" w:space="0" w:color="auto"/>
      </w:divBdr>
    </w:div>
    <w:div w:id="1797529091">
      <w:bodyDiv w:val="1"/>
      <w:marLeft w:val="0"/>
      <w:marRight w:val="0"/>
      <w:marTop w:val="0"/>
      <w:marBottom w:val="0"/>
      <w:divBdr>
        <w:top w:val="none" w:sz="0" w:space="0" w:color="auto"/>
        <w:left w:val="none" w:sz="0" w:space="0" w:color="auto"/>
        <w:bottom w:val="none" w:sz="0" w:space="0" w:color="auto"/>
        <w:right w:val="none" w:sz="0" w:space="0" w:color="auto"/>
      </w:divBdr>
    </w:div>
    <w:div w:id="1835146436">
      <w:bodyDiv w:val="1"/>
      <w:marLeft w:val="0"/>
      <w:marRight w:val="0"/>
      <w:marTop w:val="0"/>
      <w:marBottom w:val="0"/>
      <w:divBdr>
        <w:top w:val="none" w:sz="0" w:space="0" w:color="auto"/>
        <w:left w:val="none" w:sz="0" w:space="0" w:color="auto"/>
        <w:bottom w:val="none" w:sz="0" w:space="0" w:color="auto"/>
        <w:right w:val="none" w:sz="0" w:space="0" w:color="auto"/>
      </w:divBdr>
    </w:div>
    <w:div w:id="1919706536">
      <w:bodyDiv w:val="1"/>
      <w:marLeft w:val="0"/>
      <w:marRight w:val="0"/>
      <w:marTop w:val="0"/>
      <w:marBottom w:val="0"/>
      <w:divBdr>
        <w:top w:val="none" w:sz="0" w:space="0" w:color="auto"/>
        <w:left w:val="none" w:sz="0" w:space="0" w:color="auto"/>
        <w:bottom w:val="none" w:sz="0" w:space="0" w:color="auto"/>
        <w:right w:val="none" w:sz="0" w:space="0" w:color="auto"/>
      </w:divBdr>
    </w:div>
    <w:div w:id="1949699936">
      <w:bodyDiv w:val="1"/>
      <w:marLeft w:val="0"/>
      <w:marRight w:val="0"/>
      <w:marTop w:val="0"/>
      <w:marBottom w:val="0"/>
      <w:divBdr>
        <w:top w:val="none" w:sz="0" w:space="0" w:color="auto"/>
        <w:left w:val="none" w:sz="0" w:space="0" w:color="auto"/>
        <w:bottom w:val="none" w:sz="0" w:space="0" w:color="auto"/>
        <w:right w:val="none" w:sz="0" w:space="0" w:color="auto"/>
      </w:divBdr>
    </w:div>
    <w:div w:id="1968198523">
      <w:bodyDiv w:val="1"/>
      <w:marLeft w:val="0"/>
      <w:marRight w:val="0"/>
      <w:marTop w:val="0"/>
      <w:marBottom w:val="0"/>
      <w:divBdr>
        <w:top w:val="none" w:sz="0" w:space="0" w:color="auto"/>
        <w:left w:val="none" w:sz="0" w:space="0" w:color="auto"/>
        <w:bottom w:val="none" w:sz="0" w:space="0" w:color="auto"/>
        <w:right w:val="none" w:sz="0" w:space="0" w:color="auto"/>
      </w:divBdr>
    </w:div>
    <w:div w:id="1973291527">
      <w:bodyDiv w:val="1"/>
      <w:marLeft w:val="0"/>
      <w:marRight w:val="0"/>
      <w:marTop w:val="0"/>
      <w:marBottom w:val="0"/>
      <w:divBdr>
        <w:top w:val="none" w:sz="0" w:space="0" w:color="auto"/>
        <w:left w:val="none" w:sz="0" w:space="0" w:color="auto"/>
        <w:bottom w:val="none" w:sz="0" w:space="0" w:color="auto"/>
        <w:right w:val="none" w:sz="0" w:space="0" w:color="auto"/>
      </w:divBdr>
    </w:div>
    <w:div w:id="2019192936">
      <w:bodyDiv w:val="1"/>
      <w:marLeft w:val="0"/>
      <w:marRight w:val="0"/>
      <w:marTop w:val="0"/>
      <w:marBottom w:val="0"/>
      <w:divBdr>
        <w:top w:val="none" w:sz="0" w:space="0" w:color="auto"/>
        <w:left w:val="none" w:sz="0" w:space="0" w:color="auto"/>
        <w:bottom w:val="none" w:sz="0" w:space="0" w:color="auto"/>
        <w:right w:val="none" w:sz="0" w:space="0" w:color="auto"/>
      </w:divBdr>
    </w:div>
    <w:div w:id="20577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94AB-DF2C-411A-8F58-EE730971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27316</Words>
  <Characters>150239</Characters>
  <Application>Microsoft Office Word</Application>
  <DocSecurity>0</DocSecurity>
  <Lines>1251</Lines>
  <Paragraphs>354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2018-08-13T15:59:00Z</dcterms:created>
  <dcterms:modified xsi:type="dcterms:W3CDTF">2018-08-13T20:27:00Z</dcterms:modified>
</cp:coreProperties>
</file>